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80" w:rsidRPr="0091366C" w:rsidRDefault="00F97707" w:rsidP="0091366C">
      <w:pPr>
        <w:rPr>
          <w:rFonts w:eastAsia="HYGothic-Extra"/>
          <w:color w:val="1E1E1E"/>
          <w:spacing w:val="-20"/>
        </w:rPr>
      </w:pPr>
      <w:bookmarkStart w:id="0" w:name="_Ref356219622"/>
      <w:bookmarkStart w:id="1" w:name="_Ref356219625"/>
      <w:r>
        <w:rPr>
          <w:noProof/>
          <w:lang w:eastAsia="en-AU"/>
        </w:rPr>
        <w:drawing>
          <wp:anchor distT="0" distB="0" distL="114300" distR="114300" simplePos="0" relativeHeight="251662336" behindDoc="1" locked="0" layoutInCell="1" allowOverlap="1">
            <wp:simplePos x="0" y="0"/>
            <wp:positionH relativeFrom="column">
              <wp:posOffset>-720090</wp:posOffset>
            </wp:positionH>
            <wp:positionV relativeFrom="paragraph">
              <wp:posOffset>-720090</wp:posOffset>
            </wp:positionV>
            <wp:extent cx="7578090" cy="10716260"/>
            <wp:effectExtent l="0" t="0" r="3810" b="8890"/>
            <wp:wrapTight wrapText="bothSides">
              <wp:wrapPolygon edited="0">
                <wp:start x="0" y="0"/>
                <wp:lineTo x="0" y="21580"/>
                <wp:lineTo x="21557" y="21580"/>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haemovigilance-report-201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8090" cy="10716260"/>
                    </a:xfrm>
                    <a:prstGeom prst="rect">
                      <a:avLst/>
                    </a:prstGeom>
                  </pic:spPr>
                </pic:pic>
              </a:graphicData>
            </a:graphic>
            <wp14:sizeRelH relativeFrom="page">
              <wp14:pctWidth>0</wp14:pctWidth>
            </wp14:sizeRelH>
            <wp14:sizeRelV relativeFrom="page">
              <wp14:pctHeight>0</wp14:pctHeight>
            </wp14:sizeRelV>
          </wp:anchor>
        </w:drawing>
      </w:r>
      <w:r w:rsidR="004C5C80" w:rsidRPr="0091366C">
        <w:br w:type="page"/>
      </w:r>
      <w:bookmarkStart w:id="2" w:name="_GoBack"/>
      <w:bookmarkEnd w:id="2"/>
    </w:p>
    <w:p w:rsidR="004C5C80" w:rsidRPr="004C5C80" w:rsidRDefault="004C5C80" w:rsidP="004C5C80">
      <w:pPr>
        <w:spacing w:after="0"/>
      </w:pPr>
      <w:r w:rsidRPr="004C5C80">
        <w:rPr>
          <w:rFonts w:eastAsia="Times New Roman"/>
          <w:noProof/>
          <w:lang w:eastAsia="en-AU"/>
        </w:rPr>
        <w:lastRenderedPageBreak/>
        <w:drawing>
          <wp:inline distT="0" distB="0" distL="0" distR="0" wp14:anchorId="2CE11067" wp14:editId="513F0853">
            <wp:extent cx="1220400" cy="428400"/>
            <wp:effectExtent l="0" t="0" r="0" b="0"/>
            <wp:docPr id="2" name="Picture 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rsidR="004C5C80" w:rsidRPr="004C5C80" w:rsidRDefault="004C5C80" w:rsidP="004C5C80">
      <w:pPr>
        <w:spacing w:after="0"/>
      </w:pPr>
    </w:p>
    <w:p w:rsidR="004C5C80" w:rsidRPr="004C5C80" w:rsidRDefault="004C5C80" w:rsidP="004C5C80">
      <w:r w:rsidRPr="004C5C80">
        <w:t>With the exception of any logos and registered trademarks, and where otherwise noted, all material presented in this document is provided under a Creative Commons Attribution 4.0 licence (</w:t>
      </w:r>
      <w:r w:rsidR="00A76029" w:rsidRPr="00A76029">
        <w:t>http://creativecommons.org/licenses/by/4.0/</w:t>
      </w:r>
      <w:r w:rsidRPr="004C5C80">
        <w:t>).</w:t>
      </w:r>
    </w:p>
    <w:p w:rsidR="004C5C80" w:rsidRPr="004C5C80" w:rsidRDefault="004C5C80" w:rsidP="004C5C80">
      <w:r w:rsidRPr="004C5C80">
        <w:t>The details of the relevant licence conditions are available on the Creative Commons website (accessible using the links provided) as is the full legal code for the CC BY 4.0 licence (</w:t>
      </w:r>
      <w:r w:rsidR="00A76029" w:rsidRPr="00A76029">
        <w:t>http://creativecommons.org/licenses/by/4.0/legalcode</w:t>
      </w:r>
      <w:r w:rsidRPr="004C5C80">
        <w:t>).</w:t>
      </w:r>
    </w:p>
    <w:p w:rsidR="004C5C80" w:rsidRPr="004C5C80" w:rsidRDefault="004C5C80" w:rsidP="004C5C80">
      <w:r w:rsidRPr="004C5C80">
        <w:t>The content obtained from this document or derivative of this work must be attributed as:</w:t>
      </w:r>
    </w:p>
    <w:p w:rsidR="004C5C80" w:rsidRPr="004C5C80" w:rsidRDefault="004C5C80" w:rsidP="004C5C80">
      <w:r w:rsidRPr="004C5C80">
        <w:t xml:space="preserve">Australian </w:t>
      </w:r>
      <w:proofErr w:type="spellStart"/>
      <w:r w:rsidRPr="004C5C80">
        <w:t>Haemovigilance</w:t>
      </w:r>
      <w:proofErr w:type="spellEnd"/>
      <w:r w:rsidRPr="004C5C80">
        <w:t xml:space="preserve"> Report, Data for 201</w:t>
      </w:r>
      <w:r w:rsidR="00F6530F">
        <w:t>3</w:t>
      </w:r>
      <w:r w:rsidRPr="004C5C80">
        <w:t>–1</w:t>
      </w:r>
      <w:r w:rsidR="00F6530F">
        <w:t>4</w:t>
      </w:r>
      <w:r w:rsidRPr="004C5C80">
        <w:t xml:space="preserve"> published by the National Blood Authority.</w:t>
      </w:r>
    </w:p>
    <w:p w:rsidR="004C5C80" w:rsidRPr="004C5C80" w:rsidRDefault="004C5C80" w:rsidP="004C5C80">
      <w:r w:rsidRPr="004C5C80">
        <w:t>ISSN 1838</w:t>
      </w:r>
      <w:r w:rsidRPr="004C5C80">
        <w:noBreakHyphen/>
        <w:t>1790</w:t>
      </w:r>
    </w:p>
    <w:p w:rsidR="004C5C80" w:rsidRPr="004C5C80" w:rsidRDefault="004C5C80" w:rsidP="004C5C80">
      <w:pPr>
        <w:rPr>
          <w:color w:val="0000FF" w:themeColor="hyperlink"/>
          <w:u w:val="single"/>
        </w:rPr>
      </w:pPr>
      <w:r w:rsidRPr="004C5C80">
        <w:t xml:space="preserve">This report is available online at </w:t>
      </w:r>
      <w:hyperlink r:id="rId12" w:history="1">
        <w:r w:rsidRPr="004C5C80">
          <w:rPr>
            <w:color w:val="0000FF" w:themeColor="hyperlink"/>
            <w:u w:val="single"/>
          </w:rPr>
          <w:t>http://www.blood.gov.au/haemovigilance</w:t>
        </w:r>
        <w:r w:rsidRPr="004C5C80">
          <w:rPr>
            <w:color w:val="0000FF" w:themeColor="hyperlink"/>
            <w:u w:val="single"/>
          </w:rPr>
          <w:noBreakHyphen/>
          <w:t>reporting</w:t>
        </w:r>
      </w:hyperlink>
    </w:p>
    <w:p w:rsidR="004C5C80" w:rsidRPr="00821618" w:rsidRDefault="004C5C80" w:rsidP="00821618">
      <w:pPr>
        <w:rPr>
          <w:rFonts w:eastAsia="HYGothic-Extra"/>
          <w:color w:val="1E1E1E"/>
          <w:spacing w:val="-20"/>
        </w:rPr>
      </w:pPr>
      <w:r w:rsidRPr="00821618">
        <w:br w:type="page"/>
      </w:r>
    </w:p>
    <w:p w:rsidR="008B79C6" w:rsidRDefault="004C5C80" w:rsidP="003E3B23">
      <w:pPr>
        <w:pStyle w:val="Heading1"/>
        <w:rPr>
          <w:rFonts w:eastAsiaTheme="minorEastAsia" w:cstheme="minorBidi"/>
          <w:noProof/>
          <w:lang w:eastAsia="en-AU"/>
        </w:rPr>
      </w:pPr>
      <w:bookmarkStart w:id="3" w:name="_Toc452113098"/>
      <w:bookmarkStart w:id="4" w:name="_Toc459366146"/>
      <w:r w:rsidRPr="004C5C80">
        <w:lastRenderedPageBreak/>
        <w:t>CONTENTS</w:t>
      </w:r>
      <w:bookmarkEnd w:id="3"/>
      <w:bookmarkEnd w:id="4"/>
      <w:r w:rsidRPr="004C5C80">
        <w:fldChar w:fldCharType="begin"/>
      </w:r>
      <w:r w:rsidRPr="004C5C80">
        <w:instrText xml:space="preserve"> TOC \o "1-3" \h \z \u </w:instrText>
      </w:r>
      <w:r w:rsidRPr="004C5C80">
        <w:fldChar w:fldCharType="separate"/>
      </w:r>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47" w:history="1">
        <w:r w:rsidR="008B79C6" w:rsidRPr="0087735E">
          <w:rPr>
            <w:rStyle w:val="Hyperlink"/>
            <w:noProof/>
          </w:rPr>
          <w:t>FIGURES</w:t>
        </w:r>
        <w:r w:rsidR="008B79C6">
          <w:rPr>
            <w:noProof/>
            <w:webHidden/>
          </w:rPr>
          <w:tab/>
        </w:r>
        <w:r w:rsidR="008B79C6">
          <w:rPr>
            <w:noProof/>
            <w:webHidden/>
          </w:rPr>
          <w:fldChar w:fldCharType="begin"/>
        </w:r>
        <w:r w:rsidR="008B79C6">
          <w:rPr>
            <w:noProof/>
            <w:webHidden/>
          </w:rPr>
          <w:instrText xml:space="preserve"> PAGEREF _Toc459366147 \h </w:instrText>
        </w:r>
        <w:r w:rsidR="008B79C6">
          <w:rPr>
            <w:noProof/>
            <w:webHidden/>
          </w:rPr>
        </w:r>
        <w:r w:rsidR="008B79C6">
          <w:rPr>
            <w:noProof/>
            <w:webHidden/>
          </w:rPr>
          <w:fldChar w:fldCharType="separate"/>
        </w:r>
        <w:r>
          <w:rPr>
            <w:noProof/>
            <w:webHidden/>
          </w:rPr>
          <w:t>5</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48" w:history="1">
        <w:r w:rsidR="008B79C6" w:rsidRPr="0087735E">
          <w:rPr>
            <w:rStyle w:val="Hyperlink"/>
            <w:noProof/>
          </w:rPr>
          <w:t>TABLES</w:t>
        </w:r>
        <w:r w:rsidR="008B79C6">
          <w:rPr>
            <w:noProof/>
            <w:webHidden/>
          </w:rPr>
          <w:tab/>
        </w:r>
        <w:r w:rsidR="008B79C6">
          <w:rPr>
            <w:noProof/>
            <w:webHidden/>
          </w:rPr>
          <w:fldChar w:fldCharType="begin"/>
        </w:r>
        <w:r w:rsidR="008B79C6">
          <w:rPr>
            <w:noProof/>
            <w:webHidden/>
          </w:rPr>
          <w:instrText xml:space="preserve"> PAGEREF _Toc459366148 \h </w:instrText>
        </w:r>
        <w:r w:rsidR="008B79C6">
          <w:rPr>
            <w:noProof/>
            <w:webHidden/>
          </w:rPr>
        </w:r>
        <w:r w:rsidR="008B79C6">
          <w:rPr>
            <w:noProof/>
            <w:webHidden/>
          </w:rPr>
          <w:fldChar w:fldCharType="separate"/>
        </w:r>
        <w:r>
          <w:rPr>
            <w:noProof/>
            <w:webHidden/>
          </w:rPr>
          <w:t>5</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49" w:history="1">
        <w:r w:rsidR="008B79C6" w:rsidRPr="0087735E">
          <w:rPr>
            <w:rStyle w:val="Hyperlink"/>
            <w:noProof/>
          </w:rPr>
          <w:t>CAVEAT</w:t>
        </w:r>
        <w:r w:rsidR="008B79C6">
          <w:rPr>
            <w:noProof/>
            <w:webHidden/>
          </w:rPr>
          <w:tab/>
        </w:r>
        <w:r w:rsidR="008B79C6">
          <w:rPr>
            <w:noProof/>
            <w:webHidden/>
          </w:rPr>
          <w:fldChar w:fldCharType="begin"/>
        </w:r>
        <w:r w:rsidR="008B79C6">
          <w:rPr>
            <w:noProof/>
            <w:webHidden/>
          </w:rPr>
          <w:instrText xml:space="preserve"> PAGEREF _Toc459366149 \h </w:instrText>
        </w:r>
        <w:r w:rsidR="008B79C6">
          <w:rPr>
            <w:noProof/>
            <w:webHidden/>
          </w:rPr>
        </w:r>
        <w:r w:rsidR="008B79C6">
          <w:rPr>
            <w:noProof/>
            <w:webHidden/>
          </w:rPr>
          <w:fldChar w:fldCharType="separate"/>
        </w:r>
        <w:r>
          <w:rPr>
            <w:noProof/>
            <w:webHidden/>
          </w:rPr>
          <w:t>6</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50" w:history="1">
        <w:r w:rsidR="008B79C6" w:rsidRPr="0087735E">
          <w:rPr>
            <w:rStyle w:val="Hyperlink"/>
            <w:noProof/>
            <w:lang w:eastAsia="en-AU"/>
          </w:rPr>
          <w:t>MESSAGE FROM THE GENERAL MANAGER OF THE NATIONAL BLOOD AUTHORITY</w:t>
        </w:r>
        <w:r w:rsidR="008B79C6">
          <w:rPr>
            <w:noProof/>
            <w:webHidden/>
          </w:rPr>
          <w:tab/>
        </w:r>
        <w:r w:rsidR="008B79C6">
          <w:rPr>
            <w:noProof/>
            <w:webHidden/>
          </w:rPr>
          <w:fldChar w:fldCharType="begin"/>
        </w:r>
        <w:r w:rsidR="008B79C6">
          <w:rPr>
            <w:noProof/>
            <w:webHidden/>
          </w:rPr>
          <w:instrText xml:space="preserve"> PAGEREF _Toc459366150 \h </w:instrText>
        </w:r>
        <w:r w:rsidR="008B79C6">
          <w:rPr>
            <w:noProof/>
            <w:webHidden/>
          </w:rPr>
        </w:r>
        <w:r w:rsidR="008B79C6">
          <w:rPr>
            <w:noProof/>
            <w:webHidden/>
          </w:rPr>
          <w:fldChar w:fldCharType="separate"/>
        </w:r>
        <w:r>
          <w:rPr>
            <w:noProof/>
            <w:webHidden/>
          </w:rPr>
          <w:t>7</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51" w:history="1">
        <w:r w:rsidR="008B79C6" w:rsidRPr="0087735E">
          <w:rPr>
            <w:rStyle w:val="Hyperlink"/>
            <w:noProof/>
          </w:rPr>
          <w:t>EXECUTIVE SUMMARY</w:t>
        </w:r>
        <w:r w:rsidR="008B79C6">
          <w:rPr>
            <w:noProof/>
            <w:webHidden/>
          </w:rPr>
          <w:tab/>
        </w:r>
        <w:r w:rsidR="008B79C6">
          <w:rPr>
            <w:noProof/>
            <w:webHidden/>
          </w:rPr>
          <w:fldChar w:fldCharType="begin"/>
        </w:r>
        <w:r w:rsidR="008B79C6">
          <w:rPr>
            <w:noProof/>
            <w:webHidden/>
          </w:rPr>
          <w:instrText xml:space="preserve"> PAGEREF _Toc459366151 \h </w:instrText>
        </w:r>
        <w:r w:rsidR="008B79C6">
          <w:rPr>
            <w:noProof/>
            <w:webHidden/>
          </w:rPr>
        </w:r>
        <w:r w:rsidR="008B79C6">
          <w:rPr>
            <w:noProof/>
            <w:webHidden/>
          </w:rPr>
          <w:fldChar w:fldCharType="separate"/>
        </w:r>
        <w:r>
          <w:rPr>
            <w:noProof/>
            <w:webHidden/>
          </w:rPr>
          <w:t>8</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2" w:history="1">
        <w:r w:rsidR="008B79C6" w:rsidRPr="0087735E">
          <w:rPr>
            <w:rStyle w:val="Hyperlink"/>
            <w:noProof/>
            <w:lang w:eastAsia="en-AU"/>
          </w:rPr>
          <w:t>Key findings</w:t>
        </w:r>
        <w:r w:rsidR="008B79C6">
          <w:rPr>
            <w:noProof/>
            <w:webHidden/>
          </w:rPr>
          <w:tab/>
        </w:r>
        <w:r w:rsidR="008B79C6">
          <w:rPr>
            <w:noProof/>
            <w:webHidden/>
          </w:rPr>
          <w:fldChar w:fldCharType="begin"/>
        </w:r>
        <w:r w:rsidR="008B79C6">
          <w:rPr>
            <w:noProof/>
            <w:webHidden/>
          </w:rPr>
          <w:instrText xml:space="preserve"> PAGEREF _Toc459366152 \h </w:instrText>
        </w:r>
        <w:r w:rsidR="008B79C6">
          <w:rPr>
            <w:noProof/>
            <w:webHidden/>
          </w:rPr>
        </w:r>
        <w:r w:rsidR="008B79C6">
          <w:rPr>
            <w:noProof/>
            <w:webHidden/>
          </w:rPr>
          <w:fldChar w:fldCharType="separate"/>
        </w:r>
        <w:r>
          <w:rPr>
            <w:noProof/>
            <w:webHidden/>
          </w:rPr>
          <w:t>8</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3" w:history="1">
        <w:r w:rsidR="008B79C6" w:rsidRPr="0087735E">
          <w:rPr>
            <w:rStyle w:val="Hyperlink"/>
            <w:noProof/>
          </w:rPr>
          <w:t>Recommendations</w:t>
        </w:r>
        <w:r w:rsidR="008B79C6">
          <w:rPr>
            <w:noProof/>
            <w:webHidden/>
          </w:rPr>
          <w:tab/>
        </w:r>
        <w:r w:rsidR="008B79C6">
          <w:rPr>
            <w:noProof/>
            <w:webHidden/>
          </w:rPr>
          <w:fldChar w:fldCharType="begin"/>
        </w:r>
        <w:r w:rsidR="008B79C6">
          <w:rPr>
            <w:noProof/>
            <w:webHidden/>
          </w:rPr>
          <w:instrText xml:space="preserve"> PAGEREF _Toc459366153 \h </w:instrText>
        </w:r>
        <w:r w:rsidR="008B79C6">
          <w:rPr>
            <w:noProof/>
            <w:webHidden/>
          </w:rPr>
        </w:r>
        <w:r w:rsidR="008B79C6">
          <w:rPr>
            <w:noProof/>
            <w:webHidden/>
          </w:rPr>
          <w:fldChar w:fldCharType="separate"/>
        </w:r>
        <w:r>
          <w:rPr>
            <w:noProof/>
            <w:webHidden/>
          </w:rPr>
          <w:t>10</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54" w:history="1">
        <w:r w:rsidR="008B79C6" w:rsidRPr="0087735E">
          <w:rPr>
            <w:rStyle w:val="Hyperlink"/>
            <w:noProof/>
            <w:lang w:eastAsia="en-AU"/>
          </w:rPr>
          <w:t>PART 01 HAEMOVIGILANCE IN AUSTRALIA</w:t>
        </w:r>
        <w:r w:rsidR="008B79C6">
          <w:rPr>
            <w:noProof/>
            <w:webHidden/>
          </w:rPr>
          <w:tab/>
        </w:r>
        <w:r w:rsidR="008B79C6">
          <w:rPr>
            <w:noProof/>
            <w:webHidden/>
          </w:rPr>
          <w:fldChar w:fldCharType="begin"/>
        </w:r>
        <w:r w:rsidR="008B79C6">
          <w:rPr>
            <w:noProof/>
            <w:webHidden/>
          </w:rPr>
          <w:instrText xml:space="preserve"> PAGEREF _Toc459366154 \h </w:instrText>
        </w:r>
        <w:r w:rsidR="008B79C6">
          <w:rPr>
            <w:noProof/>
            <w:webHidden/>
          </w:rPr>
        </w:r>
        <w:r w:rsidR="008B79C6">
          <w:rPr>
            <w:noProof/>
            <w:webHidden/>
          </w:rPr>
          <w:fldChar w:fldCharType="separate"/>
        </w:r>
        <w:r>
          <w:rPr>
            <w:noProof/>
            <w:webHidden/>
          </w:rPr>
          <w:t>11</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5" w:history="1">
        <w:r w:rsidR="008B79C6" w:rsidRPr="0087735E">
          <w:rPr>
            <w:rStyle w:val="Hyperlink"/>
            <w:noProof/>
            <w:lang w:eastAsia="en-AU"/>
          </w:rPr>
          <w:t>Haemovigilance definitions</w:t>
        </w:r>
        <w:r w:rsidR="008B79C6">
          <w:rPr>
            <w:noProof/>
            <w:webHidden/>
          </w:rPr>
          <w:tab/>
        </w:r>
        <w:r w:rsidR="008B79C6">
          <w:rPr>
            <w:noProof/>
            <w:webHidden/>
          </w:rPr>
          <w:fldChar w:fldCharType="begin"/>
        </w:r>
        <w:r w:rsidR="008B79C6">
          <w:rPr>
            <w:noProof/>
            <w:webHidden/>
          </w:rPr>
          <w:instrText xml:space="preserve"> PAGEREF _Toc459366155 \h </w:instrText>
        </w:r>
        <w:r w:rsidR="008B79C6">
          <w:rPr>
            <w:noProof/>
            <w:webHidden/>
          </w:rPr>
        </w:r>
        <w:r w:rsidR="008B79C6">
          <w:rPr>
            <w:noProof/>
            <w:webHidden/>
          </w:rPr>
          <w:fldChar w:fldCharType="separate"/>
        </w:r>
        <w:r>
          <w:rPr>
            <w:noProof/>
            <w:webHidden/>
          </w:rPr>
          <w:t>11</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6" w:history="1">
        <w:r w:rsidR="008B79C6" w:rsidRPr="0087735E">
          <w:rPr>
            <w:rStyle w:val="Hyperlink"/>
            <w:noProof/>
            <w:lang w:eastAsia="en-AU"/>
          </w:rPr>
          <w:t>Why conduct haemovigilance in Australia?</w:t>
        </w:r>
        <w:r w:rsidR="008B79C6">
          <w:rPr>
            <w:noProof/>
            <w:webHidden/>
          </w:rPr>
          <w:tab/>
        </w:r>
        <w:r w:rsidR="008B79C6">
          <w:rPr>
            <w:noProof/>
            <w:webHidden/>
          </w:rPr>
          <w:fldChar w:fldCharType="begin"/>
        </w:r>
        <w:r w:rsidR="008B79C6">
          <w:rPr>
            <w:noProof/>
            <w:webHidden/>
          </w:rPr>
          <w:instrText xml:space="preserve"> PAGEREF _Toc459366156 \h </w:instrText>
        </w:r>
        <w:r w:rsidR="008B79C6">
          <w:rPr>
            <w:noProof/>
            <w:webHidden/>
          </w:rPr>
        </w:r>
        <w:r w:rsidR="008B79C6">
          <w:rPr>
            <w:noProof/>
            <w:webHidden/>
          </w:rPr>
          <w:fldChar w:fldCharType="separate"/>
        </w:r>
        <w:r>
          <w:rPr>
            <w:noProof/>
            <w:webHidden/>
          </w:rPr>
          <w:t>11</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7" w:history="1">
        <w:r w:rsidR="008B79C6" w:rsidRPr="0087735E">
          <w:rPr>
            <w:rStyle w:val="Hyperlink"/>
            <w:noProof/>
            <w:lang w:eastAsia="en-AU"/>
          </w:rPr>
          <w:t>National haemovigilance program and HAC</w:t>
        </w:r>
        <w:r w:rsidR="008B79C6">
          <w:rPr>
            <w:noProof/>
            <w:webHidden/>
          </w:rPr>
          <w:tab/>
        </w:r>
        <w:r w:rsidR="008B79C6">
          <w:rPr>
            <w:noProof/>
            <w:webHidden/>
          </w:rPr>
          <w:fldChar w:fldCharType="begin"/>
        </w:r>
        <w:r w:rsidR="008B79C6">
          <w:rPr>
            <w:noProof/>
            <w:webHidden/>
          </w:rPr>
          <w:instrText xml:space="preserve"> PAGEREF _Toc459366157 \h </w:instrText>
        </w:r>
        <w:r w:rsidR="008B79C6">
          <w:rPr>
            <w:noProof/>
            <w:webHidden/>
          </w:rPr>
        </w:r>
        <w:r w:rsidR="008B79C6">
          <w:rPr>
            <w:noProof/>
            <w:webHidden/>
          </w:rPr>
          <w:fldChar w:fldCharType="separate"/>
        </w:r>
        <w:r>
          <w:rPr>
            <w:noProof/>
            <w:webHidden/>
          </w:rPr>
          <w:t>11</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8" w:history="1">
        <w:r w:rsidR="008B79C6" w:rsidRPr="0087735E">
          <w:rPr>
            <w:rStyle w:val="Hyperlink"/>
            <w:noProof/>
          </w:rPr>
          <w:t>Strategic Framework for National Haemovigilance Program</w:t>
        </w:r>
        <w:r w:rsidR="008B79C6">
          <w:rPr>
            <w:noProof/>
            <w:webHidden/>
          </w:rPr>
          <w:tab/>
        </w:r>
        <w:r w:rsidR="008B79C6">
          <w:rPr>
            <w:noProof/>
            <w:webHidden/>
          </w:rPr>
          <w:fldChar w:fldCharType="begin"/>
        </w:r>
        <w:r w:rsidR="008B79C6">
          <w:rPr>
            <w:noProof/>
            <w:webHidden/>
          </w:rPr>
          <w:instrText xml:space="preserve"> PAGEREF _Toc459366158 \h </w:instrText>
        </w:r>
        <w:r w:rsidR="008B79C6">
          <w:rPr>
            <w:noProof/>
            <w:webHidden/>
          </w:rPr>
        </w:r>
        <w:r w:rsidR="008B79C6">
          <w:rPr>
            <w:noProof/>
            <w:webHidden/>
          </w:rPr>
          <w:fldChar w:fldCharType="separate"/>
        </w:r>
        <w:r>
          <w:rPr>
            <w:noProof/>
            <w:webHidden/>
          </w:rPr>
          <w:t>12</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59" w:history="1">
        <w:r w:rsidR="008B79C6" w:rsidRPr="0087735E">
          <w:rPr>
            <w:rStyle w:val="Hyperlink"/>
            <w:noProof/>
          </w:rPr>
          <w:t>National haemovigilance reporting process</w:t>
        </w:r>
        <w:r w:rsidR="008B79C6">
          <w:rPr>
            <w:noProof/>
            <w:webHidden/>
          </w:rPr>
          <w:tab/>
        </w:r>
        <w:r w:rsidR="008B79C6">
          <w:rPr>
            <w:noProof/>
            <w:webHidden/>
          </w:rPr>
          <w:fldChar w:fldCharType="begin"/>
        </w:r>
        <w:r w:rsidR="008B79C6">
          <w:rPr>
            <w:noProof/>
            <w:webHidden/>
          </w:rPr>
          <w:instrText xml:space="preserve"> PAGEREF _Toc459366159 \h </w:instrText>
        </w:r>
        <w:r w:rsidR="008B79C6">
          <w:rPr>
            <w:noProof/>
            <w:webHidden/>
          </w:rPr>
        </w:r>
        <w:r w:rsidR="008B79C6">
          <w:rPr>
            <w:noProof/>
            <w:webHidden/>
          </w:rPr>
          <w:fldChar w:fldCharType="separate"/>
        </w:r>
        <w:r>
          <w:rPr>
            <w:noProof/>
            <w:webHidden/>
          </w:rPr>
          <w:t>12</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0" w:history="1">
        <w:r w:rsidR="008B79C6" w:rsidRPr="0087735E">
          <w:rPr>
            <w:rStyle w:val="Hyperlink"/>
            <w:noProof/>
          </w:rPr>
          <w:t>Haemovigilance Work Plan</w:t>
        </w:r>
        <w:r w:rsidR="008B79C6">
          <w:rPr>
            <w:noProof/>
            <w:webHidden/>
          </w:rPr>
          <w:tab/>
        </w:r>
        <w:r w:rsidR="008B79C6">
          <w:rPr>
            <w:noProof/>
            <w:webHidden/>
          </w:rPr>
          <w:fldChar w:fldCharType="begin"/>
        </w:r>
        <w:r w:rsidR="008B79C6">
          <w:rPr>
            <w:noProof/>
            <w:webHidden/>
          </w:rPr>
          <w:instrText xml:space="preserve"> PAGEREF _Toc459366160 \h </w:instrText>
        </w:r>
        <w:r w:rsidR="008B79C6">
          <w:rPr>
            <w:noProof/>
            <w:webHidden/>
          </w:rPr>
        </w:r>
        <w:r w:rsidR="008B79C6">
          <w:rPr>
            <w:noProof/>
            <w:webHidden/>
          </w:rPr>
          <w:fldChar w:fldCharType="separate"/>
        </w:r>
        <w:r>
          <w:rPr>
            <w:noProof/>
            <w:webHidden/>
          </w:rPr>
          <w:t>12</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61" w:history="1">
        <w:r w:rsidR="008B79C6" w:rsidRPr="0087735E">
          <w:rPr>
            <w:rStyle w:val="Hyperlink"/>
            <w:noProof/>
            <w:lang w:eastAsia="en-AU"/>
          </w:rPr>
          <w:t>PART 02 HAEMOVIGILANCE DATA 2013–14</w:t>
        </w:r>
        <w:r w:rsidR="008B79C6">
          <w:rPr>
            <w:noProof/>
            <w:webHidden/>
          </w:rPr>
          <w:tab/>
        </w:r>
        <w:r w:rsidR="008B79C6">
          <w:rPr>
            <w:noProof/>
            <w:webHidden/>
          </w:rPr>
          <w:fldChar w:fldCharType="begin"/>
        </w:r>
        <w:r w:rsidR="008B79C6">
          <w:rPr>
            <w:noProof/>
            <w:webHidden/>
          </w:rPr>
          <w:instrText xml:space="preserve"> PAGEREF _Toc459366161 \h </w:instrText>
        </w:r>
        <w:r w:rsidR="008B79C6">
          <w:rPr>
            <w:noProof/>
            <w:webHidden/>
          </w:rPr>
        </w:r>
        <w:r w:rsidR="008B79C6">
          <w:rPr>
            <w:noProof/>
            <w:webHidden/>
          </w:rPr>
          <w:fldChar w:fldCharType="separate"/>
        </w:r>
        <w:r>
          <w:rPr>
            <w:noProof/>
            <w:webHidden/>
          </w:rPr>
          <w:t>14</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2" w:history="1">
        <w:r w:rsidR="008B79C6" w:rsidRPr="0087735E">
          <w:rPr>
            <w:rStyle w:val="Hyperlink"/>
            <w:noProof/>
          </w:rPr>
          <w:t>Summary of findings for 2013–14</w:t>
        </w:r>
        <w:r w:rsidR="008B79C6">
          <w:rPr>
            <w:noProof/>
            <w:webHidden/>
          </w:rPr>
          <w:tab/>
        </w:r>
        <w:r w:rsidR="008B79C6">
          <w:rPr>
            <w:noProof/>
            <w:webHidden/>
          </w:rPr>
          <w:fldChar w:fldCharType="begin"/>
        </w:r>
        <w:r w:rsidR="008B79C6">
          <w:rPr>
            <w:noProof/>
            <w:webHidden/>
          </w:rPr>
          <w:instrText xml:space="preserve"> PAGEREF _Toc459366162 \h </w:instrText>
        </w:r>
        <w:r w:rsidR="008B79C6">
          <w:rPr>
            <w:noProof/>
            <w:webHidden/>
          </w:rPr>
        </w:r>
        <w:r w:rsidR="008B79C6">
          <w:rPr>
            <w:noProof/>
            <w:webHidden/>
          </w:rPr>
          <w:fldChar w:fldCharType="separate"/>
        </w:r>
        <w:r>
          <w:rPr>
            <w:noProof/>
            <w:webHidden/>
          </w:rPr>
          <w:t>14</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3" w:history="1">
        <w:r w:rsidR="008B79C6" w:rsidRPr="0087735E">
          <w:rPr>
            <w:rStyle w:val="Hyperlink"/>
            <w:noProof/>
          </w:rPr>
          <w:t>Cumulative results for 2010–11 to 2013–14</w:t>
        </w:r>
        <w:r w:rsidR="008B79C6">
          <w:rPr>
            <w:noProof/>
            <w:webHidden/>
          </w:rPr>
          <w:tab/>
        </w:r>
        <w:r w:rsidR="008B79C6">
          <w:rPr>
            <w:noProof/>
            <w:webHidden/>
          </w:rPr>
          <w:fldChar w:fldCharType="begin"/>
        </w:r>
        <w:r w:rsidR="008B79C6">
          <w:rPr>
            <w:noProof/>
            <w:webHidden/>
          </w:rPr>
          <w:instrText xml:space="preserve"> PAGEREF _Toc459366163 \h </w:instrText>
        </w:r>
        <w:r w:rsidR="008B79C6">
          <w:rPr>
            <w:noProof/>
            <w:webHidden/>
          </w:rPr>
        </w:r>
        <w:r w:rsidR="008B79C6">
          <w:rPr>
            <w:noProof/>
            <w:webHidden/>
          </w:rPr>
          <w:fldChar w:fldCharType="separate"/>
        </w:r>
        <w:r>
          <w:rPr>
            <w:noProof/>
            <w:webHidden/>
          </w:rPr>
          <w:t>18</w:t>
        </w:r>
        <w:r w:rsidR="008B79C6">
          <w:rPr>
            <w:noProof/>
            <w:webHidden/>
          </w:rPr>
          <w:fldChar w:fldCharType="end"/>
        </w:r>
      </w:hyperlink>
    </w:p>
    <w:p w:rsidR="008B79C6" w:rsidRDefault="000010BC">
      <w:pPr>
        <w:pStyle w:val="TOC3"/>
        <w:rPr>
          <w:rFonts w:asciiTheme="minorHAnsi" w:eastAsiaTheme="minorEastAsia" w:hAnsiTheme="minorHAnsi" w:cstheme="minorBidi"/>
          <w:color w:val="auto"/>
        </w:rPr>
      </w:pPr>
      <w:hyperlink w:anchor="_Toc459366164" w:history="1">
        <w:r w:rsidR="008B79C6" w:rsidRPr="0087735E">
          <w:rPr>
            <w:rStyle w:val="Hyperlink"/>
          </w:rPr>
          <w:t>Serious adverse events</w:t>
        </w:r>
        <w:r w:rsidR="008B79C6">
          <w:rPr>
            <w:webHidden/>
          </w:rPr>
          <w:tab/>
        </w:r>
        <w:r w:rsidR="008B79C6">
          <w:rPr>
            <w:webHidden/>
          </w:rPr>
          <w:fldChar w:fldCharType="begin"/>
        </w:r>
        <w:r w:rsidR="008B79C6">
          <w:rPr>
            <w:webHidden/>
          </w:rPr>
          <w:instrText xml:space="preserve"> PAGEREF _Toc459366164 \h </w:instrText>
        </w:r>
        <w:r w:rsidR="008B79C6">
          <w:rPr>
            <w:webHidden/>
          </w:rPr>
        </w:r>
        <w:r w:rsidR="008B79C6">
          <w:rPr>
            <w:webHidden/>
          </w:rPr>
          <w:fldChar w:fldCharType="separate"/>
        </w:r>
        <w:r>
          <w:rPr>
            <w:webHidden/>
          </w:rPr>
          <w:t>19</w:t>
        </w:r>
        <w:r w:rsidR="008B79C6">
          <w:rPr>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5" w:history="1">
        <w:r w:rsidR="008B79C6" w:rsidRPr="0087735E">
          <w:rPr>
            <w:rStyle w:val="Hyperlink"/>
            <w:noProof/>
            <w:lang w:eastAsia="en-AU"/>
          </w:rPr>
          <w:t>Data quality for 2013-14</w:t>
        </w:r>
        <w:r w:rsidR="008B79C6">
          <w:rPr>
            <w:noProof/>
            <w:webHidden/>
          </w:rPr>
          <w:tab/>
        </w:r>
        <w:r w:rsidR="008B79C6">
          <w:rPr>
            <w:noProof/>
            <w:webHidden/>
          </w:rPr>
          <w:fldChar w:fldCharType="begin"/>
        </w:r>
        <w:r w:rsidR="008B79C6">
          <w:rPr>
            <w:noProof/>
            <w:webHidden/>
          </w:rPr>
          <w:instrText xml:space="preserve"> PAGEREF _Toc459366165 \h </w:instrText>
        </w:r>
        <w:r w:rsidR="008B79C6">
          <w:rPr>
            <w:noProof/>
            <w:webHidden/>
          </w:rPr>
        </w:r>
        <w:r w:rsidR="008B79C6">
          <w:rPr>
            <w:noProof/>
            <w:webHidden/>
          </w:rPr>
          <w:fldChar w:fldCharType="separate"/>
        </w:r>
        <w:r>
          <w:rPr>
            <w:noProof/>
            <w:webHidden/>
          </w:rPr>
          <w:t>23</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6" w:history="1">
        <w:r w:rsidR="008B79C6" w:rsidRPr="0087735E">
          <w:rPr>
            <w:rStyle w:val="Hyperlink"/>
            <w:noProof/>
          </w:rPr>
          <w:t>Febrile non</w:t>
        </w:r>
        <w:r w:rsidR="008B79C6" w:rsidRPr="0087735E">
          <w:rPr>
            <w:rStyle w:val="Hyperlink"/>
            <w:noProof/>
          </w:rPr>
          <w:noBreakHyphen/>
          <w:t>haemolytic transfusion reaction (FNHTR)</w:t>
        </w:r>
        <w:r w:rsidR="008B79C6">
          <w:rPr>
            <w:noProof/>
            <w:webHidden/>
          </w:rPr>
          <w:tab/>
        </w:r>
        <w:r w:rsidR="008B79C6">
          <w:rPr>
            <w:noProof/>
            <w:webHidden/>
          </w:rPr>
          <w:fldChar w:fldCharType="begin"/>
        </w:r>
        <w:r w:rsidR="008B79C6">
          <w:rPr>
            <w:noProof/>
            <w:webHidden/>
          </w:rPr>
          <w:instrText xml:space="preserve"> PAGEREF _Toc459366166 \h </w:instrText>
        </w:r>
        <w:r w:rsidR="008B79C6">
          <w:rPr>
            <w:noProof/>
            <w:webHidden/>
          </w:rPr>
        </w:r>
        <w:r w:rsidR="008B79C6">
          <w:rPr>
            <w:noProof/>
            <w:webHidden/>
          </w:rPr>
          <w:fldChar w:fldCharType="separate"/>
        </w:r>
        <w:r>
          <w:rPr>
            <w:noProof/>
            <w:webHidden/>
          </w:rPr>
          <w:t>25</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7" w:history="1">
        <w:r w:rsidR="008B79C6" w:rsidRPr="0087735E">
          <w:rPr>
            <w:rStyle w:val="Hyperlink"/>
            <w:noProof/>
          </w:rPr>
          <w:t>Allergic reaction</w:t>
        </w:r>
        <w:r w:rsidR="008B79C6">
          <w:rPr>
            <w:noProof/>
            <w:webHidden/>
          </w:rPr>
          <w:tab/>
        </w:r>
        <w:r w:rsidR="008B79C6">
          <w:rPr>
            <w:noProof/>
            <w:webHidden/>
          </w:rPr>
          <w:fldChar w:fldCharType="begin"/>
        </w:r>
        <w:r w:rsidR="008B79C6">
          <w:rPr>
            <w:noProof/>
            <w:webHidden/>
          </w:rPr>
          <w:instrText xml:space="preserve"> PAGEREF _Toc459366167 \h </w:instrText>
        </w:r>
        <w:r w:rsidR="008B79C6">
          <w:rPr>
            <w:noProof/>
            <w:webHidden/>
          </w:rPr>
        </w:r>
        <w:r w:rsidR="008B79C6">
          <w:rPr>
            <w:noProof/>
            <w:webHidden/>
          </w:rPr>
          <w:fldChar w:fldCharType="separate"/>
        </w:r>
        <w:r>
          <w:rPr>
            <w:noProof/>
            <w:webHidden/>
          </w:rPr>
          <w:t>26</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8" w:history="1">
        <w:r w:rsidR="008B79C6" w:rsidRPr="0087735E">
          <w:rPr>
            <w:rStyle w:val="Hyperlink"/>
            <w:noProof/>
          </w:rPr>
          <w:t>Incorrect blood component transfused (IBCT)</w:t>
        </w:r>
        <w:r w:rsidR="008B79C6">
          <w:rPr>
            <w:noProof/>
            <w:webHidden/>
          </w:rPr>
          <w:tab/>
        </w:r>
        <w:r w:rsidR="008B79C6">
          <w:rPr>
            <w:noProof/>
            <w:webHidden/>
          </w:rPr>
          <w:fldChar w:fldCharType="begin"/>
        </w:r>
        <w:r w:rsidR="008B79C6">
          <w:rPr>
            <w:noProof/>
            <w:webHidden/>
          </w:rPr>
          <w:instrText xml:space="preserve"> PAGEREF _Toc459366168 \h </w:instrText>
        </w:r>
        <w:r w:rsidR="008B79C6">
          <w:rPr>
            <w:noProof/>
            <w:webHidden/>
          </w:rPr>
        </w:r>
        <w:r w:rsidR="008B79C6">
          <w:rPr>
            <w:noProof/>
            <w:webHidden/>
          </w:rPr>
          <w:fldChar w:fldCharType="separate"/>
        </w:r>
        <w:r>
          <w:rPr>
            <w:noProof/>
            <w:webHidden/>
          </w:rPr>
          <w:t>27</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69" w:history="1">
        <w:r w:rsidR="008B79C6" w:rsidRPr="0087735E">
          <w:rPr>
            <w:rStyle w:val="Hyperlink"/>
            <w:noProof/>
          </w:rPr>
          <w:t>Transfusion</w:t>
        </w:r>
        <w:r w:rsidR="008B79C6" w:rsidRPr="0087735E">
          <w:rPr>
            <w:rStyle w:val="Hyperlink"/>
            <w:noProof/>
          </w:rPr>
          <w:noBreakHyphen/>
          <w:t>associated circulatory overload (TACO)</w:t>
        </w:r>
        <w:r w:rsidR="008B79C6">
          <w:rPr>
            <w:noProof/>
            <w:webHidden/>
          </w:rPr>
          <w:tab/>
        </w:r>
        <w:r w:rsidR="008B79C6">
          <w:rPr>
            <w:noProof/>
            <w:webHidden/>
          </w:rPr>
          <w:fldChar w:fldCharType="begin"/>
        </w:r>
        <w:r w:rsidR="008B79C6">
          <w:rPr>
            <w:noProof/>
            <w:webHidden/>
          </w:rPr>
          <w:instrText xml:space="preserve"> PAGEREF _Toc459366169 \h </w:instrText>
        </w:r>
        <w:r w:rsidR="008B79C6">
          <w:rPr>
            <w:noProof/>
            <w:webHidden/>
          </w:rPr>
        </w:r>
        <w:r w:rsidR="008B79C6">
          <w:rPr>
            <w:noProof/>
            <w:webHidden/>
          </w:rPr>
          <w:fldChar w:fldCharType="separate"/>
        </w:r>
        <w:r>
          <w:rPr>
            <w:noProof/>
            <w:webHidden/>
          </w:rPr>
          <w:t>29</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0" w:history="1">
        <w:r w:rsidR="008B79C6" w:rsidRPr="0087735E">
          <w:rPr>
            <w:rStyle w:val="Hyperlink"/>
            <w:noProof/>
          </w:rPr>
          <w:t>Transfusion-transmitted infection (TTI)</w:t>
        </w:r>
        <w:r w:rsidR="008B79C6">
          <w:rPr>
            <w:noProof/>
            <w:webHidden/>
          </w:rPr>
          <w:tab/>
        </w:r>
        <w:r w:rsidR="008B79C6">
          <w:rPr>
            <w:noProof/>
            <w:webHidden/>
          </w:rPr>
          <w:fldChar w:fldCharType="begin"/>
        </w:r>
        <w:r w:rsidR="008B79C6">
          <w:rPr>
            <w:noProof/>
            <w:webHidden/>
          </w:rPr>
          <w:instrText xml:space="preserve"> PAGEREF _Toc459366170 \h </w:instrText>
        </w:r>
        <w:r w:rsidR="008B79C6">
          <w:rPr>
            <w:noProof/>
            <w:webHidden/>
          </w:rPr>
        </w:r>
        <w:r w:rsidR="008B79C6">
          <w:rPr>
            <w:noProof/>
            <w:webHidden/>
          </w:rPr>
          <w:fldChar w:fldCharType="separate"/>
        </w:r>
        <w:r>
          <w:rPr>
            <w:noProof/>
            <w:webHidden/>
          </w:rPr>
          <w:t>30</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1" w:history="1">
        <w:r w:rsidR="008B79C6" w:rsidRPr="0087735E">
          <w:rPr>
            <w:rStyle w:val="Hyperlink"/>
            <w:noProof/>
          </w:rPr>
          <w:t>Anaphylactic or anaphylactoid reaction</w:t>
        </w:r>
        <w:r w:rsidR="008B79C6">
          <w:rPr>
            <w:noProof/>
            <w:webHidden/>
          </w:rPr>
          <w:tab/>
        </w:r>
        <w:r w:rsidR="008B79C6">
          <w:rPr>
            <w:noProof/>
            <w:webHidden/>
          </w:rPr>
          <w:fldChar w:fldCharType="begin"/>
        </w:r>
        <w:r w:rsidR="008B79C6">
          <w:rPr>
            <w:noProof/>
            <w:webHidden/>
          </w:rPr>
          <w:instrText xml:space="preserve"> PAGEREF _Toc459366171 \h </w:instrText>
        </w:r>
        <w:r w:rsidR="008B79C6">
          <w:rPr>
            <w:noProof/>
            <w:webHidden/>
          </w:rPr>
        </w:r>
        <w:r w:rsidR="008B79C6">
          <w:rPr>
            <w:noProof/>
            <w:webHidden/>
          </w:rPr>
          <w:fldChar w:fldCharType="separate"/>
        </w:r>
        <w:r>
          <w:rPr>
            <w:noProof/>
            <w:webHidden/>
          </w:rPr>
          <w:t>32</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2" w:history="1">
        <w:r w:rsidR="008B79C6" w:rsidRPr="0087735E">
          <w:rPr>
            <w:rStyle w:val="Hyperlink"/>
            <w:noProof/>
          </w:rPr>
          <w:t>Delayed haemolytic transfusion reaction (DHTR)</w:t>
        </w:r>
        <w:r w:rsidR="008B79C6">
          <w:rPr>
            <w:noProof/>
            <w:webHidden/>
          </w:rPr>
          <w:tab/>
        </w:r>
        <w:r w:rsidR="008B79C6">
          <w:rPr>
            <w:noProof/>
            <w:webHidden/>
          </w:rPr>
          <w:fldChar w:fldCharType="begin"/>
        </w:r>
        <w:r w:rsidR="008B79C6">
          <w:rPr>
            <w:noProof/>
            <w:webHidden/>
          </w:rPr>
          <w:instrText xml:space="preserve"> PAGEREF _Toc459366172 \h </w:instrText>
        </w:r>
        <w:r w:rsidR="008B79C6">
          <w:rPr>
            <w:noProof/>
            <w:webHidden/>
          </w:rPr>
        </w:r>
        <w:r w:rsidR="008B79C6">
          <w:rPr>
            <w:noProof/>
            <w:webHidden/>
          </w:rPr>
          <w:fldChar w:fldCharType="separate"/>
        </w:r>
        <w:r>
          <w:rPr>
            <w:noProof/>
            <w:webHidden/>
          </w:rPr>
          <w:t>33</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3" w:history="1">
        <w:r w:rsidR="008B79C6" w:rsidRPr="0087735E">
          <w:rPr>
            <w:rStyle w:val="Hyperlink"/>
            <w:noProof/>
          </w:rPr>
          <w:t>Acute haemolytic transfusion reaction (other than ABO incompatibility) (AHTR)</w:t>
        </w:r>
        <w:r w:rsidR="008B79C6">
          <w:rPr>
            <w:noProof/>
            <w:webHidden/>
          </w:rPr>
          <w:tab/>
        </w:r>
        <w:r w:rsidR="008B79C6">
          <w:rPr>
            <w:noProof/>
            <w:webHidden/>
          </w:rPr>
          <w:fldChar w:fldCharType="begin"/>
        </w:r>
        <w:r w:rsidR="008B79C6">
          <w:rPr>
            <w:noProof/>
            <w:webHidden/>
          </w:rPr>
          <w:instrText xml:space="preserve"> PAGEREF _Toc459366173 \h </w:instrText>
        </w:r>
        <w:r w:rsidR="008B79C6">
          <w:rPr>
            <w:noProof/>
            <w:webHidden/>
          </w:rPr>
        </w:r>
        <w:r w:rsidR="008B79C6">
          <w:rPr>
            <w:noProof/>
            <w:webHidden/>
          </w:rPr>
          <w:fldChar w:fldCharType="separate"/>
        </w:r>
        <w:r>
          <w:rPr>
            <w:noProof/>
            <w:webHidden/>
          </w:rPr>
          <w:t>34</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4" w:history="1">
        <w:r w:rsidR="008B79C6" w:rsidRPr="0087735E">
          <w:rPr>
            <w:rStyle w:val="Hyperlink"/>
            <w:noProof/>
          </w:rPr>
          <w:t>Post transfusion purpura (PTP)</w:t>
        </w:r>
        <w:r w:rsidR="008B79C6">
          <w:rPr>
            <w:noProof/>
            <w:webHidden/>
          </w:rPr>
          <w:tab/>
        </w:r>
        <w:r w:rsidR="008B79C6">
          <w:rPr>
            <w:noProof/>
            <w:webHidden/>
          </w:rPr>
          <w:fldChar w:fldCharType="begin"/>
        </w:r>
        <w:r w:rsidR="008B79C6">
          <w:rPr>
            <w:noProof/>
            <w:webHidden/>
          </w:rPr>
          <w:instrText xml:space="preserve"> PAGEREF _Toc459366174 \h </w:instrText>
        </w:r>
        <w:r w:rsidR="008B79C6">
          <w:rPr>
            <w:noProof/>
            <w:webHidden/>
          </w:rPr>
        </w:r>
        <w:r w:rsidR="008B79C6">
          <w:rPr>
            <w:noProof/>
            <w:webHidden/>
          </w:rPr>
          <w:fldChar w:fldCharType="separate"/>
        </w:r>
        <w:r>
          <w:rPr>
            <w:noProof/>
            <w:webHidden/>
          </w:rPr>
          <w:t>35</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5" w:history="1">
        <w:r w:rsidR="008B79C6" w:rsidRPr="0087735E">
          <w:rPr>
            <w:rStyle w:val="Hyperlink"/>
            <w:noProof/>
          </w:rPr>
          <w:t>Transfusion</w:t>
        </w:r>
        <w:r w:rsidR="008B79C6" w:rsidRPr="0087735E">
          <w:rPr>
            <w:rStyle w:val="Hyperlink"/>
            <w:noProof/>
          </w:rPr>
          <w:noBreakHyphen/>
          <w:t>related acute lung injury (TRALI)</w:t>
        </w:r>
        <w:r w:rsidR="008B79C6">
          <w:rPr>
            <w:noProof/>
            <w:webHidden/>
          </w:rPr>
          <w:tab/>
        </w:r>
        <w:r w:rsidR="008B79C6">
          <w:rPr>
            <w:noProof/>
            <w:webHidden/>
          </w:rPr>
          <w:fldChar w:fldCharType="begin"/>
        </w:r>
        <w:r w:rsidR="008B79C6">
          <w:rPr>
            <w:noProof/>
            <w:webHidden/>
          </w:rPr>
          <w:instrText xml:space="preserve"> PAGEREF _Toc459366175 \h </w:instrText>
        </w:r>
        <w:r w:rsidR="008B79C6">
          <w:rPr>
            <w:noProof/>
            <w:webHidden/>
          </w:rPr>
        </w:r>
        <w:r w:rsidR="008B79C6">
          <w:rPr>
            <w:noProof/>
            <w:webHidden/>
          </w:rPr>
          <w:fldChar w:fldCharType="separate"/>
        </w:r>
        <w:r>
          <w:rPr>
            <w:noProof/>
            <w:webHidden/>
          </w:rPr>
          <w:t>36</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6" w:history="1">
        <w:r w:rsidR="008B79C6" w:rsidRPr="0087735E">
          <w:rPr>
            <w:rStyle w:val="Hyperlink"/>
            <w:noProof/>
          </w:rPr>
          <w:t>Contributory factors</w:t>
        </w:r>
        <w:r w:rsidR="008B79C6">
          <w:rPr>
            <w:noProof/>
            <w:webHidden/>
          </w:rPr>
          <w:tab/>
        </w:r>
        <w:r w:rsidR="008B79C6">
          <w:rPr>
            <w:noProof/>
            <w:webHidden/>
          </w:rPr>
          <w:fldChar w:fldCharType="begin"/>
        </w:r>
        <w:r w:rsidR="008B79C6">
          <w:rPr>
            <w:noProof/>
            <w:webHidden/>
          </w:rPr>
          <w:instrText xml:space="preserve"> PAGEREF _Toc459366176 \h </w:instrText>
        </w:r>
        <w:r w:rsidR="008B79C6">
          <w:rPr>
            <w:noProof/>
            <w:webHidden/>
          </w:rPr>
        </w:r>
        <w:r w:rsidR="008B79C6">
          <w:rPr>
            <w:noProof/>
            <w:webHidden/>
          </w:rPr>
          <w:fldChar w:fldCharType="separate"/>
        </w:r>
        <w:r>
          <w:rPr>
            <w:noProof/>
            <w:webHidden/>
          </w:rPr>
          <w:t>37</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77" w:history="1">
        <w:r w:rsidR="008B79C6" w:rsidRPr="0087735E">
          <w:rPr>
            <w:rStyle w:val="Hyperlink"/>
            <w:noProof/>
          </w:rPr>
          <w:t>PART 03 DONOR VIGILANCE DATA 2013–14</w:t>
        </w:r>
        <w:r w:rsidR="008B79C6">
          <w:rPr>
            <w:noProof/>
            <w:webHidden/>
          </w:rPr>
          <w:tab/>
        </w:r>
        <w:r w:rsidR="008B79C6">
          <w:rPr>
            <w:noProof/>
            <w:webHidden/>
          </w:rPr>
          <w:fldChar w:fldCharType="begin"/>
        </w:r>
        <w:r w:rsidR="008B79C6">
          <w:rPr>
            <w:noProof/>
            <w:webHidden/>
          </w:rPr>
          <w:instrText xml:space="preserve"> PAGEREF _Toc459366177 \h </w:instrText>
        </w:r>
        <w:r w:rsidR="008B79C6">
          <w:rPr>
            <w:noProof/>
            <w:webHidden/>
          </w:rPr>
        </w:r>
        <w:r w:rsidR="008B79C6">
          <w:rPr>
            <w:noProof/>
            <w:webHidden/>
          </w:rPr>
          <w:fldChar w:fldCharType="separate"/>
        </w:r>
        <w:r>
          <w:rPr>
            <w:noProof/>
            <w:webHidden/>
          </w:rPr>
          <w:t>40</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8" w:history="1">
        <w:r w:rsidR="008B79C6" w:rsidRPr="0087735E">
          <w:rPr>
            <w:rStyle w:val="Hyperlink"/>
            <w:noProof/>
          </w:rPr>
          <w:t>Executive summary</w:t>
        </w:r>
        <w:r w:rsidR="008B79C6">
          <w:rPr>
            <w:noProof/>
            <w:webHidden/>
          </w:rPr>
          <w:tab/>
        </w:r>
        <w:r w:rsidR="008B79C6">
          <w:rPr>
            <w:noProof/>
            <w:webHidden/>
          </w:rPr>
          <w:fldChar w:fldCharType="begin"/>
        </w:r>
        <w:r w:rsidR="008B79C6">
          <w:rPr>
            <w:noProof/>
            <w:webHidden/>
          </w:rPr>
          <w:instrText xml:space="preserve"> PAGEREF _Toc459366178 \h </w:instrText>
        </w:r>
        <w:r w:rsidR="008B79C6">
          <w:rPr>
            <w:noProof/>
            <w:webHidden/>
          </w:rPr>
        </w:r>
        <w:r w:rsidR="008B79C6">
          <w:rPr>
            <w:noProof/>
            <w:webHidden/>
          </w:rPr>
          <w:fldChar w:fldCharType="separate"/>
        </w:r>
        <w:r>
          <w:rPr>
            <w:noProof/>
            <w:webHidden/>
          </w:rPr>
          <w:t>40</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79" w:history="1">
        <w:r w:rsidR="008B79C6" w:rsidRPr="0087735E">
          <w:rPr>
            <w:rStyle w:val="Hyperlink"/>
            <w:noProof/>
          </w:rPr>
          <w:t>Donation adverse event trends</w:t>
        </w:r>
        <w:r w:rsidR="008B79C6">
          <w:rPr>
            <w:noProof/>
            <w:webHidden/>
          </w:rPr>
          <w:tab/>
        </w:r>
        <w:r w:rsidR="008B79C6">
          <w:rPr>
            <w:noProof/>
            <w:webHidden/>
          </w:rPr>
          <w:fldChar w:fldCharType="begin"/>
        </w:r>
        <w:r w:rsidR="008B79C6">
          <w:rPr>
            <w:noProof/>
            <w:webHidden/>
          </w:rPr>
          <w:instrText xml:space="preserve"> PAGEREF _Toc459366179 \h </w:instrText>
        </w:r>
        <w:r w:rsidR="008B79C6">
          <w:rPr>
            <w:noProof/>
            <w:webHidden/>
          </w:rPr>
        </w:r>
        <w:r w:rsidR="008B79C6">
          <w:rPr>
            <w:noProof/>
            <w:webHidden/>
          </w:rPr>
          <w:fldChar w:fldCharType="separate"/>
        </w:r>
        <w:r>
          <w:rPr>
            <w:noProof/>
            <w:webHidden/>
          </w:rPr>
          <w:t>40</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80" w:history="1">
        <w:r w:rsidR="008B79C6" w:rsidRPr="0087735E">
          <w:rPr>
            <w:rStyle w:val="Hyperlink"/>
            <w:noProof/>
          </w:rPr>
          <w:t>PART 04 SCORECARD – PERFORMANCE TO DATE</w:t>
        </w:r>
        <w:r w:rsidR="008B79C6">
          <w:rPr>
            <w:noProof/>
            <w:webHidden/>
          </w:rPr>
          <w:tab/>
        </w:r>
        <w:r w:rsidR="008B79C6">
          <w:rPr>
            <w:noProof/>
            <w:webHidden/>
          </w:rPr>
          <w:fldChar w:fldCharType="begin"/>
        </w:r>
        <w:r w:rsidR="008B79C6">
          <w:rPr>
            <w:noProof/>
            <w:webHidden/>
          </w:rPr>
          <w:instrText xml:space="preserve"> PAGEREF _Toc459366180 \h </w:instrText>
        </w:r>
        <w:r w:rsidR="008B79C6">
          <w:rPr>
            <w:noProof/>
            <w:webHidden/>
          </w:rPr>
        </w:r>
        <w:r w:rsidR="008B79C6">
          <w:rPr>
            <w:noProof/>
            <w:webHidden/>
          </w:rPr>
          <w:fldChar w:fldCharType="separate"/>
        </w:r>
        <w:r>
          <w:rPr>
            <w:noProof/>
            <w:webHidden/>
          </w:rPr>
          <w:t>48</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1" w:history="1">
        <w:r w:rsidR="008B79C6" w:rsidRPr="0087735E">
          <w:rPr>
            <w:rStyle w:val="Hyperlink"/>
            <w:noProof/>
            <w:lang w:eastAsia="en-AU"/>
          </w:rPr>
          <w:t>National blood quality and safety initiatives</w:t>
        </w:r>
        <w:r w:rsidR="008B79C6">
          <w:rPr>
            <w:noProof/>
            <w:webHidden/>
          </w:rPr>
          <w:tab/>
        </w:r>
        <w:r w:rsidR="008B79C6">
          <w:rPr>
            <w:noProof/>
            <w:webHidden/>
          </w:rPr>
          <w:fldChar w:fldCharType="begin"/>
        </w:r>
        <w:r w:rsidR="008B79C6">
          <w:rPr>
            <w:noProof/>
            <w:webHidden/>
          </w:rPr>
          <w:instrText xml:space="preserve"> PAGEREF _Toc459366181 \h </w:instrText>
        </w:r>
        <w:r w:rsidR="008B79C6">
          <w:rPr>
            <w:noProof/>
            <w:webHidden/>
          </w:rPr>
        </w:r>
        <w:r w:rsidR="008B79C6">
          <w:rPr>
            <w:noProof/>
            <w:webHidden/>
          </w:rPr>
          <w:fldChar w:fldCharType="separate"/>
        </w:r>
        <w:r>
          <w:rPr>
            <w:noProof/>
            <w:webHidden/>
          </w:rPr>
          <w:t>48</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2" w:history="1">
        <w:r w:rsidR="008B79C6" w:rsidRPr="0087735E">
          <w:rPr>
            <w:rStyle w:val="Hyperlink"/>
            <w:noProof/>
            <w:lang w:eastAsia="en-AU"/>
          </w:rPr>
          <w:t>Reducing human errors</w:t>
        </w:r>
        <w:r w:rsidR="008B79C6">
          <w:rPr>
            <w:noProof/>
            <w:webHidden/>
          </w:rPr>
          <w:tab/>
        </w:r>
        <w:r w:rsidR="008B79C6">
          <w:rPr>
            <w:noProof/>
            <w:webHidden/>
          </w:rPr>
          <w:fldChar w:fldCharType="begin"/>
        </w:r>
        <w:r w:rsidR="008B79C6">
          <w:rPr>
            <w:noProof/>
            <w:webHidden/>
          </w:rPr>
          <w:instrText xml:space="preserve"> PAGEREF _Toc459366182 \h </w:instrText>
        </w:r>
        <w:r w:rsidR="008B79C6">
          <w:rPr>
            <w:noProof/>
            <w:webHidden/>
          </w:rPr>
        </w:r>
        <w:r w:rsidR="008B79C6">
          <w:rPr>
            <w:noProof/>
            <w:webHidden/>
          </w:rPr>
          <w:fldChar w:fldCharType="separate"/>
        </w:r>
        <w:r>
          <w:rPr>
            <w:noProof/>
            <w:webHidden/>
          </w:rPr>
          <w:t>49</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3" w:history="1">
        <w:r w:rsidR="008B79C6" w:rsidRPr="0087735E">
          <w:rPr>
            <w:rStyle w:val="Hyperlink"/>
            <w:noProof/>
            <w:lang w:eastAsia="en-AU"/>
          </w:rPr>
          <w:t>Data standards</w:t>
        </w:r>
        <w:r w:rsidR="008B79C6">
          <w:rPr>
            <w:noProof/>
            <w:webHidden/>
          </w:rPr>
          <w:tab/>
        </w:r>
        <w:r w:rsidR="008B79C6">
          <w:rPr>
            <w:noProof/>
            <w:webHidden/>
          </w:rPr>
          <w:fldChar w:fldCharType="begin"/>
        </w:r>
        <w:r w:rsidR="008B79C6">
          <w:rPr>
            <w:noProof/>
            <w:webHidden/>
          </w:rPr>
          <w:instrText xml:space="preserve"> PAGEREF _Toc459366183 \h </w:instrText>
        </w:r>
        <w:r w:rsidR="008B79C6">
          <w:rPr>
            <w:noProof/>
            <w:webHidden/>
          </w:rPr>
        </w:r>
        <w:r w:rsidR="008B79C6">
          <w:rPr>
            <w:noProof/>
            <w:webHidden/>
          </w:rPr>
          <w:fldChar w:fldCharType="separate"/>
        </w:r>
        <w:r>
          <w:rPr>
            <w:noProof/>
            <w:webHidden/>
          </w:rPr>
          <w:t>50</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4" w:history="1">
        <w:r w:rsidR="008B79C6" w:rsidRPr="0087735E">
          <w:rPr>
            <w:rStyle w:val="Hyperlink"/>
            <w:noProof/>
            <w:lang w:eastAsia="en-AU"/>
          </w:rPr>
          <w:t>Reporting capacity</w:t>
        </w:r>
        <w:r w:rsidR="008B79C6">
          <w:rPr>
            <w:noProof/>
            <w:webHidden/>
          </w:rPr>
          <w:tab/>
        </w:r>
        <w:r w:rsidR="008B79C6">
          <w:rPr>
            <w:noProof/>
            <w:webHidden/>
          </w:rPr>
          <w:fldChar w:fldCharType="begin"/>
        </w:r>
        <w:r w:rsidR="008B79C6">
          <w:rPr>
            <w:noProof/>
            <w:webHidden/>
          </w:rPr>
          <w:instrText xml:space="preserve"> PAGEREF _Toc459366184 \h </w:instrText>
        </w:r>
        <w:r w:rsidR="008B79C6">
          <w:rPr>
            <w:noProof/>
            <w:webHidden/>
          </w:rPr>
        </w:r>
        <w:r w:rsidR="008B79C6">
          <w:rPr>
            <w:noProof/>
            <w:webHidden/>
          </w:rPr>
          <w:fldChar w:fldCharType="separate"/>
        </w:r>
        <w:r>
          <w:rPr>
            <w:noProof/>
            <w:webHidden/>
          </w:rPr>
          <w:t>51</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85" w:history="1">
        <w:r w:rsidR="008B79C6" w:rsidRPr="0087735E">
          <w:rPr>
            <w:rStyle w:val="Hyperlink"/>
            <w:noProof/>
            <w:lang w:eastAsia="en-AU"/>
          </w:rPr>
          <w:t>PART 05 RECOMMENDATIONS</w:t>
        </w:r>
        <w:r w:rsidR="008B79C6">
          <w:rPr>
            <w:noProof/>
            <w:webHidden/>
          </w:rPr>
          <w:tab/>
        </w:r>
        <w:r w:rsidR="008B79C6">
          <w:rPr>
            <w:noProof/>
            <w:webHidden/>
          </w:rPr>
          <w:fldChar w:fldCharType="begin"/>
        </w:r>
        <w:r w:rsidR="008B79C6">
          <w:rPr>
            <w:noProof/>
            <w:webHidden/>
          </w:rPr>
          <w:instrText xml:space="preserve"> PAGEREF _Toc459366185 \h </w:instrText>
        </w:r>
        <w:r w:rsidR="008B79C6">
          <w:rPr>
            <w:noProof/>
            <w:webHidden/>
          </w:rPr>
        </w:r>
        <w:r w:rsidR="008B79C6">
          <w:rPr>
            <w:noProof/>
            <w:webHidden/>
          </w:rPr>
          <w:fldChar w:fldCharType="separate"/>
        </w:r>
        <w:r>
          <w:rPr>
            <w:noProof/>
            <w:webHidden/>
          </w:rPr>
          <w:t>52</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6" w:history="1">
        <w:r w:rsidR="008B79C6" w:rsidRPr="0087735E">
          <w:rPr>
            <w:rStyle w:val="Hyperlink"/>
            <w:noProof/>
          </w:rPr>
          <w:t>National blood quality and safety initiatives</w:t>
        </w:r>
        <w:r w:rsidR="008B79C6">
          <w:rPr>
            <w:noProof/>
            <w:webHidden/>
          </w:rPr>
          <w:tab/>
        </w:r>
        <w:r w:rsidR="008B79C6">
          <w:rPr>
            <w:noProof/>
            <w:webHidden/>
          </w:rPr>
          <w:fldChar w:fldCharType="begin"/>
        </w:r>
        <w:r w:rsidR="008B79C6">
          <w:rPr>
            <w:noProof/>
            <w:webHidden/>
          </w:rPr>
          <w:instrText xml:space="preserve"> PAGEREF _Toc459366186 \h </w:instrText>
        </w:r>
        <w:r w:rsidR="008B79C6">
          <w:rPr>
            <w:noProof/>
            <w:webHidden/>
          </w:rPr>
        </w:r>
        <w:r w:rsidR="008B79C6">
          <w:rPr>
            <w:noProof/>
            <w:webHidden/>
          </w:rPr>
          <w:fldChar w:fldCharType="separate"/>
        </w:r>
        <w:r>
          <w:rPr>
            <w:noProof/>
            <w:webHidden/>
          </w:rPr>
          <w:t>53</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7" w:history="1">
        <w:r w:rsidR="008B79C6" w:rsidRPr="0087735E">
          <w:rPr>
            <w:rStyle w:val="Hyperlink"/>
            <w:noProof/>
          </w:rPr>
          <w:t>Reducing human errors</w:t>
        </w:r>
        <w:r w:rsidR="008B79C6">
          <w:rPr>
            <w:noProof/>
            <w:webHidden/>
          </w:rPr>
          <w:tab/>
        </w:r>
        <w:r w:rsidR="008B79C6">
          <w:rPr>
            <w:noProof/>
            <w:webHidden/>
          </w:rPr>
          <w:fldChar w:fldCharType="begin"/>
        </w:r>
        <w:r w:rsidR="008B79C6">
          <w:rPr>
            <w:noProof/>
            <w:webHidden/>
          </w:rPr>
          <w:instrText xml:space="preserve"> PAGEREF _Toc459366187 \h </w:instrText>
        </w:r>
        <w:r w:rsidR="008B79C6">
          <w:rPr>
            <w:noProof/>
            <w:webHidden/>
          </w:rPr>
        </w:r>
        <w:r w:rsidR="008B79C6">
          <w:rPr>
            <w:noProof/>
            <w:webHidden/>
          </w:rPr>
          <w:fldChar w:fldCharType="separate"/>
        </w:r>
        <w:r>
          <w:rPr>
            <w:noProof/>
            <w:webHidden/>
          </w:rPr>
          <w:t>54</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8" w:history="1">
        <w:r w:rsidR="008B79C6" w:rsidRPr="0087735E">
          <w:rPr>
            <w:rStyle w:val="Hyperlink"/>
            <w:noProof/>
          </w:rPr>
          <w:t>Data standards</w:t>
        </w:r>
        <w:r w:rsidR="008B79C6">
          <w:rPr>
            <w:noProof/>
            <w:webHidden/>
          </w:rPr>
          <w:tab/>
        </w:r>
        <w:r w:rsidR="008B79C6">
          <w:rPr>
            <w:noProof/>
            <w:webHidden/>
          </w:rPr>
          <w:fldChar w:fldCharType="begin"/>
        </w:r>
        <w:r w:rsidR="008B79C6">
          <w:rPr>
            <w:noProof/>
            <w:webHidden/>
          </w:rPr>
          <w:instrText xml:space="preserve"> PAGEREF _Toc459366188 \h </w:instrText>
        </w:r>
        <w:r w:rsidR="008B79C6">
          <w:rPr>
            <w:noProof/>
            <w:webHidden/>
          </w:rPr>
        </w:r>
        <w:r w:rsidR="008B79C6">
          <w:rPr>
            <w:noProof/>
            <w:webHidden/>
          </w:rPr>
          <w:fldChar w:fldCharType="separate"/>
        </w:r>
        <w:r>
          <w:rPr>
            <w:noProof/>
            <w:webHidden/>
          </w:rPr>
          <w:t>55</w:t>
        </w:r>
        <w:r w:rsidR="008B79C6">
          <w:rPr>
            <w:noProof/>
            <w:webHidden/>
          </w:rPr>
          <w:fldChar w:fldCharType="end"/>
        </w:r>
      </w:hyperlink>
    </w:p>
    <w:p w:rsidR="008B79C6" w:rsidRDefault="000010BC">
      <w:pPr>
        <w:pStyle w:val="TOC2"/>
        <w:rPr>
          <w:rFonts w:asciiTheme="minorHAnsi" w:eastAsiaTheme="minorEastAsia" w:hAnsiTheme="minorHAnsi" w:cstheme="minorBidi"/>
          <w:noProof/>
          <w:lang w:eastAsia="en-AU"/>
        </w:rPr>
      </w:pPr>
      <w:hyperlink w:anchor="_Toc459366189" w:history="1">
        <w:r w:rsidR="008B79C6" w:rsidRPr="0087735E">
          <w:rPr>
            <w:rStyle w:val="Hyperlink"/>
            <w:noProof/>
            <w:lang w:eastAsia="en-AU"/>
          </w:rPr>
          <w:t>Reporting capacity</w:t>
        </w:r>
        <w:r w:rsidR="008B79C6">
          <w:rPr>
            <w:noProof/>
            <w:webHidden/>
          </w:rPr>
          <w:tab/>
        </w:r>
        <w:r w:rsidR="008B79C6">
          <w:rPr>
            <w:noProof/>
            <w:webHidden/>
          </w:rPr>
          <w:fldChar w:fldCharType="begin"/>
        </w:r>
        <w:r w:rsidR="008B79C6">
          <w:rPr>
            <w:noProof/>
            <w:webHidden/>
          </w:rPr>
          <w:instrText xml:space="preserve"> PAGEREF _Toc459366189 \h </w:instrText>
        </w:r>
        <w:r w:rsidR="008B79C6">
          <w:rPr>
            <w:noProof/>
            <w:webHidden/>
          </w:rPr>
        </w:r>
        <w:r w:rsidR="008B79C6">
          <w:rPr>
            <w:noProof/>
            <w:webHidden/>
          </w:rPr>
          <w:fldChar w:fldCharType="separate"/>
        </w:r>
        <w:r>
          <w:rPr>
            <w:noProof/>
            <w:webHidden/>
          </w:rPr>
          <w:t>56</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90" w:history="1">
        <w:r w:rsidR="008B79C6" w:rsidRPr="0087735E">
          <w:rPr>
            <w:rStyle w:val="Hyperlink"/>
            <w:noProof/>
            <w:lang w:eastAsia="en-AU"/>
          </w:rPr>
          <w:t>ABBREVIATIONS AND ACRONYMS</w:t>
        </w:r>
        <w:r w:rsidR="008B79C6">
          <w:rPr>
            <w:noProof/>
            <w:webHidden/>
          </w:rPr>
          <w:tab/>
        </w:r>
        <w:r w:rsidR="008B79C6">
          <w:rPr>
            <w:noProof/>
            <w:webHidden/>
          </w:rPr>
          <w:fldChar w:fldCharType="begin"/>
        </w:r>
        <w:r w:rsidR="008B79C6">
          <w:rPr>
            <w:noProof/>
            <w:webHidden/>
          </w:rPr>
          <w:instrText xml:space="preserve"> PAGEREF _Toc459366190 \h </w:instrText>
        </w:r>
        <w:r w:rsidR="008B79C6">
          <w:rPr>
            <w:noProof/>
            <w:webHidden/>
          </w:rPr>
        </w:r>
        <w:r w:rsidR="008B79C6">
          <w:rPr>
            <w:noProof/>
            <w:webHidden/>
          </w:rPr>
          <w:fldChar w:fldCharType="separate"/>
        </w:r>
        <w:r>
          <w:rPr>
            <w:noProof/>
            <w:webHidden/>
          </w:rPr>
          <w:t>58</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91" w:history="1">
        <w:r w:rsidR="008B79C6" w:rsidRPr="0087735E">
          <w:rPr>
            <w:rStyle w:val="Hyperlink"/>
            <w:noProof/>
            <w:lang w:eastAsia="en-AU"/>
          </w:rPr>
          <w:t>ACKNOWLEDGEMENTS</w:t>
        </w:r>
        <w:r w:rsidR="008B79C6">
          <w:rPr>
            <w:noProof/>
            <w:webHidden/>
          </w:rPr>
          <w:tab/>
        </w:r>
        <w:r w:rsidR="008B79C6">
          <w:rPr>
            <w:noProof/>
            <w:webHidden/>
          </w:rPr>
          <w:fldChar w:fldCharType="begin"/>
        </w:r>
        <w:r w:rsidR="008B79C6">
          <w:rPr>
            <w:noProof/>
            <w:webHidden/>
          </w:rPr>
          <w:instrText xml:space="preserve"> PAGEREF _Toc459366191 \h </w:instrText>
        </w:r>
        <w:r w:rsidR="008B79C6">
          <w:rPr>
            <w:noProof/>
            <w:webHidden/>
          </w:rPr>
        </w:r>
        <w:r w:rsidR="008B79C6">
          <w:rPr>
            <w:noProof/>
            <w:webHidden/>
          </w:rPr>
          <w:fldChar w:fldCharType="separate"/>
        </w:r>
        <w:r>
          <w:rPr>
            <w:noProof/>
            <w:webHidden/>
          </w:rPr>
          <w:t>59</w:t>
        </w:r>
        <w:r w:rsidR="008B79C6">
          <w:rPr>
            <w:noProof/>
            <w:webHidden/>
          </w:rPr>
          <w:fldChar w:fldCharType="end"/>
        </w:r>
      </w:hyperlink>
    </w:p>
    <w:p w:rsidR="008B79C6" w:rsidRDefault="000010BC">
      <w:pPr>
        <w:pStyle w:val="TOC1"/>
        <w:tabs>
          <w:tab w:val="right" w:leader="dot" w:pos="9628"/>
        </w:tabs>
        <w:rPr>
          <w:rFonts w:asciiTheme="minorHAnsi" w:eastAsiaTheme="minorEastAsia" w:hAnsiTheme="minorHAnsi" w:cstheme="minorBidi"/>
          <w:noProof/>
          <w:lang w:eastAsia="en-AU"/>
        </w:rPr>
      </w:pPr>
      <w:hyperlink w:anchor="_Toc459366192" w:history="1">
        <w:r w:rsidR="008B79C6" w:rsidRPr="0087735E">
          <w:rPr>
            <w:rStyle w:val="Hyperlink"/>
            <w:noProof/>
          </w:rPr>
          <w:t>REFERENCES</w:t>
        </w:r>
        <w:r w:rsidR="008B79C6">
          <w:rPr>
            <w:noProof/>
            <w:webHidden/>
          </w:rPr>
          <w:tab/>
        </w:r>
        <w:r w:rsidR="008B79C6">
          <w:rPr>
            <w:noProof/>
            <w:webHidden/>
          </w:rPr>
          <w:fldChar w:fldCharType="begin"/>
        </w:r>
        <w:r w:rsidR="008B79C6">
          <w:rPr>
            <w:noProof/>
            <w:webHidden/>
          </w:rPr>
          <w:instrText xml:space="preserve"> PAGEREF _Toc459366192 \h </w:instrText>
        </w:r>
        <w:r w:rsidR="008B79C6">
          <w:rPr>
            <w:noProof/>
            <w:webHidden/>
          </w:rPr>
        </w:r>
        <w:r w:rsidR="008B79C6">
          <w:rPr>
            <w:noProof/>
            <w:webHidden/>
          </w:rPr>
          <w:fldChar w:fldCharType="separate"/>
        </w:r>
        <w:r>
          <w:rPr>
            <w:noProof/>
            <w:webHidden/>
          </w:rPr>
          <w:t>60</w:t>
        </w:r>
        <w:r w:rsidR="008B79C6">
          <w:rPr>
            <w:noProof/>
            <w:webHidden/>
          </w:rPr>
          <w:fldChar w:fldCharType="end"/>
        </w:r>
      </w:hyperlink>
    </w:p>
    <w:p w:rsidR="004C5C80" w:rsidRPr="004C5C80" w:rsidRDefault="004C5C80" w:rsidP="004C5C80">
      <w:pPr>
        <w:spacing w:line="276" w:lineRule="auto"/>
      </w:pPr>
      <w:r w:rsidRPr="004C5C80">
        <w:rPr>
          <w:rFonts w:asciiTheme="minorHAnsi" w:hAnsiTheme="minorHAnsi" w:cstheme="minorHAnsi"/>
        </w:rPr>
        <w:fldChar w:fldCharType="end"/>
      </w:r>
      <w:r w:rsidRPr="004C5C80">
        <w:br w:type="page"/>
      </w:r>
    </w:p>
    <w:p w:rsidR="004C5C80" w:rsidRPr="004C5C80" w:rsidRDefault="004C5C80" w:rsidP="00821618">
      <w:pPr>
        <w:pStyle w:val="Heading1"/>
        <w:spacing w:after="120" w:line="240" w:lineRule="auto"/>
      </w:pPr>
      <w:bookmarkStart w:id="5" w:name="_Toc434848713"/>
      <w:bookmarkStart w:id="6" w:name="_Toc452113099"/>
      <w:bookmarkStart w:id="7" w:name="_Toc459366147"/>
      <w:r w:rsidRPr="004C5C80">
        <w:lastRenderedPageBreak/>
        <w:t>FIGURES</w:t>
      </w:r>
      <w:bookmarkEnd w:id="5"/>
      <w:bookmarkEnd w:id="6"/>
      <w:bookmarkEnd w:id="7"/>
    </w:p>
    <w:p w:rsidR="008B79C6" w:rsidRDefault="004C5C80">
      <w:pPr>
        <w:pStyle w:val="TableofFigures"/>
        <w:tabs>
          <w:tab w:val="right" w:leader="dot" w:pos="9628"/>
        </w:tabs>
        <w:rPr>
          <w:rFonts w:asciiTheme="minorHAnsi" w:eastAsiaTheme="minorEastAsia" w:hAnsiTheme="minorHAnsi" w:cstheme="minorBidi"/>
          <w:noProof/>
          <w:lang w:eastAsia="en-AU"/>
        </w:rPr>
      </w:pPr>
      <w:r w:rsidRPr="004C5C80">
        <w:rPr>
          <w:rFonts w:asciiTheme="minorHAnsi" w:hAnsiTheme="minorHAnsi" w:cstheme="minorHAnsi"/>
        </w:rPr>
        <w:fldChar w:fldCharType="begin"/>
      </w:r>
      <w:r w:rsidRPr="004C5C80">
        <w:rPr>
          <w:rFonts w:asciiTheme="minorHAnsi" w:hAnsiTheme="minorHAnsi" w:cstheme="minorHAnsi"/>
        </w:rPr>
        <w:instrText xml:space="preserve"> TOC \h \z \c "Figure" </w:instrText>
      </w:r>
      <w:r w:rsidRPr="004C5C80">
        <w:rPr>
          <w:rFonts w:asciiTheme="minorHAnsi" w:hAnsiTheme="minorHAnsi" w:cstheme="minorHAnsi"/>
        </w:rPr>
        <w:fldChar w:fldCharType="separate"/>
      </w:r>
      <w:hyperlink w:anchor="_Toc459366193" w:history="1">
        <w:r w:rsidR="008B79C6" w:rsidRPr="00A81461">
          <w:rPr>
            <w:rStyle w:val="Hyperlink"/>
            <w:noProof/>
          </w:rPr>
          <w:t>Figure 1: Haemovigilance roles and responsibilities</w:t>
        </w:r>
        <w:r w:rsidR="008B79C6">
          <w:rPr>
            <w:noProof/>
            <w:webHidden/>
          </w:rPr>
          <w:tab/>
        </w:r>
        <w:r w:rsidR="008B79C6">
          <w:rPr>
            <w:noProof/>
            <w:webHidden/>
          </w:rPr>
          <w:fldChar w:fldCharType="begin"/>
        </w:r>
        <w:r w:rsidR="008B79C6">
          <w:rPr>
            <w:noProof/>
            <w:webHidden/>
          </w:rPr>
          <w:instrText xml:space="preserve"> PAGEREF _Toc459366193 \h </w:instrText>
        </w:r>
        <w:r w:rsidR="008B79C6">
          <w:rPr>
            <w:noProof/>
            <w:webHidden/>
          </w:rPr>
        </w:r>
        <w:r w:rsidR="008B79C6">
          <w:rPr>
            <w:noProof/>
            <w:webHidden/>
          </w:rPr>
          <w:fldChar w:fldCharType="separate"/>
        </w:r>
        <w:r w:rsidR="000010BC">
          <w:rPr>
            <w:noProof/>
            <w:webHidden/>
          </w:rPr>
          <w:t>12</w:t>
        </w:r>
        <w:r w:rsidR="008B79C6">
          <w:rPr>
            <w:noProof/>
            <w:webHidden/>
          </w:rPr>
          <w:fldChar w:fldCharType="end"/>
        </w:r>
      </w:hyperlink>
    </w:p>
    <w:p w:rsidR="008B79C6" w:rsidRDefault="000010BC">
      <w:pPr>
        <w:pStyle w:val="TableofFigures"/>
        <w:tabs>
          <w:tab w:val="right" w:leader="dot" w:pos="9628"/>
        </w:tabs>
        <w:rPr>
          <w:rFonts w:asciiTheme="minorHAnsi" w:eastAsiaTheme="minorEastAsia" w:hAnsiTheme="minorHAnsi" w:cstheme="minorBidi"/>
          <w:noProof/>
          <w:lang w:eastAsia="en-AU"/>
        </w:rPr>
      </w:pPr>
      <w:hyperlink w:anchor="_Toc459366194" w:history="1">
        <w:r w:rsidR="008B79C6" w:rsidRPr="00A81461">
          <w:rPr>
            <w:rStyle w:val="Hyperlink"/>
            <w:noProof/>
          </w:rPr>
          <w:t>Figure 2: Total donation-associated events and serious donation-related events 2008–09 to 2013–14</w:t>
        </w:r>
        <w:r w:rsidR="008B79C6">
          <w:rPr>
            <w:noProof/>
            <w:webHidden/>
          </w:rPr>
          <w:tab/>
        </w:r>
        <w:r w:rsidR="008B79C6">
          <w:rPr>
            <w:noProof/>
            <w:webHidden/>
          </w:rPr>
          <w:fldChar w:fldCharType="begin"/>
        </w:r>
        <w:r w:rsidR="008B79C6">
          <w:rPr>
            <w:noProof/>
            <w:webHidden/>
          </w:rPr>
          <w:instrText xml:space="preserve"> PAGEREF _Toc459366194 \h </w:instrText>
        </w:r>
        <w:r w:rsidR="008B79C6">
          <w:rPr>
            <w:noProof/>
            <w:webHidden/>
          </w:rPr>
        </w:r>
        <w:r w:rsidR="008B79C6">
          <w:rPr>
            <w:noProof/>
            <w:webHidden/>
          </w:rPr>
          <w:fldChar w:fldCharType="separate"/>
        </w:r>
        <w:r>
          <w:rPr>
            <w:noProof/>
            <w:webHidden/>
          </w:rPr>
          <w:t>42</w:t>
        </w:r>
        <w:r w:rsidR="008B79C6">
          <w:rPr>
            <w:noProof/>
            <w:webHidden/>
          </w:rPr>
          <w:fldChar w:fldCharType="end"/>
        </w:r>
      </w:hyperlink>
    </w:p>
    <w:p w:rsidR="000A35E5" w:rsidRDefault="004C5C80" w:rsidP="00821618">
      <w:pPr>
        <w:spacing w:after="0"/>
        <w:rPr>
          <w:lang w:eastAsia="en-AU"/>
        </w:rPr>
      </w:pPr>
      <w:r w:rsidRPr="004C5C80">
        <w:rPr>
          <w:rFonts w:asciiTheme="minorHAnsi" w:hAnsiTheme="minorHAnsi" w:cstheme="minorHAnsi"/>
        </w:rPr>
        <w:fldChar w:fldCharType="end"/>
      </w:r>
      <w:bookmarkStart w:id="8" w:name="_Toc403741576"/>
      <w:bookmarkStart w:id="9" w:name="_Toc263839993"/>
    </w:p>
    <w:p w:rsidR="004A2C9F" w:rsidRPr="004C5C80" w:rsidRDefault="004A2C9F" w:rsidP="00821618">
      <w:pPr>
        <w:pStyle w:val="Heading1"/>
        <w:spacing w:after="120" w:line="240" w:lineRule="auto"/>
      </w:pPr>
      <w:bookmarkStart w:id="10" w:name="_Toc452113100"/>
      <w:bookmarkStart w:id="11" w:name="_Toc459366148"/>
      <w:r w:rsidRPr="004C5C80">
        <w:t>TABLES</w:t>
      </w:r>
      <w:bookmarkEnd w:id="10"/>
      <w:bookmarkEnd w:id="11"/>
    </w:p>
    <w:p w:rsidR="009B3BE9" w:rsidRPr="001932B9" w:rsidRDefault="004A2C9F">
      <w:pPr>
        <w:pStyle w:val="TableofFigures"/>
        <w:tabs>
          <w:tab w:val="right" w:leader="dot" w:pos="9628"/>
        </w:tabs>
        <w:rPr>
          <w:rFonts w:asciiTheme="minorHAnsi" w:eastAsiaTheme="minorEastAsia" w:hAnsiTheme="minorHAnsi" w:cstheme="minorBidi"/>
          <w:noProof/>
          <w:lang w:eastAsia="en-AU"/>
        </w:rPr>
      </w:pPr>
      <w:r w:rsidRPr="004C5C80">
        <w:fldChar w:fldCharType="begin"/>
      </w:r>
      <w:r w:rsidRPr="004C5C80">
        <w:instrText xml:space="preserve"> TOC \h \z \c "Table" </w:instrText>
      </w:r>
      <w:r w:rsidRPr="004C5C80">
        <w:fldChar w:fldCharType="separate"/>
      </w:r>
      <w:hyperlink w:anchor="_Toc459636841" w:history="1">
        <w:r w:rsidR="009B3BE9" w:rsidRPr="001932B9">
          <w:rPr>
            <w:rStyle w:val="Hyperlink"/>
            <w:noProof/>
          </w:rPr>
          <w:t>Table 1: Haemovigilance actions completed in 2014-15</w:t>
        </w:r>
        <w:r w:rsidR="009B3BE9" w:rsidRPr="001932B9">
          <w:rPr>
            <w:noProof/>
            <w:webHidden/>
          </w:rPr>
          <w:tab/>
        </w:r>
        <w:r w:rsidR="009B3BE9" w:rsidRPr="001932B9">
          <w:rPr>
            <w:noProof/>
            <w:webHidden/>
          </w:rPr>
          <w:fldChar w:fldCharType="begin"/>
        </w:r>
        <w:r w:rsidR="009B3BE9" w:rsidRPr="001932B9">
          <w:rPr>
            <w:noProof/>
            <w:webHidden/>
          </w:rPr>
          <w:instrText xml:space="preserve"> PAGEREF _Toc459636841 \h </w:instrText>
        </w:r>
        <w:r w:rsidR="009B3BE9" w:rsidRPr="001932B9">
          <w:rPr>
            <w:noProof/>
            <w:webHidden/>
          </w:rPr>
        </w:r>
        <w:r w:rsidR="009B3BE9" w:rsidRPr="001932B9">
          <w:rPr>
            <w:noProof/>
            <w:webHidden/>
          </w:rPr>
          <w:fldChar w:fldCharType="separate"/>
        </w:r>
        <w:r w:rsidR="000010BC">
          <w:rPr>
            <w:noProof/>
            <w:webHidden/>
          </w:rPr>
          <w:t>13</w:t>
        </w:r>
        <w:r w:rsidR="009B3BE9" w:rsidRPr="001932B9">
          <w:rPr>
            <w:noProof/>
            <w:webHidden/>
          </w:rPr>
          <w:fldChar w:fldCharType="end"/>
        </w:r>
      </w:hyperlink>
    </w:p>
    <w:p w:rsidR="009B3BE9" w:rsidRPr="001932B9" w:rsidRDefault="000010BC">
      <w:pPr>
        <w:pStyle w:val="TableofFigures"/>
        <w:tabs>
          <w:tab w:val="right" w:leader="dot" w:pos="9628"/>
        </w:tabs>
        <w:rPr>
          <w:rFonts w:asciiTheme="minorHAnsi" w:eastAsiaTheme="minorEastAsia" w:hAnsiTheme="minorHAnsi" w:cstheme="minorBidi"/>
          <w:noProof/>
          <w:lang w:eastAsia="en-AU"/>
        </w:rPr>
      </w:pPr>
      <w:hyperlink w:anchor="_Toc459636842" w:history="1">
        <w:r w:rsidR="009B3BE9" w:rsidRPr="001932B9">
          <w:rPr>
            <w:rStyle w:val="Hyperlink"/>
            <w:noProof/>
          </w:rPr>
          <w:t xml:space="preserve">Table 2: </w:t>
        </w:r>
        <w:r w:rsidR="009B3BE9" w:rsidRPr="001932B9">
          <w:rPr>
            <w:rStyle w:val="Hyperlink"/>
            <w:noProof/>
            <w:lang w:eastAsia="en-AU"/>
          </w:rPr>
          <w:t>Adverse events by state, 2013–14</w:t>
        </w:r>
        <w:r w:rsidR="009B3BE9" w:rsidRPr="001932B9">
          <w:rPr>
            <w:noProof/>
            <w:webHidden/>
          </w:rPr>
          <w:tab/>
        </w:r>
        <w:r w:rsidR="009B3BE9" w:rsidRPr="001932B9">
          <w:rPr>
            <w:noProof/>
            <w:webHidden/>
          </w:rPr>
          <w:fldChar w:fldCharType="begin"/>
        </w:r>
        <w:r w:rsidR="009B3BE9" w:rsidRPr="001932B9">
          <w:rPr>
            <w:noProof/>
            <w:webHidden/>
          </w:rPr>
          <w:instrText xml:space="preserve"> PAGEREF _Toc459636842 \h </w:instrText>
        </w:r>
        <w:r w:rsidR="009B3BE9" w:rsidRPr="001932B9">
          <w:rPr>
            <w:noProof/>
            <w:webHidden/>
          </w:rPr>
        </w:r>
        <w:r w:rsidR="009B3BE9" w:rsidRPr="001932B9">
          <w:rPr>
            <w:noProof/>
            <w:webHidden/>
          </w:rPr>
          <w:fldChar w:fldCharType="separate"/>
        </w:r>
        <w:r>
          <w:rPr>
            <w:noProof/>
            <w:webHidden/>
          </w:rPr>
          <w:t>14</w:t>
        </w:r>
        <w:r w:rsidR="009B3BE9" w:rsidRPr="001932B9">
          <w:rPr>
            <w:noProof/>
            <w:webHidden/>
          </w:rPr>
          <w:fldChar w:fldCharType="end"/>
        </w:r>
      </w:hyperlink>
    </w:p>
    <w:p w:rsidR="009B3BE9" w:rsidRPr="001932B9" w:rsidRDefault="000010BC">
      <w:pPr>
        <w:pStyle w:val="TableofFigures"/>
        <w:tabs>
          <w:tab w:val="right" w:leader="dot" w:pos="9628"/>
        </w:tabs>
        <w:rPr>
          <w:rFonts w:asciiTheme="minorHAnsi" w:eastAsiaTheme="minorEastAsia" w:hAnsiTheme="minorHAnsi" w:cstheme="minorBidi"/>
          <w:noProof/>
          <w:lang w:eastAsia="en-AU"/>
        </w:rPr>
      </w:pPr>
      <w:hyperlink w:anchor="_Toc459636843" w:history="1">
        <w:r w:rsidR="009B3BE9" w:rsidRPr="001932B9">
          <w:rPr>
            <w:rStyle w:val="Hyperlink"/>
            <w:noProof/>
          </w:rPr>
          <w:t>Table 3: Adverse events by imputability score, 2013–14</w:t>
        </w:r>
        <w:r w:rsidR="009B3BE9" w:rsidRPr="001932B9">
          <w:rPr>
            <w:noProof/>
            <w:webHidden/>
          </w:rPr>
          <w:tab/>
        </w:r>
        <w:r w:rsidR="009B3BE9" w:rsidRPr="001932B9">
          <w:rPr>
            <w:noProof/>
            <w:webHidden/>
          </w:rPr>
          <w:fldChar w:fldCharType="begin"/>
        </w:r>
        <w:r w:rsidR="009B3BE9" w:rsidRPr="001932B9">
          <w:rPr>
            <w:noProof/>
            <w:webHidden/>
          </w:rPr>
          <w:instrText xml:space="preserve"> PAGEREF _Toc459636843 \h </w:instrText>
        </w:r>
        <w:r w:rsidR="009B3BE9" w:rsidRPr="001932B9">
          <w:rPr>
            <w:noProof/>
            <w:webHidden/>
          </w:rPr>
        </w:r>
        <w:r w:rsidR="009B3BE9" w:rsidRPr="001932B9">
          <w:rPr>
            <w:noProof/>
            <w:webHidden/>
          </w:rPr>
          <w:fldChar w:fldCharType="separate"/>
        </w:r>
        <w:r>
          <w:rPr>
            <w:noProof/>
            <w:webHidden/>
          </w:rPr>
          <w:t>15</w:t>
        </w:r>
        <w:r w:rsidR="009B3BE9" w:rsidRPr="001932B9">
          <w:rPr>
            <w:noProof/>
            <w:webHidden/>
          </w:rPr>
          <w:fldChar w:fldCharType="end"/>
        </w:r>
      </w:hyperlink>
    </w:p>
    <w:p w:rsidR="009B3BE9" w:rsidRPr="001932B9" w:rsidRDefault="000010BC">
      <w:pPr>
        <w:pStyle w:val="TableofFigures"/>
        <w:tabs>
          <w:tab w:val="right" w:leader="dot" w:pos="9628"/>
        </w:tabs>
        <w:rPr>
          <w:rFonts w:asciiTheme="minorHAnsi" w:eastAsiaTheme="minorEastAsia" w:hAnsiTheme="minorHAnsi" w:cstheme="minorBidi"/>
          <w:noProof/>
          <w:lang w:eastAsia="en-AU"/>
        </w:rPr>
      </w:pPr>
      <w:hyperlink w:anchor="_Toc459636844" w:history="1">
        <w:r w:rsidR="009B3BE9" w:rsidRPr="001932B9">
          <w:rPr>
            <w:rStyle w:val="Hyperlink"/>
            <w:noProof/>
          </w:rPr>
          <w:t>Table 4: Adverse events by blood product, 2013–14</w:t>
        </w:r>
        <w:r w:rsidR="009B3BE9" w:rsidRPr="001932B9">
          <w:rPr>
            <w:noProof/>
            <w:webHidden/>
          </w:rPr>
          <w:tab/>
        </w:r>
        <w:r w:rsidR="009B3BE9" w:rsidRPr="001932B9">
          <w:rPr>
            <w:noProof/>
            <w:webHidden/>
          </w:rPr>
          <w:fldChar w:fldCharType="begin"/>
        </w:r>
        <w:r w:rsidR="009B3BE9" w:rsidRPr="001932B9">
          <w:rPr>
            <w:noProof/>
            <w:webHidden/>
          </w:rPr>
          <w:instrText xml:space="preserve"> PAGEREF _Toc459636844 \h </w:instrText>
        </w:r>
        <w:r w:rsidR="009B3BE9" w:rsidRPr="001932B9">
          <w:rPr>
            <w:noProof/>
            <w:webHidden/>
          </w:rPr>
        </w:r>
        <w:r w:rsidR="009B3BE9" w:rsidRPr="001932B9">
          <w:rPr>
            <w:noProof/>
            <w:webHidden/>
          </w:rPr>
          <w:fldChar w:fldCharType="separate"/>
        </w:r>
        <w:r>
          <w:rPr>
            <w:noProof/>
            <w:webHidden/>
          </w:rPr>
          <w:t>16</w:t>
        </w:r>
        <w:r w:rsidR="009B3BE9" w:rsidRPr="001932B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45" w:history="1">
        <w:r w:rsidR="009B3BE9" w:rsidRPr="001932B9">
          <w:rPr>
            <w:rStyle w:val="Hyperlink"/>
            <w:bCs/>
            <w:noProof/>
          </w:rPr>
          <w:t>Table 5: Adverse events by clinical outcome severity, 2013–14</w:t>
        </w:r>
        <w:r w:rsidR="009B3BE9" w:rsidRPr="001932B9">
          <w:rPr>
            <w:noProof/>
            <w:webHidden/>
          </w:rPr>
          <w:tab/>
        </w:r>
        <w:r w:rsidR="009B3BE9" w:rsidRPr="001932B9">
          <w:rPr>
            <w:noProof/>
            <w:webHidden/>
          </w:rPr>
          <w:fldChar w:fldCharType="begin"/>
        </w:r>
        <w:r w:rsidR="009B3BE9" w:rsidRPr="001932B9">
          <w:rPr>
            <w:noProof/>
            <w:webHidden/>
          </w:rPr>
          <w:instrText xml:space="preserve"> PAGEREF _Toc459636845 \h </w:instrText>
        </w:r>
        <w:r w:rsidR="009B3BE9" w:rsidRPr="001932B9">
          <w:rPr>
            <w:noProof/>
            <w:webHidden/>
          </w:rPr>
        </w:r>
        <w:r w:rsidR="009B3BE9" w:rsidRPr="001932B9">
          <w:rPr>
            <w:noProof/>
            <w:webHidden/>
          </w:rPr>
          <w:fldChar w:fldCharType="separate"/>
        </w:r>
        <w:r>
          <w:rPr>
            <w:noProof/>
            <w:webHidden/>
          </w:rPr>
          <w:t>16</w:t>
        </w:r>
        <w:r w:rsidR="009B3BE9" w:rsidRPr="001932B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46" w:history="1">
        <w:r w:rsidR="009B3BE9" w:rsidRPr="00677170">
          <w:rPr>
            <w:rStyle w:val="Hyperlink"/>
            <w:noProof/>
          </w:rPr>
          <w:t>Table 6: Serious adverse events by outcome severity and imputability score, 2013–14</w:t>
        </w:r>
        <w:r w:rsidR="009B3BE9">
          <w:rPr>
            <w:noProof/>
            <w:webHidden/>
          </w:rPr>
          <w:tab/>
        </w:r>
        <w:r w:rsidR="009B3BE9">
          <w:rPr>
            <w:noProof/>
            <w:webHidden/>
          </w:rPr>
          <w:fldChar w:fldCharType="begin"/>
        </w:r>
        <w:r w:rsidR="009B3BE9">
          <w:rPr>
            <w:noProof/>
            <w:webHidden/>
          </w:rPr>
          <w:instrText xml:space="preserve"> PAGEREF _Toc459636846 \h </w:instrText>
        </w:r>
        <w:r w:rsidR="009B3BE9">
          <w:rPr>
            <w:noProof/>
            <w:webHidden/>
          </w:rPr>
        </w:r>
        <w:r w:rsidR="009B3BE9">
          <w:rPr>
            <w:noProof/>
            <w:webHidden/>
          </w:rPr>
          <w:fldChar w:fldCharType="separate"/>
        </w:r>
        <w:r>
          <w:rPr>
            <w:noProof/>
            <w:webHidden/>
          </w:rPr>
          <w:t>17</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47" w:history="1">
        <w:r w:rsidR="009B3BE9" w:rsidRPr="00677170">
          <w:rPr>
            <w:rStyle w:val="Hyperlink"/>
            <w:noProof/>
          </w:rPr>
          <w:t xml:space="preserve">Table 7: </w:t>
        </w:r>
        <w:r w:rsidR="009B3BE9" w:rsidRPr="00677170">
          <w:rPr>
            <w:rStyle w:val="Hyperlink"/>
            <w:rFonts w:cstheme="minorHAnsi"/>
            <w:noProof/>
            <w:lang w:eastAsia="en-AU"/>
          </w:rPr>
          <w:t>Adverse events by state, 2010–11 to 2013–14</w:t>
        </w:r>
        <w:r w:rsidR="009B3BE9">
          <w:rPr>
            <w:noProof/>
            <w:webHidden/>
          </w:rPr>
          <w:tab/>
        </w:r>
        <w:r w:rsidR="009B3BE9">
          <w:rPr>
            <w:noProof/>
            <w:webHidden/>
          </w:rPr>
          <w:fldChar w:fldCharType="begin"/>
        </w:r>
        <w:r w:rsidR="009B3BE9">
          <w:rPr>
            <w:noProof/>
            <w:webHidden/>
          </w:rPr>
          <w:instrText xml:space="preserve"> PAGEREF _Toc459636847 \h </w:instrText>
        </w:r>
        <w:r w:rsidR="009B3BE9">
          <w:rPr>
            <w:noProof/>
            <w:webHidden/>
          </w:rPr>
        </w:r>
        <w:r w:rsidR="009B3BE9">
          <w:rPr>
            <w:noProof/>
            <w:webHidden/>
          </w:rPr>
          <w:fldChar w:fldCharType="separate"/>
        </w:r>
        <w:r>
          <w:rPr>
            <w:noProof/>
            <w:webHidden/>
          </w:rPr>
          <w:t>18</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48" w:history="1">
        <w:r w:rsidR="009B3BE9" w:rsidRPr="00677170">
          <w:rPr>
            <w:rStyle w:val="Hyperlink"/>
            <w:noProof/>
          </w:rPr>
          <w:t>Table 8: Australian adverse event data, 2010–11 to 2013–14</w:t>
        </w:r>
        <w:r w:rsidR="009B3BE9">
          <w:rPr>
            <w:noProof/>
            <w:webHidden/>
          </w:rPr>
          <w:tab/>
        </w:r>
        <w:r w:rsidR="009B3BE9">
          <w:rPr>
            <w:noProof/>
            <w:webHidden/>
          </w:rPr>
          <w:fldChar w:fldCharType="begin"/>
        </w:r>
        <w:r w:rsidR="009B3BE9">
          <w:rPr>
            <w:noProof/>
            <w:webHidden/>
          </w:rPr>
          <w:instrText xml:space="preserve"> PAGEREF _Toc459636848 \h </w:instrText>
        </w:r>
        <w:r w:rsidR="009B3BE9">
          <w:rPr>
            <w:noProof/>
            <w:webHidden/>
          </w:rPr>
        </w:r>
        <w:r w:rsidR="009B3BE9">
          <w:rPr>
            <w:noProof/>
            <w:webHidden/>
          </w:rPr>
          <w:fldChar w:fldCharType="separate"/>
        </w:r>
        <w:r>
          <w:rPr>
            <w:noProof/>
            <w:webHidden/>
          </w:rPr>
          <w:t>19</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49" w:history="1">
        <w:r w:rsidR="009B3BE9" w:rsidRPr="00677170">
          <w:rPr>
            <w:rStyle w:val="Hyperlink"/>
            <w:noProof/>
          </w:rPr>
          <w:t>Table 9: Serious adverse events, 2010–11 to 2013–14</w:t>
        </w:r>
        <w:r w:rsidR="009B3BE9">
          <w:rPr>
            <w:noProof/>
            <w:webHidden/>
          </w:rPr>
          <w:tab/>
        </w:r>
        <w:r w:rsidR="009B3BE9">
          <w:rPr>
            <w:noProof/>
            <w:webHidden/>
          </w:rPr>
          <w:fldChar w:fldCharType="begin"/>
        </w:r>
        <w:r w:rsidR="009B3BE9">
          <w:rPr>
            <w:noProof/>
            <w:webHidden/>
          </w:rPr>
          <w:instrText xml:space="preserve"> PAGEREF _Toc459636849 \h </w:instrText>
        </w:r>
        <w:r w:rsidR="009B3BE9">
          <w:rPr>
            <w:noProof/>
            <w:webHidden/>
          </w:rPr>
        </w:r>
        <w:r w:rsidR="009B3BE9">
          <w:rPr>
            <w:noProof/>
            <w:webHidden/>
          </w:rPr>
          <w:fldChar w:fldCharType="separate"/>
        </w:r>
        <w:r>
          <w:rPr>
            <w:noProof/>
            <w:webHidden/>
          </w:rPr>
          <w:t>20</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0" w:history="1">
        <w:r w:rsidR="009B3BE9" w:rsidRPr="00677170">
          <w:rPr>
            <w:rStyle w:val="Hyperlink"/>
            <w:noProof/>
          </w:rPr>
          <w:t>Table 10: Serious adverse events by product, 2010–11 to 2013–14</w:t>
        </w:r>
        <w:r w:rsidR="009B3BE9">
          <w:rPr>
            <w:noProof/>
            <w:webHidden/>
          </w:rPr>
          <w:tab/>
        </w:r>
        <w:r w:rsidR="009B3BE9">
          <w:rPr>
            <w:noProof/>
            <w:webHidden/>
          </w:rPr>
          <w:fldChar w:fldCharType="begin"/>
        </w:r>
        <w:r w:rsidR="009B3BE9">
          <w:rPr>
            <w:noProof/>
            <w:webHidden/>
          </w:rPr>
          <w:instrText xml:space="preserve"> PAGEREF _Toc459636850 \h </w:instrText>
        </w:r>
        <w:r w:rsidR="009B3BE9">
          <w:rPr>
            <w:noProof/>
            <w:webHidden/>
          </w:rPr>
        </w:r>
        <w:r w:rsidR="009B3BE9">
          <w:rPr>
            <w:noProof/>
            <w:webHidden/>
          </w:rPr>
          <w:fldChar w:fldCharType="separate"/>
        </w:r>
        <w:r>
          <w:rPr>
            <w:noProof/>
            <w:webHidden/>
          </w:rPr>
          <w:t>20</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1" w:history="1">
        <w:r w:rsidR="009B3BE9" w:rsidRPr="00677170">
          <w:rPr>
            <w:rStyle w:val="Hyperlink"/>
            <w:noProof/>
          </w:rPr>
          <w:t>Table 11: Serious adverse events by transfusion time, 2010–11 to 2013–14</w:t>
        </w:r>
        <w:r w:rsidR="009B3BE9">
          <w:rPr>
            <w:noProof/>
            <w:webHidden/>
          </w:rPr>
          <w:tab/>
        </w:r>
        <w:r w:rsidR="009B3BE9">
          <w:rPr>
            <w:noProof/>
            <w:webHidden/>
          </w:rPr>
          <w:fldChar w:fldCharType="begin"/>
        </w:r>
        <w:r w:rsidR="009B3BE9">
          <w:rPr>
            <w:noProof/>
            <w:webHidden/>
          </w:rPr>
          <w:instrText xml:space="preserve"> PAGEREF _Toc459636851 \h </w:instrText>
        </w:r>
        <w:r w:rsidR="009B3BE9">
          <w:rPr>
            <w:noProof/>
            <w:webHidden/>
          </w:rPr>
        </w:r>
        <w:r w:rsidR="009B3BE9">
          <w:rPr>
            <w:noProof/>
            <w:webHidden/>
          </w:rPr>
          <w:fldChar w:fldCharType="separate"/>
        </w:r>
        <w:r>
          <w:rPr>
            <w:noProof/>
            <w:webHidden/>
          </w:rPr>
          <w:t>21</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2" w:history="1">
        <w:r w:rsidR="009B3BE9" w:rsidRPr="00677170">
          <w:rPr>
            <w:rStyle w:val="Hyperlink"/>
            <w:noProof/>
          </w:rPr>
          <w:t>Table 12: Serious adverse events by week day/weekend, 2010–11 to 2013–14</w:t>
        </w:r>
        <w:r w:rsidR="009B3BE9">
          <w:rPr>
            <w:noProof/>
            <w:webHidden/>
          </w:rPr>
          <w:tab/>
        </w:r>
        <w:r w:rsidR="009B3BE9">
          <w:rPr>
            <w:noProof/>
            <w:webHidden/>
          </w:rPr>
          <w:fldChar w:fldCharType="begin"/>
        </w:r>
        <w:r w:rsidR="009B3BE9">
          <w:rPr>
            <w:noProof/>
            <w:webHidden/>
          </w:rPr>
          <w:instrText xml:space="preserve"> PAGEREF _Toc459636852 \h </w:instrText>
        </w:r>
        <w:r w:rsidR="009B3BE9">
          <w:rPr>
            <w:noProof/>
            <w:webHidden/>
          </w:rPr>
        </w:r>
        <w:r w:rsidR="009B3BE9">
          <w:rPr>
            <w:noProof/>
            <w:webHidden/>
          </w:rPr>
          <w:fldChar w:fldCharType="separate"/>
        </w:r>
        <w:r>
          <w:rPr>
            <w:noProof/>
            <w:webHidden/>
          </w:rPr>
          <w:t>21</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3" w:history="1">
        <w:r w:rsidR="009B3BE9" w:rsidRPr="00677170">
          <w:rPr>
            <w:rStyle w:val="Hyperlink"/>
            <w:noProof/>
          </w:rPr>
          <w:t>Table 13: Serious adverse events by age group, 2010–11 to 2013–14</w:t>
        </w:r>
        <w:r w:rsidR="009B3BE9">
          <w:rPr>
            <w:noProof/>
            <w:webHidden/>
          </w:rPr>
          <w:tab/>
        </w:r>
        <w:r w:rsidR="009B3BE9">
          <w:rPr>
            <w:noProof/>
            <w:webHidden/>
          </w:rPr>
          <w:fldChar w:fldCharType="begin"/>
        </w:r>
        <w:r w:rsidR="009B3BE9">
          <w:rPr>
            <w:noProof/>
            <w:webHidden/>
          </w:rPr>
          <w:instrText xml:space="preserve"> PAGEREF _Toc459636853 \h </w:instrText>
        </w:r>
        <w:r w:rsidR="009B3BE9">
          <w:rPr>
            <w:noProof/>
            <w:webHidden/>
          </w:rPr>
        </w:r>
        <w:r w:rsidR="009B3BE9">
          <w:rPr>
            <w:noProof/>
            <w:webHidden/>
          </w:rPr>
          <w:fldChar w:fldCharType="separate"/>
        </w:r>
        <w:r>
          <w:rPr>
            <w:noProof/>
            <w:webHidden/>
          </w:rPr>
          <w:t>22</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4" w:history="1">
        <w:r w:rsidR="009B3BE9" w:rsidRPr="00677170">
          <w:rPr>
            <w:rStyle w:val="Hyperlink"/>
            <w:noProof/>
          </w:rPr>
          <w:t>Table 14: FNHTR clinical outcome severity by imputability, 2013–14</w:t>
        </w:r>
        <w:r w:rsidR="009B3BE9">
          <w:rPr>
            <w:noProof/>
            <w:webHidden/>
          </w:rPr>
          <w:tab/>
        </w:r>
        <w:r w:rsidR="009B3BE9">
          <w:rPr>
            <w:noProof/>
            <w:webHidden/>
          </w:rPr>
          <w:fldChar w:fldCharType="begin"/>
        </w:r>
        <w:r w:rsidR="009B3BE9">
          <w:rPr>
            <w:noProof/>
            <w:webHidden/>
          </w:rPr>
          <w:instrText xml:space="preserve"> PAGEREF _Toc459636854 \h </w:instrText>
        </w:r>
        <w:r w:rsidR="009B3BE9">
          <w:rPr>
            <w:noProof/>
            <w:webHidden/>
          </w:rPr>
        </w:r>
        <w:r w:rsidR="009B3BE9">
          <w:rPr>
            <w:noProof/>
            <w:webHidden/>
          </w:rPr>
          <w:fldChar w:fldCharType="separate"/>
        </w:r>
        <w:r>
          <w:rPr>
            <w:noProof/>
            <w:webHidden/>
          </w:rPr>
          <w:t>25</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5" w:history="1">
        <w:r w:rsidR="009B3BE9" w:rsidRPr="00677170">
          <w:rPr>
            <w:rStyle w:val="Hyperlink"/>
            <w:noProof/>
          </w:rPr>
          <w:t>Table 15: Allergic reaction clinical outcome severity by imputability, 2013–14</w:t>
        </w:r>
        <w:r w:rsidR="009B3BE9">
          <w:rPr>
            <w:noProof/>
            <w:webHidden/>
          </w:rPr>
          <w:tab/>
        </w:r>
        <w:r w:rsidR="009B3BE9">
          <w:rPr>
            <w:noProof/>
            <w:webHidden/>
          </w:rPr>
          <w:fldChar w:fldCharType="begin"/>
        </w:r>
        <w:r w:rsidR="009B3BE9">
          <w:rPr>
            <w:noProof/>
            <w:webHidden/>
          </w:rPr>
          <w:instrText xml:space="preserve"> PAGEREF _Toc459636855 \h </w:instrText>
        </w:r>
        <w:r w:rsidR="009B3BE9">
          <w:rPr>
            <w:noProof/>
            <w:webHidden/>
          </w:rPr>
        </w:r>
        <w:r w:rsidR="009B3BE9">
          <w:rPr>
            <w:noProof/>
            <w:webHidden/>
          </w:rPr>
          <w:fldChar w:fldCharType="separate"/>
        </w:r>
        <w:r>
          <w:rPr>
            <w:noProof/>
            <w:webHidden/>
          </w:rPr>
          <w:t>26</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6" w:history="1">
        <w:r w:rsidR="009B3BE9" w:rsidRPr="00677170">
          <w:rPr>
            <w:rStyle w:val="Hyperlink"/>
            <w:noProof/>
          </w:rPr>
          <w:t>Table 16: IBCT clinical outcome severity by imputability, 2013–14</w:t>
        </w:r>
        <w:r w:rsidR="009B3BE9">
          <w:rPr>
            <w:noProof/>
            <w:webHidden/>
          </w:rPr>
          <w:tab/>
        </w:r>
        <w:r w:rsidR="009B3BE9">
          <w:rPr>
            <w:noProof/>
            <w:webHidden/>
          </w:rPr>
          <w:fldChar w:fldCharType="begin"/>
        </w:r>
        <w:r w:rsidR="009B3BE9">
          <w:rPr>
            <w:noProof/>
            <w:webHidden/>
          </w:rPr>
          <w:instrText xml:space="preserve"> PAGEREF _Toc459636856 \h </w:instrText>
        </w:r>
        <w:r w:rsidR="009B3BE9">
          <w:rPr>
            <w:noProof/>
            <w:webHidden/>
          </w:rPr>
        </w:r>
        <w:r w:rsidR="009B3BE9">
          <w:rPr>
            <w:noProof/>
            <w:webHidden/>
          </w:rPr>
          <w:fldChar w:fldCharType="separate"/>
        </w:r>
        <w:r>
          <w:rPr>
            <w:noProof/>
            <w:webHidden/>
          </w:rPr>
          <w:t>27</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7" w:history="1">
        <w:r w:rsidR="009B3BE9" w:rsidRPr="00677170">
          <w:rPr>
            <w:rStyle w:val="Hyperlink"/>
            <w:noProof/>
          </w:rPr>
          <w:t>Table 17: Contributory factors cited in IBCT, 2010–11 to 2013–14</w:t>
        </w:r>
        <w:r w:rsidR="009B3BE9">
          <w:rPr>
            <w:noProof/>
            <w:webHidden/>
          </w:rPr>
          <w:tab/>
        </w:r>
        <w:r w:rsidR="009B3BE9">
          <w:rPr>
            <w:noProof/>
            <w:webHidden/>
          </w:rPr>
          <w:fldChar w:fldCharType="begin"/>
        </w:r>
        <w:r w:rsidR="009B3BE9">
          <w:rPr>
            <w:noProof/>
            <w:webHidden/>
          </w:rPr>
          <w:instrText xml:space="preserve"> PAGEREF _Toc459636857 \h </w:instrText>
        </w:r>
        <w:r w:rsidR="009B3BE9">
          <w:rPr>
            <w:noProof/>
            <w:webHidden/>
          </w:rPr>
        </w:r>
        <w:r w:rsidR="009B3BE9">
          <w:rPr>
            <w:noProof/>
            <w:webHidden/>
          </w:rPr>
          <w:fldChar w:fldCharType="separate"/>
        </w:r>
        <w:r>
          <w:rPr>
            <w:noProof/>
            <w:webHidden/>
          </w:rPr>
          <w:t>28</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8" w:history="1">
        <w:r w:rsidR="009B3BE9" w:rsidRPr="00677170">
          <w:rPr>
            <w:rStyle w:val="Hyperlink"/>
            <w:noProof/>
          </w:rPr>
          <w:t>Table 18: TACO clinical outcome severity by imputability, 2013–14</w:t>
        </w:r>
        <w:r w:rsidR="009B3BE9">
          <w:rPr>
            <w:noProof/>
            <w:webHidden/>
          </w:rPr>
          <w:tab/>
        </w:r>
        <w:r w:rsidR="009B3BE9">
          <w:rPr>
            <w:noProof/>
            <w:webHidden/>
          </w:rPr>
          <w:fldChar w:fldCharType="begin"/>
        </w:r>
        <w:r w:rsidR="009B3BE9">
          <w:rPr>
            <w:noProof/>
            <w:webHidden/>
          </w:rPr>
          <w:instrText xml:space="preserve"> PAGEREF _Toc459636858 \h </w:instrText>
        </w:r>
        <w:r w:rsidR="009B3BE9">
          <w:rPr>
            <w:noProof/>
            <w:webHidden/>
          </w:rPr>
        </w:r>
        <w:r w:rsidR="009B3BE9">
          <w:rPr>
            <w:noProof/>
            <w:webHidden/>
          </w:rPr>
          <w:fldChar w:fldCharType="separate"/>
        </w:r>
        <w:r>
          <w:rPr>
            <w:noProof/>
            <w:webHidden/>
          </w:rPr>
          <w:t>29</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59" w:history="1">
        <w:r w:rsidR="009B3BE9" w:rsidRPr="00677170">
          <w:rPr>
            <w:rStyle w:val="Hyperlink"/>
            <w:noProof/>
          </w:rPr>
          <w:t>Table 19: TTI clinical outcome severity by imputability, 2013–14</w:t>
        </w:r>
        <w:r w:rsidR="009B3BE9">
          <w:rPr>
            <w:noProof/>
            <w:webHidden/>
          </w:rPr>
          <w:tab/>
        </w:r>
        <w:r w:rsidR="009B3BE9">
          <w:rPr>
            <w:noProof/>
            <w:webHidden/>
          </w:rPr>
          <w:fldChar w:fldCharType="begin"/>
        </w:r>
        <w:r w:rsidR="009B3BE9">
          <w:rPr>
            <w:noProof/>
            <w:webHidden/>
          </w:rPr>
          <w:instrText xml:space="preserve"> PAGEREF _Toc459636859 \h </w:instrText>
        </w:r>
        <w:r w:rsidR="009B3BE9">
          <w:rPr>
            <w:noProof/>
            <w:webHidden/>
          </w:rPr>
        </w:r>
        <w:r w:rsidR="009B3BE9">
          <w:rPr>
            <w:noProof/>
            <w:webHidden/>
          </w:rPr>
          <w:fldChar w:fldCharType="separate"/>
        </w:r>
        <w:r>
          <w:rPr>
            <w:noProof/>
            <w:webHidden/>
          </w:rPr>
          <w:t>30</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0" w:history="1">
        <w:r w:rsidR="009B3BE9" w:rsidRPr="00677170">
          <w:rPr>
            <w:rStyle w:val="Hyperlink"/>
            <w:noProof/>
          </w:rPr>
          <w:t>Table 20: Blood Service residual risk estimates for transfusion</w:t>
        </w:r>
        <w:r w:rsidR="009B3BE9" w:rsidRPr="00677170">
          <w:rPr>
            <w:rStyle w:val="Hyperlink"/>
            <w:noProof/>
          </w:rPr>
          <w:noBreakHyphen/>
          <w:t>transmitted infections</w:t>
        </w:r>
        <w:r w:rsidR="009B3BE9">
          <w:rPr>
            <w:noProof/>
            <w:webHidden/>
          </w:rPr>
          <w:tab/>
        </w:r>
        <w:r w:rsidR="009B3BE9">
          <w:rPr>
            <w:noProof/>
            <w:webHidden/>
          </w:rPr>
          <w:fldChar w:fldCharType="begin"/>
        </w:r>
        <w:r w:rsidR="009B3BE9">
          <w:rPr>
            <w:noProof/>
            <w:webHidden/>
          </w:rPr>
          <w:instrText xml:space="preserve"> PAGEREF _Toc459636860 \h </w:instrText>
        </w:r>
        <w:r w:rsidR="009B3BE9">
          <w:rPr>
            <w:noProof/>
            <w:webHidden/>
          </w:rPr>
        </w:r>
        <w:r w:rsidR="009B3BE9">
          <w:rPr>
            <w:noProof/>
            <w:webHidden/>
          </w:rPr>
          <w:fldChar w:fldCharType="separate"/>
        </w:r>
        <w:r>
          <w:rPr>
            <w:noProof/>
            <w:webHidden/>
          </w:rPr>
          <w:t>31</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1" w:history="1">
        <w:r w:rsidR="009B3BE9" w:rsidRPr="00677170">
          <w:rPr>
            <w:rStyle w:val="Hyperlink"/>
            <w:noProof/>
          </w:rPr>
          <w:t>Table 21: Anaphylactic or anaphylactoid reactions clinical outcome severity by imputability, 2013–14</w:t>
        </w:r>
        <w:r w:rsidR="009B3BE9">
          <w:rPr>
            <w:noProof/>
            <w:webHidden/>
          </w:rPr>
          <w:tab/>
        </w:r>
        <w:r w:rsidR="009B3BE9">
          <w:rPr>
            <w:noProof/>
            <w:webHidden/>
          </w:rPr>
          <w:fldChar w:fldCharType="begin"/>
        </w:r>
        <w:r w:rsidR="009B3BE9">
          <w:rPr>
            <w:noProof/>
            <w:webHidden/>
          </w:rPr>
          <w:instrText xml:space="preserve"> PAGEREF _Toc459636861 \h </w:instrText>
        </w:r>
        <w:r w:rsidR="009B3BE9">
          <w:rPr>
            <w:noProof/>
            <w:webHidden/>
          </w:rPr>
        </w:r>
        <w:r w:rsidR="009B3BE9">
          <w:rPr>
            <w:noProof/>
            <w:webHidden/>
          </w:rPr>
          <w:fldChar w:fldCharType="separate"/>
        </w:r>
        <w:r>
          <w:rPr>
            <w:noProof/>
            <w:webHidden/>
          </w:rPr>
          <w:t>32</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2" w:history="1">
        <w:r w:rsidR="009B3BE9" w:rsidRPr="00677170">
          <w:rPr>
            <w:rStyle w:val="Hyperlink"/>
            <w:noProof/>
          </w:rPr>
          <w:t>Table 22: Contributory factors cited in adverse events, 2013–14</w:t>
        </w:r>
        <w:r w:rsidR="009B3BE9">
          <w:rPr>
            <w:noProof/>
            <w:webHidden/>
          </w:rPr>
          <w:tab/>
        </w:r>
        <w:r w:rsidR="009B3BE9">
          <w:rPr>
            <w:noProof/>
            <w:webHidden/>
          </w:rPr>
          <w:fldChar w:fldCharType="begin"/>
        </w:r>
        <w:r w:rsidR="009B3BE9">
          <w:rPr>
            <w:noProof/>
            <w:webHidden/>
          </w:rPr>
          <w:instrText xml:space="preserve"> PAGEREF _Toc459636862 \h </w:instrText>
        </w:r>
        <w:r w:rsidR="009B3BE9">
          <w:rPr>
            <w:noProof/>
            <w:webHidden/>
          </w:rPr>
        </w:r>
        <w:r w:rsidR="009B3BE9">
          <w:rPr>
            <w:noProof/>
            <w:webHidden/>
          </w:rPr>
          <w:fldChar w:fldCharType="separate"/>
        </w:r>
        <w:r>
          <w:rPr>
            <w:noProof/>
            <w:webHidden/>
          </w:rPr>
          <w:t>37</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3" w:history="1">
        <w:r w:rsidR="009B3BE9" w:rsidRPr="00677170">
          <w:rPr>
            <w:rStyle w:val="Hyperlink"/>
            <w:noProof/>
          </w:rPr>
          <w:t>Table 23: Contributory factors cited by adverse event and by clinical outcome severity, 2013–14</w:t>
        </w:r>
        <w:r w:rsidR="009B3BE9">
          <w:rPr>
            <w:noProof/>
            <w:webHidden/>
          </w:rPr>
          <w:tab/>
        </w:r>
        <w:r w:rsidR="009B3BE9">
          <w:rPr>
            <w:noProof/>
            <w:webHidden/>
          </w:rPr>
          <w:fldChar w:fldCharType="begin"/>
        </w:r>
        <w:r w:rsidR="009B3BE9">
          <w:rPr>
            <w:noProof/>
            <w:webHidden/>
          </w:rPr>
          <w:instrText xml:space="preserve"> PAGEREF _Toc459636863 \h </w:instrText>
        </w:r>
        <w:r w:rsidR="009B3BE9">
          <w:rPr>
            <w:noProof/>
            <w:webHidden/>
          </w:rPr>
        </w:r>
        <w:r w:rsidR="009B3BE9">
          <w:rPr>
            <w:noProof/>
            <w:webHidden/>
          </w:rPr>
          <w:fldChar w:fldCharType="separate"/>
        </w:r>
        <w:r>
          <w:rPr>
            <w:noProof/>
            <w:webHidden/>
          </w:rPr>
          <w:t>39</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4" w:history="1">
        <w:r w:rsidR="009B3BE9" w:rsidRPr="00677170">
          <w:rPr>
            <w:rStyle w:val="Hyperlink"/>
            <w:noProof/>
          </w:rPr>
          <w:t>Table 24: Total number of collections by donation type, 2010–11 to 2013–14</w:t>
        </w:r>
        <w:r w:rsidR="009B3BE9">
          <w:rPr>
            <w:noProof/>
            <w:webHidden/>
          </w:rPr>
          <w:tab/>
        </w:r>
        <w:r w:rsidR="009B3BE9">
          <w:rPr>
            <w:noProof/>
            <w:webHidden/>
          </w:rPr>
          <w:fldChar w:fldCharType="begin"/>
        </w:r>
        <w:r w:rsidR="009B3BE9">
          <w:rPr>
            <w:noProof/>
            <w:webHidden/>
          </w:rPr>
          <w:instrText xml:space="preserve"> PAGEREF _Toc459636864 \h </w:instrText>
        </w:r>
        <w:r w:rsidR="009B3BE9">
          <w:rPr>
            <w:noProof/>
            <w:webHidden/>
          </w:rPr>
        </w:r>
        <w:r w:rsidR="009B3BE9">
          <w:rPr>
            <w:noProof/>
            <w:webHidden/>
          </w:rPr>
          <w:fldChar w:fldCharType="separate"/>
        </w:r>
        <w:r>
          <w:rPr>
            <w:noProof/>
            <w:webHidden/>
          </w:rPr>
          <w:t>41</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5" w:history="1">
        <w:r w:rsidR="009B3BE9" w:rsidRPr="00677170">
          <w:rPr>
            <w:rStyle w:val="Hyperlink"/>
            <w:noProof/>
          </w:rPr>
          <w:t>Table 25: Adverse donor reaction rate by category, 2010–11 to 2013–14 (per 10,000 donations)</w:t>
        </w:r>
        <w:r w:rsidR="009B3BE9">
          <w:rPr>
            <w:noProof/>
            <w:webHidden/>
          </w:rPr>
          <w:tab/>
        </w:r>
        <w:r w:rsidR="009B3BE9">
          <w:rPr>
            <w:noProof/>
            <w:webHidden/>
          </w:rPr>
          <w:fldChar w:fldCharType="begin"/>
        </w:r>
        <w:r w:rsidR="009B3BE9">
          <w:rPr>
            <w:noProof/>
            <w:webHidden/>
          </w:rPr>
          <w:instrText xml:space="preserve"> PAGEREF _Toc459636865 \h </w:instrText>
        </w:r>
        <w:r w:rsidR="009B3BE9">
          <w:rPr>
            <w:noProof/>
            <w:webHidden/>
          </w:rPr>
        </w:r>
        <w:r w:rsidR="009B3BE9">
          <w:rPr>
            <w:noProof/>
            <w:webHidden/>
          </w:rPr>
          <w:fldChar w:fldCharType="separate"/>
        </w:r>
        <w:r>
          <w:rPr>
            <w:noProof/>
            <w:webHidden/>
          </w:rPr>
          <w:t>42</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6" w:history="1">
        <w:r w:rsidR="009B3BE9" w:rsidRPr="00677170">
          <w:rPr>
            <w:rStyle w:val="Hyperlink"/>
            <w:noProof/>
          </w:rPr>
          <w:t>Table 26: Adverse donor event rate by procedure, 2010–11 to 2013–14 (per 10,000 donations)</w:t>
        </w:r>
        <w:r w:rsidR="009B3BE9">
          <w:rPr>
            <w:noProof/>
            <w:webHidden/>
          </w:rPr>
          <w:tab/>
        </w:r>
        <w:r w:rsidR="009B3BE9">
          <w:rPr>
            <w:noProof/>
            <w:webHidden/>
          </w:rPr>
          <w:fldChar w:fldCharType="begin"/>
        </w:r>
        <w:r w:rsidR="009B3BE9">
          <w:rPr>
            <w:noProof/>
            <w:webHidden/>
          </w:rPr>
          <w:instrText xml:space="preserve"> PAGEREF _Toc459636866 \h </w:instrText>
        </w:r>
        <w:r w:rsidR="009B3BE9">
          <w:rPr>
            <w:noProof/>
            <w:webHidden/>
          </w:rPr>
        </w:r>
        <w:r w:rsidR="009B3BE9">
          <w:rPr>
            <w:noProof/>
            <w:webHidden/>
          </w:rPr>
          <w:fldChar w:fldCharType="separate"/>
        </w:r>
        <w:r>
          <w:rPr>
            <w:noProof/>
            <w:webHidden/>
          </w:rPr>
          <w:t>43</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7" w:history="1">
        <w:r w:rsidR="009B3BE9" w:rsidRPr="00677170">
          <w:rPr>
            <w:rStyle w:val="Hyperlink"/>
            <w:noProof/>
          </w:rPr>
          <w:t>Table 27: Donation-associated events by type and severity, 2013–14</w:t>
        </w:r>
        <w:r w:rsidR="009B3BE9">
          <w:rPr>
            <w:noProof/>
            <w:webHidden/>
          </w:rPr>
          <w:tab/>
        </w:r>
        <w:r w:rsidR="009B3BE9">
          <w:rPr>
            <w:noProof/>
            <w:webHidden/>
          </w:rPr>
          <w:fldChar w:fldCharType="begin"/>
        </w:r>
        <w:r w:rsidR="009B3BE9">
          <w:rPr>
            <w:noProof/>
            <w:webHidden/>
          </w:rPr>
          <w:instrText xml:space="preserve"> PAGEREF _Toc459636867 \h </w:instrText>
        </w:r>
        <w:r w:rsidR="009B3BE9">
          <w:rPr>
            <w:noProof/>
            <w:webHidden/>
          </w:rPr>
        </w:r>
        <w:r w:rsidR="009B3BE9">
          <w:rPr>
            <w:noProof/>
            <w:webHidden/>
          </w:rPr>
          <w:fldChar w:fldCharType="separate"/>
        </w:r>
        <w:r>
          <w:rPr>
            <w:noProof/>
            <w:webHidden/>
          </w:rPr>
          <w:t>43</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8" w:history="1">
        <w:r w:rsidR="009B3BE9" w:rsidRPr="00677170">
          <w:rPr>
            <w:rStyle w:val="Hyperlink"/>
            <w:noProof/>
          </w:rPr>
          <w:t>Table 28: Summary of external medical referrals, 2013–14</w:t>
        </w:r>
        <w:r w:rsidR="009B3BE9">
          <w:rPr>
            <w:noProof/>
            <w:webHidden/>
          </w:rPr>
          <w:tab/>
        </w:r>
        <w:r w:rsidR="009B3BE9">
          <w:rPr>
            <w:noProof/>
            <w:webHidden/>
          </w:rPr>
          <w:fldChar w:fldCharType="begin"/>
        </w:r>
        <w:r w:rsidR="009B3BE9">
          <w:rPr>
            <w:noProof/>
            <w:webHidden/>
          </w:rPr>
          <w:instrText xml:space="preserve"> PAGEREF _Toc459636868 \h </w:instrText>
        </w:r>
        <w:r w:rsidR="009B3BE9">
          <w:rPr>
            <w:noProof/>
            <w:webHidden/>
          </w:rPr>
        </w:r>
        <w:r w:rsidR="009B3BE9">
          <w:rPr>
            <w:noProof/>
            <w:webHidden/>
          </w:rPr>
          <w:fldChar w:fldCharType="separate"/>
        </w:r>
        <w:r>
          <w:rPr>
            <w:noProof/>
            <w:webHidden/>
          </w:rPr>
          <w:t>45</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69" w:history="1">
        <w:r w:rsidR="009B3BE9" w:rsidRPr="00677170">
          <w:rPr>
            <w:rStyle w:val="Hyperlink"/>
            <w:noProof/>
          </w:rPr>
          <w:t>Table 29: The rate (per 10,000 donations) and total numbers of adverse donor reactions requiring hospital attendance, 2010</w:t>
        </w:r>
        <w:r w:rsidR="009B3BE9" w:rsidRPr="00677170">
          <w:rPr>
            <w:rStyle w:val="Hyperlink"/>
            <w:noProof/>
          </w:rPr>
          <w:noBreakHyphen/>
          <w:t>11 to 2013-14</w:t>
        </w:r>
        <w:r w:rsidR="009B3BE9">
          <w:rPr>
            <w:noProof/>
            <w:webHidden/>
          </w:rPr>
          <w:tab/>
        </w:r>
        <w:r w:rsidR="009B3BE9">
          <w:rPr>
            <w:noProof/>
            <w:webHidden/>
          </w:rPr>
          <w:fldChar w:fldCharType="begin"/>
        </w:r>
        <w:r w:rsidR="009B3BE9">
          <w:rPr>
            <w:noProof/>
            <w:webHidden/>
          </w:rPr>
          <w:instrText xml:space="preserve"> PAGEREF _Toc459636869 \h </w:instrText>
        </w:r>
        <w:r w:rsidR="009B3BE9">
          <w:rPr>
            <w:noProof/>
            <w:webHidden/>
          </w:rPr>
        </w:r>
        <w:r w:rsidR="009B3BE9">
          <w:rPr>
            <w:noProof/>
            <w:webHidden/>
          </w:rPr>
          <w:fldChar w:fldCharType="separate"/>
        </w:r>
        <w:r>
          <w:rPr>
            <w:noProof/>
            <w:webHidden/>
          </w:rPr>
          <w:t>45</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0" w:history="1">
        <w:r w:rsidR="009B3BE9" w:rsidRPr="00677170">
          <w:rPr>
            <w:rStyle w:val="Hyperlink"/>
            <w:noProof/>
          </w:rPr>
          <w:t>Table 30: Adverse donation reactions in female donors by age, including odds ratio</w:t>
        </w:r>
        <w:r w:rsidR="009B3BE9">
          <w:rPr>
            <w:noProof/>
            <w:webHidden/>
          </w:rPr>
          <w:tab/>
        </w:r>
        <w:r w:rsidR="009B3BE9">
          <w:rPr>
            <w:noProof/>
            <w:webHidden/>
          </w:rPr>
          <w:fldChar w:fldCharType="begin"/>
        </w:r>
        <w:r w:rsidR="009B3BE9">
          <w:rPr>
            <w:noProof/>
            <w:webHidden/>
          </w:rPr>
          <w:instrText xml:space="preserve"> PAGEREF _Toc459636870 \h </w:instrText>
        </w:r>
        <w:r w:rsidR="009B3BE9">
          <w:rPr>
            <w:noProof/>
            <w:webHidden/>
          </w:rPr>
        </w:r>
        <w:r w:rsidR="009B3BE9">
          <w:rPr>
            <w:noProof/>
            <w:webHidden/>
          </w:rPr>
          <w:fldChar w:fldCharType="separate"/>
        </w:r>
        <w:r>
          <w:rPr>
            <w:noProof/>
            <w:webHidden/>
          </w:rPr>
          <w:t>46</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1" w:history="1">
        <w:r w:rsidR="009B3BE9" w:rsidRPr="00677170">
          <w:rPr>
            <w:rStyle w:val="Hyperlink"/>
            <w:noProof/>
          </w:rPr>
          <w:t>Table 31: Adverse donation reactions in male donors by age, including odds ratio</w:t>
        </w:r>
        <w:r w:rsidR="009B3BE9">
          <w:rPr>
            <w:noProof/>
            <w:webHidden/>
          </w:rPr>
          <w:tab/>
        </w:r>
        <w:r w:rsidR="009B3BE9">
          <w:rPr>
            <w:noProof/>
            <w:webHidden/>
          </w:rPr>
          <w:fldChar w:fldCharType="begin"/>
        </w:r>
        <w:r w:rsidR="009B3BE9">
          <w:rPr>
            <w:noProof/>
            <w:webHidden/>
          </w:rPr>
          <w:instrText xml:space="preserve"> PAGEREF _Toc459636871 \h </w:instrText>
        </w:r>
        <w:r w:rsidR="009B3BE9">
          <w:rPr>
            <w:noProof/>
            <w:webHidden/>
          </w:rPr>
        </w:r>
        <w:r w:rsidR="009B3BE9">
          <w:rPr>
            <w:noProof/>
            <w:webHidden/>
          </w:rPr>
          <w:fldChar w:fldCharType="separate"/>
        </w:r>
        <w:r>
          <w:rPr>
            <w:noProof/>
            <w:webHidden/>
          </w:rPr>
          <w:t>46</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2" w:history="1">
        <w:r w:rsidR="009B3BE9" w:rsidRPr="00677170">
          <w:rPr>
            <w:rStyle w:val="Hyperlink"/>
            <w:noProof/>
          </w:rPr>
          <w:t>Table 32: Progress against the national blood quality and safety initiatives recommendations of the Australian Haemovigilance Report 2015</w:t>
        </w:r>
        <w:r w:rsidR="009B3BE9">
          <w:rPr>
            <w:noProof/>
            <w:webHidden/>
          </w:rPr>
          <w:tab/>
        </w:r>
        <w:r w:rsidR="009B3BE9">
          <w:rPr>
            <w:noProof/>
            <w:webHidden/>
          </w:rPr>
          <w:fldChar w:fldCharType="begin"/>
        </w:r>
        <w:r w:rsidR="009B3BE9">
          <w:rPr>
            <w:noProof/>
            <w:webHidden/>
          </w:rPr>
          <w:instrText xml:space="preserve"> PAGEREF _Toc459636872 \h </w:instrText>
        </w:r>
        <w:r w:rsidR="009B3BE9">
          <w:rPr>
            <w:noProof/>
            <w:webHidden/>
          </w:rPr>
        </w:r>
        <w:r w:rsidR="009B3BE9">
          <w:rPr>
            <w:noProof/>
            <w:webHidden/>
          </w:rPr>
          <w:fldChar w:fldCharType="separate"/>
        </w:r>
        <w:r>
          <w:rPr>
            <w:noProof/>
            <w:webHidden/>
          </w:rPr>
          <w:t>48</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3" w:history="1">
        <w:r w:rsidR="009B3BE9" w:rsidRPr="00677170">
          <w:rPr>
            <w:rStyle w:val="Hyperlink"/>
            <w:noProof/>
          </w:rPr>
          <w:t>Table 33: Progress against the reducing human errors recommendations of the Australian Haemovigilance Report 2015</w:t>
        </w:r>
        <w:r w:rsidR="009B3BE9">
          <w:rPr>
            <w:noProof/>
            <w:webHidden/>
          </w:rPr>
          <w:tab/>
        </w:r>
        <w:r w:rsidR="009B3BE9">
          <w:rPr>
            <w:noProof/>
            <w:webHidden/>
          </w:rPr>
          <w:fldChar w:fldCharType="begin"/>
        </w:r>
        <w:r w:rsidR="009B3BE9">
          <w:rPr>
            <w:noProof/>
            <w:webHidden/>
          </w:rPr>
          <w:instrText xml:space="preserve"> PAGEREF _Toc459636873 \h </w:instrText>
        </w:r>
        <w:r w:rsidR="009B3BE9">
          <w:rPr>
            <w:noProof/>
            <w:webHidden/>
          </w:rPr>
        </w:r>
        <w:r w:rsidR="009B3BE9">
          <w:rPr>
            <w:noProof/>
            <w:webHidden/>
          </w:rPr>
          <w:fldChar w:fldCharType="separate"/>
        </w:r>
        <w:r>
          <w:rPr>
            <w:noProof/>
            <w:webHidden/>
          </w:rPr>
          <w:t>49</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4" w:history="1">
        <w:r w:rsidR="009B3BE9" w:rsidRPr="00677170">
          <w:rPr>
            <w:rStyle w:val="Hyperlink"/>
            <w:noProof/>
          </w:rPr>
          <w:t>Table 34: Progress against the data standards recommendations of the Australian Haemovigilance Report 2015</w:t>
        </w:r>
        <w:r w:rsidR="009B3BE9">
          <w:rPr>
            <w:noProof/>
            <w:webHidden/>
          </w:rPr>
          <w:tab/>
        </w:r>
        <w:r w:rsidR="009B3BE9">
          <w:rPr>
            <w:noProof/>
            <w:webHidden/>
          </w:rPr>
          <w:fldChar w:fldCharType="begin"/>
        </w:r>
        <w:r w:rsidR="009B3BE9">
          <w:rPr>
            <w:noProof/>
            <w:webHidden/>
          </w:rPr>
          <w:instrText xml:space="preserve"> PAGEREF _Toc459636874 \h </w:instrText>
        </w:r>
        <w:r w:rsidR="009B3BE9">
          <w:rPr>
            <w:noProof/>
            <w:webHidden/>
          </w:rPr>
        </w:r>
        <w:r w:rsidR="009B3BE9">
          <w:rPr>
            <w:noProof/>
            <w:webHidden/>
          </w:rPr>
          <w:fldChar w:fldCharType="separate"/>
        </w:r>
        <w:r>
          <w:rPr>
            <w:noProof/>
            <w:webHidden/>
          </w:rPr>
          <w:t>50</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5" w:history="1">
        <w:r w:rsidR="009B3BE9" w:rsidRPr="00677170">
          <w:rPr>
            <w:rStyle w:val="Hyperlink"/>
            <w:noProof/>
          </w:rPr>
          <w:t>Table 35: Progress against the reporting capacity recommendations of the Australian Haemovigilance Report 2015</w:t>
        </w:r>
        <w:r w:rsidR="009B3BE9">
          <w:rPr>
            <w:noProof/>
            <w:webHidden/>
          </w:rPr>
          <w:tab/>
        </w:r>
        <w:r w:rsidR="009B3BE9">
          <w:rPr>
            <w:noProof/>
            <w:webHidden/>
          </w:rPr>
          <w:fldChar w:fldCharType="begin"/>
        </w:r>
        <w:r w:rsidR="009B3BE9">
          <w:rPr>
            <w:noProof/>
            <w:webHidden/>
          </w:rPr>
          <w:instrText xml:space="preserve"> PAGEREF _Toc459636875 \h </w:instrText>
        </w:r>
        <w:r w:rsidR="009B3BE9">
          <w:rPr>
            <w:noProof/>
            <w:webHidden/>
          </w:rPr>
        </w:r>
        <w:r w:rsidR="009B3BE9">
          <w:rPr>
            <w:noProof/>
            <w:webHidden/>
          </w:rPr>
          <w:fldChar w:fldCharType="separate"/>
        </w:r>
        <w:r>
          <w:rPr>
            <w:noProof/>
            <w:webHidden/>
          </w:rPr>
          <w:t>51</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6" w:history="1">
        <w:r w:rsidR="009B3BE9" w:rsidRPr="00677170">
          <w:rPr>
            <w:rStyle w:val="Hyperlink"/>
            <w:noProof/>
          </w:rPr>
          <w:t>Table 36: Recommendations on national blood quality and safety initiatives</w:t>
        </w:r>
        <w:r w:rsidR="009B3BE9">
          <w:rPr>
            <w:noProof/>
            <w:webHidden/>
          </w:rPr>
          <w:tab/>
        </w:r>
        <w:r w:rsidR="009B3BE9">
          <w:rPr>
            <w:noProof/>
            <w:webHidden/>
          </w:rPr>
          <w:fldChar w:fldCharType="begin"/>
        </w:r>
        <w:r w:rsidR="009B3BE9">
          <w:rPr>
            <w:noProof/>
            <w:webHidden/>
          </w:rPr>
          <w:instrText xml:space="preserve"> PAGEREF _Toc459636876 \h </w:instrText>
        </w:r>
        <w:r w:rsidR="009B3BE9">
          <w:rPr>
            <w:noProof/>
            <w:webHidden/>
          </w:rPr>
        </w:r>
        <w:r w:rsidR="009B3BE9">
          <w:rPr>
            <w:noProof/>
            <w:webHidden/>
          </w:rPr>
          <w:fldChar w:fldCharType="separate"/>
        </w:r>
        <w:r>
          <w:rPr>
            <w:noProof/>
            <w:webHidden/>
          </w:rPr>
          <w:t>53</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7" w:history="1">
        <w:r w:rsidR="009B3BE9" w:rsidRPr="00677170">
          <w:rPr>
            <w:rStyle w:val="Hyperlink"/>
            <w:noProof/>
          </w:rPr>
          <w:t>Table 37: Recommendations on reducing human errors</w:t>
        </w:r>
        <w:r w:rsidR="009B3BE9">
          <w:rPr>
            <w:noProof/>
            <w:webHidden/>
          </w:rPr>
          <w:tab/>
        </w:r>
        <w:r w:rsidR="009B3BE9">
          <w:rPr>
            <w:noProof/>
            <w:webHidden/>
          </w:rPr>
          <w:fldChar w:fldCharType="begin"/>
        </w:r>
        <w:r w:rsidR="009B3BE9">
          <w:rPr>
            <w:noProof/>
            <w:webHidden/>
          </w:rPr>
          <w:instrText xml:space="preserve"> PAGEREF _Toc459636877 \h </w:instrText>
        </w:r>
        <w:r w:rsidR="009B3BE9">
          <w:rPr>
            <w:noProof/>
            <w:webHidden/>
          </w:rPr>
        </w:r>
        <w:r w:rsidR="009B3BE9">
          <w:rPr>
            <w:noProof/>
            <w:webHidden/>
          </w:rPr>
          <w:fldChar w:fldCharType="separate"/>
        </w:r>
        <w:r>
          <w:rPr>
            <w:noProof/>
            <w:webHidden/>
          </w:rPr>
          <w:t>54</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8" w:history="1">
        <w:r w:rsidR="009B3BE9" w:rsidRPr="00677170">
          <w:rPr>
            <w:rStyle w:val="Hyperlink"/>
            <w:noProof/>
          </w:rPr>
          <w:t>Table 38: Recommendations on data standards</w:t>
        </w:r>
        <w:r w:rsidR="009B3BE9">
          <w:rPr>
            <w:noProof/>
            <w:webHidden/>
          </w:rPr>
          <w:tab/>
        </w:r>
        <w:r w:rsidR="009B3BE9">
          <w:rPr>
            <w:noProof/>
            <w:webHidden/>
          </w:rPr>
          <w:fldChar w:fldCharType="begin"/>
        </w:r>
        <w:r w:rsidR="009B3BE9">
          <w:rPr>
            <w:noProof/>
            <w:webHidden/>
          </w:rPr>
          <w:instrText xml:space="preserve"> PAGEREF _Toc459636878 \h </w:instrText>
        </w:r>
        <w:r w:rsidR="009B3BE9">
          <w:rPr>
            <w:noProof/>
            <w:webHidden/>
          </w:rPr>
        </w:r>
        <w:r w:rsidR="009B3BE9">
          <w:rPr>
            <w:noProof/>
            <w:webHidden/>
          </w:rPr>
          <w:fldChar w:fldCharType="separate"/>
        </w:r>
        <w:r>
          <w:rPr>
            <w:noProof/>
            <w:webHidden/>
          </w:rPr>
          <w:t>55</w:t>
        </w:r>
        <w:r w:rsidR="009B3BE9">
          <w:rPr>
            <w:noProof/>
            <w:webHidden/>
          </w:rPr>
          <w:fldChar w:fldCharType="end"/>
        </w:r>
      </w:hyperlink>
    </w:p>
    <w:p w:rsidR="009B3BE9" w:rsidRDefault="000010BC">
      <w:pPr>
        <w:pStyle w:val="TableofFigures"/>
        <w:tabs>
          <w:tab w:val="right" w:leader="dot" w:pos="9628"/>
        </w:tabs>
        <w:rPr>
          <w:rFonts w:asciiTheme="minorHAnsi" w:eastAsiaTheme="minorEastAsia" w:hAnsiTheme="minorHAnsi" w:cstheme="minorBidi"/>
          <w:noProof/>
          <w:lang w:eastAsia="en-AU"/>
        </w:rPr>
      </w:pPr>
      <w:hyperlink w:anchor="_Toc459636879" w:history="1">
        <w:r w:rsidR="009B3BE9" w:rsidRPr="00677170">
          <w:rPr>
            <w:rStyle w:val="Hyperlink"/>
            <w:noProof/>
          </w:rPr>
          <w:t>Table 39: Recommendations on reporting capacity</w:t>
        </w:r>
        <w:r w:rsidR="009B3BE9">
          <w:rPr>
            <w:noProof/>
            <w:webHidden/>
          </w:rPr>
          <w:tab/>
        </w:r>
        <w:r w:rsidR="009B3BE9">
          <w:rPr>
            <w:noProof/>
            <w:webHidden/>
          </w:rPr>
          <w:fldChar w:fldCharType="begin"/>
        </w:r>
        <w:r w:rsidR="009B3BE9">
          <w:rPr>
            <w:noProof/>
            <w:webHidden/>
          </w:rPr>
          <w:instrText xml:space="preserve"> PAGEREF _Toc459636879 \h </w:instrText>
        </w:r>
        <w:r w:rsidR="009B3BE9">
          <w:rPr>
            <w:noProof/>
            <w:webHidden/>
          </w:rPr>
        </w:r>
        <w:r w:rsidR="009B3BE9">
          <w:rPr>
            <w:noProof/>
            <w:webHidden/>
          </w:rPr>
          <w:fldChar w:fldCharType="separate"/>
        </w:r>
        <w:r>
          <w:rPr>
            <w:noProof/>
            <w:webHidden/>
          </w:rPr>
          <w:t>56</w:t>
        </w:r>
        <w:r w:rsidR="009B3BE9">
          <w:rPr>
            <w:noProof/>
            <w:webHidden/>
          </w:rPr>
          <w:fldChar w:fldCharType="end"/>
        </w:r>
      </w:hyperlink>
    </w:p>
    <w:p w:rsidR="00D27B7D" w:rsidRPr="00BA4CCD" w:rsidRDefault="004A2C9F" w:rsidP="00821618">
      <w:pPr>
        <w:pStyle w:val="Heading1"/>
      </w:pPr>
      <w:r w:rsidRPr="004C5C80">
        <w:lastRenderedPageBreak/>
        <w:fldChar w:fldCharType="end"/>
      </w:r>
      <w:bookmarkStart w:id="12" w:name="_Toc420837235"/>
      <w:bookmarkStart w:id="13" w:name="_Toc459366149"/>
      <w:r w:rsidR="00D27B7D" w:rsidRPr="00BA4CCD">
        <w:t>CAVEAT</w:t>
      </w:r>
      <w:bookmarkEnd w:id="12"/>
      <w:bookmarkEnd w:id="13"/>
    </w:p>
    <w:p w:rsidR="00F1550C" w:rsidRDefault="00B1673B" w:rsidP="00B366E9">
      <w:pPr>
        <w:rPr>
          <w:lang w:eastAsia="en-AU"/>
        </w:rPr>
      </w:pPr>
      <w:r w:rsidRPr="00B1673B">
        <w:rPr>
          <w:lang w:eastAsia="en-AU"/>
        </w:rPr>
        <w:t xml:space="preserve">Reporting of </w:t>
      </w:r>
      <w:proofErr w:type="spellStart"/>
      <w:r w:rsidRPr="00B1673B">
        <w:rPr>
          <w:lang w:eastAsia="en-AU"/>
        </w:rPr>
        <w:t>haemovigilance</w:t>
      </w:r>
      <w:proofErr w:type="spellEnd"/>
      <w:r w:rsidRPr="00B1673B">
        <w:rPr>
          <w:lang w:eastAsia="en-AU"/>
        </w:rPr>
        <w:t xml:space="preserve"> data to the national </w:t>
      </w:r>
      <w:proofErr w:type="spellStart"/>
      <w:r w:rsidRPr="00B1673B">
        <w:rPr>
          <w:lang w:eastAsia="en-AU"/>
        </w:rPr>
        <w:t>haemovigilance</w:t>
      </w:r>
      <w:proofErr w:type="spellEnd"/>
      <w:r w:rsidRPr="00B1673B">
        <w:rPr>
          <w:lang w:eastAsia="en-AU"/>
        </w:rPr>
        <w:t xml:space="preserve"> program is voluntary </w:t>
      </w:r>
      <w:r w:rsidR="0091316B">
        <w:rPr>
          <w:lang w:eastAsia="en-AU"/>
        </w:rPr>
        <w:t xml:space="preserve">and data validation is </w:t>
      </w:r>
      <w:r w:rsidR="009E7B49">
        <w:rPr>
          <w:lang w:eastAsia="en-AU"/>
        </w:rPr>
        <w:t>not performed in all instances</w:t>
      </w:r>
      <w:r w:rsidR="0091316B">
        <w:rPr>
          <w:lang w:eastAsia="en-AU"/>
        </w:rPr>
        <w:t xml:space="preserve"> in Australia.</w:t>
      </w:r>
      <w:r>
        <w:rPr>
          <w:lang w:eastAsia="en-AU"/>
        </w:rPr>
        <w:t xml:space="preserve"> </w:t>
      </w:r>
      <w:r w:rsidR="00D27B7D" w:rsidRPr="000A35E5">
        <w:rPr>
          <w:lang w:eastAsia="en-AU"/>
        </w:rPr>
        <w:t xml:space="preserve">When using </w:t>
      </w:r>
      <w:r w:rsidR="00F1550C">
        <w:rPr>
          <w:lang w:eastAsia="en-AU"/>
        </w:rPr>
        <w:t xml:space="preserve">the </w:t>
      </w:r>
      <w:r w:rsidR="00D27B7D" w:rsidRPr="000A35E5">
        <w:rPr>
          <w:lang w:eastAsia="en-AU"/>
        </w:rPr>
        <w:t>data from this report it is important to note that</w:t>
      </w:r>
      <w:r>
        <w:rPr>
          <w:lang w:eastAsia="en-AU"/>
        </w:rPr>
        <w:t xml:space="preserve"> it</w:t>
      </w:r>
      <w:r w:rsidR="00D27B7D" w:rsidRPr="000A35E5">
        <w:rPr>
          <w:lang w:eastAsia="en-AU"/>
        </w:rPr>
        <w:t xml:space="preserve"> </w:t>
      </w:r>
      <w:r w:rsidR="00167723">
        <w:rPr>
          <w:lang w:eastAsia="en-AU"/>
        </w:rPr>
        <w:t>has quality issues</w:t>
      </w:r>
      <w:r>
        <w:rPr>
          <w:lang w:eastAsia="en-AU"/>
        </w:rPr>
        <w:t xml:space="preserve"> in relation to data completeness, </w:t>
      </w:r>
      <w:r w:rsidR="0091316B">
        <w:rPr>
          <w:lang w:eastAsia="en-AU"/>
        </w:rPr>
        <w:t xml:space="preserve">standardisation and </w:t>
      </w:r>
      <w:r>
        <w:rPr>
          <w:lang w:eastAsia="en-AU"/>
        </w:rPr>
        <w:t xml:space="preserve">relevance </w:t>
      </w:r>
      <w:r w:rsidR="0091316B">
        <w:rPr>
          <w:lang w:eastAsia="en-AU"/>
        </w:rPr>
        <w:t>as described in Part 02</w:t>
      </w:r>
      <w:r w:rsidR="00167723">
        <w:rPr>
          <w:lang w:eastAsia="en-AU"/>
        </w:rPr>
        <w:t xml:space="preserve">. </w:t>
      </w:r>
      <w:r w:rsidR="00F1550C">
        <w:rPr>
          <w:lang w:eastAsia="en-AU"/>
        </w:rPr>
        <w:t>For example:</w:t>
      </w:r>
    </w:p>
    <w:p w:rsidR="00F1550C" w:rsidRDefault="00F1550C" w:rsidP="0093147B">
      <w:pPr>
        <w:pStyle w:val="ListParagraph"/>
        <w:numPr>
          <w:ilvl w:val="0"/>
          <w:numId w:val="55"/>
        </w:numPr>
        <w:rPr>
          <w:lang w:eastAsia="en-AU"/>
        </w:rPr>
      </w:pPr>
      <w:r>
        <w:rPr>
          <w:lang w:eastAsia="en-AU"/>
        </w:rPr>
        <w:t xml:space="preserve">All the adverse events </w:t>
      </w:r>
      <w:r w:rsidR="00B366E9">
        <w:rPr>
          <w:lang w:eastAsia="en-AU"/>
        </w:rPr>
        <w:t>in</w:t>
      </w:r>
      <w:r>
        <w:rPr>
          <w:lang w:eastAsia="en-AU"/>
        </w:rPr>
        <w:t xml:space="preserve"> this report are reported cases rather than confirmed cases. The TRALI and TTI data is not reconciled with the Blood Service.</w:t>
      </w:r>
    </w:p>
    <w:p w:rsidR="00244D65" w:rsidRDefault="0091316B" w:rsidP="0093147B">
      <w:pPr>
        <w:pStyle w:val="ListParagraph"/>
        <w:numPr>
          <w:ilvl w:val="0"/>
          <w:numId w:val="55"/>
        </w:numPr>
        <w:rPr>
          <w:lang w:eastAsia="en-AU"/>
        </w:rPr>
      </w:pPr>
      <w:r>
        <w:rPr>
          <w:lang w:eastAsia="en-AU"/>
        </w:rPr>
        <w:t>D</w:t>
      </w:r>
      <w:r w:rsidR="00D27B7D">
        <w:rPr>
          <w:lang w:eastAsia="en-AU"/>
        </w:rPr>
        <w:t>ata contributions vary across years and between states/territori</w:t>
      </w:r>
      <w:r w:rsidR="00244D65">
        <w:rPr>
          <w:lang w:eastAsia="en-AU"/>
        </w:rPr>
        <w:t>es</w:t>
      </w:r>
      <w:r w:rsidR="00F1550C">
        <w:rPr>
          <w:lang w:eastAsia="en-AU"/>
        </w:rPr>
        <w:t>.</w:t>
      </w:r>
    </w:p>
    <w:p w:rsidR="00244D65" w:rsidRDefault="00244D65" w:rsidP="0093147B">
      <w:pPr>
        <w:pStyle w:val="ListParagraph"/>
        <w:numPr>
          <w:ilvl w:val="0"/>
          <w:numId w:val="55"/>
        </w:numPr>
        <w:rPr>
          <w:lang w:eastAsia="en-AU"/>
        </w:rPr>
      </w:pPr>
      <w:r>
        <w:rPr>
          <w:lang w:eastAsia="en-AU"/>
        </w:rPr>
        <w:t>Data</w:t>
      </w:r>
      <w:r w:rsidR="0091316B">
        <w:rPr>
          <w:lang w:eastAsia="en-AU"/>
        </w:rPr>
        <w:t xml:space="preserve"> is under</w:t>
      </w:r>
      <w:r w:rsidR="00A85F2C">
        <w:rPr>
          <w:lang w:eastAsia="en-AU"/>
        </w:rPr>
        <w:t>-</w:t>
      </w:r>
      <w:r w:rsidR="0091316B">
        <w:rPr>
          <w:lang w:eastAsia="en-AU"/>
        </w:rPr>
        <w:t xml:space="preserve">reported for private health service providers and </w:t>
      </w:r>
      <w:r>
        <w:rPr>
          <w:lang w:eastAsia="en-AU"/>
        </w:rPr>
        <w:t xml:space="preserve">some </w:t>
      </w:r>
      <w:r w:rsidR="0091316B">
        <w:rPr>
          <w:lang w:eastAsia="en-AU"/>
        </w:rPr>
        <w:t>adverse events such as t</w:t>
      </w:r>
      <w:r w:rsidR="0091316B" w:rsidRPr="0091316B">
        <w:rPr>
          <w:lang w:eastAsia="en-AU"/>
        </w:rPr>
        <w:t>ransfusion</w:t>
      </w:r>
      <w:r w:rsidR="004A3674">
        <w:rPr>
          <w:lang w:eastAsia="en-AU"/>
        </w:rPr>
        <w:noBreakHyphen/>
      </w:r>
      <w:r w:rsidR="0091316B" w:rsidRPr="0091316B">
        <w:rPr>
          <w:lang w:eastAsia="en-AU"/>
        </w:rPr>
        <w:t>associated circulatory overload</w:t>
      </w:r>
      <w:r w:rsidR="0091316B">
        <w:rPr>
          <w:lang w:eastAsia="en-AU"/>
        </w:rPr>
        <w:t>.</w:t>
      </w:r>
    </w:p>
    <w:p w:rsidR="00244D65" w:rsidRDefault="00244D65" w:rsidP="0093147B">
      <w:pPr>
        <w:pStyle w:val="ListParagraph"/>
        <w:numPr>
          <w:ilvl w:val="0"/>
          <w:numId w:val="55"/>
        </w:numPr>
        <w:rPr>
          <w:lang w:eastAsia="en-AU"/>
        </w:rPr>
      </w:pPr>
      <w:r>
        <w:rPr>
          <w:lang w:eastAsia="en-AU"/>
        </w:rPr>
        <w:t xml:space="preserve">Near misses and denominator data are not collected and reported at national level. </w:t>
      </w:r>
    </w:p>
    <w:p w:rsidR="00244D65" w:rsidRDefault="00244D65" w:rsidP="0093147B">
      <w:pPr>
        <w:pStyle w:val="ListParagraph"/>
        <w:numPr>
          <w:ilvl w:val="0"/>
          <w:numId w:val="55"/>
        </w:numPr>
        <w:rPr>
          <w:lang w:eastAsia="en-AU"/>
        </w:rPr>
      </w:pPr>
      <w:r>
        <w:rPr>
          <w:lang w:eastAsia="en-AU"/>
        </w:rPr>
        <w:t xml:space="preserve">The adverse events definitions used for the reporting are not </w:t>
      </w:r>
      <w:r w:rsidR="009E7B49">
        <w:rPr>
          <w:lang w:eastAsia="en-AU"/>
        </w:rPr>
        <w:t>consistent</w:t>
      </w:r>
      <w:r>
        <w:rPr>
          <w:lang w:eastAsia="en-AU"/>
        </w:rPr>
        <w:t xml:space="preserve"> with the current ISBT def</w:t>
      </w:r>
      <w:r w:rsidR="00F1550C">
        <w:rPr>
          <w:lang w:eastAsia="en-AU"/>
        </w:rPr>
        <w:t xml:space="preserve">initions; </w:t>
      </w:r>
      <w:r w:rsidR="00F1550C" w:rsidRPr="00F1550C">
        <w:rPr>
          <w:lang w:eastAsia="en-AU"/>
        </w:rPr>
        <w:t>therefore the data cannot be properly analysed and compared at national level and international level.</w:t>
      </w:r>
    </w:p>
    <w:p w:rsidR="00D27B7D" w:rsidRDefault="00244D65" w:rsidP="0093147B">
      <w:pPr>
        <w:pStyle w:val="ListParagraph"/>
        <w:numPr>
          <w:ilvl w:val="0"/>
          <w:numId w:val="55"/>
        </w:numPr>
        <w:rPr>
          <w:lang w:eastAsia="en-AU"/>
        </w:rPr>
      </w:pPr>
      <w:r>
        <w:rPr>
          <w:lang w:eastAsia="en-AU"/>
        </w:rPr>
        <w:t xml:space="preserve">There </w:t>
      </w:r>
      <w:r w:rsidR="009E7B49">
        <w:rPr>
          <w:lang w:eastAsia="en-AU"/>
        </w:rPr>
        <w:t>is</w:t>
      </w:r>
      <w:r>
        <w:rPr>
          <w:lang w:eastAsia="en-AU"/>
        </w:rPr>
        <w:t xml:space="preserve"> no detailed data on Australian practices to monitor improvement over time.</w:t>
      </w:r>
    </w:p>
    <w:p w:rsidR="00C94185" w:rsidRDefault="00C94185" w:rsidP="00157167">
      <w:pPr>
        <w:rPr>
          <w:lang w:eastAsia="en-AU"/>
        </w:rPr>
      </w:pPr>
      <w:r>
        <w:rPr>
          <w:lang w:eastAsia="en-AU"/>
        </w:rPr>
        <w:br w:type="page"/>
      </w:r>
    </w:p>
    <w:p w:rsidR="004C5C80" w:rsidRPr="00985A4D" w:rsidRDefault="004C5C80" w:rsidP="00985A4D">
      <w:pPr>
        <w:pStyle w:val="Heading1"/>
        <w:rPr>
          <w:lang w:eastAsia="en-AU"/>
        </w:rPr>
      </w:pPr>
      <w:bookmarkStart w:id="14" w:name="_Toc459366150"/>
      <w:r w:rsidRPr="004C5C80">
        <w:rPr>
          <w:lang w:eastAsia="en-AU"/>
        </w:rPr>
        <w:lastRenderedPageBreak/>
        <w:t>MESSAGE FROM THE GENERAL MANAGER OF THE NATIONAL BLOOD AUTHORITY</w:t>
      </w:r>
      <w:bookmarkEnd w:id="8"/>
      <w:bookmarkEnd w:id="14"/>
    </w:p>
    <w:p w:rsidR="00986861" w:rsidRPr="00986861" w:rsidRDefault="00986861" w:rsidP="00986861">
      <w:pPr>
        <w:autoSpaceDE w:val="0"/>
        <w:autoSpaceDN w:val="0"/>
        <w:adjustRightInd w:val="0"/>
        <w:spacing w:after="0"/>
        <w:rPr>
          <w:lang w:eastAsia="en-AU"/>
        </w:rPr>
      </w:pPr>
      <w:r w:rsidRPr="00986861">
        <w:rPr>
          <w:lang w:eastAsia="en-AU"/>
        </w:rPr>
        <w:t xml:space="preserve">On behalf of the National Blood Authority (NBA), I am pleased to present the fifth Australian </w:t>
      </w:r>
      <w:proofErr w:type="spellStart"/>
      <w:r w:rsidRPr="00986861">
        <w:rPr>
          <w:lang w:eastAsia="en-AU"/>
        </w:rPr>
        <w:t>Haemovigilance</w:t>
      </w:r>
      <w:proofErr w:type="spellEnd"/>
      <w:r w:rsidRPr="00986861">
        <w:rPr>
          <w:lang w:eastAsia="en-AU"/>
        </w:rPr>
        <w:t xml:space="preserve"> Report. This report provides information on transfusion-related and donation-related adverse events b</w:t>
      </w:r>
      <w:r w:rsidR="00157167">
        <w:rPr>
          <w:lang w:eastAsia="en-AU"/>
        </w:rPr>
        <w:t>etween July 2013 and June 2014.</w:t>
      </w:r>
    </w:p>
    <w:p w:rsidR="00986861" w:rsidRPr="00986861" w:rsidRDefault="00986861" w:rsidP="00986861">
      <w:pPr>
        <w:autoSpaceDE w:val="0"/>
        <w:autoSpaceDN w:val="0"/>
        <w:adjustRightInd w:val="0"/>
        <w:spacing w:after="0"/>
        <w:rPr>
          <w:lang w:eastAsia="en-AU"/>
        </w:rPr>
      </w:pPr>
    </w:p>
    <w:p w:rsidR="00986861" w:rsidRPr="00986861" w:rsidRDefault="00986861" w:rsidP="00986861">
      <w:pPr>
        <w:autoSpaceDE w:val="0"/>
        <w:autoSpaceDN w:val="0"/>
        <w:adjustRightInd w:val="0"/>
        <w:spacing w:after="0"/>
        <w:rPr>
          <w:lang w:eastAsia="en-AU"/>
        </w:rPr>
      </w:pPr>
      <w:proofErr w:type="spellStart"/>
      <w:r w:rsidRPr="00986861">
        <w:rPr>
          <w:lang w:eastAsia="en-AU"/>
        </w:rPr>
        <w:t>Haemovigilance</w:t>
      </w:r>
      <w:proofErr w:type="spellEnd"/>
      <w:r w:rsidRPr="00986861">
        <w:rPr>
          <w:lang w:eastAsia="en-AU"/>
        </w:rPr>
        <w:t xml:space="preserve"> is an important tool to improve the effective and appropriate management of blood and blood products, and to ensure the safety of Australians receiving and donating blood. The National Safety and Quality Health Service Standard 7 on Blood and Blood Products (NSQHS Standard 7) </w:t>
      </w:r>
      <w:proofErr w:type="gramStart"/>
      <w:r w:rsidRPr="00986861">
        <w:rPr>
          <w:lang w:eastAsia="en-AU"/>
        </w:rPr>
        <w:t>require</w:t>
      </w:r>
      <w:r w:rsidR="0067689B">
        <w:rPr>
          <w:lang w:eastAsia="en-AU"/>
        </w:rPr>
        <w:t>s</w:t>
      </w:r>
      <w:proofErr w:type="gramEnd"/>
      <w:r w:rsidRPr="00986861">
        <w:rPr>
          <w:lang w:eastAsia="en-AU"/>
        </w:rPr>
        <w:t xml:space="preserve"> health service organisations </w:t>
      </w:r>
      <w:r w:rsidR="00F46D5E">
        <w:rPr>
          <w:lang w:eastAsia="en-AU"/>
        </w:rPr>
        <w:t xml:space="preserve">to </w:t>
      </w:r>
      <w:r w:rsidRPr="00986861">
        <w:rPr>
          <w:lang w:eastAsia="en-AU"/>
        </w:rPr>
        <w:t xml:space="preserve">participate in relevant </w:t>
      </w:r>
      <w:proofErr w:type="spellStart"/>
      <w:r w:rsidRPr="00986861">
        <w:rPr>
          <w:lang w:eastAsia="en-AU"/>
        </w:rPr>
        <w:t>haemovigilance</w:t>
      </w:r>
      <w:proofErr w:type="spellEnd"/>
      <w:r w:rsidRPr="00986861">
        <w:rPr>
          <w:lang w:eastAsia="en-AU"/>
        </w:rPr>
        <w:t xml:space="preserve"> activities conducted at state or national level.</w:t>
      </w:r>
    </w:p>
    <w:p w:rsidR="00986861" w:rsidRPr="00986861" w:rsidRDefault="00986861" w:rsidP="00986861">
      <w:pPr>
        <w:autoSpaceDE w:val="0"/>
        <w:autoSpaceDN w:val="0"/>
        <w:adjustRightInd w:val="0"/>
        <w:spacing w:after="0"/>
        <w:rPr>
          <w:lang w:eastAsia="en-AU"/>
        </w:rPr>
      </w:pPr>
    </w:p>
    <w:p w:rsidR="00986861" w:rsidRPr="00986861" w:rsidRDefault="00986861" w:rsidP="00986861">
      <w:pPr>
        <w:autoSpaceDE w:val="0"/>
        <w:autoSpaceDN w:val="0"/>
        <w:adjustRightInd w:val="0"/>
        <w:spacing w:after="0"/>
        <w:rPr>
          <w:lang w:eastAsia="en-AU"/>
        </w:rPr>
      </w:pPr>
      <w:r w:rsidRPr="00986861">
        <w:rPr>
          <w:lang w:eastAsia="en-AU"/>
        </w:rPr>
        <w:t xml:space="preserve">To ensure patient safety in blood transfusion, the NBA embarked on a program to develop Patient Blood Management Guidelines for fresh blood. </w:t>
      </w:r>
      <w:r w:rsidR="00C6276C">
        <w:rPr>
          <w:lang w:eastAsia="en-AU"/>
        </w:rPr>
        <w:t>S</w:t>
      </w:r>
      <w:r w:rsidRPr="00986861">
        <w:rPr>
          <w:lang w:eastAsia="en-AU"/>
        </w:rPr>
        <w:t>ix</w:t>
      </w:r>
      <w:r w:rsidR="00C6276C">
        <w:rPr>
          <w:lang w:eastAsia="en-AU"/>
        </w:rPr>
        <w:t xml:space="preserve"> </w:t>
      </w:r>
      <w:r w:rsidRPr="00986861">
        <w:rPr>
          <w:lang w:eastAsia="en-AU"/>
        </w:rPr>
        <w:t xml:space="preserve">modules have now been published </w:t>
      </w:r>
      <w:r w:rsidR="00C6276C">
        <w:rPr>
          <w:lang w:eastAsia="en-AU"/>
        </w:rPr>
        <w:t>and the first one is under review</w:t>
      </w:r>
      <w:r w:rsidRPr="00986861">
        <w:rPr>
          <w:lang w:eastAsia="en-AU"/>
        </w:rPr>
        <w:t>. The published modules cover critical bleeding/massive transfusion, perioperative, medical, critical care</w:t>
      </w:r>
      <w:r w:rsidR="006532DC">
        <w:rPr>
          <w:lang w:eastAsia="en-AU"/>
        </w:rPr>
        <w:t xml:space="preserve">, </w:t>
      </w:r>
      <w:r w:rsidRPr="00986861">
        <w:rPr>
          <w:lang w:eastAsia="en-AU"/>
        </w:rPr>
        <w:t>obstetrics and maternity</w:t>
      </w:r>
      <w:r w:rsidR="002F7A6F">
        <w:rPr>
          <w:lang w:eastAsia="en-AU"/>
        </w:rPr>
        <w:t>, neonatal and paediatrics</w:t>
      </w:r>
      <w:r w:rsidR="00157167">
        <w:rPr>
          <w:lang w:eastAsia="en-AU"/>
        </w:rPr>
        <w:t>.</w:t>
      </w:r>
    </w:p>
    <w:p w:rsidR="00986861" w:rsidRPr="00986861" w:rsidRDefault="00986861" w:rsidP="00986861">
      <w:pPr>
        <w:autoSpaceDE w:val="0"/>
        <w:autoSpaceDN w:val="0"/>
        <w:adjustRightInd w:val="0"/>
        <w:spacing w:after="0"/>
        <w:rPr>
          <w:lang w:eastAsia="en-AU"/>
        </w:rPr>
      </w:pPr>
    </w:p>
    <w:p w:rsidR="00986861" w:rsidRPr="00986861" w:rsidRDefault="00986861" w:rsidP="00986861">
      <w:pPr>
        <w:autoSpaceDE w:val="0"/>
        <w:autoSpaceDN w:val="0"/>
        <w:adjustRightInd w:val="0"/>
        <w:spacing w:after="0"/>
        <w:rPr>
          <w:lang w:eastAsia="en-AU"/>
        </w:rPr>
      </w:pPr>
      <w:r w:rsidRPr="00986861">
        <w:rPr>
          <w:lang w:eastAsia="en-AU"/>
        </w:rPr>
        <w:t xml:space="preserve">Improvements in the appropriate use of fresh blood products and reduction in wastage </w:t>
      </w:r>
      <w:r w:rsidR="002F7A6F">
        <w:rPr>
          <w:lang w:eastAsia="en-AU"/>
        </w:rPr>
        <w:t>continue to reduc</w:t>
      </w:r>
      <w:r w:rsidR="0067689B">
        <w:rPr>
          <w:lang w:eastAsia="en-AU"/>
        </w:rPr>
        <w:t>e</w:t>
      </w:r>
      <w:r w:rsidR="002F7A6F">
        <w:rPr>
          <w:lang w:eastAsia="en-AU"/>
        </w:rPr>
        <w:t xml:space="preserve"> demand for blood products</w:t>
      </w:r>
      <w:r w:rsidRPr="00986861">
        <w:rPr>
          <w:lang w:eastAsia="en-AU"/>
        </w:rPr>
        <w:t>. The 2014–15 demand for red cells decreased by 5 per cent and platelets by around 2 per cent. This brought the total reduction in red cell demand over the last three years to 18 per cent, realising significant improvements in patient outcomes and financial savings in excess of $78</w:t>
      </w:r>
      <w:r w:rsidR="0067689B">
        <w:rPr>
          <w:lang w:eastAsia="en-AU"/>
        </w:rPr>
        <w:t> </w:t>
      </w:r>
      <w:r w:rsidRPr="00986861">
        <w:rPr>
          <w:lang w:eastAsia="en-AU"/>
        </w:rPr>
        <w:t>million. In contrast</w:t>
      </w:r>
      <w:r w:rsidR="00D846D8">
        <w:rPr>
          <w:lang w:eastAsia="en-AU"/>
        </w:rPr>
        <w:t>,</w:t>
      </w:r>
      <w:r w:rsidRPr="00986861">
        <w:rPr>
          <w:lang w:eastAsia="en-AU"/>
        </w:rPr>
        <w:t xml:space="preserve"> general hospital activities have increased by over 15 per cent in the same period.</w:t>
      </w:r>
    </w:p>
    <w:p w:rsidR="00986861" w:rsidRPr="00986861" w:rsidRDefault="00986861" w:rsidP="00986861">
      <w:pPr>
        <w:autoSpaceDE w:val="0"/>
        <w:autoSpaceDN w:val="0"/>
        <w:adjustRightInd w:val="0"/>
        <w:spacing w:after="0"/>
        <w:rPr>
          <w:lang w:eastAsia="en-AU"/>
        </w:rPr>
      </w:pPr>
    </w:p>
    <w:p w:rsidR="00986861" w:rsidRPr="00986861" w:rsidRDefault="00986861" w:rsidP="00986861">
      <w:pPr>
        <w:autoSpaceDE w:val="0"/>
        <w:autoSpaceDN w:val="0"/>
        <w:adjustRightInd w:val="0"/>
        <w:spacing w:after="0"/>
        <w:rPr>
          <w:lang w:eastAsia="en-AU"/>
        </w:rPr>
      </w:pPr>
      <w:r w:rsidRPr="00986861">
        <w:rPr>
          <w:lang w:eastAsia="en-AU"/>
        </w:rPr>
        <w:t xml:space="preserve">Australia continues to develop capacity in </w:t>
      </w:r>
      <w:proofErr w:type="spellStart"/>
      <w:r w:rsidRPr="00986861">
        <w:rPr>
          <w:lang w:eastAsia="en-AU"/>
        </w:rPr>
        <w:t>haemovigilance</w:t>
      </w:r>
      <w:proofErr w:type="spellEnd"/>
      <w:r w:rsidRPr="00986861">
        <w:rPr>
          <w:lang w:eastAsia="en-AU"/>
        </w:rPr>
        <w:t xml:space="preserve"> data collection and reporting: </w:t>
      </w:r>
    </w:p>
    <w:p w:rsidR="00986861" w:rsidRPr="00986861" w:rsidRDefault="00986861" w:rsidP="0093147B">
      <w:pPr>
        <w:pStyle w:val="ListParagraph"/>
        <w:numPr>
          <w:ilvl w:val="0"/>
          <w:numId w:val="20"/>
        </w:numPr>
        <w:autoSpaceDE w:val="0"/>
        <w:autoSpaceDN w:val="0"/>
        <w:adjustRightInd w:val="0"/>
        <w:spacing w:after="0"/>
        <w:rPr>
          <w:lang w:eastAsia="en-AU"/>
        </w:rPr>
      </w:pPr>
      <w:r w:rsidRPr="00986861">
        <w:rPr>
          <w:lang w:eastAsia="en-AU"/>
        </w:rPr>
        <w:t>The Australian Commission on Safety and Quality in Health Care (ACSQHC) with the NBA is conducting the review of NSQHS Standard 7. The public consultation on the revised standard has concluded and the implementation of the new Standard is expected in 2017</w:t>
      </w:r>
      <w:r w:rsidR="003F28D4">
        <w:rPr>
          <w:lang w:eastAsia="en-AU"/>
        </w:rPr>
        <w:t>–</w:t>
      </w:r>
      <w:r w:rsidR="002F7A6F">
        <w:rPr>
          <w:lang w:eastAsia="en-AU"/>
        </w:rPr>
        <w:t>18</w:t>
      </w:r>
      <w:r w:rsidRPr="00986861">
        <w:rPr>
          <w:lang w:eastAsia="en-AU"/>
        </w:rPr>
        <w:t>.</w:t>
      </w:r>
    </w:p>
    <w:p w:rsidR="00986861" w:rsidRPr="00986861" w:rsidRDefault="00986861" w:rsidP="0093147B">
      <w:pPr>
        <w:pStyle w:val="ListParagraph"/>
        <w:numPr>
          <w:ilvl w:val="0"/>
          <w:numId w:val="20"/>
        </w:numPr>
        <w:autoSpaceDE w:val="0"/>
        <w:autoSpaceDN w:val="0"/>
        <w:adjustRightInd w:val="0"/>
        <w:spacing w:after="0"/>
        <w:rPr>
          <w:lang w:eastAsia="en-AU"/>
        </w:rPr>
      </w:pPr>
      <w:r w:rsidRPr="00986861">
        <w:rPr>
          <w:lang w:eastAsia="en-AU"/>
        </w:rPr>
        <w:t xml:space="preserve">Governments have implemented a Strategic Framework for the National </w:t>
      </w:r>
      <w:proofErr w:type="spellStart"/>
      <w:r w:rsidRPr="00986861">
        <w:rPr>
          <w:lang w:eastAsia="en-AU"/>
        </w:rPr>
        <w:t>Haemovigilance</w:t>
      </w:r>
      <w:proofErr w:type="spellEnd"/>
      <w:r w:rsidRPr="00986861">
        <w:rPr>
          <w:lang w:eastAsia="en-AU"/>
        </w:rPr>
        <w:t xml:space="preserve"> Program to support and enhance </w:t>
      </w:r>
      <w:proofErr w:type="spellStart"/>
      <w:r w:rsidRPr="00986861">
        <w:rPr>
          <w:lang w:eastAsia="en-AU"/>
        </w:rPr>
        <w:t>haemovigilance</w:t>
      </w:r>
      <w:proofErr w:type="spellEnd"/>
      <w:r w:rsidRPr="00986861">
        <w:rPr>
          <w:lang w:eastAsia="en-AU"/>
        </w:rPr>
        <w:t xml:space="preserve"> activities, define </w:t>
      </w:r>
      <w:proofErr w:type="spellStart"/>
      <w:r w:rsidRPr="00986861">
        <w:rPr>
          <w:lang w:eastAsia="en-AU"/>
        </w:rPr>
        <w:t>haemovigilance</w:t>
      </w:r>
      <w:proofErr w:type="spellEnd"/>
      <w:r w:rsidRPr="00986861">
        <w:rPr>
          <w:lang w:eastAsia="en-AU"/>
        </w:rPr>
        <w:t xml:space="preserve"> roles and responsibilities within Australia and identify data collection and reporting obligations at local, state</w:t>
      </w:r>
      <w:r w:rsidR="00157167">
        <w:rPr>
          <w:lang w:eastAsia="en-AU"/>
        </w:rPr>
        <w:t>/territory and national levels.</w:t>
      </w:r>
    </w:p>
    <w:p w:rsidR="00986861" w:rsidRPr="00986861" w:rsidRDefault="00986861" w:rsidP="0093147B">
      <w:pPr>
        <w:pStyle w:val="ListParagraph"/>
        <w:numPr>
          <w:ilvl w:val="0"/>
          <w:numId w:val="20"/>
        </w:numPr>
        <w:autoSpaceDE w:val="0"/>
        <w:autoSpaceDN w:val="0"/>
        <w:adjustRightInd w:val="0"/>
        <w:spacing w:after="0"/>
        <w:rPr>
          <w:lang w:eastAsia="en-AU"/>
        </w:rPr>
      </w:pPr>
      <w:r w:rsidRPr="00986861">
        <w:rPr>
          <w:lang w:eastAsia="en-AU"/>
        </w:rPr>
        <w:t xml:space="preserve">The NBA and </w:t>
      </w:r>
      <w:proofErr w:type="spellStart"/>
      <w:r w:rsidRPr="00986861">
        <w:rPr>
          <w:lang w:eastAsia="en-AU"/>
        </w:rPr>
        <w:t>Haemovigilance</w:t>
      </w:r>
      <w:proofErr w:type="spellEnd"/>
      <w:r w:rsidRPr="00986861">
        <w:rPr>
          <w:lang w:eastAsia="en-AU"/>
        </w:rPr>
        <w:t xml:space="preserve"> Advisory Committee (HAC) have redeveloped</w:t>
      </w:r>
      <w:r w:rsidR="00FD6F3C">
        <w:rPr>
          <w:lang w:eastAsia="en-AU"/>
        </w:rPr>
        <w:t xml:space="preserve"> and published</w:t>
      </w:r>
      <w:r w:rsidRPr="00986861">
        <w:rPr>
          <w:lang w:eastAsia="en-AU"/>
        </w:rPr>
        <w:t xml:space="preserve"> the Australian </w:t>
      </w:r>
      <w:proofErr w:type="spellStart"/>
      <w:r w:rsidRPr="00986861">
        <w:rPr>
          <w:lang w:eastAsia="en-AU"/>
        </w:rPr>
        <w:t>Haemovigilance</w:t>
      </w:r>
      <w:proofErr w:type="spellEnd"/>
      <w:r w:rsidRPr="00986861">
        <w:rPr>
          <w:lang w:eastAsia="en-AU"/>
        </w:rPr>
        <w:t xml:space="preserve"> Minimum Data Set (AHMDS), previously known as the Australian National </w:t>
      </w:r>
      <w:proofErr w:type="spellStart"/>
      <w:r w:rsidRPr="00986861">
        <w:rPr>
          <w:lang w:eastAsia="en-AU"/>
        </w:rPr>
        <w:t>Haemovig</w:t>
      </w:r>
      <w:r w:rsidR="00157167">
        <w:rPr>
          <w:lang w:eastAsia="en-AU"/>
        </w:rPr>
        <w:t>ilance</w:t>
      </w:r>
      <w:proofErr w:type="spellEnd"/>
      <w:r w:rsidR="00157167">
        <w:rPr>
          <w:lang w:eastAsia="en-AU"/>
        </w:rPr>
        <w:t xml:space="preserve"> Data Dictionary (ANHDD).</w:t>
      </w:r>
    </w:p>
    <w:p w:rsidR="00986861" w:rsidRPr="00986861" w:rsidRDefault="00986861" w:rsidP="0093147B">
      <w:pPr>
        <w:pStyle w:val="ListParagraph"/>
        <w:numPr>
          <w:ilvl w:val="0"/>
          <w:numId w:val="20"/>
        </w:numPr>
        <w:autoSpaceDE w:val="0"/>
        <w:autoSpaceDN w:val="0"/>
        <w:adjustRightInd w:val="0"/>
        <w:spacing w:after="0"/>
        <w:rPr>
          <w:lang w:eastAsia="en-AU"/>
        </w:rPr>
      </w:pPr>
      <w:r w:rsidRPr="00986861">
        <w:rPr>
          <w:lang w:eastAsia="en-AU"/>
        </w:rPr>
        <w:t xml:space="preserve">The NBA has </w:t>
      </w:r>
      <w:r w:rsidR="002F7A6F">
        <w:rPr>
          <w:lang w:eastAsia="en-AU"/>
        </w:rPr>
        <w:t xml:space="preserve">assisted </w:t>
      </w:r>
      <w:r w:rsidRPr="00986861">
        <w:rPr>
          <w:lang w:eastAsia="en-AU"/>
        </w:rPr>
        <w:t xml:space="preserve">QLD and WA </w:t>
      </w:r>
      <w:r w:rsidR="002F7A6F">
        <w:rPr>
          <w:lang w:eastAsia="en-AU"/>
        </w:rPr>
        <w:t xml:space="preserve">to </w:t>
      </w:r>
      <w:r w:rsidRPr="00986861">
        <w:rPr>
          <w:lang w:eastAsia="en-AU"/>
        </w:rPr>
        <w:t xml:space="preserve">develop and implement </w:t>
      </w:r>
      <w:proofErr w:type="spellStart"/>
      <w:r w:rsidRPr="00986861">
        <w:rPr>
          <w:lang w:eastAsia="en-AU"/>
        </w:rPr>
        <w:t>haemovigilance</w:t>
      </w:r>
      <w:proofErr w:type="spellEnd"/>
      <w:r w:rsidRPr="00986861">
        <w:rPr>
          <w:lang w:eastAsia="en-AU"/>
        </w:rPr>
        <w:t xml:space="preserve"> data collection forms. QLD Health has used the forms </w:t>
      </w:r>
      <w:r w:rsidR="00FD6F3C">
        <w:rPr>
          <w:lang w:eastAsia="en-AU"/>
        </w:rPr>
        <w:t xml:space="preserve">to collect and report </w:t>
      </w:r>
      <w:r w:rsidRPr="00986861">
        <w:rPr>
          <w:lang w:eastAsia="en-AU"/>
        </w:rPr>
        <w:t xml:space="preserve">2013–14 data. WA is using the forms </w:t>
      </w:r>
      <w:r w:rsidR="00FD6F3C">
        <w:rPr>
          <w:lang w:eastAsia="en-AU"/>
        </w:rPr>
        <w:t xml:space="preserve">to collect </w:t>
      </w:r>
      <w:proofErr w:type="spellStart"/>
      <w:r w:rsidRPr="00986861">
        <w:rPr>
          <w:lang w:eastAsia="en-AU"/>
        </w:rPr>
        <w:t>h</w:t>
      </w:r>
      <w:r w:rsidR="00157167">
        <w:rPr>
          <w:lang w:eastAsia="en-AU"/>
        </w:rPr>
        <w:t>aemovigilance</w:t>
      </w:r>
      <w:proofErr w:type="spellEnd"/>
      <w:r w:rsidR="00157167">
        <w:rPr>
          <w:lang w:eastAsia="en-AU"/>
        </w:rPr>
        <w:t xml:space="preserve"> data for 2015–16.</w:t>
      </w:r>
    </w:p>
    <w:p w:rsidR="00986861" w:rsidRPr="00986861" w:rsidRDefault="00986861" w:rsidP="0093147B">
      <w:pPr>
        <w:pStyle w:val="ListParagraph"/>
        <w:numPr>
          <w:ilvl w:val="0"/>
          <w:numId w:val="20"/>
        </w:numPr>
        <w:autoSpaceDE w:val="0"/>
        <w:autoSpaceDN w:val="0"/>
        <w:adjustRightInd w:val="0"/>
        <w:spacing w:after="0"/>
        <w:rPr>
          <w:lang w:eastAsia="en-AU"/>
        </w:rPr>
      </w:pPr>
      <w:r w:rsidRPr="00986861">
        <w:rPr>
          <w:lang w:eastAsia="en-AU"/>
        </w:rPr>
        <w:t xml:space="preserve">The NBA is working closely with HAC and key stakeholders to develop and implement a Work Plan and other tools to promote </w:t>
      </w:r>
      <w:proofErr w:type="spellStart"/>
      <w:r w:rsidRPr="00986861">
        <w:rPr>
          <w:lang w:eastAsia="en-AU"/>
        </w:rPr>
        <w:t>haemovigilance</w:t>
      </w:r>
      <w:proofErr w:type="spellEnd"/>
      <w:r w:rsidRPr="00986861">
        <w:rPr>
          <w:lang w:eastAsia="en-AU"/>
        </w:rPr>
        <w:t xml:space="preserve"> in Australia. The Blood Service is developing guidance and a chart for the recognition and manage</w:t>
      </w:r>
      <w:r w:rsidR="00157167">
        <w:rPr>
          <w:lang w:eastAsia="en-AU"/>
        </w:rPr>
        <w:t>ment of serious adverse events.</w:t>
      </w:r>
    </w:p>
    <w:p w:rsidR="00986861" w:rsidRPr="00953578" w:rsidRDefault="00986861" w:rsidP="00986861">
      <w:pPr>
        <w:autoSpaceDE w:val="0"/>
        <w:autoSpaceDN w:val="0"/>
        <w:adjustRightInd w:val="0"/>
        <w:spacing w:after="0"/>
        <w:rPr>
          <w:lang w:eastAsia="en-AU"/>
        </w:rPr>
      </w:pPr>
    </w:p>
    <w:p w:rsidR="00986861" w:rsidRPr="00201F64" w:rsidRDefault="00986861" w:rsidP="00986861">
      <w:pPr>
        <w:rPr>
          <w:lang w:eastAsia="en-AU"/>
        </w:rPr>
      </w:pPr>
      <w:r w:rsidRPr="00CE152E">
        <w:rPr>
          <w:lang w:eastAsia="en-AU"/>
        </w:rPr>
        <w:t>T</w:t>
      </w:r>
      <w:r w:rsidRPr="00201F64">
        <w:rPr>
          <w:lang w:eastAsia="en-AU"/>
        </w:rPr>
        <w:t>h</w:t>
      </w:r>
      <w:r>
        <w:rPr>
          <w:lang w:eastAsia="en-AU"/>
        </w:rPr>
        <w:t>is</w:t>
      </w:r>
      <w:r w:rsidRPr="00201F64">
        <w:rPr>
          <w:lang w:eastAsia="en-AU"/>
        </w:rPr>
        <w:t xml:space="preserve"> </w:t>
      </w:r>
      <w:r>
        <w:rPr>
          <w:lang w:eastAsia="en-AU"/>
        </w:rPr>
        <w:t>fifth</w:t>
      </w:r>
      <w:r w:rsidRPr="00CE152E">
        <w:rPr>
          <w:lang w:eastAsia="en-AU"/>
        </w:rPr>
        <w:t xml:space="preserve"> </w:t>
      </w:r>
      <w:r w:rsidRPr="00201F64">
        <w:rPr>
          <w:lang w:eastAsia="en-AU"/>
        </w:rPr>
        <w:t>report is a valuable resource for assisting in understanding the risks associated with transfusion and donation</w:t>
      </w:r>
      <w:r w:rsidRPr="00CE152E">
        <w:rPr>
          <w:lang w:eastAsia="en-AU"/>
        </w:rPr>
        <w:t xml:space="preserve"> </w:t>
      </w:r>
      <w:r w:rsidRPr="00201F64">
        <w:rPr>
          <w:lang w:eastAsia="en-AU"/>
        </w:rPr>
        <w:t>in Australia. I would like to offer sincere thanks to all contributing parties for their dedication and hard work promoting safety and quality in the Australian blood sector.</w:t>
      </w:r>
    </w:p>
    <w:p w:rsidR="00986861" w:rsidRPr="00201F64" w:rsidRDefault="00D93A00" w:rsidP="00986861">
      <w:pPr>
        <w:rPr>
          <w:lang w:eastAsia="en-AU"/>
        </w:rPr>
      </w:pPr>
      <w:r>
        <w:rPr>
          <w:noProof/>
          <w:lang w:eastAsia="en-AU"/>
        </w:rPr>
        <w:drawing>
          <wp:inline distT="0" distB="0" distL="0" distR="0">
            <wp:extent cx="1229443" cy="360608"/>
            <wp:effectExtent l="0" t="0" r="0" b="1905"/>
            <wp:docPr id="4" name="Picture 4" descr="C:\Users\79667640\AppData\Local\Microsoft\Windows\Temporary Internet Files\Content.Outlook\OLO2NGDX\Michael'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667640\AppData\Local\Microsoft\Windows\Temporary Internet Files\Content.Outlook\OLO2NGDX\Michael's Signatur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920" cy="365147"/>
                    </a:xfrm>
                    <a:prstGeom prst="rect">
                      <a:avLst/>
                    </a:prstGeom>
                    <a:noFill/>
                    <a:ln>
                      <a:noFill/>
                    </a:ln>
                  </pic:spPr>
                </pic:pic>
              </a:graphicData>
            </a:graphic>
          </wp:inline>
        </w:drawing>
      </w:r>
    </w:p>
    <w:p w:rsidR="00986861" w:rsidRPr="00201F64" w:rsidRDefault="002F7A6F" w:rsidP="00986861">
      <w:pPr>
        <w:spacing w:line="240" w:lineRule="exact"/>
        <w:contextualSpacing/>
        <w:rPr>
          <w:lang w:eastAsia="en-AU"/>
        </w:rPr>
      </w:pPr>
      <w:r>
        <w:rPr>
          <w:lang w:eastAsia="en-AU"/>
        </w:rPr>
        <w:t>Michael Stone</w:t>
      </w:r>
    </w:p>
    <w:p w:rsidR="00986861" w:rsidRPr="00201F64" w:rsidRDefault="00837992" w:rsidP="00986861">
      <w:pPr>
        <w:spacing w:line="240" w:lineRule="exact"/>
        <w:contextualSpacing/>
        <w:rPr>
          <w:lang w:eastAsia="en-AU"/>
        </w:rPr>
      </w:pPr>
      <w:r>
        <w:rPr>
          <w:lang w:eastAsia="en-AU"/>
        </w:rPr>
        <w:t xml:space="preserve">Acting </w:t>
      </w:r>
      <w:r w:rsidR="00986861" w:rsidRPr="00201F64">
        <w:rPr>
          <w:lang w:eastAsia="en-AU"/>
        </w:rPr>
        <w:t>General Manager</w:t>
      </w:r>
    </w:p>
    <w:p w:rsidR="00986861" w:rsidRPr="00201F64" w:rsidRDefault="00986861" w:rsidP="00986861">
      <w:pPr>
        <w:spacing w:line="240" w:lineRule="exact"/>
        <w:contextualSpacing/>
        <w:rPr>
          <w:lang w:eastAsia="en-AU"/>
        </w:rPr>
      </w:pPr>
      <w:r w:rsidRPr="00201F64">
        <w:rPr>
          <w:lang w:eastAsia="en-AU"/>
        </w:rPr>
        <w:t>National Blood Authority</w:t>
      </w:r>
    </w:p>
    <w:p w:rsidR="004C5C80" w:rsidRPr="00EC4AF3" w:rsidRDefault="004C5C80" w:rsidP="00EC4AF3">
      <w:pPr>
        <w:pStyle w:val="Heading1"/>
        <w:rPr>
          <w:bCs w:val="0"/>
        </w:rPr>
      </w:pPr>
      <w:bookmarkStart w:id="15" w:name="_Toc459366151"/>
      <w:r w:rsidRPr="00EC4AF3">
        <w:lastRenderedPageBreak/>
        <w:t>EXECUTIVE SUMMARY</w:t>
      </w:r>
      <w:bookmarkEnd w:id="9"/>
      <w:bookmarkEnd w:id="15"/>
    </w:p>
    <w:p w:rsidR="004C5C80" w:rsidRPr="004C5C80" w:rsidRDefault="004C5C80" w:rsidP="004C5C80">
      <w:pPr>
        <w:rPr>
          <w:lang w:eastAsia="en-AU"/>
        </w:rPr>
      </w:pPr>
      <w:r>
        <w:rPr>
          <w:lang w:eastAsia="en-AU"/>
        </w:rPr>
        <w:t xml:space="preserve">This is the </w:t>
      </w:r>
      <w:r w:rsidRPr="004C5C80">
        <w:rPr>
          <w:lang w:eastAsia="en-AU"/>
        </w:rPr>
        <w:t xml:space="preserve">Australian </w:t>
      </w:r>
      <w:proofErr w:type="spellStart"/>
      <w:r w:rsidRPr="004C5C80">
        <w:rPr>
          <w:lang w:eastAsia="en-AU"/>
        </w:rPr>
        <w:t>Haemovigilance</w:t>
      </w:r>
      <w:proofErr w:type="spellEnd"/>
      <w:r w:rsidRPr="004C5C80">
        <w:rPr>
          <w:lang w:eastAsia="en-AU"/>
        </w:rPr>
        <w:t xml:space="preserve"> Report</w:t>
      </w:r>
      <w:r w:rsidR="000B77FD">
        <w:rPr>
          <w:lang w:eastAsia="en-AU"/>
        </w:rPr>
        <w:t xml:space="preserve"> 2016 (Data for 2013-14)</w:t>
      </w:r>
      <w:r w:rsidRPr="004C5C80">
        <w:rPr>
          <w:lang w:eastAsia="en-AU"/>
        </w:rPr>
        <w:t xml:space="preserve">. It provides an overview of blood transfusion and donation-related adverse events in Australia, </w:t>
      </w:r>
      <w:r w:rsidR="000B77FD">
        <w:rPr>
          <w:lang w:eastAsia="en-AU"/>
        </w:rPr>
        <w:t>and</w:t>
      </w:r>
      <w:r w:rsidRPr="004C5C80">
        <w:rPr>
          <w:lang w:eastAsia="en-AU"/>
        </w:rPr>
        <w:t xml:space="preserve"> data and information on fresh blood product issues</w:t>
      </w:r>
      <w:r w:rsidR="000B77FD">
        <w:rPr>
          <w:lang w:eastAsia="en-AU"/>
        </w:rPr>
        <w:t xml:space="preserve"> to health service organisations</w:t>
      </w:r>
      <w:r w:rsidRPr="004C5C80">
        <w:rPr>
          <w:lang w:eastAsia="en-AU"/>
        </w:rPr>
        <w:t>. Th</w:t>
      </w:r>
      <w:r w:rsidR="00D846D8">
        <w:rPr>
          <w:lang w:eastAsia="en-AU"/>
        </w:rPr>
        <w:t>is</w:t>
      </w:r>
      <w:r w:rsidRPr="004C5C80">
        <w:rPr>
          <w:lang w:eastAsia="en-AU"/>
        </w:rPr>
        <w:t xml:space="preserve"> </w:t>
      </w:r>
      <w:r w:rsidRPr="00F46D5E">
        <w:rPr>
          <w:lang w:eastAsia="en-AU"/>
        </w:rPr>
        <w:t xml:space="preserve">report also </w:t>
      </w:r>
      <w:r w:rsidR="000B77FD" w:rsidRPr="00F46D5E">
        <w:rPr>
          <w:lang w:eastAsia="en-AU"/>
        </w:rPr>
        <w:t>makes</w:t>
      </w:r>
      <w:r w:rsidRPr="00F46D5E">
        <w:rPr>
          <w:lang w:eastAsia="en-AU"/>
        </w:rPr>
        <w:t xml:space="preserve"> 1</w:t>
      </w:r>
      <w:r w:rsidR="001B1695">
        <w:rPr>
          <w:lang w:eastAsia="en-AU"/>
        </w:rPr>
        <w:t>1</w:t>
      </w:r>
      <w:r w:rsidRPr="00F46D5E">
        <w:rPr>
          <w:lang w:eastAsia="en-AU"/>
        </w:rPr>
        <w:t xml:space="preserve"> key recommendations in</w:t>
      </w:r>
      <w:r w:rsidRPr="004C5C80">
        <w:rPr>
          <w:lang w:eastAsia="en-AU"/>
        </w:rPr>
        <w:t xml:space="preserve"> </w:t>
      </w:r>
      <w:r w:rsidR="00D846D8">
        <w:rPr>
          <w:lang w:eastAsia="en-AU"/>
        </w:rPr>
        <w:t>four</w:t>
      </w:r>
      <w:r w:rsidR="00D846D8" w:rsidRPr="004C5C80">
        <w:rPr>
          <w:lang w:eastAsia="en-AU"/>
        </w:rPr>
        <w:t xml:space="preserve"> </w:t>
      </w:r>
      <w:r w:rsidRPr="004C5C80">
        <w:rPr>
          <w:lang w:eastAsia="en-AU"/>
        </w:rPr>
        <w:t>areas:</w:t>
      </w:r>
    </w:p>
    <w:p w:rsidR="004C5C80" w:rsidRPr="004C5C80" w:rsidRDefault="004C5C80" w:rsidP="0093147B">
      <w:pPr>
        <w:numPr>
          <w:ilvl w:val="0"/>
          <w:numId w:val="4"/>
        </w:numPr>
        <w:contextualSpacing/>
        <w:rPr>
          <w:lang w:eastAsia="en-AU"/>
        </w:rPr>
      </w:pPr>
      <w:r w:rsidRPr="004C5C80">
        <w:rPr>
          <w:lang w:eastAsia="en-AU"/>
        </w:rPr>
        <w:t>national blood quality and safety initiatives</w:t>
      </w:r>
    </w:p>
    <w:p w:rsidR="004C5C80" w:rsidRPr="004C5C80" w:rsidRDefault="004C5C80" w:rsidP="0093147B">
      <w:pPr>
        <w:numPr>
          <w:ilvl w:val="0"/>
          <w:numId w:val="4"/>
        </w:numPr>
        <w:contextualSpacing/>
        <w:rPr>
          <w:lang w:eastAsia="en-AU"/>
        </w:rPr>
      </w:pPr>
      <w:r w:rsidRPr="004C5C80">
        <w:rPr>
          <w:lang w:eastAsia="en-AU"/>
        </w:rPr>
        <w:t>reducing human errors</w:t>
      </w:r>
    </w:p>
    <w:p w:rsidR="004C5C80" w:rsidRPr="004C5C80" w:rsidRDefault="004C5C80" w:rsidP="0093147B">
      <w:pPr>
        <w:numPr>
          <w:ilvl w:val="0"/>
          <w:numId w:val="4"/>
        </w:numPr>
        <w:contextualSpacing/>
        <w:rPr>
          <w:lang w:eastAsia="en-AU"/>
        </w:rPr>
      </w:pPr>
      <w:r w:rsidRPr="004C5C80">
        <w:rPr>
          <w:lang w:eastAsia="en-AU"/>
        </w:rPr>
        <w:t>data standards</w:t>
      </w:r>
    </w:p>
    <w:p w:rsidR="004C5C80" w:rsidRDefault="004C5C80" w:rsidP="0093147B">
      <w:pPr>
        <w:numPr>
          <w:ilvl w:val="0"/>
          <w:numId w:val="4"/>
        </w:numPr>
        <w:contextualSpacing/>
        <w:rPr>
          <w:lang w:eastAsia="en-AU"/>
        </w:rPr>
      </w:pPr>
      <w:proofErr w:type="gramStart"/>
      <w:r w:rsidRPr="004C5C80">
        <w:rPr>
          <w:lang w:eastAsia="en-AU"/>
        </w:rPr>
        <w:t>reporting</w:t>
      </w:r>
      <w:proofErr w:type="gramEnd"/>
      <w:r w:rsidRPr="004C5C80">
        <w:rPr>
          <w:lang w:eastAsia="en-AU"/>
        </w:rPr>
        <w:t xml:space="preserve"> capacity</w:t>
      </w:r>
      <w:r w:rsidR="00D846D8">
        <w:rPr>
          <w:lang w:eastAsia="en-AU"/>
        </w:rPr>
        <w:t>.</w:t>
      </w:r>
    </w:p>
    <w:p w:rsidR="000A35E5" w:rsidRDefault="000A35E5" w:rsidP="000A35E5">
      <w:pPr>
        <w:contextualSpacing/>
        <w:rPr>
          <w:lang w:eastAsia="en-AU"/>
        </w:rPr>
      </w:pPr>
    </w:p>
    <w:p w:rsidR="00F1550C" w:rsidRDefault="00F1550C" w:rsidP="00F1550C">
      <w:pPr>
        <w:rPr>
          <w:lang w:eastAsia="en-AU"/>
        </w:rPr>
      </w:pPr>
      <w:r w:rsidRPr="00B1673B">
        <w:rPr>
          <w:lang w:eastAsia="en-AU"/>
        </w:rPr>
        <w:t xml:space="preserve">Reporting of </w:t>
      </w:r>
      <w:proofErr w:type="spellStart"/>
      <w:r w:rsidRPr="00B1673B">
        <w:rPr>
          <w:lang w:eastAsia="en-AU"/>
        </w:rPr>
        <w:t>haemovigilance</w:t>
      </w:r>
      <w:proofErr w:type="spellEnd"/>
      <w:r w:rsidRPr="00B1673B">
        <w:rPr>
          <w:lang w:eastAsia="en-AU"/>
        </w:rPr>
        <w:t xml:space="preserve"> data to the national </w:t>
      </w:r>
      <w:proofErr w:type="spellStart"/>
      <w:r w:rsidRPr="00B1673B">
        <w:rPr>
          <w:lang w:eastAsia="en-AU"/>
        </w:rPr>
        <w:t>haemovigilance</w:t>
      </w:r>
      <w:proofErr w:type="spellEnd"/>
      <w:r w:rsidRPr="00B1673B">
        <w:rPr>
          <w:lang w:eastAsia="en-AU"/>
        </w:rPr>
        <w:t xml:space="preserve"> program is voluntary </w:t>
      </w:r>
      <w:r>
        <w:rPr>
          <w:lang w:eastAsia="en-AU"/>
        </w:rPr>
        <w:t xml:space="preserve">and data validation is lacking in Australia. </w:t>
      </w:r>
      <w:r w:rsidRPr="000A35E5">
        <w:rPr>
          <w:lang w:eastAsia="en-AU"/>
        </w:rPr>
        <w:t xml:space="preserve">When using </w:t>
      </w:r>
      <w:r>
        <w:rPr>
          <w:lang w:eastAsia="en-AU"/>
        </w:rPr>
        <w:t xml:space="preserve">the </w:t>
      </w:r>
      <w:r w:rsidRPr="000A35E5">
        <w:rPr>
          <w:lang w:eastAsia="en-AU"/>
        </w:rPr>
        <w:t>data from this report it is important to note that</w:t>
      </w:r>
      <w:r>
        <w:rPr>
          <w:lang w:eastAsia="en-AU"/>
        </w:rPr>
        <w:t xml:space="preserve"> it</w:t>
      </w:r>
      <w:r w:rsidRPr="000A35E5">
        <w:rPr>
          <w:lang w:eastAsia="en-AU"/>
        </w:rPr>
        <w:t xml:space="preserve"> </w:t>
      </w:r>
      <w:r>
        <w:rPr>
          <w:lang w:eastAsia="en-AU"/>
        </w:rPr>
        <w:t>has quality issues in relation to data completeness, standardisation and relevance as described in Part 02. For example:</w:t>
      </w:r>
    </w:p>
    <w:p w:rsidR="00F1550C" w:rsidRDefault="00F1550C" w:rsidP="0093147B">
      <w:pPr>
        <w:pStyle w:val="ListParagraph"/>
        <w:numPr>
          <w:ilvl w:val="0"/>
          <w:numId w:val="55"/>
        </w:numPr>
        <w:rPr>
          <w:lang w:eastAsia="en-AU"/>
        </w:rPr>
      </w:pPr>
      <w:r>
        <w:rPr>
          <w:lang w:eastAsia="en-AU"/>
        </w:rPr>
        <w:t>All the adverse events in this report are reported cases rather than confirmed cases. The TRALI and TTI data is not reconciled with the Blood Service.</w:t>
      </w:r>
    </w:p>
    <w:p w:rsidR="00F1550C" w:rsidRDefault="00F1550C" w:rsidP="0093147B">
      <w:pPr>
        <w:pStyle w:val="ListParagraph"/>
        <w:numPr>
          <w:ilvl w:val="0"/>
          <w:numId w:val="55"/>
        </w:numPr>
        <w:rPr>
          <w:lang w:eastAsia="en-AU"/>
        </w:rPr>
      </w:pPr>
      <w:r>
        <w:rPr>
          <w:lang w:eastAsia="en-AU"/>
        </w:rPr>
        <w:t>Data contributions vary across years and between states/territories.</w:t>
      </w:r>
    </w:p>
    <w:p w:rsidR="00F1550C" w:rsidRDefault="00F1550C" w:rsidP="0093147B">
      <w:pPr>
        <w:pStyle w:val="ListParagraph"/>
        <w:numPr>
          <w:ilvl w:val="0"/>
          <w:numId w:val="55"/>
        </w:numPr>
        <w:rPr>
          <w:lang w:eastAsia="en-AU"/>
        </w:rPr>
      </w:pPr>
      <w:r>
        <w:rPr>
          <w:lang w:eastAsia="en-AU"/>
        </w:rPr>
        <w:t>Data is under</w:t>
      </w:r>
      <w:r w:rsidR="00A85F2C">
        <w:rPr>
          <w:lang w:eastAsia="en-AU"/>
        </w:rPr>
        <w:t>-</w:t>
      </w:r>
      <w:r>
        <w:rPr>
          <w:lang w:eastAsia="en-AU"/>
        </w:rPr>
        <w:t>reported for</w:t>
      </w:r>
      <w:r w:rsidR="00737BB3">
        <w:rPr>
          <w:lang w:eastAsia="en-AU"/>
        </w:rPr>
        <w:t xml:space="preserve"> </w:t>
      </w:r>
      <w:r>
        <w:rPr>
          <w:lang w:eastAsia="en-AU"/>
        </w:rPr>
        <w:t>private health service providers and some adverse events such as t</w:t>
      </w:r>
      <w:r w:rsidRPr="0091316B">
        <w:rPr>
          <w:lang w:eastAsia="en-AU"/>
        </w:rPr>
        <w:t>ransfusion</w:t>
      </w:r>
      <w:r w:rsidR="00ED4883">
        <w:rPr>
          <w:lang w:eastAsia="en-AU"/>
        </w:rPr>
        <w:t>-</w:t>
      </w:r>
      <w:r w:rsidRPr="0091316B">
        <w:rPr>
          <w:lang w:eastAsia="en-AU"/>
        </w:rPr>
        <w:t>associated circulatory overload</w:t>
      </w:r>
      <w:r>
        <w:rPr>
          <w:lang w:eastAsia="en-AU"/>
        </w:rPr>
        <w:t>.</w:t>
      </w:r>
    </w:p>
    <w:p w:rsidR="00F1550C" w:rsidRDefault="00F1550C" w:rsidP="0093147B">
      <w:pPr>
        <w:pStyle w:val="ListParagraph"/>
        <w:numPr>
          <w:ilvl w:val="0"/>
          <w:numId w:val="55"/>
        </w:numPr>
        <w:rPr>
          <w:lang w:eastAsia="en-AU"/>
        </w:rPr>
      </w:pPr>
      <w:r>
        <w:rPr>
          <w:lang w:eastAsia="en-AU"/>
        </w:rPr>
        <w:t>Near misses and denominator data are not collected and reported at national level.</w:t>
      </w:r>
    </w:p>
    <w:p w:rsidR="00F1550C" w:rsidRDefault="00F1550C" w:rsidP="0093147B">
      <w:pPr>
        <w:pStyle w:val="ListParagraph"/>
        <w:numPr>
          <w:ilvl w:val="0"/>
          <w:numId w:val="55"/>
        </w:numPr>
        <w:rPr>
          <w:lang w:eastAsia="en-AU"/>
        </w:rPr>
      </w:pPr>
      <w:r>
        <w:rPr>
          <w:lang w:eastAsia="en-AU"/>
        </w:rPr>
        <w:t xml:space="preserve">The adverse events definitions used for the reporting are not fully in line with the current ISBT definitions; </w:t>
      </w:r>
      <w:r w:rsidRPr="00F1550C">
        <w:rPr>
          <w:lang w:eastAsia="en-AU"/>
        </w:rPr>
        <w:t>therefore the data cannot be properly analysed and compared at national level and international level.</w:t>
      </w:r>
    </w:p>
    <w:p w:rsidR="00F1550C" w:rsidRDefault="00F1550C" w:rsidP="0093147B">
      <w:pPr>
        <w:pStyle w:val="ListParagraph"/>
        <w:numPr>
          <w:ilvl w:val="0"/>
          <w:numId w:val="55"/>
        </w:numPr>
        <w:rPr>
          <w:lang w:eastAsia="en-AU"/>
        </w:rPr>
      </w:pPr>
      <w:r>
        <w:rPr>
          <w:lang w:eastAsia="en-AU"/>
        </w:rPr>
        <w:t xml:space="preserve">There </w:t>
      </w:r>
      <w:r w:rsidR="008B79C6">
        <w:rPr>
          <w:lang w:eastAsia="en-AU"/>
        </w:rPr>
        <w:t xml:space="preserve">is </w:t>
      </w:r>
      <w:r>
        <w:rPr>
          <w:lang w:eastAsia="en-AU"/>
        </w:rPr>
        <w:t>no detailed data on Australian practices to monitor improvement over time.</w:t>
      </w:r>
    </w:p>
    <w:p w:rsidR="004C5C80" w:rsidRDefault="004C5C80" w:rsidP="002E310A">
      <w:pPr>
        <w:pStyle w:val="Heading2"/>
        <w:rPr>
          <w:lang w:eastAsia="en-AU"/>
        </w:rPr>
      </w:pPr>
      <w:bookmarkStart w:id="16" w:name="_Toc459366152"/>
      <w:r>
        <w:rPr>
          <w:lang w:eastAsia="en-AU"/>
        </w:rPr>
        <w:t>Key</w:t>
      </w:r>
      <w:r w:rsidR="00B72971">
        <w:rPr>
          <w:lang w:eastAsia="en-AU"/>
        </w:rPr>
        <w:t xml:space="preserve"> </w:t>
      </w:r>
      <w:r>
        <w:rPr>
          <w:lang w:eastAsia="en-AU"/>
        </w:rPr>
        <w:t>findings</w:t>
      </w:r>
      <w:bookmarkEnd w:id="16"/>
    </w:p>
    <w:p w:rsidR="000F1AB4" w:rsidRDefault="00B72971" w:rsidP="0093147B">
      <w:pPr>
        <w:numPr>
          <w:ilvl w:val="0"/>
          <w:numId w:val="8"/>
        </w:numPr>
        <w:contextualSpacing/>
        <w:rPr>
          <w:lang w:eastAsia="en-AU"/>
        </w:rPr>
      </w:pPr>
      <w:r w:rsidRPr="00052CE0">
        <w:rPr>
          <w:lang w:eastAsia="en-AU"/>
        </w:rPr>
        <w:t>Fresh blood components have become increasingly safe as a result of stringent donor screening and selection policies and increasingly sensitive and selective product testing in Australia</w:t>
      </w:r>
      <w:r>
        <w:rPr>
          <w:lang w:eastAsia="en-AU"/>
        </w:rPr>
        <w:t>.</w:t>
      </w:r>
      <w:r w:rsidR="0052041E">
        <w:rPr>
          <w:lang w:eastAsia="en-AU"/>
        </w:rPr>
        <w:t xml:space="preserve"> There </w:t>
      </w:r>
      <w:r w:rsidR="00D846D8">
        <w:rPr>
          <w:lang w:eastAsia="en-AU"/>
        </w:rPr>
        <w:t xml:space="preserve">have been </w:t>
      </w:r>
      <w:r w:rsidR="0052041E">
        <w:rPr>
          <w:lang w:eastAsia="en-AU"/>
        </w:rPr>
        <w:t>no transfusion</w:t>
      </w:r>
      <w:r w:rsidR="00773683">
        <w:rPr>
          <w:lang w:eastAsia="en-AU"/>
        </w:rPr>
        <w:t>-</w:t>
      </w:r>
      <w:r w:rsidR="0052041E">
        <w:rPr>
          <w:lang w:eastAsia="en-AU"/>
        </w:rPr>
        <w:t>related deaths</w:t>
      </w:r>
      <w:r w:rsidR="008A3B89">
        <w:rPr>
          <w:lang w:eastAsia="en-AU"/>
        </w:rPr>
        <w:t xml:space="preserve"> reported </w:t>
      </w:r>
      <w:r w:rsidR="0052041E">
        <w:rPr>
          <w:lang w:eastAsia="en-AU"/>
        </w:rPr>
        <w:t xml:space="preserve">since </w:t>
      </w:r>
      <w:r w:rsidR="0052041E" w:rsidRPr="0052041E">
        <w:rPr>
          <w:lang w:eastAsia="en-AU"/>
        </w:rPr>
        <w:t>200</w:t>
      </w:r>
      <w:r w:rsidR="0052041E">
        <w:rPr>
          <w:lang w:eastAsia="en-AU"/>
        </w:rPr>
        <w:t>9</w:t>
      </w:r>
      <w:r w:rsidR="0052041E" w:rsidRPr="0052041E">
        <w:rPr>
          <w:lang w:eastAsia="en-AU"/>
        </w:rPr>
        <w:t>–</w:t>
      </w:r>
      <w:r w:rsidR="0052041E">
        <w:rPr>
          <w:lang w:eastAsia="en-AU"/>
        </w:rPr>
        <w:t>10.</w:t>
      </w:r>
    </w:p>
    <w:p w:rsidR="000F1AB4" w:rsidRDefault="000F1AB4" w:rsidP="0093147B">
      <w:pPr>
        <w:numPr>
          <w:ilvl w:val="0"/>
          <w:numId w:val="8"/>
        </w:numPr>
        <w:contextualSpacing/>
        <w:rPr>
          <w:lang w:eastAsia="en-AU"/>
        </w:rPr>
      </w:pPr>
      <w:r w:rsidRPr="004C5C80">
        <w:rPr>
          <w:lang w:eastAsia="en-AU"/>
        </w:rPr>
        <w:t xml:space="preserve">In the </w:t>
      </w:r>
      <w:r w:rsidR="003666A4">
        <w:rPr>
          <w:lang w:eastAsia="en-AU"/>
        </w:rPr>
        <w:t>11</w:t>
      </w:r>
      <w:r w:rsidRPr="004C5C80">
        <w:rPr>
          <w:lang w:eastAsia="en-AU"/>
        </w:rPr>
        <w:t xml:space="preserve"> years to 201</w:t>
      </w:r>
      <w:r w:rsidR="0052041E">
        <w:rPr>
          <w:lang w:eastAsia="en-AU"/>
        </w:rPr>
        <w:t>3</w:t>
      </w:r>
      <w:r w:rsidRPr="004C5C80">
        <w:rPr>
          <w:lang w:eastAsia="en-AU"/>
        </w:rPr>
        <w:t>–1</w:t>
      </w:r>
      <w:r w:rsidR="0052041E">
        <w:rPr>
          <w:lang w:eastAsia="en-AU"/>
        </w:rPr>
        <w:t>4</w:t>
      </w:r>
      <w:r w:rsidRPr="004C5C80">
        <w:rPr>
          <w:lang w:eastAsia="en-AU"/>
        </w:rPr>
        <w:t>, the NBA’s expenditure on fresh blood products increased from $24</w:t>
      </w:r>
      <w:r w:rsidR="003666A4">
        <w:rPr>
          <w:lang w:eastAsia="en-AU"/>
        </w:rPr>
        <w:t>7</w:t>
      </w:r>
      <w:r w:rsidRPr="004C5C80">
        <w:rPr>
          <w:lang w:eastAsia="en-AU"/>
        </w:rPr>
        <w:t>.</w:t>
      </w:r>
      <w:r w:rsidR="003666A4">
        <w:rPr>
          <w:lang w:eastAsia="en-AU"/>
        </w:rPr>
        <w:t xml:space="preserve">8 </w:t>
      </w:r>
      <w:r w:rsidRPr="004C5C80">
        <w:rPr>
          <w:lang w:eastAsia="en-AU"/>
        </w:rPr>
        <w:t>million to $</w:t>
      </w:r>
      <w:r w:rsidR="003666A4">
        <w:rPr>
          <w:lang w:eastAsia="en-AU"/>
        </w:rPr>
        <w:t xml:space="preserve">583 </w:t>
      </w:r>
      <w:r w:rsidRPr="004C5C80">
        <w:rPr>
          <w:lang w:eastAsia="en-AU"/>
        </w:rPr>
        <w:t>million.</w:t>
      </w:r>
      <w:r w:rsidR="003666A4" w:rsidRPr="003666A4">
        <w:t xml:space="preserve"> </w:t>
      </w:r>
      <w:r w:rsidR="003666A4" w:rsidRPr="003666A4">
        <w:rPr>
          <w:lang w:eastAsia="en-AU"/>
        </w:rPr>
        <w:t>Key drivers of this increase</w:t>
      </w:r>
      <w:r w:rsidR="003666A4">
        <w:rPr>
          <w:lang w:eastAsia="en-AU"/>
        </w:rPr>
        <w:t xml:space="preserve"> are price increase</w:t>
      </w:r>
      <w:r w:rsidR="00D846D8">
        <w:rPr>
          <w:lang w:eastAsia="en-AU"/>
        </w:rPr>
        <w:t>s</w:t>
      </w:r>
      <w:r w:rsidR="003666A4">
        <w:rPr>
          <w:lang w:eastAsia="en-AU"/>
        </w:rPr>
        <w:t>, demand changes and the introduction</w:t>
      </w:r>
      <w:r w:rsidR="003666A4" w:rsidRPr="003666A4">
        <w:rPr>
          <w:lang w:eastAsia="en-AU"/>
        </w:rPr>
        <w:t xml:space="preserve"> of government</w:t>
      </w:r>
      <w:r w:rsidR="00A85F2C">
        <w:rPr>
          <w:lang w:eastAsia="en-AU"/>
        </w:rPr>
        <w:t>-</w:t>
      </w:r>
      <w:r w:rsidR="003666A4" w:rsidRPr="003666A4">
        <w:rPr>
          <w:lang w:eastAsia="en-AU"/>
        </w:rPr>
        <w:t>approved quality and safety measures</w:t>
      </w:r>
      <w:r w:rsidR="003666A4">
        <w:rPr>
          <w:lang w:eastAsia="en-AU"/>
        </w:rPr>
        <w:t>.</w:t>
      </w:r>
    </w:p>
    <w:p w:rsidR="00B72971" w:rsidRDefault="003666A4" w:rsidP="0093147B">
      <w:pPr>
        <w:numPr>
          <w:ilvl w:val="0"/>
          <w:numId w:val="8"/>
        </w:numPr>
        <w:ind w:left="357"/>
        <w:contextualSpacing/>
        <w:rPr>
          <w:lang w:eastAsia="en-AU"/>
        </w:rPr>
      </w:pPr>
      <w:r w:rsidRPr="003666A4">
        <w:rPr>
          <w:lang w:eastAsia="en-AU"/>
        </w:rPr>
        <w:t xml:space="preserve">There has been a reduction in demand for red </w:t>
      </w:r>
      <w:r w:rsidR="00F46D5E">
        <w:rPr>
          <w:lang w:eastAsia="en-AU"/>
        </w:rPr>
        <w:t xml:space="preserve">blood </w:t>
      </w:r>
      <w:r w:rsidRPr="003666A4">
        <w:rPr>
          <w:lang w:eastAsia="en-AU"/>
        </w:rPr>
        <w:t xml:space="preserve">cells and platelets over the last three years as a result of </w:t>
      </w:r>
      <w:r w:rsidR="00366829">
        <w:rPr>
          <w:lang w:eastAsia="en-AU"/>
        </w:rPr>
        <w:t xml:space="preserve">reported </w:t>
      </w:r>
      <w:r w:rsidR="00287F26" w:rsidRPr="003666A4">
        <w:rPr>
          <w:lang w:eastAsia="en-AU"/>
        </w:rPr>
        <w:t>improv</w:t>
      </w:r>
      <w:r w:rsidR="00F46D5E">
        <w:rPr>
          <w:lang w:eastAsia="en-AU"/>
        </w:rPr>
        <w:t>e</w:t>
      </w:r>
      <w:r w:rsidR="00287F26">
        <w:rPr>
          <w:lang w:eastAsia="en-AU"/>
        </w:rPr>
        <w:t>ments in</w:t>
      </w:r>
      <w:r w:rsidR="00287F26" w:rsidRPr="003666A4">
        <w:rPr>
          <w:lang w:eastAsia="en-AU"/>
        </w:rPr>
        <w:t xml:space="preserve"> </w:t>
      </w:r>
      <w:r w:rsidRPr="003666A4">
        <w:rPr>
          <w:lang w:eastAsia="en-AU"/>
        </w:rPr>
        <w:t>appropriate use and reduced wastage.</w:t>
      </w:r>
    </w:p>
    <w:p w:rsidR="00F46D5E" w:rsidRDefault="00F46D5E" w:rsidP="0093147B">
      <w:pPr>
        <w:numPr>
          <w:ilvl w:val="0"/>
          <w:numId w:val="8"/>
        </w:numPr>
        <w:ind w:left="357"/>
        <w:contextualSpacing/>
        <w:rPr>
          <w:lang w:eastAsia="en-AU"/>
        </w:rPr>
      </w:pPr>
      <w:r>
        <w:rPr>
          <w:lang w:eastAsia="en-AU"/>
        </w:rPr>
        <w:t>In 2013-14</w:t>
      </w:r>
      <w:r w:rsidR="00686E10">
        <w:rPr>
          <w:lang w:eastAsia="en-AU"/>
        </w:rPr>
        <w:t xml:space="preserve"> there were 617 transfusion-related </w:t>
      </w:r>
      <w:r w:rsidR="00686E10" w:rsidRPr="004C5C80">
        <w:rPr>
          <w:lang w:eastAsia="en-AU"/>
        </w:rPr>
        <w:t xml:space="preserve">adverse events reported to the </w:t>
      </w:r>
      <w:r w:rsidR="00686E10">
        <w:rPr>
          <w:lang w:eastAsia="en-AU"/>
        </w:rPr>
        <w:t>n</w:t>
      </w:r>
      <w:r w:rsidR="00686E10" w:rsidRPr="004C5C80">
        <w:rPr>
          <w:lang w:eastAsia="en-AU"/>
        </w:rPr>
        <w:t xml:space="preserve">ational </w:t>
      </w:r>
      <w:proofErr w:type="spellStart"/>
      <w:r w:rsidR="00686E10">
        <w:rPr>
          <w:lang w:eastAsia="en-AU"/>
        </w:rPr>
        <w:t>h</w:t>
      </w:r>
      <w:r w:rsidR="00686E10" w:rsidRPr="004C5C80">
        <w:rPr>
          <w:lang w:eastAsia="en-AU"/>
        </w:rPr>
        <w:t>aemovigilance</w:t>
      </w:r>
      <w:proofErr w:type="spellEnd"/>
      <w:r w:rsidR="00686E10" w:rsidRPr="004C5C80">
        <w:rPr>
          <w:lang w:eastAsia="en-AU"/>
        </w:rPr>
        <w:t xml:space="preserve"> </w:t>
      </w:r>
      <w:r w:rsidR="00686E10">
        <w:rPr>
          <w:lang w:eastAsia="en-AU"/>
        </w:rPr>
        <w:t>p</w:t>
      </w:r>
      <w:r w:rsidR="00686E10" w:rsidRPr="004C5C80">
        <w:rPr>
          <w:lang w:eastAsia="en-AU"/>
        </w:rPr>
        <w:t>rogram.</w:t>
      </w:r>
      <w:r w:rsidR="00686E10">
        <w:rPr>
          <w:lang w:eastAsia="en-AU"/>
        </w:rPr>
        <w:t xml:space="preserve"> NSW provided around 35% </w:t>
      </w:r>
      <w:r w:rsidR="00B8055E">
        <w:rPr>
          <w:lang w:eastAsia="en-AU"/>
        </w:rPr>
        <w:t xml:space="preserve">with </w:t>
      </w:r>
      <w:r w:rsidR="00686E10">
        <w:rPr>
          <w:lang w:eastAsia="en-AU"/>
        </w:rPr>
        <w:t>SA and QLD around 25% each. Th</w:t>
      </w:r>
      <w:r w:rsidR="00A85F2C">
        <w:rPr>
          <w:lang w:eastAsia="en-AU"/>
        </w:rPr>
        <w:t>is</w:t>
      </w:r>
      <w:r w:rsidR="00686E10">
        <w:rPr>
          <w:lang w:eastAsia="en-AU"/>
        </w:rPr>
        <w:t xml:space="preserve"> </w:t>
      </w:r>
      <w:r w:rsidR="00A85F2C">
        <w:rPr>
          <w:lang w:eastAsia="en-AU"/>
        </w:rPr>
        <w:t>represented</w:t>
      </w:r>
      <w:r w:rsidR="00686E10">
        <w:rPr>
          <w:lang w:eastAsia="en-AU"/>
        </w:rPr>
        <w:t xml:space="preserve"> an increase </w:t>
      </w:r>
      <w:r w:rsidR="00A85F2C">
        <w:rPr>
          <w:lang w:eastAsia="en-AU"/>
        </w:rPr>
        <w:t>from</w:t>
      </w:r>
      <w:r w:rsidR="00686E10">
        <w:rPr>
          <w:lang w:eastAsia="en-AU"/>
        </w:rPr>
        <w:t xml:space="preserve"> the number of events reported </w:t>
      </w:r>
      <w:r w:rsidR="00A85F2C">
        <w:rPr>
          <w:lang w:eastAsia="en-AU"/>
        </w:rPr>
        <w:t>in 2012-13 (429).</w:t>
      </w:r>
    </w:p>
    <w:p w:rsidR="00023669" w:rsidRDefault="00537C0C" w:rsidP="0093147B">
      <w:pPr>
        <w:numPr>
          <w:ilvl w:val="0"/>
          <w:numId w:val="8"/>
        </w:numPr>
        <w:contextualSpacing/>
        <w:rPr>
          <w:lang w:eastAsia="en-AU"/>
        </w:rPr>
      </w:pPr>
      <w:r>
        <w:rPr>
          <w:lang w:eastAsia="en-AU"/>
        </w:rPr>
        <w:t>F</w:t>
      </w:r>
      <w:r w:rsidRPr="004C5C80">
        <w:rPr>
          <w:lang w:eastAsia="en-AU"/>
        </w:rPr>
        <w:t>rom 20</w:t>
      </w:r>
      <w:r>
        <w:rPr>
          <w:lang w:eastAsia="en-AU"/>
        </w:rPr>
        <w:t>10</w:t>
      </w:r>
      <w:r w:rsidRPr="004C5C80">
        <w:rPr>
          <w:lang w:eastAsia="en-AU"/>
        </w:rPr>
        <w:t>–</w:t>
      </w:r>
      <w:r>
        <w:rPr>
          <w:lang w:eastAsia="en-AU"/>
        </w:rPr>
        <w:t>11</w:t>
      </w:r>
      <w:r w:rsidRPr="004C5C80">
        <w:rPr>
          <w:lang w:eastAsia="en-AU"/>
        </w:rPr>
        <w:t xml:space="preserve"> to 201</w:t>
      </w:r>
      <w:r>
        <w:rPr>
          <w:lang w:eastAsia="en-AU"/>
        </w:rPr>
        <w:t>3</w:t>
      </w:r>
      <w:r w:rsidRPr="004C5C80">
        <w:rPr>
          <w:lang w:eastAsia="en-AU"/>
        </w:rPr>
        <w:t>–1</w:t>
      </w:r>
      <w:r>
        <w:rPr>
          <w:lang w:eastAsia="en-AU"/>
        </w:rPr>
        <w:t>4 t</w:t>
      </w:r>
      <w:r w:rsidR="004C5C80" w:rsidRPr="004C5C80">
        <w:rPr>
          <w:lang w:eastAsia="en-AU"/>
        </w:rPr>
        <w:t xml:space="preserve">here were </w:t>
      </w:r>
      <w:r w:rsidR="00203942" w:rsidRPr="00203942">
        <w:rPr>
          <w:lang w:eastAsia="en-AU"/>
        </w:rPr>
        <w:t>2</w:t>
      </w:r>
      <w:r w:rsidR="000234E0">
        <w:rPr>
          <w:lang w:eastAsia="en-AU"/>
        </w:rPr>
        <w:t>,</w:t>
      </w:r>
      <w:r w:rsidR="00230469">
        <w:rPr>
          <w:lang w:eastAsia="en-AU"/>
        </w:rPr>
        <w:t>243</w:t>
      </w:r>
      <w:r w:rsidR="00230469" w:rsidRPr="00203942">
        <w:rPr>
          <w:lang w:eastAsia="en-AU"/>
        </w:rPr>
        <w:t xml:space="preserve"> </w:t>
      </w:r>
      <w:r w:rsidR="00052CE0">
        <w:rPr>
          <w:lang w:eastAsia="en-AU"/>
        </w:rPr>
        <w:t>transfusion</w:t>
      </w:r>
      <w:r w:rsidR="00773683">
        <w:rPr>
          <w:lang w:eastAsia="en-AU"/>
        </w:rPr>
        <w:t>-</w:t>
      </w:r>
      <w:r w:rsidR="004C5C80">
        <w:rPr>
          <w:lang w:eastAsia="en-AU"/>
        </w:rPr>
        <w:t xml:space="preserve">related </w:t>
      </w:r>
      <w:r w:rsidR="004C5C80" w:rsidRPr="004C5C80">
        <w:rPr>
          <w:lang w:eastAsia="en-AU"/>
        </w:rPr>
        <w:t xml:space="preserve">adverse events </w:t>
      </w:r>
      <w:r w:rsidR="00254F75">
        <w:rPr>
          <w:lang w:eastAsia="en-AU"/>
        </w:rPr>
        <w:t xml:space="preserve">of 10 different types </w:t>
      </w:r>
      <w:r w:rsidR="004C5C80" w:rsidRPr="004C5C80">
        <w:rPr>
          <w:lang w:eastAsia="en-AU"/>
        </w:rPr>
        <w:t xml:space="preserve">reported to the </w:t>
      </w:r>
      <w:r w:rsidR="00773683">
        <w:rPr>
          <w:lang w:eastAsia="en-AU"/>
        </w:rPr>
        <w:t>n</w:t>
      </w:r>
      <w:r w:rsidR="004C5C80" w:rsidRPr="004C5C80">
        <w:rPr>
          <w:lang w:eastAsia="en-AU"/>
        </w:rPr>
        <w:t xml:space="preserve">ational </w:t>
      </w:r>
      <w:proofErr w:type="spellStart"/>
      <w:r w:rsidR="00773683">
        <w:rPr>
          <w:lang w:eastAsia="en-AU"/>
        </w:rPr>
        <w:t>h</w:t>
      </w:r>
      <w:r w:rsidR="004C5C80" w:rsidRPr="004C5C80">
        <w:rPr>
          <w:lang w:eastAsia="en-AU"/>
        </w:rPr>
        <w:t>aemovigilance</w:t>
      </w:r>
      <w:proofErr w:type="spellEnd"/>
      <w:r w:rsidR="004C5C80" w:rsidRPr="004C5C80">
        <w:rPr>
          <w:lang w:eastAsia="en-AU"/>
        </w:rPr>
        <w:t xml:space="preserve"> </w:t>
      </w:r>
      <w:r w:rsidR="00773683">
        <w:rPr>
          <w:lang w:eastAsia="en-AU"/>
        </w:rPr>
        <w:t>p</w:t>
      </w:r>
      <w:r w:rsidR="004C5C80" w:rsidRPr="004C5C80">
        <w:rPr>
          <w:lang w:eastAsia="en-AU"/>
        </w:rPr>
        <w:t>rogram.</w:t>
      </w:r>
      <w:r w:rsidR="00023669">
        <w:rPr>
          <w:lang w:eastAsia="en-AU"/>
        </w:rPr>
        <w:t xml:space="preserve"> NSW reported the highest number of adverse events (789), followed by SA (609) and QLD (470). </w:t>
      </w:r>
      <w:r w:rsidR="00916F92" w:rsidRPr="00203942">
        <w:rPr>
          <w:lang w:eastAsia="en-AU"/>
        </w:rPr>
        <w:t>QLD</w:t>
      </w:r>
      <w:r w:rsidR="00916F92">
        <w:rPr>
          <w:lang w:eastAsia="en-AU"/>
        </w:rPr>
        <w:t xml:space="preserve"> did not contribute </w:t>
      </w:r>
      <w:r w:rsidR="00B54518">
        <w:rPr>
          <w:lang w:eastAsia="en-AU"/>
        </w:rPr>
        <w:t>2012</w:t>
      </w:r>
      <w:r w:rsidR="00B54518" w:rsidRPr="00916F92">
        <w:rPr>
          <w:lang w:eastAsia="en-AU"/>
        </w:rPr>
        <w:t>–</w:t>
      </w:r>
      <w:r w:rsidR="00B54518">
        <w:rPr>
          <w:lang w:eastAsia="en-AU"/>
        </w:rPr>
        <w:t>13 data due</w:t>
      </w:r>
      <w:r w:rsidR="00EB1220">
        <w:rPr>
          <w:lang w:eastAsia="en-AU"/>
        </w:rPr>
        <w:t xml:space="preserve"> to</w:t>
      </w:r>
      <w:r w:rsidR="00916F92">
        <w:rPr>
          <w:lang w:eastAsia="en-AU"/>
        </w:rPr>
        <w:t xml:space="preserve"> </w:t>
      </w:r>
      <w:r w:rsidR="00EB1220" w:rsidRPr="00EB1220">
        <w:rPr>
          <w:lang w:eastAsia="en-AU"/>
        </w:rPr>
        <w:t xml:space="preserve">the cessation of the QLD </w:t>
      </w:r>
      <w:proofErr w:type="spellStart"/>
      <w:r w:rsidR="00EB1220" w:rsidRPr="00EB1220">
        <w:rPr>
          <w:lang w:eastAsia="en-AU"/>
        </w:rPr>
        <w:t>haemovigilance</w:t>
      </w:r>
      <w:proofErr w:type="spellEnd"/>
      <w:r w:rsidR="00EB1220" w:rsidRPr="00EB1220">
        <w:rPr>
          <w:lang w:eastAsia="en-AU"/>
        </w:rPr>
        <w:t xml:space="preserve"> system</w:t>
      </w:r>
      <w:r w:rsidR="000B77FD">
        <w:rPr>
          <w:lang w:eastAsia="en-AU"/>
        </w:rPr>
        <w:t xml:space="preserve"> </w:t>
      </w:r>
      <w:proofErr w:type="spellStart"/>
      <w:r w:rsidR="000B77FD" w:rsidRPr="00F565E0">
        <w:rPr>
          <w:lang w:eastAsia="en-AU"/>
        </w:rPr>
        <w:t>Q</w:t>
      </w:r>
      <w:r w:rsidR="00287F26" w:rsidRPr="00F565E0">
        <w:rPr>
          <w:lang w:eastAsia="en-AU"/>
        </w:rPr>
        <w:t>i</w:t>
      </w:r>
      <w:r w:rsidR="00287F26">
        <w:rPr>
          <w:lang w:eastAsia="en-AU"/>
        </w:rPr>
        <w:t>i</w:t>
      </w:r>
      <w:r w:rsidR="000B77FD" w:rsidRPr="00F565E0">
        <w:rPr>
          <w:lang w:eastAsia="en-AU"/>
        </w:rPr>
        <w:t>T</w:t>
      </w:r>
      <w:proofErr w:type="spellEnd"/>
      <w:r w:rsidR="000B77FD">
        <w:rPr>
          <w:lang w:eastAsia="en-AU"/>
        </w:rPr>
        <w:t>, however ha</w:t>
      </w:r>
      <w:r w:rsidR="00287F26">
        <w:rPr>
          <w:lang w:eastAsia="en-AU"/>
        </w:rPr>
        <w:t>s</w:t>
      </w:r>
      <w:r w:rsidR="00EB1220">
        <w:rPr>
          <w:lang w:eastAsia="en-AU"/>
        </w:rPr>
        <w:t xml:space="preserve"> </w:t>
      </w:r>
      <w:r w:rsidR="00EB1220" w:rsidRPr="00EB1220">
        <w:rPr>
          <w:lang w:eastAsia="en-AU"/>
        </w:rPr>
        <w:t xml:space="preserve">contributed </w:t>
      </w:r>
      <w:r w:rsidR="00B54518" w:rsidRPr="00EB1220">
        <w:rPr>
          <w:lang w:eastAsia="en-AU"/>
        </w:rPr>
        <w:t>2013</w:t>
      </w:r>
      <w:r w:rsidR="004A3674" w:rsidRPr="004A3674">
        <w:rPr>
          <w:lang w:eastAsia="en-AU"/>
        </w:rPr>
        <w:t>–</w:t>
      </w:r>
      <w:r w:rsidR="00B54518" w:rsidRPr="00EB1220">
        <w:rPr>
          <w:lang w:eastAsia="en-AU"/>
        </w:rPr>
        <w:t xml:space="preserve">14 </w:t>
      </w:r>
      <w:r w:rsidR="00EB1220" w:rsidRPr="00EB1220">
        <w:rPr>
          <w:lang w:eastAsia="en-AU"/>
        </w:rPr>
        <w:t>data</w:t>
      </w:r>
      <w:r w:rsidR="00121B20">
        <w:rPr>
          <w:lang w:eastAsia="en-AU"/>
        </w:rPr>
        <w:t xml:space="preserve">, following the introduction of the </w:t>
      </w:r>
      <w:r w:rsidR="00EB1220" w:rsidRPr="00EB1220">
        <w:rPr>
          <w:lang w:eastAsia="en-AU"/>
        </w:rPr>
        <w:t xml:space="preserve">QLD </w:t>
      </w:r>
      <w:proofErr w:type="spellStart"/>
      <w:r w:rsidR="00EB1220" w:rsidRPr="00EB1220">
        <w:rPr>
          <w:lang w:eastAsia="en-AU"/>
        </w:rPr>
        <w:t>Haemovigilance</w:t>
      </w:r>
      <w:proofErr w:type="spellEnd"/>
      <w:r w:rsidR="00EB1220" w:rsidRPr="00EB1220">
        <w:rPr>
          <w:lang w:eastAsia="en-AU"/>
        </w:rPr>
        <w:t xml:space="preserve"> Data Collection Form</w:t>
      </w:r>
      <w:r w:rsidR="00EB1220">
        <w:rPr>
          <w:lang w:eastAsia="en-AU"/>
        </w:rPr>
        <w:t xml:space="preserve">s. WA did not contribute </w:t>
      </w:r>
      <w:r w:rsidR="00157167">
        <w:rPr>
          <w:lang w:eastAsia="en-AU"/>
        </w:rPr>
        <w:t>data for this period.</w:t>
      </w:r>
    </w:p>
    <w:p w:rsidR="00B8055E" w:rsidRDefault="00B8055E" w:rsidP="0093147B">
      <w:pPr>
        <w:numPr>
          <w:ilvl w:val="0"/>
          <w:numId w:val="8"/>
        </w:numPr>
        <w:contextualSpacing/>
        <w:rPr>
          <w:lang w:eastAsia="en-AU"/>
        </w:rPr>
      </w:pPr>
      <w:r w:rsidRPr="004C5C80">
        <w:rPr>
          <w:lang w:eastAsia="en-AU"/>
        </w:rPr>
        <w:t>The most frequently reported adverse events are febrile non-haemolytic transfusion reactions (FNHTR) and allergic reactions, representing 5</w:t>
      </w:r>
      <w:r>
        <w:rPr>
          <w:lang w:eastAsia="en-AU"/>
        </w:rPr>
        <w:t>3.9</w:t>
      </w:r>
      <w:r w:rsidRPr="004C5C80">
        <w:rPr>
          <w:lang w:eastAsia="en-AU"/>
        </w:rPr>
        <w:t>% and 2</w:t>
      </w:r>
      <w:r>
        <w:rPr>
          <w:lang w:eastAsia="en-AU"/>
        </w:rPr>
        <w:t>4.3</w:t>
      </w:r>
      <w:r w:rsidRPr="004C5C80">
        <w:rPr>
          <w:lang w:eastAsia="en-AU"/>
        </w:rPr>
        <w:t>% of all reports</w:t>
      </w:r>
      <w:r>
        <w:rPr>
          <w:lang w:eastAsia="en-AU"/>
        </w:rPr>
        <w:t xml:space="preserve"> (2,243)</w:t>
      </w:r>
      <w:r w:rsidRPr="004C5C80">
        <w:rPr>
          <w:lang w:eastAsia="en-AU"/>
        </w:rPr>
        <w:t xml:space="preserve"> respectively</w:t>
      </w:r>
      <w:r>
        <w:rPr>
          <w:lang w:eastAsia="en-AU"/>
        </w:rPr>
        <w:t xml:space="preserve"> for </w:t>
      </w:r>
      <w:r w:rsidRPr="00023669">
        <w:rPr>
          <w:lang w:eastAsia="en-AU"/>
        </w:rPr>
        <w:t>2010–11 to 2013–14</w:t>
      </w:r>
      <w:r>
        <w:rPr>
          <w:lang w:eastAsia="en-AU"/>
        </w:rPr>
        <w:t xml:space="preserve">. </w:t>
      </w:r>
      <w:r w:rsidRPr="00052CE0">
        <w:rPr>
          <w:lang w:eastAsia="en-AU"/>
        </w:rPr>
        <w:t xml:space="preserve">The Australian data for </w:t>
      </w:r>
      <w:r>
        <w:rPr>
          <w:lang w:eastAsia="en-AU"/>
        </w:rPr>
        <w:t>transfusion-a</w:t>
      </w:r>
      <w:r w:rsidRPr="00B54518">
        <w:rPr>
          <w:lang w:eastAsia="en-AU"/>
        </w:rPr>
        <w:t xml:space="preserve">ssociated </w:t>
      </w:r>
      <w:r>
        <w:rPr>
          <w:lang w:eastAsia="en-AU"/>
        </w:rPr>
        <w:t>c</w:t>
      </w:r>
      <w:r w:rsidRPr="00B54518">
        <w:rPr>
          <w:lang w:eastAsia="en-AU"/>
        </w:rPr>
        <w:t xml:space="preserve">irculatory </w:t>
      </w:r>
      <w:r>
        <w:rPr>
          <w:lang w:eastAsia="en-AU"/>
        </w:rPr>
        <w:t>o</w:t>
      </w:r>
      <w:r w:rsidRPr="00B54518">
        <w:rPr>
          <w:lang w:eastAsia="en-AU"/>
        </w:rPr>
        <w:t>verload</w:t>
      </w:r>
      <w:r w:rsidRPr="00052CE0">
        <w:rPr>
          <w:lang w:eastAsia="en-AU"/>
        </w:rPr>
        <w:t xml:space="preserve"> </w:t>
      </w:r>
      <w:r>
        <w:rPr>
          <w:lang w:eastAsia="en-AU"/>
        </w:rPr>
        <w:t>(</w:t>
      </w:r>
      <w:r w:rsidRPr="00052CE0">
        <w:rPr>
          <w:lang w:eastAsia="en-AU"/>
        </w:rPr>
        <w:t>TACO</w:t>
      </w:r>
      <w:r>
        <w:rPr>
          <w:lang w:eastAsia="en-AU"/>
        </w:rPr>
        <w:t>)</w:t>
      </w:r>
      <w:r w:rsidRPr="00052CE0">
        <w:rPr>
          <w:lang w:eastAsia="en-AU"/>
        </w:rPr>
        <w:t xml:space="preserve">, </w:t>
      </w:r>
      <w:r>
        <w:rPr>
          <w:lang w:eastAsia="en-AU"/>
        </w:rPr>
        <w:t>t</w:t>
      </w:r>
      <w:r w:rsidRPr="00B54518">
        <w:rPr>
          <w:lang w:eastAsia="en-AU"/>
        </w:rPr>
        <w:t>ransf</w:t>
      </w:r>
      <w:r>
        <w:rPr>
          <w:lang w:eastAsia="en-AU"/>
        </w:rPr>
        <w:t>usion-related acute lung injury (</w:t>
      </w:r>
      <w:r w:rsidRPr="00052CE0">
        <w:rPr>
          <w:lang w:eastAsia="en-AU"/>
        </w:rPr>
        <w:t>TRALI</w:t>
      </w:r>
      <w:r>
        <w:rPr>
          <w:lang w:eastAsia="en-AU"/>
        </w:rPr>
        <w:t>)</w:t>
      </w:r>
      <w:r w:rsidRPr="00052CE0">
        <w:rPr>
          <w:lang w:eastAsia="en-AU"/>
        </w:rPr>
        <w:t>, and</w:t>
      </w:r>
      <w:r w:rsidRPr="00B54518">
        <w:t xml:space="preserve"> </w:t>
      </w:r>
      <w:r>
        <w:rPr>
          <w:lang w:eastAsia="en-AU"/>
        </w:rPr>
        <w:t>d</w:t>
      </w:r>
      <w:r w:rsidRPr="00B54518">
        <w:rPr>
          <w:lang w:eastAsia="en-AU"/>
        </w:rPr>
        <w:t xml:space="preserve">elayed </w:t>
      </w:r>
      <w:r>
        <w:rPr>
          <w:lang w:eastAsia="en-AU"/>
        </w:rPr>
        <w:t>haemolytic transfusion reaction (</w:t>
      </w:r>
      <w:r w:rsidRPr="00052CE0">
        <w:rPr>
          <w:lang w:eastAsia="en-AU"/>
        </w:rPr>
        <w:t>DHTR</w:t>
      </w:r>
      <w:r>
        <w:rPr>
          <w:lang w:eastAsia="en-AU"/>
        </w:rPr>
        <w:t>)</w:t>
      </w:r>
      <w:r w:rsidRPr="00052CE0">
        <w:rPr>
          <w:lang w:eastAsia="en-AU"/>
        </w:rPr>
        <w:t xml:space="preserve"> </w:t>
      </w:r>
      <w:r>
        <w:rPr>
          <w:lang w:eastAsia="en-AU"/>
        </w:rPr>
        <w:t xml:space="preserve">may </w:t>
      </w:r>
      <w:r w:rsidRPr="00052CE0">
        <w:rPr>
          <w:lang w:eastAsia="en-AU"/>
        </w:rPr>
        <w:t>indicate that these adverse events are under</w:t>
      </w:r>
      <w:r>
        <w:rPr>
          <w:lang w:eastAsia="en-AU"/>
        </w:rPr>
        <w:t>-</w:t>
      </w:r>
      <w:r w:rsidRPr="00052CE0">
        <w:rPr>
          <w:lang w:eastAsia="en-AU"/>
        </w:rPr>
        <w:t>reporte</w:t>
      </w:r>
      <w:r>
        <w:rPr>
          <w:lang w:eastAsia="en-AU"/>
        </w:rPr>
        <w:t>d when compared internationally.</w:t>
      </w:r>
    </w:p>
    <w:p w:rsidR="00EB1220" w:rsidRDefault="00EB1220" w:rsidP="0093147B">
      <w:pPr>
        <w:numPr>
          <w:ilvl w:val="0"/>
          <w:numId w:val="8"/>
        </w:numPr>
        <w:contextualSpacing/>
        <w:rPr>
          <w:lang w:eastAsia="en-AU"/>
        </w:rPr>
      </w:pPr>
      <w:r>
        <w:rPr>
          <w:lang w:eastAsia="en-AU"/>
        </w:rPr>
        <w:t xml:space="preserve">210 out of </w:t>
      </w:r>
      <w:r w:rsidRPr="00EB1220">
        <w:rPr>
          <w:lang w:eastAsia="en-AU"/>
        </w:rPr>
        <w:t xml:space="preserve">2,243 </w:t>
      </w:r>
      <w:r>
        <w:rPr>
          <w:lang w:eastAsia="en-AU"/>
        </w:rPr>
        <w:t>transfusion</w:t>
      </w:r>
      <w:r w:rsidR="00773683">
        <w:rPr>
          <w:lang w:eastAsia="en-AU"/>
        </w:rPr>
        <w:t>-</w:t>
      </w:r>
      <w:r>
        <w:rPr>
          <w:lang w:eastAsia="en-AU"/>
        </w:rPr>
        <w:t>related events were classified as serious adverse events.</w:t>
      </w:r>
      <w:r w:rsidR="00B54518" w:rsidRPr="00B54518">
        <w:rPr>
          <w:lang w:eastAsia="en-AU"/>
        </w:rPr>
        <w:t xml:space="preserve"> </w:t>
      </w:r>
      <w:r w:rsidRPr="00EB1220">
        <w:rPr>
          <w:lang w:eastAsia="en-AU"/>
        </w:rPr>
        <w:t>TACO</w:t>
      </w:r>
      <w:r w:rsidR="00A065EF">
        <w:rPr>
          <w:lang w:eastAsia="en-AU"/>
        </w:rPr>
        <w:t xml:space="preserve"> </w:t>
      </w:r>
      <w:r w:rsidRPr="00EB1220">
        <w:rPr>
          <w:lang w:eastAsia="en-AU"/>
        </w:rPr>
        <w:t xml:space="preserve">and </w:t>
      </w:r>
      <w:r w:rsidR="00287F26">
        <w:rPr>
          <w:lang w:eastAsia="en-AU"/>
        </w:rPr>
        <w:t>a</w:t>
      </w:r>
      <w:r w:rsidRPr="00EB1220">
        <w:rPr>
          <w:lang w:eastAsia="en-AU"/>
        </w:rPr>
        <w:t xml:space="preserve">llergic </w:t>
      </w:r>
      <w:r w:rsidR="00287F26">
        <w:rPr>
          <w:lang w:eastAsia="en-AU"/>
        </w:rPr>
        <w:t>r</w:t>
      </w:r>
      <w:r w:rsidRPr="00EB1220">
        <w:rPr>
          <w:lang w:eastAsia="en-AU"/>
        </w:rPr>
        <w:t xml:space="preserve">eaction were the most commonly reported serious adverse events, representing 23.8% and 22.9% of </w:t>
      </w:r>
      <w:r w:rsidRPr="00EB1220">
        <w:rPr>
          <w:lang w:eastAsia="en-AU"/>
        </w:rPr>
        <w:lastRenderedPageBreak/>
        <w:t>all serious events respectively (210)</w:t>
      </w:r>
      <w:r>
        <w:rPr>
          <w:lang w:eastAsia="en-AU"/>
        </w:rPr>
        <w:t xml:space="preserve">. </w:t>
      </w:r>
      <w:r w:rsidRPr="00EB1220">
        <w:rPr>
          <w:lang w:eastAsia="en-AU"/>
        </w:rPr>
        <w:t xml:space="preserve">TRALI </w:t>
      </w:r>
      <w:r>
        <w:rPr>
          <w:lang w:eastAsia="en-AU"/>
        </w:rPr>
        <w:t xml:space="preserve">accounted for </w:t>
      </w:r>
      <w:r w:rsidR="00287F26">
        <w:rPr>
          <w:lang w:eastAsia="en-AU"/>
        </w:rPr>
        <w:t xml:space="preserve">only </w:t>
      </w:r>
      <w:r>
        <w:rPr>
          <w:lang w:eastAsia="en-AU"/>
        </w:rPr>
        <w:t>1.4% of serious events</w:t>
      </w:r>
      <w:r w:rsidRPr="00EB1220">
        <w:rPr>
          <w:lang w:eastAsia="en-AU"/>
        </w:rPr>
        <w:t>, likely due to the implementation of TRALI risk reduction strategies in Australia</w:t>
      </w:r>
      <w:r w:rsidR="00287F26">
        <w:rPr>
          <w:lang w:eastAsia="en-AU"/>
        </w:rPr>
        <w:t>,</w:t>
      </w:r>
      <w:r w:rsidRPr="00EB1220">
        <w:rPr>
          <w:lang w:eastAsia="en-AU"/>
        </w:rPr>
        <w:t xml:space="preserve"> such as the use of male only plasma</w:t>
      </w:r>
      <w:r w:rsidR="00121B20">
        <w:rPr>
          <w:lang w:eastAsia="en-AU"/>
        </w:rPr>
        <w:t xml:space="preserve"> donors</w:t>
      </w:r>
      <w:r w:rsidRPr="00EB1220">
        <w:rPr>
          <w:lang w:eastAsia="en-AU"/>
        </w:rPr>
        <w:t>.</w:t>
      </w:r>
    </w:p>
    <w:p w:rsidR="00A065EF" w:rsidRDefault="00A065EF" w:rsidP="0093147B">
      <w:pPr>
        <w:numPr>
          <w:ilvl w:val="0"/>
          <w:numId w:val="8"/>
        </w:numPr>
        <w:contextualSpacing/>
        <w:rPr>
          <w:lang w:eastAsia="en-AU"/>
        </w:rPr>
      </w:pPr>
      <w:r>
        <w:rPr>
          <w:lang w:eastAsia="en-AU"/>
        </w:rPr>
        <w:t>H</w:t>
      </w:r>
      <w:r w:rsidRPr="00052CE0">
        <w:rPr>
          <w:lang w:eastAsia="en-AU"/>
        </w:rPr>
        <w:t xml:space="preserve">uman errors continue to contribute to </w:t>
      </w:r>
      <w:r>
        <w:rPr>
          <w:lang w:eastAsia="en-AU"/>
        </w:rPr>
        <w:t>transfusion</w:t>
      </w:r>
      <w:r w:rsidR="00773683">
        <w:rPr>
          <w:lang w:eastAsia="en-AU"/>
        </w:rPr>
        <w:t>-</w:t>
      </w:r>
      <w:r>
        <w:rPr>
          <w:lang w:eastAsia="en-AU"/>
        </w:rPr>
        <w:t xml:space="preserve">related </w:t>
      </w:r>
      <w:r w:rsidRPr="00052CE0">
        <w:rPr>
          <w:lang w:eastAsia="en-AU"/>
        </w:rPr>
        <w:t>adverse events</w:t>
      </w:r>
      <w:r>
        <w:rPr>
          <w:lang w:eastAsia="en-AU"/>
        </w:rPr>
        <w:t>.</w:t>
      </w:r>
      <w:r w:rsidRPr="00A065EF">
        <w:t xml:space="preserve"> </w:t>
      </w:r>
      <w:r w:rsidRPr="00A065EF">
        <w:rPr>
          <w:lang w:eastAsia="en-AU"/>
        </w:rPr>
        <w:t xml:space="preserve">For example, </w:t>
      </w:r>
      <w:r w:rsidR="00287F26">
        <w:rPr>
          <w:lang w:eastAsia="en-AU"/>
        </w:rPr>
        <w:t>i</w:t>
      </w:r>
      <w:r>
        <w:rPr>
          <w:lang w:eastAsia="en-AU"/>
        </w:rPr>
        <w:t xml:space="preserve">ncorrect </w:t>
      </w:r>
      <w:r w:rsidR="00287F26">
        <w:rPr>
          <w:lang w:eastAsia="en-AU"/>
        </w:rPr>
        <w:t>b</w:t>
      </w:r>
      <w:r>
        <w:rPr>
          <w:lang w:eastAsia="en-AU"/>
        </w:rPr>
        <w:t xml:space="preserve">lood </w:t>
      </w:r>
      <w:r w:rsidR="00287F26">
        <w:rPr>
          <w:lang w:eastAsia="en-AU"/>
        </w:rPr>
        <w:t>c</w:t>
      </w:r>
      <w:r>
        <w:rPr>
          <w:lang w:eastAsia="en-AU"/>
        </w:rPr>
        <w:t xml:space="preserve">omponent </w:t>
      </w:r>
      <w:r w:rsidR="00287F26">
        <w:rPr>
          <w:lang w:eastAsia="en-AU"/>
        </w:rPr>
        <w:t>t</w:t>
      </w:r>
      <w:r>
        <w:rPr>
          <w:lang w:eastAsia="en-AU"/>
        </w:rPr>
        <w:t>ransfused (</w:t>
      </w:r>
      <w:r w:rsidRPr="00A065EF">
        <w:rPr>
          <w:lang w:eastAsia="en-AU"/>
        </w:rPr>
        <w:t>IBCT</w:t>
      </w:r>
      <w:r>
        <w:rPr>
          <w:lang w:eastAsia="en-AU"/>
        </w:rPr>
        <w:t>)</w:t>
      </w:r>
      <w:r w:rsidRPr="00A065EF">
        <w:rPr>
          <w:lang w:eastAsia="en-AU"/>
        </w:rPr>
        <w:t xml:space="preserve"> contributed to 7.5% of serious events.</w:t>
      </w:r>
    </w:p>
    <w:p w:rsidR="00B54518" w:rsidRDefault="00B54518" w:rsidP="0093147B">
      <w:pPr>
        <w:numPr>
          <w:ilvl w:val="0"/>
          <w:numId w:val="8"/>
        </w:numPr>
        <w:contextualSpacing/>
        <w:rPr>
          <w:lang w:eastAsia="en-AU"/>
        </w:rPr>
      </w:pPr>
      <w:r>
        <w:t xml:space="preserve">The majority of </w:t>
      </w:r>
      <w:r w:rsidR="00287F26">
        <w:t>s</w:t>
      </w:r>
      <w:r>
        <w:t xml:space="preserve">erious </w:t>
      </w:r>
      <w:r w:rsidR="00287F26">
        <w:t>a</w:t>
      </w:r>
      <w:r>
        <w:t xml:space="preserve">llergic and </w:t>
      </w:r>
      <w:r w:rsidR="00287F26">
        <w:t>a</w:t>
      </w:r>
      <w:r w:rsidRPr="006133F4">
        <w:t xml:space="preserve">naphylactic </w:t>
      </w:r>
      <w:r w:rsidR="00287F26">
        <w:t>r</w:t>
      </w:r>
      <w:r>
        <w:t>eactions were related to the transfusion of fresh frozen plasma and platelets.</w:t>
      </w:r>
    </w:p>
    <w:p w:rsidR="00B54518" w:rsidRDefault="00B54518" w:rsidP="0093147B">
      <w:pPr>
        <w:numPr>
          <w:ilvl w:val="0"/>
          <w:numId w:val="8"/>
        </w:numPr>
        <w:contextualSpacing/>
        <w:rPr>
          <w:lang w:eastAsia="en-AU"/>
        </w:rPr>
      </w:pPr>
      <w:r w:rsidRPr="00B54518">
        <w:rPr>
          <w:lang w:eastAsia="en-AU"/>
        </w:rPr>
        <w:t xml:space="preserve">Around half of the serious events </w:t>
      </w:r>
      <w:r w:rsidR="00287F26">
        <w:rPr>
          <w:lang w:eastAsia="en-AU"/>
        </w:rPr>
        <w:t>involved</w:t>
      </w:r>
      <w:r w:rsidRPr="00B54518">
        <w:rPr>
          <w:lang w:eastAsia="en-AU"/>
        </w:rPr>
        <w:t xml:space="preserve"> patients aged 65 and above. </w:t>
      </w:r>
      <w:r>
        <w:rPr>
          <w:lang w:eastAsia="en-AU"/>
        </w:rPr>
        <w:t xml:space="preserve">Around </w:t>
      </w:r>
      <w:r w:rsidRPr="00B54518">
        <w:rPr>
          <w:lang w:eastAsia="en-AU"/>
        </w:rPr>
        <w:t>30.5% of serious events were related to transfusions</w:t>
      </w:r>
      <w:r w:rsidR="00254D5A">
        <w:rPr>
          <w:lang w:eastAsia="en-AU"/>
        </w:rPr>
        <w:t xml:space="preserve"> between 7pm and 7am</w:t>
      </w:r>
      <w:r>
        <w:rPr>
          <w:lang w:eastAsia="en-AU"/>
        </w:rPr>
        <w:t>.</w:t>
      </w:r>
    </w:p>
    <w:p w:rsidR="007526C5" w:rsidRDefault="007526C5" w:rsidP="0093147B">
      <w:pPr>
        <w:numPr>
          <w:ilvl w:val="0"/>
          <w:numId w:val="8"/>
        </w:numPr>
        <w:contextualSpacing/>
        <w:rPr>
          <w:lang w:eastAsia="en-AU"/>
        </w:rPr>
      </w:pPr>
      <w:r w:rsidRPr="007526C5">
        <w:rPr>
          <w:lang w:eastAsia="en-AU"/>
        </w:rPr>
        <w:t>In 2013–14 there were a total of 1.3 million donations, including 0.78 million whole blood donations, 0.48 million plasmapheresis donations and 0.04 mill</w:t>
      </w:r>
      <w:r w:rsidR="00157167">
        <w:rPr>
          <w:lang w:eastAsia="en-AU"/>
        </w:rPr>
        <w:t xml:space="preserve">ion </w:t>
      </w:r>
      <w:proofErr w:type="spellStart"/>
      <w:r w:rsidR="00157167">
        <w:rPr>
          <w:lang w:eastAsia="en-AU"/>
        </w:rPr>
        <w:t>plateletpheresis</w:t>
      </w:r>
      <w:proofErr w:type="spellEnd"/>
      <w:r w:rsidR="00157167">
        <w:rPr>
          <w:lang w:eastAsia="en-AU"/>
        </w:rPr>
        <w:t xml:space="preserve"> donations.</w:t>
      </w:r>
    </w:p>
    <w:p w:rsidR="00052CE0" w:rsidRDefault="00052CE0" w:rsidP="0093147B">
      <w:pPr>
        <w:numPr>
          <w:ilvl w:val="0"/>
          <w:numId w:val="8"/>
        </w:numPr>
        <w:contextualSpacing/>
        <w:rPr>
          <w:lang w:eastAsia="en-AU"/>
        </w:rPr>
      </w:pPr>
      <w:r w:rsidRPr="00052CE0">
        <w:rPr>
          <w:lang w:eastAsia="en-AU"/>
        </w:rPr>
        <w:t xml:space="preserve">There were </w:t>
      </w:r>
      <w:r w:rsidR="00994B42" w:rsidRPr="00994B42">
        <w:rPr>
          <w:lang w:eastAsia="en-AU"/>
        </w:rPr>
        <w:t xml:space="preserve">34,778 </w:t>
      </w:r>
      <w:r>
        <w:rPr>
          <w:lang w:eastAsia="en-AU"/>
        </w:rPr>
        <w:t>donation</w:t>
      </w:r>
      <w:r w:rsidR="00773683">
        <w:rPr>
          <w:lang w:eastAsia="en-AU"/>
        </w:rPr>
        <w:t>-</w:t>
      </w:r>
      <w:r>
        <w:rPr>
          <w:lang w:eastAsia="en-AU"/>
        </w:rPr>
        <w:t>related</w:t>
      </w:r>
      <w:r w:rsidRPr="00052CE0">
        <w:rPr>
          <w:lang w:eastAsia="en-AU"/>
        </w:rPr>
        <w:t xml:space="preserve"> event</w:t>
      </w:r>
      <w:r w:rsidR="00ED4883">
        <w:rPr>
          <w:lang w:eastAsia="en-AU"/>
        </w:rPr>
        <w:t>s</w:t>
      </w:r>
      <w:r w:rsidRPr="00052CE0">
        <w:rPr>
          <w:lang w:eastAsia="en-AU"/>
        </w:rPr>
        <w:t xml:space="preserve"> report</w:t>
      </w:r>
      <w:r w:rsidR="00A85F2C">
        <w:rPr>
          <w:lang w:eastAsia="en-AU"/>
        </w:rPr>
        <w:t>ed</w:t>
      </w:r>
      <w:r w:rsidRPr="00052CE0">
        <w:rPr>
          <w:lang w:eastAsia="en-AU"/>
        </w:rPr>
        <w:t xml:space="preserve"> in 201</w:t>
      </w:r>
      <w:r w:rsidR="007526C5">
        <w:rPr>
          <w:lang w:eastAsia="en-AU"/>
        </w:rPr>
        <w:t>3</w:t>
      </w:r>
      <w:r w:rsidRPr="00052CE0">
        <w:rPr>
          <w:lang w:eastAsia="en-AU"/>
        </w:rPr>
        <w:t>–1</w:t>
      </w:r>
      <w:r w:rsidR="007526C5">
        <w:rPr>
          <w:lang w:eastAsia="en-AU"/>
        </w:rPr>
        <w:t>4</w:t>
      </w:r>
      <w:r w:rsidRPr="00052CE0">
        <w:rPr>
          <w:lang w:eastAsia="en-AU"/>
        </w:rPr>
        <w:t xml:space="preserve">. The </w:t>
      </w:r>
      <w:r w:rsidR="00F57E34">
        <w:rPr>
          <w:lang w:eastAsia="en-AU"/>
        </w:rPr>
        <w:t xml:space="preserve">reporting rate </w:t>
      </w:r>
      <w:r w:rsidR="007526C5">
        <w:rPr>
          <w:lang w:eastAsia="en-AU"/>
        </w:rPr>
        <w:t>of</w:t>
      </w:r>
      <w:r w:rsidR="007526C5" w:rsidRPr="007526C5">
        <w:t xml:space="preserve"> </w:t>
      </w:r>
      <w:r w:rsidR="007526C5">
        <w:rPr>
          <w:lang w:eastAsia="en-AU"/>
        </w:rPr>
        <w:t>serious donation-related event</w:t>
      </w:r>
      <w:r w:rsidR="00B8055E">
        <w:rPr>
          <w:lang w:eastAsia="en-AU"/>
        </w:rPr>
        <w:t>s</w:t>
      </w:r>
      <w:r w:rsidR="007526C5">
        <w:rPr>
          <w:lang w:eastAsia="en-AU"/>
        </w:rPr>
        <w:t xml:space="preserve"> </w:t>
      </w:r>
      <w:r w:rsidRPr="00052CE0">
        <w:rPr>
          <w:lang w:eastAsia="en-AU"/>
        </w:rPr>
        <w:t xml:space="preserve">was </w:t>
      </w:r>
      <w:r w:rsidR="007526C5">
        <w:rPr>
          <w:lang w:eastAsia="en-AU"/>
        </w:rPr>
        <w:t xml:space="preserve">8.5 per 10,000 donations </w:t>
      </w:r>
      <w:r w:rsidRPr="00052CE0">
        <w:rPr>
          <w:lang w:eastAsia="en-AU"/>
        </w:rPr>
        <w:t>in 201</w:t>
      </w:r>
      <w:r w:rsidR="007526C5">
        <w:rPr>
          <w:lang w:eastAsia="en-AU"/>
        </w:rPr>
        <w:t>3</w:t>
      </w:r>
      <w:r w:rsidRPr="00052CE0">
        <w:rPr>
          <w:lang w:eastAsia="en-AU"/>
        </w:rPr>
        <w:t>–1</w:t>
      </w:r>
      <w:r w:rsidR="007526C5">
        <w:rPr>
          <w:lang w:eastAsia="en-AU"/>
        </w:rPr>
        <w:t>4</w:t>
      </w:r>
      <w:r w:rsidRPr="00052CE0">
        <w:rPr>
          <w:lang w:eastAsia="en-AU"/>
        </w:rPr>
        <w:t>.</w:t>
      </w:r>
    </w:p>
    <w:p w:rsidR="00052CE0" w:rsidRDefault="00052CE0" w:rsidP="0093147B">
      <w:pPr>
        <w:numPr>
          <w:ilvl w:val="0"/>
          <w:numId w:val="8"/>
        </w:numPr>
        <w:ind w:left="357"/>
        <w:contextualSpacing/>
        <w:rPr>
          <w:lang w:eastAsia="en-AU"/>
        </w:rPr>
      </w:pPr>
      <w:r w:rsidRPr="00052CE0">
        <w:rPr>
          <w:lang w:eastAsia="en-AU"/>
        </w:rPr>
        <w:t>The frequency of adverse events was found to be higher in younger and female blood donors, especially those under the age of 20 years.</w:t>
      </w:r>
    </w:p>
    <w:p w:rsidR="004C5C80" w:rsidRPr="004C5C80" w:rsidRDefault="004C5C80" w:rsidP="004C5C80">
      <w:pPr>
        <w:rPr>
          <w:lang w:eastAsia="en-AU"/>
        </w:rPr>
      </w:pPr>
    </w:p>
    <w:p w:rsidR="007526C5" w:rsidRDefault="007526C5">
      <w:pPr>
        <w:spacing w:line="276" w:lineRule="auto"/>
        <w:rPr>
          <w:rFonts w:ascii="Arial" w:hAnsi="Arial" w:cs="Arial"/>
          <w:sz w:val="36"/>
          <w:szCs w:val="36"/>
        </w:rPr>
      </w:pPr>
      <w:r>
        <w:rPr>
          <w:rFonts w:ascii="Arial" w:hAnsi="Arial" w:cs="Arial"/>
          <w:sz w:val="36"/>
          <w:szCs w:val="36"/>
        </w:rPr>
        <w:br w:type="page"/>
      </w:r>
    </w:p>
    <w:p w:rsidR="004C5C80" w:rsidRPr="00121B20" w:rsidRDefault="004C5C80" w:rsidP="00EC4AF3">
      <w:pPr>
        <w:pStyle w:val="Heading2"/>
      </w:pPr>
      <w:bookmarkStart w:id="17" w:name="_Toc459366153"/>
      <w:r w:rsidRPr="00121B20">
        <w:lastRenderedPageBreak/>
        <w:t>Recommendations</w:t>
      </w:r>
      <w:bookmarkEnd w:id="17"/>
    </w:p>
    <w:p w:rsidR="00380BBD" w:rsidRPr="005E53A8" w:rsidRDefault="004C5C80" w:rsidP="00380BBD">
      <w:r w:rsidRPr="004C5C80">
        <w:t>Th</w:t>
      </w:r>
      <w:r w:rsidR="00287F26">
        <w:t>is</w:t>
      </w:r>
      <w:r w:rsidRPr="004C5C80">
        <w:t xml:space="preserve"> 2</w:t>
      </w:r>
      <w:r w:rsidR="00203942">
        <w:t>016</w:t>
      </w:r>
      <w:r w:rsidRPr="004C5C80">
        <w:t xml:space="preserve"> report ma</w:t>
      </w:r>
      <w:r w:rsidR="00287F26">
        <w:t>kes</w:t>
      </w:r>
      <w:r w:rsidRPr="004C5C80">
        <w:t xml:space="preserve"> 1</w:t>
      </w:r>
      <w:r w:rsidR="00D7035B">
        <w:t>2</w:t>
      </w:r>
      <w:r w:rsidR="00380BBD">
        <w:t xml:space="preserve"> recommendations, including </w:t>
      </w:r>
      <w:r w:rsidR="00A85F2C">
        <w:t>eight</w:t>
      </w:r>
      <w:r w:rsidR="00A85F2C" w:rsidRPr="005E53A8">
        <w:t xml:space="preserve"> </w:t>
      </w:r>
      <w:r w:rsidR="00380BBD" w:rsidRPr="005E53A8">
        <w:t xml:space="preserve">recommendations </w:t>
      </w:r>
      <w:r w:rsidR="00380BBD">
        <w:t xml:space="preserve">from the last report and </w:t>
      </w:r>
      <w:r w:rsidR="00D7035B">
        <w:t>four</w:t>
      </w:r>
      <w:r w:rsidR="00380BBD">
        <w:t xml:space="preserve"> new</w:t>
      </w:r>
      <w:r w:rsidR="00A85F2C">
        <w:t xml:space="preserve"> or revised</w:t>
      </w:r>
      <w:r w:rsidR="00380BBD">
        <w:t xml:space="preserve"> recommendations. Please note the</w:t>
      </w:r>
      <w:r w:rsidR="00380BBD" w:rsidRPr="005E53A8">
        <w:t xml:space="preserve"> </w:t>
      </w:r>
      <w:r w:rsidR="00380BBD">
        <w:t>sixth</w:t>
      </w:r>
      <w:r w:rsidR="00380BBD" w:rsidRPr="005E53A8">
        <w:t xml:space="preserve"> recommendation of ‘</w:t>
      </w:r>
      <w:r w:rsidR="00380BBD" w:rsidRPr="008A3B38">
        <w:t xml:space="preserve">Review and redevelop the Australian National </w:t>
      </w:r>
      <w:proofErr w:type="spellStart"/>
      <w:r w:rsidR="00380BBD" w:rsidRPr="008A3B38">
        <w:t>Haemovigilance</w:t>
      </w:r>
      <w:proofErr w:type="spellEnd"/>
      <w:r w:rsidR="00380BBD" w:rsidRPr="008A3B38">
        <w:t xml:space="preserve"> Data Dictionary</w:t>
      </w:r>
      <w:r w:rsidR="00380BBD" w:rsidRPr="005E53A8">
        <w:t>’</w:t>
      </w:r>
      <w:r w:rsidR="00380BBD">
        <w:t xml:space="preserve"> from </w:t>
      </w:r>
      <w:r w:rsidR="00A85F2C">
        <w:t xml:space="preserve">the </w:t>
      </w:r>
      <w:r w:rsidR="00380BBD">
        <w:t>last report has been delivered</w:t>
      </w:r>
      <w:r w:rsidR="00380BBD" w:rsidRPr="005E53A8">
        <w:t xml:space="preserve"> </w:t>
      </w:r>
      <w:r w:rsidR="00380BBD">
        <w:t>and replaced by ‘</w:t>
      </w:r>
      <w:r w:rsidR="00380BBD" w:rsidRPr="008A3B38">
        <w:t xml:space="preserve">Implement the Australian </w:t>
      </w:r>
      <w:proofErr w:type="spellStart"/>
      <w:r w:rsidR="00380BBD" w:rsidRPr="008A3B38">
        <w:t>Haemovigilance</w:t>
      </w:r>
      <w:proofErr w:type="spellEnd"/>
      <w:r w:rsidR="00380BBD" w:rsidRPr="008A3B38">
        <w:t xml:space="preserve"> Minimum Data Set</w:t>
      </w:r>
      <w:r w:rsidR="00380BBD">
        <w:t>’ in this report</w:t>
      </w:r>
      <w:r w:rsidR="00380BBD" w:rsidRPr="005E53A8">
        <w:t xml:space="preserve">. The NBA and HAC have developed a </w:t>
      </w:r>
      <w:r w:rsidR="00380BBD">
        <w:t xml:space="preserve">Work Plan for </w:t>
      </w:r>
      <w:r w:rsidR="00380BBD" w:rsidRPr="009415E2">
        <w:t>2015–17</w:t>
      </w:r>
      <w:r w:rsidR="00380BBD" w:rsidRPr="005E53A8">
        <w:t xml:space="preserve"> to guide the implementation of the recommendations in the following areas.</w:t>
      </w:r>
    </w:p>
    <w:p w:rsidR="004C5C80" w:rsidRPr="004C5C80" w:rsidRDefault="004C5C80" w:rsidP="00B8055E">
      <w:pPr>
        <w:pBdr>
          <w:bottom w:val="single" w:sz="4" w:space="1" w:color="auto"/>
        </w:pBdr>
        <w:ind w:left="3"/>
        <w:rPr>
          <w:b/>
          <w:lang w:eastAsia="en-AU"/>
        </w:rPr>
      </w:pPr>
      <w:r w:rsidRPr="004C5C80">
        <w:rPr>
          <w:b/>
          <w:lang w:eastAsia="en-AU"/>
        </w:rPr>
        <w:t>National blood quality and safety initiatives</w:t>
      </w:r>
    </w:p>
    <w:p w:rsidR="004C5C80" w:rsidRPr="004C5C80" w:rsidRDefault="004C5C80" w:rsidP="0093147B">
      <w:pPr>
        <w:numPr>
          <w:ilvl w:val="0"/>
          <w:numId w:val="5"/>
        </w:numPr>
        <w:ind w:left="720"/>
        <w:contextualSpacing/>
      </w:pPr>
      <w:r w:rsidRPr="004C5C80">
        <w:t>Promote the recognition and management of transfusion-related adverse events.</w:t>
      </w:r>
    </w:p>
    <w:p w:rsidR="004C5C80" w:rsidRPr="004C5C80" w:rsidRDefault="004C5C80" w:rsidP="0093147B">
      <w:pPr>
        <w:numPr>
          <w:ilvl w:val="0"/>
          <w:numId w:val="5"/>
        </w:numPr>
        <w:ind w:left="720" w:hanging="357"/>
        <w:contextualSpacing/>
      </w:pPr>
      <w:r w:rsidRPr="004C5C80">
        <w:t xml:space="preserve">Implement programs at the national, state and local </w:t>
      </w:r>
      <w:r w:rsidR="001022C0">
        <w:t xml:space="preserve">health service provider </w:t>
      </w:r>
      <w:r w:rsidRPr="004C5C80">
        <w:t>levels to improve reporting of serious adverse events.</w:t>
      </w:r>
    </w:p>
    <w:p w:rsidR="004C5C80" w:rsidRPr="004C5C80" w:rsidRDefault="004C5C80" w:rsidP="004C5C80">
      <w:pPr>
        <w:ind w:left="363"/>
        <w:contextualSpacing/>
      </w:pPr>
    </w:p>
    <w:p w:rsidR="004C5C80" w:rsidRPr="004C5C80" w:rsidRDefault="004C5C80" w:rsidP="004C5C80">
      <w:pPr>
        <w:pBdr>
          <w:bottom w:val="single" w:sz="4" w:space="1" w:color="auto"/>
        </w:pBdr>
        <w:ind w:left="3"/>
        <w:rPr>
          <w:b/>
        </w:rPr>
      </w:pPr>
      <w:r w:rsidRPr="004C5C80">
        <w:rPr>
          <w:b/>
          <w:lang w:eastAsia="en-AU"/>
        </w:rPr>
        <w:t>Reducing human errors</w:t>
      </w:r>
    </w:p>
    <w:p w:rsidR="004C5C80" w:rsidRPr="004C5C80" w:rsidRDefault="004C5C80" w:rsidP="0093147B">
      <w:pPr>
        <w:numPr>
          <w:ilvl w:val="0"/>
          <w:numId w:val="5"/>
        </w:numPr>
        <w:ind w:left="720"/>
        <w:contextualSpacing/>
      </w:pPr>
      <w:r w:rsidRPr="004C5C80">
        <w:rPr>
          <w:lang w:eastAsia="en-AU"/>
        </w:rPr>
        <w:t>Clinical staff</w:t>
      </w:r>
      <w:r w:rsidR="00287F26">
        <w:rPr>
          <w:lang w:eastAsia="en-AU"/>
        </w:rPr>
        <w:t xml:space="preserve"> should comply</w:t>
      </w:r>
      <w:r w:rsidRPr="004C5C80">
        <w:rPr>
          <w:lang w:eastAsia="en-AU"/>
        </w:rPr>
        <w:t xml:space="preserve"> with national guidelines on sample collection and administration of blood and blood products.</w:t>
      </w:r>
    </w:p>
    <w:p w:rsidR="004C5C80" w:rsidRPr="004C5C80" w:rsidRDefault="004C5C80" w:rsidP="0093147B">
      <w:pPr>
        <w:numPr>
          <w:ilvl w:val="0"/>
          <w:numId w:val="5"/>
        </w:numPr>
        <w:ind w:left="720"/>
        <w:contextualSpacing/>
      </w:pPr>
      <w:r w:rsidRPr="004C5C80">
        <w:t>Promote the application of technological adjuncts such as portable barcode readers and/or radio-frequency identification scanners to reduce the scope for error.</w:t>
      </w:r>
    </w:p>
    <w:p w:rsidR="004C5C80" w:rsidRPr="004C5C80" w:rsidRDefault="004C5C80" w:rsidP="0093147B">
      <w:pPr>
        <w:numPr>
          <w:ilvl w:val="0"/>
          <w:numId w:val="5"/>
        </w:numPr>
        <w:ind w:left="720"/>
        <w:contextualSpacing/>
      </w:pPr>
      <w:r w:rsidRPr="004C5C80">
        <w:t>Develop tools to encourage alignment of prescribing practice with clinical guidelines.</w:t>
      </w:r>
    </w:p>
    <w:p w:rsidR="004C5C80" w:rsidRPr="004C5C80" w:rsidRDefault="004C5C80" w:rsidP="004C5C80">
      <w:pPr>
        <w:ind w:left="720"/>
        <w:contextualSpacing/>
      </w:pPr>
    </w:p>
    <w:p w:rsidR="004C5C80" w:rsidRPr="004C5C80" w:rsidRDefault="004C5C80" w:rsidP="004C5C80">
      <w:pPr>
        <w:pBdr>
          <w:bottom w:val="single" w:sz="4" w:space="1" w:color="auto"/>
        </w:pBdr>
        <w:rPr>
          <w:b/>
        </w:rPr>
      </w:pPr>
      <w:r w:rsidRPr="004C5C80">
        <w:rPr>
          <w:b/>
          <w:lang w:eastAsia="en-AU"/>
        </w:rPr>
        <w:t>Data standards</w:t>
      </w:r>
    </w:p>
    <w:p w:rsidR="004C5C80" w:rsidRPr="004C5C80" w:rsidRDefault="00287F26" w:rsidP="0093147B">
      <w:pPr>
        <w:numPr>
          <w:ilvl w:val="0"/>
          <w:numId w:val="5"/>
        </w:numPr>
        <w:ind w:left="720"/>
        <w:contextualSpacing/>
      </w:pPr>
      <w:r>
        <w:t xml:space="preserve">Implement the Australian </w:t>
      </w:r>
      <w:proofErr w:type="spellStart"/>
      <w:r>
        <w:t>Haemovigilance</w:t>
      </w:r>
      <w:proofErr w:type="spellEnd"/>
      <w:r>
        <w:t xml:space="preserve"> Minimum Data Set (</w:t>
      </w:r>
      <w:r w:rsidR="00776EC6">
        <w:t>AHMDS</w:t>
      </w:r>
      <w:r>
        <w:t>)</w:t>
      </w:r>
      <w:r w:rsidR="004C5C80" w:rsidRPr="004C5C80">
        <w:t>.</w:t>
      </w:r>
    </w:p>
    <w:p w:rsidR="004C5C80" w:rsidRPr="004C5C80" w:rsidRDefault="004C5C80" w:rsidP="0093147B">
      <w:pPr>
        <w:numPr>
          <w:ilvl w:val="0"/>
          <w:numId w:val="5"/>
        </w:numPr>
        <w:ind w:left="720"/>
        <w:contextualSpacing/>
      </w:pPr>
      <w:r w:rsidRPr="004C5C80">
        <w:t xml:space="preserve">Provide tools for </w:t>
      </w:r>
      <w:r w:rsidR="00FF7E81">
        <w:t>health service providers</w:t>
      </w:r>
      <w:r w:rsidRPr="004C5C80">
        <w:t xml:space="preserve"> on the application of the </w:t>
      </w:r>
      <w:r w:rsidR="00FB35E6">
        <w:t>AHMDS</w:t>
      </w:r>
      <w:r w:rsidR="00287F26" w:rsidRPr="004C5C80">
        <w:t xml:space="preserve"> </w:t>
      </w:r>
      <w:r w:rsidRPr="004C5C80">
        <w:t xml:space="preserve">and reporting of </w:t>
      </w:r>
      <w:proofErr w:type="spellStart"/>
      <w:r w:rsidRPr="004C5C80">
        <w:t>haemovigilance</w:t>
      </w:r>
      <w:proofErr w:type="spellEnd"/>
      <w:r w:rsidRPr="004C5C80">
        <w:t xml:space="preserve"> data.</w:t>
      </w:r>
    </w:p>
    <w:p w:rsidR="004C5C80" w:rsidRDefault="004C5C80" w:rsidP="0093147B">
      <w:pPr>
        <w:numPr>
          <w:ilvl w:val="0"/>
          <w:numId w:val="5"/>
        </w:numPr>
        <w:ind w:left="720"/>
        <w:contextualSpacing/>
      </w:pPr>
      <w:r w:rsidRPr="004C5C80">
        <w:t xml:space="preserve">Continue to include donor vigilance data in national </w:t>
      </w:r>
      <w:proofErr w:type="spellStart"/>
      <w:r w:rsidRPr="004C5C80">
        <w:t>haemovigilance</w:t>
      </w:r>
      <w:proofErr w:type="spellEnd"/>
      <w:r w:rsidRPr="004C5C80">
        <w:t xml:space="preserve"> reporting.</w:t>
      </w:r>
    </w:p>
    <w:p w:rsidR="00380BBD" w:rsidRDefault="001655BD" w:rsidP="0093147B">
      <w:pPr>
        <w:numPr>
          <w:ilvl w:val="0"/>
          <w:numId w:val="5"/>
        </w:numPr>
        <w:ind w:left="720"/>
        <w:contextualSpacing/>
      </w:pPr>
      <w:r>
        <w:t xml:space="preserve">Consider including </w:t>
      </w:r>
      <w:r w:rsidR="00380BBD" w:rsidRPr="009415E2">
        <w:t xml:space="preserve">near misses in national </w:t>
      </w:r>
      <w:proofErr w:type="spellStart"/>
      <w:r w:rsidR="00380BBD" w:rsidRPr="009415E2">
        <w:t>haemovigilance</w:t>
      </w:r>
      <w:proofErr w:type="spellEnd"/>
      <w:r w:rsidR="00380BBD" w:rsidRPr="009415E2">
        <w:t xml:space="preserve"> reporting</w:t>
      </w:r>
      <w:r w:rsidR="008B71D9">
        <w:t>.</w:t>
      </w:r>
    </w:p>
    <w:p w:rsidR="00D7035B" w:rsidRDefault="00D7035B" w:rsidP="00D7035B">
      <w:pPr>
        <w:numPr>
          <w:ilvl w:val="0"/>
          <w:numId w:val="5"/>
        </w:numPr>
        <w:ind w:left="720"/>
        <w:contextualSpacing/>
      </w:pPr>
      <w:r w:rsidRPr="00D7035B">
        <w:t xml:space="preserve">Include relevant data in national </w:t>
      </w:r>
      <w:proofErr w:type="spellStart"/>
      <w:r w:rsidRPr="00D7035B">
        <w:t>haemovigilance</w:t>
      </w:r>
      <w:proofErr w:type="spellEnd"/>
      <w:r w:rsidRPr="00D7035B">
        <w:t xml:space="preserve"> reporting</w:t>
      </w:r>
      <w:r>
        <w:t>.</w:t>
      </w:r>
    </w:p>
    <w:p w:rsidR="004C5C80" w:rsidRPr="004C5C80" w:rsidRDefault="004C5C80" w:rsidP="004C5C80">
      <w:pPr>
        <w:ind w:left="720"/>
        <w:contextualSpacing/>
      </w:pPr>
    </w:p>
    <w:p w:rsidR="004C5C80" w:rsidRPr="004C5C80" w:rsidRDefault="004C5C80" w:rsidP="004C5C80">
      <w:pPr>
        <w:pBdr>
          <w:bottom w:val="single" w:sz="4" w:space="1" w:color="auto"/>
        </w:pBdr>
        <w:rPr>
          <w:b/>
        </w:rPr>
      </w:pPr>
      <w:r w:rsidRPr="004C5C80">
        <w:rPr>
          <w:b/>
          <w:lang w:eastAsia="en-AU"/>
        </w:rPr>
        <w:t>Reporting capacity</w:t>
      </w:r>
    </w:p>
    <w:p w:rsidR="004C5C80" w:rsidRDefault="004C5C80" w:rsidP="0093147B">
      <w:pPr>
        <w:numPr>
          <w:ilvl w:val="0"/>
          <w:numId w:val="5"/>
        </w:numPr>
        <w:ind w:left="720"/>
        <w:contextualSpacing/>
      </w:pPr>
      <w:r w:rsidRPr="004C5C80">
        <w:t xml:space="preserve">Implement the Strategic Framework for the National </w:t>
      </w:r>
      <w:proofErr w:type="spellStart"/>
      <w:r w:rsidRPr="004C5C80">
        <w:t>Haemovigilance</w:t>
      </w:r>
      <w:proofErr w:type="spellEnd"/>
      <w:r w:rsidRPr="004C5C80">
        <w:t xml:space="preserve"> Program.</w:t>
      </w:r>
    </w:p>
    <w:p w:rsidR="00A76029" w:rsidRDefault="00380BBD" w:rsidP="0093147B">
      <w:pPr>
        <w:numPr>
          <w:ilvl w:val="0"/>
          <w:numId w:val="5"/>
        </w:numPr>
        <w:ind w:left="720"/>
        <w:contextualSpacing/>
      </w:pPr>
      <w:r w:rsidRPr="005E53A8">
        <w:t xml:space="preserve">Maintain and improve existing capacities for </w:t>
      </w:r>
      <w:proofErr w:type="spellStart"/>
      <w:r w:rsidRPr="005E53A8">
        <w:t>haemovigilance</w:t>
      </w:r>
      <w:proofErr w:type="spellEnd"/>
      <w:r w:rsidRPr="005E53A8">
        <w:t xml:space="preserve"> data reporting.</w:t>
      </w:r>
    </w:p>
    <w:p w:rsidR="00B72971" w:rsidRPr="00380BBD" w:rsidRDefault="00B72971" w:rsidP="0093147B">
      <w:pPr>
        <w:numPr>
          <w:ilvl w:val="0"/>
          <w:numId w:val="5"/>
        </w:numPr>
        <w:ind w:left="720"/>
        <w:contextualSpacing/>
      </w:pPr>
      <w:r w:rsidRPr="00380BBD">
        <w:rPr>
          <w:rFonts w:eastAsia="HYGothic-Extra"/>
          <w:bCs/>
          <w:color w:val="FF0000"/>
          <w:spacing w:val="-20"/>
          <w:sz w:val="72"/>
          <w:szCs w:val="72"/>
          <w:lang w:eastAsia="en-AU"/>
        </w:rPr>
        <w:br w:type="page"/>
      </w:r>
    </w:p>
    <w:p w:rsidR="00876A77" w:rsidRPr="00876A77" w:rsidRDefault="00876A77" w:rsidP="00EC4AF3">
      <w:pPr>
        <w:pStyle w:val="Heading1"/>
        <w:rPr>
          <w:lang w:eastAsia="en-AU"/>
        </w:rPr>
      </w:pPr>
      <w:bookmarkStart w:id="18" w:name="_Toc459366154"/>
      <w:r w:rsidRPr="00876A77">
        <w:rPr>
          <w:lang w:eastAsia="en-AU"/>
        </w:rPr>
        <w:lastRenderedPageBreak/>
        <w:t>PART 0</w:t>
      </w:r>
      <w:r w:rsidR="000B20D0">
        <w:rPr>
          <w:lang w:eastAsia="en-AU"/>
        </w:rPr>
        <w:t xml:space="preserve">1 </w:t>
      </w:r>
      <w:r w:rsidRPr="00876A77">
        <w:rPr>
          <w:lang w:eastAsia="en-AU"/>
        </w:rPr>
        <w:t xml:space="preserve">HAEMOVIGILANCE </w:t>
      </w:r>
      <w:bookmarkEnd w:id="0"/>
      <w:bookmarkEnd w:id="1"/>
      <w:r w:rsidR="006018DF">
        <w:rPr>
          <w:lang w:eastAsia="en-AU"/>
        </w:rPr>
        <w:t>IN AUSTRALIA</w:t>
      </w:r>
      <w:bookmarkEnd w:id="18"/>
    </w:p>
    <w:p w:rsidR="00876A77" w:rsidRDefault="006018DF" w:rsidP="00EC4AF3">
      <w:pPr>
        <w:pStyle w:val="Heading2"/>
        <w:rPr>
          <w:lang w:eastAsia="en-AU"/>
        </w:rPr>
      </w:pPr>
      <w:bookmarkStart w:id="19" w:name="_Toc459366155"/>
      <w:proofErr w:type="spellStart"/>
      <w:r>
        <w:rPr>
          <w:lang w:eastAsia="en-AU"/>
        </w:rPr>
        <w:t>H</w:t>
      </w:r>
      <w:r w:rsidRPr="006018DF">
        <w:rPr>
          <w:lang w:eastAsia="en-AU"/>
        </w:rPr>
        <w:t>aemovigilance</w:t>
      </w:r>
      <w:proofErr w:type="spellEnd"/>
      <w:r w:rsidRPr="006018DF">
        <w:rPr>
          <w:lang w:eastAsia="en-AU"/>
        </w:rPr>
        <w:t xml:space="preserve"> definition</w:t>
      </w:r>
      <w:r w:rsidR="00E1117B">
        <w:rPr>
          <w:lang w:eastAsia="en-AU"/>
        </w:rPr>
        <w:t>s</w:t>
      </w:r>
      <w:bookmarkEnd w:id="19"/>
    </w:p>
    <w:tbl>
      <w:tblPr>
        <w:tblStyle w:val="TableGrid"/>
        <w:tblW w:w="0" w:type="auto"/>
        <w:tblLook w:val="04A0" w:firstRow="1" w:lastRow="0" w:firstColumn="1" w:lastColumn="0" w:noHBand="0" w:noVBand="1"/>
      </w:tblPr>
      <w:tblGrid>
        <w:gridCol w:w="9549"/>
      </w:tblGrid>
      <w:tr w:rsidR="00B76D45" w:rsidTr="00C30096">
        <w:tc>
          <w:tcPr>
            <w:tcW w:w="9549" w:type="dxa"/>
            <w:shd w:val="clear" w:color="auto" w:fill="F2F2F2" w:themeFill="background1" w:themeFillShade="F2"/>
          </w:tcPr>
          <w:p w:rsidR="00B76D45" w:rsidRDefault="00B76D45" w:rsidP="00C30096">
            <w:pPr>
              <w:pStyle w:val="Heading4"/>
              <w:outlineLvl w:val="3"/>
            </w:pPr>
            <w:r w:rsidRPr="000266AF">
              <w:t xml:space="preserve">International </w:t>
            </w:r>
            <w:proofErr w:type="spellStart"/>
            <w:r w:rsidRPr="000266AF">
              <w:t>Haemovigilance</w:t>
            </w:r>
            <w:proofErr w:type="spellEnd"/>
            <w:r w:rsidRPr="000266AF">
              <w:t xml:space="preserve"> Network</w:t>
            </w:r>
          </w:p>
          <w:p w:rsidR="00B76D45" w:rsidRDefault="00B76D45" w:rsidP="00C30096"/>
          <w:p w:rsidR="00B76D45" w:rsidRDefault="00B76D45" w:rsidP="00C30096">
            <w:pPr>
              <w:rPr>
                <w:i/>
              </w:rPr>
            </w:pPr>
            <w:r w:rsidRPr="00BB0D0C">
              <w:rPr>
                <w:i/>
              </w:rPr>
              <w:t>‘A set of surveillance procedures covering the whole transfusion chain (from the collection of blood and its components to the follow up of recipients), intended to collect and assess information on unexpected or undesirable effects resulting from the therapeutic use of labile blood products, and to prevent their occurrence or recurrence’</w:t>
            </w:r>
            <w:r>
              <w:rPr>
                <w:i/>
              </w:rPr>
              <w:t>.</w:t>
            </w:r>
          </w:p>
          <w:p w:rsidR="00B76D45" w:rsidRDefault="00B76D45" w:rsidP="00C30096">
            <w:pPr>
              <w:rPr>
                <w:i/>
              </w:rPr>
            </w:pPr>
          </w:p>
          <w:p w:rsidR="00B76D45" w:rsidRDefault="00B76D45" w:rsidP="00C30096">
            <w:pPr>
              <w:pStyle w:val="Heading4"/>
              <w:outlineLvl w:val="3"/>
            </w:pPr>
            <w:r>
              <w:t>World Health Organiz</w:t>
            </w:r>
            <w:r w:rsidRPr="000266AF">
              <w:t>ation</w:t>
            </w:r>
          </w:p>
          <w:p w:rsidR="00B76D45" w:rsidRDefault="00B76D45" w:rsidP="00C30096"/>
          <w:p w:rsidR="00B76D45" w:rsidRPr="000266AF" w:rsidRDefault="00B76D45" w:rsidP="00B8055E">
            <w:pPr>
              <w:rPr>
                <w:rFonts w:ascii="Times" w:eastAsiaTheme="minorHAnsi" w:hAnsi="Times" w:cstheme="minorBidi"/>
                <w:sz w:val="20"/>
                <w:szCs w:val="20"/>
              </w:rPr>
            </w:pPr>
            <w:r>
              <w:rPr>
                <w:i/>
              </w:rPr>
              <w:t>‘</w:t>
            </w:r>
            <w:proofErr w:type="spellStart"/>
            <w:r w:rsidRPr="000266AF">
              <w:rPr>
                <w:i/>
              </w:rPr>
              <w:t>Haemovigilance</w:t>
            </w:r>
            <w:proofErr w:type="spellEnd"/>
            <w:r w:rsidRPr="000266AF">
              <w:rPr>
                <w:i/>
              </w:rPr>
              <w:t xml:space="preserve"> is required to identify and prevent occurrence or recurrence of transfusion related unwanted events, to increase the safety, efficacy and efficiency of blood transfusion, covering all activities of the transfusion chain from donor to recipient.</w:t>
            </w:r>
            <w:r w:rsidRPr="000266AF">
              <w:rPr>
                <w:i/>
              </w:rPr>
              <w:br/>
              <w:t>The system should include monitoring, identification, reporting, investigation and analysis of adverse events near-misses and reactions related to</w:t>
            </w:r>
            <w:r>
              <w:rPr>
                <w:i/>
              </w:rPr>
              <w:t xml:space="preserve"> transfusion and manufacturing.’</w:t>
            </w:r>
          </w:p>
          <w:p w:rsidR="00B76D45" w:rsidRDefault="00B76D45" w:rsidP="00C30096"/>
        </w:tc>
      </w:tr>
    </w:tbl>
    <w:p w:rsidR="00B76D45" w:rsidRDefault="00B76D45" w:rsidP="00B76D45"/>
    <w:p w:rsidR="00B76D45" w:rsidRPr="00B76D45" w:rsidRDefault="00B76D45" w:rsidP="00EC4AF3">
      <w:pPr>
        <w:pStyle w:val="Heading2"/>
        <w:rPr>
          <w:lang w:eastAsia="en-AU"/>
        </w:rPr>
      </w:pPr>
      <w:bookmarkStart w:id="20" w:name="_Toc459366156"/>
      <w:r w:rsidRPr="00B76D45">
        <w:rPr>
          <w:lang w:eastAsia="en-AU"/>
        </w:rPr>
        <w:t xml:space="preserve">Why conduct </w:t>
      </w:r>
      <w:proofErr w:type="spellStart"/>
      <w:r w:rsidRPr="00B76D45">
        <w:rPr>
          <w:lang w:eastAsia="en-AU"/>
        </w:rPr>
        <w:t>haemovigilance</w:t>
      </w:r>
      <w:proofErr w:type="spellEnd"/>
      <w:r w:rsidRPr="00B76D45">
        <w:rPr>
          <w:lang w:eastAsia="en-AU"/>
        </w:rPr>
        <w:t xml:space="preserve"> in Australia?</w:t>
      </w:r>
      <w:bookmarkEnd w:id="20"/>
    </w:p>
    <w:p w:rsidR="00B76D45" w:rsidRPr="000266AF" w:rsidRDefault="00B76D45" w:rsidP="00330972">
      <w:r w:rsidRPr="000266AF">
        <w:t xml:space="preserve">It is widely acknowledged that </w:t>
      </w:r>
      <w:proofErr w:type="spellStart"/>
      <w:r w:rsidRPr="000266AF">
        <w:t>haemovigilance</w:t>
      </w:r>
      <w:proofErr w:type="spellEnd"/>
      <w:r w:rsidRPr="000266AF">
        <w:t xml:space="preserve"> is an important tool to improve the effective and appropriate management of blood and blood products, and to ensure the safety of peopl</w:t>
      </w:r>
      <w:r w:rsidR="00157167">
        <w:t>e receiving and donating blood.</w:t>
      </w:r>
    </w:p>
    <w:p w:rsidR="00B76D45" w:rsidRDefault="00B76D45" w:rsidP="00330972">
      <w:r>
        <w:t xml:space="preserve">The NBA, under the </w:t>
      </w:r>
      <w:r w:rsidRPr="0093147B">
        <w:rPr>
          <w:i/>
        </w:rPr>
        <w:t>National Blood Authority Act 20</w:t>
      </w:r>
      <w:r w:rsidRPr="00B8055E">
        <w:rPr>
          <w:i/>
        </w:rPr>
        <w:t>03</w:t>
      </w:r>
      <w:r>
        <w:t>, plays a key role in promoting transfusion appropriateness, safety and</w:t>
      </w:r>
      <w:r w:rsidR="00157167">
        <w:t xml:space="preserve"> blood management in Australia.</w:t>
      </w:r>
    </w:p>
    <w:p w:rsidR="00B76D45" w:rsidRDefault="00B76D45" w:rsidP="00330972">
      <w:r>
        <w:t xml:space="preserve">The </w:t>
      </w:r>
      <w:r w:rsidR="00776EC6" w:rsidRPr="00986861">
        <w:rPr>
          <w:lang w:eastAsia="en-AU"/>
        </w:rPr>
        <w:t>NSQHS Standard 7</w:t>
      </w:r>
      <w:r w:rsidR="00776EC6">
        <w:rPr>
          <w:lang w:eastAsia="en-AU"/>
        </w:rPr>
        <w:t xml:space="preserve"> </w:t>
      </w:r>
      <w:r>
        <w:t xml:space="preserve">requires </w:t>
      </w:r>
      <w:r w:rsidR="008B71D9">
        <w:t>(section</w:t>
      </w:r>
      <w:r>
        <w:t xml:space="preserve"> 7.3</w:t>
      </w:r>
      <w:r w:rsidR="008B71D9">
        <w:t>)</w:t>
      </w:r>
      <w:r>
        <w:t xml:space="preserve"> that health organisations ensure blood and blood product adverse events are included in the incidents management and investigation system. </w:t>
      </w:r>
      <w:r w:rsidRPr="00E86645">
        <w:t>The ACSQHC</w:t>
      </w:r>
      <w:r w:rsidR="00711478">
        <w:t xml:space="preserve"> </w:t>
      </w:r>
      <w:r w:rsidRPr="00E86645">
        <w:t xml:space="preserve">with the NBA is currently conducting the review of </w:t>
      </w:r>
      <w:r w:rsidR="00711478">
        <w:t>NSQHS</w:t>
      </w:r>
      <w:r w:rsidRPr="00E86645">
        <w:t xml:space="preserve"> Standard 7.</w:t>
      </w:r>
      <w:r>
        <w:t xml:space="preserve"> </w:t>
      </w:r>
    </w:p>
    <w:p w:rsidR="00B76D45" w:rsidRPr="00F210BB" w:rsidRDefault="00B76D45" w:rsidP="00330972">
      <w:r>
        <w:t xml:space="preserve">The </w:t>
      </w:r>
      <w:r w:rsidRPr="00E86645">
        <w:t xml:space="preserve">Statement on National Stewardship Expectations for the Supply of Blood and Blood Products </w:t>
      </w:r>
      <w:r>
        <w:t>outlines measures that Health Ministers expect all health providers to adopt within their organisation</w:t>
      </w:r>
      <w:r w:rsidR="008B71D9">
        <w:t>s</w:t>
      </w:r>
      <w:r>
        <w:t>. This includes the requirement to manage blood and blood products in ways that ensure t</w:t>
      </w:r>
      <w:r w:rsidRPr="00F210BB">
        <w:t>ransfusion</w:t>
      </w:r>
      <w:r w:rsidR="00773683">
        <w:t>-</w:t>
      </w:r>
      <w:r w:rsidRPr="00F210BB">
        <w:t>related adverse event information is collected and managed according to jurisdictional requirements.</w:t>
      </w:r>
    </w:p>
    <w:p w:rsidR="00B76D45" w:rsidRPr="0095713F" w:rsidRDefault="00B76D45" w:rsidP="00EC4AF3">
      <w:pPr>
        <w:pStyle w:val="Heading2"/>
        <w:rPr>
          <w:lang w:eastAsia="en-AU"/>
        </w:rPr>
      </w:pPr>
      <w:bookmarkStart w:id="21" w:name="_Toc459366157"/>
      <w:r w:rsidRPr="0095713F">
        <w:rPr>
          <w:lang w:eastAsia="en-AU"/>
        </w:rPr>
        <w:t xml:space="preserve">National </w:t>
      </w:r>
      <w:proofErr w:type="spellStart"/>
      <w:r w:rsidR="002E310A">
        <w:rPr>
          <w:lang w:eastAsia="en-AU"/>
        </w:rPr>
        <w:t>h</w:t>
      </w:r>
      <w:r w:rsidRPr="0095713F">
        <w:rPr>
          <w:lang w:eastAsia="en-AU"/>
        </w:rPr>
        <w:t>aemovigilance</w:t>
      </w:r>
      <w:proofErr w:type="spellEnd"/>
      <w:r w:rsidRPr="0095713F">
        <w:rPr>
          <w:lang w:eastAsia="en-AU"/>
        </w:rPr>
        <w:t xml:space="preserve"> </w:t>
      </w:r>
      <w:r w:rsidR="002E310A">
        <w:rPr>
          <w:lang w:eastAsia="en-AU"/>
        </w:rPr>
        <w:t>p</w:t>
      </w:r>
      <w:r w:rsidRPr="0095713F">
        <w:rPr>
          <w:lang w:eastAsia="en-AU"/>
        </w:rPr>
        <w:t>rogram and HAC</w:t>
      </w:r>
      <w:bookmarkEnd w:id="21"/>
    </w:p>
    <w:p w:rsidR="00B76D45" w:rsidRPr="00330972" w:rsidRDefault="00B76D45" w:rsidP="00330972">
      <w:r>
        <w:t xml:space="preserve">In Australia the rationale for setting up a national </w:t>
      </w:r>
      <w:proofErr w:type="spellStart"/>
      <w:r>
        <w:t>haemovigilance</w:t>
      </w:r>
      <w:proofErr w:type="spellEnd"/>
      <w:r>
        <w:t xml:space="preserve"> program is to</w:t>
      </w:r>
      <w:r w:rsidRPr="00330972">
        <w:t xml:space="preserve"> </w:t>
      </w:r>
      <w:r w:rsidRPr="003C5C77">
        <w:t>enable transfusion practice and product improvements through the aggregation and review of state, territory and health organisation data to:</w:t>
      </w:r>
    </w:p>
    <w:p w:rsidR="00B76D45" w:rsidRPr="003C5C77" w:rsidRDefault="00B76D45" w:rsidP="0093147B">
      <w:pPr>
        <w:pStyle w:val="Default"/>
        <w:numPr>
          <w:ilvl w:val="0"/>
          <w:numId w:val="6"/>
        </w:numPr>
        <w:rPr>
          <w:color w:val="auto"/>
          <w:sz w:val="22"/>
          <w:szCs w:val="22"/>
        </w:rPr>
      </w:pPr>
      <w:r w:rsidRPr="003C5C77">
        <w:rPr>
          <w:color w:val="auto"/>
          <w:sz w:val="22"/>
          <w:szCs w:val="22"/>
        </w:rPr>
        <w:t>identify contributory and comparator factors and</w:t>
      </w:r>
    </w:p>
    <w:p w:rsidR="00B76D45" w:rsidRDefault="00B76D45" w:rsidP="0093147B">
      <w:pPr>
        <w:pStyle w:val="Default"/>
        <w:numPr>
          <w:ilvl w:val="0"/>
          <w:numId w:val="6"/>
        </w:numPr>
        <w:rPr>
          <w:color w:val="auto"/>
          <w:sz w:val="22"/>
          <w:szCs w:val="22"/>
        </w:rPr>
      </w:pPr>
      <w:proofErr w:type="gramStart"/>
      <w:r w:rsidRPr="003C5C77">
        <w:rPr>
          <w:color w:val="auto"/>
          <w:sz w:val="22"/>
          <w:szCs w:val="22"/>
        </w:rPr>
        <w:t>place</w:t>
      </w:r>
      <w:proofErr w:type="gramEnd"/>
      <w:r w:rsidRPr="003C5C77">
        <w:rPr>
          <w:color w:val="auto"/>
          <w:sz w:val="22"/>
          <w:szCs w:val="22"/>
        </w:rPr>
        <w:t xml:space="preserve"> Aus</w:t>
      </w:r>
      <w:r w:rsidRPr="00330972">
        <w:rPr>
          <w:color w:val="auto"/>
          <w:sz w:val="22"/>
          <w:szCs w:val="22"/>
        </w:rPr>
        <w:t>t</w:t>
      </w:r>
      <w:r w:rsidRPr="003C5C77">
        <w:rPr>
          <w:color w:val="auto"/>
          <w:sz w:val="22"/>
          <w:szCs w:val="22"/>
        </w:rPr>
        <w:t>ralian transfusion risks into an international perspective.</w:t>
      </w:r>
    </w:p>
    <w:p w:rsidR="00330972" w:rsidRPr="003C5C77" w:rsidRDefault="00330972" w:rsidP="00330972">
      <w:pPr>
        <w:pStyle w:val="Default"/>
        <w:ind w:left="360"/>
        <w:rPr>
          <w:color w:val="auto"/>
          <w:sz w:val="22"/>
          <w:szCs w:val="22"/>
        </w:rPr>
      </w:pPr>
    </w:p>
    <w:p w:rsidR="00B76D45" w:rsidRDefault="00E1117B" w:rsidP="00C94185">
      <w:r w:rsidRPr="00E1117B">
        <w:t xml:space="preserve">The Australian </w:t>
      </w:r>
      <w:r w:rsidR="003B1288">
        <w:t>n</w:t>
      </w:r>
      <w:r w:rsidRPr="00E1117B">
        <w:t xml:space="preserve">ational </w:t>
      </w:r>
      <w:proofErr w:type="spellStart"/>
      <w:r w:rsidR="003B1288">
        <w:t>h</w:t>
      </w:r>
      <w:r w:rsidRPr="00E1117B">
        <w:t>aemovigilance</w:t>
      </w:r>
      <w:proofErr w:type="spellEnd"/>
      <w:r w:rsidRPr="00E1117B">
        <w:t xml:space="preserve"> </w:t>
      </w:r>
      <w:r w:rsidR="003B1288">
        <w:t>p</w:t>
      </w:r>
      <w:r>
        <w:t>rogram was established in 2009</w:t>
      </w:r>
      <w:r w:rsidRPr="00E1117B">
        <w:t xml:space="preserve">. </w:t>
      </w:r>
      <w:r w:rsidR="00B76D45">
        <w:t xml:space="preserve">The </w:t>
      </w:r>
      <w:proofErr w:type="spellStart"/>
      <w:r w:rsidR="00B76D45">
        <w:t>Haemovigilance</w:t>
      </w:r>
      <w:proofErr w:type="spellEnd"/>
      <w:r w:rsidR="00B76D45">
        <w:t xml:space="preserve"> Advisory Committee (HAC) was established under the </w:t>
      </w:r>
      <w:r w:rsidR="003B1288">
        <w:t>n</w:t>
      </w:r>
      <w:r w:rsidR="00B76D45">
        <w:t xml:space="preserve">ational </w:t>
      </w:r>
      <w:r w:rsidR="003B1288">
        <w:t>b</w:t>
      </w:r>
      <w:r w:rsidR="00B76D45">
        <w:t>lood arrangements</w:t>
      </w:r>
      <w:r w:rsidR="00B76D45" w:rsidRPr="00C94185">
        <w:t xml:space="preserve"> </w:t>
      </w:r>
      <w:r w:rsidR="00B76D45">
        <w:t xml:space="preserve">to inform and guide the national </w:t>
      </w:r>
      <w:proofErr w:type="spellStart"/>
      <w:r w:rsidR="00B76D45">
        <w:t>haemovigilance</w:t>
      </w:r>
      <w:proofErr w:type="spellEnd"/>
      <w:r w:rsidR="00B76D45">
        <w:t xml:space="preserve"> program. </w:t>
      </w:r>
      <w:r w:rsidR="00B76D45" w:rsidRPr="00C346F4">
        <w:t xml:space="preserve">The HAC </w:t>
      </w:r>
      <w:r w:rsidR="00B76D45">
        <w:t>comprise</w:t>
      </w:r>
      <w:r w:rsidR="003B1288">
        <w:t>s</w:t>
      </w:r>
      <w:r w:rsidR="00B76D45">
        <w:t xml:space="preserve"> </w:t>
      </w:r>
      <w:r w:rsidR="00B76D45" w:rsidRPr="00C346F4">
        <w:t>members with expertise and knowledge in the health sector, blood ma</w:t>
      </w:r>
      <w:r w:rsidR="00B76D45">
        <w:t xml:space="preserve">nagement and quality and safety. </w:t>
      </w:r>
      <w:r w:rsidR="00B76D45" w:rsidRPr="00545E28">
        <w:t>This group provides advice to governments on adverse event reporting originating from</w:t>
      </w:r>
      <w:r w:rsidR="00B76D45" w:rsidRPr="003C5C77">
        <w:t xml:space="preserve"> state and territory and other </w:t>
      </w:r>
      <w:r w:rsidR="00B76D45" w:rsidRPr="00545E28">
        <w:t xml:space="preserve">health service organisations and on national </w:t>
      </w:r>
      <w:r w:rsidR="00B76D45" w:rsidRPr="00545E28">
        <w:lastRenderedPageBreak/>
        <w:t>transfusion safety priorities. The committee also oversees the national reporting and governance frameworks.</w:t>
      </w:r>
    </w:p>
    <w:p w:rsidR="001B1839" w:rsidRDefault="001B1839" w:rsidP="001B1839">
      <w:pPr>
        <w:pStyle w:val="Heading2"/>
      </w:pPr>
      <w:bookmarkStart w:id="22" w:name="_Toc459366158"/>
      <w:r>
        <w:t xml:space="preserve">Strategic </w:t>
      </w:r>
      <w:r w:rsidR="005F2C26">
        <w:t>F</w:t>
      </w:r>
      <w:r>
        <w:t xml:space="preserve">ramework for </w:t>
      </w:r>
      <w:r w:rsidR="005F2C26">
        <w:t>N</w:t>
      </w:r>
      <w:r>
        <w:t xml:space="preserve">ational </w:t>
      </w:r>
      <w:proofErr w:type="spellStart"/>
      <w:r w:rsidR="005F2C26">
        <w:t>H</w:t>
      </w:r>
      <w:r>
        <w:t>aemovigilance</w:t>
      </w:r>
      <w:proofErr w:type="spellEnd"/>
      <w:r>
        <w:t xml:space="preserve"> </w:t>
      </w:r>
      <w:r w:rsidR="005F2C26">
        <w:t>P</w:t>
      </w:r>
      <w:r>
        <w:t>rogram</w:t>
      </w:r>
      <w:bookmarkEnd w:id="22"/>
    </w:p>
    <w:p w:rsidR="001B1839" w:rsidRDefault="001B1839" w:rsidP="001B1839">
      <w:r>
        <w:t>T</w:t>
      </w:r>
      <w:r w:rsidRPr="00545E28">
        <w:t xml:space="preserve">he Strategic Framework for the National </w:t>
      </w:r>
      <w:proofErr w:type="spellStart"/>
      <w:r w:rsidRPr="00545E28">
        <w:t>Haemovigilance</w:t>
      </w:r>
      <w:proofErr w:type="spellEnd"/>
      <w:r w:rsidRPr="00545E28">
        <w:t xml:space="preserve"> Program</w:t>
      </w:r>
      <w:r w:rsidR="005F2C26">
        <w:t xml:space="preserve"> (Strategic Framework)</w:t>
      </w:r>
      <w:r w:rsidRPr="00545E28">
        <w:t xml:space="preserve"> was developed and endorsed by </w:t>
      </w:r>
      <w:r w:rsidR="003B1288">
        <w:t xml:space="preserve">the </w:t>
      </w:r>
      <w:r>
        <w:t xml:space="preserve">Jurisdictional Blood Committee </w:t>
      </w:r>
      <w:r w:rsidRPr="00545E28">
        <w:t xml:space="preserve">in September 2014. The Strategic Framework redefines the scope of national </w:t>
      </w:r>
      <w:proofErr w:type="spellStart"/>
      <w:r w:rsidRPr="00545E28">
        <w:t>haemovigilance</w:t>
      </w:r>
      <w:proofErr w:type="spellEnd"/>
      <w:r w:rsidRPr="00545E28">
        <w:t xml:space="preserve"> arrangements to emphasise activities that contribute to national standardisation, </w:t>
      </w:r>
      <w:r>
        <w:t>and support the states and territories in their collections. There is no national IT system f</w:t>
      </w:r>
      <w:r w:rsidR="00157167">
        <w:t xml:space="preserve">or </w:t>
      </w:r>
      <w:proofErr w:type="spellStart"/>
      <w:r w:rsidR="00157167">
        <w:t>haemovigilance</w:t>
      </w:r>
      <w:proofErr w:type="spellEnd"/>
      <w:r w:rsidR="00157167">
        <w:t xml:space="preserve"> in Australia.</w:t>
      </w:r>
    </w:p>
    <w:p w:rsidR="001B1839" w:rsidRDefault="001B1839" w:rsidP="001B1839">
      <w:r w:rsidRPr="00BD76ED">
        <w:t>The roles and respo</w:t>
      </w:r>
      <w:r>
        <w:t xml:space="preserve">nsibilities </w:t>
      </w:r>
      <w:r w:rsidR="003B1288">
        <w:t xml:space="preserve">for </w:t>
      </w:r>
      <w:proofErr w:type="spellStart"/>
      <w:r w:rsidR="003B1288">
        <w:t>haemovigilance</w:t>
      </w:r>
      <w:proofErr w:type="spellEnd"/>
      <w:r w:rsidR="003B1288">
        <w:t xml:space="preserve"> </w:t>
      </w:r>
      <w:r>
        <w:t>within Australia are described in Figure 1</w:t>
      </w:r>
      <w:r w:rsidR="00157167">
        <w:t>.</w:t>
      </w:r>
    </w:p>
    <w:p w:rsidR="001B1839" w:rsidRPr="00201D61" w:rsidRDefault="001B1839" w:rsidP="001B1839">
      <w:pPr>
        <w:pStyle w:val="Caption"/>
        <w:rPr>
          <w:bCs w:val="0"/>
        </w:rPr>
      </w:pPr>
      <w:r w:rsidRPr="005D2665">
        <w:rPr>
          <w:noProof/>
          <w:lang w:eastAsia="en-AU"/>
        </w:rPr>
        <w:drawing>
          <wp:inline distT="0" distB="0" distL="0" distR="0" wp14:anchorId="7A2F27DF" wp14:editId="7E19A067">
            <wp:extent cx="5926455" cy="276048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6455" cy="2760487"/>
                    </a:xfrm>
                    <a:prstGeom prst="rect">
                      <a:avLst/>
                    </a:prstGeom>
                    <a:noFill/>
                    <a:ln>
                      <a:noFill/>
                    </a:ln>
                  </pic:spPr>
                </pic:pic>
              </a:graphicData>
            </a:graphic>
          </wp:inline>
        </w:drawing>
      </w:r>
      <w:r w:rsidRPr="001B1839">
        <w:rPr>
          <w:bCs w:val="0"/>
        </w:rPr>
        <w:t xml:space="preserve"> </w:t>
      </w:r>
    </w:p>
    <w:p w:rsidR="001B1839" w:rsidRDefault="00E8195C" w:rsidP="001B1839">
      <w:pPr>
        <w:pStyle w:val="Caption"/>
        <w:rPr>
          <w:bCs w:val="0"/>
        </w:rPr>
      </w:pPr>
      <w:bookmarkStart w:id="23" w:name="_Toc459366193"/>
      <w:r w:rsidRPr="00E8195C">
        <w:t xml:space="preserve">Figure </w:t>
      </w:r>
      <w:r w:rsidRPr="00EC4AF3">
        <w:fldChar w:fldCharType="begin"/>
      </w:r>
      <w:r w:rsidRPr="00E8195C">
        <w:instrText xml:space="preserve"> SEQ Figure \* ARABIC </w:instrText>
      </w:r>
      <w:r w:rsidRPr="00EC4AF3">
        <w:fldChar w:fldCharType="separate"/>
      </w:r>
      <w:r w:rsidR="000010BC">
        <w:rPr>
          <w:noProof/>
        </w:rPr>
        <w:t>1</w:t>
      </w:r>
      <w:r w:rsidRPr="00EC4AF3">
        <w:fldChar w:fldCharType="end"/>
      </w:r>
      <w:r>
        <w:t>:</w:t>
      </w:r>
      <w:r w:rsidR="001B1839" w:rsidRPr="00201D61">
        <w:rPr>
          <w:bCs w:val="0"/>
        </w:rPr>
        <w:t xml:space="preserve"> </w:t>
      </w:r>
      <w:proofErr w:type="spellStart"/>
      <w:r w:rsidR="001B1839" w:rsidRPr="00201D61">
        <w:rPr>
          <w:bCs w:val="0"/>
        </w:rPr>
        <w:t>Haemovigilance</w:t>
      </w:r>
      <w:proofErr w:type="spellEnd"/>
      <w:r w:rsidR="001B1839" w:rsidRPr="00201D61">
        <w:rPr>
          <w:bCs w:val="0"/>
        </w:rPr>
        <w:t xml:space="preserve"> roles and responsibilities</w:t>
      </w:r>
      <w:bookmarkEnd w:id="23"/>
    </w:p>
    <w:p w:rsidR="007D30FF" w:rsidRPr="001B1839" w:rsidRDefault="007D30FF" w:rsidP="007D30FF">
      <w:pPr>
        <w:pStyle w:val="Heading2"/>
      </w:pPr>
      <w:bookmarkStart w:id="24" w:name="_Toc459366159"/>
      <w:r w:rsidRPr="001B1839">
        <w:t xml:space="preserve">National </w:t>
      </w:r>
      <w:proofErr w:type="spellStart"/>
      <w:r w:rsidRPr="001B1839">
        <w:t>haemovigilance</w:t>
      </w:r>
      <w:proofErr w:type="spellEnd"/>
      <w:r w:rsidRPr="001B1839">
        <w:t xml:space="preserve"> reporting process</w:t>
      </w:r>
      <w:bookmarkEnd w:id="24"/>
    </w:p>
    <w:p w:rsidR="007D30FF" w:rsidRDefault="007D30FF" w:rsidP="007D30FF">
      <w:r>
        <w:t xml:space="preserve">In Australia, </w:t>
      </w:r>
      <w:proofErr w:type="spellStart"/>
      <w:r>
        <w:t>haemovigilance</w:t>
      </w:r>
      <w:proofErr w:type="spellEnd"/>
      <w:r>
        <w:t xml:space="preserve"> is undertaken at local or state/territory level, supported </w:t>
      </w:r>
      <w:r w:rsidRPr="003C5C77">
        <w:t xml:space="preserve">by local </w:t>
      </w:r>
      <w:r>
        <w:t xml:space="preserve">data collection and reporting </w:t>
      </w:r>
      <w:r w:rsidRPr="003C5C77">
        <w:t xml:space="preserve">processes. At present there is no agreed national system for collection. Data is collected at the local or state/territory level </w:t>
      </w:r>
      <w:r>
        <w:t>and the local area has</w:t>
      </w:r>
      <w:r w:rsidRPr="003C5C77">
        <w:t xml:space="preserve"> responsibility for the review of reported incidents to assess the validity and </w:t>
      </w:r>
      <w:proofErr w:type="spellStart"/>
      <w:r w:rsidRPr="003C5C77">
        <w:t>imputability</w:t>
      </w:r>
      <w:proofErr w:type="spellEnd"/>
      <w:r w:rsidRPr="003C5C77">
        <w:t xml:space="preserve"> of the incident with respect to whether it was reported correctly, the seriousness of the incident, and assessment of the cause of the incident being related to the transfusion. Some states and territories/local organisations provide their data to Serious Transfusion Incident Reporting (STIR) to conduct this review, while others manage this process themselves, or do not do a review outside of the local level. Following local review, selected data is aggregated and provided to the NBA for national analysis and reports. </w:t>
      </w:r>
      <w:r w:rsidR="00DC52C5">
        <w:t>For more information about the reporting</w:t>
      </w:r>
      <w:r w:rsidRPr="003C5C77">
        <w:t xml:space="preserve"> process</w:t>
      </w:r>
      <w:r w:rsidR="00DC52C5">
        <w:t xml:space="preserve">, please refer to the </w:t>
      </w:r>
      <w:r w:rsidRPr="003C5C77">
        <w:t xml:space="preserve">Strategic Framework </w:t>
      </w:r>
      <w:r w:rsidRPr="00BC40BA">
        <w:t>(</w:t>
      </w:r>
      <w:hyperlink r:id="rId15" w:history="1">
        <w:r w:rsidRPr="00ED71A7">
          <w:rPr>
            <w:rStyle w:val="Hyperlink"/>
          </w:rPr>
          <w:t>http://www.blood.gov.au/document/strategic-framework-national-haemovigilance-program-pdf</w:t>
        </w:r>
      </w:hyperlink>
      <w:r w:rsidRPr="00BC40BA">
        <w:t>)</w:t>
      </w:r>
      <w:r>
        <w:t>.</w:t>
      </w:r>
    </w:p>
    <w:p w:rsidR="00925095" w:rsidRPr="00925095" w:rsidRDefault="00925095" w:rsidP="0095713F">
      <w:pPr>
        <w:pStyle w:val="Heading2"/>
      </w:pPr>
      <w:bookmarkStart w:id="25" w:name="_Toc459366160"/>
      <w:proofErr w:type="spellStart"/>
      <w:r w:rsidRPr="00925095">
        <w:t>Haemovigilance</w:t>
      </w:r>
      <w:proofErr w:type="spellEnd"/>
      <w:r w:rsidR="008A3B89">
        <w:t xml:space="preserve"> Work Plan</w:t>
      </w:r>
      <w:bookmarkEnd w:id="25"/>
    </w:p>
    <w:p w:rsidR="000010BC" w:rsidRPr="00FE6DFD" w:rsidRDefault="00925095" w:rsidP="00EC4AF3">
      <w:pPr>
        <w:rPr>
          <w:bCs/>
        </w:rPr>
      </w:pPr>
      <w:r w:rsidRPr="00925095">
        <w:t xml:space="preserve">To facilitate the implementation of </w:t>
      </w:r>
      <w:r w:rsidR="003B1288">
        <w:t xml:space="preserve">the </w:t>
      </w:r>
      <w:r w:rsidRPr="00925095">
        <w:t xml:space="preserve">Strategic Framework and address the major shortcomings of the data, a detailed </w:t>
      </w:r>
      <w:r w:rsidR="008A3B89">
        <w:t>Work P</w:t>
      </w:r>
      <w:r w:rsidRPr="00925095">
        <w:t xml:space="preserve">lan </w:t>
      </w:r>
      <w:r w:rsidR="008A3B89">
        <w:t>was</w:t>
      </w:r>
      <w:r w:rsidRPr="00925095">
        <w:t xml:space="preserve"> agreed by the HAC in 2015–16. The</w:t>
      </w:r>
      <w:r w:rsidR="008A3B89">
        <w:t xml:space="preserve"> Work</w:t>
      </w:r>
      <w:r w:rsidRPr="00925095">
        <w:t xml:space="preserve"> </w:t>
      </w:r>
      <w:r w:rsidR="008A3B89">
        <w:t>P</w:t>
      </w:r>
      <w:r w:rsidRPr="00925095">
        <w:t>lan include</w:t>
      </w:r>
      <w:r w:rsidR="008A3B89">
        <w:t>s</w:t>
      </w:r>
      <w:r w:rsidRPr="00925095">
        <w:t xml:space="preserve"> a list of national tools, guidance and projects to improve </w:t>
      </w:r>
      <w:proofErr w:type="spellStart"/>
      <w:r w:rsidRPr="00925095">
        <w:t>haemovigilance</w:t>
      </w:r>
      <w:proofErr w:type="spellEnd"/>
      <w:r w:rsidRPr="00925095">
        <w:t xml:space="preserve"> in Australia. The NBA and HAC will work closely with the Blood Service, Australian &amp; New Zealand Society of Blood Transfusion (ANZSBT), Therapeutic Goods Administration (TGA), state and territor</w:t>
      </w:r>
      <w:r w:rsidR="003B1288">
        <w:t>y</w:t>
      </w:r>
      <w:r w:rsidRPr="00925095">
        <w:t xml:space="preserve"> departments of health and other key stakeholders to implement the </w:t>
      </w:r>
      <w:r w:rsidR="008A3B89">
        <w:t>Work Plan</w:t>
      </w:r>
      <w:r w:rsidRPr="00925095">
        <w:t xml:space="preserve"> and improve data quality and transfusion safety.</w:t>
      </w:r>
      <w:r w:rsidR="00854115" w:rsidRPr="005569C0">
        <w:fldChar w:fldCharType="begin"/>
      </w:r>
      <w:r w:rsidR="00854115" w:rsidRPr="002716ED">
        <w:instrText xml:space="preserve"> REF _Ref434848079 \h </w:instrText>
      </w:r>
      <w:r w:rsidR="002716ED" w:rsidRPr="00006FBE">
        <w:instrText xml:space="preserve"> \* MERGEFORMAT </w:instrText>
      </w:r>
      <w:r w:rsidR="00854115" w:rsidRPr="005569C0">
        <w:fldChar w:fldCharType="separate"/>
      </w:r>
    </w:p>
    <w:p w:rsidR="001B1839" w:rsidRPr="00FE6DFD" w:rsidRDefault="000010BC" w:rsidP="00EC4AF3">
      <w:pPr>
        <w:rPr>
          <w:bCs/>
        </w:rPr>
      </w:pPr>
      <w:r w:rsidRPr="000010BC">
        <w:rPr>
          <w:bCs/>
          <w:noProof/>
        </w:rPr>
        <w:lastRenderedPageBreak/>
        <w:t>Table</w:t>
      </w:r>
      <w:r w:rsidRPr="000010BC">
        <w:rPr>
          <w:bCs/>
        </w:rPr>
        <w:t xml:space="preserve"> </w:t>
      </w:r>
      <w:r>
        <w:rPr>
          <w:bCs/>
          <w:noProof/>
        </w:rPr>
        <w:t>1</w:t>
      </w:r>
      <w:r w:rsidR="00854115" w:rsidRPr="005569C0">
        <w:fldChar w:fldCharType="end"/>
      </w:r>
      <w:r w:rsidR="00854115">
        <w:t xml:space="preserve"> </w:t>
      </w:r>
      <w:r w:rsidR="00925095" w:rsidRPr="00925095">
        <w:t xml:space="preserve">is a list of actions that </w:t>
      </w:r>
      <w:r w:rsidR="003B1288">
        <w:t>were</w:t>
      </w:r>
      <w:r w:rsidR="00925095" w:rsidRPr="00925095">
        <w:t xml:space="preserve"> completed in 2014-15.</w:t>
      </w:r>
      <w:bookmarkStart w:id="26" w:name="_Ref434848079"/>
    </w:p>
    <w:p w:rsidR="00925095" w:rsidRPr="00EC4AF3" w:rsidRDefault="00FF0C6B" w:rsidP="00FF0C6B">
      <w:pPr>
        <w:pStyle w:val="Caption"/>
        <w:keepNext/>
        <w:rPr>
          <w:bCs w:val="0"/>
        </w:rPr>
      </w:pPr>
      <w:bookmarkStart w:id="27" w:name="_Toc459636841"/>
      <w:r w:rsidRPr="00EC4AF3">
        <w:rPr>
          <w:bCs w:val="0"/>
        </w:rPr>
        <w:t xml:space="preserve">Table </w:t>
      </w:r>
      <w:r w:rsidRPr="00EC4AF3">
        <w:rPr>
          <w:bCs w:val="0"/>
        </w:rPr>
        <w:fldChar w:fldCharType="begin"/>
      </w:r>
      <w:r w:rsidRPr="00EC4AF3">
        <w:rPr>
          <w:bCs w:val="0"/>
        </w:rPr>
        <w:instrText xml:space="preserve"> SEQ Table \* ARABIC </w:instrText>
      </w:r>
      <w:r w:rsidRPr="00EC4AF3">
        <w:rPr>
          <w:bCs w:val="0"/>
        </w:rPr>
        <w:fldChar w:fldCharType="separate"/>
      </w:r>
      <w:r w:rsidR="000010BC">
        <w:rPr>
          <w:bCs w:val="0"/>
          <w:noProof/>
        </w:rPr>
        <w:t>1</w:t>
      </w:r>
      <w:r w:rsidRPr="00EC4AF3">
        <w:rPr>
          <w:bCs w:val="0"/>
        </w:rPr>
        <w:fldChar w:fldCharType="end"/>
      </w:r>
      <w:bookmarkEnd w:id="26"/>
      <w:r w:rsidRPr="00EC4AF3">
        <w:rPr>
          <w:bCs w:val="0"/>
        </w:rPr>
        <w:t xml:space="preserve">: </w:t>
      </w:r>
      <w:proofErr w:type="spellStart"/>
      <w:r w:rsidR="00925095" w:rsidRPr="00EC4AF3">
        <w:rPr>
          <w:bCs w:val="0"/>
        </w:rPr>
        <w:t>Haemovigilance</w:t>
      </w:r>
      <w:proofErr w:type="spellEnd"/>
      <w:r w:rsidR="00925095" w:rsidRPr="00EC4AF3">
        <w:rPr>
          <w:bCs w:val="0"/>
        </w:rPr>
        <w:t xml:space="preserve"> actions</w:t>
      </w:r>
      <w:r w:rsidR="003B1288">
        <w:rPr>
          <w:bCs w:val="0"/>
        </w:rPr>
        <w:t xml:space="preserve"> completed</w:t>
      </w:r>
      <w:r w:rsidR="00925095" w:rsidRPr="00EC4AF3">
        <w:rPr>
          <w:bCs w:val="0"/>
        </w:rPr>
        <w:t xml:space="preserve"> in 2014-15</w:t>
      </w:r>
      <w:bookmarkEnd w:id="27"/>
    </w:p>
    <w:tbl>
      <w:tblPr>
        <w:tblStyle w:val="TableGrid6"/>
        <w:tblW w:w="9781" w:type="dxa"/>
        <w:tblInd w:w="108" w:type="dxa"/>
        <w:tblLook w:val="04A0" w:firstRow="1" w:lastRow="0" w:firstColumn="1" w:lastColumn="0" w:noHBand="0" w:noVBand="1"/>
      </w:tblPr>
      <w:tblGrid>
        <w:gridCol w:w="1560"/>
        <w:gridCol w:w="3543"/>
        <w:gridCol w:w="4678"/>
      </w:tblGrid>
      <w:tr w:rsidR="00925095" w:rsidRPr="00925095" w:rsidTr="00EC4AF3">
        <w:tc>
          <w:tcPr>
            <w:tcW w:w="1560" w:type="dxa"/>
            <w:shd w:val="clear" w:color="auto" w:fill="DAEEF3" w:themeFill="accent5" w:themeFillTint="33"/>
          </w:tcPr>
          <w:p w:rsidR="00925095" w:rsidRPr="00925095" w:rsidRDefault="00925095" w:rsidP="00925095">
            <w:pPr>
              <w:rPr>
                <w:b/>
              </w:rPr>
            </w:pPr>
            <w:r w:rsidRPr="00925095">
              <w:rPr>
                <w:b/>
              </w:rPr>
              <w:t>Data Issue</w:t>
            </w:r>
          </w:p>
        </w:tc>
        <w:tc>
          <w:tcPr>
            <w:tcW w:w="3543" w:type="dxa"/>
            <w:shd w:val="clear" w:color="auto" w:fill="DAEEF3" w:themeFill="accent5" w:themeFillTint="33"/>
          </w:tcPr>
          <w:p w:rsidR="00925095" w:rsidRPr="00925095" w:rsidRDefault="00925095" w:rsidP="00925095">
            <w:pPr>
              <w:rPr>
                <w:b/>
              </w:rPr>
            </w:pPr>
            <w:r w:rsidRPr="00925095">
              <w:rPr>
                <w:b/>
              </w:rPr>
              <w:t xml:space="preserve">Action </w:t>
            </w:r>
          </w:p>
        </w:tc>
        <w:tc>
          <w:tcPr>
            <w:tcW w:w="4678" w:type="dxa"/>
            <w:shd w:val="clear" w:color="auto" w:fill="DAEEF3" w:themeFill="accent5" w:themeFillTint="33"/>
          </w:tcPr>
          <w:p w:rsidR="00925095" w:rsidRPr="00925095" w:rsidRDefault="00925095" w:rsidP="00925095">
            <w:pPr>
              <w:rPr>
                <w:b/>
              </w:rPr>
            </w:pPr>
            <w:r w:rsidRPr="00925095">
              <w:rPr>
                <w:b/>
              </w:rPr>
              <w:t>Progress</w:t>
            </w:r>
          </w:p>
        </w:tc>
      </w:tr>
      <w:tr w:rsidR="00925095" w:rsidRPr="00925095" w:rsidTr="00EC4AF3">
        <w:tc>
          <w:tcPr>
            <w:tcW w:w="1560" w:type="dxa"/>
            <w:vMerge w:val="restart"/>
          </w:tcPr>
          <w:p w:rsidR="00925095" w:rsidRPr="00925095" w:rsidRDefault="00925095" w:rsidP="00925095">
            <w:pPr>
              <w:rPr>
                <w:i/>
                <w:sz w:val="20"/>
                <w:szCs w:val="20"/>
              </w:rPr>
            </w:pPr>
            <w:r w:rsidRPr="00925095">
              <w:rPr>
                <w:i/>
                <w:sz w:val="20"/>
                <w:szCs w:val="20"/>
              </w:rPr>
              <w:t>Data quality and completeness</w:t>
            </w:r>
          </w:p>
        </w:tc>
        <w:tc>
          <w:tcPr>
            <w:tcW w:w="3543" w:type="dxa"/>
          </w:tcPr>
          <w:p w:rsidR="00925095" w:rsidRPr="00925095" w:rsidRDefault="00925095" w:rsidP="00925095">
            <w:pPr>
              <w:rPr>
                <w:sz w:val="20"/>
                <w:szCs w:val="20"/>
              </w:rPr>
            </w:pPr>
            <w:r w:rsidRPr="00925095">
              <w:rPr>
                <w:sz w:val="20"/>
                <w:szCs w:val="20"/>
              </w:rPr>
              <w:t>Review NSQHS Standard 7</w:t>
            </w:r>
          </w:p>
        </w:tc>
        <w:tc>
          <w:tcPr>
            <w:tcW w:w="4678" w:type="dxa"/>
          </w:tcPr>
          <w:p w:rsidR="00925095" w:rsidRPr="00925095" w:rsidRDefault="00925095" w:rsidP="00925095">
            <w:pPr>
              <w:rPr>
                <w:sz w:val="20"/>
                <w:szCs w:val="20"/>
              </w:rPr>
            </w:pPr>
            <w:r w:rsidRPr="00925095">
              <w:rPr>
                <w:sz w:val="20"/>
                <w:szCs w:val="20"/>
              </w:rPr>
              <w:t>The ACSQHC with the NBA has st</w:t>
            </w:r>
            <w:r w:rsidR="00157167">
              <w:rPr>
                <w:sz w:val="20"/>
                <w:szCs w:val="20"/>
              </w:rPr>
              <w:t>arted the review of Standard 7.</w:t>
            </w:r>
          </w:p>
        </w:tc>
      </w:tr>
      <w:tr w:rsidR="00925095" w:rsidRPr="00925095" w:rsidTr="00EC4AF3">
        <w:tc>
          <w:tcPr>
            <w:tcW w:w="1560" w:type="dxa"/>
            <w:vMerge/>
          </w:tcPr>
          <w:p w:rsidR="00925095" w:rsidRPr="00925095" w:rsidRDefault="00925095" w:rsidP="00925095">
            <w:pPr>
              <w:rPr>
                <w:i/>
                <w:sz w:val="20"/>
                <w:szCs w:val="20"/>
              </w:rPr>
            </w:pPr>
          </w:p>
        </w:tc>
        <w:tc>
          <w:tcPr>
            <w:tcW w:w="3543" w:type="dxa"/>
          </w:tcPr>
          <w:p w:rsidR="00925095" w:rsidRPr="00925095" w:rsidRDefault="00925095" w:rsidP="00925095">
            <w:pPr>
              <w:rPr>
                <w:sz w:val="20"/>
                <w:szCs w:val="20"/>
              </w:rPr>
            </w:pPr>
            <w:r w:rsidRPr="00925095">
              <w:rPr>
                <w:sz w:val="20"/>
                <w:szCs w:val="20"/>
              </w:rPr>
              <w:t xml:space="preserve">Develop and implement the Strategic Framework for the </w:t>
            </w:r>
            <w:r w:rsidR="00157167">
              <w:rPr>
                <w:sz w:val="20"/>
                <w:szCs w:val="20"/>
              </w:rPr>
              <w:t xml:space="preserve">National </w:t>
            </w:r>
            <w:proofErr w:type="spellStart"/>
            <w:r w:rsidR="00157167">
              <w:rPr>
                <w:sz w:val="20"/>
                <w:szCs w:val="20"/>
              </w:rPr>
              <w:t>Haemovigilance</w:t>
            </w:r>
            <w:proofErr w:type="spellEnd"/>
            <w:r w:rsidR="00157167">
              <w:rPr>
                <w:sz w:val="20"/>
                <w:szCs w:val="20"/>
              </w:rPr>
              <w:t xml:space="preserve"> Program</w:t>
            </w:r>
          </w:p>
        </w:tc>
        <w:tc>
          <w:tcPr>
            <w:tcW w:w="4678" w:type="dxa"/>
          </w:tcPr>
          <w:p w:rsidR="00925095" w:rsidRPr="00925095" w:rsidRDefault="00925095" w:rsidP="00925095">
            <w:pPr>
              <w:rPr>
                <w:sz w:val="20"/>
                <w:szCs w:val="20"/>
              </w:rPr>
            </w:pPr>
            <w:r w:rsidRPr="00925095">
              <w:rPr>
                <w:sz w:val="20"/>
                <w:szCs w:val="20"/>
              </w:rPr>
              <w:t>The Strategic Framework has bee</w:t>
            </w:r>
            <w:r w:rsidR="00157167">
              <w:rPr>
                <w:sz w:val="20"/>
                <w:szCs w:val="20"/>
              </w:rPr>
              <w:t>n published on the NBA Website.</w:t>
            </w:r>
          </w:p>
        </w:tc>
      </w:tr>
      <w:tr w:rsidR="00925095" w:rsidRPr="00925095" w:rsidTr="00EC4AF3">
        <w:tc>
          <w:tcPr>
            <w:tcW w:w="1560" w:type="dxa"/>
            <w:vMerge/>
          </w:tcPr>
          <w:p w:rsidR="00925095" w:rsidRPr="00925095" w:rsidRDefault="00925095" w:rsidP="00925095">
            <w:pPr>
              <w:rPr>
                <w:i/>
                <w:sz w:val="20"/>
                <w:szCs w:val="20"/>
              </w:rPr>
            </w:pPr>
          </w:p>
        </w:tc>
        <w:tc>
          <w:tcPr>
            <w:tcW w:w="3543" w:type="dxa"/>
          </w:tcPr>
          <w:p w:rsidR="00925095" w:rsidRPr="00925095" w:rsidRDefault="00925095" w:rsidP="00925095">
            <w:pPr>
              <w:rPr>
                <w:sz w:val="20"/>
                <w:szCs w:val="20"/>
              </w:rPr>
            </w:pPr>
            <w:r w:rsidRPr="00925095">
              <w:rPr>
                <w:rFonts w:asciiTheme="minorHAnsi" w:hAnsiTheme="minorHAnsi"/>
                <w:sz w:val="20"/>
                <w:szCs w:val="20"/>
              </w:rPr>
              <w:t>Develop education and training tools</w:t>
            </w:r>
          </w:p>
        </w:tc>
        <w:tc>
          <w:tcPr>
            <w:tcW w:w="4678" w:type="dxa"/>
          </w:tcPr>
          <w:p w:rsidR="00925095" w:rsidRPr="00925095" w:rsidRDefault="00925095" w:rsidP="00925095">
            <w:pPr>
              <w:rPr>
                <w:sz w:val="20"/>
                <w:szCs w:val="20"/>
              </w:rPr>
            </w:pPr>
            <w:r w:rsidRPr="00925095">
              <w:rPr>
                <w:sz w:val="20"/>
                <w:szCs w:val="20"/>
              </w:rPr>
              <w:t>The NBA has developed and implemented the National Blood Sector Education and Training Strategy 2013–2016.</w:t>
            </w:r>
          </w:p>
        </w:tc>
      </w:tr>
      <w:tr w:rsidR="00925095" w:rsidRPr="00925095" w:rsidTr="00EC4AF3">
        <w:tc>
          <w:tcPr>
            <w:tcW w:w="1560" w:type="dxa"/>
            <w:vMerge/>
          </w:tcPr>
          <w:p w:rsidR="00925095" w:rsidRPr="00925095" w:rsidRDefault="00925095" w:rsidP="00925095">
            <w:pPr>
              <w:rPr>
                <w:i/>
                <w:sz w:val="20"/>
                <w:szCs w:val="20"/>
              </w:rPr>
            </w:pPr>
          </w:p>
        </w:tc>
        <w:tc>
          <w:tcPr>
            <w:tcW w:w="3543" w:type="dxa"/>
          </w:tcPr>
          <w:p w:rsidR="00925095" w:rsidRPr="00925095" w:rsidRDefault="00925095" w:rsidP="00925095">
            <w:pPr>
              <w:rPr>
                <w:sz w:val="20"/>
                <w:szCs w:val="20"/>
              </w:rPr>
            </w:pPr>
            <w:r w:rsidRPr="00925095">
              <w:rPr>
                <w:rFonts w:asciiTheme="minorHAnsi" w:hAnsiTheme="minorHAnsi"/>
                <w:sz w:val="20"/>
                <w:szCs w:val="20"/>
              </w:rPr>
              <w:t>Develop and publish clinical audit tools</w:t>
            </w:r>
          </w:p>
        </w:tc>
        <w:tc>
          <w:tcPr>
            <w:tcW w:w="4678" w:type="dxa"/>
          </w:tcPr>
          <w:p w:rsidR="00925095" w:rsidRPr="00925095" w:rsidRDefault="00925095" w:rsidP="003B1288">
            <w:pPr>
              <w:rPr>
                <w:sz w:val="20"/>
                <w:szCs w:val="20"/>
              </w:rPr>
            </w:pPr>
            <w:r w:rsidRPr="00925095">
              <w:rPr>
                <w:sz w:val="20"/>
                <w:szCs w:val="20"/>
              </w:rPr>
              <w:t>The NBA has developed clinical audit tools for massive transfusion and red blood cell and these are available on the NBA website.</w:t>
            </w:r>
          </w:p>
        </w:tc>
      </w:tr>
      <w:tr w:rsidR="00925095" w:rsidRPr="00925095" w:rsidTr="00EC4AF3">
        <w:tc>
          <w:tcPr>
            <w:tcW w:w="1560" w:type="dxa"/>
            <w:vMerge/>
          </w:tcPr>
          <w:p w:rsidR="00925095" w:rsidRPr="00925095" w:rsidRDefault="00925095" w:rsidP="00925095">
            <w:pPr>
              <w:rPr>
                <w:i/>
                <w:sz w:val="20"/>
                <w:szCs w:val="20"/>
              </w:rPr>
            </w:pPr>
          </w:p>
        </w:tc>
        <w:tc>
          <w:tcPr>
            <w:tcW w:w="3543" w:type="dxa"/>
          </w:tcPr>
          <w:p w:rsidR="00925095" w:rsidRPr="00925095" w:rsidRDefault="00925095" w:rsidP="00773683">
            <w:pPr>
              <w:rPr>
                <w:sz w:val="20"/>
                <w:szCs w:val="20"/>
              </w:rPr>
            </w:pPr>
            <w:r w:rsidRPr="00925095">
              <w:rPr>
                <w:sz w:val="20"/>
                <w:szCs w:val="20"/>
              </w:rPr>
              <w:t>Develop and publish transfusion</w:t>
            </w:r>
            <w:r w:rsidR="00773683">
              <w:rPr>
                <w:sz w:val="20"/>
                <w:szCs w:val="20"/>
              </w:rPr>
              <w:t>-</w:t>
            </w:r>
            <w:r w:rsidRPr="00925095">
              <w:rPr>
                <w:sz w:val="20"/>
                <w:szCs w:val="20"/>
              </w:rPr>
              <w:t>related case studies</w:t>
            </w:r>
          </w:p>
        </w:tc>
        <w:tc>
          <w:tcPr>
            <w:tcW w:w="4678" w:type="dxa"/>
          </w:tcPr>
          <w:p w:rsidR="00925095" w:rsidRPr="00925095" w:rsidRDefault="00925095" w:rsidP="00A87407">
            <w:pPr>
              <w:rPr>
                <w:sz w:val="20"/>
                <w:szCs w:val="20"/>
              </w:rPr>
            </w:pPr>
            <w:r w:rsidRPr="00925095">
              <w:rPr>
                <w:sz w:val="20"/>
                <w:szCs w:val="20"/>
              </w:rPr>
              <w:t xml:space="preserve">The NBA has published case studies in </w:t>
            </w:r>
            <w:r w:rsidR="00A87407">
              <w:rPr>
                <w:sz w:val="20"/>
                <w:szCs w:val="20"/>
              </w:rPr>
              <w:t>previous</w:t>
            </w:r>
            <w:r w:rsidR="00A87407" w:rsidRPr="00925095">
              <w:rPr>
                <w:sz w:val="20"/>
                <w:szCs w:val="20"/>
              </w:rPr>
              <w:t xml:space="preserve"> </w:t>
            </w:r>
            <w:r w:rsidRPr="00925095">
              <w:rPr>
                <w:sz w:val="20"/>
                <w:szCs w:val="20"/>
              </w:rPr>
              <w:t>Aus</w:t>
            </w:r>
            <w:r w:rsidR="00157167">
              <w:rPr>
                <w:sz w:val="20"/>
                <w:szCs w:val="20"/>
              </w:rPr>
              <w:t xml:space="preserve">tralian </w:t>
            </w:r>
            <w:proofErr w:type="spellStart"/>
            <w:r w:rsidR="00157167">
              <w:rPr>
                <w:sz w:val="20"/>
                <w:szCs w:val="20"/>
              </w:rPr>
              <w:t>haemovigilance</w:t>
            </w:r>
            <w:proofErr w:type="spellEnd"/>
            <w:r w:rsidR="00157167">
              <w:rPr>
                <w:sz w:val="20"/>
                <w:szCs w:val="20"/>
              </w:rPr>
              <w:t xml:space="preserve"> reports.</w:t>
            </w:r>
          </w:p>
        </w:tc>
      </w:tr>
      <w:tr w:rsidR="00925095" w:rsidRPr="00925095" w:rsidTr="00EC4AF3">
        <w:tc>
          <w:tcPr>
            <w:tcW w:w="1560" w:type="dxa"/>
            <w:vMerge w:val="restart"/>
          </w:tcPr>
          <w:p w:rsidR="00925095" w:rsidRPr="00925095" w:rsidRDefault="00925095" w:rsidP="00A87407">
            <w:pPr>
              <w:rPr>
                <w:i/>
                <w:sz w:val="20"/>
                <w:szCs w:val="20"/>
              </w:rPr>
            </w:pPr>
            <w:r w:rsidRPr="00925095">
              <w:rPr>
                <w:i/>
                <w:sz w:val="20"/>
                <w:szCs w:val="20"/>
              </w:rPr>
              <w:t xml:space="preserve">Data </w:t>
            </w:r>
            <w:r w:rsidR="00A87407">
              <w:rPr>
                <w:i/>
                <w:sz w:val="20"/>
                <w:szCs w:val="20"/>
              </w:rPr>
              <w:t>s</w:t>
            </w:r>
            <w:r w:rsidRPr="00925095">
              <w:rPr>
                <w:i/>
                <w:sz w:val="20"/>
                <w:szCs w:val="20"/>
              </w:rPr>
              <w:t>tandardisation</w:t>
            </w:r>
          </w:p>
        </w:tc>
        <w:tc>
          <w:tcPr>
            <w:tcW w:w="3543" w:type="dxa"/>
          </w:tcPr>
          <w:p w:rsidR="00925095" w:rsidRPr="00925095" w:rsidRDefault="00925095" w:rsidP="00D77A46">
            <w:pPr>
              <w:rPr>
                <w:sz w:val="20"/>
                <w:szCs w:val="20"/>
              </w:rPr>
            </w:pPr>
            <w:r w:rsidRPr="00925095">
              <w:rPr>
                <w:rFonts w:asciiTheme="minorHAnsi" w:hAnsiTheme="minorHAnsi"/>
                <w:sz w:val="20"/>
                <w:szCs w:val="20"/>
              </w:rPr>
              <w:t>Review and redevelop the A</w:t>
            </w:r>
            <w:r w:rsidR="00D5622E">
              <w:rPr>
                <w:rFonts w:asciiTheme="minorHAnsi" w:hAnsiTheme="minorHAnsi"/>
                <w:sz w:val="20"/>
                <w:szCs w:val="20"/>
              </w:rPr>
              <w:t>HM</w:t>
            </w:r>
            <w:r w:rsidRPr="00925095">
              <w:rPr>
                <w:rFonts w:asciiTheme="minorHAnsi" w:hAnsiTheme="minorHAnsi"/>
                <w:sz w:val="20"/>
                <w:szCs w:val="20"/>
              </w:rPr>
              <w:t>DS</w:t>
            </w:r>
          </w:p>
        </w:tc>
        <w:tc>
          <w:tcPr>
            <w:tcW w:w="4678" w:type="dxa"/>
          </w:tcPr>
          <w:p w:rsidR="00925095" w:rsidRPr="00925095" w:rsidRDefault="00925095" w:rsidP="00925095">
            <w:pPr>
              <w:rPr>
                <w:sz w:val="20"/>
                <w:szCs w:val="20"/>
              </w:rPr>
            </w:pPr>
            <w:r w:rsidRPr="00925095">
              <w:rPr>
                <w:sz w:val="20"/>
                <w:szCs w:val="20"/>
              </w:rPr>
              <w:t>The NBA has reviewed and redeveloped the data definitions to enable the consistent collection, validation and reporting o</w:t>
            </w:r>
            <w:r w:rsidR="00157167">
              <w:rPr>
                <w:sz w:val="20"/>
                <w:szCs w:val="20"/>
              </w:rPr>
              <w:t xml:space="preserve">f national </w:t>
            </w:r>
            <w:proofErr w:type="spellStart"/>
            <w:r w:rsidR="00157167">
              <w:rPr>
                <w:sz w:val="20"/>
                <w:szCs w:val="20"/>
              </w:rPr>
              <w:t>haemovigilance</w:t>
            </w:r>
            <w:proofErr w:type="spellEnd"/>
            <w:r w:rsidR="00157167">
              <w:rPr>
                <w:sz w:val="20"/>
                <w:szCs w:val="20"/>
              </w:rPr>
              <w:t xml:space="preserve"> data.</w:t>
            </w:r>
          </w:p>
        </w:tc>
      </w:tr>
      <w:tr w:rsidR="00925095" w:rsidRPr="00925095" w:rsidTr="00EC4AF3">
        <w:tc>
          <w:tcPr>
            <w:tcW w:w="1560" w:type="dxa"/>
            <w:vMerge/>
          </w:tcPr>
          <w:p w:rsidR="00925095" w:rsidRPr="00925095" w:rsidRDefault="00925095" w:rsidP="00925095">
            <w:pPr>
              <w:rPr>
                <w:i/>
                <w:sz w:val="20"/>
                <w:szCs w:val="20"/>
              </w:rPr>
            </w:pPr>
          </w:p>
        </w:tc>
        <w:tc>
          <w:tcPr>
            <w:tcW w:w="3543" w:type="dxa"/>
          </w:tcPr>
          <w:p w:rsidR="00925095" w:rsidRPr="00925095" w:rsidRDefault="00925095" w:rsidP="00A87407">
            <w:pPr>
              <w:rPr>
                <w:sz w:val="20"/>
                <w:szCs w:val="20"/>
              </w:rPr>
            </w:pPr>
            <w:r w:rsidRPr="00925095">
              <w:rPr>
                <w:sz w:val="20"/>
                <w:szCs w:val="20"/>
              </w:rPr>
              <w:t xml:space="preserve">Develop </w:t>
            </w:r>
            <w:proofErr w:type="spellStart"/>
            <w:r w:rsidRPr="00925095">
              <w:rPr>
                <w:sz w:val="20"/>
                <w:szCs w:val="20"/>
              </w:rPr>
              <w:t>haemovigilance</w:t>
            </w:r>
            <w:proofErr w:type="spellEnd"/>
            <w:r w:rsidRPr="00925095">
              <w:rPr>
                <w:sz w:val="20"/>
                <w:szCs w:val="20"/>
              </w:rPr>
              <w:t xml:space="preserve"> data collection forms and guidance</w:t>
            </w:r>
          </w:p>
        </w:tc>
        <w:tc>
          <w:tcPr>
            <w:tcW w:w="4678" w:type="dxa"/>
          </w:tcPr>
          <w:p w:rsidR="00925095" w:rsidRPr="00925095" w:rsidRDefault="00925095" w:rsidP="00A87407">
            <w:pPr>
              <w:rPr>
                <w:sz w:val="20"/>
                <w:szCs w:val="20"/>
              </w:rPr>
            </w:pPr>
            <w:r w:rsidRPr="00925095">
              <w:rPr>
                <w:sz w:val="20"/>
                <w:szCs w:val="20"/>
              </w:rPr>
              <w:t>The NBA, in conjunction with QLD and WA</w:t>
            </w:r>
            <w:r w:rsidR="00ED4883">
              <w:rPr>
                <w:sz w:val="20"/>
                <w:szCs w:val="20"/>
              </w:rPr>
              <w:t>,</w:t>
            </w:r>
            <w:r w:rsidRPr="00925095">
              <w:rPr>
                <w:sz w:val="20"/>
                <w:szCs w:val="20"/>
              </w:rPr>
              <w:t xml:space="preserve"> ha</w:t>
            </w:r>
            <w:r w:rsidR="001B1839">
              <w:rPr>
                <w:sz w:val="20"/>
                <w:szCs w:val="20"/>
              </w:rPr>
              <w:t xml:space="preserve">s </w:t>
            </w:r>
            <w:r w:rsidRPr="00925095">
              <w:rPr>
                <w:sz w:val="20"/>
                <w:szCs w:val="20"/>
              </w:rPr>
              <w:t>d</w:t>
            </w:r>
            <w:r w:rsidR="00157167">
              <w:rPr>
                <w:sz w:val="20"/>
                <w:szCs w:val="20"/>
              </w:rPr>
              <w:t>eveloped data collection tools.</w:t>
            </w:r>
          </w:p>
        </w:tc>
      </w:tr>
      <w:tr w:rsidR="00925095" w:rsidRPr="00925095" w:rsidTr="00EC4AF3">
        <w:tc>
          <w:tcPr>
            <w:tcW w:w="1560" w:type="dxa"/>
          </w:tcPr>
          <w:p w:rsidR="00925095" w:rsidRPr="00925095" w:rsidRDefault="00925095" w:rsidP="00A87407">
            <w:pPr>
              <w:rPr>
                <w:i/>
                <w:sz w:val="20"/>
                <w:szCs w:val="20"/>
              </w:rPr>
            </w:pPr>
            <w:r w:rsidRPr="00925095">
              <w:rPr>
                <w:i/>
                <w:sz w:val="20"/>
                <w:szCs w:val="20"/>
              </w:rPr>
              <w:t xml:space="preserve">Data </w:t>
            </w:r>
            <w:r w:rsidR="00A87407">
              <w:rPr>
                <w:i/>
                <w:sz w:val="20"/>
                <w:szCs w:val="20"/>
              </w:rPr>
              <w:t>c</w:t>
            </w:r>
            <w:r w:rsidRPr="00925095">
              <w:rPr>
                <w:i/>
                <w:sz w:val="20"/>
                <w:szCs w:val="20"/>
              </w:rPr>
              <w:t>overage</w:t>
            </w:r>
          </w:p>
        </w:tc>
        <w:tc>
          <w:tcPr>
            <w:tcW w:w="3543" w:type="dxa"/>
          </w:tcPr>
          <w:p w:rsidR="00925095" w:rsidRPr="00925095" w:rsidRDefault="00925095" w:rsidP="00925095">
            <w:pPr>
              <w:rPr>
                <w:sz w:val="20"/>
                <w:szCs w:val="20"/>
              </w:rPr>
            </w:pPr>
            <w:r w:rsidRPr="00925095">
              <w:rPr>
                <w:sz w:val="20"/>
                <w:szCs w:val="20"/>
              </w:rPr>
              <w:t xml:space="preserve">Continue to include donor vigilance data in national </w:t>
            </w:r>
            <w:proofErr w:type="spellStart"/>
            <w:r w:rsidRPr="00925095">
              <w:rPr>
                <w:sz w:val="20"/>
                <w:szCs w:val="20"/>
              </w:rPr>
              <w:t>haemovigilance</w:t>
            </w:r>
            <w:proofErr w:type="spellEnd"/>
            <w:r w:rsidRPr="00925095">
              <w:rPr>
                <w:sz w:val="20"/>
                <w:szCs w:val="20"/>
              </w:rPr>
              <w:t xml:space="preserve"> reporting</w:t>
            </w:r>
          </w:p>
        </w:tc>
        <w:tc>
          <w:tcPr>
            <w:tcW w:w="4678" w:type="dxa"/>
          </w:tcPr>
          <w:p w:rsidR="00925095" w:rsidRPr="00925095" w:rsidRDefault="00925095" w:rsidP="00A87407">
            <w:pPr>
              <w:rPr>
                <w:sz w:val="20"/>
                <w:szCs w:val="20"/>
              </w:rPr>
            </w:pPr>
            <w:r w:rsidRPr="00925095">
              <w:rPr>
                <w:sz w:val="20"/>
                <w:szCs w:val="20"/>
              </w:rPr>
              <w:t xml:space="preserve">The Blood Service has provided the donor vigilance data for </w:t>
            </w:r>
            <w:r w:rsidR="00A87407">
              <w:rPr>
                <w:sz w:val="20"/>
                <w:szCs w:val="20"/>
              </w:rPr>
              <w:t>three</w:t>
            </w:r>
            <w:r w:rsidR="00A87407" w:rsidRPr="00925095">
              <w:rPr>
                <w:sz w:val="20"/>
                <w:szCs w:val="20"/>
              </w:rPr>
              <w:t xml:space="preserve"> </w:t>
            </w:r>
            <w:r w:rsidRPr="00925095">
              <w:rPr>
                <w:sz w:val="20"/>
                <w:szCs w:val="20"/>
              </w:rPr>
              <w:t>Aust</w:t>
            </w:r>
            <w:r w:rsidR="00157167">
              <w:rPr>
                <w:sz w:val="20"/>
                <w:szCs w:val="20"/>
              </w:rPr>
              <w:t xml:space="preserve">ralian </w:t>
            </w:r>
            <w:proofErr w:type="spellStart"/>
            <w:r w:rsidR="00157167">
              <w:rPr>
                <w:sz w:val="20"/>
                <w:szCs w:val="20"/>
              </w:rPr>
              <w:t>haemovigilance</w:t>
            </w:r>
            <w:proofErr w:type="spellEnd"/>
            <w:r w:rsidR="00157167">
              <w:rPr>
                <w:sz w:val="20"/>
                <w:szCs w:val="20"/>
              </w:rPr>
              <w:t xml:space="preserve"> reports.</w:t>
            </w:r>
          </w:p>
        </w:tc>
      </w:tr>
    </w:tbl>
    <w:p w:rsidR="00925095" w:rsidRPr="00925095" w:rsidRDefault="00925095" w:rsidP="00925095">
      <w:pPr>
        <w:spacing w:before="240" w:after="240"/>
      </w:pPr>
      <w:r w:rsidRPr="00925095">
        <w:t xml:space="preserve">For more information about </w:t>
      </w:r>
      <w:proofErr w:type="spellStart"/>
      <w:r w:rsidR="00A87407">
        <w:t>h</w:t>
      </w:r>
      <w:r w:rsidRPr="00925095">
        <w:t>a</w:t>
      </w:r>
      <w:r w:rsidR="00B7606F">
        <w:t>e</w:t>
      </w:r>
      <w:r w:rsidRPr="00925095">
        <w:t>movigilance</w:t>
      </w:r>
      <w:proofErr w:type="spellEnd"/>
      <w:r w:rsidRPr="00925095">
        <w:t xml:space="preserve"> in Australia, please refer to the NBA website at: </w:t>
      </w:r>
      <w:hyperlink r:id="rId16" w:history="1">
        <w:r w:rsidRPr="00925095">
          <w:rPr>
            <w:color w:val="0000FF" w:themeColor="hyperlink"/>
            <w:u w:val="single"/>
          </w:rPr>
          <w:t>http://www.blood.gov.au/haemovigilance-reporting</w:t>
        </w:r>
      </w:hyperlink>
      <w:r w:rsidR="00A87407">
        <w:t>.</w:t>
      </w:r>
    </w:p>
    <w:p w:rsidR="001B1839" w:rsidRDefault="001B1839" w:rsidP="00C94185">
      <w:pPr>
        <w:rPr>
          <w:lang w:eastAsia="en-AU"/>
        </w:rPr>
      </w:pPr>
      <w:r>
        <w:rPr>
          <w:lang w:eastAsia="en-AU"/>
        </w:rPr>
        <w:br w:type="page"/>
      </w:r>
    </w:p>
    <w:p w:rsidR="006018DF" w:rsidRPr="006018DF" w:rsidRDefault="006018DF" w:rsidP="00EC4AF3">
      <w:pPr>
        <w:pStyle w:val="Heading1"/>
        <w:rPr>
          <w:lang w:eastAsia="en-AU"/>
        </w:rPr>
      </w:pPr>
      <w:bookmarkStart w:id="28" w:name="_Toc459366161"/>
      <w:r w:rsidRPr="006018DF">
        <w:rPr>
          <w:lang w:eastAsia="en-AU"/>
        </w:rPr>
        <w:lastRenderedPageBreak/>
        <w:t xml:space="preserve">PART 02 HAEMOVIGILANCE DATA </w:t>
      </w:r>
      <w:r w:rsidR="00452D74">
        <w:rPr>
          <w:lang w:eastAsia="en-AU"/>
        </w:rPr>
        <w:t>2013–14</w:t>
      </w:r>
      <w:bookmarkEnd w:id="28"/>
    </w:p>
    <w:p w:rsidR="00E1117B" w:rsidRDefault="00B048FC" w:rsidP="00006FBE">
      <w:pPr>
        <w:rPr>
          <w:lang w:eastAsia="en-AU"/>
        </w:rPr>
      </w:pPr>
      <w:r w:rsidRPr="00B048FC">
        <w:rPr>
          <w:lang w:eastAsia="en-AU"/>
        </w:rPr>
        <w:t xml:space="preserve">Since 2008, the NBA has collected </w:t>
      </w:r>
      <w:proofErr w:type="spellStart"/>
      <w:r w:rsidRPr="00B048FC">
        <w:rPr>
          <w:lang w:eastAsia="en-AU"/>
        </w:rPr>
        <w:t>haemovigilance</w:t>
      </w:r>
      <w:proofErr w:type="spellEnd"/>
      <w:r w:rsidRPr="00B048FC">
        <w:rPr>
          <w:lang w:eastAsia="en-AU"/>
        </w:rPr>
        <w:t xml:space="preserve"> data received from states and territories and published four Australian </w:t>
      </w:r>
      <w:proofErr w:type="spellStart"/>
      <w:r w:rsidRPr="00B048FC">
        <w:rPr>
          <w:lang w:eastAsia="en-AU"/>
        </w:rPr>
        <w:t>haemovigilance</w:t>
      </w:r>
      <w:proofErr w:type="spellEnd"/>
      <w:r w:rsidRPr="00B048FC">
        <w:rPr>
          <w:lang w:eastAsia="en-AU"/>
        </w:rPr>
        <w:t xml:space="preserve"> reports. </w:t>
      </w:r>
      <w:r w:rsidR="00E1117B">
        <w:rPr>
          <w:lang w:eastAsia="en-AU"/>
        </w:rPr>
        <w:t xml:space="preserve">This is </w:t>
      </w:r>
      <w:r w:rsidR="00B8055E">
        <w:rPr>
          <w:lang w:eastAsia="en-AU"/>
        </w:rPr>
        <w:t xml:space="preserve">the </w:t>
      </w:r>
      <w:r w:rsidR="00E1117B">
        <w:rPr>
          <w:lang w:eastAsia="en-AU"/>
        </w:rPr>
        <w:t xml:space="preserve">fifth </w:t>
      </w:r>
      <w:r w:rsidR="00E1117B" w:rsidRPr="00D93A35">
        <w:rPr>
          <w:lang w:eastAsia="en-AU"/>
        </w:rPr>
        <w:t xml:space="preserve">national Australian </w:t>
      </w:r>
      <w:proofErr w:type="spellStart"/>
      <w:r w:rsidR="00E1117B" w:rsidRPr="00D93A35">
        <w:rPr>
          <w:lang w:eastAsia="en-AU"/>
        </w:rPr>
        <w:t>Haemovigilance</w:t>
      </w:r>
      <w:proofErr w:type="spellEnd"/>
      <w:r w:rsidR="00E1117B" w:rsidRPr="00D93A35">
        <w:rPr>
          <w:lang w:eastAsia="en-AU"/>
        </w:rPr>
        <w:t xml:space="preserve"> Report</w:t>
      </w:r>
      <w:r>
        <w:rPr>
          <w:lang w:eastAsia="en-AU"/>
        </w:rPr>
        <w:t>.</w:t>
      </w:r>
    </w:p>
    <w:p w:rsidR="00B048FC" w:rsidRDefault="00B048FC" w:rsidP="00B048FC">
      <w:pPr>
        <w:rPr>
          <w:lang w:eastAsia="en-AU"/>
        </w:rPr>
      </w:pPr>
      <w:r>
        <w:rPr>
          <w:lang w:eastAsia="en-AU"/>
        </w:rPr>
        <w:t>This report includes validated adverse event data from state level systems, including the</w:t>
      </w:r>
      <w:r w:rsidR="00776EC6">
        <w:rPr>
          <w:lang w:eastAsia="en-AU"/>
        </w:rPr>
        <w:t xml:space="preserve"> </w:t>
      </w:r>
      <w:r>
        <w:rPr>
          <w:lang w:eastAsia="en-AU"/>
        </w:rPr>
        <w:t xml:space="preserve">NSW Health Incident Information Management System (IIMS), </w:t>
      </w:r>
      <w:r w:rsidR="00A87407">
        <w:rPr>
          <w:lang w:eastAsia="en-AU"/>
        </w:rPr>
        <w:t xml:space="preserve">SA Health Safety Learning System (SLS) and </w:t>
      </w:r>
      <w:r>
        <w:rPr>
          <w:lang w:eastAsia="en-AU"/>
        </w:rPr>
        <w:t>V</w:t>
      </w:r>
      <w:r w:rsidR="00BF03B3">
        <w:rPr>
          <w:lang w:eastAsia="en-AU"/>
        </w:rPr>
        <w:t>IC</w:t>
      </w:r>
      <w:r>
        <w:rPr>
          <w:lang w:eastAsia="en-AU"/>
        </w:rPr>
        <w:t>'s Blood M</w:t>
      </w:r>
      <w:r w:rsidR="004E5E4C">
        <w:rPr>
          <w:lang w:eastAsia="en-AU"/>
        </w:rPr>
        <w:t xml:space="preserve">atters STIR </w:t>
      </w:r>
      <w:r w:rsidR="004E5E4C" w:rsidRPr="005F29F1">
        <w:rPr>
          <w:lang w:eastAsia="en-AU"/>
        </w:rPr>
        <w:t>program</w:t>
      </w:r>
      <w:r>
        <w:rPr>
          <w:lang w:eastAsia="en-AU"/>
        </w:rPr>
        <w:t xml:space="preserve">. STIR also supports </w:t>
      </w:r>
      <w:proofErr w:type="spellStart"/>
      <w:r>
        <w:rPr>
          <w:lang w:eastAsia="en-AU"/>
        </w:rPr>
        <w:t>haemovigilance</w:t>
      </w:r>
      <w:proofErr w:type="spellEnd"/>
      <w:r>
        <w:rPr>
          <w:lang w:eastAsia="en-AU"/>
        </w:rPr>
        <w:t xml:space="preserve"> in TAS, ACT and the NT. </w:t>
      </w:r>
      <w:r w:rsidR="00ED4883">
        <w:rPr>
          <w:lang w:eastAsia="en-AU"/>
        </w:rPr>
        <w:t xml:space="preserve">QLD </w:t>
      </w:r>
      <w:r w:rsidR="00A87407">
        <w:rPr>
          <w:lang w:eastAsia="en-AU"/>
        </w:rPr>
        <w:t>contributed data collected through new collections forms developed in conjunction with the NBA.</w:t>
      </w:r>
    </w:p>
    <w:p w:rsidR="00B5301C" w:rsidRDefault="00A808D8">
      <w:pPr>
        <w:rPr>
          <w:rFonts w:asciiTheme="minorHAnsi" w:hAnsiTheme="minorHAnsi" w:cstheme="minorHAnsi"/>
          <w:lang w:eastAsia="en-AU"/>
        </w:rPr>
      </w:pPr>
      <w:r w:rsidRPr="00876A77">
        <w:rPr>
          <w:rFonts w:asciiTheme="minorHAnsi" w:hAnsiTheme="minorHAnsi" w:cstheme="minorHAnsi"/>
          <w:lang w:eastAsia="en-AU"/>
        </w:rPr>
        <w:t>This report details transfusion-related adverse events reported for 201</w:t>
      </w:r>
      <w:r>
        <w:rPr>
          <w:rFonts w:asciiTheme="minorHAnsi" w:hAnsiTheme="minorHAnsi" w:cstheme="minorHAnsi"/>
          <w:lang w:eastAsia="en-AU"/>
        </w:rPr>
        <w:t>3</w:t>
      </w:r>
      <w:r w:rsidRPr="00876A77">
        <w:rPr>
          <w:rFonts w:asciiTheme="minorHAnsi" w:hAnsiTheme="minorHAnsi" w:cstheme="minorHAnsi"/>
          <w:lang w:eastAsia="en-AU"/>
        </w:rPr>
        <w:t>–1</w:t>
      </w:r>
      <w:r>
        <w:rPr>
          <w:rFonts w:asciiTheme="minorHAnsi" w:hAnsiTheme="minorHAnsi" w:cstheme="minorHAnsi"/>
          <w:lang w:eastAsia="en-AU"/>
        </w:rPr>
        <w:t>4</w:t>
      </w:r>
      <w:r w:rsidRPr="00876A77">
        <w:rPr>
          <w:rFonts w:asciiTheme="minorHAnsi" w:hAnsiTheme="minorHAnsi" w:cstheme="minorHAnsi"/>
          <w:lang w:eastAsia="en-AU"/>
        </w:rPr>
        <w:t xml:space="preserve">. This summary section also reproduces </w:t>
      </w:r>
      <w:r>
        <w:rPr>
          <w:rFonts w:asciiTheme="minorHAnsi" w:hAnsiTheme="minorHAnsi" w:cstheme="minorHAnsi"/>
          <w:lang w:eastAsia="en-AU"/>
        </w:rPr>
        <w:t xml:space="preserve">cumulative data </w:t>
      </w:r>
      <w:r w:rsidR="00B5301C">
        <w:rPr>
          <w:rFonts w:asciiTheme="minorHAnsi" w:hAnsiTheme="minorHAnsi" w:cstheme="minorHAnsi"/>
          <w:lang w:eastAsia="en-AU"/>
        </w:rPr>
        <w:t xml:space="preserve">for all adverse events and serious adverse events </w:t>
      </w:r>
      <w:r>
        <w:rPr>
          <w:rFonts w:asciiTheme="minorHAnsi" w:hAnsiTheme="minorHAnsi" w:cstheme="minorHAnsi"/>
          <w:lang w:eastAsia="en-AU"/>
        </w:rPr>
        <w:t xml:space="preserve">from </w:t>
      </w:r>
      <w:r w:rsidR="00B5301C" w:rsidRPr="00876A77">
        <w:rPr>
          <w:rFonts w:asciiTheme="minorHAnsi" w:hAnsiTheme="minorHAnsi" w:cstheme="minorHAnsi"/>
          <w:lang w:eastAsia="en-AU"/>
        </w:rPr>
        <w:t>20</w:t>
      </w:r>
      <w:r w:rsidR="00B5301C">
        <w:rPr>
          <w:rFonts w:asciiTheme="minorHAnsi" w:hAnsiTheme="minorHAnsi" w:cstheme="minorHAnsi"/>
          <w:lang w:eastAsia="en-AU"/>
        </w:rPr>
        <w:t>10</w:t>
      </w:r>
      <w:r w:rsidRPr="00876A77">
        <w:rPr>
          <w:rFonts w:asciiTheme="minorHAnsi" w:hAnsiTheme="minorHAnsi" w:cstheme="minorHAnsi"/>
          <w:lang w:eastAsia="en-AU"/>
        </w:rPr>
        <w:t>–</w:t>
      </w:r>
      <w:r w:rsidR="00B5301C">
        <w:rPr>
          <w:rFonts w:asciiTheme="minorHAnsi" w:hAnsiTheme="minorHAnsi" w:cstheme="minorHAnsi"/>
          <w:lang w:eastAsia="en-AU"/>
        </w:rPr>
        <w:t xml:space="preserve">11 </w:t>
      </w:r>
      <w:r>
        <w:rPr>
          <w:rFonts w:asciiTheme="minorHAnsi" w:hAnsiTheme="minorHAnsi" w:cstheme="minorHAnsi"/>
          <w:lang w:eastAsia="en-AU"/>
        </w:rPr>
        <w:t>to 2013</w:t>
      </w:r>
      <w:r w:rsidR="00316E02" w:rsidRPr="00316E02">
        <w:rPr>
          <w:rFonts w:asciiTheme="minorHAnsi" w:hAnsiTheme="minorHAnsi" w:cstheme="minorHAnsi"/>
          <w:lang w:eastAsia="en-AU"/>
        </w:rPr>
        <w:t>–</w:t>
      </w:r>
      <w:r>
        <w:rPr>
          <w:rFonts w:asciiTheme="minorHAnsi" w:hAnsiTheme="minorHAnsi" w:cstheme="minorHAnsi"/>
          <w:lang w:eastAsia="en-AU"/>
        </w:rPr>
        <w:t>14</w:t>
      </w:r>
      <w:r w:rsidRPr="00876A77">
        <w:rPr>
          <w:rFonts w:asciiTheme="minorHAnsi" w:hAnsiTheme="minorHAnsi" w:cstheme="minorHAnsi"/>
          <w:lang w:eastAsia="en-AU"/>
        </w:rPr>
        <w:t xml:space="preserve"> for comparative purposes.</w:t>
      </w:r>
      <w:r w:rsidR="00B5301C">
        <w:rPr>
          <w:rFonts w:asciiTheme="minorHAnsi" w:hAnsiTheme="minorHAnsi" w:cstheme="minorHAnsi"/>
          <w:lang w:eastAsia="en-AU"/>
        </w:rPr>
        <w:t xml:space="preserve"> The </w:t>
      </w:r>
      <w:r w:rsidR="00B5301C" w:rsidRPr="00B5301C">
        <w:rPr>
          <w:rFonts w:asciiTheme="minorHAnsi" w:hAnsiTheme="minorHAnsi" w:cstheme="minorHAnsi"/>
          <w:lang w:eastAsia="en-AU"/>
        </w:rPr>
        <w:t>20</w:t>
      </w:r>
      <w:r w:rsidR="00B5301C">
        <w:rPr>
          <w:rFonts w:asciiTheme="minorHAnsi" w:hAnsiTheme="minorHAnsi" w:cstheme="minorHAnsi"/>
          <w:lang w:eastAsia="en-AU"/>
        </w:rPr>
        <w:t>08</w:t>
      </w:r>
      <w:r w:rsidR="00B5301C" w:rsidRPr="00B5301C">
        <w:rPr>
          <w:rFonts w:asciiTheme="minorHAnsi" w:hAnsiTheme="minorHAnsi" w:cstheme="minorHAnsi"/>
          <w:lang w:eastAsia="en-AU"/>
        </w:rPr>
        <w:t>–</w:t>
      </w:r>
      <w:r w:rsidR="00B5301C">
        <w:rPr>
          <w:rFonts w:asciiTheme="minorHAnsi" w:hAnsiTheme="minorHAnsi" w:cstheme="minorHAnsi"/>
          <w:lang w:eastAsia="en-AU"/>
        </w:rPr>
        <w:t>09</w:t>
      </w:r>
      <w:r w:rsidR="00B5301C">
        <w:t xml:space="preserve"> and </w:t>
      </w:r>
      <w:r w:rsidR="00B5301C" w:rsidRPr="00B5301C">
        <w:rPr>
          <w:rFonts w:asciiTheme="minorHAnsi" w:hAnsiTheme="minorHAnsi" w:cstheme="minorHAnsi"/>
          <w:lang w:eastAsia="en-AU"/>
        </w:rPr>
        <w:t>20</w:t>
      </w:r>
      <w:r w:rsidR="00F565E0">
        <w:rPr>
          <w:rFonts w:asciiTheme="minorHAnsi" w:hAnsiTheme="minorHAnsi" w:cstheme="minorHAnsi"/>
          <w:lang w:eastAsia="en-AU"/>
        </w:rPr>
        <w:t>09</w:t>
      </w:r>
      <w:r w:rsidR="00B5301C" w:rsidRPr="00B5301C">
        <w:rPr>
          <w:rFonts w:asciiTheme="minorHAnsi" w:hAnsiTheme="minorHAnsi" w:cstheme="minorHAnsi"/>
          <w:lang w:eastAsia="en-AU"/>
        </w:rPr>
        <w:t>–</w:t>
      </w:r>
      <w:r w:rsidR="00F565E0">
        <w:rPr>
          <w:rFonts w:asciiTheme="minorHAnsi" w:hAnsiTheme="minorHAnsi" w:cstheme="minorHAnsi"/>
          <w:lang w:eastAsia="en-AU"/>
        </w:rPr>
        <w:t>10</w:t>
      </w:r>
      <w:r w:rsidR="00B5301C">
        <w:rPr>
          <w:rFonts w:asciiTheme="minorHAnsi" w:hAnsiTheme="minorHAnsi" w:cstheme="minorHAnsi"/>
          <w:lang w:eastAsia="en-AU"/>
        </w:rPr>
        <w:t xml:space="preserve"> data </w:t>
      </w:r>
      <w:r w:rsidR="00A87407">
        <w:rPr>
          <w:rFonts w:asciiTheme="minorHAnsi" w:hAnsiTheme="minorHAnsi" w:cstheme="minorHAnsi"/>
          <w:lang w:eastAsia="en-AU"/>
        </w:rPr>
        <w:t xml:space="preserve">have been </w:t>
      </w:r>
      <w:r w:rsidR="00B5301C">
        <w:rPr>
          <w:rFonts w:asciiTheme="minorHAnsi" w:hAnsiTheme="minorHAnsi" w:cstheme="minorHAnsi"/>
          <w:lang w:eastAsia="en-AU"/>
        </w:rPr>
        <w:t>excluded from analysis</w:t>
      </w:r>
      <w:r w:rsidR="008A3B89">
        <w:rPr>
          <w:rFonts w:asciiTheme="minorHAnsi" w:hAnsiTheme="minorHAnsi" w:cstheme="minorHAnsi"/>
          <w:lang w:eastAsia="en-AU"/>
        </w:rPr>
        <w:t xml:space="preserve"> </w:t>
      </w:r>
      <w:r w:rsidR="008A3B89" w:rsidRPr="008A3B89">
        <w:rPr>
          <w:rFonts w:asciiTheme="minorHAnsi" w:hAnsiTheme="minorHAnsi" w:cstheme="minorHAnsi"/>
          <w:lang w:eastAsia="en-AU"/>
        </w:rPr>
        <w:t xml:space="preserve">because the </w:t>
      </w:r>
      <w:r w:rsidR="00F93EBC">
        <w:rPr>
          <w:rFonts w:asciiTheme="minorHAnsi" w:hAnsiTheme="minorHAnsi" w:cstheme="minorHAnsi"/>
          <w:lang w:eastAsia="en-AU"/>
        </w:rPr>
        <w:t xml:space="preserve">data was largely incomplete whilst jurisdictions were establishing reporting processes. </w:t>
      </w:r>
    </w:p>
    <w:p w:rsidR="00A808D8" w:rsidRDefault="00B5301C" w:rsidP="00A808D8">
      <w:pPr>
        <w:rPr>
          <w:rFonts w:asciiTheme="minorHAnsi" w:hAnsiTheme="minorHAnsi" w:cstheme="minorHAnsi"/>
          <w:lang w:eastAsia="en-AU"/>
        </w:rPr>
      </w:pPr>
      <w:r>
        <w:rPr>
          <w:rFonts w:asciiTheme="minorHAnsi" w:hAnsiTheme="minorHAnsi" w:cstheme="minorHAnsi"/>
          <w:lang w:eastAsia="en-AU"/>
        </w:rPr>
        <w:t>I</w:t>
      </w:r>
      <w:r w:rsidRPr="00B5301C">
        <w:rPr>
          <w:rFonts w:asciiTheme="minorHAnsi" w:hAnsiTheme="minorHAnsi" w:cstheme="minorHAnsi"/>
          <w:lang w:eastAsia="en-AU"/>
        </w:rPr>
        <w:t>t is important to note that</w:t>
      </w:r>
      <w:r w:rsidR="007C1768">
        <w:rPr>
          <w:rFonts w:asciiTheme="minorHAnsi" w:hAnsiTheme="minorHAnsi" w:cstheme="minorHAnsi"/>
          <w:lang w:eastAsia="en-AU"/>
        </w:rPr>
        <w:t xml:space="preserve"> all the adverse events</w:t>
      </w:r>
      <w:r>
        <w:rPr>
          <w:rFonts w:asciiTheme="minorHAnsi" w:hAnsiTheme="minorHAnsi" w:cstheme="minorHAnsi"/>
          <w:lang w:eastAsia="en-AU"/>
        </w:rPr>
        <w:t xml:space="preserve"> are reported events and t</w:t>
      </w:r>
      <w:r w:rsidR="007C1768">
        <w:rPr>
          <w:rFonts w:asciiTheme="minorHAnsi" w:hAnsiTheme="minorHAnsi" w:cstheme="minorHAnsi"/>
          <w:lang w:eastAsia="en-AU"/>
        </w:rPr>
        <w:t>he</w:t>
      </w:r>
      <w:r w:rsidRPr="00B5301C">
        <w:rPr>
          <w:rFonts w:asciiTheme="minorHAnsi" w:hAnsiTheme="minorHAnsi" w:cstheme="minorHAnsi"/>
          <w:lang w:eastAsia="en-AU"/>
        </w:rPr>
        <w:t xml:space="preserve"> data </w:t>
      </w:r>
      <w:r w:rsidR="00F1550C">
        <w:rPr>
          <w:rFonts w:asciiTheme="minorHAnsi" w:hAnsiTheme="minorHAnsi" w:cstheme="minorHAnsi"/>
          <w:lang w:eastAsia="en-AU"/>
        </w:rPr>
        <w:t>has quality issues</w:t>
      </w:r>
      <w:r w:rsidR="004A3674" w:rsidRPr="004A3674">
        <w:t xml:space="preserve"> </w:t>
      </w:r>
      <w:r w:rsidR="004A3674" w:rsidRPr="004A3674">
        <w:rPr>
          <w:rFonts w:asciiTheme="minorHAnsi" w:hAnsiTheme="minorHAnsi" w:cstheme="minorHAnsi"/>
          <w:lang w:eastAsia="en-AU"/>
        </w:rPr>
        <w:t>in relation to completeness, standardisation and relevance</w:t>
      </w:r>
      <w:r>
        <w:rPr>
          <w:rFonts w:asciiTheme="minorHAnsi" w:hAnsiTheme="minorHAnsi" w:cstheme="minorHAnsi"/>
          <w:lang w:eastAsia="en-AU"/>
        </w:rPr>
        <w:t xml:space="preserve"> due to the voluntary nature of reporting</w:t>
      </w:r>
      <w:r w:rsidR="0031009D">
        <w:rPr>
          <w:rFonts w:asciiTheme="minorHAnsi" w:hAnsiTheme="minorHAnsi" w:cstheme="minorHAnsi"/>
          <w:lang w:eastAsia="en-AU"/>
        </w:rPr>
        <w:t xml:space="preserve"> and lack of data validation</w:t>
      </w:r>
      <w:r>
        <w:rPr>
          <w:rFonts w:asciiTheme="minorHAnsi" w:hAnsiTheme="minorHAnsi" w:cstheme="minorHAnsi"/>
          <w:lang w:eastAsia="en-AU"/>
        </w:rPr>
        <w:t xml:space="preserve"> </w:t>
      </w:r>
      <w:r w:rsidR="004A3674">
        <w:rPr>
          <w:rFonts w:asciiTheme="minorHAnsi" w:hAnsiTheme="minorHAnsi" w:cstheme="minorHAnsi"/>
          <w:lang w:eastAsia="en-AU"/>
        </w:rPr>
        <w:t>in Australia</w:t>
      </w:r>
      <w:r w:rsidR="003310E1">
        <w:rPr>
          <w:rFonts w:asciiTheme="minorHAnsi" w:hAnsiTheme="minorHAnsi" w:cstheme="minorHAnsi"/>
          <w:lang w:eastAsia="en-AU"/>
        </w:rPr>
        <w:t>.</w:t>
      </w:r>
    </w:p>
    <w:p w:rsidR="00F404F6" w:rsidRPr="00EC4AF3" w:rsidRDefault="001910CD" w:rsidP="00F565E0">
      <w:pPr>
        <w:pStyle w:val="Heading2"/>
      </w:pPr>
      <w:bookmarkStart w:id="29" w:name="_Toc459366162"/>
      <w:r w:rsidRPr="00EC4AF3">
        <w:t>Summary of findings</w:t>
      </w:r>
      <w:r w:rsidR="000E21BE" w:rsidRPr="00EC4AF3">
        <w:t xml:space="preserve"> for 2013–14</w:t>
      </w:r>
      <w:bookmarkEnd w:id="29"/>
    </w:p>
    <w:p w:rsidR="005B4D40" w:rsidRDefault="009B4CEF" w:rsidP="00A979B2">
      <w:pPr>
        <w:rPr>
          <w:lang w:eastAsia="en-AU"/>
        </w:rPr>
      </w:pPr>
      <w:r>
        <w:rPr>
          <w:highlight w:val="yellow"/>
          <w:lang w:eastAsia="en-AU"/>
        </w:rPr>
        <w:fldChar w:fldCharType="begin"/>
      </w:r>
      <w:r>
        <w:rPr>
          <w:lang w:eastAsia="en-AU"/>
        </w:rPr>
        <w:instrText xml:space="preserve"> REF _Ref450819315 \h </w:instrText>
      </w:r>
      <w:r w:rsidR="000234E0">
        <w:rPr>
          <w:highlight w:val="yellow"/>
          <w:lang w:eastAsia="en-AU"/>
        </w:rPr>
        <w:instrText xml:space="preserve"> \* MERGEFORMAT </w:instrText>
      </w:r>
      <w:r>
        <w:rPr>
          <w:highlight w:val="yellow"/>
          <w:lang w:eastAsia="en-AU"/>
        </w:rPr>
      </w:r>
      <w:r>
        <w:rPr>
          <w:highlight w:val="yellow"/>
          <w:lang w:eastAsia="en-AU"/>
        </w:rPr>
        <w:fldChar w:fldCharType="separate"/>
      </w:r>
      <w:r w:rsidR="000010BC" w:rsidRPr="000010BC">
        <w:rPr>
          <w:color w:val="000000" w:themeColor="text1"/>
        </w:rPr>
        <w:t xml:space="preserve">Table </w:t>
      </w:r>
      <w:r w:rsidR="000010BC" w:rsidRPr="000010BC">
        <w:rPr>
          <w:noProof/>
          <w:color w:val="000000" w:themeColor="text1"/>
        </w:rPr>
        <w:t>2</w:t>
      </w:r>
      <w:r>
        <w:rPr>
          <w:highlight w:val="yellow"/>
          <w:lang w:eastAsia="en-AU"/>
        </w:rPr>
        <w:fldChar w:fldCharType="end"/>
      </w:r>
      <w:r>
        <w:rPr>
          <w:lang w:eastAsia="en-AU"/>
        </w:rPr>
        <w:t xml:space="preserve"> </w:t>
      </w:r>
      <w:r w:rsidR="005B4D40">
        <w:rPr>
          <w:lang w:eastAsia="en-AU"/>
        </w:rPr>
        <w:t xml:space="preserve">shows that </w:t>
      </w:r>
      <w:r w:rsidR="00C42CFD">
        <w:rPr>
          <w:lang w:eastAsia="en-AU"/>
        </w:rPr>
        <w:t>617 events</w:t>
      </w:r>
      <w:r w:rsidR="00316E02">
        <w:rPr>
          <w:lang w:eastAsia="en-AU"/>
        </w:rPr>
        <w:t xml:space="preserve"> were</w:t>
      </w:r>
      <w:r w:rsidR="005B4D40">
        <w:rPr>
          <w:lang w:eastAsia="en-AU"/>
        </w:rPr>
        <w:t xml:space="preserve"> reported</w:t>
      </w:r>
      <w:r w:rsidR="00C42CFD">
        <w:rPr>
          <w:lang w:eastAsia="en-AU"/>
        </w:rPr>
        <w:t xml:space="preserve"> </w:t>
      </w:r>
      <w:r w:rsidR="00594F68">
        <w:rPr>
          <w:lang w:eastAsia="en-AU"/>
        </w:rPr>
        <w:t xml:space="preserve">to the </w:t>
      </w:r>
      <w:r w:rsidR="00A87407">
        <w:rPr>
          <w:lang w:eastAsia="en-AU"/>
        </w:rPr>
        <w:t>n</w:t>
      </w:r>
      <w:r w:rsidR="00594F68">
        <w:rPr>
          <w:lang w:eastAsia="en-AU"/>
        </w:rPr>
        <w:t xml:space="preserve">ational </w:t>
      </w:r>
      <w:proofErr w:type="spellStart"/>
      <w:r w:rsidR="00A87407">
        <w:rPr>
          <w:lang w:eastAsia="en-AU"/>
        </w:rPr>
        <w:t>h</w:t>
      </w:r>
      <w:r w:rsidR="00594F68">
        <w:rPr>
          <w:lang w:eastAsia="en-AU"/>
        </w:rPr>
        <w:t>aemovigilance</w:t>
      </w:r>
      <w:proofErr w:type="spellEnd"/>
      <w:r w:rsidR="00594F68">
        <w:rPr>
          <w:lang w:eastAsia="en-AU"/>
        </w:rPr>
        <w:t xml:space="preserve"> </w:t>
      </w:r>
      <w:r w:rsidR="00A87407">
        <w:rPr>
          <w:lang w:eastAsia="en-AU"/>
        </w:rPr>
        <w:t>p</w:t>
      </w:r>
      <w:r w:rsidR="00594F68">
        <w:rPr>
          <w:lang w:eastAsia="en-AU"/>
        </w:rPr>
        <w:t>rogram</w:t>
      </w:r>
      <w:r w:rsidR="00C42CFD">
        <w:rPr>
          <w:lang w:eastAsia="en-AU"/>
        </w:rPr>
        <w:t xml:space="preserve"> </w:t>
      </w:r>
      <w:r w:rsidR="00A979B2">
        <w:rPr>
          <w:lang w:eastAsia="en-AU"/>
        </w:rPr>
        <w:t>in</w:t>
      </w:r>
      <w:r w:rsidR="00C42CFD">
        <w:rPr>
          <w:lang w:eastAsia="en-AU"/>
        </w:rPr>
        <w:t xml:space="preserve"> 2013–14</w:t>
      </w:r>
      <w:r w:rsidR="005B4D40">
        <w:rPr>
          <w:lang w:eastAsia="en-AU"/>
        </w:rPr>
        <w:t xml:space="preserve">. </w:t>
      </w:r>
      <w:r w:rsidR="00C42CFD">
        <w:rPr>
          <w:lang w:eastAsia="en-AU"/>
        </w:rPr>
        <w:t xml:space="preserve">Most </w:t>
      </w:r>
      <w:r w:rsidR="00A0639A">
        <w:rPr>
          <w:lang w:eastAsia="en-AU"/>
        </w:rPr>
        <w:t xml:space="preserve">events </w:t>
      </w:r>
      <w:r w:rsidR="00C42CFD">
        <w:rPr>
          <w:lang w:eastAsia="en-AU"/>
        </w:rPr>
        <w:t>were reported by NSW, SA and QLD</w:t>
      </w:r>
      <w:r w:rsidR="00A0639A">
        <w:rPr>
          <w:lang w:eastAsia="en-AU"/>
        </w:rPr>
        <w:t>, accounting for 8</w:t>
      </w:r>
      <w:r w:rsidR="0013502F">
        <w:rPr>
          <w:lang w:eastAsia="en-AU"/>
        </w:rPr>
        <w:t>4.8</w:t>
      </w:r>
      <w:r w:rsidR="00A0639A">
        <w:rPr>
          <w:lang w:eastAsia="en-AU"/>
        </w:rPr>
        <w:t>% of the total reports</w:t>
      </w:r>
      <w:r w:rsidR="0013502F">
        <w:rPr>
          <w:lang w:eastAsia="en-AU"/>
        </w:rPr>
        <w:t xml:space="preserve">. </w:t>
      </w:r>
      <w:r w:rsidR="005B4D40">
        <w:rPr>
          <w:lang w:eastAsia="en-AU"/>
        </w:rPr>
        <w:t>ACT reported zero event</w:t>
      </w:r>
      <w:r w:rsidR="00A87407">
        <w:rPr>
          <w:lang w:eastAsia="en-AU"/>
        </w:rPr>
        <w:t>s</w:t>
      </w:r>
      <w:r w:rsidR="005B4D40">
        <w:rPr>
          <w:lang w:eastAsia="en-AU"/>
        </w:rPr>
        <w:t xml:space="preserve"> and WA did not contribute data.</w:t>
      </w:r>
    </w:p>
    <w:p w:rsidR="005B4D40" w:rsidRDefault="005B4D40" w:rsidP="00EC4AF3">
      <w:pPr>
        <w:spacing w:after="0"/>
        <w:rPr>
          <w:lang w:eastAsia="en-AU"/>
        </w:rPr>
      </w:pPr>
      <w:r>
        <w:rPr>
          <w:lang w:eastAsia="en-AU"/>
        </w:rPr>
        <w:t>It is important to note that:</w:t>
      </w:r>
    </w:p>
    <w:p w:rsidR="00C42CFD" w:rsidRDefault="00A0639A" w:rsidP="0096249F">
      <w:pPr>
        <w:pStyle w:val="ListParagraph"/>
        <w:numPr>
          <w:ilvl w:val="0"/>
          <w:numId w:val="53"/>
        </w:numPr>
        <w:rPr>
          <w:lang w:eastAsia="en-AU"/>
        </w:rPr>
      </w:pPr>
      <w:r>
        <w:rPr>
          <w:lang w:eastAsia="en-AU"/>
        </w:rPr>
        <w:t>STIR use</w:t>
      </w:r>
      <w:r w:rsidR="005B4D40">
        <w:rPr>
          <w:lang w:eastAsia="en-AU"/>
        </w:rPr>
        <w:t>s</w:t>
      </w:r>
      <w:r>
        <w:rPr>
          <w:lang w:eastAsia="en-AU"/>
        </w:rPr>
        <w:t xml:space="preserve"> a higher leve</w:t>
      </w:r>
      <w:r w:rsidR="005B4D40">
        <w:rPr>
          <w:lang w:eastAsia="en-AU"/>
        </w:rPr>
        <w:t xml:space="preserve">l temperature </w:t>
      </w:r>
      <w:r>
        <w:rPr>
          <w:lang w:eastAsia="en-AU"/>
        </w:rPr>
        <w:t xml:space="preserve">threshold </w:t>
      </w:r>
      <w:r w:rsidR="005B4D40">
        <w:rPr>
          <w:lang w:eastAsia="en-AU"/>
        </w:rPr>
        <w:t xml:space="preserve">for </w:t>
      </w:r>
      <w:r w:rsidR="00ED7AD2">
        <w:rPr>
          <w:lang w:eastAsia="en-AU"/>
        </w:rPr>
        <w:t xml:space="preserve">the reporting of </w:t>
      </w:r>
      <w:r w:rsidR="005B4D40">
        <w:rPr>
          <w:lang w:eastAsia="en-AU"/>
        </w:rPr>
        <w:t xml:space="preserve">FNHTR. </w:t>
      </w:r>
      <w:r w:rsidR="00BB717A">
        <w:rPr>
          <w:lang w:eastAsia="en-AU"/>
        </w:rPr>
        <w:t xml:space="preserve">This may have </w:t>
      </w:r>
      <w:r w:rsidR="005B4D40">
        <w:rPr>
          <w:lang w:eastAsia="en-AU"/>
        </w:rPr>
        <w:t>resulted in</w:t>
      </w:r>
      <w:r w:rsidR="00F46D5E">
        <w:rPr>
          <w:lang w:eastAsia="en-AU"/>
        </w:rPr>
        <w:t xml:space="preserve"> a number of </w:t>
      </w:r>
      <w:r>
        <w:rPr>
          <w:lang w:eastAsia="en-AU"/>
        </w:rPr>
        <w:t>FNHTRs</w:t>
      </w:r>
      <w:r w:rsidR="005B4D40">
        <w:rPr>
          <w:lang w:eastAsia="en-AU"/>
        </w:rPr>
        <w:t xml:space="preserve"> </w:t>
      </w:r>
      <w:r w:rsidR="00A87407">
        <w:rPr>
          <w:lang w:eastAsia="en-AU"/>
        </w:rPr>
        <w:t xml:space="preserve">which would otherwise have been </w:t>
      </w:r>
      <w:r w:rsidR="005B4D40">
        <w:rPr>
          <w:lang w:eastAsia="en-AU"/>
        </w:rPr>
        <w:t xml:space="preserve">reportable to the </w:t>
      </w:r>
      <w:r w:rsidR="00A87407">
        <w:rPr>
          <w:lang w:eastAsia="en-AU"/>
        </w:rPr>
        <w:t>n</w:t>
      </w:r>
      <w:r w:rsidR="005B4D40">
        <w:rPr>
          <w:lang w:eastAsia="en-AU"/>
        </w:rPr>
        <w:t xml:space="preserve">ational </w:t>
      </w:r>
      <w:proofErr w:type="spellStart"/>
      <w:r w:rsidR="00A87407">
        <w:rPr>
          <w:lang w:eastAsia="en-AU"/>
        </w:rPr>
        <w:t>h</w:t>
      </w:r>
      <w:r w:rsidR="005B4D40">
        <w:rPr>
          <w:lang w:eastAsia="en-AU"/>
        </w:rPr>
        <w:t>aemovigilance</w:t>
      </w:r>
      <w:proofErr w:type="spellEnd"/>
      <w:r w:rsidR="005B4D40">
        <w:rPr>
          <w:lang w:eastAsia="en-AU"/>
        </w:rPr>
        <w:t xml:space="preserve"> </w:t>
      </w:r>
      <w:r w:rsidR="00A87407">
        <w:rPr>
          <w:lang w:eastAsia="en-AU"/>
        </w:rPr>
        <w:t>p</w:t>
      </w:r>
      <w:r w:rsidR="005B4D40">
        <w:rPr>
          <w:lang w:eastAsia="en-AU"/>
        </w:rPr>
        <w:t xml:space="preserve">rogram </w:t>
      </w:r>
      <w:r w:rsidR="004062BF">
        <w:rPr>
          <w:lang w:eastAsia="en-AU"/>
        </w:rPr>
        <w:t>being excluded</w:t>
      </w:r>
      <w:r w:rsidR="005B4D40">
        <w:rPr>
          <w:lang w:eastAsia="en-AU"/>
        </w:rPr>
        <w:t xml:space="preserve"> </w:t>
      </w:r>
      <w:r>
        <w:rPr>
          <w:lang w:eastAsia="en-AU"/>
        </w:rPr>
        <w:t>for VIC, NT, TAS and ACT.</w:t>
      </w:r>
    </w:p>
    <w:p w:rsidR="001F50F9" w:rsidRDefault="00A979B2" w:rsidP="0096249F">
      <w:pPr>
        <w:pStyle w:val="ListParagraph"/>
        <w:numPr>
          <w:ilvl w:val="0"/>
          <w:numId w:val="53"/>
        </w:numPr>
        <w:rPr>
          <w:lang w:eastAsia="en-AU"/>
        </w:rPr>
      </w:pPr>
      <w:r w:rsidRPr="00A979B2">
        <w:rPr>
          <w:lang w:eastAsia="en-AU"/>
        </w:rPr>
        <w:t xml:space="preserve">All TTIs were </w:t>
      </w:r>
      <w:r w:rsidR="00FF53AC">
        <w:rPr>
          <w:lang w:eastAsia="en-AU"/>
        </w:rPr>
        <w:t xml:space="preserve">suspected but not confirmed </w:t>
      </w:r>
      <w:r w:rsidRPr="00A979B2">
        <w:rPr>
          <w:lang w:eastAsia="en-AU"/>
        </w:rPr>
        <w:t>bacterial infections</w:t>
      </w:r>
      <w:r w:rsidR="00FF53AC">
        <w:rPr>
          <w:lang w:eastAsia="en-AU"/>
        </w:rPr>
        <w:t xml:space="preserve">. </w:t>
      </w:r>
    </w:p>
    <w:p w:rsidR="00F31A7D" w:rsidRPr="00EC4AF3" w:rsidRDefault="00E8195C" w:rsidP="009B4CEF">
      <w:pPr>
        <w:pStyle w:val="Caption"/>
        <w:keepNext/>
        <w:rPr>
          <w:lang w:eastAsia="en-AU"/>
        </w:rPr>
      </w:pPr>
      <w:bookmarkStart w:id="30" w:name="_Ref450819315"/>
      <w:bookmarkStart w:id="31" w:name="_Toc459636842"/>
      <w:r w:rsidRPr="00EC4AF3">
        <w:t xml:space="preserve">Table </w:t>
      </w:r>
      <w:fldSimple w:instr=" SEQ Table \* ARABIC ">
        <w:r w:rsidR="000010BC">
          <w:rPr>
            <w:noProof/>
          </w:rPr>
          <w:t>2</w:t>
        </w:r>
      </w:fldSimple>
      <w:bookmarkEnd w:id="30"/>
      <w:r w:rsidR="00A979B2" w:rsidRPr="00EC4AF3">
        <w:t xml:space="preserve">: </w:t>
      </w:r>
      <w:r w:rsidR="00F31A7D" w:rsidRPr="00EC4AF3">
        <w:rPr>
          <w:lang w:eastAsia="en-AU"/>
        </w:rPr>
        <w:t>Adverse events by state, 2013–14</w:t>
      </w:r>
      <w:bookmarkEnd w:id="31"/>
    </w:p>
    <w:tbl>
      <w:tblPr>
        <w:tblW w:w="9639" w:type="dxa"/>
        <w:tblInd w:w="108" w:type="dxa"/>
        <w:tblLook w:val="04A0" w:firstRow="1" w:lastRow="0" w:firstColumn="1" w:lastColumn="0" w:noHBand="0" w:noVBand="1"/>
      </w:tblPr>
      <w:tblGrid>
        <w:gridCol w:w="640"/>
        <w:gridCol w:w="731"/>
        <w:gridCol w:w="731"/>
        <w:gridCol w:w="730"/>
        <w:gridCol w:w="730"/>
        <w:gridCol w:w="730"/>
        <w:gridCol w:w="730"/>
        <w:gridCol w:w="730"/>
        <w:gridCol w:w="730"/>
        <w:gridCol w:w="730"/>
        <w:gridCol w:w="730"/>
        <w:gridCol w:w="734"/>
        <w:gridCol w:w="963"/>
      </w:tblGrid>
      <w:tr w:rsidR="00057390" w:rsidRPr="00AA6C2C" w:rsidTr="00B8055E">
        <w:trPr>
          <w:cantSplit/>
          <w:trHeight w:val="1377"/>
        </w:trPr>
        <w:tc>
          <w:tcPr>
            <w:tcW w:w="640" w:type="dxa"/>
            <w:tcBorders>
              <w:top w:val="nil"/>
              <w:left w:val="nil"/>
              <w:bottom w:val="nil"/>
              <w:right w:val="nil"/>
            </w:tcBorders>
            <w:shd w:val="clear" w:color="000000" w:fill="FF0000"/>
            <w:vAlign w:val="bottom"/>
            <w:hideMark/>
          </w:tcPr>
          <w:p w:rsidR="00057390" w:rsidRPr="00AA6C2C" w:rsidRDefault="00057390" w:rsidP="00AA6C2C">
            <w:pPr>
              <w:spacing w:after="0"/>
              <w:jc w:val="center"/>
              <w:rPr>
                <w:rFonts w:eastAsia="Times New Roman" w:cs="Times New Roman"/>
                <w:color w:val="FFFFFF"/>
                <w:sz w:val="20"/>
                <w:szCs w:val="20"/>
                <w:lang w:eastAsia="en-AU"/>
              </w:rPr>
            </w:pPr>
            <w:r w:rsidRPr="00AA6C2C">
              <w:rPr>
                <w:rFonts w:eastAsia="Times New Roman" w:cs="Times New Roman"/>
                <w:color w:val="FFFFFF"/>
                <w:sz w:val="20"/>
                <w:szCs w:val="20"/>
                <w:lang w:eastAsia="en-AU"/>
              </w:rPr>
              <w:t> </w:t>
            </w:r>
          </w:p>
        </w:tc>
        <w:tc>
          <w:tcPr>
            <w:tcW w:w="731"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FNHTR</w:t>
            </w:r>
          </w:p>
        </w:tc>
        <w:tc>
          <w:tcPr>
            <w:tcW w:w="731"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 xml:space="preserve">Allergic </w:t>
            </w:r>
            <w:r w:rsidR="00686E10">
              <w:rPr>
                <w:rFonts w:eastAsia="Times New Roman" w:cs="Times New Roman"/>
                <w:b/>
                <w:bCs/>
                <w:color w:val="FFFFFF"/>
                <w:sz w:val="20"/>
                <w:szCs w:val="20"/>
                <w:lang w:eastAsia="en-AU"/>
              </w:rPr>
              <w:t>reaction</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IBCT</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TACO</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TTI</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Anaphylactic</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DHTR</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AHTR</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PTP</w:t>
            </w:r>
          </w:p>
        </w:tc>
        <w:tc>
          <w:tcPr>
            <w:tcW w:w="730" w:type="dxa"/>
            <w:tcBorders>
              <w:top w:val="nil"/>
              <w:left w:val="nil"/>
              <w:bottom w:val="nil"/>
              <w:right w:val="nil"/>
            </w:tcBorders>
            <w:shd w:val="clear" w:color="000000" w:fill="FF0000"/>
            <w:textDirection w:val="btLr"/>
            <w:vAlign w:val="center"/>
            <w:hideMark/>
          </w:tcPr>
          <w:p w:rsidR="00057390" w:rsidRPr="00AA6C2C" w:rsidRDefault="00057390" w:rsidP="00EC4AF3">
            <w:pPr>
              <w:spacing w:after="0"/>
              <w:ind w:left="113" w:right="113"/>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TRALI</w:t>
            </w:r>
          </w:p>
        </w:tc>
        <w:tc>
          <w:tcPr>
            <w:tcW w:w="1697" w:type="dxa"/>
            <w:gridSpan w:val="2"/>
            <w:tcBorders>
              <w:top w:val="nil"/>
              <w:left w:val="nil"/>
              <w:bottom w:val="nil"/>
              <w:right w:val="nil"/>
            </w:tcBorders>
            <w:shd w:val="clear" w:color="000000" w:fill="FF0000"/>
            <w:vAlign w:val="bottom"/>
            <w:hideMark/>
          </w:tcPr>
          <w:p w:rsidR="00B8055E" w:rsidRPr="00AA6C2C" w:rsidRDefault="00057390" w:rsidP="00BF34C1">
            <w:pPr>
              <w:spacing w:after="80"/>
              <w:jc w:val="center"/>
              <w:rPr>
                <w:rFonts w:eastAsia="Times New Roman" w:cs="Times New Roman"/>
                <w:b/>
                <w:bCs/>
                <w:color w:val="FFFFFF"/>
                <w:sz w:val="20"/>
                <w:szCs w:val="20"/>
                <w:lang w:eastAsia="en-AU"/>
              </w:rPr>
            </w:pPr>
            <w:r w:rsidRPr="00AA6C2C">
              <w:rPr>
                <w:rFonts w:eastAsia="Times New Roman" w:cs="Times New Roman"/>
                <w:b/>
                <w:bCs/>
                <w:color w:val="FFFFFF"/>
                <w:sz w:val="20"/>
                <w:szCs w:val="20"/>
                <w:lang w:eastAsia="en-AU"/>
              </w:rPr>
              <w:t>All reports</w:t>
            </w:r>
          </w:p>
        </w:tc>
      </w:tr>
      <w:tr w:rsidR="00057390" w:rsidRPr="00AA6C2C" w:rsidTr="00EC4AF3">
        <w:trPr>
          <w:trHeight w:val="300"/>
        </w:trPr>
        <w:tc>
          <w:tcPr>
            <w:tcW w:w="64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1"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1"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0" w:type="dxa"/>
            <w:tcBorders>
              <w:top w:val="nil"/>
              <w:left w:val="nil"/>
              <w:bottom w:val="nil"/>
              <w:right w:val="nil"/>
            </w:tcBorders>
            <w:shd w:val="clear" w:color="000000" w:fill="D9D9D9"/>
            <w:vAlign w:val="center"/>
            <w:hideMark/>
          </w:tcPr>
          <w:p w:rsidR="00057390" w:rsidRPr="00AA6C2C" w:rsidRDefault="00057390" w:rsidP="00AA6C2C">
            <w:pPr>
              <w:spacing w:after="0"/>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 </w:t>
            </w:r>
          </w:p>
        </w:tc>
        <w:tc>
          <w:tcPr>
            <w:tcW w:w="734" w:type="dxa"/>
            <w:tcBorders>
              <w:top w:val="nil"/>
              <w:left w:val="nil"/>
              <w:bottom w:val="nil"/>
              <w:right w:val="nil"/>
            </w:tcBorders>
            <w:shd w:val="clear" w:color="000000" w:fill="D9D9D9"/>
            <w:vAlign w:val="center"/>
            <w:hideMark/>
          </w:tcPr>
          <w:p w:rsidR="00057390" w:rsidRPr="00AA6C2C" w:rsidRDefault="00057390" w:rsidP="00AA6C2C">
            <w:pPr>
              <w:spacing w:after="0"/>
              <w:jc w:val="right"/>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Total</w:t>
            </w:r>
          </w:p>
        </w:tc>
        <w:tc>
          <w:tcPr>
            <w:tcW w:w="963" w:type="dxa"/>
            <w:tcBorders>
              <w:top w:val="nil"/>
              <w:left w:val="nil"/>
              <w:bottom w:val="nil"/>
              <w:right w:val="nil"/>
            </w:tcBorders>
            <w:shd w:val="clear" w:color="000000" w:fill="D9D9D9"/>
            <w:vAlign w:val="center"/>
          </w:tcPr>
          <w:p w:rsidR="00057390" w:rsidRPr="00AA6C2C" w:rsidRDefault="00057390" w:rsidP="00AA6C2C">
            <w:pPr>
              <w:spacing w:after="0"/>
              <w:jc w:val="right"/>
              <w:rPr>
                <w:rFonts w:eastAsia="Times New Roman" w:cs="Times New Roman"/>
                <w:b/>
                <w:bCs/>
                <w:color w:val="FF0000"/>
                <w:sz w:val="20"/>
                <w:szCs w:val="20"/>
                <w:lang w:eastAsia="en-AU"/>
              </w:rPr>
            </w:pPr>
            <w:r w:rsidRPr="00AA6C2C">
              <w:rPr>
                <w:rFonts w:eastAsia="Times New Roman" w:cs="Times New Roman"/>
                <w:b/>
                <w:bCs/>
                <w:color w:val="FF0000"/>
                <w:sz w:val="20"/>
                <w:szCs w:val="20"/>
                <w:lang w:eastAsia="en-AU"/>
              </w:rPr>
              <w:t>Per cent</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NSW</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133</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45</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12</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5</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8</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8</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4</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218</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35.3%</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SA</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102</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39</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3</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5</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4</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154</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25.0%</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QLD</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79</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28</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6</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5</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13</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3</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6</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4</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6</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151</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24.5%</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VIC</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22</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27</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13</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8</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2</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86</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13.9%</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NT</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4</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7</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1.1%</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TAS</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1</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0.2%</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color w:val="000000"/>
                <w:sz w:val="20"/>
                <w:szCs w:val="20"/>
                <w:lang w:eastAsia="en-AU"/>
              </w:rPr>
            </w:pPr>
            <w:r w:rsidRPr="00AA6C2C">
              <w:rPr>
                <w:rFonts w:eastAsia="Times New Roman" w:cs="Times New Roman"/>
                <w:color w:val="000000"/>
                <w:sz w:val="20"/>
                <w:szCs w:val="20"/>
                <w:lang w:eastAsia="en-AU"/>
              </w:rPr>
              <w:t>ACT</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color w:val="000000"/>
                <w:sz w:val="20"/>
                <w:szCs w:val="20"/>
                <w:lang w:eastAsia="en-AU"/>
              </w:rPr>
            </w:pPr>
            <w:r w:rsidRPr="00AA6C2C">
              <w:rPr>
                <w:rFonts w:eastAsia="Times New Roman" w:cs="Times New Roman"/>
                <w:color w:val="000000"/>
                <w:sz w:val="20"/>
                <w:szCs w:val="20"/>
                <w:lang w:eastAsia="en-AU"/>
              </w:rPr>
              <w:t>0.0%</w:t>
            </w:r>
          </w:p>
        </w:tc>
      </w:tr>
      <w:tr w:rsidR="00057390" w:rsidRPr="00AA6C2C" w:rsidTr="00EC4AF3">
        <w:trPr>
          <w:trHeight w:val="300"/>
        </w:trPr>
        <w:tc>
          <w:tcPr>
            <w:tcW w:w="64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Total</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337</w:t>
            </w:r>
          </w:p>
        </w:tc>
        <w:tc>
          <w:tcPr>
            <w:tcW w:w="731"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144</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33</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28</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27</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19</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12</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8</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6</w:t>
            </w:r>
          </w:p>
        </w:tc>
        <w:tc>
          <w:tcPr>
            <w:tcW w:w="730"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3</w:t>
            </w:r>
          </w:p>
        </w:tc>
        <w:tc>
          <w:tcPr>
            <w:tcW w:w="734" w:type="dxa"/>
            <w:tcBorders>
              <w:top w:val="nil"/>
              <w:left w:val="nil"/>
              <w:bottom w:val="single" w:sz="4" w:space="0" w:color="000000"/>
              <w:right w:val="nil"/>
            </w:tcBorders>
            <w:shd w:val="clear" w:color="auto" w:fill="auto"/>
            <w:vAlign w:val="bottom"/>
            <w:hideMark/>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617</w:t>
            </w:r>
          </w:p>
        </w:tc>
        <w:tc>
          <w:tcPr>
            <w:tcW w:w="963" w:type="dxa"/>
            <w:tcBorders>
              <w:top w:val="nil"/>
              <w:left w:val="nil"/>
              <w:bottom w:val="single" w:sz="4" w:space="0" w:color="000000"/>
              <w:right w:val="nil"/>
            </w:tcBorders>
            <w:vAlign w:val="bottom"/>
          </w:tcPr>
          <w:p w:rsidR="00057390" w:rsidRPr="00AA6C2C" w:rsidRDefault="00057390" w:rsidP="00AA6C2C">
            <w:pPr>
              <w:spacing w:after="0"/>
              <w:jc w:val="right"/>
              <w:rPr>
                <w:rFonts w:eastAsia="Times New Roman" w:cs="Times New Roman"/>
                <w:b/>
                <w:bCs/>
                <w:color w:val="000000"/>
                <w:sz w:val="20"/>
                <w:szCs w:val="20"/>
                <w:lang w:eastAsia="en-AU"/>
              </w:rPr>
            </w:pPr>
            <w:r w:rsidRPr="00AA6C2C">
              <w:rPr>
                <w:rFonts w:eastAsia="Times New Roman" w:cs="Times New Roman"/>
                <w:b/>
                <w:bCs/>
                <w:color w:val="000000"/>
                <w:sz w:val="20"/>
                <w:szCs w:val="20"/>
                <w:lang w:eastAsia="en-AU"/>
              </w:rPr>
              <w:t>100.0%</w:t>
            </w:r>
          </w:p>
        </w:tc>
      </w:tr>
    </w:tbl>
    <w:p w:rsidR="00F31A7D" w:rsidRPr="0017274C" w:rsidRDefault="00F31A7D" w:rsidP="00F31A7D">
      <w:pPr>
        <w:spacing w:after="0"/>
        <w:rPr>
          <w:rFonts w:eastAsia="Times New Roman" w:cs="Times New Roman"/>
          <w:color w:val="000000"/>
          <w:sz w:val="18"/>
          <w:szCs w:val="18"/>
          <w:lang w:eastAsia="en-AU"/>
        </w:rPr>
      </w:pPr>
      <w:r w:rsidRPr="0017274C">
        <w:rPr>
          <w:rFonts w:eastAsia="Times New Roman" w:cs="Times New Roman"/>
          <w:color w:val="000000"/>
          <w:sz w:val="18"/>
          <w:szCs w:val="18"/>
          <w:lang w:eastAsia="en-AU"/>
        </w:rPr>
        <w:t>Notes</w:t>
      </w:r>
    </w:p>
    <w:p w:rsidR="00F31A7D" w:rsidRPr="0017274C" w:rsidRDefault="00F31A7D" w:rsidP="0096249F">
      <w:pPr>
        <w:pStyle w:val="ListParagraph"/>
        <w:numPr>
          <w:ilvl w:val="0"/>
          <w:numId w:val="21"/>
        </w:numPr>
        <w:spacing w:after="0"/>
        <w:rPr>
          <w:rFonts w:eastAsia="Times New Roman" w:cs="Times New Roman"/>
          <w:color w:val="000000"/>
          <w:sz w:val="18"/>
          <w:szCs w:val="18"/>
          <w:lang w:eastAsia="en-AU"/>
        </w:rPr>
      </w:pPr>
      <w:r w:rsidRPr="0017274C">
        <w:rPr>
          <w:rFonts w:eastAsia="Times New Roman" w:cs="Times New Roman"/>
          <w:color w:val="000000"/>
          <w:sz w:val="18"/>
          <w:szCs w:val="18"/>
          <w:lang w:eastAsia="en-AU"/>
        </w:rPr>
        <w:t>ACT reported zero adverse event</w:t>
      </w:r>
      <w:r w:rsidR="004062BF">
        <w:rPr>
          <w:rFonts w:eastAsia="Times New Roman" w:cs="Times New Roman"/>
          <w:color w:val="000000"/>
          <w:sz w:val="18"/>
          <w:szCs w:val="18"/>
          <w:lang w:eastAsia="en-AU"/>
        </w:rPr>
        <w:t>s</w:t>
      </w:r>
    </w:p>
    <w:p w:rsidR="00F31A7D" w:rsidRDefault="00F31A7D" w:rsidP="0096249F">
      <w:pPr>
        <w:pStyle w:val="ListParagraph"/>
        <w:numPr>
          <w:ilvl w:val="0"/>
          <w:numId w:val="21"/>
        </w:numPr>
        <w:spacing w:after="0"/>
        <w:rPr>
          <w:rFonts w:eastAsia="Times New Roman" w:cs="Times New Roman"/>
          <w:color w:val="000000"/>
          <w:sz w:val="18"/>
          <w:szCs w:val="18"/>
          <w:lang w:eastAsia="en-AU"/>
        </w:rPr>
      </w:pPr>
      <w:r w:rsidRPr="0017274C">
        <w:rPr>
          <w:rFonts w:eastAsia="Times New Roman" w:cs="Times New Roman"/>
          <w:color w:val="000000"/>
          <w:sz w:val="18"/>
          <w:szCs w:val="18"/>
          <w:lang w:eastAsia="en-AU"/>
        </w:rPr>
        <w:t>WA did not contribute data</w:t>
      </w:r>
    </w:p>
    <w:p w:rsidR="00F31A7D" w:rsidRDefault="00F31A7D" w:rsidP="00FF53AC">
      <w:pPr>
        <w:pStyle w:val="ListParagraph"/>
        <w:numPr>
          <w:ilvl w:val="0"/>
          <w:numId w:val="21"/>
        </w:numPr>
        <w:spacing w:after="0"/>
        <w:rPr>
          <w:rFonts w:eastAsia="Times New Roman" w:cs="Times New Roman"/>
          <w:color w:val="000000"/>
          <w:sz w:val="18"/>
          <w:szCs w:val="18"/>
          <w:lang w:eastAsia="en-AU"/>
        </w:rPr>
      </w:pPr>
      <w:r w:rsidRPr="00F31A7D">
        <w:rPr>
          <w:rFonts w:eastAsia="Times New Roman" w:cs="Times New Roman"/>
          <w:color w:val="000000"/>
          <w:sz w:val="18"/>
          <w:szCs w:val="18"/>
          <w:lang w:eastAsia="en-AU"/>
        </w:rPr>
        <w:t xml:space="preserve">All TTIs were </w:t>
      </w:r>
      <w:r w:rsidR="00FF53AC" w:rsidRPr="00FF53AC">
        <w:rPr>
          <w:rFonts w:eastAsia="Times New Roman" w:cs="Times New Roman"/>
          <w:color w:val="000000"/>
          <w:sz w:val="18"/>
          <w:szCs w:val="18"/>
          <w:lang w:eastAsia="en-AU"/>
        </w:rPr>
        <w:t>suspected but not confirmed bacterial infections</w:t>
      </w:r>
    </w:p>
    <w:p w:rsidR="00330972" w:rsidRDefault="00330972">
      <w:pPr>
        <w:spacing w:line="276" w:lineRule="auto"/>
        <w:rPr>
          <w:rFonts w:asciiTheme="minorHAnsi" w:hAnsiTheme="minorHAnsi" w:cstheme="minorHAnsi"/>
          <w:highlight w:val="yellow"/>
          <w:lang w:eastAsia="en-AU"/>
        </w:rPr>
      </w:pPr>
      <w:r>
        <w:rPr>
          <w:rFonts w:asciiTheme="minorHAnsi" w:hAnsiTheme="minorHAnsi" w:cstheme="minorHAnsi"/>
          <w:highlight w:val="yellow"/>
          <w:lang w:eastAsia="en-AU"/>
        </w:rPr>
        <w:br w:type="page"/>
      </w:r>
    </w:p>
    <w:p w:rsidR="008F2146" w:rsidRDefault="004062BF" w:rsidP="00EC4AF3">
      <w:pPr>
        <w:spacing w:after="0"/>
        <w:rPr>
          <w:rFonts w:asciiTheme="minorHAnsi" w:hAnsiTheme="minorHAnsi" w:cstheme="minorHAnsi"/>
          <w:lang w:eastAsia="en-AU"/>
        </w:rPr>
      </w:pPr>
      <w:r>
        <w:rPr>
          <w:rFonts w:asciiTheme="minorHAnsi" w:hAnsiTheme="minorHAnsi" w:cstheme="minorHAnsi"/>
          <w:highlight w:val="yellow"/>
          <w:lang w:eastAsia="en-AU"/>
        </w:rPr>
        <w:lastRenderedPageBreak/>
        <w:fldChar w:fldCharType="begin"/>
      </w:r>
      <w:r>
        <w:rPr>
          <w:rFonts w:asciiTheme="minorHAnsi" w:hAnsiTheme="minorHAnsi" w:cstheme="minorHAnsi"/>
          <w:highlight w:val="yellow"/>
          <w:lang w:eastAsia="en-AU"/>
        </w:rPr>
        <w:instrText xml:space="preserve"> REF _Ref451352741 \h </w:instrText>
      </w:r>
      <w:r>
        <w:rPr>
          <w:rFonts w:asciiTheme="minorHAnsi" w:hAnsiTheme="minorHAnsi" w:cstheme="minorHAnsi"/>
          <w:highlight w:val="yellow"/>
          <w:lang w:eastAsia="en-AU"/>
        </w:rPr>
      </w:r>
      <w:r>
        <w:rPr>
          <w:rFonts w:asciiTheme="minorHAnsi" w:hAnsiTheme="minorHAnsi" w:cstheme="minorHAnsi"/>
          <w:highlight w:val="yellow"/>
          <w:lang w:eastAsia="en-AU"/>
        </w:rPr>
        <w:fldChar w:fldCharType="separate"/>
      </w:r>
      <w:r w:rsidR="000010BC">
        <w:t xml:space="preserve">Table </w:t>
      </w:r>
      <w:r w:rsidR="000010BC">
        <w:rPr>
          <w:noProof/>
        </w:rPr>
        <w:t>3</w:t>
      </w:r>
      <w:r>
        <w:rPr>
          <w:rFonts w:asciiTheme="minorHAnsi" w:hAnsiTheme="minorHAnsi" w:cstheme="minorHAnsi"/>
          <w:highlight w:val="yellow"/>
          <w:lang w:eastAsia="en-AU"/>
        </w:rPr>
        <w:fldChar w:fldCharType="end"/>
      </w:r>
      <w:r w:rsidR="001F50F9">
        <w:rPr>
          <w:rFonts w:asciiTheme="minorHAnsi" w:hAnsiTheme="minorHAnsi" w:cstheme="minorHAnsi"/>
          <w:lang w:eastAsia="en-AU"/>
        </w:rPr>
        <w:t xml:space="preserve"> details the </w:t>
      </w:r>
      <w:proofErr w:type="gramStart"/>
      <w:r w:rsidR="001F50F9">
        <w:rPr>
          <w:rFonts w:asciiTheme="minorHAnsi" w:hAnsiTheme="minorHAnsi" w:cstheme="minorHAnsi"/>
          <w:lang w:eastAsia="en-AU"/>
        </w:rPr>
        <w:t xml:space="preserve">number of adverse events by </w:t>
      </w:r>
      <w:proofErr w:type="spellStart"/>
      <w:r w:rsidR="001F50F9">
        <w:rPr>
          <w:rFonts w:asciiTheme="minorHAnsi" w:hAnsiTheme="minorHAnsi" w:cstheme="minorHAnsi"/>
          <w:lang w:eastAsia="en-AU"/>
        </w:rPr>
        <w:t>imputability</w:t>
      </w:r>
      <w:proofErr w:type="spellEnd"/>
      <w:r w:rsidR="001F50F9">
        <w:rPr>
          <w:rFonts w:asciiTheme="minorHAnsi" w:hAnsiTheme="minorHAnsi" w:cstheme="minorHAnsi"/>
          <w:lang w:eastAsia="en-AU"/>
        </w:rPr>
        <w:t xml:space="preserve"> score</w:t>
      </w:r>
      <w:proofErr w:type="gramEnd"/>
      <w:r w:rsidR="001F50F9">
        <w:rPr>
          <w:rFonts w:asciiTheme="minorHAnsi" w:hAnsiTheme="minorHAnsi" w:cstheme="minorHAnsi"/>
          <w:lang w:eastAsia="en-AU"/>
        </w:rPr>
        <w:t xml:space="preserve"> for </w:t>
      </w:r>
      <w:r w:rsidR="001F50F9" w:rsidRPr="001F50F9">
        <w:rPr>
          <w:rFonts w:asciiTheme="minorHAnsi" w:hAnsiTheme="minorHAnsi" w:cstheme="minorHAnsi"/>
          <w:lang w:eastAsia="en-AU"/>
        </w:rPr>
        <w:t>2013–14</w:t>
      </w:r>
      <w:r w:rsidR="003310E1">
        <w:rPr>
          <w:rFonts w:asciiTheme="minorHAnsi" w:hAnsiTheme="minorHAnsi" w:cstheme="minorHAnsi"/>
          <w:lang w:eastAsia="en-AU"/>
        </w:rPr>
        <w:t>:</w:t>
      </w:r>
    </w:p>
    <w:p w:rsidR="008F2146" w:rsidRDefault="008F2146" w:rsidP="0096249F">
      <w:pPr>
        <w:pStyle w:val="ListParagraph"/>
        <w:numPr>
          <w:ilvl w:val="0"/>
          <w:numId w:val="26"/>
        </w:numPr>
        <w:rPr>
          <w:rFonts w:asciiTheme="minorHAnsi" w:hAnsiTheme="minorHAnsi" w:cstheme="minorHAnsi"/>
          <w:lang w:eastAsia="en-AU"/>
        </w:rPr>
      </w:pPr>
      <w:r>
        <w:rPr>
          <w:rFonts w:asciiTheme="minorHAnsi" w:hAnsiTheme="minorHAnsi" w:cstheme="minorHAnsi"/>
          <w:lang w:eastAsia="en-AU"/>
        </w:rPr>
        <w:t>92.2</w:t>
      </w:r>
      <w:r w:rsidR="00ED7AD2">
        <w:rPr>
          <w:rFonts w:asciiTheme="minorHAnsi" w:hAnsiTheme="minorHAnsi" w:cstheme="minorHAnsi"/>
          <w:lang w:eastAsia="en-AU"/>
        </w:rPr>
        <w:t xml:space="preserve">% of the </w:t>
      </w:r>
      <w:r>
        <w:rPr>
          <w:rFonts w:asciiTheme="minorHAnsi" w:hAnsiTheme="minorHAnsi" w:cstheme="minorHAnsi"/>
          <w:lang w:eastAsia="en-AU"/>
        </w:rPr>
        <w:t>reported events</w:t>
      </w:r>
      <w:r w:rsidR="00316E02">
        <w:rPr>
          <w:rFonts w:asciiTheme="minorHAnsi" w:hAnsiTheme="minorHAnsi" w:cstheme="minorHAnsi"/>
          <w:lang w:eastAsia="en-AU"/>
        </w:rPr>
        <w:t xml:space="preserve"> </w:t>
      </w:r>
      <w:r w:rsidR="008163E3">
        <w:rPr>
          <w:rFonts w:asciiTheme="minorHAnsi" w:hAnsiTheme="minorHAnsi" w:cstheme="minorHAnsi"/>
          <w:lang w:eastAsia="en-AU"/>
        </w:rPr>
        <w:t xml:space="preserve">had </w:t>
      </w:r>
      <w:r>
        <w:rPr>
          <w:rFonts w:asciiTheme="minorHAnsi" w:hAnsiTheme="minorHAnsi" w:cstheme="minorHAnsi"/>
          <w:lang w:eastAsia="en-AU"/>
        </w:rPr>
        <w:t xml:space="preserve">specified </w:t>
      </w:r>
      <w:proofErr w:type="spellStart"/>
      <w:r>
        <w:rPr>
          <w:rFonts w:asciiTheme="minorHAnsi" w:hAnsiTheme="minorHAnsi" w:cstheme="minorHAnsi"/>
          <w:lang w:eastAsia="en-AU"/>
        </w:rPr>
        <w:t>imputability</w:t>
      </w:r>
      <w:proofErr w:type="spellEnd"/>
      <w:r>
        <w:rPr>
          <w:rFonts w:asciiTheme="minorHAnsi" w:hAnsiTheme="minorHAnsi" w:cstheme="minorHAnsi"/>
          <w:lang w:eastAsia="en-AU"/>
        </w:rPr>
        <w:t xml:space="preserve"> scores.</w:t>
      </w:r>
    </w:p>
    <w:p w:rsidR="00B44206" w:rsidRDefault="00ED7AD2" w:rsidP="0096249F">
      <w:pPr>
        <w:pStyle w:val="ListParagraph"/>
        <w:numPr>
          <w:ilvl w:val="0"/>
          <w:numId w:val="26"/>
        </w:numPr>
        <w:rPr>
          <w:rFonts w:asciiTheme="minorHAnsi" w:hAnsiTheme="minorHAnsi" w:cstheme="minorHAnsi"/>
          <w:lang w:eastAsia="en-AU"/>
        </w:rPr>
      </w:pPr>
      <w:r>
        <w:rPr>
          <w:rFonts w:asciiTheme="minorHAnsi" w:hAnsiTheme="minorHAnsi" w:cstheme="minorHAnsi"/>
          <w:lang w:eastAsia="en-AU"/>
        </w:rPr>
        <w:t>87</w:t>
      </w:r>
      <w:r w:rsidR="008F2146">
        <w:rPr>
          <w:rFonts w:asciiTheme="minorHAnsi" w:hAnsiTheme="minorHAnsi" w:cstheme="minorHAnsi"/>
          <w:lang w:eastAsia="en-AU"/>
        </w:rPr>
        <w:t>.</w:t>
      </w:r>
      <w:r>
        <w:rPr>
          <w:rFonts w:asciiTheme="minorHAnsi" w:hAnsiTheme="minorHAnsi" w:cstheme="minorHAnsi"/>
          <w:lang w:eastAsia="en-AU"/>
        </w:rPr>
        <w:t>1</w:t>
      </w:r>
      <w:r w:rsidR="009B4CEF" w:rsidRPr="005010F1">
        <w:rPr>
          <w:rFonts w:asciiTheme="minorHAnsi" w:hAnsiTheme="minorHAnsi" w:cstheme="minorHAnsi"/>
          <w:lang w:eastAsia="en-AU"/>
        </w:rPr>
        <w:t xml:space="preserve">% of the events were </w:t>
      </w:r>
      <w:r>
        <w:rPr>
          <w:rFonts w:asciiTheme="minorHAnsi" w:hAnsiTheme="minorHAnsi" w:cstheme="minorHAnsi"/>
          <w:lang w:eastAsia="en-AU"/>
        </w:rPr>
        <w:t>possible</w:t>
      </w:r>
      <w:r w:rsidR="00BF34C1">
        <w:rPr>
          <w:rFonts w:asciiTheme="minorHAnsi" w:hAnsiTheme="minorHAnsi" w:cstheme="minorHAnsi"/>
          <w:lang w:eastAsia="en-AU"/>
        </w:rPr>
        <w:t>,</w:t>
      </w:r>
      <w:r>
        <w:rPr>
          <w:rFonts w:asciiTheme="minorHAnsi" w:hAnsiTheme="minorHAnsi" w:cstheme="minorHAnsi"/>
          <w:lang w:eastAsia="en-AU"/>
        </w:rPr>
        <w:t xml:space="preserve"> </w:t>
      </w:r>
      <w:r w:rsidR="009B4CEF" w:rsidRPr="005010F1">
        <w:rPr>
          <w:rFonts w:asciiTheme="minorHAnsi" w:hAnsiTheme="minorHAnsi" w:cstheme="minorHAnsi"/>
          <w:lang w:eastAsia="en-AU"/>
        </w:rPr>
        <w:t xml:space="preserve">likely or confirmed to be related to the </w:t>
      </w:r>
      <w:r w:rsidR="00FC1A0A">
        <w:rPr>
          <w:rFonts w:asciiTheme="minorHAnsi" w:hAnsiTheme="minorHAnsi" w:cstheme="minorHAnsi"/>
          <w:lang w:eastAsia="en-AU"/>
        </w:rPr>
        <w:t>blood transfusion</w:t>
      </w:r>
      <w:r w:rsidR="00B44206">
        <w:rPr>
          <w:rFonts w:asciiTheme="minorHAnsi" w:hAnsiTheme="minorHAnsi" w:cstheme="minorHAnsi"/>
          <w:lang w:eastAsia="en-AU"/>
        </w:rPr>
        <w:t>.</w:t>
      </w:r>
    </w:p>
    <w:p w:rsidR="005F29F1" w:rsidRDefault="009B4CEF" w:rsidP="0096249F">
      <w:pPr>
        <w:pStyle w:val="ListParagraph"/>
        <w:numPr>
          <w:ilvl w:val="0"/>
          <w:numId w:val="26"/>
        </w:numPr>
        <w:rPr>
          <w:rFonts w:asciiTheme="minorHAnsi" w:hAnsiTheme="minorHAnsi" w:cstheme="minorHAnsi"/>
          <w:lang w:eastAsia="en-AU"/>
        </w:rPr>
      </w:pPr>
      <w:r w:rsidRPr="00ED7AD2">
        <w:rPr>
          <w:rFonts w:asciiTheme="minorHAnsi" w:hAnsiTheme="minorHAnsi" w:cstheme="minorHAnsi"/>
          <w:lang w:eastAsia="en-AU"/>
        </w:rPr>
        <w:t xml:space="preserve">13.3% of </w:t>
      </w:r>
      <w:r w:rsidR="00ED7AD2">
        <w:rPr>
          <w:rFonts w:asciiTheme="minorHAnsi" w:hAnsiTheme="minorHAnsi" w:cstheme="minorHAnsi"/>
          <w:lang w:eastAsia="en-AU"/>
        </w:rPr>
        <w:t xml:space="preserve">the </w:t>
      </w:r>
      <w:r w:rsidRPr="00ED7AD2">
        <w:rPr>
          <w:rFonts w:asciiTheme="minorHAnsi" w:hAnsiTheme="minorHAnsi" w:cstheme="minorHAnsi"/>
          <w:lang w:eastAsia="en-AU"/>
        </w:rPr>
        <w:t>events were confirmed to be related to the blood transfusion.</w:t>
      </w:r>
    </w:p>
    <w:p w:rsidR="00B44206" w:rsidRPr="00ED7AD2" w:rsidRDefault="00B44206" w:rsidP="0096249F">
      <w:pPr>
        <w:pStyle w:val="ListParagraph"/>
        <w:numPr>
          <w:ilvl w:val="0"/>
          <w:numId w:val="26"/>
        </w:numPr>
        <w:rPr>
          <w:rFonts w:asciiTheme="minorHAnsi" w:hAnsiTheme="minorHAnsi" w:cstheme="minorHAnsi"/>
          <w:lang w:eastAsia="en-AU"/>
        </w:rPr>
      </w:pPr>
      <w:r>
        <w:rPr>
          <w:rFonts w:asciiTheme="minorHAnsi" w:hAnsiTheme="minorHAnsi" w:cstheme="minorHAnsi"/>
          <w:lang w:eastAsia="en-AU"/>
        </w:rPr>
        <w:t xml:space="preserve">5.2% of the events </w:t>
      </w:r>
      <w:r w:rsidR="008163E3">
        <w:rPr>
          <w:rFonts w:asciiTheme="minorHAnsi" w:hAnsiTheme="minorHAnsi" w:cstheme="minorHAnsi"/>
          <w:lang w:eastAsia="en-AU"/>
        </w:rPr>
        <w:t xml:space="preserve">were classified as </w:t>
      </w:r>
      <w:r>
        <w:rPr>
          <w:rFonts w:asciiTheme="minorHAnsi" w:hAnsiTheme="minorHAnsi" w:cstheme="minorHAnsi"/>
          <w:lang w:eastAsia="en-AU"/>
        </w:rPr>
        <w:t>unlikely to be related to the blood transfusion.</w:t>
      </w:r>
    </w:p>
    <w:p w:rsidR="001D2F50" w:rsidRPr="004062BF" w:rsidRDefault="004062BF" w:rsidP="001D2F50">
      <w:pPr>
        <w:pStyle w:val="Caption"/>
        <w:keepNext/>
      </w:pPr>
      <w:bookmarkStart w:id="32" w:name="_Ref451352741"/>
      <w:bookmarkStart w:id="33" w:name="_Ref451352727"/>
      <w:bookmarkStart w:id="34" w:name="_Toc459636843"/>
      <w:r>
        <w:t xml:space="preserve">Table </w:t>
      </w:r>
      <w:fldSimple w:instr=" SEQ Table \* ARABIC ">
        <w:r w:rsidR="000010BC">
          <w:rPr>
            <w:noProof/>
          </w:rPr>
          <w:t>3</w:t>
        </w:r>
      </w:fldSimple>
      <w:bookmarkEnd w:id="32"/>
      <w:r w:rsidRPr="00EC4AF3">
        <w:rPr>
          <w:bCs w:val="0"/>
        </w:rPr>
        <w:t>:</w:t>
      </w:r>
      <w:r w:rsidR="00B433DF" w:rsidRPr="00EC4AF3">
        <w:rPr>
          <w:bCs w:val="0"/>
        </w:rPr>
        <w:t xml:space="preserve"> A</w:t>
      </w:r>
      <w:r w:rsidR="001D2F50" w:rsidRPr="00EC4AF3">
        <w:rPr>
          <w:bCs w:val="0"/>
        </w:rPr>
        <w:t xml:space="preserve">dverse events by </w:t>
      </w:r>
      <w:proofErr w:type="spellStart"/>
      <w:r w:rsidR="001D2F50" w:rsidRPr="00EC4AF3">
        <w:rPr>
          <w:bCs w:val="0"/>
        </w:rPr>
        <w:t>imputab</w:t>
      </w:r>
      <w:r w:rsidR="00ED4883">
        <w:rPr>
          <w:bCs w:val="0"/>
        </w:rPr>
        <w:t>i</w:t>
      </w:r>
      <w:r w:rsidR="001D2F50" w:rsidRPr="00EC4AF3">
        <w:rPr>
          <w:bCs w:val="0"/>
        </w:rPr>
        <w:t>lity</w:t>
      </w:r>
      <w:proofErr w:type="spellEnd"/>
      <w:r w:rsidR="001D2F50" w:rsidRPr="00EC4AF3">
        <w:rPr>
          <w:bCs w:val="0"/>
        </w:rPr>
        <w:t xml:space="preserve"> score, 2013–14</w:t>
      </w:r>
      <w:bookmarkEnd w:id="33"/>
      <w:bookmarkEnd w:id="34"/>
    </w:p>
    <w:tbl>
      <w:tblPr>
        <w:tblW w:w="9498" w:type="dxa"/>
        <w:tblInd w:w="108"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01"/>
        <w:gridCol w:w="1276"/>
        <w:gridCol w:w="1134"/>
        <w:gridCol w:w="992"/>
        <w:gridCol w:w="1276"/>
        <w:gridCol w:w="1134"/>
        <w:gridCol w:w="992"/>
        <w:gridCol w:w="993"/>
      </w:tblGrid>
      <w:tr w:rsidR="00A85F2C" w:rsidRPr="003068BB" w:rsidTr="00A85F2C">
        <w:trPr>
          <w:cantSplit/>
          <w:trHeight w:hRule="exact" w:val="815"/>
        </w:trPr>
        <w:tc>
          <w:tcPr>
            <w:tcW w:w="1701" w:type="dxa"/>
            <w:tcBorders>
              <w:top w:val="nil"/>
              <w:bottom w:val="nil"/>
            </w:tcBorders>
            <w:shd w:val="clear" w:color="auto" w:fill="FF0000"/>
            <w:tcMar>
              <w:top w:w="0" w:type="dxa"/>
              <w:left w:w="108" w:type="dxa"/>
              <w:bottom w:w="0" w:type="dxa"/>
              <w:right w:w="108" w:type="dxa"/>
            </w:tcMar>
            <w:hideMark/>
          </w:tcPr>
          <w:p w:rsidR="004062BF" w:rsidRPr="00D54E4F" w:rsidRDefault="004062BF" w:rsidP="009C7EE5">
            <w:pPr>
              <w:spacing w:after="0"/>
              <w:rPr>
                <w:rFonts w:eastAsia="Calibri"/>
                <w:b/>
                <w:bCs/>
                <w:color w:val="FFFFFF"/>
                <w:sz w:val="20"/>
                <w:szCs w:val="20"/>
                <w:lang w:eastAsia="en-AU"/>
              </w:rPr>
            </w:pPr>
            <w:r w:rsidRPr="00B5301C">
              <w:rPr>
                <w:rFonts w:eastAsia="Calibri"/>
                <w:b/>
                <w:bCs/>
                <w:color w:val="FFFFFF"/>
                <w:sz w:val="20"/>
                <w:szCs w:val="20"/>
                <w:lang w:eastAsia="en-AU"/>
              </w:rPr>
              <w:t>Event Type</w:t>
            </w:r>
          </w:p>
        </w:tc>
        <w:tc>
          <w:tcPr>
            <w:tcW w:w="1276" w:type="dxa"/>
            <w:tcBorders>
              <w:top w:val="nil"/>
              <w:bottom w:val="nil"/>
            </w:tcBorders>
            <w:shd w:val="clear" w:color="auto" w:fill="FF0000"/>
            <w:tcMar>
              <w:top w:w="0" w:type="dxa"/>
              <w:left w:w="108" w:type="dxa"/>
              <w:bottom w:w="0" w:type="dxa"/>
              <w:right w:w="108" w:type="dxa"/>
            </w:tcMar>
            <w:hideMark/>
          </w:tcPr>
          <w:p w:rsidR="004062BF" w:rsidRPr="00E83FFB" w:rsidRDefault="004062BF" w:rsidP="00747B6C">
            <w:pPr>
              <w:spacing w:after="0"/>
              <w:jc w:val="right"/>
              <w:rPr>
                <w:rFonts w:eastAsia="Calibri"/>
                <w:b/>
                <w:bCs/>
                <w:color w:val="FFFFFF"/>
                <w:sz w:val="20"/>
                <w:szCs w:val="20"/>
                <w:lang w:eastAsia="en-AU"/>
              </w:rPr>
            </w:pPr>
            <w:r w:rsidRPr="00E83FFB">
              <w:rPr>
                <w:rFonts w:eastAsia="Times New Roman" w:cstheme="minorHAnsi"/>
                <w:b/>
                <w:color w:val="FFFFFF" w:themeColor="background1"/>
                <w:sz w:val="20"/>
                <w:szCs w:val="20"/>
                <w:lang w:eastAsia="en-AU"/>
              </w:rPr>
              <w:t>Excluded / Unlike</w:t>
            </w:r>
            <w:r>
              <w:rPr>
                <w:rFonts w:eastAsia="Times New Roman" w:cstheme="minorHAnsi"/>
                <w:b/>
                <w:color w:val="FFFFFF" w:themeColor="background1"/>
                <w:sz w:val="20"/>
                <w:szCs w:val="20"/>
                <w:lang w:eastAsia="en-AU"/>
              </w:rPr>
              <w:t>ly</w:t>
            </w:r>
          </w:p>
        </w:tc>
        <w:tc>
          <w:tcPr>
            <w:tcW w:w="1134" w:type="dxa"/>
            <w:tcBorders>
              <w:top w:val="nil"/>
              <w:bottom w:val="nil"/>
            </w:tcBorders>
            <w:shd w:val="clear" w:color="auto" w:fill="FF0000"/>
            <w:tcMar>
              <w:top w:w="0" w:type="dxa"/>
              <w:left w:w="108" w:type="dxa"/>
              <w:bottom w:w="0" w:type="dxa"/>
              <w:right w:w="108" w:type="dxa"/>
            </w:tcMar>
            <w:hideMark/>
          </w:tcPr>
          <w:p w:rsidR="004062BF" w:rsidRPr="00A979B2" w:rsidRDefault="004062BF" w:rsidP="00747B6C">
            <w:pPr>
              <w:spacing w:after="0"/>
              <w:jc w:val="right"/>
              <w:rPr>
                <w:rFonts w:eastAsia="Times New Roman" w:cstheme="minorHAnsi"/>
                <w:b/>
                <w:color w:val="FFFFFF" w:themeColor="background1"/>
                <w:sz w:val="20"/>
                <w:szCs w:val="20"/>
                <w:lang w:eastAsia="en-AU"/>
              </w:rPr>
            </w:pPr>
            <w:r w:rsidRPr="00A979B2">
              <w:rPr>
                <w:rFonts w:eastAsia="Times New Roman" w:cstheme="minorHAnsi"/>
                <w:b/>
                <w:color w:val="FFFFFF" w:themeColor="background1"/>
                <w:sz w:val="20"/>
                <w:szCs w:val="20"/>
                <w:lang w:eastAsia="en-AU"/>
              </w:rPr>
              <w:t>Possible</w:t>
            </w:r>
          </w:p>
        </w:tc>
        <w:tc>
          <w:tcPr>
            <w:tcW w:w="992" w:type="dxa"/>
            <w:tcBorders>
              <w:top w:val="nil"/>
              <w:bottom w:val="nil"/>
            </w:tcBorders>
            <w:shd w:val="clear" w:color="auto" w:fill="FF0000"/>
            <w:tcMar>
              <w:top w:w="0" w:type="dxa"/>
              <w:left w:w="108" w:type="dxa"/>
              <w:bottom w:w="0" w:type="dxa"/>
              <w:right w:w="108" w:type="dxa"/>
            </w:tcMar>
            <w:hideMark/>
          </w:tcPr>
          <w:p w:rsidR="004062BF" w:rsidRPr="005010F1" w:rsidRDefault="004062BF" w:rsidP="00747B6C">
            <w:pPr>
              <w:spacing w:after="0"/>
              <w:jc w:val="right"/>
              <w:rPr>
                <w:rFonts w:eastAsia="Times New Roman" w:cstheme="minorHAnsi"/>
                <w:b/>
                <w:color w:val="FFFFFF" w:themeColor="background1"/>
                <w:sz w:val="20"/>
                <w:szCs w:val="20"/>
                <w:lang w:eastAsia="en-AU"/>
              </w:rPr>
            </w:pPr>
            <w:r w:rsidRPr="005010F1">
              <w:rPr>
                <w:rFonts w:eastAsia="Times New Roman" w:cstheme="minorHAnsi"/>
                <w:b/>
                <w:color w:val="FFFFFF" w:themeColor="background1"/>
                <w:sz w:val="20"/>
                <w:szCs w:val="20"/>
                <w:lang w:eastAsia="en-AU"/>
              </w:rPr>
              <w:t>Likely / Probable</w:t>
            </w:r>
          </w:p>
        </w:tc>
        <w:tc>
          <w:tcPr>
            <w:tcW w:w="1276" w:type="dxa"/>
            <w:tcBorders>
              <w:top w:val="nil"/>
              <w:bottom w:val="nil"/>
            </w:tcBorders>
            <w:shd w:val="clear" w:color="auto" w:fill="FF0000"/>
            <w:tcMar>
              <w:top w:w="0" w:type="dxa"/>
              <w:left w:w="108" w:type="dxa"/>
              <w:bottom w:w="0" w:type="dxa"/>
              <w:right w:w="108" w:type="dxa"/>
            </w:tcMar>
            <w:hideMark/>
          </w:tcPr>
          <w:p w:rsidR="004062BF" w:rsidRPr="00781184" w:rsidRDefault="004062BF" w:rsidP="00747B6C">
            <w:pPr>
              <w:spacing w:after="0"/>
              <w:jc w:val="right"/>
              <w:rPr>
                <w:rFonts w:eastAsia="Times New Roman" w:cstheme="minorHAnsi"/>
                <w:b/>
                <w:color w:val="FFFFFF" w:themeColor="background1"/>
                <w:sz w:val="20"/>
                <w:szCs w:val="20"/>
                <w:lang w:eastAsia="en-AU"/>
              </w:rPr>
            </w:pPr>
            <w:r w:rsidRPr="00E17200">
              <w:rPr>
                <w:rFonts w:eastAsia="Times New Roman" w:cstheme="minorHAnsi"/>
                <w:b/>
                <w:color w:val="FFFFFF" w:themeColor="background1"/>
                <w:sz w:val="20"/>
                <w:szCs w:val="20"/>
                <w:lang w:eastAsia="en-AU"/>
              </w:rPr>
              <w:t>Confirmed / Certain</w:t>
            </w:r>
          </w:p>
        </w:tc>
        <w:tc>
          <w:tcPr>
            <w:tcW w:w="1134" w:type="dxa"/>
            <w:tcBorders>
              <w:top w:val="nil"/>
              <w:bottom w:val="nil"/>
            </w:tcBorders>
            <w:shd w:val="clear" w:color="auto" w:fill="FF0000"/>
            <w:tcMar>
              <w:top w:w="0" w:type="dxa"/>
              <w:left w:w="108" w:type="dxa"/>
              <w:bottom w:w="0" w:type="dxa"/>
              <w:right w:w="108" w:type="dxa"/>
            </w:tcMar>
            <w:hideMark/>
          </w:tcPr>
          <w:p w:rsidR="004062BF" w:rsidRPr="00AE0077" w:rsidRDefault="004062BF" w:rsidP="00747B6C">
            <w:pPr>
              <w:spacing w:after="0"/>
              <w:jc w:val="right"/>
              <w:rPr>
                <w:rFonts w:eastAsia="Times New Roman" w:cstheme="minorHAnsi"/>
                <w:b/>
                <w:color w:val="FFFFFF" w:themeColor="background1"/>
                <w:sz w:val="20"/>
                <w:szCs w:val="20"/>
                <w:lang w:eastAsia="en-AU"/>
              </w:rPr>
            </w:pPr>
            <w:r w:rsidRPr="00AE0077">
              <w:rPr>
                <w:rFonts w:eastAsia="Times New Roman" w:cstheme="minorHAnsi"/>
                <w:b/>
                <w:color w:val="FFFFFF" w:themeColor="background1"/>
                <w:sz w:val="20"/>
                <w:szCs w:val="20"/>
                <w:lang w:eastAsia="en-AU"/>
              </w:rPr>
              <w:t>N/A /Not assessable</w:t>
            </w:r>
          </w:p>
        </w:tc>
        <w:tc>
          <w:tcPr>
            <w:tcW w:w="992" w:type="dxa"/>
            <w:tcBorders>
              <w:top w:val="nil"/>
              <w:bottom w:val="nil"/>
            </w:tcBorders>
            <w:shd w:val="clear" w:color="auto" w:fill="FF0000"/>
          </w:tcPr>
          <w:p w:rsidR="004062BF" w:rsidRPr="004A2EC1" w:rsidRDefault="004062BF" w:rsidP="00747B6C">
            <w:pPr>
              <w:spacing w:after="0"/>
              <w:jc w:val="right"/>
              <w:rPr>
                <w:rFonts w:eastAsia="Times New Roman" w:cstheme="minorHAnsi"/>
                <w:b/>
                <w:color w:val="FFFFFF" w:themeColor="background1"/>
                <w:sz w:val="20"/>
                <w:szCs w:val="20"/>
                <w:lang w:eastAsia="en-AU"/>
              </w:rPr>
            </w:pPr>
            <w:r w:rsidRPr="004A2EC1">
              <w:rPr>
                <w:rFonts w:eastAsia="Times New Roman" w:cstheme="minorHAnsi"/>
                <w:b/>
                <w:color w:val="FFFFFF" w:themeColor="background1"/>
                <w:sz w:val="20"/>
                <w:szCs w:val="20"/>
                <w:lang w:eastAsia="en-AU"/>
              </w:rPr>
              <w:t>Total</w:t>
            </w:r>
          </w:p>
        </w:tc>
        <w:tc>
          <w:tcPr>
            <w:tcW w:w="993" w:type="dxa"/>
            <w:tcBorders>
              <w:top w:val="nil"/>
              <w:bottom w:val="nil"/>
            </w:tcBorders>
            <w:shd w:val="clear" w:color="auto" w:fill="FF0000"/>
          </w:tcPr>
          <w:p w:rsidR="004062BF" w:rsidRPr="004A2EC1" w:rsidRDefault="004062BF" w:rsidP="00747B6C">
            <w:pPr>
              <w:spacing w:after="0"/>
              <w:jc w:val="right"/>
              <w:rPr>
                <w:rFonts w:eastAsia="Times New Roman" w:cstheme="minorHAnsi"/>
                <w:b/>
                <w:color w:val="FFFFFF" w:themeColor="background1"/>
                <w:sz w:val="20"/>
                <w:szCs w:val="20"/>
                <w:lang w:eastAsia="en-AU"/>
              </w:rPr>
            </w:pPr>
            <w:r>
              <w:rPr>
                <w:rFonts w:eastAsia="Times New Roman" w:cstheme="minorHAnsi"/>
                <w:b/>
                <w:color w:val="FFFFFF" w:themeColor="background1"/>
                <w:sz w:val="20"/>
                <w:szCs w:val="20"/>
                <w:lang w:eastAsia="en-AU"/>
              </w:rPr>
              <w:t>Per Cent</w:t>
            </w:r>
          </w:p>
        </w:tc>
      </w:tr>
      <w:tr w:rsidR="00A85F2C" w:rsidRPr="003068BB" w:rsidTr="00A85F2C">
        <w:trPr>
          <w:trHeight w:hRule="exact" w:val="300"/>
        </w:trPr>
        <w:tc>
          <w:tcPr>
            <w:tcW w:w="1701" w:type="dxa"/>
            <w:tcBorders>
              <w:top w:val="nil"/>
            </w:tcBorders>
            <w:tcMar>
              <w:top w:w="0" w:type="dxa"/>
              <w:left w:w="108" w:type="dxa"/>
              <w:bottom w:w="0" w:type="dxa"/>
              <w:right w:w="108" w:type="dxa"/>
            </w:tcMar>
            <w:vAlign w:val="bottom"/>
          </w:tcPr>
          <w:p w:rsidR="004062BF" w:rsidRPr="00B5301C" w:rsidRDefault="004062BF" w:rsidP="00747B6C">
            <w:pPr>
              <w:spacing w:after="0"/>
              <w:rPr>
                <w:rFonts w:eastAsia="Calibri"/>
                <w:sz w:val="20"/>
                <w:szCs w:val="20"/>
                <w:lang w:eastAsia="en-AU"/>
              </w:rPr>
            </w:pPr>
            <w:r w:rsidRPr="00B5301C">
              <w:rPr>
                <w:rFonts w:eastAsia="Calibri"/>
                <w:sz w:val="20"/>
                <w:szCs w:val="20"/>
                <w:lang w:eastAsia="en-AU"/>
              </w:rPr>
              <w:t>FNHTR</w:t>
            </w:r>
          </w:p>
        </w:tc>
        <w:tc>
          <w:tcPr>
            <w:tcW w:w="1276" w:type="dxa"/>
            <w:tcBorders>
              <w:top w:val="nil"/>
            </w:tcBorders>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14</w:t>
            </w:r>
          </w:p>
        </w:tc>
        <w:tc>
          <w:tcPr>
            <w:tcW w:w="1134" w:type="dxa"/>
            <w:tcBorders>
              <w:top w:val="nil"/>
            </w:tcBorders>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223</w:t>
            </w:r>
          </w:p>
        </w:tc>
        <w:tc>
          <w:tcPr>
            <w:tcW w:w="992" w:type="dxa"/>
            <w:tcBorders>
              <w:top w:val="nil"/>
            </w:tcBorders>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67</w:t>
            </w:r>
          </w:p>
        </w:tc>
        <w:tc>
          <w:tcPr>
            <w:tcW w:w="1276" w:type="dxa"/>
            <w:tcBorders>
              <w:top w:val="nil"/>
            </w:tcBorders>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12</w:t>
            </w:r>
          </w:p>
        </w:tc>
        <w:tc>
          <w:tcPr>
            <w:tcW w:w="1134" w:type="dxa"/>
            <w:tcBorders>
              <w:top w:val="nil"/>
            </w:tcBorders>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21</w:t>
            </w:r>
          </w:p>
        </w:tc>
        <w:tc>
          <w:tcPr>
            <w:tcW w:w="992" w:type="dxa"/>
            <w:tcBorders>
              <w:top w:val="nil"/>
            </w:tcBorders>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337</w:t>
            </w:r>
          </w:p>
        </w:tc>
        <w:tc>
          <w:tcPr>
            <w:tcW w:w="993" w:type="dxa"/>
            <w:tcBorders>
              <w:top w:val="nil"/>
            </w:tcBorders>
            <w:vAlign w:val="bottom"/>
          </w:tcPr>
          <w:p w:rsidR="004062BF" w:rsidRPr="008163E3" w:rsidRDefault="004062BF" w:rsidP="00C94185">
            <w:pPr>
              <w:autoSpaceDE w:val="0"/>
              <w:autoSpaceDN w:val="0"/>
              <w:adjustRightInd w:val="0"/>
              <w:spacing w:after="0"/>
              <w:ind w:left="141"/>
              <w:jc w:val="right"/>
              <w:rPr>
                <w:rFonts w:eastAsiaTheme="minorHAnsi"/>
                <w:color w:val="000000"/>
                <w:sz w:val="20"/>
                <w:szCs w:val="20"/>
                <w:lang w:eastAsia="en-AU"/>
              </w:rPr>
            </w:pPr>
            <w:r w:rsidRPr="00C94185">
              <w:rPr>
                <w:color w:val="000000"/>
                <w:sz w:val="20"/>
                <w:szCs w:val="20"/>
              </w:rPr>
              <w:t>54.6%</w:t>
            </w:r>
          </w:p>
        </w:tc>
      </w:tr>
      <w:tr w:rsidR="00A85F2C" w:rsidRPr="003068BB" w:rsidTr="0096249F">
        <w:trPr>
          <w:trHeight w:hRule="exact" w:val="300"/>
        </w:trPr>
        <w:tc>
          <w:tcPr>
            <w:tcW w:w="1701" w:type="dxa"/>
            <w:tcMar>
              <w:top w:w="0" w:type="dxa"/>
              <w:left w:w="108" w:type="dxa"/>
              <w:bottom w:w="0" w:type="dxa"/>
              <w:right w:w="108" w:type="dxa"/>
            </w:tcMar>
            <w:vAlign w:val="bottom"/>
          </w:tcPr>
          <w:p w:rsidR="004062BF" w:rsidRPr="00B5301C" w:rsidRDefault="008163E3" w:rsidP="00A85F2C">
            <w:pPr>
              <w:spacing w:after="0"/>
              <w:rPr>
                <w:rFonts w:eastAsia="Calibri"/>
                <w:sz w:val="20"/>
                <w:szCs w:val="20"/>
                <w:lang w:eastAsia="en-AU"/>
              </w:rPr>
            </w:pPr>
            <w:r>
              <w:rPr>
                <w:rFonts w:eastAsia="Calibri"/>
                <w:sz w:val="20"/>
                <w:szCs w:val="20"/>
                <w:lang w:eastAsia="en-AU"/>
              </w:rPr>
              <w:t>Allergic</w:t>
            </w:r>
            <w:r w:rsidR="00686E10">
              <w:rPr>
                <w:rFonts w:eastAsia="Calibri"/>
                <w:sz w:val="20"/>
                <w:szCs w:val="20"/>
                <w:lang w:eastAsia="en-AU"/>
              </w:rPr>
              <w:t xml:space="preserve"> reaction</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29</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70</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37</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6</w:t>
            </w:r>
          </w:p>
        </w:tc>
        <w:tc>
          <w:tcPr>
            <w:tcW w:w="992" w:type="dxa"/>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144</w:t>
            </w:r>
          </w:p>
        </w:tc>
        <w:tc>
          <w:tcPr>
            <w:tcW w:w="993" w:type="dxa"/>
            <w:vAlign w:val="bottom"/>
          </w:tcPr>
          <w:p w:rsidR="004062BF" w:rsidRPr="008163E3" w:rsidRDefault="004062BF" w:rsidP="00747B6C">
            <w:pPr>
              <w:autoSpaceDE w:val="0"/>
              <w:autoSpaceDN w:val="0"/>
              <w:adjustRightInd w:val="0"/>
              <w:spacing w:after="0"/>
              <w:jc w:val="right"/>
              <w:rPr>
                <w:rFonts w:eastAsiaTheme="minorHAnsi"/>
                <w:color w:val="000000"/>
                <w:sz w:val="20"/>
                <w:szCs w:val="20"/>
              </w:rPr>
            </w:pPr>
            <w:r w:rsidRPr="00C94185">
              <w:rPr>
                <w:color w:val="000000"/>
                <w:sz w:val="20"/>
                <w:szCs w:val="20"/>
              </w:rPr>
              <w:t>23.3%</w:t>
            </w:r>
          </w:p>
        </w:tc>
      </w:tr>
      <w:tr w:rsidR="00A85F2C" w:rsidRPr="003068BB" w:rsidTr="00A85F2C">
        <w:trPr>
          <w:trHeight w:hRule="exact" w:val="300"/>
        </w:trPr>
        <w:tc>
          <w:tcPr>
            <w:tcW w:w="1701" w:type="dxa"/>
            <w:tcMar>
              <w:top w:w="0" w:type="dxa"/>
              <w:left w:w="108" w:type="dxa"/>
              <w:bottom w:w="0" w:type="dxa"/>
              <w:right w:w="108" w:type="dxa"/>
            </w:tcMar>
            <w:vAlign w:val="bottom"/>
          </w:tcPr>
          <w:p w:rsidR="004062BF" w:rsidRPr="00B5301C" w:rsidRDefault="004062BF" w:rsidP="00747B6C">
            <w:pPr>
              <w:spacing w:after="0"/>
              <w:rPr>
                <w:rFonts w:eastAsia="Calibri"/>
                <w:sz w:val="20"/>
                <w:szCs w:val="20"/>
                <w:lang w:eastAsia="en-AU"/>
              </w:rPr>
            </w:pPr>
            <w:r w:rsidRPr="00B5301C">
              <w:rPr>
                <w:rFonts w:eastAsia="Calibri"/>
                <w:sz w:val="20"/>
                <w:szCs w:val="20"/>
                <w:lang w:eastAsia="en-AU"/>
              </w:rPr>
              <w:t>IBCT</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13</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16</w:t>
            </w:r>
          </w:p>
        </w:tc>
        <w:tc>
          <w:tcPr>
            <w:tcW w:w="992" w:type="dxa"/>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33</w:t>
            </w:r>
          </w:p>
        </w:tc>
        <w:tc>
          <w:tcPr>
            <w:tcW w:w="993" w:type="dxa"/>
            <w:vAlign w:val="bottom"/>
          </w:tcPr>
          <w:p w:rsidR="004062BF" w:rsidRPr="008163E3" w:rsidRDefault="004062BF" w:rsidP="00747B6C">
            <w:pPr>
              <w:autoSpaceDE w:val="0"/>
              <w:autoSpaceDN w:val="0"/>
              <w:adjustRightInd w:val="0"/>
              <w:spacing w:after="0"/>
              <w:jc w:val="right"/>
              <w:rPr>
                <w:rFonts w:eastAsiaTheme="minorHAnsi"/>
                <w:color w:val="000000"/>
                <w:sz w:val="20"/>
                <w:szCs w:val="20"/>
              </w:rPr>
            </w:pPr>
            <w:r w:rsidRPr="00C94185">
              <w:rPr>
                <w:color w:val="000000"/>
                <w:sz w:val="20"/>
                <w:szCs w:val="20"/>
              </w:rPr>
              <w:t>5.3%</w:t>
            </w:r>
          </w:p>
        </w:tc>
      </w:tr>
      <w:tr w:rsidR="00A85F2C" w:rsidRPr="003068BB" w:rsidTr="00A85F2C">
        <w:trPr>
          <w:trHeight w:hRule="exact" w:val="300"/>
        </w:trPr>
        <w:tc>
          <w:tcPr>
            <w:tcW w:w="1701" w:type="dxa"/>
            <w:tcMar>
              <w:top w:w="0" w:type="dxa"/>
              <w:left w:w="108" w:type="dxa"/>
              <w:bottom w:w="0" w:type="dxa"/>
              <w:right w:w="108" w:type="dxa"/>
            </w:tcMar>
            <w:vAlign w:val="bottom"/>
          </w:tcPr>
          <w:p w:rsidR="008163E3" w:rsidRPr="00B5301C" w:rsidRDefault="008163E3" w:rsidP="0039701B">
            <w:pPr>
              <w:spacing w:after="0"/>
              <w:rPr>
                <w:rFonts w:eastAsia="Calibri"/>
                <w:sz w:val="20"/>
                <w:szCs w:val="20"/>
                <w:lang w:eastAsia="en-AU"/>
              </w:rPr>
            </w:pPr>
            <w:r w:rsidRPr="00B5301C">
              <w:rPr>
                <w:rFonts w:eastAsia="Calibri"/>
                <w:sz w:val="20"/>
                <w:szCs w:val="20"/>
                <w:lang w:eastAsia="en-AU"/>
              </w:rPr>
              <w:t>TACO</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14</w:t>
            </w:r>
          </w:p>
        </w:tc>
        <w:tc>
          <w:tcPr>
            <w:tcW w:w="992"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12</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992" w:type="dxa"/>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28</w:t>
            </w:r>
          </w:p>
        </w:tc>
        <w:tc>
          <w:tcPr>
            <w:tcW w:w="993" w:type="dxa"/>
            <w:vAlign w:val="bottom"/>
          </w:tcPr>
          <w:p w:rsidR="008163E3" w:rsidRPr="008163E3" w:rsidRDefault="008163E3" w:rsidP="0039701B">
            <w:pPr>
              <w:autoSpaceDE w:val="0"/>
              <w:autoSpaceDN w:val="0"/>
              <w:adjustRightInd w:val="0"/>
              <w:spacing w:after="0"/>
              <w:jc w:val="right"/>
              <w:rPr>
                <w:rFonts w:eastAsiaTheme="minorHAnsi"/>
                <w:color w:val="000000"/>
                <w:sz w:val="20"/>
                <w:szCs w:val="20"/>
              </w:rPr>
            </w:pPr>
            <w:r w:rsidRPr="00C94185">
              <w:rPr>
                <w:color w:val="000000"/>
                <w:sz w:val="20"/>
                <w:szCs w:val="20"/>
              </w:rPr>
              <w:t>4.5%</w:t>
            </w:r>
          </w:p>
        </w:tc>
      </w:tr>
      <w:tr w:rsidR="00A85F2C" w:rsidRPr="003068BB" w:rsidTr="00A85F2C">
        <w:trPr>
          <w:trHeight w:hRule="exact" w:val="300"/>
        </w:trPr>
        <w:tc>
          <w:tcPr>
            <w:tcW w:w="1701" w:type="dxa"/>
            <w:tcMar>
              <w:top w:w="0" w:type="dxa"/>
              <w:left w:w="108" w:type="dxa"/>
              <w:bottom w:w="0" w:type="dxa"/>
              <w:right w:w="108" w:type="dxa"/>
            </w:tcMar>
            <w:vAlign w:val="bottom"/>
          </w:tcPr>
          <w:p w:rsidR="008163E3" w:rsidRPr="00B5301C" w:rsidRDefault="00B40707" w:rsidP="0039701B">
            <w:pPr>
              <w:spacing w:after="0"/>
              <w:rPr>
                <w:rFonts w:eastAsia="Calibri"/>
                <w:sz w:val="20"/>
                <w:szCs w:val="20"/>
                <w:lang w:eastAsia="en-AU"/>
              </w:rPr>
            </w:pPr>
            <w:r>
              <w:rPr>
                <w:rFonts w:eastAsia="Calibri"/>
                <w:sz w:val="20"/>
                <w:szCs w:val="20"/>
                <w:lang w:eastAsia="en-AU"/>
              </w:rPr>
              <w:t>TTI</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10</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7</w:t>
            </w:r>
          </w:p>
        </w:tc>
        <w:tc>
          <w:tcPr>
            <w:tcW w:w="992"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6</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992" w:type="dxa"/>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27</w:t>
            </w:r>
          </w:p>
        </w:tc>
        <w:tc>
          <w:tcPr>
            <w:tcW w:w="993" w:type="dxa"/>
            <w:vAlign w:val="bottom"/>
          </w:tcPr>
          <w:p w:rsidR="008163E3" w:rsidRPr="008163E3" w:rsidRDefault="008163E3" w:rsidP="0039701B">
            <w:pPr>
              <w:autoSpaceDE w:val="0"/>
              <w:autoSpaceDN w:val="0"/>
              <w:adjustRightInd w:val="0"/>
              <w:spacing w:after="0"/>
              <w:jc w:val="right"/>
              <w:rPr>
                <w:rFonts w:eastAsiaTheme="minorHAnsi"/>
                <w:color w:val="000000"/>
                <w:sz w:val="20"/>
                <w:szCs w:val="20"/>
              </w:rPr>
            </w:pPr>
            <w:r w:rsidRPr="00C94185">
              <w:rPr>
                <w:color w:val="000000"/>
                <w:sz w:val="20"/>
                <w:szCs w:val="20"/>
              </w:rPr>
              <w:t>4.4%</w:t>
            </w:r>
          </w:p>
        </w:tc>
      </w:tr>
      <w:tr w:rsidR="00A85F2C" w:rsidRPr="003068BB" w:rsidTr="00A85F2C">
        <w:trPr>
          <w:trHeight w:hRule="exact" w:val="300"/>
        </w:trPr>
        <w:tc>
          <w:tcPr>
            <w:tcW w:w="1701" w:type="dxa"/>
            <w:tcMar>
              <w:top w:w="0" w:type="dxa"/>
              <w:left w:w="108" w:type="dxa"/>
              <w:bottom w:w="0" w:type="dxa"/>
              <w:right w:w="108" w:type="dxa"/>
            </w:tcMar>
            <w:vAlign w:val="bottom"/>
          </w:tcPr>
          <w:p w:rsidR="004062BF" w:rsidRPr="00B5301C" w:rsidRDefault="004062BF" w:rsidP="00747B6C">
            <w:pPr>
              <w:spacing w:after="0"/>
              <w:rPr>
                <w:rFonts w:eastAsia="Calibri"/>
                <w:sz w:val="20"/>
                <w:szCs w:val="20"/>
                <w:lang w:eastAsia="en-AU"/>
              </w:rPr>
            </w:pPr>
            <w:r w:rsidRPr="00B5301C">
              <w:rPr>
                <w:rFonts w:eastAsia="Calibri"/>
                <w:sz w:val="20"/>
                <w:szCs w:val="20"/>
                <w:lang w:eastAsia="en-AU"/>
              </w:rPr>
              <w:t>Anaphylactic</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11</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5</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992" w:type="dxa"/>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19</w:t>
            </w:r>
          </w:p>
        </w:tc>
        <w:tc>
          <w:tcPr>
            <w:tcW w:w="993" w:type="dxa"/>
            <w:vAlign w:val="bottom"/>
          </w:tcPr>
          <w:p w:rsidR="004062BF" w:rsidRPr="008163E3" w:rsidRDefault="004062BF" w:rsidP="00747B6C">
            <w:pPr>
              <w:autoSpaceDE w:val="0"/>
              <w:autoSpaceDN w:val="0"/>
              <w:adjustRightInd w:val="0"/>
              <w:spacing w:after="0"/>
              <w:jc w:val="right"/>
              <w:rPr>
                <w:rFonts w:eastAsiaTheme="minorHAnsi"/>
                <w:color w:val="000000"/>
                <w:sz w:val="20"/>
                <w:szCs w:val="20"/>
              </w:rPr>
            </w:pPr>
            <w:r w:rsidRPr="00C94185">
              <w:rPr>
                <w:color w:val="000000"/>
                <w:sz w:val="20"/>
                <w:szCs w:val="20"/>
              </w:rPr>
              <w:t>3.1%</w:t>
            </w:r>
          </w:p>
        </w:tc>
      </w:tr>
      <w:tr w:rsidR="00A85F2C" w:rsidRPr="003068BB" w:rsidTr="00A85F2C">
        <w:trPr>
          <w:trHeight w:hRule="exact" w:val="300"/>
        </w:trPr>
        <w:tc>
          <w:tcPr>
            <w:tcW w:w="1701" w:type="dxa"/>
            <w:tcMar>
              <w:top w:w="0" w:type="dxa"/>
              <w:left w:w="108" w:type="dxa"/>
              <w:bottom w:w="0" w:type="dxa"/>
              <w:right w:w="108" w:type="dxa"/>
            </w:tcMar>
            <w:vAlign w:val="bottom"/>
          </w:tcPr>
          <w:p w:rsidR="004062BF" w:rsidRPr="00B5301C" w:rsidRDefault="004062BF" w:rsidP="00747B6C">
            <w:pPr>
              <w:spacing w:after="0"/>
              <w:rPr>
                <w:rFonts w:eastAsia="Calibri"/>
                <w:sz w:val="20"/>
                <w:szCs w:val="20"/>
                <w:lang w:eastAsia="en-AU"/>
              </w:rPr>
            </w:pPr>
            <w:r w:rsidRPr="00B5301C">
              <w:rPr>
                <w:rFonts w:eastAsia="Calibri"/>
                <w:sz w:val="20"/>
                <w:szCs w:val="20"/>
                <w:lang w:eastAsia="en-AU"/>
              </w:rPr>
              <w:t>DHTR</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7</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w:t>
            </w:r>
          </w:p>
        </w:tc>
        <w:tc>
          <w:tcPr>
            <w:tcW w:w="992" w:type="dxa"/>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12</w:t>
            </w:r>
          </w:p>
        </w:tc>
        <w:tc>
          <w:tcPr>
            <w:tcW w:w="993" w:type="dxa"/>
            <w:vAlign w:val="bottom"/>
          </w:tcPr>
          <w:p w:rsidR="004062BF" w:rsidRPr="008163E3" w:rsidRDefault="004062BF" w:rsidP="00747B6C">
            <w:pPr>
              <w:autoSpaceDE w:val="0"/>
              <w:autoSpaceDN w:val="0"/>
              <w:adjustRightInd w:val="0"/>
              <w:spacing w:after="0"/>
              <w:jc w:val="right"/>
              <w:rPr>
                <w:rFonts w:eastAsiaTheme="minorHAnsi"/>
                <w:color w:val="000000"/>
                <w:sz w:val="20"/>
                <w:szCs w:val="20"/>
              </w:rPr>
            </w:pPr>
            <w:r w:rsidRPr="00C94185">
              <w:rPr>
                <w:color w:val="000000"/>
                <w:sz w:val="20"/>
                <w:szCs w:val="20"/>
              </w:rPr>
              <w:t>1.9%</w:t>
            </w:r>
          </w:p>
        </w:tc>
      </w:tr>
      <w:tr w:rsidR="00A85F2C" w:rsidRPr="003068BB" w:rsidTr="00A85F2C">
        <w:trPr>
          <w:trHeight w:hRule="exact" w:val="300"/>
        </w:trPr>
        <w:tc>
          <w:tcPr>
            <w:tcW w:w="1701" w:type="dxa"/>
            <w:tcMar>
              <w:top w:w="0" w:type="dxa"/>
              <w:left w:w="108" w:type="dxa"/>
              <w:bottom w:w="0" w:type="dxa"/>
              <w:right w:w="108" w:type="dxa"/>
            </w:tcMar>
            <w:vAlign w:val="bottom"/>
          </w:tcPr>
          <w:p w:rsidR="008163E3" w:rsidRPr="00D54E4F" w:rsidRDefault="008163E3" w:rsidP="0039701B">
            <w:pPr>
              <w:spacing w:after="0"/>
              <w:rPr>
                <w:rFonts w:eastAsia="Calibri"/>
                <w:sz w:val="20"/>
                <w:szCs w:val="20"/>
                <w:lang w:eastAsia="en-AU"/>
              </w:rPr>
            </w:pPr>
            <w:r w:rsidRPr="00B5301C">
              <w:rPr>
                <w:rFonts w:eastAsia="Calibri"/>
                <w:sz w:val="20"/>
                <w:szCs w:val="20"/>
                <w:lang w:eastAsia="en-AU"/>
              </w:rPr>
              <w:t>AH</w:t>
            </w:r>
            <w:r w:rsidRPr="00D54E4F">
              <w:rPr>
                <w:rFonts w:eastAsia="Calibri"/>
                <w:sz w:val="20"/>
                <w:szCs w:val="20"/>
                <w:lang w:eastAsia="en-AU"/>
              </w:rPr>
              <w:t>TR</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w:t>
            </w:r>
          </w:p>
        </w:tc>
        <w:tc>
          <w:tcPr>
            <w:tcW w:w="992"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w:t>
            </w:r>
          </w:p>
        </w:tc>
        <w:tc>
          <w:tcPr>
            <w:tcW w:w="992" w:type="dxa"/>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8</w:t>
            </w:r>
          </w:p>
        </w:tc>
        <w:tc>
          <w:tcPr>
            <w:tcW w:w="993" w:type="dxa"/>
            <w:vAlign w:val="bottom"/>
          </w:tcPr>
          <w:p w:rsidR="008163E3" w:rsidRPr="008163E3" w:rsidRDefault="008163E3" w:rsidP="0039701B">
            <w:pPr>
              <w:autoSpaceDE w:val="0"/>
              <w:autoSpaceDN w:val="0"/>
              <w:adjustRightInd w:val="0"/>
              <w:spacing w:after="0"/>
              <w:jc w:val="right"/>
              <w:rPr>
                <w:rFonts w:eastAsiaTheme="minorHAnsi"/>
                <w:color w:val="000000"/>
                <w:sz w:val="20"/>
                <w:szCs w:val="20"/>
              </w:rPr>
            </w:pPr>
            <w:r w:rsidRPr="00C94185">
              <w:rPr>
                <w:color w:val="000000"/>
                <w:sz w:val="20"/>
                <w:szCs w:val="20"/>
              </w:rPr>
              <w:t>1.3%</w:t>
            </w:r>
          </w:p>
        </w:tc>
      </w:tr>
      <w:tr w:rsidR="00A85F2C" w:rsidRPr="003068BB" w:rsidTr="00A85F2C">
        <w:trPr>
          <w:trHeight w:hRule="exact" w:val="300"/>
        </w:trPr>
        <w:tc>
          <w:tcPr>
            <w:tcW w:w="1701" w:type="dxa"/>
            <w:tcMar>
              <w:top w:w="0" w:type="dxa"/>
              <w:left w:w="108" w:type="dxa"/>
              <w:bottom w:w="0" w:type="dxa"/>
              <w:right w:w="108" w:type="dxa"/>
            </w:tcMar>
            <w:vAlign w:val="bottom"/>
          </w:tcPr>
          <w:p w:rsidR="008163E3" w:rsidRPr="00B5301C" w:rsidRDefault="008163E3" w:rsidP="0039701B">
            <w:pPr>
              <w:spacing w:after="0"/>
              <w:rPr>
                <w:rFonts w:eastAsia="Calibri"/>
                <w:bCs/>
                <w:color w:val="000000"/>
                <w:sz w:val="20"/>
                <w:szCs w:val="20"/>
                <w:lang w:eastAsia="en-AU"/>
              </w:rPr>
            </w:pPr>
            <w:r w:rsidRPr="00B5301C">
              <w:rPr>
                <w:rFonts w:eastAsia="Calibri"/>
                <w:bCs/>
                <w:color w:val="000000"/>
                <w:sz w:val="20"/>
                <w:szCs w:val="20"/>
                <w:lang w:eastAsia="en-AU"/>
              </w:rPr>
              <w:t>PTP</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w:t>
            </w:r>
          </w:p>
        </w:tc>
        <w:tc>
          <w:tcPr>
            <w:tcW w:w="992"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276"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134" w:type="dxa"/>
            <w:tcMar>
              <w:top w:w="0" w:type="dxa"/>
              <w:left w:w="108" w:type="dxa"/>
              <w:bottom w:w="0" w:type="dxa"/>
              <w:right w:w="108" w:type="dxa"/>
            </w:tcMar>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992" w:type="dxa"/>
            <w:vAlign w:val="bottom"/>
          </w:tcPr>
          <w:p w:rsidR="008163E3" w:rsidRPr="00D54E4F" w:rsidRDefault="008163E3" w:rsidP="0039701B">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6</w:t>
            </w:r>
          </w:p>
        </w:tc>
        <w:tc>
          <w:tcPr>
            <w:tcW w:w="993" w:type="dxa"/>
            <w:vAlign w:val="bottom"/>
          </w:tcPr>
          <w:p w:rsidR="008163E3" w:rsidRPr="008163E3" w:rsidRDefault="008163E3" w:rsidP="0039701B">
            <w:pPr>
              <w:autoSpaceDE w:val="0"/>
              <w:autoSpaceDN w:val="0"/>
              <w:adjustRightInd w:val="0"/>
              <w:spacing w:after="0"/>
              <w:jc w:val="right"/>
              <w:rPr>
                <w:rFonts w:eastAsiaTheme="minorHAnsi"/>
                <w:color w:val="000000"/>
                <w:sz w:val="20"/>
                <w:szCs w:val="20"/>
              </w:rPr>
            </w:pPr>
            <w:r w:rsidRPr="00C94185">
              <w:rPr>
                <w:color w:val="000000"/>
                <w:sz w:val="20"/>
                <w:szCs w:val="20"/>
              </w:rPr>
              <w:t>1.0%</w:t>
            </w:r>
          </w:p>
        </w:tc>
      </w:tr>
      <w:tr w:rsidR="00A85F2C" w:rsidRPr="003068BB" w:rsidTr="00A85F2C">
        <w:trPr>
          <w:trHeight w:hRule="exact" w:val="300"/>
        </w:trPr>
        <w:tc>
          <w:tcPr>
            <w:tcW w:w="1701" w:type="dxa"/>
            <w:tcMar>
              <w:top w:w="0" w:type="dxa"/>
              <w:left w:w="108" w:type="dxa"/>
              <w:bottom w:w="0" w:type="dxa"/>
              <w:right w:w="108" w:type="dxa"/>
            </w:tcMar>
            <w:vAlign w:val="bottom"/>
          </w:tcPr>
          <w:p w:rsidR="004062BF" w:rsidRPr="00B5301C" w:rsidRDefault="004062BF" w:rsidP="00747B6C">
            <w:pPr>
              <w:spacing w:after="0"/>
              <w:rPr>
                <w:rFonts w:eastAsia="Calibri"/>
                <w:sz w:val="20"/>
                <w:szCs w:val="20"/>
                <w:lang w:eastAsia="en-AU"/>
              </w:rPr>
            </w:pPr>
            <w:r w:rsidRPr="00B5301C">
              <w:rPr>
                <w:rFonts w:eastAsia="Calibri"/>
                <w:sz w:val="20"/>
                <w:szCs w:val="20"/>
                <w:lang w:eastAsia="en-AU"/>
              </w:rPr>
              <w:t>TRALI</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2</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0</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1</w:t>
            </w:r>
          </w:p>
        </w:tc>
        <w:tc>
          <w:tcPr>
            <w:tcW w:w="992" w:type="dxa"/>
            <w:vAlign w:val="bottom"/>
          </w:tcPr>
          <w:p w:rsidR="004062BF" w:rsidRPr="00D54E4F" w:rsidRDefault="004062BF" w:rsidP="00747B6C">
            <w:pPr>
              <w:autoSpaceDE w:val="0"/>
              <w:autoSpaceDN w:val="0"/>
              <w:adjustRightInd w:val="0"/>
              <w:spacing w:after="0"/>
              <w:jc w:val="right"/>
              <w:rPr>
                <w:rFonts w:eastAsiaTheme="minorHAnsi"/>
                <w:color w:val="000000"/>
                <w:sz w:val="20"/>
                <w:szCs w:val="20"/>
              </w:rPr>
            </w:pPr>
            <w:r w:rsidRPr="00D54E4F">
              <w:rPr>
                <w:rFonts w:eastAsiaTheme="minorHAnsi"/>
                <w:color w:val="000000"/>
                <w:sz w:val="20"/>
                <w:szCs w:val="20"/>
              </w:rPr>
              <w:t>3</w:t>
            </w:r>
          </w:p>
        </w:tc>
        <w:tc>
          <w:tcPr>
            <w:tcW w:w="993" w:type="dxa"/>
            <w:vAlign w:val="bottom"/>
          </w:tcPr>
          <w:p w:rsidR="004062BF" w:rsidRPr="008163E3" w:rsidRDefault="004062BF" w:rsidP="00747B6C">
            <w:pPr>
              <w:autoSpaceDE w:val="0"/>
              <w:autoSpaceDN w:val="0"/>
              <w:adjustRightInd w:val="0"/>
              <w:spacing w:after="0"/>
              <w:jc w:val="right"/>
              <w:rPr>
                <w:rFonts w:eastAsiaTheme="minorHAnsi"/>
                <w:color w:val="000000"/>
                <w:sz w:val="20"/>
                <w:szCs w:val="20"/>
              </w:rPr>
            </w:pPr>
            <w:r w:rsidRPr="00C94185">
              <w:rPr>
                <w:color w:val="000000"/>
                <w:sz w:val="20"/>
                <w:szCs w:val="20"/>
              </w:rPr>
              <w:t>0.5%</w:t>
            </w:r>
          </w:p>
        </w:tc>
      </w:tr>
      <w:tr w:rsidR="00A85F2C" w:rsidRPr="003068BB" w:rsidTr="00A85F2C">
        <w:trPr>
          <w:trHeight w:hRule="exact" w:val="300"/>
        </w:trPr>
        <w:tc>
          <w:tcPr>
            <w:tcW w:w="1701" w:type="dxa"/>
            <w:tcMar>
              <w:top w:w="0" w:type="dxa"/>
              <w:left w:w="108" w:type="dxa"/>
              <w:bottom w:w="0" w:type="dxa"/>
              <w:right w:w="108" w:type="dxa"/>
            </w:tcMar>
            <w:vAlign w:val="bottom"/>
          </w:tcPr>
          <w:p w:rsidR="004062BF" w:rsidRPr="00D54E4F" w:rsidRDefault="004062BF" w:rsidP="00747B6C">
            <w:pPr>
              <w:spacing w:after="0"/>
              <w:rPr>
                <w:rFonts w:eastAsia="Calibri"/>
                <w:b/>
                <w:sz w:val="20"/>
                <w:szCs w:val="20"/>
                <w:lang w:eastAsia="en-AU"/>
              </w:rPr>
            </w:pPr>
            <w:r w:rsidRPr="00B5301C">
              <w:rPr>
                <w:rFonts w:eastAsia="Calibri"/>
                <w:b/>
                <w:bCs/>
                <w:color w:val="000000"/>
                <w:sz w:val="20"/>
                <w:szCs w:val="20"/>
                <w:lang w:eastAsia="en-AU"/>
              </w:rPr>
              <w:t>Total</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32</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286</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169</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82</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48</w:t>
            </w:r>
          </w:p>
        </w:tc>
        <w:tc>
          <w:tcPr>
            <w:tcW w:w="992" w:type="dxa"/>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617</w:t>
            </w:r>
          </w:p>
        </w:tc>
        <w:tc>
          <w:tcPr>
            <w:tcW w:w="993" w:type="dxa"/>
            <w:vAlign w:val="center"/>
          </w:tcPr>
          <w:p w:rsidR="004062BF" w:rsidRPr="00C94185" w:rsidRDefault="004062BF" w:rsidP="00330972">
            <w:pPr>
              <w:autoSpaceDE w:val="0"/>
              <w:autoSpaceDN w:val="0"/>
              <w:adjustRightInd w:val="0"/>
              <w:spacing w:after="0"/>
              <w:ind w:left="1100"/>
              <w:rPr>
                <w:b/>
                <w:color w:val="000000"/>
                <w:sz w:val="20"/>
                <w:szCs w:val="20"/>
              </w:rPr>
            </w:pPr>
          </w:p>
        </w:tc>
      </w:tr>
      <w:tr w:rsidR="00A85F2C" w:rsidRPr="003068BB" w:rsidTr="00A85F2C">
        <w:trPr>
          <w:trHeight w:hRule="exact" w:val="300"/>
        </w:trPr>
        <w:tc>
          <w:tcPr>
            <w:tcW w:w="1701" w:type="dxa"/>
            <w:tcMar>
              <w:top w:w="0" w:type="dxa"/>
              <w:left w:w="108" w:type="dxa"/>
              <w:bottom w:w="0" w:type="dxa"/>
              <w:right w:w="108" w:type="dxa"/>
            </w:tcMar>
            <w:vAlign w:val="bottom"/>
          </w:tcPr>
          <w:p w:rsidR="004062BF" w:rsidRPr="00B5301C" w:rsidRDefault="004062BF" w:rsidP="00747B6C">
            <w:pPr>
              <w:spacing w:after="0"/>
              <w:rPr>
                <w:rFonts w:eastAsia="Calibri"/>
                <w:b/>
                <w:bCs/>
                <w:color w:val="000000"/>
                <w:sz w:val="20"/>
                <w:szCs w:val="20"/>
                <w:lang w:eastAsia="en-AU"/>
              </w:rPr>
            </w:pPr>
            <w:r w:rsidRPr="00B5301C">
              <w:rPr>
                <w:rFonts w:eastAsia="Calibri"/>
                <w:b/>
                <w:bCs/>
                <w:color w:val="000000"/>
                <w:sz w:val="20"/>
                <w:szCs w:val="20"/>
                <w:lang w:eastAsia="en-AU"/>
              </w:rPr>
              <w:t>Per cent</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5.2%</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46.4%</w:t>
            </w:r>
          </w:p>
        </w:tc>
        <w:tc>
          <w:tcPr>
            <w:tcW w:w="992"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27.4%</w:t>
            </w:r>
          </w:p>
        </w:tc>
        <w:tc>
          <w:tcPr>
            <w:tcW w:w="1276"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13.3%</w:t>
            </w:r>
          </w:p>
        </w:tc>
        <w:tc>
          <w:tcPr>
            <w:tcW w:w="1134" w:type="dxa"/>
            <w:tcMar>
              <w:top w:w="0" w:type="dxa"/>
              <w:left w:w="108" w:type="dxa"/>
              <w:bottom w:w="0" w:type="dxa"/>
              <w:right w:w="108" w:type="dxa"/>
            </w:tcMar>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7.8%</w:t>
            </w:r>
          </w:p>
        </w:tc>
        <w:tc>
          <w:tcPr>
            <w:tcW w:w="992" w:type="dxa"/>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r w:rsidRPr="00D54E4F">
              <w:rPr>
                <w:rFonts w:eastAsiaTheme="minorHAnsi"/>
                <w:b/>
                <w:color w:val="000000"/>
                <w:sz w:val="20"/>
                <w:szCs w:val="20"/>
              </w:rPr>
              <w:t>100.0%</w:t>
            </w:r>
          </w:p>
        </w:tc>
        <w:tc>
          <w:tcPr>
            <w:tcW w:w="993" w:type="dxa"/>
            <w:vAlign w:val="bottom"/>
          </w:tcPr>
          <w:p w:rsidR="004062BF" w:rsidRPr="00D54E4F" w:rsidRDefault="004062BF" w:rsidP="00747B6C">
            <w:pPr>
              <w:autoSpaceDE w:val="0"/>
              <w:autoSpaceDN w:val="0"/>
              <w:adjustRightInd w:val="0"/>
              <w:spacing w:after="0"/>
              <w:jc w:val="right"/>
              <w:rPr>
                <w:rFonts w:eastAsiaTheme="minorHAnsi"/>
                <w:b/>
                <w:color w:val="000000"/>
                <w:sz w:val="20"/>
                <w:szCs w:val="20"/>
              </w:rPr>
            </w:pPr>
          </w:p>
        </w:tc>
      </w:tr>
    </w:tbl>
    <w:p w:rsidR="00F31A7D" w:rsidRPr="0017274C" w:rsidRDefault="00F31A7D" w:rsidP="00F31A7D">
      <w:pPr>
        <w:spacing w:after="0"/>
        <w:rPr>
          <w:rFonts w:eastAsia="Times New Roman" w:cs="Times New Roman"/>
          <w:color w:val="000000"/>
          <w:sz w:val="18"/>
          <w:szCs w:val="18"/>
          <w:lang w:eastAsia="en-AU"/>
        </w:rPr>
      </w:pPr>
      <w:r w:rsidRPr="0017274C">
        <w:rPr>
          <w:rFonts w:eastAsia="Times New Roman" w:cs="Times New Roman"/>
          <w:color w:val="000000"/>
          <w:sz w:val="18"/>
          <w:szCs w:val="18"/>
          <w:lang w:eastAsia="en-AU"/>
        </w:rPr>
        <w:t>Notes</w:t>
      </w:r>
    </w:p>
    <w:p w:rsidR="00F31A7D" w:rsidRPr="0017274C" w:rsidRDefault="00F31A7D" w:rsidP="0096249F">
      <w:pPr>
        <w:pStyle w:val="ListParagraph"/>
        <w:numPr>
          <w:ilvl w:val="0"/>
          <w:numId w:val="22"/>
        </w:numPr>
        <w:spacing w:after="0"/>
        <w:rPr>
          <w:rFonts w:eastAsia="Times New Roman" w:cs="Times New Roman"/>
          <w:color w:val="000000"/>
          <w:sz w:val="18"/>
          <w:szCs w:val="18"/>
          <w:lang w:eastAsia="en-AU"/>
        </w:rPr>
      </w:pPr>
      <w:r w:rsidRPr="0017274C">
        <w:rPr>
          <w:rFonts w:eastAsia="Times New Roman" w:cs="Times New Roman"/>
          <w:color w:val="000000"/>
          <w:sz w:val="18"/>
          <w:szCs w:val="18"/>
          <w:lang w:eastAsia="en-AU"/>
        </w:rPr>
        <w:t>ACT reported zero adverse even</w:t>
      </w:r>
      <w:r w:rsidR="004F04B7">
        <w:rPr>
          <w:rFonts w:eastAsia="Times New Roman" w:cs="Times New Roman"/>
          <w:color w:val="000000"/>
          <w:sz w:val="18"/>
          <w:szCs w:val="18"/>
          <w:lang w:eastAsia="en-AU"/>
        </w:rPr>
        <w:t>ts</w:t>
      </w:r>
    </w:p>
    <w:p w:rsidR="00F31A7D" w:rsidRDefault="00F31A7D" w:rsidP="0096249F">
      <w:pPr>
        <w:pStyle w:val="ListParagraph"/>
        <w:numPr>
          <w:ilvl w:val="0"/>
          <w:numId w:val="22"/>
        </w:numPr>
        <w:spacing w:after="0"/>
        <w:rPr>
          <w:rFonts w:eastAsia="Times New Roman" w:cs="Times New Roman"/>
          <w:color w:val="000000"/>
          <w:sz w:val="18"/>
          <w:szCs w:val="18"/>
          <w:lang w:eastAsia="en-AU"/>
        </w:rPr>
      </w:pPr>
      <w:r w:rsidRPr="0017274C">
        <w:rPr>
          <w:rFonts w:eastAsia="Times New Roman" w:cs="Times New Roman"/>
          <w:color w:val="000000"/>
          <w:sz w:val="18"/>
          <w:szCs w:val="18"/>
          <w:lang w:eastAsia="en-AU"/>
        </w:rPr>
        <w:t>WA did not contribute data</w:t>
      </w:r>
    </w:p>
    <w:p w:rsidR="00FF53AC" w:rsidRPr="00FF53AC" w:rsidRDefault="00FF53AC" w:rsidP="00FF53AC">
      <w:pPr>
        <w:pStyle w:val="ListParagraph"/>
        <w:numPr>
          <w:ilvl w:val="0"/>
          <w:numId w:val="22"/>
        </w:numPr>
        <w:rPr>
          <w:rFonts w:eastAsia="Times New Roman" w:cs="Times New Roman"/>
          <w:color w:val="000000"/>
          <w:sz w:val="18"/>
          <w:szCs w:val="18"/>
          <w:lang w:eastAsia="en-AU"/>
        </w:rPr>
      </w:pPr>
      <w:r w:rsidRPr="00FF53AC">
        <w:rPr>
          <w:rFonts w:eastAsia="Times New Roman" w:cs="Times New Roman"/>
          <w:color w:val="000000"/>
          <w:sz w:val="18"/>
          <w:szCs w:val="18"/>
          <w:lang w:eastAsia="en-AU"/>
        </w:rPr>
        <w:t>All TTIs were suspected but not confirmed bacterial infections</w:t>
      </w:r>
    </w:p>
    <w:p w:rsidR="00F31A7D" w:rsidRPr="00E4119C" w:rsidRDefault="00F31A7D" w:rsidP="00EC4AF3">
      <w:pPr>
        <w:pStyle w:val="ListParagraph"/>
        <w:spacing w:after="0"/>
        <w:ind w:left="360"/>
        <w:rPr>
          <w:rFonts w:eastAsia="Times New Roman" w:cs="Times New Roman"/>
          <w:color w:val="000000"/>
          <w:sz w:val="18"/>
          <w:szCs w:val="18"/>
          <w:lang w:eastAsia="en-AU"/>
        </w:rPr>
      </w:pPr>
    </w:p>
    <w:p w:rsidR="008F2146" w:rsidRDefault="00674439" w:rsidP="00EC4AF3">
      <w:pPr>
        <w:spacing w:after="0"/>
      </w:pPr>
      <w:r>
        <w:fldChar w:fldCharType="begin"/>
      </w:r>
      <w:r>
        <w:instrText xml:space="preserve"> REF _Ref459622211 \h </w:instrText>
      </w:r>
      <w:r>
        <w:fldChar w:fldCharType="separate"/>
      </w:r>
      <w:r w:rsidR="000010BC">
        <w:t xml:space="preserve">Table </w:t>
      </w:r>
      <w:r w:rsidR="000010BC">
        <w:rPr>
          <w:noProof/>
        </w:rPr>
        <w:t>4</w:t>
      </w:r>
      <w:r>
        <w:fldChar w:fldCharType="end"/>
      </w:r>
      <w:r w:rsidR="001F50F9">
        <w:t xml:space="preserve"> details</w:t>
      </w:r>
      <w:r w:rsidR="009B4CEF">
        <w:t xml:space="preserve"> </w:t>
      </w:r>
      <w:r w:rsidR="001F50F9" w:rsidRPr="001F50F9">
        <w:t>the numbers of adverse events by blood product reported f</w:t>
      </w:r>
      <w:r w:rsidR="001F50F9">
        <w:t xml:space="preserve">or </w:t>
      </w:r>
      <w:r w:rsidR="00210321" w:rsidRPr="00210321">
        <w:t>2013–14:</w:t>
      </w:r>
    </w:p>
    <w:p w:rsidR="009B4CEF" w:rsidRDefault="008F2146" w:rsidP="0096249F">
      <w:pPr>
        <w:pStyle w:val="ListParagraph"/>
        <w:numPr>
          <w:ilvl w:val="0"/>
          <w:numId w:val="27"/>
        </w:numPr>
      </w:pPr>
      <w:r>
        <w:t>R</w:t>
      </w:r>
      <w:r w:rsidRPr="008F2146">
        <w:t>ed blood cells were the products most often im</w:t>
      </w:r>
      <w:r>
        <w:t xml:space="preserve">plicated in adverse events for </w:t>
      </w:r>
      <w:r w:rsidRPr="008F2146">
        <w:t>2013–</w:t>
      </w:r>
      <w:r w:rsidR="001F50F9" w:rsidRPr="008F2146">
        <w:t>14</w:t>
      </w:r>
      <w:r w:rsidR="001F50F9">
        <w:t>,</w:t>
      </w:r>
      <w:r w:rsidRPr="008F2146">
        <w:t xml:space="preserve"> accounting for 7</w:t>
      </w:r>
      <w:r>
        <w:t>0</w:t>
      </w:r>
      <w:r w:rsidRPr="008F2146">
        <w:t>.</w:t>
      </w:r>
      <w:r w:rsidR="00004E50">
        <w:t>7</w:t>
      </w:r>
      <w:r w:rsidRPr="008F2146">
        <w:t>% of the reports</w:t>
      </w:r>
      <w:r>
        <w:t>, followed by platelets (18.0%) and fresh frozen plasma (10.</w:t>
      </w:r>
      <w:r w:rsidR="002638EF">
        <w:t>4</w:t>
      </w:r>
      <w:r>
        <w:t>%).</w:t>
      </w:r>
    </w:p>
    <w:p w:rsidR="008F2146" w:rsidRDefault="008F2146" w:rsidP="0096249F">
      <w:pPr>
        <w:pStyle w:val="ListParagraph"/>
        <w:numPr>
          <w:ilvl w:val="0"/>
          <w:numId w:val="27"/>
        </w:numPr>
      </w:pPr>
      <w:r w:rsidRPr="008F2146">
        <w:t>Only a very small proportion of adverse events were related to the transfusion</w:t>
      </w:r>
      <w:r w:rsidR="00702F80">
        <w:t xml:space="preserve"> of </w:t>
      </w:r>
      <w:r w:rsidRPr="008F2146">
        <w:t xml:space="preserve">cryoprecipitate and </w:t>
      </w:r>
      <w:proofErr w:type="spellStart"/>
      <w:r w:rsidRPr="008F2146">
        <w:t>cryodepleted</w:t>
      </w:r>
      <w:proofErr w:type="spellEnd"/>
      <w:r w:rsidRPr="008F2146">
        <w:t xml:space="preserve"> plasma.</w:t>
      </w:r>
    </w:p>
    <w:p w:rsidR="007078D5" w:rsidRDefault="007078D5" w:rsidP="007078D5">
      <w:pPr>
        <w:spacing w:after="0"/>
      </w:pPr>
      <w:r w:rsidRPr="00FE6DFD">
        <w:fldChar w:fldCharType="begin"/>
      </w:r>
      <w:r w:rsidRPr="00FE6DFD">
        <w:instrText xml:space="preserve"> REF _Ref450820446 \h  \* MERGEFORMAT </w:instrText>
      </w:r>
      <w:r w:rsidRPr="00FE6DFD">
        <w:fldChar w:fldCharType="separate"/>
      </w:r>
      <w:r w:rsidR="000010BC" w:rsidRPr="000010BC">
        <w:rPr>
          <w:noProof/>
        </w:rPr>
        <w:t>Table</w:t>
      </w:r>
      <w:r w:rsidR="000010BC" w:rsidRPr="000010BC">
        <w:rPr>
          <w:bCs/>
        </w:rPr>
        <w:t xml:space="preserve"> </w:t>
      </w:r>
      <w:r w:rsidR="000010BC" w:rsidRPr="000010BC">
        <w:rPr>
          <w:bCs/>
          <w:noProof/>
        </w:rPr>
        <w:t>5</w:t>
      </w:r>
      <w:r w:rsidRPr="00FE6DFD">
        <w:fldChar w:fldCharType="end"/>
      </w:r>
      <w:r w:rsidRPr="00FE6DFD">
        <w:t xml:space="preserve"> details the nu</w:t>
      </w:r>
      <w:r>
        <w:t xml:space="preserve">mber of </w:t>
      </w:r>
      <w:r w:rsidRPr="00210321">
        <w:t>reported adverse events</w:t>
      </w:r>
      <w:r>
        <w:t xml:space="preserve"> by</w:t>
      </w:r>
      <w:r w:rsidRPr="00210321">
        <w:t xml:space="preserve"> </w:t>
      </w:r>
      <w:r>
        <w:t>c</w:t>
      </w:r>
      <w:r w:rsidRPr="00210321">
        <w:t>linical outcome severity for</w:t>
      </w:r>
      <w:r>
        <w:t xml:space="preserve"> </w:t>
      </w:r>
      <w:r w:rsidRPr="00210321">
        <w:t>2013–14</w:t>
      </w:r>
      <w:r>
        <w:t>:</w:t>
      </w:r>
    </w:p>
    <w:p w:rsidR="007078D5" w:rsidRDefault="007078D5" w:rsidP="007078D5">
      <w:pPr>
        <w:pStyle w:val="ListParagraph"/>
        <w:numPr>
          <w:ilvl w:val="0"/>
          <w:numId w:val="28"/>
        </w:numPr>
      </w:pPr>
      <w:r>
        <w:t xml:space="preserve">No deaths were reported in </w:t>
      </w:r>
      <w:r w:rsidRPr="001F50F9">
        <w:t>2013–14</w:t>
      </w:r>
      <w:r>
        <w:t>.</w:t>
      </w:r>
    </w:p>
    <w:p w:rsidR="007078D5" w:rsidRDefault="007078D5" w:rsidP="007078D5">
      <w:pPr>
        <w:pStyle w:val="ListParagraph"/>
        <w:numPr>
          <w:ilvl w:val="0"/>
          <w:numId w:val="28"/>
        </w:numPr>
      </w:pPr>
      <w:r>
        <w:t>4.5% of events were classified as life-threatening which means the patient may have required major intervention following the transfusion such as vasopressors, intubation and/or intensive care.</w:t>
      </w:r>
    </w:p>
    <w:p w:rsidR="007078D5" w:rsidRDefault="007078D5" w:rsidP="007078D5">
      <w:pPr>
        <w:pStyle w:val="ListParagraph"/>
        <w:numPr>
          <w:ilvl w:val="0"/>
          <w:numId w:val="28"/>
        </w:numPr>
      </w:pPr>
      <w:r>
        <w:t>4.5% of events were classified as severe morbidity which means the patient may have required hospitalisation or prolongation of hospitalisation as a result of the event.</w:t>
      </w:r>
    </w:p>
    <w:p w:rsidR="007078D5" w:rsidRDefault="007078D5" w:rsidP="007078D5">
      <w:pPr>
        <w:pStyle w:val="ListParagraph"/>
        <w:numPr>
          <w:ilvl w:val="0"/>
          <w:numId w:val="28"/>
        </w:numPr>
      </w:pPr>
      <w:r>
        <w:t>74.2% of reported events were classified as minor morbidity which means the patient may have required medical intervention but had no permanent damage or impairment of a body function.</w:t>
      </w:r>
    </w:p>
    <w:p w:rsidR="007078D5" w:rsidRDefault="007078D5" w:rsidP="007078D5">
      <w:pPr>
        <w:pStyle w:val="ListParagraph"/>
        <w:numPr>
          <w:ilvl w:val="0"/>
          <w:numId w:val="28"/>
        </w:numPr>
      </w:pPr>
      <w:r>
        <w:t>13.0% of events were classified as no morbidity which means there were no ill/clinical effects to the patient.</w:t>
      </w:r>
    </w:p>
    <w:p w:rsidR="008B79C6" w:rsidRDefault="008B79C6">
      <w:pPr>
        <w:spacing w:line="276" w:lineRule="auto"/>
        <w:rPr>
          <w:b/>
          <w:bCs/>
          <w:sz w:val="18"/>
          <w:szCs w:val="18"/>
        </w:rPr>
      </w:pPr>
      <w:r>
        <w:br w:type="page"/>
      </w:r>
    </w:p>
    <w:p w:rsidR="00BF34C1" w:rsidRDefault="00BF34C1" w:rsidP="00BF34C1">
      <w:pPr>
        <w:pStyle w:val="Caption"/>
        <w:keepNext/>
      </w:pPr>
      <w:bookmarkStart w:id="35" w:name="_Ref459622211"/>
      <w:bookmarkStart w:id="36" w:name="_Toc459636844"/>
      <w:r>
        <w:lastRenderedPageBreak/>
        <w:t xml:space="preserve">Table </w:t>
      </w:r>
      <w:fldSimple w:instr=" SEQ Table \* ARABIC ">
        <w:r w:rsidR="000010BC">
          <w:rPr>
            <w:noProof/>
          </w:rPr>
          <w:t>4</w:t>
        </w:r>
      </w:fldSimple>
      <w:bookmarkEnd w:id="35"/>
      <w:r>
        <w:t>: A</w:t>
      </w:r>
      <w:r w:rsidRPr="003068BB">
        <w:t>dverse events by blood product, 201</w:t>
      </w:r>
      <w:r>
        <w:t>3</w:t>
      </w:r>
      <w:r w:rsidRPr="003068BB">
        <w:t>–1</w:t>
      </w:r>
      <w:r>
        <w:t>4</w:t>
      </w:r>
      <w:bookmarkEnd w:id="36"/>
    </w:p>
    <w:tbl>
      <w:tblPr>
        <w:tblW w:w="8500" w:type="dxa"/>
        <w:tblInd w:w="108" w:type="dxa"/>
        <w:tblLook w:val="04A0" w:firstRow="1" w:lastRow="0" w:firstColumn="1" w:lastColumn="0" w:noHBand="0" w:noVBand="1"/>
      </w:tblPr>
      <w:tblGrid>
        <w:gridCol w:w="1780"/>
        <w:gridCol w:w="960"/>
        <w:gridCol w:w="960"/>
        <w:gridCol w:w="960"/>
        <w:gridCol w:w="960"/>
        <w:gridCol w:w="960"/>
        <w:gridCol w:w="960"/>
        <w:gridCol w:w="960"/>
      </w:tblGrid>
      <w:tr w:rsidR="00BF34C1" w:rsidRPr="00591DDA" w:rsidTr="00BF34C1">
        <w:trPr>
          <w:trHeight w:val="1455"/>
        </w:trPr>
        <w:tc>
          <w:tcPr>
            <w:tcW w:w="1780" w:type="dxa"/>
            <w:tcBorders>
              <w:top w:val="nil"/>
              <w:left w:val="nil"/>
              <w:bottom w:val="nil"/>
              <w:right w:val="nil"/>
            </w:tcBorders>
            <w:shd w:val="clear" w:color="000000" w:fill="FF0000"/>
            <w:vAlign w:val="bottom"/>
            <w:hideMark/>
          </w:tcPr>
          <w:p w:rsidR="00BF34C1" w:rsidRPr="00591DDA" w:rsidRDefault="00BF34C1" w:rsidP="00BF34C1">
            <w:pPr>
              <w:spacing w:after="4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Adverse event</w:t>
            </w:r>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Red blood cells</w:t>
            </w:r>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Platelets</w:t>
            </w:r>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Fresh frozen</w:t>
            </w:r>
            <w:r w:rsidR="008E0351">
              <w:rPr>
                <w:rFonts w:eastAsia="Times New Roman" w:cs="Times New Roman"/>
                <w:b/>
                <w:bCs/>
                <w:color w:val="FFFFFF"/>
                <w:sz w:val="20"/>
                <w:szCs w:val="20"/>
                <w:lang w:eastAsia="en-AU"/>
              </w:rPr>
              <w:t xml:space="preserve"> plasma</w:t>
            </w:r>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w:t>
            </w:r>
            <w:proofErr w:type="spellStart"/>
            <w:r w:rsidRPr="00591DDA">
              <w:rPr>
                <w:rFonts w:eastAsia="Times New Roman" w:cs="Times New Roman"/>
                <w:b/>
                <w:bCs/>
                <w:color w:val="FFFFFF"/>
                <w:sz w:val="20"/>
                <w:szCs w:val="20"/>
                <w:lang w:eastAsia="en-AU"/>
              </w:rPr>
              <w:t>Cryodepleted</w:t>
            </w:r>
            <w:proofErr w:type="spellEnd"/>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Cryoprecipitate</w:t>
            </w:r>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Unknown </w:t>
            </w:r>
          </w:p>
        </w:tc>
        <w:tc>
          <w:tcPr>
            <w:tcW w:w="960" w:type="dxa"/>
            <w:tcBorders>
              <w:top w:val="nil"/>
              <w:left w:val="nil"/>
              <w:bottom w:val="nil"/>
              <w:right w:val="nil"/>
            </w:tcBorders>
            <w:shd w:val="clear" w:color="000000" w:fill="FF0000"/>
            <w:textDirection w:val="btLr"/>
            <w:vAlign w:val="bottom"/>
            <w:hideMark/>
          </w:tcPr>
          <w:p w:rsidR="00BF34C1" w:rsidRPr="00591DDA" w:rsidRDefault="00BF34C1" w:rsidP="00287A0C">
            <w:pPr>
              <w:spacing w:after="0"/>
              <w:rPr>
                <w:rFonts w:eastAsia="Times New Roman" w:cs="Times New Roman"/>
                <w:b/>
                <w:bCs/>
                <w:color w:val="FFFFFF"/>
                <w:sz w:val="20"/>
                <w:szCs w:val="20"/>
                <w:lang w:eastAsia="en-AU"/>
              </w:rPr>
            </w:pPr>
            <w:r w:rsidRPr="00591DDA">
              <w:rPr>
                <w:rFonts w:eastAsia="Times New Roman" w:cs="Times New Roman"/>
                <w:b/>
                <w:bCs/>
                <w:color w:val="FFFFFF"/>
                <w:sz w:val="20"/>
                <w:szCs w:val="20"/>
                <w:lang w:eastAsia="en-AU"/>
              </w:rPr>
              <w:t xml:space="preserve"> Total</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FNHTR</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306</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22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7</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337</w:t>
            </w:r>
          </w:p>
        </w:tc>
      </w:tr>
      <w:tr w:rsidR="00BF34C1" w:rsidRPr="00591DDA" w:rsidTr="00BA4AE7">
        <w:trPr>
          <w:trHeight w:val="317"/>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Allergic reaction</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45</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52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45</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144</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IBCT</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22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5</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5</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33</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TACO</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26</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28</w:t>
            </w:r>
          </w:p>
        </w:tc>
      </w:tr>
      <w:tr w:rsidR="00ED4883" w:rsidRPr="00591DDA" w:rsidTr="00BF03B3">
        <w:trPr>
          <w:trHeight w:val="315"/>
        </w:trPr>
        <w:tc>
          <w:tcPr>
            <w:tcW w:w="178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 xml:space="preserve">TTI </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sz w:val="20"/>
                <w:szCs w:val="20"/>
                <w:lang w:eastAsia="en-AU"/>
              </w:rPr>
            </w:pPr>
            <w:r w:rsidRPr="00591DDA">
              <w:rPr>
                <w:rFonts w:eastAsia="Times New Roman" w:cs="Times New Roman"/>
                <w:sz w:val="20"/>
                <w:szCs w:val="20"/>
                <w:lang w:eastAsia="en-AU"/>
              </w:rPr>
              <w:t>8</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sz w:val="20"/>
                <w:szCs w:val="20"/>
                <w:lang w:eastAsia="en-AU"/>
              </w:rPr>
            </w:pPr>
            <w:r w:rsidRPr="00591DDA">
              <w:rPr>
                <w:rFonts w:eastAsia="Times New Roman" w:cs="Times New Roman"/>
                <w:sz w:val="20"/>
                <w:szCs w:val="20"/>
                <w:lang w:eastAsia="en-AU"/>
              </w:rPr>
              <w:t>19</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ED4883" w:rsidRPr="00591DDA" w:rsidRDefault="00ED4883" w:rsidP="00BF03B3">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27</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Anaphylactic</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7</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8</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4</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19</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DHTR</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12</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AHTR</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7</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8</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PTP</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6</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color w:val="000000"/>
                <w:sz w:val="20"/>
                <w:szCs w:val="20"/>
                <w:lang w:eastAsia="en-AU"/>
              </w:rPr>
            </w:pPr>
            <w:r w:rsidRPr="00591DDA">
              <w:rPr>
                <w:rFonts w:eastAsia="Times New Roman" w:cs="Times New Roman"/>
                <w:color w:val="000000"/>
                <w:sz w:val="20"/>
                <w:szCs w:val="20"/>
                <w:lang w:eastAsia="en-AU"/>
              </w:rPr>
              <w:t>TRALI</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3</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sz w:val="20"/>
                <w:szCs w:val="20"/>
                <w:lang w:eastAsia="en-AU"/>
              </w:rPr>
            </w:pPr>
            <w:r w:rsidRPr="00591DDA">
              <w:rPr>
                <w:rFonts w:eastAsia="Times New Roman" w:cs="Times New Roman"/>
                <w:sz w:val="20"/>
                <w:szCs w:val="20"/>
                <w:lang w:eastAsia="en-AU"/>
              </w:rPr>
              <w:t>0</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color w:val="000000"/>
                <w:sz w:val="20"/>
                <w:szCs w:val="20"/>
                <w:lang w:eastAsia="en-AU"/>
              </w:rPr>
            </w:pPr>
            <w:r w:rsidRPr="00591DDA">
              <w:rPr>
                <w:rFonts w:eastAsia="Times New Roman" w:cs="Times New Roman"/>
                <w:color w:val="000000"/>
                <w:sz w:val="20"/>
                <w:szCs w:val="20"/>
                <w:lang w:eastAsia="en-AU"/>
              </w:rPr>
              <w:t>3</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Total</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436</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111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64</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3</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1</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2</w:t>
            </w:r>
          </w:p>
        </w:tc>
        <w:tc>
          <w:tcPr>
            <w:tcW w:w="96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jc w:val="right"/>
              <w:rPr>
                <w:rFonts w:eastAsia="Times New Roman" w:cs="Times New Roman"/>
                <w:b/>
                <w:bCs/>
                <w:sz w:val="20"/>
                <w:szCs w:val="20"/>
                <w:lang w:eastAsia="en-AU"/>
              </w:rPr>
            </w:pPr>
            <w:r w:rsidRPr="00591DDA">
              <w:rPr>
                <w:rFonts w:eastAsia="Times New Roman" w:cs="Times New Roman"/>
                <w:b/>
                <w:bCs/>
                <w:sz w:val="20"/>
                <w:szCs w:val="20"/>
                <w:lang w:eastAsia="en-AU"/>
              </w:rPr>
              <w:t>617</w:t>
            </w:r>
          </w:p>
        </w:tc>
      </w:tr>
      <w:tr w:rsidR="00BF34C1" w:rsidRPr="00591DDA" w:rsidTr="00BA4AE7">
        <w:trPr>
          <w:trHeight w:val="315"/>
        </w:trPr>
        <w:tc>
          <w:tcPr>
            <w:tcW w:w="1780" w:type="dxa"/>
            <w:tcBorders>
              <w:top w:val="nil"/>
              <w:left w:val="nil"/>
              <w:bottom w:val="single" w:sz="8" w:space="0" w:color="000000"/>
              <w:right w:val="nil"/>
            </w:tcBorders>
            <w:shd w:val="clear" w:color="auto" w:fill="auto"/>
            <w:vAlign w:val="center"/>
            <w:hideMark/>
          </w:tcPr>
          <w:p w:rsidR="00BF34C1" w:rsidRPr="00591DDA" w:rsidRDefault="00BF34C1" w:rsidP="00BA4AE7">
            <w:pPr>
              <w:spacing w:after="0"/>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Per cent</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70.7%</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18.0%</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10.4%</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0.5%</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0.2%</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0.3%</w:t>
            </w:r>
          </w:p>
        </w:tc>
        <w:tc>
          <w:tcPr>
            <w:tcW w:w="960" w:type="dxa"/>
            <w:tcBorders>
              <w:top w:val="nil"/>
              <w:left w:val="nil"/>
              <w:bottom w:val="single" w:sz="8" w:space="0" w:color="000000"/>
              <w:right w:val="nil"/>
            </w:tcBorders>
            <w:shd w:val="clear" w:color="auto" w:fill="auto"/>
            <w:noWrap/>
            <w:vAlign w:val="center"/>
            <w:hideMark/>
          </w:tcPr>
          <w:p w:rsidR="00BF34C1" w:rsidRPr="00591DDA" w:rsidRDefault="00BF34C1" w:rsidP="00BA4AE7">
            <w:pPr>
              <w:spacing w:after="0"/>
              <w:jc w:val="right"/>
              <w:rPr>
                <w:rFonts w:eastAsia="Times New Roman" w:cs="Times New Roman"/>
                <w:b/>
                <w:bCs/>
                <w:color w:val="000000"/>
                <w:sz w:val="20"/>
                <w:szCs w:val="20"/>
                <w:lang w:eastAsia="en-AU"/>
              </w:rPr>
            </w:pPr>
            <w:r w:rsidRPr="00591DDA">
              <w:rPr>
                <w:rFonts w:eastAsia="Times New Roman" w:cs="Times New Roman"/>
                <w:b/>
                <w:bCs/>
                <w:color w:val="000000"/>
                <w:sz w:val="20"/>
                <w:szCs w:val="20"/>
                <w:lang w:eastAsia="en-AU"/>
              </w:rPr>
              <w:t>100.0%</w:t>
            </w:r>
          </w:p>
        </w:tc>
      </w:tr>
    </w:tbl>
    <w:p w:rsidR="00BF34C1" w:rsidRPr="0072498E" w:rsidRDefault="00BF34C1" w:rsidP="00BF34C1">
      <w:pPr>
        <w:spacing w:after="0"/>
        <w:rPr>
          <w:rFonts w:eastAsia="Times New Roman" w:cs="Times New Roman"/>
          <w:color w:val="000000"/>
          <w:sz w:val="18"/>
          <w:szCs w:val="18"/>
          <w:lang w:eastAsia="en-AU"/>
        </w:rPr>
      </w:pPr>
      <w:r w:rsidRPr="0072498E">
        <w:rPr>
          <w:rFonts w:eastAsia="Times New Roman" w:cs="Times New Roman"/>
          <w:color w:val="000000"/>
          <w:sz w:val="18"/>
          <w:szCs w:val="18"/>
          <w:lang w:eastAsia="en-AU"/>
        </w:rPr>
        <w:t>Notes</w:t>
      </w:r>
    </w:p>
    <w:p w:rsidR="00BF34C1" w:rsidRPr="0072498E" w:rsidRDefault="00BF34C1" w:rsidP="00BF34C1">
      <w:pPr>
        <w:pStyle w:val="ListParagraph"/>
        <w:numPr>
          <w:ilvl w:val="0"/>
          <w:numId w:val="23"/>
        </w:numPr>
        <w:spacing w:after="0"/>
        <w:rPr>
          <w:rFonts w:eastAsia="Times New Roman" w:cs="Times New Roman"/>
          <w:color w:val="000000"/>
          <w:sz w:val="18"/>
          <w:szCs w:val="18"/>
          <w:lang w:eastAsia="en-AU"/>
        </w:rPr>
      </w:pPr>
      <w:r w:rsidRPr="0072498E">
        <w:rPr>
          <w:rFonts w:eastAsia="Times New Roman" w:cs="Times New Roman"/>
          <w:color w:val="000000"/>
          <w:sz w:val="18"/>
          <w:szCs w:val="18"/>
          <w:lang w:eastAsia="en-AU"/>
        </w:rPr>
        <w:t>ACT reported zero adverse events</w:t>
      </w:r>
    </w:p>
    <w:p w:rsidR="00BF34C1" w:rsidRPr="0072498E" w:rsidRDefault="00BF34C1" w:rsidP="00BF34C1">
      <w:pPr>
        <w:pStyle w:val="ListParagraph"/>
        <w:numPr>
          <w:ilvl w:val="0"/>
          <w:numId w:val="23"/>
        </w:numPr>
        <w:spacing w:after="0"/>
        <w:rPr>
          <w:rFonts w:eastAsia="Times New Roman" w:cs="Times New Roman"/>
          <w:color w:val="000000"/>
          <w:sz w:val="18"/>
          <w:szCs w:val="18"/>
          <w:lang w:eastAsia="en-AU"/>
        </w:rPr>
      </w:pPr>
      <w:r w:rsidRPr="0072498E">
        <w:rPr>
          <w:rFonts w:eastAsia="Times New Roman" w:cs="Times New Roman"/>
          <w:color w:val="000000"/>
          <w:sz w:val="18"/>
          <w:szCs w:val="18"/>
          <w:lang w:eastAsia="en-AU"/>
        </w:rPr>
        <w:t>WA did not contribute data</w:t>
      </w:r>
    </w:p>
    <w:p w:rsidR="00FF53AC" w:rsidRPr="00FF53AC" w:rsidRDefault="00FF53AC" w:rsidP="00FF53AC">
      <w:pPr>
        <w:pStyle w:val="ListParagraph"/>
        <w:numPr>
          <w:ilvl w:val="0"/>
          <w:numId w:val="23"/>
        </w:numPr>
        <w:rPr>
          <w:rFonts w:eastAsia="Times New Roman" w:cs="Times New Roman"/>
          <w:color w:val="000000"/>
          <w:sz w:val="18"/>
          <w:szCs w:val="18"/>
          <w:lang w:eastAsia="en-AU"/>
        </w:rPr>
      </w:pPr>
      <w:r w:rsidRPr="00FF53AC">
        <w:rPr>
          <w:rFonts w:eastAsia="Times New Roman" w:cs="Times New Roman"/>
          <w:color w:val="000000"/>
          <w:sz w:val="18"/>
          <w:szCs w:val="18"/>
          <w:lang w:eastAsia="en-AU"/>
        </w:rPr>
        <w:t>All TTIs were suspected but not confirmed bacterial infections</w:t>
      </w:r>
    </w:p>
    <w:p w:rsidR="005C6BAE" w:rsidRPr="007078D5" w:rsidRDefault="0016598A" w:rsidP="008B79C6">
      <w:pPr>
        <w:spacing w:line="276" w:lineRule="auto"/>
        <w:rPr>
          <w:b/>
          <w:bCs/>
          <w:sz w:val="18"/>
          <w:szCs w:val="18"/>
        </w:rPr>
      </w:pPr>
      <w:bookmarkStart w:id="37" w:name="_Ref450820446"/>
      <w:bookmarkStart w:id="38" w:name="_Toc459636845"/>
      <w:r w:rsidRPr="007078D5">
        <w:rPr>
          <w:b/>
          <w:bCs/>
          <w:sz w:val="18"/>
          <w:szCs w:val="18"/>
        </w:rPr>
        <w:t xml:space="preserve">Table </w:t>
      </w:r>
      <w:r w:rsidR="00837992" w:rsidRPr="007078D5">
        <w:rPr>
          <w:b/>
          <w:bCs/>
          <w:sz w:val="18"/>
          <w:szCs w:val="18"/>
        </w:rPr>
        <w:fldChar w:fldCharType="begin"/>
      </w:r>
      <w:r w:rsidR="00837992" w:rsidRPr="007078D5">
        <w:rPr>
          <w:b/>
          <w:bCs/>
          <w:sz w:val="18"/>
          <w:szCs w:val="18"/>
        </w:rPr>
        <w:instrText xml:space="preserve"> SEQ Table \* ARABIC </w:instrText>
      </w:r>
      <w:r w:rsidR="00837992" w:rsidRPr="007078D5">
        <w:rPr>
          <w:b/>
          <w:bCs/>
          <w:sz w:val="18"/>
          <w:szCs w:val="18"/>
        </w:rPr>
        <w:fldChar w:fldCharType="separate"/>
      </w:r>
      <w:r w:rsidR="000010BC">
        <w:rPr>
          <w:b/>
          <w:bCs/>
          <w:noProof/>
          <w:sz w:val="18"/>
          <w:szCs w:val="18"/>
        </w:rPr>
        <w:t>5</w:t>
      </w:r>
      <w:r w:rsidR="00837992" w:rsidRPr="007078D5">
        <w:rPr>
          <w:b/>
          <w:bCs/>
          <w:sz w:val="18"/>
          <w:szCs w:val="18"/>
        </w:rPr>
        <w:fldChar w:fldCharType="end"/>
      </w:r>
      <w:bookmarkEnd w:id="37"/>
      <w:r w:rsidRPr="007078D5">
        <w:rPr>
          <w:b/>
          <w:bCs/>
          <w:sz w:val="18"/>
          <w:szCs w:val="18"/>
        </w:rPr>
        <w:t xml:space="preserve">: </w:t>
      </w:r>
      <w:r w:rsidR="00B433DF" w:rsidRPr="007078D5">
        <w:rPr>
          <w:b/>
          <w:bCs/>
          <w:sz w:val="18"/>
          <w:szCs w:val="18"/>
        </w:rPr>
        <w:t>Adverse</w:t>
      </w:r>
      <w:r w:rsidRPr="007078D5">
        <w:rPr>
          <w:b/>
          <w:bCs/>
          <w:sz w:val="18"/>
          <w:szCs w:val="18"/>
        </w:rPr>
        <w:t xml:space="preserve"> events by clinical</w:t>
      </w:r>
      <w:r w:rsidR="000E21BE" w:rsidRPr="007078D5">
        <w:rPr>
          <w:b/>
          <w:bCs/>
          <w:sz w:val="18"/>
          <w:szCs w:val="18"/>
        </w:rPr>
        <w:t xml:space="preserve"> outcome severity</w:t>
      </w:r>
      <w:r w:rsidRPr="007078D5">
        <w:rPr>
          <w:b/>
          <w:bCs/>
          <w:sz w:val="18"/>
          <w:szCs w:val="18"/>
        </w:rPr>
        <w:t>, 2013–14</w:t>
      </w:r>
      <w:bookmarkEnd w:id="38"/>
    </w:p>
    <w:tbl>
      <w:tblPr>
        <w:tblW w:w="9526" w:type="dxa"/>
        <w:tblInd w:w="93" w:type="dxa"/>
        <w:tblBorders>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1716"/>
        <w:gridCol w:w="994"/>
        <w:gridCol w:w="1237"/>
        <w:gridCol w:w="1116"/>
        <w:gridCol w:w="1116"/>
        <w:gridCol w:w="1116"/>
        <w:gridCol w:w="1379"/>
        <w:gridCol w:w="852"/>
      </w:tblGrid>
      <w:tr w:rsidR="005C6BAE" w:rsidRPr="003068BB" w:rsidTr="00940C5B">
        <w:trPr>
          <w:cantSplit/>
          <w:trHeight w:hRule="exact" w:val="1411"/>
        </w:trPr>
        <w:tc>
          <w:tcPr>
            <w:tcW w:w="1716" w:type="dxa"/>
            <w:tcBorders>
              <w:top w:val="nil"/>
              <w:bottom w:val="nil"/>
            </w:tcBorders>
            <w:shd w:val="clear" w:color="auto" w:fill="FF0000"/>
            <w:tcMar>
              <w:top w:w="0" w:type="dxa"/>
              <w:left w:w="108" w:type="dxa"/>
              <w:bottom w:w="0" w:type="dxa"/>
              <w:right w:w="108" w:type="dxa"/>
            </w:tcMar>
            <w:vAlign w:val="bottom"/>
            <w:hideMark/>
          </w:tcPr>
          <w:p w:rsidR="005C6BAE" w:rsidRPr="0016598A" w:rsidRDefault="005C6BAE" w:rsidP="00BF34C1">
            <w:pPr>
              <w:spacing w:after="80"/>
              <w:rPr>
                <w:rFonts w:eastAsia="Calibri"/>
                <w:b/>
                <w:bCs/>
                <w:color w:val="FFFFFF"/>
                <w:sz w:val="20"/>
                <w:szCs w:val="20"/>
                <w:lang w:eastAsia="en-AU"/>
              </w:rPr>
            </w:pPr>
            <w:r w:rsidRPr="0016598A">
              <w:rPr>
                <w:rFonts w:eastAsia="Calibri"/>
                <w:b/>
                <w:bCs/>
                <w:color w:val="FFFFFF"/>
                <w:sz w:val="20"/>
                <w:szCs w:val="20"/>
                <w:lang w:eastAsia="en-AU"/>
              </w:rPr>
              <w:t>Adverse</w:t>
            </w:r>
            <w:r w:rsidR="00BF34C1">
              <w:rPr>
                <w:rFonts w:eastAsia="Calibri"/>
                <w:b/>
                <w:bCs/>
                <w:color w:val="FFFFFF"/>
                <w:sz w:val="20"/>
                <w:szCs w:val="20"/>
                <w:lang w:eastAsia="en-AU"/>
              </w:rPr>
              <w:t xml:space="preserve"> </w:t>
            </w:r>
            <w:r w:rsidRPr="0016598A">
              <w:rPr>
                <w:rFonts w:eastAsia="Calibri"/>
                <w:b/>
                <w:bCs/>
                <w:color w:val="FFFFFF"/>
                <w:sz w:val="20"/>
                <w:szCs w:val="20"/>
                <w:lang w:eastAsia="en-AU"/>
              </w:rPr>
              <w:t>event</w:t>
            </w:r>
          </w:p>
        </w:tc>
        <w:tc>
          <w:tcPr>
            <w:tcW w:w="994" w:type="dxa"/>
            <w:tcBorders>
              <w:top w:val="nil"/>
              <w:bottom w:val="nil"/>
            </w:tcBorders>
            <w:shd w:val="clear" w:color="auto" w:fill="FF0000"/>
            <w:tcMar>
              <w:top w:w="0" w:type="dxa"/>
              <w:left w:w="108" w:type="dxa"/>
              <w:bottom w:w="0" w:type="dxa"/>
              <w:right w:w="108" w:type="dxa"/>
            </w:tcMar>
            <w:textDirection w:val="btLr"/>
            <w:vAlign w:val="bottom"/>
            <w:hideMark/>
          </w:tcPr>
          <w:p w:rsidR="005C6BAE" w:rsidRPr="005C6BAE" w:rsidRDefault="005C6BAE" w:rsidP="003E508B">
            <w:pPr>
              <w:spacing w:after="0"/>
              <w:ind w:left="113" w:right="113"/>
              <w:rPr>
                <w:rFonts w:eastAsia="Calibri"/>
                <w:b/>
                <w:bCs/>
                <w:color w:val="FFFFFF"/>
                <w:sz w:val="20"/>
                <w:szCs w:val="20"/>
                <w:lang w:eastAsia="en-AU"/>
              </w:rPr>
            </w:pPr>
            <w:r w:rsidRPr="005C6BAE">
              <w:rPr>
                <w:rFonts w:eastAsia="Calibri"/>
                <w:b/>
                <w:bCs/>
                <w:color w:val="FFFFFF"/>
                <w:sz w:val="20"/>
                <w:szCs w:val="20"/>
                <w:lang w:eastAsia="en-AU"/>
              </w:rPr>
              <w:t>Death</w:t>
            </w:r>
          </w:p>
        </w:tc>
        <w:tc>
          <w:tcPr>
            <w:tcW w:w="1237" w:type="dxa"/>
            <w:tcBorders>
              <w:top w:val="nil"/>
              <w:bottom w:val="nil"/>
            </w:tcBorders>
            <w:shd w:val="clear" w:color="auto" w:fill="FF0000"/>
            <w:tcMar>
              <w:top w:w="0" w:type="dxa"/>
              <w:left w:w="108" w:type="dxa"/>
              <w:bottom w:w="0" w:type="dxa"/>
              <w:right w:w="108" w:type="dxa"/>
            </w:tcMar>
            <w:textDirection w:val="btLr"/>
            <w:vAlign w:val="bottom"/>
            <w:hideMark/>
          </w:tcPr>
          <w:p w:rsidR="005C6BAE" w:rsidRPr="005C6BAE" w:rsidRDefault="005C6BAE" w:rsidP="00773683">
            <w:pPr>
              <w:spacing w:after="0"/>
              <w:ind w:left="113" w:right="113"/>
              <w:rPr>
                <w:rFonts w:eastAsia="Calibri"/>
                <w:b/>
                <w:bCs/>
                <w:color w:val="FFFFFF"/>
                <w:sz w:val="20"/>
                <w:szCs w:val="20"/>
                <w:lang w:eastAsia="en-AU"/>
              </w:rPr>
            </w:pPr>
            <w:r w:rsidRPr="005C6BAE">
              <w:rPr>
                <w:rFonts w:eastAsia="Times New Roman" w:cstheme="minorHAnsi"/>
                <w:b/>
                <w:color w:val="FFFFFF" w:themeColor="background1"/>
                <w:sz w:val="20"/>
                <w:szCs w:val="20"/>
                <w:lang w:eastAsia="en-AU"/>
              </w:rPr>
              <w:t>Life</w:t>
            </w:r>
            <w:r w:rsidR="00773683">
              <w:rPr>
                <w:rFonts w:eastAsia="Times New Roman" w:cstheme="minorHAnsi"/>
                <w:b/>
                <w:color w:val="FFFFFF" w:themeColor="background1"/>
                <w:sz w:val="20"/>
                <w:szCs w:val="20"/>
                <w:lang w:eastAsia="en-AU"/>
              </w:rPr>
              <w:t>-</w:t>
            </w:r>
            <w:r w:rsidRPr="005C6BAE">
              <w:rPr>
                <w:rFonts w:eastAsia="Times New Roman" w:cstheme="minorHAnsi"/>
                <w:b/>
                <w:color w:val="FFFFFF" w:themeColor="background1"/>
                <w:sz w:val="20"/>
                <w:szCs w:val="20"/>
                <w:lang w:eastAsia="en-AU"/>
              </w:rPr>
              <w:t>threatening</w:t>
            </w:r>
          </w:p>
        </w:tc>
        <w:tc>
          <w:tcPr>
            <w:tcW w:w="1116" w:type="dxa"/>
            <w:tcBorders>
              <w:top w:val="nil"/>
              <w:bottom w:val="nil"/>
            </w:tcBorders>
            <w:shd w:val="clear" w:color="auto" w:fill="FF0000"/>
            <w:tcMar>
              <w:top w:w="0" w:type="dxa"/>
              <w:left w:w="108" w:type="dxa"/>
              <w:bottom w:w="0" w:type="dxa"/>
              <w:right w:w="108" w:type="dxa"/>
            </w:tcMar>
            <w:textDirection w:val="btLr"/>
            <w:vAlign w:val="bottom"/>
            <w:hideMark/>
          </w:tcPr>
          <w:p w:rsidR="005C6BAE" w:rsidRPr="005C6BAE" w:rsidRDefault="005C6BAE" w:rsidP="003E508B">
            <w:pPr>
              <w:spacing w:after="0"/>
              <w:ind w:left="113" w:right="113"/>
              <w:rPr>
                <w:rFonts w:eastAsia="Calibri"/>
                <w:b/>
                <w:bCs/>
                <w:color w:val="FFFFFF"/>
                <w:sz w:val="20"/>
                <w:szCs w:val="20"/>
                <w:lang w:eastAsia="en-AU"/>
              </w:rPr>
            </w:pPr>
            <w:r w:rsidRPr="005C6BAE">
              <w:rPr>
                <w:rFonts w:eastAsia="Times New Roman" w:cstheme="minorHAnsi"/>
                <w:b/>
                <w:color w:val="FFFFFF" w:themeColor="background1"/>
                <w:sz w:val="20"/>
                <w:szCs w:val="20"/>
                <w:lang w:eastAsia="en-AU"/>
              </w:rPr>
              <w:t>Severe morbidity</w:t>
            </w:r>
          </w:p>
        </w:tc>
        <w:tc>
          <w:tcPr>
            <w:tcW w:w="1116" w:type="dxa"/>
            <w:tcBorders>
              <w:top w:val="nil"/>
              <w:bottom w:val="nil"/>
            </w:tcBorders>
            <w:shd w:val="clear" w:color="auto" w:fill="FF0000"/>
            <w:tcMar>
              <w:top w:w="0" w:type="dxa"/>
              <w:left w:w="108" w:type="dxa"/>
              <w:bottom w:w="0" w:type="dxa"/>
              <w:right w:w="108" w:type="dxa"/>
            </w:tcMar>
            <w:textDirection w:val="btLr"/>
            <w:vAlign w:val="bottom"/>
            <w:hideMark/>
          </w:tcPr>
          <w:p w:rsidR="005C6BAE" w:rsidRPr="005C6BAE" w:rsidRDefault="005C6BAE" w:rsidP="009A7A23">
            <w:pPr>
              <w:spacing w:after="0"/>
              <w:ind w:left="113" w:right="113"/>
              <w:rPr>
                <w:rFonts w:eastAsia="Calibri"/>
                <w:b/>
                <w:bCs/>
                <w:color w:val="FFFFFF"/>
                <w:sz w:val="20"/>
                <w:szCs w:val="20"/>
                <w:lang w:eastAsia="en-AU"/>
              </w:rPr>
            </w:pPr>
            <w:r w:rsidRPr="005C6BAE">
              <w:rPr>
                <w:rFonts w:eastAsia="Calibri"/>
                <w:b/>
                <w:bCs/>
                <w:color w:val="FFFFFF"/>
                <w:sz w:val="20"/>
                <w:szCs w:val="20"/>
                <w:lang w:eastAsia="en-AU"/>
              </w:rPr>
              <w:t>Minor morbidity</w:t>
            </w:r>
          </w:p>
        </w:tc>
        <w:tc>
          <w:tcPr>
            <w:tcW w:w="1116" w:type="dxa"/>
            <w:tcBorders>
              <w:top w:val="nil"/>
              <w:bottom w:val="nil"/>
            </w:tcBorders>
            <w:shd w:val="clear" w:color="auto" w:fill="FF0000"/>
            <w:tcMar>
              <w:top w:w="0" w:type="dxa"/>
              <w:left w:w="108" w:type="dxa"/>
              <w:bottom w:w="0" w:type="dxa"/>
              <w:right w:w="108" w:type="dxa"/>
            </w:tcMar>
            <w:textDirection w:val="btLr"/>
            <w:vAlign w:val="bottom"/>
            <w:hideMark/>
          </w:tcPr>
          <w:p w:rsidR="005C6BAE" w:rsidRPr="005C6BAE" w:rsidRDefault="005C6BAE" w:rsidP="003E508B">
            <w:pPr>
              <w:spacing w:after="0"/>
              <w:ind w:left="113" w:right="113"/>
              <w:rPr>
                <w:rFonts w:eastAsia="Calibri"/>
                <w:b/>
                <w:bCs/>
                <w:color w:val="FFFFFF"/>
                <w:sz w:val="20"/>
                <w:szCs w:val="20"/>
                <w:lang w:eastAsia="en-AU"/>
              </w:rPr>
            </w:pPr>
            <w:r w:rsidRPr="005C6BAE">
              <w:rPr>
                <w:rFonts w:eastAsia="Times New Roman" w:cstheme="minorHAnsi"/>
                <w:b/>
                <w:color w:val="FFFFFF" w:themeColor="background1"/>
                <w:sz w:val="20"/>
                <w:szCs w:val="20"/>
                <w:lang w:eastAsia="en-AU"/>
              </w:rPr>
              <w:t>No morbidity</w:t>
            </w:r>
          </w:p>
        </w:tc>
        <w:tc>
          <w:tcPr>
            <w:tcW w:w="1379" w:type="dxa"/>
            <w:tcBorders>
              <w:top w:val="nil"/>
              <w:bottom w:val="nil"/>
            </w:tcBorders>
            <w:shd w:val="clear" w:color="auto" w:fill="FF0000"/>
            <w:tcMar>
              <w:top w:w="0" w:type="dxa"/>
              <w:left w:w="108" w:type="dxa"/>
              <w:bottom w:w="0" w:type="dxa"/>
              <w:right w:w="108" w:type="dxa"/>
            </w:tcMar>
            <w:textDirection w:val="btLr"/>
            <w:vAlign w:val="bottom"/>
            <w:hideMark/>
          </w:tcPr>
          <w:p w:rsidR="005C6BAE" w:rsidRPr="005C6BAE" w:rsidRDefault="005C6BAE" w:rsidP="003E508B">
            <w:pPr>
              <w:spacing w:after="0"/>
              <w:ind w:left="113" w:right="113"/>
              <w:rPr>
                <w:rFonts w:eastAsia="Calibri"/>
                <w:b/>
                <w:bCs/>
                <w:color w:val="FFFFFF"/>
                <w:sz w:val="20"/>
                <w:szCs w:val="20"/>
                <w:lang w:eastAsia="en-AU"/>
              </w:rPr>
            </w:pPr>
            <w:r w:rsidRPr="005C6BAE">
              <w:rPr>
                <w:rFonts w:eastAsia="Times New Roman" w:cstheme="minorHAnsi"/>
                <w:b/>
                <w:color w:val="FFFFFF" w:themeColor="background1"/>
                <w:sz w:val="20"/>
                <w:szCs w:val="20"/>
                <w:lang w:eastAsia="en-AU"/>
              </w:rPr>
              <w:t>Outcome not available</w:t>
            </w:r>
          </w:p>
        </w:tc>
        <w:tc>
          <w:tcPr>
            <w:tcW w:w="852" w:type="dxa"/>
            <w:tcBorders>
              <w:top w:val="nil"/>
              <w:bottom w:val="nil"/>
            </w:tcBorders>
            <w:shd w:val="clear" w:color="auto" w:fill="FF0000"/>
            <w:textDirection w:val="btLr"/>
            <w:vAlign w:val="bottom"/>
          </w:tcPr>
          <w:p w:rsidR="005C6BAE" w:rsidRPr="005C6BAE" w:rsidRDefault="005C6BAE" w:rsidP="003E508B">
            <w:pPr>
              <w:spacing w:after="0"/>
              <w:ind w:left="113" w:right="113"/>
              <w:rPr>
                <w:rFonts w:eastAsia="Times New Roman" w:cstheme="minorHAnsi"/>
                <w:b/>
                <w:color w:val="FFFFFF" w:themeColor="background1"/>
                <w:sz w:val="20"/>
                <w:szCs w:val="20"/>
                <w:lang w:eastAsia="en-AU"/>
              </w:rPr>
            </w:pPr>
            <w:r>
              <w:rPr>
                <w:rFonts w:eastAsia="Times New Roman" w:cstheme="minorHAnsi"/>
                <w:b/>
                <w:color w:val="FFFFFF" w:themeColor="background1"/>
                <w:sz w:val="20"/>
                <w:szCs w:val="20"/>
                <w:lang w:eastAsia="en-AU"/>
              </w:rPr>
              <w:t>Total</w:t>
            </w:r>
          </w:p>
        </w:tc>
      </w:tr>
      <w:tr w:rsidR="008C7546" w:rsidRPr="00B87842" w:rsidTr="00BA4AE7">
        <w:trPr>
          <w:trHeight w:hRule="exact" w:val="317"/>
        </w:trPr>
        <w:tc>
          <w:tcPr>
            <w:tcW w:w="1716" w:type="dxa"/>
            <w:tcBorders>
              <w:top w:val="nil"/>
            </w:tcBorders>
            <w:tcMar>
              <w:top w:w="0" w:type="dxa"/>
              <w:left w:w="108" w:type="dxa"/>
              <w:bottom w:w="0" w:type="dxa"/>
              <w:right w:w="108" w:type="dxa"/>
            </w:tcMar>
            <w:vAlign w:val="center"/>
          </w:tcPr>
          <w:p w:rsidR="008C7546" w:rsidRPr="008C7546" w:rsidRDefault="008C7546" w:rsidP="00BA4AE7">
            <w:pPr>
              <w:spacing w:after="0"/>
              <w:rPr>
                <w:rFonts w:eastAsia="Calibri"/>
                <w:sz w:val="20"/>
                <w:szCs w:val="20"/>
                <w:lang w:eastAsia="en-AU"/>
              </w:rPr>
            </w:pPr>
            <w:r w:rsidRPr="008C7546">
              <w:rPr>
                <w:rFonts w:eastAsia="Calibri"/>
                <w:sz w:val="20"/>
                <w:szCs w:val="20"/>
                <w:lang w:eastAsia="en-AU"/>
              </w:rPr>
              <w:t>FNHTR</w:t>
            </w:r>
          </w:p>
        </w:tc>
        <w:tc>
          <w:tcPr>
            <w:tcW w:w="994" w:type="dxa"/>
            <w:tcBorders>
              <w:top w:val="nil"/>
            </w:tcBorders>
            <w:tcMar>
              <w:top w:w="0" w:type="dxa"/>
              <w:left w:w="108" w:type="dxa"/>
              <w:bottom w:w="0" w:type="dxa"/>
              <w:right w:w="108" w:type="dxa"/>
            </w:tcMar>
            <w:vAlign w:val="center"/>
          </w:tcPr>
          <w:p w:rsidR="008C7546" w:rsidRPr="00D54E4F" w:rsidRDefault="00F31A7D" w:rsidP="00BA4AE7">
            <w:pPr>
              <w:autoSpaceDE w:val="0"/>
              <w:autoSpaceDN w:val="0"/>
              <w:spacing w:after="0"/>
              <w:jc w:val="right"/>
              <w:rPr>
                <w:rFonts w:eastAsia="Calibri"/>
                <w:color w:val="000000"/>
                <w:sz w:val="20"/>
                <w:szCs w:val="20"/>
              </w:rPr>
            </w:pPr>
            <w:r w:rsidRPr="00D54E4F">
              <w:rPr>
                <w:rFonts w:eastAsia="Calibri"/>
                <w:color w:val="000000"/>
                <w:sz w:val="20"/>
                <w:szCs w:val="20"/>
              </w:rPr>
              <w:t>0</w:t>
            </w:r>
          </w:p>
        </w:tc>
        <w:tc>
          <w:tcPr>
            <w:tcW w:w="1237" w:type="dxa"/>
            <w:tcBorders>
              <w:top w:val="nil"/>
            </w:tcBorders>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Borders>
              <w:top w:val="nil"/>
            </w:tcBorders>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8</w:t>
            </w:r>
          </w:p>
        </w:tc>
        <w:tc>
          <w:tcPr>
            <w:tcW w:w="1116" w:type="dxa"/>
            <w:tcBorders>
              <w:top w:val="nil"/>
            </w:tcBorders>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289</w:t>
            </w:r>
          </w:p>
        </w:tc>
        <w:tc>
          <w:tcPr>
            <w:tcW w:w="1116" w:type="dxa"/>
            <w:tcBorders>
              <w:top w:val="nil"/>
            </w:tcBorders>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35</w:t>
            </w:r>
          </w:p>
        </w:tc>
        <w:tc>
          <w:tcPr>
            <w:tcW w:w="1379" w:type="dxa"/>
            <w:tcBorders>
              <w:top w:val="nil"/>
            </w:tcBorders>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5</w:t>
            </w:r>
          </w:p>
        </w:tc>
        <w:tc>
          <w:tcPr>
            <w:tcW w:w="852" w:type="dxa"/>
            <w:tcBorders>
              <w:top w:val="nil"/>
            </w:tcBorders>
            <w:vAlign w:val="center"/>
          </w:tcPr>
          <w:p w:rsidR="008C7546" w:rsidRPr="00B87842" w:rsidRDefault="008C7546" w:rsidP="00BA4AE7">
            <w:pPr>
              <w:autoSpaceDE w:val="0"/>
              <w:autoSpaceDN w:val="0"/>
              <w:spacing w:after="0"/>
              <w:jc w:val="right"/>
              <w:rPr>
                <w:rFonts w:eastAsia="Calibri"/>
                <w:color w:val="000000"/>
                <w:sz w:val="20"/>
                <w:szCs w:val="20"/>
              </w:rPr>
            </w:pPr>
            <w:r w:rsidRPr="00B87842">
              <w:rPr>
                <w:rFonts w:eastAsia="Calibri"/>
                <w:color w:val="000000"/>
                <w:sz w:val="20"/>
                <w:szCs w:val="20"/>
              </w:rPr>
              <w:t>337</w:t>
            </w:r>
          </w:p>
        </w:tc>
      </w:tr>
      <w:tr w:rsidR="008C7546" w:rsidRPr="00B87842" w:rsidTr="00BA4AE7">
        <w:trPr>
          <w:trHeight w:hRule="exact" w:val="317"/>
        </w:trPr>
        <w:tc>
          <w:tcPr>
            <w:tcW w:w="1716" w:type="dxa"/>
            <w:tcMar>
              <w:top w:w="0" w:type="dxa"/>
              <w:left w:w="108" w:type="dxa"/>
              <w:bottom w:w="0" w:type="dxa"/>
              <w:right w:w="108" w:type="dxa"/>
            </w:tcMar>
            <w:vAlign w:val="center"/>
          </w:tcPr>
          <w:p w:rsidR="008C7546" w:rsidRPr="008C7546" w:rsidRDefault="00F46D5E" w:rsidP="00BA4AE7">
            <w:pPr>
              <w:spacing w:after="0"/>
              <w:rPr>
                <w:rFonts w:eastAsia="Calibri"/>
                <w:sz w:val="20"/>
                <w:szCs w:val="20"/>
                <w:lang w:eastAsia="en-AU"/>
              </w:rPr>
            </w:pPr>
            <w:r w:rsidRPr="00F96C15">
              <w:rPr>
                <w:rFonts w:eastAsia="Times New Roman" w:cs="Times New Roman"/>
                <w:color w:val="000000"/>
                <w:sz w:val="20"/>
                <w:szCs w:val="20"/>
                <w:lang w:eastAsia="en-AU"/>
              </w:rPr>
              <w:t xml:space="preserve">Allergic </w:t>
            </w:r>
            <w:r>
              <w:rPr>
                <w:rFonts w:eastAsia="Times New Roman" w:cs="Times New Roman"/>
                <w:color w:val="000000"/>
                <w:sz w:val="20"/>
                <w:szCs w:val="20"/>
                <w:lang w:eastAsia="en-AU"/>
              </w:rPr>
              <w:t>reaction</w:t>
            </w:r>
          </w:p>
        </w:tc>
        <w:tc>
          <w:tcPr>
            <w:tcW w:w="994"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9</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6</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118</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9</w:t>
            </w:r>
          </w:p>
        </w:tc>
        <w:tc>
          <w:tcPr>
            <w:tcW w:w="1379"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2</w:t>
            </w:r>
          </w:p>
        </w:tc>
        <w:tc>
          <w:tcPr>
            <w:tcW w:w="852" w:type="dxa"/>
            <w:vAlign w:val="center"/>
          </w:tcPr>
          <w:p w:rsidR="008C7546" w:rsidRPr="00B87842" w:rsidRDefault="008C7546" w:rsidP="00BA4AE7">
            <w:pPr>
              <w:autoSpaceDE w:val="0"/>
              <w:autoSpaceDN w:val="0"/>
              <w:spacing w:after="0"/>
              <w:jc w:val="right"/>
              <w:rPr>
                <w:rFonts w:eastAsia="Calibri"/>
                <w:color w:val="000000"/>
                <w:sz w:val="20"/>
                <w:szCs w:val="20"/>
              </w:rPr>
            </w:pPr>
            <w:r w:rsidRPr="00B87842">
              <w:rPr>
                <w:rFonts w:eastAsia="Calibri"/>
                <w:color w:val="000000"/>
                <w:sz w:val="20"/>
                <w:szCs w:val="20"/>
              </w:rPr>
              <w:t>144</w:t>
            </w:r>
          </w:p>
        </w:tc>
      </w:tr>
      <w:tr w:rsidR="008C7546" w:rsidRPr="00B87842" w:rsidTr="00BA4AE7">
        <w:trPr>
          <w:trHeight w:hRule="exact" w:val="317"/>
        </w:trPr>
        <w:tc>
          <w:tcPr>
            <w:tcW w:w="1716" w:type="dxa"/>
            <w:tcMar>
              <w:top w:w="0" w:type="dxa"/>
              <w:left w:w="108" w:type="dxa"/>
              <w:bottom w:w="0" w:type="dxa"/>
              <w:right w:w="108" w:type="dxa"/>
            </w:tcMar>
            <w:vAlign w:val="center"/>
          </w:tcPr>
          <w:p w:rsidR="008C7546" w:rsidRPr="008C7546" w:rsidRDefault="008C7546" w:rsidP="00BA4AE7">
            <w:pPr>
              <w:spacing w:after="0"/>
              <w:rPr>
                <w:rFonts w:eastAsia="Calibri"/>
                <w:sz w:val="20"/>
                <w:szCs w:val="20"/>
                <w:lang w:eastAsia="en-AU"/>
              </w:rPr>
            </w:pPr>
            <w:r w:rsidRPr="008C7546">
              <w:rPr>
                <w:rFonts w:eastAsia="Calibri"/>
                <w:sz w:val="20"/>
                <w:szCs w:val="20"/>
                <w:lang w:eastAsia="en-AU"/>
              </w:rPr>
              <w:t>IBCT</w:t>
            </w:r>
          </w:p>
        </w:tc>
        <w:tc>
          <w:tcPr>
            <w:tcW w:w="994"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3</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20</w:t>
            </w:r>
          </w:p>
        </w:tc>
        <w:tc>
          <w:tcPr>
            <w:tcW w:w="1379"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10</w:t>
            </w:r>
          </w:p>
        </w:tc>
        <w:tc>
          <w:tcPr>
            <w:tcW w:w="852" w:type="dxa"/>
            <w:vAlign w:val="center"/>
          </w:tcPr>
          <w:p w:rsidR="008C7546" w:rsidRPr="00B87842" w:rsidRDefault="008C7546" w:rsidP="00BA4AE7">
            <w:pPr>
              <w:autoSpaceDE w:val="0"/>
              <w:autoSpaceDN w:val="0"/>
              <w:spacing w:after="0"/>
              <w:jc w:val="right"/>
              <w:rPr>
                <w:rFonts w:eastAsia="Calibri"/>
                <w:color w:val="000000"/>
                <w:sz w:val="20"/>
                <w:szCs w:val="20"/>
              </w:rPr>
            </w:pPr>
            <w:r w:rsidRPr="00B87842">
              <w:rPr>
                <w:rFonts w:eastAsia="Calibri"/>
                <w:color w:val="000000"/>
                <w:sz w:val="20"/>
                <w:szCs w:val="20"/>
              </w:rPr>
              <w:t>33</w:t>
            </w:r>
          </w:p>
        </w:tc>
      </w:tr>
      <w:tr w:rsidR="00B40707" w:rsidRPr="00B87842" w:rsidTr="00BA4AE7">
        <w:trPr>
          <w:trHeight w:hRule="exact" w:val="317"/>
        </w:trPr>
        <w:tc>
          <w:tcPr>
            <w:tcW w:w="1716" w:type="dxa"/>
            <w:tcMar>
              <w:top w:w="0" w:type="dxa"/>
              <w:left w:w="108" w:type="dxa"/>
              <w:bottom w:w="0" w:type="dxa"/>
              <w:right w:w="108" w:type="dxa"/>
            </w:tcMar>
            <w:vAlign w:val="center"/>
          </w:tcPr>
          <w:p w:rsidR="00B40707" w:rsidRPr="008C7546" w:rsidRDefault="00B40707" w:rsidP="00BA4AE7">
            <w:pPr>
              <w:spacing w:after="0"/>
              <w:rPr>
                <w:rFonts w:eastAsia="Calibri"/>
                <w:sz w:val="20"/>
                <w:szCs w:val="20"/>
                <w:lang w:eastAsia="en-AU"/>
              </w:rPr>
            </w:pPr>
            <w:r w:rsidRPr="008C7546">
              <w:rPr>
                <w:rFonts w:eastAsia="Calibri"/>
                <w:sz w:val="20"/>
                <w:szCs w:val="20"/>
                <w:lang w:eastAsia="en-AU"/>
              </w:rPr>
              <w:t>TACO</w:t>
            </w:r>
          </w:p>
        </w:tc>
        <w:tc>
          <w:tcPr>
            <w:tcW w:w="994"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8</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8</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10</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1</w:t>
            </w:r>
          </w:p>
        </w:tc>
        <w:tc>
          <w:tcPr>
            <w:tcW w:w="1379"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1</w:t>
            </w:r>
          </w:p>
        </w:tc>
        <w:tc>
          <w:tcPr>
            <w:tcW w:w="852" w:type="dxa"/>
            <w:vAlign w:val="center"/>
          </w:tcPr>
          <w:p w:rsidR="00B40707" w:rsidRPr="00B87842" w:rsidRDefault="00B40707" w:rsidP="00BA4AE7">
            <w:pPr>
              <w:autoSpaceDE w:val="0"/>
              <w:autoSpaceDN w:val="0"/>
              <w:spacing w:after="0"/>
              <w:jc w:val="right"/>
              <w:rPr>
                <w:rFonts w:eastAsia="Calibri"/>
                <w:color w:val="000000"/>
                <w:sz w:val="20"/>
                <w:szCs w:val="20"/>
              </w:rPr>
            </w:pPr>
            <w:r w:rsidRPr="00B87842">
              <w:rPr>
                <w:rFonts w:eastAsia="Calibri"/>
                <w:color w:val="000000"/>
                <w:sz w:val="20"/>
                <w:szCs w:val="20"/>
              </w:rPr>
              <w:t>28</w:t>
            </w:r>
          </w:p>
        </w:tc>
      </w:tr>
      <w:tr w:rsidR="00B40707" w:rsidRPr="00B87842" w:rsidTr="00BA4AE7">
        <w:trPr>
          <w:trHeight w:hRule="exact" w:val="317"/>
        </w:trPr>
        <w:tc>
          <w:tcPr>
            <w:tcW w:w="1716" w:type="dxa"/>
            <w:tcMar>
              <w:top w:w="0" w:type="dxa"/>
              <w:left w:w="108" w:type="dxa"/>
              <w:bottom w:w="0" w:type="dxa"/>
              <w:right w:w="108" w:type="dxa"/>
            </w:tcMar>
            <w:vAlign w:val="center"/>
          </w:tcPr>
          <w:p w:rsidR="00B40707" w:rsidRPr="008C7546" w:rsidRDefault="00B40707" w:rsidP="00BA4AE7">
            <w:pPr>
              <w:spacing w:after="0"/>
              <w:rPr>
                <w:rFonts w:eastAsia="Calibri"/>
                <w:sz w:val="20"/>
                <w:szCs w:val="20"/>
                <w:lang w:eastAsia="en-AU"/>
              </w:rPr>
            </w:pPr>
            <w:r w:rsidRPr="008C7546">
              <w:rPr>
                <w:rFonts w:eastAsia="Calibri"/>
                <w:sz w:val="20"/>
                <w:szCs w:val="20"/>
                <w:lang w:eastAsia="en-AU"/>
              </w:rPr>
              <w:t>TTI</w:t>
            </w:r>
          </w:p>
        </w:tc>
        <w:tc>
          <w:tcPr>
            <w:tcW w:w="994"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14</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8</w:t>
            </w:r>
          </w:p>
        </w:tc>
        <w:tc>
          <w:tcPr>
            <w:tcW w:w="1379"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5</w:t>
            </w:r>
          </w:p>
        </w:tc>
        <w:tc>
          <w:tcPr>
            <w:tcW w:w="852" w:type="dxa"/>
            <w:vAlign w:val="center"/>
          </w:tcPr>
          <w:p w:rsidR="00B40707" w:rsidRPr="00B87842" w:rsidRDefault="00B40707" w:rsidP="00BA4AE7">
            <w:pPr>
              <w:autoSpaceDE w:val="0"/>
              <w:autoSpaceDN w:val="0"/>
              <w:spacing w:after="0"/>
              <w:jc w:val="right"/>
              <w:rPr>
                <w:rFonts w:eastAsia="Calibri"/>
                <w:color w:val="000000"/>
                <w:sz w:val="20"/>
                <w:szCs w:val="20"/>
              </w:rPr>
            </w:pPr>
            <w:r w:rsidRPr="00B87842">
              <w:rPr>
                <w:rFonts w:eastAsia="Calibri"/>
                <w:color w:val="000000"/>
                <w:sz w:val="20"/>
                <w:szCs w:val="20"/>
              </w:rPr>
              <w:t>27</w:t>
            </w:r>
          </w:p>
        </w:tc>
      </w:tr>
      <w:tr w:rsidR="008C7546" w:rsidRPr="00B87842" w:rsidTr="00BA4AE7">
        <w:trPr>
          <w:trHeight w:hRule="exact" w:val="317"/>
        </w:trPr>
        <w:tc>
          <w:tcPr>
            <w:tcW w:w="1716" w:type="dxa"/>
            <w:tcMar>
              <w:top w:w="0" w:type="dxa"/>
              <w:left w:w="108" w:type="dxa"/>
              <w:bottom w:w="0" w:type="dxa"/>
              <w:right w:w="108" w:type="dxa"/>
            </w:tcMar>
            <w:vAlign w:val="center"/>
          </w:tcPr>
          <w:p w:rsidR="008C7546" w:rsidRPr="008C7546" w:rsidRDefault="008C7546" w:rsidP="00BA4AE7">
            <w:pPr>
              <w:spacing w:after="0"/>
              <w:rPr>
                <w:rFonts w:eastAsia="Calibri"/>
                <w:sz w:val="20"/>
                <w:szCs w:val="20"/>
                <w:lang w:eastAsia="en-AU"/>
              </w:rPr>
            </w:pPr>
            <w:r w:rsidRPr="008C7546">
              <w:rPr>
                <w:rFonts w:eastAsia="Calibri"/>
                <w:sz w:val="20"/>
                <w:szCs w:val="20"/>
                <w:lang w:eastAsia="en-AU"/>
              </w:rPr>
              <w:t>Anaphylactic</w:t>
            </w:r>
          </w:p>
        </w:tc>
        <w:tc>
          <w:tcPr>
            <w:tcW w:w="994"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9</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4</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6</w:t>
            </w:r>
          </w:p>
        </w:tc>
        <w:tc>
          <w:tcPr>
            <w:tcW w:w="1116"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379"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852" w:type="dxa"/>
            <w:vAlign w:val="center"/>
          </w:tcPr>
          <w:p w:rsidR="008C7546" w:rsidRPr="00B87842" w:rsidRDefault="008C7546" w:rsidP="00BA4AE7">
            <w:pPr>
              <w:autoSpaceDE w:val="0"/>
              <w:autoSpaceDN w:val="0"/>
              <w:spacing w:after="0"/>
              <w:jc w:val="right"/>
              <w:rPr>
                <w:rFonts w:eastAsia="Calibri"/>
                <w:color w:val="000000"/>
                <w:sz w:val="20"/>
                <w:szCs w:val="20"/>
              </w:rPr>
            </w:pPr>
            <w:r w:rsidRPr="00B87842">
              <w:rPr>
                <w:rFonts w:eastAsia="Calibri"/>
                <w:color w:val="000000"/>
                <w:sz w:val="20"/>
                <w:szCs w:val="20"/>
              </w:rPr>
              <w:t>19</w:t>
            </w:r>
          </w:p>
        </w:tc>
      </w:tr>
      <w:tr w:rsidR="008C7546" w:rsidRPr="00B87842" w:rsidTr="00BA4AE7">
        <w:trPr>
          <w:trHeight w:hRule="exact" w:val="317"/>
        </w:trPr>
        <w:tc>
          <w:tcPr>
            <w:tcW w:w="1716" w:type="dxa"/>
            <w:tcMar>
              <w:top w:w="0" w:type="dxa"/>
              <w:left w:w="108" w:type="dxa"/>
              <w:bottom w:w="0" w:type="dxa"/>
              <w:right w:w="108" w:type="dxa"/>
            </w:tcMar>
            <w:vAlign w:val="center"/>
          </w:tcPr>
          <w:p w:rsidR="008C7546" w:rsidRPr="008C7546" w:rsidRDefault="008C7546" w:rsidP="00BA4AE7">
            <w:pPr>
              <w:spacing w:after="0"/>
              <w:rPr>
                <w:rFonts w:eastAsia="Calibri"/>
                <w:sz w:val="20"/>
                <w:szCs w:val="20"/>
                <w:lang w:eastAsia="en-AU"/>
              </w:rPr>
            </w:pPr>
            <w:r w:rsidRPr="008C7546">
              <w:rPr>
                <w:rFonts w:eastAsia="Calibri"/>
                <w:sz w:val="20"/>
                <w:szCs w:val="20"/>
                <w:lang w:eastAsia="en-AU"/>
              </w:rPr>
              <w:t>DHTR</w:t>
            </w:r>
          </w:p>
        </w:tc>
        <w:tc>
          <w:tcPr>
            <w:tcW w:w="994"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1</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8</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3</w:t>
            </w:r>
          </w:p>
        </w:tc>
        <w:tc>
          <w:tcPr>
            <w:tcW w:w="1379"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852" w:type="dxa"/>
            <w:vAlign w:val="center"/>
          </w:tcPr>
          <w:p w:rsidR="008C7546" w:rsidRPr="00B87842" w:rsidRDefault="008C7546" w:rsidP="00BA4AE7">
            <w:pPr>
              <w:autoSpaceDE w:val="0"/>
              <w:autoSpaceDN w:val="0"/>
              <w:spacing w:after="0"/>
              <w:jc w:val="right"/>
              <w:rPr>
                <w:rFonts w:eastAsia="Calibri"/>
                <w:color w:val="000000"/>
                <w:sz w:val="20"/>
                <w:szCs w:val="20"/>
              </w:rPr>
            </w:pPr>
            <w:r w:rsidRPr="00B87842">
              <w:rPr>
                <w:rFonts w:eastAsia="Calibri"/>
                <w:color w:val="000000"/>
                <w:sz w:val="20"/>
                <w:szCs w:val="20"/>
              </w:rPr>
              <w:t>12</w:t>
            </w:r>
          </w:p>
        </w:tc>
      </w:tr>
      <w:tr w:rsidR="00B40707" w:rsidRPr="00B87842" w:rsidTr="00BA4AE7">
        <w:trPr>
          <w:trHeight w:hRule="exact" w:val="317"/>
        </w:trPr>
        <w:tc>
          <w:tcPr>
            <w:tcW w:w="1716" w:type="dxa"/>
            <w:tcMar>
              <w:top w:w="0" w:type="dxa"/>
              <w:left w:w="108" w:type="dxa"/>
              <w:bottom w:w="0" w:type="dxa"/>
              <w:right w:w="108" w:type="dxa"/>
            </w:tcMar>
            <w:vAlign w:val="center"/>
          </w:tcPr>
          <w:p w:rsidR="00B40707" w:rsidRPr="008C7546" w:rsidRDefault="00B40707" w:rsidP="00BA4AE7">
            <w:pPr>
              <w:spacing w:after="0"/>
              <w:rPr>
                <w:rFonts w:eastAsia="Calibri"/>
                <w:sz w:val="20"/>
                <w:szCs w:val="20"/>
                <w:lang w:eastAsia="en-AU"/>
              </w:rPr>
            </w:pPr>
            <w:r w:rsidRPr="008C7546">
              <w:rPr>
                <w:rFonts w:eastAsia="Calibri"/>
                <w:sz w:val="20"/>
                <w:szCs w:val="20"/>
                <w:lang w:eastAsia="en-AU"/>
              </w:rPr>
              <w:t>AHTR</w:t>
            </w:r>
          </w:p>
        </w:tc>
        <w:tc>
          <w:tcPr>
            <w:tcW w:w="994"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1</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6</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sidRPr="008C7546">
              <w:rPr>
                <w:rFonts w:eastAsia="Calibri"/>
                <w:color w:val="000000"/>
                <w:sz w:val="20"/>
                <w:szCs w:val="20"/>
              </w:rPr>
              <w:t>1</w:t>
            </w:r>
          </w:p>
        </w:tc>
        <w:tc>
          <w:tcPr>
            <w:tcW w:w="1379"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852" w:type="dxa"/>
            <w:vAlign w:val="center"/>
          </w:tcPr>
          <w:p w:rsidR="00B40707" w:rsidRPr="00B87842" w:rsidRDefault="00B40707" w:rsidP="00BA4AE7">
            <w:pPr>
              <w:autoSpaceDE w:val="0"/>
              <w:autoSpaceDN w:val="0"/>
              <w:spacing w:after="0"/>
              <w:jc w:val="right"/>
              <w:rPr>
                <w:rFonts w:eastAsia="Calibri"/>
                <w:color w:val="000000"/>
                <w:sz w:val="20"/>
                <w:szCs w:val="20"/>
              </w:rPr>
            </w:pPr>
            <w:r w:rsidRPr="00B87842">
              <w:rPr>
                <w:rFonts w:eastAsia="Calibri"/>
                <w:color w:val="000000"/>
                <w:sz w:val="20"/>
                <w:szCs w:val="20"/>
              </w:rPr>
              <w:t>8</w:t>
            </w:r>
          </w:p>
        </w:tc>
      </w:tr>
      <w:tr w:rsidR="00B40707" w:rsidRPr="00B87842" w:rsidTr="00BA4AE7">
        <w:trPr>
          <w:trHeight w:hRule="exact" w:val="317"/>
        </w:trPr>
        <w:tc>
          <w:tcPr>
            <w:tcW w:w="1716" w:type="dxa"/>
            <w:tcMar>
              <w:top w:w="0" w:type="dxa"/>
              <w:left w:w="108" w:type="dxa"/>
              <w:bottom w:w="0" w:type="dxa"/>
              <w:right w:w="108" w:type="dxa"/>
            </w:tcMar>
            <w:vAlign w:val="center"/>
          </w:tcPr>
          <w:p w:rsidR="00B40707" w:rsidRPr="00BC26B7" w:rsidRDefault="00B40707" w:rsidP="00BA4AE7">
            <w:pPr>
              <w:spacing w:after="0"/>
              <w:rPr>
                <w:rFonts w:eastAsia="Calibri"/>
                <w:bCs/>
                <w:color w:val="000000"/>
                <w:sz w:val="20"/>
                <w:szCs w:val="20"/>
                <w:lang w:eastAsia="en-AU"/>
              </w:rPr>
            </w:pPr>
            <w:r w:rsidRPr="00BC26B7">
              <w:rPr>
                <w:rFonts w:eastAsia="Calibri"/>
                <w:bCs/>
                <w:color w:val="000000"/>
                <w:sz w:val="20"/>
                <w:szCs w:val="20"/>
                <w:lang w:eastAsia="en-AU"/>
              </w:rPr>
              <w:t>PTP</w:t>
            </w:r>
          </w:p>
        </w:tc>
        <w:tc>
          <w:tcPr>
            <w:tcW w:w="994"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sz w:val="20"/>
                <w:szCs w:val="20"/>
              </w:rPr>
            </w:pPr>
            <w:r>
              <w:rPr>
                <w:rFonts w:eastAsia="Calibri"/>
                <w:sz w:val="20"/>
                <w:szCs w:val="20"/>
              </w:rPr>
              <w:t>0</w:t>
            </w:r>
          </w:p>
        </w:tc>
        <w:tc>
          <w:tcPr>
            <w:tcW w:w="1237"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sz w:val="20"/>
                <w:szCs w:val="20"/>
              </w:rPr>
            </w:pPr>
            <w:r w:rsidRPr="008C7546">
              <w:rPr>
                <w:rFonts w:eastAsia="Calibri"/>
                <w:sz w:val="20"/>
                <w:szCs w:val="20"/>
              </w:rPr>
              <w:t>1</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sz w:val="20"/>
                <w:szCs w:val="20"/>
              </w:rPr>
            </w:pPr>
            <w:r>
              <w:rPr>
                <w:rFonts w:eastAsia="Calibri"/>
                <w:sz w:val="20"/>
                <w:szCs w:val="20"/>
              </w:rPr>
              <w:t>0</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sz w:val="20"/>
                <w:szCs w:val="20"/>
              </w:rPr>
            </w:pPr>
            <w:r w:rsidRPr="008C7546">
              <w:rPr>
                <w:rFonts w:eastAsia="Calibri"/>
                <w:sz w:val="20"/>
                <w:szCs w:val="20"/>
              </w:rPr>
              <w:t>2</w:t>
            </w:r>
          </w:p>
        </w:tc>
        <w:tc>
          <w:tcPr>
            <w:tcW w:w="1116"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sz w:val="20"/>
                <w:szCs w:val="20"/>
              </w:rPr>
            </w:pPr>
            <w:r w:rsidRPr="008C7546">
              <w:rPr>
                <w:rFonts w:eastAsia="Calibri"/>
                <w:sz w:val="20"/>
                <w:szCs w:val="20"/>
              </w:rPr>
              <w:t>3</w:t>
            </w:r>
          </w:p>
        </w:tc>
        <w:tc>
          <w:tcPr>
            <w:tcW w:w="1379" w:type="dxa"/>
            <w:tcMar>
              <w:top w:w="0" w:type="dxa"/>
              <w:left w:w="108" w:type="dxa"/>
              <w:bottom w:w="0" w:type="dxa"/>
              <w:right w:w="108" w:type="dxa"/>
            </w:tcMar>
            <w:vAlign w:val="center"/>
          </w:tcPr>
          <w:p w:rsidR="00B40707" w:rsidRPr="008C7546" w:rsidRDefault="00B40707" w:rsidP="00BA4AE7">
            <w:pPr>
              <w:autoSpaceDE w:val="0"/>
              <w:autoSpaceDN w:val="0"/>
              <w:spacing w:after="0"/>
              <w:jc w:val="right"/>
              <w:rPr>
                <w:rFonts w:eastAsia="Calibri"/>
                <w:sz w:val="20"/>
                <w:szCs w:val="20"/>
              </w:rPr>
            </w:pPr>
            <w:r>
              <w:rPr>
                <w:rFonts w:eastAsia="Calibri"/>
                <w:sz w:val="20"/>
                <w:szCs w:val="20"/>
              </w:rPr>
              <w:t>0</w:t>
            </w:r>
          </w:p>
        </w:tc>
        <w:tc>
          <w:tcPr>
            <w:tcW w:w="852" w:type="dxa"/>
            <w:vAlign w:val="center"/>
          </w:tcPr>
          <w:p w:rsidR="00B40707" w:rsidRPr="00B87842" w:rsidRDefault="00B40707" w:rsidP="00BA4AE7">
            <w:pPr>
              <w:autoSpaceDE w:val="0"/>
              <w:autoSpaceDN w:val="0"/>
              <w:spacing w:after="0"/>
              <w:jc w:val="right"/>
              <w:rPr>
                <w:rFonts w:eastAsia="Calibri"/>
                <w:color w:val="000000"/>
                <w:sz w:val="20"/>
                <w:szCs w:val="20"/>
              </w:rPr>
            </w:pPr>
            <w:r w:rsidRPr="00B87842">
              <w:rPr>
                <w:rFonts w:eastAsia="Calibri"/>
                <w:color w:val="000000"/>
                <w:sz w:val="20"/>
                <w:szCs w:val="20"/>
              </w:rPr>
              <w:t>6</w:t>
            </w:r>
          </w:p>
        </w:tc>
      </w:tr>
      <w:tr w:rsidR="008C7546" w:rsidRPr="00B87842" w:rsidTr="00BA4AE7">
        <w:trPr>
          <w:trHeight w:hRule="exact" w:val="317"/>
        </w:trPr>
        <w:tc>
          <w:tcPr>
            <w:tcW w:w="1716" w:type="dxa"/>
            <w:tcMar>
              <w:top w:w="0" w:type="dxa"/>
              <w:left w:w="108" w:type="dxa"/>
              <w:bottom w:w="0" w:type="dxa"/>
              <w:right w:w="108" w:type="dxa"/>
            </w:tcMar>
            <w:vAlign w:val="center"/>
          </w:tcPr>
          <w:p w:rsidR="008C7546" w:rsidRPr="008C7546" w:rsidRDefault="008C7546" w:rsidP="00BA4AE7">
            <w:pPr>
              <w:spacing w:after="0"/>
              <w:rPr>
                <w:rFonts w:eastAsia="Calibri"/>
                <w:sz w:val="20"/>
                <w:szCs w:val="20"/>
                <w:lang w:eastAsia="en-AU"/>
              </w:rPr>
            </w:pPr>
            <w:r w:rsidRPr="008C7546">
              <w:rPr>
                <w:rFonts w:eastAsia="Calibri"/>
                <w:sz w:val="20"/>
                <w:szCs w:val="20"/>
                <w:lang w:eastAsia="en-AU"/>
              </w:rPr>
              <w:t>TRALI</w:t>
            </w:r>
          </w:p>
        </w:tc>
        <w:tc>
          <w:tcPr>
            <w:tcW w:w="994"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237"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1</w:t>
            </w:r>
          </w:p>
        </w:tc>
        <w:tc>
          <w:tcPr>
            <w:tcW w:w="1116" w:type="dxa"/>
            <w:tcMar>
              <w:top w:w="0" w:type="dxa"/>
              <w:left w:w="108" w:type="dxa"/>
              <w:bottom w:w="0" w:type="dxa"/>
              <w:right w:w="108" w:type="dxa"/>
            </w:tcMar>
            <w:vAlign w:val="center"/>
          </w:tcPr>
          <w:p w:rsidR="008C7546" w:rsidRPr="008C7546" w:rsidRDefault="008C7546" w:rsidP="00BA4AE7">
            <w:pPr>
              <w:autoSpaceDE w:val="0"/>
              <w:autoSpaceDN w:val="0"/>
              <w:spacing w:after="0"/>
              <w:jc w:val="right"/>
              <w:rPr>
                <w:rFonts w:eastAsia="Calibri"/>
                <w:color w:val="000000"/>
                <w:sz w:val="20"/>
                <w:szCs w:val="20"/>
              </w:rPr>
            </w:pPr>
            <w:r w:rsidRPr="008C7546">
              <w:rPr>
                <w:rFonts w:eastAsia="Calibri"/>
                <w:color w:val="000000"/>
                <w:sz w:val="20"/>
                <w:szCs w:val="20"/>
              </w:rPr>
              <w:t>2</w:t>
            </w:r>
          </w:p>
        </w:tc>
        <w:tc>
          <w:tcPr>
            <w:tcW w:w="1116"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1379" w:type="dxa"/>
            <w:tcMar>
              <w:top w:w="0" w:type="dxa"/>
              <w:left w:w="108" w:type="dxa"/>
              <w:bottom w:w="0" w:type="dxa"/>
              <w:right w:w="108" w:type="dxa"/>
            </w:tcMar>
            <w:vAlign w:val="center"/>
          </w:tcPr>
          <w:p w:rsidR="008C7546" w:rsidRPr="008C7546" w:rsidRDefault="00F31A7D" w:rsidP="00BA4AE7">
            <w:pPr>
              <w:autoSpaceDE w:val="0"/>
              <w:autoSpaceDN w:val="0"/>
              <w:spacing w:after="0"/>
              <w:jc w:val="right"/>
              <w:rPr>
                <w:rFonts w:eastAsia="Calibri"/>
                <w:color w:val="000000"/>
                <w:sz w:val="20"/>
                <w:szCs w:val="20"/>
              </w:rPr>
            </w:pPr>
            <w:r>
              <w:rPr>
                <w:rFonts w:eastAsia="Calibri"/>
                <w:color w:val="000000"/>
                <w:sz w:val="20"/>
                <w:szCs w:val="20"/>
              </w:rPr>
              <w:t>0</w:t>
            </w:r>
          </w:p>
        </w:tc>
        <w:tc>
          <w:tcPr>
            <w:tcW w:w="852" w:type="dxa"/>
            <w:vAlign w:val="center"/>
          </w:tcPr>
          <w:p w:rsidR="008C7546" w:rsidRPr="00B87842" w:rsidRDefault="008C7546" w:rsidP="00BA4AE7">
            <w:pPr>
              <w:autoSpaceDE w:val="0"/>
              <w:autoSpaceDN w:val="0"/>
              <w:spacing w:after="0"/>
              <w:jc w:val="right"/>
              <w:rPr>
                <w:rFonts w:eastAsia="Calibri"/>
                <w:color w:val="000000"/>
                <w:sz w:val="20"/>
                <w:szCs w:val="20"/>
              </w:rPr>
            </w:pPr>
            <w:r w:rsidRPr="00B87842">
              <w:rPr>
                <w:rFonts w:eastAsia="Calibri"/>
                <w:color w:val="000000"/>
                <w:sz w:val="20"/>
                <w:szCs w:val="20"/>
              </w:rPr>
              <w:t>3</w:t>
            </w:r>
          </w:p>
        </w:tc>
      </w:tr>
      <w:tr w:rsidR="008C7546" w:rsidRPr="00B87842" w:rsidTr="00BA4AE7">
        <w:trPr>
          <w:trHeight w:hRule="exact" w:val="317"/>
        </w:trPr>
        <w:tc>
          <w:tcPr>
            <w:tcW w:w="1716" w:type="dxa"/>
            <w:tcMar>
              <w:top w:w="0" w:type="dxa"/>
              <w:left w:w="108" w:type="dxa"/>
              <w:bottom w:w="0" w:type="dxa"/>
              <w:right w:w="108" w:type="dxa"/>
            </w:tcMar>
            <w:vAlign w:val="center"/>
          </w:tcPr>
          <w:p w:rsidR="008C7546" w:rsidRPr="00BC26B7" w:rsidRDefault="008C7546" w:rsidP="00BA4AE7">
            <w:pPr>
              <w:spacing w:after="0"/>
              <w:rPr>
                <w:rFonts w:eastAsia="Calibri"/>
                <w:b/>
                <w:sz w:val="20"/>
                <w:szCs w:val="20"/>
                <w:lang w:eastAsia="en-AU"/>
              </w:rPr>
            </w:pPr>
            <w:r w:rsidRPr="00BC26B7">
              <w:rPr>
                <w:rFonts w:eastAsia="Calibri"/>
                <w:b/>
                <w:bCs/>
                <w:color w:val="000000"/>
                <w:sz w:val="20"/>
                <w:szCs w:val="20"/>
                <w:lang w:eastAsia="en-AU"/>
              </w:rPr>
              <w:t>Total</w:t>
            </w:r>
          </w:p>
        </w:tc>
        <w:tc>
          <w:tcPr>
            <w:tcW w:w="994" w:type="dxa"/>
            <w:tcMar>
              <w:top w:w="0" w:type="dxa"/>
              <w:left w:w="108" w:type="dxa"/>
              <w:bottom w:w="0" w:type="dxa"/>
              <w:right w:w="108" w:type="dxa"/>
            </w:tcMar>
            <w:vAlign w:val="center"/>
          </w:tcPr>
          <w:p w:rsidR="008C7546" w:rsidRPr="00BC26B7" w:rsidRDefault="00F31A7D" w:rsidP="00BA4AE7">
            <w:pPr>
              <w:autoSpaceDE w:val="0"/>
              <w:autoSpaceDN w:val="0"/>
              <w:spacing w:after="0"/>
              <w:jc w:val="right"/>
              <w:rPr>
                <w:rFonts w:eastAsia="Calibri"/>
                <w:b/>
                <w:color w:val="000000"/>
                <w:sz w:val="20"/>
                <w:szCs w:val="20"/>
              </w:rPr>
            </w:pPr>
            <w:r>
              <w:rPr>
                <w:rFonts w:eastAsia="Calibri"/>
                <w:b/>
                <w:color w:val="000000"/>
                <w:sz w:val="20"/>
                <w:szCs w:val="20"/>
              </w:rPr>
              <w:t>0</w:t>
            </w:r>
          </w:p>
        </w:tc>
        <w:tc>
          <w:tcPr>
            <w:tcW w:w="1237" w:type="dxa"/>
            <w:tcMar>
              <w:top w:w="0" w:type="dxa"/>
              <w:left w:w="108" w:type="dxa"/>
              <w:bottom w:w="0" w:type="dxa"/>
              <w:right w:w="108" w:type="dxa"/>
            </w:tcMar>
            <w:vAlign w:val="center"/>
          </w:tcPr>
          <w:p w:rsidR="008C7546" w:rsidRPr="00BC26B7" w:rsidRDefault="008C7546" w:rsidP="00BA4AE7">
            <w:pPr>
              <w:autoSpaceDE w:val="0"/>
              <w:autoSpaceDN w:val="0"/>
              <w:spacing w:after="0"/>
              <w:jc w:val="right"/>
              <w:rPr>
                <w:b/>
                <w:color w:val="000000"/>
                <w:sz w:val="20"/>
                <w:szCs w:val="20"/>
              </w:rPr>
            </w:pPr>
            <w:r w:rsidRPr="00BC26B7">
              <w:rPr>
                <w:b/>
                <w:color w:val="000000"/>
                <w:sz w:val="20"/>
                <w:szCs w:val="20"/>
              </w:rPr>
              <w:t>28</w:t>
            </w:r>
          </w:p>
        </w:tc>
        <w:tc>
          <w:tcPr>
            <w:tcW w:w="1116" w:type="dxa"/>
            <w:tcMar>
              <w:top w:w="0" w:type="dxa"/>
              <w:left w:w="108" w:type="dxa"/>
              <w:bottom w:w="0" w:type="dxa"/>
              <w:right w:w="108" w:type="dxa"/>
            </w:tcMar>
            <w:vAlign w:val="center"/>
          </w:tcPr>
          <w:p w:rsidR="008C7546" w:rsidRPr="00BC26B7" w:rsidRDefault="008C7546" w:rsidP="00BA4AE7">
            <w:pPr>
              <w:autoSpaceDE w:val="0"/>
              <w:autoSpaceDN w:val="0"/>
              <w:spacing w:after="0"/>
              <w:jc w:val="right"/>
              <w:rPr>
                <w:b/>
                <w:color w:val="000000"/>
                <w:sz w:val="20"/>
                <w:szCs w:val="20"/>
              </w:rPr>
            </w:pPr>
            <w:r w:rsidRPr="00BC26B7">
              <w:rPr>
                <w:b/>
                <w:color w:val="000000"/>
                <w:sz w:val="20"/>
                <w:szCs w:val="20"/>
              </w:rPr>
              <w:t>28</w:t>
            </w:r>
          </w:p>
        </w:tc>
        <w:tc>
          <w:tcPr>
            <w:tcW w:w="1116" w:type="dxa"/>
            <w:tcMar>
              <w:top w:w="0" w:type="dxa"/>
              <w:left w:w="108" w:type="dxa"/>
              <w:bottom w:w="0" w:type="dxa"/>
              <w:right w:w="108" w:type="dxa"/>
            </w:tcMar>
            <w:vAlign w:val="center"/>
          </w:tcPr>
          <w:p w:rsidR="008C7546" w:rsidRPr="00BC26B7" w:rsidRDefault="008C7546" w:rsidP="00BA4AE7">
            <w:pPr>
              <w:autoSpaceDE w:val="0"/>
              <w:autoSpaceDN w:val="0"/>
              <w:spacing w:after="0"/>
              <w:jc w:val="right"/>
              <w:rPr>
                <w:b/>
                <w:color w:val="000000"/>
                <w:sz w:val="20"/>
                <w:szCs w:val="20"/>
              </w:rPr>
            </w:pPr>
            <w:r w:rsidRPr="00BC26B7">
              <w:rPr>
                <w:b/>
                <w:color w:val="000000"/>
                <w:sz w:val="20"/>
                <w:szCs w:val="20"/>
              </w:rPr>
              <w:t>458</w:t>
            </w:r>
          </w:p>
        </w:tc>
        <w:tc>
          <w:tcPr>
            <w:tcW w:w="1116" w:type="dxa"/>
            <w:tcMar>
              <w:top w:w="0" w:type="dxa"/>
              <w:left w:w="108" w:type="dxa"/>
              <w:bottom w:w="0" w:type="dxa"/>
              <w:right w:w="108" w:type="dxa"/>
            </w:tcMar>
            <w:vAlign w:val="center"/>
          </w:tcPr>
          <w:p w:rsidR="008C7546" w:rsidRPr="00BC26B7" w:rsidRDefault="008C7546" w:rsidP="00BA4AE7">
            <w:pPr>
              <w:autoSpaceDE w:val="0"/>
              <w:autoSpaceDN w:val="0"/>
              <w:spacing w:after="0"/>
              <w:jc w:val="right"/>
              <w:rPr>
                <w:b/>
                <w:color w:val="000000"/>
                <w:sz w:val="20"/>
                <w:szCs w:val="20"/>
              </w:rPr>
            </w:pPr>
            <w:r w:rsidRPr="00BC26B7">
              <w:rPr>
                <w:b/>
                <w:color w:val="000000"/>
                <w:sz w:val="20"/>
                <w:szCs w:val="20"/>
              </w:rPr>
              <w:t>80</w:t>
            </w:r>
          </w:p>
        </w:tc>
        <w:tc>
          <w:tcPr>
            <w:tcW w:w="1379" w:type="dxa"/>
            <w:tcMar>
              <w:top w:w="0" w:type="dxa"/>
              <w:left w:w="108" w:type="dxa"/>
              <w:bottom w:w="0" w:type="dxa"/>
              <w:right w:w="108" w:type="dxa"/>
            </w:tcMar>
            <w:vAlign w:val="center"/>
          </w:tcPr>
          <w:p w:rsidR="008C7546" w:rsidRPr="00BC26B7" w:rsidRDefault="008C7546" w:rsidP="00BA4AE7">
            <w:pPr>
              <w:autoSpaceDE w:val="0"/>
              <w:autoSpaceDN w:val="0"/>
              <w:spacing w:after="0"/>
              <w:jc w:val="right"/>
              <w:rPr>
                <w:b/>
                <w:color w:val="000000"/>
                <w:sz w:val="20"/>
                <w:szCs w:val="20"/>
              </w:rPr>
            </w:pPr>
            <w:r w:rsidRPr="00BC26B7">
              <w:rPr>
                <w:b/>
                <w:color w:val="000000"/>
                <w:sz w:val="20"/>
                <w:szCs w:val="20"/>
              </w:rPr>
              <w:t>23</w:t>
            </w:r>
          </w:p>
        </w:tc>
        <w:tc>
          <w:tcPr>
            <w:tcW w:w="852" w:type="dxa"/>
            <w:vAlign w:val="center"/>
          </w:tcPr>
          <w:p w:rsidR="008C7546" w:rsidRPr="00B87842" w:rsidRDefault="008C7546" w:rsidP="00BA4AE7">
            <w:pPr>
              <w:autoSpaceDE w:val="0"/>
              <w:autoSpaceDN w:val="0"/>
              <w:spacing w:after="0"/>
              <w:jc w:val="right"/>
              <w:rPr>
                <w:b/>
                <w:color w:val="000000"/>
                <w:sz w:val="20"/>
                <w:szCs w:val="20"/>
              </w:rPr>
            </w:pPr>
            <w:r w:rsidRPr="00B87842">
              <w:rPr>
                <w:b/>
                <w:color w:val="000000"/>
                <w:sz w:val="20"/>
                <w:szCs w:val="20"/>
              </w:rPr>
              <w:t>617</w:t>
            </w:r>
          </w:p>
        </w:tc>
      </w:tr>
      <w:tr w:rsidR="00B433DF" w:rsidRPr="00BC26B7" w:rsidTr="00BA4AE7">
        <w:trPr>
          <w:trHeight w:hRule="exact" w:val="317"/>
        </w:trPr>
        <w:tc>
          <w:tcPr>
            <w:tcW w:w="1716" w:type="dxa"/>
            <w:tcMar>
              <w:top w:w="0" w:type="dxa"/>
              <w:left w:w="108" w:type="dxa"/>
              <w:bottom w:w="0" w:type="dxa"/>
              <w:right w:w="108" w:type="dxa"/>
            </w:tcMar>
            <w:vAlign w:val="center"/>
          </w:tcPr>
          <w:p w:rsidR="00B433DF" w:rsidRPr="009A7A23" w:rsidRDefault="00B433DF" w:rsidP="00BA4AE7">
            <w:pPr>
              <w:spacing w:after="0"/>
              <w:rPr>
                <w:rFonts w:eastAsia="Calibri"/>
                <w:b/>
                <w:bCs/>
                <w:color w:val="000000"/>
                <w:sz w:val="20"/>
                <w:szCs w:val="20"/>
                <w:lang w:eastAsia="en-AU"/>
              </w:rPr>
            </w:pPr>
            <w:r w:rsidRPr="009A7A23">
              <w:rPr>
                <w:rFonts w:eastAsia="Calibri"/>
                <w:b/>
                <w:bCs/>
                <w:color w:val="000000"/>
                <w:sz w:val="20"/>
                <w:szCs w:val="20"/>
                <w:lang w:eastAsia="en-AU"/>
              </w:rPr>
              <w:t>Per cent</w:t>
            </w:r>
          </w:p>
        </w:tc>
        <w:tc>
          <w:tcPr>
            <w:tcW w:w="994" w:type="dxa"/>
            <w:tcMar>
              <w:top w:w="0" w:type="dxa"/>
              <w:left w:w="108" w:type="dxa"/>
              <w:bottom w:w="0" w:type="dxa"/>
              <w:right w:w="108" w:type="dxa"/>
            </w:tcMar>
            <w:vAlign w:val="center"/>
          </w:tcPr>
          <w:p w:rsidR="00B433DF" w:rsidRPr="009A7A23" w:rsidRDefault="00F31A7D" w:rsidP="00BA4AE7">
            <w:pPr>
              <w:autoSpaceDE w:val="0"/>
              <w:autoSpaceDN w:val="0"/>
              <w:spacing w:after="0"/>
              <w:jc w:val="right"/>
              <w:rPr>
                <w:rFonts w:eastAsia="Calibri"/>
                <w:b/>
                <w:color w:val="000000"/>
                <w:sz w:val="20"/>
                <w:szCs w:val="20"/>
              </w:rPr>
            </w:pPr>
            <w:r w:rsidRPr="009A7A23">
              <w:rPr>
                <w:rFonts w:eastAsia="Calibri"/>
                <w:b/>
                <w:color w:val="000000"/>
                <w:sz w:val="20"/>
                <w:szCs w:val="20"/>
              </w:rPr>
              <w:t>0.0%</w:t>
            </w:r>
          </w:p>
        </w:tc>
        <w:tc>
          <w:tcPr>
            <w:tcW w:w="1237" w:type="dxa"/>
            <w:tcMar>
              <w:top w:w="0" w:type="dxa"/>
              <w:left w:w="108" w:type="dxa"/>
              <w:bottom w:w="0" w:type="dxa"/>
              <w:right w:w="108" w:type="dxa"/>
            </w:tcMar>
            <w:vAlign w:val="center"/>
          </w:tcPr>
          <w:p w:rsidR="00B433DF" w:rsidRPr="00C94185" w:rsidRDefault="00B433DF" w:rsidP="00BA4AE7">
            <w:pPr>
              <w:autoSpaceDE w:val="0"/>
              <w:autoSpaceDN w:val="0"/>
              <w:adjustRightInd w:val="0"/>
              <w:spacing w:after="0"/>
              <w:jc w:val="right"/>
              <w:rPr>
                <w:rFonts w:eastAsiaTheme="minorHAnsi"/>
                <w:b/>
                <w:color w:val="000000"/>
                <w:sz w:val="20"/>
                <w:szCs w:val="20"/>
              </w:rPr>
            </w:pPr>
            <w:r w:rsidRPr="00C94185">
              <w:rPr>
                <w:rFonts w:eastAsiaTheme="minorHAnsi"/>
                <w:b/>
                <w:color w:val="000000"/>
                <w:sz w:val="20"/>
                <w:szCs w:val="20"/>
              </w:rPr>
              <w:t>4.5%</w:t>
            </w:r>
          </w:p>
        </w:tc>
        <w:tc>
          <w:tcPr>
            <w:tcW w:w="1116" w:type="dxa"/>
            <w:tcMar>
              <w:top w:w="0" w:type="dxa"/>
              <w:left w:w="108" w:type="dxa"/>
              <w:bottom w:w="0" w:type="dxa"/>
              <w:right w:w="108" w:type="dxa"/>
            </w:tcMar>
            <w:vAlign w:val="center"/>
          </w:tcPr>
          <w:p w:rsidR="00B433DF" w:rsidRPr="00C94185" w:rsidRDefault="00B433DF" w:rsidP="00BA4AE7">
            <w:pPr>
              <w:autoSpaceDE w:val="0"/>
              <w:autoSpaceDN w:val="0"/>
              <w:adjustRightInd w:val="0"/>
              <w:spacing w:after="0"/>
              <w:jc w:val="right"/>
              <w:rPr>
                <w:rFonts w:eastAsiaTheme="minorHAnsi"/>
                <w:b/>
                <w:color w:val="000000"/>
                <w:sz w:val="20"/>
                <w:szCs w:val="20"/>
              </w:rPr>
            </w:pPr>
            <w:r w:rsidRPr="00C94185">
              <w:rPr>
                <w:rFonts w:eastAsiaTheme="minorHAnsi"/>
                <w:b/>
                <w:color w:val="000000"/>
                <w:sz w:val="20"/>
                <w:szCs w:val="20"/>
              </w:rPr>
              <w:t>4.5%</w:t>
            </w:r>
          </w:p>
        </w:tc>
        <w:tc>
          <w:tcPr>
            <w:tcW w:w="1116" w:type="dxa"/>
            <w:tcMar>
              <w:top w:w="0" w:type="dxa"/>
              <w:left w:w="108" w:type="dxa"/>
              <w:bottom w:w="0" w:type="dxa"/>
              <w:right w:w="108" w:type="dxa"/>
            </w:tcMar>
            <w:vAlign w:val="center"/>
          </w:tcPr>
          <w:p w:rsidR="00B433DF" w:rsidRPr="00C94185" w:rsidRDefault="00B433DF" w:rsidP="00BA4AE7">
            <w:pPr>
              <w:autoSpaceDE w:val="0"/>
              <w:autoSpaceDN w:val="0"/>
              <w:adjustRightInd w:val="0"/>
              <w:spacing w:after="0"/>
              <w:jc w:val="right"/>
              <w:rPr>
                <w:rFonts w:eastAsiaTheme="minorHAnsi"/>
                <w:b/>
                <w:color w:val="000000"/>
                <w:sz w:val="20"/>
                <w:szCs w:val="20"/>
              </w:rPr>
            </w:pPr>
            <w:r w:rsidRPr="00C94185">
              <w:rPr>
                <w:rFonts w:eastAsiaTheme="minorHAnsi"/>
                <w:b/>
                <w:color w:val="000000"/>
                <w:sz w:val="20"/>
                <w:szCs w:val="20"/>
              </w:rPr>
              <w:t>74.2%</w:t>
            </w:r>
          </w:p>
        </w:tc>
        <w:tc>
          <w:tcPr>
            <w:tcW w:w="1116" w:type="dxa"/>
            <w:tcMar>
              <w:top w:w="0" w:type="dxa"/>
              <w:left w:w="108" w:type="dxa"/>
              <w:bottom w:w="0" w:type="dxa"/>
              <w:right w:w="108" w:type="dxa"/>
            </w:tcMar>
            <w:vAlign w:val="center"/>
          </w:tcPr>
          <w:p w:rsidR="00B433DF" w:rsidRPr="00C94185" w:rsidRDefault="00B433DF" w:rsidP="00BA4AE7">
            <w:pPr>
              <w:autoSpaceDE w:val="0"/>
              <w:autoSpaceDN w:val="0"/>
              <w:adjustRightInd w:val="0"/>
              <w:spacing w:after="0"/>
              <w:jc w:val="right"/>
              <w:rPr>
                <w:rFonts w:eastAsiaTheme="minorHAnsi"/>
                <w:b/>
                <w:color w:val="000000"/>
                <w:sz w:val="20"/>
                <w:szCs w:val="20"/>
              </w:rPr>
            </w:pPr>
            <w:r w:rsidRPr="00C94185">
              <w:rPr>
                <w:rFonts w:eastAsiaTheme="minorHAnsi"/>
                <w:b/>
                <w:color w:val="000000"/>
                <w:sz w:val="20"/>
                <w:szCs w:val="20"/>
              </w:rPr>
              <w:t>13.0%</w:t>
            </w:r>
          </w:p>
        </w:tc>
        <w:tc>
          <w:tcPr>
            <w:tcW w:w="1379" w:type="dxa"/>
            <w:tcMar>
              <w:top w:w="0" w:type="dxa"/>
              <w:left w:w="108" w:type="dxa"/>
              <w:bottom w:w="0" w:type="dxa"/>
              <w:right w:w="108" w:type="dxa"/>
            </w:tcMar>
            <w:vAlign w:val="center"/>
          </w:tcPr>
          <w:p w:rsidR="00B433DF" w:rsidRPr="00C94185" w:rsidRDefault="00B433DF" w:rsidP="00BA4AE7">
            <w:pPr>
              <w:autoSpaceDE w:val="0"/>
              <w:autoSpaceDN w:val="0"/>
              <w:adjustRightInd w:val="0"/>
              <w:spacing w:after="0"/>
              <w:jc w:val="right"/>
              <w:rPr>
                <w:rFonts w:eastAsiaTheme="minorHAnsi"/>
                <w:b/>
                <w:color w:val="000000"/>
                <w:sz w:val="20"/>
                <w:szCs w:val="20"/>
              </w:rPr>
            </w:pPr>
            <w:r w:rsidRPr="00C94185">
              <w:rPr>
                <w:rFonts w:eastAsiaTheme="minorHAnsi"/>
                <w:b/>
                <w:color w:val="000000"/>
                <w:sz w:val="20"/>
                <w:szCs w:val="20"/>
              </w:rPr>
              <w:t>3.7%</w:t>
            </w:r>
          </w:p>
        </w:tc>
        <w:tc>
          <w:tcPr>
            <w:tcW w:w="852" w:type="dxa"/>
            <w:vAlign w:val="center"/>
          </w:tcPr>
          <w:p w:rsidR="00B433DF" w:rsidRPr="00C94185" w:rsidRDefault="00B433DF" w:rsidP="00BA4AE7">
            <w:pPr>
              <w:autoSpaceDE w:val="0"/>
              <w:autoSpaceDN w:val="0"/>
              <w:adjustRightInd w:val="0"/>
              <w:spacing w:after="0"/>
              <w:jc w:val="right"/>
              <w:rPr>
                <w:rFonts w:eastAsiaTheme="minorHAnsi"/>
                <w:b/>
                <w:color w:val="000000"/>
                <w:sz w:val="20"/>
                <w:szCs w:val="20"/>
              </w:rPr>
            </w:pPr>
            <w:r w:rsidRPr="00C94185">
              <w:rPr>
                <w:rFonts w:eastAsiaTheme="minorHAnsi"/>
                <w:b/>
                <w:color w:val="000000"/>
                <w:sz w:val="20"/>
                <w:szCs w:val="20"/>
              </w:rPr>
              <w:t>100.0%</w:t>
            </w:r>
          </w:p>
        </w:tc>
      </w:tr>
    </w:tbl>
    <w:p w:rsidR="009A7A23" w:rsidRPr="00E4119C" w:rsidRDefault="009A7A23" w:rsidP="009A7A23">
      <w:pPr>
        <w:spacing w:after="0"/>
        <w:rPr>
          <w:rFonts w:eastAsia="Times New Roman" w:cs="Times New Roman"/>
          <w:color w:val="000000"/>
          <w:sz w:val="18"/>
          <w:szCs w:val="18"/>
          <w:lang w:eastAsia="en-AU"/>
        </w:rPr>
      </w:pPr>
      <w:r w:rsidRPr="00E4119C">
        <w:rPr>
          <w:rFonts w:eastAsia="Times New Roman" w:cs="Times New Roman"/>
          <w:color w:val="000000"/>
          <w:sz w:val="18"/>
          <w:szCs w:val="18"/>
          <w:lang w:eastAsia="en-AU"/>
        </w:rPr>
        <w:t>Notes</w:t>
      </w:r>
    </w:p>
    <w:p w:rsidR="009A7A23" w:rsidRPr="00E4119C" w:rsidRDefault="009A7A23" w:rsidP="0096249F">
      <w:pPr>
        <w:pStyle w:val="ListParagraph"/>
        <w:numPr>
          <w:ilvl w:val="0"/>
          <w:numId w:val="56"/>
        </w:numPr>
        <w:spacing w:after="0"/>
        <w:rPr>
          <w:rFonts w:eastAsia="Times New Roman" w:cs="Times New Roman"/>
          <w:color w:val="000000"/>
          <w:sz w:val="18"/>
          <w:szCs w:val="18"/>
          <w:lang w:eastAsia="en-AU"/>
        </w:rPr>
      </w:pPr>
      <w:r w:rsidRPr="00E4119C">
        <w:rPr>
          <w:rFonts w:eastAsia="Times New Roman" w:cs="Times New Roman"/>
          <w:color w:val="000000"/>
          <w:sz w:val="18"/>
          <w:szCs w:val="18"/>
          <w:lang w:eastAsia="en-AU"/>
        </w:rPr>
        <w:t>ACT reported zero adverse event</w:t>
      </w:r>
      <w:r>
        <w:rPr>
          <w:rFonts w:eastAsia="Times New Roman" w:cs="Times New Roman"/>
          <w:color w:val="000000"/>
          <w:sz w:val="18"/>
          <w:szCs w:val="18"/>
          <w:lang w:eastAsia="en-AU"/>
        </w:rPr>
        <w:t>s</w:t>
      </w:r>
    </w:p>
    <w:p w:rsidR="009A7A23" w:rsidRDefault="009A7A23" w:rsidP="0096249F">
      <w:pPr>
        <w:pStyle w:val="ListParagraph"/>
        <w:numPr>
          <w:ilvl w:val="0"/>
          <w:numId w:val="56"/>
        </w:numPr>
        <w:spacing w:after="0"/>
        <w:rPr>
          <w:rFonts w:eastAsia="Times New Roman" w:cs="Times New Roman"/>
          <w:color w:val="000000"/>
          <w:sz w:val="18"/>
          <w:szCs w:val="18"/>
          <w:lang w:eastAsia="en-AU"/>
        </w:rPr>
      </w:pPr>
      <w:r w:rsidRPr="00E4119C">
        <w:rPr>
          <w:rFonts w:eastAsia="Times New Roman" w:cs="Times New Roman"/>
          <w:color w:val="000000"/>
          <w:sz w:val="18"/>
          <w:szCs w:val="18"/>
          <w:lang w:eastAsia="en-AU"/>
        </w:rPr>
        <w:t>WA did not contribute data</w:t>
      </w:r>
    </w:p>
    <w:p w:rsidR="00FF53AC" w:rsidRPr="00FF53AC" w:rsidRDefault="00FF53AC" w:rsidP="00FF53AC">
      <w:pPr>
        <w:pStyle w:val="ListParagraph"/>
        <w:numPr>
          <w:ilvl w:val="0"/>
          <w:numId w:val="56"/>
        </w:numPr>
        <w:rPr>
          <w:rFonts w:eastAsia="Times New Roman" w:cs="Times New Roman"/>
          <w:color w:val="000000"/>
          <w:sz w:val="18"/>
          <w:szCs w:val="18"/>
          <w:lang w:eastAsia="en-AU"/>
        </w:rPr>
      </w:pPr>
      <w:r w:rsidRPr="00FF53AC">
        <w:rPr>
          <w:rFonts w:eastAsia="Times New Roman" w:cs="Times New Roman"/>
          <w:color w:val="000000"/>
          <w:sz w:val="18"/>
          <w:szCs w:val="18"/>
          <w:lang w:eastAsia="en-AU"/>
        </w:rPr>
        <w:t>All TTIs were suspected but not confirmed bacterial infections</w:t>
      </w:r>
    </w:p>
    <w:p w:rsidR="00704467" w:rsidRDefault="00704467" w:rsidP="00704467">
      <w:pPr>
        <w:pStyle w:val="ListParagraph"/>
        <w:spacing w:after="0"/>
        <w:ind w:left="360"/>
        <w:rPr>
          <w:rFonts w:eastAsia="Times New Roman" w:cs="Times New Roman"/>
          <w:color w:val="000000"/>
          <w:sz w:val="18"/>
          <w:szCs w:val="18"/>
          <w:lang w:eastAsia="en-AU"/>
        </w:rPr>
      </w:pPr>
    </w:p>
    <w:p w:rsidR="002638EF" w:rsidRDefault="00B44206" w:rsidP="00EC4AF3">
      <w:r>
        <w:fldChar w:fldCharType="begin"/>
      </w:r>
      <w:r>
        <w:instrText xml:space="preserve"> REF _Ref450823752 \h </w:instrText>
      </w:r>
      <w:r w:rsidR="00AA6C2C">
        <w:instrText xml:space="preserve"> \* MERGEFORMAT </w:instrText>
      </w:r>
      <w:r>
        <w:fldChar w:fldCharType="separate"/>
      </w:r>
      <w:r w:rsidR="000010BC" w:rsidRPr="00EC4AF3">
        <w:rPr>
          <w:noProof/>
        </w:rPr>
        <w:t xml:space="preserve">Table </w:t>
      </w:r>
      <w:r w:rsidR="000010BC">
        <w:t>6</w:t>
      </w:r>
      <w:r>
        <w:fldChar w:fldCharType="end"/>
      </w:r>
      <w:r>
        <w:t xml:space="preserve"> shows the number</w:t>
      </w:r>
      <w:r w:rsidR="00AA6C2C">
        <w:t xml:space="preserve"> of</w:t>
      </w:r>
      <w:r>
        <w:t xml:space="preserve"> serious adverse events for </w:t>
      </w:r>
      <w:r w:rsidRPr="00B44206">
        <w:t>2013–14</w:t>
      </w:r>
      <w:r>
        <w:t xml:space="preserve">. </w:t>
      </w:r>
      <w:r w:rsidR="009A7A23">
        <w:t>‘</w:t>
      </w:r>
      <w:r>
        <w:t>Serious adverse event</w:t>
      </w:r>
      <w:r w:rsidR="009A7A23">
        <w:t>’</w:t>
      </w:r>
      <w:r>
        <w:t xml:space="preserve"> in this report means that an event is possible or likely/probable, or confirmed/certain to be related to the blood </w:t>
      </w:r>
      <w:r>
        <w:lastRenderedPageBreak/>
        <w:t xml:space="preserve">transfusion and results in severe morbidity or </w:t>
      </w:r>
      <w:r w:rsidR="009A7A23">
        <w:t xml:space="preserve">a </w:t>
      </w:r>
      <w:r>
        <w:t>life</w:t>
      </w:r>
      <w:r w:rsidR="009A7A23">
        <w:t>-</w:t>
      </w:r>
      <w:r>
        <w:t xml:space="preserve">threatening outcome or death to a patient. </w:t>
      </w:r>
      <w:r w:rsidR="009A7A23">
        <w:t>P</w:t>
      </w:r>
      <w:r w:rsidR="00CF3594">
        <w:t xml:space="preserve">revious </w:t>
      </w:r>
      <w:proofErr w:type="spellStart"/>
      <w:r w:rsidR="009A7A23">
        <w:t>haemovigilance</w:t>
      </w:r>
      <w:proofErr w:type="spellEnd"/>
      <w:r w:rsidR="009A7A23">
        <w:t xml:space="preserve"> </w:t>
      </w:r>
      <w:r w:rsidR="00CF3594">
        <w:t>reports did not include analysis of serious adverse events.</w:t>
      </w:r>
    </w:p>
    <w:p w:rsidR="00CF3594" w:rsidRDefault="00AA6C2C" w:rsidP="00EC4AF3">
      <w:pPr>
        <w:spacing w:after="0"/>
      </w:pPr>
      <w:r>
        <w:t xml:space="preserve">In </w:t>
      </w:r>
      <w:r w:rsidRPr="00AA6C2C">
        <w:t>2013–14</w:t>
      </w:r>
      <w:r>
        <w:t>:</w:t>
      </w:r>
    </w:p>
    <w:p w:rsidR="00CF3594" w:rsidRDefault="00CF3594" w:rsidP="0096249F">
      <w:pPr>
        <w:pStyle w:val="ListParagraph"/>
        <w:numPr>
          <w:ilvl w:val="0"/>
          <w:numId w:val="32"/>
        </w:numPr>
        <w:ind w:left="357" w:hanging="357"/>
      </w:pPr>
      <w:r>
        <w:t xml:space="preserve">54 </w:t>
      </w:r>
      <w:r w:rsidR="009A7A23">
        <w:t xml:space="preserve">adverse </w:t>
      </w:r>
      <w:r>
        <w:t>events were classified as serious</w:t>
      </w:r>
      <w:r w:rsidR="0072498E">
        <w:t xml:space="preserve"> (8.8% of all reported events)</w:t>
      </w:r>
      <w:r>
        <w:t>.</w:t>
      </w:r>
    </w:p>
    <w:p w:rsidR="00CF3594" w:rsidRDefault="005010F1" w:rsidP="0096249F">
      <w:pPr>
        <w:pStyle w:val="ListParagraph"/>
        <w:numPr>
          <w:ilvl w:val="0"/>
          <w:numId w:val="32"/>
        </w:numPr>
        <w:ind w:left="357" w:hanging="357"/>
      </w:pPr>
      <w:r>
        <w:t xml:space="preserve">36 </w:t>
      </w:r>
      <w:r w:rsidR="00FC1A0A">
        <w:t>(68.6%)</w:t>
      </w:r>
      <w:r w:rsidR="00D3289E">
        <w:t xml:space="preserve"> serious</w:t>
      </w:r>
      <w:r w:rsidR="00B44206">
        <w:t xml:space="preserve"> </w:t>
      </w:r>
      <w:r w:rsidR="00FC1A0A" w:rsidRPr="00FC1A0A">
        <w:t>events were likely or confirmed to be related to the blood transfusion.</w:t>
      </w:r>
    </w:p>
    <w:p w:rsidR="005010F1" w:rsidRDefault="00FC1A0A" w:rsidP="0096249F">
      <w:pPr>
        <w:pStyle w:val="ListParagraph"/>
        <w:numPr>
          <w:ilvl w:val="0"/>
          <w:numId w:val="32"/>
        </w:numPr>
        <w:ind w:left="357" w:hanging="357"/>
      </w:pPr>
      <w:r>
        <w:t>F</w:t>
      </w:r>
      <w:r w:rsidR="005010F1">
        <w:t xml:space="preserve">our life-threatening and six </w:t>
      </w:r>
      <w:r>
        <w:t xml:space="preserve">severe </w:t>
      </w:r>
      <w:r w:rsidR="005010F1">
        <w:t xml:space="preserve">morbidity </w:t>
      </w:r>
      <w:r>
        <w:t xml:space="preserve">events were confirmed to be related </w:t>
      </w:r>
      <w:r w:rsidR="0072498E">
        <w:t>to the blood transfusion.</w:t>
      </w:r>
    </w:p>
    <w:p w:rsidR="00E443E2" w:rsidRPr="00EC4AF3" w:rsidRDefault="00AF2603">
      <w:pPr>
        <w:pStyle w:val="Caption"/>
      </w:pPr>
      <w:bookmarkStart w:id="39" w:name="_Ref450823752"/>
      <w:bookmarkStart w:id="40" w:name="_Toc459636846"/>
      <w:r w:rsidRPr="00EC4AF3">
        <w:t xml:space="preserve">Table </w:t>
      </w:r>
      <w:fldSimple w:instr=" SEQ Table \* ARABIC ">
        <w:r w:rsidR="000010BC">
          <w:rPr>
            <w:noProof/>
          </w:rPr>
          <w:t>6</w:t>
        </w:r>
      </w:fldSimple>
      <w:bookmarkEnd w:id="39"/>
      <w:r w:rsidRPr="00EC4AF3">
        <w:t xml:space="preserve">: </w:t>
      </w:r>
      <w:r w:rsidR="00E443E2" w:rsidRPr="00EC4AF3">
        <w:t>Serious adverse event</w:t>
      </w:r>
      <w:r w:rsidR="009A7A23">
        <w:t>s</w:t>
      </w:r>
      <w:r w:rsidR="00E443E2" w:rsidRPr="00EC4AF3">
        <w:t xml:space="preserve"> by outcome severity and </w:t>
      </w:r>
      <w:proofErr w:type="spellStart"/>
      <w:r w:rsidR="00E443E2" w:rsidRPr="00EC4AF3">
        <w:t>imputab</w:t>
      </w:r>
      <w:r w:rsidR="009A7A23">
        <w:t>i</w:t>
      </w:r>
      <w:r w:rsidR="00E443E2" w:rsidRPr="00EC4AF3">
        <w:t>lity</w:t>
      </w:r>
      <w:proofErr w:type="spellEnd"/>
      <w:r w:rsidR="00E443E2" w:rsidRPr="00EC4AF3">
        <w:t xml:space="preserve"> score, 2013–14</w:t>
      </w:r>
      <w:bookmarkEnd w:id="40"/>
    </w:p>
    <w:tbl>
      <w:tblPr>
        <w:tblW w:w="9133" w:type="dxa"/>
        <w:tblInd w:w="93" w:type="dxa"/>
        <w:tblLook w:val="04A0" w:firstRow="1" w:lastRow="0" w:firstColumn="1" w:lastColumn="0" w:noHBand="0" w:noVBand="1"/>
      </w:tblPr>
      <w:tblGrid>
        <w:gridCol w:w="1884"/>
        <w:gridCol w:w="1250"/>
        <w:gridCol w:w="1616"/>
        <w:gridCol w:w="1868"/>
        <w:gridCol w:w="1194"/>
        <w:gridCol w:w="1321"/>
      </w:tblGrid>
      <w:tr w:rsidR="00E443E2" w:rsidRPr="002079F0" w:rsidTr="00940C5B">
        <w:trPr>
          <w:trHeight w:val="300"/>
        </w:trPr>
        <w:tc>
          <w:tcPr>
            <w:tcW w:w="1884" w:type="dxa"/>
            <w:tcBorders>
              <w:top w:val="nil"/>
              <w:left w:val="nil"/>
              <w:bottom w:val="nil"/>
              <w:right w:val="nil"/>
            </w:tcBorders>
            <w:shd w:val="clear" w:color="000000" w:fill="FF0000"/>
            <w:vAlign w:val="bottom"/>
            <w:hideMark/>
          </w:tcPr>
          <w:p w:rsidR="00E443E2" w:rsidRPr="002079F0" w:rsidRDefault="00E443E2" w:rsidP="00E443E2">
            <w:pPr>
              <w:spacing w:after="0"/>
              <w:jc w:val="right"/>
              <w:rPr>
                <w:rFonts w:ascii="Arial" w:eastAsia="Times New Roman" w:hAnsi="Arial" w:cs="Arial"/>
                <w:sz w:val="20"/>
                <w:szCs w:val="20"/>
                <w:lang w:eastAsia="en-AU"/>
              </w:rPr>
            </w:pPr>
            <w:r w:rsidRPr="002079F0">
              <w:rPr>
                <w:rFonts w:ascii="Arial" w:eastAsia="Times New Roman" w:hAnsi="Arial" w:cs="Arial"/>
                <w:sz w:val="20"/>
                <w:szCs w:val="20"/>
                <w:lang w:eastAsia="en-AU"/>
              </w:rPr>
              <w:t> </w:t>
            </w:r>
          </w:p>
        </w:tc>
        <w:tc>
          <w:tcPr>
            <w:tcW w:w="1250" w:type="dxa"/>
            <w:tcBorders>
              <w:top w:val="nil"/>
              <w:left w:val="nil"/>
              <w:bottom w:val="nil"/>
              <w:right w:val="nil"/>
            </w:tcBorders>
            <w:shd w:val="clear" w:color="000000" w:fill="FF0000"/>
            <w:vAlign w:val="bottom"/>
            <w:hideMark/>
          </w:tcPr>
          <w:p w:rsidR="00E443E2" w:rsidRPr="002079F0" w:rsidRDefault="00E443E2" w:rsidP="00940C5B">
            <w:pPr>
              <w:spacing w:after="0"/>
              <w:rPr>
                <w:rFonts w:eastAsia="Times New Roman" w:cs="Times New Roman"/>
                <w:b/>
                <w:bCs/>
                <w:color w:val="FFFFFF"/>
                <w:sz w:val="20"/>
                <w:szCs w:val="20"/>
                <w:lang w:eastAsia="en-AU"/>
              </w:rPr>
            </w:pPr>
            <w:r w:rsidRPr="002079F0">
              <w:rPr>
                <w:rFonts w:eastAsia="Times New Roman" w:cs="Times New Roman"/>
                <w:b/>
                <w:bCs/>
                <w:color w:val="FFFFFF"/>
                <w:sz w:val="20"/>
                <w:szCs w:val="20"/>
                <w:lang w:eastAsia="en-AU"/>
              </w:rPr>
              <w:t>Death</w:t>
            </w:r>
          </w:p>
        </w:tc>
        <w:tc>
          <w:tcPr>
            <w:tcW w:w="1616" w:type="dxa"/>
            <w:tcBorders>
              <w:top w:val="nil"/>
              <w:left w:val="nil"/>
              <w:bottom w:val="nil"/>
              <w:right w:val="nil"/>
            </w:tcBorders>
            <w:shd w:val="clear" w:color="000000" w:fill="FF0000"/>
            <w:vAlign w:val="bottom"/>
            <w:hideMark/>
          </w:tcPr>
          <w:p w:rsidR="00E443E2" w:rsidRPr="002079F0" w:rsidRDefault="00E443E2" w:rsidP="00E443E2">
            <w:pPr>
              <w:spacing w:after="0"/>
              <w:jc w:val="right"/>
              <w:rPr>
                <w:rFonts w:eastAsia="Times New Roman" w:cs="Times New Roman"/>
                <w:b/>
                <w:bCs/>
                <w:color w:val="FFFFFF"/>
                <w:sz w:val="20"/>
                <w:szCs w:val="20"/>
                <w:lang w:eastAsia="en-AU"/>
              </w:rPr>
            </w:pPr>
            <w:r w:rsidRPr="002079F0">
              <w:rPr>
                <w:rFonts w:eastAsia="Times New Roman" w:cs="Times New Roman"/>
                <w:b/>
                <w:bCs/>
                <w:color w:val="FFFFFF"/>
                <w:sz w:val="20"/>
                <w:szCs w:val="20"/>
                <w:lang w:eastAsia="en-AU"/>
              </w:rPr>
              <w:t>Life-threatening</w:t>
            </w:r>
          </w:p>
        </w:tc>
        <w:tc>
          <w:tcPr>
            <w:tcW w:w="1868" w:type="dxa"/>
            <w:tcBorders>
              <w:top w:val="nil"/>
              <w:left w:val="nil"/>
              <w:bottom w:val="nil"/>
              <w:right w:val="nil"/>
            </w:tcBorders>
            <w:shd w:val="clear" w:color="000000" w:fill="FF0000"/>
            <w:vAlign w:val="bottom"/>
            <w:hideMark/>
          </w:tcPr>
          <w:p w:rsidR="00E443E2" w:rsidRPr="002079F0" w:rsidRDefault="00E443E2" w:rsidP="00E443E2">
            <w:pPr>
              <w:spacing w:after="0"/>
              <w:jc w:val="right"/>
              <w:rPr>
                <w:rFonts w:eastAsia="Times New Roman" w:cs="Times New Roman"/>
                <w:b/>
                <w:bCs/>
                <w:color w:val="FFFFFF"/>
                <w:sz w:val="20"/>
                <w:szCs w:val="20"/>
                <w:lang w:eastAsia="en-AU"/>
              </w:rPr>
            </w:pPr>
            <w:r w:rsidRPr="002079F0">
              <w:rPr>
                <w:rFonts w:eastAsia="Times New Roman" w:cs="Times New Roman"/>
                <w:b/>
                <w:bCs/>
                <w:color w:val="FFFFFF"/>
                <w:sz w:val="20"/>
                <w:szCs w:val="20"/>
                <w:lang w:eastAsia="en-AU"/>
              </w:rPr>
              <w:t xml:space="preserve">Severe morbidity </w:t>
            </w:r>
          </w:p>
        </w:tc>
        <w:tc>
          <w:tcPr>
            <w:tcW w:w="2515" w:type="dxa"/>
            <w:gridSpan w:val="2"/>
            <w:tcBorders>
              <w:top w:val="nil"/>
              <w:left w:val="nil"/>
              <w:bottom w:val="nil"/>
              <w:right w:val="nil"/>
            </w:tcBorders>
            <w:shd w:val="clear" w:color="000000" w:fill="FF0000"/>
            <w:vAlign w:val="bottom"/>
            <w:hideMark/>
          </w:tcPr>
          <w:p w:rsidR="00E443E2" w:rsidRPr="002079F0" w:rsidRDefault="00E443E2" w:rsidP="00BA4AE7">
            <w:pPr>
              <w:spacing w:after="0"/>
              <w:ind w:left="519"/>
              <w:jc w:val="center"/>
              <w:rPr>
                <w:rFonts w:eastAsia="Times New Roman" w:cs="Times New Roman"/>
                <w:b/>
                <w:bCs/>
                <w:color w:val="FFFFFF"/>
                <w:sz w:val="20"/>
                <w:szCs w:val="20"/>
                <w:lang w:eastAsia="en-AU"/>
              </w:rPr>
            </w:pPr>
            <w:r w:rsidRPr="002079F0">
              <w:rPr>
                <w:rFonts w:eastAsia="Times New Roman" w:cs="Times New Roman"/>
                <w:b/>
                <w:bCs/>
                <w:color w:val="FFFFFF"/>
                <w:sz w:val="20"/>
                <w:szCs w:val="20"/>
                <w:lang w:eastAsia="en-AU"/>
              </w:rPr>
              <w:t>All reports</w:t>
            </w:r>
          </w:p>
        </w:tc>
      </w:tr>
      <w:tr w:rsidR="00E443E2" w:rsidRPr="002079F0" w:rsidTr="00940C5B">
        <w:trPr>
          <w:trHeight w:val="360"/>
        </w:trPr>
        <w:tc>
          <w:tcPr>
            <w:tcW w:w="1884" w:type="dxa"/>
            <w:tcBorders>
              <w:top w:val="nil"/>
              <w:left w:val="nil"/>
              <w:bottom w:val="nil"/>
              <w:right w:val="nil"/>
            </w:tcBorders>
            <w:shd w:val="clear" w:color="000000" w:fill="D9D9D9"/>
            <w:vAlign w:val="center"/>
            <w:hideMark/>
          </w:tcPr>
          <w:p w:rsidR="00E443E2" w:rsidRPr="002079F0" w:rsidRDefault="00E443E2" w:rsidP="00E443E2">
            <w:pPr>
              <w:spacing w:after="0"/>
              <w:rPr>
                <w:rFonts w:eastAsia="Times New Roman" w:cs="Times New Roman"/>
                <w:b/>
                <w:bCs/>
                <w:color w:val="FF0000"/>
                <w:sz w:val="20"/>
                <w:szCs w:val="20"/>
                <w:lang w:eastAsia="en-AU"/>
              </w:rPr>
            </w:pPr>
            <w:r w:rsidRPr="002079F0">
              <w:rPr>
                <w:rFonts w:eastAsia="Times New Roman" w:cs="Times New Roman"/>
                <w:b/>
                <w:bCs/>
                <w:color w:val="FF0000"/>
                <w:sz w:val="20"/>
                <w:szCs w:val="20"/>
                <w:lang w:eastAsia="en-AU"/>
              </w:rPr>
              <w:t> </w:t>
            </w:r>
          </w:p>
        </w:tc>
        <w:tc>
          <w:tcPr>
            <w:tcW w:w="1250" w:type="dxa"/>
            <w:tcBorders>
              <w:top w:val="nil"/>
              <w:left w:val="nil"/>
              <w:bottom w:val="nil"/>
              <w:right w:val="nil"/>
            </w:tcBorders>
            <w:shd w:val="clear" w:color="000000" w:fill="D9D9D9"/>
            <w:vAlign w:val="center"/>
            <w:hideMark/>
          </w:tcPr>
          <w:p w:rsidR="00E443E2" w:rsidRPr="002079F0" w:rsidRDefault="00E443E2" w:rsidP="00E443E2">
            <w:pPr>
              <w:spacing w:after="0"/>
              <w:jc w:val="right"/>
              <w:rPr>
                <w:rFonts w:eastAsia="Times New Roman" w:cs="Times New Roman"/>
                <w:b/>
                <w:bCs/>
                <w:color w:val="FF0000"/>
                <w:sz w:val="20"/>
                <w:szCs w:val="20"/>
                <w:lang w:eastAsia="en-AU"/>
              </w:rPr>
            </w:pPr>
            <w:r w:rsidRPr="002079F0">
              <w:rPr>
                <w:rFonts w:eastAsia="Times New Roman" w:cs="Times New Roman"/>
                <w:b/>
                <w:bCs/>
                <w:color w:val="FF0000"/>
                <w:sz w:val="20"/>
                <w:szCs w:val="20"/>
                <w:lang w:eastAsia="en-AU"/>
              </w:rPr>
              <w:t> </w:t>
            </w:r>
          </w:p>
        </w:tc>
        <w:tc>
          <w:tcPr>
            <w:tcW w:w="1616" w:type="dxa"/>
            <w:tcBorders>
              <w:top w:val="nil"/>
              <w:left w:val="nil"/>
              <w:bottom w:val="nil"/>
              <w:right w:val="nil"/>
            </w:tcBorders>
            <w:shd w:val="clear" w:color="000000" w:fill="D9D9D9"/>
            <w:vAlign w:val="center"/>
            <w:hideMark/>
          </w:tcPr>
          <w:p w:rsidR="00E443E2" w:rsidRPr="002079F0" w:rsidRDefault="00E443E2" w:rsidP="00E443E2">
            <w:pPr>
              <w:spacing w:after="0"/>
              <w:jc w:val="right"/>
              <w:rPr>
                <w:rFonts w:eastAsia="Times New Roman" w:cs="Times New Roman"/>
                <w:b/>
                <w:bCs/>
                <w:color w:val="FF0000"/>
                <w:sz w:val="20"/>
                <w:szCs w:val="20"/>
                <w:lang w:eastAsia="en-AU"/>
              </w:rPr>
            </w:pPr>
            <w:r w:rsidRPr="002079F0">
              <w:rPr>
                <w:rFonts w:eastAsia="Times New Roman" w:cs="Times New Roman"/>
                <w:b/>
                <w:bCs/>
                <w:color w:val="FF0000"/>
                <w:sz w:val="20"/>
                <w:szCs w:val="20"/>
                <w:lang w:eastAsia="en-AU"/>
              </w:rPr>
              <w:t> </w:t>
            </w:r>
          </w:p>
        </w:tc>
        <w:tc>
          <w:tcPr>
            <w:tcW w:w="1868" w:type="dxa"/>
            <w:tcBorders>
              <w:top w:val="nil"/>
              <w:left w:val="nil"/>
              <w:bottom w:val="nil"/>
              <w:right w:val="nil"/>
            </w:tcBorders>
            <w:shd w:val="clear" w:color="000000" w:fill="D9D9D9"/>
            <w:vAlign w:val="center"/>
            <w:hideMark/>
          </w:tcPr>
          <w:p w:rsidR="00E443E2" w:rsidRPr="002079F0" w:rsidRDefault="00E443E2" w:rsidP="00E443E2">
            <w:pPr>
              <w:spacing w:after="0"/>
              <w:jc w:val="right"/>
              <w:rPr>
                <w:rFonts w:eastAsia="Times New Roman" w:cs="Times New Roman"/>
                <w:b/>
                <w:bCs/>
                <w:color w:val="FF0000"/>
                <w:sz w:val="20"/>
                <w:szCs w:val="20"/>
                <w:lang w:eastAsia="en-AU"/>
              </w:rPr>
            </w:pPr>
            <w:r w:rsidRPr="002079F0">
              <w:rPr>
                <w:rFonts w:eastAsia="Times New Roman" w:cs="Times New Roman"/>
                <w:b/>
                <w:bCs/>
                <w:color w:val="FF0000"/>
                <w:sz w:val="20"/>
                <w:szCs w:val="20"/>
                <w:lang w:eastAsia="en-AU"/>
              </w:rPr>
              <w:t> </w:t>
            </w:r>
          </w:p>
        </w:tc>
        <w:tc>
          <w:tcPr>
            <w:tcW w:w="1194" w:type="dxa"/>
            <w:tcBorders>
              <w:top w:val="nil"/>
              <w:left w:val="nil"/>
              <w:bottom w:val="nil"/>
              <w:right w:val="nil"/>
            </w:tcBorders>
            <w:shd w:val="clear" w:color="000000" w:fill="D9D9D9"/>
            <w:vAlign w:val="center"/>
            <w:hideMark/>
          </w:tcPr>
          <w:p w:rsidR="00E443E2" w:rsidRPr="002079F0" w:rsidRDefault="00E443E2" w:rsidP="00E443E2">
            <w:pPr>
              <w:spacing w:after="0"/>
              <w:jc w:val="right"/>
              <w:rPr>
                <w:rFonts w:eastAsia="Times New Roman" w:cs="Times New Roman"/>
                <w:b/>
                <w:bCs/>
                <w:color w:val="FF0000"/>
                <w:sz w:val="20"/>
                <w:szCs w:val="20"/>
                <w:lang w:eastAsia="en-AU"/>
              </w:rPr>
            </w:pPr>
            <w:r w:rsidRPr="002079F0">
              <w:rPr>
                <w:rFonts w:eastAsia="Times New Roman" w:cs="Times New Roman"/>
                <w:b/>
                <w:bCs/>
                <w:color w:val="FF0000"/>
                <w:sz w:val="20"/>
                <w:szCs w:val="20"/>
                <w:lang w:eastAsia="en-AU"/>
              </w:rPr>
              <w:t>Total</w:t>
            </w:r>
          </w:p>
        </w:tc>
        <w:tc>
          <w:tcPr>
            <w:tcW w:w="1321" w:type="dxa"/>
            <w:tcBorders>
              <w:top w:val="nil"/>
              <w:left w:val="nil"/>
              <w:bottom w:val="nil"/>
              <w:right w:val="nil"/>
            </w:tcBorders>
            <w:shd w:val="clear" w:color="000000" w:fill="D9D9D9"/>
            <w:vAlign w:val="center"/>
            <w:hideMark/>
          </w:tcPr>
          <w:p w:rsidR="00E443E2" w:rsidRPr="002079F0" w:rsidRDefault="00E443E2" w:rsidP="00940C5B">
            <w:pPr>
              <w:spacing w:after="0"/>
              <w:jc w:val="right"/>
              <w:rPr>
                <w:rFonts w:eastAsia="Times New Roman" w:cs="Times New Roman"/>
                <w:b/>
                <w:bCs/>
                <w:color w:val="FF0000"/>
                <w:sz w:val="20"/>
                <w:szCs w:val="20"/>
                <w:lang w:eastAsia="en-AU"/>
              </w:rPr>
            </w:pPr>
            <w:r w:rsidRPr="002079F0">
              <w:rPr>
                <w:rFonts w:eastAsia="Times New Roman" w:cs="Times New Roman"/>
                <w:b/>
                <w:bCs/>
                <w:color w:val="FF0000"/>
                <w:sz w:val="20"/>
                <w:szCs w:val="20"/>
                <w:lang w:eastAsia="en-AU"/>
              </w:rPr>
              <w:t>Per cent</w:t>
            </w:r>
          </w:p>
        </w:tc>
      </w:tr>
      <w:tr w:rsidR="00E443E2" w:rsidRPr="002079F0" w:rsidTr="00940C5B">
        <w:trPr>
          <w:trHeight w:val="300"/>
        </w:trPr>
        <w:tc>
          <w:tcPr>
            <w:tcW w:w="188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rPr>
                <w:rFonts w:eastAsia="Times New Roman" w:cs="Times New Roman"/>
                <w:color w:val="000000"/>
                <w:sz w:val="20"/>
                <w:szCs w:val="20"/>
                <w:lang w:eastAsia="en-AU"/>
              </w:rPr>
            </w:pPr>
            <w:r w:rsidRPr="002079F0">
              <w:rPr>
                <w:rFonts w:eastAsia="Times New Roman" w:cs="Times New Roman"/>
                <w:color w:val="000000"/>
                <w:sz w:val="20"/>
                <w:szCs w:val="20"/>
                <w:lang w:eastAsia="en-AU"/>
              </w:rPr>
              <w:t>Possible</w:t>
            </w:r>
          </w:p>
        </w:tc>
        <w:tc>
          <w:tcPr>
            <w:tcW w:w="1250"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center"/>
              <w:rPr>
                <w:rFonts w:eastAsia="Times New Roman" w:cs="Times New Roman"/>
                <w:color w:val="000000"/>
                <w:sz w:val="20"/>
                <w:szCs w:val="20"/>
                <w:lang w:eastAsia="en-AU"/>
              </w:rPr>
            </w:pPr>
            <w:r w:rsidRPr="002079F0">
              <w:rPr>
                <w:rFonts w:eastAsia="Times New Roman" w:cs="Times New Roman"/>
                <w:color w:val="000000"/>
                <w:sz w:val="20"/>
                <w:szCs w:val="20"/>
                <w:lang w:eastAsia="en-AU"/>
              </w:rPr>
              <w:t>0</w:t>
            </w:r>
          </w:p>
        </w:tc>
        <w:tc>
          <w:tcPr>
            <w:tcW w:w="1616"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9</w:t>
            </w:r>
          </w:p>
        </w:tc>
        <w:tc>
          <w:tcPr>
            <w:tcW w:w="1868"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9</w:t>
            </w:r>
          </w:p>
        </w:tc>
        <w:tc>
          <w:tcPr>
            <w:tcW w:w="119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18</w:t>
            </w:r>
          </w:p>
        </w:tc>
        <w:tc>
          <w:tcPr>
            <w:tcW w:w="1321"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33.3%</w:t>
            </w:r>
          </w:p>
        </w:tc>
      </w:tr>
      <w:tr w:rsidR="00E443E2" w:rsidRPr="002079F0" w:rsidTr="00940C5B">
        <w:trPr>
          <w:trHeight w:val="300"/>
        </w:trPr>
        <w:tc>
          <w:tcPr>
            <w:tcW w:w="188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rPr>
                <w:rFonts w:eastAsia="Times New Roman" w:cs="Times New Roman"/>
                <w:color w:val="000000"/>
                <w:sz w:val="20"/>
                <w:szCs w:val="20"/>
                <w:lang w:eastAsia="en-AU"/>
              </w:rPr>
            </w:pPr>
            <w:r w:rsidRPr="002079F0">
              <w:rPr>
                <w:rFonts w:eastAsia="Times New Roman" w:cs="Times New Roman"/>
                <w:color w:val="000000"/>
                <w:sz w:val="20"/>
                <w:szCs w:val="20"/>
                <w:lang w:eastAsia="en-AU"/>
              </w:rPr>
              <w:t>Likely/Probable</w:t>
            </w:r>
          </w:p>
        </w:tc>
        <w:tc>
          <w:tcPr>
            <w:tcW w:w="1250"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center"/>
              <w:rPr>
                <w:rFonts w:eastAsia="Times New Roman" w:cs="Times New Roman"/>
                <w:color w:val="000000"/>
                <w:sz w:val="20"/>
                <w:szCs w:val="20"/>
                <w:lang w:eastAsia="en-AU"/>
              </w:rPr>
            </w:pPr>
            <w:r w:rsidRPr="002079F0">
              <w:rPr>
                <w:rFonts w:eastAsia="Times New Roman" w:cs="Times New Roman"/>
                <w:color w:val="000000"/>
                <w:sz w:val="20"/>
                <w:szCs w:val="20"/>
                <w:lang w:eastAsia="en-AU"/>
              </w:rPr>
              <w:t>0</w:t>
            </w:r>
          </w:p>
        </w:tc>
        <w:tc>
          <w:tcPr>
            <w:tcW w:w="1616"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15</w:t>
            </w:r>
          </w:p>
        </w:tc>
        <w:tc>
          <w:tcPr>
            <w:tcW w:w="1868"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11</w:t>
            </w:r>
          </w:p>
        </w:tc>
        <w:tc>
          <w:tcPr>
            <w:tcW w:w="119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26</w:t>
            </w:r>
          </w:p>
        </w:tc>
        <w:tc>
          <w:tcPr>
            <w:tcW w:w="1321"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48.1%</w:t>
            </w:r>
          </w:p>
        </w:tc>
      </w:tr>
      <w:tr w:rsidR="00E443E2" w:rsidRPr="002079F0" w:rsidTr="00940C5B">
        <w:trPr>
          <w:trHeight w:val="300"/>
        </w:trPr>
        <w:tc>
          <w:tcPr>
            <w:tcW w:w="188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rPr>
                <w:rFonts w:eastAsia="Times New Roman" w:cs="Times New Roman"/>
                <w:color w:val="000000"/>
                <w:sz w:val="20"/>
                <w:szCs w:val="20"/>
                <w:lang w:eastAsia="en-AU"/>
              </w:rPr>
            </w:pPr>
            <w:r w:rsidRPr="002079F0">
              <w:rPr>
                <w:rFonts w:eastAsia="Times New Roman" w:cs="Times New Roman"/>
                <w:color w:val="000000"/>
                <w:sz w:val="20"/>
                <w:szCs w:val="20"/>
                <w:lang w:eastAsia="en-AU"/>
              </w:rPr>
              <w:t>Confirmed/Certain</w:t>
            </w:r>
          </w:p>
        </w:tc>
        <w:tc>
          <w:tcPr>
            <w:tcW w:w="1250"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center"/>
              <w:rPr>
                <w:rFonts w:eastAsia="Times New Roman" w:cs="Times New Roman"/>
                <w:color w:val="000000"/>
                <w:sz w:val="20"/>
                <w:szCs w:val="20"/>
                <w:lang w:eastAsia="en-AU"/>
              </w:rPr>
            </w:pPr>
            <w:r w:rsidRPr="002079F0">
              <w:rPr>
                <w:rFonts w:eastAsia="Times New Roman" w:cs="Times New Roman"/>
                <w:color w:val="000000"/>
                <w:sz w:val="20"/>
                <w:szCs w:val="20"/>
                <w:lang w:eastAsia="en-AU"/>
              </w:rPr>
              <w:t>0</w:t>
            </w:r>
          </w:p>
        </w:tc>
        <w:tc>
          <w:tcPr>
            <w:tcW w:w="1616"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4</w:t>
            </w:r>
          </w:p>
        </w:tc>
        <w:tc>
          <w:tcPr>
            <w:tcW w:w="1868"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6</w:t>
            </w:r>
          </w:p>
        </w:tc>
        <w:tc>
          <w:tcPr>
            <w:tcW w:w="119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10</w:t>
            </w:r>
          </w:p>
        </w:tc>
        <w:tc>
          <w:tcPr>
            <w:tcW w:w="1321"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color w:val="000000"/>
                <w:sz w:val="20"/>
                <w:szCs w:val="20"/>
                <w:lang w:eastAsia="en-AU"/>
              </w:rPr>
            </w:pPr>
            <w:r w:rsidRPr="002079F0">
              <w:rPr>
                <w:rFonts w:eastAsia="Times New Roman" w:cs="Times New Roman"/>
                <w:color w:val="000000"/>
                <w:sz w:val="20"/>
                <w:szCs w:val="20"/>
                <w:lang w:eastAsia="en-AU"/>
              </w:rPr>
              <w:t>18.5%</w:t>
            </w:r>
          </w:p>
        </w:tc>
      </w:tr>
      <w:tr w:rsidR="00E443E2" w:rsidRPr="002079F0" w:rsidTr="00940C5B">
        <w:trPr>
          <w:trHeight w:val="300"/>
        </w:trPr>
        <w:tc>
          <w:tcPr>
            <w:tcW w:w="188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rPr>
                <w:rFonts w:eastAsia="Times New Roman" w:cs="Times New Roman"/>
                <w:b/>
                <w:bCs/>
                <w:color w:val="000000"/>
                <w:sz w:val="20"/>
                <w:szCs w:val="20"/>
                <w:lang w:eastAsia="en-AU"/>
              </w:rPr>
            </w:pPr>
            <w:r w:rsidRPr="002079F0">
              <w:rPr>
                <w:rFonts w:eastAsia="Times New Roman" w:cs="Times New Roman"/>
                <w:b/>
                <w:bCs/>
                <w:color w:val="000000"/>
                <w:sz w:val="20"/>
                <w:szCs w:val="20"/>
                <w:lang w:eastAsia="en-AU"/>
              </w:rPr>
              <w:t>Total</w:t>
            </w:r>
          </w:p>
        </w:tc>
        <w:tc>
          <w:tcPr>
            <w:tcW w:w="1250"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center"/>
              <w:rPr>
                <w:rFonts w:eastAsia="Times New Roman" w:cs="Times New Roman"/>
                <w:b/>
                <w:bCs/>
                <w:color w:val="000000"/>
                <w:sz w:val="20"/>
                <w:szCs w:val="20"/>
                <w:lang w:eastAsia="en-AU"/>
              </w:rPr>
            </w:pPr>
            <w:r w:rsidRPr="002079F0">
              <w:rPr>
                <w:rFonts w:eastAsia="Times New Roman" w:cs="Times New Roman"/>
                <w:b/>
                <w:bCs/>
                <w:color w:val="000000"/>
                <w:sz w:val="20"/>
                <w:szCs w:val="20"/>
                <w:lang w:eastAsia="en-AU"/>
              </w:rPr>
              <w:t>0</w:t>
            </w:r>
          </w:p>
        </w:tc>
        <w:tc>
          <w:tcPr>
            <w:tcW w:w="1616"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b/>
                <w:bCs/>
                <w:color w:val="000000"/>
                <w:sz w:val="20"/>
                <w:szCs w:val="20"/>
                <w:lang w:eastAsia="en-AU"/>
              </w:rPr>
            </w:pPr>
            <w:r w:rsidRPr="002079F0">
              <w:rPr>
                <w:rFonts w:eastAsia="Times New Roman" w:cs="Times New Roman"/>
                <w:b/>
                <w:bCs/>
                <w:color w:val="000000"/>
                <w:sz w:val="20"/>
                <w:szCs w:val="20"/>
                <w:lang w:eastAsia="en-AU"/>
              </w:rPr>
              <w:t>28</w:t>
            </w:r>
          </w:p>
        </w:tc>
        <w:tc>
          <w:tcPr>
            <w:tcW w:w="1868"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b/>
                <w:bCs/>
                <w:color w:val="000000"/>
                <w:sz w:val="20"/>
                <w:szCs w:val="20"/>
                <w:lang w:eastAsia="en-AU"/>
              </w:rPr>
            </w:pPr>
            <w:r w:rsidRPr="002079F0">
              <w:rPr>
                <w:rFonts w:eastAsia="Times New Roman" w:cs="Times New Roman"/>
                <w:b/>
                <w:bCs/>
                <w:color w:val="000000"/>
                <w:sz w:val="20"/>
                <w:szCs w:val="20"/>
                <w:lang w:eastAsia="en-AU"/>
              </w:rPr>
              <w:t>26</w:t>
            </w:r>
          </w:p>
        </w:tc>
        <w:tc>
          <w:tcPr>
            <w:tcW w:w="1194"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b/>
                <w:bCs/>
                <w:color w:val="000000"/>
                <w:sz w:val="20"/>
                <w:szCs w:val="20"/>
                <w:lang w:eastAsia="en-AU"/>
              </w:rPr>
            </w:pPr>
            <w:r w:rsidRPr="002079F0">
              <w:rPr>
                <w:rFonts w:eastAsia="Times New Roman" w:cs="Times New Roman"/>
                <w:b/>
                <w:bCs/>
                <w:color w:val="000000"/>
                <w:sz w:val="20"/>
                <w:szCs w:val="20"/>
                <w:lang w:eastAsia="en-AU"/>
              </w:rPr>
              <w:t>54</w:t>
            </w:r>
          </w:p>
        </w:tc>
        <w:tc>
          <w:tcPr>
            <w:tcW w:w="1321" w:type="dxa"/>
            <w:tcBorders>
              <w:top w:val="nil"/>
              <w:left w:val="nil"/>
              <w:bottom w:val="single" w:sz="4" w:space="0" w:color="000000"/>
              <w:right w:val="nil"/>
            </w:tcBorders>
            <w:shd w:val="clear" w:color="auto" w:fill="auto"/>
            <w:vAlign w:val="bottom"/>
            <w:hideMark/>
          </w:tcPr>
          <w:p w:rsidR="00E443E2" w:rsidRPr="002079F0" w:rsidRDefault="00E443E2" w:rsidP="00E443E2">
            <w:pPr>
              <w:spacing w:after="0"/>
              <w:jc w:val="right"/>
              <w:rPr>
                <w:rFonts w:eastAsia="Times New Roman" w:cs="Times New Roman"/>
                <w:b/>
                <w:bCs/>
                <w:color w:val="000000"/>
                <w:sz w:val="20"/>
                <w:szCs w:val="20"/>
                <w:lang w:eastAsia="en-AU"/>
              </w:rPr>
            </w:pPr>
            <w:r w:rsidRPr="002079F0">
              <w:rPr>
                <w:rFonts w:eastAsia="Times New Roman" w:cs="Times New Roman"/>
                <w:b/>
                <w:bCs/>
                <w:color w:val="000000"/>
                <w:sz w:val="20"/>
                <w:szCs w:val="20"/>
                <w:lang w:eastAsia="en-AU"/>
              </w:rPr>
              <w:t>100.0%</w:t>
            </w:r>
          </w:p>
        </w:tc>
      </w:tr>
    </w:tbl>
    <w:p w:rsidR="00E443E2" w:rsidRPr="0017274C" w:rsidRDefault="00E443E2" w:rsidP="00E443E2">
      <w:pPr>
        <w:spacing w:before="40" w:after="40" w:line="180" w:lineRule="atLeast"/>
        <w:rPr>
          <w:rFonts w:asciiTheme="minorHAnsi" w:eastAsia="Times New Roman" w:hAnsiTheme="minorHAnsi" w:cstheme="minorHAnsi"/>
          <w:sz w:val="18"/>
          <w:szCs w:val="18"/>
          <w:lang w:eastAsia="en-AU"/>
        </w:rPr>
      </w:pPr>
      <w:r w:rsidRPr="0017274C">
        <w:rPr>
          <w:rFonts w:asciiTheme="minorHAnsi" w:eastAsia="Times New Roman" w:hAnsiTheme="minorHAnsi" w:cstheme="minorHAnsi"/>
          <w:sz w:val="18"/>
          <w:szCs w:val="18"/>
          <w:lang w:eastAsia="en-AU"/>
        </w:rPr>
        <w:t>Notes</w:t>
      </w:r>
    </w:p>
    <w:p w:rsidR="00E443E2" w:rsidRDefault="00E443E2" w:rsidP="0096249F">
      <w:pPr>
        <w:pStyle w:val="ListParagraph"/>
        <w:numPr>
          <w:ilvl w:val="0"/>
          <w:numId w:val="25"/>
        </w:numPr>
        <w:spacing w:before="40" w:after="40" w:line="180" w:lineRule="atLeast"/>
        <w:rPr>
          <w:rFonts w:asciiTheme="minorHAnsi" w:eastAsia="Times New Roman" w:hAnsiTheme="minorHAnsi" w:cstheme="minorHAnsi"/>
          <w:sz w:val="18"/>
          <w:szCs w:val="18"/>
          <w:lang w:eastAsia="en-AU"/>
        </w:rPr>
      </w:pPr>
      <w:r w:rsidRPr="0017274C">
        <w:rPr>
          <w:rFonts w:asciiTheme="minorHAnsi" w:eastAsia="Times New Roman" w:hAnsiTheme="minorHAnsi" w:cstheme="minorHAnsi"/>
          <w:sz w:val="18"/>
          <w:szCs w:val="18"/>
          <w:lang w:eastAsia="en-AU"/>
        </w:rPr>
        <w:t xml:space="preserve">Not assessable and excluded/unlikely </w:t>
      </w:r>
      <w:proofErr w:type="spellStart"/>
      <w:r w:rsidR="0050157C" w:rsidRPr="0017274C">
        <w:rPr>
          <w:rFonts w:asciiTheme="minorHAnsi" w:eastAsia="Times New Roman" w:hAnsiTheme="minorHAnsi" w:cstheme="minorHAnsi"/>
          <w:sz w:val="18"/>
          <w:szCs w:val="18"/>
          <w:lang w:eastAsia="en-AU"/>
        </w:rPr>
        <w:t>imputability</w:t>
      </w:r>
      <w:proofErr w:type="spellEnd"/>
      <w:r w:rsidRPr="0017274C">
        <w:rPr>
          <w:rFonts w:asciiTheme="minorHAnsi" w:eastAsia="Times New Roman" w:hAnsiTheme="minorHAnsi" w:cstheme="minorHAnsi"/>
          <w:sz w:val="18"/>
          <w:szCs w:val="18"/>
          <w:lang w:eastAsia="en-AU"/>
        </w:rPr>
        <w:t xml:space="preserve"> scores </w:t>
      </w:r>
      <w:r w:rsidR="009A7A23">
        <w:rPr>
          <w:rFonts w:asciiTheme="minorHAnsi" w:eastAsia="Times New Roman" w:hAnsiTheme="minorHAnsi" w:cstheme="minorHAnsi"/>
          <w:sz w:val="18"/>
          <w:szCs w:val="18"/>
          <w:lang w:eastAsia="en-AU"/>
        </w:rPr>
        <w:t>are not included in the</w:t>
      </w:r>
      <w:r w:rsidRPr="0017274C">
        <w:rPr>
          <w:rFonts w:asciiTheme="minorHAnsi" w:eastAsia="Times New Roman" w:hAnsiTheme="minorHAnsi" w:cstheme="minorHAnsi"/>
          <w:sz w:val="18"/>
          <w:szCs w:val="18"/>
          <w:lang w:eastAsia="en-AU"/>
        </w:rPr>
        <w:t xml:space="preserve"> analysis</w:t>
      </w:r>
    </w:p>
    <w:p w:rsidR="00E443E2" w:rsidRDefault="00E443E2" w:rsidP="0096249F">
      <w:pPr>
        <w:pStyle w:val="ListParagraph"/>
        <w:numPr>
          <w:ilvl w:val="0"/>
          <w:numId w:val="25"/>
        </w:numPr>
        <w:spacing w:before="40" w:after="40" w:line="180" w:lineRule="atLeast"/>
        <w:rPr>
          <w:rFonts w:asciiTheme="minorHAnsi" w:eastAsia="Times New Roman" w:hAnsiTheme="minorHAnsi" w:cstheme="minorHAnsi"/>
          <w:sz w:val="18"/>
          <w:szCs w:val="18"/>
          <w:lang w:eastAsia="en-AU"/>
        </w:rPr>
      </w:pPr>
      <w:r w:rsidRPr="0017274C">
        <w:rPr>
          <w:rFonts w:asciiTheme="minorHAnsi" w:eastAsia="Times New Roman" w:hAnsiTheme="minorHAnsi" w:cstheme="minorHAnsi"/>
          <w:sz w:val="18"/>
          <w:szCs w:val="18"/>
          <w:lang w:eastAsia="en-AU"/>
        </w:rPr>
        <w:t xml:space="preserve">Outcome </w:t>
      </w:r>
      <w:r w:rsidR="009A7A23">
        <w:rPr>
          <w:rFonts w:asciiTheme="minorHAnsi" w:eastAsia="Times New Roman" w:hAnsiTheme="minorHAnsi" w:cstheme="minorHAnsi"/>
          <w:sz w:val="18"/>
          <w:szCs w:val="18"/>
          <w:lang w:eastAsia="en-AU"/>
        </w:rPr>
        <w:t>s</w:t>
      </w:r>
      <w:r w:rsidRPr="0017274C">
        <w:rPr>
          <w:rFonts w:asciiTheme="minorHAnsi" w:eastAsia="Times New Roman" w:hAnsiTheme="minorHAnsi" w:cstheme="minorHAnsi"/>
          <w:sz w:val="18"/>
          <w:szCs w:val="18"/>
          <w:lang w:eastAsia="en-AU"/>
        </w:rPr>
        <w:t>everity with unknown outcomes, minor and no morbidities</w:t>
      </w:r>
      <w:r w:rsidR="0072498E">
        <w:rPr>
          <w:rFonts w:asciiTheme="minorHAnsi" w:eastAsia="Times New Roman" w:hAnsiTheme="minorHAnsi" w:cstheme="minorHAnsi"/>
          <w:sz w:val="18"/>
          <w:szCs w:val="18"/>
          <w:lang w:eastAsia="en-AU"/>
        </w:rPr>
        <w:t xml:space="preserve"> are</w:t>
      </w:r>
      <w:r w:rsidRPr="0017274C">
        <w:rPr>
          <w:rFonts w:asciiTheme="minorHAnsi" w:eastAsia="Times New Roman" w:hAnsiTheme="minorHAnsi" w:cstheme="minorHAnsi"/>
          <w:sz w:val="18"/>
          <w:szCs w:val="18"/>
          <w:lang w:eastAsia="en-AU"/>
        </w:rPr>
        <w:t xml:space="preserve"> </w:t>
      </w:r>
      <w:r w:rsidR="009A7A23">
        <w:rPr>
          <w:rFonts w:asciiTheme="minorHAnsi" w:eastAsia="Times New Roman" w:hAnsiTheme="minorHAnsi" w:cstheme="minorHAnsi"/>
          <w:sz w:val="18"/>
          <w:szCs w:val="18"/>
          <w:lang w:eastAsia="en-AU"/>
        </w:rPr>
        <w:t>not included in the</w:t>
      </w:r>
      <w:r w:rsidRPr="0017274C">
        <w:rPr>
          <w:rFonts w:asciiTheme="minorHAnsi" w:eastAsia="Times New Roman" w:hAnsiTheme="minorHAnsi" w:cstheme="minorHAnsi"/>
          <w:sz w:val="18"/>
          <w:szCs w:val="18"/>
          <w:lang w:eastAsia="en-AU"/>
        </w:rPr>
        <w:t xml:space="preserve"> analysis</w:t>
      </w:r>
    </w:p>
    <w:p w:rsidR="00E443E2" w:rsidRDefault="00E443E2" w:rsidP="0096249F">
      <w:pPr>
        <w:pStyle w:val="ListParagraph"/>
        <w:numPr>
          <w:ilvl w:val="0"/>
          <w:numId w:val="25"/>
        </w:numPr>
        <w:spacing w:before="40" w:after="40" w:line="180" w:lineRule="atLeast"/>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t xml:space="preserve">ACT reported zero </w:t>
      </w:r>
      <w:r w:rsidR="002638EF">
        <w:rPr>
          <w:rFonts w:asciiTheme="minorHAnsi" w:eastAsia="Times New Roman" w:hAnsiTheme="minorHAnsi" w:cstheme="minorHAnsi"/>
          <w:sz w:val="18"/>
          <w:szCs w:val="18"/>
          <w:lang w:eastAsia="en-AU"/>
        </w:rPr>
        <w:t xml:space="preserve">adverse </w:t>
      </w:r>
      <w:r>
        <w:rPr>
          <w:rFonts w:asciiTheme="minorHAnsi" w:eastAsia="Times New Roman" w:hAnsiTheme="minorHAnsi" w:cstheme="minorHAnsi"/>
          <w:sz w:val="18"/>
          <w:szCs w:val="18"/>
          <w:lang w:eastAsia="en-AU"/>
        </w:rPr>
        <w:t>event</w:t>
      </w:r>
      <w:r w:rsidR="002638EF">
        <w:rPr>
          <w:rFonts w:asciiTheme="minorHAnsi" w:eastAsia="Times New Roman" w:hAnsiTheme="minorHAnsi" w:cstheme="minorHAnsi"/>
          <w:sz w:val="18"/>
          <w:szCs w:val="18"/>
          <w:lang w:eastAsia="en-AU"/>
        </w:rPr>
        <w:t>s</w:t>
      </w:r>
    </w:p>
    <w:p w:rsidR="00E443E2" w:rsidRPr="0017274C" w:rsidRDefault="00E443E2" w:rsidP="0096249F">
      <w:pPr>
        <w:pStyle w:val="ListParagraph"/>
        <w:numPr>
          <w:ilvl w:val="0"/>
          <w:numId w:val="25"/>
        </w:numPr>
        <w:spacing w:before="40" w:after="40" w:line="180" w:lineRule="atLeast"/>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t>WA did not contribute data</w:t>
      </w:r>
    </w:p>
    <w:p w:rsidR="00BA4AE7" w:rsidRDefault="00BA4AE7" w:rsidP="00BA4AE7">
      <w:bookmarkStart w:id="41" w:name="_Ref357509846"/>
      <w:r>
        <w:br w:type="page"/>
      </w:r>
    </w:p>
    <w:p w:rsidR="0016598A" w:rsidRDefault="000E21BE" w:rsidP="00F65BFE">
      <w:pPr>
        <w:pStyle w:val="Heading2"/>
      </w:pPr>
      <w:bookmarkStart w:id="42" w:name="_Toc459366163"/>
      <w:r w:rsidRPr="00F65BFE">
        <w:lastRenderedPageBreak/>
        <w:t>Cumulative</w:t>
      </w:r>
      <w:r w:rsidR="00A808D8" w:rsidRPr="00F65BFE">
        <w:t xml:space="preserve"> results</w:t>
      </w:r>
      <w:r w:rsidR="002E22C9" w:rsidRPr="00F65BFE">
        <w:t xml:space="preserve"> for </w:t>
      </w:r>
      <w:r w:rsidR="0066187A" w:rsidRPr="00F65BFE">
        <w:t>20</w:t>
      </w:r>
      <w:r w:rsidR="0066187A">
        <w:t>10</w:t>
      </w:r>
      <w:r w:rsidR="002E22C9" w:rsidRPr="00F65BFE">
        <w:t>–</w:t>
      </w:r>
      <w:r w:rsidR="0066187A">
        <w:t>11</w:t>
      </w:r>
      <w:r w:rsidR="0066187A" w:rsidRPr="00F65BFE">
        <w:t xml:space="preserve"> </w:t>
      </w:r>
      <w:r w:rsidR="002E22C9" w:rsidRPr="00F65BFE">
        <w:t>to 20</w:t>
      </w:r>
      <w:r w:rsidR="00C3689B" w:rsidRPr="00F65BFE">
        <w:t>1</w:t>
      </w:r>
      <w:r w:rsidR="002E22C9" w:rsidRPr="00F65BFE">
        <w:t>3–14</w:t>
      </w:r>
      <w:bookmarkEnd w:id="42"/>
    </w:p>
    <w:p w:rsidR="002638EF" w:rsidRDefault="00781184" w:rsidP="002638EF">
      <w:pPr>
        <w:rPr>
          <w:rFonts w:asciiTheme="minorHAnsi" w:hAnsiTheme="minorHAnsi" w:cstheme="minorHAnsi"/>
          <w:lang w:eastAsia="en-AU"/>
        </w:rPr>
      </w:pPr>
      <w:r w:rsidRPr="005F29F1">
        <w:rPr>
          <w:rFonts w:asciiTheme="minorHAnsi" w:hAnsiTheme="minorHAnsi" w:cstheme="minorHAnsi"/>
          <w:lang w:eastAsia="en-AU"/>
        </w:rPr>
        <w:t xml:space="preserve">From </w:t>
      </w:r>
      <w:r w:rsidR="00AE0077">
        <w:rPr>
          <w:rFonts w:asciiTheme="minorHAnsi" w:hAnsiTheme="minorHAnsi" w:cstheme="minorHAnsi"/>
          <w:lang w:eastAsia="en-AU"/>
        </w:rPr>
        <w:t>20</w:t>
      </w:r>
      <w:r>
        <w:rPr>
          <w:rFonts w:asciiTheme="minorHAnsi" w:hAnsiTheme="minorHAnsi" w:cstheme="minorHAnsi"/>
          <w:lang w:eastAsia="en-AU"/>
        </w:rPr>
        <w:t>10</w:t>
      </w:r>
      <w:r w:rsidRPr="005F29F1">
        <w:rPr>
          <w:rFonts w:asciiTheme="minorHAnsi" w:hAnsiTheme="minorHAnsi" w:cstheme="minorHAnsi"/>
          <w:lang w:eastAsia="en-AU"/>
        </w:rPr>
        <w:t>–</w:t>
      </w:r>
      <w:r>
        <w:rPr>
          <w:rFonts w:asciiTheme="minorHAnsi" w:hAnsiTheme="minorHAnsi" w:cstheme="minorHAnsi"/>
          <w:lang w:eastAsia="en-AU"/>
        </w:rPr>
        <w:t>11</w:t>
      </w:r>
      <w:r w:rsidRPr="005F29F1">
        <w:rPr>
          <w:rFonts w:asciiTheme="minorHAnsi" w:hAnsiTheme="minorHAnsi" w:cstheme="minorHAnsi"/>
          <w:lang w:eastAsia="en-AU"/>
        </w:rPr>
        <w:t xml:space="preserve"> to 2013–14, there were </w:t>
      </w:r>
      <w:r>
        <w:rPr>
          <w:rFonts w:asciiTheme="minorHAnsi" w:hAnsiTheme="minorHAnsi" w:cstheme="minorHAnsi"/>
          <w:lang w:eastAsia="en-AU"/>
        </w:rPr>
        <w:t>2,243</w:t>
      </w:r>
      <w:r w:rsidRPr="005F29F1">
        <w:rPr>
          <w:rFonts w:asciiTheme="minorHAnsi" w:hAnsiTheme="minorHAnsi" w:cstheme="minorHAnsi"/>
          <w:lang w:eastAsia="en-AU"/>
        </w:rPr>
        <w:t xml:space="preserve"> reports of adverse events to the </w:t>
      </w:r>
      <w:r w:rsidR="005501AE">
        <w:rPr>
          <w:rFonts w:asciiTheme="minorHAnsi" w:hAnsiTheme="minorHAnsi" w:cstheme="minorHAnsi"/>
          <w:lang w:eastAsia="en-AU"/>
        </w:rPr>
        <w:t>n</w:t>
      </w:r>
      <w:r>
        <w:rPr>
          <w:rFonts w:asciiTheme="minorHAnsi" w:hAnsiTheme="minorHAnsi" w:cstheme="minorHAnsi"/>
          <w:lang w:eastAsia="en-AU"/>
        </w:rPr>
        <w:t xml:space="preserve">ational </w:t>
      </w:r>
      <w:proofErr w:type="spellStart"/>
      <w:r w:rsidR="005501AE">
        <w:rPr>
          <w:rFonts w:asciiTheme="minorHAnsi" w:hAnsiTheme="minorHAnsi" w:cstheme="minorHAnsi"/>
          <w:lang w:eastAsia="en-AU"/>
        </w:rPr>
        <w:t>h</w:t>
      </w:r>
      <w:r>
        <w:rPr>
          <w:rFonts w:asciiTheme="minorHAnsi" w:hAnsiTheme="minorHAnsi" w:cstheme="minorHAnsi"/>
          <w:lang w:eastAsia="en-AU"/>
        </w:rPr>
        <w:t>aemovigilance</w:t>
      </w:r>
      <w:proofErr w:type="spellEnd"/>
      <w:r>
        <w:rPr>
          <w:rFonts w:asciiTheme="minorHAnsi" w:hAnsiTheme="minorHAnsi" w:cstheme="minorHAnsi"/>
          <w:lang w:eastAsia="en-AU"/>
        </w:rPr>
        <w:t xml:space="preserve"> </w:t>
      </w:r>
      <w:r w:rsidR="005501AE">
        <w:rPr>
          <w:rFonts w:asciiTheme="minorHAnsi" w:hAnsiTheme="minorHAnsi" w:cstheme="minorHAnsi"/>
          <w:lang w:eastAsia="en-AU"/>
        </w:rPr>
        <w:t>p</w:t>
      </w:r>
      <w:r>
        <w:rPr>
          <w:rFonts w:asciiTheme="minorHAnsi" w:hAnsiTheme="minorHAnsi" w:cstheme="minorHAnsi"/>
          <w:lang w:eastAsia="en-AU"/>
        </w:rPr>
        <w:t xml:space="preserve">rogram (see </w:t>
      </w:r>
      <w:r>
        <w:rPr>
          <w:rFonts w:asciiTheme="minorHAnsi" w:hAnsiTheme="minorHAnsi" w:cstheme="minorHAnsi"/>
          <w:lang w:eastAsia="en-AU"/>
        </w:rPr>
        <w:fldChar w:fldCharType="begin"/>
      </w:r>
      <w:r>
        <w:rPr>
          <w:rFonts w:asciiTheme="minorHAnsi" w:hAnsiTheme="minorHAnsi" w:cstheme="minorHAnsi"/>
          <w:lang w:eastAsia="en-AU"/>
        </w:rPr>
        <w:instrText xml:space="preserve"> REF _Ref450825537 \h </w:instrText>
      </w:r>
      <w:r w:rsidR="00D3289E">
        <w:rPr>
          <w:rFonts w:asciiTheme="minorHAnsi" w:hAnsiTheme="minorHAnsi" w:cstheme="minorHAnsi"/>
          <w:lang w:eastAsia="en-AU"/>
        </w:rPr>
        <w:instrText xml:space="preserve"> \* MERGEFORMAT </w:instrText>
      </w:r>
      <w:r>
        <w:rPr>
          <w:rFonts w:asciiTheme="minorHAnsi" w:hAnsiTheme="minorHAnsi" w:cstheme="minorHAnsi"/>
          <w:lang w:eastAsia="en-AU"/>
        </w:rPr>
      </w:r>
      <w:r>
        <w:rPr>
          <w:rFonts w:asciiTheme="minorHAnsi" w:hAnsiTheme="minorHAnsi" w:cstheme="minorHAnsi"/>
          <w:lang w:eastAsia="en-AU"/>
        </w:rPr>
        <w:fldChar w:fldCharType="separate"/>
      </w:r>
      <w:r w:rsidR="000010BC" w:rsidRPr="00EC4AF3">
        <w:t xml:space="preserve">Table </w:t>
      </w:r>
      <w:r w:rsidR="000010BC">
        <w:rPr>
          <w:noProof/>
        </w:rPr>
        <w:t>7</w:t>
      </w:r>
      <w:r>
        <w:rPr>
          <w:rFonts w:asciiTheme="minorHAnsi" w:hAnsiTheme="minorHAnsi" w:cstheme="minorHAnsi"/>
          <w:lang w:eastAsia="en-AU"/>
        </w:rPr>
        <w:fldChar w:fldCharType="end"/>
      </w:r>
      <w:r>
        <w:rPr>
          <w:rFonts w:asciiTheme="minorHAnsi" w:hAnsiTheme="minorHAnsi" w:cstheme="minorHAnsi"/>
          <w:lang w:eastAsia="en-AU"/>
        </w:rPr>
        <w:t>).</w:t>
      </w:r>
      <w:r w:rsidR="00916F92">
        <w:rPr>
          <w:rFonts w:asciiTheme="minorHAnsi" w:hAnsiTheme="minorHAnsi" w:cstheme="minorHAnsi"/>
          <w:lang w:eastAsia="en-AU"/>
        </w:rPr>
        <w:t xml:space="preserve"> </w:t>
      </w:r>
      <w:r w:rsidR="002638EF">
        <w:rPr>
          <w:rFonts w:asciiTheme="minorHAnsi" w:hAnsiTheme="minorHAnsi" w:cstheme="minorHAnsi"/>
          <w:lang w:eastAsia="en-AU"/>
        </w:rPr>
        <w:t xml:space="preserve">The </w:t>
      </w:r>
      <w:r w:rsidR="002638EF" w:rsidRPr="00B5301C">
        <w:rPr>
          <w:rFonts w:asciiTheme="minorHAnsi" w:hAnsiTheme="minorHAnsi" w:cstheme="minorHAnsi"/>
          <w:lang w:eastAsia="en-AU"/>
        </w:rPr>
        <w:t>20</w:t>
      </w:r>
      <w:r w:rsidR="002638EF">
        <w:rPr>
          <w:rFonts w:asciiTheme="minorHAnsi" w:hAnsiTheme="minorHAnsi" w:cstheme="minorHAnsi"/>
          <w:lang w:eastAsia="en-AU"/>
        </w:rPr>
        <w:t>08</w:t>
      </w:r>
      <w:r w:rsidR="002638EF" w:rsidRPr="00B5301C">
        <w:rPr>
          <w:rFonts w:asciiTheme="minorHAnsi" w:hAnsiTheme="minorHAnsi" w:cstheme="minorHAnsi"/>
          <w:lang w:eastAsia="en-AU"/>
        </w:rPr>
        <w:t>–</w:t>
      </w:r>
      <w:r w:rsidR="002638EF">
        <w:rPr>
          <w:rFonts w:asciiTheme="minorHAnsi" w:hAnsiTheme="minorHAnsi" w:cstheme="minorHAnsi"/>
          <w:lang w:eastAsia="en-AU"/>
        </w:rPr>
        <w:t>09</w:t>
      </w:r>
      <w:r w:rsidR="002638EF">
        <w:t xml:space="preserve"> and </w:t>
      </w:r>
      <w:r w:rsidR="002638EF" w:rsidRPr="00B5301C">
        <w:rPr>
          <w:rFonts w:asciiTheme="minorHAnsi" w:hAnsiTheme="minorHAnsi" w:cstheme="minorHAnsi"/>
          <w:lang w:eastAsia="en-AU"/>
        </w:rPr>
        <w:t>20</w:t>
      </w:r>
      <w:r w:rsidR="002638EF">
        <w:rPr>
          <w:rFonts w:asciiTheme="minorHAnsi" w:hAnsiTheme="minorHAnsi" w:cstheme="minorHAnsi"/>
          <w:lang w:eastAsia="en-AU"/>
        </w:rPr>
        <w:t>09</w:t>
      </w:r>
      <w:r w:rsidR="002638EF" w:rsidRPr="00B5301C">
        <w:rPr>
          <w:rFonts w:asciiTheme="minorHAnsi" w:hAnsiTheme="minorHAnsi" w:cstheme="minorHAnsi"/>
          <w:lang w:eastAsia="en-AU"/>
        </w:rPr>
        <w:t>–</w:t>
      </w:r>
      <w:r w:rsidR="002638EF">
        <w:rPr>
          <w:rFonts w:asciiTheme="minorHAnsi" w:hAnsiTheme="minorHAnsi" w:cstheme="minorHAnsi"/>
          <w:lang w:eastAsia="en-AU"/>
        </w:rPr>
        <w:t xml:space="preserve">10 data were excluded from </w:t>
      </w:r>
      <w:r w:rsidR="00686E10">
        <w:rPr>
          <w:rFonts w:asciiTheme="minorHAnsi" w:hAnsiTheme="minorHAnsi" w:cstheme="minorHAnsi"/>
          <w:lang w:eastAsia="en-AU"/>
        </w:rPr>
        <w:t>analysis</w:t>
      </w:r>
      <w:r w:rsidR="00194DC7">
        <w:rPr>
          <w:rFonts w:asciiTheme="minorHAnsi" w:hAnsiTheme="minorHAnsi" w:cstheme="minorHAnsi"/>
          <w:lang w:eastAsia="en-AU"/>
        </w:rPr>
        <w:t xml:space="preserve"> </w:t>
      </w:r>
      <w:r w:rsidR="00194DC7" w:rsidRPr="00194DC7">
        <w:rPr>
          <w:rFonts w:asciiTheme="minorHAnsi" w:hAnsiTheme="minorHAnsi" w:cstheme="minorHAnsi"/>
          <w:lang w:eastAsia="en-AU"/>
        </w:rPr>
        <w:t xml:space="preserve">because the </w:t>
      </w:r>
      <w:r w:rsidR="00F93EBC" w:rsidRPr="00F93EBC">
        <w:rPr>
          <w:rFonts w:asciiTheme="minorHAnsi" w:hAnsiTheme="minorHAnsi" w:cstheme="minorHAnsi"/>
          <w:lang w:eastAsia="en-AU"/>
        </w:rPr>
        <w:t xml:space="preserve">data was largely incomplete whilst </w:t>
      </w:r>
      <w:r w:rsidR="00F93EBC">
        <w:rPr>
          <w:rFonts w:asciiTheme="minorHAnsi" w:hAnsiTheme="minorHAnsi" w:cstheme="minorHAnsi"/>
          <w:lang w:eastAsia="en-AU"/>
        </w:rPr>
        <w:t>jurisdictions were establishing</w:t>
      </w:r>
      <w:r w:rsidR="00F93EBC" w:rsidRPr="00F93EBC">
        <w:rPr>
          <w:rFonts w:asciiTheme="minorHAnsi" w:hAnsiTheme="minorHAnsi" w:cstheme="minorHAnsi"/>
          <w:lang w:eastAsia="en-AU"/>
        </w:rPr>
        <w:t xml:space="preserve"> reporting processes </w:t>
      </w:r>
      <w:r w:rsidR="00194DC7" w:rsidRPr="00194DC7">
        <w:rPr>
          <w:rFonts w:asciiTheme="minorHAnsi" w:hAnsiTheme="minorHAnsi" w:cstheme="minorHAnsi"/>
          <w:lang w:eastAsia="en-AU"/>
        </w:rPr>
        <w:t>for these two years</w:t>
      </w:r>
      <w:r w:rsidR="00686E10">
        <w:rPr>
          <w:rFonts w:asciiTheme="minorHAnsi" w:hAnsiTheme="minorHAnsi" w:cstheme="minorHAnsi"/>
          <w:lang w:eastAsia="en-AU"/>
        </w:rPr>
        <w:t>.</w:t>
      </w:r>
    </w:p>
    <w:p w:rsidR="00781184" w:rsidRPr="0017274C" w:rsidRDefault="00781184" w:rsidP="00EC4AF3">
      <w:pPr>
        <w:rPr>
          <w:lang w:eastAsia="en-AU"/>
        </w:rPr>
      </w:pPr>
      <w:r>
        <w:rPr>
          <w:lang w:eastAsia="en-AU"/>
        </w:rPr>
        <w:t>Most events were reported by NSW, SA and QLD, accounting for 83.3% of the total reports for this period</w:t>
      </w:r>
      <w:r w:rsidR="005501AE">
        <w:rPr>
          <w:lang w:eastAsia="en-AU"/>
        </w:rPr>
        <w:t>:</w:t>
      </w:r>
    </w:p>
    <w:p w:rsidR="005501AE" w:rsidRDefault="005501AE" w:rsidP="0096249F">
      <w:pPr>
        <w:pStyle w:val="ListParagraph"/>
        <w:numPr>
          <w:ilvl w:val="0"/>
          <w:numId w:val="29"/>
        </w:numPr>
        <w:ind w:left="357" w:hanging="357"/>
        <w:rPr>
          <w:lang w:eastAsia="en-AU"/>
        </w:rPr>
      </w:pPr>
      <w:r>
        <w:rPr>
          <w:lang w:eastAsia="en-AU"/>
        </w:rPr>
        <w:t>NSW report</w:t>
      </w:r>
      <w:r w:rsidR="00807580">
        <w:rPr>
          <w:lang w:eastAsia="en-AU"/>
        </w:rPr>
        <w:t>ed</w:t>
      </w:r>
      <w:r>
        <w:rPr>
          <w:lang w:eastAsia="en-AU"/>
        </w:rPr>
        <w:t xml:space="preserve"> the highest number of events</w:t>
      </w:r>
      <w:r w:rsidRPr="00781184">
        <w:rPr>
          <w:rFonts w:asciiTheme="minorHAnsi" w:hAnsiTheme="minorHAnsi" w:cstheme="minorHAnsi"/>
          <w:lang w:eastAsia="en-AU"/>
        </w:rPr>
        <w:t xml:space="preserve"> </w:t>
      </w:r>
      <w:r>
        <w:rPr>
          <w:rFonts w:asciiTheme="minorHAnsi" w:hAnsiTheme="minorHAnsi" w:cstheme="minorHAnsi"/>
          <w:lang w:eastAsia="en-AU"/>
        </w:rPr>
        <w:t>among all the states and territories.</w:t>
      </w:r>
    </w:p>
    <w:p w:rsidR="00781184" w:rsidRDefault="00ED7AD2" w:rsidP="00374BFB">
      <w:pPr>
        <w:pStyle w:val="ListParagraph"/>
        <w:numPr>
          <w:ilvl w:val="0"/>
          <w:numId w:val="29"/>
        </w:numPr>
        <w:rPr>
          <w:lang w:eastAsia="en-AU"/>
        </w:rPr>
      </w:pPr>
      <w:r w:rsidRPr="00006FBE">
        <w:rPr>
          <w:lang w:eastAsia="en-AU"/>
        </w:rPr>
        <w:t xml:space="preserve">QLD did not contribute </w:t>
      </w:r>
      <w:r w:rsidR="00781184" w:rsidRPr="00006FBE">
        <w:rPr>
          <w:lang w:eastAsia="en-AU"/>
        </w:rPr>
        <w:t>any</w:t>
      </w:r>
      <w:r w:rsidRPr="00006FBE">
        <w:rPr>
          <w:lang w:eastAsia="en-AU"/>
        </w:rPr>
        <w:t xml:space="preserve"> data</w:t>
      </w:r>
      <w:r w:rsidR="00781184" w:rsidRPr="00006FBE">
        <w:rPr>
          <w:lang w:eastAsia="en-AU"/>
        </w:rPr>
        <w:t xml:space="preserve"> for </w:t>
      </w:r>
      <w:r w:rsidR="005501AE">
        <w:rPr>
          <w:lang w:eastAsia="en-AU"/>
        </w:rPr>
        <w:t>2012</w:t>
      </w:r>
      <w:r w:rsidR="00374BFB" w:rsidRPr="00374BFB">
        <w:rPr>
          <w:lang w:eastAsia="en-AU"/>
        </w:rPr>
        <w:t>–</w:t>
      </w:r>
      <w:r w:rsidR="005501AE">
        <w:rPr>
          <w:lang w:eastAsia="en-AU"/>
        </w:rPr>
        <w:t>13</w:t>
      </w:r>
      <w:r w:rsidR="00781184" w:rsidRPr="00006FBE">
        <w:rPr>
          <w:lang w:eastAsia="en-AU"/>
        </w:rPr>
        <w:t xml:space="preserve"> </w:t>
      </w:r>
      <w:r w:rsidRPr="00006FBE">
        <w:rPr>
          <w:lang w:eastAsia="en-AU"/>
        </w:rPr>
        <w:t xml:space="preserve">due to the </w:t>
      </w:r>
      <w:r w:rsidR="00781184" w:rsidRPr="00006FBE">
        <w:rPr>
          <w:lang w:eastAsia="en-AU"/>
        </w:rPr>
        <w:t>cessation of the</w:t>
      </w:r>
      <w:r w:rsidR="00AE0077" w:rsidRPr="00006FBE">
        <w:rPr>
          <w:lang w:eastAsia="en-AU"/>
        </w:rPr>
        <w:t xml:space="preserve"> QLD</w:t>
      </w:r>
      <w:r w:rsidR="00781184" w:rsidRPr="00006FBE">
        <w:rPr>
          <w:lang w:eastAsia="en-AU"/>
        </w:rPr>
        <w:t xml:space="preserve"> </w:t>
      </w:r>
      <w:proofErr w:type="spellStart"/>
      <w:r w:rsidR="00781184" w:rsidRPr="00006FBE">
        <w:rPr>
          <w:lang w:eastAsia="en-AU"/>
        </w:rPr>
        <w:t>haemovigilance</w:t>
      </w:r>
      <w:proofErr w:type="spellEnd"/>
      <w:r w:rsidR="00781184" w:rsidRPr="00006FBE">
        <w:rPr>
          <w:lang w:eastAsia="en-AU"/>
        </w:rPr>
        <w:t xml:space="preserve"> system. QLD contributed </w:t>
      </w:r>
      <w:r w:rsidR="0072498E">
        <w:rPr>
          <w:lang w:eastAsia="en-AU"/>
        </w:rPr>
        <w:t>data</w:t>
      </w:r>
      <w:r w:rsidR="0072498E" w:rsidRPr="00006FBE">
        <w:rPr>
          <w:lang w:eastAsia="en-AU"/>
        </w:rPr>
        <w:t xml:space="preserve"> </w:t>
      </w:r>
      <w:r w:rsidR="00781184" w:rsidRPr="00006FBE">
        <w:rPr>
          <w:lang w:eastAsia="en-AU"/>
        </w:rPr>
        <w:t xml:space="preserve">in 2013–14 </w:t>
      </w:r>
      <w:r w:rsidR="005501AE">
        <w:rPr>
          <w:lang w:eastAsia="en-AU"/>
        </w:rPr>
        <w:t>through</w:t>
      </w:r>
      <w:r w:rsidR="00781184" w:rsidRPr="00006FBE">
        <w:rPr>
          <w:lang w:eastAsia="en-AU"/>
        </w:rPr>
        <w:t xml:space="preserve"> the use of</w:t>
      </w:r>
      <w:r w:rsidR="00AE0077" w:rsidRPr="00006FBE">
        <w:rPr>
          <w:lang w:eastAsia="en-AU"/>
        </w:rPr>
        <w:t xml:space="preserve"> </w:t>
      </w:r>
      <w:proofErr w:type="spellStart"/>
      <w:r w:rsidR="005501AE">
        <w:rPr>
          <w:lang w:eastAsia="en-AU"/>
        </w:rPr>
        <w:t>h</w:t>
      </w:r>
      <w:r w:rsidR="00781184" w:rsidRPr="00006FBE">
        <w:rPr>
          <w:lang w:eastAsia="en-AU"/>
        </w:rPr>
        <w:t>aemovigilance</w:t>
      </w:r>
      <w:proofErr w:type="spellEnd"/>
      <w:r w:rsidR="00AE0077" w:rsidRPr="00006FBE">
        <w:rPr>
          <w:lang w:eastAsia="en-AU"/>
        </w:rPr>
        <w:t xml:space="preserve"> </w:t>
      </w:r>
      <w:r w:rsidR="005501AE">
        <w:rPr>
          <w:lang w:eastAsia="en-AU"/>
        </w:rPr>
        <w:t>d</w:t>
      </w:r>
      <w:r w:rsidR="00AE0077" w:rsidRPr="00006FBE">
        <w:rPr>
          <w:lang w:eastAsia="en-AU"/>
        </w:rPr>
        <w:t xml:space="preserve">ata </w:t>
      </w:r>
      <w:r w:rsidR="005501AE">
        <w:rPr>
          <w:lang w:eastAsia="en-AU"/>
        </w:rPr>
        <w:t>c</w:t>
      </w:r>
      <w:r w:rsidR="00AE0077" w:rsidRPr="00006FBE">
        <w:rPr>
          <w:lang w:eastAsia="en-AU"/>
        </w:rPr>
        <w:t xml:space="preserve">ollection </w:t>
      </w:r>
      <w:r w:rsidR="005501AE">
        <w:rPr>
          <w:lang w:eastAsia="en-AU"/>
        </w:rPr>
        <w:t>f</w:t>
      </w:r>
      <w:r w:rsidR="00AE0077" w:rsidRPr="00006FBE">
        <w:rPr>
          <w:lang w:eastAsia="en-AU"/>
        </w:rPr>
        <w:t>orm</w:t>
      </w:r>
      <w:r w:rsidR="00D3289E">
        <w:rPr>
          <w:lang w:eastAsia="en-AU"/>
        </w:rPr>
        <w:t>s</w:t>
      </w:r>
      <w:r w:rsidR="00AE0077" w:rsidRPr="00006FBE">
        <w:rPr>
          <w:lang w:eastAsia="en-AU"/>
        </w:rPr>
        <w:t>.</w:t>
      </w:r>
    </w:p>
    <w:p w:rsidR="00781184" w:rsidRDefault="00781184" w:rsidP="0096249F">
      <w:pPr>
        <w:pStyle w:val="ListParagraph"/>
        <w:numPr>
          <w:ilvl w:val="0"/>
          <w:numId w:val="29"/>
        </w:numPr>
        <w:ind w:left="357" w:hanging="357"/>
        <w:rPr>
          <w:lang w:eastAsia="en-AU"/>
        </w:rPr>
      </w:pPr>
      <w:r>
        <w:rPr>
          <w:lang w:eastAsia="en-AU"/>
        </w:rPr>
        <w:t xml:space="preserve">ACT reported zero </w:t>
      </w:r>
      <w:r w:rsidR="002638EF">
        <w:rPr>
          <w:lang w:eastAsia="en-AU"/>
        </w:rPr>
        <w:t xml:space="preserve">adverse </w:t>
      </w:r>
      <w:r>
        <w:rPr>
          <w:lang w:eastAsia="en-AU"/>
        </w:rPr>
        <w:t>event</w:t>
      </w:r>
      <w:r w:rsidR="002638EF">
        <w:rPr>
          <w:lang w:eastAsia="en-AU"/>
        </w:rPr>
        <w:t>s</w:t>
      </w:r>
      <w:r>
        <w:rPr>
          <w:lang w:eastAsia="en-AU"/>
        </w:rPr>
        <w:t xml:space="preserve"> for </w:t>
      </w:r>
      <w:r w:rsidRPr="00781184">
        <w:rPr>
          <w:lang w:eastAsia="en-AU"/>
        </w:rPr>
        <w:t xml:space="preserve">2010–11 </w:t>
      </w:r>
      <w:r>
        <w:rPr>
          <w:lang w:eastAsia="en-AU"/>
        </w:rPr>
        <w:t xml:space="preserve">and </w:t>
      </w:r>
      <w:r w:rsidRPr="00781184">
        <w:rPr>
          <w:lang w:eastAsia="en-AU"/>
        </w:rPr>
        <w:t>2013–14</w:t>
      </w:r>
      <w:r w:rsidR="00ED7AD2">
        <w:rPr>
          <w:lang w:eastAsia="en-AU"/>
        </w:rPr>
        <w:t>.</w:t>
      </w:r>
    </w:p>
    <w:p w:rsidR="00781184" w:rsidRPr="00781184" w:rsidRDefault="00781184" w:rsidP="0096249F">
      <w:pPr>
        <w:pStyle w:val="ListParagraph"/>
        <w:numPr>
          <w:ilvl w:val="0"/>
          <w:numId w:val="29"/>
        </w:numPr>
        <w:ind w:left="357" w:hanging="357"/>
        <w:rPr>
          <w:lang w:eastAsia="en-AU"/>
        </w:rPr>
      </w:pPr>
      <w:r>
        <w:rPr>
          <w:lang w:eastAsia="en-AU"/>
        </w:rPr>
        <w:t>WA did not contribute data</w:t>
      </w:r>
      <w:r w:rsidR="005501AE">
        <w:rPr>
          <w:lang w:eastAsia="en-AU"/>
        </w:rPr>
        <w:t xml:space="preserve"> for the entire period</w:t>
      </w:r>
      <w:r>
        <w:rPr>
          <w:lang w:eastAsia="en-AU"/>
        </w:rPr>
        <w:t>.</w:t>
      </w:r>
    </w:p>
    <w:p w:rsidR="00926B41" w:rsidRPr="00EC4AF3" w:rsidRDefault="0013502F" w:rsidP="00AE0077">
      <w:pPr>
        <w:pStyle w:val="Caption"/>
        <w:rPr>
          <w:rFonts w:asciiTheme="minorHAnsi" w:hAnsiTheme="minorHAnsi" w:cstheme="minorHAnsi"/>
          <w:lang w:eastAsia="en-AU"/>
        </w:rPr>
      </w:pPr>
      <w:bookmarkStart w:id="43" w:name="_Ref450825537"/>
      <w:bookmarkStart w:id="44" w:name="_Toc459636847"/>
      <w:bookmarkStart w:id="45" w:name="_Toc420835683"/>
      <w:bookmarkEnd w:id="41"/>
      <w:r w:rsidRPr="00EC4AF3">
        <w:t xml:space="preserve">Table </w:t>
      </w:r>
      <w:fldSimple w:instr=" SEQ Table \* ARABIC ">
        <w:r w:rsidR="000010BC">
          <w:rPr>
            <w:noProof/>
          </w:rPr>
          <w:t>7</w:t>
        </w:r>
      </w:fldSimple>
      <w:bookmarkEnd w:id="43"/>
      <w:r w:rsidRPr="00EC4AF3">
        <w:t xml:space="preserve">: </w:t>
      </w:r>
      <w:r w:rsidR="00926B41" w:rsidRPr="00EC4AF3">
        <w:rPr>
          <w:rFonts w:asciiTheme="minorHAnsi" w:hAnsiTheme="minorHAnsi" w:cstheme="minorHAnsi"/>
          <w:lang w:eastAsia="en-AU"/>
        </w:rPr>
        <w:t>Adverse event</w:t>
      </w:r>
      <w:r w:rsidR="00D3289E" w:rsidRPr="00EC4AF3">
        <w:rPr>
          <w:rFonts w:asciiTheme="minorHAnsi" w:hAnsiTheme="minorHAnsi" w:cstheme="minorHAnsi"/>
          <w:lang w:eastAsia="en-AU"/>
        </w:rPr>
        <w:t>s</w:t>
      </w:r>
      <w:r w:rsidR="00926B41" w:rsidRPr="00EC4AF3">
        <w:rPr>
          <w:rFonts w:asciiTheme="minorHAnsi" w:hAnsiTheme="minorHAnsi" w:cstheme="minorHAnsi"/>
          <w:lang w:eastAsia="en-AU"/>
        </w:rPr>
        <w:t xml:space="preserve"> by state, </w:t>
      </w:r>
      <w:r w:rsidR="00D3289E" w:rsidRPr="00EC4AF3">
        <w:rPr>
          <w:rFonts w:asciiTheme="minorHAnsi" w:hAnsiTheme="minorHAnsi" w:cstheme="minorHAnsi"/>
          <w:lang w:eastAsia="en-AU"/>
        </w:rPr>
        <w:t>2010–11 to 2013–14</w:t>
      </w:r>
      <w:bookmarkEnd w:id="44"/>
    </w:p>
    <w:tbl>
      <w:tblPr>
        <w:tblW w:w="8389" w:type="dxa"/>
        <w:tblInd w:w="108" w:type="dxa"/>
        <w:tblLook w:val="04A0" w:firstRow="1" w:lastRow="0" w:firstColumn="1" w:lastColumn="0" w:noHBand="0" w:noVBand="1"/>
      </w:tblPr>
      <w:tblGrid>
        <w:gridCol w:w="960"/>
        <w:gridCol w:w="1025"/>
        <w:gridCol w:w="804"/>
        <w:gridCol w:w="1120"/>
        <w:gridCol w:w="1120"/>
        <w:gridCol w:w="1120"/>
        <w:gridCol w:w="1040"/>
        <w:gridCol w:w="1200"/>
      </w:tblGrid>
      <w:tr w:rsidR="0013502F" w:rsidRPr="0013502F" w:rsidTr="00704467">
        <w:trPr>
          <w:trHeight w:val="300"/>
        </w:trPr>
        <w:tc>
          <w:tcPr>
            <w:tcW w:w="960" w:type="dxa"/>
            <w:tcBorders>
              <w:top w:val="nil"/>
              <w:left w:val="nil"/>
              <w:bottom w:val="nil"/>
              <w:right w:val="nil"/>
            </w:tcBorders>
            <w:shd w:val="clear" w:color="000000" w:fill="FF0000"/>
            <w:vAlign w:val="bottom"/>
            <w:hideMark/>
          </w:tcPr>
          <w:p w:rsidR="0013502F" w:rsidRPr="0013502F" w:rsidRDefault="0013502F" w:rsidP="0013502F">
            <w:pPr>
              <w:spacing w:after="0"/>
              <w:jc w:val="center"/>
              <w:rPr>
                <w:rFonts w:eastAsia="Times New Roman" w:cs="Times New Roman"/>
                <w:color w:val="FFFFFF"/>
                <w:sz w:val="20"/>
                <w:szCs w:val="20"/>
                <w:lang w:eastAsia="en-AU"/>
              </w:rPr>
            </w:pPr>
            <w:r w:rsidRPr="0013502F">
              <w:rPr>
                <w:rFonts w:eastAsia="Times New Roman" w:cs="Times New Roman"/>
                <w:color w:val="FFFFFF"/>
                <w:sz w:val="20"/>
                <w:szCs w:val="20"/>
                <w:lang w:eastAsia="en-AU"/>
              </w:rPr>
              <w:t> </w:t>
            </w:r>
          </w:p>
        </w:tc>
        <w:tc>
          <w:tcPr>
            <w:tcW w:w="1829" w:type="dxa"/>
            <w:gridSpan w:val="2"/>
            <w:tcBorders>
              <w:top w:val="nil"/>
              <w:left w:val="nil"/>
              <w:bottom w:val="nil"/>
              <w:right w:val="nil"/>
            </w:tcBorders>
            <w:shd w:val="clear" w:color="000000" w:fill="FF0000"/>
            <w:vAlign w:val="bottom"/>
            <w:hideMark/>
          </w:tcPr>
          <w:p w:rsidR="0013502F" w:rsidRPr="0013502F" w:rsidRDefault="0013502F" w:rsidP="0013502F">
            <w:pPr>
              <w:spacing w:after="0"/>
              <w:jc w:val="right"/>
              <w:rPr>
                <w:rFonts w:eastAsia="Times New Roman" w:cs="Times New Roman"/>
                <w:b/>
                <w:bCs/>
                <w:color w:val="FFFFFF"/>
                <w:sz w:val="20"/>
                <w:szCs w:val="20"/>
                <w:lang w:eastAsia="en-AU"/>
              </w:rPr>
            </w:pPr>
            <w:r w:rsidRPr="0013502F">
              <w:rPr>
                <w:rFonts w:eastAsia="Times New Roman" w:cs="Times New Roman"/>
                <w:b/>
                <w:bCs/>
                <w:color w:val="FFFFFF"/>
                <w:sz w:val="20"/>
                <w:szCs w:val="20"/>
                <w:lang w:eastAsia="en-AU"/>
              </w:rPr>
              <w:t>2010</w:t>
            </w:r>
            <w:r w:rsidR="00781184" w:rsidRPr="00781184">
              <w:rPr>
                <w:rFonts w:eastAsia="Times New Roman" w:cs="Times New Roman"/>
                <w:b/>
                <w:bCs/>
                <w:color w:val="FFFFFF"/>
                <w:sz w:val="20"/>
                <w:szCs w:val="20"/>
                <w:lang w:eastAsia="en-AU"/>
              </w:rPr>
              <w:t>–</w:t>
            </w:r>
            <w:r w:rsidRPr="0013502F">
              <w:rPr>
                <w:rFonts w:eastAsia="Times New Roman" w:cs="Times New Roman"/>
                <w:b/>
                <w:bCs/>
                <w:color w:val="FFFFFF"/>
                <w:sz w:val="20"/>
                <w:szCs w:val="20"/>
                <w:lang w:eastAsia="en-AU"/>
              </w:rPr>
              <w:t>11</w:t>
            </w:r>
          </w:p>
        </w:tc>
        <w:tc>
          <w:tcPr>
            <w:tcW w:w="1120" w:type="dxa"/>
            <w:tcBorders>
              <w:top w:val="nil"/>
              <w:left w:val="nil"/>
              <w:bottom w:val="nil"/>
              <w:right w:val="nil"/>
            </w:tcBorders>
            <w:shd w:val="clear" w:color="000000" w:fill="FF0000"/>
            <w:vAlign w:val="bottom"/>
            <w:hideMark/>
          </w:tcPr>
          <w:p w:rsidR="0013502F" w:rsidRPr="0013502F" w:rsidRDefault="0013502F" w:rsidP="0013502F">
            <w:pPr>
              <w:spacing w:after="0"/>
              <w:jc w:val="right"/>
              <w:rPr>
                <w:rFonts w:eastAsia="Times New Roman" w:cs="Times New Roman"/>
                <w:b/>
                <w:bCs/>
                <w:color w:val="FFFFFF"/>
                <w:sz w:val="20"/>
                <w:szCs w:val="20"/>
                <w:lang w:eastAsia="en-AU"/>
              </w:rPr>
            </w:pPr>
            <w:r w:rsidRPr="0013502F">
              <w:rPr>
                <w:rFonts w:eastAsia="Times New Roman" w:cs="Times New Roman"/>
                <w:b/>
                <w:bCs/>
                <w:color w:val="FFFFFF"/>
                <w:sz w:val="20"/>
                <w:szCs w:val="20"/>
                <w:lang w:eastAsia="en-AU"/>
              </w:rPr>
              <w:t>2011</w:t>
            </w:r>
            <w:r w:rsidR="00781184" w:rsidRPr="00781184">
              <w:rPr>
                <w:rFonts w:eastAsia="Times New Roman" w:cs="Times New Roman"/>
                <w:b/>
                <w:bCs/>
                <w:color w:val="FFFFFF"/>
                <w:sz w:val="20"/>
                <w:szCs w:val="20"/>
                <w:lang w:eastAsia="en-AU"/>
              </w:rPr>
              <w:t>–</w:t>
            </w:r>
            <w:r w:rsidRPr="0013502F">
              <w:rPr>
                <w:rFonts w:eastAsia="Times New Roman" w:cs="Times New Roman"/>
                <w:b/>
                <w:bCs/>
                <w:color w:val="FFFFFF"/>
                <w:sz w:val="20"/>
                <w:szCs w:val="20"/>
                <w:lang w:eastAsia="en-AU"/>
              </w:rPr>
              <w:t>12</w:t>
            </w:r>
          </w:p>
        </w:tc>
        <w:tc>
          <w:tcPr>
            <w:tcW w:w="1120" w:type="dxa"/>
            <w:tcBorders>
              <w:top w:val="nil"/>
              <w:left w:val="nil"/>
              <w:bottom w:val="nil"/>
              <w:right w:val="nil"/>
            </w:tcBorders>
            <w:shd w:val="clear" w:color="000000" w:fill="FF0000"/>
            <w:vAlign w:val="bottom"/>
            <w:hideMark/>
          </w:tcPr>
          <w:p w:rsidR="0013502F" w:rsidRPr="0013502F" w:rsidRDefault="0013502F" w:rsidP="0013502F">
            <w:pPr>
              <w:spacing w:after="0"/>
              <w:jc w:val="right"/>
              <w:rPr>
                <w:rFonts w:eastAsia="Times New Roman" w:cs="Times New Roman"/>
                <w:b/>
                <w:bCs/>
                <w:color w:val="FFFFFF"/>
                <w:sz w:val="20"/>
                <w:szCs w:val="20"/>
                <w:lang w:eastAsia="en-AU"/>
              </w:rPr>
            </w:pPr>
            <w:r w:rsidRPr="0013502F">
              <w:rPr>
                <w:rFonts w:eastAsia="Times New Roman" w:cs="Times New Roman"/>
                <w:b/>
                <w:bCs/>
                <w:color w:val="FFFFFF"/>
                <w:sz w:val="20"/>
                <w:szCs w:val="20"/>
                <w:lang w:eastAsia="en-AU"/>
              </w:rPr>
              <w:t>2012</w:t>
            </w:r>
            <w:r w:rsidR="00781184" w:rsidRPr="00781184">
              <w:rPr>
                <w:rFonts w:eastAsia="Times New Roman" w:cs="Times New Roman"/>
                <w:b/>
                <w:bCs/>
                <w:color w:val="FFFFFF"/>
                <w:sz w:val="20"/>
                <w:szCs w:val="20"/>
                <w:lang w:eastAsia="en-AU"/>
              </w:rPr>
              <w:t>–</w:t>
            </w:r>
            <w:r w:rsidRPr="0013502F">
              <w:rPr>
                <w:rFonts w:eastAsia="Times New Roman" w:cs="Times New Roman"/>
                <w:b/>
                <w:bCs/>
                <w:color w:val="FFFFFF"/>
                <w:sz w:val="20"/>
                <w:szCs w:val="20"/>
                <w:lang w:eastAsia="en-AU"/>
              </w:rPr>
              <w:t>13</w:t>
            </w:r>
          </w:p>
        </w:tc>
        <w:tc>
          <w:tcPr>
            <w:tcW w:w="1120" w:type="dxa"/>
            <w:tcBorders>
              <w:top w:val="nil"/>
              <w:left w:val="nil"/>
              <w:bottom w:val="nil"/>
              <w:right w:val="nil"/>
            </w:tcBorders>
            <w:shd w:val="clear" w:color="000000" w:fill="FF0000"/>
            <w:vAlign w:val="bottom"/>
            <w:hideMark/>
          </w:tcPr>
          <w:p w:rsidR="0013502F" w:rsidRPr="0013502F" w:rsidRDefault="0013502F" w:rsidP="0013502F">
            <w:pPr>
              <w:spacing w:after="0"/>
              <w:jc w:val="right"/>
              <w:rPr>
                <w:rFonts w:eastAsia="Times New Roman" w:cs="Times New Roman"/>
                <w:b/>
                <w:bCs/>
                <w:color w:val="FFFFFF"/>
                <w:sz w:val="20"/>
                <w:szCs w:val="20"/>
                <w:lang w:eastAsia="en-AU"/>
              </w:rPr>
            </w:pPr>
            <w:r w:rsidRPr="0013502F">
              <w:rPr>
                <w:rFonts w:eastAsia="Times New Roman" w:cs="Times New Roman"/>
                <w:b/>
                <w:bCs/>
                <w:color w:val="FFFFFF"/>
                <w:sz w:val="20"/>
                <w:szCs w:val="20"/>
                <w:lang w:eastAsia="en-AU"/>
              </w:rPr>
              <w:t>2013</w:t>
            </w:r>
            <w:r w:rsidR="00781184" w:rsidRPr="00781184">
              <w:rPr>
                <w:rFonts w:eastAsia="Times New Roman" w:cs="Times New Roman"/>
                <w:b/>
                <w:bCs/>
                <w:color w:val="FFFFFF"/>
                <w:sz w:val="20"/>
                <w:szCs w:val="20"/>
                <w:lang w:eastAsia="en-AU"/>
              </w:rPr>
              <w:t>–</w:t>
            </w:r>
            <w:r w:rsidRPr="0013502F">
              <w:rPr>
                <w:rFonts w:eastAsia="Times New Roman" w:cs="Times New Roman"/>
                <w:b/>
                <w:bCs/>
                <w:color w:val="FFFFFF"/>
                <w:sz w:val="20"/>
                <w:szCs w:val="20"/>
                <w:lang w:eastAsia="en-AU"/>
              </w:rPr>
              <w:t>14</w:t>
            </w:r>
          </w:p>
        </w:tc>
        <w:tc>
          <w:tcPr>
            <w:tcW w:w="2240" w:type="dxa"/>
            <w:gridSpan w:val="2"/>
            <w:tcBorders>
              <w:top w:val="nil"/>
              <w:left w:val="nil"/>
              <w:bottom w:val="nil"/>
              <w:right w:val="nil"/>
            </w:tcBorders>
            <w:shd w:val="clear" w:color="000000" w:fill="FF0000"/>
            <w:vAlign w:val="bottom"/>
            <w:hideMark/>
          </w:tcPr>
          <w:p w:rsidR="0013502F" w:rsidRPr="0013502F" w:rsidRDefault="0013502F" w:rsidP="0013502F">
            <w:pPr>
              <w:spacing w:after="0"/>
              <w:jc w:val="center"/>
              <w:rPr>
                <w:rFonts w:eastAsia="Times New Roman" w:cs="Times New Roman"/>
                <w:b/>
                <w:bCs/>
                <w:color w:val="FFFFFF"/>
                <w:sz w:val="20"/>
                <w:szCs w:val="20"/>
                <w:lang w:eastAsia="en-AU"/>
              </w:rPr>
            </w:pPr>
            <w:r w:rsidRPr="0013502F">
              <w:rPr>
                <w:rFonts w:eastAsia="Times New Roman" w:cs="Times New Roman"/>
                <w:b/>
                <w:bCs/>
                <w:color w:val="FFFFFF"/>
                <w:sz w:val="20"/>
                <w:szCs w:val="20"/>
                <w:lang w:eastAsia="en-AU"/>
              </w:rPr>
              <w:t>All reports</w:t>
            </w:r>
          </w:p>
        </w:tc>
      </w:tr>
      <w:tr w:rsidR="0013502F" w:rsidRPr="0013502F" w:rsidTr="00704467">
        <w:trPr>
          <w:trHeight w:val="300"/>
        </w:trPr>
        <w:tc>
          <w:tcPr>
            <w:tcW w:w="1985" w:type="dxa"/>
            <w:gridSpan w:val="2"/>
            <w:tcBorders>
              <w:top w:val="nil"/>
              <w:left w:val="nil"/>
              <w:bottom w:val="nil"/>
              <w:right w:val="nil"/>
            </w:tcBorders>
            <w:shd w:val="clear" w:color="000000" w:fill="D9D9D9"/>
            <w:vAlign w:val="center"/>
            <w:hideMark/>
          </w:tcPr>
          <w:p w:rsidR="0013502F" w:rsidRPr="0013502F" w:rsidRDefault="0013502F" w:rsidP="0013502F">
            <w:pPr>
              <w:spacing w:after="0"/>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 </w:t>
            </w:r>
          </w:p>
        </w:tc>
        <w:tc>
          <w:tcPr>
            <w:tcW w:w="804" w:type="dxa"/>
            <w:tcBorders>
              <w:top w:val="nil"/>
              <w:left w:val="nil"/>
              <w:bottom w:val="nil"/>
              <w:right w:val="nil"/>
            </w:tcBorders>
            <w:shd w:val="clear" w:color="000000" w:fill="D9D9D9"/>
            <w:vAlign w:val="center"/>
            <w:hideMark/>
          </w:tcPr>
          <w:p w:rsidR="0013502F" w:rsidRPr="0013502F" w:rsidRDefault="0013502F" w:rsidP="0013502F">
            <w:pPr>
              <w:spacing w:after="0"/>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 </w:t>
            </w:r>
          </w:p>
        </w:tc>
        <w:tc>
          <w:tcPr>
            <w:tcW w:w="1120" w:type="dxa"/>
            <w:tcBorders>
              <w:top w:val="nil"/>
              <w:left w:val="nil"/>
              <w:bottom w:val="nil"/>
              <w:right w:val="nil"/>
            </w:tcBorders>
            <w:shd w:val="clear" w:color="000000" w:fill="D9D9D9"/>
            <w:vAlign w:val="center"/>
            <w:hideMark/>
          </w:tcPr>
          <w:p w:rsidR="0013502F" w:rsidRPr="0013502F" w:rsidRDefault="0013502F" w:rsidP="0013502F">
            <w:pPr>
              <w:spacing w:after="0"/>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 </w:t>
            </w:r>
          </w:p>
        </w:tc>
        <w:tc>
          <w:tcPr>
            <w:tcW w:w="1120" w:type="dxa"/>
            <w:tcBorders>
              <w:top w:val="nil"/>
              <w:left w:val="nil"/>
              <w:bottom w:val="nil"/>
              <w:right w:val="nil"/>
            </w:tcBorders>
            <w:shd w:val="clear" w:color="000000" w:fill="D9D9D9"/>
            <w:vAlign w:val="center"/>
            <w:hideMark/>
          </w:tcPr>
          <w:p w:rsidR="0013502F" w:rsidRPr="0013502F" w:rsidRDefault="0013502F" w:rsidP="0013502F">
            <w:pPr>
              <w:spacing w:after="0"/>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 </w:t>
            </w:r>
          </w:p>
        </w:tc>
        <w:tc>
          <w:tcPr>
            <w:tcW w:w="1120" w:type="dxa"/>
            <w:tcBorders>
              <w:top w:val="nil"/>
              <w:left w:val="nil"/>
              <w:bottom w:val="nil"/>
              <w:right w:val="nil"/>
            </w:tcBorders>
            <w:shd w:val="clear" w:color="000000" w:fill="D9D9D9"/>
            <w:vAlign w:val="center"/>
            <w:hideMark/>
          </w:tcPr>
          <w:p w:rsidR="0013502F" w:rsidRPr="0013502F" w:rsidRDefault="0013502F" w:rsidP="0013502F">
            <w:pPr>
              <w:spacing w:after="0"/>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 </w:t>
            </w:r>
          </w:p>
        </w:tc>
        <w:tc>
          <w:tcPr>
            <w:tcW w:w="1040" w:type="dxa"/>
            <w:tcBorders>
              <w:top w:val="nil"/>
              <w:left w:val="nil"/>
              <w:bottom w:val="nil"/>
              <w:right w:val="nil"/>
            </w:tcBorders>
            <w:shd w:val="clear" w:color="000000" w:fill="D9D9D9"/>
            <w:vAlign w:val="center"/>
            <w:hideMark/>
          </w:tcPr>
          <w:p w:rsidR="0013502F" w:rsidRPr="0013502F" w:rsidRDefault="0013502F" w:rsidP="0013502F">
            <w:pPr>
              <w:spacing w:after="0"/>
              <w:jc w:val="right"/>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Number</w:t>
            </w:r>
          </w:p>
        </w:tc>
        <w:tc>
          <w:tcPr>
            <w:tcW w:w="1200" w:type="dxa"/>
            <w:tcBorders>
              <w:top w:val="nil"/>
              <w:left w:val="nil"/>
              <w:bottom w:val="nil"/>
              <w:right w:val="nil"/>
            </w:tcBorders>
            <w:shd w:val="clear" w:color="000000" w:fill="D9D9D9"/>
            <w:vAlign w:val="center"/>
            <w:hideMark/>
          </w:tcPr>
          <w:p w:rsidR="0013502F" w:rsidRPr="0013502F" w:rsidRDefault="0013502F" w:rsidP="0013502F">
            <w:pPr>
              <w:spacing w:after="0"/>
              <w:jc w:val="right"/>
              <w:rPr>
                <w:rFonts w:eastAsia="Times New Roman" w:cs="Times New Roman"/>
                <w:b/>
                <w:bCs/>
                <w:color w:val="FF0000"/>
                <w:sz w:val="20"/>
                <w:szCs w:val="20"/>
                <w:lang w:eastAsia="en-AU"/>
              </w:rPr>
            </w:pPr>
            <w:r w:rsidRPr="0013502F">
              <w:rPr>
                <w:rFonts w:eastAsia="Times New Roman" w:cs="Times New Roman"/>
                <w:b/>
                <w:bCs/>
                <w:color w:val="FF0000"/>
                <w:sz w:val="20"/>
                <w:szCs w:val="20"/>
                <w:lang w:eastAsia="en-AU"/>
              </w:rPr>
              <w:t>Per cent</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NSW</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186</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191</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194</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218</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789</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35.2%</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SA</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147</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151</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157</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154</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609</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27.2%</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QLD</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142</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177</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0</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151</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470</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21.0%</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VIC</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97</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81</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59</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86</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323</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14.4%</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NT</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5</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9</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11</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7</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32</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1.4%</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TAS</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5</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2</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4</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12</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0.5%</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color w:val="000000"/>
                <w:sz w:val="20"/>
                <w:szCs w:val="20"/>
                <w:lang w:eastAsia="en-AU"/>
              </w:rPr>
            </w:pPr>
            <w:r w:rsidRPr="0013502F">
              <w:rPr>
                <w:rFonts w:eastAsia="Times New Roman" w:cs="Times New Roman"/>
                <w:color w:val="000000"/>
                <w:sz w:val="20"/>
                <w:szCs w:val="20"/>
                <w:lang w:eastAsia="en-AU"/>
              </w:rPr>
              <w:t>ACT</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0</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4</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4</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0</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8</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color w:val="000000"/>
                <w:sz w:val="20"/>
                <w:szCs w:val="20"/>
                <w:lang w:eastAsia="en-AU"/>
              </w:rPr>
            </w:pPr>
            <w:r w:rsidRPr="0013502F">
              <w:rPr>
                <w:rFonts w:eastAsia="Times New Roman" w:cs="Times New Roman"/>
                <w:color w:val="000000"/>
                <w:sz w:val="20"/>
                <w:szCs w:val="20"/>
                <w:lang w:eastAsia="en-AU"/>
              </w:rPr>
              <w:t>0.4%</w:t>
            </w:r>
          </w:p>
        </w:tc>
      </w:tr>
      <w:tr w:rsidR="0013502F" w:rsidRPr="0013502F" w:rsidTr="00704467">
        <w:trPr>
          <w:trHeight w:val="300"/>
        </w:trPr>
        <w:tc>
          <w:tcPr>
            <w:tcW w:w="1985" w:type="dxa"/>
            <w:gridSpan w:val="2"/>
            <w:tcBorders>
              <w:top w:val="nil"/>
              <w:left w:val="nil"/>
              <w:bottom w:val="single" w:sz="4" w:space="0" w:color="000000"/>
              <w:right w:val="nil"/>
            </w:tcBorders>
            <w:shd w:val="clear" w:color="auto" w:fill="auto"/>
            <w:vAlign w:val="bottom"/>
            <w:hideMark/>
          </w:tcPr>
          <w:p w:rsidR="0013502F" w:rsidRPr="0013502F" w:rsidRDefault="0013502F" w:rsidP="0013502F">
            <w:pPr>
              <w:spacing w:after="0"/>
              <w:rPr>
                <w:rFonts w:eastAsia="Times New Roman" w:cs="Times New Roman"/>
                <w:b/>
                <w:bCs/>
                <w:color w:val="000000"/>
                <w:sz w:val="20"/>
                <w:szCs w:val="20"/>
                <w:lang w:eastAsia="en-AU"/>
              </w:rPr>
            </w:pPr>
            <w:r w:rsidRPr="0013502F">
              <w:rPr>
                <w:rFonts w:eastAsia="Times New Roman" w:cs="Times New Roman"/>
                <w:b/>
                <w:bCs/>
                <w:color w:val="000000"/>
                <w:sz w:val="20"/>
                <w:szCs w:val="20"/>
                <w:lang w:eastAsia="en-AU"/>
              </w:rPr>
              <w:t>All reports</w:t>
            </w:r>
          </w:p>
        </w:tc>
        <w:tc>
          <w:tcPr>
            <w:tcW w:w="804"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b/>
                <w:bCs/>
                <w:sz w:val="20"/>
                <w:szCs w:val="20"/>
                <w:lang w:eastAsia="en-AU"/>
              </w:rPr>
            </w:pPr>
            <w:r w:rsidRPr="0013502F">
              <w:rPr>
                <w:rFonts w:eastAsia="Times New Roman" w:cs="Times New Roman"/>
                <w:b/>
                <w:bCs/>
                <w:sz w:val="20"/>
                <w:szCs w:val="20"/>
                <w:lang w:eastAsia="en-AU"/>
              </w:rPr>
              <w:t>582</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b/>
                <w:bCs/>
                <w:sz w:val="20"/>
                <w:szCs w:val="20"/>
                <w:lang w:eastAsia="en-AU"/>
              </w:rPr>
            </w:pPr>
            <w:r w:rsidRPr="0013502F">
              <w:rPr>
                <w:rFonts w:eastAsia="Times New Roman" w:cs="Times New Roman"/>
                <w:b/>
                <w:bCs/>
                <w:sz w:val="20"/>
                <w:szCs w:val="20"/>
                <w:lang w:eastAsia="en-AU"/>
              </w:rPr>
              <w:t>615</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b/>
                <w:bCs/>
                <w:sz w:val="20"/>
                <w:szCs w:val="20"/>
                <w:lang w:eastAsia="en-AU"/>
              </w:rPr>
            </w:pPr>
            <w:r w:rsidRPr="0013502F">
              <w:rPr>
                <w:rFonts w:eastAsia="Times New Roman" w:cs="Times New Roman"/>
                <w:b/>
                <w:bCs/>
                <w:sz w:val="20"/>
                <w:szCs w:val="20"/>
                <w:lang w:eastAsia="en-AU"/>
              </w:rPr>
              <w:t>429</w:t>
            </w:r>
          </w:p>
        </w:tc>
        <w:tc>
          <w:tcPr>
            <w:tcW w:w="112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b/>
                <w:bCs/>
                <w:sz w:val="20"/>
                <w:szCs w:val="20"/>
                <w:lang w:eastAsia="en-AU"/>
              </w:rPr>
            </w:pPr>
            <w:r w:rsidRPr="0013502F">
              <w:rPr>
                <w:rFonts w:eastAsia="Times New Roman" w:cs="Times New Roman"/>
                <w:b/>
                <w:bCs/>
                <w:sz w:val="20"/>
                <w:szCs w:val="20"/>
                <w:lang w:eastAsia="en-AU"/>
              </w:rPr>
              <w:t>617</w:t>
            </w:r>
          </w:p>
        </w:tc>
        <w:tc>
          <w:tcPr>
            <w:tcW w:w="104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b/>
                <w:bCs/>
                <w:color w:val="000000"/>
                <w:sz w:val="20"/>
                <w:szCs w:val="20"/>
                <w:lang w:eastAsia="en-AU"/>
              </w:rPr>
            </w:pPr>
            <w:r w:rsidRPr="0013502F">
              <w:rPr>
                <w:rFonts w:eastAsia="Times New Roman" w:cs="Times New Roman"/>
                <w:b/>
                <w:bCs/>
                <w:color w:val="000000"/>
                <w:sz w:val="20"/>
                <w:szCs w:val="20"/>
                <w:lang w:eastAsia="en-AU"/>
              </w:rPr>
              <w:t>2,243</w:t>
            </w:r>
          </w:p>
        </w:tc>
        <w:tc>
          <w:tcPr>
            <w:tcW w:w="1200" w:type="dxa"/>
            <w:tcBorders>
              <w:top w:val="nil"/>
              <w:left w:val="nil"/>
              <w:bottom w:val="single" w:sz="4" w:space="0" w:color="000000"/>
              <w:right w:val="nil"/>
            </w:tcBorders>
            <w:shd w:val="clear" w:color="auto" w:fill="auto"/>
            <w:vAlign w:val="bottom"/>
            <w:hideMark/>
          </w:tcPr>
          <w:p w:rsidR="0013502F" w:rsidRPr="0013502F" w:rsidRDefault="0013502F" w:rsidP="0013502F">
            <w:pPr>
              <w:spacing w:after="0"/>
              <w:jc w:val="right"/>
              <w:rPr>
                <w:rFonts w:eastAsia="Times New Roman" w:cs="Times New Roman"/>
                <w:b/>
                <w:bCs/>
                <w:color w:val="000000"/>
                <w:sz w:val="20"/>
                <w:szCs w:val="20"/>
                <w:lang w:eastAsia="en-AU"/>
              </w:rPr>
            </w:pPr>
            <w:r w:rsidRPr="0013502F">
              <w:rPr>
                <w:rFonts w:eastAsia="Times New Roman" w:cs="Times New Roman"/>
                <w:b/>
                <w:bCs/>
                <w:color w:val="000000"/>
                <w:sz w:val="20"/>
                <w:szCs w:val="20"/>
                <w:lang w:eastAsia="en-AU"/>
              </w:rPr>
              <w:t>100.0%</w:t>
            </w:r>
          </w:p>
        </w:tc>
      </w:tr>
    </w:tbl>
    <w:p w:rsidR="00926B41" w:rsidRPr="00E4119C" w:rsidRDefault="00926B41" w:rsidP="00926B41">
      <w:pPr>
        <w:spacing w:before="40" w:after="40" w:line="180" w:lineRule="atLeast"/>
        <w:rPr>
          <w:sz w:val="18"/>
          <w:szCs w:val="18"/>
        </w:rPr>
      </w:pPr>
      <w:r w:rsidRPr="00E4119C">
        <w:rPr>
          <w:sz w:val="18"/>
          <w:szCs w:val="18"/>
        </w:rPr>
        <w:t>Notes</w:t>
      </w:r>
    </w:p>
    <w:p w:rsidR="00926B41" w:rsidRDefault="00926B41" w:rsidP="0096249F">
      <w:pPr>
        <w:pStyle w:val="ListParagraph"/>
        <w:numPr>
          <w:ilvl w:val="0"/>
          <w:numId w:val="24"/>
        </w:numPr>
        <w:spacing w:before="40" w:after="40" w:line="180" w:lineRule="atLeast"/>
        <w:rPr>
          <w:sz w:val="18"/>
          <w:szCs w:val="18"/>
        </w:rPr>
      </w:pPr>
      <w:r w:rsidRPr="001B6B67">
        <w:rPr>
          <w:sz w:val="18"/>
          <w:szCs w:val="18"/>
        </w:rPr>
        <w:t xml:space="preserve">NSW did not </w:t>
      </w:r>
      <w:r>
        <w:rPr>
          <w:sz w:val="18"/>
          <w:szCs w:val="18"/>
        </w:rPr>
        <w:t>report</w:t>
      </w:r>
      <w:r w:rsidRPr="00E4119C">
        <w:rPr>
          <w:sz w:val="18"/>
          <w:szCs w:val="18"/>
        </w:rPr>
        <w:t xml:space="preserve"> detailed data (such as blood products, outcome severity and </w:t>
      </w:r>
      <w:proofErr w:type="spellStart"/>
      <w:r w:rsidRPr="00E4119C">
        <w:rPr>
          <w:sz w:val="18"/>
          <w:szCs w:val="18"/>
        </w:rPr>
        <w:t>imputability</w:t>
      </w:r>
      <w:proofErr w:type="spellEnd"/>
      <w:r w:rsidRPr="00E4119C">
        <w:rPr>
          <w:sz w:val="18"/>
          <w:szCs w:val="18"/>
        </w:rPr>
        <w:t xml:space="preserve"> score) for 2010–11</w:t>
      </w:r>
    </w:p>
    <w:p w:rsidR="00926B41" w:rsidRPr="00E4119C" w:rsidRDefault="00926B41" w:rsidP="0096249F">
      <w:pPr>
        <w:pStyle w:val="ListParagraph"/>
        <w:numPr>
          <w:ilvl w:val="0"/>
          <w:numId w:val="24"/>
        </w:numPr>
        <w:spacing w:before="40" w:after="40" w:line="180" w:lineRule="atLeast"/>
        <w:rPr>
          <w:sz w:val="18"/>
          <w:szCs w:val="18"/>
        </w:rPr>
      </w:pPr>
      <w:r w:rsidRPr="00E4119C">
        <w:rPr>
          <w:sz w:val="18"/>
          <w:szCs w:val="18"/>
        </w:rPr>
        <w:t xml:space="preserve">ACT reported zero </w:t>
      </w:r>
      <w:r w:rsidR="002638EF">
        <w:rPr>
          <w:sz w:val="18"/>
          <w:szCs w:val="18"/>
        </w:rPr>
        <w:t xml:space="preserve">adverse </w:t>
      </w:r>
      <w:r w:rsidRPr="00E4119C">
        <w:rPr>
          <w:sz w:val="18"/>
          <w:szCs w:val="18"/>
        </w:rPr>
        <w:t>event</w:t>
      </w:r>
      <w:r w:rsidR="002638EF">
        <w:rPr>
          <w:sz w:val="18"/>
          <w:szCs w:val="18"/>
        </w:rPr>
        <w:t>s</w:t>
      </w:r>
      <w:r w:rsidRPr="00E4119C">
        <w:rPr>
          <w:sz w:val="18"/>
          <w:szCs w:val="18"/>
        </w:rPr>
        <w:t xml:space="preserve"> for </w:t>
      </w:r>
      <w:r w:rsidR="00781184" w:rsidRPr="00E4119C">
        <w:rPr>
          <w:sz w:val="18"/>
          <w:szCs w:val="18"/>
        </w:rPr>
        <w:t>2010-11</w:t>
      </w:r>
      <w:r w:rsidR="00781184">
        <w:rPr>
          <w:sz w:val="18"/>
          <w:szCs w:val="18"/>
        </w:rPr>
        <w:t xml:space="preserve"> and </w:t>
      </w:r>
      <w:r w:rsidRPr="00E4119C">
        <w:rPr>
          <w:sz w:val="18"/>
          <w:szCs w:val="18"/>
        </w:rPr>
        <w:t>2013–14</w:t>
      </w:r>
    </w:p>
    <w:p w:rsidR="00926B41" w:rsidRDefault="00926B41" w:rsidP="0096249F">
      <w:pPr>
        <w:pStyle w:val="ListParagraph"/>
        <w:numPr>
          <w:ilvl w:val="0"/>
          <w:numId w:val="24"/>
        </w:numPr>
        <w:spacing w:before="40" w:after="40" w:line="180" w:lineRule="atLeast"/>
        <w:rPr>
          <w:sz w:val="18"/>
          <w:szCs w:val="18"/>
        </w:rPr>
      </w:pPr>
      <w:r w:rsidRPr="00E4119C">
        <w:rPr>
          <w:sz w:val="18"/>
          <w:szCs w:val="18"/>
        </w:rPr>
        <w:t xml:space="preserve">QLD </w:t>
      </w:r>
      <w:r>
        <w:rPr>
          <w:sz w:val="18"/>
          <w:szCs w:val="18"/>
        </w:rPr>
        <w:t xml:space="preserve">did not contribute data </w:t>
      </w:r>
      <w:r w:rsidRPr="00E4119C">
        <w:rPr>
          <w:sz w:val="18"/>
          <w:szCs w:val="18"/>
        </w:rPr>
        <w:t>for 2012–13</w:t>
      </w:r>
    </w:p>
    <w:p w:rsidR="002638EF" w:rsidRDefault="00926B41" w:rsidP="0096249F">
      <w:pPr>
        <w:pStyle w:val="ListParagraph"/>
        <w:numPr>
          <w:ilvl w:val="0"/>
          <w:numId w:val="24"/>
        </w:numPr>
        <w:spacing w:before="40" w:after="40" w:line="180" w:lineRule="atLeast"/>
        <w:rPr>
          <w:sz w:val="18"/>
          <w:szCs w:val="18"/>
        </w:rPr>
      </w:pPr>
      <w:r w:rsidRPr="00E443E2">
        <w:rPr>
          <w:sz w:val="18"/>
          <w:szCs w:val="18"/>
        </w:rPr>
        <w:t>WA did not contribute data</w:t>
      </w:r>
    </w:p>
    <w:p w:rsidR="00AE0077" w:rsidRPr="00374BFB" w:rsidRDefault="00567AE2" w:rsidP="00FD055F">
      <w:pPr>
        <w:spacing w:before="200" w:line="276" w:lineRule="auto"/>
        <w:rPr>
          <w:b/>
          <w:sz w:val="18"/>
          <w:szCs w:val="18"/>
        </w:rPr>
      </w:pPr>
      <w:r>
        <w:fldChar w:fldCharType="begin"/>
      </w:r>
      <w:r>
        <w:instrText xml:space="preserve"> REF _Ref459636461 \h </w:instrText>
      </w:r>
      <w:r>
        <w:fldChar w:fldCharType="separate"/>
      </w:r>
      <w:r w:rsidR="000010BC" w:rsidRPr="00FE6DFD">
        <w:t xml:space="preserve">Table </w:t>
      </w:r>
      <w:r w:rsidR="000010BC">
        <w:rPr>
          <w:bCs/>
          <w:noProof/>
        </w:rPr>
        <w:t>8</w:t>
      </w:r>
      <w:r>
        <w:fldChar w:fldCharType="end"/>
      </w:r>
      <w:r>
        <w:t xml:space="preserve"> </w:t>
      </w:r>
      <w:r w:rsidR="00AE0077">
        <w:t>shows that from 2</w:t>
      </w:r>
      <w:r w:rsidR="00AE0077" w:rsidRPr="00AE0077">
        <w:t>010–11 to 2013–14</w:t>
      </w:r>
      <w:r w:rsidR="00AE0077">
        <w:t>:</w:t>
      </w:r>
    </w:p>
    <w:p w:rsidR="00AE0077" w:rsidRDefault="00AE0077" w:rsidP="0096249F">
      <w:pPr>
        <w:pStyle w:val="ListParagraph"/>
        <w:numPr>
          <w:ilvl w:val="0"/>
          <w:numId w:val="30"/>
        </w:numPr>
      </w:pPr>
      <w:r>
        <w:t>T</w:t>
      </w:r>
      <w:r w:rsidR="00781184">
        <w:t xml:space="preserve">he most frequently reported adverse events </w:t>
      </w:r>
      <w:r w:rsidR="008D68A7">
        <w:t xml:space="preserve">were </w:t>
      </w:r>
      <w:r w:rsidR="00781184">
        <w:t>FNHTRs and allergic reactions, representing 53.</w:t>
      </w:r>
      <w:r>
        <w:t>9</w:t>
      </w:r>
      <w:r w:rsidR="00781184">
        <w:t>% and 24.</w:t>
      </w:r>
      <w:r>
        <w:t>3</w:t>
      </w:r>
      <w:r w:rsidR="00781184">
        <w:t>% of all reports respectively.</w:t>
      </w:r>
    </w:p>
    <w:p w:rsidR="00AE0077" w:rsidRDefault="00AE0077" w:rsidP="0096249F">
      <w:pPr>
        <w:pStyle w:val="ListParagraph"/>
        <w:numPr>
          <w:ilvl w:val="0"/>
          <w:numId w:val="30"/>
        </w:numPr>
      </w:pPr>
      <w:r>
        <w:t>Seven</w:t>
      </w:r>
      <w:r w:rsidR="00781184">
        <w:t xml:space="preserve"> PTP cases, </w:t>
      </w:r>
      <w:r w:rsidR="005501AE">
        <w:t xml:space="preserve">including </w:t>
      </w:r>
      <w:r w:rsidR="00781184">
        <w:t xml:space="preserve">six cases in 2013–14, were reported to the </w:t>
      </w:r>
      <w:r w:rsidR="005501AE">
        <w:t>n</w:t>
      </w:r>
      <w:r>
        <w:t xml:space="preserve">ational </w:t>
      </w:r>
      <w:proofErr w:type="spellStart"/>
      <w:r w:rsidR="005501AE">
        <w:t>h</w:t>
      </w:r>
      <w:r>
        <w:t>aemovigilance</w:t>
      </w:r>
      <w:proofErr w:type="spellEnd"/>
      <w:r>
        <w:t xml:space="preserve"> </w:t>
      </w:r>
      <w:r w:rsidR="005501AE">
        <w:t>p</w:t>
      </w:r>
      <w:r>
        <w:t>rogram.</w:t>
      </w:r>
    </w:p>
    <w:p w:rsidR="00781184" w:rsidRDefault="005501AE" w:rsidP="0096249F">
      <w:pPr>
        <w:pStyle w:val="ListParagraph"/>
        <w:numPr>
          <w:ilvl w:val="0"/>
          <w:numId w:val="30"/>
        </w:numPr>
      </w:pPr>
      <w:r>
        <w:t xml:space="preserve">It is suspected that in </w:t>
      </w:r>
      <w:r w:rsidR="00F96C15">
        <w:t>Australia</w:t>
      </w:r>
      <w:r>
        <w:t>,</w:t>
      </w:r>
      <w:r w:rsidR="00781184">
        <w:t xml:space="preserve"> TACO, TRALI, and DHTR </w:t>
      </w:r>
      <w:r>
        <w:t>are</w:t>
      </w:r>
      <w:r w:rsidR="00A44126">
        <w:t xml:space="preserve"> under-</w:t>
      </w:r>
      <w:r w:rsidR="00781184">
        <w:t>reported</w:t>
      </w:r>
      <w:r w:rsidR="00F96C15">
        <w:t xml:space="preserve"> when comparing the transfusion risks of these three adverse events with the other </w:t>
      </w:r>
      <w:r w:rsidR="00D3289E">
        <w:t xml:space="preserve">commonly reported </w:t>
      </w:r>
      <w:r w:rsidR="00F96C15">
        <w:t>adverse events. For example</w:t>
      </w:r>
      <w:r>
        <w:t>:</w:t>
      </w:r>
      <w:r w:rsidR="00F96C15">
        <w:t xml:space="preserve"> </w:t>
      </w:r>
      <w:r>
        <w:t>t</w:t>
      </w:r>
      <w:r w:rsidR="00F96C15">
        <w:t xml:space="preserve">he transfusion risks suggest that TACO is </w:t>
      </w:r>
      <w:r w:rsidR="00216C4A">
        <w:t xml:space="preserve">as common </w:t>
      </w:r>
      <w:r w:rsidR="00F96C15">
        <w:t>as FNHTR</w:t>
      </w:r>
      <w:r>
        <w:t>,</w:t>
      </w:r>
      <w:r w:rsidR="00F96C15">
        <w:t xml:space="preserve"> however the number of TACO</w:t>
      </w:r>
      <w:r>
        <w:t xml:space="preserve"> event</w:t>
      </w:r>
      <w:r w:rsidR="00F96C15">
        <w:t xml:space="preserve">s reported to the </w:t>
      </w:r>
      <w:r>
        <w:t>n</w:t>
      </w:r>
      <w:r w:rsidR="00F96C15">
        <w:t xml:space="preserve">ational </w:t>
      </w:r>
      <w:proofErr w:type="spellStart"/>
      <w:r>
        <w:t>h</w:t>
      </w:r>
      <w:r w:rsidR="00F96C15">
        <w:t>aemovigilance</w:t>
      </w:r>
      <w:proofErr w:type="spellEnd"/>
      <w:r w:rsidR="00F96C15">
        <w:t xml:space="preserve"> </w:t>
      </w:r>
      <w:r>
        <w:t>p</w:t>
      </w:r>
      <w:r w:rsidR="00F96C15">
        <w:t>rogram is much lower than that of FNHTR</w:t>
      </w:r>
      <w:r>
        <w:t xml:space="preserve"> event</w:t>
      </w:r>
      <w:r w:rsidR="00216C4A">
        <w:t>s</w:t>
      </w:r>
      <w:r w:rsidR="004379C0">
        <w:t xml:space="preserve"> (</w:t>
      </w:r>
      <w:r w:rsidR="00216C4A">
        <w:t xml:space="preserve">96 versus </w:t>
      </w:r>
      <w:r w:rsidR="004379C0">
        <w:t>1,209)</w:t>
      </w:r>
      <w:r w:rsidR="00F96C15">
        <w:t>.</w:t>
      </w:r>
    </w:p>
    <w:p w:rsidR="00781184" w:rsidRDefault="00781184" w:rsidP="0096249F">
      <w:pPr>
        <w:pStyle w:val="ListParagraph"/>
        <w:numPr>
          <w:ilvl w:val="0"/>
          <w:numId w:val="30"/>
        </w:numPr>
      </w:pPr>
      <w:r>
        <w:t>Human errors continue to co</w:t>
      </w:r>
      <w:r w:rsidR="004F5A2F">
        <w:t xml:space="preserve">ntribute to the </w:t>
      </w:r>
      <w:r w:rsidR="005501AE">
        <w:t xml:space="preserve">occurrence of </w:t>
      </w:r>
      <w:r w:rsidR="004F5A2F">
        <w:t>adverse events</w:t>
      </w:r>
      <w:r w:rsidR="00ED7AD2">
        <w:t>. For example, IBCT</w:t>
      </w:r>
      <w:r w:rsidR="004F5A2F">
        <w:t xml:space="preserve"> contributed to 7.5% of </w:t>
      </w:r>
      <w:r w:rsidR="0072498E">
        <w:t xml:space="preserve">all reported </w:t>
      </w:r>
      <w:r w:rsidR="004F5A2F">
        <w:t xml:space="preserve">events. Human errors </w:t>
      </w:r>
      <w:r w:rsidR="005501AE">
        <w:t>are</w:t>
      </w:r>
      <w:r w:rsidR="004F5A2F">
        <w:t xml:space="preserve"> </w:t>
      </w:r>
      <w:r>
        <w:t xml:space="preserve">discussed further in the </w:t>
      </w:r>
      <w:r w:rsidR="005501AE">
        <w:t>c</w:t>
      </w:r>
      <w:r w:rsidR="004F5A2F">
        <w:t>ontributory factors</w:t>
      </w:r>
      <w:r w:rsidR="005501AE" w:rsidRPr="005501AE">
        <w:t xml:space="preserve"> </w:t>
      </w:r>
      <w:r w:rsidR="005501AE">
        <w:t>section</w:t>
      </w:r>
      <w:r>
        <w:t>.</w:t>
      </w:r>
    </w:p>
    <w:p w:rsidR="00AE0077" w:rsidRDefault="008D68A7" w:rsidP="008D68A7">
      <w:r>
        <w:t>Please note that</w:t>
      </w:r>
      <w:r w:rsidR="00AE0077">
        <w:t xml:space="preserve"> </w:t>
      </w:r>
      <w:r w:rsidR="00F93EBC">
        <w:t xml:space="preserve">some </w:t>
      </w:r>
      <w:r w:rsidR="00AE0077">
        <w:t>FNHTR</w:t>
      </w:r>
      <w:r w:rsidR="005501AE">
        <w:t xml:space="preserve"> event</w:t>
      </w:r>
      <w:r w:rsidR="00AE0077">
        <w:t xml:space="preserve">s reportable to the </w:t>
      </w:r>
      <w:r w:rsidR="005501AE">
        <w:t>n</w:t>
      </w:r>
      <w:r w:rsidR="00AE0077">
        <w:t xml:space="preserve">ational </w:t>
      </w:r>
      <w:proofErr w:type="spellStart"/>
      <w:r w:rsidR="005501AE">
        <w:t>h</w:t>
      </w:r>
      <w:r w:rsidR="00AE0077">
        <w:t>aemovigilance</w:t>
      </w:r>
      <w:proofErr w:type="spellEnd"/>
      <w:r w:rsidR="00AE0077">
        <w:t xml:space="preserve"> </w:t>
      </w:r>
      <w:r w:rsidR="005501AE">
        <w:t>p</w:t>
      </w:r>
      <w:r w:rsidR="00AE0077">
        <w:t xml:space="preserve">rogram </w:t>
      </w:r>
      <w:r w:rsidR="00CD49C0">
        <w:t xml:space="preserve">may have been </w:t>
      </w:r>
      <w:r w:rsidR="00AE0077">
        <w:t xml:space="preserve">screened out </w:t>
      </w:r>
      <w:r w:rsidR="005501AE">
        <w:t xml:space="preserve">by STIR </w:t>
      </w:r>
      <w:r w:rsidR="00AE0077">
        <w:t>for VIC, NT, TAS and ACT</w:t>
      </w:r>
      <w:r>
        <w:t xml:space="preserve"> due to the use of a higher level temperature threshold for the reporting </w:t>
      </w:r>
      <w:r w:rsidR="00ED7AD2">
        <w:t xml:space="preserve">of </w:t>
      </w:r>
      <w:r>
        <w:t xml:space="preserve">FNHTR. </w:t>
      </w:r>
      <w:r w:rsidR="00AE0077">
        <w:t>All TTIs were</w:t>
      </w:r>
      <w:r w:rsidR="00FF53AC">
        <w:t xml:space="preserve"> suspected but </w:t>
      </w:r>
      <w:r w:rsidR="00135E58">
        <w:t xml:space="preserve">not </w:t>
      </w:r>
      <w:r w:rsidR="00FF53AC">
        <w:t>confirmed</w:t>
      </w:r>
      <w:r w:rsidR="00AE0077">
        <w:t xml:space="preserve"> bacterial infections</w:t>
      </w:r>
      <w:r w:rsidR="00FF53AC">
        <w:t xml:space="preserve">. </w:t>
      </w:r>
    </w:p>
    <w:p w:rsidR="00567AE2" w:rsidRDefault="00567AE2" w:rsidP="00FE6DFD">
      <w:pPr>
        <w:pStyle w:val="Caption"/>
        <w:keepNext/>
        <w:rPr>
          <w:bCs w:val="0"/>
        </w:rPr>
      </w:pPr>
      <w:bookmarkStart w:id="46" w:name="_Ref450826490"/>
    </w:p>
    <w:p w:rsidR="005F29F1" w:rsidRPr="00FE6DFD" w:rsidRDefault="005F29F1" w:rsidP="00FE6DFD">
      <w:pPr>
        <w:pStyle w:val="Caption"/>
        <w:keepNext/>
        <w:rPr>
          <w:bCs w:val="0"/>
        </w:rPr>
      </w:pPr>
      <w:bookmarkStart w:id="47" w:name="_Ref459636461"/>
      <w:bookmarkStart w:id="48" w:name="_Toc459636848"/>
      <w:r w:rsidRPr="00FE6DFD">
        <w:rPr>
          <w:bCs w:val="0"/>
        </w:rPr>
        <w:t xml:space="preserve">Table </w:t>
      </w:r>
      <w:r w:rsidR="00837992" w:rsidRPr="00FE6DFD">
        <w:rPr>
          <w:bCs w:val="0"/>
        </w:rPr>
        <w:fldChar w:fldCharType="begin"/>
      </w:r>
      <w:r w:rsidR="00837992" w:rsidRPr="00FE6DFD">
        <w:rPr>
          <w:bCs w:val="0"/>
        </w:rPr>
        <w:instrText xml:space="preserve"> SEQ Table \* ARABIC </w:instrText>
      </w:r>
      <w:r w:rsidR="00837992" w:rsidRPr="00FE6DFD">
        <w:rPr>
          <w:bCs w:val="0"/>
        </w:rPr>
        <w:fldChar w:fldCharType="separate"/>
      </w:r>
      <w:r w:rsidR="000010BC">
        <w:rPr>
          <w:bCs w:val="0"/>
          <w:noProof/>
        </w:rPr>
        <w:t>8</w:t>
      </w:r>
      <w:r w:rsidR="00837992" w:rsidRPr="00FE6DFD">
        <w:rPr>
          <w:bCs w:val="0"/>
        </w:rPr>
        <w:fldChar w:fldCharType="end"/>
      </w:r>
      <w:bookmarkEnd w:id="46"/>
      <w:bookmarkEnd w:id="47"/>
      <w:r w:rsidRPr="00FE6DFD">
        <w:rPr>
          <w:bCs w:val="0"/>
        </w:rPr>
        <w:t xml:space="preserve">: Australian adverse event data, </w:t>
      </w:r>
      <w:r w:rsidR="00926B41" w:rsidRPr="00FE6DFD">
        <w:rPr>
          <w:bCs w:val="0"/>
        </w:rPr>
        <w:t>2010</w:t>
      </w:r>
      <w:r w:rsidRPr="00FE6DFD">
        <w:rPr>
          <w:bCs w:val="0"/>
        </w:rPr>
        <w:t>–</w:t>
      </w:r>
      <w:r w:rsidR="00926B41" w:rsidRPr="00FE6DFD">
        <w:rPr>
          <w:bCs w:val="0"/>
        </w:rPr>
        <w:t xml:space="preserve">11 </w:t>
      </w:r>
      <w:r w:rsidRPr="00FE6DFD">
        <w:rPr>
          <w:bCs w:val="0"/>
        </w:rPr>
        <w:t>to 2013–1</w:t>
      </w:r>
      <w:bookmarkEnd w:id="45"/>
      <w:r w:rsidRPr="00FE6DFD">
        <w:rPr>
          <w:bCs w:val="0"/>
        </w:rPr>
        <w:t>4</w:t>
      </w:r>
      <w:bookmarkEnd w:id="48"/>
    </w:p>
    <w:tbl>
      <w:tblPr>
        <w:tblW w:w="10065" w:type="dxa"/>
        <w:tblInd w:w="108" w:type="dxa"/>
        <w:tblLook w:val="04A0" w:firstRow="1" w:lastRow="0" w:firstColumn="1" w:lastColumn="0" w:noHBand="0" w:noVBand="1"/>
      </w:tblPr>
      <w:tblGrid>
        <w:gridCol w:w="1276"/>
        <w:gridCol w:w="1007"/>
        <w:gridCol w:w="1007"/>
        <w:gridCol w:w="1007"/>
        <w:gridCol w:w="1008"/>
        <w:gridCol w:w="897"/>
        <w:gridCol w:w="1094"/>
        <w:gridCol w:w="2769"/>
      </w:tblGrid>
      <w:tr w:rsidR="00F96C15" w:rsidRPr="00F96C15" w:rsidTr="00BE6693">
        <w:trPr>
          <w:trHeight w:val="510"/>
        </w:trPr>
        <w:tc>
          <w:tcPr>
            <w:tcW w:w="1276" w:type="dxa"/>
            <w:tcBorders>
              <w:top w:val="nil"/>
              <w:left w:val="nil"/>
              <w:bottom w:val="nil"/>
              <w:right w:val="nil"/>
            </w:tcBorders>
            <w:shd w:val="clear" w:color="000000" w:fill="FF0000"/>
            <w:vAlign w:val="center"/>
            <w:hideMark/>
          </w:tcPr>
          <w:p w:rsidR="00F96C15" w:rsidRPr="00F96C15" w:rsidRDefault="00F96C15" w:rsidP="00F96C15">
            <w:pPr>
              <w:spacing w:after="0"/>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Adverse event</w:t>
            </w:r>
          </w:p>
        </w:tc>
        <w:tc>
          <w:tcPr>
            <w:tcW w:w="1007" w:type="dxa"/>
            <w:tcBorders>
              <w:top w:val="nil"/>
              <w:left w:val="nil"/>
              <w:bottom w:val="nil"/>
              <w:right w:val="nil"/>
            </w:tcBorders>
            <w:shd w:val="clear" w:color="000000" w:fill="FF0000"/>
            <w:vAlign w:val="center"/>
            <w:hideMark/>
          </w:tcPr>
          <w:p w:rsidR="00F96C15" w:rsidRPr="00F96C15" w:rsidRDefault="00F96C15" w:rsidP="00944C80">
            <w:pPr>
              <w:spacing w:after="0"/>
              <w:jc w:val="right"/>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2010–11</w:t>
            </w:r>
          </w:p>
        </w:tc>
        <w:tc>
          <w:tcPr>
            <w:tcW w:w="1007" w:type="dxa"/>
            <w:tcBorders>
              <w:top w:val="nil"/>
              <w:left w:val="nil"/>
              <w:bottom w:val="nil"/>
              <w:right w:val="nil"/>
            </w:tcBorders>
            <w:shd w:val="clear" w:color="000000" w:fill="FF0000"/>
            <w:vAlign w:val="center"/>
            <w:hideMark/>
          </w:tcPr>
          <w:p w:rsidR="00F96C15" w:rsidRPr="00F96C15" w:rsidRDefault="00F96C15" w:rsidP="00944C80">
            <w:pPr>
              <w:spacing w:after="0"/>
              <w:jc w:val="right"/>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2011–12</w:t>
            </w:r>
          </w:p>
        </w:tc>
        <w:tc>
          <w:tcPr>
            <w:tcW w:w="1007" w:type="dxa"/>
            <w:tcBorders>
              <w:top w:val="nil"/>
              <w:left w:val="nil"/>
              <w:bottom w:val="nil"/>
              <w:right w:val="nil"/>
            </w:tcBorders>
            <w:shd w:val="clear" w:color="000000" w:fill="FF0000"/>
            <w:vAlign w:val="center"/>
            <w:hideMark/>
          </w:tcPr>
          <w:p w:rsidR="00F96C15" w:rsidRPr="00F96C15" w:rsidRDefault="00F96C15" w:rsidP="00F96C15">
            <w:pPr>
              <w:spacing w:after="0"/>
              <w:jc w:val="right"/>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2012–13</w:t>
            </w:r>
          </w:p>
        </w:tc>
        <w:tc>
          <w:tcPr>
            <w:tcW w:w="1008" w:type="dxa"/>
            <w:tcBorders>
              <w:top w:val="nil"/>
              <w:left w:val="nil"/>
              <w:bottom w:val="nil"/>
              <w:right w:val="nil"/>
            </w:tcBorders>
            <w:shd w:val="clear" w:color="000000" w:fill="FF0000"/>
            <w:vAlign w:val="center"/>
            <w:hideMark/>
          </w:tcPr>
          <w:p w:rsidR="00F96C15" w:rsidRPr="00F96C15" w:rsidRDefault="00F96C15" w:rsidP="00F96C15">
            <w:pPr>
              <w:spacing w:after="0"/>
              <w:jc w:val="right"/>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2013–14</w:t>
            </w:r>
          </w:p>
        </w:tc>
        <w:tc>
          <w:tcPr>
            <w:tcW w:w="1991" w:type="dxa"/>
            <w:gridSpan w:val="2"/>
            <w:tcBorders>
              <w:top w:val="nil"/>
              <w:left w:val="nil"/>
              <w:bottom w:val="nil"/>
              <w:right w:val="nil"/>
            </w:tcBorders>
            <w:shd w:val="clear" w:color="000000" w:fill="FF0000"/>
            <w:vAlign w:val="center"/>
            <w:hideMark/>
          </w:tcPr>
          <w:p w:rsidR="00F96C15" w:rsidRPr="00F96C15" w:rsidRDefault="00F96C15" w:rsidP="00F96C15">
            <w:pPr>
              <w:spacing w:after="0"/>
              <w:jc w:val="center"/>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All reports</w:t>
            </w:r>
          </w:p>
        </w:tc>
        <w:tc>
          <w:tcPr>
            <w:tcW w:w="2769" w:type="dxa"/>
            <w:tcBorders>
              <w:top w:val="nil"/>
              <w:left w:val="nil"/>
              <w:bottom w:val="nil"/>
              <w:right w:val="nil"/>
            </w:tcBorders>
            <w:shd w:val="clear" w:color="000000" w:fill="FF0000"/>
            <w:vAlign w:val="center"/>
            <w:hideMark/>
          </w:tcPr>
          <w:p w:rsidR="00F96C15" w:rsidRPr="00F96C15" w:rsidRDefault="00F96C15" w:rsidP="00F96C15">
            <w:pPr>
              <w:spacing w:after="0"/>
              <w:rPr>
                <w:rFonts w:eastAsia="Times New Roman" w:cs="Times New Roman"/>
                <w:b/>
                <w:bCs/>
                <w:color w:val="FFFFFF"/>
                <w:sz w:val="20"/>
                <w:szCs w:val="20"/>
                <w:lang w:eastAsia="en-AU"/>
              </w:rPr>
            </w:pPr>
            <w:r w:rsidRPr="00F96C15">
              <w:rPr>
                <w:rFonts w:eastAsia="Times New Roman" w:cs="Times New Roman"/>
                <w:b/>
                <w:bCs/>
                <w:color w:val="FFFFFF"/>
                <w:sz w:val="20"/>
                <w:szCs w:val="20"/>
                <w:lang w:eastAsia="en-AU"/>
              </w:rPr>
              <w:t>T</w:t>
            </w:r>
            <w:r w:rsidR="0072498E">
              <w:rPr>
                <w:rFonts w:eastAsia="Times New Roman" w:cs="Times New Roman"/>
                <w:b/>
                <w:bCs/>
                <w:color w:val="FFFFFF"/>
                <w:sz w:val="20"/>
                <w:szCs w:val="20"/>
                <w:lang w:eastAsia="en-AU"/>
              </w:rPr>
              <w:t>r</w:t>
            </w:r>
            <w:r w:rsidRPr="00F96C15">
              <w:rPr>
                <w:rFonts w:eastAsia="Times New Roman" w:cs="Times New Roman"/>
                <w:b/>
                <w:bCs/>
                <w:color w:val="FFFFFF"/>
                <w:sz w:val="20"/>
                <w:szCs w:val="20"/>
                <w:lang w:eastAsia="en-AU"/>
              </w:rPr>
              <w:t>ansfusion risk per unit transfused</w:t>
            </w:r>
          </w:p>
        </w:tc>
      </w:tr>
      <w:tr w:rsidR="00F96C15" w:rsidRPr="00F96C15" w:rsidTr="00BE6693">
        <w:trPr>
          <w:trHeight w:val="300"/>
        </w:trPr>
        <w:tc>
          <w:tcPr>
            <w:tcW w:w="1276" w:type="dxa"/>
            <w:tcBorders>
              <w:top w:val="nil"/>
              <w:left w:val="nil"/>
              <w:bottom w:val="nil"/>
              <w:right w:val="nil"/>
            </w:tcBorders>
            <w:shd w:val="clear" w:color="000000" w:fill="D9D9D9"/>
            <w:vAlign w:val="center"/>
            <w:hideMark/>
          </w:tcPr>
          <w:p w:rsidR="00F96C15" w:rsidRPr="00F96C15" w:rsidRDefault="00F96C15" w:rsidP="00F96C15">
            <w:pPr>
              <w:spacing w:after="0"/>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 </w:t>
            </w:r>
          </w:p>
        </w:tc>
        <w:tc>
          <w:tcPr>
            <w:tcW w:w="1007" w:type="dxa"/>
            <w:tcBorders>
              <w:top w:val="nil"/>
              <w:left w:val="nil"/>
              <w:bottom w:val="nil"/>
              <w:right w:val="nil"/>
            </w:tcBorders>
            <w:shd w:val="clear" w:color="000000" w:fill="D9D9D9"/>
            <w:vAlign w:val="center"/>
            <w:hideMark/>
          </w:tcPr>
          <w:p w:rsidR="00F96C15" w:rsidRPr="00F96C15" w:rsidRDefault="00F96C15" w:rsidP="00F96C15">
            <w:pPr>
              <w:spacing w:after="0"/>
              <w:jc w:val="right"/>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 </w:t>
            </w:r>
          </w:p>
        </w:tc>
        <w:tc>
          <w:tcPr>
            <w:tcW w:w="1007" w:type="dxa"/>
            <w:tcBorders>
              <w:top w:val="nil"/>
              <w:left w:val="nil"/>
              <w:bottom w:val="nil"/>
              <w:right w:val="nil"/>
            </w:tcBorders>
            <w:shd w:val="clear" w:color="000000" w:fill="D9D9D9"/>
            <w:vAlign w:val="center"/>
            <w:hideMark/>
          </w:tcPr>
          <w:p w:rsidR="00F96C15" w:rsidRPr="00F96C15" w:rsidRDefault="00F96C15" w:rsidP="00F96C15">
            <w:pPr>
              <w:spacing w:after="0"/>
              <w:jc w:val="right"/>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 </w:t>
            </w:r>
          </w:p>
        </w:tc>
        <w:tc>
          <w:tcPr>
            <w:tcW w:w="1007" w:type="dxa"/>
            <w:tcBorders>
              <w:top w:val="nil"/>
              <w:left w:val="nil"/>
              <w:bottom w:val="nil"/>
              <w:right w:val="nil"/>
            </w:tcBorders>
            <w:shd w:val="clear" w:color="000000" w:fill="D9D9D9"/>
            <w:vAlign w:val="center"/>
            <w:hideMark/>
          </w:tcPr>
          <w:p w:rsidR="00F96C15" w:rsidRPr="00F96C15" w:rsidRDefault="00F96C15" w:rsidP="00F96C15">
            <w:pPr>
              <w:spacing w:after="0"/>
              <w:jc w:val="right"/>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 </w:t>
            </w:r>
          </w:p>
        </w:tc>
        <w:tc>
          <w:tcPr>
            <w:tcW w:w="1008" w:type="dxa"/>
            <w:tcBorders>
              <w:top w:val="nil"/>
              <w:left w:val="nil"/>
              <w:bottom w:val="nil"/>
              <w:right w:val="nil"/>
            </w:tcBorders>
            <w:shd w:val="clear" w:color="000000" w:fill="D9D9D9"/>
            <w:vAlign w:val="center"/>
            <w:hideMark/>
          </w:tcPr>
          <w:p w:rsidR="00F96C15" w:rsidRPr="00F96C15" w:rsidRDefault="00F96C15" w:rsidP="00F96C15">
            <w:pPr>
              <w:spacing w:after="0"/>
              <w:jc w:val="right"/>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 </w:t>
            </w:r>
          </w:p>
        </w:tc>
        <w:tc>
          <w:tcPr>
            <w:tcW w:w="897" w:type="dxa"/>
            <w:tcBorders>
              <w:top w:val="nil"/>
              <w:left w:val="nil"/>
              <w:bottom w:val="nil"/>
              <w:right w:val="nil"/>
            </w:tcBorders>
            <w:shd w:val="clear" w:color="000000" w:fill="D9D9D9"/>
            <w:vAlign w:val="center"/>
            <w:hideMark/>
          </w:tcPr>
          <w:p w:rsidR="00F96C15" w:rsidRPr="00F96C15" w:rsidRDefault="00F96C15" w:rsidP="00F96C15">
            <w:pPr>
              <w:spacing w:after="0"/>
              <w:jc w:val="right"/>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Number</w:t>
            </w:r>
          </w:p>
        </w:tc>
        <w:tc>
          <w:tcPr>
            <w:tcW w:w="1094" w:type="dxa"/>
            <w:tcBorders>
              <w:top w:val="nil"/>
              <w:left w:val="nil"/>
              <w:bottom w:val="nil"/>
              <w:right w:val="nil"/>
            </w:tcBorders>
            <w:shd w:val="clear" w:color="000000" w:fill="D9D9D9"/>
            <w:vAlign w:val="center"/>
            <w:hideMark/>
          </w:tcPr>
          <w:p w:rsidR="00F96C15" w:rsidRPr="00F96C15" w:rsidRDefault="00F96C15" w:rsidP="00F96C15">
            <w:pPr>
              <w:spacing w:after="0"/>
              <w:jc w:val="right"/>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Per cent</w:t>
            </w:r>
          </w:p>
        </w:tc>
        <w:tc>
          <w:tcPr>
            <w:tcW w:w="2769" w:type="dxa"/>
            <w:tcBorders>
              <w:top w:val="nil"/>
              <w:left w:val="nil"/>
              <w:bottom w:val="nil"/>
              <w:right w:val="nil"/>
            </w:tcBorders>
            <w:shd w:val="clear" w:color="000000" w:fill="D9D9D9"/>
            <w:vAlign w:val="center"/>
            <w:hideMark/>
          </w:tcPr>
          <w:p w:rsidR="00F96C15" w:rsidRPr="00F96C15" w:rsidRDefault="00F96C15" w:rsidP="00F96C15">
            <w:pPr>
              <w:spacing w:after="0"/>
              <w:rPr>
                <w:rFonts w:eastAsia="Times New Roman" w:cs="Times New Roman"/>
                <w:b/>
                <w:bCs/>
                <w:color w:val="FF0000"/>
                <w:sz w:val="20"/>
                <w:szCs w:val="20"/>
                <w:lang w:eastAsia="en-AU"/>
              </w:rPr>
            </w:pPr>
            <w:r w:rsidRPr="00F96C15">
              <w:rPr>
                <w:rFonts w:eastAsia="Times New Roman" w:cs="Times New Roman"/>
                <w:b/>
                <w:bCs/>
                <w:color w:val="FF0000"/>
                <w:sz w:val="20"/>
                <w:szCs w:val="20"/>
                <w:lang w:eastAsia="en-AU"/>
              </w:rPr>
              <w:t>(unless specified)</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FNHTR</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321</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320</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231</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337</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1,209</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53.9%</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0.1–1% of transfusions with universal leucocyte depletion</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Allergic reaction</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142</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147</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111</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144</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544</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24.3%</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72498E">
            <w:pPr>
              <w:spacing w:after="0"/>
              <w:rPr>
                <w:rFonts w:eastAsia="Times New Roman" w:cs="Times New Roman"/>
                <w:color w:val="000000"/>
                <w:sz w:val="20"/>
                <w:szCs w:val="20"/>
                <w:lang w:eastAsia="en-AU"/>
              </w:rPr>
            </w:pPr>
            <w:r>
              <w:rPr>
                <w:rFonts w:eastAsia="Times New Roman" w:cs="Times New Roman"/>
                <w:color w:val="000000"/>
                <w:sz w:val="20"/>
                <w:szCs w:val="20"/>
                <w:lang w:eastAsia="en-AU"/>
              </w:rPr>
              <w:t xml:space="preserve">1–3% of transfusion of </w:t>
            </w:r>
            <w:r w:rsidRPr="00F96C15">
              <w:rPr>
                <w:rFonts w:eastAsia="Times New Roman" w:cs="Times New Roman"/>
                <w:color w:val="000000"/>
                <w:sz w:val="20"/>
                <w:szCs w:val="20"/>
                <w:lang w:eastAsia="en-AU"/>
              </w:rPr>
              <w:t>plasma containing components</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IBCT</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30</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62</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43</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33</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168</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7.5%</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Not available</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TACO</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24</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27</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17</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28</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96</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4.3%</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72498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&lt;1% of transfused patients</w:t>
            </w:r>
          </w:p>
        </w:tc>
      </w:tr>
      <w:tr w:rsidR="00B40707"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TTI</w:t>
            </w:r>
          </w:p>
        </w:tc>
        <w:tc>
          <w:tcPr>
            <w:tcW w:w="100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11</w:t>
            </w:r>
          </w:p>
        </w:tc>
        <w:tc>
          <w:tcPr>
            <w:tcW w:w="100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12</w:t>
            </w:r>
          </w:p>
        </w:tc>
        <w:tc>
          <w:tcPr>
            <w:tcW w:w="100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5</w:t>
            </w:r>
          </w:p>
        </w:tc>
        <w:tc>
          <w:tcPr>
            <w:tcW w:w="1008"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27</w:t>
            </w:r>
          </w:p>
        </w:tc>
        <w:tc>
          <w:tcPr>
            <w:tcW w:w="89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sz w:val="20"/>
                <w:szCs w:val="20"/>
                <w:lang w:eastAsia="en-AU"/>
              </w:rPr>
            </w:pPr>
            <w:r w:rsidRPr="00F96C15">
              <w:rPr>
                <w:rFonts w:eastAsia="Times New Roman" w:cs="Times New Roman"/>
                <w:sz w:val="20"/>
                <w:szCs w:val="20"/>
                <w:lang w:eastAsia="en-AU"/>
              </w:rPr>
              <w:t>55</w:t>
            </w:r>
          </w:p>
        </w:tc>
        <w:tc>
          <w:tcPr>
            <w:tcW w:w="1094"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sz w:val="20"/>
                <w:szCs w:val="20"/>
                <w:lang w:eastAsia="en-AU"/>
              </w:rPr>
            </w:pPr>
            <w:r w:rsidRPr="00F96C15">
              <w:rPr>
                <w:rFonts w:eastAsia="Times New Roman" w:cs="Times New Roman"/>
                <w:sz w:val="20"/>
                <w:szCs w:val="20"/>
                <w:lang w:eastAsia="en-AU"/>
              </w:rPr>
              <w:t>2.5%</w:t>
            </w:r>
          </w:p>
        </w:tc>
        <w:tc>
          <w:tcPr>
            <w:tcW w:w="2769" w:type="dxa"/>
            <w:tcBorders>
              <w:top w:val="nil"/>
              <w:left w:val="nil"/>
              <w:bottom w:val="single" w:sz="8" w:space="0" w:color="000000"/>
              <w:right w:val="nil"/>
            </w:tcBorders>
            <w:shd w:val="clear" w:color="auto" w:fill="auto"/>
            <w:vAlign w:val="center"/>
            <w:hideMark/>
          </w:tcPr>
          <w:p w:rsidR="00B40707" w:rsidRDefault="00B40707" w:rsidP="00F46D5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 xml:space="preserve">1:75,000 platelet </w:t>
            </w:r>
            <w:r>
              <w:rPr>
                <w:rFonts w:eastAsia="Times New Roman" w:cs="Times New Roman"/>
                <w:color w:val="000000"/>
                <w:sz w:val="20"/>
                <w:szCs w:val="20"/>
                <w:lang w:eastAsia="en-AU"/>
              </w:rPr>
              <w:t>transfusions</w:t>
            </w:r>
          </w:p>
          <w:p w:rsidR="00B40707" w:rsidRPr="00F96C15" w:rsidRDefault="00B40707" w:rsidP="00F46D5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1:500,000 red cell transfusions</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Anaphylactic</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33</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16</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13</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19</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81</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3.6%</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1:20,000–1:50,000</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DHTR</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10</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17</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6</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12</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45</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2.0%</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1:2,500–1:11,000</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B40707" w:rsidP="00F96C15">
            <w:pPr>
              <w:spacing w:after="0"/>
              <w:rPr>
                <w:rFonts w:eastAsia="Times New Roman" w:cs="Times New Roman"/>
                <w:color w:val="000000"/>
                <w:sz w:val="20"/>
                <w:szCs w:val="20"/>
                <w:lang w:eastAsia="en-AU"/>
              </w:rPr>
            </w:pPr>
            <w:r>
              <w:rPr>
                <w:rFonts w:eastAsia="Times New Roman" w:cs="Times New Roman"/>
                <w:color w:val="000000"/>
                <w:sz w:val="20"/>
                <w:szCs w:val="20"/>
                <w:lang w:eastAsia="en-AU"/>
              </w:rPr>
              <w:t>AHTR</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10</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2</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8</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22</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1.0%</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72498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1:76,000</w:t>
            </w:r>
          </w:p>
        </w:tc>
      </w:tr>
      <w:tr w:rsidR="00B40707"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PTP</w:t>
            </w:r>
          </w:p>
        </w:tc>
        <w:tc>
          <w:tcPr>
            <w:tcW w:w="100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w:t>
            </w:r>
          </w:p>
        </w:tc>
        <w:tc>
          <w:tcPr>
            <w:tcW w:w="100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w:t>
            </w:r>
          </w:p>
        </w:tc>
        <w:tc>
          <w:tcPr>
            <w:tcW w:w="100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w:t>
            </w:r>
          </w:p>
        </w:tc>
        <w:tc>
          <w:tcPr>
            <w:tcW w:w="1008"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6</w:t>
            </w:r>
          </w:p>
        </w:tc>
        <w:tc>
          <w:tcPr>
            <w:tcW w:w="897"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sz w:val="20"/>
                <w:szCs w:val="20"/>
                <w:lang w:eastAsia="en-AU"/>
              </w:rPr>
            </w:pPr>
            <w:r w:rsidRPr="00F96C15">
              <w:rPr>
                <w:rFonts w:eastAsia="Times New Roman" w:cs="Times New Roman"/>
                <w:sz w:val="20"/>
                <w:szCs w:val="20"/>
                <w:lang w:eastAsia="en-AU"/>
              </w:rPr>
              <w:t>7</w:t>
            </w:r>
          </w:p>
        </w:tc>
        <w:tc>
          <w:tcPr>
            <w:tcW w:w="1094"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jc w:val="right"/>
              <w:rPr>
                <w:rFonts w:eastAsia="Times New Roman" w:cs="Times New Roman"/>
                <w:sz w:val="20"/>
                <w:szCs w:val="20"/>
                <w:lang w:eastAsia="en-AU"/>
              </w:rPr>
            </w:pPr>
            <w:r w:rsidRPr="00F96C15">
              <w:rPr>
                <w:rFonts w:eastAsia="Times New Roman" w:cs="Times New Roman"/>
                <w:sz w:val="20"/>
                <w:szCs w:val="20"/>
                <w:lang w:eastAsia="en-AU"/>
              </w:rPr>
              <w:t>0.3%</w:t>
            </w:r>
          </w:p>
        </w:tc>
        <w:tc>
          <w:tcPr>
            <w:tcW w:w="2769" w:type="dxa"/>
            <w:tcBorders>
              <w:top w:val="nil"/>
              <w:left w:val="nil"/>
              <w:bottom w:val="single" w:sz="8" w:space="0" w:color="000000"/>
              <w:right w:val="nil"/>
            </w:tcBorders>
            <w:shd w:val="clear" w:color="auto" w:fill="auto"/>
            <w:vAlign w:val="center"/>
            <w:hideMark/>
          </w:tcPr>
          <w:p w:rsidR="00B40707" w:rsidRPr="00F96C15" w:rsidRDefault="00B40707" w:rsidP="00F46D5E">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Rare</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TRALI</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8</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4</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1</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color w:val="000000"/>
                <w:sz w:val="20"/>
                <w:szCs w:val="20"/>
                <w:lang w:eastAsia="en-AU"/>
              </w:rPr>
            </w:pPr>
            <w:r w:rsidRPr="00F96C15">
              <w:rPr>
                <w:rFonts w:eastAsia="Times New Roman" w:cs="Times New Roman"/>
                <w:color w:val="000000"/>
                <w:sz w:val="20"/>
                <w:szCs w:val="20"/>
                <w:lang w:eastAsia="en-AU"/>
              </w:rPr>
              <w:t>3</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16</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sz w:val="20"/>
                <w:szCs w:val="20"/>
                <w:lang w:eastAsia="en-AU"/>
              </w:rPr>
            </w:pPr>
            <w:r w:rsidRPr="00F96C15">
              <w:rPr>
                <w:rFonts w:eastAsia="Times New Roman" w:cs="Times New Roman"/>
                <w:sz w:val="20"/>
                <w:szCs w:val="20"/>
                <w:lang w:eastAsia="en-AU"/>
              </w:rPr>
              <w:t>0.7%</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1:1,200–1:190,000 transfusions</w:t>
            </w:r>
          </w:p>
        </w:tc>
      </w:tr>
      <w:tr w:rsidR="00F96C15" w:rsidRPr="00F96C15" w:rsidTr="00BE6693">
        <w:trPr>
          <w:trHeight w:val="300"/>
        </w:trPr>
        <w:tc>
          <w:tcPr>
            <w:tcW w:w="1276" w:type="dxa"/>
            <w:tcBorders>
              <w:top w:val="nil"/>
              <w:left w:val="nil"/>
              <w:bottom w:val="single" w:sz="8" w:space="0" w:color="000000"/>
              <w:right w:val="nil"/>
            </w:tcBorders>
            <w:shd w:val="clear" w:color="auto" w:fill="auto"/>
            <w:vAlign w:val="center"/>
            <w:hideMark/>
          </w:tcPr>
          <w:p w:rsidR="00F96C15" w:rsidRPr="00F96C15" w:rsidRDefault="004379C0" w:rsidP="00F96C15">
            <w:pPr>
              <w:spacing w:after="0"/>
              <w:rPr>
                <w:rFonts w:eastAsia="Times New Roman" w:cs="Times New Roman"/>
                <w:b/>
                <w:bCs/>
                <w:color w:val="000000"/>
                <w:sz w:val="20"/>
                <w:szCs w:val="20"/>
                <w:lang w:eastAsia="en-AU"/>
              </w:rPr>
            </w:pPr>
            <w:r>
              <w:rPr>
                <w:rFonts w:eastAsia="Times New Roman" w:cs="Times New Roman"/>
                <w:b/>
                <w:bCs/>
                <w:color w:val="000000"/>
                <w:sz w:val="20"/>
                <w:szCs w:val="20"/>
                <w:lang w:eastAsia="en-AU"/>
              </w:rPr>
              <w:t>All</w:t>
            </w:r>
            <w:r w:rsidR="00F96C15" w:rsidRPr="00F96C15">
              <w:rPr>
                <w:rFonts w:eastAsia="Times New Roman" w:cs="Times New Roman"/>
                <w:b/>
                <w:bCs/>
                <w:color w:val="000000"/>
                <w:sz w:val="20"/>
                <w:szCs w:val="20"/>
                <w:lang w:eastAsia="en-AU"/>
              </w:rPr>
              <w:t xml:space="preserve"> reports</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b/>
                <w:bCs/>
                <w:color w:val="000000"/>
                <w:sz w:val="20"/>
                <w:szCs w:val="20"/>
                <w:lang w:eastAsia="en-AU"/>
              </w:rPr>
            </w:pPr>
            <w:r w:rsidRPr="00F96C15">
              <w:rPr>
                <w:rFonts w:eastAsia="Times New Roman" w:cs="Times New Roman"/>
                <w:b/>
                <w:bCs/>
                <w:color w:val="000000"/>
                <w:sz w:val="20"/>
                <w:szCs w:val="20"/>
                <w:lang w:eastAsia="en-AU"/>
              </w:rPr>
              <w:t>582</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b/>
                <w:bCs/>
                <w:color w:val="000000"/>
                <w:sz w:val="20"/>
                <w:szCs w:val="20"/>
                <w:lang w:eastAsia="en-AU"/>
              </w:rPr>
            </w:pPr>
            <w:r w:rsidRPr="00F96C15">
              <w:rPr>
                <w:rFonts w:eastAsia="Times New Roman" w:cs="Times New Roman"/>
                <w:b/>
                <w:bCs/>
                <w:color w:val="000000"/>
                <w:sz w:val="20"/>
                <w:szCs w:val="20"/>
                <w:lang w:eastAsia="en-AU"/>
              </w:rPr>
              <w:t>615</w:t>
            </w:r>
          </w:p>
        </w:tc>
        <w:tc>
          <w:tcPr>
            <w:tcW w:w="100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b/>
                <w:bCs/>
                <w:color w:val="000000"/>
                <w:sz w:val="20"/>
                <w:szCs w:val="20"/>
                <w:lang w:eastAsia="en-AU"/>
              </w:rPr>
            </w:pPr>
            <w:r w:rsidRPr="00F96C15">
              <w:rPr>
                <w:rFonts w:eastAsia="Times New Roman" w:cs="Times New Roman"/>
                <w:b/>
                <w:bCs/>
                <w:color w:val="000000"/>
                <w:sz w:val="20"/>
                <w:szCs w:val="20"/>
                <w:lang w:eastAsia="en-AU"/>
              </w:rPr>
              <w:t>429</w:t>
            </w:r>
          </w:p>
        </w:tc>
        <w:tc>
          <w:tcPr>
            <w:tcW w:w="1008"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b/>
                <w:bCs/>
                <w:color w:val="000000"/>
                <w:sz w:val="20"/>
                <w:szCs w:val="20"/>
                <w:lang w:eastAsia="en-AU"/>
              </w:rPr>
            </w:pPr>
            <w:r w:rsidRPr="00F96C15">
              <w:rPr>
                <w:rFonts w:eastAsia="Times New Roman" w:cs="Times New Roman"/>
                <w:b/>
                <w:bCs/>
                <w:color w:val="000000"/>
                <w:sz w:val="20"/>
                <w:szCs w:val="20"/>
                <w:lang w:eastAsia="en-AU"/>
              </w:rPr>
              <w:t>617</w:t>
            </w:r>
          </w:p>
        </w:tc>
        <w:tc>
          <w:tcPr>
            <w:tcW w:w="897"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b/>
                <w:bCs/>
                <w:sz w:val="20"/>
                <w:szCs w:val="20"/>
                <w:lang w:eastAsia="en-AU"/>
              </w:rPr>
            </w:pPr>
            <w:r w:rsidRPr="00F96C15">
              <w:rPr>
                <w:rFonts w:eastAsia="Times New Roman" w:cs="Times New Roman"/>
                <w:b/>
                <w:bCs/>
                <w:sz w:val="20"/>
                <w:szCs w:val="20"/>
                <w:lang w:eastAsia="en-AU"/>
              </w:rPr>
              <w:t>2,243</w:t>
            </w:r>
          </w:p>
        </w:tc>
        <w:tc>
          <w:tcPr>
            <w:tcW w:w="1094"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jc w:val="right"/>
              <w:rPr>
                <w:rFonts w:eastAsia="Times New Roman" w:cs="Times New Roman"/>
                <w:b/>
                <w:bCs/>
                <w:sz w:val="20"/>
                <w:szCs w:val="20"/>
                <w:lang w:eastAsia="en-AU"/>
              </w:rPr>
            </w:pPr>
            <w:r w:rsidRPr="00F96C15">
              <w:rPr>
                <w:rFonts w:eastAsia="Times New Roman" w:cs="Times New Roman"/>
                <w:b/>
                <w:bCs/>
                <w:sz w:val="20"/>
                <w:szCs w:val="20"/>
                <w:lang w:eastAsia="en-AU"/>
              </w:rPr>
              <w:t>100.0%</w:t>
            </w:r>
          </w:p>
        </w:tc>
        <w:tc>
          <w:tcPr>
            <w:tcW w:w="2769" w:type="dxa"/>
            <w:tcBorders>
              <w:top w:val="nil"/>
              <w:left w:val="nil"/>
              <w:bottom w:val="single" w:sz="8" w:space="0" w:color="000000"/>
              <w:right w:val="nil"/>
            </w:tcBorders>
            <w:shd w:val="clear" w:color="auto" w:fill="auto"/>
            <w:vAlign w:val="center"/>
            <w:hideMark/>
          </w:tcPr>
          <w:p w:rsidR="00F96C15" w:rsidRPr="00F96C15" w:rsidRDefault="00F96C15" w:rsidP="00F96C15">
            <w:pPr>
              <w:spacing w:after="0"/>
              <w:rPr>
                <w:rFonts w:eastAsia="Times New Roman" w:cs="Times New Roman"/>
                <w:color w:val="000000"/>
                <w:sz w:val="20"/>
                <w:szCs w:val="20"/>
                <w:lang w:eastAsia="en-AU"/>
              </w:rPr>
            </w:pPr>
            <w:r w:rsidRPr="00F96C15">
              <w:rPr>
                <w:rFonts w:eastAsia="Times New Roman" w:cs="Times New Roman"/>
                <w:color w:val="000000"/>
                <w:sz w:val="20"/>
                <w:szCs w:val="20"/>
                <w:lang w:eastAsia="en-AU"/>
              </w:rPr>
              <w:t> </w:t>
            </w:r>
          </w:p>
        </w:tc>
      </w:tr>
    </w:tbl>
    <w:p w:rsidR="00926B41" w:rsidRPr="00E27D4B" w:rsidRDefault="00926B41" w:rsidP="00926B41">
      <w:pPr>
        <w:spacing w:before="40" w:after="40" w:line="180" w:lineRule="atLeast"/>
        <w:rPr>
          <w:rFonts w:asciiTheme="minorHAnsi" w:eastAsia="Times New Roman" w:hAnsiTheme="minorHAnsi" w:cstheme="minorHAnsi"/>
          <w:sz w:val="18"/>
          <w:szCs w:val="18"/>
          <w:lang w:eastAsia="en-AU"/>
        </w:rPr>
      </w:pPr>
      <w:r w:rsidRPr="00E27D4B">
        <w:rPr>
          <w:rFonts w:asciiTheme="minorHAnsi" w:eastAsia="Times New Roman" w:hAnsiTheme="minorHAnsi" w:cstheme="minorHAnsi"/>
          <w:sz w:val="18"/>
          <w:szCs w:val="18"/>
          <w:lang w:eastAsia="en-AU"/>
        </w:rPr>
        <w:t>Notes</w:t>
      </w:r>
    </w:p>
    <w:p w:rsidR="00926B41" w:rsidRPr="00EC4AF3" w:rsidRDefault="00926B41" w:rsidP="0096249F">
      <w:pPr>
        <w:pStyle w:val="ListParagraph"/>
        <w:numPr>
          <w:ilvl w:val="0"/>
          <w:numId w:val="44"/>
        </w:numPr>
        <w:spacing w:before="40" w:after="40" w:line="180" w:lineRule="atLeast"/>
        <w:rPr>
          <w:sz w:val="18"/>
          <w:szCs w:val="18"/>
        </w:rPr>
      </w:pPr>
      <w:r w:rsidRPr="00EC4AF3">
        <w:rPr>
          <w:sz w:val="18"/>
          <w:szCs w:val="18"/>
        </w:rPr>
        <w:t xml:space="preserve">NSW did not report detailed data (such as blood products, outcome severity and </w:t>
      </w:r>
      <w:proofErr w:type="spellStart"/>
      <w:r w:rsidRPr="00EC4AF3">
        <w:rPr>
          <w:sz w:val="18"/>
          <w:szCs w:val="18"/>
        </w:rPr>
        <w:t>imputability</w:t>
      </w:r>
      <w:proofErr w:type="spellEnd"/>
      <w:r w:rsidRPr="00EC4AF3">
        <w:rPr>
          <w:sz w:val="18"/>
          <w:szCs w:val="18"/>
        </w:rPr>
        <w:t xml:space="preserve"> score) for 2010–11</w:t>
      </w:r>
    </w:p>
    <w:p w:rsidR="00926B41" w:rsidRPr="00EC4AF3" w:rsidRDefault="00926B41" w:rsidP="0096249F">
      <w:pPr>
        <w:pStyle w:val="ListParagraph"/>
        <w:numPr>
          <w:ilvl w:val="0"/>
          <w:numId w:val="44"/>
        </w:numPr>
        <w:spacing w:before="40" w:after="40" w:line="180" w:lineRule="atLeast"/>
        <w:rPr>
          <w:sz w:val="18"/>
          <w:szCs w:val="18"/>
        </w:rPr>
      </w:pPr>
      <w:r w:rsidRPr="00EC4AF3">
        <w:rPr>
          <w:sz w:val="18"/>
          <w:szCs w:val="18"/>
        </w:rPr>
        <w:t xml:space="preserve">ACT reported zero </w:t>
      </w:r>
      <w:r w:rsidR="002638EF">
        <w:rPr>
          <w:sz w:val="18"/>
          <w:szCs w:val="18"/>
        </w:rPr>
        <w:t xml:space="preserve">adverse </w:t>
      </w:r>
      <w:r w:rsidRPr="00EC4AF3">
        <w:rPr>
          <w:sz w:val="18"/>
          <w:szCs w:val="18"/>
        </w:rPr>
        <w:t>event</w:t>
      </w:r>
      <w:r w:rsidR="002638EF">
        <w:rPr>
          <w:sz w:val="18"/>
          <w:szCs w:val="18"/>
        </w:rPr>
        <w:t>s</w:t>
      </w:r>
      <w:r w:rsidRPr="00EC4AF3">
        <w:rPr>
          <w:sz w:val="18"/>
          <w:szCs w:val="18"/>
        </w:rPr>
        <w:t xml:space="preserve"> for </w:t>
      </w:r>
      <w:r w:rsidR="0072498E" w:rsidRPr="00E4119C">
        <w:rPr>
          <w:sz w:val="18"/>
          <w:szCs w:val="18"/>
        </w:rPr>
        <w:t>2010-11</w:t>
      </w:r>
      <w:r w:rsidR="0072498E">
        <w:rPr>
          <w:sz w:val="18"/>
          <w:szCs w:val="18"/>
        </w:rPr>
        <w:t xml:space="preserve"> and </w:t>
      </w:r>
      <w:r w:rsidR="0072498E" w:rsidRPr="00E4119C">
        <w:rPr>
          <w:sz w:val="18"/>
          <w:szCs w:val="18"/>
        </w:rPr>
        <w:t>2013–14</w:t>
      </w:r>
    </w:p>
    <w:p w:rsidR="00926B41" w:rsidRPr="00EC4AF3" w:rsidRDefault="00926B41" w:rsidP="0096249F">
      <w:pPr>
        <w:pStyle w:val="ListParagraph"/>
        <w:numPr>
          <w:ilvl w:val="0"/>
          <w:numId w:val="44"/>
        </w:numPr>
        <w:spacing w:before="40" w:after="40" w:line="180" w:lineRule="atLeast"/>
        <w:rPr>
          <w:sz w:val="18"/>
          <w:szCs w:val="18"/>
        </w:rPr>
      </w:pPr>
      <w:r w:rsidRPr="00EC4AF3">
        <w:rPr>
          <w:sz w:val="18"/>
          <w:szCs w:val="18"/>
        </w:rPr>
        <w:t>QLD did not contribute data for 2012–13</w:t>
      </w:r>
    </w:p>
    <w:p w:rsidR="00AE0077" w:rsidRPr="00EC4AF3" w:rsidRDefault="00926B41" w:rsidP="0096249F">
      <w:pPr>
        <w:pStyle w:val="ListParagraph"/>
        <w:numPr>
          <w:ilvl w:val="0"/>
          <w:numId w:val="44"/>
        </w:numPr>
        <w:spacing w:before="40" w:after="40" w:line="180" w:lineRule="atLeast"/>
        <w:rPr>
          <w:sz w:val="18"/>
          <w:szCs w:val="18"/>
        </w:rPr>
      </w:pPr>
      <w:r w:rsidRPr="00EC4AF3">
        <w:rPr>
          <w:sz w:val="18"/>
          <w:szCs w:val="18"/>
        </w:rPr>
        <w:t>WA did not contribute data</w:t>
      </w:r>
    </w:p>
    <w:p w:rsidR="00FF53AC" w:rsidRPr="00FF53AC" w:rsidRDefault="00FF53AC" w:rsidP="00FF53AC">
      <w:pPr>
        <w:pStyle w:val="ListParagraph"/>
        <w:numPr>
          <w:ilvl w:val="0"/>
          <w:numId w:val="44"/>
        </w:numPr>
        <w:rPr>
          <w:sz w:val="18"/>
          <w:szCs w:val="18"/>
        </w:rPr>
      </w:pPr>
      <w:r w:rsidRPr="00FF53AC">
        <w:rPr>
          <w:sz w:val="18"/>
          <w:szCs w:val="18"/>
        </w:rPr>
        <w:t>All TTIs were suspected but not confirmed bacterial infections</w:t>
      </w:r>
    </w:p>
    <w:p w:rsidR="00FA409D" w:rsidRDefault="00FA409D" w:rsidP="00FA409D">
      <w:pPr>
        <w:pStyle w:val="ListParagraph"/>
        <w:spacing w:before="40" w:after="40" w:line="180" w:lineRule="atLeast"/>
        <w:ind w:left="360"/>
        <w:rPr>
          <w:sz w:val="18"/>
          <w:szCs w:val="18"/>
        </w:rPr>
      </w:pPr>
    </w:p>
    <w:p w:rsidR="00FA409D" w:rsidRDefault="00FA409D" w:rsidP="00FA409D">
      <w:pPr>
        <w:pStyle w:val="Heading3"/>
      </w:pPr>
      <w:bookmarkStart w:id="49" w:name="_Toc459366164"/>
      <w:r>
        <w:t>Serious adverse events</w:t>
      </w:r>
      <w:bookmarkEnd w:id="49"/>
    </w:p>
    <w:p w:rsidR="00E240F8" w:rsidRPr="00704467" w:rsidRDefault="007449C2" w:rsidP="00704467">
      <w:pPr>
        <w:rPr>
          <w:rFonts w:asciiTheme="minorHAnsi" w:hAnsiTheme="minorHAnsi" w:cstheme="minorHAnsi"/>
          <w:lang w:eastAsia="en-AU"/>
        </w:rPr>
      </w:pPr>
      <w:r w:rsidRPr="00704467">
        <w:rPr>
          <w:rFonts w:asciiTheme="minorHAnsi" w:hAnsiTheme="minorHAnsi" w:cstheme="minorHAnsi"/>
          <w:lang w:eastAsia="en-AU"/>
        </w:rPr>
        <w:t xml:space="preserve">Among the 2,243 adverse events reported to the </w:t>
      </w:r>
      <w:r w:rsidR="00C64E4E" w:rsidRPr="00704467">
        <w:rPr>
          <w:rFonts w:asciiTheme="minorHAnsi" w:hAnsiTheme="minorHAnsi" w:cstheme="minorHAnsi"/>
          <w:lang w:eastAsia="en-AU"/>
        </w:rPr>
        <w:t>n</w:t>
      </w:r>
      <w:r w:rsidRPr="00704467">
        <w:rPr>
          <w:rFonts w:asciiTheme="minorHAnsi" w:hAnsiTheme="minorHAnsi" w:cstheme="minorHAnsi"/>
          <w:lang w:eastAsia="en-AU"/>
        </w:rPr>
        <w:t xml:space="preserve">ational </w:t>
      </w:r>
      <w:proofErr w:type="spellStart"/>
      <w:r w:rsidR="00C64E4E" w:rsidRPr="00704467">
        <w:rPr>
          <w:rFonts w:asciiTheme="minorHAnsi" w:hAnsiTheme="minorHAnsi" w:cstheme="minorHAnsi"/>
          <w:lang w:eastAsia="en-AU"/>
        </w:rPr>
        <w:t>h</w:t>
      </w:r>
      <w:r w:rsidRPr="00704467">
        <w:rPr>
          <w:rFonts w:asciiTheme="minorHAnsi" w:hAnsiTheme="minorHAnsi" w:cstheme="minorHAnsi"/>
          <w:lang w:eastAsia="en-AU"/>
        </w:rPr>
        <w:t>aemovigilance</w:t>
      </w:r>
      <w:proofErr w:type="spellEnd"/>
      <w:r w:rsidRPr="00704467">
        <w:rPr>
          <w:rFonts w:asciiTheme="minorHAnsi" w:hAnsiTheme="minorHAnsi" w:cstheme="minorHAnsi"/>
          <w:lang w:eastAsia="en-AU"/>
        </w:rPr>
        <w:t xml:space="preserve"> </w:t>
      </w:r>
      <w:r w:rsidR="00C64E4E" w:rsidRPr="00704467">
        <w:rPr>
          <w:rFonts w:asciiTheme="minorHAnsi" w:hAnsiTheme="minorHAnsi" w:cstheme="minorHAnsi"/>
          <w:lang w:eastAsia="en-AU"/>
        </w:rPr>
        <w:t>p</w:t>
      </w:r>
      <w:r w:rsidRPr="00704467">
        <w:rPr>
          <w:rFonts w:asciiTheme="minorHAnsi" w:hAnsiTheme="minorHAnsi" w:cstheme="minorHAnsi"/>
          <w:lang w:eastAsia="en-AU"/>
        </w:rPr>
        <w:t>rogram,</w:t>
      </w:r>
      <w:r w:rsidR="00876758" w:rsidRPr="00704467">
        <w:rPr>
          <w:rFonts w:asciiTheme="minorHAnsi" w:hAnsiTheme="minorHAnsi" w:cstheme="minorHAnsi"/>
          <w:lang w:eastAsia="en-AU"/>
        </w:rPr>
        <w:t xml:space="preserve"> around one in ten events (</w:t>
      </w:r>
      <w:r w:rsidR="002111DC" w:rsidRPr="00704467">
        <w:rPr>
          <w:rFonts w:asciiTheme="minorHAnsi" w:hAnsiTheme="minorHAnsi" w:cstheme="minorHAnsi"/>
          <w:lang w:eastAsia="en-AU"/>
        </w:rPr>
        <w:t>210</w:t>
      </w:r>
      <w:r w:rsidR="00876758" w:rsidRPr="00704467">
        <w:rPr>
          <w:rFonts w:asciiTheme="minorHAnsi" w:hAnsiTheme="minorHAnsi" w:cstheme="minorHAnsi"/>
          <w:lang w:eastAsia="en-AU"/>
        </w:rPr>
        <w:t>)</w:t>
      </w:r>
      <w:r w:rsidRPr="00704467">
        <w:rPr>
          <w:rFonts w:asciiTheme="minorHAnsi" w:hAnsiTheme="minorHAnsi" w:cstheme="minorHAnsi"/>
          <w:lang w:eastAsia="en-AU"/>
        </w:rPr>
        <w:t xml:space="preserve"> </w:t>
      </w:r>
      <w:r w:rsidR="00E52247" w:rsidRPr="00704467">
        <w:rPr>
          <w:rFonts w:asciiTheme="minorHAnsi" w:hAnsiTheme="minorHAnsi" w:cstheme="minorHAnsi"/>
          <w:lang w:eastAsia="en-AU"/>
        </w:rPr>
        <w:t xml:space="preserve">were classified as </w:t>
      </w:r>
      <w:r w:rsidRPr="00704467">
        <w:rPr>
          <w:rFonts w:asciiTheme="minorHAnsi" w:hAnsiTheme="minorHAnsi" w:cstheme="minorHAnsi"/>
          <w:lang w:eastAsia="en-AU"/>
        </w:rPr>
        <w:t xml:space="preserve">serious adverse events. </w:t>
      </w:r>
      <w:r w:rsidR="00E240F8" w:rsidRPr="00704467">
        <w:rPr>
          <w:rFonts w:asciiTheme="minorHAnsi" w:hAnsiTheme="minorHAnsi" w:cstheme="minorHAnsi"/>
          <w:lang w:eastAsia="en-AU"/>
        </w:rPr>
        <w:t xml:space="preserve">TACO and allergic reaction </w:t>
      </w:r>
      <w:r w:rsidR="002111DC" w:rsidRPr="00704467">
        <w:rPr>
          <w:rFonts w:asciiTheme="minorHAnsi" w:hAnsiTheme="minorHAnsi" w:cstheme="minorHAnsi"/>
          <w:lang w:eastAsia="en-AU"/>
        </w:rPr>
        <w:t>were</w:t>
      </w:r>
      <w:r w:rsidR="00E240F8" w:rsidRPr="00704467">
        <w:rPr>
          <w:rFonts w:asciiTheme="minorHAnsi" w:hAnsiTheme="minorHAnsi" w:cstheme="minorHAnsi"/>
          <w:lang w:eastAsia="en-AU"/>
        </w:rPr>
        <w:t xml:space="preserve"> the most common</w:t>
      </w:r>
      <w:r w:rsidR="00876758" w:rsidRPr="00704467">
        <w:rPr>
          <w:rFonts w:asciiTheme="minorHAnsi" w:hAnsiTheme="minorHAnsi" w:cstheme="minorHAnsi"/>
          <w:lang w:eastAsia="en-AU"/>
        </w:rPr>
        <w:t>ly reported</w:t>
      </w:r>
      <w:r w:rsidR="00E240F8" w:rsidRPr="00704467">
        <w:rPr>
          <w:rFonts w:asciiTheme="minorHAnsi" w:hAnsiTheme="minorHAnsi" w:cstheme="minorHAnsi"/>
          <w:lang w:eastAsia="en-AU"/>
        </w:rPr>
        <w:t xml:space="preserve"> serious adverse events, representing 23.8% and 22.9% of all serious events respectively</w:t>
      </w:r>
      <w:r w:rsidR="00876758" w:rsidRPr="00704467">
        <w:rPr>
          <w:rFonts w:asciiTheme="minorHAnsi" w:hAnsiTheme="minorHAnsi" w:cstheme="minorHAnsi"/>
          <w:lang w:eastAsia="en-AU"/>
        </w:rPr>
        <w:t xml:space="preserve"> (210)</w:t>
      </w:r>
      <w:r w:rsidR="00E240F8" w:rsidRPr="00704467">
        <w:rPr>
          <w:rFonts w:asciiTheme="minorHAnsi" w:hAnsiTheme="minorHAnsi" w:cstheme="minorHAnsi"/>
          <w:lang w:eastAsia="en-AU"/>
        </w:rPr>
        <w:t>.</w:t>
      </w:r>
      <w:r w:rsidR="00E52247" w:rsidRPr="00704467">
        <w:rPr>
          <w:rFonts w:asciiTheme="minorHAnsi" w:hAnsiTheme="minorHAnsi" w:cstheme="minorHAnsi"/>
          <w:lang w:eastAsia="en-AU"/>
        </w:rPr>
        <w:t xml:space="preserve"> The </w:t>
      </w:r>
      <w:r w:rsidR="00EB1220" w:rsidRPr="00704467">
        <w:rPr>
          <w:rFonts w:asciiTheme="minorHAnsi" w:hAnsiTheme="minorHAnsi" w:cstheme="minorHAnsi"/>
          <w:lang w:eastAsia="en-AU"/>
        </w:rPr>
        <w:t>percentage</w:t>
      </w:r>
      <w:r w:rsidR="00E52247" w:rsidRPr="00704467">
        <w:rPr>
          <w:rFonts w:asciiTheme="minorHAnsi" w:hAnsiTheme="minorHAnsi" w:cstheme="minorHAnsi"/>
          <w:lang w:eastAsia="en-AU"/>
        </w:rPr>
        <w:t xml:space="preserve"> of serious events</w:t>
      </w:r>
      <w:r w:rsidR="00D3289E" w:rsidRPr="00704467">
        <w:rPr>
          <w:rFonts w:asciiTheme="minorHAnsi" w:hAnsiTheme="minorHAnsi" w:cstheme="minorHAnsi"/>
          <w:lang w:eastAsia="en-AU"/>
        </w:rPr>
        <w:t xml:space="preserve"> </w:t>
      </w:r>
      <w:r w:rsidR="002111DC" w:rsidRPr="00704467">
        <w:rPr>
          <w:rFonts w:asciiTheme="minorHAnsi" w:hAnsiTheme="minorHAnsi" w:cstheme="minorHAnsi"/>
          <w:lang w:eastAsia="en-AU"/>
        </w:rPr>
        <w:t>was</w:t>
      </w:r>
      <w:r w:rsidR="00E52247" w:rsidRPr="00704467">
        <w:rPr>
          <w:rFonts w:asciiTheme="minorHAnsi" w:hAnsiTheme="minorHAnsi" w:cstheme="minorHAnsi"/>
          <w:lang w:eastAsia="en-AU"/>
        </w:rPr>
        <w:t xml:space="preserve"> </w:t>
      </w:r>
      <w:r w:rsidR="00216C4A" w:rsidRPr="00704467">
        <w:rPr>
          <w:rFonts w:asciiTheme="minorHAnsi" w:hAnsiTheme="minorHAnsi" w:cstheme="minorHAnsi"/>
          <w:lang w:eastAsia="en-AU"/>
        </w:rPr>
        <w:t xml:space="preserve">very low </w:t>
      </w:r>
      <w:r w:rsidR="00EB1220" w:rsidRPr="00704467">
        <w:rPr>
          <w:rFonts w:asciiTheme="minorHAnsi" w:hAnsiTheme="minorHAnsi" w:cstheme="minorHAnsi"/>
          <w:lang w:eastAsia="en-AU"/>
        </w:rPr>
        <w:t>for TRALI</w:t>
      </w:r>
      <w:r w:rsidR="00437C01">
        <w:rPr>
          <w:rFonts w:asciiTheme="minorHAnsi" w:hAnsiTheme="minorHAnsi" w:cstheme="minorHAnsi"/>
          <w:lang w:eastAsia="en-AU"/>
        </w:rPr>
        <w:t xml:space="preserve"> </w:t>
      </w:r>
      <w:r w:rsidR="00437C01" w:rsidRPr="00704467">
        <w:rPr>
          <w:rFonts w:asciiTheme="minorHAnsi" w:hAnsiTheme="minorHAnsi" w:cstheme="minorHAnsi"/>
          <w:lang w:eastAsia="en-AU"/>
        </w:rPr>
        <w:t>(1.4%)</w:t>
      </w:r>
      <w:r w:rsidR="00216C4A" w:rsidRPr="00704467">
        <w:rPr>
          <w:rFonts w:asciiTheme="minorHAnsi" w:hAnsiTheme="minorHAnsi" w:cstheme="minorHAnsi"/>
          <w:lang w:eastAsia="en-AU"/>
        </w:rPr>
        <w:t>, likely</w:t>
      </w:r>
      <w:r w:rsidR="00876758" w:rsidRPr="00704467">
        <w:rPr>
          <w:rFonts w:asciiTheme="minorHAnsi" w:hAnsiTheme="minorHAnsi" w:cstheme="minorHAnsi"/>
          <w:lang w:eastAsia="en-AU"/>
        </w:rPr>
        <w:t xml:space="preserve"> </w:t>
      </w:r>
      <w:r w:rsidR="00E52247" w:rsidRPr="00704467">
        <w:rPr>
          <w:rFonts w:asciiTheme="minorHAnsi" w:hAnsiTheme="minorHAnsi" w:cstheme="minorHAnsi"/>
          <w:lang w:eastAsia="en-AU"/>
        </w:rPr>
        <w:t>due to t</w:t>
      </w:r>
      <w:r w:rsidR="004F5A2F" w:rsidRPr="00704467">
        <w:rPr>
          <w:rFonts w:asciiTheme="minorHAnsi" w:hAnsiTheme="minorHAnsi" w:cstheme="minorHAnsi"/>
          <w:lang w:eastAsia="en-AU"/>
        </w:rPr>
        <w:t xml:space="preserve">he implementation </w:t>
      </w:r>
      <w:r w:rsidR="00E52247" w:rsidRPr="00704467">
        <w:rPr>
          <w:rFonts w:asciiTheme="minorHAnsi" w:hAnsiTheme="minorHAnsi" w:cstheme="minorHAnsi"/>
          <w:lang w:eastAsia="en-AU"/>
        </w:rPr>
        <w:t>of the TRALI risk reduction strategies in Australia such as the use of male only plasma.</w:t>
      </w:r>
    </w:p>
    <w:p w:rsidR="00374BFB" w:rsidRDefault="00374BFB">
      <w:pPr>
        <w:spacing w:line="276" w:lineRule="auto"/>
        <w:rPr>
          <w:b/>
          <w:bCs/>
          <w:sz w:val="18"/>
          <w:szCs w:val="18"/>
        </w:rPr>
      </w:pPr>
      <w:r>
        <w:br w:type="page"/>
      </w:r>
    </w:p>
    <w:p w:rsidR="007D4A01" w:rsidRDefault="007D4A01" w:rsidP="00CB3A0B">
      <w:pPr>
        <w:pStyle w:val="Caption"/>
      </w:pPr>
      <w:bookmarkStart w:id="50" w:name="_Toc459636849"/>
      <w:r w:rsidRPr="00EC4AF3">
        <w:lastRenderedPageBreak/>
        <w:t xml:space="preserve">Table </w:t>
      </w:r>
      <w:fldSimple w:instr=" SEQ Table \* ARABIC ">
        <w:r w:rsidR="000010BC">
          <w:rPr>
            <w:noProof/>
          </w:rPr>
          <w:t>9</w:t>
        </w:r>
      </w:fldSimple>
      <w:r w:rsidRPr="00EC4AF3">
        <w:t xml:space="preserve">: Serious </w:t>
      </w:r>
      <w:r w:rsidR="005F2C26">
        <w:t>a</w:t>
      </w:r>
      <w:r w:rsidRPr="00EC4AF3">
        <w:t>dverse event</w:t>
      </w:r>
      <w:r w:rsidR="005F2C26">
        <w:t>s</w:t>
      </w:r>
      <w:r w:rsidRPr="00EC4AF3">
        <w:t>, 2010–11 to 2013–14</w:t>
      </w:r>
      <w:bookmarkEnd w:id="50"/>
    </w:p>
    <w:tbl>
      <w:tblPr>
        <w:tblW w:w="8874" w:type="dxa"/>
        <w:tblInd w:w="93" w:type="dxa"/>
        <w:tblLook w:val="04A0" w:firstRow="1" w:lastRow="0" w:firstColumn="1" w:lastColumn="0" w:noHBand="0" w:noVBand="1"/>
      </w:tblPr>
      <w:tblGrid>
        <w:gridCol w:w="1858"/>
        <w:gridCol w:w="1120"/>
        <w:gridCol w:w="1120"/>
        <w:gridCol w:w="1120"/>
        <w:gridCol w:w="1120"/>
        <w:gridCol w:w="1190"/>
        <w:gridCol w:w="1346"/>
      </w:tblGrid>
      <w:tr w:rsidR="004314E7" w:rsidRPr="004314E7" w:rsidTr="00704467">
        <w:trPr>
          <w:trHeight w:val="300"/>
        </w:trPr>
        <w:tc>
          <w:tcPr>
            <w:tcW w:w="1858" w:type="dxa"/>
            <w:tcBorders>
              <w:top w:val="nil"/>
              <w:left w:val="nil"/>
              <w:bottom w:val="nil"/>
              <w:right w:val="nil"/>
            </w:tcBorders>
            <w:shd w:val="clear" w:color="000000" w:fill="FF0000"/>
            <w:vAlign w:val="center"/>
            <w:hideMark/>
          </w:tcPr>
          <w:p w:rsidR="004314E7" w:rsidRPr="004314E7" w:rsidRDefault="004314E7" w:rsidP="004314E7">
            <w:pPr>
              <w:spacing w:after="0"/>
              <w:rPr>
                <w:rFonts w:eastAsia="Times New Roman" w:cs="Times New Roman"/>
                <w:color w:val="000000"/>
                <w:lang w:eastAsia="en-AU"/>
              </w:rPr>
            </w:pPr>
          </w:p>
        </w:tc>
        <w:tc>
          <w:tcPr>
            <w:tcW w:w="1120" w:type="dxa"/>
            <w:tcBorders>
              <w:top w:val="nil"/>
              <w:left w:val="nil"/>
              <w:bottom w:val="nil"/>
              <w:right w:val="nil"/>
            </w:tcBorders>
            <w:shd w:val="clear" w:color="000000" w:fill="FF0000"/>
            <w:vAlign w:val="center"/>
            <w:hideMark/>
          </w:tcPr>
          <w:p w:rsidR="004314E7" w:rsidRPr="004314E7" w:rsidRDefault="004314E7" w:rsidP="00704467">
            <w:pPr>
              <w:spacing w:after="0"/>
              <w:jc w:val="right"/>
              <w:rPr>
                <w:rFonts w:eastAsia="Times New Roman" w:cs="Times New Roman"/>
                <w:b/>
                <w:bCs/>
                <w:color w:val="FFFFFF"/>
                <w:sz w:val="20"/>
                <w:szCs w:val="20"/>
                <w:lang w:eastAsia="en-AU"/>
              </w:rPr>
            </w:pPr>
            <w:r w:rsidRPr="004314E7">
              <w:rPr>
                <w:rFonts w:eastAsia="Times New Roman" w:cs="Times New Roman"/>
                <w:b/>
                <w:bCs/>
                <w:color w:val="FFFFFF"/>
                <w:sz w:val="20"/>
                <w:szCs w:val="20"/>
                <w:lang w:eastAsia="en-AU"/>
              </w:rPr>
              <w:t>2010–11</w:t>
            </w:r>
          </w:p>
        </w:tc>
        <w:tc>
          <w:tcPr>
            <w:tcW w:w="1120" w:type="dxa"/>
            <w:tcBorders>
              <w:top w:val="nil"/>
              <w:left w:val="nil"/>
              <w:bottom w:val="nil"/>
              <w:right w:val="nil"/>
            </w:tcBorders>
            <w:shd w:val="clear" w:color="000000" w:fill="FF0000"/>
            <w:vAlign w:val="center"/>
            <w:hideMark/>
          </w:tcPr>
          <w:p w:rsidR="004314E7" w:rsidRPr="004314E7" w:rsidRDefault="004314E7" w:rsidP="00704467">
            <w:pPr>
              <w:spacing w:after="0"/>
              <w:jc w:val="right"/>
              <w:rPr>
                <w:rFonts w:eastAsia="Times New Roman" w:cs="Times New Roman"/>
                <w:b/>
                <w:bCs/>
                <w:color w:val="FFFFFF"/>
                <w:sz w:val="20"/>
                <w:szCs w:val="20"/>
                <w:lang w:eastAsia="en-AU"/>
              </w:rPr>
            </w:pPr>
            <w:r w:rsidRPr="004314E7">
              <w:rPr>
                <w:rFonts w:eastAsia="Times New Roman" w:cs="Times New Roman"/>
                <w:b/>
                <w:bCs/>
                <w:color w:val="FFFFFF"/>
                <w:sz w:val="20"/>
                <w:szCs w:val="20"/>
                <w:lang w:eastAsia="en-AU"/>
              </w:rPr>
              <w:t>2011–12</w:t>
            </w:r>
          </w:p>
        </w:tc>
        <w:tc>
          <w:tcPr>
            <w:tcW w:w="1120" w:type="dxa"/>
            <w:tcBorders>
              <w:top w:val="nil"/>
              <w:left w:val="nil"/>
              <w:bottom w:val="nil"/>
              <w:right w:val="nil"/>
            </w:tcBorders>
            <w:shd w:val="clear" w:color="000000" w:fill="FF0000"/>
            <w:vAlign w:val="center"/>
            <w:hideMark/>
          </w:tcPr>
          <w:p w:rsidR="004314E7" w:rsidRPr="004314E7" w:rsidRDefault="004314E7" w:rsidP="00704467">
            <w:pPr>
              <w:spacing w:after="0"/>
              <w:jc w:val="right"/>
              <w:rPr>
                <w:rFonts w:eastAsia="Times New Roman" w:cs="Times New Roman"/>
                <w:b/>
                <w:bCs/>
                <w:color w:val="FFFFFF"/>
                <w:sz w:val="20"/>
                <w:szCs w:val="20"/>
                <w:lang w:eastAsia="en-AU"/>
              </w:rPr>
            </w:pPr>
            <w:r w:rsidRPr="004314E7">
              <w:rPr>
                <w:rFonts w:eastAsia="Times New Roman" w:cs="Times New Roman"/>
                <w:b/>
                <w:bCs/>
                <w:color w:val="FFFFFF"/>
                <w:sz w:val="20"/>
                <w:szCs w:val="20"/>
                <w:lang w:eastAsia="en-AU"/>
              </w:rPr>
              <w:t>2012–13</w:t>
            </w:r>
          </w:p>
        </w:tc>
        <w:tc>
          <w:tcPr>
            <w:tcW w:w="1120" w:type="dxa"/>
            <w:tcBorders>
              <w:top w:val="nil"/>
              <w:left w:val="nil"/>
              <w:bottom w:val="nil"/>
              <w:right w:val="nil"/>
            </w:tcBorders>
            <w:shd w:val="clear" w:color="000000" w:fill="FF0000"/>
            <w:vAlign w:val="center"/>
            <w:hideMark/>
          </w:tcPr>
          <w:p w:rsidR="004314E7" w:rsidRPr="004314E7" w:rsidRDefault="004314E7" w:rsidP="00704467">
            <w:pPr>
              <w:spacing w:after="0"/>
              <w:jc w:val="right"/>
              <w:rPr>
                <w:rFonts w:eastAsia="Times New Roman" w:cs="Times New Roman"/>
                <w:b/>
                <w:bCs/>
                <w:color w:val="FFFFFF"/>
                <w:sz w:val="20"/>
                <w:szCs w:val="20"/>
                <w:lang w:eastAsia="en-AU"/>
              </w:rPr>
            </w:pPr>
            <w:r w:rsidRPr="004314E7">
              <w:rPr>
                <w:rFonts w:eastAsia="Times New Roman" w:cs="Times New Roman"/>
                <w:b/>
                <w:bCs/>
                <w:color w:val="FFFFFF"/>
                <w:sz w:val="20"/>
                <w:szCs w:val="20"/>
                <w:lang w:eastAsia="en-AU"/>
              </w:rPr>
              <w:t>2013–14</w:t>
            </w:r>
          </w:p>
        </w:tc>
        <w:tc>
          <w:tcPr>
            <w:tcW w:w="2536" w:type="dxa"/>
            <w:gridSpan w:val="2"/>
            <w:tcBorders>
              <w:top w:val="nil"/>
              <w:left w:val="nil"/>
              <w:bottom w:val="nil"/>
              <w:right w:val="nil"/>
            </w:tcBorders>
            <w:shd w:val="clear" w:color="000000" w:fill="FF0000"/>
            <w:vAlign w:val="center"/>
            <w:hideMark/>
          </w:tcPr>
          <w:p w:rsidR="004314E7" w:rsidRPr="004314E7" w:rsidRDefault="004314E7" w:rsidP="008714A4">
            <w:pPr>
              <w:spacing w:after="0"/>
              <w:ind w:left="515"/>
              <w:jc w:val="center"/>
              <w:rPr>
                <w:rFonts w:eastAsia="Times New Roman" w:cs="Times New Roman"/>
                <w:b/>
                <w:bCs/>
                <w:color w:val="FFFFFF"/>
                <w:sz w:val="20"/>
                <w:szCs w:val="20"/>
                <w:lang w:eastAsia="en-AU"/>
              </w:rPr>
            </w:pPr>
            <w:r w:rsidRPr="004314E7">
              <w:rPr>
                <w:rFonts w:eastAsia="Times New Roman" w:cs="Times New Roman"/>
                <w:b/>
                <w:bCs/>
                <w:color w:val="FFFFFF"/>
                <w:sz w:val="20"/>
                <w:szCs w:val="20"/>
                <w:lang w:eastAsia="en-AU"/>
              </w:rPr>
              <w:t>All reports</w:t>
            </w:r>
          </w:p>
        </w:tc>
      </w:tr>
      <w:tr w:rsidR="004314E7" w:rsidRPr="004314E7" w:rsidTr="00704467">
        <w:trPr>
          <w:trHeight w:val="300"/>
        </w:trPr>
        <w:tc>
          <w:tcPr>
            <w:tcW w:w="1858" w:type="dxa"/>
            <w:tcBorders>
              <w:top w:val="nil"/>
              <w:left w:val="nil"/>
              <w:bottom w:val="nil"/>
              <w:right w:val="nil"/>
            </w:tcBorders>
            <w:shd w:val="clear" w:color="000000" w:fill="D9D9D9"/>
            <w:hideMark/>
          </w:tcPr>
          <w:p w:rsidR="004314E7" w:rsidRPr="004314E7" w:rsidRDefault="004314E7" w:rsidP="004314E7">
            <w:pPr>
              <w:spacing w:after="0"/>
              <w:rPr>
                <w:rFonts w:eastAsia="Times New Roman" w:cs="Times New Roman"/>
                <w:color w:val="000000"/>
                <w:lang w:eastAsia="en-AU"/>
              </w:rPr>
            </w:pPr>
          </w:p>
        </w:tc>
        <w:tc>
          <w:tcPr>
            <w:tcW w:w="1120" w:type="dxa"/>
            <w:tcBorders>
              <w:top w:val="nil"/>
              <w:left w:val="nil"/>
              <w:bottom w:val="nil"/>
              <w:right w:val="nil"/>
            </w:tcBorders>
            <w:shd w:val="clear" w:color="000000" w:fill="D9D9D9"/>
            <w:vAlign w:val="center"/>
            <w:hideMark/>
          </w:tcPr>
          <w:p w:rsidR="004314E7" w:rsidRPr="004314E7" w:rsidRDefault="004314E7" w:rsidP="00704467">
            <w:pPr>
              <w:spacing w:after="0"/>
              <w:jc w:val="right"/>
              <w:rPr>
                <w:rFonts w:eastAsia="Times New Roman" w:cs="Times New Roman"/>
                <w:color w:val="000000"/>
                <w:lang w:eastAsia="en-AU"/>
              </w:rPr>
            </w:pPr>
          </w:p>
        </w:tc>
        <w:tc>
          <w:tcPr>
            <w:tcW w:w="1120" w:type="dxa"/>
            <w:tcBorders>
              <w:top w:val="nil"/>
              <w:left w:val="nil"/>
              <w:bottom w:val="nil"/>
              <w:right w:val="nil"/>
            </w:tcBorders>
            <w:shd w:val="clear" w:color="000000" w:fill="D9D9D9"/>
            <w:vAlign w:val="center"/>
            <w:hideMark/>
          </w:tcPr>
          <w:p w:rsidR="004314E7" w:rsidRPr="004314E7" w:rsidRDefault="004314E7" w:rsidP="00704467">
            <w:pPr>
              <w:spacing w:after="0"/>
              <w:jc w:val="right"/>
              <w:rPr>
                <w:rFonts w:eastAsia="Times New Roman" w:cs="Times New Roman"/>
                <w:color w:val="000000"/>
                <w:lang w:eastAsia="en-AU"/>
              </w:rPr>
            </w:pPr>
          </w:p>
        </w:tc>
        <w:tc>
          <w:tcPr>
            <w:tcW w:w="1120" w:type="dxa"/>
            <w:tcBorders>
              <w:top w:val="nil"/>
              <w:left w:val="nil"/>
              <w:bottom w:val="nil"/>
              <w:right w:val="nil"/>
            </w:tcBorders>
            <w:shd w:val="clear" w:color="000000" w:fill="D9D9D9"/>
            <w:vAlign w:val="center"/>
            <w:hideMark/>
          </w:tcPr>
          <w:p w:rsidR="004314E7" w:rsidRPr="004314E7" w:rsidRDefault="004314E7" w:rsidP="00704467">
            <w:pPr>
              <w:spacing w:after="0"/>
              <w:jc w:val="right"/>
              <w:rPr>
                <w:rFonts w:eastAsia="Times New Roman" w:cs="Times New Roman"/>
                <w:color w:val="000000"/>
                <w:lang w:eastAsia="en-AU"/>
              </w:rPr>
            </w:pPr>
          </w:p>
        </w:tc>
        <w:tc>
          <w:tcPr>
            <w:tcW w:w="1120" w:type="dxa"/>
            <w:tcBorders>
              <w:top w:val="nil"/>
              <w:left w:val="nil"/>
              <w:bottom w:val="nil"/>
              <w:right w:val="nil"/>
            </w:tcBorders>
            <w:shd w:val="clear" w:color="000000" w:fill="D9D9D9"/>
            <w:vAlign w:val="center"/>
            <w:hideMark/>
          </w:tcPr>
          <w:p w:rsidR="004314E7" w:rsidRPr="004314E7" w:rsidRDefault="004314E7" w:rsidP="00704467">
            <w:pPr>
              <w:spacing w:after="0"/>
              <w:jc w:val="right"/>
              <w:rPr>
                <w:rFonts w:eastAsia="Times New Roman" w:cs="Times New Roman"/>
                <w:color w:val="000000"/>
                <w:lang w:eastAsia="en-AU"/>
              </w:rPr>
            </w:pPr>
          </w:p>
        </w:tc>
        <w:tc>
          <w:tcPr>
            <w:tcW w:w="1190" w:type="dxa"/>
            <w:tcBorders>
              <w:top w:val="nil"/>
              <w:left w:val="nil"/>
              <w:bottom w:val="nil"/>
              <w:right w:val="nil"/>
            </w:tcBorders>
            <w:shd w:val="clear" w:color="000000" w:fill="D9D9D9"/>
            <w:vAlign w:val="center"/>
            <w:hideMark/>
          </w:tcPr>
          <w:p w:rsidR="004314E7" w:rsidRPr="004314E7" w:rsidRDefault="004314E7" w:rsidP="00704467">
            <w:pPr>
              <w:spacing w:after="0"/>
              <w:jc w:val="right"/>
              <w:rPr>
                <w:rFonts w:eastAsia="Times New Roman" w:cs="Times New Roman"/>
                <w:b/>
                <w:bCs/>
                <w:color w:val="FF0000"/>
                <w:sz w:val="20"/>
                <w:szCs w:val="20"/>
                <w:lang w:eastAsia="en-AU"/>
              </w:rPr>
            </w:pPr>
            <w:r w:rsidRPr="004314E7">
              <w:rPr>
                <w:rFonts w:eastAsia="Times New Roman" w:cs="Times New Roman"/>
                <w:b/>
                <w:bCs/>
                <w:color w:val="FF0000"/>
                <w:sz w:val="20"/>
                <w:szCs w:val="20"/>
                <w:lang w:eastAsia="en-AU"/>
              </w:rPr>
              <w:t>Total</w:t>
            </w:r>
          </w:p>
        </w:tc>
        <w:tc>
          <w:tcPr>
            <w:tcW w:w="1346" w:type="dxa"/>
            <w:tcBorders>
              <w:top w:val="nil"/>
              <w:left w:val="nil"/>
              <w:bottom w:val="nil"/>
              <w:right w:val="nil"/>
            </w:tcBorders>
            <w:shd w:val="clear" w:color="000000" w:fill="D9D9D9"/>
            <w:vAlign w:val="center"/>
            <w:hideMark/>
          </w:tcPr>
          <w:p w:rsidR="004314E7" w:rsidRPr="004314E7" w:rsidRDefault="004314E7" w:rsidP="00704467">
            <w:pPr>
              <w:spacing w:after="0"/>
              <w:jc w:val="right"/>
              <w:rPr>
                <w:rFonts w:eastAsia="Times New Roman" w:cs="Times New Roman"/>
                <w:b/>
                <w:bCs/>
                <w:color w:val="FF0000"/>
                <w:sz w:val="20"/>
                <w:szCs w:val="20"/>
                <w:lang w:eastAsia="en-AU"/>
              </w:rPr>
            </w:pPr>
            <w:r w:rsidRPr="004314E7">
              <w:rPr>
                <w:rFonts w:eastAsia="Times New Roman" w:cs="Times New Roman"/>
                <w:b/>
                <w:bCs/>
                <w:color w:val="FF0000"/>
                <w:sz w:val="20"/>
                <w:szCs w:val="20"/>
                <w:lang w:eastAsia="en-AU"/>
              </w:rPr>
              <w:t>Per cent</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TACO</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10</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16</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8</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16</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50</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23.8%</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Allergic</w:t>
            </w:r>
            <w:r w:rsidR="00940C5B">
              <w:rPr>
                <w:rFonts w:eastAsia="Times New Roman" w:cs="Times New Roman"/>
                <w:color w:val="000000"/>
                <w:sz w:val="20"/>
                <w:szCs w:val="20"/>
                <w:lang w:eastAsia="en-AU"/>
              </w:rPr>
              <w:t xml:space="preserve"> reaction</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9</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15</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9</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15</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48</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22.9%</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FNHTR</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12</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9</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12</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7</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40</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19.0%</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Anaphylactic</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7</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8</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8</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13</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36</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17.1%</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IBCT</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5</w:t>
            </w:r>
          </w:p>
        </w:tc>
        <w:tc>
          <w:tcPr>
            <w:tcW w:w="1120" w:type="dxa"/>
            <w:tcBorders>
              <w:top w:val="nil"/>
              <w:left w:val="nil"/>
              <w:bottom w:val="single" w:sz="8" w:space="0" w:color="auto"/>
              <w:right w:val="nil"/>
            </w:tcBorders>
            <w:shd w:val="clear" w:color="auto" w:fill="auto"/>
            <w:vAlign w:val="center"/>
            <w:hideMark/>
          </w:tcPr>
          <w:p w:rsidR="004314E7" w:rsidRPr="008714A4" w:rsidRDefault="00194DC7" w:rsidP="008714A4">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12</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5.7%</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DHTR</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7</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10</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4.8%</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AHTR</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w:t>
            </w:r>
          </w:p>
        </w:tc>
        <w:tc>
          <w:tcPr>
            <w:tcW w:w="1120" w:type="dxa"/>
            <w:tcBorders>
              <w:top w:val="nil"/>
              <w:left w:val="nil"/>
              <w:bottom w:val="single" w:sz="8" w:space="0" w:color="auto"/>
              <w:right w:val="nil"/>
            </w:tcBorders>
            <w:shd w:val="clear" w:color="auto" w:fill="auto"/>
            <w:vAlign w:val="center"/>
            <w:hideMark/>
          </w:tcPr>
          <w:p w:rsidR="004314E7" w:rsidRPr="008714A4" w:rsidRDefault="008714A4" w:rsidP="008714A4">
            <w:pPr>
              <w:spacing w:after="0"/>
              <w:jc w:val="right"/>
              <w:rPr>
                <w:rFonts w:eastAsia="Times New Roman" w:cs="Times New Roman"/>
                <w:color w:val="000000"/>
                <w:sz w:val="20"/>
                <w:szCs w:val="20"/>
                <w:lang w:eastAsia="en-AU"/>
              </w:rPr>
            </w:pPr>
            <w:r>
              <w:rPr>
                <w:rFonts w:eastAsia="Times New Roman" w:cs="Times New Roman"/>
                <w:color w:val="000000"/>
                <w:sz w:val="20"/>
                <w:szCs w:val="20"/>
                <w:lang w:eastAsia="en-AU"/>
              </w:rPr>
              <w:t>0</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6</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2.9%</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TTI</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w:t>
            </w:r>
          </w:p>
        </w:tc>
        <w:tc>
          <w:tcPr>
            <w:tcW w:w="1120" w:type="dxa"/>
            <w:tcBorders>
              <w:top w:val="nil"/>
              <w:left w:val="nil"/>
              <w:bottom w:val="single" w:sz="8" w:space="0" w:color="auto"/>
              <w:right w:val="nil"/>
            </w:tcBorders>
            <w:shd w:val="clear" w:color="auto" w:fill="auto"/>
            <w:vAlign w:val="center"/>
            <w:hideMark/>
          </w:tcPr>
          <w:p w:rsidR="004314E7" w:rsidRPr="008714A4" w:rsidRDefault="00194DC7" w:rsidP="008714A4">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20" w:type="dxa"/>
            <w:tcBorders>
              <w:top w:val="nil"/>
              <w:left w:val="nil"/>
              <w:bottom w:val="single" w:sz="8" w:space="0" w:color="auto"/>
              <w:right w:val="nil"/>
            </w:tcBorders>
            <w:shd w:val="clear" w:color="auto" w:fill="auto"/>
            <w:vAlign w:val="center"/>
            <w:hideMark/>
          </w:tcPr>
          <w:p w:rsidR="004314E7" w:rsidRPr="008714A4" w:rsidRDefault="00194DC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1.9%</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TRALI</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2</w:t>
            </w:r>
          </w:p>
        </w:tc>
        <w:tc>
          <w:tcPr>
            <w:tcW w:w="112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w:t>
            </w:r>
          </w:p>
        </w:tc>
        <w:tc>
          <w:tcPr>
            <w:tcW w:w="1120" w:type="dxa"/>
            <w:tcBorders>
              <w:top w:val="nil"/>
              <w:left w:val="nil"/>
              <w:bottom w:val="single" w:sz="8" w:space="0" w:color="auto"/>
              <w:right w:val="nil"/>
            </w:tcBorders>
            <w:shd w:val="clear" w:color="auto" w:fill="auto"/>
            <w:vAlign w:val="center"/>
            <w:hideMark/>
          </w:tcPr>
          <w:p w:rsidR="004314E7" w:rsidRPr="008714A4" w:rsidRDefault="00194DC7" w:rsidP="008714A4">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20" w:type="dxa"/>
            <w:tcBorders>
              <w:top w:val="nil"/>
              <w:left w:val="nil"/>
              <w:bottom w:val="single" w:sz="8" w:space="0" w:color="auto"/>
              <w:right w:val="nil"/>
            </w:tcBorders>
            <w:shd w:val="clear" w:color="auto" w:fill="auto"/>
            <w:vAlign w:val="center"/>
            <w:hideMark/>
          </w:tcPr>
          <w:p w:rsidR="004314E7" w:rsidRPr="008714A4" w:rsidRDefault="00194DC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90" w:type="dxa"/>
            <w:tcBorders>
              <w:top w:val="nil"/>
              <w:left w:val="nil"/>
              <w:bottom w:val="single" w:sz="8" w:space="0" w:color="auto"/>
              <w:right w:val="nil"/>
            </w:tcBorders>
            <w:shd w:val="clear" w:color="auto" w:fill="auto"/>
            <w:vAlign w:val="center"/>
            <w:hideMark/>
          </w:tcPr>
          <w:p w:rsidR="004314E7" w:rsidRPr="008714A4" w:rsidRDefault="004314E7" w:rsidP="00704467">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1.4%</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4314E7" w:rsidRDefault="004314E7" w:rsidP="004314E7">
            <w:pPr>
              <w:spacing w:after="0"/>
              <w:rPr>
                <w:rFonts w:eastAsia="Times New Roman" w:cs="Times New Roman"/>
                <w:color w:val="000000"/>
                <w:sz w:val="20"/>
                <w:szCs w:val="20"/>
                <w:lang w:eastAsia="en-AU"/>
              </w:rPr>
            </w:pPr>
            <w:r w:rsidRPr="004314E7">
              <w:rPr>
                <w:rFonts w:eastAsia="Times New Roman" w:cs="Times New Roman"/>
                <w:color w:val="000000"/>
                <w:sz w:val="20"/>
                <w:szCs w:val="20"/>
                <w:lang w:eastAsia="en-AU"/>
              </w:rPr>
              <w:t>PTP</w:t>
            </w:r>
          </w:p>
        </w:tc>
        <w:tc>
          <w:tcPr>
            <w:tcW w:w="1120" w:type="dxa"/>
            <w:tcBorders>
              <w:top w:val="nil"/>
              <w:left w:val="nil"/>
              <w:bottom w:val="single" w:sz="8" w:space="0" w:color="auto"/>
              <w:right w:val="nil"/>
            </w:tcBorders>
            <w:shd w:val="clear" w:color="auto" w:fill="auto"/>
            <w:vAlign w:val="center"/>
            <w:hideMark/>
          </w:tcPr>
          <w:p w:rsidR="004314E7" w:rsidRPr="00A172E8" w:rsidRDefault="00194DC7" w:rsidP="00704467">
            <w:pPr>
              <w:spacing w:after="0"/>
              <w:jc w:val="right"/>
              <w:rPr>
                <w:rFonts w:eastAsia="Times New Roman" w:cs="Times New Roman"/>
                <w:color w:val="000000"/>
                <w:sz w:val="20"/>
                <w:szCs w:val="20"/>
                <w:lang w:eastAsia="en-AU"/>
              </w:rPr>
            </w:pPr>
            <w:r w:rsidRPr="00A172E8">
              <w:rPr>
                <w:rFonts w:eastAsia="Times New Roman" w:cs="Times New Roman"/>
                <w:color w:val="000000"/>
                <w:sz w:val="20"/>
                <w:szCs w:val="20"/>
                <w:lang w:eastAsia="en-AU"/>
              </w:rPr>
              <w:t>0</w:t>
            </w:r>
          </w:p>
        </w:tc>
        <w:tc>
          <w:tcPr>
            <w:tcW w:w="1120" w:type="dxa"/>
            <w:tcBorders>
              <w:top w:val="nil"/>
              <w:left w:val="nil"/>
              <w:bottom w:val="single" w:sz="8" w:space="0" w:color="auto"/>
              <w:right w:val="nil"/>
            </w:tcBorders>
            <w:shd w:val="clear" w:color="auto" w:fill="auto"/>
            <w:vAlign w:val="center"/>
            <w:hideMark/>
          </w:tcPr>
          <w:p w:rsidR="004314E7" w:rsidRPr="00A172E8" w:rsidRDefault="00194DC7" w:rsidP="00704467">
            <w:pPr>
              <w:spacing w:after="0"/>
              <w:jc w:val="right"/>
              <w:rPr>
                <w:rFonts w:eastAsia="Times New Roman" w:cs="Times New Roman"/>
                <w:color w:val="000000"/>
                <w:sz w:val="20"/>
                <w:szCs w:val="20"/>
                <w:lang w:eastAsia="en-AU"/>
              </w:rPr>
            </w:pPr>
            <w:r w:rsidRPr="00A172E8">
              <w:rPr>
                <w:rFonts w:eastAsia="Times New Roman" w:cs="Times New Roman"/>
                <w:color w:val="000000"/>
                <w:sz w:val="20"/>
                <w:szCs w:val="20"/>
                <w:lang w:eastAsia="en-AU"/>
              </w:rPr>
              <w:t>0</w:t>
            </w:r>
          </w:p>
        </w:tc>
        <w:tc>
          <w:tcPr>
            <w:tcW w:w="1120" w:type="dxa"/>
            <w:tcBorders>
              <w:top w:val="nil"/>
              <w:left w:val="nil"/>
              <w:bottom w:val="single" w:sz="8" w:space="0" w:color="auto"/>
              <w:right w:val="nil"/>
            </w:tcBorders>
            <w:shd w:val="clear" w:color="auto" w:fill="auto"/>
            <w:vAlign w:val="center"/>
            <w:hideMark/>
          </w:tcPr>
          <w:p w:rsidR="004314E7" w:rsidRPr="00A172E8" w:rsidRDefault="00194DC7" w:rsidP="00FB14A2">
            <w:pPr>
              <w:spacing w:after="0"/>
              <w:jc w:val="right"/>
              <w:rPr>
                <w:rFonts w:eastAsia="Times New Roman" w:cs="Times New Roman"/>
                <w:color w:val="000000"/>
                <w:sz w:val="20"/>
                <w:szCs w:val="20"/>
                <w:lang w:eastAsia="en-AU"/>
              </w:rPr>
            </w:pPr>
            <w:r w:rsidRPr="00A172E8">
              <w:rPr>
                <w:rFonts w:eastAsia="Times New Roman" w:cs="Times New Roman"/>
                <w:color w:val="000000"/>
                <w:sz w:val="20"/>
                <w:szCs w:val="20"/>
                <w:lang w:eastAsia="en-AU"/>
              </w:rPr>
              <w:t>0</w:t>
            </w:r>
          </w:p>
        </w:tc>
        <w:tc>
          <w:tcPr>
            <w:tcW w:w="1120" w:type="dxa"/>
            <w:tcBorders>
              <w:top w:val="nil"/>
              <w:left w:val="nil"/>
              <w:bottom w:val="single" w:sz="8" w:space="0" w:color="auto"/>
              <w:right w:val="nil"/>
            </w:tcBorders>
            <w:shd w:val="clear" w:color="auto" w:fill="auto"/>
            <w:vAlign w:val="center"/>
            <w:hideMark/>
          </w:tcPr>
          <w:p w:rsidR="004314E7" w:rsidRPr="004314E7" w:rsidRDefault="004314E7" w:rsidP="0070446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1</w:t>
            </w:r>
          </w:p>
        </w:tc>
        <w:tc>
          <w:tcPr>
            <w:tcW w:w="1190" w:type="dxa"/>
            <w:tcBorders>
              <w:top w:val="nil"/>
              <w:left w:val="nil"/>
              <w:bottom w:val="single" w:sz="8" w:space="0" w:color="auto"/>
              <w:right w:val="nil"/>
            </w:tcBorders>
            <w:shd w:val="clear" w:color="auto" w:fill="auto"/>
            <w:vAlign w:val="center"/>
            <w:hideMark/>
          </w:tcPr>
          <w:p w:rsidR="004314E7" w:rsidRPr="004314E7" w:rsidRDefault="004314E7" w:rsidP="0070446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1</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color w:val="000000"/>
                <w:sz w:val="20"/>
                <w:szCs w:val="20"/>
                <w:lang w:eastAsia="en-AU"/>
              </w:rPr>
            </w:pPr>
            <w:r w:rsidRPr="004314E7">
              <w:rPr>
                <w:rFonts w:eastAsia="Times New Roman" w:cs="Times New Roman"/>
                <w:color w:val="000000"/>
                <w:sz w:val="20"/>
                <w:szCs w:val="20"/>
                <w:lang w:eastAsia="en-AU"/>
              </w:rPr>
              <w:t>0.5%</w:t>
            </w:r>
          </w:p>
        </w:tc>
      </w:tr>
      <w:tr w:rsidR="004314E7" w:rsidRPr="004314E7" w:rsidTr="00704467">
        <w:trPr>
          <w:trHeight w:val="315"/>
        </w:trPr>
        <w:tc>
          <w:tcPr>
            <w:tcW w:w="1858" w:type="dxa"/>
            <w:tcBorders>
              <w:top w:val="nil"/>
              <w:left w:val="nil"/>
              <w:bottom w:val="single" w:sz="8" w:space="0" w:color="auto"/>
              <w:right w:val="nil"/>
            </w:tcBorders>
            <w:shd w:val="clear" w:color="auto" w:fill="auto"/>
            <w:noWrap/>
            <w:vAlign w:val="center"/>
            <w:hideMark/>
          </w:tcPr>
          <w:p w:rsidR="004314E7" w:rsidRPr="0096249F" w:rsidRDefault="004314E7" w:rsidP="0096249F">
            <w:pPr>
              <w:spacing w:after="0"/>
              <w:rPr>
                <w:rFonts w:eastAsia="Times New Roman" w:cs="Times New Roman"/>
                <w:b/>
                <w:color w:val="000000"/>
                <w:sz w:val="20"/>
                <w:szCs w:val="20"/>
                <w:lang w:eastAsia="en-AU"/>
              </w:rPr>
            </w:pPr>
            <w:r w:rsidRPr="0096249F">
              <w:rPr>
                <w:rFonts w:eastAsia="Times New Roman" w:cs="Times New Roman"/>
                <w:b/>
                <w:color w:val="000000"/>
                <w:sz w:val="20"/>
                <w:szCs w:val="20"/>
                <w:lang w:eastAsia="en-AU"/>
              </w:rPr>
              <w:t>All reports</w:t>
            </w:r>
          </w:p>
        </w:tc>
        <w:tc>
          <w:tcPr>
            <w:tcW w:w="1120" w:type="dxa"/>
            <w:tcBorders>
              <w:top w:val="nil"/>
              <w:left w:val="nil"/>
              <w:bottom w:val="single" w:sz="8" w:space="0" w:color="auto"/>
              <w:right w:val="nil"/>
            </w:tcBorders>
            <w:shd w:val="clear" w:color="auto" w:fill="auto"/>
            <w:noWrap/>
            <w:vAlign w:val="center"/>
            <w:hideMark/>
          </w:tcPr>
          <w:p w:rsidR="004314E7" w:rsidRPr="004314E7" w:rsidRDefault="004314E7" w:rsidP="00704467">
            <w:pPr>
              <w:spacing w:after="0"/>
              <w:jc w:val="right"/>
              <w:rPr>
                <w:rFonts w:eastAsia="Times New Roman" w:cs="Times New Roman"/>
                <w:b/>
                <w:bCs/>
                <w:color w:val="000000"/>
                <w:sz w:val="20"/>
                <w:szCs w:val="20"/>
                <w:lang w:eastAsia="en-AU"/>
              </w:rPr>
            </w:pPr>
            <w:r w:rsidRPr="004314E7">
              <w:rPr>
                <w:rFonts w:eastAsia="Times New Roman" w:cs="Times New Roman"/>
                <w:b/>
                <w:bCs/>
                <w:color w:val="000000"/>
                <w:sz w:val="20"/>
                <w:szCs w:val="20"/>
                <w:lang w:eastAsia="en-AU"/>
              </w:rPr>
              <w:t>48</w:t>
            </w:r>
          </w:p>
        </w:tc>
        <w:tc>
          <w:tcPr>
            <w:tcW w:w="1120" w:type="dxa"/>
            <w:tcBorders>
              <w:top w:val="nil"/>
              <w:left w:val="nil"/>
              <w:bottom w:val="single" w:sz="8" w:space="0" w:color="auto"/>
              <w:right w:val="nil"/>
            </w:tcBorders>
            <w:shd w:val="clear" w:color="auto" w:fill="auto"/>
            <w:noWrap/>
            <w:vAlign w:val="center"/>
            <w:hideMark/>
          </w:tcPr>
          <w:p w:rsidR="004314E7" w:rsidRPr="004314E7" w:rsidRDefault="004314E7" w:rsidP="00704467">
            <w:pPr>
              <w:spacing w:after="0"/>
              <w:jc w:val="right"/>
              <w:rPr>
                <w:rFonts w:eastAsia="Times New Roman" w:cs="Times New Roman"/>
                <w:b/>
                <w:bCs/>
                <w:color w:val="000000"/>
                <w:sz w:val="20"/>
                <w:szCs w:val="20"/>
                <w:lang w:eastAsia="en-AU"/>
              </w:rPr>
            </w:pPr>
            <w:r w:rsidRPr="004314E7">
              <w:rPr>
                <w:rFonts w:eastAsia="Times New Roman" w:cs="Times New Roman"/>
                <w:b/>
                <w:bCs/>
                <w:color w:val="000000"/>
                <w:sz w:val="20"/>
                <w:szCs w:val="20"/>
                <w:lang w:eastAsia="en-AU"/>
              </w:rPr>
              <w:t>64</w:t>
            </w:r>
          </w:p>
        </w:tc>
        <w:tc>
          <w:tcPr>
            <w:tcW w:w="1120" w:type="dxa"/>
            <w:tcBorders>
              <w:top w:val="nil"/>
              <w:left w:val="nil"/>
              <w:bottom w:val="single" w:sz="8" w:space="0" w:color="auto"/>
              <w:right w:val="nil"/>
            </w:tcBorders>
            <w:shd w:val="clear" w:color="auto" w:fill="auto"/>
            <w:noWrap/>
            <w:vAlign w:val="center"/>
            <w:hideMark/>
          </w:tcPr>
          <w:p w:rsidR="004314E7" w:rsidRPr="004314E7" w:rsidRDefault="004314E7" w:rsidP="00704467">
            <w:pPr>
              <w:spacing w:after="0"/>
              <w:jc w:val="right"/>
              <w:rPr>
                <w:rFonts w:eastAsia="Times New Roman" w:cs="Times New Roman"/>
                <w:b/>
                <w:bCs/>
                <w:color w:val="000000"/>
                <w:sz w:val="20"/>
                <w:szCs w:val="20"/>
                <w:lang w:eastAsia="en-AU"/>
              </w:rPr>
            </w:pPr>
            <w:r w:rsidRPr="004314E7">
              <w:rPr>
                <w:rFonts w:eastAsia="Times New Roman" w:cs="Times New Roman"/>
                <w:b/>
                <w:bCs/>
                <w:color w:val="000000"/>
                <w:sz w:val="20"/>
                <w:szCs w:val="20"/>
                <w:lang w:eastAsia="en-AU"/>
              </w:rPr>
              <w:t>44</w:t>
            </w:r>
          </w:p>
        </w:tc>
        <w:tc>
          <w:tcPr>
            <w:tcW w:w="1120" w:type="dxa"/>
            <w:tcBorders>
              <w:top w:val="nil"/>
              <w:left w:val="nil"/>
              <w:bottom w:val="single" w:sz="8" w:space="0" w:color="auto"/>
              <w:right w:val="nil"/>
            </w:tcBorders>
            <w:shd w:val="clear" w:color="auto" w:fill="auto"/>
            <w:noWrap/>
            <w:vAlign w:val="center"/>
            <w:hideMark/>
          </w:tcPr>
          <w:p w:rsidR="004314E7" w:rsidRPr="004314E7" w:rsidRDefault="004314E7" w:rsidP="00704467">
            <w:pPr>
              <w:spacing w:after="0"/>
              <w:jc w:val="right"/>
              <w:rPr>
                <w:rFonts w:eastAsia="Times New Roman" w:cs="Times New Roman"/>
                <w:b/>
                <w:bCs/>
                <w:color w:val="000000"/>
                <w:sz w:val="20"/>
                <w:szCs w:val="20"/>
                <w:lang w:eastAsia="en-AU"/>
              </w:rPr>
            </w:pPr>
            <w:r w:rsidRPr="004314E7">
              <w:rPr>
                <w:rFonts w:eastAsia="Times New Roman" w:cs="Times New Roman"/>
                <w:b/>
                <w:bCs/>
                <w:color w:val="000000"/>
                <w:sz w:val="20"/>
                <w:szCs w:val="20"/>
                <w:lang w:eastAsia="en-AU"/>
              </w:rPr>
              <w:t>54</w:t>
            </w:r>
          </w:p>
        </w:tc>
        <w:tc>
          <w:tcPr>
            <w:tcW w:w="1190" w:type="dxa"/>
            <w:tcBorders>
              <w:top w:val="nil"/>
              <w:left w:val="nil"/>
              <w:bottom w:val="single" w:sz="8" w:space="0" w:color="auto"/>
              <w:right w:val="nil"/>
            </w:tcBorders>
            <w:shd w:val="clear" w:color="auto" w:fill="auto"/>
            <w:noWrap/>
            <w:vAlign w:val="center"/>
            <w:hideMark/>
          </w:tcPr>
          <w:p w:rsidR="004314E7" w:rsidRPr="004314E7" w:rsidRDefault="004314E7" w:rsidP="00704467">
            <w:pPr>
              <w:spacing w:after="0"/>
              <w:jc w:val="right"/>
              <w:rPr>
                <w:rFonts w:eastAsia="Times New Roman" w:cs="Times New Roman"/>
                <w:b/>
                <w:bCs/>
                <w:color w:val="000000"/>
                <w:sz w:val="20"/>
                <w:szCs w:val="20"/>
                <w:lang w:eastAsia="en-AU"/>
              </w:rPr>
            </w:pPr>
            <w:r w:rsidRPr="004314E7">
              <w:rPr>
                <w:rFonts w:eastAsia="Times New Roman" w:cs="Times New Roman"/>
                <w:b/>
                <w:bCs/>
                <w:color w:val="000000"/>
                <w:sz w:val="20"/>
                <w:szCs w:val="20"/>
                <w:lang w:eastAsia="en-AU"/>
              </w:rPr>
              <w:t>210</w:t>
            </w:r>
          </w:p>
        </w:tc>
        <w:tc>
          <w:tcPr>
            <w:tcW w:w="1346" w:type="dxa"/>
            <w:tcBorders>
              <w:top w:val="nil"/>
              <w:left w:val="nil"/>
              <w:bottom w:val="single" w:sz="8" w:space="0" w:color="auto"/>
              <w:right w:val="nil"/>
            </w:tcBorders>
            <w:shd w:val="clear" w:color="auto" w:fill="auto"/>
            <w:noWrap/>
            <w:vAlign w:val="center"/>
            <w:hideMark/>
          </w:tcPr>
          <w:p w:rsidR="004314E7" w:rsidRPr="004314E7" w:rsidRDefault="004314E7" w:rsidP="00194DC7">
            <w:pPr>
              <w:spacing w:after="0"/>
              <w:jc w:val="right"/>
              <w:rPr>
                <w:rFonts w:eastAsia="Times New Roman" w:cs="Times New Roman"/>
                <w:b/>
                <w:bCs/>
                <w:color w:val="000000"/>
                <w:sz w:val="20"/>
                <w:szCs w:val="20"/>
                <w:lang w:eastAsia="en-AU"/>
              </w:rPr>
            </w:pPr>
            <w:r w:rsidRPr="004314E7">
              <w:rPr>
                <w:rFonts w:eastAsia="Times New Roman" w:cs="Times New Roman"/>
                <w:b/>
                <w:bCs/>
                <w:color w:val="000000"/>
                <w:sz w:val="20"/>
                <w:szCs w:val="20"/>
                <w:lang w:eastAsia="en-AU"/>
              </w:rPr>
              <w:t>100.0%</w:t>
            </w:r>
          </w:p>
        </w:tc>
      </w:tr>
    </w:tbl>
    <w:p w:rsidR="0039701B" w:rsidRPr="00E27D4B" w:rsidRDefault="0039701B" w:rsidP="0039701B">
      <w:pPr>
        <w:spacing w:before="40" w:after="40" w:line="180" w:lineRule="atLeast"/>
        <w:rPr>
          <w:rFonts w:asciiTheme="minorHAnsi" w:eastAsia="Times New Roman" w:hAnsiTheme="minorHAnsi" w:cstheme="minorHAnsi"/>
          <w:sz w:val="18"/>
          <w:szCs w:val="18"/>
          <w:lang w:eastAsia="en-AU"/>
        </w:rPr>
      </w:pPr>
      <w:bookmarkStart w:id="51" w:name="_Ref450841391"/>
      <w:r w:rsidRPr="00E27D4B">
        <w:rPr>
          <w:rFonts w:asciiTheme="minorHAnsi" w:eastAsia="Times New Roman" w:hAnsiTheme="minorHAnsi" w:cstheme="minorHAnsi"/>
          <w:sz w:val="18"/>
          <w:szCs w:val="18"/>
          <w:lang w:eastAsia="en-AU"/>
        </w:rPr>
        <w:t>Notes</w:t>
      </w:r>
    </w:p>
    <w:p w:rsidR="0039701B" w:rsidRPr="0039701B" w:rsidRDefault="0039701B" w:rsidP="0096249F">
      <w:pPr>
        <w:pStyle w:val="ListParagraph"/>
        <w:numPr>
          <w:ilvl w:val="0"/>
          <w:numId w:val="49"/>
        </w:numPr>
        <w:spacing w:before="40" w:after="40" w:line="180" w:lineRule="atLeast"/>
        <w:ind w:left="426" w:hanging="426"/>
        <w:rPr>
          <w:sz w:val="18"/>
          <w:szCs w:val="18"/>
        </w:rPr>
      </w:pPr>
      <w:r w:rsidRPr="0039701B">
        <w:rPr>
          <w:sz w:val="18"/>
          <w:szCs w:val="18"/>
        </w:rPr>
        <w:t xml:space="preserve">NSW did not report detailed data (such as blood products, outcome severity and </w:t>
      </w:r>
      <w:proofErr w:type="spellStart"/>
      <w:r w:rsidRPr="0039701B">
        <w:rPr>
          <w:sz w:val="18"/>
          <w:szCs w:val="18"/>
        </w:rPr>
        <w:t>imputability</w:t>
      </w:r>
      <w:proofErr w:type="spellEnd"/>
      <w:r w:rsidRPr="0039701B">
        <w:rPr>
          <w:sz w:val="18"/>
          <w:szCs w:val="18"/>
        </w:rPr>
        <w:t xml:space="preserve"> score) for 2010–11</w:t>
      </w:r>
    </w:p>
    <w:p w:rsidR="0039701B" w:rsidRPr="0039701B" w:rsidRDefault="0039701B" w:rsidP="0096249F">
      <w:pPr>
        <w:pStyle w:val="ListParagraph"/>
        <w:numPr>
          <w:ilvl w:val="0"/>
          <w:numId w:val="49"/>
        </w:numPr>
        <w:spacing w:before="40" w:after="40" w:line="180" w:lineRule="atLeast"/>
        <w:ind w:left="426" w:hanging="426"/>
        <w:rPr>
          <w:sz w:val="18"/>
          <w:szCs w:val="18"/>
        </w:rPr>
      </w:pPr>
      <w:r w:rsidRPr="0039701B">
        <w:rPr>
          <w:sz w:val="18"/>
          <w:szCs w:val="18"/>
        </w:rPr>
        <w:t xml:space="preserve">ACT reported zero adverse events for </w:t>
      </w:r>
      <w:r w:rsidR="0072498E" w:rsidRPr="00E4119C">
        <w:rPr>
          <w:sz w:val="18"/>
          <w:szCs w:val="18"/>
        </w:rPr>
        <w:t>2010-11</w:t>
      </w:r>
      <w:r w:rsidR="0072498E">
        <w:rPr>
          <w:sz w:val="18"/>
          <w:szCs w:val="18"/>
        </w:rPr>
        <w:t xml:space="preserve"> and </w:t>
      </w:r>
      <w:r w:rsidR="0072498E" w:rsidRPr="00E4119C">
        <w:rPr>
          <w:sz w:val="18"/>
          <w:szCs w:val="18"/>
        </w:rPr>
        <w:t>2013–14</w:t>
      </w:r>
    </w:p>
    <w:p w:rsidR="0039701B" w:rsidRPr="0039701B" w:rsidRDefault="0039701B" w:rsidP="0096249F">
      <w:pPr>
        <w:pStyle w:val="ListParagraph"/>
        <w:numPr>
          <w:ilvl w:val="0"/>
          <w:numId w:val="49"/>
        </w:numPr>
        <w:spacing w:before="40" w:after="40" w:line="180" w:lineRule="atLeast"/>
        <w:ind w:left="426" w:hanging="426"/>
        <w:rPr>
          <w:sz w:val="18"/>
          <w:szCs w:val="18"/>
        </w:rPr>
      </w:pPr>
      <w:r w:rsidRPr="0039701B">
        <w:rPr>
          <w:sz w:val="18"/>
          <w:szCs w:val="18"/>
        </w:rPr>
        <w:t>QLD did not contribute data for 2012–13</w:t>
      </w:r>
    </w:p>
    <w:p w:rsidR="0039701B" w:rsidRPr="0039701B" w:rsidRDefault="0039701B" w:rsidP="0096249F">
      <w:pPr>
        <w:pStyle w:val="ListParagraph"/>
        <w:numPr>
          <w:ilvl w:val="0"/>
          <w:numId w:val="49"/>
        </w:numPr>
        <w:spacing w:before="40" w:after="40" w:line="180" w:lineRule="atLeast"/>
        <w:ind w:left="426" w:hanging="426"/>
        <w:rPr>
          <w:sz w:val="18"/>
          <w:szCs w:val="18"/>
        </w:rPr>
      </w:pPr>
      <w:r w:rsidRPr="0039701B">
        <w:rPr>
          <w:sz w:val="18"/>
          <w:szCs w:val="18"/>
        </w:rPr>
        <w:t>WA did not contribute data</w:t>
      </w:r>
    </w:p>
    <w:p w:rsidR="0039701B" w:rsidRPr="0039701B" w:rsidRDefault="0039701B" w:rsidP="0096249F">
      <w:pPr>
        <w:pStyle w:val="ListParagraph"/>
        <w:numPr>
          <w:ilvl w:val="0"/>
          <w:numId w:val="49"/>
        </w:numPr>
        <w:spacing w:before="40" w:after="40" w:line="180" w:lineRule="atLeast"/>
        <w:ind w:left="426" w:hanging="426"/>
        <w:rPr>
          <w:sz w:val="18"/>
          <w:szCs w:val="18"/>
        </w:rPr>
      </w:pPr>
      <w:r w:rsidRPr="0039701B">
        <w:rPr>
          <w:sz w:val="18"/>
          <w:szCs w:val="18"/>
        </w:rPr>
        <w:t>All TTIs were</w:t>
      </w:r>
      <w:r w:rsidR="00FF53AC">
        <w:rPr>
          <w:sz w:val="18"/>
          <w:szCs w:val="18"/>
        </w:rPr>
        <w:t xml:space="preserve"> suspected but not confirmed</w:t>
      </w:r>
      <w:r w:rsidRPr="0039701B">
        <w:rPr>
          <w:sz w:val="18"/>
          <w:szCs w:val="18"/>
        </w:rPr>
        <w:t xml:space="preserve"> bacterial infections</w:t>
      </w:r>
    </w:p>
    <w:p w:rsidR="007D4A01" w:rsidRDefault="00D3289E" w:rsidP="00374BFB">
      <w:pPr>
        <w:spacing w:before="200" w:after="0"/>
      </w:pPr>
      <w:r w:rsidRPr="00EC4AF3">
        <w:fldChar w:fldCharType="begin"/>
      </w:r>
      <w:r w:rsidRPr="00E0314D">
        <w:instrText xml:space="preserve"> REF _Ref450926039 \h </w:instrText>
      </w:r>
      <w:r w:rsidR="00E0314D" w:rsidRPr="00E0314D">
        <w:instrText xml:space="preserve"> \* MERGEFORMAT </w:instrText>
      </w:r>
      <w:r w:rsidRPr="00EC4AF3">
        <w:fldChar w:fldCharType="separate"/>
      </w:r>
      <w:r w:rsidR="000010BC" w:rsidRPr="00FE6DFD">
        <w:t xml:space="preserve">Table </w:t>
      </w:r>
      <w:r w:rsidR="000010BC" w:rsidRPr="000010BC">
        <w:rPr>
          <w:noProof/>
        </w:rPr>
        <w:t>10</w:t>
      </w:r>
      <w:r w:rsidRPr="00EC4AF3">
        <w:fldChar w:fldCharType="end"/>
      </w:r>
      <w:r w:rsidRPr="00E0314D">
        <w:t xml:space="preserve"> </w:t>
      </w:r>
      <w:r w:rsidR="007D4A01" w:rsidRPr="00E0314D">
        <w:t xml:space="preserve">details the numbers of </w:t>
      </w:r>
      <w:r w:rsidR="00EB1220" w:rsidRPr="00E0314D">
        <w:t xml:space="preserve">serious </w:t>
      </w:r>
      <w:r w:rsidR="007D4A01" w:rsidRPr="00E0314D">
        <w:t>adverse events by blood product reported f</w:t>
      </w:r>
      <w:r w:rsidR="006133F4" w:rsidRPr="00E0314D">
        <w:t>rom</w:t>
      </w:r>
      <w:r w:rsidR="007D4A01" w:rsidRPr="00E0314D">
        <w:t xml:space="preserve"> </w:t>
      </w:r>
      <w:r w:rsidR="006133F4" w:rsidRPr="00E0314D">
        <w:t xml:space="preserve">2010–11 to </w:t>
      </w:r>
      <w:r w:rsidR="007D4A01" w:rsidRPr="00E0314D">
        <w:t>2013</w:t>
      </w:r>
      <w:r w:rsidR="00C64E4E">
        <w:noBreakHyphen/>
      </w:r>
      <w:r w:rsidR="007D4A01" w:rsidRPr="00210321">
        <w:t>14:</w:t>
      </w:r>
    </w:p>
    <w:p w:rsidR="006133F4" w:rsidRDefault="007D4A01" w:rsidP="0096249F">
      <w:pPr>
        <w:pStyle w:val="ListParagraph"/>
        <w:numPr>
          <w:ilvl w:val="0"/>
          <w:numId w:val="27"/>
        </w:numPr>
      </w:pPr>
      <w:r>
        <w:t>R</w:t>
      </w:r>
      <w:r w:rsidRPr="008F2146">
        <w:t>ed blood cells were the products most often im</w:t>
      </w:r>
      <w:r>
        <w:t>plicated in</w:t>
      </w:r>
      <w:r w:rsidR="00EB1220">
        <w:t xml:space="preserve"> serious</w:t>
      </w:r>
      <w:r>
        <w:t xml:space="preserve"> events for </w:t>
      </w:r>
      <w:r w:rsidR="006133F4">
        <w:t>this period</w:t>
      </w:r>
      <w:r>
        <w:t>,</w:t>
      </w:r>
      <w:r w:rsidRPr="008F2146">
        <w:t xml:space="preserve"> accounting for </w:t>
      </w:r>
      <w:r w:rsidR="006133F4">
        <w:t>63.8</w:t>
      </w:r>
      <w:r w:rsidRPr="008F2146">
        <w:t>% of the reports</w:t>
      </w:r>
      <w:r>
        <w:t xml:space="preserve">, followed by </w:t>
      </w:r>
      <w:r w:rsidR="006133F4">
        <w:t>fresh frozen plasma</w:t>
      </w:r>
      <w:r>
        <w:t xml:space="preserve"> (</w:t>
      </w:r>
      <w:r w:rsidR="006133F4">
        <w:t>19.</w:t>
      </w:r>
      <w:r w:rsidR="00C64E4E">
        <w:t>0</w:t>
      </w:r>
      <w:r>
        <w:t>%) and</w:t>
      </w:r>
      <w:r w:rsidR="006133F4">
        <w:t xml:space="preserve"> platelets</w:t>
      </w:r>
      <w:r>
        <w:t xml:space="preserve"> (</w:t>
      </w:r>
      <w:r w:rsidR="006133F4">
        <w:t>17.1</w:t>
      </w:r>
      <w:r w:rsidR="003310E1">
        <w:t>%).</w:t>
      </w:r>
    </w:p>
    <w:p w:rsidR="006133F4" w:rsidRDefault="00EB1220" w:rsidP="0096249F">
      <w:pPr>
        <w:pStyle w:val="ListParagraph"/>
        <w:numPr>
          <w:ilvl w:val="0"/>
          <w:numId w:val="27"/>
        </w:numPr>
      </w:pPr>
      <w:r>
        <w:t>The majorit</w:t>
      </w:r>
      <w:r w:rsidR="006133F4">
        <w:t>y of serious allergic and a</w:t>
      </w:r>
      <w:r w:rsidR="006133F4" w:rsidRPr="006133F4">
        <w:t xml:space="preserve">naphylactic </w:t>
      </w:r>
      <w:r w:rsidR="006133F4">
        <w:t>reactions were related to the transfusion of fre</w:t>
      </w:r>
      <w:r w:rsidR="003310E1">
        <w:t>sh frozen plasma and platelets.</w:t>
      </w:r>
    </w:p>
    <w:p w:rsidR="00E443E2" w:rsidRPr="00FE6DFD" w:rsidRDefault="007449C2" w:rsidP="00FE6DFD">
      <w:pPr>
        <w:pStyle w:val="Caption"/>
        <w:keepNext/>
        <w:rPr>
          <w:bCs w:val="0"/>
        </w:rPr>
      </w:pPr>
      <w:bookmarkStart w:id="52" w:name="_Ref450926039"/>
      <w:bookmarkStart w:id="53" w:name="_Toc459636850"/>
      <w:r w:rsidRPr="00FE6DFD">
        <w:rPr>
          <w:bCs w:val="0"/>
        </w:rPr>
        <w:t xml:space="preserve">Table </w:t>
      </w:r>
      <w:r w:rsidRPr="00FE6DFD">
        <w:rPr>
          <w:bCs w:val="0"/>
        </w:rPr>
        <w:fldChar w:fldCharType="begin"/>
      </w:r>
      <w:r w:rsidRPr="00FE6DFD">
        <w:rPr>
          <w:bCs w:val="0"/>
        </w:rPr>
        <w:instrText xml:space="preserve"> SEQ Table \* ARABIC </w:instrText>
      </w:r>
      <w:r w:rsidRPr="00FE6DFD">
        <w:rPr>
          <w:bCs w:val="0"/>
        </w:rPr>
        <w:fldChar w:fldCharType="separate"/>
      </w:r>
      <w:r w:rsidR="000010BC">
        <w:rPr>
          <w:bCs w:val="0"/>
          <w:noProof/>
        </w:rPr>
        <w:t>10</w:t>
      </w:r>
      <w:r w:rsidRPr="00FE6DFD">
        <w:rPr>
          <w:bCs w:val="0"/>
        </w:rPr>
        <w:fldChar w:fldCharType="end"/>
      </w:r>
      <w:bookmarkEnd w:id="51"/>
      <w:bookmarkEnd w:id="52"/>
      <w:r w:rsidRPr="00FE6DFD">
        <w:rPr>
          <w:bCs w:val="0"/>
        </w:rPr>
        <w:t xml:space="preserve">: </w:t>
      </w:r>
      <w:r w:rsidR="00E443E2" w:rsidRPr="00FE6DFD">
        <w:rPr>
          <w:bCs w:val="0"/>
        </w:rPr>
        <w:t>Serious adverse event</w:t>
      </w:r>
      <w:r w:rsidR="00C64E4E">
        <w:rPr>
          <w:bCs w:val="0"/>
        </w:rPr>
        <w:t>s</w:t>
      </w:r>
      <w:r w:rsidR="00E443E2" w:rsidRPr="00FE6DFD">
        <w:rPr>
          <w:bCs w:val="0"/>
        </w:rPr>
        <w:t xml:space="preserve"> by product, 2010–11 to 2013–14</w:t>
      </w:r>
      <w:bookmarkEnd w:id="53"/>
    </w:p>
    <w:tbl>
      <w:tblPr>
        <w:tblW w:w="8505" w:type="dxa"/>
        <w:tblInd w:w="108" w:type="dxa"/>
        <w:tblLayout w:type="fixed"/>
        <w:tblLook w:val="04A0" w:firstRow="1" w:lastRow="0" w:firstColumn="1" w:lastColumn="0" w:noHBand="0" w:noVBand="1"/>
      </w:tblPr>
      <w:tblGrid>
        <w:gridCol w:w="2268"/>
        <w:gridCol w:w="2127"/>
        <w:gridCol w:w="2268"/>
        <w:gridCol w:w="1842"/>
      </w:tblGrid>
      <w:tr w:rsidR="006133F4" w:rsidRPr="0039701B" w:rsidTr="00480654">
        <w:trPr>
          <w:trHeight w:val="300"/>
        </w:trPr>
        <w:tc>
          <w:tcPr>
            <w:tcW w:w="2268" w:type="dxa"/>
            <w:tcBorders>
              <w:top w:val="nil"/>
              <w:left w:val="nil"/>
              <w:bottom w:val="nil"/>
              <w:right w:val="nil"/>
            </w:tcBorders>
            <w:shd w:val="clear" w:color="000000" w:fill="FF0000"/>
            <w:vAlign w:val="center"/>
            <w:hideMark/>
          </w:tcPr>
          <w:p w:rsidR="006133F4" w:rsidRPr="00C94185" w:rsidRDefault="006133F4" w:rsidP="00704467">
            <w:pPr>
              <w:spacing w:after="0"/>
              <w:rPr>
                <w:rFonts w:asciiTheme="minorHAnsi" w:eastAsia="Times New Roman" w:hAnsiTheme="minorHAnsi" w:cs="Times New Roman"/>
                <w:b/>
                <w:bCs/>
                <w:color w:val="FFFFFF"/>
                <w:sz w:val="20"/>
                <w:szCs w:val="20"/>
                <w:lang w:eastAsia="en-AU"/>
              </w:rPr>
            </w:pPr>
          </w:p>
        </w:tc>
        <w:tc>
          <w:tcPr>
            <w:tcW w:w="2127" w:type="dxa"/>
            <w:tcBorders>
              <w:top w:val="nil"/>
              <w:left w:val="nil"/>
              <w:bottom w:val="nil"/>
              <w:right w:val="nil"/>
            </w:tcBorders>
            <w:shd w:val="clear" w:color="000000" w:fill="FF0000"/>
            <w:vAlign w:val="center"/>
            <w:hideMark/>
          </w:tcPr>
          <w:p w:rsidR="006133F4" w:rsidRPr="00C94185" w:rsidRDefault="00480654" w:rsidP="006133F4">
            <w:pPr>
              <w:spacing w:after="0"/>
              <w:jc w:val="right"/>
              <w:rPr>
                <w:rFonts w:asciiTheme="minorHAnsi" w:eastAsia="Times New Roman" w:hAnsiTheme="minorHAnsi" w:cs="Times New Roman"/>
                <w:b/>
                <w:bCs/>
                <w:color w:val="FFFFFF"/>
                <w:sz w:val="20"/>
                <w:szCs w:val="20"/>
                <w:lang w:eastAsia="en-AU"/>
              </w:rPr>
            </w:pPr>
            <w:r>
              <w:rPr>
                <w:rFonts w:asciiTheme="minorHAnsi" w:eastAsia="Times New Roman" w:hAnsiTheme="minorHAnsi" w:cs="Times New Roman"/>
                <w:b/>
                <w:bCs/>
                <w:color w:val="FFFFFF"/>
                <w:sz w:val="20"/>
                <w:szCs w:val="20"/>
                <w:lang w:eastAsia="en-AU"/>
              </w:rPr>
              <w:t>Red Cells</w:t>
            </w:r>
          </w:p>
        </w:tc>
        <w:tc>
          <w:tcPr>
            <w:tcW w:w="2268" w:type="dxa"/>
            <w:tcBorders>
              <w:top w:val="nil"/>
              <w:left w:val="nil"/>
              <w:bottom w:val="nil"/>
              <w:right w:val="nil"/>
            </w:tcBorders>
            <w:shd w:val="clear" w:color="000000" w:fill="FF0000"/>
            <w:vAlign w:val="center"/>
            <w:hideMark/>
          </w:tcPr>
          <w:p w:rsidR="006133F4" w:rsidRPr="00C94185" w:rsidRDefault="00480654" w:rsidP="006133F4">
            <w:pPr>
              <w:spacing w:after="0"/>
              <w:jc w:val="right"/>
              <w:rPr>
                <w:rFonts w:asciiTheme="minorHAnsi" w:eastAsia="Times New Roman" w:hAnsiTheme="minorHAnsi" w:cs="Times New Roman"/>
                <w:b/>
                <w:bCs/>
                <w:color w:val="FFFFFF"/>
                <w:sz w:val="20"/>
                <w:szCs w:val="20"/>
                <w:lang w:eastAsia="en-AU"/>
              </w:rPr>
            </w:pPr>
            <w:r w:rsidRPr="00480654">
              <w:rPr>
                <w:rFonts w:asciiTheme="minorHAnsi" w:eastAsia="Times New Roman" w:hAnsiTheme="minorHAnsi" w:cs="Times New Roman"/>
                <w:b/>
                <w:bCs/>
                <w:color w:val="FFFFFF"/>
                <w:sz w:val="20"/>
                <w:szCs w:val="20"/>
                <w:lang w:eastAsia="en-AU"/>
              </w:rPr>
              <w:t>Fresh Frozen Plasma</w:t>
            </w:r>
          </w:p>
        </w:tc>
        <w:tc>
          <w:tcPr>
            <w:tcW w:w="1842" w:type="dxa"/>
            <w:tcBorders>
              <w:top w:val="nil"/>
              <w:left w:val="nil"/>
              <w:bottom w:val="nil"/>
              <w:right w:val="nil"/>
            </w:tcBorders>
            <w:shd w:val="clear" w:color="000000" w:fill="FF0000"/>
            <w:vAlign w:val="center"/>
            <w:hideMark/>
          </w:tcPr>
          <w:p w:rsidR="006133F4" w:rsidRPr="00C94185" w:rsidRDefault="00480654" w:rsidP="006133F4">
            <w:pPr>
              <w:spacing w:after="0"/>
              <w:jc w:val="right"/>
              <w:rPr>
                <w:rFonts w:asciiTheme="minorHAnsi" w:eastAsia="Times New Roman" w:hAnsiTheme="minorHAnsi" w:cs="Times New Roman"/>
                <w:b/>
                <w:bCs/>
                <w:color w:val="FFFFFF"/>
                <w:sz w:val="20"/>
                <w:szCs w:val="20"/>
                <w:lang w:eastAsia="en-AU"/>
              </w:rPr>
            </w:pPr>
            <w:r w:rsidRPr="00480654">
              <w:rPr>
                <w:rFonts w:asciiTheme="minorHAnsi" w:eastAsia="Times New Roman" w:hAnsiTheme="minorHAnsi" w:cs="Times New Roman"/>
                <w:b/>
                <w:bCs/>
                <w:color w:val="FFFFFF"/>
                <w:sz w:val="20"/>
                <w:szCs w:val="20"/>
                <w:lang w:eastAsia="en-AU"/>
              </w:rPr>
              <w:t>Platelets</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TACO</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47</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jc w:val="right"/>
              <w:rPr>
                <w:rFonts w:asciiTheme="minorHAnsi" w:eastAsia="Times New Roman" w:hAnsiTheme="minorHAnsi" w:cs="Times New Roman"/>
                <w:color w:val="000000"/>
                <w:sz w:val="20"/>
                <w:szCs w:val="20"/>
                <w:lang w:eastAsia="en-AU"/>
              </w:rPr>
            </w:pPr>
            <w:r>
              <w:rPr>
                <w:color w:val="000000"/>
                <w:sz w:val="20"/>
                <w:szCs w:val="20"/>
              </w:rPr>
              <w:t>3</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jc w:val="right"/>
              <w:rPr>
                <w:rFonts w:asciiTheme="minorHAnsi" w:eastAsia="Times New Roman" w:hAnsiTheme="minorHAnsi" w:cs="Times New Roman"/>
                <w:color w:val="000000"/>
                <w:sz w:val="20"/>
                <w:szCs w:val="20"/>
                <w:lang w:eastAsia="en-AU"/>
              </w:rPr>
            </w:pPr>
            <w:r>
              <w:rPr>
                <w:color w:val="000000"/>
                <w:sz w:val="20"/>
                <w:szCs w:val="20"/>
              </w:rPr>
              <w:t>0</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 xml:space="preserve">Allergic </w:t>
            </w:r>
            <w:r>
              <w:rPr>
                <w:rFonts w:asciiTheme="minorHAnsi" w:eastAsia="Times New Roman" w:hAnsiTheme="minorHAnsi" w:cs="Times New Roman"/>
                <w:color w:val="000000"/>
                <w:sz w:val="20"/>
                <w:szCs w:val="20"/>
                <w:lang w:eastAsia="en-AU"/>
              </w:rPr>
              <w:t>reaction</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13</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20</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15</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FNHTR</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30</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1</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9</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Anaphylactic</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10</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15</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11</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IBCT</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11</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1</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DHTR</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10</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AHTR</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6</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TTI</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4</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TRALI</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3</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PTP</w:t>
            </w:r>
          </w:p>
        </w:tc>
        <w:tc>
          <w:tcPr>
            <w:tcW w:w="2127"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sidRPr="0039701B">
              <w:rPr>
                <w:rFonts w:asciiTheme="minorHAnsi" w:eastAsia="Times New Roman" w:hAnsiTheme="minorHAnsi" w:cs="Times New Roman"/>
                <w:color w:val="000000"/>
                <w:sz w:val="20"/>
                <w:szCs w:val="20"/>
                <w:lang w:eastAsia="en-AU"/>
              </w:rPr>
              <w:t>0</w:t>
            </w:r>
          </w:p>
        </w:tc>
        <w:tc>
          <w:tcPr>
            <w:tcW w:w="2268"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0</w:t>
            </w:r>
          </w:p>
        </w:tc>
        <w:tc>
          <w:tcPr>
            <w:tcW w:w="1842" w:type="dxa"/>
            <w:tcBorders>
              <w:top w:val="nil"/>
              <w:left w:val="nil"/>
              <w:bottom w:val="single" w:sz="8" w:space="0" w:color="auto"/>
              <w:right w:val="nil"/>
            </w:tcBorders>
            <w:shd w:val="clear" w:color="auto" w:fill="auto"/>
            <w:vAlign w:val="center"/>
            <w:hideMark/>
          </w:tcPr>
          <w:p w:rsidR="00480654" w:rsidRPr="0039701B" w:rsidRDefault="00480654" w:rsidP="00BC70D4">
            <w:pPr>
              <w:spacing w:after="0"/>
              <w:ind w:left="1100"/>
              <w:jc w:val="right"/>
              <w:rPr>
                <w:rFonts w:asciiTheme="minorHAnsi" w:eastAsia="Times New Roman" w:hAnsiTheme="minorHAnsi" w:cs="Times New Roman"/>
                <w:color w:val="000000"/>
                <w:sz w:val="20"/>
                <w:szCs w:val="20"/>
                <w:lang w:eastAsia="en-AU"/>
              </w:rPr>
            </w:pPr>
            <w:r>
              <w:rPr>
                <w:color w:val="000000"/>
                <w:sz w:val="20"/>
                <w:szCs w:val="20"/>
              </w:rPr>
              <w:t>1</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b/>
                <w:bCs/>
                <w:color w:val="000000"/>
                <w:sz w:val="20"/>
                <w:szCs w:val="20"/>
                <w:lang w:eastAsia="en-AU"/>
              </w:rPr>
            </w:pPr>
            <w:r w:rsidRPr="0039701B">
              <w:rPr>
                <w:rFonts w:asciiTheme="minorHAnsi" w:eastAsia="Times New Roman" w:hAnsiTheme="minorHAnsi" w:cs="Times New Roman"/>
                <w:b/>
                <w:bCs/>
                <w:color w:val="000000"/>
                <w:sz w:val="20"/>
                <w:szCs w:val="20"/>
                <w:lang w:eastAsia="en-AU"/>
              </w:rPr>
              <w:t>All reports</w:t>
            </w:r>
          </w:p>
        </w:tc>
        <w:tc>
          <w:tcPr>
            <w:tcW w:w="2127" w:type="dxa"/>
            <w:tcBorders>
              <w:top w:val="nil"/>
              <w:left w:val="nil"/>
              <w:bottom w:val="single" w:sz="8" w:space="0" w:color="auto"/>
              <w:right w:val="nil"/>
            </w:tcBorders>
            <w:shd w:val="clear" w:color="auto" w:fill="auto"/>
            <w:noWrap/>
            <w:vAlign w:val="center"/>
            <w:hideMark/>
          </w:tcPr>
          <w:p w:rsidR="00480654" w:rsidRPr="0039701B" w:rsidRDefault="00480654" w:rsidP="00BC70D4">
            <w:pPr>
              <w:spacing w:after="0"/>
              <w:ind w:left="1100"/>
              <w:jc w:val="right"/>
              <w:rPr>
                <w:rFonts w:asciiTheme="minorHAnsi" w:eastAsia="Times New Roman" w:hAnsiTheme="minorHAnsi" w:cs="Times New Roman"/>
                <w:b/>
                <w:bCs/>
                <w:color w:val="000000"/>
                <w:sz w:val="20"/>
                <w:szCs w:val="20"/>
                <w:lang w:eastAsia="en-AU"/>
              </w:rPr>
            </w:pPr>
            <w:r w:rsidRPr="0039701B">
              <w:rPr>
                <w:rFonts w:asciiTheme="minorHAnsi" w:eastAsia="Times New Roman" w:hAnsiTheme="minorHAnsi" w:cs="Times New Roman"/>
                <w:b/>
                <w:bCs/>
                <w:color w:val="000000"/>
                <w:sz w:val="20"/>
                <w:szCs w:val="20"/>
                <w:lang w:eastAsia="en-AU"/>
              </w:rPr>
              <w:t>134</w:t>
            </w:r>
          </w:p>
        </w:tc>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BC70D4">
            <w:pPr>
              <w:spacing w:after="0"/>
              <w:ind w:left="1100"/>
              <w:jc w:val="right"/>
              <w:rPr>
                <w:rFonts w:asciiTheme="minorHAnsi" w:eastAsia="Times New Roman" w:hAnsiTheme="minorHAnsi" w:cs="Times New Roman"/>
                <w:b/>
                <w:bCs/>
                <w:color w:val="000000"/>
                <w:sz w:val="20"/>
                <w:szCs w:val="20"/>
                <w:lang w:eastAsia="en-AU"/>
              </w:rPr>
            </w:pPr>
            <w:r>
              <w:rPr>
                <w:b/>
                <w:bCs/>
                <w:color w:val="000000"/>
                <w:sz w:val="20"/>
                <w:szCs w:val="20"/>
              </w:rPr>
              <w:t>40</w:t>
            </w:r>
          </w:p>
        </w:tc>
        <w:tc>
          <w:tcPr>
            <w:tcW w:w="1842" w:type="dxa"/>
            <w:tcBorders>
              <w:top w:val="nil"/>
              <w:left w:val="nil"/>
              <w:bottom w:val="single" w:sz="8" w:space="0" w:color="auto"/>
              <w:right w:val="nil"/>
            </w:tcBorders>
            <w:shd w:val="clear" w:color="auto" w:fill="auto"/>
            <w:noWrap/>
            <w:vAlign w:val="center"/>
            <w:hideMark/>
          </w:tcPr>
          <w:p w:rsidR="00480654" w:rsidRPr="0039701B" w:rsidRDefault="00480654" w:rsidP="00BC70D4">
            <w:pPr>
              <w:spacing w:after="0"/>
              <w:ind w:left="1100"/>
              <w:jc w:val="right"/>
              <w:rPr>
                <w:rFonts w:asciiTheme="minorHAnsi" w:eastAsia="Times New Roman" w:hAnsiTheme="minorHAnsi" w:cs="Times New Roman"/>
                <w:b/>
                <w:bCs/>
                <w:color w:val="000000"/>
                <w:sz w:val="20"/>
                <w:szCs w:val="20"/>
                <w:lang w:eastAsia="en-AU"/>
              </w:rPr>
            </w:pPr>
            <w:r>
              <w:rPr>
                <w:b/>
                <w:bCs/>
                <w:color w:val="000000"/>
                <w:sz w:val="20"/>
                <w:szCs w:val="20"/>
              </w:rPr>
              <w:t>36</w:t>
            </w:r>
          </w:p>
        </w:tc>
      </w:tr>
      <w:tr w:rsidR="00480654" w:rsidRPr="0039701B" w:rsidTr="00480654">
        <w:trPr>
          <w:trHeight w:val="300"/>
        </w:trPr>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704467">
            <w:pPr>
              <w:spacing w:after="0"/>
              <w:rPr>
                <w:rFonts w:asciiTheme="minorHAnsi" w:eastAsia="Times New Roman" w:hAnsiTheme="minorHAnsi" w:cs="Times New Roman"/>
                <w:b/>
                <w:bCs/>
                <w:color w:val="000000"/>
                <w:sz w:val="20"/>
                <w:szCs w:val="20"/>
                <w:lang w:eastAsia="en-AU"/>
              </w:rPr>
            </w:pPr>
            <w:r w:rsidRPr="0039701B">
              <w:rPr>
                <w:rFonts w:asciiTheme="minorHAnsi" w:eastAsia="Times New Roman" w:hAnsiTheme="minorHAnsi" w:cs="Times New Roman"/>
                <w:b/>
                <w:bCs/>
                <w:color w:val="000000"/>
                <w:sz w:val="20"/>
                <w:szCs w:val="20"/>
                <w:lang w:eastAsia="en-AU"/>
              </w:rPr>
              <w:t>Per cent</w:t>
            </w:r>
          </w:p>
        </w:tc>
        <w:tc>
          <w:tcPr>
            <w:tcW w:w="2127" w:type="dxa"/>
            <w:tcBorders>
              <w:top w:val="nil"/>
              <w:left w:val="nil"/>
              <w:bottom w:val="single" w:sz="8" w:space="0" w:color="auto"/>
              <w:right w:val="nil"/>
            </w:tcBorders>
            <w:shd w:val="clear" w:color="auto" w:fill="auto"/>
            <w:noWrap/>
            <w:vAlign w:val="center"/>
            <w:hideMark/>
          </w:tcPr>
          <w:p w:rsidR="00480654" w:rsidRPr="0039701B" w:rsidRDefault="00480654" w:rsidP="00BC70D4">
            <w:pPr>
              <w:spacing w:after="0"/>
              <w:ind w:left="1100"/>
              <w:jc w:val="right"/>
              <w:rPr>
                <w:rFonts w:asciiTheme="minorHAnsi" w:eastAsia="Times New Roman" w:hAnsiTheme="minorHAnsi" w:cs="Times New Roman"/>
                <w:b/>
                <w:bCs/>
                <w:color w:val="000000"/>
                <w:sz w:val="20"/>
                <w:szCs w:val="20"/>
                <w:lang w:eastAsia="en-AU"/>
              </w:rPr>
            </w:pPr>
            <w:r w:rsidRPr="0039701B">
              <w:rPr>
                <w:rFonts w:asciiTheme="minorHAnsi" w:eastAsia="Times New Roman" w:hAnsiTheme="minorHAnsi" w:cs="Times New Roman"/>
                <w:b/>
                <w:bCs/>
                <w:color w:val="000000"/>
                <w:sz w:val="20"/>
                <w:szCs w:val="20"/>
                <w:lang w:eastAsia="en-AU"/>
              </w:rPr>
              <w:t>63.8%</w:t>
            </w:r>
          </w:p>
        </w:tc>
        <w:tc>
          <w:tcPr>
            <w:tcW w:w="2268" w:type="dxa"/>
            <w:tcBorders>
              <w:top w:val="nil"/>
              <w:left w:val="nil"/>
              <w:bottom w:val="single" w:sz="8" w:space="0" w:color="auto"/>
              <w:right w:val="nil"/>
            </w:tcBorders>
            <w:shd w:val="clear" w:color="auto" w:fill="auto"/>
            <w:noWrap/>
            <w:vAlign w:val="center"/>
            <w:hideMark/>
          </w:tcPr>
          <w:p w:rsidR="00480654" w:rsidRPr="0039701B" w:rsidRDefault="00480654" w:rsidP="00BC70D4">
            <w:pPr>
              <w:spacing w:after="0"/>
              <w:ind w:left="1100"/>
              <w:jc w:val="right"/>
              <w:rPr>
                <w:rFonts w:asciiTheme="minorHAnsi" w:eastAsia="Times New Roman" w:hAnsiTheme="minorHAnsi" w:cs="Times New Roman"/>
                <w:b/>
                <w:bCs/>
                <w:color w:val="000000"/>
                <w:sz w:val="20"/>
                <w:szCs w:val="20"/>
                <w:lang w:eastAsia="en-AU"/>
              </w:rPr>
            </w:pPr>
            <w:r>
              <w:rPr>
                <w:b/>
                <w:bCs/>
                <w:color w:val="000000"/>
                <w:sz w:val="20"/>
                <w:szCs w:val="20"/>
              </w:rPr>
              <w:t>19.0%</w:t>
            </w:r>
          </w:p>
        </w:tc>
        <w:tc>
          <w:tcPr>
            <w:tcW w:w="1842" w:type="dxa"/>
            <w:tcBorders>
              <w:top w:val="nil"/>
              <w:left w:val="nil"/>
              <w:bottom w:val="single" w:sz="8" w:space="0" w:color="auto"/>
              <w:right w:val="nil"/>
            </w:tcBorders>
            <w:shd w:val="clear" w:color="auto" w:fill="auto"/>
            <w:noWrap/>
            <w:vAlign w:val="center"/>
            <w:hideMark/>
          </w:tcPr>
          <w:p w:rsidR="00480654" w:rsidRPr="0039701B" w:rsidRDefault="00480654" w:rsidP="00BC70D4">
            <w:pPr>
              <w:spacing w:after="0"/>
              <w:ind w:left="1100"/>
              <w:jc w:val="right"/>
              <w:rPr>
                <w:rFonts w:asciiTheme="minorHAnsi" w:eastAsia="Times New Roman" w:hAnsiTheme="minorHAnsi" w:cs="Times New Roman"/>
                <w:b/>
                <w:bCs/>
                <w:color w:val="000000"/>
                <w:sz w:val="20"/>
                <w:szCs w:val="20"/>
                <w:lang w:eastAsia="en-AU"/>
              </w:rPr>
            </w:pPr>
            <w:r>
              <w:rPr>
                <w:b/>
                <w:bCs/>
                <w:color w:val="000000"/>
                <w:sz w:val="20"/>
                <w:szCs w:val="20"/>
              </w:rPr>
              <w:t>17.1%</w:t>
            </w:r>
          </w:p>
        </w:tc>
      </w:tr>
    </w:tbl>
    <w:p w:rsidR="0039701B" w:rsidRPr="00E27D4B" w:rsidRDefault="0039701B" w:rsidP="0039701B">
      <w:pPr>
        <w:spacing w:before="40" w:after="40" w:line="180" w:lineRule="atLeast"/>
        <w:rPr>
          <w:rFonts w:asciiTheme="minorHAnsi" w:eastAsia="Times New Roman" w:hAnsiTheme="minorHAnsi" w:cstheme="minorHAnsi"/>
          <w:sz w:val="18"/>
          <w:szCs w:val="18"/>
          <w:lang w:eastAsia="en-AU"/>
        </w:rPr>
      </w:pPr>
      <w:r w:rsidRPr="00E27D4B">
        <w:rPr>
          <w:rFonts w:asciiTheme="minorHAnsi" w:eastAsia="Times New Roman" w:hAnsiTheme="minorHAnsi" w:cstheme="minorHAnsi"/>
          <w:sz w:val="18"/>
          <w:szCs w:val="18"/>
          <w:lang w:eastAsia="en-AU"/>
        </w:rPr>
        <w:t>Notes</w:t>
      </w:r>
    </w:p>
    <w:p w:rsidR="0039701B" w:rsidRPr="0039701B" w:rsidRDefault="0039701B" w:rsidP="0096249F">
      <w:pPr>
        <w:pStyle w:val="ListParagraph"/>
        <w:numPr>
          <w:ilvl w:val="0"/>
          <w:numId w:val="50"/>
        </w:numPr>
        <w:spacing w:before="40" w:after="40" w:line="180" w:lineRule="atLeast"/>
        <w:ind w:left="426" w:hanging="426"/>
        <w:rPr>
          <w:sz w:val="18"/>
          <w:szCs w:val="18"/>
        </w:rPr>
      </w:pPr>
      <w:r w:rsidRPr="0039701B">
        <w:rPr>
          <w:sz w:val="18"/>
          <w:szCs w:val="18"/>
        </w:rPr>
        <w:t xml:space="preserve">NSW did not report detailed data (such as blood products, outcome severity and </w:t>
      </w:r>
      <w:proofErr w:type="spellStart"/>
      <w:r w:rsidRPr="0039701B">
        <w:rPr>
          <w:sz w:val="18"/>
          <w:szCs w:val="18"/>
        </w:rPr>
        <w:t>imputability</w:t>
      </w:r>
      <w:proofErr w:type="spellEnd"/>
      <w:r w:rsidRPr="0039701B">
        <w:rPr>
          <w:sz w:val="18"/>
          <w:szCs w:val="18"/>
        </w:rPr>
        <w:t xml:space="preserve"> score) for 2010–11</w:t>
      </w:r>
    </w:p>
    <w:p w:rsidR="0039701B" w:rsidRPr="0039701B" w:rsidRDefault="0039701B" w:rsidP="0096249F">
      <w:pPr>
        <w:pStyle w:val="ListParagraph"/>
        <w:numPr>
          <w:ilvl w:val="0"/>
          <w:numId w:val="50"/>
        </w:numPr>
        <w:spacing w:before="40" w:after="40" w:line="180" w:lineRule="atLeast"/>
        <w:ind w:left="426" w:hanging="426"/>
        <w:rPr>
          <w:sz w:val="18"/>
          <w:szCs w:val="18"/>
        </w:rPr>
      </w:pPr>
      <w:r w:rsidRPr="0039701B">
        <w:rPr>
          <w:sz w:val="18"/>
          <w:szCs w:val="18"/>
        </w:rPr>
        <w:t xml:space="preserve">ACT reported zero adverse events for </w:t>
      </w:r>
      <w:r w:rsidR="0072498E" w:rsidRPr="00E4119C">
        <w:rPr>
          <w:sz w:val="18"/>
          <w:szCs w:val="18"/>
        </w:rPr>
        <w:t>2010-11</w:t>
      </w:r>
      <w:r w:rsidR="0072498E">
        <w:rPr>
          <w:sz w:val="18"/>
          <w:szCs w:val="18"/>
        </w:rPr>
        <w:t xml:space="preserve"> and </w:t>
      </w:r>
      <w:r w:rsidR="0072498E" w:rsidRPr="00E4119C">
        <w:rPr>
          <w:sz w:val="18"/>
          <w:szCs w:val="18"/>
        </w:rPr>
        <w:t>2013–14</w:t>
      </w:r>
    </w:p>
    <w:p w:rsidR="0039701B" w:rsidRPr="0039701B" w:rsidRDefault="0039701B" w:rsidP="0096249F">
      <w:pPr>
        <w:pStyle w:val="ListParagraph"/>
        <w:numPr>
          <w:ilvl w:val="0"/>
          <w:numId w:val="50"/>
        </w:numPr>
        <w:spacing w:before="40" w:after="40" w:line="180" w:lineRule="atLeast"/>
        <w:ind w:left="426" w:hanging="426"/>
        <w:rPr>
          <w:sz w:val="18"/>
          <w:szCs w:val="18"/>
        </w:rPr>
      </w:pPr>
      <w:r w:rsidRPr="0039701B">
        <w:rPr>
          <w:sz w:val="18"/>
          <w:szCs w:val="18"/>
        </w:rPr>
        <w:t>QLD did not contribute data for 2012–13</w:t>
      </w:r>
    </w:p>
    <w:p w:rsidR="0039701B" w:rsidRPr="0039701B" w:rsidRDefault="0039701B" w:rsidP="0096249F">
      <w:pPr>
        <w:pStyle w:val="ListParagraph"/>
        <w:numPr>
          <w:ilvl w:val="0"/>
          <w:numId w:val="50"/>
        </w:numPr>
        <w:spacing w:before="40" w:after="40" w:line="180" w:lineRule="atLeast"/>
        <w:ind w:left="426" w:hanging="426"/>
        <w:rPr>
          <w:sz w:val="18"/>
          <w:szCs w:val="18"/>
        </w:rPr>
      </w:pPr>
      <w:r w:rsidRPr="0039701B">
        <w:rPr>
          <w:sz w:val="18"/>
          <w:szCs w:val="18"/>
        </w:rPr>
        <w:t>WA did not contribute data</w:t>
      </w:r>
    </w:p>
    <w:p w:rsidR="00704467" w:rsidRPr="00FF53AC" w:rsidRDefault="0039701B" w:rsidP="00704467">
      <w:pPr>
        <w:pStyle w:val="ListParagraph"/>
        <w:numPr>
          <w:ilvl w:val="0"/>
          <w:numId w:val="50"/>
        </w:numPr>
        <w:spacing w:before="40" w:after="40" w:line="180" w:lineRule="atLeast"/>
        <w:ind w:left="426" w:hanging="426"/>
        <w:rPr>
          <w:sz w:val="18"/>
          <w:szCs w:val="18"/>
        </w:rPr>
      </w:pPr>
      <w:r w:rsidRPr="00FF53AC">
        <w:rPr>
          <w:sz w:val="18"/>
          <w:szCs w:val="18"/>
        </w:rPr>
        <w:t xml:space="preserve">All TTIs were </w:t>
      </w:r>
      <w:r w:rsidR="00FF53AC" w:rsidRPr="00FF53AC">
        <w:rPr>
          <w:sz w:val="18"/>
          <w:szCs w:val="18"/>
        </w:rPr>
        <w:t>suspected but not confirmed bacterial infections</w:t>
      </w:r>
      <w:r w:rsidR="00FF53AC" w:rsidRPr="00FF53AC" w:rsidDel="00FF53AC">
        <w:rPr>
          <w:sz w:val="18"/>
          <w:szCs w:val="18"/>
        </w:rPr>
        <w:t xml:space="preserve"> </w:t>
      </w:r>
    </w:p>
    <w:p w:rsidR="00814F44" w:rsidRDefault="004F5A2F" w:rsidP="00EC4AF3">
      <w:r w:rsidRPr="006133F4">
        <w:lastRenderedPageBreak/>
        <w:fldChar w:fldCharType="begin"/>
      </w:r>
      <w:r w:rsidRPr="007D4A01">
        <w:instrText xml:space="preserve"> REF _Ref450831025 \h </w:instrText>
      </w:r>
      <w:r w:rsidR="007D4A01" w:rsidRPr="00CB3A0B">
        <w:instrText xml:space="preserve"> \* MERGEFORMAT </w:instrText>
      </w:r>
      <w:r w:rsidRPr="006133F4">
        <w:fldChar w:fldCharType="separate"/>
      </w:r>
      <w:r w:rsidR="000010BC" w:rsidRPr="00EC4AF3">
        <w:t xml:space="preserve">Table </w:t>
      </w:r>
      <w:r w:rsidR="000010BC">
        <w:rPr>
          <w:noProof/>
        </w:rPr>
        <w:t>11</w:t>
      </w:r>
      <w:r w:rsidRPr="006133F4">
        <w:fldChar w:fldCharType="end"/>
      </w:r>
      <w:r>
        <w:t xml:space="preserve"> shows that </w:t>
      </w:r>
      <w:r w:rsidRPr="004F5A2F">
        <w:t>30.5%</w:t>
      </w:r>
      <w:r>
        <w:t xml:space="preserve"> of serious events</w:t>
      </w:r>
      <w:r w:rsidR="007128C4">
        <w:t xml:space="preserve"> were related to </w:t>
      </w:r>
      <w:r w:rsidR="0072498E">
        <w:t xml:space="preserve">transfusions </w:t>
      </w:r>
      <w:r w:rsidR="00735C24">
        <w:t>b</w:t>
      </w:r>
      <w:r w:rsidR="00735C24" w:rsidRPr="00735C24">
        <w:t>etween 7</w:t>
      </w:r>
      <w:r w:rsidR="00622B38">
        <w:t>p</w:t>
      </w:r>
      <w:r w:rsidR="00735C24" w:rsidRPr="00735C24">
        <w:t>m and 7</w:t>
      </w:r>
      <w:r w:rsidR="00622B38">
        <w:t>a</w:t>
      </w:r>
      <w:r w:rsidR="00735C24" w:rsidRPr="00735C24">
        <w:t>m</w:t>
      </w:r>
      <w:r w:rsidR="003310E1">
        <w:t xml:space="preserve">. </w:t>
      </w:r>
      <w:r w:rsidR="007128C4" w:rsidRPr="007128C4">
        <w:t>The</w:t>
      </w:r>
      <w:r w:rsidR="007128C4">
        <w:t xml:space="preserve"> ANZSBT </w:t>
      </w:r>
      <w:r w:rsidR="007128C4" w:rsidRPr="00CB3A0B">
        <w:rPr>
          <w:i/>
        </w:rPr>
        <w:t>Guideline for the Administration of Blood Products</w:t>
      </w:r>
      <w:r w:rsidR="00FB14A2">
        <w:rPr>
          <w:rStyle w:val="EndnoteReference"/>
        </w:rPr>
        <w:endnoteReference w:id="1"/>
      </w:r>
      <w:r w:rsidR="00136F57">
        <w:t xml:space="preserve"> and </w:t>
      </w:r>
      <w:r w:rsidR="00231DF7" w:rsidRPr="00231DF7">
        <w:t xml:space="preserve">British Committee for Standards in Haematology </w:t>
      </w:r>
      <w:r w:rsidR="00CB3A0B">
        <w:t xml:space="preserve">(BCSH) </w:t>
      </w:r>
      <w:r w:rsidR="00231DF7" w:rsidRPr="00CB3A0B">
        <w:rPr>
          <w:i/>
        </w:rPr>
        <w:t>Guideline on the Administration of Blood Components</w:t>
      </w:r>
      <w:r w:rsidR="00D3289E">
        <w:rPr>
          <w:i/>
        </w:rPr>
        <w:t xml:space="preserve"> 2009</w:t>
      </w:r>
      <w:r w:rsidR="00FB14A2">
        <w:rPr>
          <w:rStyle w:val="EndnoteReference"/>
        </w:rPr>
        <w:endnoteReference w:id="2"/>
      </w:r>
      <w:r w:rsidR="00231DF7" w:rsidRPr="00231DF7">
        <w:t xml:space="preserve"> </w:t>
      </w:r>
      <w:r w:rsidR="00C64E4E">
        <w:t xml:space="preserve">both </w:t>
      </w:r>
      <w:r w:rsidR="00136F57">
        <w:t>recommend</w:t>
      </w:r>
      <w:r w:rsidR="007128C4">
        <w:t xml:space="preserve"> that o</w:t>
      </w:r>
      <w:r w:rsidR="007128C4" w:rsidRPr="007128C4">
        <w:t>vernight/out-of-hours transfusion should be avoided unless clinically indicated</w:t>
      </w:r>
      <w:r w:rsidR="003372B4">
        <w:t>.</w:t>
      </w:r>
    </w:p>
    <w:p w:rsidR="00E443E2" w:rsidRDefault="00136F57" w:rsidP="00374BFB">
      <w:r>
        <w:t xml:space="preserve">The </w:t>
      </w:r>
      <w:r w:rsidR="00CA1D77">
        <w:t xml:space="preserve">Annual </w:t>
      </w:r>
      <w:r>
        <w:t>SHOT</w:t>
      </w:r>
      <w:r w:rsidR="00CA1D77">
        <w:t xml:space="preserve"> Report 2014</w:t>
      </w:r>
      <w:r w:rsidR="00735C24">
        <w:rPr>
          <w:rStyle w:val="EndnoteReference"/>
        </w:rPr>
        <w:endnoteReference w:id="3"/>
      </w:r>
      <w:r>
        <w:t xml:space="preserve"> recommend</w:t>
      </w:r>
      <w:r w:rsidR="0072498E">
        <w:t>ed</w:t>
      </w:r>
      <w:r>
        <w:t xml:space="preserve"> </w:t>
      </w:r>
      <w:r w:rsidR="0072498E">
        <w:t>that</w:t>
      </w:r>
      <w:r>
        <w:t>:</w:t>
      </w:r>
    </w:p>
    <w:p w:rsidR="00136F57" w:rsidRDefault="00136F57" w:rsidP="0096249F">
      <w:pPr>
        <w:pStyle w:val="ListParagraph"/>
        <w:numPr>
          <w:ilvl w:val="0"/>
          <w:numId w:val="27"/>
        </w:numPr>
      </w:pPr>
      <w:r>
        <w:t>Transfusions should be given with the same attention to patient observations whatever the time of day or night</w:t>
      </w:r>
      <w:r w:rsidR="00CB3A0B">
        <w:t>.</w:t>
      </w:r>
    </w:p>
    <w:p w:rsidR="00136F57" w:rsidRDefault="00136F57" w:rsidP="0096249F">
      <w:pPr>
        <w:pStyle w:val="ListParagraph"/>
        <w:numPr>
          <w:ilvl w:val="0"/>
          <w:numId w:val="27"/>
        </w:numPr>
      </w:pPr>
      <w:r>
        <w:t xml:space="preserve">Transfusions at night must proceed where there is a clear clinical indication, and may be given as long as the staffing is sufficient to permit transfusion according to the standards defined in the BCSH </w:t>
      </w:r>
      <w:r w:rsidR="00CB3A0B" w:rsidRPr="00EC4AF3">
        <w:t>Guideline on Administration of Blood C</w:t>
      </w:r>
      <w:r w:rsidRPr="00EC4AF3">
        <w:t>omponents 2009</w:t>
      </w:r>
      <w:r>
        <w:t>. These</w:t>
      </w:r>
      <w:r w:rsidR="00B11169" w:rsidRPr="00B11169">
        <w:t xml:space="preserve"> </w:t>
      </w:r>
      <w:r w:rsidR="00B11169">
        <w:t>standards</w:t>
      </w:r>
      <w:r w:rsidR="00182F5F">
        <w:t xml:space="preserve"> </w:t>
      </w:r>
      <w:r>
        <w:t>include adequate pre-transfusion assessment, observations at 15 minutes after the start of each component and regular visual observation throughout the transfusion</w:t>
      </w:r>
      <w:r w:rsidR="00216C4A">
        <w:t>.</w:t>
      </w:r>
    </w:p>
    <w:p w:rsidR="00136F57" w:rsidRPr="00B8520B" w:rsidRDefault="00136F57" w:rsidP="0096249F">
      <w:pPr>
        <w:pStyle w:val="ListParagraph"/>
        <w:numPr>
          <w:ilvl w:val="0"/>
          <w:numId w:val="27"/>
        </w:numPr>
      </w:pPr>
      <w:r>
        <w:t>Decisions to transfuse should not be made simply on the basis of the haemoglobin result, but taking into account the full medical history, the patient’s current medical condition and the wishes of the patient. Junior medical staff should review the patient, consult the case notes and take advice from senior medical staff before deciding to transfuse at night, particularly when the team concerned are not familiar with the patient’s case and are not responsible for the overall management plan.</w:t>
      </w:r>
    </w:p>
    <w:p w:rsidR="00E443E2" w:rsidRPr="00EC4AF3" w:rsidRDefault="004F5A2F" w:rsidP="00FB14A2">
      <w:pPr>
        <w:pStyle w:val="Caption"/>
        <w:spacing w:after="120"/>
      </w:pPr>
      <w:bookmarkStart w:id="54" w:name="_Ref450831025"/>
      <w:bookmarkStart w:id="55" w:name="_Toc459636851"/>
      <w:r w:rsidRPr="00EC4AF3">
        <w:t xml:space="preserve">Table </w:t>
      </w:r>
      <w:fldSimple w:instr=" SEQ Table \* ARABIC ">
        <w:r w:rsidR="000010BC">
          <w:rPr>
            <w:noProof/>
          </w:rPr>
          <w:t>11</w:t>
        </w:r>
      </w:fldSimple>
      <w:bookmarkEnd w:id="54"/>
      <w:r w:rsidRPr="00EC4AF3">
        <w:t xml:space="preserve">: </w:t>
      </w:r>
      <w:r w:rsidR="00E443E2" w:rsidRPr="00EC4AF3">
        <w:t>Serious adverse event</w:t>
      </w:r>
      <w:r w:rsidR="00662152">
        <w:t>s</w:t>
      </w:r>
      <w:r w:rsidR="00E443E2" w:rsidRPr="00EC4AF3">
        <w:t xml:space="preserve"> by transfusion time, 20</w:t>
      </w:r>
      <w:r w:rsidR="00B5301C" w:rsidRPr="00EC4AF3">
        <w:t>10</w:t>
      </w:r>
      <w:r w:rsidR="00E443E2" w:rsidRPr="00EC4AF3">
        <w:t>–</w:t>
      </w:r>
      <w:r w:rsidR="00B5301C" w:rsidRPr="00EC4AF3">
        <w:t>11</w:t>
      </w:r>
      <w:r w:rsidR="00E443E2" w:rsidRPr="00EC4AF3">
        <w:t xml:space="preserve"> to 2013–14</w:t>
      </w:r>
      <w:bookmarkEnd w:id="55"/>
    </w:p>
    <w:tbl>
      <w:tblPr>
        <w:tblW w:w="9498" w:type="dxa"/>
        <w:tblInd w:w="108" w:type="dxa"/>
        <w:tblLayout w:type="fixed"/>
        <w:tblLook w:val="04A0" w:firstRow="1" w:lastRow="0" w:firstColumn="1" w:lastColumn="0" w:noHBand="0" w:noVBand="1"/>
      </w:tblPr>
      <w:tblGrid>
        <w:gridCol w:w="2410"/>
        <w:gridCol w:w="1134"/>
        <w:gridCol w:w="1134"/>
        <w:gridCol w:w="1134"/>
        <w:gridCol w:w="1134"/>
        <w:gridCol w:w="1276"/>
        <w:gridCol w:w="1276"/>
      </w:tblGrid>
      <w:tr w:rsidR="00E443E2" w:rsidRPr="00B27CE1" w:rsidTr="00EC4AF3">
        <w:trPr>
          <w:trHeight w:val="300"/>
        </w:trPr>
        <w:tc>
          <w:tcPr>
            <w:tcW w:w="2410" w:type="dxa"/>
            <w:tcBorders>
              <w:top w:val="nil"/>
              <w:left w:val="nil"/>
              <w:bottom w:val="nil"/>
              <w:right w:val="nil"/>
            </w:tcBorders>
            <w:shd w:val="clear" w:color="000000" w:fill="FF0000"/>
            <w:vAlign w:val="bottom"/>
            <w:hideMark/>
          </w:tcPr>
          <w:p w:rsidR="00E443E2" w:rsidRPr="00B27CE1" w:rsidRDefault="00E443E2" w:rsidP="00E443E2">
            <w:pPr>
              <w:spacing w:after="0"/>
              <w:rPr>
                <w:rFonts w:eastAsia="Times New Roman" w:cs="Times New Roman"/>
                <w:b/>
                <w:bCs/>
                <w:color w:val="FFFFFF"/>
                <w:lang w:eastAsia="en-AU"/>
              </w:rPr>
            </w:pPr>
            <w:r w:rsidRPr="00B27CE1">
              <w:rPr>
                <w:rFonts w:eastAsia="Times New Roman" w:cs="Times New Roman"/>
                <w:b/>
                <w:bCs/>
                <w:color w:val="FFFFFF"/>
                <w:lang w:eastAsia="en-AU"/>
              </w:rPr>
              <w:t> </w:t>
            </w:r>
          </w:p>
        </w:tc>
        <w:tc>
          <w:tcPr>
            <w:tcW w:w="1134" w:type="dxa"/>
            <w:tcBorders>
              <w:top w:val="nil"/>
              <w:left w:val="nil"/>
              <w:bottom w:val="nil"/>
              <w:right w:val="nil"/>
            </w:tcBorders>
            <w:shd w:val="clear" w:color="000000" w:fill="FF0000"/>
            <w:vAlign w:val="bottom"/>
            <w:hideMark/>
          </w:tcPr>
          <w:p w:rsidR="00E443E2" w:rsidRPr="00B27CE1" w:rsidRDefault="00E443E2" w:rsidP="00E443E2">
            <w:pPr>
              <w:spacing w:after="0"/>
              <w:jc w:val="right"/>
              <w:rPr>
                <w:rFonts w:eastAsia="Times New Roman" w:cs="Times New Roman"/>
                <w:b/>
                <w:bCs/>
                <w:color w:val="FFFFFF"/>
                <w:lang w:eastAsia="en-AU"/>
              </w:rPr>
            </w:pPr>
            <w:r w:rsidRPr="00B27CE1">
              <w:rPr>
                <w:rFonts w:eastAsia="Times New Roman" w:cs="Times New Roman"/>
                <w:b/>
                <w:bCs/>
                <w:color w:val="FFFFFF"/>
                <w:lang w:eastAsia="en-AU"/>
              </w:rPr>
              <w:t>2010</w:t>
            </w:r>
            <w:r w:rsidRPr="00FC4BE9">
              <w:rPr>
                <w:rFonts w:eastAsia="Times New Roman" w:cs="Times New Roman"/>
                <w:b/>
                <w:bCs/>
                <w:color w:val="FFFFFF"/>
                <w:lang w:eastAsia="en-AU"/>
              </w:rPr>
              <w:t>–</w:t>
            </w:r>
            <w:r w:rsidRPr="00B27CE1">
              <w:rPr>
                <w:rFonts w:eastAsia="Times New Roman" w:cs="Times New Roman"/>
                <w:b/>
                <w:bCs/>
                <w:color w:val="FFFFFF"/>
                <w:lang w:eastAsia="en-AU"/>
              </w:rPr>
              <w:t>11</w:t>
            </w:r>
          </w:p>
        </w:tc>
        <w:tc>
          <w:tcPr>
            <w:tcW w:w="1134" w:type="dxa"/>
            <w:tcBorders>
              <w:top w:val="nil"/>
              <w:left w:val="nil"/>
              <w:bottom w:val="nil"/>
              <w:right w:val="nil"/>
            </w:tcBorders>
            <w:shd w:val="clear" w:color="000000" w:fill="FF0000"/>
            <w:vAlign w:val="bottom"/>
            <w:hideMark/>
          </w:tcPr>
          <w:p w:rsidR="00E443E2" w:rsidRPr="00B27CE1" w:rsidRDefault="00E443E2" w:rsidP="00E443E2">
            <w:pPr>
              <w:spacing w:after="0"/>
              <w:jc w:val="right"/>
              <w:rPr>
                <w:rFonts w:eastAsia="Times New Roman" w:cs="Times New Roman"/>
                <w:b/>
                <w:bCs/>
                <w:color w:val="FFFFFF"/>
                <w:lang w:eastAsia="en-AU"/>
              </w:rPr>
            </w:pPr>
            <w:r w:rsidRPr="00B27CE1">
              <w:rPr>
                <w:rFonts w:eastAsia="Times New Roman" w:cs="Times New Roman"/>
                <w:b/>
                <w:bCs/>
                <w:color w:val="FFFFFF"/>
                <w:lang w:eastAsia="en-AU"/>
              </w:rPr>
              <w:t>2011</w:t>
            </w:r>
            <w:r w:rsidRPr="00FC4BE9">
              <w:rPr>
                <w:rFonts w:eastAsia="Times New Roman" w:cs="Times New Roman"/>
                <w:b/>
                <w:bCs/>
                <w:color w:val="FFFFFF"/>
                <w:lang w:eastAsia="en-AU"/>
              </w:rPr>
              <w:t>–</w:t>
            </w:r>
            <w:r w:rsidRPr="00B27CE1">
              <w:rPr>
                <w:rFonts w:eastAsia="Times New Roman" w:cs="Times New Roman"/>
                <w:b/>
                <w:bCs/>
                <w:color w:val="FFFFFF"/>
                <w:lang w:eastAsia="en-AU"/>
              </w:rPr>
              <w:t>12</w:t>
            </w:r>
          </w:p>
        </w:tc>
        <w:tc>
          <w:tcPr>
            <w:tcW w:w="1134" w:type="dxa"/>
            <w:tcBorders>
              <w:top w:val="nil"/>
              <w:left w:val="nil"/>
              <w:bottom w:val="nil"/>
              <w:right w:val="nil"/>
            </w:tcBorders>
            <w:shd w:val="clear" w:color="000000" w:fill="FF0000"/>
            <w:vAlign w:val="bottom"/>
            <w:hideMark/>
          </w:tcPr>
          <w:p w:rsidR="00E443E2" w:rsidRPr="00B27CE1" w:rsidRDefault="00E443E2" w:rsidP="00E443E2">
            <w:pPr>
              <w:spacing w:after="0"/>
              <w:jc w:val="right"/>
              <w:rPr>
                <w:rFonts w:eastAsia="Times New Roman" w:cs="Times New Roman"/>
                <w:b/>
                <w:bCs/>
                <w:color w:val="FFFFFF"/>
                <w:lang w:eastAsia="en-AU"/>
              </w:rPr>
            </w:pPr>
            <w:r w:rsidRPr="00B27CE1">
              <w:rPr>
                <w:rFonts w:eastAsia="Times New Roman" w:cs="Times New Roman"/>
                <w:b/>
                <w:bCs/>
                <w:color w:val="FFFFFF"/>
                <w:lang w:eastAsia="en-AU"/>
              </w:rPr>
              <w:t>2012</w:t>
            </w:r>
            <w:r w:rsidRPr="00FC4BE9">
              <w:rPr>
                <w:rFonts w:eastAsia="Times New Roman" w:cs="Times New Roman"/>
                <w:b/>
                <w:bCs/>
                <w:color w:val="FFFFFF"/>
                <w:lang w:eastAsia="en-AU"/>
              </w:rPr>
              <w:t>–</w:t>
            </w:r>
            <w:r w:rsidRPr="00B27CE1">
              <w:rPr>
                <w:rFonts w:eastAsia="Times New Roman" w:cs="Times New Roman"/>
                <w:b/>
                <w:bCs/>
                <w:color w:val="FFFFFF"/>
                <w:lang w:eastAsia="en-AU"/>
              </w:rPr>
              <w:t>13</w:t>
            </w:r>
          </w:p>
        </w:tc>
        <w:tc>
          <w:tcPr>
            <w:tcW w:w="1134" w:type="dxa"/>
            <w:tcBorders>
              <w:top w:val="nil"/>
              <w:left w:val="nil"/>
              <w:bottom w:val="nil"/>
              <w:right w:val="nil"/>
            </w:tcBorders>
            <w:shd w:val="clear" w:color="000000" w:fill="FF0000"/>
            <w:vAlign w:val="bottom"/>
            <w:hideMark/>
          </w:tcPr>
          <w:p w:rsidR="00E443E2" w:rsidRPr="00B27CE1" w:rsidRDefault="00E443E2" w:rsidP="00E443E2">
            <w:pPr>
              <w:spacing w:after="0"/>
              <w:jc w:val="right"/>
              <w:rPr>
                <w:rFonts w:eastAsia="Times New Roman" w:cs="Times New Roman"/>
                <w:b/>
                <w:bCs/>
                <w:color w:val="FFFFFF"/>
                <w:lang w:eastAsia="en-AU"/>
              </w:rPr>
            </w:pPr>
            <w:r w:rsidRPr="00B27CE1">
              <w:rPr>
                <w:rFonts w:eastAsia="Times New Roman" w:cs="Times New Roman"/>
                <w:b/>
                <w:bCs/>
                <w:color w:val="FFFFFF"/>
                <w:lang w:eastAsia="en-AU"/>
              </w:rPr>
              <w:t>2013</w:t>
            </w:r>
            <w:r w:rsidRPr="00FC4BE9">
              <w:rPr>
                <w:rFonts w:eastAsia="Times New Roman" w:cs="Times New Roman"/>
                <w:b/>
                <w:bCs/>
                <w:color w:val="FFFFFF"/>
                <w:lang w:eastAsia="en-AU"/>
              </w:rPr>
              <w:t>–</w:t>
            </w:r>
            <w:r w:rsidRPr="00B27CE1">
              <w:rPr>
                <w:rFonts w:eastAsia="Times New Roman" w:cs="Times New Roman"/>
                <w:b/>
                <w:bCs/>
                <w:color w:val="FFFFFF"/>
                <w:lang w:eastAsia="en-AU"/>
              </w:rPr>
              <w:t>14</w:t>
            </w:r>
          </w:p>
        </w:tc>
        <w:tc>
          <w:tcPr>
            <w:tcW w:w="2552" w:type="dxa"/>
            <w:gridSpan w:val="2"/>
            <w:tcBorders>
              <w:top w:val="nil"/>
              <w:left w:val="nil"/>
              <w:bottom w:val="nil"/>
              <w:right w:val="nil"/>
            </w:tcBorders>
            <w:shd w:val="clear" w:color="000000" w:fill="FF0000"/>
            <w:vAlign w:val="bottom"/>
            <w:hideMark/>
          </w:tcPr>
          <w:p w:rsidR="00E443E2" w:rsidRPr="00B27CE1" w:rsidRDefault="00E443E2" w:rsidP="00E443E2">
            <w:pPr>
              <w:spacing w:after="0"/>
              <w:jc w:val="center"/>
              <w:rPr>
                <w:rFonts w:eastAsia="Times New Roman" w:cs="Times New Roman"/>
                <w:b/>
                <w:bCs/>
                <w:color w:val="FFFFFF"/>
                <w:lang w:eastAsia="en-AU"/>
              </w:rPr>
            </w:pPr>
            <w:r w:rsidRPr="00B27CE1">
              <w:rPr>
                <w:rFonts w:eastAsia="Times New Roman" w:cs="Times New Roman"/>
                <w:b/>
                <w:bCs/>
                <w:color w:val="FFFFFF"/>
                <w:lang w:eastAsia="en-AU"/>
              </w:rPr>
              <w:t>All reports</w:t>
            </w:r>
          </w:p>
        </w:tc>
      </w:tr>
      <w:tr w:rsidR="00E443E2" w:rsidRPr="00B27CE1" w:rsidTr="00EC4AF3">
        <w:trPr>
          <w:trHeight w:val="300"/>
        </w:trPr>
        <w:tc>
          <w:tcPr>
            <w:tcW w:w="2410" w:type="dxa"/>
            <w:tcBorders>
              <w:top w:val="nil"/>
              <w:left w:val="nil"/>
              <w:bottom w:val="nil"/>
              <w:right w:val="nil"/>
            </w:tcBorders>
            <w:shd w:val="clear" w:color="000000" w:fill="D9D9D9"/>
            <w:vAlign w:val="center"/>
            <w:hideMark/>
          </w:tcPr>
          <w:p w:rsidR="00E443E2" w:rsidRPr="00B27CE1" w:rsidRDefault="00E443E2" w:rsidP="00E443E2">
            <w:pPr>
              <w:spacing w:after="0"/>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E443E2" w:rsidRPr="00B27CE1" w:rsidRDefault="00E443E2" w:rsidP="00E443E2">
            <w:pPr>
              <w:spacing w:after="0"/>
              <w:jc w:val="right"/>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E443E2" w:rsidRPr="00B27CE1" w:rsidRDefault="00E443E2" w:rsidP="00E443E2">
            <w:pPr>
              <w:spacing w:after="0"/>
              <w:jc w:val="right"/>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E443E2" w:rsidRPr="00B27CE1" w:rsidRDefault="00E443E2" w:rsidP="00E443E2">
            <w:pPr>
              <w:spacing w:after="0"/>
              <w:jc w:val="right"/>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E443E2" w:rsidRPr="00B27CE1" w:rsidRDefault="00E443E2" w:rsidP="00E443E2">
            <w:pPr>
              <w:spacing w:after="0"/>
              <w:jc w:val="right"/>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 </w:t>
            </w:r>
          </w:p>
        </w:tc>
        <w:tc>
          <w:tcPr>
            <w:tcW w:w="1276" w:type="dxa"/>
            <w:tcBorders>
              <w:top w:val="nil"/>
              <w:left w:val="nil"/>
              <w:bottom w:val="nil"/>
              <w:right w:val="nil"/>
            </w:tcBorders>
            <w:shd w:val="clear" w:color="000000" w:fill="D9D9D9"/>
            <w:vAlign w:val="center"/>
            <w:hideMark/>
          </w:tcPr>
          <w:p w:rsidR="00E443E2" w:rsidRPr="00B27CE1" w:rsidRDefault="00E443E2" w:rsidP="00E443E2">
            <w:pPr>
              <w:spacing w:after="0"/>
              <w:jc w:val="right"/>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Total</w:t>
            </w:r>
          </w:p>
        </w:tc>
        <w:tc>
          <w:tcPr>
            <w:tcW w:w="1276" w:type="dxa"/>
            <w:tcBorders>
              <w:top w:val="nil"/>
              <w:left w:val="nil"/>
              <w:bottom w:val="nil"/>
              <w:right w:val="nil"/>
            </w:tcBorders>
            <w:shd w:val="clear" w:color="000000" w:fill="D9D9D9"/>
            <w:vAlign w:val="center"/>
            <w:hideMark/>
          </w:tcPr>
          <w:p w:rsidR="00E443E2" w:rsidRPr="00B27CE1" w:rsidRDefault="00E443E2" w:rsidP="00E443E2">
            <w:pPr>
              <w:spacing w:after="0"/>
              <w:jc w:val="right"/>
              <w:rPr>
                <w:rFonts w:eastAsia="Times New Roman" w:cs="Times New Roman"/>
                <w:b/>
                <w:bCs/>
                <w:color w:val="FF0000"/>
                <w:sz w:val="20"/>
                <w:szCs w:val="20"/>
                <w:lang w:eastAsia="en-AU"/>
              </w:rPr>
            </w:pPr>
            <w:r w:rsidRPr="00B27CE1">
              <w:rPr>
                <w:rFonts w:eastAsia="Times New Roman" w:cs="Times New Roman"/>
                <w:b/>
                <w:bCs/>
                <w:color w:val="FF0000"/>
                <w:sz w:val="20"/>
                <w:szCs w:val="20"/>
                <w:lang w:eastAsia="en-AU"/>
              </w:rPr>
              <w:t>Per</w:t>
            </w:r>
            <w:r w:rsidR="001C2099">
              <w:rPr>
                <w:rFonts w:eastAsia="Times New Roman" w:cs="Times New Roman"/>
                <w:b/>
                <w:bCs/>
                <w:color w:val="FF0000"/>
                <w:sz w:val="20"/>
                <w:szCs w:val="20"/>
                <w:lang w:eastAsia="en-AU"/>
              </w:rPr>
              <w:t xml:space="preserve"> cent</w:t>
            </w:r>
          </w:p>
        </w:tc>
      </w:tr>
      <w:tr w:rsidR="00E443E2" w:rsidRPr="008714A4" w:rsidTr="00EC4AF3">
        <w:trPr>
          <w:trHeight w:val="300"/>
        </w:trPr>
        <w:tc>
          <w:tcPr>
            <w:tcW w:w="2410"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rPr>
                <w:rFonts w:eastAsia="Times New Roman" w:cs="Times New Roman"/>
                <w:color w:val="000000"/>
                <w:sz w:val="20"/>
                <w:szCs w:val="20"/>
                <w:lang w:eastAsia="en-AU"/>
              </w:rPr>
            </w:pPr>
            <w:r w:rsidRPr="008714A4">
              <w:rPr>
                <w:rFonts w:eastAsia="Times New Roman" w:cs="Times New Roman"/>
                <w:color w:val="000000"/>
                <w:sz w:val="20"/>
                <w:szCs w:val="20"/>
                <w:lang w:eastAsia="en-AU"/>
              </w:rPr>
              <w:t>Between 7am and 7pm</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35</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34</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16</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20</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105</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50.0%</w:t>
            </w:r>
          </w:p>
        </w:tc>
      </w:tr>
      <w:tr w:rsidR="00E443E2" w:rsidRPr="008714A4" w:rsidTr="00EC4AF3">
        <w:trPr>
          <w:trHeight w:val="300"/>
        </w:trPr>
        <w:tc>
          <w:tcPr>
            <w:tcW w:w="2410"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rPr>
                <w:rFonts w:eastAsia="Times New Roman" w:cs="Times New Roman"/>
                <w:color w:val="000000"/>
                <w:sz w:val="20"/>
                <w:szCs w:val="20"/>
                <w:lang w:eastAsia="en-AU"/>
              </w:rPr>
            </w:pPr>
            <w:r w:rsidRPr="008714A4">
              <w:rPr>
                <w:rFonts w:eastAsia="Times New Roman" w:cs="Times New Roman"/>
                <w:color w:val="000000"/>
                <w:sz w:val="20"/>
                <w:szCs w:val="20"/>
                <w:lang w:eastAsia="en-AU"/>
              </w:rPr>
              <w:t>Between 7pm and 7am</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10</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22</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11</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21</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64</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30.5%</w:t>
            </w:r>
          </w:p>
        </w:tc>
      </w:tr>
      <w:tr w:rsidR="00E443E2" w:rsidRPr="008714A4" w:rsidTr="00EC4AF3">
        <w:trPr>
          <w:trHeight w:val="300"/>
        </w:trPr>
        <w:tc>
          <w:tcPr>
            <w:tcW w:w="2410"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rPr>
                <w:rFonts w:eastAsia="Times New Roman" w:cs="Times New Roman"/>
                <w:color w:val="000000"/>
                <w:sz w:val="20"/>
                <w:szCs w:val="20"/>
                <w:lang w:eastAsia="en-AU"/>
              </w:rPr>
            </w:pPr>
            <w:r w:rsidRPr="008714A4">
              <w:rPr>
                <w:rFonts w:eastAsia="Times New Roman" w:cs="Times New Roman"/>
                <w:color w:val="000000"/>
                <w:sz w:val="20"/>
                <w:szCs w:val="20"/>
                <w:lang w:eastAsia="en-AU"/>
              </w:rPr>
              <w:t>Not reported</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8</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17</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13</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41</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19.5%</w:t>
            </w:r>
          </w:p>
        </w:tc>
      </w:tr>
      <w:tr w:rsidR="00E443E2" w:rsidRPr="008714A4" w:rsidTr="00EC4AF3">
        <w:trPr>
          <w:trHeight w:val="300"/>
        </w:trPr>
        <w:tc>
          <w:tcPr>
            <w:tcW w:w="2410"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All reports</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48</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64</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44</w:t>
            </w:r>
          </w:p>
        </w:tc>
        <w:tc>
          <w:tcPr>
            <w:tcW w:w="1134"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54</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443E2">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210</w:t>
            </w:r>
          </w:p>
        </w:tc>
        <w:tc>
          <w:tcPr>
            <w:tcW w:w="1276" w:type="dxa"/>
            <w:tcBorders>
              <w:top w:val="nil"/>
              <w:left w:val="nil"/>
              <w:bottom w:val="single" w:sz="4" w:space="0" w:color="000000"/>
              <w:right w:val="nil"/>
            </w:tcBorders>
            <w:shd w:val="clear" w:color="auto" w:fill="auto"/>
            <w:vAlign w:val="bottom"/>
            <w:hideMark/>
          </w:tcPr>
          <w:p w:rsidR="00E443E2" w:rsidRPr="008714A4" w:rsidRDefault="00E443E2" w:rsidP="00EC4AF3">
            <w:pPr>
              <w:spacing w:after="0"/>
              <w:jc w:val="right"/>
              <w:rPr>
                <w:rFonts w:eastAsia="Times New Roman" w:cs="Times New Roman"/>
                <w:b/>
                <w:color w:val="000000"/>
                <w:sz w:val="20"/>
                <w:szCs w:val="20"/>
                <w:lang w:eastAsia="en-AU"/>
              </w:rPr>
            </w:pPr>
            <w:r w:rsidRPr="008714A4">
              <w:rPr>
                <w:rFonts w:eastAsia="Times New Roman" w:cs="Times New Roman"/>
                <w:b/>
                <w:color w:val="000000"/>
                <w:sz w:val="20"/>
                <w:szCs w:val="20"/>
                <w:lang w:eastAsia="en-AU"/>
              </w:rPr>
              <w:t>100.0%</w:t>
            </w:r>
          </w:p>
        </w:tc>
      </w:tr>
    </w:tbl>
    <w:p w:rsidR="00E443E2" w:rsidRPr="0017274C" w:rsidRDefault="00E443E2" w:rsidP="00E443E2">
      <w:pPr>
        <w:spacing w:before="40" w:after="40" w:line="180" w:lineRule="atLeast"/>
        <w:rPr>
          <w:sz w:val="18"/>
          <w:szCs w:val="18"/>
        </w:rPr>
      </w:pPr>
      <w:r w:rsidRPr="0017274C">
        <w:rPr>
          <w:sz w:val="18"/>
          <w:szCs w:val="18"/>
        </w:rPr>
        <w:t>Notes</w:t>
      </w:r>
    </w:p>
    <w:p w:rsidR="00E443E2" w:rsidRPr="0017274C" w:rsidRDefault="00E443E2" w:rsidP="0096249F">
      <w:pPr>
        <w:pStyle w:val="ListParagraph"/>
        <w:numPr>
          <w:ilvl w:val="0"/>
          <w:numId w:val="45"/>
        </w:numPr>
        <w:spacing w:before="40" w:after="40" w:line="180" w:lineRule="atLeast"/>
        <w:rPr>
          <w:sz w:val="18"/>
          <w:szCs w:val="18"/>
        </w:rPr>
      </w:pPr>
      <w:r w:rsidRPr="0017274C">
        <w:rPr>
          <w:sz w:val="18"/>
          <w:szCs w:val="18"/>
        </w:rPr>
        <w:t>SA did not report transfusion time data from 2011–12 to 2013–14</w:t>
      </w:r>
    </w:p>
    <w:p w:rsidR="0039701B" w:rsidRPr="0039701B" w:rsidRDefault="0039701B" w:rsidP="0096249F">
      <w:pPr>
        <w:pStyle w:val="ListParagraph"/>
        <w:numPr>
          <w:ilvl w:val="0"/>
          <w:numId w:val="45"/>
        </w:numPr>
        <w:spacing w:before="40" w:after="40" w:line="180" w:lineRule="atLeast"/>
        <w:rPr>
          <w:sz w:val="18"/>
          <w:szCs w:val="18"/>
        </w:rPr>
      </w:pPr>
      <w:bookmarkStart w:id="56" w:name="_Ref450836418"/>
      <w:bookmarkStart w:id="57" w:name="_Ref450836411"/>
      <w:r w:rsidRPr="0039701B">
        <w:rPr>
          <w:sz w:val="18"/>
          <w:szCs w:val="18"/>
        </w:rPr>
        <w:t xml:space="preserve">NSW did not report detailed data (such as blood products, outcome severity and </w:t>
      </w:r>
      <w:proofErr w:type="spellStart"/>
      <w:r w:rsidRPr="0039701B">
        <w:rPr>
          <w:sz w:val="18"/>
          <w:szCs w:val="18"/>
        </w:rPr>
        <w:t>imputability</w:t>
      </w:r>
      <w:proofErr w:type="spellEnd"/>
      <w:r w:rsidRPr="0039701B">
        <w:rPr>
          <w:sz w:val="18"/>
          <w:szCs w:val="18"/>
        </w:rPr>
        <w:t xml:space="preserve"> score) for 2010–11</w:t>
      </w:r>
    </w:p>
    <w:p w:rsidR="0039701B" w:rsidRPr="0039701B" w:rsidRDefault="0039701B" w:rsidP="0096249F">
      <w:pPr>
        <w:pStyle w:val="ListParagraph"/>
        <w:numPr>
          <w:ilvl w:val="0"/>
          <w:numId w:val="45"/>
        </w:numPr>
        <w:spacing w:before="40" w:after="40" w:line="180" w:lineRule="atLeast"/>
        <w:rPr>
          <w:sz w:val="18"/>
          <w:szCs w:val="18"/>
        </w:rPr>
      </w:pPr>
      <w:r w:rsidRPr="0039701B">
        <w:rPr>
          <w:sz w:val="18"/>
          <w:szCs w:val="18"/>
        </w:rPr>
        <w:t xml:space="preserve">ACT reported zero adverse events for </w:t>
      </w:r>
      <w:r w:rsidR="00C01B95" w:rsidRPr="00E4119C">
        <w:rPr>
          <w:sz w:val="18"/>
          <w:szCs w:val="18"/>
        </w:rPr>
        <w:t>2010-11</w:t>
      </w:r>
      <w:r w:rsidR="00C01B95">
        <w:rPr>
          <w:sz w:val="18"/>
          <w:szCs w:val="18"/>
        </w:rPr>
        <w:t xml:space="preserve"> and </w:t>
      </w:r>
      <w:r w:rsidR="00C01B95" w:rsidRPr="00E4119C">
        <w:rPr>
          <w:sz w:val="18"/>
          <w:szCs w:val="18"/>
        </w:rPr>
        <w:t>2013–14</w:t>
      </w:r>
    </w:p>
    <w:p w:rsidR="0039701B" w:rsidRPr="0039701B" w:rsidRDefault="0039701B" w:rsidP="0096249F">
      <w:pPr>
        <w:pStyle w:val="ListParagraph"/>
        <w:numPr>
          <w:ilvl w:val="0"/>
          <w:numId w:val="45"/>
        </w:numPr>
        <w:spacing w:before="40" w:after="40" w:line="180" w:lineRule="atLeast"/>
        <w:rPr>
          <w:sz w:val="18"/>
          <w:szCs w:val="18"/>
        </w:rPr>
      </w:pPr>
      <w:r w:rsidRPr="0039701B">
        <w:rPr>
          <w:sz w:val="18"/>
          <w:szCs w:val="18"/>
        </w:rPr>
        <w:t>QLD did not contribute data for 2012–13</w:t>
      </w:r>
    </w:p>
    <w:p w:rsidR="0039701B" w:rsidRPr="0039701B" w:rsidRDefault="0039701B" w:rsidP="0096249F">
      <w:pPr>
        <w:pStyle w:val="ListParagraph"/>
        <w:numPr>
          <w:ilvl w:val="0"/>
          <w:numId w:val="45"/>
        </w:numPr>
        <w:spacing w:before="40" w:after="40" w:line="180" w:lineRule="atLeast"/>
        <w:rPr>
          <w:sz w:val="18"/>
          <w:szCs w:val="18"/>
        </w:rPr>
      </w:pPr>
      <w:r w:rsidRPr="0039701B">
        <w:rPr>
          <w:sz w:val="18"/>
          <w:szCs w:val="18"/>
        </w:rPr>
        <w:t>WA did not contribute data</w:t>
      </w:r>
    </w:p>
    <w:p w:rsidR="00231DF7" w:rsidRDefault="00231DF7" w:rsidP="00CB3A0B">
      <w:pPr>
        <w:pStyle w:val="Caption"/>
        <w:spacing w:before="200"/>
      </w:pPr>
      <w:r w:rsidRPr="00662152">
        <w:rPr>
          <w:b w:val="0"/>
          <w:sz w:val="22"/>
          <w:szCs w:val="22"/>
        </w:rPr>
        <w:fldChar w:fldCharType="begin"/>
      </w:r>
      <w:r w:rsidRPr="00C94185">
        <w:rPr>
          <w:b w:val="0"/>
          <w:sz w:val="22"/>
          <w:szCs w:val="22"/>
        </w:rPr>
        <w:instrText xml:space="preserve"> REF _Ref450836472 \h </w:instrText>
      </w:r>
      <w:r w:rsidR="00662152" w:rsidRPr="00C94185">
        <w:rPr>
          <w:b w:val="0"/>
          <w:sz w:val="22"/>
          <w:szCs w:val="22"/>
        </w:rPr>
        <w:instrText xml:space="preserve"> \* MERGEFORMAT </w:instrText>
      </w:r>
      <w:r w:rsidRPr="00662152">
        <w:rPr>
          <w:b w:val="0"/>
          <w:sz w:val="22"/>
          <w:szCs w:val="22"/>
        </w:rPr>
      </w:r>
      <w:r w:rsidRPr="00662152">
        <w:rPr>
          <w:b w:val="0"/>
          <w:sz w:val="22"/>
          <w:szCs w:val="22"/>
        </w:rPr>
        <w:fldChar w:fldCharType="separate"/>
      </w:r>
      <w:r w:rsidR="000010BC" w:rsidRPr="000010BC">
        <w:rPr>
          <w:b w:val="0"/>
          <w:sz w:val="22"/>
          <w:szCs w:val="22"/>
        </w:rPr>
        <w:t xml:space="preserve">Table </w:t>
      </w:r>
      <w:r w:rsidR="000010BC" w:rsidRPr="000010BC">
        <w:rPr>
          <w:b w:val="0"/>
          <w:noProof/>
          <w:sz w:val="22"/>
          <w:szCs w:val="22"/>
        </w:rPr>
        <w:t>12</w:t>
      </w:r>
      <w:r w:rsidRPr="00662152">
        <w:rPr>
          <w:b w:val="0"/>
          <w:sz w:val="22"/>
          <w:szCs w:val="22"/>
        </w:rPr>
        <w:fldChar w:fldCharType="end"/>
      </w:r>
      <w:r w:rsidR="007B7954">
        <w:rPr>
          <w:b w:val="0"/>
          <w:sz w:val="22"/>
          <w:szCs w:val="22"/>
        </w:rPr>
        <w:t xml:space="preserve"> details the data for serious events </w:t>
      </w:r>
      <w:r w:rsidR="00D67425">
        <w:rPr>
          <w:b w:val="0"/>
          <w:sz w:val="22"/>
          <w:szCs w:val="22"/>
        </w:rPr>
        <w:t xml:space="preserve">by </w:t>
      </w:r>
      <w:r w:rsidR="007B7954">
        <w:rPr>
          <w:b w:val="0"/>
          <w:sz w:val="22"/>
          <w:szCs w:val="22"/>
        </w:rPr>
        <w:t xml:space="preserve">week </w:t>
      </w:r>
      <w:r w:rsidR="00D67425">
        <w:rPr>
          <w:b w:val="0"/>
          <w:sz w:val="22"/>
          <w:szCs w:val="22"/>
        </w:rPr>
        <w:t>day</w:t>
      </w:r>
      <w:r w:rsidR="00662152">
        <w:rPr>
          <w:b w:val="0"/>
          <w:sz w:val="22"/>
          <w:szCs w:val="22"/>
        </w:rPr>
        <w:t>/weekend</w:t>
      </w:r>
      <w:r w:rsidR="00D67425">
        <w:rPr>
          <w:b w:val="0"/>
          <w:sz w:val="22"/>
          <w:szCs w:val="22"/>
        </w:rPr>
        <w:t xml:space="preserve"> for </w:t>
      </w:r>
      <w:r w:rsidR="00D67425" w:rsidRPr="00D67425">
        <w:rPr>
          <w:b w:val="0"/>
          <w:sz w:val="22"/>
          <w:szCs w:val="22"/>
        </w:rPr>
        <w:t>2010–11 to 2013–14</w:t>
      </w:r>
      <w:r w:rsidR="00D67425">
        <w:rPr>
          <w:b w:val="0"/>
          <w:sz w:val="22"/>
          <w:szCs w:val="22"/>
        </w:rPr>
        <w:t xml:space="preserve">. Around 25.7% of serious events were related to weekend transfusion. </w:t>
      </w:r>
    </w:p>
    <w:p w:rsidR="00B5301C" w:rsidRPr="00814F44" w:rsidRDefault="00231DF7" w:rsidP="00FB14A2">
      <w:pPr>
        <w:pStyle w:val="Caption"/>
        <w:spacing w:after="120"/>
      </w:pPr>
      <w:bookmarkStart w:id="58" w:name="_Ref450836472"/>
      <w:bookmarkStart w:id="59" w:name="_Toc459636852"/>
      <w:r w:rsidRPr="00EC4AF3">
        <w:t xml:space="preserve">Table </w:t>
      </w:r>
      <w:fldSimple w:instr=" SEQ Table \* ARABIC ">
        <w:r w:rsidR="000010BC">
          <w:rPr>
            <w:noProof/>
          </w:rPr>
          <w:t>12</w:t>
        </w:r>
      </w:fldSimple>
      <w:bookmarkEnd w:id="56"/>
      <w:bookmarkEnd w:id="58"/>
      <w:r w:rsidRPr="00EC4AF3">
        <w:t xml:space="preserve">: </w:t>
      </w:r>
      <w:r w:rsidR="00B5301C" w:rsidRPr="00EC4AF3">
        <w:t>Serious adverse event</w:t>
      </w:r>
      <w:r w:rsidR="00B8055E">
        <w:t>s</w:t>
      </w:r>
      <w:r w:rsidR="00B5301C" w:rsidRPr="00EC4AF3">
        <w:t xml:space="preserve"> by week day</w:t>
      </w:r>
      <w:r w:rsidR="00C01B95">
        <w:t>/weekend</w:t>
      </w:r>
      <w:r w:rsidR="00B5301C" w:rsidRPr="00EC4AF3">
        <w:t>, 2010–11 to 2013–14</w:t>
      </w:r>
      <w:bookmarkEnd w:id="57"/>
      <w:bookmarkEnd w:id="59"/>
    </w:p>
    <w:tbl>
      <w:tblPr>
        <w:tblW w:w="9498" w:type="dxa"/>
        <w:tblInd w:w="108" w:type="dxa"/>
        <w:tblLook w:val="04A0" w:firstRow="1" w:lastRow="0" w:firstColumn="1" w:lastColumn="0" w:noHBand="0" w:noVBand="1"/>
      </w:tblPr>
      <w:tblGrid>
        <w:gridCol w:w="2410"/>
        <w:gridCol w:w="1134"/>
        <w:gridCol w:w="1134"/>
        <w:gridCol w:w="1134"/>
        <w:gridCol w:w="1134"/>
        <w:gridCol w:w="1418"/>
        <w:gridCol w:w="1134"/>
      </w:tblGrid>
      <w:tr w:rsidR="00B5301C" w:rsidRPr="0053060E" w:rsidTr="00EC4AF3">
        <w:trPr>
          <w:trHeight w:val="300"/>
        </w:trPr>
        <w:tc>
          <w:tcPr>
            <w:tcW w:w="2410" w:type="dxa"/>
            <w:tcBorders>
              <w:top w:val="nil"/>
              <w:left w:val="nil"/>
              <w:bottom w:val="nil"/>
              <w:right w:val="nil"/>
            </w:tcBorders>
            <w:shd w:val="clear" w:color="000000" w:fill="FF0000"/>
            <w:vAlign w:val="bottom"/>
            <w:hideMark/>
          </w:tcPr>
          <w:p w:rsidR="00B5301C" w:rsidRPr="0053060E" w:rsidRDefault="00B5301C" w:rsidP="00B5301C">
            <w:pPr>
              <w:spacing w:after="0"/>
              <w:rPr>
                <w:rFonts w:eastAsia="Times New Roman" w:cs="Times New Roman"/>
                <w:b/>
                <w:bCs/>
                <w:color w:val="FFFFFF"/>
                <w:lang w:eastAsia="en-AU"/>
              </w:rPr>
            </w:pPr>
            <w:r w:rsidRPr="0053060E">
              <w:rPr>
                <w:rFonts w:eastAsia="Times New Roman" w:cs="Times New Roman"/>
                <w:b/>
                <w:bCs/>
                <w:color w:val="FFFFFF"/>
                <w:lang w:eastAsia="en-AU"/>
              </w:rPr>
              <w:t> </w:t>
            </w:r>
          </w:p>
        </w:tc>
        <w:tc>
          <w:tcPr>
            <w:tcW w:w="1134"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2010</w:t>
            </w:r>
            <w:r w:rsidRPr="00FC4BE9">
              <w:rPr>
                <w:rFonts w:eastAsia="Times New Roman" w:cs="Times New Roman"/>
                <w:b/>
                <w:bCs/>
                <w:color w:val="FFFFFF"/>
                <w:lang w:eastAsia="en-AU"/>
              </w:rPr>
              <w:t>–</w:t>
            </w:r>
            <w:r w:rsidRPr="0053060E">
              <w:rPr>
                <w:rFonts w:eastAsia="Times New Roman" w:cs="Times New Roman"/>
                <w:b/>
                <w:bCs/>
                <w:color w:val="FFFFFF"/>
                <w:lang w:eastAsia="en-AU"/>
              </w:rPr>
              <w:t>11</w:t>
            </w:r>
          </w:p>
        </w:tc>
        <w:tc>
          <w:tcPr>
            <w:tcW w:w="1134"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2011</w:t>
            </w:r>
            <w:r w:rsidRPr="00901294">
              <w:rPr>
                <w:rFonts w:eastAsia="Times New Roman" w:cs="Times New Roman"/>
                <w:b/>
                <w:bCs/>
                <w:color w:val="FFFFFF"/>
                <w:lang w:eastAsia="en-AU"/>
              </w:rPr>
              <w:t>–</w:t>
            </w:r>
            <w:r w:rsidRPr="0053060E">
              <w:rPr>
                <w:rFonts w:eastAsia="Times New Roman" w:cs="Times New Roman"/>
                <w:b/>
                <w:bCs/>
                <w:color w:val="FFFFFF"/>
                <w:lang w:eastAsia="en-AU"/>
              </w:rPr>
              <w:t>12</w:t>
            </w:r>
          </w:p>
        </w:tc>
        <w:tc>
          <w:tcPr>
            <w:tcW w:w="1134"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2012</w:t>
            </w:r>
            <w:r w:rsidRPr="00901294">
              <w:rPr>
                <w:rFonts w:eastAsia="Times New Roman" w:cs="Times New Roman"/>
                <w:b/>
                <w:bCs/>
                <w:color w:val="FFFFFF"/>
                <w:lang w:eastAsia="en-AU"/>
              </w:rPr>
              <w:t>–</w:t>
            </w:r>
            <w:r w:rsidRPr="0053060E">
              <w:rPr>
                <w:rFonts w:eastAsia="Times New Roman" w:cs="Times New Roman"/>
                <w:b/>
                <w:bCs/>
                <w:color w:val="FFFFFF"/>
                <w:lang w:eastAsia="en-AU"/>
              </w:rPr>
              <w:t>13</w:t>
            </w:r>
          </w:p>
        </w:tc>
        <w:tc>
          <w:tcPr>
            <w:tcW w:w="1134"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2013</w:t>
            </w:r>
            <w:r w:rsidRPr="00901294">
              <w:rPr>
                <w:rFonts w:eastAsia="Times New Roman" w:cs="Times New Roman"/>
                <w:b/>
                <w:bCs/>
                <w:color w:val="FFFFFF"/>
                <w:lang w:eastAsia="en-AU"/>
              </w:rPr>
              <w:t>–</w:t>
            </w:r>
            <w:r w:rsidRPr="0053060E">
              <w:rPr>
                <w:rFonts w:eastAsia="Times New Roman" w:cs="Times New Roman"/>
                <w:b/>
                <w:bCs/>
                <w:color w:val="FFFFFF"/>
                <w:lang w:eastAsia="en-AU"/>
              </w:rPr>
              <w:t>14</w:t>
            </w:r>
          </w:p>
        </w:tc>
        <w:tc>
          <w:tcPr>
            <w:tcW w:w="2552" w:type="dxa"/>
            <w:gridSpan w:val="2"/>
            <w:tcBorders>
              <w:top w:val="nil"/>
              <w:left w:val="nil"/>
              <w:bottom w:val="nil"/>
              <w:right w:val="nil"/>
            </w:tcBorders>
            <w:shd w:val="clear" w:color="000000" w:fill="FF0000"/>
            <w:vAlign w:val="bottom"/>
            <w:hideMark/>
          </w:tcPr>
          <w:p w:rsidR="00B5301C" w:rsidRPr="0053060E" w:rsidRDefault="00B5301C" w:rsidP="00B5301C">
            <w:pPr>
              <w:spacing w:after="0"/>
              <w:jc w:val="center"/>
              <w:rPr>
                <w:rFonts w:eastAsia="Times New Roman" w:cs="Times New Roman"/>
                <w:b/>
                <w:bCs/>
                <w:color w:val="FFFFFF"/>
                <w:lang w:eastAsia="en-AU"/>
              </w:rPr>
            </w:pPr>
            <w:r w:rsidRPr="0053060E">
              <w:rPr>
                <w:rFonts w:eastAsia="Times New Roman" w:cs="Times New Roman"/>
                <w:b/>
                <w:bCs/>
                <w:color w:val="FFFFFF"/>
                <w:lang w:eastAsia="en-AU"/>
              </w:rPr>
              <w:t>All reports</w:t>
            </w:r>
          </w:p>
        </w:tc>
      </w:tr>
      <w:tr w:rsidR="00814F44" w:rsidRPr="0053060E" w:rsidTr="00814F44">
        <w:trPr>
          <w:trHeight w:val="330"/>
        </w:trPr>
        <w:tc>
          <w:tcPr>
            <w:tcW w:w="2410" w:type="dxa"/>
            <w:tcBorders>
              <w:top w:val="nil"/>
              <w:left w:val="nil"/>
              <w:bottom w:val="nil"/>
              <w:right w:val="nil"/>
            </w:tcBorders>
            <w:shd w:val="clear" w:color="000000" w:fill="D9D9D9"/>
            <w:vAlign w:val="center"/>
            <w:hideMark/>
          </w:tcPr>
          <w:p w:rsidR="00B5301C" w:rsidRPr="0053060E" w:rsidRDefault="00B5301C" w:rsidP="00B5301C">
            <w:pPr>
              <w:spacing w:after="0"/>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34"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418"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Total</w:t>
            </w:r>
          </w:p>
        </w:tc>
        <w:tc>
          <w:tcPr>
            <w:tcW w:w="1134" w:type="dxa"/>
            <w:tcBorders>
              <w:top w:val="nil"/>
              <w:left w:val="nil"/>
              <w:bottom w:val="nil"/>
              <w:right w:val="nil"/>
            </w:tcBorders>
            <w:shd w:val="clear" w:color="000000" w:fill="D9D9D9"/>
            <w:vAlign w:val="center"/>
            <w:hideMark/>
          </w:tcPr>
          <w:p w:rsidR="00B5301C" w:rsidRPr="0053060E" w:rsidRDefault="001C2099" w:rsidP="00B5301C">
            <w:pPr>
              <w:spacing w:after="0"/>
              <w:jc w:val="right"/>
              <w:rPr>
                <w:rFonts w:eastAsia="Times New Roman" w:cs="Times New Roman"/>
                <w:b/>
                <w:bCs/>
                <w:color w:val="FF0000"/>
                <w:sz w:val="20"/>
                <w:szCs w:val="20"/>
                <w:lang w:eastAsia="en-AU"/>
              </w:rPr>
            </w:pPr>
            <w:r>
              <w:rPr>
                <w:rFonts w:eastAsia="Times New Roman" w:cs="Times New Roman"/>
                <w:b/>
                <w:bCs/>
                <w:color w:val="FF0000"/>
                <w:sz w:val="20"/>
                <w:szCs w:val="20"/>
                <w:lang w:eastAsia="en-AU"/>
              </w:rPr>
              <w:t>Per cent</w:t>
            </w:r>
          </w:p>
        </w:tc>
      </w:tr>
      <w:tr w:rsidR="00814F44" w:rsidRPr="008714A4" w:rsidTr="00814F44">
        <w:trPr>
          <w:trHeight w:val="300"/>
        </w:trPr>
        <w:tc>
          <w:tcPr>
            <w:tcW w:w="241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eastAsia="Times New Roman" w:cs="Times New Roman"/>
                <w:color w:val="000000"/>
                <w:sz w:val="20"/>
                <w:szCs w:val="20"/>
                <w:lang w:eastAsia="en-AU"/>
              </w:rPr>
            </w:pPr>
            <w:r w:rsidRPr="008714A4">
              <w:rPr>
                <w:rFonts w:eastAsia="Times New Roman" w:cs="Times New Roman"/>
                <w:color w:val="000000"/>
                <w:sz w:val="20"/>
                <w:szCs w:val="20"/>
                <w:lang w:eastAsia="en-AU"/>
              </w:rPr>
              <w:t>Week day</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37</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43</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36</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40</w:t>
            </w:r>
          </w:p>
        </w:tc>
        <w:tc>
          <w:tcPr>
            <w:tcW w:w="1418"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156</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74.3%</w:t>
            </w:r>
          </w:p>
        </w:tc>
      </w:tr>
      <w:tr w:rsidR="00814F44" w:rsidRPr="008714A4" w:rsidTr="00814F44">
        <w:trPr>
          <w:trHeight w:val="300"/>
        </w:trPr>
        <w:tc>
          <w:tcPr>
            <w:tcW w:w="241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eastAsia="Times New Roman" w:cs="Times New Roman"/>
                <w:color w:val="000000"/>
                <w:sz w:val="20"/>
                <w:szCs w:val="20"/>
                <w:lang w:eastAsia="en-AU"/>
              </w:rPr>
            </w:pPr>
            <w:r w:rsidRPr="008714A4">
              <w:rPr>
                <w:rFonts w:eastAsia="Times New Roman" w:cs="Times New Roman"/>
                <w:color w:val="000000"/>
                <w:sz w:val="20"/>
                <w:szCs w:val="20"/>
                <w:lang w:eastAsia="en-AU"/>
              </w:rPr>
              <w:t>Weekend</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11</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21</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8</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14</w:t>
            </w:r>
          </w:p>
        </w:tc>
        <w:tc>
          <w:tcPr>
            <w:tcW w:w="1418"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54</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25.7%</w:t>
            </w:r>
          </w:p>
        </w:tc>
      </w:tr>
      <w:tr w:rsidR="00814F44" w:rsidRPr="008714A4" w:rsidTr="00814F44">
        <w:trPr>
          <w:trHeight w:val="300"/>
        </w:trPr>
        <w:tc>
          <w:tcPr>
            <w:tcW w:w="241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eastAsia="Times New Roman" w:cs="Times New Roman"/>
                <w:color w:val="000000"/>
                <w:sz w:val="20"/>
                <w:szCs w:val="20"/>
                <w:lang w:eastAsia="en-AU"/>
              </w:rPr>
            </w:pPr>
            <w:r w:rsidRPr="008714A4">
              <w:rPr>
                <w:rFonts w:eastAsia="Times New Roman" w:cs="Times New Roman"/>
                <w:color w:val="000000"/>
                <w:sz w:val="20"/>
                <w:szCs w:val="20"/>
                <w:lang w:eastAsia="en-AU"/>
              </w:rPr>
              <w:t>Not reported</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418"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color w:val="000000"/>
                <w:sz w:val="20"/>
                <w:szCs w:val="20"/>
                <w:lang w:eastAsia="en-AU"/>
              </w:rPr>
            </w:pPr>
            <w:r w:rsidRPr="008714A4">
              <w:rPr>
                <w:rFonts w:eastAsia="Times New Roman" w:cs="Times New Roman"/>
                <w:color w:val="000000"/>
                <w:sz w:val="20"/>
                <w:szCs w:val="20"/>
                <w:lang w:eastAsia="en-AU"/>
              </w:rPr>
              <w:t>0.0%</w:t>
            </w:r>
          </w:p>
        </w:tc>
      </w:tr>
      <w:tr w:rsidR="00814F44" w:rsidRPr="008714A4" w:rsidTr="00814F44">
        <w:trPr>
          <w:trHeight w:val="300"/>
        </w:trPr>
        <w:tc>
          <w:tcPr>
            <w:tcW w:w="241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All reports</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48</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64</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44</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54</w:t>
            </w:r>
          </w:p>
        </w:tc>
        <w:tc>
          <w:tcPr>
            <w:tcW w:w="1418"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eastAsia="Times New Roman" w:cs="Times New Roman"/>
                <w:b/>
                <w:bCs/>
                <w:color w:val="000000"/>
                <w:sz w:val="20"/>
                <w:szCs w:val="20"/>
                <w:lang w:eastAsia="en-AU"/>
              </w:rPr>
            </w:pPr>
            <w:r w:rsidRPr="008714A4">
              <w:rPr>
                <w:rFonts w:eastAsia="Times New Roman" w:cs="Times New Roman"/>
                <w:b/>
                <w:bCs/>
                <w:color w:val="000000"/>
                <w:sz w:val="20"/>
                <w:szCs w:val="20"/>
                <w:lang w:eastAsia="en-AU"/>
              </w:rPr>
              <w:t>210</w:t>
            </w:r>
          </w:p>
        </w:tc>
        <w:tc>
          <w:tcPr>
            <w:tcW w:w="1134" w:type="dxa"/>
            <w:tcBorders>
              <w:top w:val="nil"/>
              <w:left w:val="nil"/>
              <w:bottom w:val="single" w:sz="4" w:space="0" w:color="000000"/>
              <w:right w:val="nil"/>
            </w:tcBorders>
            <w:shd w:val="clear" w:color="auto" w:fill="auto"/>
            <w:vAlign w:val="bottom"/>
            <w:hideMark/>
          </w:tcPr>
          <w:p w:rsidR="00B5301C" w:rsidRPr="008714A4" w:rsidRDefault="00B5301C" w:rsidP="00EC4AF3">
            <w:pPr>
              <w:spacing w:after="0"/>
              <w:jc w:val="right"/>
              <w:rPr>
                <w:rFonts w:eastAsia="Times New Roman" w:cs="Times New Roman"/>
                <w:b/>
                <w:color w:val="000000"/>
                <w:sz w:val="20"/>
                <w:szCs w:val="20"/>
                <w:lang w:eastAsia="en-AU"/>
              </w:rPr>
            </w:pPr>
            <w:r w:rsidRPr="008714A4">
              <w:rPr>
                <w:rFonts w:eastAsia="Times New Roman" w:cs="Times New Roman"/>
                <w:b/>
                <w:color w:val="000000"/>
                <w:sz w:val="20"/>
                <w:szCs w:val="20"/>
                <w:lang w:eastAsia="en-AU"/>
              </w:rPr>
              <w:t>100.0%</w:t>
            </w:r>
          </w:p>
        </w:tc>
      </w:tr>
    </w:tbl>
    <w:p w:rsidR="00B5301C" w:rsidRPr="0017274C" w:rsidRDefault="00B5301C" w:rsidP="00B5301C">
      <w:pPr>
        <w:spacing w:before="40" w:after="40" w:line="180" w:lineRule="atLeast"/>
        <w:rPr>
          <w:sz w:val="18"/>
          <w:szCs w:val="18"/>
        </w:rPr>
      </w:pPr>
      <w:r w:rsidRPr="0017274C">
        <w:rPr>
          <w:sz w:val="18"/>
          <w:szCs w:val="18"/>
        </w:rPr>
        <w:t>Notes</w:t>
      </w:r>
    </w:p>
    <w:p w:rsidR="0039701B" w:rsidRPr="0039701B" w:rsidRDefault="0039701B" w:rsidP="0096249F">
      <w:pPr>
        <w:pStyle w:val="ListParagraph"/>
        <w:numPr>
          <w:ilvl w:val="0"/>
          <w:numId w:val="51"/>
        </w:numPr>
        <w:spacing w:before="40" w:after="40" w:line="180" w:lineRule="atLeast"/>
        <w:ind w:left="426" w:hanging="426"/>
        <w:rPr>
          <w:sz w:val="18"/>
          <w:szCs w:val="18"/>
        </w:rPr>
      </w:pPr>
      <w:r w:rsidRPr="0039701B">
        <w:rPr>
          <w:sz w:val="18"/>
          <w:szCs w:val="18"/>
        </w:rPr>
        <w:t xml:space="preserve">NSW did not report detailed data (such as blood products, outcome severity and </w:t>
      </w:r>
      <w:proofErr w:type="spellStart"/>
      <w:r w:rsidRPr="0039701B">
        <w:rPr>
          <w:sz w:val="18"/>
          <w:szCs w:val="18"/>
        </w:rPr>
        <w:t>imputability</w:t>
      </w:r>
      <w:proofErr w:type="spellEnd"/>
      <w:r w:rsidRPr="0039701B">
        <w:rPr>
          <w:sz w:val="18"/>
          <w:szCs w:val="18"/>
        </w:rPr>
        <w:t xml:space="preserve"> score) for 2010–11</w:t>
      </w:r>
    </w:p>
    <w:p w:rsidR="0039701B" w:rsidRPr="0039701B" w:rsidRDefault="0039701B" w:rsidP="0096249F">
      <w:pPr>
        <w:pStyle w:val="ListParagraph"/>
        <w:numPr>
          <w:ilvl w:val="0"/>
          <w:numId w:val="51"/>
        </w:numPr>
        <w:spacing w:before="40" w:after="40" w:line="180" w:lineRule="atLeast"/>
        <w:ind w:left="426" w:hanging="426"/>
        <w:rPr>
          <w:sz w:val="18"/>
          <w:szCs w:val="18"/>
        </w:rPr>
      </w:pPr>
      <w:r w:rsidRPr="0039701B">
        <w:rPr>
          <w:sz w:val="18"/>
          <w:szCs w:val="18"/>
        </w:rPr>
        <w:t xml:space="preserve">ACT reported zero adverse events for </w:t>
      </w:r>
      <w:r w:rsidR="00C01B95" w:rsidRPr="00E4119C">
        <w:rPr>
          <w:sz w:val="18"/>
          <w:szCs w:val="18"/>
        </w:rPr>
        <w:t>2010-11</w:t>
      </w:r>
      <w:r w:rsidR="00C01B95">
        <w:rPr>
          <w:sz w:val="18"/>
          <w:szCs w:val="18"/>
        </w:rPr>
        <w:t xml:space="preserve"> and </w:t>
      </w:r>
      <w:r w:rsidR="00C01B95" w:rsidRPr="00E4119C">
        <w:rPr>
          <w:sz w:val="18"/>
          <w:szCs w:val="18"/>
        </w:rPr>
        <w:t>2013–14</w:t>
      </w:r>
    </w:p>
    <w:p w:rsidR="0039701B" w:rsidRPr="0039701B" w:rsidRDefault="0039701B" w:rsidP="0096249F">
      <w:pPr>
        <w:pStyle w:val="ListParagraph"/>
        <w:numPr>
          <w:ilvl w:val="0"/>
          <w:numId w:val="51"/>
        </w:numPr>
        <w:spacing w:before="40" w:after="40" w:line="180" w:lineRule="atLeast"/>
        <w:ind w:left="426" w:hanging="426"/>
        <w:rPr>
          <w:sz w:val="18"/>
          <w:szCs w:val="18"/>
        </w:rPr>
      </w:pPr>
      <w:r w:rsidRPr="0039701B">
        <w:rPr>
          <w:sz w:val="18"/>
          <w:szCs w:val="18"/>
        </w:rPr>
        <w:t>QLD did not contribute data for 2012–13</w:t>
      </w:r>
    </w:p>
    <w:p w:rsidR="00ED663F" w:rsidRDefault="0039701B" w:rsidP="00ED663F">
      <w:pPr>
        <w:pStyle w:val="ListParagraph"/>
        <w:numPr>
          <w:ilvl w:val="0"/>
          <w:numId w:val="51"/>
        </w:numPr>
        <w:spacing w:before="40" w:line="180" w:lineRule="atLeast"/>
        <w:ind w:left="425" w:hanging="425"/>
        <w:contextualSpacing w:val="0"/>
        <w:rPr>
          <w:sz w:val="18"/>
          <w:szCs w:val="18"/>
        </w:rPr>
      </w:pPr>
      <w:r w:rsidRPr="0039701B">
        <w:rPr>
          <w:sz w:val="18"/>
          <w:szCs w:val="18"/>
        </w:rPr>
        <w:t>WA did not contribute data</w:t>
      </w:r>
    </w:p>
    <w:p w:rsidR="00D67425" w:rsidRPr="009B3BE9" w:rsidRDefault="00ED663F" w:rsidP="00EC4AF3">
      <w:pPr>
        <w:pStyle w:val="Caption"/>
        <w:rPr>
          <w:b w:val="0"/>
          <w:sz w:val="22"/>
          <w:szCs w:val="22"/>
        </w:rPr>
      </w:pPr>
      <w:r w:rsidRPr="00ED663F">
        <w:rPr>
          <w:b w:val="0"/>
          <w:sz w:val="22"/>
          <w:szCs w:val="22"/>
        </w:rPr>
        <w:fldChar w:fldCharType="begin"/>
      </w:r>
      <w:r w:rsidRPr="00ED663F">
        <w:rPr>
          <w:b w:val="0"/>
          <w:sz w:val="22"/>
          <w:szCs w:val="22"/>
        </w:rPr>
        <w:instrText xml:space="preserve"> REF _Ref459637390 \h  \* MERGEFORMAT </w:instrText>
      </w:r>
      <w:r w:rsidRPr="00ED663F">
        <w:rPr>
          <w:b w:val="0"/>
          <w:sz w:val="22"/>
          <w:szCs w:val="22"/>
        </w:rPr>
      </w:r>
      <w:r w:rsidRPr="00ED663F">
        <w:rPr>
          <w:b w:val="0"/>
          <w:sz w:val="22"/>
          <w:szCs w:val="22"/>
        </w:rPr>
        <w:fldChar w:fldCharType="separate"/>
      </w:r>
      <w:r w:rsidR="000010BC" w:rsidRPr="000010BC">
        <w:rPr>
          <w:b w:val="0"/>
          <w:sz w:val="22"/>
          <w:szCs w:val="22"/>
        </w:rPr>
        <w:t xml:space="preserve">Table </w:t>
      </w:r>
      <w:r w:rsidR="000010BC" w:rsidRPr="000010BC">
        <w:rPr>
          <w:b w:val="0"/>
          <w:noProof/>
          <w:sz w:val="22"/>
          <w:szCs w:val="22"/>
        </w:rPr>
        <w:t>13</w:t>
      </w:r>
      <w:r w:rsidRPr="00ED663F">
        <w:rPr>
          <w:b w:val="0"/>
          <w:sz w:val="22"/>
          <w:szCs w:val="22"/>
        </w:rPr>
        <w:fldChar w:fldCharType="end"/>
      </w:r>
      <w:r>
        <w:rPr>
          <w:b w:val="0"/>
          <w:sz w:val="22"/>
          <w:szCs w:val="22"/>
        </w:rPr>
        <w:t xml:space="preserve"> </w:t>
      </w:r>
      <w:r w:rsidR="00D67425">
        <w:rPr>
          <w:b w:val="0"/>
          <w:sz w:val="22"/>
          <w:szCs w:val="22"/>
        </w:rPr>
        <w:t>shows</w:t>
      </w:r>
      <w:r w:rsidR="00D67425" w:rsidRPr="00CF3594">
        <w:rPr>
          <w:b w:val="0"/>
          <w:sz w:val="22"/>
          <w:szCs w:val="22"/>
        </w:rPr>
        <w:t xml:space="preserve"> </w:t>
      </w:r>
      <w:r w:rsidR="00D67425">
        <w:rPr>
          <w:b w:val="0"/>
          <w:sz w:val="22"/>
          <w:szCs w:val="22"/>
        </w:rPr>
        <w:t xml:space="preserve">the number of serious events by age group </w:t>
      </w:r>
      <w:r w:rsidR="00CB3A0B">
        <w:rPr>
          <w:b w:val="0"/>
          <w:sz w:val="22"/>
          <w:szCs w:val="22"/>
        </w:rPr>
        <w:t>from</w:t>
      </w:r>
      <w:r w:rsidR="00D67425">
        <w:rPr>
          <w:b w:val="0"/>
          <w:sz w:val="22"/>
          <w:szCs w:val="22"/>
        </w:rPr>
        <w:t xml:space="preserve"> </w:t>
      </w:r>
      <w:r w:rsidR="00D67425" w:rsidRPr="00D67425">
        <w:rPr>
          <w:b w:val="0"/>
          <w:sz w:val="22"/>
          <w:szCs w:val="22"/>
        </w:rPr>
        <w:t>2010–11 to 2013–14</w:t>
      </w:r>
      <w:r w:rsidR="0039701B">
        <w:rPr>
          <w:b w:val="0"/>
          <w:sz w:val="22"/>
          <w:szCs w:val="22"/>
        </w:rPr>
        <w:t>.</w:t>
      </w:r>
      <w:r w:rsidR="00225F2E">
        <w:rPr>
          <w:b w:val="0"/>
          <w:sz w:val="22"/>
          <w:szCs w:val="22"/>
        </w:rPr>
        <w:t xml:space="preserve"> Around half</w:t>
      </w:r>
      <w:r w:rsidR="00CB3A0B">
        <w:rPr>
          <w:b w:val="0"/>
          <w:sz w:val="22"/>
          <w:szCs w:val="22"/>
        </w:rPr>
        <w:t xml:space="preserve"> of</w:t>
      </w:r>
      <w:r w:rsidR="00225F2E">
        <w:rPr>
          <w:b w:val="0"/>
          <w:sz w:val="22"/>
          <w:szCs w:val="22"/>
        </w:rPr>
        <w:t xml:space="preserve"> the serious events </w:t>
      </w:r>
      <w:r w:rsidR="00662152">
        <w:rPr>
          <w:b w:val="0"/>
          <w:sz w:val="22"/>
          <w:szCs w:val="22"/>
        </w:rPr>
        <w:t xml:space="preserve">involved </w:t>
      </w:r>
      <w:r w:rsidR="00225F2E">
        <w:rPr>
          <w:b w:val="0"/>
          <w:sz w:val="22"/>
          <w:szCs w:val="22"/>
        </w:rPr>
        <w:t>patients aged 65 and above.</w:t>
      </w:r>
    </w:p>
    <w:p w:rsidR="002F2FAA" w:rsidRDefault="002F2FAA" w:rsidP="00FB14A2">
      <w:pPr>
        <w:pStyle w:val="Caption"/>
        <w:spacing w:after="120"/>
      </w:pPr>
      <w:bookmarkStart w:id="60" w:name="_Ref450836798"/>
    </w:p>
    <w:p w:rsidR="00B5301C" w:rsidRPr="00814F44" w:rsidRDefault="00D67425" w:rsidP="00FB14A2">
      <w:pPr>
        <w:pStyle w:val="Caption"/>
        <w:spacing w:after="120"/>
      </w:pPr>
      <w:bookmarkStart w:id="61" w:name="_Ref459637390"/>
      <w:bookmarkStart w:id="62" w:name="_Toc459636853"/>
      <w:r w:rsidRPr="00EC4AF3">
        <w:lastRenderedPageBreak/>
        <w:t xml:space="preserve">Table </w:t>
      </w:r>
      <w:fldSimple w:instr=" SEQ Table \* ARABIC ">
        <w:r w:rsidR="000010BC">
          <w:rPr>
            <w:noProof/>
          </w:rPr>
          <w:t>13</w:t>
        </w:r>
      </w:fldSimple>
      <w:bookmarkEnd w:id="60"/>
      <w:bookmarkEnd w:id="61"/>
      <w:r w:rsidRPr="00EC4AF3">
        <w:t xml:space="preserve">: </w:t>
      </w:r>
      <w:r w:rsidR="00B5301C" w:rsidRPr="00EC4AF3">
        <w:t>Serious adverse event</w:t>
      </w:r>
      <w:r w:rsidR="00662152">
        <w:t>s</w:t>
      </w:r>
      <w:r w:rsidR="00B5301C" w:rsidRPr="00EC4AF3">
        <w:t xml:space="preserve"> by</w:t>
      </w:r>
      <w:r w:rsidRPr="00EC4AF3">
        <w:t xml:space="preserve"> age group</w:t>
      </w:r>
      <w:r w:rsidR="00B5301C" w:rsidRPr="00EC4AF3">
        <w:t>, 2010–11 to 2013–14</w:t>
      </w:r>
      <w:bookmarkEnd w:id="62"/>
    </w:p>
    <w:tbl>
      <w:tblPr>
        <w:tblW w:w="8900" w:type="dxa"/>
        <w:tblInd w:w="108" w:type="dxa"/>
        <w:tblLook w:val="04A0" w:firstRow="1" w:lastRow="0" w:firstColumn="1" w:lastColumn="0" w:noHBand="0" w:noVBand="1"/>
      </w:tblPr>
      <w:tblGrid>
        <w:gridCol w:w="2372"/>
        <w:gridCol w:w="1107"/>
        <w:gridCol w:w="1107"/>
        <w:gridCol w:w="1107"/>
        <w:gridCol w:w="1107"/>
        <w:gridCol w:w="950"/>
        <w:gridCol w:w="1150"/>
      </w:tblGrid>
      <w:tr w:rsidR="00B5301C" w:rsidRPr="0053060E" w:rsidTr="00B5301C">
        <w:trPr>
          <w:trHeight w:val="300"/>
        </w:trPr>
        <w:tc>
          <w:tcPr>
            <w:tcW w:w="2372" w:type="dxa"/>
            <w:tcBorders>
              <w:top w:val="nil"/>
              <w:left w:val="nil"/>
              <w:bottom w:val="nil"/>
              <w:right w:val="nil"/>
            </w:tcBorders>
            <w:shd w:val="clear" w:color="000000" w:fill="FF0000"/>
            <w:vAlign w:val="bottom"/>
            <w:hideMark/>
          </w:tcPr>
          <w:p w:rsidR="00B5301C" w:rsidRPr="0053060E" w:rsidRDefault="00B5301C" w:rsidP="00B5301C">
            <w:pPr>
              <w:spacing w:after="0"/>
              <w:rPr>
                <w:rFonts w:eastAsia="Times New Roman" w:cs="Times New Roman"/>
                <w:b/>
                <w:bCs/>
                <w:color w:val="FFFFFF"/>
                <w:lang w:eastAsia="en-AU"/>
              </w:rPr>
            </w:pPr>
            <w:r w:rsidRPr="0053060E">
              <w:rPr>
                <w:rFonts w:eastAsia="Times New Roman" w:cs="Times New Roman"/>
                <w:b/>
                <w:bCs/>
                <w:color w:val="FFFFFF"/>
                <w:lang w:eastAsia="en-AU"/>
              </w:rPr>
              <w:t> </w:t>
            </w:r>
          </w:p>
        </w:tc>
        <w:tc>
          <w:tcPr>
            <w:tcW w:w="1107"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2010</w:t>
            </w:r>
            <w:r w:rsidRPr="00901294">
              <w:rPr>
                <w:rFonts w:eastAsia="Times New Roman" w:cs="Times New Roman"/>
                <w:b/>
                <w:bCs/>
                <w:color w:val="FFFFFF"/>
                <w:lang w:eastAsia="en-AU"/>
              </w:rPr>
              <w:t>–</w:t>
            </w:r>
            <w:r w:rsidRPr="0053060E">
              <w:rPr>
                <w:rFonts w:eastAsia="Times New Roman" w:cs="Times New Roman"/>
                <w:b/>
                <w:bCs/>
                <w:color w:val="FFFFFF"/>
                <w:lang w:eastAsia="en-AU"/>
              </w:rPr>
              <w:t>11</w:t>
            </w:r>
          </w:p>
        </w:tc>
        <w:tc>
          <w:tcPr>
            <w:tcW w:w="1107"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2011</w:t>
            </w:r>
            <w:r w:rsidRPr="00901294">
              <w:rPr>
                <w:rFonts w:eastAsia="Times New Roman" w:cs="Times New Roman"/>
                <w:b/>
                <w:bCs/>
                <w:color w:val="FFFFFF"/>
                <w:lang w:eastAsia="en-AU"/>
              </w:rPr>
              <w:t>–</w:t>
            </w:r>
            <w:r w:rsidRPr="0053060E">
              <w:rPr>
                <w:rFonts w:eastAsia="Times New Roman" w:cs="Times New Roman"/>
                <w:b/>
                <w:bCs/>
                <w:color w:val="FFFFFF"/>
                <w:lang w:eastAsia="en-AU"/>
              </w:rPr>
              <w:t>12</w:t>
            </w:r>
          </w:p>
        </w:tc>
        <w:tc>
          <w:tcPr>
            <w:tcW w:w="1107"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2012</w:t>
            </w:r>
            <w:r w:rsidRPr="00901294">
              <w:rPr>
                <w:rFonts w:eastAsia="Times New Roman" w:cs="Times New Roman"/>
                <w:b/>
                <w:bCs/>
                <w:color w:val="FFFFFF"/>
                <w:lang w:eastAsia="en-AU"/>
              </w:rPr>
              <w:t>–</w:t>
            </w:r>
            <w:r w:rsidRPr="0053060E">
              <w:rPr>
                <w:rFonts w:eastAsia="Times New Roman" w:cs="Times New Roman"/>
                <w:b/>
                <w:bCs/>
                <w:color w:val="FFFFFF"/>
                <w:lang w:eastAsia="en-AU"/>
              </w:rPr>
              <w:t>13</w:t>
            </w:r>
          </w:p>
        </w:tc>
        <w:tc>
          <w:tcPr>
            <w:tcW w:w="1107" w:type="dxa"/>
            <w:tcBorders>
              <w:top w:val="nil"/>
              <w:left w:val="nil"/>
              <w:bottom w:val="nil"/>
              <w:right w:val="nil"/>
            </w:tcBorders>
            <w:shd w:val="clear" w:color="000000" w:fill="FF0000"/>
            <w:vAlign w:val="bottom"/>
            <w:hideMark/>
          </w:tcPr>
          <w:p w:rsidR="00B5301C" w:rsidRPr="0053060E" w:rsidRDefault="00B5301C" w:rsidP="00B5301C">
            <w:pPr>
              <w:spacing w:after="0"/>
              <w:jc w:val="right"/>
              <w:rPr>
                <w:rFonts w:eastAsia="Times New Roman" w:cs="Times New Roman"/>
                <w:b/>
                <w:bCs/>
                <w:color w:val="FFFFFF"/>
                <w:lang w:eastAsia="en-AU"/>
              </w:rPr>
            </w:pPr>
            <w:r w:rsidRPr="0053060E">
              <w:rPr>
                <w:rFonts w:eastAsia="Times New Roman" w:cs="Times New Roman"/>
                <w:b/>
                <w:bCs/>
                <w:color w:val="FFFFFF"/>
                <w:lang w:eastAsia="en-AU"/>
              </w:rPr>
              <w:t>2013</w:t>
            </w:r>
            <w:r w:rsidRPr="00901294">
              <w:rPr>
                <w:rFonts w:eastAsia="Times New Roman" w:cs="Times New Roman"/>
                <w:b/>
                <w:bCs/>
                <w:color w:val="FFFFFF"/>
                <w:lang w:eastAsia="en-AU"/>
              </w:rPr>
              <w:t>–</w:t>
            </w:r>
            <w:r w:rsidRPr="0053060E">
              <w:rPr>
                <w:rFonts w:eastAsia="Times New Roman" w:cs="Times New Roman"/>
                <w:b/>
                <w:bCs/>
                <w:color w:val="FFFFFF"/>
                <w:lang w:eastAsia="en-AU"/>
              </w:rPr>
              <w:t>14</w:t>
            </w:r>
          </w:p>
        </w:tc>
        <w:tc>
          <w:tcPr>
            <w:tcW w:w="2100" w:type="dxa"/>
            <w:gridSpan w:val="2"/>
            <w:tcBorders>
              <w:top w:val="nil"/>
              <w:left w:val="nil"/>
              <w:bottom w:val="nil"/>
              <w:right w:val="nil"/>
            </w:tcBorders>
            <w:shd w:val="clear" w:color="000000" w:fill="FF0000"/>
            <w:vAlign w:val="bottom"/>
            <w:hideMark/>
          </w:tcPr>
          <w:p w:rsidR="00B5301C" w:rsidRPr="0053060E" w:rsidRDefault="00B5301C" w:rsidP="00B5301C">
            <w:pPr>
              <w:spacing w:after="0"/>
              <w:jc w:val="center"/>
              <w:rPr>
                <w:rFonts w:eastAsia="Times New Roman" w:cs="Times New Roman"/>
                <w:b/>
                <w:bCs/>
                <w:color w:val="FFFFFF"/>
                <w:lang w:eastAsia="en-AU"/>
              </w:rPr>
            </w:pPr>
            <w:r w:rsidRPr="0053060E">
              <w:rPr>
                <w:rFonts w:eastAsia="Times New Roman" w:cs="Times New Roman"/>
                <w:b/>
                <w:bCs/>
                <w:color w:val="FFFFFF"/>
                <w:lang w:eastAsia="en-AU"/>
              </w:rPr>
              <w:t>All reports</w:t>
            </w:r>
          </w:p>
        </w:tc>
      </w:tr>
      <w:tr w:rsidR="00B5301C" w:rsidRPr="0053060E" w:rsidTr="00B5301C">
        <w:trPr>
          <w:trHeight w:val="300"/>
        </w:trPr>
        <w:tc>
          <w:tcPr>
            <w:tcW w:w="2372" w:type="dxa"/>
            <w:tcBorders>
              <w:top w:val="nil"/>
              <w:left w:val="nil"/>
              <w:bottom w:val="nil"/>
              <w:right w:val="nil"/>
            </w:tcBorders>
            <w:shd w:val="clear" w:color="000000" w:fill="D9D9D9"/>
            <w:vAlign w:val="center"/>
            <w:hideMark/>
          </w:tcPr>
          <w:p w:rsidR="00B5301C" w:rsidRPr="0053060E" w:rsidRDefault="00B5301C" w:rsidP="00B5301C">
            <w:pPr>
              <w:spacing w:after="0"/>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07"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07"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07"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1107"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 </w:t>
            </w:r>
          </w:p>
        </w:tc>
        <w:tc>
          <w:tcPr>
            <w:tcW w:w="950" w:type="dxa"/>
            <w:tcBorders>
              <w:top w:val="nil"/>
              <w:left w:val="nil"/>
              <w:bottom w:val="nil"/>
              <w:right w:val="nil"/>
            </w:tcBorders>
            <w:shd w:val="clear" w:color="000000" w:fill="D9D9D9"/>
            <w:vAlign w:val="center"/>
            <w:hideMark/>
          </w:tcPr>
          <w:p w:rsidR="00B5301C" w:rsidRPr="0053060E" w:rsidRDefault="00B5301C" w:rsidP="00B5301C">
            <w:pPr>
              <w:spacing w:after="0"/>
              <w:jc w:val="right"/>
              <w:rPr>
                <w:rFonts w:eastAsia="Times New Roman" w:cs="Times New Roman"/>
                <w:b/>
                <w:bCs/>
                <w:color w:val="FF0000"/>
                <w:sz w:val="20"/>
                <w:szCs w:val="20"/>
                <w:lang w:eastAsia="en-AU"/>
              </w:rPr>
            </w:pPr>
            <w:r w:rsidRPr="0053060E">
              <w:rPr>
                <w:rFonts w:eastAsia="Times New Roman" w:cs="Times New Roman"/>
                <w:b/>
                <w:bCs/>
                <w:color w:val="FF0000"/>
                <w:sz w:val="20"/>
                <w:szCs w:val="20"/>
                <w:lang w:eastAsia="en-AU"/>
              </w:rPr>
              <w:t>Total</w:t>
            </w:r>
          </w:p>
        </w:tc>
        <w:tc>
          <w:tcPr>
            <w:tcW w:w="1150" w:type="dxa"/>
            <w:tcBorders>
              <w:top w:val="nil"/>
              <w:left w:val="nil"/>
              <w:bottom w:val="nil"/>
              <w:right w:val="nil"/>
            </w:tcBorders>
            <w:shd w:val="clear" w:color="000000" w:fill="D9D9D9"/>
            <w:vAlign w:val="center"/>
            <w:hideMark/>
          </w:tcPr>
          <w:p w:rsidR="00B5301C" w:rsidRPr="0053060E" w:rsidRDefault="001C2099" w:rsidP="00B5301C">
            <w:pPr>
              <w:spacing w:after="0"/>
              <w:jc w:val="right"/>
              <w:rPr>
                <w:rFonts w:eastAsia="Times New Roman" w:cs="Times New Roman"/>
                <w:b/>
                <w:bCs/>
                <w:color w:val="FF0000"/>
                <w:sz w:val="20"/>
                <w:szCs w:val="20"/>
                <w:lang w:eastAsia="en-AU"/>
              </w:rPr>
            </w:pPr>
            <w:r>
              <w:rPr>
                <w:rFonts w:eastAsia="Times New Roman" w:cs="Times New Roman"/>
                <w:b/>
                <w:bCs/>
                <w:color w:val="FF0000"/>
                <w:sz w:val="20"/>
                <w:szCs w:val="20"/>
                <w:lang w:eastAsia="en-AU"/>
              </w:rPr>
              <w:t>Per cent</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0–4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0</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5</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2.4%</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5–14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0</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8</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3.8%</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15</w:t>
            </w:r>
            <w:r w:rsidRPr="008714A4">
              <w:rPr>
                <w:rFonts w:asciiTheme="minorHAnsi" w:hAnsiTheme="minorHAnsi"/>
                <w:sz w:val="20"/>
                <w:szCs w:val="20"/>
              </w:rPr>
              <w:t>–</w:t>
            </w:r>
            <w:r w:rsidRPr="008714A4">
              <w:rPr>
                <w:rFonts w:asciiTheme="minorHAnsi" w:eastAsia="Times New Roman" w:hAnsiTheme="minorHAnsi" w:cs="Times New Roman"/>
                <w:color w:val="000000"/>
                <w:sz w:val="20"/>
                <w:szCs w:val="20"/>
                <w:lang w:eastAsia="en-AU"/>
              </w:rPr>
              <w:t>24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7</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4</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16</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7.6%</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FD07E5">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25</w:t>
            </w:r>
            <w:r w:rsidRPr="008714A4">
              <w:rPr>
                <w:rFonts w:asciiTheme="minorHAnsi" w:hAnsiTheme="minorHAnsi"/>
                <w:sz w:val="20"/>
                <w:szCs w:val="20"/>
              </w:rPr>
              <w:t>–</w:t>
            </w:r>
            <w:r w:rsidRPr="008714A4">
              <w:rPr>
                <w:rFonts w:asciiTheme="minorHAnsi" w:eastAsia="Times New Roman" w:hAnsiTheme="minorHAnsi" w:cs="Times New Roman"/>
                <w:color w:val="000000"/>
                <w:sz w:val="20"/>
                <w:szCs w:val="20"/>
                <w:lang w:eastAsia="en-AU"/>
              </w:rPr>
              <w:t>34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0</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8</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3.8%</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35</w:t>
            </w:r>
            <w:r w:rsidRPr="008714A4">
              <w:rPr>
                <w:rFonts w:asciiTheme="minorHAnsi" w:hAnsiTheme="minorHAnsi"/>
                <w:sz w:val="20"/>
                <w:szCs w:val="20"/>
              </w:rPr>
              <w:t>–</w:t>
            </w:r>
            <w:r w:rsidRPr="008714A4">
              <w:rPr>
                <w:rFonts w:asciiTheme="minorHAnsi" w:eastAsia="Times New Roman" w:hAnsiTheme="minorHAnsi" w:cs="Times New Roman"/>
                <w:color w:val="000000"/>
                <w:sz w:val="20"/>
                <w:szCs w:val="20"/>
                <w:lang w:eastAsia="en-AU"/>
              </w:rPr>
              <w:t>44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6</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5</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16</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7.6%</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45</w:t>
            </w:r>
            <w:r w:rsidRPr="008714A4">
              <w:rPr>
                <w:rFonts w:asciiTheme="minorHAnsi" w:hAnsiTheme="minorHAnsi"/>
                <w:sz w:val="20"/>
                <w:szCs w:val="20"/>
              </w:rPr>
              <w:t>–</w:t>
            </w:r>
            <w:r w:rsidRPr="008714A4">
              <w:rPr>
                <w:rFonts w:asciiTheme="minorHAnsi" w:eastAsia="Times New Roman" w:hAnsiTheme="minorHAnsi" w:cs="Times New Roman"/>
                <w:color w:val="000000"/>
                <w:sz w:val="20"/>
                <w:szCs w:val="20"/>
                <w:lang w:eastAsia="en-AU"/>
              </w:rPr>
              <w:t>54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5</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4</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4</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16</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7.6%</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55</w:t>
            </w:r>
            <w:r w:rsidRPr="008714A4">
              <w:rPr>
                <w:rFonts w:asciiTheme="minorHAnsi" w:hAnsiTheme="minorHAnsi"/>
                <w:sz w:val="20"/>
                <w:szCs w:val="20"/>
              </w:rPr>
              <w:t>–</w:t>
            </w:r>
            <w:r w:rsidRPr="008714A4">
              <w:rPr>
                <w:rFonts w:asciiTheme="minorHAnsi" w:eastAsia="Times New Roman" w:hAnsiTheme="minorHAnsi" w:cs="Times New Roman"/>
                <w:color w:val="000000"/>
                <w:sz w:val="20"/>
                <w:szCs w:val="20"/>
                <w:lang w:eastAsia="en-AU"/>
              </w:rPr>
              <w:t>64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6</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16</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5</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10</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37</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17.6%</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65</w:t>
            </w:r>
            <w:r w:rsidRPr="008714A4">
              <w:rPr>
                <w:rFonts w:asciiTheme="minorHAnsi" w:hAnsiTheme="minorHAnsi"/>
                <w:sz w:val="20"/>
                <w:szCs w:val="20"/>
              </w:rPr>
              <w:t>–</w:t>
            </w:r>
            <w:r w:rsidRPr="008714A4">
              <w:rPr>
                <w:rFonts w:asciiTheme="minorHAnsi" w:eastAsia="Times New Roman" w:hAnsiTheme="minorHAnsi" w:cs="Times New Roman"/>
                <w:color w:val="000000"/>
                <w:sz w:val="20"/>
                <w:szCs w:val="20"/>
                <w:lang w:eastAsia="en-AU"/>
              </w:rPr>
              <w:t>74 years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9</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16</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8</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8</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41</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19.5%</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39701B"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75 years or older</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14</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14</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12</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18</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58</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27.6%</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Not stated</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3</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0</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0</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sz w:val="20"/>
                <w:szCs w:val="20"/>
                <w:lang w:eastAsia="en-AU"/>
              </w:rPr>
            </w:pPr>
            <w:r w:rsidRPr="008714A4">
              <w:rPr>
                <w:rFonts w:asciiTheme="minorHAnsi" w:eastAsia="Times New Roman" w:hAnsiTheme="minorHAnsi" w:cs="Times New Roman"/>
                <w:sz w:val="20"/>
                <w:szCs w:val="20"/>
                <w:lang w:eastAsia="en-AU"/>
              </w:rPr>
              <w:t>5</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color w:val="000000"/>
                <w:sz w:val="20"/>
                <w:szCs w:val="20"/>
                <w:lang w:eastAsia="en-AU"/>
              </w:rPr>
            </w:pPr>
            <w:r w:rsidRPr="008714A4">
              <w:rPr>
                <w:rFonts w:asciiTheme="minorHAnsi" w:eastAsia="Times New Roman" w:hAnsiTheme="minorHAnsi" w:cs="Times New Roman"/>
                <w:color w:val="000000"/>
                <w:sz w:val="20"/>
                <w:szCs w:val="20"/>
                <w:lang w:eastAsia="en-AU"/>
              </w:rPr>
              <w:t>2.4%</w:t>
            </w:r>
          </w:p>
        </w:tc>
      </w:tr>
      <w:tr w:rsidR="00B5301C" w:rsidRPr="008714A4" w:rsidTr="00B5301C">
        <w:trPr>
          <w:trHeight w:val="300"/>
        </w:trPr>
        <w:tc>
          <w:tcPr>
            <w:tcW w:w="2372"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rPr>
                <w:rFonts w:asciiTheme="minorHAnsi" w:eastAsia="Times New Roman" w:hAnsiTheme="minorHAnsi" w:cs="Times New Roman"/>
                <w:b/>
                <w:bCs/>
                <w:color w:val="000000"/>
                <w:sz w:val="20"/>
                <w:szCs w:val="20"/>
                <w:lang w:eastAsia="en-AU"/>
              </w:rPr>
            </w:pPr>
            <w:r w:rsidRPr="008714A4">
              <w:rPr>
                <w:rFonts w:asciiTheme="minorHAnsi" w:eastAsia="Times New Roman" w:hAnsiTheme="minorHAnsi" w:cs="Times New Roman"/>
                <w:b/>
                <w:bCs/>
                <w:color w:val="000000"/>
                <w:sz w:val="20"/>
                <w:szCs w:val="20"/>
                <w:lang w:eastAsia="en-AU"/>
              </w:rPr>
              <w:t>All reports</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b/>
                <w:bCs/>
                <w:color w:val="000000"/>
                <w:sz w:val="20"/>
                <w:szCs w:val="20"/>
                <w:lang w:eastAsia="en-AU"/>
              </w:rPr>
            </w:pPr>
            <w:r w:rsidRPr="008714A4">
              <w:rPr>
                <w:rFonts w:asciiTheme="minorHAnsi" w:eastAsia="Times New Roman" w:hAnsiTheme="minorHAnsi" w:cs="Times New Roman"/>
                <w:b/>
                <w:bCs/>
                <w:color w:val="000000"/>
                <w:sz w:val="20"/>
                <w:szCs w:val="20"/>
                <w:lang w:eastAsia="en-AU"/>
              </w:rPr>
              <w:t>48</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b/>
                <w:bCs/>
                <w:color w:val="000000"/>
                <w:sz w:val="20"/>
                <w:szCs w:val="20"/>
                <w:lang w:eastAsia="en-AU"/>
              </w:rPr>
            </w:pPr>
            <w:r w:rsidRPr="008714A4">
              <w:rPr>
                <w:rFonts w:asciiTheme="minorHAnsi" w:eastAsia="Times New Roman" w:hAnsiTheme="minorHAnsi" w:cs="Times New Roman"/>
                <w:b/>
                <w:bCs/>
                <w:color w:val="000000"/>
                <w:sz w:val="20"/>
                <w:szCs w:val="20"/>
                <w:lang w:eastAsia="en-AU"/>
              </w:rPr>
              <w:t>64</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b/>
                <w:bCs/>
                <w:color w:val="000000"/>
                <w:sz w:val="20"/>
                <w:szCs w:val="20"/>
                <w:lang w:eastAsia="en-AU"/>
              </w:rPr>
            </w:pPr>
            <w:r w:rsidRPr="008714A4">
              <w:rPr>
                <w:rFonts w:asciiTheme="minorHAnsi" w:eastAsia="Times New Roman" w:hAnsiTheme="minorHAnsi" w:cs="Times New Roman"/>
                <w:b/>
                <w:bCs/>
                <w:color w:val="000000"/>
                <w:sz w:val="20"/>
                <w:szCs w:val="20"/>
                <w:lang w:eastAsia="en-AU"/>
              </w:rPr>
              <w:t>44</w:t>
            </w:r>
          </w:p>
        </w:tc>
        <w:tc>
          <w:tcPr>
            <w:tcW w:w="1107"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b/>
                <w:bCs/>
                <w:color w:val="000000"/>
                <w:sz w:val="20"/>
                <w:szCs w:val="20"/>
                <w:lang w:eastAsia="en-AU"/>
              </w:rPr>
            </w:pPr>
            <w:r w:rsidRPr="008714A4">
              <w:rPr>
                <w:rFonts w:asciiTheme="minorHAnsi" w:eastAsia="Times New Roman" w:hAnsiTheme="minorHAnsi" w:cs="Times New Roman"/>
                <w:b/>
                <w:bCs/>
                <w:color w:val="000000"/>
                <w:sz w:val="20"/>
                <w:szCs w:val="20"/>
                <w:lang w:eastAsia="en-AU"/>
              </w:rPr>
              <w:t>54</w:t>
            </w:r>
          </w:p>
        </w:tc>
        <w:tc>
          <w:tcPr>
            <w:tcW w:w="950" w:type="dxa"/>
            <w:tcBorders>
              <w:top w:val="nil"/>
              <w:left w:val="nil"/>
              <w:bottom w:val="single" w:sz="4" w:space="0" w:color="000000"/>
              <w:right w:val="nil"/>
            </w:tcBorders>
            <w:shd w:val="clear" w:color="auto" w:fill="auto"/>
            <w:vAlign w:val="bottom"/>
            <w:hideMark/>
          </w:tcPr>
          <w:p w:rsidR="00B5301C" w:rsidRPr="008714A4" w:rsidRDefault="00B5301C" w:rsidP="00B5301C">
            <w:pPr>
              <w:spacing w:after="0"/>
              <w:jc w:val="right"/>
              <w:rPr>
                <w:rFonts w:asciiTheme="minorHAnsi" w:eastAsia="Times New Roman" w:hAnsiTheme="minorHAnsi" w:cs="Times New Roman"/>
                <w:b/>
                <w:bCs/>
                <w:sz w:val="20"/>
                <w:szCs w:val="20"/>
                <w:lang w:eastAsia="en-AU"/>
              </w:rPr>
            </w:pPr>
            <w:r w:rsidRPr="008714A4">
              <w:rPr>
                <w:rFonts w:asciiTheme="minorHAnsi" w:eastAsia="Times New Roman" w:hAnsiTheme="minorHAnsi" w:cs="Times New Roman"/>
                <w:b/>
                <w:bCs/>
                <w:sz w:val="20"/>
                <w:szCs w:val="20"/>
                <w:lang w:eastAsia="en-AU"/>
              </w:rPr>
              <w:t>210</w:t>
            </w:r>
          </w:p>
        </w:tc>
        <w:tc>
          <w:tcPr>
            <w:tcW w:w="1150" w:type="dxa"/>
            <w:tcBorders>
              <w:top w:val="nil"/>
              <w:left w:val="nil"/>
              <w:bottom w:val="single" w:sz="4" w:space="0" w:color="000000"/>
              <w:right w:val="nil"/>
            </w:tcBorders>
            <w:shd w:val="clear" w:color="auto" w:fill="auto"/>
            <w:noWrap/>
            <w:vAlign w:val="bottom"/>
            <w:hideMark/>
          </w:tcPr>
          <w:p w:rsidR="00B5301C" w:rsidRPr="008714A4" w:rsidRDefault="00B5301C" w:rsidP="00B5301C">
            <w:pPr>
              <w:spacing w:after="0"/>
              <w:jc w:val="right"/>
              <w:rPr>
                <w:rFonts w:asciiTheme="minorHAnsi" w:eastAsia="Times New Roman" w:hAnsiTheme="minorHAnsi" w:cs="Times New Roman"/>
                <w:b/>
                <w:bCs/>
                <w:color w:val="000000"/>
                <w:sz w:val="20"/>
                <w:szCs w:val="20"/>
                <w:lang w:eastAsia="en-AU"/>
              </w:rPr>
            </w:pPr>
            <w:r w:rsidRPr="008714A4">
              <w:rPr>
                <w:rFonts w:asciiTheme="minorHAnsi" w:eastAsia="Times New Roman" w:hAnsiTheme="minorHAnsi" w:cs="Times New Roman"/>
                <w:b/>
                <w:bCs/>
                <w:color w:val="000000"/>
                <w:sz w:val="20"/>
                <w:szCs w:val="20"/>
                <w:lang w:eastAsia="en-AU"/>
              </w:rPr>
              <w:t>100.0%</w:t>
            </w:r>
          </w:p>
        </w:tc>
      </w:tr>
    </w:tbl>
    <w:p w:rsidR="00B5301C" w:rsidRPr="0017274C" w:rsidRDefault="00B5301C" w:rsidP="00B5301C">
      <w:pPr>
        <w:spacing w:before="40" w:after="40" w:line="180" w:lineRule="atLeast"/>
        <w:rPr>
          <w:sz w:val="18"/>
          <w:szCs w:val="18"/>
        </w:rPr>
      </w:pPr>
      <w:r w:rsidRPr="0017274C">
        <w:rPr>
          <w:sz w:val="18"/>
          <w:szCs w:val="18"/>
        </w:rPr>
        <w:t>Notes</w:t>
      </w:r>
    </w:p>
    <w:p w:rsidR="0039701B" w:rsidRPr="0039701B" w:rsidRDefault="0039701B" w:rsidP="0096249F">
      <w:pPr>
        <w:pStyle w:val="ListParagraph"/>
        <w:numPr>
          <w:ilvl w:val="0"/>
          <w:numId w:val="52"/>
        </w:numPr>
        <w:spacing w:before="40" w:after="40" w:line="180" w:lineRule="atLeast"/>
        <w:ind w:left="426" w:hanging="426"/>
        <w:rPr>
          <w:sz w:val="18"/>
          <w:szCs w:val="18"/>
        </w:rPr>
      </w:pPr>
      <w:r w:rsidRPr="0039701B">
        <w:rPr>
          <w:sz w:val="18"/>
          <w:szCs w:val="18"/>
        </w:rPr>
        <w:t xml:space="preserve">NSW did not report detailed data (such as blood products, outcome severity and </w:t>
      </w:r>
      <w:proofErr w:type="spellStart"/>
      <w:r w:rsidRPr="0039701B">
        <w:rPr>
          <w:sz w:val="18"/>
          <w:szCs w:val="18"/>
        </w:rPr>
        <w:t>imputability</w:t>
      </w:r>
      <w:proofErr w:type="spellEnd"/>
      <w:r w:rsidRPr="0039701B">
        <w:rPr>
          <w:sz w:val="18"/>
          <w:szCs w:val="18"/>
        </w:rPr>
        <w:t xml:space="preserve"> score) for 2010–11</w:t>
      </w:r>
    </w:p>
    <w:p w:rsidR="0039701B" w:rsidRPr="0039701B" w:rsidRDefault="0039701B" w:rsidP="0096249F">
      <w:pPr>
        <w:pStyle w:val="ListParagraph"/>
        <w:numPr>
          <w:ilvl w:val="0"/>
          <w:numId w:val="52"/>
        </w:numPr>
        <w:spacing w:before="40" w:after="40" w:line="180" w:lineRule="atLeast"/>
        <w:ind w:left="426" w:hanging="426"/>
        <w:rPr>
          <w:sz w:val="18"/>
          <w:szCs w:val="18"/>
        </w:rPr>
      </w:pPr>
      <w:r w:rsidRPr="0039701B">
        <w:rPr>
          <w:sz w:val="18"/>
          <w:szCs w:val="18"/>
        </w:rPr>
        <w:t xml:space="preserve">ACT reported zero adverse events for </w:t>
      </w:r>
      <w:r w:rsidR="00C01B95" w:rsidRPr="00E4119C">
        <w:rPr>
          <w:sz w:val="18"/>
          <w:szCs w:val="18"/>
        </w:rPr>
        <w:t>2010-11</w:t>
      </w:r>
      <w:r w:rsidR="00C01B95">
        <w:rPr>
          <w:sz w:val="18"/>
          <w:szCs w:val="18"/>
        </w:rPr>
        <w:t xml:space="preserve"> and </w:t>
      </w:r>
      <w:r w:rsidR="00C01B95" w:rsidRPr="00E4119C">
        <w:rPr>
          <w:sz w:val="18"/>
          <w:szCs w:val="18"/>
        </w:rPr>
        <w:t>2013–14</w:t>
      </w:r>
    </w:p>
    <w:p w:rsidR="0039701B" w:rsidRPr="0039701B" w:rsidRDefault="0039701B" w:rsidP="0096249F">
      <w:pPr>
        <w:pStyle w:val="ListParagraph"/>
        <w:numPr>
          <w:ilvl w:val="0"/>
          <w:numId w:val="52"/>
        </w:numPr>
        <w:spacing w:before="40" w:after="40" w:line="180" w:lineRule="atLeast"/>
        <w:ind w:left="426" w:hanging="426"/>
        <w:rPr>
          <w:sz w:val="18"/>
          <w:szCs w:val="18"/>
        </w:rPr>
      </w:pPr>
      <w:r w:rsidRPr="0039701B">
        <w:rPr>
          <w:sz w:val="18"/>
          <w:szCs w:val="18"/>
        </w:rPr>
        <w:t>QLD did not contribute data for 2012–13</w:t>
      </w:r>
    </w:p>
    <w:p w:rsidR="0039701B" w:rsidRPr="0039701B" w:rsidRDefault="0039701B" w:rsidP="0096249F">
      <w:pPr>
        <w:pStyle w:val="ListParagraph"/>
        <w:numPr>
          <w:ilvl w:val="0"/>
          <w:numId w:val="52"/>
        </w:numPr>
        <w:spacing w:before="40" w:after="40" w:line="180" w:lineRule="atLeast"/>
        <w:ind w:left="426" w:hanging="426"/>
        <w:rPr>
          <w:sz w:val="18"/>
          <w:szCs w:val="18"/>
        </w:rPr>
      </w:pPr>
      <w:r w:rsidRPr="0039701B">
        <w:rPr>
          <w:sz w:val="18"/>
          <w:szCs w:val="18"/>
        </w:rPr>
        <w:t>WA did not contribute data</w:t>
      </w:r>
    </w:p>
    <w:p w:rsidR="00374BFB" w:rsidRDefault="00374BFB">
      <w:pPr>
        <w:spacing w:line="276" w:lineRule="auto"/>
        <w:rPr>
          <w:rFonts w:ascii="Arial" w:hAnsi="Arial" w:cs="Arial"/>
          <w:sz w:val="36"/>
          <w:szCs w:val="36"/>
          <w:lang w:eastAsia="en-AU"/>
        </w:rPr>
      </w:pPr>
      <w:bookmarkStart w:id="63" w:name="_Toc459366165"/>
      <w:r>
        <w:rPr>
          <w:lang w:eastAsia="en-AU"/>
        </w:rPr>
        <w:br w:type="page"/>
      </w:r>
    </w:p>
    <w:p w:rsidR="00531FA0" w:rsidRPr="00452D74" w:rsidRDefault="00531FA0" w:rsidP="00F65BFE">
      <w:pPr>
        <w:pStyle w:val="Heading2"/>
        <w:rPr>
          <w:lang w:eastAsia="en-AU"/>
        </w:rPr>
      </w:pPr>
      <w:r w:rsidRPr="00452D74">
        <w:rPr>
          <w:lang w:eastAsia="en-AU"/>
        </w:rPr>
        <w:lastRenderedPageBreak/>
        <w:t>Data quality</w:t>
      </w:r>
      <w:r w:rsidR="00D50613">
        <w:rPr>
          <w:lang w:eastAsia="en-AU"/>
        </w:rPr>
        <w:t xml:space="preserve"> for 2013-14</w:t>
      </w:r>
      <w:bookmarkEnd w:id="63"/>
    </w:p>
    <w:p w:rsidR="00374BFB" w:rsidRDefault="001C43AE" w:rsidP="00531FA0">
      <w:r>
        <w:rPr>
          <w:rFonts w:asciiTheme="minorHAnsi" w:hAnsiTheme="minorHAnsi" w:cstheme="minorHAnsi"/>
        </w:rPr>
        <w:t>R</w:t>
      </w:r>
      <w:r w:rsidR="00531FA0">
        <w:rPr>
          <w:rFonts w:asciiTheme="minorHAnsi" w:hAnsiTheme="minorHAnsi" w:cstheme="minorHAnsi"/>
        </w:rPr>
        <w:t xml:space="preserve">eporting of </w:t>
      </w:r>
      <w:proofErr w:type="spellStart"/>
      <w:r w:rsidR="00531FA0">
        <w:rPr>
          <w:rFonts w:asciiTheme="minorHAnsi" w:hAnsiTheme="minorHAnsi" w:cstheme="minorHAnsi"/>
        </w:rPr>
        <w:t>haemovigilance</w:t>
      </w:r>
      <w:proofErr w:type="spellEnd"/>
      <w:r w:rsidR="00531FA0">
        <w:rPr>
          <w:rFonts w:asciiTheme="minorHAnsi" w:hAnsiTheme="minorHAnsi" w:cstheme="minorHAnsi"/>
        </w:rPr>
        <w:t xml:space="preserve"> data to the </w:t>
      </w:r>
      <w:r w:rsidR="00773683">
        <w:rPr>
          <w:rFonts w:asciiTheme="minorHAnsi" w:hAnsiTheme="minorHAnsi" w:cstheme="minorHAnsi"/>
        </w:rPr>
        <w:t>n</w:t>
      </w:r>
      <w:r w:rsidR="00531FA0">
        <w:rPr>
          <w:rFonts w:asciiTheme="minorHAnsi" w:hAnsiTheme="minorHAnsi" w:cstheme="minorHAnsi"/>
        </w:rPr>
        <w:t xml:space="preserve">ational </w:t>
      </w:r>
      <w:proofErr w:type="spellStart"/>
      <w:r w:rsidR="00773683">
        <w:rPr>
          <w:rFonts w:asciiTheme="minorHAnsi" w:hAnsiTheme="minorHAnsi" w:cstheme="minorHAnsi"/>
        </w:rPr>
        <w:t>h</w:t>
      </w:r>
      <w:r w:rsidR="00531FA0">
        <w:rPr>
          <w:rFonts w:asciiTheme="minorHAnsi" w:hAnsiTheme="minorHAnsi" w:cstheme="minorHAnsi"/>
        </w:rPr>
        <w:t>aemovigilance</w:t>
      </w:r>
      <w:proofErr w:type="spellEnd"/>
      <w:r w:rsidR="00531FA0">
        <w:rPr>
          <w:rFonts w:asciiTheme="minorHAnsi" w:hAnsiTheme="minorHAnsi" w:cstheme="minorHAnsi"/>
        </w:rPr>
        <w:t xml:space="preserve"> </w:t>
      </w:r>
      <w:r w:rsidR="00773683">
        <w:rPr>
          <w:rFonts w:asciiTheme="minorHAnsi" w:hAnsiTheme="minorHAnsi" w:cstheme="minorHAnsi"/>
        </w:rPr>
        <w:t>p</w:t>
      </w:r>
      <w:r w:rsidR="00531FA0">
        <w:rPr>
          <w:rFonts w:asciiTheme="minorHAnsi" w:hAnsiTheme="minorHAnsi" w:cstheme="minorHAnsi"/>
        </w:rPr>
        <w:t xml:space="preserve">rogram is voluntary in Australia. </w:t>
      </w:r>
      <w:r w:rsidR="00531FA0" w:rsidRPr="008C503A">
        <w:rPr>
          <w:rFonts w:asciiTheme="minorHAnsi" w:hAnsiTheme="minorHAnsi" w:cstheme="minorHAnsi"/>
        </w:rPr>
        <w:t xml:space="preserve">States and territories are primarily responsible for the quality of adverse event data provided to the </w:t>
      </w:r>
      <w:r w:rsidR="00773683">
        <w:rPr>
          <w:rFonts w:asciiTheme="minorHAnsi" w:hAnsiTheme="minorHAnsi" w:cstheme="minorHAnsi"/>
        </w:rPr>
        <w:t>n</w:t>
      </w:r>
      <w:r w:rsidR="00531FA0" w:rsidRPr="008C503A">
        <w:rPr>
          <w:rFonts w:asciiTheme="minorHAnsi" w:hAnsiTheme="minorHAnsi" w:cstheme="minorHAnsi"/>
        </w:rPr>
        <w:t xml:space="preserve">ational </w:t>
      </w:r>
      <w:proofErr w:type="spellStart"/>
      <w:r w:rsidR="00773683">
        <w:rPr>
          <w:rFonts w:asciiTheme="minorHAnsi" w:hAnsiTheme="minorHAnsi" w:cstheme="minorHAnsi"/>
        </w:rPr>
        <w:t>h</w:t>
      </w:r>
      <w:r w:rsidR="00531FA0" w:rsidRPr="008C503A">
        <w:rPr>
          <w:rFonts w:asciiTheme="minorHAnsi" w:hAnsiTheme="minorHAnsi" w:cstheme="minorHAnsi"/>
        </w:rPr>
        <w:t>aemovigilance</w:t>
      </w:r>
      <w:proofErr w:type="spellEnd"/>
      <w:r w:rsidR="00531FA0" w:rsidRPr="008C503A">
        <w:rPr>
          <w:rFonts w:asciiTheme="minorHAnsi" w:hAnsiTheme="minorHAnsi" w:cstheme="minorHAnsi"/>
        </w:rPr>
        <w:t xml:space="preserve"> </w:t>
      </w:r>
      <w:r w:rsidR="00773683">
        <w:rPr>
          <w:rFonts w:asciiTheme="minorHAnsi" w:hAnsiTheme="minorHAnsi" w:cstheme="minorHAnsi"/>
        </w:rPr>
        <w:t>p</w:t>
      </w:r>
      <w:r w:rsidR="00531FA0" w:rsidRPr="008C503A">
        <w:rPr>
          <w:rFonts w:asciiTheme="minorHAnsi" w:hAnsiTheme="minorHAnsi" w:cstheme="minorHAnsi"/>
        </w:rPr>
        <w:t>rogram</w:t>
      </w:r>
      <w:r w:rsidR="00D73FC3">
        <w:rPr>
          <w:rFonts w:asciiTheme="minorHAnsi" w:hAnsiTheme="minorHAnsi" w:cstheme="minorHAnsi"/>
        </w:rPr>
        <w:t xml:space="preserve"> according to </w:t>
      </w:r>
      <w:r w:rsidR="00C84FFD">
        <w:rPr>
          <w:rFonts w:asciiTheme="minorHAnsi" w:hAnsiTheme="minorHAnsi" w:cstheme="minorHAnsi"/>
        </w:rPr>
        <w:t xml:space="preserve">each jurisdiction’s </w:t>
      </w:r>
      <w:r w:rsidR="00167723">
        <w:rPr>
          <w:rFonts w:asciiTheme="minorHAnsi" w:hAnsiTheme="minorHAnsi" w:cstheme="minorHAnsi"/>
        </w:rPr>
        <w:t xml:space="preserve">review and </w:t>
      </w:r>
      <w:r w:rsidR="00D73FC3">
        <w:rPr>
          <w:rFonts w:asciiTheme="minorHAnsi" w:hAnsiTheme="minorHAnsi" w:cstheme="minorHAnsi"/>
        </w:rPr>
        <w:t>reporting requirements</w:t>
      </w:r>
      <w:r w:rsidR="00531FA0" w:rsidRPr="008C503A">
        <w:rPr>
          <w:rFonts w:asciiTheme="minorHAnsi" w:hAnsiTheme="minorHAnsi" w:cstheme="minorHAnsi"/>
        </w:rPr>
        <w:t>.</w:t>
      </w:r>
    </w:p>
    <w:p w:rsidR="00531FA0" w:rsidRDefault="00531FA0" w:rsidP="00531FA0">
      <w:pPr>
        <w:rPr>
          <w:rFonts w:asciiTheme="minorHAnsi" w:hAnsiTheme="minorHAnsi" w:cstheme="minorHAnsi"/>
        </w:rPr>
      </w:pPr>
      <w:r w:rsidRPr="008C503A">
        <w:rPr>
          <w:rFonts w:asciiTheme="minorHAnsi" w:hAnsiTheme="minorHAnsi" w:cstheme="minorHAnsi"/>
        </w:rPr>
        <w:t>Transfusion</w:t>
      </w:r>
      <w:r w:rsidR="00B81157">
        <w:rPr>
          <w:rFonts w:asciiTheme="minorHAnsi" w:hAnsiTheme="minorHAnsi" w:cstheme="minorHAnsi"/>
        </w:rPr>
        <w:noBreakHyphen/>
      </w:r>
      <w:r w:rsidRPr="008C503A">
        <w:rPr>
          <w:rFonts w:asciiTheme="minorHAnsi" w:hAnsiTheme="minorHAnsi" w:cstheme="minorHAnsi"/>
        </w:rPr>
        <w:t xml:space="preserve">related adverse events should be validated at the local level. Standards for validation are developed by local </w:t>
      </w:r>
      <w:r w:rsidR="00167723">
        <w:rPr>
          <w:rFonts w:asciiTheme="minorHAnsi" w:hAnsiTheme="minorHAnsi" w:cstheme="minorHAnsi"/>
        </w:rPr>
        <w:t xml:space="preserve">health services </w:t>
      </w:r>
      <w:r w:rsidRPr="008C503A">
        <w:rPr>
          <w:rFonts w:asciiTheme="minorHAnsi" w:hAnsiTheme="minorHAnsi" w:cstheme="minorHAnsi"/>
        </w:rPr>
        <w:t xml:space="preserve">in conjunction with health departments. Reports of serious adverse events may go through a secondary validation process within state and territory </w:t>
      </w:r>
      <w:proofErr w:type="spellStart"/>
      <w:r w:rsidRPr="008C503A">
        <w:rPr>
          <w:rFonts w:asciiTheme="minorHAnsi" w:hAnsiTheme="minorHAnsi" w:cstheme="minorHAnsi"/>
        </w:rPr>
        <w:t>haemovigilance</w:t>
      </w:r>
      <w:proofErr w:type="spellEnd"/>
      <w:r w:rsidRPr="008C503A">
        <w:rPr>
          <w:rFonts w:asciiTheme="minorHAnsi" w:hAnsiTheme="minorHAnsi" w:cstheme="minorHAnsi"/>
        </w:rPr>
        <w:t xml:space="preserve"> programs and health department quality units to ensure data accuracy and completeness. State and territory health departments aggregate and de</w:t>
      </w:r>
      <w:r w:rsidRPr="008C503A">
        <w:rPr>
          <w:rFonts w:asciiTheme="minorHAnsi" w:hAnsiTheme="minorHAnsi" w:cstheme="minorHAnsi"/>
        </w:rPr>
        <w:noBreakHyphen/>
        <w:t>identify data</w:t>
      </w:r>
      <w:r w:rsidR="00704467">
        <w:rPr>
          <w:rFonts w:asciiTheme="minorHAnsi" w:hAnsiTheme="minorHAnsi" w:cstheme="minorHAnsi"/>
        </w:rPr>
        <w:t>,</w:t>
      </w:r>
      <w:r w:rsidRPr="008C503A">
        <w:rPr>
          <w:rFonts w:asciiTheme="minorHAnsi" w:hAnsiTheme="minorHAnsi" w:cstheme="minorHAnsi"/>
        </w:rPr>
        <w:t xml:space="preserve"> and send periodic reports to the NBA. The NBA checks the completeness of the reported values</w:t>
      </w:r>
      <w:r w:rsidR="00E63397">
        <w:rPr>
          <w:rFonts w:asciiTheme="minorHAnsi" w:hAnsiTheme="minorHAnsi" w:cstheme="minorHAnsi"/>
        </w:rPr>
        <w:t xml:space="preserve"> against the national definitions</w:t>
      </w:r>
      <w:r w:rsidRPr="008C503A">
        <w:rPr>
          <w:rFonts w:asciiTheme="minorHAnsi" w:hAnsiTheme="minorHAnsi" w:cstheme="minorHAnsi"/>
        </w:rPr>
        <w:t>. Potential errors are queried with states and territories. Corrections and resubmissions may be made in response to the data queries. The NBA does not adjust data to account for possible missing or incorrect values.</w:t>
      </w:r>
    </w:p>
    <w:p w:rsidR="00D73FC3" w:rsidRPr="008C503A" w:rsidRDefault="00D73FC3" w:rsidP="00531FA0">
      <w:pPr>
        <w:rPr>
          <w:rFonts w:asciiTheme="minorHAnsi" w:hAnsiTheme="minorHAnsi" w:cstheme="minorHAnsi"/>
        </w:rPr>
      </w:pPr>
      <w:r>
        <w:rPr>
          <w:rFonts w:asciiTheme="minorHAnsi" w:hAnsiTheme="minorHAnsi" w:cstheme="minorHAnsi"/>
        </w:rPr>
        <w:t xml:space="preserve">There are four major issues in relation to </w:t>
      </w:r>
      <w:r w:rsidRPr="00D73FC3">
        <w:rPr>
          <w:rFonts w:asciiTheme="minorHAnsi" w:hAnsiTheme="minorHAnsi" w:cstheme="minorHAnsi"/>
        </w:rPr>
        <w:t xml:space="preserve">national </w:t>
      </w:r>
      <w:proofErr w:type="spellStart"/>
      <w:r w:rsidRPr="00D73FC3">
        <w:rPr>
          <w:rFonts w:asciiTheme="minorHAnsi" w:hAnsiTheme="minorHAnsi" w:cstheme="minorHAnsi"/>
        </w:rPr>
        <w:t>haemovigilance</w:t>
      </w:r>
      <w:proofErr w:type="spellEnd"/>
      <w:r w:rsidRPr="00D73FC3">
        <w:rPr>
          <w:rFonts w:asciiTheme="minorHAnsi" w:hAnsiTheme="minorHAnsi" w:cstheme="minorHAnsi"/>
        </w:rPr>
        <w:t xml:space="preserve"> data collection, validation and reporting</w:t>
      </w:r>
      <w:r>
        <w:rPr>
          <w:rFonts w:asciiTheme="minorHAnsi" w:hAnsiTheme="minorHAnsi" w:cstheme="minorHAnsi"/>
        </w:rPr>
        <w:t>.</w:t>
      </w:r>
    </w:p>
    <w:p w:rsidR="00287631" w:rsidRDefault="00287631" w:rsidP="00531FA0">
      <w:pPr>
        <w:numPr>
          <w:ilvl w:val="0"/>
          <w:numId w:val="2"/>
        </w:numPr>
        <w:contextualSpacing/>
        <w:rPr>
          <w:rFonts w:asciiTheme="minorHAnsi" w:hAnsiTheme="minorHAnsi" w:cstheme="minorHAnsi"/>
        </w:rPr>
      </w:pPr>
      <w:r>
        <w:rPr>
          <w:rFonts w:asciiTheme="minorHAnsi" w:hAnsiTheme="minorHAnsi" w:cstheme="minorHAnsi"/>
        </w:rPr>
        <w:t>Data quality and</w:t>
      </w:r>
      <w:r w:rsidR="00FD07E5">
        <w:rPr>
          <w:rFonts w:asciiTheme="minorHAnsi" w:hAnsiTheme="minorHAnsi" w:cstheme="minorHAnsi"/>
        </w:rPr>
        <w:t xml:space="preserve"> </w:t>
      </w:r>
      <w:r>
        <w:rPr>
          <w:rFonts w:asciiTheme="minorHAnsi" w:hAnsiTheme="minorHAnsi" w:cstheme="minorHAnsi"/>
        </w:rPr>
        <w:t>completeness</w:t>
      </w:r>
    </w:p>
    <w:p w:rsidR="00531FA0" w:rsidRPr="008C503A" w:rsidRDefault="00723DCC" w:rsidP="00287631">
      <w:pPr>
        <w:ind w:left="360"/>
        <w:contextualSpacing/>
        <w:rPr>
          <w:rFonts w:asciiTheme="minorHAnsi" w:hAnsiTheme="minorHAnsi" w:cstheme="minorHAnsi"/>
        </w:rPr>
      </w:pPr>
      <w:r w:rsidRPr="00723DCC">
        <w:rPr>
          <w:rFonts w:asciiTheme="minorHAnsi" w:hAnsiTheme="minorHAnsi" w:cstheme="minorHAnsi"/>
        </w:rPr>
        <w:t xml:space="preserve">The existing </w:t>
      </w:r>
      <w:proofErr w:type="spellStart"/>
      <w:r w:rsidRPr="00723DCC">
        <w:rPr>
          <w:rFonts w:asciiTheme="minorHAnsi" w:hAnsiTheme="minorHAnsi" w:cstheme="minorHAnsi"/>
        </w:rPr>
        <w:t>haemovigilance</w:t>
      </w:r>
      <w:proofErr w:type="spellEnd"/>
      <w:r w:rsidRPr="00723DCC">
        <w:rPr>
          <w:rFonts w:asciiTheme="minorHAnsi" w:hAnsiTheme="minorHAnsi" w:cstheme="minorHAnsi"/>
        </w:rPr>
        <w:t xml:space="preserve"> and incident systems are organised at state level. The participation in these systems is voluntary</w:t>
      </w:r>
      <w:r>
        <w:rPr>
          <w:rFonts w:asciiTheme="minorHAnsi" w:hAnsiTheme="minorHAnsi" w:cstheme="minorHAnsi"/>
        </w:rPr>
        <w:t xml:space="preserve"> for most states and territories </w:t>
      </w:r>
      <w:r w:rsidRPr="00723DCC">
        <w:rPr>
          <w:rFonts w:asciiTheme="minorHAnsi" w:hAnsiTheme="minorHAnsi" w:cstheme="minorHAnsi"/>
        </w:rPr>
        <w:t>and each jurisdiction has different requirements for adverse event reporting and review.  This has led to variation in the quality</w:t>
      </w:r>
      <w:r>
        <w:rPr>
          <w:rFonts w:asciiTheme="minorHAnsi" w:hAnsiTheme="minorHAnsi" w:cstheme="minorHAnsi"/>
        </w:rPr>
        <w:t xml:space="preserve"> </w:t>
      </w:r>
      <w:r w:rsidRPr="00723DCC">
        <w:rPr>
          <w:rFonts w:asciiTheme="minorHAnsi" w:hAnsiTheme="minorHAnsi" w:cstheme="minorHAnsi"/>
        </w:rPr>
        <w:t>and completeness of adve</w:t>
      </w:r>
      <w:r>
        <w:rPr>
          <w:rFonts w:asciiTheme="minorHAnsi" w:hAnsiTheme="minorHAnsi" w:cstheme="minorHAnsi"/>
        </w:rPr>
        <w:t xml:space="preserve">rse event data reported to the national </w:t>
      </w:r>
      <w:proofErr w:type="spellStart"/>
      <w:r>
        <w:rPr>
          <w:rFonts w:asciiTheme="minorHAnsi" w:hAnsiTheme="minorHAnsi" w:cstheme="minorHAnsi"/>
        </w:rPr>
        <w:t>haemovigilance</w:t>
      </w:r>
      <w:proofErr w:type="spellEnd"/>
      <w:r>
        <w:rPr>
          <w:rFonts w:asciiTheme="minorHAnsi" w:hAnsiTheme="minorHAnsi" w:cstheme="minorHAnsi"/>
        </w:rPr>
        <w:t xml:space="preserve"> p</w:t>
      </w:r>
      <w:r w:rsidRPr="00723DCC">
        <w:rPr>
          <w:rFonts w:asciiTheme="minorHAnsi" w:hAnsiTheme="minorHAnsi" w:cstheme="minorHAnsi"/>
        </w:rPr>
        <w:t>rogram</w:t>
      </w:r>
      <w:r w:rsidR="00120782">
        <w:rPr>
          <w:rFonts w:asciiTheme="minorHAnsi" w:hAnsiTheme="minorHAnsi" w:cstheme="minorHAnsi"/>
        </w:rPr>
        <w:t xml:space="preserve"> for this report</w:t>
      </w:r>
      <w:r w:rsidRPr="00723DCC">
        <w:rPr>
          <w:rFonts w:asciiTheme="minorHAnsi" w:hAnsiTheme="minorHAnsi" w:cstheme="minorHAnsi"/>
        </w:rPr>
        <w:t>.</w:t>
      </w:r>
    </w:p>
    <w:p w:rsidR="00D50613" w:rsidRPr="00D50613" w:rsidRDefault="00D50613" w:rsidP="00D50613">
      <w:pPr>
        <w:numPr>
          <w:ilvl w:val="1"/>
          <w:numId w:val="2"/>
        </w:numPr>
        <w:contextualSpacing/>
        <w:rPr>
          <w:rFonts w:asciiTheme="minorHAnsi" w:hAnsiTheme="minorHAnsi" w:cstheme="minorHAnsi"/>
        </w:rPr>
      </w:pPr>
      <w:r w:rsidRPr="00D50613">
        <w:rPr>
          <w:rFonts w:asciiTheme="minorHAnsi" w:hAnsiTheme="minorHAnsi" w:cstheme="minorHAnsi"/>
        </w:rPr>
        <w:t>NSW, VIC, QLD, SA, TAS</w:t>
      </w:r>
      <w:r w:rsidR="005E6A1F">
        <w:rPr>
          <w:rFonts w:asciiTheme="minorHAnsi" w:hAnsiTheme="minorHAnsi" w:cstheme="minorHAnsi"/>
        </w:rPr>
        <w:t>,</w:t>
      </w:r>
      <w:r w:rsidRPr="00D50613">
        <w:rPr>
          <w:rFonts w:asciiTheme="minorHAnsi" w:hAnsiTheme="minorHAnsi" w:cstheme="minorHAnsi"/>
        </w:rPr>
        <w:t xml:space="preserve"> NT</w:t>
      </w:r>
      <w:r w:rsidR="005E6A1F">
        <w:rPr>
          <w:rFonts w:asciiTheme="minorHAnsi" w:hAnsiTheme="minorHAnsi" w:cstheme="minorHAnsi"/>
        </w:rPr>
        <w:t xml:space="preserve"> and ACT</w:t>
      </w:r>
      <w:r w:rsidRPr="00D50613">
        <w:rPr>
          <w:rFonts w:asciiTheme="minorHAnsi" w:hAnsiTheme="minorHAnsi" w:cstheme="minorHAnsi"/>
        </w:rPr>
        <w:t xml:space="preserve"> </w:t>
      </w:r>
      <w:r w:rsidR="005E6A1F">
        <w:rPr>
          <w:rFonts w:asciiTheme="minorHAnsi" w:hAnsiTheme="minorHAnsi" w:cstheme="minorHAnsi"/>
        </w:rPr>
        <w:t>contributed</w:t>
      </w:r>
      <w:r w:rsidR="005E6A1F" w:rsidRPr="00D50613">
        <w:rPr>
          <w:rFonts w:asciiTheme="minorHAnsi" w:hAnsiTheme="minorHAnsi" w:cstheme="minorHAnsi"/>
        </w:rPr>
        <w:t xml:space="preserve"> </w:t>
      </w:r>
      <w:r w:rsidRPr="00D50613">
        <w:rPr>
          <w:rFonts w:asciiTheme="minorHAnsi" w:hAnsiTheme="minorHAnsi" w:cstheme="minorHAnsi"/>
        </w:rPr>
        <w:t>validated data</w:t>
      </w:r>
      <w:r w:rsidR="00E63397">
        <w:rPr>
          <w:rFonts w:asciiTheme="minorHAnsi" w:hAnsiTheme="minorHAnsi" w:cstheme="minorHAnsi"/>
        </w:rPr>
        <w:t xml:space="preserve"> according to the reporting requirements of </w:t>
      </w:r>
      <w:r w:rsidR="00723DCC">
        <w:rPr>
          <w:rFonts w:asciiTheme="minorHAnsi" w:hAnsiTheme="minorHAnsi" w:cstheme="minorHAnsi"/>
        </w:rPr>
        <w:t>these states and territories</w:t>
      </w:r>
      <w:r w:rsidR="001C43AE">
        <w:rPr>
          <w:rFonts w:asciiTheme="minorHAnsi" w:hAnsiTheme="minorHAnsi" w:cstheme="minorHAnsi"/>
        </w:rPr>
        <w:t>.</w:t>
      </w:r>
    </w:p>
    <w:p w:rsidR="00D50613" w:rsidRPr="00D50613" w:rsidRDefault="00D50613" w:rsidP="00D50613">
      <w:pPr>
        <w:numPr>
          <w:ilvl w:val="1"/>
          <w:numId w:val="2"/>
        </w:numPr>
        <w:contextualSpacing/>
        <w:rPr>
          <w:rFonts w:asciiTheme="minorHAnsi" w:hAnsiTheme="minorHAnsi" w:cstheme="minorHAnsi"/>
        </w:rPr>
      </w:pPr>
      <w:r w:rsidRPr="00D50613">
        <w:rPr>
          <w:rFonts w:asciiTheme="minorHAnsi" w:hAnsiTheme="minorHAnsi" w:cstheme="minorHAnsi"/>
        </w:rPr>
        <w:t xml:space="preserve">ACT </w:t>
      </w:r>
      <w:r w:rsidR="005E6A1F">
        <w:rPr>
          <w:rFonts w:asciiTheme="minorHAnsi" w:hAnsiTheme="minorHAnsi" w:cstheme="minorHAnsi"/>
        </w:rPr>
        <w:t xml:space="preserve">reported </w:t>
      </w:r>
      <w:r w:rsidR="001C43AE">
        <w:rPr>
          <w:rFonts w:asciiTheme="minorHAnsi" w:hAnsiTheme="minorHAnsi" w:cstheme="minorHAnsi"/>
        </w:rPr>
        <w:t>zero advers</w:t>
      </w:r>
      <w:r w:rsidRPr="00D50613">
        <w:rPr>
          <w:rFonts w:asciiTheme="minorHAnsi" w:hAnsiTheme="minorHAnsi" w:cstheme="minorHAnsi"/>
        </w:rPr>
        <w:t>e events</w:t>
      </w:r>
      <w:r w:rsidR="001C43AE">
        <w:rPr>
          <w:rFonts w:asciiTheme="minorHAnsi" w:hAnsiTheme="minorHAnsi" w:cstheme="minorHAnsi"/>
        </w:rPr>
        <w:t>.</w:t>
      </w:r>
    </w:p>
    <w:p w:rsidR="00D50613" w:rsidRPr="00D50613" w:rsidRDefault="00D50613" w:rsidP="00D50613">
      <w:pPr>
        <w:numPr>
          <w:ilvl w:val="1"/>
          <w:numId w:val="2"/>
        </w:numPr>
        <w:contextualSpacing/>
        <w:rPr>
          <w:rFonts w:asciiTheme="minorHAnsi" w:hAnsiTheme="minorHAnsi" w:cstheme="minorHAnsi"/>
        </w:rPr>
      </w:pPr>
      <w:r w:rsidRPr="00D50613">
        <w:rPr>
          <w:rFonts w:asciiTheme="minorHAnsi" w:hAnsiTheme="minorHAnsi" w:cstheme="minorHAnsi"/>
        </w:rPr>
        <w:t>WA did not contribute data.</w:t>
      </w:r>
    </w:p>
    <w:p w:rsidR="00D50613" w:rsidRPr="00D50613" w:rsidRDefault="005E6A1F" w:rsidP="00167723">
      <w:pPr>
        <w:numPr>
          <w:ilvl w:val="1"/>
          <w:numId w:val="2"/>
        </w:numPr>
        <w:contextualSpacing/>
        <w:rPr>
          <w:rFonts w:asciiTheme="minorHAnsi" w:hAnsiTheme="minorHAnsi" w:cstheme="minorHAnsi"/>
        </w:rPr>
      </w:pPr>
      <w:r w:rsidRPr="00D50613">
        <w:rPr>
          <w:rFonts w:asciiTheme="minorHAnsi" w:hAnsiTheme="minorHAnsi" w:cstheme="minorHAnsi"/>
        </w:rPr>
        <w:t xml:space="preserve">NSW </w:t>
      </w:r>
      <w:r>
        <w:rPr>
          <w:rFonts w:asciiTheme="minorHAnsi" w:hAnsiTheme="minorHAnsi" w:cstheme="minorHAnsi"/>
        </w:rPr>
        <w:t>did not report s</w:t>
      </w:r>
      <w:r w:rsidR="00D50613" w:rsidRPr="00D50613">
        <w:rPr>
          <w:rFonts w:asciiTheme="minorHAnsi" w:hAnsiTheme="minorHAnsi" w:cstheme="minorHAnsi"/>
        </w:rPr>
        <w:t>ex and facility location data.</w:t>
      </w:r>
    </w:p>
    <w:p w:rsidR="00D50613" w:rsidRPr="00D50613" w:rsidRDefault="005E6A1F" w:rsidP="00167723">
      <w:pPr>
        <w:numPr>
          <w:ilvl w:val="1"/>
          <w:numId w:val="2"/>
        </w:numPr>
        <w:contextualSpacing/>
        <w:rPr>
          <w:rFonts w:asciiTheme="minorHAnsi" w:hAnsiTheme="minorHAnsi" w:cstheme="minorHAnsi"/>
        </w:rPr>
      </w:pPr>
      <w:r>
        <w:rPr>
          <w:rFonts w:asciiTheme="minorHAnsi" w:hAnsiTheme="minorHAnsi" w:cstheme="minorHAnsi"/>
        </w:rPr>
        <w:t>SA did not report t</w:t>
      </w:r>
      <w:r w:rsidR="00D50613" w:rsidRPr="00D50613">
        <w:rPr>
          <w:rFonts w:asciiTheme="minorHAnsi" w:hAnsiTheme="minorHAnsi" w:cstheme="minorHAnsi"/>
        </w:rPr>
        <w:t>ime of transfusion data.</w:t>
      </w:r>
    </w:p>
    <w:p w:rsidR="00531FA0" w:rsidRDefault="005E6A1F" w:rsidP="00167723">
      <w:pPr>
        <w:numPr>
          <w:ilvl w:val="1"/>
          <w:numId w:val="2"/>
        </w:numPr>
        <w:spacing w:after="0"/>
        <w:ind w:left="782" w:hanging="357"/>
        <w:contextualSpacing/>
        <w:rPr>
          <w:rFonts w:asciiTheme="minorHAnsi" w:hAnsiTheme="minorHAnsi" w:cstheme="minorHAnsi"/>
        </w:rPr>
      </w:pPr>
      <w:r w:rsidRPr="00D50613">
        <w:rPr>
          <w:rFonts w:asciiTheme="minorHAnsi" w:hAnsiTheme="minorHAnsi" w:cstheme="minorHAnsi"/>
        </w:rPr>
        <w:t xml:space="preserve">QLD and SA </w:t>
      </w:r>
      <w:r>
        <w:rPr>
          <w:rFonts w:asciiTheme="minorHAnsi" w:hAnsiTheme="minorHAnsi" w:cstheme="minorHAnsi"/>
        </w:rPr>
        <w:t>did not report c</w:t>
      </w:r>
      <w:r w:rsidR="00D50613" w:rsidRPr="00D50613">
        <w:rPr>
          <w:rFonts w:asciiTheme="minorHAnsi" w:hAnsiTheme="minorHAnsi" w:cstheme="minorHAnsi"/>
        </w:rPr>
        <w:t xml:space="preserve">ontributory factors </w:t>
      </w:r>
      <w:r>
        <w:rPr>
          <w:rFonts w:asciiTheme="minorHAnsi" w:hAnsiTheme="minorHAnsi" w:cstheme="minorHAnsi"/>
        </w:rPr>
        <w:t>data for</w:t>
      </w:r>
      <w:r w:rsidR="00D50613" w:rsidRPr="00D50613">
        <w:rPr>
          <w:rFonts w:asciiTheme="minorHAnsi" w:hAnsiTheme="minorHAnsi" w:cstheme="minorHAnsi"/>
        </w:rPr>
        <w:t xml:space="preserve"> most of the adverse events</w:t>
      </w:r>
      <w:r>
        <w:rPr>
          <w:rFonts w:asciiTheme="minorHAnsi" w:hAnsiTheme="minorHAnsi" w:cstheme="minorHAnsi"/>
        </w:rPr>
        <w:t>.</w:t>
      </w:r>
    </w:p>
    <w:p w:rsidR="00F95970" w:rsidRPr="00F95970" w:rsidRDefault="00F95970" w:rsidP="00167723">
      <w:pPr>
        <w:pStyle w:val="ListParagraph"/>
        <w:numPr>
          <w:ilvl w:val="1"/>
          <w:numId w:val="2"/>
        </w:numPr>
        <w:rPr>
          <w:rFonts w:asciiTheme="minorHAnsi" w:hAnsiTheme="minorHAnsi" w:cstheme="minorHAnsi"/>
        </w:rPr>
      </w:pPr>
      <w:r w:rsidRPr="00F95970">
        <w:rPr>
          <w:rFonts w:asciiTheme="minorHAnsi" w:hAnsiTheme="minorHAnsi" w:cstheme="minorHAnsi"/>
        </w:rPr>
        <w:t xml:space="preserve">In line with internationally reported trends, the Australian national </w:t>
      </w:r>
      <w:proofErr w:type="spellStart"/>
      <w:r w:rsidRPr="00F95970">
        <w:rPr>
          <w:rFonts w:asciiTheme="minorHAnsi" w:hAnsiTheme="minorHAnsi" w:cstheme="minorHAnsi"/>
        </w:rPr>
        <w:t>haemovigilance</w:t>
      </w:r>
      <w:proofErr w:type="spellEnd"/>
      <w:r w:rsidRPr="00F95970">
        <w:rPr>
          <w:rFonts w:asciiTheme="minorHAnsi" w:hAnsiTheme="minorHAnsi" w:cstheme="minorHAnsi"/>
        </w:rPr>
        <w:t xml:space="preserve"> dataset suggests that some adverse events, such as TACO, TRALI, and DHTR, are under-reported.</w:t>
      </w:r>
    </w:p>
    <w:p w:rsidR="002A5576" w:rsidRPr="002A5576" w:rsidRDefault="00F95970" w:rsidP="00167723">
      <w:pPr>
        <w:pStyle w:val="ListParagraph"/>
        <w:numPr>
          <w:ilvl w:val="1"/>
          <w:numId w:val="2"/>
        </w:numPr>
        <w:spacing w:after="0"/>
        <w:ind w:left="782" w:hanging="357"/>
        <w:rPr>
          <w:rFonts w:asciiTheme="minorHAnsi" w:hAnsiTheme="minorHAnsi" w:cstheme="minorHAnsi"/>
        </w:rPr>
      </w:pPr>
      <w:r>
        <w:rPr>
          <w:rFonts w:asciiTheme="minorHAnsi" w:hAnsiTheme="minorHAnsi" w:cstheme="minorHAnsi"/>
        </w:rPr>
        <w:t>Limited</w:t>
      </w:r>
      <w:r w:rsidRPr="00F95970">
        <w:rPr>
          <w:rFonts w:asciiTheme="minorHAnsi" w:hAnsiTheme="minorHAnsi" w:cstheme="minorHAnsi"/>
        </w:rPr>
        <w:t xml:space="preserve"> </w:t>
      </w:r>
      <w:r w:rsidR="00737BB3">
        <w:rPr>
          <w:rFonts w:asciiTheme="minorHAnsi" w:hAnsiTheme="minorHAnsi" w:cstheme="minorHAnsi"/>
        </w:rPr>
        <w:t xml:space="preserve">numbers of </w:t>
      </w:r>
      <w:r w:rsidRPr="00F95970">
        <w:rPr>
          <w:rFonts w:asciiTheme="minorHAnsi" w:hAnsiTheme="minorHAnsi" w:cstheme="minorHAnsi"/>
        </w:rPr>
        <w:t xml:space="preserve">private </w:t>
      </w:r>
      <w:r>
        <w:rPr>
          <w:rFonts w:asciiTheme="minorHAnsi" w:hAnsiTheme="minorHAnsi" w:cstheme="minorHAnsi"/>
        </w:rPr>
        <w:t>health service providers</w:t>
      </w:r>
      <w:r w:rsidRPr="00F95970">
        <w:rPr>
          <w:rFonts w:asciiTheme="minorHAnsi" w:hAnsiTheme="minorHAnsi" w:cstheme="minorHAnsi"/>
        </w:rPr>
        <w:t xml:space="preserve"> </w:t>
      </w:r>
      <w:r w:rsidR="002A5576">
        <w:rPr>
          <w:rFonts w:asciiTheme="minorHAnsi" w:hAnsiTheme="minorHAnsi" w:cstheme="minorHAnsi"/>
        </w:rPr>
        <w:t xml:space="preserve">reported </w:t>
      </w:r>
      <w:r>
        <w:rPr>
          <w:rFonts w:asciiTheme="minorHAnsi" w:hAnsiTheme="minorHAnsi" w:cstheme="minorHAnsi"/>
        </w:rPr>
        <w:t xml:space="preserve">data to the national </w:t>
      </w:r>
      <w:proofErr w:type="spellStart"/>
      <w:r>
        <w:rPr>
          <w:rFonts w:asciiTheme="minorHAnsi" w:hAnsiTheme="minorHAnsi" w:cstheme="minorHAnsi"/>
        </w:rPr>
        <w:t>haemovigilance</w:t>
      </w:r>
      <w:proofErr w:type="spellEnd"/>
      <w:r>
        <w:rPr>
          <w:rFonts w:asciiTheme="minorHAnsi" w:hAnsiTheme="minorHAnsi" w:cstheme="minorHAnsi"/>
        </w:rPr>
        <w:t xml:space="preserve"> p</w:t>
      </w:r>
      <w:r w:rsidRPr="00F95970">
        <w:rPr>
          <w:rFonts w:asciiTheme="minorHAnsi" w:hAnsiTheme="minorHAnsi" w:cstheme="minorHAnsi"/>
        </w:rPr>
        <w:t>rogram</w:t>
      </w:r>
      <w:r w:rsidR="002A5576">
        <w:rPr>
          <w:rFonts w:asciiTheme="minorHAnsi" w:hAnsiTheme="minorHAnsi" w:cstheme="minorHAnsi"/>
        </w:rPr>
        <w:t>.</w:t>
      </w:r>
      <w:r w:rsidR="002A5576" w:rsidRPr="002A5576">
        <w:rPr>
          <w:lang w:eastAsia="en-AU"/>
        </w:rPr>
        <w:t xml:space="preserve"> </w:t>
      </w:r>
      <w:r w:rsidR="002A5576" w:rsidRPr="000A35E5">
        <w:rPr>
          <w:lang w:eastAsia="en-AU"/>
        </w:rPr>
        <w:t>For those states and territories that have reported, the number</w:t>
      </w:r>
      <w:r w:rsidR="002A5576">
        <w:rPr>
          <w:lang w:eastAsia="en-AU"/>
        </w:rPr>
        <w:t>s</w:t>
      </w:r>
      <w:r w:rsidR="002A5576" w:rsidRPr="000A35E5">
        <w:rPr>
          <w:lang w:eastAsia="en-AU"/>
        </w:rPr>
        <w:t xml:space="preserve"> of </w:t>
      </w:r>
      <w:r w:rsidR="002A5576">
        <w:rPr>
          <w:lang w:eastAsia="en-AU"/>
        </w:rPr>
        <w:t xml:space="preserve">public and private </w:t>
      </w:r>
      <w:r w:rsidR="002A5576" w:rsidRPr="000A35E5">
        <w:rPr>
          <w:lang w:eastAsia="en-AU"/>
        </w:rPr>
        <w:t>health service organisations</w:t>
      </w:r>
      <w:r w:rsidR="002A5576">
        <w:rPr>
          <w:lang w:eastAsia="en-AU"/>
        </w:rPr>
        <w:t xml:space="preserve"> are</w:t>
      </w:r>
      <w:r w:rsidR="002A5576" w:rsidRPr="000A35E5">
        <w:rPr>
          <w:lang w:eastAsia="en-AU"/>
        </w:rPr>
        <w:t xml:space="preserve"> unknown</w:t>
      </w:r>
      <w:r w:rsidR="00223810">
        <w:rPr>
          <w:lang w:eastAsia="en-AU"/>
        </w:rPr>
        <w:t xml:space="preserve"> to the NBA</w:t>
      </w:r>
      <w:r w:rsidR="002A5576">
        <w:rPr>
          <w:lang w:eastAsia="en-AU"/>
        </w:rPr>
        <w:t>.</w:t>
      </w:r>
    </w:p>
    <w:p w:rsidR="00F95970" w:rsidRDefault="00F95970" w:rsidP="002A5576">
      <w:pPr>
        <w:pStyle w:val="ListParagraph"/>
        <w:numPr>
          <w:ilvl w:val="1"/>
          <w:numId w:val="2"/>
        </w:numPr>
        <w:rPr>
          <w:rFonts w:asciiTheme="minorHAnsi" w:hAnsiTheme="minorHAnsi" w:cstheme="minorHAnsi"/>
        </w:rPr>
      </w:pPr>
      <w:r w:rsidRPr="00F95970">
        <w:rPr>
          <w:rFonts w:asciiTheme="minorHAnsi" w:hAnsiTheme="minorHAnsi" w:cstheme="minorHAnsi"/>
        </w:rPr>
        <w:t>Transfusion near misses are collected at state</w:t>
      </w:r>
      <w:r>
        <w:rPr>
          <w:rFonts w:asciiTheme="minorHAnsi" w:hAnsiTheme="minorHAnsi" w:cstheme="minorHAnsi"/>
        </w:rPr>
        <w:t xml:space="preserve"> </w:t>
      </w:r>
      <w:r w:rsidR="00223810">
        <w:rPr>
          <w:rFonts w:asciiTheme="minorHAnsi" w:hAnsiTheme="minorHAnsi" w:cstheme="minorHAnsi"/>
        </w:rPr>
        <w:t xml:space="preserve">level for </w:t>
      </w:r>
      <w:r w:rsidRPr="00F95970">
        <w:rPr>
          <w:rFonts w:asciiTheme="minorHAnsi" w:hAnsiTheme="minorHAnsi" w:cstheme="minorHAnsi"/>
        </w:rPr>
        <w:t>VIC, SA, TAS, ACT, NT and NSW</w:t>
      </w:r>
      <w:r w:rsidR="002A5576">
        <w:rPr>
          <w:rFonts w:asciiTheme="minorHAnsi" w:hAnsiTheme="minorHAnsi" w:cstheme="minorHAnsi"/>
        </w:rPr>
        <w:t xml:space="preserve">; </w:t>
      </w:r>
      <w:r w:rsidRPr="00F95970">
        <w:rPr>
          <w:rFonts w:asciiTheme="minorHAnsi" w:hAnsiTheme="minorHAnsi" w:cstheme="minorHAnsi"/>
        </w:rPr>
        <w:t>but not reported and analysed for trends at national level.</w:t>
      </w:r>
    </w:p>
    <w:p w:rsidR="002A5576" w:rsidRDefault="002A5576" w:rsidP="002A5576">
      <w:pPr>
        <w:pStyle w:val="ListParagraph"/>
        <w:numPr>
          <w:ilvl w:val="1"/>
          <w:numId w:val="2"/>
        </w:numPr>
        <w:spacing w:after="0"/>
        <w:ind w:left="782" w:hanging="357"/>
        <w:rPr>
          <w:rFonts w:asciiTheme="minorHAnsi" w:hAnsiTheme="minorHAnsi" w:cstheme="minorHAnsi"/>
        </w:rPr>
      </w:pPr>
      <w:r w:rsidRPr="00F95970">
        <w:rPr>
          <w:rFonts w:asciiTheme="minorHAnsi" w:hAnsiTheme="minorHAnsi" w:cstheme="minorHAnsi"/>
        </w:rPr>
        <w:t>The denominator data, for example total number of fresh blood components transfused, has not been collected and reported.</w:t>
      </w:r>
    </w:p>
    <w:p w:rsidR="002A5576" w:rsidRDefault="00F95970" w:rsidP="00F95970">
      <w:pPr>
        <w:pStyle w:val="ListParagraph"/>
        <w:numPr>
          <w:ilvl w:val="1"/>
          <w:numId w:val="2"/>
        </w:numPr>
        <w:spacing w:after="0"/>
        <w:ind w:left="782" w:hanging="357"/>
        <w:rPr>
          <w:rFonts w:asciiTheme="minorHAnsi" w:hAnsiTheme="minorHAnsi" w:cstheme="minorHAnsi"/>
        </w:rPr>
      </w:pPr>
      <w:r w:rsidRPr="00F95970">
        <w:rPr>
          <w:rFonts w:asciiTheme="minorHAnsi" w:hAnsiTheme="minorHAnsi" w:cstheme="minorHAnsi"/>
        </w:rPr>
        <w:t>A report is included for each adverse event, not for each patient. Patients who experienced a transfusion-related adverse event more than once may be associated with more than one report.</w:t>
      </w:r>
    </w:p>
    <w:p w:rsidR="00287631" w:rsidRDefault="00287631">
      <w:pPr>
        <w:numPr>
          <w:ilvl w:val="0"/>
          <w:numId w:val="2"/>
        </w:numPr>
        <w:ind w:left="357" w:hanging="357"/>
        <w:contextualSpacing/>
        <w:rPr>
          <w:rFonts w:asciiTheme="minorHAnsi" w:hAnsiTheme="minorHAnsi" w:cstheme="minorHAnsi"/>
        </w:rPr>
      </w:pPr>
      <w:r>
        <w:rPr>
          <w:rFonts w:asciiTheme="minorHAnsi" w:hAnsiTheme="minorHAnsi" w:cstheme="minorHAnsi"/>
        </w:rPr>
        <w:t>Data standardisation</w:t>
      </w:r>
    </w:p>
    <w:p w:rsidR="00531FA0" w:rsidRDefault="00531FA0" w:rsidP="00F95970">
      <w:pPr>
        <w:ind w:left="357"/>
        <w:contextualSpacing/>
        <w:rPr>
          <w:rFonts w:asciiTheme="minorHAnsi" w:hAnsiTheme="minorHAnsi" w:cstheme="minorHAnsi"/>
        </w:rPr>
      </w:pPr>
      <w:r w:rsidRPr="008C503A">
        <w:rPr>
          <w:rFonts w:asciiTheme="minorHAnsi" w:hAnsiTheme="minorHAnsi" w:cstheme="minorHAnsi"/>
        </w:rPr>
        <w:t xml:space="preserve">The adverse event definitions </w:t>
      </w:r>
      <w:r w:rsidR="005E6A1F">
        <w:rPr>
          <w:rFonts w:asciiTheme="minorHAnsi" w:hAnsiTheme="minorHAnsi" w:cstheme="minorHAnsi"/>
        </w:rPr>
        <w:t xml:space="preserve">used for the national reporting are not </w:t>
      </w:r>
      <w:r w:rsidR="00323116">
        <w:rPr>
          <w:rFonts w:asciiTheme="minorHAnsi" w:hAnsiTheme="minorHAnsi" w:cstheme="minorHAnsi"/>
        </w:rPr>
        <w:t>consistent</w:t>
      </w:r>
      <w:r w:rsidR="005E6A1F">
        <w:rPr>
          <w:rFonts w:asciiTheme="minorHAnsi" w:hAnsiTheme="minorHAnsi" w:cstheme="minorHAnsi"/>
        </w:rPr>
        <w:t xml:space="preserve"> with the current</w:t>
      </w:r>
      <w:r w:rsidRPr="008C503A">
        <w:rPr>
          <w:rFonts w:asciiTheme="minorHAnsi" w:hAnsiTheme="minorHAnsi" w:cstheme="minorHAnsi"/>
        </w:rPr>
        <w:t xml:space="preserve"> ISBT definitions</w:t>
      </w:r>
      <w:r w:rsidR="00287631">
        <w:rPr>
          <w:rFonts w:asciiTheme="minorHAnsi" w:hAnsiTheme="minorHAnsi" w:cstheme="minorHAnsi"/>
        </w:rPr>
        <w:t xml:space="preserve">; </w:t>
      </w:r>
      <w:r w:rsidR="00287631" w:rsidRPr="00287631">
        <w:rPr>
          <w:rFonts w:asciiTheme="minorHAnsi" w:hAnsiTheme="minorHAnsi" w:cstheme="minorHAnsi"/>
        </w:rPr>
        <w:t xml:space="preserve">therefore the data cannot be properly analysed and compared at national </w:t>
      </w:r>
      <w:r w:rsidR="00223810" w:rsidRPr="00287631">
        <w:rPr>
          <w:rFonts w:asciiTheme="minorHAnsi" w:hAnsiTheme="minorHAnsi" w:cstheme="minorHAnsi"/>
        </w:rPr>
        <w:t xml:space="preserve">level </w:t>
      </w:r>
      <w:r w:rsidR="00223810">
        <w:rPr>
          <w:rFonts w:asciiTheme="minorHAnsi" w:hAnsiTheme="minorHAnsi" w:cstheme="minorHAnsi"/>
        </w:rPr>
        <w:t>and</w:t>
      </w:r>
      <w:r w:rsidR="00287631">
        <w:rPr>
          <w:rFonts w:asciiTheme="minorHAnsi" w:hAnsiTheme="minorHAnsi" w:cstheme="minorHAnsi"/>
        </w:rPr>
        <w:t xml:space="preserve"> international level</w:t>
      </w:r>
      <w:r w:rsidR="00223810">
        <w:rPr>
          <w:rFonts w:asciiTheme="minorHAnsi" w:hAnsiTheme="minorHAnsi" w:cstheme="minorHAnsi"/>
        </w:rPr>
        <w:t>.</w:t>
      </w:r>
    </w:p>
    <w:p w:rsidR="00287631" w:rsidRDefault="00287631">
      <w:pPr>
        <w:numPr>
          <w:ilvl w:val="0"/>
          <w:numId w:val="2"/>
        </w:numPr>
        <w:ind w:left="357" w:hanging="357"/>
        <w:contextualSpacing/>
        <w:rPr>
          <w:rFonts w:asciiTheme="minorHAnsi" w:hAnsiTheme="minorHAnsi" w:cstheme="minorHAnsi"/>
        </w:rPr>
      </w:pPr>
      <w:r>
        <w:rPr>
          <w:rFonts w:asciiTheme="minorHAnsi" w:hAnsiTheme="minorHAnsi" w:cstheme="minorHAnsi"/>
        </w:rPr>
        <w:t>Data relevance</w:t>
      </w:r>
    </w:p>
    <w:p w:rsidR="00287631" w:rsidRDefault="00223810" w:rsidP="00F95970">
      <w:pPr>
        <w:ind w:left="360"/>
        <w:contextualSpacing/>
        <w:rPr>
          <w:rFonts w:asciiTheme="minorHAnsi" w:hAnsiTheme="minorHAnsi" w:cstheme="minorHAnsi"/>
        </w:rPr>
      </w:pPr>
      <w:r>
        <w:rPr>
          <w:rFonts w:asciiTheme="minorHAnsi" w:hAnsiTheme="minorHAnsi" w:cstheme="minorHAnsi"/>
        </w:rPr>
        <w:t>There are no</w:t>
      </w:r>
      <w:r w:rsidR="00287631" w:rsidRPr="00287631">
        <w:rPr>
          <w:rFonts w:asciiTheme="minorHAnsi" w:hAnsiTheme="minorHAnsi" w:cstheme="minorHAnsi"/>
        </w:rPr>
        <w:t xml:space="preserve"> detailed data on </w:t>
      </w:r>
      <w:r>
        <w:rPr>
          <w:rFonts w:asciiTheme="minorHAnsi" w:hAnsiTheme="minorHAnsi" w:cstheme="minorHAnsi"/>
        </w:rPr>
        <w:t xml:space="preserve">Australian </w:t>
      </w:r>
      <w:r w:rsidR="00287631" w:rsidRPr="00287631">
        <w:rPr>
          <w:rFonts w:asciiTheme="minorHAnsi" w:hAnsiTheme="minorHAnsi" w:cstheme="minorHAnsi"/>
        </w:rPr>
        <w:t xml:space="preserve">practices to monitor improvement over time. </w:t>
      </w:r>
    </w:p>
    <w:p w:rsidR="00287631" w:rsidRDefault="00287631" w:rsidP="00B81157">
      <w:pPr>
        <w:numPr>
          <w:ilvl w:val="0"/>
          <w:numId w:val="2"/>
        </w:numPr>
        <w:contextualSpacing/>
        <w:rPr>
          <w:rFonts w:asciiTheme="minorHAnsi" w:hAnsiTheme="minorHAnsi" w:cstheme="minorHAnsi"/>
        </w:rPr>
      </w:pPr>
      <w:r>
        <w:rPr>
          <w:rFonts w:asciiTheme="minorHAnsi" w:hAnsiTheme="minorHAnsi" w:cstheme="minorHAnsi"/>
        </w:rPr>
        <w:t xml:space="preserve">Data </w:t>
      </w:r>
      <w:r w:rsidR="00C01B95">
        <w:rPr>
          <w:rFonts w:asciiTheme="minorHAnsi" w:hAnsiTheme="minorHAnsi" w:cstheme="minorHAnsi"/>
        </w:rPr>
        <w:t>i</w:t>
      </w:r>
      <w:r w:rsidRPr="00287631">
        <w:rPr>
          <w:rFonts w:asciiTheme="minorHAnsi" w:hAnsiTheme="minorHAnsi" w:cstheme="minorHAnsi"/>
        </w:rPr>
        <w:t>ntegration</w:t>
      </w:r>
    </w:p>
    <w:p w:rsidR="00287631" w:rsidRDefault="00287631" w:rsidP="00B81157">
      <w:pPr>
        <w:ind w:left="357"/>
        <w:contextualSpacing/>
        <w:rPr>
          <w:rFonts w:asciiTheme="minorHAnsi" w:hAnsiTheme="minorHAnsi" w:cstheme="minorHAnsi"/>
        </w:rPr>
      </w:pPr>
      <w:r w:rsidRPr="00287631">
        <w:rPr>
          <w:rFonts w:asciiTheme="minorHAnsi" w:hAnsiTheme="minorHAnsi" w:cstheme="minorHAnsi"/>
        </w:rPr>
        <w:t>The adve</w:t>
      </w:r>
      <w:r>
        <w:rPr>
          <w:rFonts w:asciiTheme="minorHAnsi" w:hAnsiTheme="minorHAnsi" w:cstheme="minorHAnsi"/>
        </w:rPr>
        <w:t xml:space="preserve">rse event data reported to the national </w:t>
      </w:r>
      <w:proofErr w:type="spellStart"/>
      <w:r>
        <w:rPr>
          <w:rFonts w:asciiTheme="minorHAnsi" w:hAnsiTheme="minorHAnsi" w:cstheme="minorHAnsi"/>
        </w:rPr>
        <w:t>haemovigilance</w:t>
      </w:r>
      <w:proofErr w:type="spellEnd"/>
      <w:r>
        <w:rPr>
          <w:rFonts w:asciiTheme="minorHAnsi" w:hAnsiTheme="minorHAnsi" w:cstheme="minorHAnsi"/>
        </w:rPr>
        <w:t xml:space="preserve"> p</w:t>
      </w:r>
      <w:r w:rsidRPr="00287631">
        <w:rPr>
          <w:rFonts w:asciiTheme="minorHAnsi" w:hAnsiTheme="minorHAnsi" w:cstheme="minorHAnsi"/>
        </w:rPr>
        <w:t>rogram is not integrated with the data reported to the Blood Service, T</w:t>
      </w:r>
      <w:r w:rsidR="00223810">
        <w:rPr>
          <w:rFonts w:asciiTheme="minorHAnsi" w:hAnsiTheme="minorHAnsi" w:cstheme="minorHAnsi"/>
        </w:rPr>
        <w:t>GA</w:t>
      </w:r>
      <w:r w:rsidRPr="00287631">
        <w:rPr>
          <w:rFonts w:asciiTheme="minorHAnsi" w:hAnsiTheme="minorHAnsi" w:cstheme="minorHAnsi"/>
        </w:rPr>
        <w:t xml:space="preserve"> and clinical pathology laboratory data. It is impossible to determine </w:t>
      </w:r>
      <w:r w:rsidR="00F97860">
        <w:rPr>
          <w:rFonts w:asciiTheme="minorHAnsi" w:hAnsiTheme="minorHAnsi" w:cstheme="minorHAnsi"/>
        </w:rPr>
        <w:t>if</w:t>
      </w:r>
      <w:r w:rsidRPr="00287631">
        <w:rPr>
          <w:rFonts w:asciiTheme="minorHAnsi" w:hAnsiTheme="minorHAnsi" w:cstheme="minorHAnsi"/>
        </w:rPr>
        <w:t xml:space="preserve"> the adverse events (such as TRALI and TTI) reported to the </w:t>
      </w:r>
      <w:r w:rsidR="00F95970">
        <w:rPr>
          <w:rFonts w:asciiTheme="minorHAnsi" w:hAnsiTheme="minorHAnsi" w:cstheme="minorHAnsi"/>
        </w:rPr>
        <w:t xml:space="preserve">national </w:t>
      </w:r>
      <w:proofErr w:type="spellStart"/>
      <w:r w:rsidR="00F95970">
        <w:rPr>
          <w:rFonts w:asciiTheme="minorHAnsi" w:hAnsiTheme="minorHAnsi" w:cstheme="minorHAnsi"/>
        </w:rPr>
        <w:t>haemovigilance</w:t>
      </w:r>
      <w:proofErr w:type="spellEnd"/>
      <w:r w:rsidR="00F95970">
        <w:rPr>
          <w:rFonts w:asciiTheme="minorHAnsi" w:hAnsiTheme="minorHAnsi" w:cstheme="minorHAnsi"/>
        </w:rPr>
        <w:t xml:space="preserve"> p</w:t>
      </w:r>
      <w:r w:rsidRPr="00287631">
        <w:rPr>
          <w:rFonts w:asciiTheme="minorHAnsi" w:hAnsiTheme="minorHAnsi" w:cstheme="minorHAnsi"/>
        </w:rPr>
        <w:t>rogram are confirmed cases and if the Blood Service is being notified of all adverse events where it needs to take immediate action.</w:t>
      </w:r>
    </w:p>
    <w:p w:rsidR="00FB14A2" w:rsidRDefault="00FB14A2">
      <w:pPr>
        <w:spacing w:line="276" w:lineRule="auto"/>
        <w:rPr>
          <w:rFonts w:asciiTheme="minorHAnsi" w:hAnsiTheme="minorHAnsi" w:cstheme="minorHAnsi"/>
        </w:rPr>
      </w:pPr>
      <w:r>
        <w:rPr>
          <w:rFonts w:asciiTheme="minorHAnsi" w:hAnsiTheme="minorHAnsi" w:cstheme="minorHAnsi"/>
        </w:rPr>
        <w:br w:type="page"/>
      </w:r>
    </w:p>
    <w:p w:rsidR="001D0084" w:rsidRDefault="00531FA0" w:rsidP="00374BFB">
      <w:pPr>
        <w:spacing w:before="200"/>
        <w:rPr>
          <w:rFonts w:asciiTheme="minorHAnsi" w:hAnsiTheme="minorHAnsi" w:cstheme="minorHAnsi"/>
        </w:rPr>
      </w:pPr>
      <w:r w:rsidRPr="006133F4">
        <w:rPr>
          <w:rFonts w:asciiTheme="minorHAnsi" w:hAnsiTheme="minorHAnsi" w:cstheme="minorHAnsi"/>
        </w:rPr>
        <w:lastRenderedPageBreak/>
        <w:t xml:space="preserve">The NBA, states and territories are </w:t>
      </w:r>
      <w:r w:rsidR="00223810" w:rsidRPr="006133F4">
        <w:rPr>
          <w:rFonts w:asciiTheme="minorHAnsi" w:hAnsiTheme="minorHAnsi" w:cstheme="minorHAnsi"/>
        </w:rPr>
        <w:t>addressing</w:t>
      </w:r>
      <w:r w:rsidR="00223810">
        <w:rPr>
          <w:rFonts w:asciiTheme="minorHAnsi" w:hAnsiTheme="minorHAnsi" w:cstheme="minorHAnsi"/>
        </w:rPr>
        <w:t xml:space="preserve"> the above </w:t>
      </w:r>
      <w:r w:rsidR="009E74AE">
        <w:rPr>
          <w:rFonts w:asciiTheme="minorHAnsi" w:hAnsiTheme="minorHAnsi" w:cstheme="minorHAnsi"/>
        </w:rPr>
        <w:t>data quality issues</w:t>
      </w:r>
      <w:r w:rsidRPr="009E74AE">
        <w:rPr>
          <w:rFonts w:asciiTheme="minorHAnsi" w:hAnsiTheme="minorHAnsi" w:cstheme="minorHAnsi"/>
        </w:rPr>
        <w:t xml:space="preserve"> through </w:t>
      </w:r>
      <w:r w:rsidR="009E74AE" w:rsidRPr="009E74AE">
        <w:rPr>
          <w:rFonts w:asciiTheme="minorHAnsi" w:hAnsiTheme="minorHAnsi" w:cstheme="minorHAnsi"/>
        </w:rPr>
        <w:t>the implementation</w:t>
      </w:r>
      <w:r w:rsidR="009E74AE">
        <w:rPr>
          <w:rFonts w:asciiTheme="minorHAnsi" w:hAnsiTheme="minorHAnsi" w:cstheme="minorHAnsi"/>
        </w:rPr>
        <w:t xml:space="preserve"> of</w:t>
      </w:r>
      <w:r w:rsidR="009E74AE" w:rsidRPr="006133F4">
        <w:rPr>
          <w:rFonts w:asciiTheme="minorHAnsi" w:hAnsiTheme="minorHAnsi" w:cstheme="minorHAnsi"/>
        </w:rPr>
        <w:t xml:space="preserve"> </w:t>
      </w:r>
      <w:r w:rsidR="009E74AE">
        <w:rPr>
          <w:rFonts w:asciiTheme="minorHAnsi" w:hAnsiTheme="minorHAnsi" w:cstheme="minorHAnsi"/>
        </w:rPr>
        <w:t xml:space="preserve">the </w:t>
      </w:r>
      <w:r w:rsidR="009E74AE" w:rsidRPr="006133F4">
        <w:rPr>
          <w:rFonts w:asciiTheme="minorHAnsi" w:hAnsiTheme="minorHAnsi" w:cstheme="minorHAnsi"/>
        </w:rPr>
        <w:t>Strategic</w:t>
      </w:r>
      <w:r w:rsidR="009E74AE" w:rsidRPr="009E74AE">
        <w:rPr>
          <w:rFonts w:asciiTheme="minorHAnsi" w:hAnsiTheme="minorHAnsi" w:cstheme="minorHAnsi"/>
        </w:rPr>
        <w:t xml:space="preserve"> Framework</w:t>
      </w:r>
      <w:r w:rsidR="00D30EC2">
        <w:rPr>
          <w:rFonts w:asciiTheme="minorHAnsi" w:hAnsiTheme="minorHAnsi" w:cstheme="minorHAnsi"/>
        </w:rPr>
        <w:t xml:space="preserve"> and Work Plan</w:t>
      </w:r>
      <w:r w:rsidR="009E74AE" w:rsidRPr="009E74AE">
        <w:rPr>
          <w:rFonts w:asciiTheme="minorHAnsi" w:hAnsiTheme="minorHAnsi" w:cstheme="minorHAnsi"/>
        </w:rPr>
        <w:t xml:space="preserve"> for</w:t>
      </w:r>
      <w:r w:rsidRPr="009E74AE">
        <w:rPr>
          <w:rFonts w:asciiTheme="minorHAnsi" w:hAnsiTheme="minorHAnsi" w:cstheme="minorHAnsi"/>
        </w:rPr>
        <w:t xml:space="preserve"> the </w:t>
      </w:r>
      <w:r w:rsidR="00D30EC2">
        <w:rPr>
          <w:rFonts w:asciiTheme="minorHAnsi" w:hAnsiTheme="minorHAnsi" w:cstheme="minorHAnsi"/>
        </w:rPr>
        <w:t>n</w:t>
      </w:r>
      <w:r w:rsidRPr="009E74AE">
        <w:rPr>
          <w:rFonts w:asciiTheme="minorHAnsi" w:hAnsiTheme="minorHAnsi" w:cstheme="minorHAnsi"/>
        </w:rPr>
        <w:t xml:space="preserve">ational </w:t>
      </w:r>
      <w:proofErr w:type="spellStart"/>
      <w:r w:rsidR="00D30EC2">
        <w:rPr>
          <w:rFonts w:asciiTheme="minorHAnsi" w:hAnsiTheme="minorHAnsi" w:cstheme="minorHAnsi"/>
        </w:rPr>
        <w:t>h</w:t>
      </w:r>
      <w:r w:rsidRPr="009E74AE">
        <w:rPr>
          <w:rFonts w:asciiTheme="minorHAnsi" w:hAnsiTheme="minorHAnsi" w:cstheme="minorHAnsi"/>
        </w:rPr>
        <w:t>aemovigilance</w:t>
      </w:r>
      <w:proofErr w:type="spellEnd"/>
      <w:r w:rsidRPr="009E74AE">
        <w:rPr>
          <w:rFonts w:asciiTheme="minorHAnsi" w:hAnsiTheme="minorHAnsi" w:cstheme="minorHAnsi"/>
        </w:rPr>
        <w:t xml:space="preserve"> </w:t>
      </w:r>
      <w:r w:rsidR="00D30EC2">
        <w:rPr>
          <w:rFonts w:asciiTheme="minorHAnsi" w:hAnsiTheme="minorHAnsi" w:cstheme="minorHAnsi"/>
        </w:rPr>
        <w:t>p</w:t>
      </w:r>
      <w:r w:rsidRPr="009E74AE">
        <w:rPr>
          <w:rFonts w:asciiTheme="minorHAnsi" w:hAnsiTheme="minorHAnsi" w:cstheme="minorHAnsi"/>
        </w:rPr>
        <w:t>rogram</w:t>
      </w:r>
      <w:r w:rsidR="00223810">
        <w:rPr>
          <w:rFonts w:asciiTheme="minorHAnsi" w:hAnsiTheme="minorHAnsi" w:cstheme="minorHAnsi"/>
        </w:rPr>
        <w:t>. For example:</w:t>
      </w:r>
    </w:p>
    <w:p w:rsidR="001D0084" w:rsidRDefault="009E74AE" w:rsidP="0096249F">
      <w:pPr>
        <w:pStyle w:val="ListParagraph"/>
        <w:numPr>
          <w:ilvl w:val="0"/>
          <w:numId w:val="31"/>
        </w:numPr>
        <w:spacing w:after="0"/>
        <w:ind w:left="357" w:hanging="357"/>
        <w:rPr>
          <w:rFonts w:asciiTheme="minorHAnsi" w:hAnsiTheme="minorHAnsi" w:cstheme="minorHAnsi"/>
        </w:rPr>
      </w:pPr>
      <w:r w:rsidRPr="00CF3594">
        <w:rPr>
          <w:rFonts w:asciiTheme="minorHAnsi" w:hAnsiTheme="minorHAnsi" w:cstheme="minorHAnsi"/>
        </w:rPr>
        <w:t xml:space="preserve">The NBA and HAC have revised the </w:t>
      </w:r>
      <w:proofErr w:type="spellStart"/>
      <w:r w:rsidRPr="00CF3594">
        <w:rPr>
          <w:rFonts w:asciiTheme="minorHAnsi" w:hAnsiTheme="minorHAnsi" w:cstheme="minorHAnsi"/>
        </w:rPr>
        <w:t>haemovigilance</w:t>
      </w:r>
      <w:proofErr w:type="spellEnd"/>
      <w:r w:rsidRPr="00CF3594">
        <w:rPr>
          <w:rFonts w:asciiTheme="minorHAnsi" w:hAnsiTheme="minorHAnsi" w:cstheme="minorHAnsi"/>
        </w:rPr>
        <w:t xml:space="preserve"> definitions</w:t>
      </w:r>
      <w:r w:rsidR="001D0084" w:rsidRPr="00CF3594">
        <w:rPr>
          <w:rFonts w:asciiTheme="minorHAnsi" w:hAnsiTheme="minorHAnsi" w:cstheme="minorHAnsi"/>
        </w:rPr>
        <w:t xml:space="preserve"> to be in line with</w:t>
      </w:r>
      <w:r w:rsidRPr="00CF3594">
        <w:rPr>
          <w:rFonts w:asciiTheme="minorHAnsi" w:hAnsiTheme="minorHAnsi" w:cstheme="minorHAnsi"/>
        </w:rPr>
        <w:t xml:space="preserve"> </w:t>
      </w:r>
      <w:r w:rsidR="001D0084" w:rsidRPr="00CF3594">
        <w:rPr>
          <w:rFonts w:asciiTheme="minorHAnsi" w:hAnsiTheme="minorHAnsi" w:cstheme="minorHAnsi"/>
        </w:rPr>
        <w:t xml:space="preserve">the </w:t>
      </w:r>
      <w:r w:rsidRPr="00CF3594">
        <w:rPr>
          <w:rFonts w:asciiTheme="minorHAnsi" w:hAnsiTheme="minorHAnsi" w:cstheme="minorHAnsi"/>
        </w:rPr>
        <w:t>ISBT definitions and published the new definitions in</w:t>
      </w:r>
      <w:r w:rsidR="00A44126">
        <w:rPr>
          <w:rFonts w:asciiTheme="minorHAnsi" w:hAnsiTheme="minorHAnsi" w:cstheme="minorHAnsi"/>
        </w:rPr>
        <w:t xml:space="preserve"> the</w:t>
      </w:r>
      <w:r w:rsidRPr="00CF3594">
        <w:rPr>
          <w:rFonts w:asciiTheme="minorHAnsi" w:hAnsiTheme="minorHAnsi" w:cstheme="minorHAnsi"/>
        </w:rPr>
        <w:t xml:space="preserve"> </w:t>
      </w:r>
      <w:r w:rsidR="001D0084" w:rsidRPr="00CF3594">
        <w:rPr>
          <w:rFonts w:asciiTheme="minorHAnsi" w:hAnsiTheme="minorHAnsi" w:cstheme="minorHAnsi"/>
        </w:rPr>
        <w:t>AHMDS</w:t>
      </w:r>
      <w:r w:rsidR="00D30EC2">
        <w:rPr>
          <w:rFonts w:asciiTheme="minorHAnsi" w:hAnsiTheme="minorHAnsi" w:cstheme="minorHAnsi"/>
        </w:rPr>
        <w:t xml:space="preserve"> </w:t>
      </w:r>
      <w:r w:rsidR="00CF3594">
        <w:rPr>
          <w:rFonts w:asciiTheme="minorHAnsi" w:hAnsiTheme="minorHAnsi" w:cstheme="minorHAnsi"/>
        </w:rPr>
        <w:t>in 2016</w:t>
      </w:r>
      <w:r w:rsidRPr="00CF3594">
        <w:rPr>
          <w:rFonts w:asciiTheme="minorHAnsi" w:hAnsiTheme="minorHAnsi" w:cstheme="minorHAnsi"/>
        </w:rPr>
        <w:t>.</w:t>
      </w:r>
      <w:r w:rsidR="00D30EC2">
        <w:rPr>
          <w:rFonts w:asciiTheme="minorHAnsi" w:hAnsiTheme="minorHAnsi" w:cstheme="minorHAnsi"/>
        </w:rPr>
        <w:t xml:space="preserve"> A transition plan </w:t>
      </w:r>
      <w:r w:rsidR="00C01B95">
        <w:rPr>
          <w:rFonts w:asciiTheme="minorHAnsi" w:hAnsiTheme="minorHAnsi" w:cstheme="minorHAnsi"/>
        </w:rPr>
        <w:t>will</w:t>
      </w:r>
      <w:r w:rsidR="00D30EC2">
        <w:rPr>
          <w:rFonts w:asciiTheme="minorHAnsi" w:hAnsiTheme="minorHAnsi" w:cstheme="minorHAnsi"/>
        </w:rPr>
        <w:t xml:space="preserve"> be developed to </w:t>
      </w:r>
      <w:r w:rsidR="00167723">
        <w:rPr>
          <w:rFonts w:asciiTheme="minorHAnsi" w:hAnsiTheme="minorHAnsi" w:cstheme="minorHAnsi"/>
        </w:rPr>
        <w:t xml:space="preserve">support </w:t>
      </w:r>
      <w:r w:rsidR="00D30EC2">
        <w:rPr>
          <w:rFonts w:asciiTheme="minorHAnsi" w:hAnsiTheme="minorHAnsi" w:cstheme="minorHAnsi"/>
        </w:rPr>
        <w:t>states and territories</w:t>
      </w:r>
      <w:r w:rsidR="00167723">
        <w:rPr>
          <w:rFonts w:asciiTheme="minorHAnsi" w:hAnsiTheme="minorHAnsi" w:cstheme="minorHAnsi"/>
        </w:rPr>
        <w:t xml:space="preserve"> </w:t>
      </w:r>
      <w:r w:rsidR="00C01B95">
        <w:rPr>
          <w:rFonts w:asciiTheme="minorHAnsi" w:hAnsiTheme="minorHAnsi" w:cstheme="minorHAnsi"/>
        </w:rPr>
        <w:t>to</w:t>
      </w:r>
      <w:r w:rsidR="00D30EC2">
        <w:rPr>
          <w:rFonts w:asciiTheme="minorHAnsi" w:hAnsiTheme="minorHAnsi" w:cstheme="minorHAnsi"/>
        </w:rPr>
        <w:t xml:space="preserve"> implement</w:t>
      </w:r>
      <w:r w:rsidR="00167723">
        <w:rPr>
          <w:rFonts w:asciiTheme="minorHAnsi" w:hAnsiTheme="minorHAnsi" w:cstheme="minorHAnsi"/>
        </w:rPr>
        <w:t xml:space="preserve"> </w:t>
      </w:r>
      <w:r w:rsidR="00D30EC2">
        <w:rPr>
          <w:rFonts w:asciiTheme="minorHAnsi" w:hAnsiTheme="minorHAnsi" w:cstheme="minorHAnsi"/>
        </w:rPr>
        <w:t>the AHMDS.</w:t>
      </w:r>
    </w:p>
    <w:p w:rsidR="001D0084" w:rsidRDefault="009E74AE" w:rsidP="0096249F">
      <w:pPr>
        <w:pStyle w:val="ListParagraph"/>
        <w:numPr>
          <w:ilvl w:val="0"/>
          <w:numId w:val="31"/>
        </w:numPr>
        <w:spacing w:before="200"/>
        <w:rPr>
          <w:rFonts w:asciiTheme="minorHAnsi" w:hAnsiTheme="minorHAnsi" w:cstheme="minorHAnsi"/>
        </w:rPr>
      </w:pPr>
      <w:r w:rsidRPr="00CF3594">
        <w:rPr>
          <w:rFonts w:asciiTheme="minorHAnsi" w:hAnsiTheme="minorHAnsi" w:cstheme="minorHAnsi"/>
        </w:rPr>
        <w:t>The NBA</w:t>
      </w:r>
      <w:r w:rsidR="001D0084" w:rsidRPr="006133F4">
        <w:rPr>
          <w:rFonts w:asciiTheme="minorHAnsi" w:hAnsiTheme="minorHAnsi" w:cstheme="minorHAnsi"/>
        </w:rPr>
        <w:t xml:space="preserve">, </w:t>
      </w:r>
      <w:r w:rsidR="001D0084" w:rsidRPr="00CF3594">
        <w:rPr>
          <w:rFonts w:asciiTheme="minorHAnsi" w:hAnsiTheme="minorHAnsi" w:cstheme="minorHAnsi"/>
        </w:rPr>
        <w:t xml:space="preserve">WA and QLD have developed </w:t>
      </w:r>
      <w:proofErr w:type="spellStart"/>
      <w:r w:rsidRPr="00CF3594">
        <w:rPr>
          <w:rFonts w:asciiTheme="minorHAnsi" w:hAnsiTheme="minorHAnsi" w:cstheme="minorHAnsi"/>
        </w:rPr>
        <w:t>haemovigilance</w:t>
      </w:r>
      <w:proofErr w:type="spellEnd"/>
      <w:r w:rsidRPr="00CF3594">
        <w:rPr>
          <w:rFonts w:asciiTheme="minorHAnsi" w:hAnsiTheme="minorHAnsi" w:cstheme="minorHAnsi"/>
        </w:rPr>
        <w:t xml:space="preserve"> data collection tools to support</w:t>
      </w:r>
      <w:r w:rsidR="001D0084">
        <w:rPr>
          <w:rFonts w:asciiTheme="minorHAnsi" w:hAnsiTheme="minorHAnsi" w:cstheme="minorHAnsi"/>
        </w:rPr>
        <w:t xml:space="preserve"> </w:t>
      </w:r>
      <w:r w:rsidR="00E56D6F">
        <w:rPr>
          <w:rFonts w:asciiTheme="minorHAnsi" w:hAnsiTheme="minorHAnsi" w:cstheme="minorHAnsi"/>
        </w:rPr>
        <w:t>both</w:t>
      </w:r>
      <w:r w:rsidR="000F60C0">
        <w:rPr>
          <w:rFonts w:asciiTheme="minorHAnsi" w:hAnsiTheme="minorHAnsi" w:cstheme="minorHAnsi"/>
        </w:rPr>
        <w:t xml:space="preserve"> </w:t>
      </w:r>
      <w:r w:rsidR="001D0084">
        <w:rPr>
          <w:rFonts w:asciiTheme="minorHAnsi" w:hAnsiTheme="minorHAnsi" w:cstheme="minorHAnsi"/>
        </w:rPr>
        <w:t xml:space="preserve">public and </w:t>
      </w:r>
      <w:r w:rsidR="00CF3594">
        <w:rPr>
          <w:rFonts w:asciiTheme="minorHAnsi" w:hAnsiTheme="minorHAnsi" w:cstheme="minorHAnsi"/>
        </w:rPr>
        <w:t>private</w:t>
      </w:r>
      <w:r w:rsidRPr="00CF3594">
        <w:rPr>
          <w:rFonts w:asciiTheme="minorHAnsi" w:hAnsiTheme="minorHAnsi" w:cstheme="minorHAnsi"/>
        </w:rPr>
        <w:t xml:space="preserve"> </w:t>
      </w:r>
      <w:r w:rsidR="00FF7E81">
        <w:rPr>
          <w:rFonts w:asciiTheme="minorHAnsi" w:hAnsiTheme="minorHAnsi" w:cstheme="minorHAnsi"/>
        </w:rPr>
        <w:t>health service providers</w:t>
      </w:r>
      <w:r w:rsidRPr="00CF3594">
        <w:rPr>
          <w:rFonts w:asciiTheme="minorHAnsi" w:hAnsiTheme="minorHAnsi" w:cstheme="minorHAnsi"/>
        </w:rPr>
        <w:t xml:space="preserve"> to col</w:t>
      </w:r>
      <w:r w:rsidR="001D0084" w:rsidRPr="00CF3594">
        <w:rPr>
          <w:rFonts w:asciiTheme="minorHAnsi" w:hAnsiTheme="minorHAnsi" w:cstheme="minorHAnsi"/>
        </w:rPr>
        <w:t>lect and report adverse events to state</w:t>
      </w:r>
      <w:r w:rsidR="00E56D6F">
        <w:rPr>
          <w:rFonts w:asciiTheme="minorHAnsi" w:hAnsiTheme="minorHAnsi" w:cstheme="minorHAnsi"/>
        </w:rPr>
        <w:t>/territory</w:t>
      </w:r>
      <w:r w:rsidR="001D0084" w:rsidRPr="00CF3594">
        <w:rPr>
          <w:rFonts w:asciiTheme="minorHAnsi" w:hAnsiTheme="minorHAnsi" w:cstheme="minorHAnsi"/>
        </w:rPr>
        <w:t xml:space="preserve"> and national </w:t>
      </w:r>
      <w:proofErr w:type="spellStart"/>
      <w:r w:rsidR="001D0084">
        <w:rPr>
          <w:rFonts w:asciiTheme="minorHAnsi" w:hAnsiTheme="minorHAnsi" w:cstheme="minorHAnsi"/>
        </w:rPr>
        <w:t>h</w:t>
      </w:r>
      <w:r w:rsidR="001D0084" w:rsidRPr="006133F4">
        <w:rPr>
          <w:rFonts w:asciiTheme="minorHAnsi" w:hAnsiTheme="minorHAnsi" w:cstheme="minorHAnsi"/>
        </w:rPr>
        <w:t>aem</w:t>
      </w:r>
      <w:r w:rsidR="001D0084" w:rsidRPr="001D0084">
        <w:rPr>
          <w:rFonts w:asciiTheme="minorHAnsi" w:hAnsiTheme="minorHAnsi" w:cstheme="minorHAnsi"/>
        </w:rPr>
        <w:t>ovigilance</w:t>
      </w:r>
      <w:proofErr w:type="spellEnd"/>
      <w:r w:rsidR="001D0084" w:rsidRPr="00CF3594">
        <w:rPr>
          <w:rFonts w:asciiTheme="minorHAnsi" w:hAnsiTheme="minorHAnsi" w:cstheme="minorHAnsi"/>
        </w:rPr>
        <w:t xml:space="preserve"> programs.</w:t>
      </w:r>
    </w:p>
    <w:p w:rsidR="00D30EC2" w:rsidRDefault="00D30EC2" w:rsidP="0096249F">
      <w:pPr>
        <w:pStyle w:val="ListParagraph"/>
        <w:numPr>
          <w:ilvl w:val="0"/>
          <w:numId w:val="31"/>
        </w:numPr>
        <w:spacing w:before="200"/>
        <w:rPr>
          <w:rFonts w:asciiTheme="minorHAnsi" w:hAnsiTheme="minorHAnsi" w:cstheme="minorHAnsi"/>
        </w:rPr>
      </w:pPr>
      <w:r>
        <w:rPr>
          <w:rFonts w:asciiTheme="minorHAnsi" w:hAnsiTheme="minorHAnsi" w:cstheme="minorHAnsi"/>
        </w:rPr>
        <w:t xml:space="preserve">The NBA and HAC </w:t>
      </w:r>
      <w:r w:rsidR="00C01B95">
        <w:rPr>
          <w:rFonts w:asciiTheme="minorHAnsi" w:hAnsiTheme="minorHAnsi" w:cstheme="minorHAnsi"/>
        </w:rPr>
        <w:t>will</w:t>
      </w:r>
      <w:r>
        <w:rPr>
          <w:rFonts w:asciiTheme="minorHAnsi" w:hAnsiTheme="minorHAnsi" w:cstheme="minorHAnsi"/>
        </w:rPr>
        <w:t xml:space="preserve"> d</w:t>
      </w:r>
      <w:r w:rsidRPr="00D30EC2">
        <w:rPr>
          <w:rFonts w:asciiTheme="minorHAnsi" w:hAnsiTheme="minorHAnsi" w:cstheme="minorHAnsi"/>
        </w:rPr>
        <w:t>evelop guidance on how to run a</w:t>
      </w:r>
      <w:r w:rsidR="00C01B95">
        <w:rPr>
          <w:rFonts w:asciiTheme="minorHAnsi" w:hAnsiTheme="minorHAnsi" w:cstheme="minorHAnsi"/>
        </w:rPr>
        <w:t>n</w:t>
      </w:r>
      <w:r w:rsidRPr="00D30EC2">
        <w:rPr>
          <w:rFonts w:asciiTheme="minorHAnsi" w:hAnsiTheme="minorHAnsi" w:cstheme="minorHAnsi"/>
        </w:rPr>
        <w:t xml:space="preserve"> independent </w:t>
      </w:r>
      <w:proofErr w:type="spellStart"/>
      <w:r w:rsidR="00C01B95" w:rsidRPr="00D30EC2">
        <w:rPr>
          <w:rFonts w:asciiTheme="minorHAnsi" w:hAnsiTheme="minorHAnsi" w:cstheme="minorHAnsi"/>
        </w:rPr>
        <w:t>haemovigilance</w:t>
      </w:r>
      <w:proofErr w:type="spellEnd"/>
      <w:r w:rsidR="00C01B95" w:rsidRPr="00D30EC2">
        <w:rPr>
          <w:rFonts w:asciiTheme="minorHAnsi" w:hAnsiTheme="minorHAnsi" w:cstheme="minorHAnsi"/>
        </w:rPr>
        <w:t xml:space="preserve"> </w:t>
      </w:r>
      <w:r w:rsidRPr="00D30EC2">
        <w:rPr>
          <w:rFonts w:asciiTheme="minorHAnsi" w:hAnsiTheme="minorHAnsi" w:cstheme="minorHAnsi"/>
        </w:rPr>
        <w:t>review at national, state, LHN/HH</w:t>
      </w:r>
      <w:r w:rsidR="00C01B95">
        <w:rPr>
          <w:rFonts w:asciiTheme="minorHAnsi" w:hAnsiTheme="minorHAnsi" w:cstheme="minorHAnsi"/>
        </w:rPr>
        <w:t>S</w:t>
      </w:r>
      <w:r w:rsidRPr="00D30EC2">
        <w:rPr>
          <w:rFonts w:asciiTheme="minorHAnsi" w:hAnsiTheme="minorHAnsi" w:cstheme="minorHAnsi"/>
        </w:rPr>
        <w:t xml:space="preserve"> and </w:t>
      </w:r>
      <w:r w:rsidR="001022C0">
        <w:rPr>
          <w:rFonts w:asciiTheme="minorHAnsi" w:hAnsiTheme="minorHAnsi" w:cstheme="minorHAnsi"/>
        </w:rPr>
        <w:t xml:space="preserve">health service provider </w:t>
      </w:r>
      <w:r w:rsidRPr="00D30EC2">
        <w:rPr>
          <w:rFonts w:asciiTheme="minorHAnsi" w:hAnsiTheme="minorHAnsi" w:cstheme="minorHAnsi"/>
        </w:rPr>
        <w:t>level</w:t>
      </w:r>
      <w:r w:rsidR="00167723">
        <w:rPr>
          <w:rFonts w:asciiTheme="minorHAnsi" w:hAnsiTheme="minorHAnsi" w:cstheme="minorHAnsi"/>
        </w:rPr>
        <w:t>.</w:t>
      </w:r>
    </w:p>
    <w:p w:rsidR="009C2ECF" w:rsidRDefault="009C2ECF" w:rsidP="0096249F">
      <w:pPr>
        <w:pStyle w:val="ListParagraph"/>
        <w:numPr>
          <w:ilvl w:val="0"/>
          <w:numId w:val="31"/>
        </w:numPr>
        <w:spacing w:before="200"/>
        <w:rPr>
          <w:rFonts w:asciiTheme="minorHAnsi" w:hAnsiTheme="minorHAnsi" w:cstheme="minorHAnsi"/>
        </w:rPr>
      </w:pPr>
      <w:r>
        <w:rPr>
          <w:rFonts w:asciiTheme="minorHAnsi" w:hAnsiTheme="minorHAnsi" w:cstheme="minorHAnsi"/>
        </w:rPr>
        <w:t xml:space="preserve">The NBA and HAC will develop and publish audit tools </w:t>
      </w:r>
      <w:r w:rsidR="00D30EC2">
        <w:rPr>
          <w:rFonts w:asciiTheme="minorHAnsi" w:hAnsiTheme="minorHAnsi" w:cstheme="minorHAnsi"/>
        </w:rPr>
        <w:t>to improve</w:t>
      </w:r>
      <w:r>
        <w:rPr>
          <w:rFonts w:asciiTheme="minorHAnsi" w:hAnsiTheme="minorHAnsi" w:cstheme="minorHAnsi"/>
        </w:rPr>
        <w:t xml:space="preserve"> </w:t>
      </w:r>
      <w:proofErr w:type="spellStart"/>
      <w:r>
        <w:rPr>
          <w:rFonts w:asciiTheme="minorHAnsi" w:hAnsiTheme="minorHAnsi" w:cstheme="minorHAnsi"/>
        </w:rPr>
        <w:t>haemovigilance</w:t>
      </w:r>
      <w:proofErr w:type="spellEnd"/>
      <w:r>
        <w:rPr>
          <w:rFonts w:asciiTheme="minorHAnsi" w:hAnsiTheme="minorHAnsi" w:cstheme="minorHAnsi"/>
        </w:rPr>
        <w:t xml:space="preserve"> reporting</w:t>
      </w:r>
      <w:r w:rsidR="00D30EC2">
        <w:rPr>
          <w:rFonts w:asciiTheme="minorHAnsi" w:hAnsiTheme="minorHAnsi" w:cstheme="minorHAnsi"/>
        </w:rPr>
        <w:t>.</w:t>
      </w:r>
    </w:p>
    <w:p w:rsidR="00531FA0" w:rsidRDefault="001D0084" w:rsidP="0096249F">
      <w:pPr>
        <w:pStyle w:val="ListParagraph"/>
        <w:numPr>
          <w:ilvl w:val="0"/>
          <w:numId w:val="31"/>
        </w:numPr>
        <w:spacing w:before="200"/>
        <w:rPr>
          <w:rFonts w:asciiTheme="minorHAnsi" w:hAnsiTheme="minorHAnsi" w:cstheme="minorHAnsi"/>
        </w:rPr>
      </w:pPr>
      <w:r w:rsidRPr="00CF3594">
        <w:rPr>
          <w:rFonts w:asciiTheme="minorHAnsi" w:hAnsiTheme="minorHAnsi" w:cstheme="minorHAnsi"/>
        </w:rPr>
        <w:t xml:space="preserve">The HAC </w:t>
      </w:r>
      <w:r w:rsidR="00C01B95">
        <w:rPr>
          <w:rFonts w:asciiTheme="minorHAnsi" w:hAnsiTheme="minorHAnsi" w:cstheme="minorHAnsi"/>
        </w:rPr>
        <w:t>will</w:t>
      </w:r>
      <w:r w:rsidR="00D30EC2" w:rsidRPr="00CF3594">
        <w:rPr>
          <w:rFonts w:asciiTheme="minorHAnsi" w:hAnsiTheme="minorHAnsi" w:cstheme="minorHAnsi"/>
        </w:rPr>
        <w:t xml:space="preserve"> </w:t>
      </w:r>
      <w:r w:rsidRPr="00CF3594">
        <w:rPr>
          <w:rFonts w:asciiTheme="minorHAnsi" w:hAnsiTheme="minorHAnsi" w:cstheme="minorHAnsi"/>
        </w:rPr>
        <w:t>establish working groups in 201</w:t>
      </w:r>
      <w:r w:rsidR="00A44126">
        <w:rPr>
          <w:rFonts w:asciiTheme="minorHAnsi" w:hAnsiTheme="minorHAnsi" w:cstheme="minorHAnsi"/>
        </w:rPr>
        <w:t>6</w:t>
      </w:r>
      <w:r w:rsidRPr="00CF3594">
        <w:rPr>
          <w:rFonts w:asciiTheme="minorHAnsi" w:hAnsiTheme="minorHAnsi" w:cstheme="minorHAnsi"/>
        </w:rPr>
        <w:t>–1</w:t>
      </w:r>
      <w:r w:rsidR="00A44126">
        <w:rPr>
          <w:rFonts w:asciiTheme="minorHAnsi" w:hAnsiTheme="minorHAnsi" w:cstheme="minorHAnsi"/>
        </w:rPr>
        <w:t>7</w:t>
      </w:r>
      <w:r w:rsidRPr="00CF3594">
        <w:rPr>
          <w:rFonts w:asciiTheme="minorHAnsi" w:hAnsiTheme="minorHAnsi" w:cstheme="minorHAnsi"/>
        </w:rPr>
        <w:t xml:space="preserve"> to facilitate and evaluate the implementation of </w:t>
      </w:r>
      <w:r w:rsidR="00E56D6F">
        <w:rPr>
          <w:rFonts w:asciiTheme="minorHAnsi" w:hAnsiTheme="minorHAnsi" w:cstheme="minorHAnsi"/>
        </w:rPr>
        <w:t xml:space="preserve">the </w:t>
      </w:r>
      <w:r w:rsidRPr="00CF3594">
        <w:rPr>
          <w:rFonts w:asciiTheme="minorHAnsi" w:hAnsiTheme="minorHAnsi" w:cstheme="minorHAnsi"/>
        </w:rPr>
        <w:t>AHMDS and improve data analysis for the next report.</w:t>
      </w:r>
    </w:p>
    <w:p w:rsidR="009C2ECF" w:rsidRDefault="009C2ECF" w:rsidP="0096249F">
      <w:pPr>
        <w:pStyle w:val="ListParagraph"/>
        <w:numPr>
          <w:ilvl w:val="0"/>
          <w:numId w:val="31"/>
        </w:numPr>
        <w:spacing w:before="200"/>
        <w:rPr>
          <w:rFonts w:asciiTheme="minorHAnsi" w:hAnsiTheme="minorHAnsi" w:cstheme="minorHAnsi"/>
        </w:rPr>
      </w:pPr>
      <w:r>
        <w:rPr>
          <w:rFonts w:asciiTheme="minorHAnsi" w:hAnsiTheme="minorHAnsi" w:cstheme="minorHAnsi"/>
        </w:rPr>
        <w:t>T</w:t>
      </w:r>
      <w:r w:rsidR="00D30EC2">
        <w:rPr>
          <w:rFonts w:asciiTheme="minorHAnsi" w:hAnsiTheme="minorHAnsi" w:cstheme="minorHAnsi"/>
        </w:rPr>
        <w:t>he Blood Service is developing the Guidance</w:t>
      </w:r>
      <w:r w:rsidRPr="009C2ECF">
        <w:rPr>
          <w:rFonts w:asciiTheme="minorHAnsi" w:hAnsiTheme="minorHAnsi" w:cstheme="minorHAnsi"/>
        </w:rPr>
        <w:t xml:space="preserve"> on Recognition and Management of Acute Transfusion Related Adverse</w:t>
      </w:r>
      <w:r>
        <w:rPr>
          <w:rFonts w:asciiTheme="minorHAnsi" w:hAnsiTheme="minorHAnsi" w:cstheme="minorHAnsi"/>
        </w:rPr>
        <w:t xml:space="preserve"> Events.</w:t>
      </w:r>
    </w:p>
    <w:p w:rsidR="009C2ECF" w:rsidRDefault="009C2ECF" w:rsidP="0096249F">
      <w:pPr>
        <w:pStyle w:val="ListParagraph"/>
        <w:numPr>
          <w:ilvl w:val="0"/>
          <w:numId w:val="31"/>
        </w:numPr>
        <w:spacing w:before="200"/>
        <w:rPr>
          <w:rFonts w:asciiTheme="minorHAnsi" w:hAnsiTheme="minorHAnsi" w:cstheme="minorHAnsi"/>
        </w:rPr>
      </w:pPr>
      <w:r>
        <w:rPr>
          <w:rFonts w:asciiTheme="minorHAnsi" w:hAnsiTheme="minorHAnsi" w:cstheme="minorHAnsi"/>
        </w:rPr>
        <w:t xml:space="preserve">The Blood Service </w:t>
      </w:r>
      <w:r w:rsidR="00D30EC2">
        <w:rPr>
          <w:rFonts w:asciiTheme="minorHAnsi" w:hAnsiTheme="minorHAnsi" w:cstheme="minorHAnsi"/>
        </w:rPr>
        <w:t xml:space="preserve">is working </w:t>
      </w:r>
      <w:r w:rsidR="00C01B95">
        <w:rPr>
          <w:rFonts w:asciiTheme="minorHAnsi" w:hAnsiTheme="minorHAnsi" w:cstheme="minorHAnsi"/>
        </w:rPr>
        <w:t xml:space="preserve">with </w:t>
      </w:r>
      <w:r>
        <w:rPr>
          <w:rFonts w:asciiTheme="minorHAnsi" w:hAnsiTheme="minorHAnsi" w:cstheme="minorHAnsi"/>
        </w:rPr>
        <w:t>st</w:t>
      </w:r>
      <w:r w:rsidR="00D30EC2">
        <w:rPr>
          <w:rFonts w:asciiTheme="minorHAnsi" w:hAnsiTheme="minorHAnsi" w:cstheme="minorHAnsi"/>
        </w:rPr>
        <w:t xml:space="preserve">ates/territories on the </w:t>
      </w:r>
      <w:r w:rsidR="00D30EC2" w:rsidRPr="00D30EC2">
        <w:rPr>
          <w:rFonts w:asciiTheme="minorHAnsi" w:hAnsiTheme="minorHAnsi" w:cstheme="minorHAnsi"/>
        </w:rPr>
        <w:t>reconciliation process</w:t>
      </w:r>
      <w:r w:rsidR="00D30EC2">
        <w:rPr>
          <w:rFonts w:asciiTheme="minorHAnsi" w:hAnsiTheme="minorHAnsi" w:cstheme="minorHAnsi"/>
        </w:rPr>
        <w:t xml:space="preserve"> for</w:t>
      </w:r>
      <w:r w:rsidR="00D30EC2" w:rsidRPr="00D30EC2">
        <w:rPr>
          <w:rFonts w:asciiTheme="minorHAnsi" w:hAnsiTheme="minorHAnsi" w:cstheme="minorHAnsi"/>
        </w:rPr>
        <w:t xml:space="preserve"> adverse event data</w:t>
      </w:r>
      <w:r w:rsidR="00D30EC2">
        <w:rPr>
          <w:rFonts w:asciiTheme="minorHAnsi" w:hAnsiTheme="minorHAnsi" w:cstheme="minorHAnsi"/>
        </w:rPr>
        <w:t>.</w:t>
      </w:r>
    </w:p>
    <w:p w:rsidR="009C2ECF" w:rsidRPr="006133F4" w:rsidRDefault="00D30EC2" w:rsidP="0096249F">
      <w:pPr>
        <w:pStyle w:val="ListParagraph"/>
        <w:numPr>
          <w:ilvl w:val="0"/>
          <w:numId w:val="31"/>
        </w:numPr>
        <w:spacing w:before="200"/>
        <w:rPr>
          <w:rFonts w:asciiTheme="minorHAnsi" w:hAnsiTheme="minorHAnsi" w:cstheme="minorHAnsi"/>
        </w:rPr>
      </w:pPr>
      <w:r>
        <w:rPr>
          <w:rFonts w:asciiTheme="minorHAnsi" w:hAnsiTheme="minorHAnsi" w:cstheme="minorHAnsi"/>
        </w:rPr>
        <w:t xml:space="preserve">The NBA and HAC </w:t>
      </w:r>
      <w:r w:rsidR="00C01B95">
        <w:rPr>
          <w:rFonts w:asciiTheme="minorHAnsi" w:hAnsiTheme="minorHAnsi" w:cstheme="minorHAnsi"/>
        </w:rPr>
        <w:t>will</w:t>
      </w:r>
      <w:r>
        <w:rPr>
          <w:rFonts w:asciiTheme="minorHAnsi" w:hAnsiTheme="minorHAnsi" w:cstheme="minorHAnsi"/>
        </w:rPr>
        <w:t xml:space="preserve"> consider including near</w:t>
      </w:r>
      <w:r w:rsidR="00C01B95">
        <w:rPr>
          <w:rFonts w:asciiTheme="minorHAnsi" w:hAnsiTheme="minorHAnsi" w:cstheme="minorHAnsi"/>
        </w:rPr>
        <w:t>-</w:t>
      </w:r>
      <w:r>
        <w:rPr>
          <w:rFonts w:asciiTheme="minorHAnsi" w:hAnsiTheme="minorHAnsi" w:cstheme="minorHAnsi"/>
        </w:rPr>
        <w:t>misses and Anti-D data in the national reporting.</w:t>
      </w:r>
    </w:p>
    <w:p w:rsidR="00531FA0" w:rsidRDefault="00531FA0" w:rsidP="00C94185">
      <w:r>
        <w:br w:type="page"/>
      </w:r>
    </w:p>
    <w:p w:rsidR="002166F5" w:rsidRPr="00455329" w:rsidRDefault="002166F5" w:rsidP="002166F5">
      <w:pPr>
        <w:pStyle w:val="Heading2"/>
      </w:pPr>
      <w:bookmarkStart w:id="64" w:name="_Toc459366166"/>
      <w:r w:rsidRPr="00455329">
        <w:lastRenderedPageBreak/>
        <w:t>Febrile non</w:t>
      </w:r>
      <w:r w:rsidRPr="00455329">
        <w:noBreakHyphen/>
        <w:t>haemolytic transfusion reaction (FNHTR)</w:t>
      </w:r>
      <w:bookmarkEnd w:id="64"/>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117984" w:rsidRPr="00E55646" w:rsidTr="009E4A39">
        <w:tc>
          <w:tcPr>
            <w:tcW w:w="3208" w:type="dxa"/>
            <w:gridSpan w:val="2"/>
            <w:shd w:val="clear" w:color="auto" w:fill="FF0000"/>
            <w:hideMark/>
          </w:tcPr>
          <w:p w:rsidR="00117984" w:rsidRPr="00E55646" w:rsidRDefault="00117984" w:rsidP="009E4A39">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w:t>
            </w:r>
            <w:r w:rsidRPr="00333D25">
              <w:rPr>
                <w:rFonts w:asciiTheme="minorHAnsi" w:eastAsia="Times New Roman" w:hAnsiTheme="minorHAnsi" w:cstheme="minorHAnsi"/>
                <w:b/>
                <w:color w:val="FFFFFF"/>
                <w:sz w:val="20"/>
                <w:szCs w:val="20"/>
                <w:lang w:eastAsia="en-AU"/>
              </w:rPr>
              <w:t>337</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117984" w:rsidRPr="00E55646" w:rsidRDefault="00117984" w:rsidP="009E4A39">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109</w:t>
            </w:r>
          </w:p>
        </w:tc>
        <w:tc>
          <w:tcPr>
            <w:tcW w:w="2378" w:type="dxa"/>
            <w:gridSpan w:val="3"/>
            <w:tcBorders>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263</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93</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74</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2" w:type="dxa"/>
            <w:gridSpan w:val="3"/>
            <w:tcBorders>
              <w:top w:val="single" w:sz="4" w:space="0" w:color="auto"/>
            </w:tcBorders>
            <w:shd w:val="clear" w:color="auto" w:fill="auto"/>
            <w:vAlign w:val="bottom"/>
            <w:hideMark/>
          </w:tcPr>
          <w:p w:rsidR="00117984" w:rsidRPr="00E55646"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135</w:t>
            </w:r>
          </w:p>
        </w:tc>
        <w:tc>
          <w:tcPr>
            <w:tcW w:w="2378" w:type="dxa"/>
            <w:gridSpan w:val="3"/>
            <w:tcBorders>
              <w:top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2" w:type="dxa"/>
            <w:gridSpan w:val="3"/>
            <w:shd w:val="clear" w:color="auto" w:fill="BFBFBF" w:themeFill="background1" w:themeFillShade="BF"/>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23</w:t>
            </w:r>
          </w:p>
        </w:tc>
        <w:tc>
          <w:tcPr>
            <w:tcW w:w="2372" w:type="dxa"/>
            <w:gridSpan w:val="3"/>
            <w:tcBorders>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167</w:t>
            </w:r>
          </w:p>
        </w:tc>
        <w:tc>
          <w:tcPr>
            <w:tcW w:w="2378" w:type="dxa"/>
            <w:gridSpan w:val="3"/>
            <w:tcBorders>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139</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27</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21</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82</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61</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16</w:t>
            </w:r>
          </w:p>
        </w:tc>
        <w:tc>
          <w:tcPr>
            <w:tcW w:w="2378" w:type="dxa"/>
            <w:gridSpan w:val="3"/>
            <w:tcBorders>
              <w:top w:val="single" w:sz="4" w:space="0" w:color="auto"/>
              <w:bottom w:val="single" w:sz="4" w:space="0" w:color="auto"/>
            </w:tcBorders>
            <w:shd w:val="clear" w:color="auto" w:fill="auto"/>
          </w:tcPr>
          <w:p w:rsidR="00117984" w:rsidRPr="00E55646" w:rsidRDefault="00605288" w:rsidP="009E4A39">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116</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78</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119</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1C2470" w:rsidTr="009E4A39">
        <w:tc>
          <w:tcPr>
            <w:tcW w:w="2658" w:type="dxa"/>
            <w:tcBorders>
              <w:top w:val="single" w:sz="4" w:space="0" w:color="auto"/>
            </w:tcBorders>
            <w:shd w:val="clear" w:color="auto" w:fill="auto"/>
            <w:vAlign w:val="bottom"/>
          </w:tcPr>
          <w:p w:rsidR="00117984" w:rsidRPr="001C2470" w:rsidRDefault="00117984" w:rsidP="009E4A39">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2" w:type="dxa"/>
            <w:gridSpan w:val="3"/>
            <w:tcBorders>
              <w:top w:val="single" w:sz="4" w:space="0" w:color="auto"/>
            </w:tcBorders>
            <w:shd w:val="clear" w:color="auto" w:fill="auto"/>
            <w:vAlign w:val="bottom"/>
          </w:tcPr>
          <w:p w:rsidR="00117984" w:rsidRPr="001C2470"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133</w:t>
            </w:r>
          </w:p>
        </w:tc>
        <w:tc>
          <w:tcPr>
            <w:tcW w:w="2378" w:type="dxa"/>
            <w:gridSpan w:val="3"/>
            <w:tcBorders>
              <w:top w:val="single" w:sz="4" w:space="0" w:color="auto"/>
            </w:tcBorders>
            <w:shd w:val="clear" w:color="auto" w:fill="auto"/>
          </w:tcPr>
          <w:p w:rsidR="00117984" w:rsidRPr="001C2470"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Pr="001C2470"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bookmarkStart w:id="65" w:name="_Hlk260739093"/>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r>
      <w:bookmarkEnd w:id="65"/>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14</w:t>
            </w:r>
          </w:p>
        </w:tc>
        <w:tc>
          <w:tcPr>
            <w:tcW w:w="2378"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117984" w:rsidRDefault="00365E95"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773683">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threatening</w:t>
            </w:r>
          </w:p>
        </w:tc>
        <w:tc>
          <w:tcPr>
            <w:tcW w:w="550" w:type="dxa"/>
            <w:tcBorders>
              <w:top w:val="single" w:sz="4" w:space="0" w:color="auto"/>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223</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117984" w:rsidRDefault="00365E95" w:rsidP="00591DDA">
            <w:pPr>
              <w:autoSpaceDE w:val="0"/>
              <w:autoSpaceDN w:val="0"/>
              <w:adjustRightInd w:val="0"/>
              <w:spacing w:after="0"/>
              <w:jc w:val="right"/>
              <w:rPr>
                <w:rFonts w:eastAsiaTheme="minorHAnsi"/>
                <w:color w:val="000000"/>
                <w:sz w:val="20"/>
                <w:szCs w:val="20"/>
              </w:rPr>
            </w:pPr>
            <w:r>
              <w:rPr>
                <w:rFonts w:eastAsiaTheme="minorHAnsi"/>
                <w:color w:val="000000"/>
                <w:sz w:val="20"/>
                <w:szCs w:val="20"/>
              </w:rPr>
              <w:t>306</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67</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22</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289</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35</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21</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799"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117984" w:rsidRPr="00E55646" w:rsidRDefault="002F0CDE"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6C1A6C" w:rsidRDefault="00117984" w:rsidP="009E4A39">
            <w:pPr>
              <w:spacing w:after="0"/>
              <w:rPr>
                <w:rFonts w:asciiTheme="minorHAnsi" w:eastAsia="Times New Roman" w:hAnsiTheme="minorHAnsi" w:cstheme="minorHAnsi"/>
                <w:sz w:val="20"/>
                <w:szCs w:val="20"/>
                <w:lang w:eastAsia="en-AU"/>
              </w:rPr>
            </w:pPr>
          </w:p>
        </w:tc>
        <w:tc>
          <w:tcPr>
            <w:tcW w:w="550"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c>
          <w:tcPr>
            <w:tcW w:w="799"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tcPr>
          <w:p w:rsidR="00117984" w:rsidRDefault="007D6B6B"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117984" w:rsidRDefault="00117984"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2</w:t>
            </w:r>
          </w:p>
        </w:tc>
      </w:tr>
    </w:tbl>
    <w:p w:rsidR="00117984" w:rsidRPr="008C3A7A" w:rsidRDefault="00117984" w:rsidP="00117984">
      <w:p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605288" w:rsidRDefault="00605288" w:rsidP="0096249F">
      <w:pPr>
        <w:numPr>
          <w:ilvl w:val="0"/>
          <w:numId w:val="3"/>
        </w:numPr>
        <w:spacing w:before="40" w:after="40" w:line="180" w:lineRule="atLeast"/>
        <w:contextualSpacing/>
        <w:rPr>
          <w:rFonts w:asciiTheme="minorHAnsi" w:eastAsiaTheme="minorEastAsia" w:hAnsiTheme="minorHAnsi" w:cstheme="minorHAnsi"/>
          <w:sz w:val="18"/>
          <w:szCs w:val="18"/>
          <w:lang w:eastAsia="en-AU"/>
        </w:rPr>
      </w:pPr>
      <w:r w:rsidRPr="007D6B6B">
        <w:rPr>
          <w:rFonts w:asciiTheme="minorHAnsi" w:eastAsiaTheme="minorEastAsia" w:hAnsiTheme="minorHAnsi" w:cstheme="minorHAnsi"/>
          <w:sz w:val="18"/>
          <w:szCs w:val="18"/>
          <w:lang w:eastAsia="en-AU"/>
        </w:rPr>
        <w:t xml:space="preserve">NSW did not report sex </w:t>
      </w:r>
      <w:r w:rsidR="00117984" w:rsidRPr="00946083">
        <w:rPr>
          <w:rFonts w:asciiTheme="minorHAnsi" w:eastAsiaTheme="minorEastAsia" w:hAnsiTheme="minorHAnsi" w:cstheme="minorHAnsi"/>
          <w:sz w:val="18"/>
          <w:szCs w:val="18"/>
          <w:lang w:eastAsia="en-AU"/>
        </w:rPr>
        <w:t>and facility location data</w:t>
      </w:r>
    </w:p>
    <w:p w:rsidR="00117984" w:rsidRPr="007D6B6B" w:rsidRDefault="00605288" w:rsidP="0096249F">
      <w:pPr>
        <w:numPr>
          <w:ilvl w:val="0"/>
          <w:numId w:val="3"/>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00117984" w:rsidRPr="007D6B6B">
        <w:rPr>
          <w:rFonts w:asciiTheme="minorHAnsi" w:eastAsiaTheme="minorEastAsia" w:hAnsiTheme="minorHAnsi" w:cstheme="minorHAnsi"/>
          <w:sz w:val="18"/>
          <w:szCs w:val="18"/>
          <w:lang w:eastAsia="en-AU"/>
        </w:rPr>
        <w:t>ime of transfusion data</w:t>
      </w:r>
    </w:p>
    <w:p w:rsidR="00605288" w:rsidRDefault="00605288" w:rsidP="0096249F">
      <w:pPr>
        <w:numPr>
          <w:ilvl w:val="0"/>
          <w:numId w:val="3"/>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w:t>
      </w:r>
      <w:r w:rsidR="007D6B6B">
        <w:rPr>
          <w:rFonts w:asciiTheme="minorHAnsi" w:eastAsiaTheme="minorEastAsia" w:hAnsiTheme="minorHAnsi" w:cstheme="minorHAnsi"/>
          <w:sz w:val="18"/>
          <w:szCs w:val="18"/>
          <w:lang w:eastAsia="en-AU"/>
        </w:rPr>
        <w:t>ed zero</w:t>
      </w:r>
      <w:r>
        <w:rPr>
          <w:rFonts w:asciiTheme="minorHAnsi" w:eastAsiaTheme="minorEastAsia" w:hAnsiTheme="minorHAnsi" w:cstheme="minorHAnsi"/>
          <w:sz w:val="18"/>
          <w:szCs w:val="18"/>
          <w:lang w:eastAsia="en-AU"/>
        </w:rPr>
        <w:t xml:space="preserve"> </w:t>
      </w:r>
      <w:r w:rsidR="001C43AE">
        <w:rPr>
          <w:rFonts w:asciiTheme="minorHAnsi" w:eastAsiaTheme="minorEastAsia" w:hAnsiTheme="minorHAnsi" w:cstheme="minorHAnsi"/>
          <w:sz w:val="18"/>
          <w:szCs w:val="18"/>
          <w:lang w:eastAsia="en-AU"/>
        </w:rPr>
        <w:t xml:space="preserve">adverse </w:t>
      </w:r>
      <w:r>
        <w:rPr>
          <w:rFonts w:asciiTheme="minorHAnsi" w:eastAsiaTheme="minorEastAsia" w:hAnsiTheme="minorHAnsi" w:cstheme="minorHAnsi"/>
          <w:sz w:val="18"/>
          <w:szCs w:val="18"/>
          <w:lang w:eastAsia="en-AU"/>
        </w:rPr>
        <w:t>events</w:t>
      </w:r>
    </w:p>
    <w:p w:rsidR="00117984" w:rsidRDefault="00117984" w:rsidP="0096249F">
      <w:pPr>
        <w:numPr>
          <w:ilvl w:val="0"/>
          <w:numId w:val="3"/>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sidR="00605288">
        <w:rPr>
          <w:rFonts w:asciiTheme="minorHAnsi" w:eastAsiaTheme="minorEastAsia" w:hAnsiTheme="minorHAnsi" w:cstheme="minorHAnsi"/>
          <w:sz w:val="18"/>
          <w:szCs w:val="18"/>
          <w:lang w:eastAsia="en-AU"/>
        </w:rPr>
        <w:t xml:space="preserve"> did not contribute data</w:t>
      </w:r>
    </w:p>
    <w:p w:rsidR="00117984" w:rsidRPr="0077447A" w:rsidRDefault="00117984" w:rsidP="00EC4AF3">
      <w:pPr>
        <w:spacing w:before="200" w:after="0"/>
        <w:rPr>
          <w:lang w:eastAsia="en-AU"/>
        </w:rPr>
      </w:pPr>
      <w:r w:rsidRPr="0077447A">
        <w:rPr>
          <w:lang w:eastAsia="en-AU"/>
        </w:rPr>
        <w:t>FNHTR</w:t>
      </w:r>
      <w:r w:rsidR="007D6B6B">
        <w:rPr>
          <w:lang w:eastAsia="en-AU"/>
        </w:rPr>
        <w:t xml:space="preserve"> </w:t>
      </w:r>
      <w:r w:rsidRPr="0077447A">
        <w:rPr>
          <w:lang w:eastAsia="en-AU"/>
        </w:rPr>
        <w:t>is the most common transfusion-related adverse event reported in Australia. In 2013–14:</w:t>
      </w:r>
    </w:p>
    <w:p w:rsidR="00117984" w:rsidRPr="0077447A" w:rsidRDefault="00117984" w:rsidP="0096249F">
      <w:pPr>
        <w:pStyle w:val="ListParagraph"/>
        <w:numPr>
          <w:ilvl w:val="0"/>
          <w:numId w:val="9"/>
        </w:numPr>
        <w:rPr>
          <w:lang w:eastAsia="en-AU"/>
        </w:rPr>
      </w:pPr>
      <w:r w:rsidRPr="0077447A">
        <w:rPr>
          <w:lang w:eastAsia="en-AU"/>
        </w:rPr>
        <w:t xml:space="preserve">337 FNHTRs were reported to the </w:t>
      </w:r>
      <w:r w:rsidR="00844CBE">
        <w:rPr>
          <w:lang w:eastAsia="en-AU"/>
        </w:rPr>
        <w:t>n</w:t>
      </w:r>
      <w:r w:rsidRPr="0077447A">
        <w:rPr>
          <w:lang w:eastAsia="en-AU"/>
        </w:rPr>
        <w:t xml:space="preserve">ational </w:t>
      </w:r>
      <w:proofErr w:type="spellStart"/>
      <w:r w:rsidR="00844CBE">
        <w:rPr>
          <w:lang w:eastAsia="en-AU"/>
        </w:rPr>
        <w:t>h</w:t>
      </w:r>
      <w:r w:rsidRPr="0077447A">
        <w:rPr>
          <w:lang w:eastAsia="en-AU"/>
        </w:rPr>
        <w:t>aemovigilance</w:t>
      </w:r>
      <w:proofErr w:type="spellEnd"/>
      <w:r w:rsidRPr="0077447A">
        <w:rPr>
          <w:lang w:eastAsia="en-AU"/>
        </w:rPr>
        <w:t xml:space="preserve"> </w:t>
      </w:r>
      <w:r w:rsidR="00844CBE">
        <w:rPr>
          <w:lang w:eastAsia="en-AU"/>
        </w:rPr>
        <w:t>p</w:t>
      </w:r>
      <w:r w:rsidRPr="0077447A">
        <w:rPr>
          <w:lang w:eastAsia="en-AU"/>
        </w:rPr>
        <w:t>rogram, accounting for more than half (54.6%) of the total reports (617) for this period.</w:t>
      </w:r>
    </w:p>
    <w:p w:rsidR="00117984" w:rsidRPr="0077447A" w:rsidRDefault="00117984" w:rsidP="0096249F">
      <w:pPr>
        <w:pStyle w:val="ListParagraph"/>
        <w:numPr>
          <w:ilvl w:val="0"/>
          <w:numId w:val="9"/>
        </w:numPr>
        <w:rPr>
          <w:lang w:eastAsia="en-AU"/>
        </w:rPr>
      </w:pPr>
      <w:r w:rsidRPr="0077447A">
        <w:rPr>
          <w:lang w:eastAsia="en-AU"/>
        </w:rPr>
        <w:t xml:space="preserve">Around 23.4% of FNHTRs (79) were assigned an </w:t>
      </w:r>
      <w:proofErr w:type="spellStart"/>
      <w:r w:rsidRPr="0077447A">
        <w:rPr>
          <w:lang w:eastAsia="en-AU"/>
        </w:rPr>
        <w:t>imputability</w:t>
      </w:r>
      <w:proofErr w:type="spellEnd"/>
      <w:r w:rsidRPr="0077447A">
        <w:rPr>
          <w:lang w:eastAsia="en-AU"/>
        </w:rPr>
        <w:t xml:space="preserve"> score of likely/probable or confirmed/certain, including one case with severe morbidity.</w:t>
      </w:r>
    </w:p>
    <w:p w:rsidR="00117984" w:rsidRPr="003A25C4" w:rsidRDefault="00117984" w:rsidP="003A25C4">
      <w:pPr>
        <w:pStyle w:val="Caption"/>
      </w:pPr>
      <w:bookmarkStart w:id="66" w:name="_Toc420835686"/>
      <w:bookmarkStart w:id="67" w:name="_Toc459636854"/>
      <w:r w:rsidRPr="003A25C4">
        <w:t xml:space="preserve">Table </w:t>
      </w:r>
      <w:fldSimple w:instr=" SEQ Table \* ARABIC ">
        <w:r w:rsidR="000010BC">
          <w:rPr>
            <w:noProof/>
          </w:rPr>
          <w:t>14</w:t>
        </w:r>
      </w:fldSimple>
      <w:r w:rsidRPr="003A25C4">
        <w:t xml:space="preserve">: FNHTR clinical outcome severity by </w:t>
      </w:r>
      <w:proofErr w:type="spellStart"/>
      <w:r w:rsidRPr="003A25C4">
        <w:t>imputability</w:t>
      </w:r>
      <w:proofErr w:type="spellEnd"/>
      <w:r w:rsidRPr="003A25C4">
        <w:t>, 2013–14</w:t>
      </w:r>
      <w:bookmarkEnd w:id="66"/>
      <w:bookmarkEnd w:id="67"/>
    </w:p>
    <w:tbl>
      <w:tblPr>
        <w:tblW w:w="0" w:type="auto"/>
        <w:tblInd w:w="108" w:type="dxa"/>
        <w:tblLook w:val="01E0" w:firstRow="1" w:lastRow="1" w:firstColumn="1" w:lastColumn="1" w:noHBand="0" w:noVBand="0"/>
      </w:tblPr>
      <w:tblGrid>
        <w:gridCol w:w="2169"/>
        <w:gridCol w:w="383"/>
        <w:gridCol w:w="686"/>
        <w:gridCol w:w="1235"/>
        <w:gridCol w:w="1252"/>
        <w:gridCol w:w="1301"/>
        <w:gridCol w:w="1334"/>
        <w:gridCol w:w="996"/>
      </w:tblGrid>
      <w:tr w:rsidR="00117984" w:rsidRPr="00E55646" w:rsidTr="009E4A39">
        <w:trPr>
          <w:trHeight w:val="244"/>
        </w:trPr>
        <w:tc>
          <w:tcPr>
            <w:tcW w:w="2552" w:type="dxa"/>
            <w:gridSpan w:val="2"/>
            <w:shd w:val="clear" w:color="auto" w:fill="FF0000"/>
            <w:vAlign w:val="center"/>
            <w:hideMark/>
          </w:tcPr>
          <w:p w:rsidR="00117984" w:rsidRPr="00E55646" w:rsidRDefault="00117984" w:rsidP="009E4A39">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c>
          <w:tcPr>
            <w:tcW w:w="5808" w:type="dxa"/>
            <w:gridSpan w:val="5"/>
            <w:shd w:val="clear" w:color="auto" w:fill="FF0000"/>
            <w:vAlign w:val="center"/>
            <w:hideMark/>
          </w:tcPr>
          <w:p w:rsidR="00117984" w:rsidRPr="00E55646" w:rsidRDefault="00117984" w:rsidP="009E4A39">
            <w:pPr>
              <w:spacing w:after="0"/>
              <w:jc w:val="center"/>
              <w:rPr>
                <w:rFonts w:asciiTheme="minorHAnsi" w:eastAsia="Times New Roman" w:hAnsiTheme="minorHAnsi" w:cstheme="minorHAnsi"/>
                <w:color w:val="FFFFFF"/>
                <w:sz w:val="20"/>
                <w:szCs w:val="20"/>
                <w:lang w:eastAsia="en-AU"/>
              </w:rPr>
            </w:pPr>
            <w:proofErr w:type="spellStart"/>
            <w:r w:rsidRPr="00E55646">
              <w:rPr>
                <w:rFonts w:asciiTheme="minorHAnsi" w:eastAsia="Times New Roman" w:hAnsiTheme="minorHAnsi" w:cstheme="minorHAnsi"/>
                <w:b/>
                <w:color w:val="FFFFFF"/>
                <w:sz w:val="20"/>
                <w:szCs w:val="20"/>
                <w:lang w:eastAsia="en-AU"/>
              </w:rPr>
              <w:t>Imputability</w:t>
            </w:r>
            <w:proofErr w:type="spellEnd"/>
          </w:p>
        </w:tc>
        <w:tc>
          <w:tcPr>
            <w:tcW w:w="996" w:type="dxa"/>
            <w:shd w:val="clear" w:color="auto" w:fill="FF0000"/>
            <w:vAlign w:val="center"/>
          </w:tcPr>
          <w:p w:rsidR="00117984" w:rsidRPr="00E12398" w:rsidRDefault="00117984" w:rsidP="00120782">
            <w:pPr>
              <w:spacing w:after="0"/>
              <w:jc w:val="right"/>
              <w:rPr>
                <w:rFonts w:asciiTheme="minorHAnsi" w:eastAsia="Times New Roman" w:hAnsiTheme="minorHAnsi" w:cstheme="minorHAnsi"/>
                <w:b/>
                <w:color w:val="FFFFFF"/>
                <w:sz w:val="20"/>
                <w:szCs w:val="20"/>
                <w:lang w:eastAsia="en-AU"/>
              </w:rPr>
            </w:pPr>
            <w:r w:rsidRPr="00E12398">
              <w:rPr>
                <w:rFonts w:asciiTheme="minorHAnsi" w:eastAsia="Times New Roman" w:hAnsiTheme="minorHAnsi" w:cstheme="minorHAnsi"/>
                <w:b/>
                <w:color w:val="FFFFFF"/>
                <w:sz w:val="20"/>
                <w:szCs w:val="20"/>
                <w:lang w:eastAsia="en-AU"/>
              </w:rPr>
              <w:t>Total</w:t>
            </w:r>
          </w:p>
        </w:tc>
      </w:tr>
      <w:tr w:rsidR="00117984" w:rsidRPr="00883299" w:rsidTr="009E4A39">
        <w:tc>
          <w:tcPr>
            <w:tcW w:w="2169" w:type="dxa"/>
            <w:tcBorders>
              <w:bottom w:val="single" w:sz="4" w:space="0" w:color="auto"/>
            </w:tcBorders>
            <w:shd w:val="clear" w:color="auto" w:fill="D9D9D9" w:themeFill="background1" w:themeFillShade="D9"/>
            <w:vAlign w:val="center"/>
          </w:tcPr>
          <w:p w:rsidR="00117984" w:rsidRPr="00883299" w:rsidRDefault="00117984" w:rsidP="009E4A39">
            <w:pPr>
              <w:spacing w:after="0"/>
              <w:jc w:val="center"/>
              <w:rPr>
                <w:rFonts w:asciiTheme="minorHAnsi" w:eastAsia="Times New Roman" w:hAnsiTheme="minorHAnsi" w:cstheme="minorHAnsi"/>
                <w:b/>
                <w:color w:val="FF0000"/>
                <w:sz w:val="20"/>
                <w:szCs w:val="20"/>
                <w:lang w:eastAsia="en-AU"/>
              </w:rPr>
            </w:pPr>
          </w:p>
        </w:tc>
        <w:tc>
          <w:tcPr>
            <w:tcW w:w="1069" w:type="dxa"/>
            <w:gridSpan w:val="2"/>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Excluded</w:t>
            </w:r>
            <w:r>
              <w:rPr>
                <w:rFonts w:asciiTheme="minorHAnsi" w:eastAsia="Times New Roman" w:hAnsiTheme="minorHAnsi" w:cstheme="minorHAnsi"/>
                <w:color w:val="FF0000"/>
                <w:sz w:val="20"/>
                <w:szCs w:val="20"/>
                <w:lang w:eastAsia="en-AU"/>
              </w:rPr>
              <w:t xml:space="preserve"> /</w:t>
            </w:r>
            <w:r w:rsidRPr="00883299">
              <w:rPr>
                <w:rFonts w:asciiTheme="minorHAnsi" w:eastAsia="Times New Roman" w:hAnsiTheme="minorHAnsi" w:cstheme="minorHAnsi"/>
                <w:color w:val="FF0000"/>
                <w:sz w:val="20"/>
                <w:szCs w:val="20"/>
                <w:lang w:eastAsia="en-AU"/>
              </w:rPr>
              <w:t xml:space="preserve"> Unlikely</w:t>
            </w:r>
          </w:p>
        </w:tc>
        <w:tc>
          <w:tcPr>
            <w:tcW w:w="1235" w:type="dxa"/>
            <w:tcBorders>
              <w:bottom w:val="single" w:sz="4" w:space="0" w:color="auto"/>
            </w:tcBorders>
            <w:shd w:val="clear" w:color="auto" w:fill="D9D9D9" w:themeFill="background1" w:themeFillShade="D9"/>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Possible</w:t>
            </w:r>
          </w:p>
        </w:tc>
        <w:tc>
          <w:tcPr>
            <w:tcW w:w="1252"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Likely / Probable</w:t>
            </w:r>
          </w:p>
        </w:tc>
        <w:tc>
          <w:tcPr>
            <w:tcW w:w="1301"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Confirmed / Certain</w:t>
            </w:r>
          </w:p>
        </w:tc>
        <w:tc>
          <w:tcPr>
            <w:tcW w:w="1334"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N/A /</w:t>
            </w:r>
            <w:r w:rsidRPr="00883299">
              <w:rPr>
                <w:rFonts w:asciiTheme="minorHAnsi" w:eastAsia="Times New Roman" w:hAnsiTheme="minorHAnsi" w:cstheme="minorHAnsi"/>
                <w:color w:val="FF0000"/>
                <w:sz w:val="20"/>
                <w:szCs w:val="20"/>
                <w:lang w:eastAsia="en-AU"/>
              </w:rPr>
              <w:t>Not assessable</w:t>
            </w:r>
          </w:p>
        </w:tc>
        <w:tc>
          <w:tcPr>
            <w:tcW w:w="996" w:type="dxa"/>
            <w:tcBorders>
              <w:bottom w:val="single" w:sz="4" w:space="0" w:color="auto"/>
            </w:tcBorders>
            <w:shd w:val="clear" w:color="auto" w:fill="D9D9D9" w:themeFill="background1" w:themeFillShade="D9"/>
            <w:vAlign w:val="center"/>
          </w:tcPr>
          <w:p w:rsidR="00117984" w:rsidRPr="00883299" w:rsidRDefault="00117984" w:rsidP="009E4A39">
            <w:pPr>
              <w:spacing w:after="0"/>
              <w:jc w:val="right"/>
              <w:rPr>
                <w:rFonts w:asciiTheme="minorHAnsi" w:eastAsia="Times New Roman" w:hAnsiTheme="minorHAnsi" w:cstheme="minorHAnsi"/>
                <w:b/>
                <w:color w:val="FF0000"/>
                <w:sz w:val="20"/>
                <w:szCs w:val="20"/>
                <w:lang w:eastAsia="en-AU"/>
              </w:rPr>
            </w:pPr>
          </w:p>
        </w:tc>
      </w:tr>
      <w:tr w:rsidR="00117984" w:rsidRPr="0057388B" w:rsidTr="009E4A39">
        <w:tc>
          <w:tcPr>
            <w:tcW w:w="2169" w:type="dxa"/>
            <w:tcBorders>
              <w:top w:val="single" w:sz="4" w:space="0" w:color="auto"/>
              <w:bottom w:val="single" w:sz="4" w:space="0" w:color="auto"/>
            </w:tcBorders>
            <w:shd w:val="clear" w:color="auto" w:fill="auto"/>
            <w:vAlign w:val="bottom"/>
          </w:tcPr>
          <w:p w:rsidR="00117984" w:rsidRPr="004E5914" w:rsidRDefault="00117984" w:rsidP="00773683">
            <w:pPr>
              <w:spacing w:after="0"/>
              <w:rPr>
                <w:rFonts w:asciiTheme="minorHAnsi" w:eastAsia="Times New Roman" w:hAnsiTheme="minorHAnsi" w:cstheme="minorHAnsi"/>
                <w:sz w:val="20"/>
                <w:szCs w:val="20"/>
                <w:lang w:eastAsia="en-AU"/>
              </w:rPr>
            </w:pPr>
            <w:r w:rsidRPr="004E5914">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sidRPr="004E5914">
              <w:rPr>
                <w:rFonts w:asciiTheme="minorHAnsi" w:eastAsia="Times New Roman" w:hAnsiTheme="minorHAnsi" w:cstheme="minorHAnsi"/>
                <w:sz w:val="20"/>
                <w:szCs w:val="20"/>
                <w:lang w:eastAsia="en-AU"/>
              </w:rPr>
              <w:t xml:space="preserve">threatening </w:t>
            </w:r>
          </w:p>
        </w:tc>
        <w:tc>
          <w:tcPr>
            <w:tcW w:w="1069" w:type="dxa"/>
            <w:gridSpan w:val="2"/>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asciiTheme="minorHAnsi" w:hAnsiTheme="minorHAnsi" w:cstheme="minorHAnsi"/>
                <w:sz w:val="20"/>
                <w:szCs w:val="20"/>
                <w:lang w:eastAsia="zh-CN"/>
              </w:rPr>
            </w:pPr>
            <w:r>
              <w:rPr>
                <w:rFonts w:asciiTheme="minorHAnsi" w:hAnsiTheme="minorHAnsi" w:cstheme="minorHAnsi"/>
                <w:sz w:val="20"/>
                <w:szCs w:val="20"/>
                <w:lang w:eastAsia="zh-CN"/>
              </w:rPr>
              <w:t>0</w:t>
            </w:r>
          </w:p>
        </w:tc>
        <w:tc>
          <w:tcPr>
            <w:tcW w:w="1235"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asciiTheme="minorHAnsi" w:hAnsiTheme="minorHAnsi" w:cstheme="minorHAnsi"/>
                <w:sz w:val="20"/>
                <w:szCs w:val="20"/>
                <w:lang w:eastAsia="zh-CN"/>
              </w:rPr>
            </w:pPr>
            <w:r>
              <w:rPr>
                <w:rFonts w:asciiTheme="minorHAnsi" w:hAnsiTheme="minorHAnsi" w:cstheme="minorHAnsi"/>
                <w:sz w:val="20"/>
                <w:szCs w:val="20"/>
                <w:lang w:eastAsia="zh-CN"/>
              </w:rPr>
              <w:t>0</w:t>
            </w:r>
          </w:p>
        </w:tc>
        <w:tc>
          <w:tcPr>
            <w:tcW w:w="1252"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asciiTheme="minorHAnsi" w:hAnsiTheme="minorHAnsi" w:cstheme="minorHAnsi"/>
                <w:sz w:val="20"/>
                <w:szCs w:val="20"/>
                <w:lang w:eastAsia="zh-CN"/>
              </w:rPr>
            </w:pPr>
            <w:r>
              <w:rPr>
                <w:rFonts w:asciiTheme="minorHAnsi" w:hAnsiTheme="minorHAnsi" w:cstheme="minorHAnsi"/>
                <w:sz w:val="20"/>
                <w:szCs w:val="20"/>
                <w:lang w:eastAsia="zh-CN"/>
              </w:rPr>
              <w:t>0</w:t>
            </w:r>
          </w:p>
        </w:tc>
        <w:tc>
          <w:tcPr>
            <w:tcW w:w="1301"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asciiTheme="minorHAnsi" w:hAnsiTheme="minorHAnsi" w:cstheme="minorHAnsi"/>
                <w:sz w:val="20"/>
                <w:szCs w:val="20"/>
                <w:lang w:eastAsia="zh-CN"/>
              </w:rPr>
            </w:pPr>
            <w:r>
              <w:rPr>
                <w:rFonts w:asciiTheme="minorHAnsi" w:hAnsiTheme="minorHAnsi" w:cstheme="minorHAnsi"/>
                <w:sz w:val="20"/>
                <w:szCs w:val="20"/>
                <w:lang w:eastAsia="zh-CN"/>
              </w:rPr>
              <w:t>0</w:t>
            </w:r>
          </w:p>
        </w:tc>
        <w:tc>
          <w:tcPr>
            <w:tcW w:w="1334"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asciiTheme="minorHAnsi" w:hAnsiTheme="minorHAnsi" w:cstheme="minorHAnsi"/>
                <w:sz w:val="20"/>
                <w:szCs w:val="20"/>
                <w:lang w:eastAsia="zh-CN"/>
              </w:rPr>
            </w:pPr>
            <w:r>
              <w:rPr>
                <w:rFonts w:asciiTheme="minorHAnsi" w:hAnsiTheme="minorHAnsi" w:cstheme="minorHAnsi"/>
                <w:sz w:val="20"/>
                <w:szCs w:val="20"/>
                <w:lang w:eastAsia="zh-CN"/>
              </w:rPr>
              <w:t>0</w:t>
            </w:r>
          </w:p>
        </w:tc>
        <w:tc>
          <w:tcPr>
            <w:tcW w:w="996"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asciiTheme="minorHAnsi" w:hAnsiTheme="minorHAnsi" w:cstheme="minorHAnsi"/>
                <w:sz w:val="20"/>
                <w:szCs w:val="20"/>
                <w:lang w:eastAsia="zh-CN"/>
              </w:rPr>
            </w:pPr>
            <w:r>
              <w:rPr>
                <w:rFonts w:asciiTheme="minorHAnsi" w:hAnsiTheme="minorHAnsi" w:cstheme="minorHAnsi"/>
                <w:sz w:val="20"/>
                <w:szCs w:val="20"/>
                <w:lang w:eastAsia="zh-CN"/>
              </w:rPr>
              <w:t>0</w:t>
            </w:r>
          </w:p>
        </w:tc>
      </w:tr>
      <w:tr w:rsidR="00117984" w:rsidRPr="00A62DAE" w:rsidTr="009E4A39">
        <w:trPr>
          <w:trHeight w:val="65"/>
        </w:trPr>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Severe morbidity</w:t>
            </w:r>
          </w:p>
        </w:tc>
        <w:tc>
          <w:tcPr>
            <w:tcW w:w="1069" w:type="dxa"/>
            <w:gridSpan w:val="2"/>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6</w:t>
            </w:r>
          </w:p>
        </w:tc>
        <w:tc>
          <w:tcPr>
            <w:tcW w:w="1252"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334"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996"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8</w:t>
            </w: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Minor morbidity</w:t>
            </w:r>
          </w:p>
        </w:tc>
        <w:tc>
          <w:tcPr>
            <w:tcW w:w="1069" w:type="dxa"/>
            <w:gridSpan w:val="2"/>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12</w:t>
            </w:r>
          </w:p>
        </w:tc>
        <w:tc>
          <w:tcPr>
            <w:tcW w:w="1235"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192</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61</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11</w:t>
            </w:r>
          </w:p>
        </w:tc>
        <w:tc>
          <w:tcPr>
            <w:tcW w:w="1334"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13</w:t>
            </w:r>
          </w:p>
        </w:tc>
        <w:tc>
          <w:tcPr>
            <w:tcW w:w="996"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289</w:t>
            </w: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 morbidity</w:t>
            </w:r>
          </w:p>
        </w:tc>
        <w:tc>
          <w:tcPr>
            <w:tcW w:w="1069" w:type="dxa"/>
            <w:gridSpan w:val="2"/>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1235"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24</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5</w:t>
            </w:r>
          </w:p>
        </w:tc>
        <w:tc>
          <w:tcPr>
            <w:tcW w:w="1301" w:type="dxa"/>
            <w:tcBorders>
              <w:top w:val="single" w:sz="4" w:space="0" w:color="auto"/>
              <w:bottom w:val="single" w:sz="4" w:space="0" w:color="auto"/>
            </w:tcBorders>
            <w:shd w:val="clear" w:color="auto" w:fill="auto"/>
          </w:tcPr>
          <w:p w:rsidR="00117984" w:rsidRPr="00AD6CD3" w:rsidRDefault="007D6B6B"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996"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35</w:t>
            </w:r>
          </w:p>
        </w:tc>
      </w:tr>
      <w:tr w:rsidR="00117984" w:rsidRPr="00A62DAE" w:rsidTr="009E4A39">
        <w:tc>
          <w:tcPr>
            <w:tcW w:w="2169" w:type="dxa"/>
            <w:tcBorders>
              <w:top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Outcome not available</w:t>
            </w:r>
          </w:p>
        </w:tc>
        <w:tc>
          <w:tcPr>
            <w:tcW w:w="1069" w:type="dxa"/>
            <w:gridSpan w:val="2"/>
            <w:tcBorders>
              <w:top w:val="single" w:sz="4" w:space="0" w:color="auto"/>
            </w:tcBorders>
            <w:shd w:val="clear" w:color="auto" w:fill="auto"/>
          </w:tcPr>
          <w:p w:rsidR="00117984" w:rsidRPr="00AD6CD3" w:rsidRDefault="007D6B6B"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252" w:type="dxa"/>
            <w:tcBorders>
              <w:top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301" w:type="dxa"/>
            <w:tcBorders>
              <w:top w:val="single" w:sz="4" w:space="0" w:color="auto"/>
            </w:tcBorders>
            <w:shd w:val="clear" w:color="auto" w:fill="auto"/>
          </w:tcPr>
          <w:p w:rsidR="00117984" w:rsidRPr="00AD6CD3" w:rsidRDefault="007D6B6B"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996" w:type="dxa"/>
            <w:tcBorders>
              <w:top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5</w:t>
            </w: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Total</w:t>
            </w:r>
          </w:p>
        </w:tc>
        <w:tc>
          <w:tcPr>
            <w:tcW w:w="1069" w:type="dxa"/>
            <w:gridSpan w:val="2"/>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14</w:t>
            </w:r>
          </w:p>
        </w:tc>
        <w:tc>
          <w:tcPr>
            <w:tcW w:w="1235"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223</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67</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12</w:t>
            </w:r>
          </w:p>
        </w:tc>
        <w:tc>
          <w:tcPr>
            <w:tcW w:w="1334"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21</w:t>
            </w:r>
          </w:p>
        </w:tc>
        <w:tc>
          <w:tcPr>
            <w:tcW w:w="996" w:type="dxa"/>
            <w:tcBorders>
              <w:top w:val="single" w:sz="4" w:space="0" w:color="auto"/>
              <w:bottom w:val="single" w:sz="4" w:space="0" w:color="auto"/>
            </w:tcBorders>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337</w:t>
            </w:r>
          </w:p>
        </w:tc>
      </w:tr>
    </w:tbl>
    <w:p w:rsidR="00E56D6F" w:rsidRPr="00844CBE" w:rsidRDefault="00E56D6F" w:rsidP="00844CBE">
      <w:pPr>
        <w:spacing w:before="40" w:after="40" w:line="180" w:lineRule="atLeast"/>
        <w:rPr>
          <w:rFonts w:asciiTheme="minorHAnsi" w:eastAsia="Times New Roman" w:hAnsiTheme="minorHAnsi" w:cstheme="minorHAnsi"/>
          <w:sz w:val="18"/>
          <w:szCs w:val="18"/>
          <w:lang w:eastAsia="en-AU"/>
        </w:rPr>
      </w:pPr>
      <w:r w:rsidRPr="00844CBE">
        <w:rPr>
          <w:rFonts w:asciiTheme="minorHAnsi" w:eastAsia="Times New Roman" w:hAnsiTheme="minorHAnsi" w:cstheme="minorHAnsi"/>
          <w:sz w:val="18"/>
          <w:szCs w:val="18"/>
          <w:lang w:eastAsia="en-AU"/>
        </w:rPr>
        <w:t xml:space="preserve">Note: </w:t>
      </w:r>
      <w:r w:rsidRPr="00844CBE">
        <w:rPr>
          <w:rFonts w:asciiTheme="minorHAnsi" w:eastAsiaTheme="minorEastAsia" w:hAnsiTheme="minorHAnsi" w:cstheme="minorHAnsi"/>
          <w:sz w:val="18"/>
          <w:szCs w:val="18"/>
          <w:lang w:eastAsia="en-AU"/>
        </w:rPr>
        <w:t>WA did not contribute data</w:t>
      </w:r>
    </w:p>
    <w:p w:rsidR="00252B9F" w:rsidRDefault="00252B9F">
      <w:pPr>
        <w:spacing w:line="276" w:lineRule="auto"/>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br w:type="page"/>
      </w:r>
    </w:p>
    <w:p w:rsidR="00452D74" w:rsidRDefault="00252B9F" w:rsidP="002E310A">
      <w:pPr>
        <w:pStyle w:val="Heading2"/>
      </w:pPr>
      <w:bookmarkStart w:id="68" w:name="_Toc263840019"/>
      <w:bookmarkStart w:id="69" w:name="_Toc420837250"/>
      <w:bookmarkStart w:id="70" w:name="_Toc459366167"/>
      <w:r w:rsidRPr="00252B9F">
        <w:lastRenderedPageBreak/>
        <w:t>Allergic reaction</w:t>
      </w:r>
      <w:bookmarkEnd w:id="68"/>
      <w:bookmarkEnd w:id="69"/>
      <w:bookmarkEnd w:id="70"/>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117984" w:rsidRPr="00E55646" w:rsidTr="009E4A39">
        <w:tc>
          <w:tcPr>
            <w:tcW w:w="3208" w:type="dxa"/>
            <w:gridSpan w:val="2"/>
            <w:shd w:val="clear" w:color="auto" w:fill="FF0000"/>
            <w:hideMark/>
          </w:tcPr>
          <w:p w:rsidR="00117984" w:rsidRPr="00E55646" w:rsidRDefault="00117984" w:rsidP="009E4A39">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(n=144</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117984" w:rsidRPr="00E55646" w:rsidRDefault="00117984" w:rsidP="009E4A39">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54</w:t>
            </w:r>
          </w:p>
        </w:tc>
        <w:tc>
          <w:tcPr>
            <w:tcW w:w="2378" w:type="dxa"/>
            <w:gridSpan w:val="3"/>
            <w:tcBorders>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123</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45</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21</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2" w:type="dxa"/>
            <w:gridSpan w:val="3"/>
            <w:tcBorders>
              <w:top w:val="single" w:sz="4" w:space="0" w:color="auto"/>
            </w:tcBorders>
            <w:shd w:val="clear" w:color="auto" w:fill="auto"/>
            <w:vAlign w:val="bottom"/>
            <w:hideMark/>
          </w:tcPr>
          <w:p w:rsidR="00117984" w:rsidRPr="00E55646" w:rsidRDefault="00605288"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45</w:t>
            </w:r>
          </w:p>
        </w:tc>
        <w:tc>
          <w:tcPr>
            <w:tcW w:w="2378" w:type="dxa"/>
            <w:gridSpan w:val="3"/>
            <w:tcBorders>
              <w:top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2" w:type="dxa"/>
            <w:gridSpan w:val="3"/>
            <w:shd w:val="clear" w:color="auto" w:fill="BFBFBF" w:themeFill="background1" w:themeFillShade="BF"/>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18</w:t>
            </w:r>
          </w:p>
        </w:tc>
        <w:tc>
          <w:tcPr>
            <w:tcW w:w="2372" w:type="dxa"/>
            <w:gridSpan w:val="3"/>
            <w:tcBorders>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83</w:t>
            </w:r>
          </w:p>
        </w:tc>
        <w:tc>
          <w:tcPr>
            <w:tcW w:w="2378" w:type="dxa"/>
            <w:gridSpan w:val="3"/>
            <w:tcBorders>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71</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15</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27</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29</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8" w:type="dxa"/>
            <w:gridSpan w:val="3"/>
            <w:tcBorders>
              <w:top w:val="single" w:sz="4" w:space="0" w:color="auto"/>
              <w:bottom w:val="single" w:sz="4" w:space="0" w:color="auto"/>
            </w:tcBorders>
            <w:shd w:val="clear" w:color="auto" w:fill="auto"/>
          </w:tcPr>
          <w:p w:rsidR="00117984" w:rsidRPr="00E55646" w:rsidRDefault="00605288" w:rsidP="009E4A39">
            <w:pPr>
              <w:spacing w:before="100" w:beforeAutospacing="1" w:after="100" w:afterAutospacing="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46</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31</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23</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1C2470" w:rsidTr="009E4A39">
        <w:tc>
          <w:tcPr>
            <w:tcW w:w="2658" w:type="dxa"/>
            <w:tcBorders>
              <w:top w:val="single" w:sz="4" w:space="0" w:color="auto"/>
            </w:tcBorders>
            <w:shd w:val="clear" w:color="auto" w:fill="auto"/>
            <w:vAlign w:val="bottom"/>
          </w:tcPr>
          <w:p w:rsidR="00117984" w:rsidRPr="001C2470" w:rsidRDefault="00117984" w:rsidP="009E4A39">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tcPr>
          <w:p w:rsidR="00117984" w:rsidRPr="001C2470" w:rsidRDefault="00605288"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45</w:t>
            </w:r>
          </w:p>
        </w:tc>
        <w:tc>
          <w:tcPr>
            <w:tcW w:w="2378" w:type="dxa"/>
            <w:gridSpan w:val="3"/>
            <w:tcBorders>
              <w:top w:val="single" w:sz="4" w:space="0" w:color="auto"/>
            </w:tcBorders>
            <w:shd w:val="clear" w:color="auto" w:fill="auto"/>
          </w:tcPr>
          <w:p w:rsidR="00117984" w:rsidRPr="001C2470"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Pr="001C2470"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117984" w:rsidRDefault="002F0CDE"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117984" w:rsidRDefault="00365E95"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773683">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threatening</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9</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29</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117984" w:rsidRDefault="00365E95" w:rsidP="00591DDA">
            <w:pPr>
              <w:autoSpaceDE w:val="0"/>
              <w:autoSpaceDN w:val="0"/>
              <w:adjustRightInd w:val="0"/>
              <w:spacing w:after="0"/>
              <w:jc w:val="right"/>
              <w:rPr>
                <w:rFonts w:eastAsiaTheme="minorHAnsi"/>
                <w:color w:val="000000"/>
                <w:sz w:val="20"/>
                <w:szCs w:val="20"/>
              </w:rPr>
            </w:pPr>
            <w:r>
              <w:rPr>
                <w:rFonts w:eastAsiaTheme="minorHAnsi"/>
                <w:color w:val="000000"/>
                <w:sz w:val="20"/>
                <w:szCs w:val="20"/>
              </w:rPr>
              <w:t>45</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70</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52</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118</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37</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45</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9</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799"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117984" w:rsidRPr="00E55646" w:rsidRDefault="00117984"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1</w:t>
            </w:r>
          </w:p>
        </w:tc>
      </w:tr>
    </w:tbl>
    <w:p w:rsidR="00117984" w:rsidRPr="008C3A7A" w:rsidRDefault="00117984" w:rsidP="0011798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605288" w:rsidRDefault="00605288" w:rsidP="0096249F">
      <w:pPr>
        <w:numPr>
          <w:ilvl w:val="0"/>
          <w:numId w:val="33"/>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605288" w:rsidRPr="006858FB" w:rsidRDefault="00605288" w:rsidP="0096249F">
      <w:pPr>
        <w:numPr>
          <w:ilvl w:val="0"/>
          <w:numId w:val="33"/>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605288" w:rsidRDefault="00605288" w:rsidP="0096249F">
      <w:pPr>
        <w:numPr>
          <w:ilvl w:val="0"/>
          <w:numId w:val="33"/>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 xml:space="preserve">ACT </w:t>
      </w:r>
      <w:r w:rsidR="007D6B6B">
        <w:rPr>
          <w:rFonts w:asciiTheme="minorHAnsi" w:eastAsiaTheme="minorEastAsia" w:hAnsiTheme="minorHAnsi" w:cstheme="minorHAnsi"/>
          <w:sz w:val="18"/>
          <w:szCs w:val="18"/>
          <w:lang w:eastAsia="en-AU"/>
        </w:rPr>
        <w:t xml:space="preserve">reported zero </w:t>
      </w:r>
      <w:r w:rsidR="001C43AE">
        <w:rPr>
          <w:rFonts w:asciiTheme="minorHAnsi" w:eastAsiaTheme="minorEastAsia" w:hAnsiTheme="minorHAnsi" w:cstheme="minorHAnsi"/>
          <w:sz w:val="18"/>
          <w:szCs w:val="18"/>
          <w:lang w:eastAsia="en-AU"/>
        </w:rPr>
        <w:t xml:space="preserve">adverse </w:t>
      </w:r>
      <w:r w:rsidR="007D6B6B">
        <w:rPr>
          <w:rFonts w:asciiTheme="minorHAnsi" w:eastAsiaTheme="minorEastAsia" w:hAnsiTheme="minorHAnsi" w:cstheme="minorHAnsi"/>
          <w:sz w:val="18"/>
          <w:szCs w:val="18"/>
          <w:lang w:eastAsia="en-AU"/>
        </w:rPr>
        <w:t>event</w:t>
      </w:r>
      <w:r w:rsidR="001C43AE">
        <w:rPr>
          <w:rFonts w:asciiTheme="minorHAnsi" w:eastAsiaTheme="minorEastAsia" w:hAnsiTheme="minorHAnsi" w:cstheme="minorHAnsi"/>
          <w:sz w:val="18"/>
          <w:szCs w:val="18"/>
          <w:lang w:eastAsia="en-AU"/>
        </w:rPr>
        <w:t>s</w:t>
      </w:r>
    </w:p>
    <w:p w:rsidR="00605288" w:rsidRDefault="00605288" w:rsidP="0096249F">
      <w:pPr>
        <w:numPr>
          <w:ilvl w:val="0"/>
          <w:numId w:val="33"/>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117984" w:rsidRPr="009E4A39" w:rsidRDefault="00117984" w:rsidP="00EC4AF3">
      <w:pPr>
        <w:spacing w:before="200" w:after="0"/>
        <w:rPr>
          <w:rFonts w:asciiTheme="minorHAnsi" w:hAnsiTheme="minorHAnsi" w:cstheme="minorHAnsi"/>
          <w:lang w:eastAsia="en-AU"/>
        </w:rPr>
      </w:pPr>
      <w:r w:rsidRPr="009E4A39">
        <w:rPr>
          <w:rFonts w:asciiTheme="minorHAnsi" w:hAnsiTheme="minorHAnsi" w:cstheme="minorHAnsi"/>
          <w:lang w:eastAsia="en-AU"/>
        </w:rPr>
        <w:t>Allergic reactions are the second most common transfusion-related adverse events reported in Australia. In 2013–14:</w:t>
      </w:r>
    </w:p>
    <w:p w:rsidR="00117984" w:rsidRPr="009E4A39" w:rsidRDefault="00117984" w:rsidP="0096249F">
      <w:pPr>
        <w:pStyle w:val="ListParagraph"/>
        <w:numPr>
          <w:ilvl w:val="0"/>
          <w:numId w:val="18"/>
        </w:numPr>
        <w:rPr>
          <w:rFonts w:asciiTheme="minorHAnsi" w:hAnsiTheme="minorHAnsi" w:cstheme="minorHAnsi"/>
          <w:lang w:eastAsia="en-AU"/>
        </w:rPr>
      </w:pPr>
      <w:r w:rsidRPr="009E4A39">
        <w:rPr>
          <w:rFonts w:asciiTheme="minorHAnsi" w:hAnsiTheme="minorHAnsi" w:cstheme="minorHAnsi"/>
          <w:lang w:eastAsia="en-AU"/>
        </w:rPr>
        <w:t>144</w:t>
      </w:r>
      <w:r w:rsidRPr="009E4A39">
        <w:rPr>
          <w:rFonts w:asciiTheme="minorHAnsi" w:hAnsiTheme="minorHAnsi" w:cstheme="minorHAnsi"/>
          <w:b/>
          <w:lang w:eastAsia="en-AU"/>
        </w:rPr>
        <w:t xml:space="preserve"> </w:t>
      </w:r>
      <w:r w:rsidRPr="009E4A39">
        <w:rPr>
          <w:rFonts w:asciiTheme="minorHAnsi" w:hAnsiTheme="minorHAnsi" w:cstheme="minorHAnsi"/>
          <w:lang w:eastAsia="en-AU"/>
        </w:rPr>
        <w:t xml:space="preserve">allergic reactions were reported to the </w:t>
      </w:r>
      <w:r w:rsidR="00844CBE">
        <w:rPr>
          <w:rFonts w:asciiTheme="minorHAnsi" w:hAnsiTheme="minorHAnsi" w:cstheme="minorHAnsi"/>
          <w:lang w:eastAsia="en-AU"/>
        </w:rPr>
        <w:t>n</w:t>
      </w:r>
      <w:r w:rsidRPr="009E4A39">
        <w:rPr>
          <w:rFonts w:asciiTheme="minorHAnsi" w:hAnsiTheme="minorHAnsi" w:cstheme="minorHAnsi"/>
          <w:lang w:eastAsia="en-AU"/>
        </w:rPr>
        <w:t xml:space="preserve">ational </w:t>
      </w:r>
      <w:proofErr w:type="spellStart"/>
      <w:r w:rsidR="00844CBE">
        <w:rPr>
          <w:rFonts w:asciiTheme="minorHAnsi" w:hAnsiTheme="minorHAnsi" w:cstheme="minorHAnsi"/>
          <w:lang w:eastAsia="en-AU"/>
        </w:rPr>
        <w:t>h</w:t>
      </w:r>
      <w:r w:rsidRPr="009E4A39">
        <w:rPr>
          <w:rFonts w:asciiTheme="minorHAnsi" w:hAnsiTheme="minorHAnsi" w:cstheme="minorHAnsi"/>
          <w:lang w:eastAsia="en-AU"/>
        </w:rPr>
        <w:t>aemovigilance</w:t>
      </w:r>
      <w:proofErr w:type="spellEnd"/>
      <w:r w:rsidRPr="009E4A39">
        <w:rPr>
          <w:rFonts w:asciiTheme="minorHAnsi" w:hAnsiTheme="minorHAnsi" w:cstheme="minorHAnsi"/>
          <w:lang w:eastAsia="en-AU"/>
        </w:rPr>
        <w:t xml:space="preserve"> </w:t>
      </w:r>
      <w:r w:rsidR="00844CBE">
        <w:rPr>
          <w:rFonts w:asciiTheme="minorHAnsi" w:hAnsiTheme="minorHAnsi" w:cstheme="minorHAnsi"/>
          <w:lang w:eastAsia="en-AU"/>
        </w:rPr>
        <w:t>p</w:t>
      </w:r>
      <w:r w:rsidRPr="009E4A39">
        <w:rPr>
          <w:rFonts w:asciiTheme="minorHAnsi" w:hAnsiTheme="minorHAnsi" w:cstheme="minorHAnsi"/>
          <w:lang w:eastAsia="en-AU"/>
        </w:rPr>
        <w:t>rogram, accounting for 23.3% of the reports (617) for this period.</w:t>
      </w:r>
    </w:p>
    <w:p w:rsidR="00117984" w:rsidRPr="009E4A39" w:rsidRDefault="00117984" w:rsidP="0096249F">
      <w:pPr>
        <w:pStyle w:val="ListParagraph"/>
        <w:numPr>
          <w:ilvl w:val="0"/>
          <w:numId w:val="18"/>
        </w:numPr>
        <w:rPr>
          <w:rFonts w:asciiTheme="minorHAnsi" w:hAnsiTheme="minorHAnsi" w:cstheme="minorHAnsi"/>
          <w:lang w:eastAsia="en-AU"/>
        </w:rPr>
      </w:pPr>
      <w:r w:rsidRPr="009E4A39">
        <w:rPr>
          <w:rFonts w:asciiTheme="minorHAnsi" w:hAnsiTheme="minorHAnsi" w:cstheme="minorHAnsi"/>
          <w:lang w:eastAsia="en-AU"/>
        </w:rPr>
        <w:t xml:space="preserve">74.3% of cases (107) were assigned an </w:t>
      </w:r>
      <w:proofErr w:type="spellStart"/>
      <w:r w:rsidRPr="009E4A39">
        <w:rPr>
          <w:rFonts w:asciiTheme="minorHAnsi" w:hAnsiTheme="minorHAnsi" w:cstheme="minorHAnsi"/>
          <w:lang w:eastAsia="en-AU"/>
        </w:rPr>
        <w:t>imputability</w:t>
      </w:r>
      <w:proofErr w:type="spellEnd"/>
      <w:r w:rsidRPr="009E4A39">
        <w:rPr>
          <w:rFonts w:asciiTheme="minorHAnsi" w:hAnsiTheme="minorHAnsi" w:cstheme="minorHAnsi"/>
          <w:lang w:eastAsia="en-AU"/>
        </w:rPr>
        <w:t xml:space="preserve"> score of likely/probable or confirmed/certain, including six cases with severe morbidity and eight with life</w:t>
      </w:r>
      <w:r w:rsidR="00773683">
        <w:rPr>
          <w:rFonts w:asciiTheme="minorHAnsi" w:hAnsiTheme="minorHAnsi" w:cstheme="minorHAnsi"/>
          <w:lang w:eastAsia="en-AU"/>
        </w:rPr>
        <w:t>-</w:t>
      </w:r>
      <w:r w:rsidRPr="009E4A39">
        <w:rPr>
          <w:rFonts w:asciiTheme="minorHAnsi" w:hAnsiTheme="minorHAnsi" w:cstheme="minorHAnsi"/>
          <w:lang w:eastAsia="en-AU"/>
        </w:rPr>
        <w:t>threatening severity.</w:t>
      </w:r>
    </w:p>
    <w:p w:rsidR="00117984" w:rsidRPr="009E4A39" w:rsidRDefault="00117984" w:rsidP="0096249F">
      <w:pPr>
        <w:pStyle w:val="ListParagraph"/>
        <w:numPr>
          <w:ilvl w:val="0"/>
          <w:numId w:val="18"/>
        </w:numPr>
        <w:rPr>
          <w:rFonts w:asciiTheme="minorHAnsi" w:hAnsiTheme="minorHAnsi" w:cstheme="minorHAnsi"/>
          <w:lang w:eastAsia="en-AU"/>
        </w:rPr>
      </w:pPr>
      <w:r w:rsidRPr="009E4A39">
        <w:rPr>
          <w:rFonts w:asciiTheme="minorHAnsi" w:hAnsiTheme="minorHAnsi" w:cstheme="minorHAnsi"/>
          <w:lang w:eastAsia="en-AU"/>
        </w:rPr>
        <w:t>The two confirmed cases of life</w:t>
      </w:r>
      <w:r w:rsidR="00773683">
        <w:rPr>
          <w:rFonts w:asciiTheme="minorHAnsi" w:hAnsiTheme="minorHAnsi" w:cstheme="minorHAnsi"/>
          <w:lang w:eastAsia="en-AU"/>
        </w:rPr>
        <w:t>-</w:t>
      </w:r>
      <w:r w:rsidRPr="009E4A39">
        <w:rPr>
          <w:rFonts w:asciiTheme="minorHAnsi" w:hAnsiTheme="minorHAnsi" w:cstheme="minorHAnsi"/>
          <w:lang w:eastAsia="en-AU"/>
        </w:rPr>
        <w:t>threatening severity were related to the transfusion of red cells and fresh frozen plasma respectively.</w:t>
      </w:r>
    </w:p>
    <w:p w:rsidR="00117984" w:rsidRPr="003A25C4" w:rsidRDefault="00117984" w:rsidP="003A25C4">
      <w:pPr>
        <w:pStyle w:val="Caption"/>
      </w:pPr>
      <w:bookmarkStart w:id="71" w:name="_Toc459636855"/>
      <w:r w:rsidRPr="003A25C4">
        <w:t xml:space="preserve">Table </w:t>
      </w:r>
      <w:fldSimple w:instr=" SEQ Table \* ARABIC ">
        <w:r w:rsidR="000010BC">
          <w:rPr>
            <w:noProof/>
          </w:rPr>
          <w:t>15</w:t>
        </w:r>
      </w:fldSimple>
      <w:r w:rsidRPr="003A25C4">
        <w:t xml:space="preserve">: </w:t>
      </w:r>
      <w:r w:rsidR="00213586">
        <w:t>Allergic</w:t>
      </w:r>
      <w:r w:rsidRPr="003A25C4">
        <w:t xml:space="preserve"> reaction clinical outcome severity by </w:t>
      </w:r>
      <w:proofErr w:type="spellStart"/>
      <w:r w:rsidRPr="003A25C4">
        <w:t>imputability</w:t>
      </w:r>
      <w:proofErr w:type="spellEnd"/>
      <w:r w:rsidRPr="003A25C4">
        <w:t>, 2013–14</w:t>
      </w:r>
      <w:bookmarkEnd w:id="71"/>
    </w:p>
    <w:tbl>
      <w:tblPr>
        <w:tblW w:w="0" w:type="auto"/>
        <w:tblInd w:w="108" w:type="dxa"/>
        <w:tblLook w:val="01E0" w:firstRow="1" w:lastRow="1" w:firstColumn="1" w:lastColumn="1" w:noHBand="0" w:noVBand="0"/>
      </w:tblPr>
      <w:tblGrid>
        <w:gridCol w:w="2169"/>
        <w:gridCol w:w="383"/>
        <w:gridCol w:w="686"/>
        <w:gridCol w:w="1235"/>
        <w:gridCol w:w="1252"/>
        <w:gridCol w:w="1301"/>
        <w:gridCol w:w="1334"/>
        <w:gridCol w:w="996"/>
      </w:tblGrid>
      <w:tr w:rsidR="00117984" w:rsidRPr="00E12398" w:rsidTr="009E4A39">
        <w:trPr>
          <w:trHeight w:val="299"/>
        </w:trPr>
        <w:tc>
          <w:tcPr>
            <w:tcW w:w="2552" w:type="dxa"/>
            <w:gridSpan w:val="2"/>
            <w:shd w:val="clear" w:color="auto" w:fill="FF0000"/>
            <w:vAlign w:val="center"/>
            <w:hideMark/>
          </w:tcPr>
          <w:p w:rsidR="00117984" w:rsidRPr="00E55646" w:rsidRDefault="00117984" w:rsidP="009E4A39">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c>
          <w:tcPr>
            <w:tcW w:w="5808" w:type="dxa"/>
            <w:gridSpan w:val="5"/>
            <w:shd w:val="clear" w:color="auto" w:fill="FF0000"/>
            <w:vAlign w:val="center"/>
            <w:hideMark/>
          </w:tcPr>
          <w:p w:rsidR="00117984" w:rsidRPr="00E55646" w:rsidRDefault="00117984" w:rsidP="009E4A39">
            <w:pPr>
              <w:spacing w:after="0"/>
              <w:jc w:val="center"/>
              <w:rPr>
                <w:rFonts w:asciiTheme="minorHAnsi" w:eastAsia="Times New Roman" w:hAnsiTheme="minorHAnsi" w:cstheme="minorHAnsi"/>
                <w:color w:val="FFFFFF"/>
                <w:sz w:val="20"/>
                <w:szCs w:val="20"/>
                <w:lang w:eastAsia="en-AU"/>
              </w:rPr>
            </w:pPr>
            <w:proofErr w:type="spellStart"/>
            <w:r w:rsidRPr="00E55646">
              <w:rPr>
                <w:rFonts w:asciiTheme="minorHAnsi" w:eastAsia="Times New Roman" w:hAnsiTheme="minorHAnsi" w:cstheme="minorHAnsi"/>
                <w:b/>
                <w:color w:val="FFFFFF"/>
                <w:sz w:val="20"/>
                <w:szCs w:val="20"/>
                <w:lang w:eastAsia="en-AU"/>
              </w:rPr>
              <w:t>Imputability</w:t>
            </w:r>
            <w:proofErr w:type="spellEnd"/>
          </w:p>
        </w:tc>
        <w:tc>
          <w:tcPr>
            <w:tcW w:w="996" w:type="dxa"/>
            <w:shd w:val="clear" w:color="auto" w:fill="FF0000"/>
            <w:vAlign w:val="center"/>
          </w:tcPr>
          <w:p w:rsidR="00117984" w:rsidRPr="00E12398" w:rsidRDefault="00117984" w:rsidP="00120782">
            <w:pPr>
              <w:spacing w:after="0"/>
              <w:jc w:val="right"/>
              <w:rPr>
                <w:rFonts w:asciiTheme="minorHAnsi" w:eastAsia="Times New Roman" w:hAnsiTheme="minorHAnsi" w:cstheme="minorHAnsi"/>
                <w:b/>
                <w:color w:val="FFFFFF"/>
                <w:sz w:val="20"/>
                <w:szCs w:val="20"/>
                <w:lang w:eastAsia="en-AU"/>
              </w:rPr>
            </w:pPr>
            <w:r w:rsidRPr="00E12398">
              <w:rPr>
                <w:rFonts w:asciiTheme="minorHAnsi" w:eastAsia="Times New Roman" w:hAnsiTheme="minorHAnsi" w:cstheme="minorHAnsi"/>
                <w:b/>
                <w:color w:val="FFFFFF"/>
                <w:sz w:val="20"/>
                <w:szCs w:val="20"/>
                <w:lang w:eastAsia="en-AU"/>
              </w:rPr>
              <w:t>Total</w:t>
            </w:r>
          </w:p>
        </w:tc>
      </w:tr>
      <w:tr w:rsidR="00117984" w:rsidRPr="00883299" w:rsidTr="009E4A39">
        <w:tc>
          <w:tcPr>
            <w:tcW w:w="2169" w:type="dxa"/>
            <w:tcBorders>
              <w:bottom w:val="single" w:sz="4" w:space="0" w:color="auto"/>
            </w:tcBorders>
            <w:shd w:val="clear" w:color="auto" w:fill="D9D9D9" w:themeFill="background1" w:themeFillShade="D9"/>
            <w:vAlign w:val="center"/>
          </w:tcPr>
          <w:p w:rsidR="00117984" w:rsidRPr="00883299" w:rsidRDefault="00117984" w:rsidP="009E4A39">
            <w:pPr>
              <w:spacing w:after="0"/>
              <w:jc w:val="center"/>
              <w:rPr>
                <w:rFonts w:asciiTheme="minorHAnsi" w:eastAsia="Times New Roman" w:hAnsiTheme="minorHAnsi" w:cstheme="minorHAnsi"/>
                <w:b/>
                <w:color w:val="FF0000"/>
                <w:sz w:val="20"/>
                <w:szCs w:val="20"/>
                <w:lang w:eastAsia="en-AU"/>
              </w:rPr>
            </w:pPr>
          </w:p>
        </w:tc>
        <w:tc>
          <w:tcPr>
            <w:tcW w:w="1069" w:type="dxa"/>
            <w:gridSpan w:val="2"/>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Excluded</w:t>
            </w:r>
            <w:r>
              <w:rPr>
                <w:rFonts w:asciiTheme="minorHAnsi" w:eastAsia="Times New Roman" w:hAnsiTheme="minorHAnsi" w:cstheme="minorHAnsi"/>
                <w:color w:val="FF0000"/>
                <w:sz w:val="20"/>
                <w:szCs w:val="20"/>
                <w:lang w:eastAsia="en-AU"/>
              </w:rPr>
              <w:t xml:space="preserve"> /</w:t>
            </w:r>
            <w:r w:rsidRPr="00883299">
              <w:rPr>
                <w:rFonts w:asciiTheme="minorHAnsi" w:eastAsia="Times New Roman" w:hAnsiTheme="minorHAnsi" w:cstheme="minorHAnsi"/>
                <w:color w:val="FF0000"/>
                <w:sz w:val="20"/>
                <w:szCs w:val="20"/>
                <w:lang w:eastAsia="en-AU"/>
              </w:rPr>
              <w:t xml:space="preserve"> Unlikely</w:t>
            </w:r>
          </w:p>
        </w:tc>
        <w:tc>
          <w:tcPr>
            <w:tcW w:w="1235" w:type="dxa"/>
            <w:tcBorders>
              <w:bottom w:val="single" w:sz="4" w:space="0" w:color="auto"/>
            </w:tcBorders>
            <w:shd w:val="clear" w:color="auto" w:fill="D9D9D9" w:themeFill="background1" w:themeFillShade="D9"/>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Possible</w:t>
            </w:r>
          </w:p>
        </w:tc>
        <w:tc>
          <w:tcPr>
            <w:tcW w:w="1252"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Likely / Probable</w:t>
            </w:r>
          </w:p>
        </w:tc>
        <w:tc>
          <w:tcPr>
            <w:tcW w:w="1301"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Confirmed / Certain</w:t>
            </w:r>
          </w:p>
        </w:tc>
        <w:tc>
          <w:tcPr>
            <w:tcW w:w="1334"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N/A /</w:t>
            </w:r>
            <w:r w:rsidRPr="00883299">
              <w:rPr>
                <w:rFonts w:asciiTheme="minorHAnsi" w:eastAsia="Times New Roman" w:hAnsiTheme="minorHAnsi" w:cstheme="minorHAnsi"/>
                <w:color w:val="FF0000"/>
                <w:sz w:val="20"/>
                <w:szCs w:val="20"/>
                <w:lang w:eastAsia="en-AU"/>
              </w:rPr>
              <w:t>Not assessable</w:t>
            </w:r>
          </w:p>
        </w:tc>
        <w:tc>
          <w:tcPr>
            <w:tcW w:w="996" w:type="dxa"/>
            <w:tcBorders>
              <w:bottom w:val="single" w:sz="4" w:space="0" w:color="auto"/>
            </w:tcBorders>
            <w:shd w:val="clear" w:color="auto" w:fill="D9D9D9" w:themeFill="background1" w:themeFillShade="D9"/>
            <w:vAlign w:val="center"/>
          </w:tcPr>
          <w:p w:rsidR="00117984" w:rsidRPr="00883299" w:rsidRDefault="00117984" w:rsidP="009E4A39">
            <w:pPr>
              <w:spacing w:after="0"/>
              <w:jc w:val="right"/>
              <w:rPr>
                <w:rFonts w:asciiTheme="minorHAnsi" w:eastAsia="Times New Roman" w:hAnsiTheme="minorHAnsi" w:cstheme="minorHAnsi"/>
                <w:b/>
                <w:color w:val="FF0000"/>
                <w:sz w:val="20"/>
                <w:szCs w:val="20"/>
                <w:lang w:eastAsia="en-AU"/>
              </w:rPr>
            </w:pPr>
          </w:p>
        </w:tc>
      </w:tr>
      <w:tr w:rsidR="00117984" w:rsidRPr="004312B4" w:rsidTr="009E4A39">
        <w:tc>
          <w:tcPr>
            <w:tcW w:w="2169" w:type="dxa"/>
            <w:tcBorders>
              <w:top w:val="single" w:sz="4" w:space="0" w:color="auto"/>
              <w:bottom w:val="single" w:sz="4" w:space="0" w:color="auto"/>
            </w:tcBorders>
            <w:shd w:val="clear" w:color="auto" w:fill="auto"/>
            <w:vAlign w:val="bottom"/>
          </w:tcPr>
          <w:p w:rsidR="00117984" w:rsidRPr="004E5914" w:rsidRDefault="00117984" w:rsidP="00773683">
            <w:pPr>
              <w:spacing w:after="0"/>
              <w:rPr>
                <w:rFonts w:asciiTheme="minorHAnsi" w:eastAsia="Times New Roman" w:hAnsiTheme="minorHAnsi" w:cstheme="minorHAnsi"/>
                <w:sz w:val="20"/>
                <w:szCs w:val="20"/>
                <w:lang w:eastAsia="en-AU"/>
              </w:rPr>
            </w:pPr>
            <w:r w:rsidRPr="004E5914">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sidRPr="004E5914">
              <w:rPr>
                <w:rFonts w:asciiTheme="minorHAnsi" w:eastAsia="Times New Roman" w:hAnsiTheme="minorHAnsi" w:cstheme="minorHAnsi"/>
                <w:sz w:val="20"/>
                <w:szCs w:val="20"/>
                <w:lang w:eastAsia="en-AU"/>
              </w:rPr>
              <w:t xml:space="preserve">threatening </w:t>
            </w:r>
          </w:p>
        </w:tc>
        <w:tc>
          <w:tcPr>
            <w:tcW w:w="1069" w:type="dxa"/>
            <w:gridSpan w:val="2"/>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1</w:t>
            </w:r>
          </w:p>
        </w:tc>
        <w:tc>
          <w:tcPr>
            <w:tcW w:w="1252"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6</w:t>
            </w:r>
          </w:p>
        </w:tc>
        <w:tc>
          <w:tcPr>
            <w:tcW w:w="1301"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2</w:t>
            </w:r>
          </w:p>
        </w:tc>
        <w:tc>
          <w:tcPr>
            <w:tcW w:w="1334" w:type="dxa"/>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9</w:t>
            </w:r>
          </w:p>
        </w:tc>
      </w:tr>
      <w:tr w:rsidR="00117984" w:rsidRPr="004312B4" w:rsidTr="009E4A39">
        <w:trPr>
          <w:trHeight w:val="65"/>
        </w:trPr>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Severe morbidity</w:t>
            </w:r>
          </w:p>
        </w:tc>
        <w:tc>
          <w:tcPr>
            <w:tcW w:w="1069" w:type="dxa"/>
            <w:gridSpan w:val="2"/>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4</w:t>
            </w:r>
          </w:p>
        </w:tc>
        <w:tc>
          <w:tcPr>
            <w:tcW w:w="1301"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2</w:t>
            </w:r>
          </w:p>
        </w:tc>
        <w:tc>
          <w:tcPr>
            <w:tcW w:w="1334" w:type="dxa"/>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6</w:t>
            </w:r>
          </w:p>
        </w:tc>
      </w:tr>
      <w:tr w:rsidR="00117984" w:rsidRPr="004312B4"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Minor morbidity</w:t>
            </w:r>
          </w:p>
        </w:tc>
        <w:tc>
          <w:tcPr>
            <w:tcW w:w="1069" w:type="dxa"/>
            <w:gridSpan w:val="2"/>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2</w:t>
            </w:r>
          </w:p>
        </w:tc>
        <w:tc>
          <w:tcPr>
            <w:tcW w:w="1235"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25</w:t>
            </w:r>
          </w:p>
        </w:tc>
        <w:tc>
          <w:tcPr>
            <w:tcW w:w="1252"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55</w:t>
            </w:r>
          </w:p>
        </w:tc>
        <w:tc>
          <w:tcPr>
            <w:tcW w:w="1301"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30</w:t>
            </w:r>
          </w:p>
        </w:tc>
        <w:tc>
          <w:tcPr>
            <w:tcW w:w="1334"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6</w:t>
            </w:r>
          </w:p>
        </w:tc>
        <w:tc>
          <w:tcPr>
            <w:tcW w:w="996"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118</w:t>
            </w:r>
          </w:p>
        </w:tc>
      </w:tr>
      <w:tr w:rsidR="00117984" w:rsidRPr="004312B4"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 morbidity</w:t>
            </w:r>
          </w:p>
        </w:tc>
        <w:tc>
          <w:tcPr>
            <w:tcW w:w="1069" w:type="dxa"/>
            <w:gridSpan w:val="2"/>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3</w:t>
            </w:r>
          </w:p>
        </w:tc>
        <w:tc>
          <w:tcPr>
            <w:tcW w:w="1252"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3</w:t>
            </w:r>
          </w:p>
        </w:tc>
        <w:tc>
          <w:tcPr>
            <w:tcW w:w="1301"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3</w:t>
            </w:r>
          </w:p>
        </w:tc>
        <w:tc>
          <w:tcPr>
            <w:tcW w:w="1334" w:type="dxa"/>
            <w:tcBorders>
              <w:top w:val="single" w:sz="4" w:space="0" w:color="auto"/>
              <w:bottom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9</w:t>
            </w:r>
          </w:p>
        </w:tc>
      </w:tr>
      <w:tr w:rsidR="00117984" w:rsidRPr="004312B4" w:rsidTr="009E4A39">
        <w:tc>
          <w:tcPr>
            <w:tcW w:w="2169" w:type="dxa"/>
            <w:tcBorders>
              <w:top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Outcome not available</w:t>
            </w:r>
          </w:p>
        </w:tc>
        <w:tc>
          <w:tcPr>
            <w:tcW w:w="1069" w:type="dxa"/>
            <w:gridSpan w:val="2"/>
            <w:tcBorders>
              <w:top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2</w:t>
            </w:r>
          </w:p>
        </w:tc>
        <w:tc>
          <w:tcPr>
            <w:tcW w:w="1301" w:type="dxa"/>
            <w:tcBorders>
              <w:top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tcBorders>
            <w:shd w:val="clear" w:color="auto" w:fill="auto"/>
          </w:tcPr>
          <w:p w:rsidR="00117984" w:rsidRPr="004312B4"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color w:val="000000"/>
                <w:sz w:val="20"/>
                <w:szCs w:val="20"/>
              </w:rPr>
            </w:pPr>
            <w:r w:rsidRPr="004312B4">
              <w:rPr>
                <w:rFonts w:eastAsiaTheme="minorHAnsi"/>
                <w:color w:val="000000"/>
                <w:sz w:val="20"/>
                <w:szCs w:val="20"/>
              </w:rPr>
              <w:t>2</w:t>
            </w:r>
          </w:p>
        </w:tc>
      </w:tr>
      <w:tr w:rsidR="00117984" w:rsidRPr="004312B4"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Total</w:t>
            </w:r>
          </w:p>
        </w:tc>
        <w:tc>
          <w:tcPr>
            <w:tcW w:w="1069" w:type="dxa"/>
            <w:gridSpan w:val="2"/>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b/>
                <w:bCs/>
                <w:color w:val="000000"/>
                <w:sz w:val="20"/>
                <w:szCs w:val="20"/>
              </w:rPr>
            </w:pPr>
            <w:r w:rsidRPr="004312B4">
              <w:rPr>
                <w:rFonts w:eastAsiaTheme="minorHAnsi"/>
                <w:b/>
                <w:bCs/>
                <w:color w:val="000000"/>
                <w:sz w:val="20"/>
                <w:szCs w:val="20"/>
              </w:rPr>
              <w:t>2</w:t>
            </w:r>
          </w:p>
        </w:tc>
        <w:tc>
          <w:tcPr>
            <w:tcW w:w="1235"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b/>
                <w:bCs/>
                <w:color w:val="000000"/>
                <w:sz w:val="20"/>
                <w:szCs w:val="20"/>
              </w:rPr>
            </w:pPr>
            <w:r w:rsidRPr="004312B4">
              <w:rPr>
                <w:rFonts w:eastAsiaTheme="minorHAnsi"/>
                <w:b/>
                <w:bCs/>
                <w:color w:val="000000"/>
                <w:sz w:val="20"/>
                <w:szCs w:val="20"/>
              </w:rPr>
              <w:t>29</w:t>
            </w:r>
          </w:p>
        </w:tc>
        <w:tc>
          <w:tcPr>
            <w:tcW w:w="1252"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b/>
                <w:bCs/>
                <w:color w:val="000000"/>
                <w:sz w:val="20"/>
                <w:szCs w:val="20"/>
              </w:rPr>
            </w:pPr>
            <w:r w:rsidRPr="004312B4">
              <w:rPr>
                <w:rFonts w:eastAsiaTheme="minorHAnsi"/>
                <w:b/>
                <w:bCs/>
                <w:color w:val="000000"/>
                <w:sz w:val="20"/>
                <w:szCs w:val="20"/>
              </w:rPr>
              <w:t>70</w:t>
            </w:r>
          </w:p>
        </w:tc>
        <w:tc>
          <w:tcPr>
            <w:tcW w:w="1301"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b/>
                <w:bCs/>
                <w:color w:val="000000"/>
                <w:sz w:val="20"/>
                <w:szCs w:val="20"/>
              </w:rPr>
            </w:pPr>
            <w:r w:rsidRPr="004312B4">
              <w:rPr>
                <w:rFonts w:eastAsiaTheme="minorHAnsi"/>
                <w:b/>
                <w:bCs/>
                <w:color w:val="000000"/>
                <w:sz w:val="20"/>
                <w:szCs w:val="20"/>
              </w:rPr>
              <w:t>37</w:t>
            </w:r>
          </w:p>
        </w:tc>
        <w:tc>
          <w:tcPr>
            <w:tcW w:w="1334" w:type="dxa"/>
            <w:tcBorders>
              <w:top w:val="single" w:sz="4" w:space="0" w:color="auto"/>
              <w:bottom w:val="single" w:sz="4" w:space="0" w:color="auto"/>
            </w:tcBorders>
            <w:shd w:val="clear" w:color="auto" w:fill="auto"/>
          </w:tcPr>
          <w:p w:rsidR="00117984" w:rsidRPr="004312B4" w:rsidRDefault="00117984" w:rsidP="009E4A39">
            <w:pPr>
              <w:autoSpaceDE w:val="0"/>
              <w:autoSpaceDN w:val="0"/>
              <w:adjustRightInd w:val="0"/>
              <w:spacing w:after="0"/>
              <w:jc w:val="right"/>
              <w:rPr>
                <w:rFonts w:eastAsiaTheme="minorHAnsi"/>
                <w:b/>
                <w:bCs/>
                <w:color w:val="000000"/>
                <w:sz w:val="20"/>
                <w:szCs w:val="20"/>
              </w:rPr>
            </w:pPr>
            <w:r w:rsidRPr="004312B4">
              <w:rPr>
                <w:rFonts w:eastAsiaTheme="minorHAnsi"/>
                <w:b/>
                <w:bCs/>
                <w:color w:val="000000"/>
                <w:sz w:val="20"/>
                <w:szCs w:val="20"/>
              </w:rPr>
              <w:t>6</w:t>
            </w:r>
          </w:p>
        </w:tc>
        <w:tc>
          <w:tcPr>
            <w:tcW w:w="996" w:type="dxa"/>
            <w:tcBorders>
              <w:top w:val="single" w:sz="4" w:space="0" w:color="auto"/>
              <w:bottom w:val="single" w:sz="4" w:space="0" w:color="auto"/>
            </w:tcBorders>
          </w:tcPr>
          <w:p w:rsidR="00117984" w:rsidRPr="004312B4" w:rsidRDefault="00117984" w:rsidP="009E4A39">
            <w:pPr>
              <w:autoSpaceDE w:val="0"/>
              <w:autoSpaceDN w:val="0"/>
              <w:adjustRightInd w:val="0"/>
              <w:spacing w:after="0"/>
              <w:jc w:val="right"/>
              <w:rPr>
                <w:rFonts w:eastAsiaTheme="minorHAnsi"/>
                <w:b/>
                <w:bCs/>
                <w:color w:val="000000"/>
                <w:sz w:val="20"/>
                <w:szCs w:val="20"/>
              </w:rPr>
            </w:pPr>
            <w:r w:rsidRPr="004312B4">
              <w:rPr>
                <w:rFonts w:eastAsiaTheme="minorHAnsi"/>
                <w:b/>
                <w:bCs/>
                <w:color w:val="000000"/>
                <w:sz w:val="20"/>
                <w:szCs w:val="20"/>
              </w:rPr>
              <w:t>144</w:t>
            </w:r>
          </w:p>
        </w:tc>
      </w:tr>
    </w:tbl>
    <w:p w:rsidR="00117984" w:rsidRDefault="00117984" w:rsidP="00117984">
      <w:pPr>
        <w:spacing w:before="40" w:after="40" w:line="180" w:lineRule="atLeast"/>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t xml:space="preserve">Note: </w:t>
      </w:r>
      <w:r w:rsidR="00E56D6F" w:rsidRPr="008C3A7A">
        <w:rPr>
          <w:rFonts w:asciiTheme="minorHAnsi" w:eastAsiaTheme="minorEastAsia" w:hAnsiTheme="minorHAnsi" w:cstheme="minorHAnsi"/>
          <w:sz w:val="18"/>
          <w:szCs w:val="18"/>
          <w:lang w:eastAsia="en-AU"/>
        </w:rPr>
        <w:t>WA</w:t>
      </w:r>
      <w:r w:rsidR="00E56D6F">
        <w:rPr>
          <w:rFonts w:asciiTheme="minorHAnsi" w:eastAsiaTheme="minorEastAsia" w:hAnsiTheme="minorHAnsi" w:cstheme="minorHAnsi"/>
          <w:sz w:val="18"/>
          <w:szCs w:val="18"/>
          <w:lang w:eastAsia="en-AU"/>
        </w:rPr>
        <w:t xml:space="preserve"> did not contribute data</w:t>
      </w:r>
    </w:p>
    <w:p w:rsidR="00117984" w:rsidRDefault="00117984" w:rsidP="00117984"/>
    <w:p w:rsidR="00452D74" w:rsidRDefault="00452D74" w:rsidP="00117984">
      <w:r>
        <w:br w:type="page"/>
      </w:r>
    </w:p>
    <w:p w:rsidR="000E55F4" w:rsidRPr="00252B9F" w:rsidRDefault="000E55F4" w:rsidP="000E55F4">
      <w:pPr>
        <w:pStyle w:val="Heading2"/>
      </w:pPr>
      <w:bookmarkStart w:id="72" w:name="_Toc459366168"/>
      <w:bookmarkStart w:id="73" w:name="_Toc420837251"/>
      <w:r w:rsidRPr="00252B9F">
        <w:lastRenderedPageBreak/>
        <w:t>Incorrect blood component transfused (IBCT)</w:t>
      </w:r>
      <w:bookmarkEnd w:id="72"/>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0E55F4" w:rsidRPr="00E55646" w:rsidTr="00F46D5E">
        <w:tc>
          <w:tcPr>
            <w:tcW w:w="3208" w:type="dxa"/>
            <w:gridSpan w:val="2"/>
            <w:shd w:val="clear" w:color="auto" w:fill="FF0000"/>
            <w:hideMark/>
          </w:tcPr>
          <w:p w:rsidR="000E55F4" w:rsidRPr="00E55646" w:rsidRDefault="000E55F4" w:rsidP="00F46D5E">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(n=33</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0E55F4" w:rsidRPr="00E55646" w:rsidRDefault="000E55F4" w:rsidP="00F46D5E">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2378" w:type="dxa"/>
            <w:gridSpan w:val="3"/>
            <w:tcBorders>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26</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8" w:type="dxa"/>
            <w:gridSpan w:val="3"/>
            <w:tcBorders>
              <w:top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shd w:val="clear" w:color="auto" w:fill="BFBFBF" w:themeFill="background1" w:themeFillShade="BF"/>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18</w:t>
            </w:r>
          </w:p>
        </w:tc>
        <w:tc>
          <w:tcPr>
            <w:tcW w:w="2378" w:type="dxa"/>
            <w:gridSpan w:val="3"/>
            <w:tcBorders>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17</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1C2470" w:rsidTr="00F46D5E">
        <w:tc>
          <w:tcPr>
            <w:tcW w:w="2658" w:type="dxa"/>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0E55F4" w:rsidRDefault="00DD48FF"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8" w:type="dxa"/>
            <w:gridSpan w:val="3"/>
            <w:tcBorders>
              <w:top w:val="single" w:sz="4" w:space="0" w:color="auto"/>
            </w:tcBorders>
            <w:shd w:val="clear" w:color="auto" w:fill="auto"/>
          </w:tcPr>
          <w:p w:rsidR="000E55F4" w:rsidRPr="001C2470"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Pr="001C2470"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0E55F4" w:rsidRDefault="00365E95"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Life-threatening</w:t>
            </w:r>
          </w:p>
        </w:tc>
        <w:tc>
          <w:tcPr>
            <w:tcW w:w="550"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0E55F4" w:rsidRDefault="00365E95" w:rsidP="00591DDA">
            <w:pPr>
              <w:autoSpaceDE w:val="0"/>
              <w:autoSpaceDN w:val="0"/>
              <w:adjustRightInd w:val="0"/>
              <w:spacing w:after="0"/>
              <w:jc w:val="right"/>
              <w:rPr>
                <w:rFonts w:eastAsiaTheme="minorHAnsi"/>
                <w:color w:val="000000"/>
                <w:sz w:val="20"/>
                <w:szCs w:val="20"/>
              </w:rPr>
            </w:pPr>
            <w:r>
              <w:rPr>
                <w:rFonts w:eastAsiaTheme="minorHAnsi"/>
                <w:color w:val="000000"/>
                <w:sz w:val="20"/>
                <w:szCs w:val="20"/>
              </w:rPr>
              <w:t>22</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0E55F4" w:rsidRDefault="00DD48FF"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13</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16</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799"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0E55F4" w:rsidRPr="00E55646" w:rsidRDefault="00DD48FF"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1</w:t>
            </w:r>
          </w:p>
        </w:tc>
      </w:tr>
    </w:tbl>
    <w:p w:rsidR="000E55F4" w:rsidRPr="008C3A7A" w:rsidRDefault="000E55F4" w:rsidP="000E55F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0E55F4" w:rsidRDefault="000E55F4" w:rsidP="0096249F">
      <w:pPr>
        <w:numPr>
          <w:ilvl w:val="0"/>
          <w:numId w:val="40"/>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0E55F4" w:rsidRPr="006858FB" w:rsidRDefault="000E55F4" w:rsidP="0096249F">
      <w:pPr>
        <w:numPr>
          <w:ilvl w:val="0"/>
          <w:numId w:val="40"/>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0E55F4" w:rsidRDefault="000E55F4" w:rsidP="0096249F">
      <w:pPr>
        <w:numPr>
          <w:ilvl w:val="0"/>
          <w:numId w:val="40"/>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0E55F4" w:rsidRDefault="000E55F4" w:rsidP="0096249F">
      <w:pPr>
        <w:numPr>
          <w:ilvl w:val="0"/>
          <w:numId w:val="40"/>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Pr="008C3A7A" w:rsidRDefault="000E55F4" w:rsidP="000E55F4">
      <w:pPr>
        <w:spacing w:before="40" w:after="40" w:line="180" w:lineRule="atLeast"/>
        <w:ind w:left="360"/>
        <w:contextualSpacing/>
        <w:rPr>
          <w:rFonts w:asciiTheme="minorHAnsi" w:eastAsiaTheme="minorEastAsia" w:hAnsiTheme="minorHAnsi" w:cstheme="minorHAnsi"/>
          <w:sz w:val="18"/>
          <w:szCs w:val="18"/>
          <w:lang w:eastAsia="en-AU"/>
        </w:rPr>
      </w:pPr>
    </w:p>
    <w:p w:rsidR="000E55F4" w:rsidRPr="00DC43BF" w:rsidRDefault="000E55F4" w:rsidP="000E55F4">
      <w:pPr>
        <w:spacing w:before="200"/>
        <w:rPr>
          <w:lang w:eastAsia="en-AU"/>
        </w:rPr>
      </w:pPr>
      <w:r w:rsidRPr="00E55646">
        <w:rPr>
          <w:lang w:eastAsia="en-AU"/>
        </w:rPr>
        <w:t xml:space="preserve">IBCT occurs when a patient receives a blood </w:t>
      </w:r>
      <w:r>
        <w:rPr>
          <w:lang w:eastAsia="en-AU"/>
        </w:rPr>
        <w:t>component</w:t>
      </w:r>
      <w:r w:rsidRPr="00E55646">
        <w:rPr>
          <w:lang w:eastAsia="en-AU"/>
        </w:rPr>
        <w:t xml:space="preserve"> intended for another patient or a blood </w:t>
      </w:r>
      <w:r>
        <w:rPr>
          <w:lang w:eastAsia="en-AU"/>
        </w:rPr>
        <w:t>component</w:t>
      </w:r>
      <w:r w:rsidRPr="00E55646">
        <w:rPr>
          <w:lang w:eastAsia="en-AU"/>
        </w:rPr>
        <w:t xml:space="preserve"> where special requirements (</w:t>
      </w:r>
      <w:r>
        <w:rPr>
          <w:lang w:eastAsia="en-AU"/>
        </w:rPr>
        <w:t>such as</w:t>
      </w:r>
      <w:r w:rsidRPr="00E55646">
        <w:rPr>
          <w:lang w:eastAsia="en-AU"/>
        </w:rPr>
        <w:t xml:space="preserve"> CMV</w:t>
      </w:r>
      <w:r>
        <w:rPr>
          <w:lang w:eastAsia="en-AU"/>
        </w:rPr>
        <w:noBreakHyphen/>
      </w:r>
      <w:r w:rsidRPr="00E55646">
        <w:rPr>
          <w:lang w:eastAsia="en-AU"/>
        </w:rPr>
        <w:t xml:space="preserve">negative or irradiated </w:t>
      </w:r>
      <w:r>
        <w:rPr>
          <w:lang w:eastAsia="en-AU"/>
        </w:rPr>
        <w:t>component</w:t>
      </w:r>
      <w:r w:rsidRPr="00E55646">
        <w:rPr>
          <w:lang w:eastAsia="en-AU"/>
        </w:rPr>
        <w:t xml:space="preserve">) are not met. </w:t>
      </w:r>
      <w:r w:rsidRPr="00DC43BF">
        <w:rPr>
          <w:lang w:eastAsia="en-AU"/>
        </w:rPr>
        <w:t>It should be noted that adverse events attributed to transfusion of ABO incompatible components are included in this category. Such events could equally be described as acute haemolytic transfusion reactions, but are included here because the key failure is IBCT. Transfusion of ABO incompatible components to a patient is considered a ‘sentinel event’ and is also subject to other reporting requirements.</w:t>
      </w:r>
    </w:p>
    <w:p w:rsidR="000E55F4" w:rsidRPr="0067584D" w:rsidRDefault="000E55F4" w:rsidP="000E55F4">
      <w:pPr>
        <w:spacing w:before="200"/>
        <w:rPr>
          <w:lang w:eastAsia="en-AU"/>
        </w:rPr>
      </w:pPr>
      <w:r w:rsidRPr="00EC4AF3">
        <w:rPr>
          <w:lang w:eastAsia="en-AU"/>
        </w:rPr>
        <w:t xml:space="preserve">In 2013–14, there were 33 IBCTs reported to the </w:t>
      </w:r>
      <w:r>
        <w:rPr>
          <w:lang w:eastAsia="en-AU"/>
        </w:rPr>
        <w:t>n</w:t>
      </w:r>
      <w:r w:rsidRPr="00EC4AF3">
        <w:rPr>
          <w:lang w:eastAsia="en-AU"/>
        </w:rPr>
        <w:t xml:space="preserve">ational </w:t>
      </w:r>
      <w:proofErr w:type="spellStart"/>
      <w:r>
        <w:rPr>
          <w:lang w:eastAsia="en-AU"/>
        </w:rPr>
        <w:t>h</w:t>
      </w:r>
      <w:r w:rsidRPr="00EC4AF3">
        <w:rPr>
          <w:lang w:eastAsia="en-AU"/>
        </w:rPr>
        <w:t>aemovigilance</w:t>
      </w:r>
      <w:proofErr w:type="spellEnd"/>
      <w:r w:rsidRPr="00EC4AF3">
        <w:rPr>
          <w:lang w:eastAsia="en-AU"/>
        </w:rPr>
        <w:t xml:space="preserve"> </w:t>
      </w:r>
      <w:r>
        <w:rPr>
          <w:lang w:eastAsia="en-AU"/>
        </w:rPr>
        <w:t>p</w:t>
      </w:r>
      <w:r w:rsidRPr="00EC4AF3">
        <w:rPr>
          <w:lang w:eastAsia="en-AU"/>
        </w:rPr>
        <w:t>rogram, accounting for 5.3% of all reports (617) for this period. All IBCTs were non-serious events and no life</w:t>
      </w:r>
      <w:r>
        <w:rPr>
          <w:lang w:eastAsia="en-AU"/>
        </w:rPr>
        <w:t>-</w:t>
      </w:r>
      <w:r w:rsidRPr="00EC4AF3">
        <w:rPr>
          <w:lang w:eastAsia="en-AU"/>
        </w:rPr>
        <w:t xml:space="preserve">threatening </w:t>
      </w:r>
      <w:r>
        <w:rPr>
          <w:lang w:eastAsia="en-AU"/>
        </w:rPr>
        <w:t>or</w:t>
      </w:r>
      <w:r w:rsidRPr="00EC4AF3">
        <w:rPr>
          <w:lang w:eastAsia="en-AU"/>
        </w:rPr>
        <w:t xml:space="preserve"> sever</w:t>
      </w:r>
      <w:r>
        <w:rPr>
          <w:lang w:eastAsia="en-AU"/>
        </w:rPr>
        <w:t>e</w:t>
      </w:r>
      <w:r w:rsidRPr="00EC4AF3">
        <w:rPr>
          <w:lang w:eastAsia="en-AU"/>
        </w:rPr>
        <w:t xml:space="preserve"> morbidity cases were reported.</w:t>
      </w:r>
    </w:p>
    <w:p w:rsidR="000E55F4" w:rsidRPr="003A25C4" w:rsidRDefault="000E55F4" w:rsidP="000E55F4">
      <w:pPr>
        <w:pStyle w:val="Caption"/>
      </w:pPr>
      <w:bookmarkStart w:id="74" w:name="_Toc420835692"/>
      <w:bookmarkStart w:id="75" w:name="_Toc459636856"/>
      <w:r w:rsidRPr="003A25C4">
        <w:t xml:space="preserve">Table </w:t>
      </w:r>
      <w:fldSimple w:instr=" SEQ Table \* ARABIC ">
        <w:r w:rsidR="000010BC">
          <w:rPr>
            <w:noProof/>
          </w:rPr>
          <w:t>16</w:t>
        </w:r>
      </w:fldSimple>
      <w:r w:rsidRPr="003A25C4">
        <w:t xml:space="preserve">: IBCT clinical outcome severity by </w:t>
      </w:r>
      <w:proofErr w:type="spellStart"/>
      <w:r w:rsidRPr="003A25C4">
        <w:t>imputability</w:t>
      </w:r>
      <w:proofErr w:type="spellEnd"/>
      <w:r w:rsidRPr="003A25C4">
        <w:t>, 2013–1</w:t>
      </w:r>
      <w:bookmarkEnd w:id="74"/>
      <w:r w:rsidRPr="003A25C4">
        <w:t>4</w:t>
      </w:r>
      <w:bookmarkEnd w:id="75"/>
    </w:p>
    <w:tbl>
      <w:tblPr>
        <w:tblW w:w="0" w:type="auto"/>
        <w:tblInd w:w="108" w:type="dxa"/>
        <w:tblLook w:val="01E0" w:firstRow="1" w:lastRow="1" w:firstColumn="1" w:lastColumn="1" w:noHBand="0" w:noVBand="0"/>
      </w:tblPr>
      <w:tblGrid>
        <w:gridCol w:w="2169"/>
        <w:gridCol w:w="383"/>
        <w:gridCol w:w="686"/>
        <w:gridCol w:w="1235"/>
        <w:gridCol w:w="1252"/>
        <w:gridCol w:w="1301"/>
        <w:gridCol w:w="1334"/>
        <w:gridCol w:w="996"/>
      </w:tblGrid>
      <w:tr w:rsidR="000E55F4" w:rsidRPr="00E12398" w:rsidTr="00F46D5E">
        <w:trPr>
          <w:trHeight w:val="629"/>
        </w:trPr>
        <w:tc>
          <w:tcPr>
            <w:tcW w:w="2552" w:type="dxa"/>
            <w:gridSpan w:val="2"/>
            <w:shd w:val="clear" w:color="auto" w:fill="FF0000"/>
            <w:vAlign w:val="center"/>
            <w:hideMark/>
          </w:tcPr>
          <w:p w:rsidR="000E55F4" w:rsidRPr="00E55646" w:rsidRDefault="000E55F4" w:rsidP="00F46D5E">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c>
          <w:tcPr>
            <w:tcW w:w="5808" w:type="dxa"/>
            <w:gridSpan w:val="5"/>
            <w:shd w:val="clear" w:color="auto" w:fill="FF0000"/>
            <w:vAlign w:val="center"/>
            <w:hideMark/>
          </w:tcPr>
          <w:p w:rsidR="000E55F4" w:rsidRPr="00E55646" w:rsidRDefault="000E55F4" w:rsidP="00F46D5E">
            <w:pPr>
              <w:spacing w:after="0"/>
              <w:jc w:val="center"/>
              <w:rPr>
                <w:rFonts w:asciiTheme="minorHAnsi" w:eastAsia="Times New Roman" w:hAnsiTheme="minorHAnsi" w:cstheme="minorHAnsi"/>
                <w:color w:val="FFFFFF"/>
                <w:sz w:val="20"/>
                <w:szCs w:val="20"/>
                <w:lang w:eastAsia="en-AU"/>
              </w:rPr>
            </w:pPr>
            <w:proofErr w:type="spellStart"/>
            <w:r w:rsidRPr="00E55646">
              <w:rPr>
                <w:rFonts w:asciiTheme="minorHAnsi" w:eastAsia="Times New Roman" w:hAnsiTheme="minorHAnsi" w:cstheme="minorHAnsi"/>
                <w:b/>
                <w:color w:val="FFFFFF"/>
                <w:sz w:val="20"/>
                <w:szCs w:val="20"/>
                <w:lang w:eastAsia="en-AU"/>
              </w:rPr>
              <w:t>Imputability</w:t>
            </w:r>
            <w:proofErr w:type="spellEnd"/>
          </w:p>
        </w:tc>
        <w:tc>
          <w:tcPr>
            <w:tcW w:w="996" w:type="dxa"/>
            <w:shd w:val="clear" w:color="auto" w:fill="FF0000"/>
            <w:vAlign w:val="center"/>
          </w:tcPr>
          <w:p w:rsidR="000E55F4" w:rsidRPr="00E12398" w:rsidRDefault="000E55F4" w:rsidP="00120782">
            <w:pPr>
              <w:spacing w:after="0"/>
              <w:jc w:val="right"/>
              <w:rPr>
                <w:rFonts w:asciiTheme="minorHAnsi" w:eastAsia="Times New Roman" w:hAnsiTheme="minorHAnsi" w:cstheme="minorHAnsi"/>
                <w:b/>
                <w:color w:val="FFFFFF"/>
                <w:sz w:val="20"/>
                <w:szCs w:val="20"/>
                <w:lang w:eastAsia="en-AU"/>
              </w:rPr>
            </w:pPr>
            <w:r w:rsidRPr="00E12398">
              <w:rPr>
                <w:rFonts w:asciiTheme="minorHAnsi" w:eastAsia="Times New Roman" w:hAnsiTheme="minorHAnsi" w:cstheme="minorHAnsi"/>
                <w:b/>
                <w:color w:val="FFFFFF"/>
                <w:sz w:val="20"/>
                <w:szCs w:val="20"/>
                <w:lang w:eastAsia="en-AU"/>
              </w:rPr>
              <w:t>Total</w:t>
            </w:r>
          </w:p>
        </w:tc>
      </w:tr>
      <w:tr w:rsidR="000E55F4" w:rsidRPr="00883299" w:rsidTr="00F46D5E">
        <w:tc>
          <w:tcPr>
            <w:tcW w:w="2169" w:type="dxa"/>
            <w:tcBorders>
              <w:bottom w:val="single" w:sz="4" w:space="0" w:color="auto"/>
            </w:tcBorders>
            <w:shd w:val="clear" w:color="auto" w:fill="D9D9D9" w:themeFill="background1" w:themeFillShade="D9"/>
            <w:vAlign w:val="center"/>
          </w:tcPr>
          <w:p w:rsidR="000E55F4" w:rsidRPr="00883299" w:rsidRDefault="000E55F4" w:rsidP="00F46D5E">
            <w:pPr>
              <w:spacing w:after="0"/>
              <w:jc w:val="center"/>
              <w:rPr>
                <w:rFonts w:asciiTheme="minorHAnsi" w:eastAsia="Times New Roman" w:hAnsiTheme="minorHAnsi" w:cstheme="minorHAnsi"/>
                <w:b/>
                <w:color w:val="FF0000"/>
                <w:sz w:val="20"/>
                <w:szCs w:val="20"/>
                <w:lang w:eastAsia="en-AU"/>
              </w:rPr>
            </w:pPr>
          </w:p>
        </w:tc>
        <w:tc>
          <w:tcPr>
            <w:tcW w:w="1069" w:type="dxa"/>
            <w:gridSpan w:val="2"/>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Excluded</w:t>
            </w:r>
            <w:r>
              <w:rPr>
                <w:rFonts w:asciiTheme="minorHAnsi" w:eastAsia="Times New Roman" w:hAnsiTheme="minorHAnsi" w:cstheme="minorHAnsi"/>
                <w:color w:val="FF0000"/>
                <w:sz w:val="20"/>
                <w:szCs w:val="20"/>
                <w:lang w:eastAsia="en-AU"/>
              </w:rPr>
              <w:t xml:space="preserve"> /</w:t>
            </w:r>
            <w:r w:rsidRPr="00883299">
              <w:rPr>
                <w:rFonts w:asciiTheme="minorHAnsi" w:eastAsia="Times New Roman" w:hAnsiTheme="minorHAnsi" w:cstheme="minorHAnsi"/>
                <w:color w:val="FF0000"/>
                <w:sz w:val="20"/>
                <w:szCs w:val="20"/>
                <w:lang w:eastAsia="en-AU"/>
              </w:rPr>
              <w:t xml:space="preserve"> Unlikely</w:t>
            </w:r>
          </w:p>
        </w:tc>
        <w:tc>
          <w:tcPr>
            <w:tcW w:w="1235" w:type="dxa"/>
            <w:tcBorders>
              <w:bottom w:val="single" w:sz="4" w:space="0" w:color="auto"/>
            </w:tcBorders>
            <w:shd w:val="clear" w:color="auto" w:fill="D9D9D9" w:themeFill="background1" w:themeFillShade="D9"/>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Possible</w:t>
            </w:r>
          </w:p>
        </w:tc>
        <w:tc>
          <w:tcPr>
            <w:tcW w:w="1252"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Likely / Probable</w:t>
            </w:r>
          </w:p>
        </w:tc>
        <w:tc>
          <w:tcPr>
            <w:tcW w:w="1301"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Confirmed / Certain</w:t>
            </w:r>
          </w:p>
        </w:tc>
        <w:tc>
          <w:tcPr>
            <w:tcW w:w="1334"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N/A /</w:t>
            </w:r>
            <w:r w:rsidRPr="00883299">
              <w:rPr>
                <w:rFonts w:asciiTheme="minorHAnsi" w:eastAsia="Times New Roman" w:hAnsiTheme="minorHAnsi" w:cstheme="minorHAnsi"/>
                <w:color w:val="FF0000"/>
                <w:sz w:val="20"/>
                <w:szCs w:val="20"/>
                <w:lang w:eastAsia="en-AU"/>
              </w:rPr>
              <w:t>Not assessable</w:t>
            </w:r>
          </w:p>
        </w:tc>
        <w:tc>
          <w:tcPr>
            <w:tcW w:w="996" w:type="dxa"/>
            <w:tcBorders>
              <w:bottom w:val="single" w:sz="4" w:space="0" w:color="auto"/>
            </w:tcBorders>
            <w:shd w:val="clear" w:color="auto" w:fill="D9D9D9" w:themeFill="background1" w:themeFillShade="D9"/>
            <w:vAlign w:val="center"/>
          </w:tcPr>
          <w:p w:rsidR="000E55F4" w:rsidRPr="00883299" w:rsidRDefault="000E55F4" w:rsidP="00F46D5E">
            <w:pPr>
              <w:spacing w:after="0"/>
              <w:jc w:val="right"/>
              <w:rPr>
                <w:rFonts w:asciiTheme="minorHAnsi" w:eastAsia="Times New Roman" w:hAnsiTheme="minorHAnsi" w:cstheme="minorHAnsi"/>
                <w:b/>
                <w:color w:val="FF0000"/>
                <w:sz w:val="20"/>
                <w:szCs w:val="20"/>
                <w:lang w:eastAsia="en-AU"/>
              </w:rPr>
            </w:pP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4E5914" w:rsidRDefault="000E55F4" w:rsidP="00F46D5E">
            <w:pPr>
              <w:spacing w:after="0"/>
              <w:rPr>
                <w:rFonts w:asciiTheme="minorHAnsi" w:eastAsia="Times New Roman" w:hAnsiTheme="minorHAnsi" w:cstheme="minorHAnsi"/>
                <w:sz w:val="20"/>
                <w:szCs w:val="20"/>
                <w:lang w:eastAsia="en-AU"/>
              </w:rPr>
            </w:pPr>
            <w:r w:rsidRPr="004E5914">
              <w:rPr>
                <w:rFonts w:asciiTheme="minorHAnsi" w:eastAsia="Times New Roman" w:hAnsiTheme="minorHAnsi" w:cstheme="minorHAnsi"/>
                <w:sz w:val="20"/>
                <w:szCs w:val="20"/>
                <w:lang w:eastAsia="en-AU"/>
              </w:rPr>
              <w:t>Life</w:t>
            </w:r>
            <w:r>
              <w:rPr>
                <w:rFonts w:asciiTheme="minorHAnsi" w:eastAsia="Times New Roman" w:hAnsiTheme="minorHAnsi" w:cstheme="minorHAnsi"/>
                <w:sz w:val="20"/>
                <w:szCs w:val="20"/>
                <w:lang w:eastAsia="en-AU"/>
              </w:rPr>
              <w:t>-</w:t>
            </w:r>
            <w:r w:rsidRPr="004E5914">
              <w:rPr>
                <w:rFonts w:asciiTheme="minorHAnsi" w:eastAsia="Times New Roman" w:hAnsiTheme="minorHAnsi" w:cstheme="minorHAnsi"/>
                <w:sz w:val="20"/>
                <w:szCs w:val="20"/>
                <w:lang w:eastAsia="en-AU"/>
              </w:rPr>
              <w:t xml:space="preserve">threatening </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A62DAE" w:rsidTr="00F46D5E">
        <w:trPr>
          <w:trHeight w:val="65"/>
        </w:trPr>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Severe morbidity</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Minor morbidity</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 morbidity</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6</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20</w:t>
            </w:r>
          </w:p>
        </w:tc>
      </w:tr>
      <w:tr w:rsidR="000E55F4" w:rsidRPr="00A62DAE" w:rsidTr="00F46D5E">
        <w:tc>
          <w:tcPr>
            <w:tcW w:w="2169" w:type="dxa"/>
            <w:tcBorders>
              <w:top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Outcome not available</w:t>
            </w:r>
          </w:p>
        </w:tc>
        <w:tc>
          <w:tcPr>
            <w:tcW w:w="1069" w:type="dxa"/>
            <w:gridSpan w:val="2"/>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10</w:t>
            </w:r>
          </w:p>
        </w:tc>
        <w:tc>
          <w:tcPr>
            <w:tcW w:w="996"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10</w:t>
            </w: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Total</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Pr>
                <w:rFonts w:eastAsiaTheme="minorHAnsi"/>
                <w:b/>
                <w:bCs/>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13</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16</w:t>
            </w:r>
          </w:p>
        </w:tc>
        <w:tc>
          <w:tcPr>
            <w:tcW w:w="996" w:type="dxa"/>
            <w:tcBorders>
              <w:top w:val="single" w:sz="4" w:space="0" w:color="auto"/>
              <w:bottom w:val="single" w:sz="4" w:space="0" w:color="auto"/>
            </w:tcBorders>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33</w:t>
            </w:r>
          </w:p>
        </w:tc>
      </w:tr>
    </w:tbl>
    <w:p w:rsidR="000E55F4" w:rsidRDefault="000E55F4" w:rsidP="000E55F4">
      <w:pPr>
        <w:spacing w:before="40" w:after="40" w:line="180" w:lineRule="atLeast"/>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t xml:space="preserve">Note: </w:t>
      </w: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Default="000E55F4" w:rsidP="000E55F4">
      <w:pPr>
        <w:spacing w:after="0"/>
        <w:rPr>
          <w:rFonts w:asciiTheme="minorHAnsi" w:hAnsiTheme="minorHAnsi" w:cstheme="minorHAnsi"/>
          <w:lang w:eastAsia="en-AU"/>
        </w:rPr>
      </w:pPr>
    </w:p>
    <w:p w:rsidR="000E55F4" w:rsidRDefault="000E55F4" w:rsidP="000E55F4">
      <w:pPr>
        <w:spacing w:line="276" w:lineRule="auto"/>
        <w:rPr>
          <w:rFonts w:asciiTheme="minorHAnsi" w:hAnsiTheme="minorHAnsi" w:cstheme="minorHAnsi"/>
          <w:lang w:eastAsia="en-AU"/>
        </w:rPr>
      </w:pPr>
      <w:r>
        <w:rPr>
          <w:rFonts w:asciiTheme="minorHAnsi" w:hAnsiTheme="minorHAnsi" w:cstheme="minorHAnsi"/>
          <w:lang w:eastAsia="en-AU"/>
        </w:rPr>
        <w:br w:type="page"/>
      </w:r>
    </w:p>
    <w:bookmarkStart w:id="76" w:name="_Ref357169967"/>
    <w:bookmarkStart w:id="77" w:name="_Ref409011500"/>
    <w:bookmarkStart w:id="78" w:name="_Toc420835693"/>
    <w:p w:rsidR="00B40707" w:rsidRPr="004417CB" w:rsidRDefault="00B40707" w:rsidP="00B40707">
      <w:pPr>
        <w:spacing w:after="0"/>
        <w:rPr>
          <w:lang w:eastAsia="en-AU"/>
        </w:rPr>
      </w:pPr>
      <w:r w:rsidRPr="00EC4AF3">
        <w:rPr>
          <w:lang w:eastAsia="en-AU"/>
        </w:rPr>
        <w:lastRenderedPageBreak/>
        <w:fldChar w:fldCharType="begin"/>
      </w:r>
      <w:r w:rsidRPr="004417CB">
        <w:rPr>
          <w:lang w:eastAsia="en-AU"/>
        </w:rPr>
        <w:instrText xml:space="preserve"> REF _Ref450896031 \h  \* MERGEFORMAT </w:instrText>
      </w:r>
      <w:r w:rsidRPr="00EC4AF3">
        <w:rPr>
          <w:lang w:eastAsia="en-AU"/>
        </w:rPr>
      </w:r>
      <w:r w:rsidRPr="00EC4AF3">
        <w:rPr>
          <w:lang w:eastAsia="en-AU"/>
        </w:rPr>
        <w:fldChar w:fldCharType="separate"/>
      </w:r>
      <w:r w:rsidR="000010BC" w:rsidRPr="003A25C4">
        <w:t xml:space="preserve">Table </w:t>
      </w:r>
      <w:r w:rsidR="000010BC">
        <w:rPr>
          <w:noProof/>
        </w:rPr>
        <w:t>17</w:t>
      </w:r>
      <w:r w:rsidRPr="00EC4AF3">
        <w:rPr>
          <w:lang w:eastAsia="en-AU"/>
        </w:rPr>
        <w:fldChar w:fldCharType="end"/>
      </w:r>
      <w:r w:rsidRPr="004417CB">
        <w:rPr>
          <w:lang w:eastAsia="en-AU"/>
        </w:rPr>
        <w:t xml:space="preserve"> details the contributory factors for reported IBCT events for 2010–11 to 2013–14:</w:t>
      </w:r>
    </w:p>
    <w:p w:rsidR="00B40707" w:rsidRPr="009E4A39" w:rsidRDefault="00B40707" w:rsidP="0096249F">
      <w:pPr>
        <w:pStyle w:val="ListParagraph"/>
        <w:numPr>
          <w:ilvl w:val="0"/>
          <w:numId w:val="16"/>
        </w:numPr>
        <w:spacing w:after="0"/>
        <w:rPr>
          <w:rFonts w:asciiTheme="minorHAnsi" w:hAnsiTheme="minorHAnsi" w:cstheme="minorHAnsi"/>
          <w:lang w:eastAsia="en-AU"/>
        </w:rPr>
      </w:pPr>
      <w:r w:rsidRPr="009E4A39">
        <w:rPr>
          <w:rFonts w:asciiTheme="minorHAnsi" w:hAnsiTheme="minorHAnsi" w:cstheme="minorHAnsi"/>
          <w:lang w:eastAsia="en-AU"/>
        </w:rPr>
        <w:t xml:space="preserve">For 2010–11, the most frequently cited contributory factors were </w:t>
      </w:r>
      <w:r w:rsidR="007B3AA4" w:rsidRPr="009E4A39">
        <w:rPr>
          <w:rFonts w:asciiTheme="minorHAnsi" w:hAnsiTheme="minorHAnsi" w:cstheme="minorHAnsi"/>
          <w:lang w:eastAsia="en-AU"/>
        </w:rPr>
        <w:t>‘procedure did not adhere to hospital transfusing guidelines’</w:t>
      </w:r>
      <w:r w:rsidR="007B3AA4" w:rsidRPr="009E4A39" w:rsidDel="007B3AA4">
        <w:rPr>
          <w:rFonts w:asciiTheme="minorHAnsi" w:hAnsiTheme="minorHAnsi" w:cstheme="minorHAnsi"/>
          <w:lang w:eastAsia="en-AU"/>
        </w:rPr>
        <w:t xml:space="preserve"> </w:t>
      </w:r>
      <w:r w:rsidR="007B3AA4">
        <w:rPr>
          <w:rFonts w:asciiTheme="minorHAnsi" w:hAnsiTheme="minorHAnsi" w:cstheme="minorHAnsi"/>
          <w:lang w:eastAsia="en-AU"/>
        </w:rPr>
        <w:t xml:space="preserve">and </w:t>
      </w:r>
      <w:r w:rsidRPr="009E4A39">
        <w:rPr>
          <w:rFonts w:asciiTheme="minorHAnsi" w:hAnsiTheme="minorHAnsi" w:cstheme="minorHAnsi"/>
          <w:lang w:eastAsia="en-AU"/>
        </w:rPr>
        <w:t>‘specimen collection/labelling’.</w:t>
      </w:r>
    </w:p>
    <w:p w:rsidR="00B40707" w:rsidRPr="009E4A39" w:rsidRDefault="00B40707" w:rsidP="0096249F">
      <w:pPr>
        <w:pStyle w:val="ListParagraph"/>
        <w:numPr>
          <w:ilvl w:val="0"/>
          <w:numId w:val="16"/>
        </w:numPr>
        <w:spacing w:after="0"/>
        <w:ind w:left="357" w:hanging="357"/>
        <w:contextualSpacing w:val="0"/>
        <w:rPr>
          <w:rFonts w:asciiTheme="minorHAnsi" w:hAnsiTheme="minorHAnsi" w:cstheme="minorHAnsi"/>
          <w:lang w:eastAsia="en-AU"/>
        </w:rPr>
      </w:pPr>
      <w:r w:rsidRPr="009E4A39">
        <w:rPr>
          <w:rFonts w:asciiTheme="minorHAnsi" w:hAnsiTheme="minorHAnsi" w:cstheme="minorHAnsi"/>
          <w:lang w:eastAsia="en-AU"/>
        </w:rPr>
        <w:t>For 2011–12 and 2012–13, the most frequent factors that contributed to IBCT events were ‘laboratory (testing/dispensing)’ and ‘i</w:t>
      </w:r>
      <w:r w:rsidRPr="009E4A39">
        <w:rPr>
          <w:lang w:eastAsia="en-AU"/>
        </w:rPr>
        <w:t>ndications did not meet hospital transfusion guidelines’.</w:t>
      </w:r>
    </w:p>
    <w:p w:rsidR="00B40707" w:rsidRPr="009E4A39" w:rsidRDefault="00B40707" w:rsidP="0096249F">
      <w:pPr>
        <w:pStyle w:val="ListParagraph"/>
        <w:numPr>
          <w:ilvl w:val="0"/>
          <w:numId w:val="16"/>
        </w:numPr>
        <w:spacing w:after="0"/>
        <w:contextualSpacing w:val="0"/>
        <w:rPr>
          <w:rFonts w:asciiTheme="minorHAnsi" w:hAnsiTheme="minorHAnsi" w:cstheme="minorHAnsi"/>
          <w:lang w:eastAsia="en-AU"/>
        </w:rPr>
      </w:pPr>
      <w:r w:rsidRPr="009E4A39">
        <w:rPr>
          <w:lang w:eastAsia="en-AU"/>
        </w:rPr>
        <w:t>For 2013–14, the most frequent factors that contributed to IBCT events were ‘indications did not meet hospital transfusion guidelin</w:t>
      </w:r>
      <w:r w:rsidR="008C274E">
        <w:rPr>
          <w:lang w:eastAsia="en-AU"/>
        </w:rPr>
        <w:t>es’ and ‘prescribing/ordering’.</w:t>
      </w:r>
    </w:p>
    <w:p w:rsidR="00B40707" w:rsidRDefault="00B40707" w:rsidP="00B40707">
      <w:pPr>
        <w:spacing w:before="200"/>
      </w:pPr>
      <w:r w:rsidRPr="003B68BF">
        <w:t>This reported data highlights the range of problems that contribute to IBCT events, and the key observation for IBCT is that staff should conform to local facility guidelines for prescribing, labelling, laboratory testing and transfusing.</w:t>
      </w:r>
    </w:p>
    <w:p w:rsidR="00B40707" w:rsidRPr="003A25C4" w:rsidRDefault="00B40707" w:rsidP="00B40707">
      <w:pPr>
        <w:pStyle w:val="Caption"/>
      </w:pPr>
      <w:bookmarkStart w:id="79" w:name="_Ref450896031"/>
      <w:bookmarkStart w:id="80" w:name="_Toc459636857"/>
      <w:r w:rsidRPr="003A25C4">
        <w:t xml:space="preserve">Table </w:t>
      </w:r>
      <w:fldSimple w:instr=" SEQ Table \* ARABIC ">
        <w:r w:rsidR="000010BC">
          <w:rPr>
            <w:noProof/>
          </w:rPr>
          <w:t>17</w:t>
        </w:r>
      </w:fldSimple>
      <w:bookmarkEnd w:id="79"/>
      <w:r w:rsidRPr="003A25C4">
        <w:t>: Contributory factors cited in IBCT, 2010–11 to 2013–14</w:t>
      </w:r>
      <w:bookmarkEnd w:id="80"/>
    </w:p>
    <w:tbl>
      <w:tblPr>
        <w:tblW w:w="0" w:type="auto"/>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3119"/>
        <w:gridCol w:w="1134"/>
        <w:gridCol w:w="1134"/>
        <w:gridCol w:w="1134"/>
        <w:gridCol w:w="1134"/>
      </w:tblGrid>
      <w:tr w:rsidR="00B40707" w:rsidRPr="00B30D1A" w:rsidTr="00F46D5E">
        <w:trPr>
          <w:trHeight w:val="340"/>
        </w:trPr>
        <w:tc>
          <w:tcPr>
            <w:tcW w:w="3119" w:type="dxa"/>
            <w:tcBorders>
              <w:top w:val="nil"/>
              <w:left w:val="nil"/>
              <w:bottom w:val="nil"/>
            </w:tcBorders>
            <w:shd w:val="clear" w:color="auto" w:fill="FF0000"/>
            <w:vAlign w:val="center"/>
          </w:tcPr>
          <w:p w:rsidR="00B40707" w:rsidRPr="00E55646" w:rsidRDefault="00B40707" w:rsidP="00F46D5E">
            <w:pPr>
              <w:keepNext/>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Contributory Factor</w:t>
            </w:r>
          </w:p>
        </w:tc>
        <w:tc>
          <w:tcPr>
            <w:tcW w:w="1134" w:type="dxa"/>
            <w:tcBorders>
              <w:top w:val="nil"/>
              <w:bottom w:val="nil"/>
            </w:tcBorders>
            <w:shd w:val="clear" w:color="auto" w:fill="FF0000"/>
            <w:vAlign w:val="center"/>
          </w:tcPr>
          <w:p w:rsidR="00B40707" w:rsidRPr="00E55646" w:rsidRDefault="00B40707" w:rsidP="00F46D5E">
            <w:pPr>
              <w:keepNext/>
              <w:spacing w:after="0"/>
              <w:jc w:val="right"/>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2010</w:t>
            </w:r>
            <w:r>
              <w:rPr>
                <w:rFonts w:asciiTheme="minorHAnsi" w:eastAsia="Times New Roman" w:hAnsiTheme="minorHAnsi" w:cstheme="minorHAnsi"/>
                <w:b/>
                <w:color w:val="FFFFFF"/>
                <w:sz w:val="20"/>
                <w:szCs w:val="20"/>
                <w:lang w:eastAsia="en-AU"/>
              </w:rPr>
              <w:t>–</w:t>
            </w:r>
            <w:r w:rsidRPr="00E55646">
              <w:rPr>
                <w:rFonts w:asciiTheme="minorHAnsi" w:eastAsia="Times New Roman" w:hAnsiTheme="minorHAnsi" w:cstheme="minorHAnsi"/>
                <w:b/>
                <w:color w:val="FFFFFF"/>
                <w:sz w:val="20"/>
                <w:szCs w:val="20"/>
                <w:lang w:eastAsia="en-AU"/>
              </w:rPr>
              <w:t>11</w:t>
            </w:r>
          </w:p>
        </w:tc>
        <w:tc>
          <w:tcPr>
            <w:tcW w:w="1134" w:type="dxa"/>
            <w:tcBorders>
              <w:top w:val="nil"/>
              <w:bottom w:val="nil"/>
            </w:tcBorders>
            <w:shd w:val="clear" w:color="auto" w:fill="FF0000"/>
            <w:vAlign w:val="center"/>
          </w:tcPr>
          <w:p w:rsidR="00B40707" w:rsidRPr="00E55646" w:rsidRDefault="00B40707" w:rsidP="00F46D5E">
            <w:pPr>
              <w:keepNext/>
              <w:spacing w:after="0"/>
              <w:jc w:val="right"/>
              <w:rPr>
                <w:rFonts w:asciiTheme="minorHAnsi" w:eastAsia="Times New Roman" w:hAnsiTheme="minorHAnsi" w:cstheme="minorHAnsi"/>
                <w:b/>
                <w:color w:val="FFFFFF"/>
                <w:sz w:val="20"/>
                <w:szCs w:val="20"/>
                <w:lang w:eastAsia="en-AU"/>
              </w:rPr>
            </w:pPr>
            <w:r>
              <w:rPr>
                <w:rFonts w:asciiTheme="minorHAnsi" w:eastAsia="Times New Roman" w:hAnsiTheme="minorHAnsi" w:cstheme="minorHAnsi"/>
                <w:b/>
                <w:color w:val="FFFFFF"/>
                <w:sz w:val="20"/>
                <w:szCs w:val="20"/>
                <w:lang w:eastAsia="en-AU"/>
              </w:rPr>
              <w:t>2011–</w:t>
            </w:r>
            <w:r w:rsidRPr="00E55646">
              <w:rPr>
                <w:rFonts w:asciiTheme="minorHAnsi" w:eastAsia="Times New Roman" w:hAnsiTheme="minorHAnsi" w:cstheme="minorHAnsi"/>
                <w:b/>
                <w:color w:val="FFFFFF"/>
                <w:sz w:val="20"/>
                <w:szCs w:val="20"/>
                <w:lang w:eastAsia="en-AU"/>
              </w:rPr>
              <w:t>1</w:t>
            </w:r>
            <w:r>
              <w:rPr>
                <w:rFonts w:asciiTheme="minorHAnsi" w:eastAsia="Times New Roman" w:hAnsiTheme="minorHAnsi" w:cstheme="minorHAnsi"/>
                <w:b/>
                <w:color w:val="FFFFFF"/>
                <w:sz w:val="20"/>
                <w:szCs w:val="20"/>
                <w:lang w:eastAsia="en-AU"/>
              </w:rPr>
              <w:t>2</w:t>
            </w:r>
          </w:p>
        </w:tc>
        <w:tc>
          <w:tcPr>
            <w:tcW w:w="1134" w:type="dxa"/>
            <w:tcBorders>
              <w:top w:val="nil"/>
              <w:bottom w:val="nil"/>
            </w:tcBorders>
            <w:shd w:val="clear" w:color="auto" w:fill="FF0000"/>
            <w:vAlign w:val="center"/>
          </w:tcPr>
          <w:p w:rsidR="00B40707" w:rsidRPr="00E55646" w:rsidRDefault="00B40707" w:rsidP="00F46D5E">
            <w:pPr>
              <w:keepNext/>
              <w:spacing w:after="0"/>
              <w:jc w:val="right"/>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201</w:t>
            </w:r>
            <w:r>
              <w:rPr>
                <w:rFonts w:asciiTheme="minorHAnsi" w:eastAsia="Times New Roman" w:hAnsiTheme="minorHAnsi" w:cstheme="minorHAnsi"/>
                <w:b/>
                <w:color w:val="FFFFFF"/>
                <w:sz w:val="20"/>
                <w:szCs w:val="20"/>
                <w:lang w:eastAsia="en-AU"/>
              </w:rPr>
              <w:t>2–</w:t>
            </w:r>
            <w:r w:rsidRPr="00E55646">
              <w:rPr>
                <w:rFonts w:asciiTheme="minorHAnsi" w:eastAsia="Times New Roman" w:hAnsiTheme="minorHAnsi" w:cstheme="minorHAnsi"/>
                <w:b/>
                <w:color w:val="FFFFFF"/>
                <w:sz w:val="20"/>
                <w:szCs w:val="20"/>
                <w:lang w:eastAsia="en-AU"/>
              </w:rPr>
              <w:t>1</w:t>
            </w:r>
            <w:r>
              <w:rPr>
                <w:rFonts w:asciiTheme="minorHAnsi" w:eastAsia="Times New Roman" w:hAnsiTheme="minorHAnsi" w:cstheme="minorHAnsi"/>
                <w:b/>
                <w:color w:val="FFFFFF"/>
                <w:sz w:val="20"/>
                <w:szCs w:val="20"/>
                <w:lang w:eastAsia="en-AU"/>
              </w:rPr>
              <w:t>3</w:t>
            </w:r>
          </w:p>
        </w:tc>
        <w:tc>
          <w:tcPr>
            <w:tcW w:w="1134" w:type="dxa"/>
            <w:tcBorders>
              <w:top w:val="nil"/>
              <w:bottom w:val="nil"/>
            </w:tcBorders>
            <w:shd w:val="clear" w:color="auto" w:fill="FF0000"/>
            <w:vAlign w:val="center"/>
          </w:tcPr>
          <w:p w:rsidR="00B40707" w:rsidRPr="00E55646" w:rsidRDefault="00B40707" w:rsidP="00F46D5E">
            <w:pPr>
              <w:keepNext/>
              <w:spacing w:after="0"/>
              <w:jc w:val="right"/>
              <w:rPr>
                <w:rFonts w:asciiTheme="minorHAnsi" w:eastAsia="Times New Roman" w:hAnsiTheme="minorHAnsi" w:cstheme="minorHAnsi"/>
                <w:b/>
                <w:color w:val="FFFFFF"/>
                <w:sz w:val="20"/>
                <w:szCs w:val="20"/>
                <w:lang w:eastAsia="en-AU"/>
              </w:rPr>
            </w:pPr>
            <w:r>
              <w:rPr>
                <w:rFonts w:asciiTheme="minorHAnsi" w:eastAsia="Times New Roman" w:hAnsiTheme="minorHAnsi" w:cstheme="minorHAnsi"/>
                <w:b/>
                <w:color w:val="FFFFFF"/>
                <w:sz w:val="20"/>
                <w:szCs w:val="20"/>
                <w:lang w:eastAsia="en-AU"/>
              </w:rPr>
              <w:t>2013-14</w:t>
            </w:r>
          </w:p>
        </w:tc>
      </w:tr>
      <w:tr w:rsidR="00B40707" w:rsidRPr="00E55646" w:rsidTr="00F46D5E">
        <w:tc>
          <w:tcPr>
            <w:tcW w:w="3119" w:type="dxa"/>
            <w:tcBorders>
              <w:top w:val="nil"/>
            </w:tcBorders>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None identified</w:t>
            </w:r>
          </w:p>
        </w:tc>
        <w:tc>
          <w:tcPr>
            <w:tcW w:w="1134" w:type="dxa"/>
            <w:tcBorders>
              <w:top w:val="nil"/>
            </w:tcBorders>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tcBorders>
              <w:top w:val="nil"/>
            </w:tcBorders>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9</w:t>
            </w:r>
          </w:p>
        </w:tc>
        <w:tc>
          <w:tcPr>
            <w:tcW w:w="1134" w:type="dxa"/>
            <w:tcBorders>
              <w:top w:val="nil"/>
            </w:tcBorders>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tcBorders>
              <w:top w:val="nil"/>
            </w:tcBorders>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Product characteristic</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4</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0</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Transfusion in emergency setting</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4</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2</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6</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3</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Deliberate clinical decision</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0</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Prescribing/ordering</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5</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7</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14</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Specimen collection/labelling</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11</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7</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11</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0</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Laboratory (testing/dispensing)</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5</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24</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22</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12</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Transport, storage, handling</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Administration of product</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8</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5</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9</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10</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Indications did not meet hospital transfusion guidelines</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2</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12</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27</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15</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Procedure did not adhere to hospital transfusion guidelines</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14</w:t>
            </w:r>
          </w:p>
        </w:tc>
        <w:tc>
          <w:tcPr>
            <w:tcW w:w="1134" w:type="dxa"/>
            <w:vAlign w:val="bottom"/>
          </w:tcPr>
          <w:p w:rsidR="00B40707" w:rsidRPr="004E3A85" w:rsidRDefault="00B40707" w:rsidP="00F46D5E">
            <w:pPr>
              <w:keepNext/>
              <w:spacing w:after="0"/>
              <w:jc w:val="right"/>
              <w:rPr>
                <w:rFonts w:asciiTheme="minorHAnsi" w:eastAsia="Times New Roman" w:hAnsiTheme="minorHAnsi" w:cstheme="minorHAnsi"/>
                <w:sz w:val="20"/>
                <w:szCs w:val="20"/>
                <w:lang w:eastAsia="en-AU"/>
              </w:rPr>
            </w:pPr>
            <w:r w:rsidRPr="004E3A85">
              <w:rPr>
                <w:rFonts w:asciiTheme="minorHAnsi" w:eastAsia="Times New Roman" w:hAnsiTheme="minorHAnsi" w:cstheme="minorHAnsi"/>
                <w:sz w:val="20"/>
                <w:szCs w:val="20"/>
                <w:lang w:eastAsia="en-AU"/>
              </w:rPr>
              <w:t>1</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3</w:t>
            </w:r>
          </w:p>
        </w:tc>
      </w:tr>
      <w:tr w:rsidR="00B40707" w:rsidRPr="00E55646" w:rsidTr="00F46D5E">
        <w:tc>
          <w:tcPr>
            <w:tcW w:w="3119" w:type="dxa"/>
            <w:shd w:val="clear" w:color="auto" w:fill="auto"/>
            <w:vAlign w:val="center"/>
          </w:tcPr>
          <w:p w:rsidR="00B40707" w:rsidRPr="00E55646" w:rsidRDefault="00B40707" w:rsidP="00F46D5E">
            <w:pPr>
              <w:keepNext/>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Other</w:t>
            </w:r>
          </w:p>
        </w:tc>
        <w:tc>
          <w:tcPr>
            <w:tcW w:w="1134" w:type="dxa"/>
            <w:shd w:val="clear" w:color="auto" w:fill="auto"/>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8</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4</w:t>
            </w:r>
          </w:p>
        </w:tc>
        <w:tc>
          <w:tcPr>
            <w:tcW w:w="1134" w:type="dxa"/>
            <w:vAlign w:val="bottom"/>
          </w:tcPr>
          <w:p w:rsidR="00B40707" w:rsidRPr="00FD1B37" w:rsidRDefault="00B40707" w:rsidP="00F46D5E">
            <w:pPr>
              <w:keepNext/>
              <w:spacing w:after="0"/>
              <w:jc w:val="right"/>
              <w:rPr>
                <w:rFonts w:asciiTheme="minorHAnsi" w:eastAsia="Times New Roman" w:hAnsiTheme="minorHAnsi" w:cstheme="minorHAnsi"/>
                <w:sz w:val="20"/>
                <w:szCs w:val="20"/>
                <w:lang w:eastAsia="en-AU"/>
              </w:rPr>
            </w:pPr>
            <w:r w:rsidRPr="00FD1B37">
              <w:rPr>
                <w:rFonts w:asciiTheme="minorHAnsi" w:eastAsia="Times New Roman" w:hAnsiTheme="minorHAnsi" w:cstheme="minorHAnsi"/>
                <w:sz w:val="20"/>
                <w:szCs w:val="20"/>
                <w:lang w:eastAsia="en-AU"/>
              </w:rPr>
              <w:t>12</w:t>
            </w:r>
          </w:p>
        </w:tc>
        <w:tc>
          <w:tcPr>
            <w:tcW w:w="1134" w:type="dxa"/>
            <w:vAlign w:val="bottom"/>
          </w:tcPr>
          <w:p w:rsidR="00B40707" w:rsidRDefault="00B40707" w:rsidP="00F46D5E">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12</w:t>
            </w:r>
          </w:p>
        </w:tc>
      </w:tr>
    </w:tbl>
    <w:p w:rsidR="007410E9" w:rsidRPr="008C3A7A" w:rsidRDefault="007410E9" w:rsidP="007410E9">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7410E9" w:rsidRPr="008C3A7A" w:rsidRDefault="007410E9" w:rsidP="0096249F">
      <w:pPr>
        <w:numPr>
          <w:ilvl w:val="0"/>
          <w:numId w:val="46"/>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Contributory fact</w:t>
      </w:r>
      <w:r>
        <w:rPr>
          <w:rFonts w:asciiTheme="minorHAnsi" w:eastAsiaTheme="minorEastAsia" w:hAnsiTheme="minorHAnsi" w:cstheme="minorHAnsi"/>
          <w:sz w:val="18"/>
          <w:szCs w:val="18"/>
          <w:lang w:eastAsia="en-AU"/>
        </w:rPr>
        <w:t>or</w:t>
      </w:r>
      <w:r w:rsidRPr="008C3A7A">
        <w:rPr>
          <w:rFonts w:asciiTheme="minorHAnsi" w:eastAsiaTheme="minorEastAsia" w:hAnsiTheme="minorHAnsi" w:cstheme="minorHAnsi"/>
          <w:sz w:val="18"/>
          <w:szCs w:val="18"/>
          <w:lang w:eastAsia="en-AU"/>
        </w:rPr>
        <w:t xml:space="preserve">s are not identified for </w:t>
      </w:r>
      <w:r>
        <w:rPr>
          <w:rFonts w:asciiTheme="minorHAnsi" w:eastAsiaTheme="minorEastAsia" w:hAnsiTheme="minorHAnsi" w:cstheme="minorHAnsi"/>
          <w:sz w:val="18"/>
          <w:szCs w:val="18"/>
          <w:lang w:eastAsia="en-AU"/>
        </w:rPr>
        <w:t>the adverse events</w:t>
      </w:r>
      <w:r w:rsidRPr="008C3A7A">
        <w:rPr>
          <w:rFonts w:asciiTheme="minorHAnsi" w:eastAsiaTheme="minorEastAsia" w:hAnsiTheme="minorHAnsi" w:cstheme="minorHAnsi"/>
          <w:sz w:val="18"/>
          <w:szCs w:val="18"/>
          <w:lang w:eastAsia="en-AU"/>
        </w:rPr>
        <w:t xml:space="preserve"> reported by QLD and SA</w:t>
      </w:r>
    </w:p>
    <w:p w:rsidR="007410E9" w:rsidRDefault="007410E9" w:rsidP="0096249F">
      <w:pPr>
        <w:numPr>
          <w:ilvl w:val="0"/>
          <w:numId w:val="46"/>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7410E9" w:rsidRDefault="007410E9" w:rsidP="0096249F">
      <w:pPr>
        <w:numPr>
          <w:ilvl w:val="0"/>
          <w:numId w:val="46"/>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B40707" w:rsidRPr="00252B9F" w:rsidRDefault="00B40707" w:rsidP="00B40707">
      <w:pPr>
        <w:spacing w:line="276" w:lineRule="auto"/>
      </w:pPr>
      <w:r w:rsidRPr="00252B9F">
        <w:br w:type="page"/>
      </w:r>
    </w:p>
    <w:p w:rsidR="000E55F4" w:rsidRPr="00117984" w:rsidRDefault="000E55F4" w:rsidP="000E55F4">
      <w:pPr>
        <w:pStyle w:val="Heading2"/>
      </w:pPr>
      <w:bookmarkStart w:id="81" w:name="_Toc459366169"/>
      <w:bookmarkEnd w:id="76"/>
      <w:bookmarkEnd w:id="77"/>
      <w:bookmarkEnd w:id="78"/>
      <w:r w:rsidRPr="00252B9F">
        <w:lastRenderedPageBreak/>
        <w:t>Transfusion</w:t>
      </w:r>
      <w:r w:rsidRPr="00252B9F">
        <w:noBreakHyphen/>
        <w:t>associated circulatory overload (TACO)</w:t>
      </w:r>
      <w:bookmarkEnd w:id="81"/>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0E55F4" w:rsidRPr="00E55646" w:rsidTr="00F46D5E">
        <w:tc>
          <w:tcPr>
            <w:tcW w:w="3208" w:type="dxa"/>
            <w:gridSpan w:val="2"/>
            <w:shd w:val="clear" w:color="auto" w:fill="FF0000"/>
            <w:hideMark/>
          </w:tcPr>
          <w:p w:rsidR="000E55F4" w:rsidRPr="00E55646" w:rsidRDefault="000E55F4" w:rsidP="00F46D5E">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(n=28</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0E55F4" w:rsidRPr="00E55646" w:rsidRDefault="000E55F4" w:rsidP="00F46D5E">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8" w:type="dxa"/>
            <w:gridSpan w:val="3"/>
            <w:tcBorders>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23</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8" w:type="dxa"/>
            <w:gridSpan w:val="3"/>
            <w:tcBorders>
              <w:top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shd w:val="clear" w:color="auto" w:fill="BFBFBF" w:themeFill="background1" w:themeFillShade="BF"/>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20</w:t>
            </w:r>
          </w:p>
        </w:tc>
        <w:tc>
          <w:tcPr>
            <w:tcW w:w="2378" w:type="dxa"/>
            <w:gridSpan w:val="3"/>
            <w:tcBorders>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16</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1C2470" w:rsidTr="00F46D5E">
        <w:tc>
          <w:tcPr>
            <w:tcW w:w="2658" w:type="dxa"/>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8" w:type="dxa"/>
            <w:gridSpan w:val="3"/>
            <w:tcBorders>
              <w:top w:val="single" w:sz="4" w:space="0" w:color="auto"/>
            </w:tcBorders>
            <w:shd w:val="clear" w:color="auto" w:fill="auto"/>
          </w:tcPr>
          <w:p w:rsidR="000E55F4" w:rsidRPr="001C2470"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Pr="001C2470"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0E55F4" w:rsidRDefault="000E55F4" w:rsidP="00F46D5E">
            <w:pPr>
              <w:autoSpaceDE w:val="0"/>
              <w:autoSpaceDN w:val="0"/>
              <w:adjustRightInd w:val="0"/>
              <w:spacing w:after="0"/>
              <w:jc w:val="right"/>
              <w:rPr>
                <w:rFonts w:eastAsiaTheme="minorHAnsi"/>
                <w:color w:val="000000"/>
                <w:sz w:val="20"/>
                <w:szCs w:val="20"/>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Life-threatening</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14</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26</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799"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bl>
    <w:p w:rsidR="000E55F4" w:rsidRPr="008C3A7A" w:rsidRDefault="000E55F4" w:rsidP="000E55F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0E55F4" w:rsidRDefault="000E55F4" w:rsidP="0096249F">
      <w:pPr>
        <w:numPr>
          <w:ilvl w:val="0"/>
          <w:numId w:val="37"/>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0E55F4" w:rsidRPr="006858FB" w:rsidRDefault="000E55F4" w:rsidP="0096249F">
      <w:pPr>
        <w:numPr>
          <w:ilvl w:val="0"/>
          <w:numId w:val="37"/>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0E55F4" w:rsidRDefault="000E55F4" w:rsidP="0096249F">
      <w:pPr>
        <w:numPr>
          <w:ilvl w:val="0"/>
          <w:numId w:val="37"/>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0E55F4" w:rsidRDefault="000E55F4" w:rsidP="0096249F">
      <w:pPr>
        <w:numPr>
          <w:ilvl w:val="0"/>
          <w:numId w:val="37"/>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Pr="008C3A7A" w:rsidRDefault="000E55F4" w:rsidP="000E55F4">
      <w:pPr>
        <w:spacing w:before="40" w:after="40" w:line="180" w:lineRule="atLeast"/>
        <w:ind w:left="360"/>
        <w:contextualSpacing/>
        <w:rPr>
          <w:rFonts w:asciiTheme="minorHAnsi" w:eastAsiaTheme="minorEastAsia" w:hAnsiTheme="minorHAnsi" w:cstheme="minorHAnsi"/>
          <w:sz w:val="18"/>
          <w:szCs w:val="18"/>
          <w:lang w:eastAsia="en-AU"/>
        </w:rPr>
      </w:pPr>
    </w:p>
    <w:p w:rsidR="000E55F4" w:rsidRDefault="000E55F4" w:rsidP="000E55F4">
      <w:pPr>
        <w:rPr>
          <w:rFonts w:asciiTheme="minorHAnsi" w:eastAsiaTheme="minorEastAsia" w:hAnsiTheme="minorHAnsi" w:cstheme="minorHAnsi"/>
          <w:sz w:val="18"/>
          <w:szCs w:val="18"/>
          <w:lang w:eastAsia="en-AU"/>
        </w:rPr>
      </w:pPr>
      <w:r>
        <w:rPr>
          <w:lang w:eastAsia="en-AU"/>
        </w:rPr>
        <w:t>Over</w:t>
      </w:r>
      <w:r w:rsidR="008C274E">
        <w:rPr>
          <w:lang w:eastAsia="en-AU"/>
        </w:rPr>
        <w:t>-</w:t>
      </w:r>
      <w:r>
        <w:rPr>
          <w:lang w:eastAsia="en-AU"/>
        </w:rPr>
        <w:t>transfusion and rapid transfusion</w:t>
      </w:r>
      <w:r w:rsidRPr="00DF614A">
        <w:rPr>
          <w:lang w:eastAsia="en-AU"/>
        </w:rPr>
        <w:t xml:space="preserve"> of blood </w:t>
      </w:r>
      <w:r>
        <w:rPr>
          <w:lang w:eastAsia="en-AU"/>
        </w:rPr>
        <w:t xml:space="preserve">components, especially </w:t>
      </w:r>
      <w:r w:rsidRPr="00DF614A">
        <w:rPr>
          <w:lang w:eastAsia="en-AU"/>
        </w:rPr>
        <w:t xml:space="preserve">to patients </w:t>
      </w:r>
      <w:r>
        <w:rPr>
          <w:lang w:eastAsia="en-AU"/>
        </w:rPr>
        <w:t>with reduced cardiopulmonary reserve</w:t>
      </w:r>
      <w:r w:rsidRPr="00DF614A">
        <w:rPr>
          <w:lang w:eastAsia="en-AU"/>
        </w:rPr>
        <w:t xml:space="preserve"> capacity (children and </w:t>
      </w:r>
      <w:r w:rsidR="007410E9">
        <w:rPr>
          <w:lang w:eastAsia="en-AU"/>
        </w:rPr>
        <w:t>the elderly</w:t>
      </w:r>
      <w:r w:rsidRPr="00DF614A">
        <w:rPr>
          <w:lang w:eastAsia="en-AU"/>
        </w:rPr>
        <w:t>) can lead to overload of the c</w:t>
      </w:r>
      <w:r>
        <w:rPr>
          <w:lang w:eastAsia="en-AU"/>
        </w:rPr>
        <w:t>irculatory system, termed TACO.</w:t>
      </w:r>
    </w:p>
    <w:p w:rsidR="000E55F4" w:rsidRPr="009E4A39" w:rsidRDefault="000E55F4" w:rsidP="000E55F4">
      <w:pPr>
        <w:spacing w:after="0"/>
        <w:rPr>
          <w:rFonts w:asciiTheme="minorHAnsi" w:eastAsia="Times New Roman" w:hAnsiTheme="minorHAnsi" w:cstheme="minorHAnsi"/>
          <w:lang w:eastAsia="en-AU"/>
        </w:rPr>
      </w:pPr>
      <w:r w:rsidRPr="009E4A39">
        <w:rPr>
          <w:rFonts w:asciiTheme="minorHAnsi" w:hAnsiTheme="minorHAnsi" w:cstheme="minorHAnsi"/>
          <w:lang w:eastAsia="en-AU"/>
        </w:rPr>
        <w:t>In 2013–14:</w:t>
      </w:r>
    </w:p>
    <w:p w:rsidR="000E55F4" w:rsidRDefault="000E55F4" w:rsidP="0096249F">
      <w:pPr>
        <w:pStyle w:val="ListParagraph"/>
        <w:numPr>
          <w:ilvl w:val="0"/>
          <w:numId w:val="19"/>
        </w:numPr>
        <w:rPr>
          <w:rFonts w:asciiTheme="minorHAnsi" w:eastAsia="Times New Roman" w:hAnsiTheme="minorHAnsi" w:cstheme="minorHAnsi"/>
          <w:lang w:eastAsia="en-AU"/>
        </w:rPr>
      </w:pPr>
      <w:r w:rsidRPr="009E4A39">
        <w:rPr>
          <w:rFonts w:asciiTheme="minorHAnsi" w:eastAsia="Times New Roman" w:hAnsiTheme="minorHAnsi" w:cstheme="minorHAnsi"/>
          <w:lang w:eastAsia="en-AU"/>
        </w:rPr>
        <w:t>28 TACO</w:t>
      </w:r>
      <w:r>
        <w:rPr>
          <w:rFonts w:asciiTheme="minorHAnsi" w:eastAsia="Times New Roman" w:hAnsiTheme="minorHAnsi" w:cstheme="minorHAnsi"/>
          <w:lang w:eastAsia="en-AU"/>
        </w:rPr>
        <w:t xml:space="preserve"> case</w:t>
      </w:r>
      <w:r w:rsidRPr="009E4A39">
        <w:rPr>
          <w:rFonts w:asciiTheme="minorHAnsi" w:eastAsia="Times New Roman" w:hAnsiTheme="minorHAnsi" w:cstheme="minorHAnsi"/>
          <w:lang w:eastAsia="en-AU"/>
        </w:rPr>
        <w:t xml:space="preserve">s were reported to the </w:t>
      </w:r>
      <w:r>
        <w:rPr>
          <w:rFonts w:asciiTheme="minorHAnsi" w:eastAsia="Times New Roman" w:hAnsiTheme="minorHAnsi" w:cstheme="minorHAnsi"/>
          <w:lang w:eastAsia="en-AU"/>
        </w:rPr>
        <w:t>n</w:t>
      </w:r>
      <w:r w:rsidRPr="009E4A39">
        <w:rPr>
          <w:rFonts w:asciiTheme="minorHAnsi" w:eastAsia="Times New Roman" w:hAnsiTheme="minorHAnsi" w:cstheme="minorHAnsi"/>
          <w:lang w:eastAsia="en-AU"/>
        </w:rPr>
        <w:t xml:space="preserve">ational </w:t>
      </w:r>
      <w:proofErr w:type="spellStart"/>
      <w:r>
        <w:rPr>
          <w:rFonts w:asciiTheme="minorHAnsi" w:eastAsia="Times New Roman" w:hAnsiTheme="minorHAnsi" w:cstheme="minorHAnsi"/>
          <w:lang w:eastAsia="en-AU"/>
        </w:rPr>
        <w:t>h</w:t>
      </w:r>
      <w:r w:rsidRPr="009E4A39">
        <w:rPr>
          <w:rFonts w:asciiTheme="minorHAnsi" w:eastAsia="Times New Roman" w:hAnsiTheme="minorHAnsi" w:cstheme="minorHAnsi"/>
          <w:lang w:eastAsia="en-AU"/>
        </w:rPr>
        <w:t>aemovigilance</w:t>
      </w:r>
      <w:proofErr w:type="spellEnd"/>
      <w:r w:rsidRPr="009E4A39">
        <w:rPr>
          <w:rFonts w:asciiTheme="minorHAnsi" w:eastAsia="Times New Roman" w:hAnsiTheme="minorHAnsi" w:cstheme="minorHAnsi"/>
          <w:lang w:eastAsia="en-AU"/>
        </w:rPr>
        <w:t xml:space="preserve"> </w:t>
      </w:r>
      <w:r>
        <w:rPr>
          <w:rFonts w:asciiTheme="minorHAnsi" w:eastAsia="Times New Roman" w:hAnsiTheme="minorHAnsi" w:cstheme="minorHAnsi"/>
          <w:lang w:eastAsia="en-AU"/>
        </w:rPr>
        <w:t>p</w:t>
      </w:r>
      <w:r w:rsidRPr="009E4A39">
        <w:rPr>
          <w:rFonts w:asciiTheme="minorHAnsi" w:eastAsia="Times New Roman" w:hAnsiTheme="minorHAnsi" w:cstheme="minorHAnsi"/>
          <w:lang w:eastAsia="en-AU"/>
        </w:rPr>
        <w:t>rogram, accounting for 4.5% of all reports (617) for this period.</w:t>
      </w:r>
    </w:p>
    <w:p w:rsidR="000E55F4" w:rsidRDefault="000E55F4" w:rsidP="0096249F">
      <w:pPr>
        <w:pStyle w:val="ListParagraph"/>
        <w:numPr>
          <w:ilvl w:val="0"/>
          <w:numId w:val="19"/>
        </w:numPr>
        <w:rPr>
          <w:rFonts w:asciiTheme="minorHAnsi" w:eastAsia="Times New Roman" w:hAnsiTheme="minorHAnsi" w:cstheme="minorHAnsi"/>
          <w:lang w:eastAsia="en-AU"/>
        </w:rPr>
      </w:pPr>
      <w:r>
        <w:rPr>
          <w:rFonts w:asciiTheme="minorHAnsi" w:eastAsia="Times New Roman" w:hAnsiTheme="minorHAnsi" w:cstheme="minorHAnsi"/>
          <w:lang w:eastAsia="en-AU"/>
        </w:rPr>
        <w:t>16 out of 28 events</w:t>
      </w:r>
      <w:r w:rsidR="00274FE6">
        <w:rPr>
          <w:rFonts w:asciiTheme="minorHAnsi" w:eastAsia="Times New Roman" w:hAnsiTheme="minorHAnsi" w:cstheme="minorHAnsi"/>
          <w:lang w:eastAsia="en-AU"/>
        </w:rPr>
        <w:t xml:space="preserve"> (57.1%)</w:t>
      </w:r>
      <w:r>
        <w:rPr>
          <w:rFonts w:asciiTheme="minorHAnsi" w:eastAsia="Times New Roman" w:hAnsiTheme="minorHAnsi" w:cstheme="minorHAnsi"/>
          <w:lang w:eastAsia="en-AU"/>
        </w:rPr>
        <w:t xml:space="preserve"> occurred in patients aged 75 and above.</w:t>
      </w:r>
    </w:p>
    <w:p w:rsidR="000E55F4" w:rsidRPr="009E4A39" w:rsidRDefault="000E55F4" w:rsidP="0096249F">
      <w:pPr>
        <w:pStyle w:val="ListParagraph"/>
        <w:numPr>
          <w:ilvl w:val="0"/>
          <w:numId w:val="19"/>
        </w:numPr>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Most cases </w:t>
      </w:r>
      <w:r w:rsidR="008C274E">
        <w:rPr>
          <w:rFonts w:asciiTheme="minorHAnsi" w:eastAsia="Times New Roman" w:hAnsiTheme="minorHAnsi" w:cstheme="minorHAnsi"/>
          <w:lang w:eastAsia="en-AU"/>
        </w:rPr>
        <w:t>we</w:t>
      </w:r>
      <w:r>
        <w:rPr>
          <w:rFonts w:asciiTheme="minorHAnsi" w:eastAsia="Times New Roman" w:hAnsiTheme="minorHAnsi" w:cstheme="minorHAnsi"/>
          <w:lang w:eastAsia="en-AU"/>
        </w:rPr>
        <w:t>re related to red cell transfusions.</w:t>
      </w:r>
    </w:p>
    <w:p w:rsidR="000E55F4" w:rsidRPr="00006FBE" w:rsidRDefault="000E55F4" w:rsidP="0096249F">
      <w:pPr>
        <w:pStyle w:val="ListParagraph"/>
        <w:numPr>
          <w:ilvl w:val="0"/>
          <w:numId w:val="19"/>
        </w:numPr>
        <w:rPr>
          <w:rFonts w:asciiTheme="minorHAnsi" w:eastAsia="Times New Roman" w:hAnsiTheme="minorHAnsi" w:cstheme="minorHAnsi"/>
          <w:lang w:eastAsia="en-AU"/>
        </w:rPr>
      </w:pPr>
      <w:r w:rsidRPr="009E4A39">
        <w:rPr>
          <w:rFonts w:asciiTheme="minorHAnsi" w:hAnsiTheme="minorHAnsi" w:cstheme="minorHAnsi"/>
          <w:lang w:eastAsia="en-AU"/>
        </w:rPr>
        <w:t xml:space="preserve">14 out of 28 cases </w:t>
      </w:r>
      <w:r w:rsidR="00274FE6">
        <w:rPr>
          <w:rFonts w:asciiTheme="minorHAnsi" w:hAnsiTheme="minorHAnsi" w:cstheme="minorHAnsi"/>
          <w:lang w:eastAsia="en-AU"/>
        </w:rPr>
        <w:t>(50%)</w:t>
      </w:r>
      <w:r w:rsidR="00FB14A2">
        <w:rPr>
          <w:rFonts w:asciiTheme="minorHAnsi" w:hAnsiTheme="minorHAnsi" w:cstheme="minorHAnsi"/>
          <w:lang w:eastAsia="en-AU"/>
        </w:rPr>
        <w:t xml:space="preserve"> </w:t>
      </w:r>
      <w:r w:rsidRPr="009E4A39">
        <w:rPr>
          <w:rFonts w:asciiTheme="minorHAnsi" w:hAnsiTheme="minorHAnsi" w:cstheme="minorHAnsi"/>
          <w:lang w:eastAsia="en-AU"/>
        </w:rPr>
        <w:t xml:space="preserve">were assigned an </w:t>
      </w:r>
      <w:proofErr w:type="spellStart"/>
      <w:r w:rsidRPr="009E4A39">
        <w:rPr>
          <w:rFonts w:asciiTheme="minorHAnsi" w:hAnsiTheme="minorHAnsi" w:cstheme="minorHAnsi"/>
          <w:lang w:eastAsia="en-AU"/>
        </w:rPr>
        <w:t>imputability</w:t>
      </w:r>
      <w:proofErr w:type="spellEnd"/>
      <w:r w:rsidRPr="009E4A39">
        <w:rPr>
          <w:rFonts w:asciiTheme="minorHAnsi" w:hAnsiTheme="minorHAnsi" w:cstheme="minorHAnsi"/>
          <w:lang w:eastAsia="en-AU"/>
        </w:rPr>
        <w:t xml:space="preserve"> score of likely/probable or confirmed/certain, including four life</w:t>
      </w:r>
      <w:r>
        <w:rPr>
          <w:rFonts w:asciiTheme="minorHAnsi" w:hAnsiTheme="minorHAnsi" w:cstheme="minorHAnsi"/>
          <w:lang w:eastAsia="en-AU"/>
        </w:rPr>
        <w:t>-</w:t>
      </w:r>
      <w:r w:rsidRPr="009E4A39">
        <w:rPr>
          <w:rFonts w:asciiTheme="minorHAnsi" w:hAnsiTheme="minorHAnsi" w:cstheme="minorHAnsi"/>
          <w:lang w:eastAsia="en-AU"/>
        </w:rPr>
        <w:t>threatening cases and five severe morbidity cases.</w:t>
      </w:r>
    </w:p>
    <w:p w:rsidR="000E55F4" w:rsidRPr="00006FBE" w:rsidRDefault="000E55F4" w:rsidP="000E55F4">
      <w:pPr>
        <w:rPr>
          <w:rFonts w:asciiTheme="minorHAnsi" w:eastAsia="Times New Roman" w:hAnsiTheme="minorHAnsi" w:cstheme="minorHAnsi"/>
          <w:lang w:eastAsia="en-AU"/>
        </w:rPr>
      </w:pPr>
      <w:r w:rsidRPr="00006FBE">
        <w:rPr>
          <w:rFonts w:asciiTheme="minorHAnsi" w:eastAsia="Times New Roman" w:hAnsiTheme="minorHAnsi" w:cstheme="minorHAnsi"/>
          <w:lang w:eastAsia="en-AU"/>
        </w:rPr>
        <w:t xml:space="preserve">The reported figures indicate that patients aged </w:t>
      </w:r>
      <w:r>
        <w:rPr>
          <w:rFonts w:asciiTheme="minorHAnsi" w:eastAsia="Times New Roman" w:hAnsiTheme="minorHAnsi" w:cstheme="minorHAnsi"/>
          <w:lang w:eastAsia="en-AU"/>
        </w:rPr>
        <w:t>7</w:t>
      </w:r>
      <w:r w:rsidRPr="00006FBE">
        <w:rPr>
          <w:rFonts w:asciiTheme="minorHAnsi" w:eastAsia="Times New Roman" w:hAnsiTheme="minorHAnsi" w:cstheme="minorHAnsi"/>
          <w:lang w:eastAsia="en-AU"/>
        </w:rPr>
        <w:t>5 and above are at high</w:t>
      </w:r>
      <w:r w:rsidR="00274FE6">
        <w:rPr>
          <w:rFonts w:asciiTheme="minorHAnsi" w:eastAsia="Times New Roman" w:hAnsiTheme="minorHAnsi" w:cstheme="minorHAnsi"/>
          <w:lang w:eastAsia="en-AU"/>
        </w:rPr>
        <w:t>er</w:t>
      </w:r>
      <w:r w:rsidRPr="00006FBE">
        <w:rPr>
          <w:rFonts w:asciiTheme="minorHAnsi" w:eastAsia="Times New Roman" w:hAnsiTheme="minorHAnsi" w:cstheme="minorHAnsi"/>
          <w:lang w:eastAsia="en-AU"/>
        </w:rPr>
        <w:t xml:space="preserve"> risk of TACO. This is consistent with international findings.</w:t>
      </w:r>
    </w:p>
    <w:p w:rsidR="000E55F4" w:rsidRPr="003A25C4" w:rsidRDefault="000E55F4" w:rsidP="000E55F4">
      <w:pPr>
        <w:pStyle w:val="Caption"/>
      </w:pPr>
      <w:bookmarkStart w:id="82" w:name="_Toc420835689"/>
      <w:bookmarkStart w:id="83" w:name="_Toc459636858"/>
      <w:r w:rsidRPr="003A25C4">
        <w:t xml:space="preserve">Table </w:t>
      </w:r>
      <w:fldSimple w:instr=" SEQ Table \* ARABIC ">
        <w:r w:rsidR="000010BC">
          <w:rPr>
            <w:noProof/>
          </w:rPr>
          <w:t>18</w:t>
        </w:r>
      </w:fldSimple>
      <w:r w:rsidRPr="003A25C4">
        <w:t xml:space="preserve">: TACO clinical outcome severity by </w:t>
      </w:r>
      <w:proofErr w:type="spellStart"/>
      <w:r w:rsidRPr="003A25C4">
        <w:t>imputability</w:t>
      </w:r>
      <w:proofErr w:type="spellEnd"/>
      <w:r w:rsidRPr="003A25C4">
        <w:t>, 2013–1</w:t>
      </w:r>
      <w:bookmarkEnd w:id="82"/>
      <w:r w:rsidRPr="003A25C4">
        <w:t>4</w:t>
      </w:r>
      <w:bookmarkEnd w:id="83"/>
    </w:p>
    <w:tbl>
      <w:tblPr>
        <w:tblW w:w="0" w:type="auto"/>
        <w:tblInd w:w="108" w:type="dxa"/>
        <w:tblLook w:val="01E0" w:firstRow="1" w:lastRow="1" w:firstColumn="1" w:lastColumn="1" w:noHBand="0" w:noVBand="0"/>
      </w:tblPr>
      <w:tblGrid>
        <w:gridCol w:w="2268"/>
        <w:gridCol w:w="284"/>
        <w:gridCol w:w="992"/>
        <w:gridCol w:w="929"/>
        <w:gridCol w:w="1252"/>
        <w:gridCol w:w="1301"/>
        <w:gridCol w:w="1334"/>
        <w:gridCol w:w="996"/>
      </w:tblGrid>
      <w:tr w:rsidR="000E55F4" w:rsidRPr="00E12398" w:rsidTr="00F46D5E">
        <w:trPr>
          <w:trHeight w:val="252"/>
        </w:trPr>
        <w:tc>
          <w:tcPr>
            <w:tcW w:w="2552" w:type="dxa"/>
            <w:gridSpan w:val="2"/>
            <w:shd w:val="clear" w:color="auto" w:fill="FF0000"/>
            <w:vAlign w:val="center"/>
            <w:hideMark/>
          </w:tcPr>
          <w:p w:rsidR="000E55F4" w:rsidRPr="00E55646" w:rsidRDefault="000E55F4" w:rsidP="00F46D5E">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c>
          <w:tcPr>
            <w:tcW w:w="5808" w:type="dxa"/>
            <w:gridSpan w:val="5"/>
            <w:shd w:val="clear" w:color="auto" w:fill="FF0000"/>
            <w:vAlign w:val="center"/>
            <w:hideMark/>
          </w:tcPr>
          <w:p w:rsidR="000E55F4" w:rsidRPr="00E55646" w:rsidRDefault="000E55F4" w:rsidP="00F46D5E">
            <w:pPr>
              <w:spacing w:after="0"/>
              <w:jc w:val="center"/>
              <w:rPr>
                <w:rFonts w:asciiTheme="minorHAnsi" w:eastAsia="Times New Roman" w:hAnsiTheme="minorHAnsi" w:cstheme="minorHAnsi"/>
                <w:color w:val="FFFFFF"/>
                <w:sz w:val="20"/>
                <w:szCs w:val="20"/>
                <w:lang w:eastAsia="en-AU"/>
              </w:rPr>
            </w:pPr>
            <w:proofErr w:type="spellStart"/>
            <w:r w:rsidRPr="00E55646">
              <w:rPr>
                <w:rFonts w:asciiTheme="minorHAnsi" w:eastAsia="Times New Roman" w:hAnsiTheme="minorHAnsi" w:cstheme="minorHAnsi"/>
                <w:b/>
                <w:color w:val="FFFFFF"/>
                <w:sz w:val="20"/>
                <w:szCs w:val="20"/>
                <w:lang w:eastAsia="en-AU"/>
              </w:rPr>
              <w:t>Imputability</w:t>
            </w:r>
            <w:proofErr w:type="spellEnd"/>
          </w:p>
        </w:tc>
        <w:tc>
          <w:tcPr>
            <w:tcW w:w="996" w:type="dxa"/>
            <w:shd w:val="clear" w:color="auto" w:fill="FF0000"/>
            <w:vAlign w:val="center"/>
          </w:tcPr>
          <w:p w:rsidR="000E55F4" w:rsidRPr="00E12398" w:rsidRDefault="000E55F4" w:rsidP="00274FE6">
            <w:pPr>
              <w:spacing w:after="0"/>
              <w:jc w:val="right"/>
              <w:rPr>
                <w:rFonts w:asciiTheme="minorHAnsi" w:eastAsia="Times New Roman" w:hAnsiTheme="minorHAnsi" w:cstheme="minorHAnsi"/>
                <w:b/>
                <w:color w:val="FFFFFF"/>
                <w:sz w:val="20"/>
                <w:szCs w:val="20"/>
                <w:lang w:eastAsia="en-AU"/>
              </w:rPr>
            </w:pPr>
            <w:r w:rsidRPr="00E12398">
              <w:rPr>
                <w:rFonts w:asciiTheme="minorHAnsi" w:eastAsia="Times New Roman" w:hAnsiTheme="minorHAnsi" w:cstheme="minorHAnsi"/>
                <w:b/>
                <w:color w:val="FFFFFF"/>
                <w:sz w:val="20"/>
                <w:szCs w:val="20"/>
                <w:lang w:eastAsia="en-AU"/>
              </w:rPr>
              <w:t>Total</w:t>
            </w:r>
          </w:p>
        </w:tc>
      </w:tr>
      <w:tr w:rsidR="000E55F4" w:rsidRPr="00883299" w:rsidTr="00F46D5E">
        <w:tc>
          <w:tcPr>
            <w:tcW w:w="2268" w:type="dxa"/>
            <w:tcBorders>
              <w:bottom w:val="single" w:sz="4" w:space="0" w:color="auto"/>
            </w:tcBorders>
            <w:shd w:val="clear" w:color="auto" w:fill="D9D9D9" w:themeFill="background1" w:themeFillShade="D9"/>
            <w:vAlign w:val="center"/>
          </w:tcPr>
          <w:p w:rsidR="000E55F4" w:rsidRPr="00883299" w:rsidRDefault="000E55F4" w:rsidP="00F46D5E">
            <w:pPr>
              <w:spacing w:after="0"/>
              <w:jc w:val="center"/>
              <w:rPr>
                <w:rFonts w:asciiTheme="minorHAnsi" w:eastAsia="Times New Roman" w:hAnsiTheme="minorHAnsi" w:cstheme="minorHAnsi"/>
                <w:b/>
                <w:color w:val="FF0000"/>
                <w:sz w:val="20"/>
                <w:szCs w:val="20"/>
                <w:lang w:eastAsia="en-AU"/>
              </w:rPr>
            </w:pPr>
          </w:p>
        </w:tc>
        <w:tc>
          <w:tcPr>
            <w:tcW w:w="1276" w:type="dxa"/>
            <w:gridSpan w:val="2"/>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Excluded</w:t>
            </w:r>
            <w:r>
              <w:rPr>
                <w:rFonts w:asciiTheme="minorHAnsi" w:eastAsia="Times New Roman" w:hAnsiTheme="minorHAnsi" w:cstheme="minorHAnsi"/>
                <w:color w:val="FF0000"/>
                <w:sz w:val="20"/>
                <w:szCs w:val="20"/>
                <w:lang w:eastAsia="en-AU"/>
              </w:rPr>
              <w:t xml:space="preserve"> /</w:t>
            </w:r>
            <w:r w:rsidRPr="00883299">
              <w:rPr>
                <w:rFonts w:asciiTheme="minorHAnsi" w:eastAsia="Times New Roman" w:hAnsiTheme="minorHAnsi" w:cstheme="minorHAnsi"/>
                <w:color w:val="FF0000"/>
                <w:sz w:val="20"/>
                <w:szCs w:val="20"/>
                <w:lang w:eastAsia="en-AU"/>
              </w:rPr>
              <w:t xml:space="preserve"> Unlikely</w:t>
            </w:r>
          </w:p>
        </w:tc>
        <w:tc>
          <w:tcPr>
            <w:tcW w:w="929" w:type="dxa"/>
            <w:tcBorders>
              <w:bottom w:val="single" w:sz="4" w:space="0" w:color="auto"/>
            </w:tcBorders>
            <w:shd w:val="clear" w:color="auto" w:fill="D9D9D9" w:themeFill="background1" w:themeFillShade="D9"/>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Possible</w:t>
            </w:r>
          </w:p>
        </w:tc>
        <w:tc>
          <w:tcPr>
            <w:tcW w:w="1252"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Likely / Probable</w:t>
            </w:r>
          </w:p>
        </w:tc>
        <w:tc>
          <w:tcPr>
            <w:tcW w:w="1301"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Confirmed / Certain</w:t>
            </w:r>
          </w:p>
        </w:tc>
        <w:tc>
          <w:tcPr>
            <w:tcW w:w="1334"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N/A /</w:t>
            </w:r>
            <w:r w:rsidRPr="00883299">
              <w:rPr>
                <w:rFonts w:asciiTheme="minorHAnsi" w:eastAsia="Times New Roman" w:hAnsiTheme="minorHAnsi" w:cstheme="minorHAnsi"/>
                <w:color w:val="FF0000"/>
                <w:sz w:val="20"/>
                <w:szCs w:val="20"/>
                <w:lang w:eastAsia="en-AU"/>
              </w:rPr>
              <w:t>Not assessable</w:t>
            </w:r>
          </w:p>
        </w:tc>
        <w:tc>
          <w:tcPr>
            <w:tcW w:w="996" w:type="dxa"/>
            <w:tcBorders>
              <w:bottom w:val="single" w:sz="4" w:space="0" w:color="auto"/>
            </w:tcBorders>
            <w:shd w:val="clear" w:color="auto" w:fill="D9D9D9" w:themeFill="background1" w:themeFillShade="D9"/>
            <w:vAlign w:val="center"/>
          </w:tcPr>
          <w:p w:rsidR="000E55F4" w:rsidRPr="00883299" w:rsidRDefault="000E55F4" w:rsidP="00F46D5E">
            <w:pPr>
              <w:spacing w:after="0"/>
              <w:jc w:val="right"/>
              <w:rPr>
                <w:rFonts w:asciiTheme="minorHAnsi" w:eastAsia="Times New Roman" w:hAnsiTheme="minorHAnsi" w:cstheme="minorHAnsi"/>
                <w:b/>
                <w:color w:val="FF0000"/>
                <w:sz w:val="20"/>
                <w:szCs w:val="20"/>
                <w:lang w:eastAsia="en-AU"/>
              </w:rPr>
            </w:pPr>
          </w:p>
        </w:tc>
      </w:tr>
      <w:tr w:rsidR="000E55F4" w:rsidRPr="00A62DAE" w:rsidTr="00F46D5E">
        <w:tc>
          <w:tcPr>
            <w:tcW w:w="2268" w:type="dxa"/>
            <w:tcBorders>
              <w:top w:val="single" w:sz="4" w:space="0" w:color="auto"/>
              <w:bottom w:val="single" w:sz="4" w:space="0" w:color="auto"/>
            </w:tcBorders>
            <w:shd w:val="clear" w:color="auto" w:fill="auto"/>
            <w:vAlign w:val="bottom"/>
          </w:tcPr>
          <w:p w:rsidR="000E55F4" w:rsidRPr="004E5914" w:rsidRDefault="000E55F4" w:rsidP="00FD07E5">
            <w:pPr>
              <w:spacing w:after="0"/>
              <w:rPr>
                <w:rFonts w:asciiTheme="minorHAnsi" w:eastAsia="Times New Roman" w:hAnsiTheme="minorHAnsi" w:cstheme="minorHAnsi"/>
                <w:sz w:val="20"/>
                <w:szCs w:val="20"/>
                <w:lang w:eastAsia="en-AU"/>
              </w:rPr>
            </w:pPr>
            <w:r w:rsidRPr="004E5914">
              <w:rPr>
                <w:rFonts w:asciiTheme="minorHAnsi" w:eastAsia="Times New Roman" w:hAnsiTheme="minorHAnsi" w:cstheme="minorHAnsi"/>
                <w:sz w:val="20"/>
                <w:szCs w:val="20"/>
                <w:lang w:eastAsia="en-AU"/>
              </w:rPr>
              <w:t>Life</w:t>
            </w:r>
            <w:r>
              <w:rPr>
                <w:rFonts w:asciiTheme="minorHAnsi" w:eastAsia="Times New Roman" w:hAnsiTheme="minorHAnsi" w:cstheme="minorHAnsi"/>
                <w:sz w:val="20"/>
                <w:szCs w:val="20"/>
                <w:lang w:eastAsia="en-AU"/>
              </w:rPr>
              <w:t>-</w:t>
            </w:r>
            <w:r w:rsidRPr="004E5914">
              <w:rPr>
                <w:rFonts w:asciiTheme="minorHAnsi" w:eastAsia="Times New Roman" w:hAnsiTheme="minorHAnsi" w:cstheme="minorHAnsi"/>
                <w:sz w:val="20"/>
                <w:szCs w:val="20"/>
                <w:lang w:eastAsia="en-AU"/>
              </w:rPr>
              <w:t>threatening</w:t>
            </w:r>
          </w:p>
        </w:tc>
        <w:tc>
          <w:tcPr>
            <w:tcW w:w="1276" w:type="dxa"/>
            <w:gridSpan w:val="2"/>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rPr>
            </w:pPr>
            <w:r>
              <w:rPr>
                <w:rFonts w:eastAsiaTheme="minorHAnsi"/>
                <w:color w:val="000000"/>
              </w:rPr>
              <w:t>0</w:t>
            </w:r>
          </w:p>
        </w:tc>
        <w:tc>
          <w:tcPr>
            <w:tcW w:w="929"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8</w:t>
            </w:r>
          </w:p>
        </w:tc>
      </w:tr>
      <w:tr w:rsidR="000E55F4" w:rsidRPr="00A62DAE" w:rsidTr="00F46D5E">
        <w:trPr>
          <w:trHeight w:val="65"/>
        </w:trPr>
        <w:tc>
          <w:tcPr>
            <w:tcW w:w="226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Severe morbidity</w:t>
            </w:r>
          </w:p>
        </w:tc>
        <w:tc>
          <w:tcPr>
            <w:tcW w:w="1276" w:type="dxa"/>
            <w:gridSpan w:val="2"/>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rPr>
            </w:pPr>
            <w:r>
              <w:rPr>
                <w:rFonts w:eastAsiaTheme="minorHAnsi"/>
                <w:color w:val="000000"/>
              </w:rPr>
              <w:t>0</w:t>
            </w:r>
          </w:p>
        </w:tc>
        <w:tc>
          <w:tcPr>
            <w:tcW w:w="929"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8</w:t>
            </w:r>
          </w:p>
        </w:tc>
      </w:tr>
      <w:tr w:rsidR="000E55F4" w:rsidRPr="00A62DAE" w:rsidTr="00F46D5E">
        <w:tc>
          <w:tcPr>
            <w:tcW w:w="226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Minor morbidity</w:t>
            </w:r>
          </w:p>
        </w:tc>
        <w:tc>
          <w:tcPr>
            <w:tcW w:w="1276" w:type="dxa"/>
            <w:gridSpan w:val="2"/>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rPr>
            </w:pPr>
            <w:r>
              <w:rPr>
                <w:rFonts w:eastAsiaTheme="minorHAnsi"/>
                <w:color w:val="000000"/>
              </w:rPr>
              <w:t>0</w:t>
            </w:r>
          </w:p>
        </w:tc>
        <w:tc>
          <w:tcPr>
            <w:tcW w:w="929"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5</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10</w:t>
            </w:r>
          </w:p>
        </w:tc>
      </w:tr>
      <w:tr w:rsidR="000E55F4" w:rsidRPr="00A62DAE" w:rsidTr="00F46D5E">
        <w:tc>
          <w:tcPr>
            <w:tcW w:w="226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 morbidity</w:t>
            </w:r>
          </w:p>
        </w:tc>
        <w:tc>
          <w:tcPr>
            <w:tcW w:w="1276" w:type="dxa"/>
            <w:gridSpan w:val="2"/>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rPr>
            </w:pPr>
            <w:r>
              <w:rPr>
                <w:rFonts w:eastAsiaTheme="minorHAnsi"/>
                <w:color w:val="000000"/>
              </w:rPr>
              <w:t>0</w:t>
            </w:r>
          </w:p>
        </w:tc>
        <w:tc>
          <w:tcPr>
            <w:tcW w:w="929"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r>
      <w:tr w:rsidR="000E55F4" w:rsidRPr="00A62DAE" w:rsidTr="00F46D5E">
        <w:tc>
          <w:tcPr>
            <w:tcW w:w="2268" w:type="dxa"/>
            <w:tcBorders>
              <w:top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Outcome not available</w:t>
            </w:r>
          </w:p>
        </w:tc>
        <w:tc>
          <w:tcPr>
            <w:tcW w:w="1276" w:type="dxa"/>
            <w:gridSpan w:val="2"/>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rPr>
            </w:pPr>
            <w:r>
              <w:rPr>
                <w:rFonts w:eastAsiaTheme="minorHAnsi"/>
                <w:color w:val="000000"/>
              </w:rPr>
              <w:t>0</w:t>
            </w:r>
          </w:p>
        </w:tc>
        <w:tc>
          <w:tcPr>
            <w:tcW w:w="929"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252"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r>
      <w:tr w:rsidR="000E55F4" w:rsidRPr="00A62DAE" w:rsidTr="00F46D5E">
        <w:tc>
          <w:tcPr>
            <w:tcW w:w="226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Total</w:t>
            </w:r>
          </w:p>
        </w:tc>
        <w:tc>
          <w:tcPr>
            <w:tcW w:w="1276" w:type="dxa"/>
            <w:gridSpan w:val="2"/>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b/>
                <w:bCs/>
                <w:color w:val="000000"/>
              </w:rPr>
            </w:pPr>
            <w:r>
              <w:rPr>
                <w:rFonts w:eastAsiaTheme="minorHAnsi"/>
                <w:b/>
                <w:bCs/>
                <w:color w:val="000000"/>
              </w:rPr>
              <w:t>0</w:t>
            </w:r>
          </w:p>
        </w:tc>
        <w:tc>
          <w:tcPr>
            <w:tcW w:w="929"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14</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12</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Pr>
                <w:rFonts w:eastAsiaTheme="minorHAnsi"/>
                <w:b/>
                <w:bCs/>
                <w:color w:val="000000"/>
                <w:sz w:val="20"/>
                <w:szCs w:val="20"/>
              </w:rPr>
              <w:t>0</w:t>
            </w:r>
          </w:p>
        </w:tc>
        <w:tc>
          <w:tcPr>
            <w:tcW w:w="996" w:type="dxa"/>
            <w:tcBorders>
              <w:top w:val="single" w:sz="4" w:space="0" w:color="auto"/>
              <w:bottom w:val="single" w:sz="4" w:space="0" w:color="auto"/>
            </w:tcBorders>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28</w:t>
            </w:r>
          </w:p>
        </w:tc>
      </w:tr>
    </w:tbl>
    <w:p w:rsidR="000E55F4" w:rsidRDefault="000E55F4" w:rsidP="000E55F4">
      <w:pPr>
        <w:spacing w:before="40" w:after="40" w:line="180" w:lineRule="atLeast"/>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t xml:space="preserve">Note: </w:t>
      </w: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Pr="00252B9F" w:rsidRDefault="000E55F4" w:rsidP="000E55F4">
      <w:pPr>
        <w:rPr>
          <w:lang w:eastAsia="en-AU"/>
        </w:rPr>
        <w:sectPr w:rsidR="000E55F4" w:rsidRPr="00252B9F" w:rsidSect="0091366C">
          <w:headerReference w:type="default" r:id="rId17"/>
          <w:footerReference w:type="default" r:id="rId18"/>
          <w:endnotePr>
            <w:numFmt w:val="decimal"/>
          </w:endnotePr>
          <w:pgSz w:w="11906" w:h="16838" w:code="9"/>
          <w:pgMar w:top="1134" w:right="1134" w:bottom="1134" w:left="1134" w:header="709" w:footer="709" w:gutter="0"/>
          <w:cols w:space="708"/>
          <w:titlePg/>
          <w:docGrid w:linePitch="360"/>
        </w:sectPr>
      </w:pPr>
    </w:p>
    <w:p w:rsidR="000E55F4" w:rsidRPr="00252B9F" w:rsidRDefault="000E55F4" w:rsidP="000E55F4">
      <w:pPr>
        <w:pStyle w:val="Heading2"/>
      </w:pPr>
      <w:bookmarkStart w:id="84" w:name="_Toc459366170"/>
      <w:r w:rsidRPr="00252B9F">
        <w:lastRenderedPageBreak/>
        <w:t>Transfusion</w:t>
      </w:r>
      <w:r w:rsidR="00ED4883">
        <w:t>-</w:t>
      </w:r>
      <w:r w:rsidRPr="00252B9F">
        <w:t>transmitted infection (TTI)</w:t>
      </w:r>
      <w:bookmarkEnd w:id="84"/>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0E55F4" w:rsidRPr="00E55646" w:rsidTr="00F46D5E">
        <w:tc>
          <w:tcPr>
            <w:tcW w:w="3208" w:type="dxa"/>
            <w:gridSpan w:val="2"/>
            <w:shd w:val="clear" w:color="auto" w:fill="FF0000"/>
            <w:hideMark/>
          </w:tcPr>
          <w:p w:rsidR="000E55F4" w:rsidRPr="00E55646" w:rsidRDefault="000E55F4" w:rsidP="00F46D5E">
            <w:pPr>
              <w:spacing w:after="0"/>
              <w:rPr>
                <w:rFonts w:asciiTheme="minorHAnsi" w:eastAsia="Times New Roman" w:hAnsiTheme="minorHAnsi" w:cstheme="minorHAnsi"/>
                <w:color w:val="FFFFFF"/>
                <w:sz w:val="20"/>
                <w:szCs w:val="20"/>
                <w:lang w:eastAsia="en-AU"/>
              </w:rPr>
            </w:pPr>
            <w:bookmarkStart w:id="85" w:name="_Ref357169009"/>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(n=2</w:t>
            </w:r>
            <w:r w:rsidRPr="00333D25">
              <w:rPr>
                <w:rFonts w:asciiTheme="minorHAnsi" w:eastAsia="Times New Roman" w:hAnsiTheme="minorHAnsi" w:cstheme="minorHAnsi"/>
                <w:b/>
                <w:color w:val="FFFFFF"/>
                <w:sz w:val="20"/>
                <w:szCs w:val="20"/>
                <w:lang w:eastAsia="en-AU"/>
              </w:rPr>
              <w:t>7</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0E55F4" w:rsidRPr="00E55646" w:rsidRDefault="000E55F4" w:rsidP="00F46D5E">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12</w:t>
            </w:r>
          </w:p>
        </w:tc>
        <w:tc>
          <w:tcPr>
            <w:tcW w:w="2378" w:type="dxa"/>
            <w:gridSpan w:val="3"/>
            <w:tcBorders>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21</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8" w:type="dxa"/>
            <w:gridSpan w:val="3"/>
            <w:tcBorders>
              <w:top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Pr="009A2B76" w:rsidRDefault="000E55F4" w:rsidP="00F46D5E">
            <w:pPr>
              <w:autoSpaceDE w:val="0"/>
              <w:autoSpaceDN w:val="0"/>
              <w:adjustRightInd w:val="0"/>
              <w:spacing w:after="0"/>
              <w:jc w:val="right"/>
              <w:rPr>
                <w:rFonts w:eastAsiaTheme="minorHAnsi"/>
                <w:b/>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2" w:type="dxa"/>
            <w:gridSpan w:val="3"/>
            <w:shd w:val="clear" w:color="auto" w:fill="BFBFBF" w:themeFill="background1" w:themeFillShade="BF"/>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2378" w:type="dxa"/>
            <w:gridSpan w:val="3"/>
            <w:tcBorders>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14</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9</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1C2470" w:rsidTr="00F46D5E">
        <w:tc>
          <w:tcPr>
            <w:tcW w:w="2658" w:type="dxa"/>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8" w:type="dxa"/>
            <w:gridSpan w:val="3"/>
            <w:tcBorders>
              <w:top w:val="single" w:sz="4" w:space="0" w:color="auto"/>
            </w:tcBorders>
            <w:shd w:val="clear" w:color="auto" w:fill="auto"/>
          </w:tcPr>
          <w:p w:rsidR="000E55F4" w:rsidRPr="001C2470"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Pr="001C2470"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2378"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Life-threatening</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19</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14</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799"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bl>
    <w:p w:rsidR="000E55F4" w:rsidRPr="008C3A7A" w:rsidRDefault="000E55F4" w:rsidP="000E55F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0E55F4" w:rsidRDefault="000E55F4" w:rsidP="0096249F">
      <w:pPr>
        <w:numPr>
          <w:ilvl w:val="0"/>
          <w:numId w:val="39"/>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0E55F4" w:rsidRPr="006858FB" w:rsidRDefault="000E55F4" w:rsidP="0096249F">
      <w:pPr>
        <w:numPr>
          <w:ilvl w:val="0"/>
          <w:numId w:val="39"/>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0E55F4" w:rsidRDefault="000E55F4" w:rsidP="0096249F">
      <w:pPr>
        <w:numPr>
          <w:ilvl w:val="0"/>
          <w:numId w:val="39"/>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0E55F4" w:rsidRDefault="000E55F4" w:rsidP="0096249F">
      <w:pPr>
        <w:numPr>
          <w:ilvl w:val="0"/>
          <w:numId w:val="39"/>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Pr="008C3A7A" w:rsidRDefault="000E55F4" w:rsidP="000E55F4">
      <w:pPr>
        <w:spacing w:before="40" w:after="40" w:line="180" w:lineRule="atLeast"/>
        <w:contextualSpacing/>
        <w:rPr>
          <w:rFonts w:asciiTheme="minorHAnsi" w:eastAsiaTheme="minorEastAsia" w:hAnsiTheme="minorHAnsi" w:cstheme="minorHAnsi"/>
          <w:sz w:val="18"/>
          <w:szCs w:val="18"/>
          <w:lang w:eastAsia="en-AU"/>
        </w:rPr>
      </w:pPr>
    </w:p>
    <w:p w:rsidR="000E55F4" w:rsidRPr="00F65824" w:rsidRDefault="000E55F4" w:rsidP="000E55F4">
      <w:pPr>
        <w:spacing w:line="180" w:lineRule="atLeast"/>
        <w:rPr>
          <w:rFonts w:asciiTheme="minorHAnsi" w:hAnsiTheme="minorHAnsi"/>
          <w:sz w:val="18"/>
        </w:rPr>
      </w:pPr>
      <w:r w:rsidRPr="00E55646">
        <w:rPr>
          <w:rFonts w:asciiTheme="minorHAnsi" w:hAnsiTheme="minorHAnsi" w:cstheme="minorHAnsi"/>
          <w:lang w:eastAsia="en-AU"/>
        </w:rPr>
        <w:t xml:space="preserve">The </w:t>
      </w:r>
      <w:r>
        <w:rPr>
          <w:rFonts w:asciiTheme="minorHAnsi" w:hAnsiTheme="minorHAnsi" w:cstheme="minorHAnsi"/>
          <w:lang w:eastAsia="en-AU"/>
        </w:rPr>
        <w:t xml:space="preserve">national </w:t>
      </w:r>
      <w:proofErr w:type="spellStart"/>
      <w:r>
        <w:rPr>
          <w:rFonts w:asciiTheme="minorHAnsi" w:hAnsiTheme="minorHAnsi" w:cstheme="minorHAnsi"/>
          <w:lang w:eastAsia="en-AU"/>
        </w:rPr>
        <w:t>haemovigilance</w:t>
      </w:r>
      <w:proofErr w:type="spellEnd"/>
      <w:r>
        <w:rPr>
          <w:rFonts w:asciiTheme="minorHAnsi" w:hAnsiTheme="minorHAnsi" w:cstheme="minorHAnsi"/>
          <w:lang w:eastAsia="en-AU"/>
        </w:rPr>
        <w:t xml:space="preserve"> program</w:t>
      </w:r>
      <w:r w:rsidRPr="00E55646">
        <w:rPr>
          <w:rFonts w:asciiTheme="minorHAnsi" w:hAnsiTheme="minorHAnsi" w:cstheme="minorHAnsi"/>
          <w:lang w:eastAsia="en-AU"/>
        </w:rPr>
        <w:t xml:space="preserve"> allows the reporting of four </w:t>
      </w:r>
      <w:r>
        <w:rPr>
          <w:rFonts w:asciiTheme="minorHAnsi" w:hAnsiTheme="minorHAnsi" w:cstheme="minorHAnsi"/>
          <w:lang w:eastAsia="en-AU"/>
        </w:rPr>
        <w:t>TTI</w:t>
      </w:r>
      <w:r w:rsidRPr="00E55646">
        <w:rPr>
          <w:rFonts w:asciiTheme="minorHAnsi" w:hAnsiTheme="minorHAnsi" w:cstheme="minorHAnsi"/>
          <w:lang w:eastAsia="en-AU"/>
        </w:rPr>
        <w:t xml:space="preserve"> categories:</w:t>
      </w:r>
      <w:r w:rsidRPr="00EA0B7F">
        <w:t xml:space="preserve"> </w:t>
      </w:r>
      <w:r w:rsidRPr="00EA0B7F">
        <w:rPr>
          <w:rFonts w:asciiTheme="minorHAnsi" w:hAnsiTheme="minorHAnsi" w:cstheme="minorHAnsi"/>
          <w:lang w:eastAsia="en-AU"/>
        </w:rPr>
        <w:t>bacterial, viral, parasitic and other</w:t>
      </w:r>
      <w:r>
        <w:rPr>
          <w:rFonts w:asciiTheme="minorHAnsi" w:hAnsiTheme="minorHAnsi" w:cstheme="minorHAnsi"/>
          <w:lang w:eastAsia="en-AU"/>
        </w:rPr>
        <w:t xml:space="preserve"> </w:t>
      </w:r>
      <w:r w:rsidRPr="00E55646">
        <w:rPr>
          <w:rFonts w:asciiTheme="minorHAnsi" w:hAnsiTheme="minorHAnsi" w:cstheme="minorHAnsi"/>
          <w:lang w:eastAsia="en-AU"/>
        </w:rPr>
        <w:t>(</w:t>
      </w:r>
      <w:r>
        <w:rPr>
          <w:rFonts w:asciiTheme="minorHAnsi" w:hAnsiTheme="minorHAnsi" w:cstheme="minorHAnsi"/>
          <w:lang w:eastAsia="en-AU"/>
        </w:rPr>
        <w:t>such as</w:t>
      </w:r>
      <w:r w:rsidRPr="00E55646">
        <w:rPr>
          <w:rFonts w:asciiTheme="minorHAnsi" w:hAnsiTheme="minorHAnsi" w:cstheme="minorHAnsi"/>
          <w:lang w:eastAsia="en-AU"/>
        </w:rPr>
        <w:t xml:space="preserve"> </w:t>
      </w:r>
      <w:r>
        <w:rPr>
          <w:rFonts w:asciiTheme="minorHAnsi" w:hAnsiTheme="minorHAnsi" w:cstheme="minorHAnsi"/>
          <w:lang w:eastAsia="en-AU"/>
        </w:rPr>
        <w:t>Creutzfeldt</w:t>
      </w:r>
      <w:r>
        <w:rPr>
          <w:rFonts w:asciiTheme="minorHAnsi" w:hAnsiTheme="minorHAnsi" w:cstheme="minorHAnsi"/>
          <w:lang w:eastAsia="en-AU"/>
        </w:rPr>
        <w:noBreakHyphen/>
        <w:t>Jakob disease</w:t>
      </w:r>
      <w:r w:rsidRPr="00E55646">
        <w:rPr>
          <w:rFonts w:asciiTheme="minorHAnsi" w:hAnsiTheme="minorHAnsi" w:cstheme="minorHAnsi"/>
          <w:lang w:eastAsia="en-AU"/>
        </w:rPr>
        <w:t>)</w:t>
      </w:r>
      <w:r w:rsidR="003954F9">
        <w:rPr>
          <w:rFonts w:asciiTheme="minorHAnsi" w:hAnsiTheme="minorHAnsi" w:cstheme="minorHAnsi"/>
          <w:lang w:eastAsia="en-AU"/>
        </w:rPr>
        <w:t xml:space="preserve">; however the </w:t>
      </w:r>
      <w:r w:rsidR="007410E9">
        <w:rPr>
          <w:rFonts w:asciiTheme="minorHAnsi" w:hAnsiTheme="minorHAnsi" w:cstheme="minorHAnsi"/>
          <w:lang w:eastAsia="en-AU"/>
        </w:rPr>
        <w:t>TTI definition is not clear and</w:t>
      </w:r>
      <w:r w:rsidR="005A1755">
        <w:rPr>
          <w:rFonts w:asciiTheme="minorHAnsi" w:hAnsiTheme="minorHAnsi" w:cstheme="minorHAnsi"/>
          <w:lang w:eastAsia="en-AU"/>
        </w:rPr>
        <w:t xml:space="preserve"> some cases might not be confirmed according to the national definition.  T</w:t>
      </w:r>
      <w:r w:rsidR="007410E9">
        <w:rPr>
          <w:rFonts w:asciiTheme="minorHAnsi" w:hAnsiTheme="minorHAnsi" w:cstheme="minorHAnsi"/>
          <w:lang w:eastAsia="en-AU"/>
        </w:rPr>
        <w:t xml:space="preserve">his has affected the quality </w:t>
      </w:r>
      <w:r w:rsidR="00FD65B6">
        <w:rPr>
          <w:rFonts w:asciiTheme="minorHAnsi" w:hAnsiTheme="minorHAnsi" w:cstheme="minorHAnsi"/>
          <w:lang w:eastAsia="en-AU"/>
        </w:rPr>
        <w:t>of the</w:t>
      </w:r>
      <w:r w:rsidR="003954F9">
        <w:rPr>
          <w:rFonts w:asciiTheme="minorHAnsi" w:hAnsiTheme="minorHAnsi" w:cstheme="minorHAnsi"/>
          <w:lang w:eastAsia="en-AU"/>
        </w:rPr>
        <w:t xml:space="preserve"> reported </w:t>
      </w:r>
      <w:r w:rsidR="007410E9">
        <w:rPr>
          <w:rFonts w:asciiTheme="minorHAnsi" w:hAnsiTheme="minorHAnsi" w:cstheme="minorHAnsi"/>
          <w:lang w:eastAsia="en-AU"/>
        </w:rPr>
        <w:t>TTI data. The NBA and HAC will review</w:t>
      </w:r>
      <w:r w:rsidR="005A1755">
        <w:rPr>
          <w:rFonts w:asciiTheme="minorHAnsi" w:hAnsiTheme="minorHAnsi" w:cstheme="minorHAnsi"/>
          <w:lang w:eastAsia="en-AU"/>
        </w:rPr>
        <w:t xml:space="preserve"> the</w:t>
      </w:r>
      <w:r w:rsidR="007410E9">
        <w:rPr>
          <w:rFonts w:asciiTheme="minorHAnsi" w:hAnsiTheme="minorHAnsi" w:cstheme="minorHAnsi"/>
          <w:lang w:eastAsia="en-AU"/>
        </w:rPr>
        <w:t xml:space="preserve"> TTI definition</w:t>
      </w:r>
      <w:r w:rsidR="005A1755">
        <w:rPr>
          <w:rFonts w:asciiTheme="minorHAnsi" w:hAnsiTheme="minorHAnsi" w:cstheme="minorHAnsi"/>
          <w:lang w:eastAsia="en-AU"/>
        </w:rPr>
        <w:t xml:space="preserve"> and reporting process</w:t>
      </w:r>
      <w:r w:rsidR="007410E9">
        <w:rPr>
          <w:rFonts w:asciiTheme="minorHAnsi" w:hAnsiTheme="minorHAnsi" w:cstheme="minorHAnsi"/>
          <w:lang w:eastAsia="en-AU"/>
        </w:rPr>
        <w:t xml:space="preserve"> </w:t>
      </w:r>
      <w:r w:rsidR="008C274E">
        <w:rPr>
          <w:rFonts w:asciiTheme="minorHAnsi" w:hAnsiTheme="minorHAnsi" w:cstheme="minorHAnsi"/>
          <w:lang w:eastAsia="en-AU"/>
        </w:rPr>
        <w:t>with a view to</w:t>
      </w:r>
      <w:r w:rsidR="00F1188A">
        <w:rPr>
          <w:rFonts w:asciiTheme="minorHAnsi" w:hAnsiTheme="minorHAnsi" w:cstheme="minorHAnsi"/>
          <w:lang w:eastAsia="en-AU"/>
        </w:rPr>
        <w:t xml:space="preserve"> improv</w:t>
      </w:r>
      <w:r w:rsidR="008C274E">
        <w:rPr>
          <w:rFonts w:asciiTheme="minorHAnsi" w:hAnsiTheme="minorHAnsi" w:cstheme="minorHAnsi"/>
          <w:lang w:eastAsia="en-AU"/>
        </w:rPr>
        <w:t>ing</w:t>
      </w:r>
      <w:r w:rsidR="00F1188A">
        <w:rPr>
          <w:rFonts w:asciiTheme="minorHAnsi" w:hAnsiTheme="minorHAnsi" w:cstheme="minorHAnsi"/>
          <w:lang w:eastAsia="en-AU"/>
        </w:rPr>
        <w:t xml:space="preserve"> future TTI reporting.</w:t>
      </w:r>
    </w:p>
    <w:p w:rsidR="000E55F4" w:rsidRPr="009E4A39" w:rsidRDefault="000E55F4" w:rsidP="000E55F4">
      <w:pPr>
        <w:spacing w:after="0"/>
        <w:rPr>
          <w:rFonts w:asciiTheme="minorHAnsi" w:hAnsiTheme="minorHAnsi" w:cstheme="minorHAnsi"/>
          <w:lang w:eastAsia="en-AU"/>
        </w:rPr>
      </w:pPr>
      <w:r w:rsidRPr="009E4A39">
        <w:rPr>
          <w:rFonts w:asciiTheme="minorHAnsi" w:hAnsiTheme="minorHAnsi" w:cstheme="minorHAnsi"/>
          <w:lang w:eastAsia="en-AU"/>
        </w:rPr>
        <w:t>In 2013–14:</w:t>
      </w:r>
    </w:p>
    <w:p w:rsidR="00F1188A" w:rsidRPr="009E4A39" w:rsidRDefault="00F1188A" w:rsidP="0096249F">
      <w:pPr>
        <w:pStyle w:val="ListParagraph"/>
        <w:numPr>
          <w:ilvl w:val="0"/>
          <w:numId w:val="18"/>
        </w:numPr>
        <w:rPr>
          <w:rFonts w:asciiTheme="minorHAnsi" w:hAnsiTheme="minorHAnsi" w:cstheme="minorHAnsi"/>
          <w:lang w:eastAsia="en-AU"/>
        </w:rPr>
      </w:pPr>
      <w:r w:rsidRPr="009E4A39">
        <w:rPr>
          <w:rFonts w:asciiTheme="minorHAnsi" w:hAnsiTheme="minorHAnsi" w:cstheme="minorHAnsi"/>
          <w:lang w:eastAsia="en-AU"/>
        </w:rPr>
        <w:t>All TTI</w:t>
      </w:r>
      <w:r>
        <w:rPr>
          <w:rFonts w:asciiTheme="minorHAnsi" w:hAnsiTheme="minorHAnsi" w:cstheme="minorHAnsi"/>
          <w:lang w:eastAsia="en-AU"/>
        </w:rPr>
        <w:t xml:space="preserve"> report</w:t>
      </w:r>
      <w:r w:rsidRPr="009E4A39">
        <w:rPr>
          <w:rFonts w:asciiTheme="minorHAnsi" w:hAnsiTheme="minorHAnsi" w:cstheme="minorHAnsi"/>
          <w:lang w:eastAsia="en-AU"/>
        </w:rPr>
        <w:t xml:space="preserve">s </w:t>
      </w:r>
      <w:r>
        <w:rPr>
          <w:rFonts w:asciiTheme="minorHAnsi" w:hAnsiTheme="minorHAnsi" w:cstheme="minorHAnsi"/>
          <w:lang w:eastAsia="en-AU"/>
        </w:rPr>
        <w:t>were</w:t>
      </w:r>
      <w:r w:rsidRPr="009E4A39">
        <w:rPr>
          <w:rFonts w:asciiTheme="minorHAnsi" w:hAnsiTheme="minorHAnsi" w:cstheme="minorHAnsi"/>
          <w:lang w:eastAsia="en-AU"/>
        </w:rPr>
        <w:t xml:space="preserve"> non</w:t>
      </w:r>
      <w:r>
        <w:rPr>
          <w:rFonts w:asciiTheme="minorHAnsi" w:hAnsiTheme="minorHAnsi" w:cstheme="minorHAnsi"/>
          <w:lang w:eastAsia="en-AU"/>
        </w:rPr>
        <w:t>-serious</w:t>
      </w:r>
      <w:r w:rsidRPr="009E4A39">
        <w:rPr>
          <w:rFonts w:asciiTheme="minorHAnsi" w:hAnsiTheme="minorHAnsi" w:cstheme="minorHAnsi"/>
          <w:lang w:eastAsia="en-AU"/>
        </w:rPr>
        <w:t xml:space="preserve"> </w:t>
      </w:r>
      <w:r>
        <w:rPr>
          <w:rFonts w:asciiTheme="minorHAnsi" w:hAnsiTheme="minorHAnsi" w:cstheme="minorHAnsi"/>
          <w:lang w:eastAsia="en-AU"/>
        </w:rPr>
        <w:t>events.</w:t>
      </w:r>
    </w:p>
    <w:p w:rsidR="00F1188A" w:rsidRPr="009E4A39" w:rsidRDefault="00F1188A" w:rsidP="0096249F">
      <w:pPr>
        <w:pStyle w:val="ListParagraph"/>
        <w:numPr>
          <w:ilvl w:val="0"/>
          <w:numId w:val="18"/>
        </w:numPr>
        <w:rPr>
          <w:rFonts w:asciiTheme="minorHAnsi" w:hAnsiTheme="minorHAnsi" w:cstheme="minorHAnsi"/>
          <w:lang w:eastAsia="en-AU"/>
        </w:rPr>
      </w:pPr>
      <w:r w:rsidRPr="009E4A39">
        <w:rPr>
          <w:rFonts w:asciiTheme="minorHAnsi" w:hAnsiTheme="minorHAnsi" w:cstheme="minorHAnsi"/>
          <w:lang w:eastAsia="en-AU"/>
        </w:rPr>
        <w:t>Six cases were confirmed to be TTI, with five related to the transfusion of platelets and one related to the transfusion of red cells.</w:t>
      </w:r>
    </w:p>
    <w:p w:rsidR="00F1188A" w:rsidRPr="009E4A39" w:rsidRDefault="00F1188A" w:rsidP="0096249F">
      <w:pPr>
        <w:pStyle w:val="ListParagraph"/>
        <w:numPr>
          <w:ilvl w:val="0"/>
          <w:numId w:val="18"/>
        </w:numPr>
        <w:rPr>
          <w:rFonts w:asciiTheme="minorHAnsi" w:hAnsiTheme="minorHAnsi" w:cstheme="minorHAnsi"/>
          <w:lang w:eastAsia="en-AU"/>
        </w:rPr>
      </w:pPr>
      <w:r w:rsidRPr="009E4A39">
        <w:rPr>
          <w:rFonts w:asciiTheme="minorHAnsi" w:hAnsiTheme="minorHAnsi" w:cstheme="minorHAnsi"/>
          <w:lang w:eastAsia="en-AU"/>
        </w:rPr>
        <w:t>There were no reports of any TTI resulting from viral or parasitically contaminated components.</w:t>
      </w:r>
    </w:p>
    <w:p w:rsidR="00437C01" w:rsidRDefault="00F1188A" w:rsidP="00437C01">
      <w:pPr>
        <w:pStyle w:val="ListParagraph"/>
        <w:numPr>
          <w:ilvl w:val="0"/>
          <w:numId w:val="18"/>
        </w:numPr>
        <w:rPr>
          <w:rFonts w:asciiTheme="minorHAnsi" w:hAnsiTheme="minorHAnsi" w:cstheme="minorHAnsi"/>
          <w:lang w:eastAsia="en-AU"/>
        </w:rPr>
      </w:pPr>
      <w:r>
        <w:rPr>
          <w:rFonts w:asciiTheme="minorHAnsi" w:hAnsiTheme="minorHAnsi" w:cstheme="minorHAnsi"/>
          <w:lang w:eastAsia="en-AU"/>
        </w:rPr>
        <w:t xml:space="preserve">All of the </w:t>
      </w:r>
      <w:r w:rsidRPr="009E4A39">
        <w:rPr>
          <w:rFonts w:asciiTheme="minorHAnsi" w:hAnsiTheme="minorHAnsi" w:cstheme="minorHAnsi"/>
          <w:lang w:eastAsia="en-AU"/>
        </w:rPr>
        <w:t>27</w:t>
      </w:r>
      <w:r w:rsidR="000E55F4" w:rsidRPr="009E4A39">
        <w:rPr>
          <w:rFonts w:asciiTheme="minorHAnsi" w:hAnsiTheme="minorHAnsi" w:cstheme="minorHAnsi"/>
          <w:lang w:eastAsia="en-AU"/>
        </w:rPr>
        <w:t xml:space="preserve"> TTI</w:t>
      </w:r>
      <w:r w:rsidR="000E55F4">
        <w:rPr>
          <w:rFonts w:asciiTheme="minorHAnsi" w:hAnsiTheme="minorHAnsi" w:cstheme="minorHAnsi"/>
          <w:lang w:eastAsia="en-AU"/>
        </w:rPr>
        <w:t xml:space="preserve"> events</w:t>
      </w:r>
      <w:r w:rsidR="000E55F4" w:rsidRPr="009E4A39">
        <w:rPr>
          <w:rFonts w:asciiTheme="minorHAnsi" w:hAnsiTheme="minorHAnsi" w:cstheme="minorHAnsi"/>
          <w:lang w:eastAsia="en-AU"/>
        </w:rPr>
        <w:t xml:space="preserve"> reported to the </w:t>
      </w:r>
      <w:r w:rsidR="000E55F4">
        <w:rPr>
          <w:rFonts w:asciiTheme="minorHAnsi" w:hAnsiTheme="minorHAnsi" w:cstheme="minorHAnsi"/>
          <w:lang w:eastAsia="en-AU"/>
        </w:rPr>
        <w:t>n</w:t>
      </w:r>
      <w:r w:rsidR="000E55F4" w:rsidRPr="009E4A39">
        <w:rPr>
          <w:rFonts w:asciiTheme="minorHAnsi" w:hAnsiTheme="minorHAnsi" w:cstheme="minorHAnsi"/>
          <w:lang w:eastAsia="en-AU"/>
        </w:rPr>
        <w:t xml:space="preserve">ational </w:t>
      </w:r>
      <w:proofErr w:type="spellStart"/>
      <w:r w:rsidR="000E55F4">
        <w:rPr>
          <w:rFonts w:asciiTheme="minorHAnsi" w:hAnsiTheme="minorHAnsi" w:cstheme="minorHAnsi"/>
          <w:lang w:eastAsia="en-AU"/>
        </w:rPr>
        <w:t>h</w:t>
      </w:r>
      <w:r w:rsidR="000E55F4" w:rsidRPr="009E4A39">
        <w:rPr>
          <w:rFonts w:asciiTheme="minorHAnsi" w:hAnsiTheme="minorHAnsi" w:cstheme="minorHAnsi"/>
          <w:lang w:eastAsia="en-AU"/>
        </w:rPr>
        <w:t>aemovigilance</w:t>
      </w:r>
      <w:proofErr w:type="spellEnd"/>
      <w:r w:rsidR="000E55F4" w:rsidRPr="009E4A39">
        <w:rPr>
          <w:rFonts w:asciiTheme="minorHAnsi" w:hAnsiTheme="minorHAnsi" w:cstheme="minorHAnsi"/>
          <w:lang w:eastAsia="en-AU"/>
        </w:rPr>
        <w:t xml:space="preserve"> </w:t>
      </w:r>
      <w:r w:rsidR="000E55F4">
        <w:rPr>
          <w:rFonts w:asciiTheme="minorHAnsi" w:hAnsiTheme="minorHAnsi" w:cstheme="minorHAnsi"/>
          <w:lang w:eastAsia="en-AU"/>
        </w:rPr>
        <w:t>p</w:t>
      </w:r>
      <w:r w:rsidR="000E55F4" w:rsidRPr="009E4A39">
        <w:rPr>
          <w:rFonts w:asciiTheme="minorHAnsi" w:hAnsiTheme="minorHAnsi" w:cstheme="minorHAnsi"/>
          <w:lang w:eastAsia="en-AU"/>
        </w:rPr>
        <w:t>rogram</w:t>
      </w:r>
      <w:r>
        <w:rPr>
          <w:rFonts w:asciiTheme="minorHAnsi" w:hAnsiTheme="minorHAnsi" w:cstheme="minorHAnsi"/>
          <w:lang w:eastAsia="en-AU"/>
        </w:rPr>
        <w:t xml:space="preserve"> </w:t>
      </w:r>
      <w:r w:rsidR="000E55F4" w:rsidRPr="009E4A39">
        <w:rPr>
          <w:rFonts w:asciiTheme="minorHAnsi" w:hAnsiTheme="minorHAnsi" w:cstheme="minorHAnsi"/>
          <w:lang w:eastAsia="en-AU"/>
        </w:rPr>
        <w:t>were suspected to be related to bacterial infections.</w:t>
      </w:r>
      <w:bookmarkStart w:id="86" w:name="_Toc420835690"/>
    </w:p>
    <w:p w:rsidR="000E55F4" w:rsidRPr="003A25C4" w:rsidRDefault="000E55F4" w:rsidP="000E55F4">
      <w:pPr>
        <w:pStyle w:val="Caption"/>
      </w:pPr>
      <w:bookmarkStart w:id="87" w:name="_Toc459636859"/>
      <w:r w:rsidRPr="003A25C4">
        <w:t xml:space="preserve">Table </w:t>
      </w:r>
      <w:fldSimple w:instr=" SEQ Table \* ARABIC ">
        <w:r w:rsidR="000010BC">
          <w:rPr>
            <w:noProof/>
          </w:rPr>
          <w:t>19</w:t>
        </w:r>
      </w:fldSimple>
      <w:r w:rsidRPr="003A25C4">
        <w:t xml:space="preserve">: TTI clinical outcome severity by </w:t>
      </w:r>
      <w:proofErr w:type="spellStart"/>
      <w:r w:rsidRPr="003A25C4">
        <w:t>imputability</w:t>
      </w:r>
      <w:proofErr w:type="spellEnd"/>
      <w:r w:rsidRPr="003A25C4">
        <w:t>, 2013–1</w:t>
      </w:r>
      <w:bookmarkEnd w:id="86"/>
      <w:r w:rsidRPr="003A25C4">
        <w:t>4</w:t>
      </w:r>
      <w:bookmarkEnd w:id="87"/>
    </w:p>
    <w:tbl>
      <w:tblPr>
        <w:tblW w:w="0" w:type="auto"/>
        <w:tblInd w:w="108" w:type="dxa"/>
        <w:tblLook w:val="01E0" w:firstRow="1" w:lastRow="1" w:firstColumn="1" w:lastColumn="1" w:noHBand="0" w:noVBand="0"/>
      </w:tblPr>
      <w:tblGrid>
        <w:gridCol w:w="2169"/>
        <w:gridCol w:w="383"/>
        <w:gridCol w:w="686"/>
        <w:gridCol w:w="1235"/>
        <w:gridCol w:w="1252"/>
        <w:gridCol w:w="1301"/>
        <w:gridCol w:w="1334"/>
        <w:gridCol w:w="996"/>
      </w:tblGrid>
      <w:tr w:rsidR="000E55F4" w:rsidRPr="00E12398" w:rsidTr="00F46D5E">
        <w:trPr>
          <w:trHeight w:val="230"/>
        </w:trPr>
        <w:tc>
          <w:tcPr>
            <w:tcW w:w="2552" w:type="dxa"/>
            <w:gridSpan w:val="2"/>
            <w:shd w:val="clear" w:color="auto" w:fill="FF0000"/>
            <w:vAlign w:val="center"/>
            <w:hideMark/>
          </w:tcPr>
          <w:p w:rsidR="000E55F4" w:rsidRPr="00E55646" w:rsidRDefault="000E55F4" w:rsidP="00F46D5E">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c>
          <w:tcPr>
            <w:tcW w:w="5808" w:type="dxa"/>
            <w:gridSpan w:val="5"/>
            <w:shd w:val="clear" w:color="auto" w:fill="FF0000"/>
            <w:vAlign w:val="center"/>
            <w:hideMark/>
          </w:tcPr>
          <w:p w:rsidR="000E55F4" w:rsidRPr="00E55646" w:rsidRDefault="000E55F4" w:rsidP="00F46D5E">
            <w:pPr>
              <w:spacing w:after="0"/>
              <w:jc w:val="center"/>
              <w:rPr>
                <w:rFonts w:asciiTheme="minorHAnsi" w:eastAsia="Times New Roman" w:hAnsiTheme="minorHAnsi" w:cstheme="minorHAnsi"/>
                <w:color w:val="FFFFFF"/>
                <w:sz w:val="20"/>
                <w:szCs w:val="20"/>
                <w:lang w:eastAsia="en-AU"/>
              </w:rPr>
            </w:pPr>
            <w:proofErr w:type="spellStart"/>
            <w:r w:rsidRPr="00E55646">
              <w:rPr>
                <w:rFonts w:asciiTheme="minorHAnsi" w:eastAsia="Times New Roman" w:hAnsiTheme="minorHAnsi" w:cstheme="minorHAnsi"/>
                <w:b/>
                <w:color w:val="FFFFFF"/>
                <w:sz w:val="20"/>
                <w:szCs w:val="20"/>
                <w:lang w:eastAsia="en-AU"/>
              </w:rPr>
              <w:t>Imputability</w:t>
            </w:r>
            <w:proofErr w:type="spellEnd"/>
          </w:p>
        </w:tc>
        <w:tc>
          <w:tcPr>
            <w:tcW w:w="996" w:type="dxa"/>
            <w:shd w:val="clear" w:color="auto" w:fill="FF0000"/>
            <w:vAlign w:val="center"/>
          </w:tcPr>
          <w:p w:rsidR="000E55F4" w:rsidRPr="00E12398" w:rsidRDefault="000E55F4" w:rsidP="00274FE6">
            <w:pPr>
              <w:spacing w:after="0"/>
              <w:jc w:val="right"/>
              <w:rPr>
                <w:rFonts w:asciiTheme="minorHAnsi" w:eastAsia="Times New Roman" w:hAnsiTheme="minorHAnsi" w:cstheme="minorHAnsi"/>
                <w:b/>
                <w:color w:val="FFFFFF"/>
                <w:sz w:val="20"/>
                <w:szCs w:val="20"/>
                <w:lang w:eastAsia="en-AU"/>
              </w:rPr>
            </w:pPr>
            <w:r w:rsidRPr="00E12398">
              <w:rPr>
                <w:rFonts w:asciiTheme="minorHAnsi" w:eastAsia="Times New Roman" w:hAnsiTheme="minorHAnsi" w:cstheme="minorHAnsi"/>
                <w:b/>
                <w:color w:val="FFFFFF"/>
                <w:sz w:val="20"/>
                <w:szCs w:val="20"/>
                <w:lang w:eastAsia="en-AU"/>
              </w:rPr>
              <w:t>Total</w:t>
            </w:r>
          </w:p>
        </w:tc>
      </w:tr>
      <w:tr w:rsidR="000E55F4" w:rsidRPr="00883299" w:rsidTr="00F46D5E">
        <w:tc>
          <w:tcPr>
            <w:tcW w:w="2169" w:type="dxa"/>
            <w:tcBorders>
              <w:bottom w:val="single" w:sz="4" w:space="0" w:color="auto"/>
            </w:tcBorders>
            <w:shd w:val="clear" w:color="auto" w:fill="D9D9D9" w:themeFill="background1" w:themeFillShade="D9"/>
            <w:vAlign w:val="center"/>
          </w:tcPr>
          <w:p w:rsidR="000E55F4" w:rsidRPr="00883299" w:rsidRDefault="000E55F4" w:rsidP="00F46D5E">
            <w:pPr>
              <w:spacing w:after="0"/>
              <w:jc w:val="center"/>
              <w:rPr>
                <w:rFonts w:asciiTheme="minorHAnsi" w:eastAsia="Times New Roman" w:hAnsiTheme="minorHAnsi" w:cstheme="minorHAnsi"/>
                <w:b/>
                <w:color w:val="FF0000"/>
                <w:sz w:val="20"/>
                <w:szCs w:val="20"/>
                <w:lang w:eastAsia="en-AU"/>
              </w:rPr>
            </w:pPr>
          </w:p>
        </w:tc>
        <w:tc>
          <w:tcPr>
            <w:tcW w:w="1069" w:type="dxa"/>
            <w:gridSpan w:val="2"/>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Excluded</w:t>
            </w:r>
            <w:r>
              <w:rPr>
                <w:rFonts w:asciiTheme="minorHAnsi" w:eastAsia="Times New Roman" w:hAnsiTheme="minorHAnsi" w:cstheme="minorHAnsi"/>
                <w:color w:val="FF0000"/>
                <w:sz w:val="20"/>
                <w:szCs w:val="20"/>
                <w:lang w:eastAsia="en-AU"/>
              </w:rPr>
              <w:t xml:space="preserve"> /</w:t>
            </w:r>
            <w:r w:rsidRPr="00883299">
              <w:rPr>
                <w:rFonts w:asciiTheme="minorHAnsi" w:eastAsia="Times New Roman" w:hAnsiTheme="minorHAnsi" w:cstheme="minorHAnsi"/>
                <w:color w:val="FF0000"/>
                <w:sz w:val="20"/>
                <w:szCs w:val="20"/>
                <w:lang w:eastAsia="en-AU"/>
              </w:rPr>
              <w:t xml:space="preserve"> Unlikely</w:t>
            </w:r>
          </w:p>
        </w:tc>
        <w:tc>
          <w:tcPr>
            <w:tcW w:w="1235" w:type="dxa"/>
            <w:tcBorders>
              <w:bottom w:val="single" w:sz="4" w:space="0" w:color="auto"/>
            </w:tcBorders>
            <w:shd w:val="clear" w:color="auto" w:fill="D9D9D9" w:themeFill="background1" w:themeFillShade="D9"/>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Possible</w:t>
            </w:r>
          </w:p>
        </w:tc>
        <w:tc>
          <w:tcPr>
            <w:tcW w:w="1252"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Likely / Probable</w:t>
            </w:r>
          </w:p>
        </w:tc>
        <w:tc>
          <w:tcPr>
            <w:tcW w:w="1301"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Confirmed / Certain</w:t>
            </w:r>
          </w:p>
        </w:tc>
        <w:tc>
          <w:tcPr>
            <w:tcW w:w="1334" w:type="dxa"/>
            <w:tcBorders>
              <w:bottom w:val="single" w:sz="4" w:space="0" w:color="auto"/>
            </w:tcBorders>
            <w:shd w:val="clear" w:color="auto" w:fill="D9D9D9" w:themeFill="background1" w:themeFillShade="D9"/>
            <w:vAlign w:val="center"/>
            <w:hideMark/>
          </w:tcPr>
          <w:p w:rsidR="000E55F4" w:rsidRPr="00883299" w:rsidRDefault="000E55F4" w:rsidP="00F46D5E">
            <w:pPr>
              <w:spacing w:after="0"/>
              <w:jc w:val="right"/>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N/A /</w:t>
            </w:r>
            <w:r w:rsidRPr="00883299">
              <w:rPr>
                <w:rFonts w:asciiTheme="minorHAnsi" w:eastAsia="Times New Roman" w:hAnsiTheme="minorHAnsi" w:cstheme="minorHAnsi"/>
                <w:color w:val="FF0000"/>
                <w:sz w:val="20"/>
                <w:szCs w:val="20"/>
                <w:lang w:eastAsia="en-AU"/>
              </w:rPr>
              <w:t>Not assessable</w:t>
            </w:r>
          </w:p>
        </w:tc>
        <w:tc>
          <w:tcPr>
            <w:tcW w:w="996" w:type="dxa"/>
            <w:tcBorders>
              <w:bottom w:val="single" w:sz="4" w:space="0" w:color="auto"/>
            </w:tcBorders>
            <w:shd w:val="clear" w:color="auto" w:fill="D9D9D9" w:themeFill="background1" w:themeFillShade="D9"/>
            <w:vAlign w:val="center"/>
          </w:tcPr>
          <w:p w:rsidR="000E55F4" w:rsidRPr="00883299" w:rsidRDefault="000E55F4" w:rsidP="00F46D5E">
            <w:pPr>
              <w:spacing w:after="0"/>
              <w:jc w:val="right"/>
              <w:rPr>
                <w:rFonts w:asciiTheme="minorHAnsi" w:eastAsia="Times New Roman" w:hAnsiTheme="minorHAnsi" w:cstheme="minorHAnsi"/>
                <w:b/>
                <w:color w:val="FF0000"/>
                <w:sz w:val="20"/>
                <w:szCs w:val="20"/>
                <w:lang w:eastAsia="en-AU"/>
              </w:rPr>
            </w:pP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4E5914" w:rsidRDefault="000E55F4" w:rsidP="00F46D5E">
            <w:pPr>
              <w:spacing w:after="0"/>
              <w:rPr>
                <w:rFonts w:asciiTheme="minorHAnsi" w:eastAsia="Times New Roman" w:hAnsiTheme="minorHAnsi" w:cstheme="minorHAnsi"/>
                <w:sz w:val="20"/>
                <w:szCs w:val="20"/>
                <w:lang w:eastAsia="en-AU"/>
              </w:rPr>
            </w:pPr>
            <w:r w:rsidRPr="004E5914">
              <w:rPr>
                <w:rFonts w:asciiTheme="minorHAnsi" w:eastAsia="Times New Roman" w:hAnsiTheme="minorHAnsi" w:cstheme="minorHAnsi"/>
                <w:sz w:val="20"/>
                <w:szCs w:val="20"/>
                <w:lang w:eastAsia="en-AU"/>
              </w:rPr>
              <w:t>Life</w:t>
            </w:r>
            <w:r>
              <w:rPr>
                <w:rFonts w:asciiTheme="minorHAnsi" w:eastAsia="Times New Roman" w:hAnsiTheme="minorHAnsi" w:cstheme="minorHAnsi"/>
                <w:sz w:val="20"/>
                <w:szCs w:val="20"/>
                <w:lang w:eastAsia="en-AU"/>
              </w:rPr>
              <w:t>-</w:t>
            </w:r>
            <w:r w:rsidRPr="004E5914">
              <w:rPr>
                <w:rFonts w:asciiTheme="minorHAnsi" w:eastAsia="Times New Roman" w:hAnsiTheme="minorHAnsi" w:cstheme="minorHAnsi"/>
                <w:sz w:val="20"/>
                <w:szCs w:val="20"/>
                <w:lang w:eastAsia="en-AU"/>
              </w:rPr>
              <w:t xml:space="preserve">threatening </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A62DAE" w:rsidTr="00F46D5E">
        <w:trPr>
          <w:trHeight w:val="65"/>
        </w:trPr>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Severe morbidity</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Minor morbidity</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5</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14</w:t>
            </w: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 morbidity</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7</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8</w:t>
            </w:r>
          </w:p>
        </w:tc>
      </w:tr>
      <w:tr w:rsidR="000E55F4" w:rsidRPr="00A62DAE" w:rsidTr="00F46D5E">
        <w:tc>
          <w:tcPr>
            <w:tcW w:w="2169" w:type="dxa"/>
            <w:tcBorders>
              <w:top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Outcome not available</w:t>
            </w:r>
          </w:p>
        </w:tc>
        <w:tc>
          <w:tcPr>
            <w:tcW w:w="1069" w:type="dxa"/>
            <w:gridSpan w:val="2"/>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1252"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996" w:type="dxa"/>
            <w:tcBorders>
              <w:top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5</w:t>
            </w:r>
          </w:p>
        </w:tc>
      </w:tr>
      <w:tr w:rsidR="000E55F4" w:rsidRPr="00A62DAE" w:rsidTr="00F46D5E">
        <w:tc>
          <w:tcPr>
            <w:tcW w:w="2169"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Total</w:t>
            </w:r>
          </w:p>
        </w:tc>
        <w:tc>
          <w:tcPr>
            <w:tcW w:w="1069" w:type="dxa"/>
            <w:gridSpan w:val="2"/>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10</w:t>
            </w:r>
          </w:p>
        </w:tc>
        <w:tc>
          <w:tcPr>
            <w:tcW w:w="1235"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7</w:t>
            </w:r>
          </w:p>
        </w:tc>
        <w:tc>
          <w:tcPr>
            <w:tcW w:w="1252"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w:t>
            </w:r>
          </w:p>
        </w:tc>
        <w:tc>
          <w:tcPr>
            <w:tcW w:w="1301"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6</w:t>
            </w:r>
          </w:p>
        </w:tc>
        <w:tc>
          <w:tcPr>
            <w:tcW w:w="1334" w:type="dxa"/>
            <w:tcBorders>
              <w:top w:val="single" w:sz="4" w:space="0" w:color="auto"/>
              <w:bottom w:val="single" w:sz="4" w:space="0" w:color="auto"/>
            </w:tcBorders>
            <w:shd w:val="clear" w:color="auto" w:fill="auto"/>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w:t>
            </w:r>
          </w:p>
        </w:tc>
        <w:tc>
          <w:tcPr>
            <w:tcW w:w="996" w:type="dxa"/>
            <w:tcBorders>
              <w:top w:val="single" w:sz="4" w:space="0" w:color="auto"/>
              <w:bottom w:val="single" w:sz="4" w:space="0" w:color="auto"/>
            </w:tcBorders>
          </w:tcPr>
          <w:p w:rsidR="000E55F4" w:rsidRPr="00AD6CD3" w:rsidRDefault="000E55F4" w:rsidP="00F46D5E">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27</w:t>
            </w:r>
          </w:p>
        </w:tc>
      </w:tr>
    </w:tbl>
    <w:p w:rsidR="000E55F4" w:rsidRDefault="000E55F4" w:rsidP="000E55F4">
      <w:pPr>
        <w:spacing w:before="40" w:after="40" w:line="180" w:lineRule="atLeast"/>
        <w:rPr>
          <w:rFonts w:asciiTheme="minorHAnsi" w:eastAsiaTheme="minorEastAsia" w:hAnsiTheme="minorHAnsi" w:cstheme="minorHAnsi"/>
          <w:sz w:val="18"/>
          <w:szCs w:val="18"/>
          <w:lang w:eastAsia="en-AU"/>
        </w:rPr>
      </w:pPr>
      <w:r>
        <w:rPr>
          <w:rFonts w:asciiTheme="minorHAnsi" w:eastAsia="Times New Roman" w:hAnsiTheme="minorHAnsi" w:cstheme="minorHAnsi"/>
          <w:sz w:val="18"/>
          <w:szCs w:val="18"/>
          <w:lang w:eastAsia="en-AU"/>
        </w:rPr>
        <w:t xml:space="preserve">Note: </w:t>
      </w: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704467" w:rsidRDefault="00704467" w:rsidP="000E55F4">
      <w:pPr>
        <w:spacing w:before="40" w:after="40" w:line="180" w:lineRule="atLeast"/>
        <w:rPr>
          <w:rFonts w:asciiTheme="minorHAnsi" w:eastAsia="Times New Roman" w:hAnsiTheme="minorHAnsi" w:cstheme="minorHAnsi"/>
          <w:sz w:val="18"/>
          <w:szCs w:val="18"/>
          <w:lang w:eastAsia="en-AU"/>
        </w:rPr>
      </w:pPr>
    </w:p>
    <w:p w:rsidR="008B79C6" w:rsidRDefault="008B79C6">
      <w:pPr>
        <w:spacing w:line="276" w:lineRule="auto"/>
        <w:rPr>
          <w:rFonts w:asciiTheme="minorHAnsi" w:hAnsiTheme="minorHAnsi" w:cstheme="minorHAnsi"/>
          <w:lang w:eastAsia="en-AU"/>
        </w:rPr>
      </w:pPr>
      <w:r>
        <w:rPr>
          <w:rFonts w:asciiTheme="minorHAnsi" w:hAnsiTheme="minorHAnsi" w:cstheme="minorHAnsi"/>
          <w:lang w:eastAsia="en-AU"/>
        </w:rPr>
        <w:br w:type="page"/>
      </w:r>
    </w:p>
    <w:p w:rsidR="000E55F4" w:rsidRDefault="000E55F4" w:rsidP="000E55F4">
      <w:pPr>
        <w:rPr>
          <w:rFonts w:asciiTheme="minorHAnsi" w:hAnsiTheme="minorHAnsi" w:cstheme="minorHAnsi"/>
          <w:lang w:eastAsia="en-AU"/>
        </w:rPr>
      </w:pPr>
      <w:r w:rsidRPr="00EC4AF3">
        <w:rPr>
          <w:rFonts w:asciiTheme="minorHAnsi" w:hAnsiTheme="minorHAnsi" w:cstheme="minorHAnsi"/>
          <w:lang w:eastAsia="en-AU"/>
        </w:rPr>
        <w:lastRenderedPageBreak/>
        <w:fldChar w:fldCharType="begin"/>
      </w:r>
      <w:r w:rsidRPr="004417CB">
        <w:rPr>
          <w:rFonts w:asciiTheme="minorHAnsi" w:hAnsiTheme="minorHAnsi" w:cstheme="minorHAnsi"/>
          <w:lang w:eastAsia="en-AU"/>
        </w:rPr>
        <w:instrText xml:space="preserve"> REF _Ref450896385 \h </w:instrText>
      </w:r>
      <w:r w:rsidRPr="00EC4AF3">
        <w:rPr>
          <w:rFonts w:asciiTheme="minorHAnsi" w:hAnsiTheme="minorHAnsi" w:cstheme="minorHAnsi"/>
          <w:lang w:eastAsia="en-AU"/>
        </w:rPr>
        <w:instrText xml:space="preserve"> \* MERGEFORMAT </w:instrText>
      </w:r>
      <w:r w:rsidRPr="00EC4AF3">
        <w:rPr>
          <w:rFonts w:asciiTheme="minorHAnsi" w:hAnsiTheme="minorHAnsi" w:cstheme="minorHAnsi"/>
          <w:lang w:eastAsia="en-AU"/>
        </w:rPr>
      </w:r>
      <w:r w:rsidRPr="00EC4AF3">
        <w:rPr>
          <w:rFonts w:asciiTheme="minorHAnsi" w:hAnsiTheme="minorHAnsi" w:cstheme="minorHAnsi"/>
          <w:lang w:eastAsia="en-AU"/>
        </w:rPr>
        <w:fldChar w:fldCharType="separate"/>
      </w:r>
      <w:r w:rsidR="000010BC" w:rsidRPr="003A25C4">
        <w:t xml:space="preserve">Table </w:t>
      </w:r>
      <w:r w:rsidR="000010BC">
        <w:rPr>
          <w:noProof/>
        </w:rPr>
        <w:t>20</w:t>
      </w:r>
      <w:r w:rsidRPr="00EC4AF3">
        <w:rPr>
          <w:rFonts w:asciiTheme="minorHAnsi" w:hAnsiTheme="minorHAnsi" w:cstheme="minorHAnsi"/>
          <w:lang w:eastAsia="en-AU"/>
        </w:rPr>
        <w:fldChar w:fldCharType="end"/>
      </w:r>
      <w:r w:rsidRPr="004417CB">
        <w:rPr>
          <w:rFonts w:asciiTheme="minorHAnsi" w:hAnsiTheme="minorHAnsi" w:cstheme="minorHAnsi"/>
          <w:lang w:eastAsia="en-AU"/>
        </w:rPr>
        <w:t xml:space="preserve"> de</w:t>
      </w:r>
      <w:r>
        <w:rPr>
          <w:rFonts w:asciiTheme="minorHAnsi" w:hAnsiTheme="minorHAnsi" w:cstheme="minorHAnsi"/>
          <w:lang w:eastAsia="en-AU"/>
        </w:rPr>
        <w:t xml:space="preserve">tails the residual risk estimates for TTIs. </w:t>
      </w:r>
      <w:r w:rsidRPr="00A44126">
        <w:rPr>
          <w:rFonts w:asciiTheme="minorHAnsi" w:hAnsiTheme="minorHAnsi" w:cstheme="minorHAnsi"/>
          <w:lang w:eastAsia="en-AU"/>
        </w:rPr>
        <w:t>Australia has developed effective strategies to reduce the bacterial contamination of blood components. The major components of the management strategies for TTI include the pre</w:t>
      </w:r>
      <w:r>
        <w:rPr>
          <w:rFonts w:asciiTheme="minorHAnsi" w:hAnsiTheme="minorHAnsi" w:cstheme="minorHAnsi"/>
          <w:lang w:eastAsia="en-AU"/>
        </w:rPr>
        <w:t>-</w:t>
      </w:r>
      <w:r w:rsidRPr="00A44126">
        <w:rPr>
          <w:rFonts w:asciiTheme="minorHAnsi" w:hAnsiTheme="minorHAnsi" w:cstheme="minorHAnsi"/>
          <w:lang w:eastAsia="en-AU"/>
        </w:rPr>
        <w:t xml:space="preserve">donation questionnaire, identification of factors associated with TTI risk, skin disinfection prior to needle insertion, use of diversion pouches in collection kits to minimise the risk of bacterial infection and screening for antibody, antigen and viral nucleic acids. In April 2008, the Blood </w:t>
      </w:r>
      <w:r>
        <w:rPr>
          <w:rFonts w:asciiTheme="minorHAnsi" w:hAnsiTheme="minorHAnsi" w:cstheme="minorHAnsi"/>
          <w:lang w:eastAsia="en-AU"/>
        </w:rPr>
        <w:t>Service commenced pre-</w:t>
      </w:r>
      <w:r w:rsidRPr="00A44126">
        <w:rPr>
          <w:rFonts w:asciiTheme="minorHAnsi" w:hAnsiTheme="minorHAnsi" w:cstheme="minorHAnsi"/>
          <w:lang w:eastAsia="en-AU"/>
        </w:rPr>
        <w:t xml:space="preserve">release bacterial contamination screening of 100% of platelet components. As a result, there </w:t>
      </w:r>
      <w:r>
        <w:rPr>
          <w:rFonts w:asciiTheme="minorHAnsi" w:hAnsiTheme="minorHAnsi" w:cstheme="minorHAnsi"/>
          <w:lang w:eastAsia="en-AU"/>
        </w:rPr>
        <w:t>have been</w:t>
      </w:r>
      <w:r w:rsidRPr="00A44126">
        <w:rPr>
          <w:rFonts w:asciiTheme="minorHAnsi" w:hAnsiTheme="minorHAnsi" w:cstheme="minorHAnsi"/>
          <w:lang w:eastAsia="en-AU"/>
        </w:rPr>
        <w:t xml:space="preserve"> no confirmed severe cases (such as death, life</w:t>
      </w:r>
      <w:r>
        <w:rPr>
          <w:rFonts w:asciiTheme="minorHAnsi" w:hAnsiTheme="minorHAnsi" w:cstheme="minorHAnsi"/>
          <w:lang w:eastAsia="en-AU"/>
        </w:rPr>
        <w:t>-</w:t>
      </w:r>
      <w:r w:rsidRPr="00A44126">
        <w:rPr>
          <w:rFonts w:asciiTheme="minorHAnsi" w:hAnsiTheme="minorHAnsi" w:cstheme="minorHAnsi"/>
          <w:lang w:eastAsia="en-AU"/>
        </w:rPr>
        <w:t>threatening or severe morbidity) related to platelet transfusion reported in Australia since 2008–09.</w:t>
      </w:r>
    </w:p>
    <w:p w:rsidR="000E55F4" w:rsidRPr="003A25C4" w:rsidRDefault="000E55F4" w:rsidP="000E55F4">
      <w:pPr>
        <w:pStyle w:val="Caption"/>
      </w:pPr>
      <w:bookmarkStart w:id="88" w:name="_Ref450896385"/>
      <w:bookmarkStart w:id="89" w:name="_Toc420835691"/>
      <w:bookmarkStart w:id="90" w:name="_Toc459636860"/>
      <w:r w:rsidRPr="003A25C4">
        <w:t xml:space="preserve">Table </w:t>
      </w:r>
      <w:fldSimple w:instr=" SEQ Table \* ARABIC ">
        <w:r w:rsidR="000010BC">
          <w:rPr>
            <w:noProof/>
          </w:rPr>
          <w:t>20</w:t>
        </w:r>
      </w:fldSimple>
      <w:bookmarkEnd w:id="85"/>
      <w:bookmarkEnd w:id="88"/>
      <w:r w:rsidRPr="003A25C4">
        <w:t>: Blood Service residual risk estimates for transfusion</w:t>
      </w:r>
      <w:r w:rsidRPr="003A25C4">
        <w:noBreakHyphen/>
        <w:t>transmitted infections</w:t>
      </w:r>
      <w:bookmarkEnd w:id="89"/>
      <w:bookmarkEnd w:id="90"/>
    </w:p>
    <w:tbl>
      <w:tblPr>
        <w:tblW w:w="0" w:type="auto"/>
        <w:tblLook w:val="01E0" w:firstRow="1" w:lastRow="1" w:firstColumn="1" w:lastColumn="1" w:noHBand="0" w:noVBand="0"/>
      </w:tblPr>
      <w:tblGrid>
        <w:gridCol w:w="3794"/>
        <w:gridCol w:w="2835"/>
        <w:gridCol w:w="3225"/>
      </w:tblGrid>
      <w:tr w:rsidR="000E55F4" w:rsidRPr="00252B9F" w:rsidTr="00F46D5E">
        <w:trPr>
          <w:trHeight w:val="283"/>
        </w:trPr>
        <w:tc>
          <w:tcPr>
            <w:tcW w:w="3794" w:type="dxa"/>
            <w:shd w:val="clear" w:color="auto" w:fill="FF0000"/>
            <w:vAlign w:val="center"/>
          </w:tcPr>
          <w:p w:rsidR="000E55F4" w:rsidRPr="00252B9F" w:rsidRDefault="000E55F4" w:rsidP="00F46D5E">
            <w:pPr>
              <w:keepNext/>
              <w:spacing w:after="0"/>
              <w:rPr>
                <w:rFonts w:asciiTheme="minorHAnsi" w:eastAsia="Times New Roman" w:hAnsiTheme="minorHAnsi" w:cstheme="minorHAnsi"/>
                <w:b/>
                <w:color w:val="FFFFFF"/>
                <w:sz w:val="20"/>
                <w:szCs w:val="20"/>
                <w:lang w:eastAsia="en-AU"/>
              </w:rPr>
            </w:pPr>
            <w:r w:rsidRPr="00252B9F">
              <w:rPr>
                <w:rFonts w:asciiTheme="minorHAnsi" w:eastAsia="Times New Roman" w:hAnsiTheme="minorHAnsi" w:cstheme="minorHAnsi"/>
                <w:b/>
                <w:color w:val="FFFFFF"/>
                <w:sz w:val="20"/>
                <w:szCs w:val="20"/>
                <w:lang w:eastAsia="en-AU"/>
              </w:rPr>
              <w:t>Agent and testing standard</w:t>
            </w:r>
          </w:p>
        </w:tc>
        <w:tc>
          <w:tcPr>
            <w:tcW w:w="2835" w:type="dxa"/>
            <w:shd w:val="clear" w:color="auto" w:fill="FF0000"/>
            <w:vAlign w:val="center"/>
          </w:tcPr>
          <w:p w:rsidR="000E55F4" w:rsidRPr="00252B9F" w:rsidRDefault="000E55F4" w:rsidP="00F46D5E">
            <w:pPr>
              <w:keepNext/>
              <w:spacing w:after="0"/>
              <w:jc w:val="center"/>
              <w:rPr>
                <w:rFonts w:asciiTheme="minorHAnsi" w:eastAsia="Times New Roman" w:hAnsiTheme="minorHAnsi" w:cstheme="minorHAnsi"/>
                <w:b/>
                <w:color w:val="FFFFFF"/>
                <w:sz w:val="20"/>
                <w:szCs w:val="20"/>
                <w:lang w:eastAsia="en-AU"/>
              </w:rPr>
            </w:pPr>
            <w:r w:rsidRPr="00252B9F">
              <w:rPr>
                <w:rFonts w:asciiTheme="minorHAnsi" w:eastAsia="Times New Roman" w:hAnsiTheme="minorHAnsi" w:cstheme="minorHAnsi"/>
                <w:b/>
                <w:color w:val="FFFFFF"/>
                <w:sz w:val="20"/>
                <w:szCs w:val="20"/>
                <w:lang w:eastAsia="en-AU"/>
              </w:rPr>
              <w:t>Window Period (Days)</w:t>
            </w:r>
          </w:p>
        </w:tc>
        <w:tc>
          <w:tcPr>
            <w:tcW w:w="3225" w:type="dxa"/>
            <w:shd w:val="clear" w:color="auto" w:fill="FF0000"/>
            <w:vAlign w:val="center"/>
          </w:tcPr>
          <w:p w:rsidR="000E55F4" w:rsidRPr="00252B9F" w:rsidRDefault="000E55F4" w:rsidP="00F46D5E">
            <w:pPr>
              <w:keepNext/>
              <w:spacing w:after="0"/>
              <w:rPr>
                <w:rFonts w:asciiTheme="minorHAnsi" w:eastAsia="Times New Roman" w:hAnsiTheme="minorHAnsi" w:cstheme="minorHAnsi"/>
                <w:b/>
                <w:color w:val="FFFFFF"/>
                <w:sz w:val="20"/>
                <w:szCs w:val="20"/>
                <w:lang w:eastAsia="en-AU"/>
              </w:rPr>
            </w:pPr>
            <w:r w:rsidRPr="00252B9F">
              <w:rPr>
                <w:rFonts w:asciiTheme="minorHAnsi" w:eastAsia="Times New Roman" w:hAnsiTheme="minorHAnsi" w:cstheme="minorHAnsi"/>
                <w:b/>
                <w:color w:val="FFFFFF"/>
                <w:sz w:val="20"/>
                <w:szCs w:val="20"/>
                <w:lang w:eastAsia="en-AU"/>
              </w:rPr>
              <w:t>Estimate of residual risk ‘per unit’</w:t>
            </w:r>
          </w:p>
        </w:tc>
      </w:tr>
      <w:tr w:rsidR="000E55F4" w:rsidRPr="00252B9F" w:rsidTr="00F46D5E">
        <w:tc>
          <w:tcPr>
            <w:tcW w:w="3794" w:type="dxa"/>
            <w:tcBorders>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asciiTheme="minorHAnsi" w:eastAsia="Times New Roman" w:hAnsiTheme="minorHAnsi" w:cstheme="minorHAnsi"/>
                <w:sz w:val="20"/>
                <w:szCs w:val="20"/>
                <w:lang w:eastAsia="en-AU"/>
              </w:rPr>
              <w:t>HIV (antibody/</w:t>
            </w:r>
            <w:r w:rsidRPr="00252B9F">
              <w:rPr>
                <w:rFonts w:ascii="Verdana" w:hAnsi="Verdana" w:cs="Arial"/>
                <w:color w:val="414141"/>
                <w:sz w:val="20"/>
                <w:szCs w:val="20"/>
              </w:rPr>
              <w:t xml:space="preserve"> </w:t>
            </w:r>
            <w:r w:rsidRPr="00252B9F">
              <w:rPr>
                <w:rFonts w:asciiTheme="minorHAnsi" w:eastAsia="Times New Roman" w:hAnsiTheme="minorHAnsi" w:cstheme="minorHAnsi"/>
                <w:sz w:val="20"/>
                <w:szCs w:val="20"/>
                <w:lang w:eastAsia="en-AU"/>
              </w:rPr>
              <w:t>/p24Ag + NAT)</w:t>
            </w:r>
          </w:p>
        </w:tc>
        <w:tc>
          <w:tcPr>
            <w:tcW w:w="2835" w:type="dxa"/>
            <w:tcBorders>
              <w:bottom w:val="single" w:sz="4" w:space="0" w:color="auto"/>
            </w:tcBorders>
            <w:shd w:val="clear" w:color="auto" w:fill="auto"/>
          </w:tcPr>
          <w:p w:rsidR="000E55F4" w:rsidRPr="00252B9F" w:rsidRDefault="000E55F4" w:rsidP="00F46D5E">
            <w:pPr>
              <w:keepNext/>
              <w:spacing w:after="0"/>
              <w:jc w:val="center"/>
              <w:rPr>
                <w:rFonts w:asciiTheme="minorHAnsi" w:eastAsia="Times New Roman" w:hAnsiTheme="minorHAnsi" w:cstheme="minorHAnsi"/>
                <w:sz w:val="20"/>
                <w:szCs w:val="20"/>
                <w:lang w:eastAsia="en-AU"/>
              </w:rPr>
            </w:pPr>
            <w:r w:rsidRPr="00252B9F">
              <w:rPr>
                <w:rFonts w:eastAsiaTheme="minorHAnsi"/>
                <w:color w:val="000000"/>
                <w:sz w:val="20"/>
                <w:szCs w:val="20"/>
              </w:rPr>
              <w:t>5.9</w:t>
            </w:r>
          </w:p>
        </w:tc>
        <w:tc>
          <w:tcPr>
            <w:tcW w:w="3225" w:type="dxa"/>
            <w:tcBorders>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eastAsiaTheme="minorHAnsi"/>
                <w:color w:val="000000"/>
                <w:sz w:val="20"/>
                <w:szCs w:val="20"/>
              </w:rPr>
              <w:t>Less than 1 in 1 million</w:t>
            </w:r>
          </w:p>
        </w:tc>
      </w:tr>
      <w:tr w:rsidR="000E55F4" w:rsidRPr="00252B9F" w:rsidTr="00F46D5E">
        <w:tc>
          <w:tcPr>
            <w:tcW w:w="3794"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asciiTheme="minorHAnsi" w:eastAsia="Times New Roman" w:hAnsiTheme="minorHAnsi" w:cstheme="minorHAnsi"/>
                <w:sz w:val="20"/>
                <w:szCs w:val="20"/>
                <w:lang w:eastAsia="en-AU"/>
              </w:rPr>
              <w:t>HCV (antibody + NAT)</w:t>
            </w:r>
          </w:p>
        </w:tc>
        <w:tc>
          <w:tcPr>
            <w:tcW w:w="2835" w:type="dxa"/>
            <w:tcBorders>
              <w:top w:val="single" w:sz="4" w:space="0" w:color="auto"/>
              <w:bottom w:val="single" w:sz="4" w:space="0" w:color="auto"/>
            </w:tcBorders>
            <w:shd w:val="clear" w:color="auto" w:fill="auto"/>
          </w:tcPr>
          <w:p w:rsidR="000E55F4" w:rsidRPr="00252B9F" w:rsidRDefault="000E55F4" w:rsidP="00F46D5E">
            <w:pPr>
              <w:keepNext/>
              <w:spacing w:after="0"/>
              <w:jc w:val="center"/>
              <w:rPr>
                <w:rFonts w:asciiTheme="minorHAnsi" w:eastAsia="Times New Roman" w:hAnsiTheme="minorHAnsi" w:cstheme="minorHAnsi"/>
                <w:sz w:val="20"/>
                <w:szCs w:val="20"/>
                <w:lang w:eastAsia="en-AU"/>
              </w:rPr>
            </w:pPr>
            <w:r w:rsidRPr="00252B9F">
              <w:rPr>
                <w:rFonts w:eastAsiaTheme="minorHAnsi"/>
                <w:color w:val="000000"/>
                <w:sz w:val="20"/>
                <w:szCs w:val="20"/>
              </w:rPr>
              <w:t>2.6</w:t>
            </w:r>
          </w:p>
        </w:tc>
        <w:tc>
          <w:tcPr>
            <w:tcW w:w="3225"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eastAsiaTheme="minorHAnsi"/>
                <w:color w:val="000000"/>
                <w:sz w:val="20"/>
                <w:szCs w:val="20"/>
              </w:rPr>
              <w:t>Less than 1 in 1 million</w:t>
            </w:r>
          </w:p>
        </w:tc>
      </w:tr>
      <w:tr w:rsidR="000E55F4" w:rsidRPr="00252B9F" w:rsidTr="00F46D5E">
        <w:tc>
          <w:tcPr>
            <w:tcW w:w="3794"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asciiTheme="minorHAnsi" w:eastAsia="Times New Roman" w:hAnsiTheme="minorHAnsi" w:cstheme="minorHAnsi"/>
                <w:sz w:val="20"/>
                <w:szCs w:val="20"/>
                <w:lang w:eastAsia="en-AU"/>
              </w:rPr>
              <w:t>HBV (</w:t>
            </w:r>
            <w:proofErr w:type="spellStart"/>
            <w:r w:rsidRPr="00252B9F">
              <w:rPr>
                <w:rFonts w:asciiTheme="minorHAnsi" w:eastAsia="Times New Roman" w:hAnsiTheme="minorHAnsi" w:cstheme="minorHAnsi"/>
                <w:sz w:val="20"/>
                <w:szCs w:val="20"/>
                <w:lang w:eastAsia="en-AU"/>
              </w:rPr>
              <w:t>HBsAg</w:t>
            </w:r>
            <w:proofErr w:type="spellEnd"/>
            <w:r w:rsidRPr="00252B9F">
              <w:rPr>
                <w:rFonts w:asciiTheme="minorHAnsi" w:eastAsia="Times New Roman" w:hAnsiTheme="minorHAnsi" w:cstheme="minorHAnsi"/>
                <w:sz w:val="20"/>
                <w:szCs w:val="20"/>
                <w:lang w:eastAsia="en-AU"/>
              </w:rPr>
              <w:t xml:space="preserve"> + NAT)</w:t>
            </w:r>
          </w:p>
        </w:tc>
        <w:tc>
          <w:tcPr>
            <w:tcW w:w="2835" w:type="dxa"/>
            <w:tcBorders>
              <w:top w:val="single" w:sz="4" w:space="0" w:color="auto"/>
              <w:bottom w:val="single" w:sz="4" w:space="0" w:color="auto"/>
            </w:tcBorders>
            <w:shd w:val="clear" w:color="auto" w:fill="auto"/>
          </w:tcPr>
          <w:p w:rsidR="000E55F4" w:rsidRPr="00252B9F" w:rsidRDefault="000E55F4" w:rsidP="00F46D5E">
            <w:pPr>
              <w:keepNext/>
              <w:spacing w:after="0"/>
              <w:jc w:val="center"/>
              <w:rPr>
                <w:rFonts w:asciiTheme="minorHAnsi" w:eastAsia="Times New Roman" w:hAnsiTheme="minorHAnsi" w:cstheme="minorHAnsi"/>
                <w:sz w:val="20"/>
                <w:szCs w:val="20"/>
                <w:lang w:eastAsia="en-AU"/>
              </w:rPr>
            </w:pPr>
            <w:r w:rsidRPr="00252B9F">
              <w:rPr>
                <w:rFonts w:eastAsiaTheme="minorHAnsi"/>
                <w:color w:val="000000"/>
                <w:sz w:val="20"/>
                <w:szCs w:val="20"/>
              </w:rPr>
              <w:t>15.1</w:t>
            </w:r>
          </w:p>
        </w:tc>
        <w:tc>
          <w:tcPr>
            <w:tcW w:w="3225"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eastAsiaTheme="minorHAnsi"/>
                <w:color w:val="000000"/>
                <w:sz w:val="20"/>
                <w:szCs w:val="20"/>
              </w:rPr>
              <w:t>Approximately 1 in 468,000</w:t>
            </w:r>
          </w:p>
        </w:tc>
      </w:tr>
      <w:tr w:rsidR="000E55F4" w:rsidRPr="00252B9F" w:rsidTr="00F46D5E">
        <w:tc>
          <w:tcPr>
            <w:tcW w:w="3794"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asciiTheme="minorHAnsi" w:eastAsia="Times New Roman" w:hAnsiTheme="minorHAnsi" w:cstheme="minorHAnsi"/>
                <w:sz w:val="20"/>
                <w:szCs w:val="20"/>
                <w:lang w:eastAsia="en-AU"/>
              </w:rPr>
              <w:t>HTLV I &amp; II (antibody)</w:t>
            </w:r>
          </w:p>
        </w:tc>
        <w:tc>
          <w:tcPr>
            <w:tcW w:w="2835" w:type="dxa"/>
            <w:tcBorders>
              <w:top w:val="single" w:sz="4" w:space="0" w:color="auto"/>
              <w:bottom w:val="single" w:sz="4" w:space="0" w:color="auto"/>
            </w:tcBorders>
            <w:shd w:val="clear" w:color="auto" w:fill="auto"/>
          </w:tcPr>
          <w:p w:rsidR="000E55F4" w:rsidRPr="00252B9F" w:rsidRDefault="000E55F4" w:rsidP="00F46D5E">
            <w:pPr>
              <w:keepNext/>
              <w:spacing w:after="0"/>
              <w:jc w:val="center"/>
              <w:rPr>
                <w:rFonts w:asciiTheme="minorHAnsi" w:eastAsia="Times New Roman" w:hAnsiTheme="minorHAnsi" w:cstheme="minorHAnsi"/>
                <w:sz w:val="20"/>
                <w:szCs w:val="20"/>
                <w:lang w:eastAsia="en-AU"/>
              </w:rPr>
            </w:pPr>
            <w:r w:rsidRPr="00252B9F">
              <w:rPr>
                <w:rFonts w:eastAsiaTheme="minorHAnsi"/>
                <w:color w:val="000000"/>
                <w:sz w:val="20"/>
                <w:szCs w:val="20"/>
              </w:rPr>
              <w:t>51</w:t>
            </w:r>
          </w:p>
        </w:tc>
        <w:tc>
          <w:tcPr>
            <w:tcW w:w="3225"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eastAsiaTheme="minorHAnsi"/>
                <w:color w:val="000000"/>
                <w:sz w:val="20"/>
                <w:szCs w:val="20"/>
              </w:rPr>
              <w:t>Less than 1 in 1 million</w:t>
            </w:r>
          </w:p>
        </w:tc>
      </w:tr>
      <w:tr w:rsidR="000E55F4" w:rsidRPr="00252B9F" w:rsidTr="00F46D5E">
        <w:tc>
          <w:tcPr>
            <w:tcW w:w="3794"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asciiTheme="minorHAnsi" w:eastAsia="Times New Roman" w:hAnsiTheme="minorHAnsi" w:cstheme="minorHAnsi"/>
                <w:sz w:val="20"/>
                <w:szCs w:val="20"/>
                <w:lang w:eastAsia="en-AU"/>
              </w:rPr>
              <w:t>Variant Creutzfeldt</w:t>
            </w:r>
            <w:r w:rsidRPr="00252B9F">
              <w:rPr>
                <w:rFonts w:asciiTheme="minorHAnsi" w:eastAsia="Times New Roman" w:hAnsiTheme="minorHAnsi" w:cstheme="minorHAnsi"/>
                <w:sz w:val="20"/>
                <w:szCs w:val="20"/>
                <w:lang w:eastAsia="en-AU"/>
              </w:rPr>
              <w:noBreakHyphen/>
              <w:t>Jakob Disease (</w:t>
            </w:r>
            <w:proofErr w:type="spellStart"/>
            <w:r w:rsidRPr="00252B9F">
              <w:rPr>
                <w:rFonts w:asciiTheme="minorHAnsi" w:eastAsia="Times New Roman" w:hAnsiTheme="minorHAnsi" w:cstheme="minorHAnsi"/>
                <w:sz w:val="20"/>
                <w:szCs w:val="20"/>
                <w:lang w:eastAsia="en-AU"/>
              </w:rPr>
              <w:t>vCJD</w:t>
            </w:r>
            <w:proofErr w:type="spellEnd"/>
            <w:r w:rsidRPr="00252B9F">
              <w:rPr>
                <w:rFonts w:asciiTheme="minorHAnsi" w:eastAsia="Times New Roman" w:hAnsiTheme="minorHAnsi" w:cstheme="minorHAnsi"/>
                <w:sz w:val="20"/>
                <w:szCs w:val="20"/>
                <w:lang w:eastAsia="en-AU"/>
              </w:rPr>
              <w:t>) [No testing]</w:t>
            </w:r>
          </w:p>
        </w:tc>
        <w:tc>
          <w:tcPr>
            <w:tcW w:w="2835" w:type="dxa"/>
            <w:tcBorders>
              <w:top w:val="single" w:sz="4" w:space="0" w:color="auto"/>
              <w:bottom w:val="single" w:sz="4" w:space="0" w:color="auto"/>
            </w:tcBorders>
            <w:shd w:val="clear" w:color="auto" w:fill="auto"/>
          </w:tcPr>
          <w:p w:rsidR="000E55F4" w:rsidRPr="00252B9F" w:rsidRDefault="000E55F4" w:rsidP="00F46D5E">
            <w:pPr>
              <w:keepNext/>
              <w:spacing w:after="0"/>
              <w:jc w:val="center"/>
              <w:rPr>
                <w:rFonts w:asciiTheme="minorHAnsi" w:eastAsia="Times New Roman" w:hAnsiTheme="minorHAnsi" w:cstheme="minorHAnsi"/>
                <w:sz w:val="20"/>
                <w:szCs w:val="20"/>
                <w:lang w:eastAsia="en-AU"/>
              </w:rPr>
            </w:pPr>
            <w:r w:rsidRPr="00252B9F">
              <w:rPr>
                <w:rFonts w:eastAsiaTheme="minorHAnsi"/>
                <w:color w:val="000000"/>
                <w:sz w:val="20"/>
                <w:szCs w:val="20"/>
              </w:rPr>
              <w:t>Not available</w:t>
            </w:r>
          </w:p>
        </w:tc>
        <w:tc>
          <w:tcPr>
            <w:tcW w:w="3225"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eastAsiaTheme="minorHAnsi"/>
                <w:color w:val="000000"/>
                <w:sz w:val="20"/>
                <w:szCs w:val="20"/>
              </w:rPr>
              <w:t>Possible. Not yet reported in Australia.</w:t>
            </w:r>
          </w:p>
        </w:tc>
      </w:tr>
      <w:tr w:rsidR="000E55F4" w:rsidRPr="00252B9F" w:rsidTr="00F46D5E">
        <w:tc>
          <w:tcPr>
            <w:tcW w:w="3794"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asciiTheme="minorHAnsi" w:eastAsia="Times New Roman" w:hAnsiTheme="minorHAnsi" w:cstheme="minorHAnsi"/>
                <w:sz w:val="20"/>
                <w:szCs w:val="20"/>
                <w:lang w:eastAsia="en-AU"/>
              </w:rPr>
              <w:t>Malaria (antibody)</w:t>
            </w:r>
          </w:p>
        </w:tc>
        <w:tc>
          <w:tcPr>
            <w:tcW w:w="2835" w:type="dxa"/>
            <w:tcBorders>
              <w:top w:val="single" w:sz="4" w:space="0" w:color="auto"/>
              <w:bottom w:val="single" w:sz="4" w:space="0" w:color="auto"/>
            </w:tcBorders>
            <w:shd w:val="clear" w:color="auto" w:fill="auto"/>
          </w:tcPr>
          <w:p w:rsidR="000E55F4" w:rsidRPr="00252B9F" w:rsidRDefault="000E55F4" w:rsidP="00F46D5E">
            <w:pPr>
              <w:keepNext/>
              <w:spacing w:after="0"/>
              <w:jc w:val="center"/>
              <w:rPr>
                <w:rFonts w:asciiTheme="minorHAnsi" w:eastAsia="Times New Roman" w:hAnsiTheme="minorHAnsi" w:cstheme="minorHAnsi"/>
                <w:sz w:val="20"/>
                <w:szCs w:val="20"/>
                <w:lang w:eastAsia="en-AU"/>
              </w:rPr>
            </w:pPr>
            <w:r w:rsidRPr="00252B9F">
              <w:rPr>
                <w:rFonts w:eastAsiaTheme="minorHAnsi"/>
                <w:color w:val="000000"/>
                <w:sz w:val="20"/>
                <w:szCs w:val="20"/>
              </w:rPr>
              <w:t>7–14</w:t>
            </w:r>
          </w:p>
        </w:tc>
        <w:tc>
          <w:tcPr>
            <w:tcW w:w="3225" w:type="dxa"/>
            <w:tcBorders>
              <w:top w:val="single" w:sz="4" w:space="0" w:color="auto"/>
              <w:bottom w:val="single" w:sz="4" w:space="0" w:color="auto"/>
            </w:tcBorders>
            <w:shd w:val="clear" w:color="auto" w:fill="auto"/>
          </w:tcPr>
          <w:p w:rsidR="000E55F4" w:rsidRPr="00252B9F" w:rsidRDefault="000E55F4" w:rsidP="00F46D5E">
            <w:pPr>
              <w:keepNext/>
              <w:spacing w:after="0"/>
              <w:rPr>
                <w:rFonts w:asciiTheme="minorHAnsi" w:eastAsia="Times New Roman" w:hAnsiTheme="minorHAnsi" w:cstheme="minorHAnsi"/>
                <w:sz w:val="20"/>
                <w:szCs w:val="20"/>
                <w:lang w:eastAsia="en-AU"/>
              </w:rPr>
            </w:pPr>
            <w:r w:rsidRPr="00252B9F">
              <w:rPr>
                <w:rFonts w:eastAsiaTheme="minorHAnsi"/>
                <w:color w:val="000000"/>
                <w:sz w:val="20"/>
                <w:szCs w:val="20"/>
              </w:rPr>
              <w:t>Less than 1 in 1 million</w:t>
            </w:r>
          </w:p>
        </w:tc>
      </w:tr>
      <w:tr w:rsidR="000E55F4" w:rsidRPr="00252B9F" w:rsidTr="00F46D5E">
        <w:tc>
          <w:tcPr>
            <w:tcW w:w="9854" w:type="dxa"/>
            <w:gridSpan w:val="3"/>
            <w:shd w:val="clear" w:color="auto" w:fill="auto"/>
          </w:tcPr>
          <w:p w:rsidR="000E55F4" w:rsidRPr="00252B9F" w:rsidRDefault="000E55F4" w:rsidP="00F46D5E">
            <w:pPr>
              <w:spacing w:before="40" w:after="40" w:line="180" w:lineRule="atLeast"/>
              <w:rPr>
                <w:rFonts w:asciiTheme="minorHAnsi" w:eastAsia="Times New Roman" w:hAnsiTheme="minorHAnsi" w:cstheme="minorHAnsi"/>
                <w:sz w:val="18"/>
                <w:szCs w:val="18"/>
                <w:lang w:eastAsia="en-AU"/>
              </w:rPr>
            </w:pPr>
            <w:r w:rsidRPr="00252B9F">
              <w:rPr>
                <w:rFonts w:asciiTheme="minorHAnsi" w:eastAsia="Times New Roman" w:hAnsiTheme="minorHAnsi" w:cstheme="minorHAnsi"/>
                <w:sz w:val="18"/>
                <w:szCs w:val="18"/>
                <w:lang w:eastAsia="en-AU"/>
              </w:rPr>
              <w:t>Notes</w:t>
            </w:r>
          </w:p>
          <w:p w:rsidR="000E55F4" w:rsidRPr="00006FBE" w:rsidRDefault="000E55F4" w:rsidP="0096249F">
            <w:pPr>
              <w:pStyle w:val="ListParagraph"/>
              <w:numPr>
                <w:ilvl w:val="0"/>
                <w:numId w:val="41"/>
              </w:numPr>
              <w:spacing w:before="40" w:after="40" w:line="180" w:lineRule="atLeast"/>
              <w:rPr>
                <w:rFonts w:asciiTheme="minorHAnsi" w:eastAsia="Times New Roman" w:hAnsiTheme="minorHAnsi" w:cstheme="minorHAnsi"/>
                <w:sz w:val="18"/>
                <w:szCs w:val="18"/>
                <w:lang w:eastAsia="en-AU"/>
              </w:rPr>
            </w:pPr>
            <w:r w:rsidRPr="00006FBE">
              <w:rPr>
                <w:rFonts w:asciiTheme="minorHAnsi" w:eastAsia="Times New Roman" w:hAnsiTheme="minorHAnsi" w:cstheme="minorHAnsi"/>
                <w:sz w:val="18"/>
                <w:szCs w:val="18"/>
                <w:lang w:eastAsia="en-AU"/>
              </w:rPr>
              <w:t>The risk estimates for HIV, HCV and HBV are based on Blood Service data from 1 January 2012 to 31 December 2013</w:t>
            </w:r>
          </w:p>
          <w:p w:rsidR="000E55F4" w:rsidRPr="00006FBE" w:rsidRDefault="000E55F4" w:rsidP="0096249F">
            <w:pPr>
              <w:pStyle w:val="ListParagraph"/>
              <w:numPr>
                <w:ilvl w:val="0"/>
                <w:numId w:val="41"/>
              </w:numPr>
              <w:spacing w:before="40" w:line="180" w:lineRule="atLeast"/>
              <w:rPr>
                <w:rFonts w:asciiTheme="minorHAnsi" w:eastAsia="Times New Roman" w:hAnsiTheme="minorHAnsi" w:cstheme="minorHAnsi"/>
                <w:sz w:val="18"/>
                <w:szCs w:val="18"/>
                <w:lang w:eastAsia="en-AU"/>
              </w:rPr>
            </w:pPr>
            <w:r w:rsidRPr="00006FBE">
              <w:rPr>
                <w:rFonts w:asciiTheme="minorHAnsi" w:eastAsia="Times New Roman" w:hAnsiTheme="minorHAnsi" w:cstheme="minorHAnsi"/>
                <w:sz w:val="18"/>
                <w:szCs w:val="18"/>
                <w:lang w:eastAsia="en-AU"/>
              </w:rPr>
              <w:t>The HTLV estimates are based on data for the period 1 January 2010 to 31 December 2013</w:t>
            </w:r>
          </w:p>
        </w:tc>
      </w:tr>
    </w:tbl>
    <w:p w:rsidR="000E55F4" w:rsidRDefault="000E55F4" w:rsidP="00FD07E5">
      <w:bookmarkStart w:id="91" w:name="_Toc420837258"/>
      <w:r>
        <w:br w:type="page"/>
      </w:r>
    </w:p>
    <w:p w:rsidR="00252B9F" w:rsidRPr="00252B9F" w:rsidRDefault="00252B9F" w:rsidP="002E310A">
      <w:pPr>
        <w:pStyle w:val="Heading2"/>
      </w:pPr>
      <w:bookmarkStart w:id="92" w:name="_Toc459366171"/>
      <w:bookmarkEnd w:id="91"/>
      <w:r w:rsidRPr="00252B9F">
        <w:lastRenderedPageBreak/>
        <w:t xml:space="preserve">Anaphylactic or </w:t>
      </w:r>
      <w:proofErr w:type="spellStart"/>
      <w:r w:rsidRPr="00252B9F">
        <w:t>anaphylactoid</w:t>
      </w:r>
      <w:proofErr w:type="spellEnd"/>
      <w:r w:rsidRPr="00252B9F">
        <w:t xml:space="preserve"> reaction</w:t>
      </w:r>
      <w:bookmarkEnd w:id="73"/>
      <w:bookmarkEnd w:id="92"/>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117984" w:rsidRPr="00E55646" w:rsidTr="009E4A39">
        <w:tc>
          <w:tcPr>
            <w:tcW w:w="3208" w:type="dxa"/>
            <w:gridSpan w:val="2"/>
            <w:shd w:val="clear" w:color="auto" w:fill="FF0000"/>
            <w:hideMark/>
          </w:tcPr>
          <w:p w:rsidR="00117984" w:rsidRPr="00E55646" w:rsidRDefault="00117984" w:rsidP="009E4A39">
            <w:pPr>
              <w:spacing w:after="0"/>
              <w:rPr>
                <w:rFonts w:asciiTheme="minorHAnsi" w:eastAsia="Times New Roman" w:hAnsiTheme="minorHAnsi" w:cstheme="minorHAnsi"/>
                <w:color w:val="FFFFFF"/>
                <w:sz w:val="20"/>
                <w:szCs w:val="20"/>
                <w:lang w:eastAsia="en-AU"/>
              </w:rPr>
            </w:pPr>
            <w:bookmarkStart w:id="93" w:name="_Toc263840026"/>
            <w:bookmarkStart w:id="94" w:name="_Toc420837252"/>
            <w:r>
              <w:rPr>
                <w:rFonts w:asciiTheme="minorHAnsi" w:eastAsia="Times New Roman" w:hAnsiTheme="minorHAnsi" w:cstheme="minorHAnsi"/>
                <w:b/>
                <w:color w:val="FFFFFF"/>
                <w:sz w:val="20"/>
                <w:szCs w:val="20"/>
                <w:lang w:eastAsia="en-AU"/>
              </w:rPr>
              <w:t>2013–14 Data Summary (n=19</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117984" w:rsidRPr="00E55646" w:rsidRDefault="00117984" w:rsidP="009E4A39">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8" w:type="dxa"/>
            <w:gridSpan w:val="3"/>
            <w:tcBorders>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13</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hideMark/>
          </w:tcPr>
          <w:p w:rsidR="00117984" w:rsidRPr="00E55646"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8" w:type="dxa"/>
            <w:gridSpan w:val="3"/>
            <w:tcBorders>
              <w:top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shd w:val="clear" w:color="auto" w:fill="BFBFBF" w:themeFill="background1" w:themeFillShade="BF"/>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c>
          <w:tcPr>
            <w:tcW w:w="2378" w:type="dxa"/>
            <w:gridSpan w:val="3"/>
            <w:tcBorders>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9</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605288" w:rsidP="009E4A39">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1C2470" w:rsidTr="009E4A39">
        <w:tc>
          <w:tcPr>
            <w:tcW w:w="2658" w:type="dxa"/>
            <w:tcBorders>
              <w:top w:val="single" w:sz="4" w:space="0" w:color="auto"/>
            </w:tcBorders>
            <w:shd w:val="clear" w:color="auto" w:fill="auto"/>
            <w:vAlign w:val="bottom"/>
          </w:tcPr>
          <w:p w:rsidR="00117984" w:rsidRPr="001C2470" w:rsidRDefault="00117984" w:rsidP="009E4A39">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tcPr>
          <w:p w:rsidR="00117984" w:rsidRPr="001C2470"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8" w:type="dxa"/>
            <w:gridSpan w:val="3"/>
            <w:tcBorders>
              <w:top w:val="single" w:sz="4" w:space="0" w:color="auto"/>
            </w:tcBorders>
            <w:shd w:val="clear" w:color="auto" w:fill="auto"/>
          </w:tcPr>
          <w:p w:rsidR="00117984" w:rsidRPr="001C2470"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Pr="001C2470"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773683">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threatening</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9</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117984" w:rsidRPr="00E55646" w:rsidRDefault="00946083"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799"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117984" w:rsidRPr="00E55646" w:rsidRDefault="00946083"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bl>
    <w:p w:rsidR="00117984" w:rsidRPr="008C3A7A" w:rsidRDefault="00117984" w:rsidP="0011798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605288" w:rsidRDefault="00605288" w:rsidP="0096249F">
      <w:pPr>
        <w:numPr>
          <w:ilvl w:val="0"/>
          <w:numId w:val="34"/>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605288" w:rsidRPr="006858FB" w:rsidRDefault="00605288" w:rsidP="0096249F">
      <w:pPr>
        <w:numPr>
          <w:ilvl w:val="0"/>
          <w:numId w:val="34"/>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605288" w:rsidRDefault="00605288" w:rsidP="0096249F">
      <w:pPr>
        <w:numPr>
          <w:ilvl w:val="0"/>
          <w:numId w:val="34"/>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 xml:space="preserve">ACT </w:t>
      </w:r>
      <w:r w:rsidR="007D6B6B">
        <w:rPr>
          <w:rFonts w:asciiTheme="minorHAnsi" w:eastAsiaTheme="minorEastAsia" w:hAnsiTheme="minorHAnsi" w:cstheme="minorHAnsi"/>
          <w:sz w:val="18"/>
          <w:szCs w:val="18"/>
          <w:lang w:eastAsia="en-AU"/>
        </w:rPr>
        <w:t>reported zero</w:t>
      </w:r>
      <w:r w:rsidR="004417CB">
        <w:rPr>
          <w:rFonts w:asciiTheme="minorHAnsi" w:eastAsiaTheme="minorEastAsia" w:hAnsiTheme="minorHAnsi" w:cstheme="minorHAnsi"/>
          <w:sz w:val="18"/>
          <w:szCs w:val="18"/>
          <w:lang w:eastAsia="en-AU"/>
        </w:rPr>
        <w:t xml:space="preserve"> adverse </w:t>
      </w:r>
      <w:r w:rsidR="007D6B6B">
        <w:rPr>
          <w:rFonts w:asciiTheme="minorHAnsi" w:eastAsiaTheme="minorEastAsia" w:hAnsiTheme="minorHAnsi" w:cstheme="minorHAnsi"/>
          <w:sz w:val="18"/>
          <w:szCs w:val="18"/>
          <w:lang w:eastAsia="en-AU"/>
        </w:rPr>
        <w:t>event</w:t>
      </w:r>
      <w:r w:rsidR="004417CB">
        <w:rPr>
          <w:rFonts w:asciiTheme="minorHAnsi" w:eastAsiaTheme="minorEastAsia" w:hAnsiTheme="minorHAnsi" w:cstheme="minorHAnsi"/>
          <w:sz w:val="18"/>
          <w:szCs w:val="18"/>
          <w:lang w:eastAsia="en-AU"/>
        </w:rPr>
        <w:t>s</w:t>
      </w:r>
    </w:p>
    <w:p w:rsidR="00605288" w:rsidRDefault="00605288" w:rsidP="0096249F">
      <w:pPr>
        <w:numPr>
          <w:ilvl w:val="0"/>
          <w:numId w:val="34"/>
        </w:numPr>
        <w:spacing w:before="40" w:line="180" w:lineRule="atLeast"/>
        <w:ind w:left="357" w:hanging="357"/>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117984" w:rsidRPr="009E4A39" w:rsidRDefault="00117984" w:rsidP="00EC4AF3">
      <w:pPr>
        <w:spacing w:after="0"/>
        <w:rPr>
          <w:rFonts w:asciiTheme="minorHAnsi" w:hAnsiTheme="minorHAnsi" w:cstheme="minorHAnsi"/>
          <w:lang w:eastAsia="en-AU"/>
        </w:rPr>
      </w:pPr>
      <w:r w:rsidRPr="009E4A39">
        <w:rPr>
          <w:rFonts w:asciiTheme="minorHAnsi" w:hAnsiTheme="minorHAnsi" w:cstheme="minorHAnsi"/>
          <w:lang w:eastAsia="en-AU"/>
        </w:rPr>
        <w:t>In 2013–14:</w:t>
      </w:r>
    </w:p>
    <w:p w:rsidR="00117984" w:rsidRPr="009E4A39" w:rsidRDefault="00117984" w:rsidP="0096249F">
      <w:pPr>
        <w:pStyle w:val="ListParagraph"/>
        <w:numPr>
          <w:ilvl w:val="0"/>
          <w:numId w:val="19"/>
        </w:numPr>
        <w:rPr>
          <w:rFonts w:asciiTheme="minorHAnsi" w:hAnsiTheme="minorHAnsi" w:cstheme="minorHAnsi"/>
          <w:lang w:eastAsia="en-AU"/>
        </w:rPr>
      </w:pPr>
      <w:r w:rsidRPr="009E4A39">
        <w:rPr>
          <w:rFonts w:asciiTheme="minorHAnsi" w:hAnsiTheme="minorHAnsi" w:cstheme="minorHAnsi"/>
          <w:lang w:eastAsia="en-AU"/>
        </w:rPr>
        <w:t xml:space="preserve">19 anaphylactic or </w:t>
      </w:r>
      <w:proofErr w:type="spellStart"/>
      <w:r w:rsidRPr="009E4A39">
        <w:rPr>
          <w:rFonts w:asciiTheme="minorHAnsi" w:hAnsiTheme="minorHAnsi" w:cstheme="minorHAnsi"/>
          <w:lang w:eastAsia="en-AU"/>
        </w:rPr>
        <w:t>anaphylactoid</w:t>
      </w:r>
      <w:proofErr w:type="spellEnd"/>
      <w:r w:rsidRPr="009E4A39">
        <w:rPr>
          <w:rFonts w:asciiTheme="minorHAnsi" w:hAnsiTheme="minorHAnsi" w:cstheme="minorHAnsi"/>
          <w:lang w:eastAsia="en-AU"/>
        </w:rPr>
        <w:t xml:space="preserve"> reactions were reported to the </w:t>
      </w:r>
      <w:r w:rsidR="00844CBE">
        <w:rPr>
          <w:rFonts w:asciiTheme="minorHAnsi" w:hAnsiTheme="minorHAnsi" w:cstheme="minorHAnsi"/>
          <w:lang w:eastAsia="en-AU"/>
        </w:rPr>
        <w:t>n</w:t>
      </w:r>
      <w:r w:rsidRPr="009E4A39">
        <w:rPr>
          <w:rFonts w:asciiTheme="minorHAnsi" w:hAnsiTheme="minorHAnsi" w:cstheme="minorHAnsi"/>
          <w:lang w:eastAsia="en-AU"/>
        </w:rPr>
        <w:t xml:space="preserve">ational </w:t>
      </w:r>
      <w:proofErr w:type="spellStart"/>
      <w:r w:rsidR="00844CBE">
        <w:rPr>
          <w:rFonts w:asciiTheme="minorHAnsi" w:hAnsiTheme="minorHAnsi" w:cstheme="minorHAnsi"/>
          <w:lang w:eastAsia="en-AU"/>
        </w:rPr>
        <w:t>h</w:t>
      </w:r>
      <w:r w:rsidRPr="009E4A39">
        <w:rPr>
          <w:rFonts w:asciiTheme="minorHAnsi" w:hAnsiTheme="minorHAnsi" w:cstheme="minorHAnsi"/>
          <w:lang w:eastAsia="en-AU"/>
        </w:rPr>
        <w:t>aemovigilance</w:t>
      </w:r>
      <w:proofErr w:type="spellEnd"/>
      <w:r w:rsidRPr="009E4A39">
        <w:rPr>
          <w:rFonts w:asciiTheme="minorHAnsi" w:hAnsiTheme="minorHAnsi" w:cstheme="minorHAnsi"/>
          <w:lang w:eastAsia="en-AU"/>
        </w:rPr>
        <w:t xml:space="preserve"> </w:t>
      </w:r>
      <w:r w:rsidR="00844CBE">
        <w:rPr>
          <w:rFonts w:asciiTheme="minorHAnsi" w:hAnsiTheme="minorHAnsi" w:cstheme="minorHAnsi"/>
          <w:lang w:eastAsia="en-AU"/>
        </w:rPr>
        <w:t>p</w:t>
      </w:r>
      <w:r w:rsidRPr="009E4A39">
        <w:rPr>
          <w:rFonts w:asciiTheme="minorHAnsi" w:hAnsiTheme="minorHAnsi" w:cstheme="minorHAnsi"/>
          <w:lang w:eastAsia="en-AU"/>
        </w:rPr>
        <w:t>rogram, accounting for 3.1% of all</w:t>
      </w:r>
      <w:r w:rsidR="00FD07E5">
        <w:rPr>
          <w:rFonts w:asciiTheme="minorHAnsi" w:hAnsiTheme="minorHAnsi" w:cstheme="minorHAnsi"/>
          <w:lang w:eastAsia="en-AU"/>
        </w:rPr>
        <w:t xml:space="preserve"> reports (617) for this period.</w:t>
      </w:r>
    </w:p>
    <w:p w:rsidR="00117984" w:rsidRPr="009E4A39" w:rsidRDefault="00117984" w:rsidP="0096249F">
      <w:pPr>
        <w:pStyle w:val="ListParagraph"/>
        <w:numPr>
          <w:ilvl w:val="0"/>
          <w:numId w:val="19"/>
        </w:numPr>
        <w:rPr>
          <w:rFonts w:asciiTheme="minorHAnsi" w:hAnsiTheme="minorHAnsi" w:cstheme="minorHAnsi"/>
          <w:lang w:eastAsia="en-AU"/>
        </w:rPr>
      </w:pPr>
      <w:r w:rsidRPr="009E4A39">
        <w:rPr>
          <w:rFonts w:asciiTheme="minorHAnsi" w:hAnsiTheme="minorHAnsi" w:cstheme="minorHAnsi"/>
          <w:lang w:eastAsia="en-AU"/>
        </w:rPr>
        <w:t xml:space="preserve">The majority of cases (16 out of 19) were assigned an </w:t>
      </w:r>
      <w:proofErr w:type="spellStart"/>
      <w:r w:rsidRPr="009E4A39">
        <w:rPr>
          <w:rFonts w:asciiTheme="minorHAnsi" w:hAnsiTheme="minorHAnsi" w:cstheme="minorHAnsi"/>
          <w:lang w:eastAsia="en-AU"/>
        </w:rPr>
        <w:t>imputability</w:t>
      </w:r>
      <w:proofErr w:type="spellEnd"/>
      <w:r w:rsidRPr="009E4A39">
        <w:rPr>
          <w:rFonts w:asciiTheme="minorHAnsi" w:hAnsiTheme="minorHAnsi" w:cstheme="minorHAnsi"/>
          <w:lang w:eastAsia="en-AU"/>
        </w:rPr>
        <w:t xml:space="preserve"> score of likely/probable or confirmed/certain, including six cases of life</w:t>
      </w:r>
      <w:r w:rsidR="00773683">
        <w:rPr>
          <w:rFonts w:asciiTheme="minorHAnsi" w:hAnsiTheme="minorHAnsi" w:cstheme="minorHAnsi"/>
          <w:lang w:eastAsia="en-AU"/>
        </w:rPr>
        <w:t>-</w:t>
      </w:r>
      <w:r w:rsidRPr="009E4A39">
        <w:rPr>
          <w:rFonts w:asciiTheme="minorHAnsi" w:hAnsiTheme="minorHAnsi" w:cstheme="minorHAnsi"/>
          <w:lang w:eastAsia="en-AU"/>
        </w:rPr>
        <w:t>threatening severity and fo</w:t>
      </w:r>
      <w:r w:rsidR="00FD07E5">
        <w:rPr>
          <w:rFonts w:asciiTheme="minorHAnsi" w:hAnsiTheme="minorHAnsi" w:cstheme="minorHAnsi"/>
          <w:lang w:eastAsia="en-AU"/>
        </w:rPr>
        <w:t>ur cases with severe morbidity.</w:t>
      </w:r>
    </w:p>
    <w:p w:rsidR="00117984" w:rsidRPr="009E4A39" w:rsidRDefault="00117984" w:rsidP="0096249F">
      <w:pPr>
        <w:pStyle w:val="ListParagraph"/>
        <w:numPr>
          <w:ilvl w:val="0"/>
          <w:numId w:val="19"/>
        </w:numPr>
        <w:rPr>
          <w:rFonts w:asciiTheme="minorHAnsi" w:hAnsiTheme="minorHAnsi" w:cstheme="minorHAnsi"/>
          <w:lang w:eastAsia="en-AU"/>
        </w:rPr>
      </w:pPr>
      <w:r w:rsidRPr="009E4A39">
        <w:rPr>
          <w:rFonts w:asciiTheme="minorHAnsi" w:hAnsiTheme="minorHAnsi" w:cstheme="minorHAnsi"/>
          <w:lang w:eastAsia="en-AU"/>
        </w:rPr>
        <w:t>Two confirmed cases of life</w:t>
      </w:r>
      <w:r w:rsidR="00773683">
        <w:rPr>
          <w:rFonts w:asciiTheme="minorHAnsi" w:hAnsiTheme="minorHAnsi" w:cstheme="minorHAnsi"/>
          <w:lang w:eastAsia="en-AU"/>
        </w:rPr>
        <w:t>-</w:t>
      </w:r>
      <w:r w:rsidRPr="009E4A39">
        <w:rPr>
          <w:rFonts w:asciiTheme="minorHAnsi" w:hAnsiTheme="minorHAnsi" w:cstheme="minorHAnsi"/>
          <w:lang w:eastAsia="en-AU"/>
        </w:rPr>
        <w:t>threatening severity were related to the transfusion of platelets.</w:t>
      </w:r>
    </w:p>
    <w:p w:rsidR="00117984" w:rsidRPr="003A25C4" w:rsidRDefault="00117984" w:rsidP="003A25C4">
      <w:pPr>
        <w:pStyle w:val="Caption"/>
      </w:pPr>
      <w:bookmarkStart w:id="95" w:name="_Toc420835688"/>
      <w:bookmarkStart w:id="96" w:name="_Toc459636861"/>
      <w:r w:rsidRPr="003A25C4">
        <w:t xml:space="preserve">Table </w:t>
      </w:r>
      <w:fldSimple w:instr=" SEQ Table \* ARABIC ">
        <w:r w:rsidR="000010BC">
          <w:rPr>
            <w:noProof/>
          </w:rPr>
          <w:t>21</w:t>
        </w:r>
      </w:fldSimple>
      <w:r w:rsidRPr="003A25C4">
        <w:t xml:space="preserve">: Anaphylactic or </w:t>
      </w:r>
      <w:proofErr w:type="spellStart"/>
      <w:r w:rsidRPr="003A25C4">
        <w:t>anaphylactoid</w:t>
      </w:r>
      <w:proofErr w:type="spellEnd"/>
      <w:r w:rsidRPr="003A25C4">
        <w:t xml:space="preserve"> reactions clinical outcome severity by </w:t>
      </w:r>
      <w:proofErr w:type="spellStart"/>
      <w:r w:rsidRPr="003A25C4">
        <w:t>imputability</w:t>
      </w:r>
      <w:proofErr w:type="spellEnd"/>
      <w:r w:rsidRPr="003A25C4">
        <w:t>, 2013–1</w:t>
      </w:r>
      <w:bookmarkEnd w:id="95"/>
      <w:r w:rsidRPr="003A25C4">
        <w:t>4</w:t>
      </w:r>
      <w:bookmarkEnd w:id="96"/>
    </w:p>
    <w:tbl>
      <w:tblPr>
        <w:tblW w:w="0" w:type="auto"/>
        <w:tblInd w:w="108" w:type="dxa"/>
        <w:tblLook w:val="01E0" w:firstRow="1" w:lastRow="1" w:firstColumn="1" w:lastColumn="1" w:noHBand="0" w:noVBand="0"/>
      </w:tblPr>
      <w:tblGrid>
        <w:gridCol w:w="2169"/>
        <w:gridCol w:w="383"/>
        <w:gridCol w:w="686"/>
        <w:gridCol w:w="1235"/>
        <w:gridCol w:w="1252"/>
        <w:gridCol w:w="1301"/>
        <w:gridCol w:w="1334"/>
        <w:gridCol w:w="996"/>
      </w:tblGrid>
      <w:tr w:rsidR="00117984" w:rsidRPr="00E12398" w:rsidTr="009E4A39">
        <w:trPr>
          <w:trHeight w:val="299"/>
        </w:trPr>
        <w:tc>
          <w:tcPr>
            <w:tcW w:w="2552" w:type="dxa"/>
            <w:gridSpan w:val="2"/>
            <w:shd w:val="clear" w:color="auto" w:fill="FF0000"/>
            <w:vAlign w:val="center"/>
            <w:hideMark/>
          </w:tcPr>
          <w:p w:rsidR="00117984" w:rsidRPr="00E55646" w:rsidRDefault="00117984" w:rsidP="009E4A39">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c>
          <w:tcPr>
            <w:tcW w:w="5808" w:type="dxa"/>
            <w:gridSpan w:val="5"/>
            <w:shd w:val="clear" w:color="auto" w:fill="FF0000"/>
            <w:vAlign w:val="center"/>
            <w:hideMark/>
          </w:tcPr>
          <w:p w:rsidR="00117984" w:rsidRPr="00E55646" w:rsidRDefault="00117984" w:rsidP="009E4A39">
            <w:pPr>
              <w:spacing w:after="0"/>
              <w:jc w:val="center"/>
              <w:rPr>
                <w:rFonts w:asciiTheme="minorHAnsi" w:eastAsia="Times New Roman" w:hAnsiTheme="minorHAnsi" w:cstheme="minorHAnsi"/>
                <w:color w:val="FFFFFF"/>
                <w:sz w:val="20"/>
                <w:szCs w:val="20"/>
                <w:lang w:eastAsia="en-AU"/>
              </w:rPr>
            </w:pPr>
            <w:proofErr w:type="spellStart"/>
            <w:r w:rsidRPr="00E55646">
              <w:rPr>
                <w:rFonts w:asciiTheme="minorHAnsi" w:eastAsia="Times New Roman" w:hAnsiTheme="minorHAnsi" w:cstheme="minorHAnsi"/>
                <w:b/>
                <w:color w:val="FFFFFF"/>
                <w:sz w:val="20"/>
                <w:szCs w:val="20"/>
                <w:lang w:eastAsia="en-AU"/>
              </w:rPr>
              <w:t>Imputability</w:t>
            </w:r>
            <w:proofErr w:type="spellEnd"/>
          </w:p>
        </w:tc>
        <w:tc>
          <w:tcPr>
            <w:tcW w:w="996" w:type="dxa"/>
            <w:shd w:val="clear" w:color="auto" w:fill="FF0000"/>
            <w:vAlign w:val="center"/>
          </w:tcPr>
          <w:p w:rsidR="00117984" w:rsidRPr="00E12398" w:rsidRDefault="00117984" w:rsidP="009E4A39">
            <w:pPr>
              <w:spacing w:after="0"/>
              <w:jc w:val="center"/>
              <w:rPr>
                <w:rFonts w:asciiTheme="minorHAnsi" w:eastAsia="Times New Roman" w:hAnsiTheme="minorHAnsi" w:cstheme="minorHAnsi"/>
                <w:b/>
                <w:color w:val="FFFFFF"/>
                <w:sz w:val="20"/>
                <w:szCs w:val="20"/>
                <w:lang w:eastAsia="en-AU"/>
              </w:rPr>
            </w:pPr>
            <w:r w:rsidRPr="00E12398">
              <w:rPr>
                <w:rFonts w:asciiTheme="minorHAnsi" w:eastAsia="Times New Roman" w:hAnsiTheme="minorHAnsi" w:cstheme="minorHAnsi"/>
                <w:b/>
                <w:color w:val="FFFFFF"/>
                <w:sz w:val="20"/>
                <w:szCs w:val="20"/>
                <w:lang w:eastAsia="en-AU"/>
              </w:rPr>
              <w:t>Total</w:t>
            </w:r>
          </w:p>
        </w:tc>
      </w:tr>
      <w:tr w:rsidR="00117984" w:rsidRPr="00883299" w:rsidTr="009E4A39">
        <w:tc>
          <w:tcPr>
            <w:tcW w:w="2169" w:type="dxa"/>
            <w:tcBorders>
              <w:bottom w:val="single" w:sz="4" w:space="0" w:color="auto"/>
            </w:tcBorders>
            <w:shd w:val="clear" w:color="auto" w:fill="D9D9D9" w:themeFill="background1" w:themeFillShade="D9"/>
            <w:vAlign w:val="center"/>
          </w:tcPr>
          <w:p w:rsidR="00117984" w:rsidRPr="00883299" w:rsidRDefault="00117984" w:rsidP="009E4A39">
            <w:pPr>
              <w:spacing w:after="0"/>
              <w:jc w:val="center"/>
              <w:rPr>
                <w:rFonts w:asciiTheme="minorHAnsi" w:eastAsia="Times New Roman" w:hAnsiTheme="minorHAnsi" w:cstheme="minorHAnsi"/>
                <w:b/>
                <w:color w:val="FF0000"/>
                <w:sz w:val="20"/>
                <w:szCs w:val="20"/>
                <w:lang w:eastAsia="en-AU"/>
              </w:rPr>
            </w:pPr>
          </w:p>
        </w:tc>
        <w:tc>
          <w:tcPr>
            <w:tcW w:w="1069" w:type="dxa"/>
            <w:gridSpan w:val="2"/>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Excluded</w:t>
            </w:r>
            <w:r>
              <w:rPr>
                <w:rFonts w:asciiTheme="minorHAnsi" w:eastAsia="Times New Roman" w:hAnsiTheme="minorHAnsi" w:cstheme="minorHAnsi"/>
                <w:color w:val="FF0000"/>
                <w:sz w:val="20"/>
                <w:szCs w:val="20"/>
                <w:lang w:eastAsia="en-AU"/>
              </w:rPr>
              <w:t xml:space="preserve"> /</w:t>
            </w:r>
            <w:r w:rsidRPr="00883299">
              <w:rPr>
                <w:rFonts w:asciiTheme="minorHAnsi" w:eastAsia="Times New Roman" w:hAnsiTheme="minorHAnsi" w:cstheme="minorHAnsi"/>
                <w:color w:val="FF0000"/>
                <w:sz w:val="20"/>
                <w:szCs w:val="20"/>
                <w:lang w:eastAsia="en-AU"/>
              </w:rPr>
              <w:t xml:space="preserve"> Unlikely</w:t>
            </w:r>
          </w:p>
        </w:tc>
        <w:tc>
          <w:tcPr>
            <w:tcW w:w="1235" w:type="dxa"/>
            <w:tcBorders>
              <w:bottom w:val="single" w:sz="4" w:space="0" w:color="auto"/>
            </w:tcBorders>
            <w:shd w:val="clear" w:color="auto" w:fill="D9D9D9" w:themeFill="background1" w:themeFillShade="D9"/>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Possible</w:t>
            </w:r>
          </w:p>
        </w:tc>
        <w:tc>
          <w:tcPr>
            <w:tcW w:w="1252"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Likely / Probable</w:t>
            </w:r>
          </w:p>
        </w:tc>
        <w:tc>
          <w:tcPr>
            <w:tcW w:w="1301"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sidRPr="00883299">
              <w:rPr>
                <w:rFonts w:asciiTheme="minorHAnsi" w:eastAsia="Times New Roman" w:hAnsiTheme="minorHAnsi" w:cstheme="minorHAnsi"/>
                <w:color w:val="FF0000"/>
                <w:sz w:val="20"/>
                <w:szCs w:val="20"/>
                <w:lang w:eastAsia="en-AU"/>
              </w:rPr>
              <w:t>Confirmed / Certain</w:t>
            </w:r>
          </w:p>
        </w:tc>
        <w:tc>
          <w:tcPr>
            <w:tcW w:w="1334" w:type="dxa"/>
            <w:tcBorders>
              <w:bottom w:val="single" w:sz="4" w:space="0" w:color="auto"/>
            </w:tcBorders>
            <w:shd w:val="clear" w:color="auto" w:fill="D9D9D9" w:themeFill="background1" w:themeFillShade="D9"/>
            <w:vAlign w:val="center"/>
            <w:hideMark/>
          </w:tcPr>
          <w:p w:rsidR="00117984" w:rsidRPr="00883299" w:rsidRDefault="00117984" w:rsidP="009E4A39">
            <w:pPr>
              <w:spacing w:after="0"/>
              <w:jc w:val="right"/>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N/A /</w:t>
            </w:r>
            <w:r w:rsidRPr="00883299">
              <w:rPr>
                <w:rFonts w:asciiTheme="minorHAnsi" w:eastAsia="Times New Roman" w:hAnsiTheme="minorHAnsi" w:cstheme="minorHAnsi"/>
                <w:color w:val="FF0000"/>
                <w:sz w:val="20"/>
                <w:szCs w:val="20"/>
                <w:lang w:eastAsia="en-AU"/>
              </w:rPr>
              <w:t>Not assessable</w:t>
            </w:r>
          </w:p>
        </w:tc>
        <w:tc>
          <w:tcPr>
            <w:tcW w:w="996" w:type="dxa"/>
            <w:tcBorders>
              <w:bottom w:val="single" w:sz="4" w:space="0" w:color="auto"/>
            </w:tcBorders>
            <w:shd w:val="clear" w:color="auto" w:fill="D9D9D9" w:themeFill="background1" w:themeFillShade="D9"/>
            <w:vAlign w:val="center"/>
          </w:tcPr>
          <w:p w:rsidR="00117984" w:rsidRPr="00883299" w:rsidRDefault="00117984" w:rsidP="009E4A39">
            <w:pPr>
              <w:spacing w:after="0"/>
              <w:jc w:val="right"/>
              <w:rPr>
                <w:rFonts w:asciiTheme="minorHAnsi" w:eastAsia="Times New Roman" w:hAnsiTheme="minorHAnsi" w:cstheme="minorHAnsi"/>
                <w:b/>
                <w:color w:val="FF0000"/>
                <w:sz w:val="20"/>
                <w:szCs w:val="20"/>
                <w:lang w:eastAsia="en-AU"/>
              </w:rPr>
            </w:pP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4E5914" w:rsidRDefault="00117984" w:rsidP="00773683">
            <w:pPr>
              <w:spacing w:after="0"/>
              <w:rPr>
                <w:rFonts w:asciiTheme="minorHAnsi" w:eastAsia="Times New Roman" w:hAnsiTheme="minorHAnsi" w:cstheme="minorHAnsi"/>
                <w:sz w:val="20"/>
                <w:szCs w:val="20"/>
                <w:lang w:eastAsia="en-AU"/>
              </w:rPr>
            </w:pPr>
            <w:r w:rsidRPr="004E5914">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sidRPr="004E5914">
              <w:rPr>
                <w:rFonts w:asciiTheme="minorHAnsi" w:eastAsia="Times New Roman" w:hAnsiTheme="minorHAnsi" w:cstheme="minorHAnsi"/>
                <w:sz w:val="20"/>
                <w:szCs w:val="20"/>
                <w:lang w:eastAsia="en-AU"/>
              </w:rPr>
              <w:t xml:space="preserve">threatening </w:t>
            </w:r>
          </w:p>
        </w:tc>
        <w:tc>
          <w:tcPr>
            <w:tcW w:w="1069" w:type="dxa"/>
            <w:gridSpan w:val="2"/>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1334"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9</w:t>
            </w:r>
          </w:p>
        </w:tc>
      </w:tr>
      <w:tr w:rsidR="00117984" w:rsidRPr="00A62DAE" w:rsidTr="009E4A39">
        <w:trPr>
          <w:trHeight w:val="65"/>
        </w:trPr>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Severe morbidity</w:t>
            </w:r>
          </w:p>
        </w:tc>
        <w:tc>
          <w:tcPr>
            <w:tcW w:w="1069" w:type="dxa"/>
            <w:gridSpan w:val="2"/>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3</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1</w:t>
            </w:r>
          </w:p>
        </w:tc>
        <w:tc>
          <w:tcPr>
            <w:tcW w:w="1334"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Minor morbidity</w:t>
            </w:r>
          </w:p>
        </w:tc>
        <w:tc>
          <w:tcPr>
            <w:tcW w:w="1069" w:type="dxa"/>
            <w:gridSpan w:val="2"/>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4</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2</w:t>
            </w:r>
          </w:p>
        </w:tc>
        <w:tc>
          <w:tcPr>
            <w:tcW w:w="1334"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color w:val="000000"/>
                <w:sz w:val="20"/>
                <w:szCs w:val="20"/>
              </w:rPr>
            </w:pPr>
            <w:r w:rsidRPr="00AD6CD3">
              <w:rPr>
                <w:rFonts w:eastAsiaTheme="minorHAnsi"/>
                <w:color w:val="000000"/>
                <w:sz w:val="20"/>
                <w:szCs w:val="20"/>
              </w:rPr>
              <w:t>6</w:t>
            </w: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 morbidity</w:t>
            </w:r>
          </w:p>
        </w:tc>
        <w:tc>
          <w:tcPr>
            <w:tcW w:w="1069" w:type="dxa"/>
            <w:gridSpan w:val="2"/>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A62DAE" w:rsidTr="009E4A39">
        <w:tc>
          <w:tcPr>
            <w:tcW w:w="2169" w:type="dxa"/>
            <w:tcBorders>
              <w:top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Outcome not available</w:t>
            </w:r>
          </w:p>
        </w:tc>
        <w:tc>
          <w:tcPr>
            <w:tcW w:w="1069" w:type="dxa"/>
            <w:gridSpan w:val="2"/>
            <w:tcBorders>
              <w:top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35" w:type="dxa"/>
            <w:tcBorders>
              <w:top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252" w:type="dxa"/>
            <w:tcBorders>
              <w:top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01" w:type="dxa"/>
            <w:tcBorders>
              <w:top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1334" w:type="dxa"/>
            <w:tcBorders>
              <w:top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996" w:type="dxa"/>
            <w:tcBorders>
              <w:top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A62DAE" w:rsidTr="009E4A39">
        <w:tc>
          <w:tcPr>
            <w:tcW w:w="2169"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Total</w:t>
            </w:r>
          </w:p>
        </w:tc>
        <w:tc>
          <w:tcPr>
            <w:tcW w:w="1069" w:type="dxa"/>
            <w:gridSpan w:val="2"/>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b/>
                <w:bCs/>
                <w:color w:val="000000"/>
                <w:sz w:val="20"/>
                <w:szCs w:val="20"/>
              </w:rPr>
            </w:pPr>
            <w:r>
              <w:rPr>
                <w:rFonts w:eastAsiaTheme="minorHAnsi"/>
                <w:b/>
                <w:bCs/>
                <w:color w:val="000000"/>
                <w:sz w:val="20"/>
                <w:szCs w:val="20"/>
              </w:rPr>
              <w:t>0</w:t>
            </w:r>
          </w:p>
        </w:tc>
        <w:tc>
          <w:tcPr>
            <w:tcW w:w="1235"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3</w:t>
            </w:r>
          </w:p>
        </w:tc>
        <w:tc>
          <w:tcPr>
            <w:tcW w:w="1252"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11</w:t>
            </w:r>
          </w:p>
        </w:tc>
        <w:tc>
          <w:tcPr>
            <w:tcW w:w="1301" w:type="dxa"/>
            <w:tcBorders>
              <w:top w:val="single" w:sz="4" w:space="0" w:color="auto"/>
              <w:bottom w:val="single" w:sz="4" w:space="0" w:color="auto"/>
            </w:tcBorders>
            <w:shd w:val="clear" w:color="auto" w:fill="auto"/>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5</w:t>
            </w:r>
          </w:p>
        </w:tc>
        <w:tc>
          <w:tcPr>
            <w:tcW w:w="1334" w:type="dxa"/>
            <w:tcBorders>
              <w:top w:val="single" w:sz="4" w:space="0" w:color="auto"/>
              <w:bottom w:val="single" w:sz="4" w:space="0" w:color="auto"/>
            </w:tcBorders>
            <w:shd w:val="clear" w:color="auto" w:fill="auto"/>
          </w:tcPr>
          <w:p w:rsidR="00117984" w:rsidRPr="00AD6CD3" w:rsidRDefault="00A44126" w:rsidP="009E4A39">
            <w:pPr>
              <w:autoSpaceDE w:val="0"/>
              <w:autoSpaceDN w:val="0"/>
              <w:adjustRightInd w:val="0"/>
              <w:spacing w:after="0"/>
              <w:jc w:val="right"/>
              <w:rPr>
                <w:rFonts w:eastAsiaTheme="minorHAnsi"/>
                <w:b/>
                <w:bCs/>
                <w:color w:val="000000"/>
                <w:sz w:val="20"/>
                <w:szCs w:val="20"/>
              </w:rPr>
            </w:pPr>
            <w:r>
              <w:rPr>
                <w:rFonts w:eastAsiaTheme="minorHAnsi"/>
                <w:b/>
                <w:bCs/>
                <w:color w:val="000000"/>
                <w:sz w:val="20"/>
                <w:szCs w:val="20"/>
              </w:rPr>
              <w:t>0</w:t>
            </w:r>
          </w:p>
        </w:tc>
        <w:tc>
          <w:tcPr>
            <w:tcW w:w="996" w:type="dxa"/>
            <w:tcBorders>
              <w:top w:val="single" w:sz="4" w:space="0" w:color="auto"/>
              <w:bottom w:val="single" w:sz="4" w:space="0" w:color="auto"/>
            </w:tcBorders>
          </w:tcPr>
          <w:p w:rsidR="00117984" w:rsidRPr="00AD6CD3" w:rsidRDefault="00117984" w:rsidP="009E4A39">
            <w:pPr>
              <w:autoSpaceDE w:val="0"/>
              <w:autoSpaceDN w:val="0"/>
              <w:adjustRightInd w:val="0"/>
              <w:spacing w:after="0"/>
              <w:jc w:val="right"/>
              <w:rPr>
                <w:rFonts w:eastAsiaTheme="minorHAnsi"/>
                <w:b/>
                <w:bCs/>
                <w:color w:val="000000"/>
                <w:sz w:val="20"/>
                <w:szCs w:val="20"/>
              </w:rPr>
            </w:pPr>
            <w:r w:rsidRPr="00AD6CD3">
              <w:rPr>
                <w:rFonts w:eastAsiaTheme="minorHAnsi"/>
                <w:b/>
                <w:bCs/>
                <w:color w:val="000000"/>
                <w:sz w:val="20"/>
                <w:szCs w:val="20"/>
              </w:rPr>
              <w:t>19</w:t>
            </w:r>
          </w:p>
        </w:tc>
      </w:tr>
    </w:tbl>
    <w:p w:rsidR="00844CBE" w:rsidRDefault="00844CBE" w:rsidP="00844CBE">
      <w:pPr>
        <w:spacing w:before="40" w:after="40" w:line="180" w:lineRule="atLeast"/>
        <w:rPr>
          <w:rFonts w:asciiTheme="minorHAnsi" w:eastAsia="Times New Roman" w:hAnsiTheme="minorHAnsi" w:cstheme="minorHAnsi"/>
          <w:sz w:val="18"/>
          <w:szCs w:val="18"/>
          <w:lang w:eastAsia="en-AU"/>
        </w:rPr>
      </w:pPr>
      <w:r>
        <w:rPr>
          <w:rFonts w:asciiTheme="minorHAnsi" w:eastAsia="Times New Roman" w:hAnsiTheme="minorHAnsi" w:cstheme="minorHAnsi"/>
          <w:sz w:val="18"/>
          <w:szCs w:val="18"/>
          <w:lang w:eastAsia="en-AU"/>
        </w:rPr>
        <w:t xml:space="preserve">Note: </w:t>
      </w: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452D74" w:rsidRDefault="00452D74" w:rsidP="00FD07E5">
      <w:r>
        <w:br w:type="page"/>
      </w:r>
    </w:p>
    <w:p w:rsidR="000E55F4" w:rsidRDefault="000E55F4" w:rsidP="000E55F4">
      <w:pPr>
        <w:pStyle w:val="Heading2"/>
      </w:pPr>
      <w:bookmarkStart w:id="97" w:name="_Toc263840022"/>
      <w:bookmarkStart w:id="98" w:name="_Toc420837253"/>
      <w:bookmarkStart w:id="99" w:name="_Toc459366172"/>
      <w:r w:rsidRPr="00252B9F">
        <w:lastRenderedPageBreak/>
        <w:t>Delayed haemolytic transfusion reaction (DHTR)</w:t>
      </w:r>
      <w:bookmarkEnd w:id="97"/>
      <w:bookmarkEnd w:id="98"/>
      <w:bookmarkEnd w:id="99"/>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0E55F4" w:rsidRPr="00E55646" w:rsidTr="00F46D5E">
        <w:tc>
          <w:tcPr>
            <w:tcW w:w="3208" w:type="dxa"/>
            <w:gridSpan w:val="2"/>
            <w:shd w:val="clear" w:color="auto" w:fill="FF0000"/>
            <w:hideMark/>
          </w:tcPr>
          <w:p w:rsidR="000E55F4" w:rsidRPr="00E55646" w:rsidRDefault="000E55F4" w:rsidP="00F46D5E">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(n=12</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0E55F4" w:rsidRPr="00E55646" w:rsidRDefault="000E55F4" w:rsidP="00F46D5E">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8" w:type="dxa"/>
            <w:gridSpan w:val="3"/>
            <w:tcBorders>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8" w:type="dxa"/>
            <w:gridSpan w:val="3"/>
            <w:tcBorders>
              <w:top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shd w:val="clear" w:color="auto" w:fill="BFBFBF" w:themeFill="background1" w:themeFillShade="BF"/>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0E55F4" w:rsidRDefault="001E2A43"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1C2470" w:rsidTr="00F46D5E">
        <w:tc>
          <w:tcPr>
            <w:tcW w:w="2658" w:type="dxa"/>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c>
          <w:tcPr>
            <w:tcW w:w="2372" w:type="dxa"/>
            <w:gridSpan w:val="3"/>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8" w:type="dxa"/>
            <w:gridSpan w:val="3"/>
            <w:tcBorders>
              <w:top w:val="single" w:sz="4" w:space="0" w:color="auto"/>
            </w:tcBorders>
            <w:shd w:val="clear" w:color="auto" w:fill="auto"/>
          </w:tcPr>
          <w:p w:rsidR="000E55F4" w:rsidRPr="001C2470"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Pr="001C2470"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Life-threatening</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11</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8</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799"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bl>
    <w:p w:rsidR="000E55F4" w:rsidRPr="008C3A7A" w:rsidRDefault="000E55F4" w:rsidP="000E55F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0E55F4" w:rsidRDefault="000E55F4" w:rsidP="0096249F">
      <w:pPr>
        <w:numPr>
          <w:ilvl w:val="0"/>
          <w:numId w:val="36"/>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0E55F4" w:rsidRPr="006858FB" w:rsidRDefault="000E55F4" w:rsidP="0096249F">
      <w:pPr>
        <w:numPr>
          <w:ilvl w:val="0"/>
          <w:numId w:val="36"/>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0E55F4" w:rsidRDefault="000E55F4" w:rsidP="0096249F">
      <w:pPr>
        <w:numPr>
          <w:ilvl w:val="0"/>
          <w:numId w:val="36"/>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0E55F4" w:rsidRDefault="000E55F4" w:rsidP="0096249F">
      <w:pPr>
        <w:numPr>
          <w:ilvl w:val="0"/>
          <w:numId w:val="36"/>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Pr="009E4A39" w:rsidRDefault="000E55F4" w:rsidP="000E55F4">
      <w:pPr>
        <w:spacing w:before="200" w:line="180" w:lineRule="atLeast"/>
        <w:rPr>
          <w:rFonts w:asciiTheme="minorHAnsi" w:hAnsiTheme="minorHAnsi" w:cstheme="minorHAnsi"/>
          <w:lang w:eastAsia="en-AU"/>
        </w:rPr>
      </w:pPr>
      <w:r w:rsidRPr="009E4A39">
        <w:rPr>
          <w:rFonts w:asciiTheme="minorHAnsi" w:hAnsiTheme="minorHAnsi" w:cstheme="minorHAnsi"/>
          <w:lang w:eastAsia="en-AU"/>
        </w:rPr>
        <w:t>In contrast to AHTR, delayed haemolytic transfusion reactions (DHTR) are triggered by the production or re</w:t>
      </w:r>
      <w:r w:rsidRPr="009E4A39">
        <w:rPr>
          <w:rFonts w:asciiTheme="minorHAnsi" w:hAnsiTheme="minorHAnsi" w:cstheme="minorHAnsi"/>
          <w:lang w:eastAsia="en-AU"/>
        </w:rPr>
        <w:noBreakHyphen/>
        <w:t>emergence of antibodies following transfusion and therefore are not generally detectable at the time of pre</w:t>
      </w:r>
      <w:r w:rsidRPr="009E4A39">
        <w:rPr>
          <w:rFonts w:asciiTheme="minorHAnsi" w:hAnsiTheme="minorHAnsi" w:cstheme="minorHAnsi"/>
          <w:lang w:eastAsia="en-AU"/>
        </w:rPr>
        <w:noBreakHyphen/>
        <w:t xml:space="preserve">transfusion compatibility testing. In 2013–14, there were 12 reports of DHTR to the </w:t>
      </w:r>
      <w:r>
        <w:rPr>
          <w:rFonts w:asciiTheme="minorHAnsi" w:hAnsiTheme="minorHAnsi" w:cstheme="minorHAnsi"/>
          <w:lang w:eastAsia="en-AU"/>
        </w:rPr>
        <w:t>n</w:t>
      </w:r>
      <w:r w:rsidRPr="009E4A39">
        <w:rPr>
          <w:rFonts w:asciiTheme="minorHAnsi" w:hAnsiTheme="minorHAnsi" w:cstheme="minorHAnsi"/>
          <w:lang w:eastAsia="en-AU"/>
        </w:rPr>
        <w:t xml:space="preserve">ational </w:t>
      </w:r>
      <w:proofErr w:type="spellStart"/>
      <w:r>
        <w:rPr>
          <w:rFonts w:asciiTheme="minorHAnsi" w:hAnsiTheme="minorHAnsi" w:cstheme="minorHAnsi"/>
          <w:lang w:eastAsia="en-AU"/>
        </w:rPr>
        <w:t>h</w:t>
      </w:r>
      <w:r w:rsidRPr="009E4A39">
        <w:rPr>
          <w:rFonts w:asciiTheme="minorHAnsi" w:hAnsiTheme="minorHAnsi" w:cstheme="minorHAnsi"/>
          <w:lang w:eastAsia="en-AU"/>
        </w:rPr>
        <w:t>aemovigilance</w:t>
      </w:r>
      <w:proofErr w:type="spellEnd"/>
      <w:r w:rsidRPr="009E4A39">
        <w:rPr>
          <w:rFonts w:asciiTheme="minorHAnsi" w:hAnsiTheme="minorHAnsi" w:cstheme="minorHAnsi"/>
          <w:lang w:eastAsia="en-AU"/>
        </w:rPr>
        <w:t xml:space="preserve"> </w:t>
      </w:r>
      <w:r>
        <w:rPr>
          <w:rFonts w:asciiTheme="minorHAnsi" w:hAnsiTheme="minorHAnsi" w:cstheme="minorHAnsi"/>
          <w:lang w:eastAsia="en-AU"/>
        </w:rPr>
        <w:t>p</w:t>
      </w:r>
      <w:r w:rsidRPr="009E4A39">
        <w:rPr>
          <w:rFonts w:asciiTheme="minorHAnsi" w:hAnsiTheme="minorHAnsi" w:cstheme="minorHAnsi"/>
          <w:lang w:eastAsia="en-AU"/>
        </w:rPr>
        <w:t>rogram, accounting for 1.9% of all reports (617) for this period.</w:t>
      </w:r>
      <w:r>
        <w:rPr>
          <w:rFonts w:asciiTheme="minorHAnsi" w:hAnsiTheme="minorHAnsi" w:cstheme="minorHAnsi"/>
          <w:lang w:eastAsia="en-AU"/>
        </w:rPr>
        <w:t xml:space="preserve"> The majority of DHTR cases were r</w:t>
      </w:r>
      <w:r w:rsidR="00FD07E5">
        <w:rPr>
          <w:rFonts w:asciiTheme="minorHAnsi" w:hAnsiTheme="minorHAnsi" w:cstheme="minorHAnsi"/>
          <w:lang w:eastAsia="en-AU"/>
        </w:rPr>
        <w:t>elated to red cell transfusion.</w:t>
      </w:r>
    </w:p>
    <w:p w:rsidR="000E55F4" w:rsidRDefault="000E55F4" w:rsidP="000E55F4">
      <w:bookmarkStart w:id="100" w:name="_Toc263840023"/>
      <w:bookmarkStart w:id="101" w:name="_Toc420837254"/>
      <w:r>
        <w:br w:type="page"/>
      </w:r>
    </w:p>
    <w:p w:rsidR="00452D74" w:rsidRDefault="00252B9F" w:rsidP="002E310A">
      <w:pPr>
        <w:pStyle w:val="Heading2"/>
      </w:pPr>
      <w:bookmarkStart w:id="102" w:name="_Toc459366173"/>
      <w:bookmarkEnd w:id="100"/>
      <w:bookmarkEnd w:id="101"/>
      <w:r w:rsidRPr="00252B9F">
        <w:lastRenderedPageBreak/>
        <w:t>Acute haemolytic transfusion reaction (other than ABO incompatibility)</w:t>
      </w:r>
      <w:bookmarkEnd w:id="93"/>
      <w:bookmarkEnd w:id="94"/>
      <w:r w:rsidR="00E42ED1">
        <w:t xml:space="preserve"> (AHTR)</w:t>
      </w:r>
      <w:bookmarkEnd w:id="102"/>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117984" w:rsidRPr="00E55646" w:rsidTr="009E4A39">
        <w:tc>
          <w:tcPr>
            <w:tcW w:w="3208" w:type="dxa"/>
            <w:gridSpan w:val="2"/>
            <w:shd w:val="clear" w:color="auto" w:fill="FF0000"/>
            <w:hideMark/>
          </w:tcPr>
          <w:p w:rsidR="00117984" w:rsidRPr="00E55646" w:rsidRDefault="00117984" w:rsidP="009E4A39">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(n=8</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117984" w:rsidRPr="00E55646" w:rsidRDefault="00117984" w:rsidP="009E4A39">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hideMark/>
          </w:tcPr>
          <w:p w:rsidR="00117984" w:rsidRPr="00E55646"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shd w:val="clear" w:color="auto" w:fill="BFBFBF" w:themeFill="background1" w:themeFillShade="BF"/>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8" w:type="dxa"/>
            <w:gridSpan w:val="3"/>
            <w:tcBorders>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5</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tcPr>
          <w:p w:rsidR="00117984" w:rsidRPr="00E55646" w:rsidRDefault="00605288" w:rsidP="009E4A39">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1C2470" w:rsidTr="009E4A39">
        <w:tc>
          <w:tcPr>
            <w:tcW w:w="2658" w:type="dxa"/>
            <w:tcBorders>
              <w:top w:val="single" w:sz="4" w:space="0" w:color="auto"/>
            </w:tcBorders>
            <w:shd w:val="clear" w:color="auto" w:fill="auto"/>
            <w:vAlign w:val="bottom"/>
          </w:tcPr>
          <w:p w:rsidR="00117984" w:rsidRPr="001C2470" w:rsidRDefault="00117984" w:rsidP="009E4A39">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tcPr>
          <w:p w:rsidR="00117984" w:rsidRPr="001C2470"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tcBorders>
            <w:shd w:val="clear" w:color="auto" w:fill="auto"/>
          </w:tcPr>
          <w:p w:rsidR="00117984" w:rsidRPr="001C2470"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Pr="001C2470"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773683">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threatening</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7</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117984" w:rsidRPr="00E55646" w:rsidRDefault="00946083"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117984" w:rsidRDefault="00946083"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799"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117984" w:rsidRPr="00E55646" w:rsidRDefault="00946083"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bl>
    <w:p w:rsidR="00117984" w:rsidRPr="008C3A7A" w:rsidRDefault="00117984" w:rsidP="0011798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605288" w:rsidRDefault="00605288" w:rsidP="0096249F">
      <w:pPr>
        <w:numPr>
          <w:ilvl w:val="0"/>
          <w:numId w:val="35"/>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605288" w:rsidRPr="006858FB" w:rsidRDefault="00605288" w:rsidP="0096249F">
      <w:pPr>
        <w:numPr>
          <w:ilvl w:val="0"/>
          <w:numId w:val="35"/>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605288" w:rsidRDefault="00605288" w:rsidP="0096249F">
      <w:pPr>
        <w:numPr>
          <w:ilvl w:val="0"/>
          <w:numId w:val="35"/>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 xml:space="preserve">ACT </w:t>
      </w:r>
      <w:r w:rsidR="007D6B6B">
        <w:rPr>
          <w:rFonts w:asciiTheme="minorHAnsi" w:eastAsiaTheme="minorEastAsia" w:hAnsiTheme="minorHAnsi" w:cstheme="minorHAnsi"/>
          <w:sz w:val="18"/>
          <w:szCs w:val="18"/>
          <w:lang w:eastAsia="en-AU"/>
        </w:rPr>
        <w:t xml:space="preserve">reported zero </w:t>
      </w:r>
      <w:r w:rsidR="004417CB">
        <w:rPr>
          <w:rFonts w:asciiTheme="minorHAnsi" w:eastAsiaTheme="minorEastAsia" w:hAnsiTheme="minorHAnsi" w:cstheme="minorHAnsi"/>
          <w:sz w:val="18"/>
          <w:szCs w:val="18"/>
          <w:lang w:eastAsia="en-AU"/>
        </w:rPr>
        <w:t xml:space="preserve">adverse </w:t>
      </w:r>
      <w:r w:rsidR="007D6B6B">
        <w:rPr>
          <w:rFonts w:asciiTheme="minorHAnsi" w:eastAsiaTheme="minorEastAsia" w:hAnsiTheme="minorHAnsi" w:cstheme="minorHAnsi"/>
          <w:sz w:val="18"/>
          <w:szCs w:val="18"/>
          <w:lang w:eastAsia="en-AU"/>
        </w:rPr>
        <w:t>event</w:t>
      </w:r>
      <w:r w:rsidR="004417CB">
        <w:rPr>
          <w:rFonts w:asciiTheme="minorHAnsi" w:eastAsiaTheme="minorEastAsia" w:hAnsiTheme="minorHAnsi" w:cstheme="minorHAnsi"/>
          <w:sz w:val="18"/>
          <w:szCs w:val="18"/>
          <w:lang w:eastAsia="en-AU"/>
        </w:rPr>
        <w:t>s</w:t>
      </w:r>
    </w:p>
    <w:p w:rsidR="00605288" w:rsidRDefault="00605288" w:rsidP="0096249F">
      <w:pPr>
        <w:numPr>
          <w:ilvl w:val="0"/>
          <w:numId w:val="35"/>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117984" w:rsidRPr="008C3A7A" w:rsidRDefault="00117984" w:rsidP="00117984">
      <w:pPr>
        <w:spacing w:before="40" w:after="40" w:line="180" w:lineRule="atLeast"/>
        <w:ind w:left="360"/>
        <w:contextualSpacing/>
        <w:rPr>
          <w:rFonts w:asciiTheme="minorHAnsi" w:eastAsiaTheme="minorEastAsia" w:hAnsiTheme="minorHAnsi" w:cstheme="minorHAnsi"/>
          <w:sz w:val="18"/>
          <w:szCs w:val="18"/>
          <w:lang w:eastAsia="en-AU"/>
        </w:rPr>
      </w:pPr>
    </w:p>
    <w:p w:rsidR="00117984" w:rsidRPr="00187BF1" w:rsidRDefault="00117984">
      <w:pPr>
        <w:rPr>
          <w:rFonts w:asciiTheme="minorHAnsi" w:hAnsiTheme="minorHAnsi" w:cstheme="minorHAnsi"/>
          <w:lang w:eastAsia="en-AU"/>
        </w:rPr>
      </w:pPr>
      <w:r w:rsidRPr="00187BF1">
        <w:rPr>
          <w:rFonts w:asciiTheme="minorHAnsi" w:hAnsiTheme="minorHAnsi" w:cstheme="minorHAnsi"/>
          <w:lang w:eastAsia="en-AU"/>
        </w:rPr>
        <w:t>AHTR</w:t>
      </w:r>
      <w:r w:rsidR="00E42ED1" w:rsidRPr="00187BF1" w:rsidDel="00E42ED1">
        <w:rPr>
          <w:rFonts w:asciiTheme="minorHAnsi" w:hAnsiTheme="minorHAnsi" w:cstheme="minorHAnsi"/>
          <w:lang w:eastAsia="en-AU"/>
        </w:rPr>
        <w:t xml:space="preserve"> </w:t>
      </w:r>
      <w:r w:rsidRPr="00187BF1">
        <w:rPr>
          <w:rFonts w:asciiTheme="minorHAnsi" w:hAnsiTheme="minorHAnsi" w:cstheme="minorHAnsi"/>
          <w:lang w:eastAsia="en-AU"/>
        </w:rPr>
        <w:t>occur</w:t>
      </w:r>
      <w:r w:rsidR="008E285F">
        <w:rPr>
          <w:rFonts w:asciiTheme="minorHAnsi" w:hAnsiTheme="minorHAnsi" w:cstheme="minorHAnsi"/>
          <w:lang w:eastAsia="en-AU"/>
        </w:rPr>
        <w:t>s</w:t>
      </w:r>
      <w:r w:rsidRPr="00187BF1">
        <w:rPr>
          <w:rFonts w:asciiTheme="minorHAnsi" w:hAnsiTheme="minorHAnsi" w:cstheme="minorHAnsi"/>
          <w:lang w:eastAsia="en-AU"/>
        </w:rPr>
        <w:t xml:space="preserve"> by definition within 24 hours of transfusion. </w:t>
      </w:r>
      <w:r w:rsidR="008E285F">
        <w:rPr>
          <w:rFonts w:asciiTheme="minorHAnsi" w:hAnsiTheme="minorHAnsi" w:cstheme="minorHAnsi"/>
          <w:lang w:eastAsia="en-AU"/>
        </w:rPr>
        <w:t xml:space="preserve">AHTR was defined as IHTR (intermediate haemolytic transfusion reaction) in the National </w:t>
      </w:r>
      <w:proofErr w:type="spellStart"/>
      <w:r w:rsidR="008E285F">
        <w:rPr>
          <w:rFonts w:asciiTheme="minorHAnsi" w:hAnsiTheme="minorHAnsi" w:cstheme="minorHAnsi"/>
          <w:lang w:eastAsia="en-AU"/>
        </w:rPr>
        <w:t>Haemovigilance</w:t>
      </w:r>
      <w:proofErr w:type="spellEnd"/>
      <w:r w:rsidR="008E285F">
        <w:rPr>
          <w:rFonts w:asciiTheme="minorHAnsi" w:hAnsiTheme="minorHAnsi" w:cstheme="minorHAnsi"/>
          <w:lang w:eastAsia="en-AU"/>
        </w:rPr>
        <w:t xml:space="preserve"> Data Dictionary 2010. </w:t>
      </w:r>
      <w:r w:rsidRPr="00187BF1">
        <w:rPr>
          <w:rFonts w:asciiTheme="minorHAnsi" w:hAnsiTheme="minorHAnsi" w:cstheme="minorHAnsi"/>
          <w:lang w:eastAsia="en-AU"/>
        </w:rPr>
        <w:t>Diagnosis of an AHTR can be difficult, as reactions are often seen in patients with concurrent illnesses that may have o</w:t>
      </w:r>
      <w:r>
        <w:rPr>
          <w:rFonts w:asciiTheme="minorHAnsi" w:hAnsiTheme="minorHAnsi" w:cstheme="minorHAnsi"/>
          <w:lang w:eastAsia="en-AU"/>
        </w:rPr>
        <w:t>ther causes for their symptoms.</w:t>
      </w:r>
    </w:p>
    <w:p w:rsidR="00946083" w:rsidRPr="00006FBE" w:rsidRDefault="00117984">
      <w:pPr>
        <w:rPr>
          <w:rFonts w:asciiTheme="minorHAnsi" w:hAnsiTheme="minorHAnsi" w:cstheme="minorHAnsi"/>
          <w:lang w:eastAsia="en-AU"/>
        </w:rPr>
      </w:pPr>
      <w:r w:rsidRPr="00006FBE">
        <w:rPr>
          <w:rFonts w:asciiTheme="minorHAnsi" w:hAnsiTheme="minorHAnsi" w:cstheme="minorHAnsi"/>
          <w:lang w:eastAsia="en-AU"/>
        </w:rPr>
        <w:t>Adverse events attributed to transfusion of ABO incompatible components can cause AHTRs, but are categorised as IBCT</w:t>
      </w:r>
      <w:r w:rsidR="00A5151B">
        <w:rPr>
          <w:rFonts w:asciiTheme="minorHAnsi" w:hAnsiTheme="minorHAnsi" w:cstheme="minorHAnsi"/>
          <w:lang w:eastAsia="en-AU"/>
        </w:rPr>
        <w:t xml:space="preserve"> </w:t>
      </w:r>
      <w:r w:rsidRPr="00006FBE">
        <w:rPr>
          <w:rFonts w:asciiTheme="minorHAnsi" w:hAnsiTheme="minorHAnsi" w:cstheme="minorHAnsi"/>
          <w:lang w:eastAsia="en-AU"/>
        </w:rPr>
        <w:t xml:space="preserve">as that is the key error. Transfusion of ABO incompatible components to a patient is considered a ‘sentinel event’ and is subject to other reporting requirements in addition to the </w:t>
      </w:r>
      <w:r w:rsidR="00773683">
        <w:rPr>
          <w:rFonts w:asciiTheme="minorHAnsi" w:hAnsiTheme="minorHAnsi" w:cstheme="minorHAnsi"/>
          <w:lang w:eastAsia="en-AU"/>
        </w:rPr>
        <w:t>n</w:t>
      </w:r>
      <w:r w:rsidRPr="00006FBE">
        <w:rPr>
          <w:rFonts w:asciiTheme="minorHAnsi" w:hAnsiTheme="minorHAnsi" w:cstheme="minorHAnsi"/>
          <w:lang w:eastAsia="en-AU"/>
        </w:rPr>
        <w:t xml:space="preserve">ational </w:t>
      </w:r>
      <w:proofErr w:type="spellStart"/>
      <w:r w:rsidR="00773683">
        <w:rPr>
          <w:rFonts w:asciiTheme="minorHAnsi" w:hAnsiTheme="minorHAnsi" w:cstheme="minorHAnsi"/>
          <w:lang w:eastAsia="en-AU"/>
        </w:rPr>
        <w:t>h</w:t>
      </w:r>
      <w:r w:rsidRPr="00006FBE">
        <w:rPr>
          <w:rFonts w:asciiTheme="minorHAnsi" w:hAnsiTheme="minorHAnsi" w:cstheme="minorHAnsi"/>
          <w:lang w:eastAsia="en-AU"/>
        </w:rPr>
        <w:t>aemovigilance</w:t>
      </w:r>
      <w:proofErr w:type="spellEnd"/>
      <w:r w:rsidRPr="00006FBE">
        <w:rPr>
          <w:rFonts w:asciiTheme="minorHAnsi" w:hAnsiTheme="minorHAnsi" w:cstheme="minorHAnsi"/>
          <w:lang w:eastAsia="en-AU"/>
        </w:rPr>
        <w:t xml:space="preserve"> </w:t>
      </w:r>
      <w:r w:rsidR="00773683">
        <w:rPr>
          <w:rFonts w:asciiTheme="minorHAnsi" w:hAnsiTheme="minorHAnsi" w:cstheme="minorHAnsi"/>
          <w:lang w:eastAsia="en-AU"/>
        </w:rPr>
        <w:t>p</w:t>
      </w:r>
      <w:r w:rsidRPr="00006FBE">
        <w:rPr>
          <w:rFonts w:asciiTheme="minorHAnsi" w:hAnsiTheme="minorHAnsi" w:cstheme="minorHAnsi"/>
          <w:lang w:eastAsia="en-AU"/>
        </w:rPr>
        <w:t>rogram.</w:t>
      </w:r>
      <w:r w:rsidR="00946083" w:rsidRPr="00006FBE">
        <w:rPr>
          <w:rFonts w:asciiTheme="minorHAnsi" w:hAnsiTheme="minorHAnsi" w:cstheme="minorHAnsi"/>
          <w:lang w:eastAsia="en-AU"/>
        </w:rPr>
        <w:t xml:space="preserve"> The </w:t>
      </w:r>
      <w:r w:rsidR="00773683">
        <w:rPr>
          <w:rFonts w:asciiTheme="minorHAnsi" w:hAnsiTheme="minorHAnsi" w:cstheme="minorHAnsi"/>
          <w:lang w:eastAsia="en-AU"/>
        </w:rPr>
        <w:t>n</w:t>
      </w:r>
      <w:r w:rsidR="00946083" w:rsidRPr="00006FBE">
        <w:rPr>
          <w:rFonts w:asciiTheme="minorHAnsi" w:hAnsiTheme="minorHAnsi" w:cstheme="minorHAnsi"/>
          <w:lang w:eastAsia="en-AU"/>
        </w:rPr>
        <w:t xml:space="preserve">ational </w:t>
      </w:r>
      <w:proofErr w:type="spellStart"/>
      <w:r w:rsidR="00773683">
        <w:rPr>
          <w:rFonts w:asciiTheme="minorHAnsi" w:hAnsiTheme="minorHAnsi" w:cstheme="minorHAnsi"/>
          <w:lang w:eastAsia="en-AU"/>
        </w:rPr>
        <w:t>h</w:t>
      </w:r>
      <w:r w:rsidR="00946083" w:rsidRPr="00006FBE">
        <w:rPr>
          <w:rFonts w:asciiTheme="minorHAnsi" w:hAnsiTheme="minorHAnsi" w:cstheme="minorHAnsi"/>
          <w:lang w:eastAsia="en-AU"/>
        </w:rPr>
        <w:t>aemovigilance</w:t>
      </w:r>
      <w:proofErr w:type="spellEnd"/>
      <w:r w:rsidR="00946083" w:rsidRPr="00006FBE">
        <w:rPr>
          <w:rFonts w:asciiTheme="minorHAnsi" w:hAnsiTheme="minorHAnsi" w:cstheme="minorHAnsi"/>
          <w:lang w:eastAsia="en-AU"/>
        </w:rPr>
        <w:t xml:space="preserve"> </w:t>
      </w:r>
      <w:r w:rsidR="00773683">
        <w:rPr>
          <w:rFonts w:asciiTheme="minorHAnsi" w:hAnsiTheme="minorHAnsi" w:cstheme="minorHAnsi"/>
          <w:lang w:eastAsia="en-AU"/>
        </w:rPr>
        <w:t>p</w:t>
      </w:r>
      <w:r w:rsidR="00946083" w:rsidRPr="00006FBE">
        <w:rPr>
          <w:rFonts w:asciiTheme="minorHAnsi" w:hAnsiTheme="minorHAnsi" w:cstheme="minorHAnsi"/>
          <w:lang w:eastAsia="en-AU"/>
        </w:rPr>
        <w:t>rogram has not gathered data on the particular red cell antibodies associated with haemolytic transfusion reactions.</w:t>
      </w:r>
    </w:p>
    <w:p w:rsidR="00117984" w:rsidRPr="009E4A39" w:rsidRDefault="00117984" w:rsidP="00EC4AF3">
      <w:pPr>
        <w:spacing w:after="0"/>
        <w:rPr>
          <w:rFonts w:asciiTheme="minorHAnsi" w:hAnsiTheme="minorHAnsi" w:cstheme="minorHAnsi"/>
          <w:lang w:eastAsia="en-AU"/>
        </w:rPr>
      </w:pPr>
      <w:r w:rsidRPr="009E4A39">
        <w:rPr>
          <w:rFonts w:asciiTheme="minorHAnsi" w:hAnsiTheme="minorHAnsi" w:cstheme="minorHAnsi"/>
          <w:lang w:eastAsia="en-AU"/>
        </w:rPr>
        <w:t>In 2013–14:</w:t>
      </w:r>
    </w:p>
    <w:p w:rsidR="00117984" w:rsidRPr="009E4A39" w:rsidRDefault="00117984" w:rsidP="0096249F">
      <w:pPr>
        <w:pStyle w:val="ListParagraph"/>
        <w:numPr>
          <w:ilvl w:val="0"/>
          <w:numId w:val="19"/>
        </w:numPr>
        <w:rPr>
          <w:rFonts w:asciiTheme="minorHAnsi" w:hAnsiTheme="minorHAnsi" w:cstheme="minorHAnsi"/>
          <w:lang w:eastAsia="en-AU"/>
        </w:rPr>
      </w:pPr>
      <w:r w:rsidRPr="009E4A39">
        <w:rPr>
          <w:rFonts w:asciiTheme="minorHAnsi" w:hAnsiTheme="minorHAnsi" w:cstheme="minorHAnsi"/>
          <w:lang w:eastAsia="en-AU"/>
        </w:rPr>
        <w:t xml:space="preserve">Eight AHTRs were reported to the </w:t>
      </w:r>
      <w:r w:rsidR="00BB73E4">
        <w:rPr>
          <w:rFonts w:asciiTheme="minorHAnsi" w:hAnsiTheme="minorHAnsi" w:cstheme="minorHAnsi"/>
          <w:lang w:eastAsia="en-AU"/>
        </w:rPr>
        <w:t>n</w:t>
      </w:r>
      <w:r w:rsidRPr="009E4A39">
        <w:rPr>
          <w:rFonts w:asciiTheme="minorHAnsi" w:hAnsiTheme="minorHAnsi" w:cstheme="minorHAnsi"/>
          <w:lang w:eastAsia="en-AU"/>
        </w:rPr>
        <w:t xml:space="preserve">ational </w:t>
      </w:r>
      <w:proofErr w:type="spellStart"/>
      <w:r w:rsidR="00BB73E4">
        <w:rPr>
          <w:rFonts w:asciiTheme="minorHAnsi" w:hAnsiTheme="minorHAnsi" w:cstheme="minorHAnsi"/>
          <w:lang w:eastAsia="en-AU"/>
        </w:rPr>
        <w:t>h</w:t>
      </w:r>
      <w:r w:rsidRPr="009E4A39">
        <w:rPr>
          <w:rFonts w:asciiTheme="minorHAnsi" w:hAnsiTheme="minorHAnsi" w:cstheme="minorHAnsi"/>
          <w:lang w:eastAsia="en-AU"/>
        </w:rPr>
        <w:t>aemovigilance</w:t>
      </w:r>
      <w:proofErr w:type="spellEnd"/>
      <w:r w:rsidRPr="009E4A39">
        <w:rPr>
          <w:rFonts w:asciiTheme="minorHAnsi" w:hAnsiTheme="minorHAnsi" w:cstheme="minorHAnsi"/>
          <w:lang w:eastAsia="en-AU"/>
        </w:rPr>
        <w:t xml:space="preserve"> </w:t>
      </w:r>
      <w:r w:rsidR="00BB73E4">
        <w:rPr>
          <w:rFonts w:asciiTheme="minorHAnsi" w:hAnsiTheme="minorHAnsi" w:cstheme="minorHAnsi"/>
          <w:lang w:eastAsia="en-AU"/>
        </w:rPr>
        <w:t>p</w:t>
      </w:r>
      <w:r w:rsidRPr="009E4A39">
        <w:rPr>
          <w:rFonts w:asciiTheme="minorHAnsi" w:hAnsiTheme="minorHAnsi" w:cstheme="minorHAnsi"/>
          <w:lang w:eastAsia="en-AU"/>
        </w:rPr>
        <w:t>rogram, with one case of life</w:t>
      </w:r>
      <w:r w:rsidR="00BB73E4">
        <w:rPr>
          <w:rFonts w:asciiTheme="minorHAnsi" w:hAnsiTheme="minorHAnsi" w:cstheme="minorHAnsi"/>
          <w:lang w:eastAsia="en-AU"/>
        </w:rPr>
        <w:t>-</w:t>
      </w:r>
      <w:r w:rsidRPr="009E4A39">
        <w:rPr>
          <w:rFonts w:asciiTheme="minorHAnsi" w:hAnsiTheme="minorHAnsi" w:cstheme="minorHAnsi"/>
          <w:lang w:eastAsia="en-AU"/>
        </w:rPr>
        <w:t>threatening severity imputed as possible.</w:t>
      </w:r>
    </w:p>
    <w:p w:rsidR="00117984" w:rsidRPr="009E4A39" w:rsidRDefault="00117984" w:rsidP="0096249F">
      <w:pPr>
        <w:pStyle w:val="ListParagraph"/>
        <w:numPr>
          <w:ilvl w:val="0"/>
          <w:numId w:val="19"/>
        </w:numPr>
        <w:rPr>
          <w:rFonts w:asciiTheme="minorHAnsi" w:hAnsiTheme="minorHAnsi" w:cstheme="minorHAnsi"/>
          <w:lang w:eastAsia="en-AU"/>
        </w:rPr>
      </w:pPr>
      <w:r w:rsidRPr="009E4A39">
        <w:rPr>
          <w:rFonts w:asciiTheme="minorHAnsi" w:hAnsiTheme="minorHAnsi" w:cstheme="minorHAnsi"/>
          <w:lang w:eastAsia="en-AU"/>
        </w:rPr>
        <w:t>Five cases occurred between 7pm and 7am.</w:t>
      </w:r>
    </w:p>
    <w:p w:rsidR="00117984" w:rsidRPr="009E4A39" w:rsidRDefault="00117984" w:rsidP="0096249F">
      <w:pPr>
        <w:pStyle w:val="ListParagraph"/>
        <w:numPr>
          <w:ilvl w:val="0"/>
          <w:numId w:val="19"/>
        </w:numPr>
        <w:rPr>
          <w:rFonts w:asciiTheme="minorHAnsi" w:hAnsiTheme="minorHAnsi" w:cstheme="minorHAnsi"/>
          <w:lang w:eastAsia="en-AU"/>
        </w:rPr>
      </w:pPr>
      <w:r w:rsidRPr="009E4A39">
        <w:rPr>
          <w:rFonts w:asciiTheme="minorHAnsi" w:hAnsiTheme="minorHAnsi" w:cstheme="minorHAnsi"/>
          <w:lang w:eastAsia="en-AU"/>
        </w:rPr>
        <w:t xml:space="preserve">Seven cases were related to </w:t>
      </w:r>
      <w:r w:rsidR="00A44126">
        <w:rPr>
          <w:rFonts w:asciiTheme="minorHAnsi" w:hAnsiTheme="minorHAnsi" w:cstheme="minorHAnsi"/>
          <w:lang w:eastAsia="en-AU"/>
        </w:rPr>
        <w:t>red blood cell</w:t>
      </w:r>
      <w:r w:rsidR="00A44126" w:rsidRPr="009E4A39">
        <w:rPr>
          <w:rFonts w:asciiTheme="minorHAnsi" w:hAnsiTheme="minorHAnsi" w:cstheme="minorHAnsi"/>
          <w:lang w:eastAsia="en-AU"/>
        </w:rPr>
        <w:t xml:space="preserve"> </w:t>
      </w:r>
      <w:r w:rsidRPr="009E4A39">
        <w:rPr>
          <w:rFonts w:asciiTheme="minorHAnsi" w:hAnsiTheme="minorHAnsi" w:cstheme="minorHAnsi"/>
          <w:lang w:eastAsia="en-AU"/>
        </w:rPr>
        <w:t>transfusion.</w:t>
      </w:r>
    </w:p>
    <w:p w:rsidR="00B54518" w:rsidRDefault="00B54518">
      <w:pPr>
        <w:spacing w:line="276" w:lineRule="auto"/>
        <w:rPr>
          <w:rFonts w:asciiTheme="minorHAnsi" w:hAnsiTheme="minorHAnsi" w:cstheme="minorHAnsi"/>
          <w:lang w:eastAsia="en-AU"/>
        </w:rPr>
      </w:pPr>
      <w:r>
        <w:rPr>
          <w:rFonts w:asciiTheme="minorHAnsi" w:hAnsiTheme="minorHAnsi" w:cstheme="minorHAnsi"/>
          <w:lang w:eastAsia="en-AU"/>
        </w:rPr>
        <w:br w:type="page"/>
      </w:r>
    </w:p>
    <w:p w:rsidR="000E55F4" w:rsidRPr="002E310A" w:rsidRDefault="000E55F4" w:rsidP="000E55F4">
      <w:pPr>
        <w:pStyle w:val="Heading2"/>
      </w:pPr>
      <w:bookmarkStart w:id="103" w:name="_Toc459366174"/>
      <w:bookmarkStart w:id="104" w:name="_Toc263840024"/>
      <w:bookmarkStart w:id="105" w:name="_Toc420837255"/>
      <w:r w:rsidRPr="002E310A">
        <w:lastRenderedPageBreak/>
        <w:t>Post transfusion purpura (PTP)</w:t>
      </w:r>
      <w:bookmarkEnd w:id="103"/>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0E55F4" w:rsidRPr="00E55646" w:rsidTr="00F46D5E">
        <w:tc>
          <w:tcPr>
            <w:tcW w:w="3208" w:type="dxa"/>
            <w:gridSpan w:val="2"/>
            <w:shd w:val="clear" w:color="auto" w:fill="FF0000"/>
            <w:hideMark/>
          </w:tcPr>
          <w:p w:rsidR="000E55F4" w:rsidRPr="00E55646" w:rsidRDefault="000E55F4" w:rsidP="00F46D5E">
            <w:pPr>
              <w:spacing w:after="0"/>
              <w:rPr>
                <w:rFonts w:asciiTheme="minorHAnsi" w:eastAsia="Times New Roman" w:hAnsiTheme="minorHAnsi" w:cstheme="minorHAnsi"/>
                <w:color w:val="FFFFFF"/>
                <w:sz w:val="20"/>
                <w:szCs w:val="20"/>
                <w:lang w:eastAsia="en-AU"/>
              </w:rPr>
            </w:pPr>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(n=6</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0E55F4" w:rsidRPr="00E55646" w:rsidRDefault="000E55F4" w:rsidP="00F46D5E">
            <w:pPr>
              <w:spacing w:after="0"/>
              <w:rPr>
                <w:rFonts w:asciiTheme="minorHAnsi" w:eastAsia="Times New Roman" w:hAnsiTheme="minorHAnsi" w:cstheme="minorHAnsi"/>
                <w:color w:val="FFFFFF"/>
                <w:sz w:val="20"/>
                <w:szCs w:val="20"/>
                <w:lang w:eastAsia="en-AU"/>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0E55F4" w:rsidRPr="00E55646" w:rsidRDefault="000E55F4" w:rsidP="00F46D5E">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0E55F4" w:rsidRPr="00E55646" w:rsidRDefault="000E55F4" w:rsidP="00F46D5E">
            <w:pPr>
              <w:spacing w:after="0"/>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4</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4A2C9F">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shd w:val="clear" w:color="auto" w:fill="BFBFBF" w:themeFill="background1" w:themeFillShade="BF"/>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0E55F4" w:rsidRDefault="000E55F4" w:rsidP="00F46D5E">
            <w:pPr>
              <w:autoSpaceDE w:val="0"/>
              <w:autoSpaceDN w:val="0"/>
              <w:adjustRightInd w:val="0"/>
              <w:spacing w:after="0"/>
              <w:jc w:val="right"/>
              <w:rPr>
                <w:rFonts w:eastAsiaTheme="minorHAnsi"/>
                <w:color w:val="000000"/>
                <w:sz w:val="20"/>
                <w:szCs w:val="20"/>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6</w:t>
            </w:r>
          </w:p>
        </w:tc>
        <w:tc>
          <w:tcPr>
            <w:tcW w:w="2378" w:type="dxa"/>
            <w:gridSpan w:val="3"/>
            <w:tcBorders>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0E55F4" w:rsidRPr="00E55646"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0E55F4" w:rsidRPr="00E55646"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1C2470" w:rsidTr="00F46D5E">
        <w:tc>
          <w:tcPr>
            <w:tcW w:w="2658" w:type="dxa"/>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tcPr>
          <w:p w:rsidR="000E55F4" w:rsidRPr="001C2470" w:rsidRDefault="000E55F4" w:rsidP="00F46D5E">
            <w:pPr>
              <w:spacing w:after="0"/>
              <w:rPr>
                <w:rFonts w:asciiTheme="minorHAnsi" w:eastAsia="Times New Roman" w:hAnsiTheme="minorHAnsi" w:cstheme="minorHAnsi"/>
                <w:sz w:val="20"/>
                <w:szCs w:val="20"/>
                <w:lang w:eastAsia="en-AU"/>
              </w:rPr>
            </w:pPr>
            <w:r w:rsidRPr="004A2C9F">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tcBorders>
            <w:shd w:val="clear" w:color="auto" w:fill="auto"/>
          </w:tcPr>
          <w:p w:rsidR="000E55F4" w:rsidRPr="001C2470" w:rsidRDefault="000E55F4" w:rsidP="00F46D5E">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0E55F4" w:rsidRPr="001C2470" w:rsidRDefault="000E55F4" w:rsidP="00F46D5E">
            <w:pPr>
              <w:autoSpaceDE w:val="0"/>
              <w:autoSpaceDN w:val="0"/>
              <w:adjustRightInd w:val="0"/>
              <w:spacing w:after="0"/>
              <w:jc w:val="right"/>
              <w:rPr>
                <w:rFonts w:asciiTheme="minorHAnsi" w:hAnsiTheme="minorHAnsi" w:cstheme="minorHAnsi"/>
                <w:color w:val="000000"/>
                <w:sz w:val="20"/>
                <w:szCs w:val="20"/>
                <w:lang w:eastAsia="zh-CN"/>
              </w:rPr>
            </w:pPr>
          </w:p>
        </w:tc>
      </w:tr>
      <w:tr w:rsidR="000E55F4" w:rsidRPr="00E55646" w:rsidTr="00F46D5E">
        <w:tc>
          <w:tcPr>
            <w:tcW w:w="2658" w:type="dxa"/>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0E55F4" w:rsidRPr="00E55646" w:rsidRDefault="000E55F4" w:rsidP="00F46D5E">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0E55F4" w:rsidRPr="00E55646" w:rsidRDefault="000E55F4" w:rsidP="00F46D5E">
            <w:pPr>
              <w:spacing w:after="0"/>
              <w:jc w:val="right"/>
              <w:rPr>
                <w:rFonts w:asciiTheme="minorHAnsi" w:eastAsia="Times New Roman" w:hAnsiTheme="minorHAnsi" w:cstheme="minorHAnsi"/>
                <w:sz w:val="20"/>
                <w:szCs w:val="20"/>
                <w:lang w:eastAsia="en-AU"/>
              </w:rPr>
            </w:pPr>
          </w:p>
        </w:tc>
      </w:tr>
      <w:tr w:rsidR="000E55F4" w:rsidRPr="00E55646" w:rsidTr="00F46D5E">
        <w:tc>
          <w:tcPr>
            <w:tcW w:w="2658" w:type="dxa"/>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Life-threatening</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c>
          <w:tcPr>
            <w:tcW w:w="2372" w:type="dxa"/>
            <w:gridSpan w:val="3"/>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0E55F4" w:rsidRPr="00E55646" w:rsidTr="00F46D5E">
        <w:tc>
          <w:tcPr>
            <w:tcW w:w="2658" w:type="dxa"/>
            <w:tcBorders>
              <w:top w:val="single" w:sz="4" w:space="0" w:color="auto"/>
              <w:bottom w:val="single" w:sz="4" w:space="0" w:color="auto"/>
            </w:tcBorders>
            <w:shd w:val="clear" w:color="auto" w:fill="auto"/>
            <w:vAlign w:val="bottom"/>
            <w:hideMark/>
          </w:tcPr>
          <w:p w:rsidR="000E55F4" w:rsidRPr="00E55646" w:rsidRDefault="000E55F4" w:rsidP="00F46D5E">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799"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0E55F4" w:rsidRPr="00E55646" w:rsidRDefault="000E55F4" w:rsidP="00F46D5E">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0E55F4" w:rsidRDefault="000E55F4" w:rsidP="00F46D5E">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0E55F4" w:rsidRPr="00E55646" w:rsidRDefault="000E55F4" w:rsidP="00F46D5E">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0E55F4" w:rsidRPr="00E55646" w:rsidRDefault="000E55F4" w:rsidP="00F46D5E">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1</w:t>
            </w:r>
          </w:p>
        </w:tc>
      </w:tr>
    </w:tbl>
    <w:p w:rsidR="000E55F4" w:rsidRPr="008C3A7A" w:rsidRDefault="000E55F4" w:rsidP="000E55F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0E55F4" w:rsidRDefault="000E55F4" w:rsidP="0096249F">
      <w:pPr>
        <w:numPr>
          <w:ilvl w:val="0"/>
          <w:numId w:val="17"/>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0E55F4" w:rsidRPr="006858FB" w:rsidRDefault="000E55F4" w:rsidP="0096249F">
      <w:pPr>
        <w:numPr>
          <w:ilvl w:val="0"/>
          <w:numId w:val="17"/>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0E55F4" w:rsidRDefault="000E55F4" w:rsidP="0096249F">
      <w:pPr>
        <w:numPr>
          <w:ilvl w:val="0"/>
          <w:numId w:val="17"/>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0E55F4" w:rsidRDefault="000E55F4" w:rsidP="0096249F">
      <w:pPr>
        <w:numPr>
          <w:ilvl w:val="0"/>
          <w:numId w:val="17"/>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0E55F4" w:rsidRPr="008C3A7A" w:rsidRDefault="000E55F4" w:rsidP="000E55F4">
      <w:pPr>
        <w:spacing w:before="40" w:after="40" w:line="180" w:lineRule="atLeast"/>
        <w:ind w:left="360"/>
        <w:contextualSpacing/>
        <w:rPr>
          <w:rFonts w:asciiTheme="minorHAnsi" w:eastAsiaTheme="minorEastAsia" w:hAnsiTheme="minorHAnsi" w:cstheme="minorHAnsi"/>
          <w:sz w:val="18"/>
          <w:szCs w:val="18"/>
          <w:lang w:eastAsia="en-AU"/>
        </w:rPr>
      </w:pPr>
    </w:p>
    <w:p w:rsidR="000E55F4" w:rsidRPr="00006FBE" w:rsidRDefault="000E55F4" w:rsidP="000E55F4">
      <w:r w:rsidRPr="00006FBE">
        <w:t>Post-transfusion purpur</w:t>
      </w:r>
      <w:r>
        <w:t>a</w:t>
      </w:r>
      <w:r w:rsidRPr="00006FBE">
        <w:t xml:space="preserve"> (PTP) is a rare delayed transfusion reaction where a patient develops dramatic, sudden and self-limiting thrombocytopenia 7 to 10 days after a blood transfusion. Bleeding from mucous membranes and the gastrointestinal and urinary tracts is common. Mortality is rare but</w:t>
      </w:r>
      <w:r>
        <w:t xml:space="preserve"> if it occurs</w:t>
      </w:r>
      <w:r w:rsidRPr="00006FBE">
        <w:t xml:space="preserve"> may be due to intracranial haemorrhage. In the </w:t>
      </w:r>
      <w:r w:rsidR="00E63397">
        <w:t>four</w:t>
      </w:r>
      <w:r w:rsidR="00E63397" w:rsidRPr="00006FBE">
        <w:t xml:space="preserve"> </w:t>
      </w:r>
      <w:r w:rsidRPr="00006FBE">
        <w:t>financial years to 2013–14:</w:t>
      </w:r>
    </w:p>
    <w:p w:rsidR="000E55F4" w:rsidRPr="00006FBE" w:rsidRDefault="000E55F4" w:rsidP="0096249F">
      <w:pPr>
        <w:pStyle w:val="ListParagraph"/>
        <w:numPr>
          <w:ilvl w:val="0"/>
          <w:numId w:val="19"/>
        </w:numPr>
        <w:rPr>
          <w:rFonts w:asciiTheme="minorHAnsi" w:eastAsiaTheme="minorEastAsia" w:hAnsiTheme="minorHAnsi" w:cstheme="minorHAnsi"/>
          <w:sz w:val="18"/>
          <w:szCs w:val="18"/>
          <w:lang w:eastAsia="en-AU"/>
        </w:rPr>
      </w:pPr>
      <w:r w:rsidRPr="00006FBE">
        <w:rPr>
          <w:rFonts w:asciiTheme="minorHAnsi" w:hAnsiTheme="minorHAnsi" w:cstheme="minorHAnsi"/>
          <w:lang w:eastAsia="en-AU"/>
        </w:rPr>
        <w:t>There were</w:t>
      </w:r>
      <w:r w:rsidR="00E63397">
        <w:rPr>
          <w:rFonts w:asciiTheme="minorHAnsi" w:hAnsiTheme="minorHAnsi" w:cstheme="minorHAnsi"/>
          <w:lang w:eastAsia="en-AU"/>
        </w:rPr>
        <w:t xml:space="preserve"> seven</w:t>
      </w:r>
      <w:r w:rsidRPr="00006FBE">
        <w:rPr>
          <w:rFonts w:asciiTheme="minorHAnsi" w:hAnsiTheme="minorHAnsi" w:cstheme="minorHAnsi"/>
          <w:lang w:eastAsia="en-AU"/>
        </w:rPr>
        <w:t xml:space="preserve"> cases of PTP reported to the </w:t>
      </w:r>
      <w:r>
        <w:rPr>
          <w:rFonts w:asciiTheme="minorHAnsi" w:hAnsiTheme="minorHAnsi" w:cstheme="minorHAnsi"/>
          <w:lang w:eastAsia="en-AU"/>
        </w:rPr>
        <w:t>n</w:t>
      </w:r>
      <w:r w:rsidRPr="00006FBE">
        <w:rPr>
          <w:rFonts w:asciiTheme="minorHAnsi" w:hAnsiTheme="minorHAnsi" w:cstheme="minorHAnsi"/>
          <w:lang w:eastAsia="en-AU"/>
        </w:rPr>
        <w:t xml:space="preserve">ational </w:t>
      </w:r>
      <w:proofErr w:type="spellStart"/>
      <w:r>
        <w:rPr>
          <w:rFonts w:asciiTheme="minorHAnsi" w:hAnsiTheme="minorHAnsi" w:cstheme="minorHAnsi"/>
          <w:lang w:eastAsia="en-AU"/>
        </w:rPr>
        <w:t>h</w:t>
      </w:r>
      <w:r w:rsidRPr="00006FBE">
        <w:rPr>
          <w:rFonts w:asciiTheme="minorHAnsi" w:hAnsiTheme="minorHAnsi" w:cstheme="minorHAnsi"/>
          <w:lang w:eastAsia="en-AU"/>
        </w:rPr>
        <w:t>aemovigilance</w:t>
      </w:r>
      <w:proofErr w:type="spellEnd"/>
      <w:r w:rsidRPr="00006FBE">
        <w:rPr>
          <w:rFonts w:asciiTheme="minorHAnsi" w:hAnsiTheme="minorHAnsi" w:cstheme="minorHAnsi"/>
          <w:lang w:eastAsia="en-AU"/>
        </w:rPr>
        <w:t xml:space="preserve"> </w:t>
      </w:r>
      <w:r>
        <w:rPr>
          <w:rFonts w:asciiTheme="minorHAnsi" w:hAnsiTheme="minorHAnsi" w:cstheme="minorHAnsi"/>
          <w:lang w:eastAsia="en-AU"/>
        </w:rPr>
        <w:t>p</w:t>
      </w:r>
      <w:r w:rsidRPr="00006FBE">
        <w:rPr>
          <w:rFonts w:asciiTheme="minorHAnsi" w:hAnsiTheme="minorHAnsi" w:cstheme="minorHAnsi"/>
          <w:lang w:eastAsia="en-AU"/>
        </w:rPr>
        <w:t>rogram, with one for 2010–11 and six for 2013–14.</w:t>
      </w:r>
    </w:p>
    <w:p w:rsidR="000E55F4" w:rsidRDefault="000E55F4" w:rsidP="0096249F">
      <w:pPr>
        <w:pStyle w:val="ListParagraph"/>
        <w:numPr>
          <w:ilvl w:val="0"/>
          <w:numId w:val="19"/>
        </w:numPr>
        <w:rPr>
          <w:rFonts w:asciiTheme="minorHAnsi" w:hAnsiTheme="minorHAnsi" w:cstheme="minorHAnsi"/>
          <w:lang w:eastAsia="en-AU"/>
        </w:rPr>
      </w:pPr>
      <w:r w:rsidRPr="002E310A">
        <w:rPr>
          <w:rFonts w:asciiTheme="minorHAnsi" w:hAnsiTheme="minorHAnsi" w:cstheme="minorHAnsi"/>
          <w:lang w:eastAsia="en-AU"/>
        </w:rPr>
        <w:t>Most reported PTPs were non severe cases. The only life</w:t>
      </w:r>
      <w:r>
        <w:rPr>
          <w:rFonts w:asciiTheme="minorHAnsi" w:hAnsiTheme="minorHAnsi" w:cstheme="minorHAnsi"/>
          <w:lang w:eastAsia="en-AU"/>
        </w:rPr>
        <w:t>-</w:t>
      </w:r>
      <w:r w:rsidRPr="002E310A">
        <w:rPr>
          <w:rFonts w:asciiTheme="minorHAnsi" w:hAnsiTheme="minorHAnsi" w:cstheme="minorHAnsi"/>
          <w:lang w:eastAsia="en-AU"/>
        </w:rPr>
        <w:t xml:space="preserve">threatening case for 2013–14 </w:t>
      </w:r>
      <w:r>
        <w:rPr>
          <w:rFonts w:asciiTheme="minorHAnsi" w:hAnsiTheme="minorHAnsi" w:cstheme="minorHAnsi"/>
          <w:lang w:eastAsia="en-AU"/>
        </w:rPr>
        <w:t>was categorised as</w:t>
      </w:r>
      <w:r w:rsidRPr="002E310A">
        <w:rPr>
          <w:rFonts w:asciiTheme="minorHAnsi" w:hAnsiTheme="minorHAnsi" w:cstheme="minorHAnsi"/>
          <w:lang w:eastAsia="en-AU"/>
        </w:rPr>
        <w:t xml:space="preserve"> likely to be related to platelet transfusion.</w:t>
      </w:r>
    </w:p>
    <w:p w:rsidR="000E55F4" w:rsidRPr="002E310A" w:rsidRDefault="00E63397" w:rsidP="0096249F">
      <w:pPr>
        <w:pStyle w:val="ListParagraph"/>
        <w:numPr>
          <w:ilvl w:val="0"/>
          <w:numId w:val="19"/>
        </w:numPr>
        <w:rPr>
          <w:rFonts w:asciiTheme="minorHAnsi" w:hAnsiTheme="minorHAnsi" w:cstheme="minorHAnsi"/>
          <w:lang w:eastAsia="en-AU"/>
        </w:rPr>
      </w:pPr>
      <w:r>
        <w:rPr>
          <w:rFonts w:asciiTheme="minorHAnsi" w:hAnsiTheme="minorHAnsi" w:cstheme="minorHAnsi"/>
          <w:lang w:eastAsia="en-AU"/>
        </w:rPr>
        <w:t>Most</w:t>
      </w:r>
      <w:r w:rsidR="000E55F4" w:rsidRPr="002E310A">
        <w:rPr>
          <w:rFonts w:asciiTheme="minorHAnsi" w:hAnsiTheme="minorHAnsi" w:cstheme="minorHAnsi"/>
          <w:lang w:eastAsia="en-AU"/>
        </w:rPr>
        <w:t xml:space="preserve"> PTP patients (</w:t>
      </w:r>
      <w:r>
        <w:rPr>
          <w:rFonts w:asciiTheme="minorHAnsi" w:hAnsiTheme="minorHAnsi" w:cstheme="minorHAnsi"/>
          <w:lang w:eastAsia="en-AU"/>
        </w:rPr>
        <w:t>6</w:t>
      </w:r>
      <w:r w:rsidRPr="002E310A">
        <w:rPr>
          <w:rFonts w:asciiTheme="minorHAnsi" w:hAnsiTheme="minorHAnsi" w:cstheme="minorHAnsi"/>
          <w:lang w:eastAsia="en-AU"/>
        </w:rPr>
        <w:t xml:space="preserve"> </w:t>
      </w:r>
      <w:r w:rsidR="000E55F4" w:rsidRPr="002E310A">
        <w:rPr>
          <w:rFonts w:asciiTheme="minorHAnsi" w:hAnsiTheme="minorHAnsi" w:cstheme="minorHAnsi"/>
          <w:lang w:eastAsia="en-AU"/>
        </w:rPr>
        <w:t xml:space="preserve">out of </w:t>
      </w:r>
      <w:r>
        <w:rPr>
          <w:rFonts w:asciiTheme="minorHAnsi" w:hAnsiTheme="minorHAnsi" w:cstheme="minorHAnsi"/>
          <w:lang w:eastAsia="en-AU"/>
        </w:rPr>
        <w:t>7</w:t>
      </w:r>
      <w:r w:rsidR="000E55F4" w:rsidRPr="002E310A">
        <w:rPr>
          <w:rFonts w:asciiTheme="minorHAnsi" w:hAnsiTheme="minorHAnsi" w:cstheme="minorHAnsi"/>
          <w:lang w:eastAsia="en-AU"/>
        </w:rPr>
        <w:t>) were females.</w:t>
      </w:r>
    </w:p>
    <w:p w:rsidR="000E55F4" w:rsidRDefault="000E55F4" w:rsidP="000E55F4">
      <w:pPr>
        <w:spacing w:line="276" w:lineRule="auto"/>
        <w:rPr>
          <w:rFonts w:asciiTheme="minorHAnsi" w:hAnsiTheme="minorHAnsi" w:cstheme="minorHAnsi"/>
          <w:sz w:val="36"/>
          <w:szCs w:val="36"/>
          <w:lang w:eastAsia="en-AU"/>
        </w:rPr>
      </w:pPr>
      <w:r>
        <w:rPr>
          <w:rFonts w:asciiTheme="minorHAnsi" w:hAnsiTheme="minorHAnsi" w:cstheme="minorHAnsi"/>
          <w:lang w:eastAsia="en-AU"/>
        </w:rPr>
        <w:br w:type="page"/>
      </w:r>
    </w:p>
    <w:p w:rsidR="00252B9F" w:rsidRPr="00252B9F" w:rsidRDefault="00252B9F" w:rsidP="002E310A">
      <w:pPr>
        <w:pStyle w:val="Heading2"/>
      </w:pPr>
      <w:bookmarkStart w:id="106" w:name="_Toc459366175"/>
      <w:r w:rsidRPr="00252B9F">
        <w:lastRenderedPageBreak/>
        <w:t>Transfusion</w:t>
      </w:r>
      <w:r w:rsidRPr="00252B9F">
        <w:noBreakHyphen/>
        <w:t>related acute lung injury (TRALI)</w:t>
      </w:r>
      <w:bookmarkEnd w:id="104"/>
      <w:bookmarkEnd w:id="105"/>
      <w:bookmarkEnd w:id="106"/>
    </w:p>
    <w:tbl>
      <w:tblPr>
        <w:tblW w:w="0" w:type="auto"/>
        <w:tblInd w:w="108" w:type="dxa"/>
        <w:tblLook w:val="01E0" w:firstRow="1" w:lastRow="1" w:firstColumn="1" w:lastColumn="1" w:noHBand="0" w:noVBand="0"/>
      </w:tblPr>
      <w:tblGrid>
        <w:gridCol w:w="2658"/>
        <w:gridCol w:w="550"/>
        <w:gridCol w:w="799"/>
        <w:gridCol w:w="790"/>
        <w:gridCol w:w="783"/>
        <w:gridCol w:w="795"/>
        <w:gridCol w:w="802"/>
        <w:gridCol w:w="791"/>
        <w:gridCol w:w="785"/>
        <w:gridCol w:w="603"/>
      </w:tblGrid>
      <w:tr w:rsidR="00117984" w:rsidRPr="00E55646" w:rsidTr="009E4A39">
        <w:tc>
          <w:tcPr>
            <w:tcW w:w="3208" w:type="dxa"/>
            <w:gridSpan w:val="2"/>
            <w:shd w:val="clear" w:color="auto" w:fill="FF0000"/>
            <w:hideMark/>
          </w:tcPr>
          <w:p w:rsidR="00117984" w:rsidRPr="00E55646" w:rsidRDefault="00117984" w:rsidP="009E4A39">
            <w:pPr>
              <w:spacing w:after="0"/>
              <w:rPr>
                <w:rFonts w:asciiTheme="minorHAnsi" w:eastAsia="Times New Roman" w:hAnsiTheme="minorHAnsi" w:cstheme="minorHAnsi"/>
                <w:color w:val="FFFFFF"/>
                <w:sz w:val="20"/>
                <w:szCs w:val="20"/>
                <w:lang w:eastAsia="en-AU"/>
              </w:rPr>
            </w:pPr>
            <w:bookmarkStart w:id="107" w:name="_Toc263840025"/>
            <w:bookmarkStart w:id="108" w:name="_Toc420837256"/>
            <w:r w:rsidRPr="0008191D">
              <w:rPr>
                <w:rFonts w:asciiTheme="minorHAnsi" w:eastAsia="Times New Roman" w:hAnsiTheme="minorHAnsi" w:cstheme="minorHAnsi"/>
                <w:b/>
                <w:color w:val="FFFFFF"/>
                <w:sz w:val="20"/>
                <w:szCs w:val="20"/>
                <w:lang w:eastAsia="en-AU"/>
              </w:rPr>
              <w:t xml:space="preserve">2013–14 </w:t>
            </w:r>
            <w:r>
              <w:rPr>
                <w:rFonts w:asciiTheme="minorHAnsi" w:eastAsia="Times New Roman" w:hAnsiTheme="minorHAnsi" w:cstheme="minorHAnsi"/>
                <w:b/>
                <w:color w:val="FFFFFF"/>
                <w:sz w:val="20"/>
                <w:szCs w:val="20"/>
                <w:lang w:eastAsia="en-AU"/>
              </w:rPr>
              <w:t>Data Summary (n=</w:t>
            </w:r>
            <w:r w:rsidRPr="00333D25">
              <w:rPr>
                <w:rFonts w:asciiTheme="minorHAnsi" w:eastAsia="Times New Roman" w:hAnsiTheme="minorHAnsi" w:cstheme="minorHAnsi"/>
                <w:b/>
                <w:color w:val="FFFFFF"/>
                <w:sz w:val="20"/>
                <w:szCs w:val="20"/>
                <w:lang w:eastAsia="en-AU"/>
              </w:rPr>
              <w:t>3</w:t>
            </w:r>
            <w:r w:rsidRPr="00E55646">
              <w:rPr>
                <w:rFonts w:asciiTheme="minorHAnsi" w:eastAsia="Times New Roman" w:hAnsiTheme="minorHAnsi" w:cstheme="minorHAnsi"/>
                <w:b/>
                <w:color w:val="FFFFFF"/>
                <w:sz w:val="20"/>
                <w:szCs w:val="20"/>
                <w:lang w:eastAsia="en-AU"/>
              </w:rPr>
              <w:t>)</w:t>
            </w:r>
          </w:p>
        </w:tc>
        <w:tc>
          <w:tcPr>
            <w:tcW w:w="799"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0"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802"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91"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785"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c>
          <w:tcPr>
            <w:tcW w:w="603" w:type="dxa"/>
            <w:shd w:val="clear" w:color="auto" w:fill="FF0000"/>
          </w:tcPr>
          <w:p w:rsidR="00117984" w:rsidRPr="00E55646" w:rsidRDefault="00117984" w:rsidP="009E4A39">
            <w:pPr>
              <w:spacing w:after="0"/>
              <w:rPr>
                <w:rFonts w:asciiTheme="minorHAnsi" w:eastAsia="Times New Roman" w:hAnsiTheme="minorHAnsi" w:cstheme="minorHAnsi"/>
                <w:color w:val="FFFFFF"/>
                <w:sz w:val="20"/>
                <w:szCs w:val="20"/>
                <w:lang w:eastAsia="en-AU"/>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Age</w:t>
            </w:r>
          </w:p>
        </w:tc>
        <w:tc>
          <w:tcPr>
            <w:tcW w:w="550"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Sex</w:t>
            </w:r>
          </w:p>
        </w:tc>
        <w:tc>
          <w:tcPr>
            <w:tcW w:w="795"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2378" w:type="dxa"/>
            <w:gridSpan w:val="3"/>
            <w:shd w:val="clear" w:color="auto" w:fill="C0C0C0"/>
            <w:hideMark/>
          </w:tcPr>
          <w:p w:rsidR="00117984" w:rsidRPr="00E55646" w:rsidRDefault="00117984" w:rsidP="009E4A39">
            <w:pPr>
              <w:spacing w:before="100" w:beforeAutospacing="1" w:after="100" w:afterAutospacing="1"/>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Day of Transfusion</w:t>
            </w:r>
          </w:p>
        </w:tc>
        <w:tc>
          <w:tcPr>
            <w:tcW w:w="603" w:type="dxa"/>
            <w:shd w:val="clear" w:color="auto" w:fill="C0C0C0"/>
          </w:tcPr>
          <w:p w:rsidR="00117984" w:rsidRPr="00E55646" w:rsidRDefault="00117984" w:rsidP="009E4A39">
            <w:pPr>
              <w:spacing w:after="0"/>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0</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 years</w:t>
            </w:r>
          </w:p>
        </w:tc>
        <w:tc>
          <w:tcPr>
            <w:tcW w:w="550" w:type="dxa"/>
            <w:tcBorders>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Male</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 day</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14 years</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Female</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Weekend</w:t>
            </w:r>
          </w:p>
        </w:tc>
        <w:tc>
          <w:tcPr>
            <w:tcW w:w="603"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15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24 years</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tcBorders>
            <w:shd w:val="clear" w:color="auto" w:fill="auto"/>
            <w:vAlign w:val="bottom"/>
            <w:hideMark/>
          </w:tcPr>
          <w:p w:rsidR="00117984" w:rsidRPr="00E55646"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25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34 years</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shd w:val="clear" w:color="auto" w:fill="BFBFBF" w:themeFill="background1" w:themeFillShade="BF"/>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Facility Location</w:t>
            </w:r>
          </w:p>
        </w:tc>
        <w:tc>
          <w:tcPr>
            <w:tcW w:w="795"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shd w:val="clear" w:color="auto" w:fill="BFBFBF" w:themeFill="background1" w:themeFillShade="BF"/>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b/>
                <w:sz w:val="20"/>
                <w:szCs w:val="20"/>
                <w:lang w:eastAsia="en-AU"/>
              </w:rPr>
              <w:t>Time of Transfusion</w:t>
            </w:r>
          </w:p>
        </w:tc>
        <w:tc>
          <w:tcPr>
            <w:tcW w:w="603" w:type="dxa"/>
            <w:shd w:val="clear" w:color="auto" w:fill="BFBFBF" w:themeFill="background1" w:themeFillShade="BF"/>
          </w:tcPr>
          <w:p w:rsidR="00117984" w:rsidRDefault="00117984" w:rsidP="009E4A39">
            <w:pPr>
              <w:autoSpaceDE w:val="0"/>
              <w:autoSpaceDN w:val="0"/>
              <w:adjustRightInd w:val="0"/>
              <w:spacing w:after="0"/>
              <w:jc w:val="right"/>
              <w:rPr>
                <w:rFonts w:eastAsiaTheme="minorHAnsi"/>
                <w:color w:val="000000"/>
                <w:sz w:val="20"/>
                <w:szCs w:val="20"/>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35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44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Major City</w:t>
            </w:r>
          </w:p>
        </w:tc>
        <w:tc>
          <w:tcPr>
            <w:tcW w:w="795"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7am and 7pm</w:t>
            </w:r>
          </w:p>
        </w:tc>
        <w:tc>
          <w:tcPr>
            <w:tcW w:w="603" w:type="dxa"/>
            <w:tcBorders>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45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54 years</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Inner Regional</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Between 7pm and 7am</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55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64 years</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Outer Regional</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605288" w:rsidP="009E4A39">
            <w:pPr>
              <w:spacing w:before="100" w:beforeAutospacing="1" w:after="100" w:afterAutospacing="1"/>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603" w:type="dxa"/>
            <w:tcBorders>
              <w:top w:val="single" w:sz="4" w:space="0" w:color="auto"/>
              <w:bottom w:val="single" w:sz="4" w:space="0" w:color="auto"/>
            </w:tcBorders>
            <w:shd w:val="clear" w:color="auto" w:fill="auto"/>
          </w:tcPr>
          <w:p w:rsidR="00117984" w:rsidRDefault="009A221F"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65</w:t>
            </w:r>
            <w:r>
              <w:rPr>
                <w:rFonts w:asciiTheme="minorHAnsi" w:eastAsia="Times New Roman" w:hAnsiTheme="minorHAnsi" w:cstheme="minorHAnsi"/>
                <w:sz w:val="20"/>
                <w:szCs w:val="20"/>
                <w:lang w:eastAsia="en-AU"/>
              </w:rPr>
              <w:t>–</w:t>
            </w:r>
            <w:r w:rsidRPr="00E55646">
              <w:rPr>
                <w:rFonts w:asciiTheme="minorHAnsi" w:eastAsia="Times New Roman" w:hAnsiTheme="minorHAnsi" w:cstheme="minorHAnsi"/>
                <w:sz w:val="20"/>
                <w:szCs w:val="20"/>
                <w:lang w:eastAsia="en-AU"/>
              </w:rPr>
              <w:t>74 years</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Remote</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75+ years</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Very Remote</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tcPr>
          <w:p w:rsidR="00117984" w:rsidRPr="00E55646"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bottom w:val="single" w:sz="4" w:space="0" w:color="auto"/>
            </w:tcBorders>
            <w:shd w:val="clear" w:color="auto" w:fill="auto"/>
          </w:tcPr>
          <w:p w:rsidR="00117984" w:rsidRPr="00E55646"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1C2470" w:rsidTr="009E4A39">
        <w:tc>
          <w:tcPr>
            <w:tcW w:w="2658" w:type="dxa"/>
            <w:tcBorders>
              <w:top w:val="single" w:sz="4" w:space="0" w:color="auto"/>
            </w:tcBorders>
            <w:shd w:val="clear" w:color="auto" w:fill="auto"/>
            <w:vAlign w:val="bottom"/>
          </w:tcPr>
          <w:p w:rsidR="00117984" w:rsidRPr="001C2470" w:rsidRDefault="00117984" w:rsidP="009E4A39">
            <w:pPr>
              <w:spacing w:after="0"/>
              <w:rPr>
                <w:rFonts w:asciiTheme="minorHAnsi" w:eastAsia="Times New Roman" w:hAnsiTheme="minorHAnsi" w:cstheme="minorHAnsi"/>
                <w:sz w:val="20"/>
                <w:szCs w:val="20"/>
                <w:lang w:eastAsia="en-AU"/>
              </w:rPr>
            </w:pPr>
            <w:r w:rsidRPr="001C2470">
              <w:rPr>
                <w:rFonts w:asciiTheme="minorHAnsi" w:eastAsia="Times New Roman" w:hAnsiTheme="minorHAnsi" w:cstheme="minorHAnsi"/>
                <w:sz w:val="20"/>
                <w:szCs w:val="20"/>
                <w:lang w:eastAsia="en-AU"/>
              </w:rPr>
              <w:t>Not specified</w:t>
            </w:r>
          </w:p>
        </w:tc>
        <w:tc>
          <w:tcPr>
            <w:tcW w:w="550"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2" w:type="dxa"/>
            <w:gridSpan w:val="3"/>
            <w:tcBorders>
              <w:top w:val="single" w:sz="4" w:space="0" w:color="auto"/>
            </w:tcBorders>
            <w:shd w:val="clear" w:color="auto" w:fill="auto"/>
            <w:vAlign w:val="bottom"/>
          </w:tcPr>
          <w:p w:rsidR="00117984" w:rsidRPr="001C2470" w:rsidRDefault="00605288" w:rsidP="009E4A39">
            <w:pPr>
              <w:spacing w:after="0"/>
              <w:rPr>
                <w:rFonts w:asciiTheme="minorHAnsi" w:eastAsia="Times New Roman" w:hAnsiTheme="minorHAnsi" w:cstheme="minorHAnsi"/>
                <w:sz w:val="20"/>
                <w:szCs w:val="20"/>
                <w:lang w:eastAsia="en-AU"/>
              </w:rPr>
            </w:pPr>
            <w:r w:rsidRPr="00605288">
              <w:rPr>
                <w:rFonts w:asciiTheme="minorHAnsi" w:eastAsia="Times New Roman" w:hAnsiTheme="minorHAnsi" w:cstheme="minorHAnsi"/>
                <w:sz w:val="20"/>
                <w:szCs w:val="20"/>
                <w:lang w:eastAsia="en-AU"/>
              </w:rPr>
              <w:t>Not reported</w:t>
            </w:r>
          </w:p>
        </w:tc>
        <w:tc>
          <w:tcPr>
            <w:tcW w:w="795" w:type="dxa"/>
            <w:tcBorders>
              <w:top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tcBorders>
            <w:shd w:val="clear" w:color="auto" w:fill="auto"/>
          </w:tcPr>
          <w:p w:rsidR="00117984" w:rsidRPr="001C2470" w:rsidRDefault="00117984" w:rsidP="009E4A39">
            <w:pPr>
              <w:spacing w:before="100" w:beforeAutospacing="1" w:after="100" w:afterAutospacing="1"/>
              <w:rPr>
                <w:rFonts w:asciiTheme="minorHAnsi" w:eastAsia="Times New Roman" w:hAnsiTheme="minorHAnsi" w:cstheme="minorHAnsi"/>
                <w:sz w:val="20"/>
                <w:szCs w:val="20"/>
                <w:lang w:eastAsia="en-AU"/>
              </w:rPr>
            </w:pPr>
          </w:p>
        </w:tc>
        <w:tc>
          <w:tcPr>
            <w:tcW w:w="603" w:type="dxa"/>
            <w:tcBorders>
              <w:top w:val="single" w:sz="4" w:space="0" w:color="auto"/>
            </w:tcBorders>
            <w:shd w:val="clear" w:color="auto" w:fill="auto"/>
          </w:tcPr>
          <w:p w:rsidR="00117984" w:rsidRPr="001C2470" w:rsidRDefault="00117984" w:rsidP="009E4A39">
            <w:pPr>
              <w:autoSpaceDE w:val="0"/>
              <w:autoSpaceDN w:val="0"/>
              <w:adjustRightInd w:val="0"/>
              <w:spacing w:after="0"/>
              <w:jc w:val="right"/>
              <w:rPr>
                <w:rFonts w:asciiTheme="minorHAnsi" w:hAnsiTheme="minorHAnsi" w:cstheme="minorHAnsi"/>
                <w:color w:val="000000"/>
                <w:sz w:val="20"/>
                <w:szCs w:val="20"/>
                <w:lang w:eastAsia="zh-CN"/>
              </w:rPr>
            </w:pPr>
          </w:p>
        </w:tc>
      </w:tr>
      <w:tr w:rsidR="00117984" w:rsidRPr="00E55646" w:rsidTr="009E4A39">
        <w:tc>
          <w:tcPr>
            <w:tcW w:w="2658" w:type="dxa"/>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Clinical Outcome Severity</w:t>
            </w:r>
          </w:p>
        </w:tc>
        <w:tc>
          <w:tcPr>
            <w:tcW w:w="550"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2"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proofErr w:type="spellStart"/>
            <w:r w:rsidRPr="00E55646">
              <w:rPr>
                <w:rFonts w:asciiTheme="minorHAnsi" w:eastAsia="Times New Roman" w:hAnsiTheme="minorHAnsi" w:cstheme="minorHAnsi"/>
                <w:b/>
                <w:sz w:val="20"/>
                <w:szCs w:val="20"/>
                <w:lang w:eastAsia="en-AU"/>
              </w:rPr>
              <w:t>Imputability</w:t>
            </w:r>
            <w:proofErr w:type="spellEnd"/>
          </w:p>
        </w:tc>
        <w:tc>
          <w:tcPr>
            <w:tcW w:w="795"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c>
          <w:tcPr>
            <w:tcW w:w="2378" w:type="dxa"/>
            <w:gridSpan w:val="3"/>
            <w:shd w:val="clear" w:color="auto" w:fill="C0C0C0"/>
            <w:vAlign w:val="bottom"/>
            <w:hideMark/>
          </w:tcPr>
          <w:p w:rsidR="00117984" w:rsidRPr="00E55646" w:rsidRDefault="00117984" w:rsidP="009E4A39">
            <w:pPr>
              <w:spacing w:after="0"/>
              <w:rPr>
                <w:rFonts w:asciiTheme="minorHAnsi" w:eastAsia="Times New Roman" w:hAnsiTheme="minorHAnsi" w:cstheme="minorHAnsi"/>
                <w:b/>
                <w:sz w:val="20"/>
                <w:szCs w:val="20"/>
                <w:lang w:eastAsia="en-AU"/>
              </w:rPr>
            </w:pPr>
            <w:r w:rsidRPr="00E55646">
              <w:rPr>
                <w:rFonts w:asciiTheme="minorHAnsi" w:eastAsia="Times New Roman" w:hAnsiTheme="minorHAnsi" w:cstheme="minorHAnsi"/>
                <w:b/>
                <w:sz w:val="20"/>
                <w:szCs w:val="20"/>
                <w:lang w:eastAsia="en-AU"/>
              </w:rPr>
              <w:t xml:space="preserve">Blood </w:t>
            </w:r>
            <w:r>
              <w:rPr>
                <w:rFonts w:asciiTheme="minorHAnsi" w:eastAsia="Times New Roman" w:hAnsiTheme="minorHAnsi" w:cstheme="minorHAnsi"/>
                <w:b/>
                <w:sz w:val="20"/>
                <w:szCs w:val="20"/>
                <w:lang w:eastAsia="en-AU"/>
              </w:rPr>
              <w:t>Component</w:t>
            </w:r>
          </w:p>
        </w:tc>
        <w:tc>
          <w:tcPr>
            <w:tcW w:w="603" w:type="dxa"/>
            <w:shd w:val="clear" w:color="auto" w:fill="C0C0C0"/>
          </w:tcPr>
          <w:p w:rsidR="00117984" w:rsidRPr="00E55646" w:rsidRDefault="00117984" w:rsidP="009E4A39">
            <w:pPr>
              <w:spacing w:after="0"/>
              <w:jc w:val="right"/>
              <w:rPr>
                <w:rFonts w:asciiTheme="minorHAnsi" w:eastAsia="Times New Roman" w:hAnsiTheme="minorHAnsi" w:cstheme="minorHAnsi"/>
                <w:sz w:val="20"/>
                <w:szCs w:val="20"/>
                <w:lang w:eastAsia="en-AU"/>
              </w:rPr>
            </w:pPr>
          </w:p>
        </w:tc>
      </w:tr>
      <w:tr w:rsidR="00117984" w:rsidRPr="00E55646" w:rsidTr="009E4A39">
        <w:tc>
          <w:tcPr>
            <w:tcW w:w="2658" w:type="dxa"/>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Death</w:t>
            </w:r>
          </w:p>
        </w:tc>
        <w:tc>
          <w:tcPr>
            <w:tcW w:w="550" w:type="dxa"/>
            <w:tcBorders>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Excluded</w:t>
            </w:r>
            <w:r>
              <w:rPr>
                <w:rFonts w:asciiTheme="minorHAnsi" w:eastAsia="Times New Roman" w:hAnsiTheme="minorHAnsi" w:cstheme="minorHAnsi"/>
                <w:sz w:val="20"/>
                <w:szCs w:val="20"/>
                <w:lang w:eastAsia="en-AU"/>
              </w:rPr>
              <w:t>/Unlikely</w:t>
            </w:r>
          </w:p>
        </w:tc>
        <w:tc>
          <w:tcPr>
            <w:tcW w:w="795" w:type="dxa"/>
            <w:tcBorders>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Whole blood</w:t>
            </w:r>
          </w:p>
        </w:tc>
        <w:tc>
          <w:tcPr>
            <w:tcW w:w="603" w:type="dxa"/>
            <w:tcBorders>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773683">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Life</w:t>
            </w:r>
            <w:r w:rsidR="00773683">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threatening</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Possible</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Red cells</w:t>
            </w:r>
          </w:p>
        </w:tc>
        <w:tc>
          <w:tcPr>
            <w:tcW w:w="603"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3</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Severe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Likely/Probable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Platelets</w:t>
            </w:r>
          </w:p>
        </w:tc>
        <w:tc>
          <w:tcPr>
            <w:tcW w:w="603"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Minor morbidity</w:t>
            </w:r>
          </w:p>
        </w:tc>
        <w:tc>
          <w:tcPr>
            <w:tcW w:w="550"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2</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Confirmed/Certain</w:t>
            </w:r>
          </w:p>
        </w:tc>
        <w:tc>
          <w:tcPr>
            <w:tcW w:w="795"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8"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Fresh Frozen Plasma</w:t>
            </w:r>
          </w:p>
        </w:tc>
        <w:tc>
          <w:tcPr>
            <w:tcW w:w="603"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 morbidity</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2372" w:type="dxa"/>
            <w:gridSpan w:val="3"/>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Not assessable</w:t>
            </w: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1</w:t>
            </w: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Cryoprecipitate</w:t>
            </w:r>
          </w:p>
        </w:tc>
        <w:tc>
          <w:tcPr>
            <w:tcW w:w="603" w:type="dxa"/>
            <w:tcBorders>
              <w:top w:val="single" w:sz="4" w:space="0" w:color="auto"/>
              <w:bottom w:val="single" w:sz="4" w:space="0" w:color="auto"/>
            </w:tcBorders>
            <w:shd w:val="clear" w:color="auto" w:fill="auto"/>
          </w:tcPr>
          <w:p w:rsidR="00117984" w:rsidRPr="00E55646" w:rsidRDefault="00F331D9"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r w:rsidR="00117984" w:rsidRPr="00E55646" w:rsidTr="009E4A39">
        <w:tc>
          <w:tcPr>
            <w:tcW w:w="2658" w:type="dxa"/>
            <w:tcBorders>
              <w:top w:val="single" w:sz="4" w:space="0" w:color="auto"/>
              <w:bottom w:val="single" w:sz="4" w:space="0" w:color="auto"/>
            </w:tcBorders>
            <w:shd w:val="clear" w:color="auto" w:fill="auto"/>
            <w:vAlign w:val="bottom"/>
            <w:hideMark/>
          </w:tcPr>
          <w:p w:rsidR="00117984" w:rsidRPr="00E55646" w:rsidRDefault="00117984" w:rsidP="009E4A39">
            <w:pPr>
              <w:spacing w:after="0"/>
              <w:rPr>
                <w:rFonts w:asciiTheme="minorHAnsi" w:eastAsia="Times New Roman" w:hAnsiTheme="minorHAnsi" w:cstheme="minorHAnsi"/>
                <w:sz w:val="20"/>
                <w:szCs w:val="20"/>
                <w:lang w:eastAsia="en-AU"/>
              </w:rPr>
            </w:pPr>
            <w:r w:rsidRPr="006C1A6C">
              <w:rPr>
                <w:rFonts w:asciiTheme="minorHAnsi" w:eastAsia="Times New Roman" w:hAnsiTheme="minorHAnsi" w:cstheme="minorHAnsi"/>
                <w:sz w:val="20"/>
                <w:szCs w:val="20"/>
                <w:lang w:eastAsia="en-AU"/>
              </w:rPr>
              <w:t>Outcome not available</w:t>
            </w:r>
          </w:p>
        </w:tc>
        <w:tc>
          <w:tcPr>
            <w:tcW w:w="550" w:type="dxa"/>
            <w:tcBorders>
              <w:top w:val="single" w:sz="4" w:space="0" w:color="auto"/>
              <w:bottom w:val="single" w:sz="4" w:space="0" w:color="auto"/>
            </w:tcBorders>
            <w:shd w:val="clear" w:color="auto" w:fill="auto"/>
          </w:tcPr>
          <w:p w:rsidR="00117984" w:rsidRDefault="00F331D9" w:rsidP="009E4A39">
            <w:pPr>
              <w:autoSpaceDE w:val="0"/>
              <w:autoSpaceDN w:val="0"/>
              <w:adjustRightInd w:val="0"/>
              <w:spacing w:after="0"/>
              <w:jc w:val="right"/>
              <w:rPr>
                <w:rFonts w:eastAsiaTheme="minorHAnsi"/>
                <w:color w:val="000000"/>
                <w:sz w:val="20"/>
                <w:szCs w:val="20"/>
              </w:rPr>
            </w:pPr>
            <w:r>
              <w:rPr>
                <w:rFonts w:eastAsiaTheme="minorHAnsi"/>
                <w:color w:val="000000"/>
                <w:sz w:val="20"/>
                <w:szCs w:val="20"/>
              </w:rPr>
              <w:t>0</w:t>
            </w:r>
          </w:p>
        </w:tc>
        <w:tc>
          <w:tcPr>
            <w:tcW w:w="799"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0"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83" w:type="dxa"/>
            <w:tcBorders>
              <w:top w:val="single" w:sz="4" w:space="0" w:color="auto"/>
              <w:bottom w:val="single" w:sz="4" w:space="0" w:color="auto"/>
            </w:tcBorders>
            <w:shd w:val="clear" w:color="auto" w:fill="auto"/>
          </w:tcPr>
          <w:p w:rsidR="00117984" w:rsidRPr="00E55646" w:rsidRDefault="00117984" w:rsidP="009E4A39">
            <w:pPr>
              <w:spacing w:after="0"/>
              <w:rPr>
                <w:rFonts w:asciiTheme="minorHAnsi" w:eastAsia="Times New Roman" w:hAnsiTheme="minorHAnsi" w:cstheme="minorHAnsi"/>
                <w:sz w:val="20"/>
                <w:szCs w:val="20"/>
                <w:lang w:eastAsia="en-AU"/>
              </w:rPr>
            </w:pPr>
          </w:p>
        </w:tc>
        <w:tc>
          <w:tcPr>
            <w:tcW w:w="795" w:type="dxa"/>
            <w:tcBorders>
              <w:top w:val="single" w:sz="4" w:space="0" w:color="auto"/>
              <w:bottom w:val="single" w:sz="4" w:space="0" w:color="auto"/>
            </w:tcBorders>
            <w:shd w:val="clear" w:color="auto" w:fill="auto"/>
          </w:tcPr>
          <w:p w:rsidR="00117984" w:rsidRDefault="00117984" w:rsidP="009E4A39">
            <w:pPr>
              <w:autoSpaceDE w:val="0"/>
              <w:autoSpaceDN w:val="0"/>
              <w:adjustRightInd w:val="0"/>
              <w:spacing w:after="0"/>
              <w:jc w:val="right"/>
              <w:rPr>
                <w:rFonts w:eastAsiaTheme="minorHAnsi"/>
                <w:color w:val="000000"/>
                <w:sz w:val="20"/>
                <w:szCs w:val="20"/>
              </w:rPr>
            </w:pPr>
          </w:p>
        </w:tc>
        <w:tc>
          <w:tcPr>
            <w:tcW w:w="2378" w:type="dxa"/>
            <w:gridSpan w:val="3"/>
            <w:tcBorders>
              <w:top w:val="single" w:sz="4" w:space="0" w:color="auto"/>
              <w:bottom w:val="single" w:sz="4" w:space="0" w:color="auto"/>
            </w:tcBorders>
            <w:shd w:val="clear" w:color="auto" w:fill="auto"/>
            <w:hideMark/>
          </w:tcPr>
          <w:p w:rsidR="00117984" w:rsidRPr="00E55646" w:rsidRDefault="00117984" w:rsidP="009E4A39">
            <w:pPr>
              <w:spacing w:after="0"/>
              <w:rPr>
                <w:rFonts w:asciiTheme="minorHAnsi" w:eastAsia="Times New Roman" w:hAnsiTheme="minorHAnsi" w:cstheme="minorHAnsi"/>
                <w:sz w:val="20"/>
                <w:szCs w:val="20"/>
                <w:lang w:eastAsia="en-AU"/>
              </w:rPr>
            </w:pPr>
            <w:proofErr w:type="spellStart"/>
            <w:r>
              <w:rPr>
                <w:rFonts w:asciiTheme="minorHAnsi" w:eastAsia="Times New Roman" w:hAnsiTheme="minorHAnsi" w:cstheme="minorHAnsi"/>
                <w:sz w:val="20"/>
                <w:szCs w:val="20"/>
                <w:lang w:eastAsia="en-AU"/>
              </w:rPr>
              <w:t>Cryodepleted</w:t>
            </w:r>
            <w:proofErr w:type="spellEnd"/>
            <w:r>
              <w:rPr>
                <w:rFonts w:asciiTheme="minorHAnsi" w:eastAsia="Times New Roman" w:hAnsiTheme="minorHAnsi" w:cstheme="minorHAnsi"/>
                <w:sz w:val="20"/>
                <w:szCs w:val="20"/>
                <w:lang w:eastAsia="en-AU"/>
              </w:rPr>
              <w:t xml:space="preserve"> plasma</w:t>
            </w:r>
          </w:p>
        </w:tc>
        <w:tc>
          <w:tcPr>
            <w:tcW w:w="603" w:type="dxa"/>
            <w:tcBorders>
              <w:top w:val="single" w:sz="4" w:space="0" w:color="auto"/>
              <w:bottom w:val="single" w:sz="4" w:space="0" w:color="auto"/>
            </w:tcBorders>
            <w:shd w:val="clear" w:color="auto" w:fill="auto"/>
          </w:tcPr>
          <w:p w:rsidR="00117984" w:rsidRPr="00E55646" w:rsidRDefault="00F331D9" w:rsidP="009E4A39">
            <w:pPr>
              <w:spacing w:after="0"/>
              <w:jc w:val="right"/>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0</w:t>
            </w:r>
          </w:p>
        </w:tc>
      </w:tr>
    </w:tbl>
    <w:p w:rsidR="00117984" w:rsidRPr="008C3A7A" w:rsidRDefault="00117984" w:rsidP="0011798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605288" w:rsidRDefault="00605288" w:rsidP="0096249F">
      <w:pPr>
        <w:numPr>
          <w:ilvl w:val="0"/>
          <w:numId w:val="38"/>
        </w:numPr>
        <w:spacing w:before="40" w:after="40" w:line="180" w:lineRule="atLeast"/>
        <w:contextualSpacing/>
        <w:rPr>
          <w:rFonts w:asciiTheme="minorHAnsi" w:eastAsiaTheme="minorEastAsia" w:hAnsiTheme="minorHAnsi" w:cstheme="minorHAnsi"/>
          <w:sz w:val="18"/>
          <w:szCs w:val="18"/>
          <w:lang w:eastAsia="en-AU"/>
        </w:rPr>
      </w:pPr>
      <w:r w:rsidRPr="006858FB">
        <w:rPr>
          <w:rFonts w:asciiTheme="minorHAnsi" w:eastAsiaTheme="minorEastAsia" w:hAnsiTheme="minorHAnsi" w:cstheme="minorHAnsi"/>
          <w:sz w:val="18"/>
          <w:szCs w:val="18"/>
          <w:lang w:eastAsia="en-AU"/>
        </w:rPr>
        <w:t>NSW did not report sex and facility location data</w:t>
      </w:r>
    </w:p>
    <w:p w:rsidR="00605288" w:rsidRPr="006858FB" w:rsidRDefault="00605288" w:rsidP="0096249F">
      <w:pPr>
        <w:numPr>
          <w:ilvl w:val="0"/>
          <w:numId w:val="38"/>
        </w:numPr>
        <w:spacing w:before="40" w:after="40" w:line="180" w:lineRule="atLeast"/>
        <w:contextualSpacing/>
        <w:rPr>
          <w:rFonts w:asciiTheme="minorHAnsi" w:eastAsiaTheme="minorEastAsia" w:hAnsiTheme="minorHAnsi" w:cstheme="minorHAnsi"/>
          <w:sz w:val="18"/>
          <w:szCs w:val="18"/>
          <w:lang w:eastAsia="en-AU"/>
        </w:rPr>
      </w:pPr>
      <w:r w:rsidRPr="00AC40D8">
        <w:rPr>
          <w:rFonts w:asciiTheme="minorHAnsi" w:eastAsiaTheme="minorEastAsia" w:hAnsiTheme="minorHAnsi" w:cstheme="minorHAnsi"/>
          <w:sz w:val="18"/>
          <w:szCs w:val="18"/>
          <w:lang w:eastAsia="en-AU"/>
        </w:rPr>
        <w:t>NSW and SA</w:t>
      </w:r>
      <w:r>
        <w:rPr>
          <w:rFonts w:asciiTheme="minorHAnsi" w:eastAsiaTheme="minorEastAsia" w:hAnsiTheme="minorHAnsi" w:cstheme="minorHAnsi"/>
          <w:sz w:val="18"/>
          <w:szCs w:val="18"/>
          <w:lang w:eastAsia="en-AU"/>
        </w:rPr>
        <w:t xml:space="preserve"> did not report t</w:t>
      </w:r>
      <w:r w:rsidRPr="006858FB">
        <w:rPr>
          <w:rFonts w:asciiTheme="minorHAnsi" w:eastAsiaTheme="minorEastAsia" w:hAnsiTheme="minorHAnsi" w:cstheme="minorHAnsi"/>
          <w:sz w:val="18"/>
          <w:szCs w:val="18"/>
          <w:lang w:eastAsia="en-AU"/>
        </w:rPr>
        <w:t>ime of transfusion data</w:t>
      </w:r>
    </w:p>
    <w:p w:rsidR="00605288" w:rsidRDefault="00605288" w:rsidP="0096249F">
      <w:pPr>
        <w:numPr>
          <w:ilvl w:val="0"/>
          <w:numId w:val="38"/>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 xml:space="preserve">ACT </w:t>
      </w:r>
      <w:r w:rsidR="007D6B6B">
        <w:rPr>
          <w:rFonts w:asciiTheme="minorHAnsi" w:eastAsiaTheme="minorEastAsia" w:hAnsiTheme="minorHAnsi" w:cstheme="minorHAnsi"/>
          <w:sz w:val="18"/>
          <w:szCs w:val="18"/>
          <w:lang w:eastAsia="en-AU"/>
        </w:rPr>
        <w:t xml:space="preserve">reported zero </w:t>
      </w:r>
      <w:r w:rsidR="004417CB">
        <w:rPr>
          <w:rFonts w:asciiTheme="minorHAnsi" w:eastAsiaTheme="minorEastAsia" w:hAnsiTheme="minorHAnsi" w:cstheme="minorHAnsi"/>
          <w:sz w:val="18"/>
          <w:szCs w:val="18"/>
          <w:lang w:eastAsia="en-AU"/>
        </w:rPr>
        <w:t xml:space="preserve">adverse </w:t>
      </w:r>
      <w:r w:rsidR="007D6B6B">
        <w:rPr>
          <w:rFonts w:asciiTheme="minorHAnsi" w:eastAsiaTheme="minorEastAsia" w:hAnsiTheme="minorHAnsi" w:cstheme="minorHAnsi"/>
          <w:sz w:val="18"/>
          <w:szCs w:val="18"/>
          <w:lang w:eastAsia="en-AU"/>
        </w:rPr>
        <w:t>event</w:t>
      </w:r>
      <w:r w:rsidR="004417CB">
        <w:rPr>
          <w:rFonts w:asciiTheme="minorHAnsi" w:eastAsiaTheme="minorEastAsia" w:hAnsiTheme="minorHAnsi" w:cstheme="minorHAnsi"/>
          <w:sz w:val="18"/>
          <w:szCs w:val="18"/>
          <w:lang w:eastAsia="en-AU"/>
        </w:rPr>
        <w:t>s</w:t>
      </w:r>
    </w:p>
    <w:p w:rsidR="00605288" w:rsidRDefault="00605288" w:rsidP="0096249F">
      <w:pPr>
        <w:numPr>
          <w:ilvl w:val="0"/>
          <w:numId w:val="38"/>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Pr>
          <w:rFonts w:asciiTheme="minorHAnsi" w:eastAsiaTheme="minorEastAsia" w:hAnsiTheme="minorHAnsi" w:cstheme="minorHAnsi"/>
          <w:sz w:val="18"/>
          <w:szCs w:val="18"/>
          <w:lang w:eastAsia="en-AU"/>
        </w:rPr>
        <w:t xml:space="preserve"> did not contribute data</w:t>
      </w:r>
    </w:p>
    <w:p w:rsidR="00117984" w:rsidRPr="008C3A7A" w:rsidRDefault="00117984" w:rsidP="00117984">
      <w:pPr>
        <w:spacing w:before="40" w:after="40" w:line="180" w:lineRule="atLeast"/>
        <w:ind w:left="360"/>
        <w:contextualSpacing/>
        <w:rPr>
          <w:rFonts w:asciiTheme="minorHAnsi" w:eastAsiaTheme="minorEastAsia" w:hAnsiTheme="minorHAnsi" w:cstheme="minorHAnsi"/>
          <w:sz w:val="18"/>
          <w:szCs w:val="18"/>
          <w:lang w:eastAsia="en-AU"/>
        </w:rPr>
      </w:pPr>
    </w:p>
    <w:p w:rsidR="00117984" w:rsidRPr="009E4A39" w:rsidRDefault="00117984" w:rsidP="00117984">
      <w:pPr>
        <w:spacing w:line="180" w:lineRule="atLeast"/>
        <w:rPr>
          <w:lang w:eastAsia="en-AU"/>
        </w:rPr>
      </w:pPr>
      <w:r w:rsidRPr="009E4A39">
        <w:rPr>
          <w:lang w:eastAsia="en-AU"/>
        </w:rPr>
        <w:t xml:space="preserve">TRALI is a serious transfusion-associated adverse event leading to pulmonary oedema and respiratory distress. </w:t>
      </w:r>
      <w:r w:rsidRPr="009E4A39">
        <w:rPr>
          <w:rFonts w:asciiTheme="minorHAnsi" w:hAnsiTheme="minorHAnsi" w:cstheme="minorHAnsi"/>
          <w:lang w:eastAsia="en-AU"/>
        </w:rPr>
        <w:t xml:space="preserve">In 2012–13, there were three suspected cases of TRALI reported to the </w:t>
      </w:r>
      <w:r w:rsidR="00BB73E4">
        <w:rPr>
          <w:rFonts w:asciiTheme="minorHAnsi" w:hAnsiTheme="minorHAnsi" w:cstheme="minorHAnsi"/>
          <w:lang w:eastAsia="en-AU"/>
        </w:rPr>
        <w:t>n</w:t>
      </w:r>
      <w:r w:rsidRPr="009E4A39">
        <w:rPr>
          <w:rFonts w:asciiTheme="minorHAnsi" w:hAnsiTheme="minorHAnsi" w:cstheme="minorHAnsi"/>
          <w:lang w:eastAsia="en-AU"/>
        </w:rPr>
        <w:t xml:space="preserve">ational </w:t>
      </w:r>
      <w:proofErr w:type="spellStart"/>
      <w:r w:rsidR="00BB73E4">
        <w:rPr>
          <w:rFonts w:asciiTheme="minorHAnsi" w:hAnsiTheme="minorHAnsi" w:cstheme="minorHAnsi"/>
          <w:lang w:eastAsia="en-AU"/>
        </w:rPr>
        <w:t>h</w:t>
      </w:r>
      <w:r w:rsidRPr="009E4A39">
        <w:rPr>
          <w:rFonts w:asciiTheme="minorHAnsi" w:hAnsiTheme="minorHAnsi" w:cstheme="minorHAnsi"/>
          <w:lang w:eastAsia="en-AU"/>
        </w:rPr>
        <w:t>aemovigilance</w:t>
      </w:r>
      <w:proofErr w:type="spellEnd"/>
      <w:r w:rsidRPr="009E4A39">
        <w:rPr>
          <w:rFonts w:asciiTheme="minorHAnsi" w:hAnsiTheme="minorHAnsi" w:cstheme="minorHAnsi"/>
          <w:lang w:eastAsia="en-AU"/>
        </w:rPr>
        <w:t xml:space="preserve"> </w:t>
      </w:r>
      <w:r w:rsidR="00BB73E4">
        <w:rPr>
          <w:rFonts w:asciiTheme="minorHAnsi" w:hAnsiTheme="minorHAnsi" w:cstheme="minorHAnsi"/>
          <w:lang w:eastAsia="en-AU"/>
        </w:rPr>
        <w:t>p</w:t>
      </w:r>
      <w:r w:rsidRPr="009E4A39">
        <w:rPr>
          <w:rFonts w:asciiTheme="minorHAnsi" w:hAnsiTheme="minorHAnsi" w:cstheme="minorHAnsi"/>
          <w:lang w:eastAsia="en-AU"/>
        </w:rPr>
        <w:t>rogram</w:t>
      </w:r>
      <w:bookmarkStart w:id="109" w:name="_Hlk351240986"/>
      <w:r w:rsidRPr="009E4A39">
        <w:rPr>
          <w:rFonts w:asciiTheme="minorHAnsi" w:hAnsiTheme="minorHAnsi" w:cstheme="minorHAnsi"/>
          <w:lang w:eastAsia="en-AU"/>
        </w:rPr>
        <w:t>, accounting</w:t>
      </w:r>
      <w:r w:rsidR="00B40707">
        <w:rPr>
          <w:rFonts w:asciiTheme="minorHAnsi" w:hAnsiTheme="minorHAnsi" w:cstheme="minorHAnsi"/>
          <w:lang w:eastAsia="en-AU"/>
        </w:rPr>
        <w:t xml:space="preserve"> for 0.5% of all reports (617).</w:t>
      </w:r>
    </w:p>
    <w:bookmarkEnd w:id="109"/>
    <w:p w:rsidR="00452D74" w:rsidRDefault="00452D74">
      <w:pPr>
        <w:spacing w:line="276" w:lineRule="auto"/>
        <w:rPr>
          <w:rFonts w:ascii="Arial" w:hAnsi="Arial" w:cs="Arial"/>
          <w:sz w:val="36"/>
          <w:szCs w:val="36"/>
        </w:rPr>
      </w:pPr>
      <w:r>
        <w:rPr>
          <w:rFonts w:ascii="Arial" w:hAnsi="Arial" w:cs="Arial"/>
          <w:sz w:val="36"/>
          <w:szCs w:val="36"/>
        </w:rPr>
        <w:br w:type="page"/>
      </w:r>
    </w:p>
    <w:p w:rsidR="00252B9F" w:rsidRDefault="00252B9F" w:rsidP="002E310A">
      <w:pPr>
        <w:pStyle w:val="Heading2"/>
      </w:pPr>
      <w:bookmarkStart w:id="110" w:name="_Toc263840027"/>
      <w:bookmarkStart w:id="111" w:name="_Ref357096833"/>
      <w:bookmarkStart w:id="112" w:name="_Ref357096841"/>
      <w:bookmarkStart w:id="113" w:name="_Toc420837260"/>
      <w:bookmarkStart w:id="114" w:name="_Toc459366176"/>
      <w:bookmarkEnd w:id="107"/>
      <w:bookmarkEnd w:id="108"/>
      <w:r w:rsidRPr="00252B9F">
        <w:lastRenderedPageBreak/>
        <w:t>Contributory factors</w:t>
      </w:r>
      <w:bookmarkEnd w:id="110"/>
      <w:bookmarkEnd w:id="111"/>
      <w:bookmarkEnd w:id="112"/>
      <w:bookmarkEnd w:id="113"/>
      <w:bookmarkEnd w:id="114"/>
    </w:p>
    <w:p w:rsidR="00117984" w:rsidRPr="003A25C4" w:rsidRDefault="00117984" w:rsidP="003A25C4">
      <w:pPr>
        <w:pStyle w:val="Caption"/>
      </w:pPr>
      <w:bookmarkStart w:id="115" w:name="_Toc420835694"/>
      <w:bookmarkStart w:id="116" w:name="_Toc459636862"/>
      <w:r w:rsidRPr="003A25C4">
        <w:t xml:space="preserve">Table </w:t>
      </w:r>
      <w:fldSimple w:instr=" SEQ Table \* ARABIC ">
        <w:r w:rsidR="000010BC">
          <w:rPr>
            <w:noProof/>
          </w:rPr>
          <w:t>22</w:t>
        </w:r>
      </w:fldSimple>
      <w:r w:rsidRPr="003A25C4">
        <w:t>: Contributory factors cited in adverse events, 2013–1</w:t>
      </w:r>
      <w:bookmarkEnd w:id="115"/>
      <w:r w:rsidRPr="003A25C4">
        <w:t>4</w:t>
      </w:r>
      <w:bookmarkEnd w:id="116"/>
    </w:p>
    <w:tbl>
      <w:tblPr>
        <w:tblW w:w="6946" w:type="dxa"/>
        <w:tblInd w:w="108" w:type="dxa"/>
        <w:tblLook w:val="04A0" w:firstRow="1" w:lastRow="0" w:firstColumn="1" w:lastColumn="0" w:noHBand="0" w:noVBand="1"/>
      </w:tblPr>
      <w:tblGrid>
        <w:gridCol w:w="5163"/>
        <w:gridCol w:w="1783"/>
      </w:tblGrid>
      <w:tr w:rsidR="00117984" w:rsidRPr="008F7069" w:rsidTr="009E4A39">
        <w:trPr>
          <w:trHeight w:val="397"/>
        </w:trPr>
        <w:tc>
          <w:tcPr>
            <w:tcW w:w="5163" w:type="dxa"/>
            <w:tcBorders>
              <w:top w:val="nil"/>
              <w:left w:val="nil"/>
              <w:bottom w:val="nil"/>
              <w:right w:val="nil"/>
            </w:tcBorders>
            <w:shd w:val="clear" w:color="000000" w:fill="FF0000"/>
            <w:vAlign w:val="center"/>
            <w:hideMark/>
          </w:tcPr>
          <w:p w:rsidR="00117984" w:rsidRPr="008F7069" w:rsidRDefault="00117984" w:rsidP="009E4A39">
            <w:pPr>
              <w:spacing w:after="0"/>
              <w:rPr>
                <w:rFonts w:asciiTheme="minorHAnsi" w:eastAsia="Times New Roman" w:hAnsiTheme="minorHAnsi" w:cstheme="minorHAnsi"/>
                <w:b/>
                <w:bCs/>
                <w:color w:val="FFFFFF"/>
                <w:sz w:val="20"/>
                <w:szCs w:val="20"/>
                <w:lang w:eastAsia="en-AU"/>
              </w:rPr>
            </w:pPr>
            <w:r w:rsidRPr="008F7069">
              <w:rPr>
                <w:rFonts w:asciiTheme="minorHAnsi" w:eastAsia="Times New Roman" w:hAnsiTheme="minorHAnsi" w:cstheme="minorHAnsi"/>
                <w:b/>
                <w:bCs/>
                <w:color w:val="FFFFFF"/>
                <w:sz w:val="20"/>
                <w:szCs w:val="20"/>
                <w:lang w:eastAsia="en-AU"/>
              </w:rPr>
              <w:t>Summary Data</w:t>
            </w:r>
          </w:p>
        </w:tc>
        <w:tc>
          <w:tcPr>
            <w:tcW w:w="1783" w:type="dxa"/>
            <w:tcBorders>
              <w:top w:val="nil"/>
              <w:left w:val="nil"/>
              <w:bottom w:val="nil"/>
              <w:right w:val="nil"/>
            </w:tcBorders>
            <w:shd w:val="clear" w:color="000000" w:fill="FF0000"/>
            <w:vAlign w:val="center"/>
            <w:hideMark/>
          </w:tcPr>
          <w:p w:rsidR="00117984" w:rsidRPr="008F7069" w:rsidRDefault="00117984" w:rsidP="009E4A39">
            <w:pPr>
              <w:spacing w:after="0"/>
              <w:jc w:val="right"/>
              <w:rPr>
                <w:rFonts w:asciiTheme="minorHAnsi" w:eastAsia="Times New Roman" w:hAnsiTheme="minorHAnsi" w:cstheme="minorHAnsi"/>
                <w:b/>
                <w:bCs/>
                <w:color w:val="FFFFFF"/>
                <w:sz w:val="20"/>
                <w:szCs w:val="20"/>
                <w:lang w:eastAsia="en-AU"/>
              </w:rPr>
            </w:pPr>
          </w:p>
        </w:tc>
      </w:tr>
      <w:tr w:rsidR="00117984" w:rsidRPr="00BD74EC" w:rsidTr="009E4A39">
        <w:trPr>
          <w:trHeight w:val="510"/>
        </w:trPr>
        <w:tc>
          <w:tcPr>
            <w:tcW w:w="5163" w:type="dxa"/>
            <w:tcBorders>
              <w:top w:val="nil"/>
              <w:left w:val="nil"/>
              <w:bottom w:val="nil"/>
              <w:right w:val="nil"/>
            </w:tcBorders>
            <w:shd w:val="clear" w:color="auto" w:fill="D9D9D9" w:themeFill="background1" w:themeFillShade="D9"/>
            <w:vAlign w:val="center"/>
            <w:hideMark/>
          </w:tcPr>
          <w:p w:rsidR="00117984" w:rsidRPr="00BD74EC" w:rsidRDefault="00117984" w:rsidP="009E4A39">
            <w:pPr>
              <w:spacing w:after="0"/>
              <w:rPr>
                <w:rFonts w:asciiTheme="minorHAnsi" w:eastAsia="Times New Roman" w:hAnsiTheme="minorHAnsi" w:cstheme="minorHAnsi"/>
                <w:bCs/>
                <w:color w:val="FF0000"/>
                <w:sz w:val="20"/>
                <w:szCs w:val="20"/>
                <w:lang w:eastAsia="en-AU"/>
              </w:rPr>
            </w:pPr>
            <w:r w:rsidRPr="00BD74EC">
              <w:rPr>
                <w:rFonts w:asciiTheme="minorHAnsi" w:eastAsia="Times New Roman" w:hAnsiTheme="minorHAnsi" w:cstheme="minorHAnsi"/>
                <w:bCs/>
                <w:color w:val="FF0000"/>
                <w:sz w:val="20"/>
                <w:szCs w:val="20"/>
                <w:lang w:eastAsia="en-AU"/>
              </w:rPr>
              <w:t>Contributory Factors</w:t>
            </w:r>
          </w:p>
        </w:tc>
        <w:tc>
          <w:tcPr>
            <w:tcW w:w="1783" w:type="dxa"/>
            <w:tcBorders>
              <w:top w:val="nil"/>
              <w:left w:val="nil"/>
              <w:bottom w:val="nil"/>
              <w:right w:val="nil"/>
            </w:tcBorders>
            <w:shd w:val="clear" w:color="auto" w:fill="D9D9D9" w:themeFill="background1" w:themeFillShade="D9"/>
            <w:vAlign w:val="center"/>
          </w:tcPr>
          <w:p w:rsidR="00117984" w:rsidRPr="00BD74EC" w:rsidRDefault="00117984" w:rsidP="009E4A39">
            <w:pPr>
              <w:spacing w:after="0"/>
              <w:jc w:val="right"/>
              <w:rPr>
                <w:rFonts w:asciiTheme="minorHAnsi" w:eastAsia="Times New Roman" w:hAnsiTheme="minorHAnsi" w:cstheme="minorHAnsi"/>
                <w:bCs/>
                <w:color w:val="FF0000"/>
                <w:sz w:val="20"/>
                <w:szCs w:val="20"/>
                <w:lang w:eastAsia="en-AU"/>
              </w:rPr>
            </w:pPr>
            <w:r w:rsidRPr="00BD74EC">
              <w:rPr>
                <w:rFonts w:asciiTheme="minorHAnsi" w:eastAsia="Times New Roman" w:hAnsiTheme="minorHAnsi" w:cstheme="minorHAnsi"/>
                <w:bCs/>
                <w:color w:val="FF0000"/>
                <w:sz w:val="20"/>
                <w:szCs w:val="20"/>
                <w:lang w:eastAsia="en-AU"/>
              </w:rPr>
              <w:t>Number of reports</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None identified</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277</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Product characteristic</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267</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*Transfusion in emergency setting</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3</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*Deliberate clinical decision</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6</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*Prescribing/ordering</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14</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*Specimen collection/labelling</w:t>
            </w:r>
          </w:p>
        </w:tc>
        <w:tc>
          <w:tcPr>
            <w:tcW w:w="1783" w:type="dxa"/>
            <w:tcBorders>
              <w:top w:val="nil"/>
              <w:left w:val="nil"/>
              <w:bottom w:val="single" w:sz="8" w:space="0" w:color="auto"/>
              <w:right w:val="nil"/>
            </w:tcBorders>
            <w:shd w:val="clear" w:color="000000" w:fill="FFFFFF"/>
            <w:vAlign w:val="bottom"/>
          </w:tcPr>
          <w:p w:rsidR="00117984" w:rsidRDefault="00605288"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0</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*Laboratory (testing/dispensing)</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13</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*Transport, storage, handling</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1</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*Administration of product</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28</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*Indications do not meet guidelines</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8</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 xml:space="preserve">*Procedure did not adhere to </w:t>
            </w:r>
            <w:r>
              <w:rPr>
                <w:rFonts w:asciiTheme="minorHAnsi" w:eastAsia="Times New Roman" w:hAnsiTheme="minorHAnsi" w:cstheme="minorHAnsi"/>
                <w:color w:val="000000"/>
                <w:sz w:val="20"/>
                <w:szCs w:val="20"/>
                <w:lang w:eastAsia="en-AU"/>
              </w:rPr>
              <w:t>hospital</w:t>
            </w:r>
            <w:r w:rsidRPr="008F7069">
              <w:rPr>
                <w:rFonts w:asciiTheme="minorHAnsi" w:eastAsia="Times New Roman" w:hAnsiTheme="minorHAnsi" w:cstheme="minorHAnsi"/>
                <w:color w:val="000000"/>
                <w:sz w:val="20"/>
                <w:szCs w:val="20"/>
                <w:lang w:eastAsia="en-AU"/>
              </w:rPr>
              <w:t xml:space="preserve"> transfusion guidelines</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21</w:t>
            </w:r>
          </w:p>
        </w:tc>
      </w:tr>
      <w:tr w:rsidR="00117984" w:rsidRPr="004F0F72" w:rsidTr="00EC4AF3">
        <w:trPr>
          <w:trHeight w:val="300"/>
        </w:trPr>
        <w:tc>
          <w:tcPr>
            <w:tcW w:w="5163" w:type="dxa"/>
            <w:tcBorders>
              <w:top w:val="nil"/>
              <w:left w:val="nil"/>
              <w:bottom w:val="single" w:sz="8" w:space="0" w:color="auto"/>
              <w:right w:val="nil"/>
            </w:tcBorders>
            <w:shd w:val="clear" w:color="000000" w:fill="FFFFFF"/>
            <w:vAlign w:val="center"/>
            <w:hideMark/>
          </w:tcPr>
          <w:p w:rsidR="00117984" w:rsidRPr="008F7069" w:rsidRDefault="00117984" w:rsidP="009E4A39">
            <w:pPr>
              <w:spacing w:after="0"/>
              <w:rPr>
                <w:rFonts w:asciiTheme="minorHAnsi" w:eastAsia="Times New Roman" w:hAnsiTheme="minorHAnsi" w:cstheme="minorHAnsi"/>
                <w:color w:val="000000"/>
                <w:sz w:val="20"/>
                <w:szCs w:val="20"/>
                <w:lang w:eastAsia="en-AU"/>
              </w:rPr>
            </w:pPr>
            <w:r w:rsidRPr="008F7069">
              <w:rPr>
                <w:rFonts w:asciiTheme="minorHAnsi" w:eastAsia="Times New Roman" w:hAnsiTheme="minorHAnsi" w:cstheme="minorHAnsi"/>
                <w:color w:val="000000"/>
                <w:sz w:val="20"/>
                <w:szCs w:val="20"/>
                <w:lang w:eastAsia="en-AU"/>
              </w:rPr>
              <w:t>Other</w:t>
            </w:r>
          </w:p>
        </w:tc>
        <w:tc>
          <w:tcPr>
            <w:tcW w:w="1783" w:type="dxa"/>
            <w:tcBorders>
              <w:top w:val="nil"/>
              <w:left w:val="nil"/>
              <w:bottom w:val="single" w:sz="8" w:space="0" w:color="auto"/>
              <w:right w:val="nil"/>
            </w:tcBorders>
            <w:shd w:val="clear" w:color="000000" w:fill="FFFFFF"/>
            <w:vAlign w:val="bottom"/>
          </w:tcPr>
          <w:p w:rsidR="00117984" w:rsidRDefault="00117984" w:rsidP="00EC4AF3">
            <w:pPr>
              <w:autoSpaceDE w:val="0"/>
              <w:autoSpaceDN w:val="0"/>
              <w:adjustRightInd w:val="0"/>
              <w:spacing w:after="0"/>
              <w:jc w:val="right"/>
              <w:rPr>
                <w:rFonts w:eastAsiaTheme="minorHAnsi"/>
                <w:color w:val="000000"/>
                <w:sz w:val="20"/>
                <w:szCs w:val="20"/>
                <w:lang w:eastAsia="en-AU"/>
              </w:rPr>
            </w:pPr>
            <w:r>
              <w:rPr>
                <w:rFonts w:eastAsiaTheme="minorHAnsi"/>
                <w:color w:val="000000"/>
                <w:sz w:val="20"/>
                <w:szCs w:val="20"/>
              </w:rPr>
              <w:t>21</w:t>
            </w:r>
          </w:p>
        </w:tc>
      </w:tr>
    </w:tbl>
    <w:p w:rsidR="00117984" w:rsidRPr="008C3A7A" w:rsidRDefault="00117984" w:rsidP="0011798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117984" w:rsidRPr="008C3A7A" w:rsidRDefault="00117984" w:rsidP="0096249F">
      <w:pPr>
        <w:numPr>
          <w:ilvl w:val="0"/>
          <w:numId w:val="54"/>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Contributory fact</w:t>
      </w:r>
      <w:r>
        <w:rPr>
          <w:rFonts w:asciiTheme="minorHAnsi" w:eastAsiaTheme="minorEastAsia" w:hAnsiTheme="minorHAnsi" w:cstheme="minorHAnsi"/>
          <w:sz w:val="18"/>
          <w:szCs w:val="18"/>
          <w:lang w:eastAsia="en-AU"/>
        </w:rPr>
        <w:t>or</w:t>
      </w:r>
      <w:r w:rsidRPr="008C3A7A">
        <w:rPr>
          <w:rFonts w:asciiTheme="minorHAnsi" w:eastAsiaTheme="minorEastAsia" w:hAnsiTheme="minorHAnsi" w:cstheme="minorHAnsi"/>
          <w:sz w:val="18"/>
          <w:szCs w:val="18"/>
          <w:lang w:eastAsia="en-AU"/>
        </w:rPr>
        <w:t>s are not identified for most of the adverse events reported by QLD and SA</w:t>
      </w:r>
    </w:p>
    <w:p w:rsidR="00605288" w:rsidRDefault="00117984" w:rsidP="0096249F">
      <w:pPr>
        <w:numPr>
          <w:ilvl w:val="0"/>
          <w:numId w:val="54"/>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WA</w:t>
      </w:r>
      <w:r w:rsidR="007D6B6B">
        <w:rPr>
          <w:rFonts w:asciiTheme="minorHAnsi" w:eastAsiaTheme="minorEastAsia" w:hAnsiTheme="minorHAnsi" w:cstheme="minorHAnsi"/>
          <w:sz w:val="18"/>
          <w:szCs w:val="18"/>
          <w:lang w:eastAsia="en-AU"/>
        </w:rPr>
        <w:t xml:space="preserve"> did not contribute d</w:t>
      </w:r>
      <w:r w:rsidR="00605288">
        <w:rPr>
          <w:rFonts w:asciiTheme="minorHAnsi" w:eastAsiaTheme="minorEastAsia" w:hAnsiTheme="minorHAnsi" w:cstheme="minorHAnsi"/>
          <w:sz w:val="18"/>
          <w:szCs w:val="18"/>
          <w:lang w:eastAsia="en-AU"/>
        </w:rPr>
        <w:t>ata</w:t>
      </w:r>
    </w:p>
    <w:p w:rsidR="00117984" w:rsidRDefault="00117984" w:rsidP="0096249F">
      <w:pPr>
        <w:numPr>
          <w:ilvl w:val="0"/>
          <w:numId w:val="54"/>
        </w:numPr>
        <w:spacing w:before="40" w:after="40" w:line="180" w:lineRule="atLeast"/>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 xml:space="preserve">ACT </w:t>
      </w:r>
      <w:r w:rsidR="007D6B6B">
        <w:rPr>
          <w:rFonts w:asciiTheme="minorHAnsi" w:eastAsiaTheme="minorEastAsia" w:hAnsiTheme="minorHAnsi" w:cstheme="minorHAnsi"/>
          <w:sz w:val="18"/>
          <w:szCs w:val="18"/>
          <w:lang w:eastAsia="en-AU"/>
        </w:rPr>
        <w:t xml:space="preserve">reported zero </w:t>
      </w:r>
      <w:r w:rsidR="004417CB">
        <w:rPr>
          <w:rFonts w:asciiTheme="minorHAnsi" w:eastAsiaTheme="minorEastAsia" w:hAnsiTheme="minorHAnsi" w:cstheme="minorHAnsi"/>
          <w:sz w:val="18"/>
          <w:szCs w:val="18"/>
          <w:lang w:eastAsia="en-AU"/>
        </w:rPr>
        <w:t xml:space="preserve">adverse </w:t>
      </w:r>
      <w:r w:rsidR="007D6B6B">
        <w:rPr>
          <w:rFonts w:asciiTheme="minorHAnsi" w:eastAsiaTheme="minorEastAsia" w:hAnsiTheme="minorHAnsi" w:cstheme="minorHAnsi"/>
          <w:sz w:val="18"/>
          <w:szCs w:val="18"/>
          <w:lang w:eastAsia="en-AU"/>
        </w:rPr>
        <w:t>event</w:t>
      </w:r>
      <w:r w:rsidR="004417CB">
        <w:rPr>
          <w:rFonts w:asciiTheme="minorHAnsi" w:eastAsiaTheme="minorEastAsia" w:hAnsiTheme="minorHAnsi" w:cstheme="minorHAnsi"/>
          <w:sz w:val="18"/>
          <w:szCs w:val="18"/>
          <w:lang w:eastAsia="en-AU"/>
        </w:rPr>
        <w:t>s</w:t>
      </w:r>
    </w:p>
    <w:p w:rsidR="00117984" w:rsidRPr="008C3A7A" w:rsidRDefault="00117984" w:rsidP="001536EF">
      <w:pPr>
        <w:numPr>
          <w:ilvl w:val="0"/>
          <w:numId w:val="54"/>
        </w:numPr>
        <w:spacing w:before="40" w:after="40" w:line="180" w:lineRule="atLeast"/>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 xml:space="preserve">* refers to </w:t>
      </w:r>
      <w:r w:rsidR="001536EF" w:rsidRPr="001536EF">
        <w:rPr>
          <w:rFonts w:asciiTheme="minorHAnsi" w:eastAsiaTheme="minorEastAsia" w:hAnsiTheme="minorHAnsi" w:cstheme="minorHAnsi"/>
          <w:sz w:val="18"/>
          <w:szCs w:val="18"/>
          <w:lang w:eastAsia="en-AU"/>
        </w:rPr>
        <w:t xml:space="preserve">potentially avoidable </w:t>
      </w:r>
      <w:r w:rsidR="0097131E">
        <w:rPr>
          <w:rFonts w:asciiTheme="minorHAnsi" w:eastAsiaTheme="minorEastAsia" w:hAnsiTheme="minorHAnsi" w:cstheme="minorHAnsi"/>
          <w:sz w:val="18"/>
          <w:szCs w:val="18"/>
          <w:lang w:eastAsia="en-AU"/>
        </w:rPr>
        <w:t>human errors</w:t>
      </w:r>
    </w:p>
    <w:p w:rsidR="00117984" w:rsidRPr="00EC4AF3" w:rsidRDefault="00117984" w:rsidP="00117984">
      <w:pPr>
        <w:spacing w:before="200"/>
      </w:pPr>
      <w:r w:rsidRPr="00EC4AF3">
        <w:t xml:space="preserve">The </w:t>
      </w:r>
      <w:r w:rsidR="000E4566">
        <w:t>n</w:t>
      </w:r>
      <w:r w:rsidRPr="00EC4AF3">
        <w:t xml:space="preserve">ational </w:t>
      </w:r>
      <w:proofErr w:type="spellStart"/>
      <w:r w:rsidR="000E4566">
        <w:t>h</w:t>
      </w:r>
      <w:r w:rsidRPr="00EC4AF3">
        <w:t>aemovigilance</w:t>
      </w:r>
      <w:proofErr w:type="spellEnd"/>
      <w:r w:rsidRPr="00EC4AF3">
        <w:t xml:space="preserve"> </w:t>
      </w:r>
      <w:r w:rsidR="000E4566">
        <w:t>p</w:t>
      </w:r>
      <w:r w:rsidRPr="00EC4AF3">
        <w:t>rogram requests that states and territories report data on factors contributing to each adverse event where applicable. The contributory factor categories defined seek to mirror key stages of the transfusion chain. It should be noted that:</w:t>
      </w:r>
    </w:p>
    <w:p w:rsidR="00117984" w:rsidRPr="00355979" w:rsidRDefault="00117984" w:rsidP="0096249F">
      <w:pPr>
        <w:pStyle w:val="ListParagraph"/>
        <w:numPr>
          <w:ilvl w:val="0"/>
          <w:numId w:val="14"/>
        </w:numPr>
        <w:rPr>
          <w:rFonts w:asciiTheme="minorHAnsi" w:eastAsia="Calibri" w:hAnsiTheme="minorHAnsi" w:cstheme="minorHAnsi"/>
          <w:lang w:eastAsia="en-AU"/>
        </w:rPr>
      </w:pPr>
      <w:r>
        <w:rPr>
          <w:rFonts w:asciiTheme="minorHAnsi" w:eastAsia="Calibri" w:hAnsiTheme="minorHAnsi" w:cstheme="minorHAnsi"/>
          <w:lang w:eastAsia="en-AU"/>
        </w:rPr>
        <w:t>T</w:t>
      </w:r>
      <w:r w:rsidRPr="00355979">
        <w:rPr>
          <w:rFonts w:asciiTheme="minorHAnsi" w:eastAsia="Calibri" w:hAnsiTheme="minorHAnsi" w:cstheme="minorHAnsi"/>
          <w:lang w:eastAsia="en-AU"/>
        </w:rPr>
        <w:t>hese categories are not mutually exclusive and more than one contributory factor may be associated with an adverse event</w:t>
      </w:r>
      <w:r>
        <w:rPr>
          <w:rFonts w:asciiTheme="minorHAnsi" w:eastAsia="Calibri" w:hAnsiTheme="minorHAnsi" w:cstheme="minorHAnsi"/>
          <w:lang w:eastAsia="en-AU"/>
        </w:rPr>
        <w:t>.</w:t>
      </w:r>
    </w:p>
    <w:p w:rsidR="00117984" w:rsidRDefault="001536EF" w:rsidP="0096249F">
      <w:pPr>
        <w:pStyle w:val="ListParagraph"/>
        <w:numPr>
          <w:ilvl w:val="0"/>
          <w:numId w:val="14"/>
        </w:numPr>
        <w:rPr>
          <w:rFonts w:asciiTheme="minorHAnsi" w:eastAsia="Calibri" w:hAnsiTheme="minorHAnsi" w:cstheme="minorHAnsi"/>
          <w:lang w:eastAsia="en-AU"/>
        </w:rPr>
      </w:pPr>
      <w:r>
        <w:rPr>
          <w:rFonts w:asciiTheme="minorHAnsi" w:eastAsia="Calibri" w:hAnsiTheme="minorHAnsi" w:cstheme="minorHAnsi"/>
          <w:lang w:eastAsia="en-AU"/>
        </w:rPr>
        <w:t>Contributory</w:t>
      </w:r>
      <w:r w:rsidRPr="00355979">
        <w:rPr>
          <w:rFonts w:asciiTheme="minorHAnsi" w:eastAsia="Calibri" w:hAnsiTheme="minorHAnsi" w:cstheme="minorHAnsi"/>
          <w:lang w:eastAsia="en-AU"/>
        </w:rPr>
        <w:t xml:space="preserve"> </w:t>
      </w:r>
      <w:r w:rsidR="00117984" w:rsidRPr="00355979">
        <w:rPr>
          <w:rFonts w:asciiTheme="minorHAnsi" w:eastAsia="Calibri" w:hAnsiTheme="minorHAnsi" w:cstheme="minorHAnsi"/>
          <w:lang w:eastAsia="en-AU"/>
        </w:rPr>
        <w:t xml:space="preserve">factors </w:t>
      </w:r>
      <w:r>
        <w:rPr>
          <w:rFonts w:asciiTheme="minorHAnsi" w:eastAsia="Calibri" w:hAnsiTheme="minorHAnsi" w:cstheme="minorHAnsi"/>
          <w:lang w:eastAsia="en-AU"/>
        </w:rPr>
        <w:t xml:space="preserve">include </w:t>
      </w:r>
      <w:r w:rsidR="00117984" w:rsidRPr="00355979">
        <w:rPr>
          <w:rFonts w:asciiTheme="minorHAnsi" w:eastAsia="Calibri" w:hAnsiTheme="minorHAnsi" w:cstheme="minorHAnsi"/>
          <w:lang w:eastAsia="en-AU"/>
        </w:rPr>
        <w:t xml:space="preserve">human errors which could </w:t>
      </w:r>
      <w:r>
        <w:rPr>
          <w:rFonts w:asciiTheme="minorHAnsi" w:eastAsia="Calibri" w:hAnsiTheme="minorHAnsi" w:cstheme="minorHAnsi"/>
          <w:lang w:eastAsia="en-AU"/>
        </w:rPr>
        <w:t>potentially</w:t>
      </w:r>
      <w:r w:rsidR="00117984">
        <w:rPr>
          <w:rFonts w:asciiTheme="minorHAnsi" w:eastAsia="Calibri" w:hAnsiTheme="minorHAnsi" w:cstheme="minorHAnsi"/>
          <w:lang w:eastAsia="en-AU"/>
        </w:rPr>
        <w:t xml:space="preserve"> </w:t>
      </w:r>
      <w:r w:rsidR="00437C01" w:rsidRPr="00355979">
        <w:rPr>
          <w:rFonts w:asciiTheme="minorHAnsi" w:eastAsia="Calibri" w:hAnsiTheme="minorHAnsi" w:cstheme="minorHAnsi"/>
          <w:lang w:eastAsia="en-AU"/>
        </w:rPr>
        <w:t xml:space="preserve">have </w:t>
      </w:r>
      <w:r w:rsidR="00437C01">
        <w:rPr>
          <w:rFonts w:asciiTheme="minorHAnsi" w:eastAsia="Calibri" w:hAnsiTheme="minorHAnsi" w:cstheme="minorHAnsi"/>
          <w:lang w:eastAsia="en-AU"/>
        </w:rPr>
        <w:t xml:space="preserve">been </w:t>
      </w:r>
      <w:r w:rsidR="00117984">
        <w:rPr>
          <w:rFonts w:asciiTheme="minorHAnsi" w:eastAsia="Calibri" w:hAnsiTheme="minorHAnsi" w:cstheme="minorHAnsi"/>
          <w:lang w:eastAsia="en-AU"/>
        </w:rPr>
        <w:t>avoided.</w:t>
      </w:r>
    </w:p>
    <w:p w:rsidR="00117984" w:rsidRDefault="00117984" w:rsidP="0096249F">
      <w:pPr>
        <w:pStyle w:val="ListParagraph"/>
        <w:numPr>
          <w:ilvl w:val="0"/>
          <w:numId w:val="14"/>
        </w:numPr>
        <w:rPr>
          <w:rFonts w:asciiTheme="minorHAnsi" w:eastAsia="Calibri" w:hAnsiTheme="minorHAnsi" w:cstheme="minorHAnsi"/>
          <w:lang w:eastAsia="en-AU"/>
        </w:rPr>
      </w:pPr>
      <w:r>
        <w:rPr>
          <w:rFonts w:asciiTheme="minorHAnsi" w:eastAsia="Calibri" w:hAnsiTheme="minorHAnsi" w:cstheme="minorHAnsi"/>
          <w:lang w:eastAsia="en-AU"/>
        </w:rPr>
        <w:t>C</w:t>
      </w:r>
      <w:r w:rsidRPr="00A514D2">
        <w:rPr>
          <w:rFonts w:asciiTheme="minorHAnsi" w:eastAsia="Calibri" w:hAnsiTheme="minorHAnsi" w:cstheme="minorHAnsi"/>
          <w:lang w:eastAsia="en-AU"/>
        </w:rPr>
        <w:t>ontributory fact</w:t>
      </w:r>
      <w:r>
        <w:rPr>
          <w:rFonts w:asciiTheme="minorHAnsi" w:eastAsia="Calibri" w:hAnsiTheme="minorHAnsi" w:cstheme="minorHAnsi"/>
          <w:lang w:eastAsia="en-AU"/>
        </w:rPr>
        <w:t>or</w:t>
      </w:r>
      <w:r w:rsidRPr="00A514D2">
        <w:rPr>
          <w:rFonts w:asciiTheme="minorHAnsi" w:eastAsia="Calibri" w:hAnsiTheme="minorHAnsi" w:cstheme="minorHAnsi"/>
          <w:lang w:eastAsia="en-AU"/>
        </w:rPr>
        <w:t>s are not identified for most of the adverse events reported by QLD and SA</w:t>
      </w:r>
      <w:r>
        <w:rPr>
          <w:rFonts w:asciiTheme="minorHAnsi" w:eastAsia="Calibri" w:hAnsiTheme="minorHAnsi" w:cstheme="minorHAnsi"/>
          <w:lang w:eastAsia="en-AU"/>
        </w:rPr>
        <w:t>.</w:t>
      </w:r>
    </w:p>
    <w:p w:rsidR="00437C01" w:rsidRDefault="00117984" w:rsidP="00117984">
      <w:pPr>
        <w:pStyle w:val="ListParagraph"/>
        <w:numPr>
          <w:ilvl w:val="0"/>
          <w:numId w:val="14"/>
        </w:numPr>
        <w:rPr>
          <w:rFonts w:asciiTheme="minorHAnsi" w:eastAsia="Calibri" w:hAnsiTheme="minorHAnsi" w:cstheme="minorHAnsi"/>
          <w:lang w:eastAsia="en-AU"/>
        </w:rPr>
      </w:pPr>
      <w:r w:rsidRPr="008E285F">
        <w:rPr>
          <w:rFonts w:asciiTheme="minorHAnsi" w:eastAsia="Calibri" w:hAnsiTheme="minorHAnsi" w:cstheme="minorHAnsi"/>
          <w:lang w:eastAsia="en-AU"/>
        </w:rPr>
        <w:t>Near miss data is not presented in the report. However, some states and territories, such as VIC, SA, ACT, NT</w:t>
      </w:r>
      <w:r w:rsidR="002C7A63" w:rsidRPr="008E285F">
        <w:rPr>
          <w:rFonts w:asciiTheme="minorHAnsi" w:eastAsia="Calibri" w:hAnsiTheme="minorHAnsi" w:cstheme="minorHAnsi"/>
          <w:lang w:eastAsia="en-AU"/>
        </w:rPr>
        <w:t>,</w:t>
      </w:r>
      <w:r w:rsidR="00A5151B">
        <w:rPr>
          <w:rFonts w:asciiTheme="minorHAnsi" w:eastAsia="Calibri" w:hAnsiTheme="minorHAnsi" w:cstheme="minorHAnsi"/>
          <w:lang w:eastAsia="en-AU"/>
        </w:rPr>
        <w:t xml:space="preserve"> </w:t>
      </w:r>
      <w:r w:rsidR="002C7A63" w:rsidRPr="008E285F">
        <w:rPr>
          <w:rFonts w:asciiTheme="minorHAnsi" w:eastAsia="Calibri" w:hAnsiTheme="minorHAnsi" w:cstheme="minorHAnsi"/>
          <w:lang w:eastAsia="en-AU"/>
        </w:rPr>
        <w:t>TAS</w:t>
      </w:r>
      <w:r w:rsidRPr="008E285F">
        <w:rPr>
          <w:rFonts w:asciiTheme="minorHAnsi" w:eastAsia="Calibri" w:hAnsiTheme="minorHAnsi" w:cstheme="minorHAnsi"/>
          <w:lang w:eastAsia="en-AU"/>
        </w:rPr>
        <w:t xml:space="preserve"> and NSW, have collected near miss events in their systems.</w:t>
      </w:r>
    </w:p>
    <w:p w:rsidR="00117984" w:rsidRPr="00437C01" w:rsidRDefault="00117984" w:rsidP="00437C01">
      <w:pPr>
        <w:rPr>
          <w:rFonts w:asciiTheme="minorHAnsi" w:eastAsia="Calibri" w:hAnsiTheme="minorHAnsi" w:cstheme="minorHAnsi"/>
          <w:lang w:eastAsia="en-AU"/>
        </w:rPr>
      </w:pPr>
      <w:r w:rsidRPr="00437C01">
        <w:rPr>
          <w:rFonts w:asciiTheme="minorHAnsi" w:eastAsia="Calibri" w:hAnsiTheme="minorHAnsi" w:cstheme="minorHAnsi"/>
          <w:lang w:eastAsia="en-AU"/>
        </w:rPr>
        <w:t>The data in this report shows:</w:t>
      </w:r>
    </w:p>
    <w:p w:rsidR="00117984" w:rsidRPr="009E4A39" w:rsidRDefault="00117984" w:rsidP="0096249F">
      <w:pPr>
        <w:pStyle w:val="ListParagraph"/>
        <w:numPr>
          <w:ilvl w:val="0"/>
          <w:numId w:val="15"/>
        </w:numPr>
        <w:rPr>
          <w:rFonts w:asciiTheme="minorHAnsi" w:hAnsiTheme="minorHAnsi"/>
        </w:rPr>
      </w:pPr>
      <w:r w:rsidRPr="009E4A39">
        <w:rPr>
          <w:rFonts w:asciiTheme="minorHAnsi" w:hAnsiTheme="minorHAnsi"/>
        </w:rPr>
        <w:t>The most frequent contributory factor was ‘product characteristic’, accounting for 267 adverse events in 2013–14. A blood component may contribute to an adverse reaction due to an inherent but not necessarily faulty characteristic, such as an allergic or immunological reaction to a component. Individual patient characteristics play an important role in this factor. Patients with previous transfusions and pregnancies are at increased risk of FNHTR, allergic and anaphylactic reactions. Since this factor is related to both individual patient characteristics and component characteristics, the current terminology and definition may not be appropriate and could lead to confusion for data collectors and users.</w:t>
      </w:r>
    </w:p>
    <w:p w:rsidR="00117984" w:rsidRPr="009E4A39" w:rsidRDefault="00117984" w:rsidP="0096249F">
      <w:pPr>
        <w:pStyle w:val="ListParagraph"/>
        <w:numPr>
          <w:ilvl w:val="0"/>
          <w:numId w:val="15"/>
        </w:numPr>
        <w:rPr>
          <w:rFonts w:asciiTheme="minorHAnsi" w:eastAsia="Calibri" w:hAnsiTheme="minorHAnsi" w:cstheme="minorHAnsi"/>
          <w:lang w:eastAsia="en-AU"/>
        </w:rPr>
      </w:pPr>
      <w:r w:rsidRPr="009E4A39">
        <w:rPr>
          <w:rFonts w:asciiTheme="minorHAnsi" w:hAnsiTheme="minorHAnsi" w:cstheme="minorHAnsi"/>
          <w:lang w:eastAsia="en-AU"/>
        </w:rPr>
        <w:t>There were 73 adverse event reports (11.8%) that cited one or more preventable contributory factors for 2013–14. The most common</w:t>
      </w:r>
      <w:r w:rsidR="00FF1C39">
        <w:rPr>
          <w:rFonts w:asciiTheme="minorHAnsi" w:hAnsiTheme="minorHAnsi" w:cstheme="minorHAnsi"/>
          <w:lang w:eastAsia="en-AU"/>
        </w:rPr>
        <w:t xml:space="preserve"> avoidable</w:t>
      </w:r>
      <w:r w:rsidRPr="009E4A39">
        <w:rPr>
          <w:rFonts w:asciiTheme="minorHAnsi" w:hAnsiTheme="minorHAnsi" w:cstheme="minorHAnsi"/>
          <w:lang w:eastAsia="en-AU"/>
        </w:rPr>
        <w:t xml:space="preserve"> contributory factors cited were ‘administration of product’ (28 reports) and ‘procedure did not adhere to hospital transfusion guidelines’ (21 reports).</w:t>
      </w:r>
    </w:p>
    <w:p w:rsidR="000E4566" w:rsidRDefault="000E4566">
      <w:pPr>
        <w:spacing w:line="276" w:lineRule="auto"/>
        <w:rPr>
          <w:rFonts w:asciiTheme="minorHAnsi" w:hAnsiTheme="minorHAnsi" w:cstheme="minorHAnsi"/>
          <w:noProof/>
        </w:rPr>
      </w:pPr>
      <w:bookmarkStart w:id="117" w:name="_Toc358983602"/>
      <w:bookmarkStart w:id="118" w:name="_Ref261012439"/>
      <w:bookmarkStart w:id="119" w:name="_Toc263840110"/>
      <w:r>
        <w:rPr>
          <w:rFonts w:asciiTheme="minorHAnsi" w:hAnsiTheme="minorHAnsi" w:cstheme="minorHAnsi"/>
          <w:noProof/>
        </w:rPr>
        <w:br w:type="page"/>
      </w:r>
    </w:p>
    <w:p w:rsidR="00117984" w:rsidRPr="009E4A39" w:rsidRDefault="00117984" w:rsidP="0096249F">
      <w:pPr>
        <w:pStyle w:val="ListParagraph"/>
        <w:numPr>
          <w:ilvl w:val="0"/>
          <w:numId w:val="15"/>
        </w:numPr>
        <w:rPr>
          <w:rFonts w:asciiTheme="minorHAnsi" w:eastAsia="Calibri" w:hAnsiTheme="minorHAnsi" w:cstheme="minorHAnsi"/>
          <w:lang w:eastAsia="en-AU"/>
        </w:rPr>
      </w:pPr>
      <w:r w:rsidRPr="009E4A39">
        <w:rPr>
          <w:rFonts w:asciiTheme="minorHAnsi" w:hAnsiTheme="minorHAnsi" w:cstheme="minorHAnsi"/>
          <w:noProof/>
        </w:rPr>
        <w:lastRenderedPageBreak/>
        <w:fldChar w:fldCharType="begin"/>
      </w:r>
      <w:r w:rsidRPr="009E4A39">
        <w:rPr>
          <w:rFonts w:asciiTheme="minorHAnsi" w:hAnsiTheme="minorHAnsi" w:cstheme="minorHAnsi"/>
          <w:noProof/>
        </w:rPr>
        <w:instrText xml:space="preserve"> REF _Ref359338306 \h  \* MERGEFORMAT </w:instrText>
      </w:r>
      <w:r w:rsidRPr="009E4A39">
        <w:rPr>
          <w:rFonts w:asciiTheme="minorHAnsi" w:hAnsiTheme="minorHAnsi" w:cstheme="minorHAnsi"/>
          <w:noProof/>
        </w:rPr>
      </w:r>
      <w:r w:rsidRPr="009E4A39">
        <w:rPr>
          <w:rFonts w:asciiTheme="minorHAnsi" w:hAnsiTheme="minorHAnsi" w:cstheme="minorHAnsi"/>
          <w:noProof/>
        </w:rPr>
        <w:fldChar w:fldCharType="separate"/>
      </w:r>
      <w:r w:rsidR="000010BC" w:rsidRPr="003A25C4">
        <w:t xml:space="preserve">Table </w:t>
      </w:r>
      <w:r w:rsidR="000010BC">
        <w:rPr>
          <w:noProof/>
        </w:rPr>
        <w:t>23</w:t>
      </w:r>
      <w:r w:rsidRPr="009E4A39">
        <w:rPr>
          <w:rFonts w:asciiTheme="minorHAnsi" w:hAnsiTheme="minorHAnsi" w:cstheme="minorHAnsi"/>
          <w:noProof/>
        </w:rPr>
        <w:fldChar w:fldCharType="end"/>
      </w:r>
      <w:r w:rsidRPr="009E4A39">
        <w:rPr>
          <w:rFonts w:asciiTheme="minorHAnsi" w:hAnsiTheme="minorHAnsi" w:cstheme="minorHAnsi"/>
          <w:noProof/>
        </w:rPr>
        <w:t xml:space="preserve"> </w:t>
      </w:r>
      <w:r w:rsidRPr="009E4A39">
        <w:rPr>
          <w:rFonts w:asciiTheme="minorHAnsi" w:eastAsia="Calibri" w:hAnsiTheme="minorHAnsi" w:cstheme="minorHAnsi"/>
          <w:lang w:eastAsia="en-AU"/>
        </w:rPr>
        <w:t>shows that</w:t>
      </w:r>
      <w:r w:rsidR="00FF1C39">
        <w:rPr>
          <w:rFonts w:asciiTheme="minorHAnsi" w:eastAsia="Calibri" w:hAnsiTheme="minorHAnsi" w:cstheme="minorHAnsi"/>
          <w:lang w:eastAsia="en-AU"/>
        </w:rPr>
        <w:t xml:space="preserve"> events during the </w:t>
      </w:r>
      <w:r w:rsidRPr="009E4A39">
        <w:rPr>
          <w:rFonts w:asciiTheme="minorHAnsi" w:eastAsia="Calibri" w:hAnsiTheme="minorHAnsi" w:cstheme="minorHAnsi"/>
          <w:lang w:eastAsia="en-AU"/>
        </w:rPr>
        <w:t xml:space="preserve"> ‘administration of product’ impacted:</w:t>
      </w:r>
      <w:bookmarkEnd w:id="117"/>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10 IBCTs</w:t>
      </w:r>
    </w:p>
    <w:p w:rsidR="00117984" w:rsidRPr="009E4A39" w:rsidRDefault="00117984" w:rsidP="0096249F">
      <w:pPr>
        <w:pStyle w:val="ListParagraph"/>
        <w:numPr>
          <w:ilvl w:val="1"/>
          <w:numId w:val="15"/>
        </w:numPr>
        <w:ind w:left="782" w:hanging="357"/>
        <w:rPr>
          <w:rFonts w:asciiTheme="minorHAnsi" w:eastAsia="Calibri" w:hAnsiTheme="minorHAnsi" w:cstheme="minorHAnsi"/>
          <w:lang w:eastAsia="en-AU"/>
        </w:rPr>
      </w:pPr>
      <w:r w:rsidRPr="009E4A39">
        <w:rPr>
          <w:rFonts w:asciiTheme="minorHAnsi" w:eastAsia="Calibri" w:hAnsiTheme="minorHAnsi" w:cstheme="minorHAnsi"/>
          <w:lang w:eastAsia="en-AU"/>
        </w:rPr>
        <w:t>8 FNHTRs</w:t>
      </w:r>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3 TTIs</w:t>
      </w:r>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2 severe allergic reactions</w:t>
      </w:r>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2 AHTRs</w:t>
      </w:r>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 xml:space="preserve">1 anaphylactic or </w:t>
      </w:r>
      <w:proofErr w:type="spellStart"/>
      <w:r w:rsidRPr="009E4A39">
        <w:rPr>
          <w:rFonts w:asciiTheme="minorHAnsi" w:eastAsia="Calibri" w:hAnsiTheme="minorHAnsi" w:cstheme="minorHAnsi"/>
          <w:lang w:eastAsia="en-AU"/>
        </w:rPr>
        <w:t>anaphylactoid</w:t>
      </w:r>
      <w:proofErr w:type="spellEnd"/>
      <w:r w:rsidRPr="009E4A39">
        <w:rPr>
          <w:rFonts w:asciiTheme="minorHAnsi" w:eastAsia="Calibri" w:hAnsiTheme="minorHAnsi" w:cstheme="minorHAnsi"/>
          <w:lang w:eastAsia="en-AU"/>
        </w:rPr>
        <w:t xml:space="preserve"> reaction</w:t>
      </w:r>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1 TACO</w:t>
      </w:r>
    </w:p>
    <w:p w:rsidR="00117984" w:rsidRPr="009E4A39" w:rsidRDefault="00117984" w:rsidP="0096249F">
      <w:pPr>
        <w:pStyle w:val="ListParagraph"/>
        <w:numPr>
          <w:ilvl w:val="1"/>
          <w:numId w:val="15"/>
        </w:numPr>
        <w:rPr>
          <w:rFonts w:asciiTheme="minorHAnsi" w:eastAsia="Calibri" w:hAnsiTheme="minorHAnsi" w:cstheme="minorHAnsi"/>
          <w:lang w:eastAsia="en-AU"/>
        </w:rPr>
      </w:pPr>
      <w:r w:rsidRPr="009E4A39">
        <w:rPr>
          <w:rFonts w:asciiTheme="minorHAnsi" w:eastAsia="Calibri" w:hAnsiTheme="minorHAnsi" w:cstheme="minorHAnsi"/>
          <w:lang w:eastAsia="en-AU"/>
        </w:rPr>
        <w:t>1 TRALI</w:t>
      </w:r>
    </w:p>
    <w:p w:rsidR="00117984" w:rsidRPr="009E4A39" w:rsidRDefault="00117984" w:rsidP="0096249F">
      <w:pPr>
        <w:pStyle w:val="ListParagraph"/>
        <w:numPr>
          <w:ilvl w:val="0"/>
          <w:numId w:val="15"/>
        </w:numPr>
      </w:pPr>
      <w:r w:rsidRPr="009E4A39">
        <w:t>The clinical outcome severities related to ‘administration of product’ included:</w:t>
      </w:r>
    </w:p>
    <w:p w:rsidR="00117984" w:rsidRPr="009E4A39" w:rsidRDefault="00117984" w:rsidP="0096249F">
      <w:pPr>
        <w:pStyle w:val="ListParagraph"/>
        <w:numPr>
          <w:ilvl w:val="1"/>
          <w:numId w:val="15"/>
        </w:numPr>
        <w:rPr>
          <w:lang w:eastAsia="en-AU"/>
        </w:rPr>
      </w:pPr>
      <w:r w:rsidRPr="009E4A39">
        <w:rPr>
          <w:lang w:eastAsia="en-AU"/>
        </w:rPr>
        <w:t>1 life</w:t>
      </w:r>
      <w:r w:rsidR="000E4566">
        <w:rPr>
          <w:lang w:eastAsia="en-AU"/>
        </w:rPr>
        <w:t>-</w:t>
      </w:r>
      <w:r w:rsidR="00F35D94">
        <w:rPr>
          <w:lang w:eastAsia="en-AU"/>
        </w:rPr>
        <w:t>threatening case</w:t>
      </w:r>
    </w:p>
    <w:p w:rsidR="00117984" w:rsidRPr="009E4A39" w:rsidRDefault="00117984" w:rsidP="0096249F">
      <w:pPr>
        <w:pStyle w:val="ListParagraph"/>
        <w:numPr>
          <w:ilvl w:val="1"/>
          <w:numId w:val="15"/>
        </w:numPr>
        <w:rPr>
          <w:lang w:eastAsia="en-AU"/>
        </w:rPr>
      </w:pPr>
      <w:r w:rsidRPr="009E4A39">
        <w:rPr>
          <w:lang w:eastAsia="en-AU"/>
        </w:rPr>
        <w:t>2 severe morbidity</w:t>
      </w:r>
      <w:r w:rsidRPr="009E4A39">
        <w:t xml:space="preserve"> </w:t>
      </w:r>
      <w:r w:rsidR="00F35D94">
        <w:rPr>
          <w:lang w:eastAsia="en-AU"/>
        </w:rPr>
        <w:t>cases</w:t>
      </w:r>
    </w:p>
    <w:p w:rsidR="00117984" w:rsidRPr="009E4A39" w:rsidRDefault="00117984" w:rsidP="0096249F">
      <w:pPr>
        <w:pStyle w:val="ListParagraph"/>
        <w:numPr>
          <w:ilvl w:val="1"/>
          <w:numId w:val="15"/>
        </w:numPr>
        <w:rPr>
          <w:lang w:eastAsia="en-AU"/>
        </w:rPr>
      </w:pPr>
      <w:r w:rsidRPr="009E4A39">
        <w:rPr>
          <w:lang w:eastAsia="en-AU"/>
        </w:rPr>
        <w:t>14 minor morbidity cases</w:t>
      </w:r>
    </w:p>
    <w:p w:rsidR="00117984" w:rsidRPr="009E4A39" w:rsidRDefault="00117984" w:rsidP="0096249F">
      <w:pPr>
        <w:pStyle w:val="ListParagraph"/>
        <w:numPr>
          <w:ilvl w:val="1"/>
          <w:numId w:val="15"/>
        </w:numPr>
        <w:rPr>
          <w:lang w:eastAsia="en-AU"/>
        </w:rPr>
      </w:pPr>
      <w:r w:rsidRPr="009E4A39">
        <w:rPr>
          <w:lang w:eastAsia="en-AU"/>
        </w:rPr>
        <w:t>7 no morbidity cases</w:t>
      </w:r>
    </w:p>
    <w:p w:rsidR="00117984" w:rsidRPr="009E4A39" w:rsidRDefault="00117984" w:rsidP="0096249F">
      <w:pPr>
        <w:pStyle w:val="ListParagraph"/>
        <w:numPr>
          <w:ilvl w:val="1"/>
          <w:numId w:val="15"/>
        </w:numPr>
        <w:rPr>
          <w:lang w:eastAsia="en-AU"/>
        </w:rPr>
      </w:pPr>
      <w:r w:rsidRPr="009E4A39">
        <w:rPr>
          <w:lang w:eastAsia="en-AU"/>
        </w:rPr>
        <w:t>4 outcome not available cases</w:t>
      </w:r>
      <w:r w:rsidR="00437C01">
        <w:rPr>
          <w:lang w:eastAsia="en-AU"/>
        </w:rPr>
        <w:t>.</w:t>
      </w:r>
    </w:p>
    <w:p w:rsidR="00117984" w:rsidRDefault="00117984" w:rsidP="00117984">
      <w:pPr>
        <w:contextualSpacing/>
        <w:rPr>
          <w:rFonts w:asciiTheme="minorHAnsi" w:hAnsiTheme="minorHAnsi" w:cstheme="minorHAnsi"/>
        </w:rPr>
      </w:pPr>
      <w:r w:rsidRPr="00355979">
        <w:rPr>
          <w:rFonts w:asciiTheme="minorHAnsi" w:hAnsiTheme="minorHAnsi" w:cstheme="minorHAnsi"/>
        </w:rPr>
        <w:t xml:space="preserve">A key observation from the data is </w:t>
      </w:r>
      <w:r>
        <w:rPr>
          <w:rFonts w:asciiTheme="minorHAnsi" w:hAnsiTheme="minorHAnsi" w:cstheme="minorHAnsi"/>
        </w:rPr>
        <w:t xml:space="preserve">the need </w:t>
      </w:r>
      <w:r w:rsidRPr="00355979">
        <w:rPr>
          <w:rFonts w:asciiTheme="minorHAnsi" w:hAnsiTheme="minorHAnsi" w:cstheme="minorHAnsi"/>
        </w:rPr>
        <w:t xml:space="preserve">for </w:t>
      </w:r>
      <w:r>
        <w:rPr>
          <w:rFonts w:asciiTheme="minorHAnsi" w:hAnsiTheme="minorHAnsi" w:cstheme="minorHAnsi"/>
        </w:rPr>
        <w:t xml:space="preserve">clinical </w:t>
      </w:r>
      <w:r w:rsidRPr="00355979">
        <w:rPr>
          <w:rFonts w:asciiTheme="minorHAnsi" w:hAnsiTheme="minorHAnsi" w:cstheme="minorHAnsi"/>
        </w:rPr>
        <w:t>staff to conform to their local facility guidelines for transfusing.</w:t>
      </w:r>
    </w:p>
    <w:p w:rsidR="00252B9F" w:rsidRPr="002E310A" w:rsidRDefault="004A2C9F" w:rsidP="002E310A">
      <w:pPr>
        <w:spacing w:line="276" w:lineRule="auto"/>
        <w:rPr>
          <w:rFonts w:asciiTheme="minorHAnsi" w:eastAsiaTheme="minorEastAsia" w:hAnsiTheme="minorHAnsi" w:cstheme="minorHAnsi"/>
          <w:sz w:val="18"/>
          <w:szCs w:val="18"/>
          <w:lang w:eastAsia="en-AU"/>
        </w:rPr>
        <w:sectPr w:rsidR="00252B9F" w:rsidRPr="002E310A" w:rsidSect="00080224">
          <w:headerReference w:type="default" r:id="rId19"/>
          <w:footerReference w:type="default" r:id="rId20"/>
          <w:endnotePr>
            <w:numFmt w:val="decimal"/>
          </w:endnotePr>
          <w:pgSz w:w="11906" w:h="16838" w:code="9"/>
          <w:pgMar w:top="1134" w:right="1134" w:bottom="1134" w:left="1134" w:header="709" w:footer="709" w:gutter="0"/>
          <w:cols w:space="708"/>
          <w:docGrid w:linePitch="360"/>
        </w:sectPr>
      </w:pPr>
      <w:r>
        <w:rPr>
          <w:rFonts w:asciiTheme="minorHAnsi" w:hAnsiTheme="minorHAnsi" w:cstheme="minorHAnsi"/>
        </w:rPr>
        <w:br w:type="page"/>
      </w:r>
      <w:bookmarkEnd w:id="118"/>
      <w:bookmarkEnd w:id="119"/>
    </w:p>
    <w:p w:rsidR="00117984" w:rsidRPr="003A25C4" w:rsidRDefault="00117984" w:rsidP="003A25C4">
      <w:pPr>
        <w:pStyle w:val="Caption"/>
      </w:pPr>
      <w:bookmarkStart w:id="120" w:name="_Ref359338306"/>
      <w:bookmarkStart w:id="121" w:name="_Toc420835695"/>
      <w:bookmarkStart w:id="122" w:name="_Toc459636863"/>
      <w:r w:rsidRPr="003A25C4">
        <w:lastRenderedPageBreak/>
        <w:t xml:space="preserve">Table </w:t>
      </w:r>
      <w:fldSimple w:instr=" SEQ Table \* ARABIC ">
        <w:r w:rsidR="000010BC">
          <w:rPr>
            <w:noProof/>
          </w:rPr>
          <w:t>23</w:t>
        </w:r>
      </w:fldSimple>
      <w:bookmarkEnd w:id="120"/>
      <w:r w:rsidRPr="003A25C4">
        <w:t>: Contributory factors cited by adverse event and by clinical outcome severity, 2013–1</w:t>
      </w:r>
      <w:bookmarkEnd w:id="121"/>
      <w:r w:rsidRPr="003A25C4">
        <w:t>4</w:t>
      </w:r>
      <w:bookmarkEnd w:id="122"/>
    </w:p>
    <w:tbl>
      <w:tblPr>
        <w:tblW w:w="14601" w:type="dxa"/>
        <w:tblInd w:w="108" w:type="dxa"/>
        <w:tblLayout w:type="fixed"/>
        <w:tblLook w:val="0000" w:firstRow="0" w:lastRow="0" w:firstColumn="0" w:lastColumn="0" w:noHBand="0" w:noVBand="0"/>
      </w:tblPr>
      <w:tblGrid>
        <w:gridCol w:w="5100"/>
        <w:gridCol w:w="566"/>
        <w:gridCol w:w="567"/>
        <w:gridCol w:w="567"/>
        <w:gridCol w:w="567"/>
        <w:gridCol w:w="567"/>
        <w:gridCol w:w="567"/>
        <w:gridCol w:w="567"/>
        <w:gridCol w:w="567"/>
        <w:gridCol w:w="567"/>
        <w:gridCol w:w="567"/>
        <w:gridCol w:w="236"/>
        <w:gridCol w:w="686"/>
        <w:gridCol w:w="608"/>
        <w:gridCol w:w="609"/>
        <w:gridCol w:w="608"/>
        <w:gridCol w:w="609"/>
        <w:gridCol w:w="476"/>
      </w:tblGrid>
      <w:tr w:rsidR="00117984" w:rsidRPr="00E55646" w:rsidTr="00287A0C">
        <w:trPr>
          <w:cantSplit/>
          <w:trHeight w:val="397"/>
        </w:trPr>
        <w:tc>
          <w:tcPr>
            <w:tcW w:w="5100" w:type="dxa"/>
            <w:shd w:val="clear" w:color="auto" w:fill="FF0000"/>
            <w:noWrap/>
            <w:vAlign w:val="center"/>
          </w:tcPr>
          <w:p w:rsidR="00117984" w:rsidRPr="00E55646" w:rsidRDefault="00117984" w:rsidP="009E4A39">
            <w:pPr>
              <w:spacing w:after="0"/>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Contributory Factors</w:t>
            </w:r>
          </w:p>
        </w:tc>
        <w:tc>
          <w:tcPr>
            <w:tcW w:w="5669" w:type="dxa"/>
            <w:gridSpan w:val="10"/>
            <w:shd w:val="clear" w:color="auto" w:fill="FF0000"/>
            <w:vAlign w:val="center"/>
          </w:tcPr>
          <w:p w:rsidR="00117984" w:rsidRPr="00E55646" w:rsidRDefault="00117984" w:rsidP="00287A0C">
            <w:pPr>
              <w:spacing w:after="0"/>
              <w:jc w:val="center"/>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Adverse event</w:t>
            </w:r>
          </w:p>
        </w:tc>
        <w:tc>
          <w:tcPr>
            <w:tcW w:w="236" w:type="dxa"/>
            <w:shd w:val="clear" w:color="auto" w:fill="FF0000"/>
            <w:noWrap/>
            <w:vAlign w:val="center"/>
          </w:tcPr>
          <w:p w:rsidR="00117984" w:rsidRPr="00E55646" w:rsidRDefault="00117984" w:rsidP="009E4A39">
            <w:pPr>
              <w:spacing w:after="0"/>
              <w:rPr>
                <w:rFonts w:asciiTheme="minorHAnsi" w:eastAsia="Times New Roman" w:hAnsiTheme="minorHAnsi" w:cstheme="minorHAnsi"/>
                <w:b/>
                <w:color w:val="FFFFFF"/>
                <w:sz w:val="20"/>
                <w:szCs w:val="20"/>
                <w:lang w:eastAsia="en-AU"/>
              </w:rPr>
            </w:pPr>
          </w:p>
        </w:tc>
        <w:tc>
          <w:tcPr>
            <w:tcW w:w="3596" w:type="dxa"/>
            <w:gridSpan w:val="6"/>
            <w:shd w:val="clear" w:color="auto" w:fill="FF0000"/>
            <w:vAlign w:val="center"/>
          </w:tcPr>
          <w:p w:rsidR="00117984" w:rsidRPr="00E55646" w:rsidRDefault="00117984" w:rsidP="00287A0C">
            <w:pPr>
              <w:spacing w:after="0"/>
              <w:ind w:left="511"/>
              <w:rPr>
                <w:rFonts w:asciiTheme="minorHAnsi" w:eastAsia="Times New Roman" w:hAnsiTheme="minorHAnsi" w:cstheme="minorHAnsi"/>
                <w:b/>
                <w:color w:val="FFFFFF"/>
                <w:sz w:val="20"/>
                <w:szCs w:val="20"/>
                <w:lang w:eastAsia="en-AU"/>
              </w:rPr>
            </w:pPr>
            <w:r w:rsidRPr="00E55646">
              <w:rPr>
                <w:rFonts w:asciiTheme="minorHAnsi" w:eastAsia="Times New Roman" w:hAnsiTheme="minorHAnsi" w:cstheme="minorHAnsi"/>
                <w:b/>
                <w:color w:val="FFFFFF"/>
                <w:sz w:val="20"/>
                <w:szCs w:val="20"/>
                <w:lang w:eastAsia="en-AU"/>
              </w:rPr>
              <w:t>Clinical outcome severity</w:t>
            </w:r>
          </w:p>
        </w:tc>
      </w:tr>
      <w:tr w:rsidR="000E4566" w:rsidRPr="0054329B" w:rsidTr="00C94185">
        <w:trPr>
          <w:cantSplit/>
          <w:trHeight w:val="1984"/>
        </w:trPr>
        <w:tc>
          <w:tcPr>
            <w:tcW w:w="5100" w:type="dxa"/>
            <w:shd w:val="clear" w:color="auto" w:fill="D9D9D9" w:themeFill="background1" w:themeFillShade="D9"/>
            <w:noWrap/>
            <w:vAlign w:val="bottom"/>
          </w:tcPr>
          <w:p w:rsidR="000E4566" w:rsidRPr="0054329B" w:rsidRDefault="000E4566" w:rsidP="009E4A39">
            <w:pPr>
              <w:spacing w:after="0"/>
              <w:rPr>
                <w:rFonts w:asciiTheme="minorHAnsi" w:eastAsia="Times New Roman" w:hAnsiTheme="minorHAnsi" w:cstheme="minorHAnsi"/>
                <w:color w:val="FF0000"/>
                <w:sz w:val="20"/>
                <w:szCs w:val="20"/>
                <w:lang w:eastAsia="en-AU"/>
              </w:rPr>
            </w:pPr>
          </w:p>
        </w:tc>
        <w:tc>
          <w:tcPr>
            <w:tcW w:w="566"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FNHTR</w:t>
            </w:r>
          </w:p>
        </w:tc>
        <w:tc>
          <w:tcPr>
            <w:tcW w:w="567"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 xml:space="preserve">Allergic </w:t>
            </w:r>
            <w:r w:rsidR="00287A0C">
              <w:rPr>
                <w:rFonts w:asciiTheme="minorHAnsi" w:eastAsia="Times New Roman" w:hAnsiTheme="minorHAnsi" w:cstheme="minorHAnsi"/>
                <w:color w:val="FF0000"/>
                <w:sz w:val="20"/>
                <w:szCs w:val="20"/>
                <w:lang w:eastAsia="en-AU"/>
              </w:rPr>
              <w:t>reaction</w:t>
            </w:r>
          </w:p>
        </w:tc>
        <w:tc>
          <w:tcPr>
            <w:tcW w:w="567"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IBCT</w:t>
            </w:r>
          </w:p>
        </w:tc>
        <w:tc>
          <w:tcPr>
            <w:tcW w:w="567" w:type="dxa"/>
            <w:shd w:val="clear" w:color="auto" w:fill="D9D9D9" w:themeFill="background1" w:themeFillShade="D9"/>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TACO</w:t>
            </w:r>
          </w:p>
        </w:tc>
        <w:tc>
          <w:tcPr>
            <w:tcW w:w="567" w:type="dxa"/>
            <w:shd w:val="clear" w:color="auto" w:fill="D9D9D9" w:themeFill="background1" w:themeFillShade="D9"/>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TTI Bacterial</w:t>
            </w:r>
          </w:p>
        </w:tc>
        <w:tc>
          <w:tcPr>
            <w:tcW w:w="567"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 xml:space="preserve">Anaphylactic / </w:t>
            </w:r>
            <w:proofErr w:type="spellStart"/>
            <w:r w:rsidRPr="0054329B">
              <w:rPr>
                <w:rFonts w:asciiTheme="minorHAnsi" w:eastAsia="Times New Roman" w:hAnsiTheme="minorHAnsi" w:cstheme="minorHAnsi"/>
                <w:color w:val="FF0000"/>
                <w:sz w:val="20"/>
                <w:szCs w:val="20"/>
                <w:lang w:eastAsia="en-AU"/>
              </w:rPr>
              <w:t>Anaphylactoid</w:t>
            </w:r>
            <w:proofErr w:type="spellEnd"/>
          </w:p>
        </w:tc>
        <w:tc>
          <w:tcPr>
            <w:tcW w:w="567" w:type="dxa"/>
            <w:shd w:val="clear" w:color="auto" w:fill="D9D9D9" w:themeFill="background1" w:themeFillShade="D9"/>
            <w:textDirection w:val="btLr"/>
            <w:vAlign w:val="bottom"/>
          </w:tcPr>
          <w:p w:rsidR="000E4566"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DHTR</w:t>
            </w:r>
          </w:p>
        </w:tc>
        <w:tc>
          <w:tcPr>
            <w:tcW w:w="567"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A</w:t>
            </w:r>
            <w:r w:rsidRPr="0054329B">
              <w:rPr>
                <w:rFonts w:asciiTheme="minorHAnsi" w:eastAsia="Times New Roman" w:hAnsiTheme="minorHAnsi" w:cstheme="minorHAnsi"/>
                <w:color w:val="FF0000"/>
                <w:sz w:val="20"/>
                <w:szCs w:val="20"/>
                <w:lang w:eastAsia="en-AU"/>
              </w:rPr>
              <w:t>HTR</w:t>
            </w:r>
            <w:r>
              <w:rPr>
                <w:rFonts w:asciiTheme="minorHAnsi" w:eastAsia="Times New Roman" w:hAnsiTheme="minorHAnsi" w:cstheme="minorHAnsi"/>
                <w:color w:val="FF0000"/>
                <w:sz w:val="20"/>
                <w:szCs w:val="20"/>
                <w:lang w:eastAsia="en-AU"/>
              </w:rPr>
              <w:t xml:space="preserve"> (not ABO)</w:t>
            </w:r>
          </w:p>
        </w:tc>
        <w:tc>
          <w:tcPr>
            <w:tcW w:w="567" w:type="dxa"/>
            <w:shd w:val="clear" w:color="auto" w:fill="D9D9D9" w:themeFill="background1" w:themeFillShade="D9"/>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Pr>
                <w:rFonts w:asciiTheme="minorHAnsi" w:eastAsia="Times New Roman" w:hAnsiTheme="minorHAnsi" w:cstheme="minorHAnsi"/>
                <w:color w:val="FF0000"/>
                <w:sz w:val="20"/>
                <w:szCs w:val="20"/>
                <w:lang w:eastAsia="en-AU"/>
              </w:rPr>
              <w:t>PTP</w:t>
            </w:r>
          </w:p>
        </w:tc>
        <w:tc>
          <w:tcPr>
            <w:tcW w:w="567"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TRALI</w:t>
            </w:r>
          </w:p>
        </w:tc>
        <w:tc>
          <w:tcPr>
            <w:tcW w:w="236" w:type="dxa"/>
            <w:tcBorders>
              <w:left w:val="dotted" w:sz="4" w:space="0" w:color="auto"/>
            </w:tcBorders>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p>
        </w:tc>
        <w:tc>
          <w:tcPr>
            <w:tcW w:w="686" w:type="dxa"/>
            <w:shd w:val="clear" w:color="auto" w:fill="D9D9D9" w:themeFill="background1" w:themeFillShade="D9"/>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DC7521">
              <w:rPr>
                <w:rFonts w:asciiTheme="minorHAnsi" w:eastAsia="Times New Roman" w:hAnsiTheme="minorHAnsi" w:cstheme="minorHAnsi"/>
                <w:color w:val="FF0000"/>
                <w:sz w:val="20"/>
                <w:szCs w:val="20"/>
                <w:lang w:eastAsia="en-AU"/>
              </w:rPr>
              <w:t xml:space="preserve">Outcome not </w:t>
            </w:r>
            <w:r w:rsidRPr="0054329B">
              <w:rPr>
                <w:rFonts w:asciiTheme="minorHAnsi" w:eastAsia="Times New Roman" w:hAnsiTheme="minorHAnsi" w:cstheme="minorHAnsi"/>
                <w:color w:val="FF0000"/>
                <w:sz w:val="20"/>
                <w:szCs w:val="20"/>
                <w:lang w:eastAsia="en-AU"/>
              </w:rPr>
              <w:t>available</w:t>
            </w:r>
          </w:p>
        </w:tc>
        <w:tc>
          <w:tcPr>
            <w:tcW w:w="608"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No morbidity</w:t>
            </w:r>
          </w:p>
        </w:tc>
        <w:tc>
          <w:tcPr>
            <w:tcW w:w="609"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Minor morbidity</w:t>
            </w:r>
          </w:p>
        </w:tc>
        <w:tc>
          <w:tcPr>
            <w:tcW w:w="608"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Severe morbidity</w:t>
            </w:r>
          </w:p>
        </w:tc>
        <w:tc>
          <w:tcPr>
            <w:tcW w:w="609" w:type="dxa"/>
            <w:shd w:val="clear" w:color="auto" w:fill="D9D9D9" w:themeFill="background1" w:themeFillShade="D9"/>
            <w:noWrap/>
            <w:textDirection w:val="btLr"/>
            <w:vAlign w:val="bottom"/>
          </w:tcPr>
          <w:p w:rsidR="000E4566" w:rsidRPr="0054329B" w:rsidRDefault="000E4566" w:rsidP="00773683">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Life</w:t>
            </w:r>
            <w:r w:rsidR="00773683">
              <w:rPr>
                <w:rFonts w:asciiTheme="minorHAnsi" w:eastAsia="Times New Roman" w:hAnsiTheme="minorHAnsi" w:cstheme="minorHAnsi"/>
                <w:color w:val="FF0000"/>
                <w:sz w:val="20"/>
                <w:szCs w:val="20"/>
                <w:lang w:eastAsia="en-AU"/>
              </w:rPr>
              <w:t>-</w:t>
            </w:r>
            <w:r w:rsidRPr="0054329B">
              <w:rPr>
                <w:rFonts w:asciiTheme="minorHAnsi" w:eastAsia="Times New Roman" w:hAnsiTheme="minorHAnsi" w:cstheme="minorHAnsi"/>
                <w:color w:val="FF0000"/>
                <w:sz w:val="20"/>
                <w:szCs w:val="20"/>
                <w:lang w:eastAsia="en-AU"/>
              </w:rPr>
              <w:t>threatening</w:t>
            </w:r>
          </w:p>
        </w:tc>
        <w:tc>
          <w:tcPr>
            <w:tcW w:w="476" w:type="dxa"/>
            <w:shd w:val="clear" w:color="auto" w:fill="D9D9D9" w:themeFill="background1" w:themeFillShade="D9"/>
            <w:noWrap/>
            <w:textDirection w:val="btLr"/>
            <w:vAlign w:val="bottom"/>
          </w:tcPr>
          <w:p w:rsidR="000E4566" w:rsidRPr="0054329B" w:rsidRDefault="000E4566" w:rsidP="009E4A39">
            <w:pPr>
              <w:spacing w:after="0"/>
              <w:ind w:left="113" w:right="113"/>
              <w:rPr>
                <w:rFonts w:asciiTheme="minorHAnsi" w:eastAsia="Times New Roman" w:hAnsiTheme="minorHAnsi" w:cstheme="minorHAnsi"/>
                <w:color w:val="FF0000"/>
                <w:sz w:val="20"/>
                <w:szCs w:val="20"/>
                <w:lang w:eastAsia="en-AU"/>
              </w:rPr>
            </w:pPr>
            <w:r w:rsidRPr="0054329B">
              <w:rPr>
                <w:rFonts w:asciiTheme="minorHAnsi" w:eastAsia="Times New Roman" w:hAnsiTheme="minorHAnsi" w:cstheme="minorHAnsi"/>
                <w:color w:val="FF0000"/>
                <w:sz w:val="20"/>
                <w:szCs w:val="20"/>
                <w:lang w:eastAsia="en-AU"/>
              </w:rPr>
              <w:t>Death</w:t>
            </w:r>
          </w:p>
        </w:tc>
      </w:tr>
      <w:tr w:rsidR="000E4566" w:rsidRPr="00E55646" w:rsidTr="000E4566">
        <w:trPr>
          <w:trHeight w:val="255"/>
        </w:trPr>
        <w:tc>
          <w:tcPr>
            <w:tcW w:w="5100" w:type="dxa"/>
            <w:tcBorders>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None identified</w:t>
            </w:r>
          </w:p>
        </w:tc>
        <w:tc>
          <w:tcPr>
            <w:tcW w:w="566"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163</w:t>
            </w:r>
          </w:p>
        </w:tc>
        <w:tc>
          <w:tcPr>
            <w:tcW w:w="567"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59</w:t>
            </w:r>
          </w:p>
        </w:tc>
        <w:tc>
          <w:tcPr>
            <w:tcW w:w="567"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24</w:t>
            </w:r>
          </w:p>
        </w:tc>
        <w:tc>
          <w:tcPr>
            <w:tcW w:w="567" w:type="dxa"/>
            <w:tcBorders>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12</w:t>
            </w:r>
          </w:p>
        </w:tc>
        <w:tc>
          <w:tcPr>
            <w:tcW w:w="567"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5</w:t>
            </w:r>
          </w:p>
        </w:tc>
        <w:tc>
          <w:tcPr>
            <w:tcW w:w="567"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6</w:t>
            </w:r>
          </w:p>
        </w:tc>
        <w:tc>
          <w:tcPr>
            <w:tcW w:w="567" w:type="dxa"/>
            <w:tcBorders>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6</w:t>
            </w:r>
          </w:p>
        </w:tc>
        <w:tc>
          <w:tcPr>
            <w:tcW w:w="567"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6</w:t>
            </w:r>
          </w:p>
        </w:tc>
        <w:tc>
          <w:tcPr>
            <w:tcW w:w="608"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21</w:t>
            </w:r>
          </w:p>
        </w:tc>
        <w:tc>
          <w:tcPr>
            <w:tcW w:w="609"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230</w:t>
            </w:r>
          </w:p>
        </w:tc>
        <w:tc>
          <w:tcPr>
            <w:tcW w:w="608"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11</w:t>
            </w:r>
          </w:p>
        </w:tc>
        <w:tc>
          <w:tcPr>
            <w:tcW w:w="609"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9</w:t>
            </w:r>
          </w:p>
        </w:tc>
        <w:tc>
          <w:tcPr>
            <w:tcW w:w="476" w:type="dxa"/>
            <w:tcBorders>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Product characteristic</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158</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78</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9</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17</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36</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197</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13</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17</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Transfusion in emergency setting</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Deliberate clinical decision</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6</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Prescribing/ordering</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14</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Specimen collection/labelling</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bookmarkStart w:id="123" w:name="_Hlk261169877"/>
            <w:r w:rsidRPr="00E55646">
              <w:rPr>
                <w:rFonts w:asciiTheme="minorHAnsi" w:eastAsia="Times New Roman" w:hAnsiTheme="minorHAnsi" w:cstheme="minorHAnsi"/>
                <w:sz w:val="20"/>
                <w:szCs w:val="20"/>
                <w:lang w:eastAsia="en-AU"/>
              </w:rPr>
              <w:t>Laboratory (testing/dispensing)</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12</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6</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r>
      <w:bookmarkEnd w:id="123"/>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Transport, storage, handling</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hAnsiTheme="minorHAnsi"/>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Administration of product</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8</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7</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14</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Indications do not meet guidelines</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 xml:space="preserve">Procedure did not adhere to </w:t>
            </w:r>
            <w:r>
              <w:rPr>
                <w:rFonts w:asciiTheme="minorHAnsi" w:eastAsia="Times New Roman" w:hAnsiTheme="minorHAnsi" w:cstheme="minorHAnsi"/>
                <w:sz w:val="20"/>
                <w:szCs w:val="20"/>
                <w:lang w:eastAsia="en-AU"/>
              </w:rPr>
              <w:t>hospital</w:t>
            </w:r>
            <w:r w:rsidRPr="00E55646">
              <w:rPr>
                <w:rFonts w:asciiTheme="minorHAnsi" w:eastAsia="Times New Roman" w:hAnsiTheme="minorHAnsi" w:cstheme="minorHAnsi"/>
                <w:sz w:val="20"/>
                <w:szCs w:val="20"/>
                <w:lang w:eastAsia="en-AU"/>
              </w:rPr>
              <w:t xml:space="preserve"> transfusion guidelines</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15</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hAnsiTheme="minorHAnsi"/>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5</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13</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r>
      <w:tr w:rsidR="000E4566" w:rsidRPr="00E55646" w:rsidTr="000E4566">
        <w:trPr>
          <w:trHeight w:val="255"/>
        </w:trPr>
        <w:tc>
          <w:tcPr>
            <w:tcW w:w="5100" w:type="dxa"/>
            <w:tcBorders>
              <w:top w:val="single" w:sz="4" w:space="0" w:color="auto"/>
              <w:bottom w:val="single" w:sz="4" w:space="0" w:color="auto"/>
            </w:tcBorders>
            <w:shd w:val="clear" w:color="auto" w:fill="auto"/>
            <w:noWrap/>
            <w:vAlign w:val="bottom"/>
          </w:tcPr>
          <w:p w:rsidR="000E4566" w:rsidRPr="00E55646" w:rsidRDefault="000E4566" w:rsidP="009E4A39">
            <w:pPr>
              <w:spacing w:after="0"/>
              <w:rPr>
                <w:rFonts w:asciiTheme="minorHAnsi" w:eastAsia="Times New Roman" w:hAnsiTheme="minorHAnsi" w:cstheme="minorHAnsi"/>
                <w:sz w:val="20"/>
                <w:szCs w:val="20"/>
                <w:lang w:eastAsia="en-AU"/>
              </w:rPr>
            </w:pPr>
            <w:r w:rsidRPr="00E55646">
              <w:rPr>
                <w:rFonts w:asciiTheme="minorHAnsi" w:eastAsia="Times New Roman" w:hAnsiTheme="minorHAnsi" w:cstheme="minorHAnsi"/>
                <w:sz w:val="20"/>
                <w:szCs w:val="20"/>
                <w:lang w:eastAsia="en-AU"/>
              </w:rPr>
              <w:t>Other</w:t>
            </w:r>
          </w:p>
        </w:tc>
        <w:tc>
          <w:tcPr>
            <w:tcW w:w="56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12</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3</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567"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1</w:t>
            </w:r>
          </w:p>
        </w:tc>
        <w:tc>
          <w:tcPr>
            <w:tcW w:w="236" w:type="dxa"/>
            <w:tcBorders>
              <w:top w:val="single" w:sz="4" w:space="0" w:color="auto"/>
              <w:left w:val="dotted"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p>
        </w:tc>
        <w:tc>
          <w:tcPr>
            <w:tcW w:w="686" w:type="dxa"/>
            <w:tcBorders>
              <w:top w:val="single" w:sz="4" w:space="0" w:color="auto"/>
              <w:bottom w:val="single" w:sz="4" w:space="0" w:color="auto"/>
            </w:tcBorders>
            <w:shd w:val="clear" w:color="auto" w:fill="auto"/>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4</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8</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7</w:t>
            </w:r>
          </w:p>
        </w:tc>
        <w:tc>
          <w:tcPr>
            <w:tcW w:w="608"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2</w:t>
            </w:r>
          </w:p>
        </w:tc>
        <w:tc>
          <w:tcPr>
            <w:tcW w:w="609"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c>
          <w:tcPr>
            <w:tcW w:w="476" w:type="dxa"/>
            <w:tcBorders>
              <w:top w:val="single" w:sz="4" w:space="0" w:color="auto"/>
              <w:bottom w:val="single" w:sz="4" w:space="0" w:color="auto"/>
            </w:tcBorders>
            <w:shd w:val="clear" w:color="auto" w:fill="auto"/>
            <w:noWrap/>
          </w:tcPr>
          <w:p w:rsidR="000E4566" w:rsidRPr="00287A0C" w:rsidRDefault="000E4566" w:rsidP="009E4A39">
            <w:pPr>
              <w:autoSpaceDE w:val="0"/>
              <w:autoSpaceDN w:val="0"/>
              <w:adjustRightInd w:val="0"/>
              <w:spacing w:after="0"/>
              <w:jc w:val="right"/>
              <w:rPr>
                <w:rFonts w:asciiTheme="minorHAnsi" w:eastAsiaTheme="minorHAnsi" w:hAnsiTheme="minorHAnsi"/>
                <w:color w:val="000000"/>
                <w:sz w:val="20"/>
                <w:szCs w:val="20"/>
              </w:rPr>
            </w:pPr>
            <w:r w:rsidRPr="00287A0C">
              <w:rPr>
                <w:rFonts w:asciiTheme="minorHAnsi" w:eastAsiaTheme="minorHAnsi" w:hAnsiTheme="minorHAnsi"/>
                <w:color w:val="000000"/>
                <w:sz w:val="20"/>
                <w:szCs w:val="20"/>
              </w:rPr>
              <w:t>0</w:t>
            </w:r>
          </w:p>
        </w:tc>
      </w:tr>
    </w:tbl>
    <w:p w:rsidR="00117984" w:rsidRPr="008C3A7A" w:rsidRDefault="00117984" w:rsidP="00117984">
      <w:pPr>
        <w:spacing w:before="40" w:after="40" w:line="180" w:lineRule="atLeast"/>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Notes</w:t>
      </w:r>
    </w:p>
    <w:p w:rsidR="00117984" w:rsidRPr="00065B02" w:rsidRDefault="00117984" w:rsidP="0096249F">
      <w:pPr>
        <w:pStyle w:val="ListParagraph"/>
        <w:numPr>
          <w:ilvl w:val="0"/>
          <w:numId w:val="13"/>
        </w:numPr>
        <w:spacing w:before="40" w:after="40" w:line="180" w:lineRule="atLeast"/>
        <w:ind w:left="357" w:hanging="357"/>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Contributory fact</w:t>
      </w:r>
      <w:r>
        <w:rPr>
          <w:rFonts w:asciiTheme="minorHAnsi" w:eastAsiaTheme="minorEastAsia" w:hAnsiTheme="minorHAnsi" w:cstheme="minorHAnsi"/>
          <w:sz w:val="18"/>
          <w:szCs w:val="18"/>
          <w:lang w:eastAsia="en-AU"/>
        </w:rPr>
        <w:t>or</w:t>
      </w:r>
      <w:r w:rsidRPr="008C3A7A">
        <w:rPr>
          <w:rFonts w:asciiTheme="minorHAnsi" w:eastAsiaTheme="minorEastAsia" w:hAnsiTheme="minorHAnsi" w:cstheme="minorHAnsi"/>
          <w:sz w:val="18"/>
          <w:szCs w:val="18"/>
          <w:lang w:eastAsia="en-AU"/>
        </w:rPr>
        <w:t xml:space="preserve">s are not </w:t>
      </w:r>
      <w:r w:rsidR="00B60C2C">
        <w:rPr>
          <w:rFonts w:asciiTheme="minorHAnsi" w:eastAsiaTheme="minorEastAsia" w:hAnsiTheme="minorHAnsi" w:cstheme="minorHAnsi"/>
          <w:sz w:val="18"/>
          <w:szCs w:val="18"/>
          <w:lang w:eastAsia="en-AU"/>
        </w:rPr>
        <w:t xml:space="preserve">reported </w:t>
      </w:r>
      <w:r w:rsidRPr="008C3A7A">
        <w:rPr>
          <w:rFonts w:asciiTheme="minorHAnsi" w:eastAsiaTheme="minorEastAsia" w:hAnsiTheme="minorHAnsi" w:cstheme="minorHAnsi"/>
          <w:sz w:val="18"/>
          <w:szCs w:val="18"/>
          <w:lang w:eastAsia="en-AU"/>
        </w:rPr>
        <w:t>for most of the adverse events reported by QLD</w:t>
      </w:r>
      <w:r>
        <w:rPr>
          <w:rFonts w:asciiTheme="minorHAnsi" w:eastAsiaTheme="minorEastAsia" w:hAnsiTheme="minorHAnsi" w:cstheme="minorHAnsi"/>
          <w:sz w:val="18"/>
          <w:szCs w:val="18"/>
          <w:lang w:eastAsia="en-AU"/>
        </w:rPr>
        <w:t xml:space="preserve"> and SA</w:t>
      </w:r>
    </w:p>
    <w:p w:rsidR="000E4566" w:rsidRDefault="000E4566" w:rsidP="0096249F">
      <w:pPr>
        <w:numPr>
          <w:ilvl w:val="0"/>
          <w:numId w:val="13"/>
        </w:numPr>
        <w:spacing w:before="40" w:after="40" w:line="180" w:lineRule="atLeast"/>
        <w:ind w:left="357" w:hanging="357"/>
        <w:contextualSpacing/>
        <w:rPr>
          <w:rFonts w:asciiTheme="minorHAnsi" w:eastAsiaTheme="minorEastAsia" w:hAnsiTheme="minorHAnsi" w:cstheme="minorHAnsi"/>
          <w:sz w:val="18"/>
          <w:szCs w:val="18"/>
          <w:lang w:eastAsia="en-AU"/>
        </w:rPr>
      </w:pPr>
      <w:r>
        <w:rPr>
          <w:rFonts w:asciiTheme="minorHAnsi" w:eastAsiaTheme="minorEastAsia" w:hAnsiTheme="minorHAnsi" w:cstheme="minorHAnsi"/>
          <w:sz w:val="18"/>
          <w:szCs w:val="18"/>
          <w:lang w:eastAsia="en-AU"/>
        </w:rPr>
        <w:t>ACT reported zero adverse events</w:t>
      </w:r>
    </w:p>
    <w:p w:rsidR="00117984" w:rsidRDefault="00B60C2C" w:rsidP="0096249F">
      <w:pPr>
        <w:numPr>
          <w:ilvl w:val="0"/>
          <w:numId w:val="13"/>
        </w:numPr>
        <w:spacing w:before="40" w:after="40" w:line="180" w:lineRule="atLeast"/>
        <w:ind w:left="357" w:hanging="357"/>
        <w:contextualSpacing/>
        <w:rPr>
          <w:rFonts w:asciiTheme="minorHAnsi" w:eastAsiaTheme="minorEastAsia" w:hAnsiTheme="minorHAnsi" w:cstheme="minorHAnsi"/>
          <w:sz w:val="18"/>
          <w:szCs w:val="18"/>
          <w:lang w:eastAsia="en-AU"/>
        </w:rPr>
      </w:pPr>
      <w:r w:rsidRPr="008C3A7A">
        <w:rPr>
          <w:rFonts w:asciiTheme="minorHAnsi" w:eastAsiaTheme="minorEastAsia" w:hAnsiTheme="minorHAnsi" w:cstheme="minorHAnsi"/>
          <w:sz w:val="18"/>
          <w:szCs w:val="18"/>
          <w:lang w:eastAsia="en-AU"/>
        </w:rPr>
        <w:t xml:space="preserve">WA </w:t>
      </w:r>
      <w:r>
        <w:rPr>
          <w:rFonts w:asciiTheme="minorHAnsi" w:eastAsiaTheme="minorEastAsia" w:hAnsiTheme="minorHAnsi" w:cstheme="minorHAnsi"/>
          <w:sz w:val="18"/>
          <w:szCs w:val="18"/>
          <w:lang w:eastAsia="en-AU"/>
        </w:rPr>
        <w:t>did not contribute d</w:t>
      </w:r>
      <w:r w:rsidR="00117984" w:rsidRPr="008C3A7A">
        <w:rPr>
          <w:rFonts w:asciiTheme="minorHAnsi" w:eastAsiaTheme="minorEastAsia" w:hAnsiTheme="minorHAnsi" w:cstheme="minorHAnsi"/>
          <w:sz w:val="18"/>
          <w:szCs w:val="18"/>
          <w:lang w:eastAsia="en-AU"/>
        </w:rPr>
        <w:t>ata</w:t>
      </w:r>
    </w:p>
    <w:p w:rsidR="00252B9F" w:rsidRPr="00252B9F" w:rsidRDefault="00252B9F" w:rsidP="00252B9F">
      <w:pPr>
        <w:spacing w:after="0"/>
        <w:rPr>
          <w:rFonts w:asciiTheme="minorHAnsi" w:eastAsia="Times New Roman" w:hAnsiTheme="minorHAnsi" w:cstheme="minorHAnsi"/>
          <w:szCs w:val="24"/>
          <w:lang w:eastAsia="en-AU"/>
        </w:rPr>
      </w:pPr>
    </w:p>
    <w:p w:rsidR="00252B9F" w:rsidRPr="00252B9F" w:rsidRDefault="00252B9F" w:rsidP="00252B9F">
      <w:pPr>
        <w:spacing w:after="0"/>
        <w:rPr>
          <w:rFonts w:asciiTheme="minorHAnsi" w:eastAsia="Times New Roman" w:hAnsiTheme="minorHAnsi" w:cstheme="minorHAnsi"/>
          <w:szCs w:val="24"/>
          <w:lang w:eastAsia="en-AU"/>
        </w:rPr>
        <w:sectPr w:rsidR="00252B9F" w:rsidRPr="00252B9F" w:rsidSect="00080224">
          <w:footerReference w:type="default" r:id="rId21"/>
          <w:endnotePr>
            <w:numFmt w:val="decimal"/>
          </w:endnotePr>
          <w:pgSz w:w="16838" w:h="11906" w:orient="landscape" w:code="9"/>
          <w:pgMar w:top="1134" w:right="1134" w:bottom="1134" w:left="1134" w:header="709" w:footer="709" w:gutter="0"/>
          <w:cols w:space="708"/>
          <w:docGrid w:linePitch="360"/>
        </w:sectPr>
      </w:pPr>
    </w:p>
    <w:p w:rsidR="008C07FA" w:rsidRDefault="008C07FA" w:rsidP="00EC4AF3">
      <w:pPr>
        <w:pStyle w:val="Heading1"/>
      </w:pPr>
      <w:bookmarkStart w:id="124" w:name="_Toc459366177"/>
      <w:bookmarkStart w:id="125" w:name="_Ref356219361"/>
      <w:bookmarkStart w:id="126" w:name="_Ref356219366"/>
      <w:bookmarkStart w:id="127" w:name="_Toc420837261"/>
      <w:r w:rsidRPr="00252B9F">
        <w:lastRenderedPageBreak/>
        <w:t>PART 0</w:t>
      </w:r>
      <w:r>
        <w:t>3</w:t>
      </w:r>
      <w:r w:rsidRPr="00252B9F">
        <w:t xml:space="preserve"> DONOR VIGILANCE</w:t>
      </w:r>
      <w:r w:rsidR="003B18A9">
        <w:t xml:space="preserve"> DATA </w:t>
      </w:r>
      <w:r w:rsidR="003B18A9" w:rsidRPr="003B18A9">
        <w:t>2013–14</w:t>
      </w:r>
      <w:bookmarkEnd w:id="124"/>
    </w:p>
    <w:p w:rsidR="003B18A9" w:rsidRPr="003B18A9" w:rsidRDefault="003B18A9" w:rsidP="00EC4AF3">
      <w:pPr>
        <w:pStyle w:val="Heading2"/>
      </w:pPr>
      <w:bookmarkStart w:id="128" w:name="_Toc459366178"/>
      <w:r w:rsidRPr="003B18A9">
        <w:t>E</w:t>
      </w:r>
      <w:r>
        <w:t>xecutive summary</w:t>
      </w:r>
      <w:bookmarkEnd w:id="128"/>
    </w:p>
    <w:p w:rsidR="003B18A9" w:rsidRPr="003B18A9" w:rsidRDefault="003B18A9">
      <w:pPr>
        <w:rPr>
          <w:rFonts w:asciiTheme="minorHAnsi" w:eastAsiaTheme="minorHAnsi" w:hAnsiTheme="minorHAnsi" w:cs="Arial"/>
        </w:rPr>
      </w:pPr>
      <w:r w:rsidRPr="003B18A9">
        <w:rPr>
          <w:rFonts w:asciiTheme="minorHAnsi" w:eastAsiaTheme="minorHAnsi" w:hAnsiTheme="minorHAnsi" w:cs="Arial"/>
        </w:rPr>
        <w:t>Whilst blood donation is generally a safe process, there are recognised donor complications which can occur. Donor vigilance is the systematic monitoring of adverse reactions and incidents in blood donor care with a view to improving quality and safety for blood donors.</w:t>
      </w:r>
    </w:p>
    <w:p w:rsidR="003B18A9" w:rsidRPr="003B18A9" w:rsidRDefault="003B18A9">
      <w:pPr>
        <w:rPr>
          <w:rFonts w:asciiTheme="minorHAnsi" w:eastAsiaTheme="minorHAnsi" w:hAnsiTheme="minorHAnsi" w:cs="Arial"/>
        </w:rPr>
      </w:pPr>
      <w:r w:rsidRPr="003B18A9">
        <w:rPr>
          <w:rFonts w:asciiTheme="minorHAnsi" w:eastAsiaTheme="minorHAnsi" w:hAnsiTheme="minorHAnsi" w:cs="Arial"/>
        </w:rPr>
        <w:t xml:space="preserve">Between 1 July 2013 and 30 June 2014 there were a total of 1.3 million donations, including 0.78 million whole blood donations, 0.48 million plasmapheresis donations and 0.04 million </w:t>
      </w:r>
      <w:proofErr w:type="spellStart"/>
      <w:r w:rsidRPr="003B18A9">
        <w:rPr>
          <w:rFonts w:asciiTheme="minorHAnsi" w:eastAsiaTheme="minorHAnsi" w:hAnsiTheme="minorHAnsi" w:cs="Arial"/>
        </w:rPr>
        <w:t>plateletpheresis</w:t>
      </w:r>
      <w:proofErr w:type="spellEnd"/>
      <w:r w:rsidRPr="003B18A9">
        <w:rPr>
          <w:rFonts w:asciiTheme="minorHAnsi" w:eastAsiaTheme="minorHAnsi" w:hAnsiTheme="minorHAnsi" w:cs="Arial"/>
        </w:rPr>
        <w:t xml:space="preserve"> donations. There were 34,778 adverse events reported. The overall reported rate of donation</w:t>
      </w:r>
      <w:r w:rsidR="000E4566">
        <w:rPr>
          <w:rFonts w:asciiTheme="minorHAnsi" w:eastAsiaTheme="minorHAnsi" w:hAnsiTheme="minorHAnsi" w:cs="Arial"/>
        </w:rPr>
        <w:t>-</w:t>
      </w:r>
      <w:r w:rsidRPr="003B18A9">
        <w:rPr>
          <w:rFonts w:asciiTheme="minorHAnsi" w:eastAsiaTheme="minorHAnsi" w:hAnsiTheme="minorHAnsi" w:cs="Arial"/>
        </w:rPr>
        <w:t>related adverse events has increased from 251/10,000 donations for the previous 12 months to 267/10,000 donations. Despite this increase, the rate of adverse events remains within the previously established control limits of 2.68%.</w:t>
      </w:r>
    </w:p>
    <w:p w:rsidR="003B18A9" w:rsidRPr="003B18A9" w:rsidRDefault="003B18A9" w:rsidP="00006FBE">
      <w:pPr>
        <w:rPr>
          <w:rFonts w:asciiTheme="minorHAnsi" w:eastAsiaTheme="minorHAnsi" w:hAnsiTheme="minorHAnsi" w:cs="Arial"/>
        </w:rPr>
      </w:pPr>
      <w:r w:rsidRPr="003B18A9">
        <w:rPr>
          <w:rFonts w:asciiTheme="minorHAnsi" w:eastAsiaTheme="minorHAnsi" w:hAnsiTheme="minorHAnsi" w:cs="Arial"/>
        </w:rPr>
        <w:t>The increase in overall adverse events for 2013-14 largely reflects improved capture and reporting of adverse events, rather than deterioration in donor safety as a result of the following changes:</w:t>
      </w:r>
    </w:p>
    <w:p w:rsidR="00062CDD" w:rsidRPr="003B18A9" w:rsidRDefault="003B18A9" w:rsidP="0096249F">
      <w:pPr>
        <w:numPr>
          <w:ilvl w:val="0"/>
          <w:numId w:val="42"/>
        </w:numPr>
        <w:ind w:left="357" w:hanging="357"/>
        <w:contextualSpacing/>
        <w:rPr>
          <w:rFonts w:asciiTheme="minorHAnsi" w:eastAsiaTheme="minorHAnsi" w:hAnsiTheme="minorHAnsi" w:cs="Arial"/>
        </w:rPr>
      </w:pPr>
      <w:r w:rsidRPr="003B18A9">
        <w:rPr>
          <w:rFonts w:asciiTheme="minorHAnsi" w:eastAsiaTheme="minorHAnsi" w:hAnsiTheme="minorHAnsi" w:cs="Arial"/>
        </w:rPr>
        <w:t>In November 2013 a new system for reporting adverse donation events was introduced. This has permitted the reporting of more than one type of adverse event for each donation, such as a vasovagal reaction associated with a phlebotomy injury. As a result of this change there has been</w:t>
      </w:r>
      <w:r w:rsidR="000E4566">
        <w:rPr>
          <w:rFonts w:asciiTheme="minorHAnsi" w:eastAsiaTheme="minorHAnsi" w:hAnsiTheme="minorHAnsi" w:cs="Arial"/>
        </w:rPr>
        <w:t xml:space="preserve"> an</w:t>
      </w:r>
      <w:r w:rsidRPr="003B18A9">
        <w:rPr>
          <w:rFonts w:asciiTheme="minorHAnsi" w:eastAsiaTheme="minorHAnsi" w:hAnsiTheme="minorHAnsi" w:cs="Arial"/>
        </w:rPr>
        <w:t xml:space="preserve"> increase in phlebotomy injuries being captured since this time.</w:t>
      </w:r>
    </w:p>
    <w:p w:rsidR="003B18A9" w:rsidRPr="00006FBE" w:rsidRDefault="003B18A9" w:rsidP="0096249F">
      <w:pPr>
        <w:numPr>
          <w:ilvl w:val="0"/>
          <w:numId w:val="42"/>
        </w:numPr>
        <w:ind w:left="357" w:hanging="357"/>
        <w:rPr>
          <w:rFonts w:asciiTheme="minorHAnsi" w:eastAsiaTheme="minorHAnsi" w:hAnsiTheme="minorHAnsi" w:cs="Arial"/>
        </w:rPr>
      </w:pPr>
      <w:r w:rsidRPr="00006FBE">
        <w:rPr>
          <w:rFonts w:asciiTheme="minorHAnsi" w:eastAsiaTheme="minorHAnsi" w:hAnsiTheme="minorHAnsi" w:cs="Arial"/>
        </w:rPr>
        <w:t>Since October 2012 all citrate reactions were captured</w:t>
      </w:r>
      <w:r w:rsidR="000E4566">
        <w:rPr>
          <w:rFonts w:asciiTheme="minorHAnsi" w:eastAsiaTheme="minorHAnsi" w:hAnsiTheme="minorHAnsi" w:cs="Arial"/>
        </w:rPr>
        <w:t xml:space="preserve"> </w:t>
      </w:r>
      <w:r w:rsidRPr="00006FBE">
        <w:rPr>
          <w:rFonts w:asciiTheme="minorHAnsi" w:eastAsiaTheme="minorHAnsi" w:hAnsiTheme="minorHAnsi" w:cs="Arial"/>
        </w:rPr>
        <w:t>- prior to this, only severe citrate reactions were reported. The impact of this change is seen for the full 12 months in 2013-14.</w:t>
      </w:r>
    </w:p>
    <w:p w:rsidR="003B18A9" w:rsidRPr="003B18A9" w:rsidRDefault="003B18A9" w:rsidP="00006FBE">
      <w:pPr>
        <w:rPr>
          <w:rFonts w:asciiTheme="minorHAnsi" w:eastAsiaTheme="minorHAnsi" w:hAnsiTheme="minorHAnsi" w:cs="Arial"/>
        </w:rPr>
      </w:pPr>
      <w:r w:rsidRPr="003B18A9">
        <w:rPr>
          <w:rFonts w:asciiTheme="minorHAnsi" w:eastAsiaTheme="minorHAnsi" w:hAnsiTheme="minorHAnsi" w:cs="Arial"/>
        </w:rPr>
        <w:t>In 2013-14 Australia has contributed to a joint initiative by the</w:t>
      </w:r>
      <w:r w:rsidR="00A71F37">
        <w:rPr>
          <w:rFonts w:asciiTheme="minorHAnsi" w:eastAsiaTheme="minorHAnsi" w:hAnsiTheme="minorHAnsi" w:cs="Arial"/>
        </w:rPr>
        <w:t xml:space="preserve"> </w:t>
      </w:r>
      <w:r w:rsidRPr="003B18A9">
        <w:rPr>
          <w:rFonts w:asciiTheme="minorHAnsi" w:eastAsiaTheme="minorHAnsi" w:hAnsiTheme="minorHAnsi" w:cs="Arial"/>
        </w:rPr>
        <w:t xml:space="preserve">ISBT, the International </w:t>
      </w:r>
      <w:proofErr w:type="spellStart"/>
      <w:r w:rsidRPr="003B18A9">
        <w:rPr>
          <w:rFonts w:asciiTheme="minorHAnsi" w:eastAsiaTheme="minorHAnsi" w:hAnsiTheme="minorHAnsi" w:cs="Arial"/>
        </w:rPr>
        <w:t>Haemovigilance</w:t>
      </w:r>
      <w:proofErr w:type="spellEnd"/>
      <w:r w:rsidRPr="003B18A9">
        <w:rPr>
          <w:rFonts w:asciiTheme="minorHAnsi" w:eastAsiaTheme="minorHAnsi" w:hAnsiTheme="minorHAnsi" w:cs="Arial"/>
        </w:rPr>
        <w:t xml:space="preserve"> Network (IHN) and the </w:t>
      </w:r>
      <w:r w:rsidR="00866370" w:rsidRPr="00866370">
        <w:rPr>
          <w:rFonts w:asciiTheme="minorHAnsi" w:eastAsiaTheme="minorHAnsi" w:hAnsiTheme="minorHAnsi" w:cs="Arial"/>
        </w:rPr>
        <w:t>American Association of Blood Banks</w:t>
      </w:r>
      <w:r w:rsidR="00866370">
        <w:rPr>
          <w:rFonts w:asciiTheme="minorHAnsi" w:eastAsiaTheme="minorHAnsi" w:hAnsiTheme="minorHAnsi" w:cs="Arial"/>
        </w:rPr>
        <w:t xml:space="preserve"> (</w:t>
      </w:r>
      <w:r w:rsidRPr="003B18A9">
        <w:rPr>
          <w:rFonts w:asciiTheme="minorHAnsi" w:eastAsiaTheme="minorHAnsi" w:hAnsiTheme="minorHAnsi" w:cs="Arial"/>
        </w:rPr>
        <w:t>AABB</w:t>
      </w:r>
      <w:r w:rsidR="00866370">
        <w:rPr>
          <w:rFonts w:asciiTheme="minorHAnsi" w:eastAsiaTheme="minorHAnsi" w:hAnsiTheme="minorHAnsi" w:cs="Arial"/>
        </w:rPr>
        <w:t>)</w:t>
      </w:r>
      <w:r w:rsidRPr="003B18A9">
        <w:rPr>
          <w:rFonts w:asciiTheme="minorHAnsi" w:eastAsiaTheme="minorHAnsi" w:hAnsiTheme="minorHAnsi" w:cs="Arial"/>
        </w:rPr>
        <w:t xml:space="preserve"> to standardise donor </w:t>
      </w:r>
      <w:proofErr w:type="spellStart"/>
      <w:r w:rsidRPr="003B18A9">
        <w:rPr>
          <w:rFonts w:asciiTheme="minorHAnsi" w:eastAsiaTheme="minorHAnsi" w:hAnsiTheme="minorHAnsi" w:cs="Arial"/>
        </w:rPr>
        <w:t>haemovigilance</w:t>
      </w:r>
      <w:proofErr w:type="spellEnd"/>
      <w:r w:rsidRPr="003B18A9">
        <w:rPr>
          <w:rFonts w:asciiTheme="minorHAnsi" w:eastAsiaTheme="minorHAnsi" w:hAnsiTheme="minorHAnsi" w:cs="Arial"/>
        </w:rPr>
        <w:t xml:space="preserve"> definitions internationally. Agreement has now been reached on standard definitions and from 2014-15 these new internationally agreed definitions will be used for donor </w:t>
      </w:r>
      <w:proofErr w:type="spellStart"/>
      <w:r w:rsidRPr="003B18A9">
        <w:rPr>
          <w:rFonts w:asciiTheme="minorHAnsi" w:eastAsiaTheme="minorHAnsi" w:hAnsiTheme="minorHAnsi" w:cs="Arial"/>
        </w:rPr>
        <w:t>haemovigilance</w:t>
      </w:r>
      <w:proofErr w:type="spellEnd"/>
      <w:r w:rsidRPr="003B18A9">
        <w:rPr>
          <w:rFonts w:asciiTheme="minorHAnsi" w:eastAsiaTheme="minorHAnsi" w:hAnsiTheme="minorHAnsi" w:cs="Arial"/>
        </w:rPr>
        <w:t xml:space="preserve"> reporting. This will provide the capacity to benchmark Australian performance with blood services internationally.</w:t>
      </w:r>
    </w:p>
    <w:p w:rsidR="003B18A9" w:rsidRPr="003B18A9" w:rsidRDefault="003B18A9" w:rsidP="00006FBE">
      <w:pPr>
        <w:rPr>
          <w:rFonts w:asciiTheme="minorHAnsi" w:eastAsiaTheme="minorHAnsi" w:hAnsiTheme="minorHAnsi" w:cs="Arial"/>
        </w:rPr>
      </w:pPr>
      <w:r w:rsidRPr="003B18A9">
        <w:rPr>
          <w:rFonts w:asciiTheme="minorHAnsi" w:eastAsiaTheme="minorHAnsi" w:hAnsiTheme="minorHAnsi" w:cs="Arial"/>
        </w:rPr>
        <w:t>Data is accurate at the time of publication. Data from previous years has been updated to include additional events which were not known by the Blood Service to have occurred because report</w:t>
      </w:r>
      <w:r w:rsidR="00F35D94">
        <w:rPr>
          <w:rFonts w:asciiTheme="minorHAnsi" w:eastAsiaTheme="minorHAnsi" w:hAnsiTheme="minorHAnsi" w:cs="Arial"/>
        </w:rPr>
        <w:t>ing from the donor was delayed.</w:t>
      </w:r>
    </w:p>
    <w:p w:rsidR="001B4E38" w:rsidRPr="001B4E38" w:rsidRDefault="003B18A9" w:rsidP="00EC4AF3">
      <w:pPr>
        <w:pStyle w:val="Heading2"/>
      </w:pPr>
      <w:bookmarkStart w:id="129" w:name="_Toc459366179"/>
      <w:r w:rsidRPr="003B18A9">
        <w:t>Donation adverse event trends</w:t>
      </w:r>
      <w:bookmarkEnd w:id="129"/>
    </w:p>
    <w:p w:rsidR="001B4E38" w:rsidRPr="001B4E38" w:rsidRDefault="001B4E38">
      <w:r w:rsidRPr="001B4E38">
        <w:t xml:space="preserve">Donor </w:t>
      </w:r>
      <w:proofErr w:type="spellStart"/>
      <w:r w:rsidRPr="001B4E38">
        <w:t>haemovigilance</w:t>
      </w:r>
      <w:proofErr w:type="spellEnd"/>
      <w:r w:rsidRPr="001B4E38">
        <w:t xml:space="preserve"> systems permit monitoring of donor safety and evaluation of the impact of changes in donation procedures and of the success of interventions designed to further improve donor safety. The Blood Service has actively sought to improve the effectiveness of its </w:t>
      </w:r>
      <w:proofErr w:type="spellStart"/>
      <w:r w:rsidRPr="001B4E38">
        <w:t>haemovigilance</w:t>
      </w:r>
      <w:proofErr w:type="spellEnd"/>
      <w:r w:rsidRPr="001B4E38">
        <w:t xml:space="preserve"> system, and in 2010 moved from a paper based manual system to an electronic system which permits real-time reporting. Changes in the reporting requirements and reporting system have resulted in improved understanding of the true impacts of blood donation on the safety of donors.</w:t>
      </w:r>
    </w:p>
    <w:p w:rsidR="001B4E38" w:rsidRPr="001B4E38" w:rsidRDefault="001B4E38">
      <w:r w:rsidRPr="001B4E38">
        <w:t>In September 2010 an electronic donor adverse events database was introduced. This was associated with an increase in the number of events reported because reporting requirements expanded to include all donor reactions, not just severe reactions. In January 2011 a donor wellness check was introduced whereby every time a donor presents to donate they are asked whether they experienced any problems related to their previous donation. The main purpose of the donor wellness check is to identify delayed donor reactions. Following the introduction of the donor wellness check there was</w:t>
      </w:r>
      <w:r w:rsidR="000E4566">
        <w:t xml:space="preserve"> a</w:t>
      </w:r>
      <w:r w:rsidRPr="001B4E38">
        <w:t xml:space="preserve"> significant increase </w:t>
      </w:r>
      <w:r w:rsidRPr="001B4E38">
        <w:lastRenderedPageBreak/>
        <w:t xml:space="preserve">in the reporting of delayed events associated </w:t>
      </w:r>
      <w:r w:rsidR="000E4566">
        <w:t xml:space="preserve">with </w:t>
      </w:r>
      <w:r w:rsidRPr="001B4E38">
        <w:t xml:space="preserve">all donation types. The significant increase in </w:t>
      </w:r>
      <w:proofErr w:type="spellStart"/>
      <w:r w:rsidRPr="001B4E38">
        <w:t>plateletpheresis</w:t>
      </w:r>
      <w:proofErr w:type="spellEnd"/>
      <w:r w:rsidRPr="001B4E38">
        <w:t xml:space="preserve"> reactions and modest increase in plasmapheresis donor reactions in 2012-13 reflects the introduction of reporting for all citrate reactions, regardless</w:t>
      </w:r>
      <w:r w:rsidR="00F35D94">
        <w:t xml:space="preserve"> of severity from October 2012.</w:t>
      </w:r>
    </w:p>
    <w:p w:rsidR="001B4E38" w:rsidRPr="001B4E38" w:rsidRDefault="001B4E38" w:rsidP="001B4E38">
      <w:r w:rsidRPr="001B4E38">
        <w:t>In November 2013 a new system for reporting adverse donation events was introduced. This has permitted the reporting of more than one type of donation reaction for each donation. Previously collections centre staff reported the most significant event (mostly faints and pre-faints) experienced by a donor; now faints and pre-faints which are associated with phlebotomy</w:t>
      </w:r>
      <w:r w:rsidR="000E4566">
        <w:t>-</w:t>
      </w:r>
      <w:r w:rsidRPr="001B4E38">
        <w:t xml:space="preserve">related problems such as pain and bruising have both fainting and the phlebotomy injury reported, rather than just the faint. This change has resulted in an increase in phlebotomy injuries reported over the past 12 months (as detailed in </w:t>
      </w:r>
      <w:r w:rsidRPr="001B4E38">
        <w:fldChar w:fldCharType="begin"/>
      </w:r>
      <w:r w:rsidRPr="001B4E38">
        <w:instrText xml:space="preserve"> REF _Ref444848056 \h </w:instrText>
      </w:r>
      <w:r w:rsidR="009E4A39">
        <w:instrText xml:space="preserve"> \* MERGEFORMAT </w:instrText>
      </w:r>
      <w:r w:rsidRPr="001B4E38">
        <w:fldChar w:fldCharType="separate"/>
      </w:r>
      <w:r w:rsidR="000010BC" w:rsidRPr="000010BC">
        <w:rPr>
          <w:rFonts w:asciiTheme="minorHAnsi" w:hAnsiTheme="minorHAnsi" w:cstheme="minorHAnsi"/>
        </w:rPr>
        <w:t xml:space="preserve">Table </w:t>
      </w:r>
      <w:r w:rsidR="000010BC" w:rsidRPr="000010BC">
        <w:rPr>
          <w:rFonts w:asciiTheme="minorHAnsi" w:hAnsiTheme="minorHAnsi" w:cstheme="minorHAnsi"/>
          <w:noProof/>
        </w:rPr>
        <w:t>24</w:t>
      </w:r>
      <w:r w:rsidRPr="001B4E38">
        <w:fldChar w:fldCharType="end"/>
      </w:r>
      <w:r w:rsidRPr="001B4E38">
        <w:t xml:space="preserve"> below).</w:t>
      </w:r>
    </w:p>
    <w:p w:rsidR="001B4E38" w:rsidRPr="003A25C4" w:rsidRDefault="001B4E38" w:rsidP="003A25C4">
      <w:pPr>
        <w:pStyle w:val="Caption"/>
      </w:pPr>
      <w:bookmarkStart w:id="130" w:name="_Ref444848056"/>
      <w:bookmarkStart w:id="131" w:name="_Toc459636864"/>
      <w:r w:rsidRPr="003A25C4">
        <w:t xml:space="preserve">Table </w:t>
      </w:r>
      <w:fldSimple w:instr=" SEQ Table \* ARABIC ">
        <w:r w:rsidR="000010BC">
          <w:rPr>
            <w:noProof/>
          </w:rPr>
          <w:t>24</w:t>
        </w:r>
      </w:fldSimple>
      <w:bookmarkEnd w:id="130"/>
      <w:r w:rsidRPr="003A25C4">
        <w:t>: Total number of collections by donation type, 2010–11 to 2013–14</w:t>
      </w:r>
      <w:bookmarkEnd w:id="131"/>
    </w:p>
    <w:tbl>
      <w:tblPr>
        <w:tblStyle w:val="MediumShading1-Accent2"/>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60"/>
        <w:gridCol w:w="1594"/>
        <w:gridCol w:w="1595"/>
        <w:gridCol w:w="1595"/>
        <w:gridCol w:w="1595"/>
      </w:tblGrid>
      <w:tr w:rsidR="001B4E38" w:rsidRPr="001B4E38" w:rsidTr="00EC4A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FF0000"/>
            <w:vAlign w:val="center"/>
          </w:tcPr>
          <w:p w:rsidR="001B4E38" w:rsidRPr="001B4E38" w:rsidRDefault="001B4E38" w:rsidP="001B4E38">
            <w:pPr>
              <w:rPr>
                <w:rFonts w:asciiTheme="minorHAnsi" w:hAnsiTheme="minorHAnsi" w:cstheme="minorHAnsi"/>
                <w:bCs w:val="0"/>
                <w:color w:val="FFFFFF"/>
                <w:sz w:val="20"/>
                <w:szCs w:val="20"/>
                <w:lang w:eastAsia="en-AU"/>
              </w:rPr>
            </w:pPr>
            <w:r w:rsidRPr="001B4E38">
              <w:rPr>
                <w:rFonts w:asciiTheme="minorHAnsi" w:hAnsiTheme="minorHAnsi" w:cstheme="minorHAnsi"/>
                <w:color w:val="FFFFFF"/>
                <w:sz w:val="20"/>
                <w:szCs w:val="20"/>
                <w:lang w:eastAsia="en-AU"/>
              </w:rPr>
              <w:t>Collections</w:t>
            </w:r>
          </w:p>
        </w:tc>
        <w:tc>
          <w:tcPr>
            <w:tcW w:w="1594" w:type="dxa"/>
            <w:tcBorders>
              <w:top w:val="none" w:sz="0" w:space="0" w:color="auto"/>
              <w:bottom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lang w:eastAsia="en-AU"/>
              </w:rPr>
            </w:pPr>
            <w:r w:rsidRPr="001B4E38">
              <w:rPr>
                <w:rFonts w:asciiTheme="minorHAnsi" w:hAnsiTheme="minorHAnsi" w:cstheme="minorHAnsi"/>
                <w:sz w:val="20"/>
                <w:szCs w:val="20"/>
              </w:rPr>
              <w:t>2010–11</w:t>
            </w:r>
          </w:p>
        </w:tc>
        <w:tc>
          <w:tcPr>
            <w:tcW w:w="1595" w:type="dxa"/>
            <w:tcBorders>
              <w:top w:val="none" w:sz="0" w:space="0" w:color="auto"/>
              <w:bottom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eastAsia="en-AU"/>
              </w:rPr>
            </w:pPr>
            <w:r w:rsidRPr="001B4E38">
              <w:rPr>
                <w:rFonts w:asciiTheme="minorHAnsi" w:hAnsiTheme="minorHAnsi" w:cstheme="minorHAnsi"/>
                <w:sz w:val="20"/>
                <w:szCs w:val="20"/>
              </w:rPr>
              <w:t>2011–12</w:t>
            </w:r>
          </w:p>
        </w:tc>
        <w:tc>
          <w:tcPr>
            <w:tcW w:w="1595" w:type="dxa"/>
            <w:tcBorders>
              <w:top w:val="none" w:sz="0" w:space="0" w:color="auto"/>
              <w:bottom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eastAsia="en-AU"/>
              </w:rPr>
            </w:pPr>
            <w:r w:rsidRPr="001B4E38">
              <w:rPr>
                <w:rFonts w:asciiTheme="minorHAnsi" w:hAnsiTheme="minorHAnsi" w:cstheme="minorHAnsi"/>
                <w:sz w:val="20"/>
                <w:szCs w:val="20"/>
              </w:rPr>
              <w:t>2012–13</w:t>
            </w:r>
          </w:p>
        </w:tc>
        <w:tc>
          <w:tcPr>
            <w:tcW w:w="1595" w:type="dxa"/>
            <w:tcBorders>
              <w:top w:val="none" w:sz="0" w:space="0" w:color="auto"/>
              <w:bottom w:val="none" w:sz="0" w:space="0" w:color="auto"/>
              <w:right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0"/>
                <w:szCs w:val="20"/>
                <w:lang w:eastAsia="en-AU"/>
              </w:rPr>
            </w:pPr>
            <w:r w:rsidRPr="001B4E38">
              <w:rPr>
                <w:rFonts w:asciiTheme="minorHAnsi" w:hAnsiTheme="minorHAnsi" w:cstheme="minorHAnsi"/>
                <w:color w:val="FFFFFF"/>
                <w:sz w:val="20"/>
                <w:szCs w:val="20"/>
                <w:lang w:eastAsia="en-AU"/>
              </w:rPr>
              <w:t>2013–14</w:t>
            </w:r>
          </w:p>
        </w:tc>
      </w:tr>
      <w:tr w:rsidR="001B4E38" w:rsidRPr="001B4E38" w:rsidTr="00EC4A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auto"/>
            </w:tcBorders>
            <w:shd w:val="clear" w:color="auto" w:fill="FFFFFF" w:themeFill="background1"/>
            <w:vAlign w:val="center"/>
          </w:tcPr>
          <w:p w:rsidR="001B4E38" w:rsidRPr="001B4E38" w:rsidRDefault="001B4E38" w:rsidP="001B4E38">
            <w:pPr>
              <w:rPr>
                <w:rFonts w:asciiTheme="minorHAnsi" w:hAnsiTheme="minorHAnsi" w:cstheme="minorHAnsi"/>
                <w:b w:val="0"/>
                <w:sz w:val="20"/>
                <w:szCs w:val="20"/>
                <w:lang w:eastAsia="en-AU"/>
              </w:rPr>
            </w:pPr>
            <w:r w:rsidRPr="001B4E38">
              <w:rPr>
                <w:rFonts w:asciiTheme="minorHAnsi" w:hAnsiTheme="minorHAnsi" w:cstheme="minorHAnsi"/>
                <w:b w:val="0"/>
                <w:sz w:val="20"/>
                <w:szCs w:val="20"/>
                <w:lang w:eastAsia="en-AU"/>
              </w:rPr>
              <w:t>Whole Blood</w:t>
            </w:r>
          </w:p>
        </w:tc>
        <w:tc>
          <w:tcPr>
            <w:tcW w:w="1594" w:type="dxa"/>
            <w:tcBorders>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999,038</w:t>
            </w:r>
          </w:p>
        </w:tc>
        <w:tc>
          <w:tcPr>
            <w:tcW w:w="1595" w:type="dxa"/>
            <w:tcBorders>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945,900</w:t>
            </w:r>
          </w:p>
        </w:tc>
        <w:tc>
          <w:tcPr>
            <w:tcW w:w="1595" w:type="dxa"/>
            <w:tcBorders>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858,594</w:t>
            </w:r>
          </w:p>
        </w:tc>
        <w:tc>
          <w:tcPr>
            <w:tcW w:w="1595" w:type="dxa"/>
            <w:tcBorders>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783,346</w:t>
            </w:r>
          </w:p>
        </w:tc>
      </w:tr>
      <w:tr w:rsidR="001B4E38" w:rsidRPr="001B4E38" w:rsidTr="00EC4A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FFFFFF" w:themeFill="background1"/>
            <w:vAlign w:val="center"/>
          </w:tcPr>
          <w:p w:rsidR="001B4E38" w:rsidRPr="001B4E38" w:rsidRDefault="001B4E38" w:rsidP="001B4E38">
            <w:pPr>
              <w:rPr>
                <w:rFonts w:asciiTheme="minorHAnsi" w:hAnsiTheme="minorHAnsi" w:cstheme="minorHAnsi"/>
                <w:b w:val="0"/>
                <w:sz w:val="20"/>
                <w:szCs w:val="20"/>
                <w:lang w:eastAsia="en-AU"/>
              </w:rPr>
            </w:pPr>
            <w:r w:rsidRPr="001B4E38">
              <w:rPr>
                <w:rFonts w:asciiTheme="minorHAnsi" w:hAnsiTheme="minorHAnsi" w:cstheme="minorHAnsi"/>
                <w:sz w:val="20"/>
                <w:szCs w:val="20"/>
                <w:lang w:eastAsia="en-AU"/>
              </w:rPr>
              <w:t>All apheresis procedures</w:t>
            </w:r>
          </w:p>
        </w:tc>
        <w:tc>
          <w:tcPr>
            <w:tcW w:w="1594"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352,730</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0740AA" w:rsidP="000740AA">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39</w:t>
            </w:r>
            <w:r>
              <w:rPr>
                <w:rFonts w:eastAsia="Times New Roman" w:cs="Times New Roman"/>
                <w:color w:val="000000"/>
                <w:sz w:val="20"/>
                <w:szCs w:val="20"/>
                <w:lang w:eastAsia="en-AU"/>
              </w:rPr>
              <w:t>6</w:t>
            </w:r>
            <w:r w:rsidR="001B4E38" w:rsidRPr="001B4E38">
              <w:rPr>
                <w:rFonts w:eastAsia="Times New Roman" w:cs="Times New Roman"/>
                <w:color w:val="000000"/>
                <w:sz w:val="20"/>
                <w:szCs w:val="20"/>
                <w:lang w:eastAsia="en-AU"/>
              </w:rPr>
              <w:t>,</w:t>
            </w:r>
            <w:r>
              <w:rPr>
                <w:rFonts w:eastAsia="Times New Roman" w:cs="Times New Roman"/>
                <w:color w:val="000000"/>
                <w:sz w:val="20"/>
                <w:szCs w:val="20"/>
                <w:lang w:eastAsia="en-AU"/>
              </w:rPr>
              <w:t>983</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464,289</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518,579</w:t>
            </w:r>
          </w:p>
        </w:tc>
      </w:tr>
      <w:tr w:rsidR="001B4E38" w:rsidRPr="001B4E38" w:rsidTr="00EC4A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FFFFFF" w:themeFill="background1"/>
            <w:vAlign w:val="center"/>
          </w:tcPr>
          <w:p w:rsidR="001B4E38" w:rsidRPr="001B4E38" w:rsidRDefault="001B4E38" w:rsidP="00F35D94">
            <w:pPr>
              <w:ind w:firstLine="1026"/>
              <w:rPr>
                <w:rFonts w:asciiTheme="minorHAnsi" w:hAnsiTheme="minorHAnsi" w:cstheme="minorHAnsi"/>
                <w:b w:val="0"/>
                <w:i/>
                <w:sz w:val="20"/>
                <w:szCs w:val="20"/>
                <w:lang w:eastAsia="en-AU"/>
              </w:rPr>
            </w:pPr>
            <w:r w:rsidRPr="001B4E38">
              <w:rPr>
                <w:rFonts w:asciiTheme="minorHAnsi" w:hAnsiTheme="minorHAnsi" w:cstheme="minorHAnsi"/>
                <w:b w:val="0"/>
                <w:i/>
                <w:sz w:val="20"/>
                <w:szCs w:val="20"/>
                <w:lang w:eastAsia="en-AU"/>
              </w:rPr>
              <w:t>Plasmapheresis</w:t>
            </w:r>
          </w:p>
        </w:tc>
        <w:tc>
          <w:tcPr>
            <w:tcW w:w="1594"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313,775</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357,701</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427,945</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482,857</w:t>
            </w:r>
          </w:p>
        </w:tc>
      </w:tr>
      <w:tr w:rsidR="001B4E38" w:rsidRPr="001B4E38" w:rsidTr="00EC4AF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FFFFFF" w:themeFill="background1"/>
            <w:vAlign w:val="center"/>
          </w:tcPr>
          <w:p w:rsidR="001B4E38" w:rsidRPr="001B4E38" w:rsidRDefault="001B4E38" w:rsidP="00F35D94">
            <w:pPr>
              <w:ind w:firstLine="1026"/>
              <w:rPr>
                <w:rFonts w:asciiTheme="minorHAnsi" w:hAnsiTheme="minorHAnsi" w:cstheme="minorHAnsi"/>
                <w:b w:val="0"/>
                <w:i/>
                <w:sz w:val="20"/>
                <w:szCs w:val="20"/>
                <w:lang w:eastAsia="en-AU"/>
              </w:rPr>
            </w:pPr>
            <w:proofErr w:type="spellStart"/>
            <w:r w:rsidRPr="001B4E38">
              <w:rPr>
                <w:rFonts w:asciiTheme="minorHAnsi" w:hAnsiTheme="minorHAnsi" w:cstheme="minorHAnsi"/>
                <w:b w:val="0"/>
                <w:i/>
                <w:sz w:val="20"/>
                <w:szCs w:val="20"/>
                <w:lang w:eastAsia="en-AU"/>
              </w:rPr>
              <w:t>Plateletpheresis</w:t>
            </w:r>
            <w:proofErr w:type="spellEnd"/>
          </w:p>
        </w:tc>
        <w:tc>
          <w:tcPr>
            <w:tcW w:w="1594"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38,955</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39,282</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36,344</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1B4E38">
              <w:rPr>
                <w:rFonts w:eastAsia="Times New Roman" w:cs="Times New Roman"/>
                <w:color w:val="000000"/>
                <w:sz w:val="20"/>
                <w:szCs w:val="20"/>
                <w:lang w:eastAsia="en-AU"/>
              </w:rPr>
              <w:t>35,722</w:t>
            </w:r>
          </w:p>
        </w:tc>
      </w:tr>
      <w:tr w:rsidR="001B4E38" w:rsidRPr="001B4E38" w:rsidTr="00EC4A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bottom w:val="single" w:sz="4" w:space="0" w:color="auto"/>
            </w:tcBorders>
            <w:shd w:val="clear" w:color="auto" w:fill="FFFFFF" w:themeFill="background1"/>
            <w:vAlign w:val="center"/>
          </w:tcPr>
          <w:p w:rsidR="001B4E38" w:rsidRPr="001B4E38" w:rsidRDefault="001B4E38" w:rsidP="001B4E38">
            <w:pPr>
              <w:rPr>
                <w:rFonts w:asciiTheme="minorHAnsi" w:hAnsiTheme="minorHAnsi" w:cstheme="minorHAnsi"/>
                <w:sz w:val="20"/>
                <w:szCs w:val="20"/>
                <w:lang w:eastAsia="en-AU"/>
              </w:rPr>
            </w:pPr>
            <w:r w:rsidRPr="001B4E38">
              <w:rPr>
                <w:rFonts w:asciiTheme="minorHAnsi" w:hAnsiTheme="minorHAnsi" w:cstheme="minorHAnsi"/>
                <w:sz w:val="20"/>
                <w:szCs w:val="20"/>
                <w:lang w:eastAsia="en-AU"/>
              </w:rPr>
              <w:t>Total collections</w:t>
            </w:r>
          </w:p>
        </w:tc>
        <w:tc>
          <w:tcPr>
            <w:tcW w:w="1594"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1,351,768</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1,342,883</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1,322,883</w:t>
            </w:r>
          </w:p>
        </w:tc>
        <w:tc>
          <w:tcPr>
            <w:tcW w:w="1595" w:type="dxa"/>
            <w:tcBorders>
              <w:top w:val="single" w:sz="4" w:space="0" w:color="auto"/>
              <w:bottom w:val="single" w:sz="4" w:space="0" w:color="auto"/>
            </w:tcBorders>
            <w:shd w:val="clear" w:color="auto" w:fill="FFFFFF" w:themeFill="background1"/>
            <w:vAlign w:val="center"/>
          </w:tcPr>
          <w:p w:rsidR="001B4E38" w:rsidRPr="001B4E38" w:rsidRDefault="001B4E38" w:rsidP="001B4E3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1,301,925</w:t>
            </w:r>
          </w:p>
        </w:tc>
      </w:tr>
    </w:tbl>
    <w:p w:rsidR="00C747D3" w:rsidRDefault="00C747D3" w:rsidP="00EC4AF3"/>
    <w:p w:rsidR="001B4E38" w:rsidRPr="001B4E38" w:rsidRDefault="001B4E38" w:rsidP="00EC4AF3">
      <w:r w:rsidRPr="001B4E38">
        <w:t>There were 34,778 adverse events reported in 2013–14. The most frequently reported reaction to blood donation is vasovagal reaction, where the donor experiences dizziness, sweating and nausea; in a small proportion of donors the reaction is associated with loss of consciousness. Vasovagal reactions can occur during or after the donation (sometimes as long as 6-8 hours following the donation). Events which occur in the donor centre are termed immediate events. Events which occur after the donor has left the donor centre ar</w:t>
      </w:r>
      <w:r w:rsidR="00F35D94">
        <w:t>e classified as delayed events.</w:t>
      </w:r>
    </w:p>
    <w:p w:rsidR="001B4E38" w:rsidRPr="001B4E38" w:rsidRDefault="001B4E38" w:rsidP="001B4E38">
      <w:r w:rsidRPr="001B4E38">
        <w:t xml:space="preserve">Immediate vasovagal reactions are the most commonly reported adverse donation reactions, with an incidence of 1.8%. 11% of immediate reactions are associated with loss of consciousness; the majority of donors experience dizziness or light headedness, which may be associated with sweating, nausea and weakness. Delayed vasovagal reactions are less common than immediate reactions occurring in 0.17% of donors. </w:t>
      </w:r>
      <w:r w:rsidR="00866370">
        <w:t>60%</w:t>
      </w:r>
      <w:r w:rsidRPr="001B4E38">
        <w:t xml:space="preserve"> of delayed reactions are associated with loss of consciousness, which represents a significant risk to the donor who is not under observ</w:t>
      </w:r>
      <w:r w:rsidR="00F35D94">
        <w:t>ation at the time of the event.</w:t>
      </w:r>
    </w:p>
    <w:p w:rsidR="001B4E38" w:rsidRPr="001B4E38" w:rsidRDefault="001B4E38" w:rsidP="001B4E38">
      <w:r w:rsidRPr="001B4E38">
        <w:t>The other major category of adverse event is related to local complications at the donation site caused by the needle. The most frequent phlebotomy injuries include bruising and local pain; less frequent local complications include local thrombosis and arterial puncture. Donors who are slow to recover from vasovagal reactions (with symptoms lasting more than one hour) and donors who have fainted and sustained an injury may require hospital treatment. The overall reported rate of donation</w:t>
      </w:r>
      <w:r w:rsidR="008C274E">
        <w:t>-</w:t>
      </w:r>
      <w:r w:rsidRPr="001B4E38">
        <w:t>related adve</w:t>
      </w:r>
      <w:r w:rsidR="00F35D94">
        <w:t>rse events was 1:37 in 2013–14.</w:t>
      </w:r>
    </w:p>
    <w:p w:rsidR="00437C01" w:rsidRDefault="00437C01">
      <w:pPr>
        <w:spacing w:line="276" w:lineRule="auto"/>
      </w:pPr>
      <w:r>
        <w:br w:type="page"/>
      </w:r>
    </w:p>
    <w:p w:rsidR="001B4E38" w:rsidRDefault="001B4E38" w:rsidP="001B4E38">
      <w:r w:rsidRPr="001B4E38">
        <w:lastRenderedPageBreak/>
        <w:t>Total donation</w:t>
      </w:r>
      <w:r w:rsidR="000E4566">
        <w:t>-</w:t>
      </w:r>
      <w:r w:rsidRPr="001B4E38">
        <w:t xml:space="preserve">associated events and serious donation-related events are shown in </w:t>
      </w:r>
      <w:r w:rsidRPr="001B4E38">
        <w:fldChar w:fldCharType="begin"/>
      </w:r>
      <w:r w:rsidRPr="001B4E38">
        <w:instrText xml:space="preserve"> REF _Ref359250851 \h  \* MERGEFORMAT </w:instrText>
      </w:r>
      <w:r w:rsidRPr="001B4E38">
        <w:fldChar w:fldCharType="separate"/>
      </w:r>
      <w:r w:rsidR="000010BC" w:rsidRPr="00C94185">
        <w:t xml:space="preserve">Figure </w:t>
      </w:r>
      <w:r w:rsidR="000010BC">
        <w:t>2</w:t>
      </w:r>
      <w:r w:rsidRPr="001B4E38">
        <w:fldChar w:fldCharType="end"/>
      </w:r>
      <w:r w:rsidRPr="001B4E38">
        <w:t xml:space="preserve"> below.</w:t>
      </w:r>
    </w:p>
    <w:p w:rsidR="00FA3488" w:rsidRDefault="003171A6" w:rsidP="001B4E38">
      <w:r w:rsidRPr="001B4E38">
        <w:rPr>
          <w:noProof/>
          <w:lang w:eastAsia="en-AU"/>
        </w:rPr>
        <mc:AlternateContent>
          <mc:Choice Requires="wps">
            <w:drawing>
              <wp:anchor distT="0" distB="0" distL="114300" distR="114300" simplePos="0" relativeHeight="251661312" behindDoc="0" locked="0" layoutInCell="1" allowOverlap="1" wp14:anchorId="5B2833CE" wp14:editId="3058400D">
                <wp:simplePos x="0" y="0"/>
                <wp:positionH relativeFrom="column">
                  <wp:posOffset>4024648</wp:posOffset>
                </wp:positionH>
                <wp:positionV relativeFrom="paragraph">
                  <wp:posOffset>37036</wp:posOffset>
                </wp:positionV>
                <wp:extent cx="1641475" cy="462915"/>
                <wp:effectExtent l="0" t="0" r="15875" b="1689735"/>
                <wp:wrapNone/>
                <wp:docPr id="13" name="Line Callout 1 13"/>
                <wp:cNvGraphicFramePr/>
                <a:graphic xmlns:a="http://schemas.openxmlformats.org/drawingml/2006/main">
                  <a:graphicData uri="http://schemas.microsoft.com/office/word/2010/wordprocessingShape">
                    <wps:wsp>
                      <wps:cNvSpPr/>
                      <wps:spPr>
                        <a:xfrm>
                          <a:off x="0" y="0"/>
                          <a:ext cx="1641475" cy="462915"/>
                        </a:xfrm>
                        <a:prstGeom prst="borderCallout1">
                          <a:avLst>
                            <a:gd name="adj1" fmla="val 93415"/>
                            <a:gd name="adj2" fmla="val 50743"/>
                            <a:gd name="adj3" fmla="val 459018"/>
                            <a:gd name="adj4" fmla="val 66372"/>
                          </a:avLst>
                        </a:prstGeom>
                        <a:solidFill>
                          <a:sysClr val="window" lastClr="FFFFFF">
                            <a:lumMod val="85000"/>
                          </a:sysClr>
                        </a:solidFill>
                        <a:ln w="25400" cap="flat" cmpd="sng" algn="ctr">
                          <a:solidFill>
                            <a:sysClr val="window" lastClr="FFFFFF">
                              <a:lumMod val="85000"/>
                            </a:sysClr>
                          </a:solidFill>
                          <a:prstDash val="solid"/>
                          <a:tailEnd type="arrow"/>
                        </a:ln>
                        <a:effectLst/>
                      </wps:spPr>
                      <wps:txbx>
                        <w:txbxContent>
                          <w:p w:rsidR="00BB1643" w:rsidRDefault="00BB1643" w:rsidP="001B4E38">
                            <w:pPr>
                              <w:spacing w:after="0" w:line="160" w:lineRule="exact"/>
                              <w:rPr>
                                <w:color w:val="FF0000"/>
                                <w:sz w:val="16"/>
                                <w:szCs w:val="16"/>
                              </w:rPr>
                            </w:pPr>
                            <w:r>
                              <w:rPr>
                                <w:color w:val="FF0000"/>
                                <w:sz w:val="16"/>
                                <w:szCs w:val="16"/>
                              </w:rPr>
                              <w:t xml:space="preserve">November 2013 </w:t>
                            </w:r>
                          </w:p>
                          <w:p w:rsidR="00BB1643" w:rsidRPr="00FA2169" w:rsidRDefault="00BB1643" w:rsidP="001B4E38">
                            <w:pPr>
                              <w:rPr>
                                <w:color w:val="FF0000"/>
                                <w:sz w:val="16"/>
                                <w:szCs w:val="16"/>
                              </w:rPr>
                            </w:pPr>
                            <w:r w:rsidRPr="00A06D90">
                              <w:rPr>
                                <w:color w:val="FF0000"/>
                                <w:sz w:val="16"/>
                                <w:szCs w:val="16"/>
                              </w:rPr>
                              <w:t>New system for reporting adverse donation events introduced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3" o:spid="_x0000_s1026" type="#_x0000_t47" style="position:absolute;margin-left:316.9pt;margin-top:2.9pt;width:129.25pt;height:3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" adj="14336,99148,10960,20178" fillcolor="#d9d9d9" strokecolor="#d9d9d9" strokeweight="2pt">
                <v:stroke startarrow="open"/>
                <v:textbox>
                  <w:txbxContent>
                    <w:p w:rsidR="00BB1643" w:rsidRDefault="00BB1643" w:rsidP="001B4E38">
                      <w:pPr>
                        <w:spacing w:after="0" w:line="160" w:lineRule="exact"/>
                        <w:rPr>
                          <w:color w:val="FF0000"/>
                          <w:sz w:val="16"/>
                          <w:szCs w:val="16"/>
                        </w:rPr>
                      </w:pPr>
                      <w:r>
                        <w:rPr>
                          <w:color w:val="FF0000"/>
                          <w:sz w:val="16"/>
                          <w:szCs w:val="16"/>
                        </w:rPr>
                        <w:t xml:space="preserve">November 2013 </w:t>
                      </w:r>
                    </w:p>
                    <w:p w:rsidR="00BB1643" w:rsidRPr="00FA2169" w:rsidRDefault="00BB1643" w:rsidP="001B4E38">
                      <w:pPr>
                        <w:rPr>
                          <w:color w:val="FF0000"/>
                          <w:sz w:val="16"/>
                          <w:szCs w:val="16"/>
                        </w:rPr>
                      </w:pPr>
                      <w:r w:rsidRPr="00A06D90">
                        <w:rPr>
                          <w:color w:val="FF0000"/>
                          <w:sz w:val="16"/>
                          <w:szCs w:val="16"/>
                        </w:rPr>
                        <w:t>New system for reporting adverse donation events introduced</w:t>
                      </w:r>
                    </w:p>
                  </w:txbxContent>
                </v:textbox>
                <o:callout v:ext="edit" minusx="t" minusy="t"/>
              </v:shape>
            </w:pict>
          </mc:Fallback>
        </mc:AlternateContent>
      </w:r>
      <w:r w:rsidRPr="001B4E38">
        <w:rPr>
          <w:noProof/>
          <w:lang w:eastAsia="en-AU"/>
        </w:rPr>
        <mc:AlternateContent>
          <mc:Choice Requires="wps">
            <w:drawing>
              <wp:anchor distT="0" distB="0" distL="114300" distR="114300" simplePos="0" relativeHeight="251660288" behindDoc="0" locked="0" layoutInCell="1" allowOverlap="1" wp14:anchorId="56D1B863" wp14:editId="469B9ECF">
                <wp:simplePos x="0" y="0"/>
                <wp:positionH relativeFrom="column">
                  <wp:posOffset>2633730</wp:posOffset>
                </wp:positionH>
                <wp:positionV relativeFrom="paragraph">
                  <wp:posOffset>37036</wp:posOffset>
                </wp:positionV>
                <wp:extent cx="1094740" cy="462915"/>
                <wp:effectExtent l="0" t="0" r="581660" b="1689735"/>
                <wp:wrapNone/>
                <wp:docPr id="12" name="Line Callout 1 12"/>
                <wp:cNvGraphicFramePr/>
                <a:graphic xmlns:a="http://schemas.openxmlformats.org/drawingml/2006/main">
                  <a:graphicData uri="http://schemas.microsoft.com/office/word/2010/wordprocessingShape">
                    <wps:wsp>
                      <wps:cNvSpPr/>
                      <wps:spPr>
                        <a:xfrm>
                          <a:off x="0" y="0"/>
                          <a:ext cx="1094740" cy="462915"/>
                        </a:xfrm>
                        <a:prstGeom prst="borderCallout1">
                          <a:avLst>
                            <a:gd name="adj1" fmla="val 101162"/>
                            <a:gd name="adj2" fmla="val 99607"/>
                            <a:gd name="adj3" fmla="val 457108"/>
                            <a:gd name="adj4" fmla="val 149121"/>
                          </a:avLst>
                        </a:prstGeom>
                        <a:solidFill>
                          <a:sysClr val="window" lastClr="FFFFFF">
                            <a:lumMod val="85000"/>
                          </a:sysClr>
                        </a:solidFill>
                        <a:ln w="25400" cap="flat" cmpd="sng" algn="ctr">
                          <a:solidFill>
                            <a:sysClr val="window" lastClr="FFFFFF">
                              <a:lumMod val="85000"/>
                            </a:sysClr>
                          </a:solidFill>
                          <a:prstDash val="solid"/>
                          <a:tailEnd type="arrow"/>
                        </a:ln>
                        <a:effectLst/>
                      </wps:spPr>
                      <wps:txbx>
                        <w:txbxContent>
                          <w:p w:rsidR="00BB1643" w:rsidRPr="00FA2169" w:rsidRDefault="00BB1643" w:rsidP="001B4E38">
                            <w:pPr>
                              <w:rPr>
                                <w:color w:val="FF0000"/>
                                <w:sz w:val="16"/>
                                <w:szCs w:val="16"/>
                              </w:rPr>
                            </w:pPr>
                            <w:r w:rsidRPr="00FA2169">
                              <w:rPr>
                                <w:color w:val="FF0000"/>
                                <w:sz w:val="16"/>
                                <w:szCs w:val="16"/>
                              </w:rPr>
                              <w:t>October 2012</w:t>
                            </w:r>
                            <w:r>
                              <w:rPr>
                                <w:color w:val="FF0000"/>
                                <w:sz w:val="16"/>
                                <w:szCs w:val="16"/>
                              </w:rPr>
                              <w:t xml:space="preserve">   A</w:t>
                            </w:r>
                            <w:r w:rsidRPr="00FA2169">
                              <w:rPr>
                                <w:color w:val="FF0000"/>
                                <w:sz w:val="16"/>
                                <w:szCs w:val="16"/>
                              </w:rPr>
                              <w:t>d</w:t>
                            </w:r>
                            <w:r>
                              <w:rPr>
                                <w:color w:val="FF0000"/>
                                <w:sz w:val="16"/>
                                <w:szCs w:val="16"/>
                              </w:rPr>
                              <w:t xml:space="preserve">ditional reporting for citrate </w:t>
                            </w:r>
                            <w:r w:rsidRPr="00FA2169">
                              <w:rPr>
                                <w:color w:val="FF0000"/>
                                <w:sz w:val="16"/>
                                <w:szCs w:val="16"/>
                              </w:rPr>
                              <w:t>reactions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2" o:spid="_x0000_s1027" type="#_x0000_t47" style="position:absolute;margin-left:207.4pt;margin-top:2.9pt;width:86.2pt;height:3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" adj="32210,98735,21515,21851" fillcolor="#d9d9d9" strokecolor="#d9d9d9" strokeweight="2pt">
                <v:stroke startarrow="open"/>
                <v:textbox>
                  <w:txbxContent>
                    <w:p w:rsidR="00BB1643" w:rsidRPr="00FA2169" w:rsidRDefault="00BB1643" w:rsidP="001B4E38">
                      <w:pPr>
                        <w:rPr>
                          <w:color w:val="FF0000"/>
                          <w:sz w:val="16"/>
                          <w:szCs w:val="16"/>
                        </w:rPr>
                      </w:pPr>
                      <w:r w:rsidRPr="00FA2169">
                        <w:rPr>
                          <w:color w:val="FF0000"/>
                          <w:sz w:val="16"/>
                          <w:szCs w:val="16"/>
                        </w:rPr>
                        <w:t>October 2012</w:t>
                      </w:r>
                      <w:r>
                        <w:rPr>
                          <w:color w:val="FF0000"/>
                          <w:sz w:val="16"/>
                          <w:szCs w:val="16"/>
                        </w:rPr>
                        <w:t xml:space="preserve">   A</w:t>
                      </w:r>
                      <w:r w:rsidRPr="00FA2169">
                        <w:rPr>
                          <w:color w:val="FF0000"/>
                          <w:sz w:val="16"/>
                          <w:szCs w:val="16"/>
                        </w:rPr>
                        <w:t>d</w:t>
                      </w:r>
                      <w:r>
                        <w:rPr>
                          <w:color w:val="FF0000"/>
                          <w:sz w:val="16"/>
                          <w:szCs w:val="16"/>
                        </w:rPr>
                        <w:t xml:space="preserve">ditional reporting for citrate </w:t>
                      </w:r>
                      <w:r w:rsidRPr="00FA2169">
                        <w:rPr>
                          <w:color w:val="FF0000"/>
                          <w:sz w:val="16"/>
                          <w:szCs w:val="16"/>
                        </w:rPr>
                        <w:t>reactions</w:t>
                      </w:r>
                    </w:p>
                  </w:txbxContent>
                </v:textbox>
                <o:callout v:ext="edit" minusx="t" minusy="t"/>
              </v:shape>
            </w:pict>
          </mc:Fallback>
        </mc:AlternateContent>
      </w:r>
      <w:r w:rsidR="00FA3488" w:rsidRPr="001B4E38">
        <w:rPr>
          <w:noProof/>
          <w:lang w:eastAsia="en-AU"/>
        </w:rPr>
        <mc:AlternateContent>
          <mc:Choice Requires="wps">
            <w:drawing>
              <wp:anchor distT="0" distB="0" distL="114300" distR="114300" simplePos="0" relativeHeight="251659264" behindDoc="0" locked="0" layoutInCell="1" allowOverlap="1" wp14:anchorId="494C08AC" wp14:editId="04F58C4C">
                <wp:simplePos x="0" y="0"/>
                <wp:positionH relativeFrom="column">
                  <wp:posOffset>882015</wp:posOffset>
                </wp:positionH>
                <wp:positionV relativeFrom="paragraph">
                  <wp:posOffset>674370</wp:posOffset>
                </wp:positionV>
                <wp:extent cx="1458595" cy="574040"/>
                <wp:effectExtent l="0" t="0" r="294005" b="949960"/>
                <wp:wrapNone/>
                <wp:docPr id="11" name="Line Callout 1 11"/>
                <wp:cNvGraphicFramePr/>
                <a:graphic xmlns:a="http://schemas.openxmlformats.org/drawingml/2006/main">
                  <a:graphicData uri="http://schemas.microsoft.com/office/word/2010/wordprocessingShape">
                    <wps:wsp>
                      <wps:cNvSpPr/>
                      <wps:spPr>
                        <a:xfrm>
                          <a:off x="0" y="0"/>
                          <a:ext cx="1458595" cy="574040"/>
                        </a:xfrm>
                        <a:prstGeom prst="borderCallout1">
                          <a:avLst>
                            <a:gd name="adj1" fmla="val 99624"/>
                            <a:gd name="adj2" fmla="val 48371"/>
                            <a:gd name="adj3" fmla="val 257305"/>
                            <a:gd name="adj4" fmla="val 114150"/>
                          </a:avLst>
                        </a:prstGeom>
                        <a:solidFill>
                          <a:sysClr val="window" lastClr="FFFFFF">
                            <a:lumMod val="85000"/>
                          </a:sysClr>
                        </a:solidFill>
                        <a:ln w="25400" cap="flat" cmpd="sng" algn="ctr">
                          <a:solidFill>
                            <a:sysClr val="window" lastClr="FFFFFF">
                              <a:lumMod val="85000"/>
                            </a:sysClr>
                          </a:solidFill>
                          <a:prstDash val="solid"/>
                          <a:tailEnd type="arrow"/>
                        </a:ln>
                        <a:effectLst/>
                      </wps:spPr>
                      <wps:txbx>
                        <w:txbxContent>
                          <w:p w:rsidR="00BB1643" w:rsidRDefault="00BB1643" w:rsidP="00D24808">
                            <w:pPr>
                              <w:spacing w:after="0" w:line="40" w:lineRule="atLeast"/>
                              <w:rPr>
                                <w:color w:val="FF0000"/>
                                <w:sz w:val="16"/>
                                <w:szCs w:val="16"/>
                              </w:rPr>
                            </w:pPr>
                            <w:r>
                              <w:rPr>
                                <w:color w:val="FF0000"/>
                                <w:sz w:val="16"/>
                                <w:szCs w:val="16"/>
                              </w:rPr>
                              <w:t>September 2010</w:t>
                            </w:r>
                          </w:p>
                          <w:p w:rsidR="00BB1643" w:rsidRPr="00FA2169" w:rsidRDefault="00BB1643" w:rsidP="00D24808">
                            <w:pPr>
                              <w:spacing w:after="0" w:line="40" w:lineRule="atLeast"/>
                              <w:rPr>
                                <w:color w:val="FF0000"/>
                                <w:sz w:val="16"/>
                                <w:szCs w:val="16"/>
                              </w:rPr>
                            </w:pPr>
                            <w:r w:rsidRPr="00D24808">
                              <w:rPr>
                                <w:color w:val="FF0000"/>
                                <w:sz w:val="16"/>
                                <w:szCs w:val="16"/>
                              </w:rPr>
                              <w:t>Electronic donor adverse events database introduced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1" o:spid="_x0000_s1028" type="#_x0000_t47" style="position:absolute;margin-left:69.45pt;margin-top:53.1pt;width:114.8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" adj="24656,55578,10448,21519" fillcolor="#d9d9d9" strokecolor="#d9d9d9" strokeweight="2pt">
                <v:stroke startarrow="open"/>
                <v:textbox>
                  <w:txbxContent>
                    <w:p w:rsidR="00BB1643" w:rsidRDefault="00BB1643" w:rsidP="00D24808">
                      <w:pPr>
                        <w:spacing w:after="0" w:line="40" w:lineRule="atLeast"/>
                        <w:rPr>
                          <w:color w:val="FF0000"/>
                          <w:sz w:val="16"/>
                          <w:szCs w:val="16"/>
                        </w:rPr>
                      </w:pPr>
                      <w:r>
                        <w:rPr>
                          <w:color w:val="FF0000"/>
                          <w:sz w:val="16"/>
                          <w:szCs w:val="16"/>
                        </w:rPr>
                        <w:t>September 2010</w:t>
                      </w:r>
                    </w:p>
                    <w:p w:rsidR="00BB1643" w:rsidRPr="00FA2169" w:rsidRDefault="00BB1643" w:rsidP="00D24808">
                      <w:pPr>
                        <w:spacing w:after="0" w:line="40" w:lineRule="atLeast"/>
                        <w:rPr>
                          <w:color w:val="FF0000"/>
                          <w:sz w:val="16"/>
                          <w:szCs w:val="16"/>
                        </w:rPr>
                      </w:pPr>
                      <w:r w:rsidRPr="00D24808">
                        <w:rPr>
                          <w:color w:val="FF0000"/>
                          <w:sz w:val="16"/>
                          <w:szCs w:val="16"/>
                        </w:rPr>
                        <w:t>Electronic donor adverse events database introduced</w:t>
                      </w:r>
                    </w:p>
                  </w:txbxContent>
                </v:textbox>
                <o:callout v:ext="edit" minusx="t" minusy="t"/>
              </v:shape>
            </w:pict>
          </mc:Fallback>
        </mc:AlternateContent>
      </w:r>
      <w:r w:rsidR="00FA3488">
        <w:rPr>
          <w:noProof/>
          <w:lang w:eastAsia="en-AU"/>
        </w:rPr>
        <w:drawing>
          <wp:inline distT="0" distB="0" distL="0" distR="0" wp14:anchorId="0FE23757" wp14:editId="7471ADAA">
            <wp:extent cx="5924282" cy="2672366"/>
            <wp:effectExtent l="0" t="0" r="19685"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B4E38" w:rsidRPr="00C94185" w:rsidRDefault="001B4E38" w:rsidP="00C94185">
      <w:pPr>
        <w:pStyle w:val="Caption"/>
        <w:rPr>
          <w:b w:val="0"/>
          <w:bCs w:val="0"/>
        </w:rPr>
      </w:pPr>
      <w:bookmarkStart w:id="132" w:name="_Ref359250851"/>
      <w:bookmarkStart w:id="133" w:name="_Ref403992828"/>
      <w:bookmarkStart w:id="134" w:name="_Toc420836092"/>
      <w:bookmarkStart w:id="135" w:name="_Toc459366194"/>
      <w:r w:rsidRPr="00C94185">
        <w:t xml:space="preserve">Figure </w:t>
      </w:r>
      <w:fldSimple w:instr=" SEQ Figure \* ARABIC ">
        <w:r w:rsidR="000010BC">
          <w:rPr>
            <w:noProof/>
          </w:rPr>
          <w:t>2</w:t>
        </w:r>
      </w:fldSimple>
      <w:bookmarkEnd w:id="132"/>
      <w:bookmarkEnd w:id="133"/>
      <w:r w:rsidRPr="00C94185">
        <w:t>: Total donation-associated events and serious donation-related events 2008–09 to 2013–</w:t>
      </w:r>
      <w:bookmarkEnd w:id="134"/>
      <w:r w:rsidR="00FE6DFD">
        <w:t>1</w:t>
      </w:r>
      <w:r w:rsidRPr="00C94185">
        <w:t>4</w:t>
      </w:r>
      <w:bookmarkEnd w:id="135"/>
    </w:p>
    <w:p w:rsidR="001B4E38" w:rsidRPr="00F35D94" w:rsidRDefault="001B4E38" w:rsidP="001B4E38">
      <w:pPr>
        <w:rPr>
          <w:rFonts w:asciiTheme="minorHAnsi" w:eastAsiaTheme="minorHAnsi" w:hAnsiTheme="minorHAnsi" w:cs="Arial"/>
        </w:rPr>
      </w:pPr>
      <w:r w:rsidRPr="001B4E38">
        <w:rPr>
          <w:rFonts w:asciiTheme="minorHAnsi" w:eastAsiaTheme="minorHAnsi" w:hAnsiTheme="minorHAnsi" w:cs="Arial"/>
        </w:rPr>
        <w:t xml:space="preserve">The incidence of the different types of adverse events for all donations is shown in </w:t>
      </w:r>
      <w:r w:rsidRPr="001B4E38">
        <w:rPr>
          <w:rFonts w:asciiTheme="minorHAnsi" w:eastAsiaTheme="minorHAnsi" w:hAnsiTheme="minorHAnsi" w:cs="Arial"/>
        </w:rPr>
        <w:fldChar w:fldCharType="begin"/>
      </w:r>
      <w:r w:rsidRPr="001B4E38">
        <w:rPr>
          <w:rFonts w:asciiTheme="minorHAnsi" w:eastAsiaTheme="minorHAnsi" w:hAnsiTheme="minorHAnsi" w:cs="Arial"/>
        </w:rPr>
        <w:instrText xml:space="preserve"> REF _Ref444856309 \h  \* MERGEFORMAT </w:instrText>
      </w:r>
      <w:r w:rsidRPr="001B4E38">
        <w:rPr>
          <w:rFonts w:asciiTheme="minorHAnsi" w:eastAsiaTheme="minorHAnsi" w:hAnsiTheme="minorHAnsi" w:cs="Arial"/>
        </w:rPr>
      </w:r>
      <w:r w:rsidRPr="001B4E38">
        <w:rPr>
          <w:rFonts w:asciiTheme="minorHAnsi" w:eastAsiaTheme="minorHAnsi" w:hAnsiTheme="minorHAnsi" w:cs="Arial"/>
        </w:rPr>
        <w:fldChar w:fldCharType="separate"/>
      </w:r>
      <w:r w:rsidR="000010BC" w:rsidRPr="003A25C4">
        <w:t xml:space="preserve">Table </w:t>
      </w:r>
      <w:r w:rsidR="000010BC">
        <w:rPr>
          <w:noProof/>
        </w:rPr>
        <w:t>25</w:t>
      </w:r>
      <w:r w:rsidRPr="001B4E38">
        <w:rPr>
          <w:rFonts w:asciiTheme="minorHAnsi" w:eastAsiaTheme="minorHAnsi" w:hAnsiTheme="minorHAnsi" w:cs="Arial"/>
        </w:rPr>
        <w:fldChar w:fldCharType="end"/>
      </w:r>
      <w:r w:rsidRPr="001B4E38">
        <w:rPr>
          <w:rFonts w:ascii="Arial" w:eastAsiaTheme="minorHAnsi" w:hAnsi="Arial" w:cs="Arial"/>
          <w:b/>
        </w:rPr>
        <w:t>.</w:t>
      </w:r>
    </w:p>
    <w:p w:rsidR="001B4E38" w:rsidRPr="003A25C4" w:rsidRDefault="001B4E38" w:rsidP="003A25C4">
      <w:pPr>
        <w:pStyle w:val="Caption"/>
      </w:pPr>
      <w:bookmarkStart w:id="136" w:name="_Ref444856309"/>
      <w:bookmarkStart w:id="137" w:name="_Toc459636865"/>
      <w:r w:rsidRPr="003A25C4">
        <w:t xml:space="preserve">Table </w:t>
      </w:r>
      <w:fldSimple w:instr=" SEQ Table \* ARABIC ">
        <w:r w:rsidR="000010BC">
          <w:rPr>
            <w:noProof/>
          </w:rPr>
          <w:t>25</w:t>
        </w:r>
      </w:fldSimple>
      <w:bookmarkEnd w:id="136"/>
      <w:r w:rsidRPr="003A25C4">
        <w:t>: Adverse donor reaction rate by category, 2010–11 to 2013–14 (per 10,000 donations)</w:t>
      </w:r>
      <w:bookmarkEnd w:id="137"/>
    </w:p>
    <w:tbl>
      <w:tblPr>
        <w:tblStyle w:val="MediumShading1-Accent2"/>
        <w:tblW w:w="9039"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552"/>
        <w:gridCol w:w="1621"/>
        <w:gridCol w:w="1622"/>
        <w:gridCol w:w="1622"/>
        <w:gridCol w:w="1622"/>
      </w:tblGrid>
      <w:tr w:rsidR="001B4E38" w:rsidRPr="001B4E38" w:rsidTr="00EC4AF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tcBorders>
            <w:shd w:val="clear" w:color="auto" w:fill="FF0000"/>
            <w:vAlign w:val="center"/>
            <w:hideMark/>
          </w:tcPr>
          <w:p w:rsidR="001B4E38" w:rsidRPr="001B4E38" w:rsidRDefault="001B4E38" w:rsidP="001B4E38">
            <w:pPr>
              <w:rPr>
                <w:rFonts w:asciiTheme="minorHAnsi" w:eastAsia="Times New Roman" w:hAnsiTheme="minorHAnsi" w:cstheme="minorHAnsi"/>
                <w:bCs w:val="0"/>
                <w:color w:val="FFFFFF"/>
                <w:sz w:val="20"/>
                <w:szCs w:val="20"/>
                <w:lang w:eastAsia="en-AU"/>
              </w:rPr>
            </w:pPr>
            <w:r w:rsidRPr="001B4E38">
              <w:rPr>
                <w:rFonts w:asciiTheme="minorHAnsi" w:eastAsia="Times New Roman" w:hAnsiTheme="minorHAnsi" w:cstheme="minorHAnsi"/>
                <w:bCs w:val="0"/>
                <w:color w:val="FFFFFF"/>
                <w:sz w:val="20"/>
                <w:szCs w:val="20"/>
                <w:lang w:eastAsia="en-AU"/>
              </w:rPr>
              <w:t>Donor Event</w:t>
            </w:r>
          </w:p>
        </w:tc>
        <w:tc>
          <w:tcPr>
            <w:tcW w:w="1621" w:type="dxa"/>
            <w:tcBorders>
              <w:top w:val="none" w:sz="0" w:space="0" w:color="auto"/>
              <w:bottom w:val="none" w:sz="0" w:space="0" w:color="auto"/>
            </w:tcBorders>
            <w:shd w:val="clear" w:color="auto" w:fill="FF0000"/>
            <w:vAlign w:val="center"/>
            <w:hideMark/>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sz w:val="20"/>
                <w:szCs w:val="20"/>
                <w:lang w:eastAsia="en-AU"/>
              </w:rPr>
            </w:pPr>
            <w:r w:rsidRPr="001B4E38">
              <w:rPr>
                <w:rFonts w:asciiTheme="minorHAnsi" w:hAnsiTheme="minorHAnsi"/>
                <w:sz w:val="20"/>
                <w:szCs w:val="20"/>
              </w:rPr>
              <w:t>2010–11</w:t>
            </w:r>
          </w:p>
        </w:tc>
        <w:tc>
          <w:tcPr>
            <w:tcW w:w="1622" w:type="dxa"/>
            <w:tcBorders>
              <w:top w:val="none" w:sz="0" w:space="0" w:color="auto"/>
              <w:bottom w:val="none" w:sz="0" w:space="0" w:color="auto"/>
            </w:tcBorders>
            <w:shd w:val="clear" w:color="auto" w:fill="FF0000"/>
            <w:vAlign w:val="center"/>
            <w:hideMark/>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sz w:val="20"/>
                <w:szCs w:val="20"/>
                <w:lang w:eastAsia="en-AU"/>
              </w:rPr>
            </w:pPr>
            <w:r w:rsidRPr="001B4E38">
              <w:rPr>
                <w:rFonts w:asciiTheme="minorHAnsi" w:hAnsiTheme="minorHAnsi"/>
                <w:sz w:val="20"/>
                <w:szCs w:val="20"/>
              </w:rPr>
              <w:t>2011–12</w:t>
            </w:r>
          </w:p>
        </w:tc>
        <w:tc>
          <w:tcPr>
            <w:tcW w:w="1622" w:type="dxa"/>
            <w:tcBorders>
              <w:top w:val="none" w:sz="0" w:space="0" w:color="auto"/>
              <w:bottom w:val="none" w:sz="0" w:space="0" w:color="auto"/>
            </w:tcBorders>
            <w:shd w:val="clear" w:color="auto" w:fill="FF0000"/>
            <w:vAlign w:val="center"/>
            <w:hideMark/>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sz w:val="20"/>
                <w:szCs w:val="20"/>
                <w:lang w:eastAsia="en-AU"/>
              </w:rPr>
            </w:pPr>
            <w:r w:rsidRPr="001B4E38">
              <w:rPr>
                <w:rFonts w:asciiTheme="minorHAnsi" w:hAnsiTheme="minorHAnsi"/>
                <w:sz w:val="20"/>
                <w:szCs w:val="20"/>
              </w:rPr>
              <w:t>2012–13</w:t>
            </w:r>
          </w:p>
        </w:tc>
        <w:tc>
          <w:tcPr>
            <w:tcW w:w="1622" w:type="dxa"/>
            <w:tcBorders>
              <w:top w:val="none" w:sz="0" w:space="0" w:color="auto"/>
              <w:bottom w:val="none" w:sz="0" w:space="0" w:color="auto"/>
              <w:right w:val="none" w:sz="0" w:space="0" w:color="auto"/>
            </w:tcBorders>
            <w:shd w:val="clear" w:color="auto" w:fill="FF0000"/>
            <w:vAlign w:val="center"/>
            <w:hideMark/>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FFFFFF"/>
                <w:sz w:val="20"/>
                <w:szCs w:val="20"/>
                <w:lang w:eastAsia="en-AU"/>
              </w:rPr>
            </w:pPr>
            <w:r w:rsidRPr="001B4E38">
              <w:rPr>
                <w:rFonts w:asciiTheme="minorHAnsi" w:hAnsiTheme="minorHAnsi"/>
                <w:sz w:val="20"/>
                <w:szCs w:val="20"/>
              </w:rPr>
              <w:t>2013–14</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Immediate vasovagal</w:t>
            </w:r>
          </w:p>
        </w:tc>
        <w:tc>
          <w:tcPr>
            <w:tcW w:w="1621" w:type="dxa"/>
            <w:tcBorders>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118.1</w:t>
            </w:r>
          </w:p>
        </w:tc>
        <w:tc>
          <w:tcPr>
            <w:tcW w:w="1622" w:type="dxa"/>
            <w:tcBorders>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180</w:t>
            </w:r>
          </w:p>
        </w:tc>
        <w:tc>
          <w:tcPr>
            <w:tcW w:w="1622" w:type="dxa"/>
            <w:tcBorders>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194</w:t>
            </w:r>
          </w:p>
        </w:tc>
        <w:tc>
          <w:tcPr>
            <w:tcW w:w="1622" w:type="dxa"/>
            <w:tcBorders>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176</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Delayed vasovagal</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7</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21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25</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27</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Chest Pain</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0.4</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0.4</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0.7</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Citrate Reaction*</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10</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31</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Haematoma</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5.3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8</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13</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Painful Arm</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5</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11</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Nerve Irritation/Injury</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4</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Arterial Puncture</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0.4</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0.2</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Delayed Bleeding</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0.6</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Thrombophlebitis</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0.3</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0.3</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Tendon injury</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0.02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0.03</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Allergy</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0.4</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0.4</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0.6</w:t>
            </w:r>
          </w:p>
        </w:tc>
      </w:tr>
      <w:tr w:rsidR="001B4E38" w:rsidRPr="001B4E38" w:rsidTr="008755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b w:val="0"/>
                <w:sz w:val="20"/>
                <w:szCs w:val="20"/>
              </w:rPr>
            </w:pPr>
            <w:r w:rsidRPr="001B4E38">
              <w:rPr>
                <w:b w:val="0"/>
                <w:sz w:val="20"/>
                <w:szCs w:val="20"/>
              </w:rPr>
              <w:t>Other Injuries**</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1.2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2</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sz w:val="20"/>
                <w:szCs w:val="20"/>
                <w:lang w:eastAsia="en-AU"/>
              </w:rPr>
            </w:pPr>
            <w:r w:rsidRPr="001B4E38">
              <w:rPr>
                <w:rFonts w:asciiTheme="minorHAnsi" w:eastAsia="Times New Roman" w:hAnsiTheme="minorHAnsi" w:cs="Arial"/>
                <w:color w:val="000000"/>
                <w:sz w:val="20"/>
                <w:szCs w:val="20"/>
                <w:lang w:eastAsia="en-AU"/>
              </w:rPr>
              <w:t>8</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en-AU"/>
              </w:rPr>
            </w:pPr>
            <w:r w:rsidRPr="001B4E38">
              <w:rPr>
                <w:rFonts w:asciiTheme="minorHAnsi" w:eastAsia="Times New Roman" w:hAnsiTheme="minorHAnsi" w:cs="Arial"/>
                <w:sz w:val="20"/>
                <w:szCs w:val="20"/>
                <w:lang w:eastAsia="en-AU"/>
              </w:rPr>
              <w:t>3</w:t>
            </w:r>
          </w:p>
        </w:tc>
      </w:tr>
      <w:tr w:rsidR="001B4E38" w:rsidRPr="001B4E38" w:rsidTr="0087558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rPr>
                <w:sz w:val="20"/>
                <w:szCs w:val="20"/>
              </w:rPr>
            </w:pPr>
            <w:r w:rsidRPr="001B4E38">
              <w:rPr>
                <w:sz w:val="20"/>
                <w:szCs w:val="20"/>
              </w:rPr>
              <w:t>Total</w:t>
            </w:r>
          </w:p>
        </w:tc>
        <w:tc>
          <w:tcPr>
            <w:tcW w:w="1621"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000000"/>
                <w:sz w:val="20"/>
                <w:szCs w:val="20"/>
                <w:lang w:eastAsia="en-AU"/>
              </w:rPr>
            </w:pPr>
            <w:r w:rsidRPr="001B4E38">
              <w:rPr>
                <w:rFonts w:asciiTheme="minorHAnsi" w:eastAsia="Times New Roman" w:hAnsiTheme="minorHAnsi" w:cs="Arial"/>
                <w:b/>
                <w:bCs/>
                <w:color w:val="000000"/>
                <w:sz w:val="20"/>
                <w:szCs w:val="20"/>
                <w:lang w:eastAsia="en-AU"/>
              </w:rPr>
              <w:t>190</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000000"/>
                <w:sz w:val="20"/>
                <w:szCs w:val="20"/>
                <w:lang w:eastAsia="en-AU"/>
              </w:rPr>
            </w:pPr>
            <w:r w:rsidRPr="001B4E38">
              <w:rPr>
                <w:rFonts w:asciiTheme="minorHAnsi" w:eastAsia="Times New Roman" w:hAnsiTheme="minorHAnsi" w:cs="Arial"/>
                <w:b/>
                <w:bCs/>
                <w:color w:val="000000"/>
                <w:sz w:val="20"/>
                <w:szCs w:val="20"/>
                <w:lang w:eastAsia="en-AU"/>
              </w:rPr>
              <w:t>220</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color w:val="000000"/>
                <w:sz w:val="20"/>
                <w:szCs w:val="20"/>
                <w:lang w:eastAsia="en-AU"/>
              </w:rPr>
            </w:pPr>
            <w:r w:rsidRPr="001B4E38">
              <w:rPr>
                <w:rFonts w:asciiTheme="minorHAnsi" w:eastAsia="Times New Roman" w:hAnsiTheme="minorHAnsi" w:cs="Arial"/>
                <w:b/>
                <w:bCs/>
                <w:color w:val="000000"/>
                <w:sz w:val="20"/>
                <w:szCs w:val="20"/>
                <w:lang w:eastAsia="en-AU"/>
              </w:rPr>
              <w:t>251</w:t>
            </w:r>
          </w:p>
        </w:tc>
        <w:tc>
          <w:tcPr>
            <w:tcW w:w="1622" w:type="dxa"/>
            <w:tcBorders>
              <w:top w:val="single" w:sz="4" w:space="0" w:color="auto"/>
              <w:bottom w:val="single" w:sz="4" w:space="0" w:color="auto"/>
            </w:tcBorders>
            <w:shd w:val="clear" w:color="auto" w:fill="FFFFFF" w:themeFill="background1"/>
            <w:noWrap/>
            <w:vAlign w:val="bottom"/>
            <w:hideMark/>
          </w:tcPr>
          <w:p w:rsidR="001B4E38" w:rsidRPr="001B4E38" w:rsidRDefault="001B4E38" w:rsidP="00875581">
            <w:pPr>
              <w:jc w:val="right"/>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Arial"/>
                <w:b/>
                <w:bCs/>
                <w:sz w:val="20"/>
                <w:szCs w:val="20"/>
                <w:lang w:eastAsia="en-AU"/>
              </w:rPr>
            </w:pPr>
            <w:r w:rsidRPr="001B4E38">
              <w:rPr>
                <w:rFonts w:asciiTheme="minorHAnsi" w:eastAsia="Times New Roman" w:hAnsiTheme="minorHAnsi" w:cs="Arial"/>
                <w:b/>
                <w:bCs/>
                <w:sz w:val="20"/>
                <w:szCs w:val="20"/>
                <w:lang w:eastAsia="en-AU"/>
              </w:rPr>
              <w:t>267</w:t>
            </w:r>
          </w:p>
        </w:tc>
      </w:tr>
    </w:tbl>
    <w:p w:rsidR="001B4E38" w:rsidRPr="001B4E38" w:rsidRDefault="001B4E38" w:rsidP="001B4E38">
      <w:pPr>
        <w:spacing w:after="0"/>
        <w:rPr>
          <w:rFonts w:asciiTheme="minorHAnsi" w:eastAsia="Times New Roman" w:hAnsiTheme="minorHAnsi" w:cstheme="minorHAnsi"/>
          <w:sz w:val="18"/>
          <w:szCs w:val="18"/>
          <w:lang w:eastAsia="en-AU"/>
        </w:rPr>
      </w:pPr>
      <w:r w:rsidRPr="001B4E38">
        <w:rPr>
          <w:rFonts w:asciiTheme="minorHAnsi" w:eastAsia="Times New Roman" w:hAnsiTheme="minorHAnsi" w:cstheme="minorHAnsi"/>
          <w:sz w:val="18"/>
          <w:szCs w:val="18"/>
          <w:lang w:eastAsia="en-AU"/>
        </w:rPr>
        <w:t xml:space="preserve">Notes </w:t>
      </w:r>
    </w:p>
    <w:p w:rsidR="001B4E38" w:rsidRPr="001B4E38" w:rsidRDefault="001B4E38" w:rsidP="0096249F">
      <w:pPr>
        <w:numPr>
          <w:ilvl w:val="0"/>
          <w:numId w:val="7"/>
        </w:numPr>
        <w:spacing w:after="0"/>
        <w:contextualSpacing/>
        <w:rPr>
          <w:rFonts w:asciiTheme="minorHAnsi" w:eastAsia="Times New Roman" w:hAnsiTheme="minorHAnsi" w:cstheme="minorHAnsi"/>
          <w:sz w:val="18"/>
          <w:szCs w:val="18"/>
          <w:lang w:eastAsia="en-AU"/>
        </w:rPr>
      </w:pPr>
      <w:r w:rsidRPr="001B4E38">
        <w:rPr>
          <w:rFonts w:asciiTheme="minorHAnsi" w:eastAsia="Times New Roman" w:hAnsiTheme="minorHAnsi" w:cstheme="minorHAnsi"/>
          <w:sz w:val="18"/>
          <w:szCs w:val="18"/>
          <w:lang w:eastAsia="en-AU"/>
        </w:rPr>
        <w:t>*Calculated for apheresis collections only</w:t>
      </w:r>
    </w:p>
    <w:p w:rsidR="001B4E38" w:rsidRPr="00875581" w:rsidRDefault="001B4E38" w:rsidP="0096249F">
      <w:pPr>
        <w:numPr>
          <w:ilvl w:val="0"/>
          <w:numId w:val="7"/>
        </w:numPr>
        <w:spacing w:after="0"/>
        <w:contextualSpacing/>
        <w:rPr>
          <w:rFonts w:asciiTheme="minorHAnsi" w:eastAsia="Times New Roman" w:hAnsiTheme="minorHAnsi" w:cstheme="minorHAnsi"/>
          <w:sz w:val="18"/>
          <w:szCs w:val="18"/>
          <w:lang w:eastAsia="en-AU"/>
        </w:rPr>
      </w:pPr>
      <w:r w:rsidRPr="001B4E38">
        <w:rPr>
          <w:rFonts w:asciiTheme="minorHAnsi" w:hAnsiTheme="minorHAnsi" w:cstheme="minorHAnsi"/>
          <w:sz w:val="18"/>
          <w:szCs w:val="18"/>
        </w:rPr>
        <w:t>** includes injuries sustained in falls during fainting, headaches during and after donation, cramps, palpitations or awareness of heart beat, nausea or abdominal pain during or immediately following procedure, onset of wheeze or asthma during donation, prolonged fatigue following donation</w:t>
      </w:r>
    </w:p>
    <w:p w:rsidR="00C747D3" w:rsidRPr="001B4E38" w:rsidRDefault="00C747D3" w:rsidP="00875581">
      <w:pPr>
        <w:spacing w:after="0"/>
        <w:ind w:left="360"/>
        <w:contextualSpacing/>
        <w:rPr>
          <w:rFonts w:asciiTheme="minorHAnsi" w:eastAsia="Times New Roman" w:hAnsiTheme="minorHAnsi" w:cstheme="minorHAnsi"/>
          <w:sz w:val="18"/>
          <w:szCs w:val="18"/>
          <w:lang w:eastAsia="en-AU"/>
        </w:rPr>
      </w:pPr>
    </w:p>
    <w:p w:rsidR="001B4E38" w:rsidRPr="00875581" w:rsidRDefault="001B4E38" w:rsidP="00875581">
      <w:r w:rsidRPr="00875581">
        <w:t xml:space="preserve">The increase in citrate reactions since 2013 is the result of increased reporting of these events. Since January 2013, reporting of citrate reactions of all severities has been required. Before this, only </w:t>
      </w:r>
      <w:r w:rsidR="00F35D94">
        <w:t>severe reactions were reported.</w:t>
      </w:r>
    </w:p>
    <w:p w:rsidR="00437C01" w:rsidRDefault="00437C01">
      <w:pPr>
        <w:spacing w:line="276" w:lineRule="auto"/>
        <w:rPr>
          <w:rFonts w:asciiTheme="minorHAnsi" w:hAnsiTheme="minorHAnsi" w:cstheme="minorHAnsi"/>
        </w:rPr>
      </w:pPr>
      <w:bookmarkStart w:id="138" w:name="_Ref359250655"/>
      <w:bookmarkStart w:id="139" w:name="_Toc420835701"/>
      <w:r>
        <w:rPr>
          <w:rFonts w:asciiTheme="minorHAnsi" w:hAnsiTheme="minorHAnsi" w:cstheme="minorHAnsi"/>
        </w:rPr>
        <w:br w:type="page"/>
      </w:r>
    </w:p>
    <w:p w:rsidR="001B4E38" w:rsidRPr="001B4E38" w:rsidRDefault="001B4E38" w:rsidP="009A221F">
      <w:pPr>
        <w:spacing w:before="200"/>
        <w:rPr>
          <w:rFonts w:asciiTheme="minorHAnsi" w:hAnsiTheme="minorHAnsi" w:cstheme="minorHAnsi"/>
        </w:rPr>
      </w:pPr>
      <w:r w:rsidRPr="001B4E38">
        <w:rPr>
          <w:rFonts w:asciiTheme="minorHAnsi" w:hAnsiTheme="minorHAnsi" w:cstheme="minorHAnsi"/>
        </w:rPr>
        <w:lastRenderedPageBreak/>
        <w:t>Adverse events by donation type</w:t>
      </w:r>
      <w:r w:rsidR="00C747D3">
        <w:rPr>
          <w:rFonts w:asciiTheme="minorHAnsi" w:hAnsiTheme="minorHAnsi" w:cstheme="minorHAnsi"/>
        </w:rPr>
        <w:t>:</w:t>
      </w:r>
    </w:p>
    <w:p w:rsidR="001B4E38" w:rsidRPr="001B4E38" w:rsidRDefault="001B4E38" w:rsidP="0096249F">
      <w:pPr>
        <w:numPr>
          <w:ilvl w:val="0"/>
          <w:numId w:val="10"/>
        </w:numPr>
        <w:spacing w:before="120" w:after="120"/>
        <w:contextualSpacing/>
        <w:rPr>
          <w:rFonts w:asciiTheme="minorHAnsi" w:hAnsiTheme="minorHAnsi" w:cstheme="minorHAnsi"/>
        </w:rPr>
      </w:pPr>
      <w:r w:rsidRPr="001B4E38">
        <w:rPr>
          <w:rFonts w:asciiTheme="minorHAnsi" w:hAnsiTheme="minorHAnsi" w:cstheme="minorHAnsi"/>
        </w:rPr>
        <w:t>Whole Blood – the rate of adverse reactions is stable overall. There has been a small decrease in the number of vasovagal reactions as a result of the policy change limiting donation by young donors to a single donation per year. However there has been an increase in the number of phlebotomy injuries reported since the ability to capture more than one adverse event at each donation has been possible. There has been no change in donation protocols.</w:t>
      </w:r>
    </w:p>
    <w:p w:rsidR="001B4E38" w:rsidRPr="001B4E38" w:rsidRDefault="001B4E38" w:rsidP="0096249F">
      <w:pPr>
        <w:numPr>
          <w:ilvl w:val="0"/>
          <w:numId w:val="10"/>
        </w:numPr>
        <w:spacing w:before="120" w:after="120"/>
        <w:contextualSpacing/>
        <w:rPr>
          <w:rFonts w:asciiTheme="minorHAnsi" w:hAnsiTheme="minorHAnsi" w:cstheme="minorHAnsi"/>
        </w:rPr>
      </w:pPr>
      <w:r w:rsidRPr="001B4E38">
        <w:rPr>
          <w:rFonts w:asciiTheme="minorHAnsi" w:hAnsiTheme="minorHAnsi" w:cstheme="minorHAnsi"/>
        </w:rPr>
        <w:t>Plasmapheresis – roll out of new apheresis software commenced in April 2014 and was completed by the end of July 2014. This resulted in a change in the collection protocol such that 250ml of normal saline is administered after the second return as opposed to after the first return. This change has been associated with an increase in mild and moderate donor reactions; however the incidence of delayed reactions has decreased since the new software was introduced. This is pleasing as delayed reactions are more likely to be associated with donor injury.</w:t>
      </w:r>
    </w:p>
    <w:p w:rsidR="001B4E38" w:rsidRPr="001B4E38" w:rsidRDefault="001B4E38" w:rsidP="0096249F">
      <w:pPr>
        <w:numPr>
          <w:ilvl w:val="0"/>
          <w:numId w:val="10"/>
        </w:numPr>
        <w:spacing w:before="120" w:after="120"/>
        <w:contextualSpacing/>
        <w:rPr>
          <w:rFonts w:asciiTheme="minorHAnsi" w:hAnsiTheme="minorHAnsi" w:cstheme="minorHAnsi"/>
        </w:rPr>
      </w:pPr>
      <w:r w:rsidRPr="001B4E38">
        <w:rPr>
          <w:rFonts w:asciiTheme="minorHAnsi" w:hAnsiTheme="minorHAnsi" w:cstheme="minorHAnsi"/>
        </w:rPr>
        <w:t>There has also been an increase in the number of mild citrate reactions (as a result of changes to reporting requirement</w:t>
      </w:r>
      <w:r w:rsidR="000E4566">
        <w:rPr>
          <w:rFonts w:asciiTheme="minorHAnsi" w:hAnsiTheme="minorHAnsi" w:cstheme="minorHAnsi"/>
        </w:rPr>
        <w:t>s</w:t>
      </w:r>
      <w:r w:rsidRPr="001B4E38">
        <w:rPr>
          <w:rFonts w:asciiTheme="minorHAnsi" w:hAnsiTheme="minorHAnsi" w:cstheme="minorHAnsi"/>
        </w:rPr>
        <w:t>) and phlebotomy injuries (as a result of changes in the ability to report more than one event at each donation, as previously discussed).</w:t>
      </w:r>
    </w:p>
    <w:p w:rsidR="001B4E38" w:rsidRPr="001B4E38" w:rsidRDefault="001B4E38" w:rsidP="0096249F">
      <w:pPr>
        <w:numPr>
          <w:ilvl w:val="0"/>
          <w:numId w:val="10"/>
        </w:numPr>
        <w:spacing w:before="120"/>
        <w:ind w:left="357" w:hanging="357"/>
        <w:rPr>
          <w:rFonts w:asciiTheme="minorHAnsi" w:hAnsiTheme="minorHAnsi" w:cstheme="minorHAnsi"/>
        </w:rPr>
      </w:pPr>
      <w:proofErr w:type="spellStart"/>
      <w:r w:rsidRPr="001B4E38">
        <w:rPr>
          <w:rFonts w:asciiTheme="minorHAnsi" w:hAnsiTheme="minorHAnsi" w:cstheme="minorHAnsi"/>
        </w:rPr>
        <w:t>Plateletpheresis</w:t>
      </w:r>
      <w:proofErr w:type="spellEnd"/>
      <w:r w:rsidRPr="001B4E38">
        <w:rPr>
          <w:rFonts w:asciiTheme="minorHAnsi" w:hAnsiTheme="minorHAnsi" w:cstheme="minorHAnsi"/>
        </w:rPr>
        <w:t xml:space="preserve"> – the increase in reported reactions is almost entirely due to comprehensive reporting of all citrate reactions. To reduce the likelihood of citrate reactions, all </w:t>
      </w:r>
      <w:proofErr w:type="spellStart"/>
      <w:r w:rsidRPr="001B4E38">
        <w:rPr>
          <w:rFonts w:asciiTheme="minorHAnsi" w:hAnsiTheme="minorHAnsi" w:cstheme="minorHAnsi"/>
        </w:rPr>
        <w:t>plateletpheresis</w:t>
      </w:r>
      <w:proofErr w:type="spellEnd"/>
      <w:r w:rsidRPr="001B4E38">
        <w:rPr>
          <w:rFonts w:asciiTheme="minorHAnsi" w:hAnsiTheme="minorHAnsi" w:cstheme="minorHAnsi"/>
        </w:rPr>
        <w:t xml:space="preserve"> donors are offered oral calcium supplements immediately prior to donation; in addition, the website now contains advice to donors on appropriate dietary preparation for 24 hours prior to donation. Plasmapheresis donations are associated with the lowest frequency of adverse reactions, and platelet donations with the highest frequency, as detailed in </w:t>
      </w:r>
      <w:r w:rsidR="00F40480" w:rsidRPr="001B4E38">
        <w:rPr>
          <w:rFonts w:asciiTheme="minorHAnsi" w:hAnsiTheme="minorHAnsi" w:cstheme="minorHAnsi"/>
        </w:rPr>
        <w:fldChar w:fldCharType="begin"/>
      </w:r>
      <w:r w:rsidR="00F40480" w:rsidRPr="001B4E38">
        <w:rPr>
          <w:rFonts w:asciiTheme="minorHAnsi" w:hAnsiTheme="minorHAnsi" w:cstheme="minorHAnsi"/>
        </w:rPr>
        <w:instrText xml:space="preserve"> REF _Ref444868052 \h  \* MERGEFORMAT </w:instrText>
      </w:r>
      <w:r w:rsidR="00F40480" w:rsidRPr="001B4E38">
        <w:rPr>
          <w:rFonts w:asciiTheme="minorHAnsi" w:hAnsiTheme="minorHAnsi" w:cstheme="minorHAnsi"/>
        </w:rPr>
      </w:r>
      <w:r w:rsidR="00F40480" w:rsidRPr="001B4E38">
        <w:rPr>
          <w:rFonts w:asciiTheme="minorHAnsi" w:hAnsiTheme="minorHAnsi" w:cstheme="minorHAnsi"/>
        </w:rPr>
        <w:fldChar w:fldCharType="separate"/>
      </w:r>
      <w:r w:rsidR="000010BC" w:rsidRPr="003A25C4">
        <w:t>Table</w:t>
      </w:r>
      <w:r w:rsidR="000010BC" w:rsidRPr="000010BC">
        <w:rPr>
          <w:b/>
        </w:rPr>
        <w:t xml:space="preserve"> </w:t>
      </w:r>
      <w:r w:rsidR="000010BC">
        <w:rPr>
          <w:noProof/>
        </w:rPr>
        <w:t>26</w:t>
      </w:r>
      <w:r w:rsidR="00F40480" w:rsidRPr="001B4E38">
        <w:rPr>
          <w:rFonts w:asciiTheme="minorHAnsi" w:hAnsiTheme="minorHAnsi" w:cstheme="minorHAnsi"/>
        </w:rPr>
        <w:fldChar w:fldCharType="end"/>
      </w:r>
      <w:r w:rsidR="00F40480">
        <w:rPr>
          <w:rFonts w:asciiTheme="minorHAnsi" w:hAnsiTheme="minorHAnsi" w:cstheme="minorHAnsi"/>
        </w:rPr>
        <w:t xml:space="preserve"> </w:t>
      </w:r>
      <w:r w:rsidRPr="001B4E38">
        <w:rPr>
          <w:rFonts w:asciiTheme="minorHAnsi" w:hAnsiTheme="minorHAnsi" w:cstheme="minorHAnsi"/>
        </w:rPr>
        <w:t xml:space="preserve">and </w:t>
      </w:r>
      <w:r w:rsidR="00F40480">
        <w:rPr>
          <w:rFonts w:asciiTheme="minorHAnsi" w:hAnsiTheme="minorHAnsi" w:cstheme="minorHAnsi"/>
        </w:rPr>
        <w:fldChar w:fldCharType="begin"/>
      </w:r>
      <w:r w:rsidR="00F40480">
        <w:rPr>
          <w:rFonts w:asciiTheme="minorHAnsi" w:hAnsiTheme="minorHAnsi" w:cstheme="minorHAnsi"/>
        </w:rPr>
        <w:instrText xml:space="preserve"> REF _Ref452104936 \h </w:instrText>
      </w:r>
      <w:r w:rsidR="00F40480">
        <w:rPr>
          <w:rFonts w:asciiTheme="minorHAnsi" w:hAnsiTheme="minorHAnsi" w:cstheme="minorHAnsi"/>
        </w:rPr>
      </w:r>
      <w:r w:rsidR="00F40480">
        <w:rPr>
          <w:rFonts w:asciiTheme="minorHAnsi" w:hAnsiTheme="minorHAnsi" w:cstheme="minorHAnsi"/>
        </w:rPr>
        <w:fldChar w:fldCharType="separate"/>
      </w:r>
      <w:r w:rsidR="000010BC" w:rsidRPr="003A25C4">
        <w:t xml:space="preserve">Table </w:t>
      </w:r>
      <w:r w:rsidR="000010BC">
        <w:rPr>
          <w:noProof/>
        </w:rPr>
        <w:t>27</w:t>
      </w:r>
      <w:r w:rsidR="00F40480">
        <w:rPr>
          <w:rFonts w:asciiTheme="minorHAnsi" w:hAnsiTheme="minorHAnsi" w:cstheme="minorHAnsi"/>
        </w:rPr>
        <w:fldChar w:fldCharType="end"/>
      </w:r>
      <w:r w:rsidRPr="001B4E38">
        <w:rPr>
          <w:rFonts w:asciiTheme="minorHAnsi" w:hAnsiTheme="minorHAnsi" w:cstheme="minorHAnsi"/>
        </w:rPr>
        <w:t xml:space="preserve"> below.</w:t>
      </w:r>
    </w:p>
    <w:p w:rsidR="001B4E38" w:rsidRPr="00875581" w:rsidRDefault="001B4E38" w:rsidP="00875581">
      <w:r w:rsidRPr="00875581">
        <w:t xml:space="preserve">The rate of bruising and haematoma is significantly higher in platelet donors as a result of the increased dose of anticoagulant administered during the procedure and the longer duration of </w:t>
      </w:r>
      <w:proofErr w:type="spellStart"/>
      <w:r w:rsidRPr="00875581">
        <w:t>plateletpheresis</w:t>
      </w:r>
      <w:proofErr w:type="spellEnd"/>
      <w:r w:rsidRPr="00875581">
        <w:t xml:space="preserve"> procedures compared to</w:t>
      </w:r>
      <w:r w:rsidR="00F35D94">
        <w:t xml:space="preserve"> whole blood or plasmapheresis.</w:t>
      </w:r>
    </w:p>
    <w:p w:rsidR="000010BC" w:rsidRPr="000010BC" w:rsidRDefault="001B4E38" w:rsidP="000010BC">
      <w:pPr>
        <w:spacing w:before="200"/>
        <w:rPr>
          <w:rFonts w:asciiTheme="minorHAnsi" w:hAnsiTheme="minorHAnsi" w:cstheme="minorHAnsi"/>
        </w:rPr>
      </w:pPr>
      <w:r w:rsidRPr="001B4E38">
        <w:rPr>
          <w:rFonts w:asciiTheme="minorHAnsi" w:hAnsiTheme="minorHAnsi" w:cstheme="minorHAnsi"/>
        </w:rPr>
        <w:fldChar w:fldCharType="begin"/>
      </w:r>
      <w:r w:rsidRPr="001B4E38">
        <w:rPr>
          <w:rFonts w:asciiTheme="minorHAnsi" w:hAnsiTheme="minorHAnsi" w:cstheme="minorHAnsi"/>
        </w:rPr>
        <w:instrText xml:space="preserve"> REF _Ref444868052 \h  \* MERGEFORMAT </w:instrText>
      </w:r>
      <w:r w:rsidRPr="001B4E38">
        <w:rPr>
          <w:rFonts w:asciiTheme="minorHAnsi" w:hAnsiTheme="minorHAnsi" w:cstheme="minorHAnsi"/>
        </w:rPr>
      </w:r>
      <w:r w:rsidRPr="001B4E38">
        <w:rPr>
          <w:rFonts w:asciiTheme="minorHAnsi" w:hAnsiTheme="minorHAnsi" w:cstheme="minorHAnsi"/>
        </w:rPr>
        <w:fldChar w:fldCharType="separate"/>
      </w:r>
      <w:r w:rsidR="000010BC" w:rsidRPr="003A25C4">
        <w:t>Table</w:t>
      </w:r>
      <w:r w:rsidR="000010BC" w:rsidRPr="000010BC">
        <w:rPr>
          <w:b/>
        </w:rPr>
        <w:t xml:space="preserve"> </w:t>
      </w:r>
      <w:r w:rsidR="000010BC">
        <w:rPr>
          <w:noProof/>
        </w:rPr>
        <w:t>26</w:t>
      </w:r>
      <w:r w:rsidRPr="001B4E38">
        <w:rPr>
          <w:rFonts w:asciiTheme="minorHAnsi" w:hAnsiTheme="minorHAnsi" w:cstheme="minorHAnsi"/>
        </w:rPr>
        <w:fldChar w:fldCharType="end"/>
      </w:r>
      <w:r w:rsidRPr="001B4E38">
        <w:rPr>
          <w:rFonts w:asciiTheme="minorHAnsi" w:hAnsiTheme="minorHAnsi" w:cstheme="minorHAnsi"/>
        </w:rPr>
        <w:t xml:space="preserve"> below shows annual rates of all adverse events by donation type from 2010–11 to 2013–14.</w:t>
      </w:r>
      <w:r w:rsidRPr="001B4E38">
        <w:rPr>
          <w:rFonts w:asciiTheme="minorHAnsi" w:hAnsiTheme="minorHAnsi" w:cstheme="minorHAnsi"/>
        </w:rPr>
        <w:fldChar w:fldCharType="begin"/>
      </w:r>
      <w:r w:rsidRPr="001B4E38">
        <w:rPr>
          <w:rFonts w:asciiTheme="minorHAnsi" w:hAnsiTheme="minorHAnsi" w:cstheme="minorHAnsi"/>
        </w:rPr>
        <w:instrText xml:space="preserve"> REF _Ref403656225 \h </w:instrText>
      </w:r>
      <w:r w:rsidR="009E4A39">
        <w:rPr>
          <w:rFonts w:asciiTheme="minorHAnsi" w:hAnsiTheme="minorHAnsi" w:cstheme="minorHAnsi"/>
        </w:rPr>
        <w:instrText xml:space="preserve"> \* MERGEFORMAT </w:instrText>
      </w:r>
      <w:r w:rsidRPr="001B4E38">
        <w:rPr>
          <w:rFonts w:asciiTheme="minorHAnsi" w:hAnsiTheme="minorHAnsi" w:cstheme="minorHAnsi"/>
        </w:rPr>
      </w:r>
      <w:r w:rsidRPr="001B4E38">
        <w:rPr>
          <w:rFonts w:asciiTheme="minorHAnsi" w:hAnsiTheme="minorHAnsi" w:cstheme="minorHAnsi"/>
        </w:rPr>
        <w:fldChar w:fldCharType="separate"/>
      </w:r>
    </w:p>
    <w:p w:rsidR="001B4E38" w:rsidRPr="001B4E38" w:rsidRDefault="000010BC" w:rsidP="001B4E38">
      <w:pPr>
        <w:spacing w:before="200"/>
        <w:rPr>
          <w:rFonts w:asciiTheme="minorHAnsi" w:hAnsiTheme="minorHAnsi" w:cstheme="minorHAnsi"/>
        </w:rPr>
      </w:pPr>
      <w:r w:rsidRPr="000010BC">
        <w:rPr>
          <w:rFonts w:asciiTheme="minorHAnsi" w:hAnsiTheme="minorHAnsi" w:cstheme="minorHAnsi"/>
        </w:rPr>
        <w:t>Table</w:t>
      </w:r>
      <w:r w:rsidRPr="000010BC">
        <w:rPr>
          <w:rFonts w:asciiTheme="minorHAnsi" w:hAnsiTheme="minorHAnsi" w:cstheme="minorHAnsi"/>
          <w:noProof/>
        </w:rPr>
        <w:t xml:space="preserve"> </w:t>
      </w:r>
      <w:r w:rsidRPr="000010BC">
        <w:rPr>
          <w:rFonts w:asciiTheme="minorHAnsi" w:hAnsiTheme="minorHAnsi" w:cstheme="minorHAnsi"/>
        </w:rPr>
        <w:t>27</w:t>
      </w:r>
      <w:r w:rsidR="001B4E38" w:rsidRPr="001B4E38">
        <w:rPr>
          <w:rFonts w:asciiTheme="minorHAnsi" w:hAnsiTheme="minorHAnsi" w:cstheme="minorHAnsi"/>
        </w:rPr>
        <w:fldChar w:fldCharType="end"/>
      </w:r>
      <w:r w:rsidR="001B4E38" w:rsidRPr="001B4E38">
        <w:rPr>
          <w:rFonts w:asciiTheme="minorHAnsi" w:hAnsiTheme="minorHAnsi" w:cstheme="minorHAnsi"/>
        </w:rPr>
        <w:t xml:space="preserve"> details donor complication rates by severity per 10,000 donations for 2013–14.</w:t>
      </w:r>
    </w:p>
    <w:p w:rsidR="001B4E38" w:rsidRPr="003A25C4" w:rsidRDefault="001B4E38" w:rsidP="003A25C4">
      <w:pPr>
        <w:pStyle w:val="Caption"/>
      </w:pPr>
      <w:bookmarkStart w:id="140" w:name="_Ref444868052"/>
      <w:bookmarkStart w:id="141" w:name="_Toc459636866"/>
      <w:bookmarkEnd w:id="138"/>
      <w:r w:rsidRPr="003A25C4">
        <w:t xml:space="preserve">Table </w:t>
      </w:r>
      <w:fldSimple w:instr=" SEQ Table \* ARABIC ">
        <w:r w:rsidR="000010BC">
          <w:rPr>
            <w:noProof/>
          </w:rPr>
          <w:t>26</w:t>
        </w:r>
      </w:fldSimple>
      <w:bookmarkEnd w:id="140"/>
      <w:r w:rsidRPr="003A25C4">
        <w:t xml:space="preserve">: </w:t>
      </w:r>
      <w:bookmarkEnd w:id="139"/>
      <w:r w:rsidRPr="003A25C4">
        <w:t>Adverse donor event rate by procedure, 2010–11 to 2013–14 (per 10,000 donations)</w:t>
      </w:r>
      <w:bookmarkEnd w:id="141"/>
    </w:p>
    <w:tbl>
      <w:tblPr>
        <w:tblW w:w="0" w:type="auto"/>
        <w:tblInd w:w="-34" w:type="dxa"/>
        <w:tblLayout w:type="fixed"/>
        <w:tblLook w:val="04A0" w:firstRow="1" w:lastRow="0" w:firstColumn="1" w:lastColumn="0" w:noHBand="0" w:noVBand="1"/>
      </w:tblPr>
      <w:tblGrid>
        <w:gridCol w:w="2207"/>
        <w:gridCol w:w="1640"/>
        <w:gridCol w:w="1640"/>
        <w:gridCol w:w="1640"/>
        <w:gridCol w:w="2088"/>
      </w:tblGrid>
      <w:tr w:rsidR="001B4E38" w:rsidRPr="001B4E38" w:rsidTr="00875581">
        <w:trPr>
          <w:trHeight w:val="300"/>
        </w:trPr>
        <w:tc>
          <w:tcPr>
            <w:tcW w:w="2207" w:type="dxa"/>
            <w:shd w:val="clear" w:color="auto" w:fill="FF0000"/>
            <w:noWrap/>
            <w:vAlign w:val="bottom"/>
          </w:tcPr>
          <w:p w:rsidR="001B4E38" w:rsidRPr="001B4E38" w:rsidRDefault="001B4E38" w:rsidP="001B4E38">
            <w:pPr>
              <w:spacing w:after="0"/>
              <w:rPr>
                <w:rFonts w:eastAsia="Times New Roman" w:cs="Times New Roman"/>
                <w:color w:val="000000"/>
                <w:lang w:eastAsia="en-AU"/>
              </w:rPr>
            </w:pPr>
            <w:bookmarkStart w:id="142" w:name="_Ref359251908"/>
            <w:bookmarkStart w:id="143" w:name="_Ref362939330"/>
            <w:bookmarkStart w:id="144" w:name="_Ref398647762"/>
            <w:bookmarkStart w:id="145" w:name="_Ref398647754"/>
            <w:r w:rsidRPr="001B4E38">
              <w:rPr>
                <w:rFonts w:asciiTheme="minorHAnsi" w:hAnsiTheme="minorHAnsi"/>
                <w:b/>
                <w:color w:val="FFFFFF" w:themeColor="background1"/>
                <w:sz w:val="20"/>
                <w:szCs w:val="20"/>
              </w:rPr>
              <w:t>Procedure</w:t>
            </w:r>
          </w:p>
        </w:tc>
        <w:tc>
          <w:tcPr>
            <w:tcW w:w="1640" w:type="dxa"/>
            <w:shd w:val="clear" w:color="auto" w:fill="FF0000"/>
            <w:noWrap/>
            <w:vAlign w:val="center"/>
          </w:tcPr>
          <w:p w:rsidR="001B4E38" w:rsidRPr="001B4E38" w:rsidRDefault="001B4E38" w:rsidP="001B4E38">
            <w:pPr>
              <w:spacing w:after="0"/>
              <w:jc w:val="right"/>
              <w:rPr>
                <w:rFonts w:asciiTheme="minorHAnsi" w:hAnsiTheme="minorHAnsi"/>
                <w:b/>
                <w:color w:val="FFFFFF" w:themeColor="background1"/>
                <w:sz w:val="20"/>
                <w:szCs w:val="20"/>
              </w:rPr>
            </w:pPr>
            <w:r w:rsidRPr="001B4E38">
              <w:rPr>
                <w:rFonts w:asciiTheme="minorHAnsi" w:hAnsiTheme="minorHAnsi"/>
                <w:b/>
                <w:color w:val="FFFFFF" w:themeColor="background1"/>
                <w:sz w:val="20"/>
                <w:szCs w:val="20"/>
              </w:rPr>
              <w:t>2010–11</w:t>
            </w:r>
          </w:p>
        </w:tc>
        <w:tc>
          <w:tcPr>
            <w:tcW w:w="1640" w:type="dxa"/>
            <w:shd w:val="clear" w:color="auto" w:fill="FF0000"/>
            <w:noWrap/>
            <w:vAlign w:val="center"/>
          </w:tcPr>
          <w:p w:rsidR="001B4E38" w:rsidRPr="001B4E38" w:rsidRDefault="001B4E38" w:rsidP="001B4E38">
            <w:pPr>
              <w:spacing w:after="0"/>
              <w:jc w:val="right"/>
              <w:rPr>
                <w:rFonts w:asciiTheme="minorHAnsi" w:hAnsiTheme="minorHAnsi"/>
                <w:b/>
                <w:color w:val="FFFFFF" w:themeColor="background1"/>
                <w:sz w:val="20"/>
                <w:szCs w:val="20"/>
              </w:rPr>
            </w:pPr>
            <w:r w:rsidRPr="001B4E38">
              <w:rPr>
                <w:rFonts w:asciiTheme="minorHAnsi" w:hAnsiTheme="minorHAnsi"/>
                <w:b/>
                <w:color w:val="FFFFFF" w:themeColor="background1"/>
                <w:sz w:val="20"/>
                <w:szCs w:val="20"/>
              </w:rPr>
              <w:t>2011–12</w:t>
            </w:r>
          </w:p>
        </w:tc>
        <w:tc>
          <w:tcPr>
            <w:tcW w:w="1640" w:type="dxa"/>
            <w:shd w:val="clear" w:color="auto" w:fill="FF0000"/>
            <w:noWrap/>
            <w:vAlign w:val="center"/>
          </w:tcPr>
          <w:p w:rsidR="001B4E38" w:rsidRPr="001B4E38" w:rsidRDefault="001B4E38" w:rsidP="001B4E38">
            <w:pPr>
              <w:spacing w:after="0"/>
              <w:jc w:val="right"/>
              <w:rPr>
                <w:rFonts w:asciiTheme="minorHAnsi" w:hAnsiTheme="minorHAnsi"/>
                <w:b/>
                <w:color w:val="FFFFFF" w:themeColor="background1"/>
                <w:sz w:val="20"/>
                <w:szCs w:val="20"/>
              </w:rPr>
            </w:pPr>
            <w:r w:rsidRPr="001B4E38">
              <w:rPr>
                <w:rFonts w:asciiTheme="minorHAnsi" w:hAnsiTheme="minorHAnsi"/>
                <w:b/>
                <w:color w:val="FFFFFF" w:themeColor="background1"/>
                <w:sz w:val="20"/>
                <w:szCs w:val="20"/>
              </w:rPr>
              <w:t>2012–13</w:t>
            </w:r>
          </w:p>
        </w:tc>
        <w:tc>
          <w:tcPr>
            <w:tcW w:w="2088" w:type="dxa"/>
            <w:shd w:val="clear" w:color="auto" w:fill="FF0000"/>
            <w:noWrap/>
            <w:vAlign w:val="center"/>
          </w:tcPr>
          <w:p w:rsidR="001B4E38" w:rsidRPr="001B4E38" w:rsidRDefault="001B4E38" w:rsidP="001B4E38">
            <w:pPr>
              <w:spacing w:after="0"/>
              <w:jc w:val="right"/>
              <w:rPr>
                <w:rFonts w:asciiTheme="minorHAnsi" w:hAnsiTheme="minorHAnsi"/>
                <w:b/>
                <w:color w:val="FFFFFF" w:themeColor="background1"/>
                <w:sz w:val="20"/>
                <w:szCs w:val="20"/>
              </w:rPr>
            </w:pPr>
            <w:r w:rsidRPr="001B4E38">
              <w:rPr>
                <w:rFonts w:asciiTheme="minorHAnsi" w:hAnsiTheme="minorHAnsi"/>
                <w:b/>
                <w:color w:val="FFFFFF" w:themeColor="background1"/>
                <w:sz w:val="20"/>
                <w:szCs w:val="20"/>
              </w:rPr>
              <w:t>2013–14</w:t>
            </w:r>
          </w:p>
        </w:tc>
      </w:tr>
      <w:tr w:rsidR="001B4E38" w:rsidRPr="00854E57" w:rsidTr="00875581">
        <w:trPr>
          <w:trHeight w:val="300"/>
        </w:trPr>
        <w:tc>
          <w:tcPr>
            <w:tcW w:w="2207" w:type="dxa"/>
            <w:tcBorders>
              <w:bottom w:val="single" w:sz="4" w:space="0" w:color="auto"/>
            </w:tcBorders>
            <w:shd w:val="clear" w:color="auto" w:fill="auto"/>
            <w:noWrap/>
            <w:vAlign w:val="bottom"/>
          </w:tcPr>
          <w:p w:rsidR="001B4E38" w:rsidRPr="00854E57" w:rsidRDefault="001B4E38" w:rsidP="001B4E38">
            <w:pPr>
              <w:spacing w:after="0"/>
              <w:rPr>
                <w:rFonts w:eastAsia="Times New Roman" w:cs="Times New Roman"/>
                <w:color w:val="000000"/>
                <w:sz w:val="20"/>
                <w:szCs w:val="20"/>
                <w:lang w:eastAsia="en-AU"/>
              </w:rPr>
            </w:pPr>
            <w:r w:rsidRPr="00854E57">
              <w:rPr>
                <w:rFonts w:eastAsia="Times New Roman" w:cs="Times New Roman"/>
                <w:color w:val="000000"/>
                <w:sz w:val="20"/>
                <w:szCs w:val="20"/>
                <w:lang w:eastAsia="en-AU"/>
              </w:rPr>
              <w:t>Whole Blood</w:t>
            </w:r>
          </w:p>
        </w:tc>
        <w:tc>
          <w:tcPr>
            <w:tcW w:w="1640" w:type="dxa"/>
            <w:tcBorders>
              <w:bottom w:val="single" w:sz="4" w:space="0" w:color="auto"/>
            </w:tcBorders>
            <w:shd w:val="clear" w:color="auto" w:fill="auto"/>
            <w:noWrap/>
            <w:vAlign w:val="bottom"/>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168</w:t>
            </w:r>
          </w:p>
        </w:tc>
        <w:tc>
          <w:tcPr>
            <w:tcW w:w="1640" w:type="dxa"/>
            <w:tcBorders>
              <w:bottom w:val="single" w:sz="4" w:space="0" w:color="auto"/>
            </w:tcBorders>
            <w:shd w:val="clear" w:color="auto" w:fill="auto"/>
            <w:noWrap/>
            <w:vAlign w:val="bottom"/>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265</w:t>
            </w:r>
          </w:p>
        </w:tc>
        <w:tc>
          <w:tcPr>
            <w:tcW w:w="1640" w:type="dxa"/>
            <w:tcBorders>
              <w:bottom w:val="single" w:sz="4" w:space="0" w:color="auto"/>
            </w:tcBorders>
            <w:shd w:val="clear" w:color="auto" w:fill="auto"/>
            <w:noWrap/>
            <w:vAlign w:val="bottom"/>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308</w:t>
            </w:r>
          </w:p>
        </w:tc>
        <w:tc>
          <w:tcPr>
            <w:tcW w:w="2088" w:type="dxa"/>
            <w:tcBorders>
              <w:bottom w:val="single" w:sz="4" w:space="0" w:color="auto"/>
            </w:tcBorders>
            <w:shd w:val="clear" w:color="auto" w:fill="auto"/>
            <w:noWrap/>
            <w:vAlign w:val="bottom"/>
          </w:tcPr>
          <w:p w:rsidR="001B4E38" w:rsidRPr="00854E57" w:rsidRDefault="001B4E38" w:rsidP="000E4566">
            <w:pPr>
              <w:spacing w:after="0"/>
              <w:jc w:val="right"/>
              <w:rPr>
                <w:rFonts w:eastAsia="Times New Roman" w:cs="Times New Roman"/>
                <w:sz w:val="20"/>
                <w:szCs w:val="20"/>
                <w:lang w:eastAsia="en-AU"/>
              </w:rPr>
            </w:pPr>
            <w:r w:rsidRPr="00854E57">
              <w:rPr>
                <w:rFonts w:eastAsia="Times New Roman" w:cs="Times New Roman"/>
                <w:sz w:val="20"/>
                <w:szCs w:val="20"/>
                <w:lang w:eastAsia="en-AU"/>
              </w:rPr>
              <w:t>307</w:t>
            </w:r>
          </w:p>
        </w:tc>
      </w:tr>
      <w:tr w:rsidR="001B4E38" w:rsidRPr="00854E57" w:rsidTr="00875581">
        <w:trPr>
          <w:trHeight w:val="300"/>
        </w:trPr>
        <w:tc>
          <w:tcPr>
            <w:tcW w:w="2207"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rPr>
                <w:rFonts w:eastAsia="Times New Roman" w:cs="Times New Roman"/>
                <w:color w:val="000000"/>
                <w:sz w:val="20"/>
                <w:szCs w:val="20"/>
                <w:lang w:eastAsia="en-AU"/>
              </w:rPr>
            </w:pPr>
            <w:r w:rsidRPr="00854E57">
              <w:rPr>
                <w:rFonts w:eastAsia="Times New Roman" w:cs="Times New Roman"/>
                <w:color w:val="000000"/>
                <w:sz w:val="20"/>
                <w:szCs w:val="20"/>
                <w:lang w:eastAsia="en-AU"/>
              </w:rPr>
              <w:t>Plasmapheresis</w:t>
            </w:r>
          </w:p>
        </w:tc>
        <w:tc>
          <w:tcPr>
            <w:tcW w:w="1640"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82</w:t>
            </w:r>
          </w:p>
        </w:tc>
        <w:tc>
          <w:tcPr>
            <w:tcW w:w="1640"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92</w:t>
            </w:r>
          </w:p>
        </w:tc>
        <w:tc>
          <w:tcPr>
            <w:tcW w:w="1640"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120</w:t>
            </w:r>
          </w:p>
        </w:tc>
        <w:tc>
          <w:tcPr>
            <w:tcW w:w="2088"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158</w:t>
            </w:r>
          </w:p>
        </w:tc>
      </w:tr>
      <w:tr w:rsidR="001B4E38" w:rsidRPr="00854E57" w:rsidTr="00875581">
        <w:trPr>
          <w:trHeight w:val="300"/>
        </w:trPr>
        <w:tc>
          <w:tcPr>
            <w:tcW w:w="2207"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rPr>
                <w:rFonts w:eastAsia="Times New Roman" w:cs="Times New Roman"/>
                <w:color w:val="000000"/>
                <w:sz w:val="20"/>
                <w:szCs w:val="20"/>
                <w:lang w:eastAsia="en-AU"/>
              </w:rPr>
            </w:pPr>
            <w:proofErr w:type="spellStart"/>
            <w:r w:rsidRPr="00854E57">
              <w:rPr>
                <w:rFonts w:eastAsia="Times New Roman" w:cs="Times New Roman"/>
                <w:color w:val="000000"/>
                <w:sz w:val="20"/>
                <w:szCs w:val="20"/>
                <w:lang w:eastAsia="en-AU"/>
              </w:rPr>
              <w:t>Plateletpheresis</w:t>
            </w:r>
            <w:proofErr w:type="spellEnd"/>
          </w:p>
        </w:tc>
        <w:tc>
          <w:tcPr>
            <w:tcW w:w="1640"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177</w:t>
            </w:r>
          </w:p>
        </w:tc>
        <w:tc>
          <w:tcPr>
            <w:tcW w:w="1640"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288</w:t>
            </w:r>
          </w:p>
        </w:tc>
        <w:tc>
          <w:tcPr>
            <w:tcW w:w="1640"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449</w:t>
            </w:r>
          </w:p>
        </w:tc>
        <w:tc>
          <w:tcPr>
            <w:tcW w:w="2088"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935</w:t>
            </w:r>
          </w:p>
        </w:tc>
      </w:tr>
      <w:tr w:rsidR="001B4E38" w:rsidRPr="00854E57" w:rsidTr="00875581">
        <w:trPr>
          <w:trHeight w:val="300"/>
        </w:trPr>
        <w:tc>
          <w:tcPr>
            <w:tcW w:w="2207"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rPr>
                <w:rFonts w:eastAsia="Times New Roman" w:cs="Times New Roman"/>
                <w:color w:val="000000"/>
                <w:sz w:val="20"/>
                <w:szCs w:val="20"/>
                <w:lang w:eastAsia="en-AU"/>
              </w:rPr>
            </w:pPr>
            <w:r w:rsidRPr="00854E57">
              <w:rPr>
                <w:rFonts w:eastAsia="Times New Roman" w:cs="Times New Roman"/>
                <w:color w:val="000000"/>
                <w:sz w:val="20"/>
                <w:szCs w:val="20"/>
                <w:lang w:eastAsia="en-AU"/>
              </w:rPr>
              <w:t>All apheresis</w:t>
            </w:r>
          </w:p>
        </w:tc>
        <w:tc>
          <w:tcPr>
            <w:tcW w:w="1640"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90</w:t>
            </w:r>
          </w:p>
        </w:tc>
        <w:tc>
          <w:tcPr>
            <w:tcW w:w="1640"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111</w:t>
            </w:r>
          </w:p>
        </w:tc>
        <w:tc>
          <w:tcPr>
            <w:tcW w:w="1640"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146</w:t>
            </w:r>
          </w:p>
        </w:tc>
        <w:tc>
          <w:tcPr>
            <w:tcW w:w="2088" w:type="dxa"/>
            <w:tcBorders>
              <w:top w:val="single" w:sz="4" w:space="0" w:color="auto"/>
              <w:bottom w:val="single" w:sz="4" w:space="0" w:color="auto"/>
            </w:tcBorders>
            <w:shd w:val="clear" w:color="auto" w:fill="FFFFFF" w:themeFill="background1"/>
            <w:noWrap/>
            <w:vAlign w:val="bottom"/>
            <w:hideMark/>
          </w:tcPr>
          <w:p w:rsidR="001B4E38" w:rsidRPr="00854E57" w:rsidRDefault="001B4E38" w:rsidP="001B4E38">
            <w:pPr>
              <w:spacing w:after="0"/>
              <w:jc w:val="right"/>
              <w:rPr>
                <w:rFonts w:eastAsia="Times New Roman" w:cs="Times New Roman"/>
                <w:color w:val="000000"/>
                <w:sz w:val="20"/>
                <w:szCs w:val="20"/>
                <w:lang w:eastAsia="en-AU"/>
              </w:rPr>
            </w:pPr>
            <w:r w:rsidRPr="00854E57">
              <w:rPr>
                <w:rFonts w:eastAsia="Times New Roman" w:cs="Times New Roman"/>
                <w:color w:val="000000"/>
                <w:sz w:val="20"/>
                <w:szCs w:val="20"/>
                <w:lang w:eastAsia="en-AU"/>
              </w:rPr>
              <w:t>212</w:t>
            </w:r>
          </w:p>
        </w:tc>
      </w:tr>
      <w:tr w:rsidR="001B4E38" w:rsidRPr="00854E57" w:rsidTr="00875581">
        <w:trPr>
          <w:trHeight w:val="300"/>
        </w:trPr>
        <w:tc>
          <w:tcPr>
            <w:tcW w:w="2207"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rPr>
                <w:rFonts w:eastAsia="Times New Roman" w:cs="Times New Roman"/>
                <w:b/>
                <w:color w:val="000000"/>
                <w:sz w:val="20"/>
                <w:szCs w:val="20"/>
                <w:lang w:eastAsia="en-AU"/>
              </w:rPr>
            </w:pPr>
            <w:r w:rsidRPr="00854E57">
              <w:rPr>
                <w:rFonts w:eastAsia="Times New Roman" w:cs="Times New Roman"/>
                <w:b/>
                <w:color w:val="000000"/>
                <w:sz w:val="20"/>
                <w:szCs w:val="20"/>
                <w:lang w:eastAsia="en-AU"/>
              </w:rPr>
              <w:t>Total procedures</w:t>
            </w:r>
          </w:p>
        </w:tc>
        <w:tc>
          <w:tcPr>
            <w:tcW w:w="1640"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b/>
                <w:color w:val="000000"/>
                <w:sz w:val="20"/>
                <w:szCs w:val="20"/>
                <w:lang w:eastAsia="en-AU"/>
              </w:rPr>
            </w:pPr>
            <w:r w:rsidRPr="00854E57">
              <w:rPr>
                <w:rFonts w:eastAsia="Times New Roman" w:cs="Times New Roman"/>
                <w:b/>
                <w:color w:val="000000"/>
                <w:sz w:val="20"/>
                <w:szCs w:val="20"/>
                <w:lang w:eastAsia="en-AU"/>
              </w:rPr>
              <w:t>190</w:t>
            </w:r>
          </w:p>
        </w:tc>
        <w:tc>
          <w:tcPr>
            <w:tcW w:w="1640"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b/>
                <w:color w:val="000000"/>
                <w:sz w:val="20"/>
                <w:szCs w:val="20"/>
                <w:lang w:eastAsia="en-AU"/>
              </w:rPr>
            </w:pPr>
            <w:r w:rsidRPr="00854E57">
              <w:rPr>
                <w:rFonts w:eastAsia="Times New Roman" w:cs="Times New Roman"/>
                <w:b/>
                <w:color w:val="000000"/>
                <w:sz w:val="20"/>
                <w:szCs w:val="20"/>
                <w:lang w:eastAsia="en-AU"/>
              </w:rPr>
              <w:t>220</w:t>
            </w:r>
          </w:p>
        </w:tc>
        <w:tc>
          <w:tcPr>
            <w:tcW w:w="1640" w:type="dxa"/>
            <w:tcBorders>
              <w:top w:val="single" w:sz="4" w:space="0" w:color="auto"/>
              <w:bottom w:val="single" w:sz="4" w:space="0" w:color="auto"/>
            </w:tcBorders>
            <w:shd w:val="clear" w:color="auto" w:fill="auto"/>
            <w:noWrap/>
            <w:vAlign w:val="bottom"/>
            <w:hideMark/>
          </w:tcPr>
          <w:p w:rsidR="001B4E38" w:rsidRPr="00854E57" w:rsidRDefault="001B4E38" w:rsidP="001B4E38">
            <w:pPr>
              <w:spacing w:after="0"/>
              <w:jc w:val="right"/>
              <w:rPr>
                <w:rFonts w:eastAsia="Times New Roman" w:cs="Times New Roman"/>
                <w:b/>
                <w:color w:val="000000"/>
                <w:sz w:val="20"/>
                <w:szCs w:val="20"/>
                <w:lang w:eastAsia="en-AU"/>
              </w:rPr>
            </w:pPr>
            <w:r w:rsidRPr="00854E57">
              <w:rPr>
                <w:rFonts w:eastAsia="Times New Roman" w:cs="Times New Roman"/>
                <w:b/>
                <w:color w:val="000000"/>
                <w:sz w:val="20"/>
                <w:szCs w:val="20"/>
                <w:lang w:eastAsia="en-AU"/>
              </w:rPr>
              <w:t>251</w:t>
            </w:r>
          </w:p>
        </w:tc>
        <w:tc>
          <w:tcPr>
            <w:tcW w:w="2088" w:type="dxa"/>
            <w:tcBorders>
              <w:top w:val="single" w:sz="4" w:space="0" w:color="auto"/>
              <w:bottom w:val="single" w:sz="4" w:space="0" w:color="auto"/>
            </w:tcBorders>
            <w:shd w:val="clear" w:color="auto" w:fill="auto"/>
            <w:noWrap/>
            <w:vAlign w:val="bottom"/>
            <w:hideMark/>
          </w:tcPr>
          <w:p w:rsidR="001B4E38" w:rsidRPr="00854E57" w:rsidRDefault="001B4E38" w:rsidP="000E4566">
            <w:pPr>
              <w:spacing w:after="0"/>
              <w:jc w:val="right"/>
              <w:rPr>
                <w:rFonts w:eastAsia="Times New Roman" w:cs="Times New Roman"/>
                <w:b/>
                <w:color w:val="000000"/>
                <w:sz w:val="20"/>
                <w:szCs w:val="20"/>
                <w:lang w:eastAsia="en-AU"/>
              </w:rPr>
            </w:pPr>
            <w:r w:rsidRPr="00854E57">
              <w:rPr>
                <w:rFonts w:eastAsia="Times New Roman" w:cs="Times New Roman"/>
                <w:b/>
                <w:color w:val="000000"/>
                <w:sz w:val="20"/>
                <w:szCs w:val="20"/>
                <w:lang w:eastAsia="en-AU"/>
              </w:rPr>
              <w:t>267</w:t>
            </w:r>
          </w:p>
        </w:tc>
      </w:tr>
    </w:tbl>
    <w:p w:rsidR="00C747D3" w:rsidRPr="003A25C4" w:rsidRDefault="00C747D3" w:rsidP="003A25C4">
      <w:pPr>
        <w:pStyle w:val="Caption"/>
      </w:pPr>
      <w:bookmarkStart w:id="146" w:name="_Ref403656225"/>
      <w:bookmarkStart w:id="147" w:name="_Toc420835702"/>
    </w:p>
    <w:p w:rsidR="001B4E38" w:rsidRPr="003A25C4" w:rsidRDefault="001B4E38" w:rsidP="003A25C4">
      <w:pPr>
        <w:pStyle w:val="Caption"/>
      </w:pPr>
      <w:bookmarkStart w:id="148" w:name="_Ref452104936"/>
      <w:bookmarkStart w:id="149" w:name="_Toc459636867"/>
      <w:r w:rsidRPr="003A25C4">
        <w:t xml:space="preserve">Table </w:t>
      </w:r>
      <w:fldSimple w:instr=" SEQ Table \* ARABIC ">
        <w:r w:rsidR="000010BC">
          <w:rPr>
            <w:noProof/>
          </w:rPr>
          <w:t>27</w:t>
        </w:r>
      </w:fldSimple>
      <w:bookmarkEnd w:id="142"/>
      <w:bookmarkEnd w:id="143"/>
      <w:bookmarkEnd w:id="144"/>
      <w:bookmarkEnd w:id="146"/>
      <w:bookmarkEnd w:id="148"/>
      <w:r w:rsidRPr="003A25C4">
        <w:t>: Donation</w:t>
      </w:r>
      <w:r w:rsidR="00773683">
        <w:t>-</w:t>
      </w:r>
      <w:r w:rsidRPr="003A25C4">
        <w:t>associated events by type and severity, 2013–1</w:t>
      </w:r>
      <w:bookmarkEnd w:id="145"/>
      <w:bookmarkEnd w:id="147"/>
      <w:r w:rsidRPr="003A25C4">
        <w:t>4</w:t>
      </w:r>
      <w:bookmarkEnd w:id="149"/>
    </w:p>
    <w:tbl>
      <w:tblPr>
        <w:tblW w:w="9072" w:type="dxa"/>
        <w:tblInd w:w="108" w:type="dxa"/>
        <w:tblLook w:val="04A0" w:firstRow="1" w:lastRow="0" w:firstColumn="1" w:lastColumn="0" w:noHBand="0" w:noVBand="1"/>
      </w:tblPr>
      <w:tblGrid>
        <w:gridCol w:w="1667"/>
        <w:gridCol w:w="1662"/>
        <w:gridCol w:w="1030"/>
        <w:gridCol w:w="1300"/>
        <w:gridCol w:w="1500"/>
        <w:gridCol w:w="1913"/>
      </w:tblGrid>
      <w:tr w:rsidR="001B4E38" w:rsidRPr="001B4E38" w:rsidTr="00875581">
        <w:trPr>
          <w:trHeight w:val="300"/>
          <w:tblHeader/>
        </w:trPr>
        <w:tc>
          <w:tcPr>
            <w:tcW w:w="1667" w:type="dxa"/>
            <w:tcBorders>
              <w:top w:val="nil"/>
              <w:bottom w:val="nil"/>
              <w:right w:val="nil"/>
            </w:tcBorders>
            <w:shd w:val="clear" w:color="000000" w:fill="FF0000"/>
            <w:noWrap/>
            <w:vAlign w:val="center"/>
            <w:hideMark/>
          </w:tcPr>
          <w:p w:rsidR="001B4E38" w:rsidRPr="001B4E38" w:rsidRDefault="001B4E38" w:rsidP="001B4E38">
            <w:pPr>
              <w:spacing w:after="0"/>
              <w:rPr>
                <w:rFonts w:eastAsia="Times New Roman"/>
                <w:color w:val="FFFFFF"/>
                <w:sz w:val="20"/>
                <w:szCs w:val="20"/>
                <w:lang w:eastAsia="en-AU"/>
              </w:rPr>
            </w:pPr>
            <w:r w:rsidRPr="001B4E38">
              <w:rPr>
                <w:rFonts w:eastAsia="Times New Roman"/>
                <w:color w:val="FFFFFF"/>
                <w:sz w:val="20"/>
                <w:szCs w:val="20"/>
                <w:lang w:eastAsia="en-AU"/>
              </w:rPr>
              <w:t> </w:t>
            </w:r>
          </w:p>
        </w:tc>
        <w:tc>
          <w:tcPr>
            <w:tcW w:w="1662" w:type="dxa"/>
            <w:tcBorders>
              <w:top w:val="nil"/>
              <w:left w:val="nil"/>
              <w:bottom w:val="nil"/>
              <w:right w:val="nil"/>
            </w:tcBorders>
            <w:shd w:val="clear" w:color="000000" w:fill="FF0000"/>
            <w:noWrap/>
            <w:vAlign w:val="center"/>
            <w:hideMark/>
          </w:tcPr>
          <w:p w:rsidR="001B4E38" w:rsidRPr="001B4E38" w:rsidRDefault="001B4E38" w:rsidP="001B4E38">
            <w:pPr>
              <w:spacing w:after="0"/>
              <w:rPr>
                <w:rFonts w:eastAsia="Times New Roman"/>
                <w:b/>
                <w:bCs/>
                <w:color w:val="FFFFFF"/>
                <w:sz w:val="20"/>
                <w:szCs w:val="20"/>
                <w:lang w:eastAsia="en-AU"/>
              </w:rPr>
            </w:pPr>
            <w:r w:rsidRPr="001B4E38">
              <w:rPr>
                <w:rFonts w:eastAsia="Times New Roman"/>
                <w:b/>
                <w:bCs/>
                <w:color w:val="FFFFFF"/>
                <w:sz w:val="20"/>
                <w:szCs w:val="20"/>
                <w:lang w:eastAsia="en-AU"/>
              </w:rPr>
              <w:t> </w:t>
            </w:r>
          </w:p>
        </w:tc>
        <w:tc>
          <w:tcPr>
            <w:tcW w:w="1030" w:type="dxa"/>
            <w:tcBorders>
              <w:top w:val="nil"/>
              <w:left w:val="nil"/>
              <w:bottom w:val="nil"/>
              <w:right w:val="nil"/>
            </w:tcBorders>
            <w:shd w:val="clear" w:color="000000" w:fill="FF0000"/>
            <w:noWrap/>
            <w:vAlign w:val="center"/>
            <w:hideMark/>
          </w:tcPr>
          <w:p w:rsidR="001B4E38" w:rsidRPr="001B4E38" w:rsidRDefault="001B4E38" w:rsidP="001B4E38">
            <w:pPr>
              <w:spacing w:after="0"/>
              <w:rPr>
                <w:rFonts w:eastAsia="Times New Roman"/>
                <w:b/>
                <w:bCs/>
                <w:color w:val="FFFFFF"/>
                <w:sz w:val="20"/>
                <w:szCs w:val="20"/>
                <w:lang w:eastAsia="en-AU"/>
              </w:rPr>
            </w:pPr>
            <w:r w:rsidRPr="001B4E38">
              <w:rPr>
                <w:rFonts w:eastAsia="Times New Roman"/>
                <w:b/>
                <w:bCs/>
                <w:color w:val="FFFFFF"/>
                <w:sz w:val="20"/>
                <w:szCs w:val="20"/>
                <w:lang w:eastAsia="en-AU"/>
              </w:rPr>
              <w:t> </w:t>
            </w:r>
          </w:p>
        </w:tc>
        <w:tc>
          <w:tcPr>
            <w:tcW w:w="4713" w:type="dxa"/>
            <w:gridSpan w:val="3"/>
            <w:tcBorders>
              <w:top w:val="nil"/>
              <w:left w:val="nil"/>
              <w:bottom w:val="nil"/>
            </w:tcBorders>
            <w:shd w:val="clear" w:color="000000" w:fill="FF0000"/>
            <w:noWrap/>
            <w:vAlign w:val="center"/>
            <w:hideMark/>
          </w:tcPr>
          <w:p w:rsidR="001B4E38" w:rsidRPr="001B4E38" w:rsidRDefault="001B4E38" w:rsidP="001B4E38">
            <w:pPr>
              <w:spacing w:after="0"/>
              <w:jc w:val="center"/>
              <w:rPr>
                <w:rFonts w:eastAsia="Times New Roman"/>
                <w:b/>
                <w:bCs/>
                <w:color w:val="FFFFFF"/>
                <w:sz w:val="20"/>
                <w:szCs w:val="20"/>
                <w:lang w:eastAsia="en-AU"/>
              </w:rPr>
            </w:pPr>
            <w:r w:rsidRPr="001B4E38">
              <w:rPr>
                <w:rFonts w:eastAsia="Times New Roman"/>
                <w:b/>
                <w:bCs/>
                <w:color w:val="FFFFFF"/>
                <w:sz w:val="20"/>
                <w:szCs w:val="20"/>
                <w:lang w:eastAsia="en-AU"/>
              </w:rPr>
              <w:t>Rate per 10,000 donations</w:t>
            </w:r>
          </w:p>
        </w:tc>
      </w:tr>
      <w:tr w:rsidR="001B4E38" w:rsidRPr="001B4E38" w:rsidTr="00875581">
        <w:trPr>
          <w:trHeight w:val="300"/>
          <w:tblHeader/>
        </w:trPr>
        <w:tc>
          <w:tcPr>
            <w:tcW w:w="1667" w:type="dxa"/>
            <w:tcBorders>
              <w:top w:val="nil"/>
              <w:bottom w:val="nil"/>
              <w:right w:val="nil"/>
            </w:tcBorders>
            <w:shd w:val="clear" w:color="000000" w:fill="D9D9D9"/>
            <w:noWrap/>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662" w:type="dxa"/>
            <w:tcBorders>
              <w:top w:val="nil"/>
              <w:left w:val="nil"/>
              <w:bottom w:val="nil"/>
              <w:right w:val="nil"/>
            </w:tcBorders>
            <w:shd w:val="clear" w:color="000000" w:fill="D9D9D9"/>
            <w:noWrap/>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030" w:type="dxa"/>
            <w:tcBorders>
              <w:top w:val="nil"/>
              <w:left w:val="nil"/>
              <w:bottom w:val="nil"/>
              <w:right w:val="nil"/>
            </w:tcBorders>
            <w:shd w:val="clear" w:color="000000" w:fill="D9D9D9"/>
            <w:noWrap/>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300" w:type="dxa"/>
            <w:tcBorders>
              <w:top w:val="nil"/>
              <w:left w:val="nil"/>
              <w:bottom w:val="nil"/>
              <w:right w:val="nil"/>
            </w:tcBorders>
            <w:shd w:val="clear" w:color="000000" w:fill="D9D9D9"/>
            <w:noWrap/>
            <w:vAlign w:val="center"/>
            <w:hideMark/>
          </w:tcPr>
          <w:p w:rsidR="001B4E38" w:rsidRPr="001B4E38" w:rsidRDefault="001B4E38" w:rsidP="001B4E38">
            <w:pPr>
              <w:spacing w:after="0"/>
              <w:jc w:val="right"/>
              <w:rPr>
                <w:rFonts w:eastAsia="Times New Roman"/>
                <w:color w:val="FF0000"/>
                <w:sz w:val="20"/>
                <w:szCs w:val="20"/>
                <w:lang w:eastAsia="en-AU"/>
              </w:rPr>
            </w:pPr>
            <w:r w:rsidRPr="001B4E38">
              <w:rPr>
                <w:rFonts w:eastAsia="Times New Roman"/>
                <w:color w:val="FF0000"/>
                <w:sz w:val="20"/>
                <w:szCs w:val="20"/>
                <w:lang w:eastAsia="en-AU"/>
              </w:rPr>
              <w:t>Whole Blood</w:t>
            </w:r>
          </w:p>
        </w:tc>
        <w:tc>
          <w:tcPr>
            <w:tcW w:w="1500" w:type="dxa"/>
            <w:tcBorders>
              <w:top w:val="nil"/>
              <w:left w:val="nil"/>
              <w:bottom w:val="nil"/>
              <w:right w:val="nil"/>
            </w:tcBorders>
            <w:shd w:val="clear" w:color="000000" w:fill="D9D9D9"/>
            <w:noWrap/>
            <w:vAlign w:val="center"/>
            <w:hideMark/>
          </w:tcPr>
          <w:p w:rsidR="001B4E38" w:rsidRPr="001B4E38" w:rsidRDefault="001B4E38" w:rsidP="001B4E38">
            <w:pPr>
              <w:spacing w:after="0"/>
              <w:jc w:val="right"/>
              <w:rPr>
                <w:rFonts w:eastAsia="Times New Roman"/>
                <w:color w:val="FF0000"/>
                <w:sz w:val="20"/>
                <w:szCs w:val="20"/>
                <w:lang w:eastAsia="en-AU"/>
              </w:rPr>
            </w:pPr>
            <w:r w:rsidRPr="001B4E38">
              <w:rPr>
                <w:rFonts w:eastAsia="Times New Roman"/>
                <w:color w:val="FF0000"/>
                <w:sz w:val="20"/>
                <w:szCs w:val="20"/>
                <w:lang w:eastAsia="en-AU"/>
              </w:rPr>
              <w:t>Plasmapheresis</w:t>
            </w:r>
          </w:p>
        </w:tc>
        <w:tc>
          <w:tcPr>
            <w:tcW w:w="1913" w:type="dxa"/>
            <w:tcBorders>
              <w:top w:val="nil"/>
              <w:left w:val="nil"/>
              <w:bottom w:val="nil"/>
            </w:tcBorders>
            <w:shd w:val="clear" w:color="000000" w:fill="D9D9D9"/>
            <w:noWrap/>
            <w:vAlign w:val="center"/>
            <w:hideMark/>
          </w:tcPr>
          <w:p w:rsidR="001B4E38" w:rsidRPr="001B4E38" w:rsidRDefault="001B4E38" w:rsidP="001B4E38">
            <w:pPr>
              <w:spacing w:after="0"/>
              <w:jc w:val="right"/>
              <w:rPr>
                <w:rFonts w:eastAsia="Times New Roman"/>
                <w:color w:val="FF0000"/>
                <w:sz w:val="20"/>
                <w:szCs w:val="20"/>
                <w:lang w:eastAsia="en-AU"/>
              </w:rPr>
            </w:pPr>
            <w:proofErr w:type="spellStart"/>
            <w:r w:rsidRPr="001B4E38">
              <w:rPr>
                <w:rFonts w:eastAsia="Times New Roman"/>
                <w:color w:val="FF0000"/>
                <w:sz w:val="20"/>
                <w:szCs w:val="20"/>
                <w:lang w:eastAsia="en-AU"/>
              </w:rPr>
              <w:t>Plateletpheresis</w:t>
            </w:r>
            <w:proofErr w:type="spellEnd"/>
          </w:p>
        </w:tc>
      </w:tr>
      <w:tr w:rsidR="001B4E38" w:rsidRPr="001B4E38" w:rsidTr="00875581">
        <w:trPr>
          <w:trHeight w:val="300"/>
        </w:trPr>
        <w:tc>
          <w:tcPr>
            <w:tcW w:w="1667" w:type="dxa"/>
            <w:tcBorders>
              <w:top w:val="nil"/>
              <w:right w:val="nil"/>
            </w:tcBorders>
            <w:shd w:val="clear" w:color="000000" w:fill="FFFFFF"/>
            <w:noWrap/>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662" w:type="dxa"/>
            <w:tcBorders>
              <w:top w:val="nil"/>
              <w:left w:val="nil"/>
              <w:bottom w:val="single" w:sz="4" w:space="0" w:color="auto"/>
              <w:right w:val="nil"/>
            </w:tcBorders>
            <w:shd w:val="clear" w:color="000000" w:fill="FFFFFF"/>
            <w:noWrap/>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030" w:type="dxa"/>
            <w:tcBorders>
              <w:top w:val="nil"/>
              <w:left w:val="nil"/>
              <w:bottom w:val="single" w:sz="4" w:space="0" w:color="auto"/>
              <w:right w:val="nil"/>
            </w:tcBorders>
            <w:shd w:val="clear" w:color="000000" w:fill="FFFFFF"/>
            <w:noWrap/>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300" w:type="dxa"/>
            <w:tcBorders>
              <w:top w:val="nil"/>
              <w:left w:val="nil"/>
              <w:bottom w:val="single" w:sz="4" w:space="0" w:color="auto"/>
              <w:right w:val="nil"/>
            </w:tcBorders>
            <w:shd w:val="clear" w:color="000000" w:fill="FFFFFF"/>
            <w:noWrap/>
            <w:vAlign w:val="center"/>
            <w:hideMark/>
          </w:tcPr>
          <w:p w:rsidR="001B4E38" w:rsidRPr="001B4E38" w:rsidRDefault="001B4E38" w:rsidP="001B4E38">
            <w:pPr>
              <w:spacing w:after="0"/>
              <w:jc w:val="right"/>
              <w:rPr>
                <w:rFonts w:eastAsia="Times New Roman"/>
                <w:b/>
                <w:color w:val="000000"/>
                <w:sz w:val="20"/>
                <w:szCs w:val="20"/>
                <w:lang w:eastAsia="en-AU"/>
              </w:rPr>
            </w:pPr>
            <w:r w:rsidRPr="001B4E38">
              <w:rPr>
                <w:rFonts w:eastAsia="Times New Roman"/>
                <w:b/>
                <w:color w:val="000000"/>
                <w:sz w:val="20"/>
                <w:szCs w:val="20"/>
                <w:lang w:eastAsia="en-AU"/>
              </w:rPr>
              <w:t>(n=783,346)</w:t>
            </w:r>
          </w:p>
        </w:tc>
        <w:tc>
          <w:tcPr>
            <w:tcW w:w="1500" w:type="dxa"/>
            <w:tcBorders>
              <w:top w:val="nil"/>
              <w:left w:val="nil"/>
              <w:bottom w:val="single" w:sz="4" w:space="0" w:color="auto"/>
              <w:right w:val="nil"/>
            </w:tcBorders>
            <w:shd w:val="clear" w:color="000000" w:fill="FFFFFF"/>
            <w:noWrap/>
            <w:vAlign w:val="center"/>
            <w:hideMark/>
          </w:tcPr>
          <w:p w:rsidR="001B4E38" w:rsidRPr="001B4E38" w:rsidRDefault="001B4E38" w:rsidP="001B4E38">
            <w:pPr>
              <w:spacing w:after="0"/>
              <w:jc w:val="right"/>
              <w:rPr>
                <w:rFonts w:eastAsia="Times New Roman"/>
                <w:b/>
                <w:color w:val="000000"/>
                <w:sz w:val="20"/>
                <w:szCs w:val="20"/>
                <w:lang w:eastAsia="en-AU"/>
              </w:rPr>
            </w:pPr>
            <w:r w:rsidRPr="001B4E38">
              <w:rPr>
                <w:rFonts w:eastAsia="Times New Roman"/>
                <w:b/>
                <w:color w:val="000000"/>
                <w:sz w:val="20"/>
                <w:szCs w:val="20"/>
                <w:lang w:eastAsia="en-AU"/>
              </w:rPr>
              <w:t>(n=482,857)</w:t>
            </w:r>
          </w:p>
        </w:tc>
        <w:tc>
          <w:tcPr>
            <w:tcW w:w="1913" w:type="dxa"/>
            <w:tcBorders>
              <w:top w:val="nil"/>
              <w:left w:val="nil"/>
              <w:bottom w:val="single" w:sz="4" w:space="0" w:color="auto"/>
            </w:tcBorders>
            <w:shd w:val="clear" w:color="000000" w:fill="FFFFFF"/>
            <w:noWrap/>
            <w:vAlign w:val="center"/>
            <w:hideMark/>
          </w:tcPr>
          <w:p w:rsidR="001B4E38" w:rsidRPr="001B4E38" w:rsidRDefault="001B4E38" w:rsidP="001B4E38">
            <w:pPr>
              <w:spacing w:after="0"/>
              <w:jc w:val="right"/>
              <w:rPr>
                <w:rFonts w:eastAsia="Times New Roman"/>
                <w:b/>
                <w:color w:val="000000"/>
                <w:sz w:val="20"/>
                <w:szCs w:val="20"/>
                <w:lang w:eastAsia="en-AU"/>
              </w:rPr>
            </w:pPr>
            <w:r w:rsidRPr="001B4E38">
              <w:rPr>
                <w:rFonts w:eastAsia="Times New Roman"/>
                <w:b/>
                <w:color w:val="000000"/>
                <w:sz w:val="20"/>
                <w:szCs w:val="20"/>
                <w:lang w:eastAsia="en-AU"/>
              </w:rPr>
              <w:t>(n=35,722)</w:t>
            </w:r>
          </w:p>
        </w:tc>
      </w:tr>
      <w:tr w:rsidR="001B4E38" w:rsidRPr="001B4E38" w:rsidTr="00875581">
        <w:trPr>
          <w:trHeight w:val="300"/>
        </w:trPr>
        <w:tc>
          <w:tcPr>
            <w:tcW w:w="1667" w:type="dxa"/>
            <w:vMerge w:val="restart"/>
            <w:tcBorders>
              <w:bottom w:val="single" w:sz="4" w:space="0" w:color="auto"/>
              <w:right w:val="nil"/>
            </w:tcBorders>
            <w:shd w:val="clear" w:color="000000" w:fill="FFFFFF"/>
            <w:vAlign w:val="center"/>
            <w:hideMark/>
          </w:tcPr>
          <w:p w:rsidR="001B4E38" w:rsidRPr="001B4E38" w:rsidRDefault="001B4E38" w:rsidP="001B4E38">
            <w:pPr>
              <w:spacing w:after="0"/>
              <w:rPr>
                <w:rFonts w:eastAsia="Times New Roman"/>
                <w:color w:val="FF0000"/>
                <w:sz w:val="20"/>
                <w:szCs w:val="20"/>
                <w:lang w:eastAsia="en-AU"/>
              </w:rPr>
            </w:pPr>
            <w:r w:rsidRPr="001B4E38">
              <w:rPr>
                <w:rFonts w:eastAsia="Times New Roman"/>
                <w:color w:val="FF0000"/>
                <w:sz w:val="20"/>
                <w:szCs w:val="20"/>
                <w:lang w:eastAsia="en-AU"/>
              </w:rPr>
              <w:t>Complications related to blood outside vessels</w:t>
            </w:r>
          </w:p>
        </w:tc>
        <w:tc>
          <w:tcPr>
            <w:tcW w:w="1662" w:type="dxa"/>
            <w:vMerge w:val="restart"/>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Haematoma and bruising</w:t>
            </w: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10.71</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12.14</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50.39</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0.75</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0.83</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1.12</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Arterial puncture</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0.27</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0.01</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Delayed bleeding</w:t>
            </w: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Mild</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0.51</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0.52</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0.28</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0.08</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0.12</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val="restart"/>
            <w:tcBorders>
              <w:top w:val="single" w:sz="4" w:space="0" w:color="auto"/>
              <w:bottom w:val="single" w:sz="4" w:space="0" w:color="auto"/>
              <w:right w:val="nil"/>
            </w:tcBorders>
            <w:shd w:val="clear" w:color="000000" w:fill="FFFFFF"/>
            <w:vAlign w:val="center"/>
            <w:hideMark/>
          </w:tcPr>
          <w:p w:rsidR="001B4E38" w:rsidRPr="001B4E38" w:rsidRDefault="001B4E38" w:rsidP="001B4E38">
            <w:pPr>
              <w:spacing w:after="0"/>
              <w:rPr>
                <w:rFonts w:eastAsia="Times New Roman"/>
                <w:color w:val="FF0000"/>
                <w:sz w:val="20"/>
                <w:szCs w:val="20"/>
                <w:lang w:eastAsia="en-AU"/>
              </w:rPr>
            </w:pPr>
            <w:r w:rsidRPr="001B4E38">
              <w:rPr>
                <w:rFonts w:eastAsia="Times New Roman"/>
                <w:color w:val="FF0000"/>
                <w:sz w:val="20"/>
                <w:szCs w:val="20"/>
                <w:lang w:eastAsia="en-AU"/>
              </w:rPr>
              <w:lastRenderedPageBreak/>
              <w:t>Pain/soft tissue injury</w:t>
            </w:r>
          </w:p>
        </w:tc>
        <w:tc>
          <w:tcPr>
            <w:tcW w:w="1662" w:type="dxa"/>
            <w:vMerge w:val="restart"/>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Nerve irritation</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3.40</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2.57</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2.24</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0.88</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0.54</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1.12</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Nerve injury</w:t>
            </w: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0.04</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0.03</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Tendon damage</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10.23</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9.49</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18.20</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1.35</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1.16</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0.84</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Painful arm</w:t>
            </w: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3.40</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2.57</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2.24</w:t>
            </w:r>
          </w:p>
        </w:tc>
      </w:tr>
      <w:tr w:rsidR="001B4E38" w:rsidRPr="001B4E38" w:rsidTr="00875581">
        <w:trPr>
          <w:trHeight w:val="300"/>
        </w:trPr>
        <w:tc>
          <w:tcPr>
            <w:tcW w:w="1667" w:type="dxa"/>
            <w:vMerge/>
            <w:tcBorders>
              <w:top w:val="single" w:sz="4" w:space="0" w:color="auto"/>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0.88</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0.54</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1.12</w:t>
            </w:r>
          </w:p>
        </w:tc>
      </w:tr>
      <w:tr w:rsidR="001B4E38" w:rsidRPr="001B4E38" w:rsidTr="00875581">
        <w:trPr>
          <w:trHeight w:val="300"/>
        </w:trPr>
        <w:tc>
          <w:tcPr>
            <w:tcW w:w="1667" w:type="dxa"/>
            <w:vMerge w:val="restart"/>
            <w:tcBorders>
              <w:top w:val="single" w:sz="4" w:space="0" w:color="auto"/>
              <w:bottom w:val="single" w:sz="4" w:space="0" w:color="auto"/>
              <w:right w:val="nil"/>
            </w:tcBorders>
            <w:shd w:val="clear" w:color="000000" w:fill="FFFFFF"/>
            <w:vAlign w:val="center"/>
            <w:hideMark/>
          </w:tcPr>
          <w:p w:rsidR="001B4E38" w:rsidRPr="001B4E38" w:rsidRDefault="001B4E38" w:rsidP="001B4E38">
            <w:pPr>
              <w:spacing w:after="0"/>
              <w:rPr>
                <w:rFonts w:eastAsia="Times New Roman"/>
                <w:color w:val="FF0000"/>
                <w:sz w:val="20"/>
                <w:szCs w:val="20"/>
                <w:lang w:eastAsia="en-AU"/>
              </w:rPr>
            </w:pPr>
            <w:r w:rsidRPr="001B4E38">
              <w:rPr>
                <w:rFonts w:eastAsia="Times New Roman"/>
                <w:color w:val="FF0000"/>
                <w:sz w:val="20"/>
                <w:szCs w:val="20"/>
                <w:lang w:eastAsia="en-AU"/>
              </w:rPr>
              <w:t>Other complications with local symptoms</w:t>
            </w:r>
          </w:p>
        </w:tc>
        <w:tc>
          <w:tcPr>
            <w:tcW w:w="1662" w:type="dxa"/>
            <w:vMerge w:val="restart"/>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Thrombophlebitis</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0.09</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0.06</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0.20</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0.19</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D9D9D9"/>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Allergy (local)</w:t>
            </w: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Mild</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0.31</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0.56</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0.28</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0.06</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0.04</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val="restart"/>
            <w:tcBorders>
              <w:bottom w:val="single" w:sz="4" w:space="0" w:color="auto"/>
              <w:right w:val="nil"/>
            </w:tcBorders>
            <w:shd w:val="clear" w:color="000000" w:fill="FFFFFF"/>
            <w:vAlign w:val="center"/>
            <w:hideMark/>
          </w:tcPr>
          <w:p w:rsidR="001B4E38" w:rsidRPr="001B4E38" w:rsidRDefault="001B4E38" w:rsidP="001B4E38">
            <w:pPr>
              <w:spacing w:after="0"/>
              <w:rPr>
                <w:rFonts w:eastAsia="Times New Roman"/>
                <w:color w:val="FF0000"/>
                <w:sz w:val="20"/>
                <w:szCs w:val="20"/>
                <w:lang w:eastAsia="en-AU"/>
              </w:rPr>
            </w:pPr>
            <w:r w:rsidRPr="001B4E38">
              <w:rPr>
                <w:rFonts w:eastAsia="Times New Roman"/>
                <w:color w:val="FF0000"/>
                <w:sz w:val="20"/>
                <w:szCs w:val="20"/>
                <w:lang w:eastAsia="en-AU"/>
              </w:rPr>
              <w:t>Immediate vasovagal reaction</w:t>
            </w:r>
          </w:p>
        </w:tc>
        <w:tc>
          <w:tcPr>
            <w:tcW w:w="1662" w:type="dxa"/>
            <w:vMerge w:val="restart"/>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Without injury</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Mild</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158.92</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44.92</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148.93</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59.93</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16.05</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62.71</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20.81</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5.36</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14.56</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With injury</w:t>
            </w:r>
          </w:p>
        </w:tc>
        <w:tc>
          <w:tcPr>
            <w:tcW w:w="1030" w:type="dxa"/>
            <w:tcBorders>
              <w:top w:val="single" w:sz="4" w:space="0" w:color="auto"/>
              <w:left w:val="nil"/>
              <w:bottom w:val="single" w:sz="4" w:space="0" w:color="auto"/>
              <w:right w:val="nil"/>
            </w:tcBorders>
            <w:shd w:val="clear" w:color="000000" w:fill="D9D9D9"/>
            <w:noWrap/>
            <w:vAlign w:val="center"/>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Mild</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r>
      <w:tr w:rsidR="001B4E38" w:rsidRPr="001B4E38" w:rsidTr="00875581">
        <w:trPr>
          <w:trHeight w:val="300"/>
        </w:trPr>
        <w:tc>
          <w:tcPr>
            <w:tcW w:w="1667" w:type="dxa"/>
            <w:vMerge/>
            <w:tcBorders>
              <w:bottom w:val="single" w:sz="4" w:space="0" w:color="auto"/>
              <w:right w:val="nil"/>
            </w:tcBorders>
            <w:vAlign w:val="center"/>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0.03</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0.00</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0.28</w:t>
            </w:r>
          </w:p>
        </w:tc>
      </w:tr>
      <w:tr w:rsidR="001B4E38" w:rsidRPr="001B4E38" w:rsidTr="00875581">
        <w:trPr>
          <w:trHeight w:val="300"/>
        </w:trPr>
        <w:tc>
          <w:tcPr>
            <w:tcW w:w="1667" w:type="dxa"/>
            <w:vMerge/>
            <w:tcBorders>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1.16</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0.21</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1.96</w:t>
            </w:r>
          </w:p>
        </w:tc>
      </w:tr>
      <w:tr w:rsidR="001B4E38" w:rsidRPr="001B4E38" w:rsidTr="00875581">
        <w:trPr>
          <w:trHeight w:val="300"/>
        </w:trPr>
        <w:tc>
          <w:tcPr>
            <w:tcW w:w="1667" w:type="dxa"/>
            <w:vMerge w:val="restart"/>
            <w:tcBorders>
              <w:top w:val="single" w:sz="4" w:space="0" w:color="auto"/>
              <w:bottom w:val="single" w:sz="4" w:space="0" w:color="auto"/>
              <w:right w:val="nil"/>
            </w:tcBorders>
            <w:shd w:val="clear" w:color="000000" w:fill="FFFFFF"/>
            <w:vAlign w:val="center"/>
            <w:hideMark/>
          </w:tcPr>
          <w:p w:rsidR="001B4E38" w:rsidRPr="001B4E38" w:rsidRDefault="001B4E38" w:rsidP="001B4E38">
            <w:pPr>
              <w:spacing w:after="0"/>
              <w:rPr>
                <w:rFonts w:eastAsia="Times New Roman"/>
                <w:color w:val="FF0000"/>
                <w:sz w:val="20"/>
                <w:szCs w:val="20"/>
                <w:lang w:eastAsia="en-AU"/>
              </w:rPr>
            </w:pPr>
            <w:r w:rsidRPr="001B4E38">
              <w:rPr>
                <w:rFonts w:eastAsia="Times New Roman"/>
                <w:color w:val="FF0000"/>
                <w:sz w:val="20"/>
                <w:szCs w:val="20"/>
                <w:lang w:eastAsia="en-AU"/>
              </w:rPr>
              <w:t>Delayed vasovagal reaction</w:t>
            </w:r>
          </w:p>
        </w:tc>
        <w:tc>
          <w:tcPr>
            <w:tcW w:w="1662" w:type="dxa"/>
            <w:vMerge w:val="restart"/>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Without injury</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Mild</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9.15</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3.33</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2.24</w:t>
            </w:r>
          </w:p>
        </w:tc>
      </w:tr>
      <w:tr w:rsidR="001B4E38" w:rsidRPr="001B4E38" w:rsidTr="00875581">
        <w:trPr>
          <w:trHeight w:val="300"/>
        </w:trPr>
        <w:tc>
          <w:tcPr>
            <w:tcW w:w="1667" w:type="dxa"/>
            <w:vMerge/>
            <w:tcBorders>
              <w:top w:val="single" w:sz="8" w:space="0" w:color="000000"/>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5.60</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3.02</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3.92</w:t>
            </w:r>
          </w:p>
        </w:tc>
      </w:tr>
      <w:tr w:rsidR="001B4E38" w:rsidRPr="001B4E38" w:rsidTr="00875581">
        <w:trPr>
          <w:trHeight w:val="300"/>
        </w:trPr>
        <w:tc>
          <w:tcPr>
            <w:tcW w:w="1667" w:type="dxa"/>
            <w:vMerge/>
            <w:tcBorders>
              <w:top w:val="single" w:sz="8" w:space="0" w:color="000000"/>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16.84</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7.91</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11.20</w:t>
            </w:r>
          </w:p>
        </w:tc>
      </w:tr>
      <w:tr w:rsidR="001B4E38" w:rsidRPr="001B4E38" w:rsidTr="00875581">
        <w:trPr>
          <w:trHeight w:val="300"/>
        </w:trPr>
        <w:tc>
          <w:tcPr>
            <w:tcW w:w="1667" w:type="dxa"/>
            <w:vMerge/>
            <w:tcBorders>
              <w:top w:val="single" w:sz="8" w:space="0" w:color="000000"/>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val="restart"/>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With injury</w:t>
            </w:r>
          </w:p>
        </w:tc>
        <w:tc>
          <w:tcPr>
            <w:tcW w:w="1030" w:type="dxa"/>
            <w:tcBorders>
              <w:top w:val="single" w:sz="4" w:space="0" w:color="auto"/>
              <w:left w:val="nil"/>
              <w:bottom w:val="single" w:sz="4" w:space="0" w:color="auto"/>
              <w:right w:val="nil"/>
            </w:tcBorders>
            <w:shd w:val="clear" w:color="000000" w:fill="D9D9D9"/>
            <w:noWrap/>
            <w:vAlign w:val="center"/>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Mild</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0.00</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0.00</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0.00</w:t>
            </w:r>
          </w:p>
        </w:tc>
      </w:tr>
      <w:tr w:rsidR="001B4E38" w:rsidRPr="001B4E38" w:rsidTr="00875581">
        <w:trPr>
          <w:trHeight w:val="300"/>
        </w:trPr>
        <w:tc>
          <w:tcPr>
            <w:tcW w:w="1667" w:type="dxa"/>
            <w:vMerge/>
            <w:tcBorders>
              <w:top w:val="single" w:sz="8" w:space="0" w:color="000000"/>
              <w:bottom w:val="single" w:sz="4" w:space="0" w:color="auto"/>
              <w:right w:val="nil"/>
            </w:tcBorders>
            <w:vAlign w:val="center"/>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Moderate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0.03</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0.02</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0.00</w:t>
            </w:r>
          </w:p>
        </w:tc>
      </w:tr>
      <w:tr w:rsidR="001B4E38" w:rsidRPr="001B4E38" w:rsidTr="00875581">
        <w:trPr>
          <w:trHeight w:val="300"/>
        </w:trPr>
        <w:tc>
          <w:tcPr>
            <w:tcW w:w="1667" w:type="dxa"/>
            <w:vMerge/>
            <w:tcBorders>
              <w:top w:val="single" w:sz="8" w:space="0" w:color="000000"/>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vMerge/>
            <w:tcBorders>
              <w:top w:val="single" w:sz="4" w:space="0" w:color="auto"/>
              <w:left w:val="nil"/>
              <w:bottom w:val="single" w:sz="4" w:space="0" w:color="auto"/>
              <w:right w:val="nil"/>
            </w:tcBorders>
            <w:vAlign w:val="center"/>
            <w:hideMark/>
          </w:tcPr>
          <w:p w:rsidR="001B4E38" w:rsidRPr="001B4E38" w:rsidRDefault="001B4E38" w:rsidP="001B4E38">
            <w:pPr>
              <w:spacing w:after="0"/>
              <w:rPr>
                <w:rFonts w:eastAsia="Times New Roman"/>
                <w:color w:val="000000"/>
                <w:sz w:val="20"/>
                <w:szCs w:val="20"/>
                <w:lang w:eastAsia="en-AU"/>
              </w:rPr>
            </w:pP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Severe</w:t>
            </w:r>
          </w:p>
        </w:tc>
        <w:tc>
          <w:tcPr>
            <w:tcW w:w="13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1.57</w:t>
            </w:r>
          </w:p>
        </w:tc>
        <w:tc>
          <w:tcPr>
            <w:tcW w:w="1500" w:type="dxa"/>
            <w:tcBorders>
              <w:top w:val="single" w:sz="4" w:space="0" w:color="auto"/>
              <w:left w:val="nil"/>
              <w:bottom w:val="single" w:sz="4" w:space="0" w:color="auto"/>
              <w:right w:val="nil"/>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0.35</w:t>
            </w:r>
          </w:p>
        </w:tc>
        <w:tc>
          <w:tcPr>
            <w:tcW w:w="1913" w:type="dxa"/>
            <w:tcBorders>
              <w:top w:val="single" w:sz="4" w:space="0" w:color="auto"/>
              <w:left w:val="nil"/>
              <w:bottom w:val="single" w:sz="4" w:space="0" w:color="auto"/>
            </w:tcBorders>
            <w:shd w:val="clear" w:color="000000" w:fill="D9D9D9"/>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1.12</w:t>
            </w:r>
          </w:p>
        </w:tc>
      </w:tr>
      <w:tr w:rsidR="001B4E38" w:rsidRPr="001B4E38" w:rsidTr="00875581">
        <w:trPr>
          <w:trHeight w:val="300"/>
        </w:trPr>
        <w:tc>
          <w:tcPr>
            <w:tcW w:w="1667" w:type="dxa"/>
            <w:vMerge w:val="restart"/>
            <w:tcBorders>
              <w:top w:val="single" w:sz="4" w:space="0" w:color="auto"/>
              <w:bottom w:val="single" w:sz="4" w:space="0" w:color="auto"/>
              <w:right w:val="nil"/>
            </w:tcBorders>
            <w:shd w:val="clear" w:color="000000" w:fill="FFFFFF"/>
            <w:vAlign w:val="center"/>
            <w:hideMark/>
          </w:tcPr>
          <w:p w:rsidR="001B4E38" w:rsidRPr="001B4E38" w:rsidRDefault="001B4E38" w:rsidP="001B4E38">
            <w:pPr>
              <w:spacing w:after="0"/>
              <w:rPr>
                <w:rFonts w:eastAsia="Times New Roman"/>
                <w:color w:val="FF0000"/>
                <w:sz w:val="20"/>
                <w:szCs w:val="20"/>
                <w:lang w:eastAsia="en-AU"/>
              </w:rPr>
            </w:pPr>
            <w:r w:rsidRPr="001B4E38">
              <w:rPr>
                <w:rFonts w:eastAsia="Times New Roman"/>
                <w:color w:val="FF0000"/>
                <w:sz w:val="20"/>
                <w:szCs w:val="20"/>
                <w:lang w:eastAsia="en-AU"/>
              </w:rPr>
              <w:t>Apheresis related complications</w:t>
            </w:r>
          </w:p>
        </w:tc>
        <w:tc>
          <w:tcPr>
            <w:tcW w:w="1662"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Citrate reaction</w:t>
            </w:r>
          </w:p>
        </w:tc>
        <w:tc>
          <w:tcPr>
            <w:tcW w:w="1030" w:type="dxa"/>
            <w:tcBorders>
              <w:top w:val="single" w:sz="4" w:space="0" w:color="auto"/>
              <w:left w:val="nil"/>
              <w:bottom w:val="single" w:sz="4" w:space="0" w:color="auto"/>
              <w:right w:val="nil"/>
            </w:tcBorders>
            <w:shd w:val="clear" w:color="000000" w:fill="FFFFFF"/>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3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N/A</w:t>
            </w:r>
          </w:p>
        </w:tc>
        <w:tc>
          <w:tcPr>
            <w:tcW w:w="1500" w:type="dxa"/>
            <w:tcBorders>
              <w:top w:val="single" w:sz="4" w:space="0" w:color="auto"/>
              <w:left w:val="nil"/>
              <w:bottom w:val="single" w:sz="4" w:space="0" w:color="auto"/>
              <w:right w:val="nil"/>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40.05</w:t>
            </w:r>
          </w:p>
        </w:tc>
        <w:tc>
          <w:tcPr>
            <w:tcW w:w="1913" w:type="dxa"/>
            <w:tcBorders>
              <w:top w:val="single" w:sz="4" w:space="0" w:color="auto"/>
              <w:left w:val="nil"/>
              <w:bottom w:val="single" w:sz="4" w:space="0" w:color="auto"/>
            </w:tcBorders>
            <w:shd w:val="clear" w:color="000000" w:fill="FFFFFF"/>
            <w:vAlign w:val="bottom"/>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583.11</w:t>
            </w:r>
          </w:p>
        </w:tc>
      </w:tr>
      <w:tr w:rsidR="001B4E38" w:rsidRPr="001B4E38" w:rsidTr="00875581">
        <w:trPr>
          <w:trHeight w:val="300"/>
        </w:trPr>
        <w:tc>
          <w:tcPr>
            <w:tcW w:w="1667" w:type="dxa"/>
            <w:vMerge/>
            <w:tcBorders>
              <w:top w:val="single" w:sz="8" w:space="0" w:color="000000"/>
              <w:bottom w:val="single" w:sz="4" w:space="0" w:color="auto"/>
              <w:right w:val="nil"/>
            </w:tcBorders>
            <w:vAlign w:val="center"/>
            <w:hideMark/>
          </w:tcPr>
          <w:p w:rsidR="001B4E38" w:rsidRPr="001B4E38" w:rsidRDefault="001B4E38" w:rsidP="001B4E38">
            <w:pPr>
              <w:spacing w:after="0"/>
              <w:rPr>
                <w:rFonts w:eastAsia="Times New Roman"/>
                <w:color w:val="FF0000"/>
                <w:sz w:val="20"/>
                <w:szCs w:val="20"/>
                <w:lang w:eastAsia="en-AU"/>
              </w:rPr>
            </w:pPr>
          </w:p>
        </w:tc>
        <w:tc>
          <w:tcPr>
            <w:tcW w:w="1662"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Haemolysis</w:t>
            </w:r>
          </w:p>
        </w:tc>
        <w:tc>
          <w:tcPr>
            <w:tcW w:w="1030" w:type="dxa"/>
            <w:tcBorders>
              <w:top w:val="single" w:sz="4" w:space="0" w:color="auto"/>
              <w:left w:val="nil"/>
              <w:bottom w:val="single" w:sz="4" w:space="0" w:color="auto"/>
              <w:right w:val="nil"/>
            </w:tcBorders>
            <w:shd w:val="clear" w:color="000000" w:fill="D9D9D9"/>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 </w:t>
            </w:r>
          </w:p>
        </w:tc>
        <w:tc>
          <w:tcPr>
            <w:tcW w:w="1300" w:type="dxa"/>
            <w:tcBorders>
              <w:top w:val="single" w:sz="4" w:space="0" w:color="auto"/>
              <w:left w:val="nil"/>
              <w:bottom w:val="single" w:sz="4" w:space="0" w:color="auto"/>
              <w:right w:val="nil"/>
            </w:tcBorders>
            <w:shd w:val="clear" w:color="000000" w:fill="D9D9D9"/>
            <w:vAlign w:val="bottom"/>
            <w:hideMark/>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N/A</w:t>
            </w:r>
          </w:p>
        </w:tc>
        <w:tc>
          <w:tcPr>
            <w:tcW w:w="1500" w:type="dxa"/>
            <w:tcBorders>
              <w:top w:val="single" w:sz="4" w:space="0" w:color="auto"/>
              <w:left w:val="nil"/>
              <w:bottom w:val="single" w:sz="4" w:space="0" w:color="auto"/>
              <w:right w:val="nil"/>
            </w:tcBorders>
            <w:shd w:val="clear" w:color="000000" w:fill="D9D9D9"/>
            <w:vAlign w:val="bottom"/>
            <w:hideMark/>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0.29</w:t>
            </w:r>
          </w:p>
        </w:tc>
        <w:tc>
          <w:tcPr>
            <w:tcW w:w="1913" w:type="dxa"/>
            <w:tcBorders>
              <w:top w:val="single" w:sz="4" w:space="0" w:color="auto"/>
              <w:left w:val="nil"/>
              <w:bottom w:val="single" w:sz="4" w:space="0" w:color="auto"/>
            </w:tcBorders>
            <w:shd w:val="clear" w:color="000000" w:fill="D9D9D9"/>
            <w:vAlign w:val="bottom"/>
            <w:hideMark/>
          </w:tcPr>
          <w:p w:rsidR="001B4E38" w:rsidRPr="001B4E38" w:rsidRDefault="001B4E38" w:rsidP="001B4E38">
            <w:pPr>
              <w:spacing w:after="0"/>
              <w:jc w:val="right"/>
              <w:rPr>
                <w:iCs/>
                <w:color w:val="000000" w:themeColor="text1"/>
                <w:sz w:val="20"/>
                <w:szCs w:val="20"/>
              </w:rPr>
            </w:pPr>
            <w:r w:rsidRPr="001B4E38">
              <w:rPr>
                <w:iCs/>
                <w:color w:val="000000" w:themeColor="text1"/>
                <w:sz w:val="20"/>
                <w:szCs w:val="20"/>
              </w:rPr>
              <w:t>0.00</w:t>
            </w:r>
          </w:p>
        </w:tc>
      </w:tr>
    </w:tbl>
    <w:p w:rsidR="001B4E38" w:rsidRPr="001B4E38" w:rsidRDefault="001B4E38" w:rsidP="001B4E38">
      <w:pPr>
        <w:spacing w:before="200" w:after="0"/>
        <w:rPr>
          <w:rFonts w:asciiTheme="minorHAnsi" w:hAnsiTheme="minorHAnsi" w:cstheme="minorHAnsi"/>
          <w:b/>
        </w:rPr>
      </w:pPr>
      <w:r w:rsidRPr="001B4E38">
        <w:rPr>
          <w:rFonts w:asciiTheme="minorHAnsi" w:hAnsiTheme="minorHAnsi" w:cstheme="minorHAnsi"/>
          <w:b/>
        </w:rPr>
        <w:t>Serious complications of blood donation</w:t>
      </w:r>
    </w:p>
    <w:p w:rsidR="001B4E38" w:rsidRPr="001B4E38" w:rsidRDefault="001B4E38" w:rsidP="001B4E38">
      <w:pPr>
        <w:tabs>
          <w:tab w:val="left" w:pos="3080"/>
        </w:tabs>
        <w:spacing w:before="200"/>
        <w:rPr>
          <w:rFonts w:asciiTheme="minorHAnsi" w:eastAsiaTheme="minorHAnsi" w:hAnsiTheme="minorHAnsi" w:cs="Arial"/>
          <w:iCs/>
          <w:color w:val="000000" w:themeColor="text1"/>
        </w:rPr>
      </w:pPr>
      <w:bookmarkStart w:id="150" w:name="_Ref359342095"/>
      <w:bookmarkStart w:id="151" w:name="_Toc420835704"/>
      <w:r w:rsidRPr="001B4E38">
        <w:rPr>
          <w:rFonts w:asciiTheme="minorHAnsi" w:eastAsiaTheme="minorHAnsi" w:hAnsiTheme="minorHAnsi" w:cs="Arial"/>
          <w:iCs/>
          <w:color w:val="000000" w:themeColor="text1"/>
        </w:rPr>
        <w:t>Serious complications related to blood donation are defined as events resulting in any of the following:</w:t>
      </w:r>
    </w:p>
    <w:p w:rsidR="001B4E38" w:rsidRPr="001B4E38" w:rsidRDefault="001B4E38" w:rsidP="0096249F">
      <w:pPr>
        <w:numPr>
          <w:ilvl w:val="0"/>
          <w:numId w:val="11"/>
        </w:numPr>
        <w:tabs>
          <w:tab w:val="left" w:pos="3080"/>
        </w:tabs>
        <w:ind w:left="357" w:hanging="357"/>
        <w:contextualSpacing/>
        <w:rPr>
          <w:rFonts w:asciiTheme="minorHAnsi" w:eastAsiaTheme="minorHAnsi" w:hAnsiTheme="minorHAnsi" w:cs="Arial"/>
          <w:iCs/>
          <w:color w:val="000000" w:themeColor="text1"/>
        </w:rPr>
      </w:pPr>
      <w:r w:rsidRPr="001B4E38">
        <w:rPr>
          <w:rFonts w:asciiTheme="minorHAnsi" w:eastAsiaTheme="minorHAnsi" w:hAnsiTheme="minorHAnsi" w:cs="Arial"/>
          <w:iCs/>
          <w:color w:val="000000" w:themeColor="text1"/>
        </w:rPr>
        <w:t>hospitalisation if it is attributable to the reaction, based on the evaluation of hospital medical staff</w:t>
      </w:r>
    </w:p>
    <w:p w:rsidR="001B4E38" w:rsidRPr="001B4E38" w:rsidRDefault="001B4E38" w:rsidP="0096249F">
      <w:pPr>
        <w:numPr>
          <w:ilvl w:val="0"/>
          <w:numId w:val="11"/>
        </w:numPr>
        <w:tabs>
          <w:tab w:val="left" w:pos="3080"/>
        </w:tabs>
        <w:ind w:left="357" w:hanging="357"/>
        <w:contextualSpacing/>
        <w:rPr>
          <w:rFonts w:asciiTheme="minorHAnsi" w:eastAsiaTheme="minorHAnsi" w:hAnsiTheme="minorHAnsi" w:cs="Arial"/>
          <w:iCs/>
          <w:color w:val="000000" w:themeColor="text1"/>
        </w:rPr>
      </w:pPr>
      <w:r w:rsidRPr="001B4E38">
        <w:rPr>
          <w:rFonts w:asciiTheme="minorHAnsi" w:eastAsiaTheme="minorHAnsi" w:hAnsiTheme="minorHAnsi" w:cs="Arial"/>
          <w:iCs/>
          <w:color w:val="000000" w:themeColor="text1"/>
        </w:rPr>
        <w:t>attendance at a healthcare facility to manage a complication and to prevent ongoing impairment</w:t>
      </w:r>
    </w:p>
    <w:p w:rsidR="001B4E38" w:rsidRPr="001B4E38" w:rsidRDefault="001B4E38" w:rsidP="0096249F">
      <w:pPr>
        <w:numPr>
          <w:ilvl w:val="0"/>
          <w:numId w:val="11"/>
        </w:numPr>
        <w:tabs>
          <w:tab w:val="left" w:pos="3080"/>
        </w:tabs>
        <w:ind w:left="357" w:hanging="357"/>
        <w:contextualSpacing/>
        <w:rPr>
          <w:rFonts w:asciiTheme="minorHAnsi" w:eastAsiaTheme="minorHAnsi" w:hAnsiTheme="minorHAnsi" w:cs="Arial"/>
          <w:iCs/>
          <w:color w:val="000000" w:themeColor="text1"/>
        </w:rPr>
      </w:pPr>
      <w:r w:rsidRPr="001B4E38">
        <w:rPr>
          <w:rFonts w:asciiTheme="minorHAnsi" w:eastAsiaTheme="minorHAnsi" w:hAnsiTheme="minorHAnsi" w:cs="Arial"/>
          <w:iCs/>
          <w:color w:val="000000" w:themeColor="text1"/>
        </w:rPr>
        <w:t>involvement in an accident (with or without significant injury) if the accident was probably or definitely related to the donation</w:t>
      </w:r>
    </w:p>
    <w:p w:rsidR="001B4E38" w:rsidRPr="001B4E38" w:rsidRDefault="001B4E38" w:rsidP="0096249F">
      <w:pPr>
        <w:numPr>
          <w:ilvl w:val="0"/>
          <w:numId w:val="11"/>
        </w:numPr>
        <w:tabs>
          <w:tab w:val="left" w:pos="3080"/>
        </w:tabs>
        <w:ind w:left="357" w:hanging="357"/>
        <w:rPr>
          <w:rFonts w:asciiTheme="minorHAnsi" w:eastAsiaTheme="minorHAnsi" w:hAnsiTheme="minorHAnsi" w:cs="Arial"/>
          <w:iCs/>
          <w:color w:val="000000" w:themeColor="text1"/>
        </w:rPr>
      </w:pPr>
      <w:proofErr w:type="gramStart"/>
      <w:r w:rsidRPr="001B4E38">
        <w:rPr>
          <w:rFonts w:asciiTheme="minorHAnsi" w:eastAsiaTheme="minorHAnsi" w:hAnsiTheme="minorHAnsi" w:cs="Arial"/>
          <w:iCs/>
          <w:color w:val="000000" w:themeColor="text1"/>
        </w:rPr>
        <w:t>death</w:t>
      </w:r>
      <w:proofErr w:type="gramEnd"/>
      <w:r w:rsidRPr="001B4E38">
        <w:rPr>
          <w:rFonts w:asciiTheme="minorHAnsi" w:eastAsiaTheme="minorHAnsi" w:hAnsiTheme="minorHAnsi" w:cs="Arial"/>
          <w:iCs/>
          <w:color w:val="000000" w:themeColor="text1"/>
        </w:rPr>
        <w:t xml:space="preserve"> following a donation complication if the death was probably, possibly or definitely related to the donation.</w:t>
      </w:r>
    </w:p>
    <w:p w:rsidR="001B4E38" w:rsidRPr="001B4E38" w:rsidRDefault="001B4E38" w:rsidP="001B4E38">
      <w:pPr>
        <w:tabs>
          <w:tab w:val="left" w:pos="3080"/>
        </w:tabs>
        <w:rPr>
          <w:rFonts w:asciiTheme="minorHAnsi" w:eastAsiaTheme="minorHAnsi" w:hAnsiTheme="minorHAnsi" w:cs="Arial"/>
          <w:iCs/>
          <w:color w:val="000000" w:themeColor="text1"/>
        </w:rPr>
      </w:pPr>
      <w:r w:rsidRPr="001B4E38">
        <w:rPr>
          <w:rFonts w:asciiTheme="minorHAnsi" w:eastAsiaTheme="minorHAnsi" w:hAnsiTheme="minorHAnsi" w:cs="Arial"/>
          <w:iCs/>
          <w:color w:val="000000" w:themeColor="text1"/>
        </w:rPr>
        <w:t xml:space="preserve">During 2013-2014 there were 492 </w:t>
      </w:r>
      <w:r w:rsidR="00FF1C39">
        <w:rPr>
          <w:rFonts w:asciiTheme="minorHAnsi" w:eastAsiaTheme="minorHAnsi" w:hAnsiTheme="minorHAnsi" w:cs="Arial"/>
          <w:iCs/>
          <w:color w:val="000000" w:themeColor="text1"/>
        </w:rPr>
        <w:t xml:space="preserve">donors who </w:t>
      </w:r>
      <w:r w:rsidRPr="001B4E38">
        <w:rPr>
          <w:rFonts w:asciiTheme="minorHAnsi" w:eastAsiaTheme="minorHAnsi" w:hAnsiTheme="minorHAnsi" w:cs="Arial"/>
          <w:iCs/>
          <w:color w:val="000000" w:themeColor="text1"/>
        </w:rPr>
        <w:t xml:space="preserve">attended hospital and 735 </w:t>
      </w:r>
      <w:r w:rsidR="00FF1C39">
        <w:rPr>
          <w:rFonts w:asciiTheme="minorHAnsi" w:eastAsiaTheme="minorHAnsi" w:hAnsiTheme="minorHAnsi" w:cs="Arial"/>
          <w:iCs/>
          <w:color w:val="000000" w:themeColor="text1"/>
        </w:rPr>
        <w:t xml:space="preserve">who </w:t>
      </w:r>
      <w:r w:rsidRPr="001B4E38">
        <w:rPr>
          <w:rFonts w:asciiTheme="minorHAnsi" w:eastAsiaTheme="minorHAnsi" w:hAnsiTheme="minorHAnsi" w:cs="Arial"/>
          <w:iCs/>
          <w:color w:val="000000" w:themeColor="text1"/>
        </w:rPr>
        <w:t>attended their general practitioner (GP) for donation</w:t>
      </w:r>
      <w:r w:rsidR="000E4566">
        <w:rPr>
          <w:rFonts w:asciiTheme="minorHAnsi" w:eastAsiaTheme="minorHAnsi" w:hAnsiTheme="minorHAnsi" w:cs="Arial"/>
          <w:iCs/>
          <w:color w:val="000000" w:themeColor="text1"/>
        </w:rPr>
        <w:t>-</w:t>
      </w:r>
      <w:r w:rsidRPr="001B4E38">
        <w:rPr>
          <w:rFonts w:asciiTheme="minorHAnsi" w:eastAsiaTheme="minorHAnsi" w:hAnsiTheme="minorHAnsi" w:cs="Arial"/>
          <w:iCs/>
          <w:color w:val="000000" w:themeColor="text1"/>
        </w:rPr>
        <w:t>related complications (</w:t>
      </w:r>
      <w:r w:rsidRPr="001B4E38">
        <w:rPr>
          <w:rFonts w:asciiTheme="minorHAnsi" w:eastAsiaTheme="minorHAnsi" w:hAnsiTheme="minorHAnsi" w:cs="Arial"/>
          <w:iCs/>
          <w:color w:val="000000" w:themeColor="text1"/>
        </w:rPr>
        <w:fldChar w:fldCharType="begin"/>
      </w:r>
      <w:r w:rsidRPr="001B4E38">
        <w:rPr>
          <w:rFonts w:asciiTheme="minorHAnsi" w:eastAsiaTheme="minorHAnsi" w:hAnsiTheme="minorHAnsi" w:cs="Arial"/>
          <w:iCs/>
          <w:color w:val="000000" w:themeColor="text1"/>
        </w:rPr>
        <w:instrText xml:space="preserve"> REF _Ref444868121 \h  \* MERGEFORMAT </w:instrText>
      </w:r>
      <w:r w:rsidRPr="001B4E38">
        <w:rPr>
          <w:rFonts w:asciiTheme="minorHAnsi" w:eastAsiaTheme="minorHAnsi" w:hAnsiTheme="minorHAnsi" w:cs="Arial"/>
          <w:iCs/>
          <w:color w:val="000000" w:themeColor="text1"/>
        </w:rPr>
      </w:r>
      <w:r w:rsidRPr="001B4E38">
        <w:rPr>
          <w:rFonts w:asciiTheme="minorHAnsi" w:eastAsiaTheme="minorHAnsi" w:hAnsiTheme="minorHAnsi" w:cs="Arial"/>
          <w:iCs/>
          <w:color w:val="000000" w:themeColor="text1"/>
        </w:rPr>
        <w:fldChar w:fldCharType="separate"/>
      </w:r>
      <w:r w:rsidR="000010BC" w:rsidRPr="003A25C4">
        <w:t xml:space="preserve">Table </w:t>
      </w:r>
      <w:r w:rsidR="000010BC">
        <w:rPr>
          <w:noProof/>
        </w:rPr>
        <w:t>28</w:t>
      </w:r>
      <w:r w:rsidRPr="001B4E38">
        <w:rPr>
          <w:rFonts w:asciiTheme="minorHAnsi" w:eastAsiaTheme="minorHAnsi" w:hAnsiTheme="minorHAnsi" w:cs="Arial"/>
          <w:iCs/>
          <w:color w:val="000000" w:themeColor="text1"/>
        </w:rPr>
        <w:fldChar w:fldCharType="end"/>
      </w:r>
      <w:r w:rsidRPr="001B4E38">
        <w:rPr>
          <w:rFonts w:asciiTheme="minorHAnsi" w:eastAsiaTheme="minorHAnsi" w:hAnsiTheme="minorHAnsi" w:cs="Arial"/>
          <w:iCs/>
          <w:color w:val="000000" w:themeColor="text1"/>
        </w:rPr>
        <w:t>). There were no donation</w:t>
      </w:r>
      <w:r w:rsidR="000E4566">
        <w:rPr>
          <w:rFonts w:asciiTheme="minorHAnsi" w:eastAsiaTheme="minorHAnsi" w:hAnsiTheme="minorHAnsi" w:cs="Arial"/>
          <w:iCs/>
          <w:color w:val="000000" w:themeColor="text1"/>
        </w:rPr>
        <w:t>-</w:t>
      </w:r>
      <w:r w:rsidRPr="001B4E38">
        <w:rPr>
          <w:rFonts w:asciiTheme="minorHAnsi" w:eastAsiaTheme="minorHAnsi" w:hAnsiTheme="minorHAnsi" w:cs="Arial"/>
          <w:iCs/>
          <w:color w:val="000000" w:themeColor="text1"/>
        </w:rPr>
        <w:t xml:space="preserve">associated deaths. The majority of hospital attendances are by donors directly referred from the donor centre, either because of an injury sustained in a fall during a vasovagal reaction or because a donor is very slow to recover from a vasovagal reaction. Donors experiencing chest pain are generally referred for assessment in the Emergency Department. </w:t>
      </w:r>
      <w:r w:rsidR="00BB2B07" w:rsidRPr="001B4E38">
        <w:rPr>
          <w:rFonts w:asciiTheme="minorHAnsi" w:eastAsiaTheme="minorHAnsi" w:hAnsiTheme="minorHAnsi" w:cs="Arial"/>
          <w:iCs/>
          <w:color w:val="000000" w:themeColor="text1"/>
        </w:rPr>
        <w:t>3</w:t>
      </w:r>
      <w:r w:rsidR="00BB2B07">
        <w:rPr>
          <w:rFonts w:asciiTheme="minorHAnsi" w:eastAsiaTheme="minorHAnsi" w:hAnsiTheme="minorHAnsi" w:cs="Arial"/>
          <w:iCs/>
          <w:color w:val="000000" w:themeColor="text1"/>
        </w:rPr>
        <w:t>3</w:t>
      </w:r>
      <w:r w:rsidR="00FF1C39">
        <w:rPr>
          <w:rFonts w:asciiTheme="minorHAnsi" w:eastAsiaTheme="minorHAnsi" w:hAnsiTheme="minorHAnsi" w:cs="Arial"/>
          <w:iCs/>
          <w:color w:val="000000" w:themeColor="text1"/>
        </w:rPr>
        <w:t xml:space="preserve"> </w:t>
      </w:r>
      <w:r w:rsidRPr="001B4E38">
        <w:rPr>
          <w:rFonts w:asciiTheme="minorHAnsi" w:eastAsiaTheme="minorHAnsi" w:hAnsiTheme="minorHAnsi" w:cs="Arial"/>
          <w:iCs/>
          <w:color w:val="000000" w:themeColor="text1"/>
        </w:rPr>
        <w:t xml:space="preserve">donors with chest pain were referred to hospital between July 2013 and June 2014 of whom 7 were admitted for cardiac investigations; all had been previously well but had risk factors for coronary disease; one donor required coronary stenting. Of the 33 donors </w:t>
      </w:r>
      <w:r w:rsidRPr="001B4E38">
        <w:rPr>
          <w:rFonts w:asciiTheme="minorHAnsi" w:eastAsiaTheme="minorHAnsi" w:hAnsiTheme="minorHAnsi" w:cs="Arial"/>
          <w:iCs/>
          <w:color w:val="000000" w:themeColor="text1"/>
        </w:rPr>
        <w:lastRenderedPageBreak/>
        <w:t xml:space="preserve">who were referred for chest pain where cardiac disease was excluded, the diagnosis was anxiety (in 22 donors) or no definitive diagnosis was made (for 11 donors). Most hospital attendances are brief presentations to the Emergency Department, and admission to hospital is rare. A number of donors self-refer to hospital following a delayed vasovagal reaction. Attendance at GPs is usually initiated by donors who have experienced a delayed faint, or more frequently, because of local symptoms caused by nerve irritation due to a large haematoma or </w:t>
      </w:r>
      <w:r w:rsidR="006C3D85">
        <w:rPr>
          <w:rFonts w:asciiTheme="minorHAnsi" w:eastAsiaTheme="minorHAnsi" w:hAnsiTheme="minorHAnsi" w:cs="Arial"/>
          <w:iCs/>
          <w:color w:val="000000" w:themeColor="text1"/>
        </w:rPr>
        <w:t>painful arm following donation.</w:t>
      </w:r>
    </w:p>
    <w:p w:rsidR="001B4E38" w:rsidRPr="003A25C4" w:rsidRDefault="001B4E38" w:rsidP="003A25C4">
      <w:pPr>
        <w:pStyle w:val="Caption"/>
      </w:pPr>
      <w:bookmarkStart w:id="152" w:name="_Ref444868121"/>
      <w:bookmarkStart w:id="153" w:name="_Toc459636868"/>
      <w:r w:rsidRPr="003A25C4">
        <w:t xml:space="preserve">Table </w:t>
      </w:r>
      <w:fldSimple w:instr=" SEQ Table \* ARABIC ">
        <w:r w:rsidR="000010BC">
          <w:rPr>
            <w:noProof/>
          </w:rPr>
          <w:t>28</w:t>
        </w:r>
      </w:fldSimple>
      <w:bookmarkEnd w:id="150"/>
      <w:bookmarkEnd w:id="152"/>
      <w:r w:rsidRPr="003A25C4">
        <w:t>: Summary of external medical referrals, 2013–1</w:t>
      </w:r>
      <w:bookmarkEnd w:id="151"/>
      <w:r w:rsidRPr="003A25C4">
        <w:t>4</w:t>
      </w:r>
      <w:bookmarkEnd w:id="153"/>
    </w:p>
    <w:tbl>
      <w:tblPr>
        <w:tblStyle w:val="MediumShading1-Accent2"/>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60"/>
        <w:gridCol w:w="1970"/>
        <w:gridCol w:w="1970"/>
        <w:gridCol w:w="1970"/>
        <w:gridCol w:w="1970"/>
      </w:tblGrid>
      <w:tr w:rsidR="001B4E38" w:rsidRPr="001B4E38" w:rsidTr="009E4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FF0000"/>
            <w:vAlign w:val="center"/>
          </w:tcPr>
          <w:p w:rsidR="001B4E38" w:rsidRPr="001B4E38" w:rsidRDefault="001B4E38" w:rsidP="001B4E38">
            <w:pPr>
              <w:jc w:val="center"/>
              <w:rPr>
                <w:rFonts w:asciiTheme="minorHAnsi" w:hAnsiTheme="minorHAnsi" w:cstheme="minorHAnsi"/>
                <w:b w:val="0"/>
                <w:sz w:val="20"/>
                <w:szCs w:val="20"/>
                <w:lang w:eastAsia="en-AU"/>
              </w:rPr>
            </w:pPr>
          </w:p>
        </w:tc>
        <w:tc>
          <w:tcPr>
            <w:tcW w:w="1970" w:type="dxa"/>
            <w:tcBorders>
              <w:top w:val="none" w:sz="0" w:space="0" w:color="auto"/>
              <w:left w:val="none" w:sz="0" w:space="0" w:color="auto"/>
              <w:bottom w:val="none" w:sz="0" w:space="0" w:color="auto"/>
              <w:right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1B4E38">
              <w:rPr>
                <w:rFonts w:asciiTheme="minorHAnsi" w:hAnsiTheme="minorHAnsi" w:cstheme="minorHAnsi"/>
                <w:sz w:val="20"/>
                <w:szCs w:val="20"/>
                <w:lang w:eastAsia="en-AU"/>
              </w:rPr>
              <w:t>Number of</w:t>
            </w:r>
            <w:r w:rsidRPr="001B4E38">
              <w:rPr>
                <w:rFonts w:asciiTheme="minorHAnsi" w:hAnsiTheme="minorHAnsi" w:cstheme="minorHAnsi"/>
                <w:sz w:val="20"/>
                <w:szCs w:val="20"/>
                <w:lang w:eastAsia="en-AU"/>
              </w:rPr>
              <w:br/>
              <w:t>hospital</w:t>
            </w:r>
            <w:r w:rsidRPr="001B4E38">
              <w:rPr>
                <w:rFonts w:asciiTheme="minorHAnsi" w:hAnsiTheme="minorHAnsi" w:cstheme="minorHAnsi"/>
                <w:sz w:val="20"/>
                <w:szCs w:val="20"/>
                <w:lang w:eastAsia="en-AU"/>
              </w:rPr>
              <w:br/>
              <w:t>referrals</w:t>
            </w:r>
          </w:p>
        </w:tc>
        <w:tc>
          <w:tcPr>
            <w:tcW w:w="1970" w:type="dxa"/>
            <w:tcBorders>
              <w:top w:val="none" w:sz="0" w:space="0" w:color="auto"/>
              <w:left w:val="none" w:sz="0" w:space="0" w:color="auto"/>
              <w:bottom w:val="none" w:sz="0" w:space="0" w:color="auto"/>
              <w:right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1B4E38">
              <w:rPr>
                <w:rFonts w:asciiTheme="minorHAnsi" w:hAnsiTheme="minorHAnsi" w:cstheme="minorHAnsi"/>
                <w:sz w:val="20"/>
                <w:szCs w:val="20"/>
                <w:lang w:eastAsia="en-AU"/>
              </w:rPr>
              <w:t>Incidence of hospital referrals</w:t>
            </w:r>
            <w:r w:rsidRPr="001B4E38">
              <w:rPr>
                <w:rFonts w:asciiTheme="minorHAnsi" w:hAnsiTheme="minorHAnsi" w:cstheme="minorHAnsi"/>
                <w:sz w:val="20"/>
                <w:szCs w:val="20"/>
                <w:lang w:eastAsia="en-AU"/>
              </w:rPr>
              <w:br/>
              <w:t>(% total collections)</w:t>
            </w:r>
          </w:p>
        </w:tc>
        <w:tc>
          <w:tcPr>
            <w:tcW w:w="1970" w:type="dxa"/>
            <w:tcBorders>
              <w:top w:val="none" w:sz="0" w:space="0" w:color="auto"/>
              <w:left w:val="none" w:sz="0" w:space="0" w:color="auto"/>
              <w:bottom w:val="none" w:sz="0" w:space="0" w:color="auto"/>
              <w:right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1B4E38">
              <w:rPr>
                <w:rFonts w:asciiTheme="minorHAnsi" w:hAnsiTheme="minorHAnsi" w:cstheme="minorHAnsi"/>
                <w:sz w:val="20"/>
                <w:szCs w:val="20"/>
                <w:lang w:eastAsia="en-AU"/>
              </w:rPr>
              <w:t>Number</w:t>
            </w:r>
            <w:r w:rsidRPr="001B4E38">
              <w:rPr>
                <w:rFonts w:asciiTheme="minorHAnsi" w:hAnsiTheme="minorHAnsi" w:cstheme="minorHAnsi"/>
                <w:sz w:val="20"/>
                <w:szCs w:val="20"/>
                <w:lang w:eastAsia="en-AU"/>
              </w:rPr>
              <w:br/>
              <w:t>of GP</w:t>
            </w:r>
            <w:r w:rsidRPr="001B4E38">
              <w:rPr>
                <w:rFonts w:asciiTheme="minorHAnsi" w:hAnsiTheme="minorHAnsi" w:cstheme="minorHAnsi"/>
                <w:sz w:val="20"/>
                <w:szCs w:val="20"/>
                <w:lang w:eastAsia="en-AU"/>
              </w:rPr>
              <w:br/>
              <w:t>referrals</w:t>
            </w:r>
          </w:p>
        </w:tc>
        <w:tc>
          <w:tcPr>
            <w:tcW w:w="1970" w:type="dxa"/>
            <w:tcBorders>
              <w:top w:val="none" w:sz="0" w:space="0" w:color="auto"/>
              <w:left w:val="none" w:sz="0" w:space="0" w:color="auto"/>
              <w:bottom w:val="none" w:sz="0" w:space="0" w:color="auto"/>
              <w:right w:val="none" w:sz="0" w:space="0" w:color="auto"/>
            </w:tcBorders>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en-AU"/>
              </w:rPr>
            </w:pPr>
            <w:r w:rsidRPr="001B4E38">
              <w:rPr>
                <w:rFonts w:asciiTheme="minorHAnsi" w:hAnsiTheme="minorHAnsi" w:cstheme="minorHAnsi"/>
                <w:sz w:val="20"/>
                <w:szCs w:val="20"/>
                <w:lang w:eastAsia="en-AU"/>
              </w:rPr>
              <w:t>Incidence of</w:t>
            </w:r>
            <w:r w:rsidRPr="001B4E38">
              <w:rPr>
                <w:rFonts w:asciiTheme="minorHAnsi" w:hAnsiTheme="minorHAnsi" w:cstheme="minorHAnsi"/>
                <w:sz w:val="20"/>
                <w:szCs w:val="20"/>
                <w:lang w:eastAsia="en-AU"/>
              </w:rPr>
              <w:br/>
              <w:t>GP referrals</w:t>
            </w:r>
            <w:r w:rsidRPr="001B4E38">
              <w:rPr>
                <w:rFonts w:asciiTheme="minorHAnsi" w:hAnsiTheme="minorHAnsi" w:cstheme="minorHAnsi"/>
                <w:sz w:val="20"/>
                <w:szCs w:val="20"/>
                <w:lang w:eastAsia="en-AU"/>
              </w:rPr>
              <w:br/>
              <w:t>(% total collections)</w:t>
            </w:r>
          </w:p>
        </w:tc>
      </w:tr>
      <w:tr w:rsidR="001B4E38" w:rsidRPr="001B4E38" w:rsidTr="009E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right w:val="none" w:sz="0" w:space="0" w:color="auto"/>
            </w:tcBorders>
            <w:shd w:val="clear" w:color="auto" w:fill="FFFFFF" w:themeFill="background1"/>
            <w:vAlign w:val="center"/>
          </w:tcPr>
          <w:p w:rsidR="001B4E38" w:rsidRPr="000E4566" w:rsidRDefault="001B4E38" w:rsidP="001B4E38">
            <w:pPr>
              <w:rPr>
                <w:rFonts w:asciiTheme="minorHAnsi" w:hAnsiTheme="minorHAnsi" w:cstheme="minorHAnsi"/>
                <w:b w:val="0"/>
                <w:color w:val="000000"/>
                <w:sz w:val="20"/>
                <w:szCs w:val="20"/>
                <w:lang w:eastAsia="en-AU"/>
              </w:rPr>
            </w:pPr>
            <w:r w:rsidRPr="000E4566">
              <w:rPr>
                <w:rFonts w:asciiTheme="minorHAnsi" w:hAnsiTheme="minorHAnsi" w:cstheme="minorHAnsi"/>
                <w:b w:val="0"/>
                <w:color w:val="000000"/>
                <w:sz w:val="20"/>
                <w:szCs w:val="20"/>
                <w:lang w:eastAsia="en-AU"/>
              </w:rPr>
              <w:t>Whole Blood</w:t>
            </w:r>
          </w:p>
        </w:tc>
        <w:tc>
          <w:tcPr>
            <w:tcW w:w="1970" w:type="dxa"/>
            <w:tcBorders>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356</w:t>
            </w:r>
          </w:p>
        </w:tc>
        <w:tc>
          <w:tcPr>
            <w:tcW w:w="1970" w:type="dxa"/>
            <w:tcBorders>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0.045</w:t>
            </w:r>
          </w:p>
        </w:tc>
        <w:tc>
          <w:tcPr>
            <w:tcW w:w="1970" w:type="dxa"/>
            <w:tcBorders>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508</w:t>
            </w:r>
          </w:p>
        </w:tc>
        <w:tc>
          <w:tcPr>
            <w:tcW w:w="1970" w:type="dxa"/>
            <w:tcBorders>
              <w:left w:val="none" w:sz="0" w:space="0" w:color="auto"/>
              <w:bottom w:val="single" w:sz="4"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0.065</w:t>
            </w:r>
          </w:p>
        </w:tc>
      </w:tr>
      <w:tr w:rsidR="001B4E38" w:rsidRPr="001B4E38" w:rsidTr="009E4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one" w:sz="0" w:space="0" w:color="auto"/>
            </w:tcBorders>
            <w:shd w:val="clear" w:color="auto" w:fill="FFFFFF" w:themeFill="background1"/>
            <w:vAlign w:val="center"/>
          </w:tcPr>
          <w:p w:rsidR="001B4E38" w:rsidRPr="000E4566" w:rsidRDefault="001B4E38" w:rsidP="001B4E38">
            <w:pPr>
              <w:rPr>
                <w:rFonts w:asciiTheme="minorHAnsi" w:hAnsiTheme="minorHAnsi" w:cstheme="minorHAnsi"/>
                <w:b w:val="0"/>
                <w:color w:val="000000"/>
                <w:sz w:val="20"/>
                <w:szCs w:val="20"/>
                <w:lang w:eastAsia="en-AU"/>
              </w:rPr>
            </w:pPr>
            <w:r w:rsidRPr="000E4566">
              <w:rPr>
                <w:rFonts w:asciiTheme="minorHAnsi" w:hAnsiTheme="minorHAnsi" w:cstheme="minorHAnsi"/>
                <w:b w:val="0"/>
                <w:color w:val="000000"/>
                <w:sz w:val="20"/>
                <w:szCs w:val="20"/>
                <w:lang w:eastAsia="en-AU"/>
              </w:rPr>
              <w:t xml:space="preserve">Plasmapheresis </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120</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0.025</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205</w:t>
            </w:r>
          </w:p>
        </w:tc>
        <w:tc>
          <w:tcPr>
            <w:tcW w:w="1970" w:type="dxa"/>
            <w:tcBorders>
              <w:top w:val="single" w:sz="4" w:space="0" w:color="auto"/>
              <w:left w:val="none" w:sz="0" w:space="0" w:color="auto"/>
              <w:bottom w:val="single" w:sz="4"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0.042</w:t>
            </w:r>
          </w:p>
        </w:tc>
      </w:tr>
      <w:tr w:rsidR="001B4E38" w:rsidRPr="001B4E38" w:rsidTr="009E4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one" w:sz="0" w:space="0" w:color="auto"/>
            </w:tcBorders>
            <w:shd w:val="clear" w:color="auto" w:fill="FFFFFF" w:themeFill="background1"/>
            <w:vAlign w:val="center"/>
          </w:tcPr>
          <w:p w:rsidR="001B4E38" w:rsidRPr="000E4566" w:rsidRDefault="001B4E38" w:rsidP="001B4E38">
            <w:pPr>
              <w:rPr>
                <w:rFonts w:asciiTheme="minorHAnsi" w:hAnsiTheme="minorHAnsi" w:cstheme="minorHAnsi"/>
                <w:b w:val="0"/>
                <w:color w:val="000000"/>
                <w:sz w:val="20"/>
                <w:szCs w:val="20"/>
                <w:lang w:eastAsia="en-AU"/>
              </w:rPr>
            </w:pPr>
            <w:proofErr w:type="spellStart"/>
            <w:r w:rsidRPr="000E4566">
              <w:rPr>
                <w:rFonts w:asciiTheme="minorHAnsi" w:hAnsiTheme="minorHAnsi" w:cstheme="minorHAnsi"/>
                <w:b w:val="0"/>
                <w:color w:val="000000"/>
                <w:sz w:val="20"/>
                <w:szCs w:val="20"/>
                <w:lang w:eastAsia="en-AU"/>
              </w:rPr>
              <w:t>Plateletpheresis</w:t>
            </w:r>
            <w:proofErr w:type="spellEnd"/>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16</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0.045</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22</w:t>
            </w:r>
          </w:p>
        </w:tc>
        <w:tc>
          <w:tcPr>
            <w:tcW w:w="1970" w:type="dxa"/>
            <w:tcBorders>
              <w:top w:val="single" w:sz="4" w:space="0" w:color="auto"/>
              <w:left w:val="none" w:sz="0" w:space="0" w:color="auto"/>
              <w:bottom w:val="single" w:sz="4" w:space="0" w:color="auto"/>
            </w:tcBorders>
            <w:shd w:val="clear" w:color="auto" w:fill="FFFFFF" w:themeFill="background1"/>
            <w:vAlign w:val="center"/>
          </w:tcPr>
          <w:p w:rsidR="001B4E38" w:rsidRPr="00C94185" w:rsidRDefault="001B4E38" w:rsidP="001B4E38">
            <w:pPr>
              <w:spacing w:after="100"/>
              <w:ind w:left="11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C94185">
              <w:rPr>
                <w:rFonts w:eastAsia="Times New Roman" w:cs="Times New Roman"/>
                <w:iCs/>
                <w:color w:val="000000" w:themeColor="text1"/>
                <w:sz w:val="20"/>
                <w:szCs w:val="20"/>
                <w:lang w:eastAsia="en-AU"/>
              </w:rPr>
              <w:t>0.062</w:t>
            </w:r>
          </w:p>
        </w:tc>
      </w:tr>
      <w:tr w:rsidR="001B4E38" w:rsidRPr="001B4E38" w:rsidTr="009E4A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right w:val="none" w:sz="0" w:space="0" w:color="auto"/>
            </w:tcBorders>
            <w:shd w:val="clear" w:color="auto" w:fill="FFFFFF" w:themeFill="background1"/>
            <w:vAlign w:val="center"/>
          </w:tcPr>
          <w:p w:rsidR="001B4E38" w:rsidRPr="000E4566" w:rsidRDefault="001B4E38" w:rsidP="001B4E38">
            <w:pPr>
              <w:rPr>
                <w:rFonts w:asciiTheme="minorHAnsi" w:hAnsiTheme="minorHAnsi" w:cstheme="minorHAnsi"/>
                <w:bCs w:val="0"/>
                <w:color w:val="000000"/>
                <w:sz w:val="20"/>
                <w:szCs w:val="20"/>
                <w:lang w:eastAsia="en-AU"/>
              </w:rPr>
            </w:pPr>
            <w:r w:rsidRPr="000E4566">
              <w:rPr>
                <w:rFonts w:asciiTheme="minorHAnsi" w:hAnsiTheme="minorHAnsi" w:cstheme="minorHAnsi"/>
                <w:color w:val="000000"/>
                <w:sz w:val="20"/>
                <w:szCs w:val="20"/>
                <w:lang w:eastAsia="en-AU"/>
              </w:rPr>
              <w:t>Total</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lang w:eastAsia="en-AU"/>
              </w:rPr>
            </w:pPr>
            <w:r w:rsidRPr="00C94185">
              <w:rPr>
                <w:rFonts w:eastAsia="Times New Roman" w:cs="Times New Roman"/>
                <w:b/>
                <w:bCs/>
                <w:iCs/>
                <w:color w:val="000000" w:themeColor="text1"/>
                <w:sz w:val="20"/>
                <w:szCs w:val="20"/>
                <w:lang w:eastAsia="en-AU"/>
              </w:rPr>
              <w:t>492</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lang w:eastAsia="en-AU"/>
              </w:rPr>
            </w:pPr>
            <w:r w:rsidRPr="00C94185">
              <w:rPr>
                <w:rFonts w:eastAsia="Times New Roman" w:cs="Times New Roman"/>
                <w:b/>
                <w:bCs/>
                <w:iCs/>
                <w:color w:val="000000" w:themeColor="text1"/>
                <w:sz w:val="20"/>
                <w:szCs w:val="20"/>
                <w:lang w:eastAsia="en-AU"/>
              </w:rPr>
              <w:t>0.038</w:t>
            </w:r>
          </w:p>
        </w:tc>
        <w:tc>
          <w:tcPr>
            <w:tcW w:w="1970" w:type="dxa"/>
            <w:tcBorders>
              <w:top w:val="single" w:sz="4" w:space="0" w:color="auto"/>
              <w:left w:val="none" w:sz="0" w:space="0" w:color="auto"/>
              <w:bottom w:val="single" w:sz="4" w:space="0" w:color="auto"/>
              <w:right w:val="none" w:sz="0"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lang w:eastAsia="en-AU"/>
              </w:rPr>
            </w:pPr>
            <w:r w:rsidRPr="00C94185">
              <w:rPr>
                <w:rFonts w:eastAsia="Times New Roman" w:cs="Times New Roman"/>
                <w:b/>
                <w:bCs/>
                <w:iCs/>
                <w:color w:val="000000" w:themeColor="text1"/>
                <w:sz w:val="20"/>
                <w:szCs w:val="20"/>
                <w:lang w:eastAsia="en-AU"/>
              </w:rPr>
              <w:t>735</w:t>
            </w:r>
          </w:p>
        </w:tc>
        <w:tc>
          <w:tcPr>
            <w:tcW w:w="1970" w:type="dxa"/>
            <w:tcBorders>
              <w:top w:val="single" w:sz="4" w:space="0" w:color="auto"/>
              <w:left w:val="none" w:sz="0" w:space="0" w:color="auto"/>
              <w:bottom w:val="single" w:sz="4" w:space="0" w:color="auto"/>
            </w:tcBorders>
            <w:shd w:val="clear" w:color="auto" w:fill="FFFFFF" w:themeFill="background1"/>
            <w:vAlign w:val="center"/>
          </w:tcPr>
          <w:p w:rsidR="001B4E38" w:rsidRPr="00C94185" w:rsidRDefault="001B4E38" w:rsidP="001B4E38">
            <w:pPr>
              <w:spacing w:after="100"/>
              <w:ind w:left="11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b/>
                <w:bCs/>
                <w:color w:val="000000"/>
                <w:sz w:val="20"/>
                <w:szCs w:val="20"/>
                <w:lang w:eastAsia="en-AU"/>
              </w:rPr>
            </w:pPr>
            <w:r w:rsidRPr="00C94185">
              <w:rPr>
                <w:rFonts w:eastAsia="Times New Roman" w:cs="Times New Roman"/>
                <w:b/>
                <w:bCs/>
                <w:iCs/>
                <w:color w:val="000000" w:themeColor="text1"/>
                <w:sz w:val="20"/>
                <w:szCs w:val="20"/>
                <w:lang w:eastAsia="en-AU"/>
              </w:rPr>
              <w:t>0.056</w:t>
            </w:r>
          </w:p>
        </w:tc>
      </w:tr>
    </w:tbl>
    <w:p w:rsidR="001B4E38" w:rsidRPr="006C3D85" w:rsidRDefault="001B4E38" w:rsidP="001B4E38">
      <w:pPr>
        <w:tabs>
          <w:tab w:val="left" w:pos="3080"/>
        </w:tabs>
        <w:spacing w:before="200"/>
        <w:rPr>
          <w:rFonts w:asciiTheme="minorHAnsi" w:eastAsiaTheme="minorHAnsi" w:hAnsiTheme="minorHAnsi" w:cstheme="minorBidi"/>
          <w:iCs/>
        </w:rPr>
      </w:pPr>
      <w:bookmarkStart w:id="154" w:name="_Ref359342107"/>
      <w:bookmarkStart w:id="155" w:name="_Toc420835705"/>
      <w:r w:rsidRPr="001B4E38">
        <w:rPr>
          <w:rFonts w:asciiTheme="minorHAnsi" w:eastAsiaTheme="minorHAnsi" w:hAnsiTheme="minorHAnsi" w:cs="Arial"/>
          <w:iCs/>
          <w:color w:val="000000" w:themeColor="text1"/>
        </w:rPr>
        <w:t xml:space="preserve">Hospital referral rates have been stable over the past 4 years (refer to </w:t>
      </w:r>
      <w:r w:rsidR="00C747D3" w:rsidRPr="00EC4AF3">
        <w:rPr>
          <w:rFonts w:asciiTheme="minorHAnsi" w:eastAsiaTheme="minorHAnsi" w:hAnsiTheme="minorHAnsi" w:cs="Arial"/>
          <w:iCs/>
          <w:color w:val="000000" w:themeColor="text1"/>
        </w:rPr>
        <w:fldChar w:fldCharType="begin"/>
      </w:r>
      <w:r w:rsidR="00C747D3" w:rsidRPr="00C747D3">
        <w:rPr>
          <w:rFonts w:asciiTheme="minorHAnsi" w:eastAsiaTheme="minorHAnsi" w:hAnsiTheme="minorHAnsi" w:cs="Arial"/>
          <w:iCs/>
          <w:color w:val="000000" w:themeColor="text1"/>
        </w:rPr>
        <w:instrText xml:space="preserve"> REF _Ref451407626 \h  \* MERGEFORMAT </w:instrText>
      </w:r>
      <w:r w:rsidR="00C747D3" w:rsidRPr="00EC4AF3">
        <w:rPr>
          <w:rFonts w:asciiTheme="minorHAnsi" w:eastAsiaTheme="minorHAnsi" w:hAnsiTheme="minorHAnsi" w:cs="Arial"/>
          <w:iCs/>
          <w:color w:val="000000" w:themeColor="text1"/>
        </w:rPr>
      </w:r>
      <w:r w:rsidR="00C747D3" w:rsidRPr="00EC4AF3">
        <w:rPr>
          <w:rFonts w:asciiTheme="minorHAnsi" w:eastAsiaTheme="minorHAnsi" w:hAnsiTheme="minorHAnsi" w:cs="Arial"/>
          <w:iCs/>
          <w:color w:val="000000" w:themeColor="text1"/>
        </w:rPr>
        <w:fldChar w:fldCharType="separate"/>
      </w:r>
      <w:r w:rsidR="000010BC" w:rsidRPr="000010BC">
        <w:rPr>
          <w:bCs/>
        </w:rPr>
        <w:t xml:space="preserve">Table </w:t>
      </w:r>
      <w:r w:rsidR="000010BC" w:rsidRPr="000010BC">
        <w:rPr>
          <w:bCs/>
          <w:noProof/>
        </w:rPr>
        <w:t>29</w:t>
      </w:r>
      <w:r w:rsidR="00C747D3" w:rsidRPr="00EC4AF3">
        <w:rPr>
          <w:rFonts w:asciiTheme="minorHAnsi" w:eastAsiaTheme="minorHAnsi" w:hAnsiTheme="minorHAnsi" w:cs="Arial"/>
          <w:iCs/>
          <w:color w:val="000000" w:themeColor="text1"/>
        </w:rPr>
        <w:fldChar w:fldCharType="end"/>
      </w:r>
      <w:r w:rsidR="00C747D3">
        <w:rPr>
          <w:rFonts w:asciiTheme="minorHAnsi" w:eastAsiaTheme="minorHAnsi" w:hAnsiTheme="minorHAnsi" w:cs="Arial"/>
          <w:iCs/>
          <w:color w:val="000000" w:themeColor="text1"/>
        </w:rPr>
        <w:t xml:space="preserve"> </w:t>
      </w:r>
      <w:r w:rsidRPr="001B4E38">
        <w:rPr>
          <w:rFonts w:asciiTheme="minorHAnsi" w:eastAsiaTheme="minorHAnsi" w:hAnsiTheme="minorHAnsi" w:cs="Arial"/>
          <w:iCs/>
          <w:color w:val="000000" w:themeColor="text1"/>
        </w:rPr>
        <w:t>below</w:t>
      </w:r>
      <w:r w:rsidRPr="006C3D85">
        <w:rPr>
          <w:rFonts w:asciiTheme="minorHAnsi" w:eastAsiaTheme="minorHAnsi" w:hAnsiTheme="minorHAnsi" w:cs="Arial"/>
          <w:iCs/>
        </w:rPr>
        <w:t>).</w:t>
      </w:r>
    </w:p>
    <w:p w:rsidR="001B4E38" w:rsidRPr="003A25C4" w:rsidRDefault="001B4E38" w:rsidP="003A25C4">
      <w:pPr>
        <w:pStyle w:val="Caption"/>
      </w:pPr>
      <w:bookmarkStart w:id="156" w:name="_Ref451407626"/>
      <w:bookmarkStart w:id="157" w:name="_Toc459636869"/>
      <w:r w:rsidRPr="003A25C4">
        <w:t xml:space="preserve">Table </w:t>
      </w:r>
      <w:fldSimple w:instr=" SEQ Table \* ARABIC ">
        <w:r w:rsidR="000010BC">
          <w:rPr>
            <w:noProof/>
          </w:rPr>
          <w:t>29</w:t>
        </w:r>
      </w:fldSimple>
      <w:bookmarkEnd w:id="154"/>
      <w:bookmarkEnd w:id="156"/>
      <w:r w:rsidRPr="003A25C4">
        <w:t xml:space="preserve">: </w:t>
      </w:r>
      <w:bookmarkEnd w:id="155"/>
      <w:r w:rsidRPr="003A25C4">
        <w:t>The rate (per 10,000 donations) and total numbers of adverse donor reactions requiring hospital attendance, 2010</w:t>
      </w:r>
      <w:r w:rsidR="000E4566">
        <w:noBreakHyphen/>
      </w:r>
      <w:r w:rsidRPr="003A25C4">
        <w:t>11 to 2013-14</w:t>
      </w:r>
      <w:bookmarkEnd w:id="157"/>
    </w:p>
    <w:tbl>
      <w:tblPr>
        <w:tblStyle w:val="MediumShading1-Accent2"/>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60"/>
        <w:gridCol w:w="1644"/>
        <w:gridCol w:w="1644"/>
        <w:gridCol w:w="1745"/>
        <w:gridCol w:w="1771"/>
      </w:tblGrid>
      <w:tr w:rsidR="001B4E38" w:rsidRPr="001B4E38" w:rsidTr="00C941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FF0000"/>
            <w:vAlign w:val="center"/>
          </w:tcPr>
          <w:p w:rsidR="001B4E38" w:rsidRPr="001B4E38" w:rsidRDefault="001B4E38" w:rsidP="001B4E38">
            <w:pPr>
              <w:jc w:val="center"/>
              <w:rPr>
                <w:rFonts w:asciiTheme="minorHAnsi" w:hAnsiTheme="minorHAnsi" w:cstheme="minorHAnsi"/>
                <w:b w:val="0"/>
                <w:sz w:val="20"/>
                <w:szCs w:val="20"/>
                <w:lang w:eastAsia="en-AU"/>
              </w:rPr>
            </w:pPr>
          </w:p>
        </w:tc>
        <w:tc>
          <w:tcPr>
            <w:tcW w:w="1644" w:type="dxa"/>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B4E38">
              <w:rPr>
                <w:rFonts w:asciiTheme="minorHAnsi" w:hAnsiTheme="minorHAnsi"/>
                <w:sz w:val="20"/>
                <w:szCs w:val="20"/>
              </w:rPr>
              <w:t>2010–11</w:t>
            </w:r>
          </w:p>
        </w:tc>
        <w:tc>
          <w:tcPr>
            <w:tcW w:w="1644" w:type="dxa"/>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B4E38">
              <w:rPr>
                <w:rFonts w:asciiTheme="minorHAnsi" w:hAnsiTheme="minorHAnsi"/>
                <w:sz w:val="20"/>
                <w:szCs w:val="20"/>
              </w:rPr>
              <w:t>2011–12</w:t>
            </w:r>
          </w:p>
        </w:tc>
        <w:tc>
          <w:tcPr>
            <w:tcW w:w="1745" w:type="dxa"/>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B4E38">
              <w:rPr>
                <w:rFonts w:asciiTheme="minorHAnsi" w:hAnsiTheme="minorHAnsi"/>
                <w:sz w:val="20"/>
                <w:szCs w:val="20"/>
              </w:rPr>
              <w:t>2012–13</w:t>
            </w:r>
          </w:p>
        </w:tc>
        <w:tc>
          <w:tcPr>
            <w:tcW w:w="1771" w:type="dxa"/>
            <w:shd w:val="clear" w:color="auto" w:fill="FF0000"/>
            <w:vAlign w:val="center"/>
          </w:tcPr>
          <w:p w:rsidR="001B4E38" w:rsidRPr="001B4E38" w:rsidRDefault="001B4E38" w:rsidP="001B4E3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1B4E38">
              <w:rPr>
                <w:rFonts w:asciiTheme="minorHAnsi" w:hAnsiTheme="minorHAnsi"/>
                <w:sz w:val="20"/>
                <w:szCs w:val="20"/>
              </w:rPr>
              <w:t>2013–14</w:t>
            </w:r>
          </w:p>
        </w:tc>
      </w:tr>
      <w:tr w:rsidR="001B4E38" w:rsidRPr="001B4E38" w:rsidTr="00C941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uto"/>
            </w:tcBorders>
            <w:shd w:val="clear" w:color="auto" w:fill="FFFFFF" w:themeFill="background1"/>
            <w:vAlign w:val="center"/>
          </w:tcPr>
          <w:p w:rsidR="001B4E38" w:rsidRPr="000E4566" w:rsidRDefault="001B4E38" w:rsidP="001B4E38">
            <w:pPr>
              <w:rPr>
                <w:rFonts w:asciiTheme="minorHAnsi" w:hAnsiTheme="minorHAnsi" w:cstheme="minorHAnsi"/>
                <w:b w:val="0"/>
                <w:color w:val="000000"/>
                <w:sz w:val="20"/>
                <w:szCs w:val="20"/>
                <w:lang w:eastAsia="en-AU"/>
              </w:rPr>
            </w:pPr>
            <w:r w:rsidRPr="000E4566">
              <w:rPr>
                <w:rFonts w:asciiTheme="minorHAnsi" w:hAnsiTheme="minorHAnsi" w:cstheme="minorHAnsi"/>
                <w:b w:val="0"/>
                <w:color w:val="000000"/>
                <w:sz w:val="20"/>
                <w:szCs w:val="20"/>
                <w:lang w:eastAsia="en-AU"/>
              </w:rPr>
              <w:t>Whole Blood</w:t>
            </w:r>
          </w:p>
        </w:tc>
        <w:tc>
          <w:tcPr>
            <w:tcW w:w="1644" w:type="dxa"/>
            <w:tcBorders>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3 (309)</w:t>
            </w:r>
          </w:p>
        </w:tc>
        <w:tc>
          <w:tcPr>
            <w:tcW w:w="1644" w:type="dxa"/>
            <w:tcBorders>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4 (351)</w:t>
            </w:r>
          </w:p>
        </w:tc>
        <w:tc>
          <w:tcPr>
            <w:tcW w:w="1745" w:type="dxa"/>
            <w:tcBorders>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4 (348)</w:t>
            </w:r>
          </w:p>
        </w:tc>
        <w:tc>
          <w:tcPr>
            <w:tcW w:w="1771" w:type="dxa"/>
            <w:tcBorders>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5 (356)</w:t>
            </w:r>
          </w:p>
        </w:tc>
      </w:tr>
      <w:tr w:rsidR="001B4E38" w:rsidRPr="001B4E38" w:rsidTr="00C9418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FFFFFF" w:themeFill="background1"/>
            <w:vAlign w:val="center"/>
          </w:tcPr>
          <w:p w:rsidR="001B4E38" w:rsidRPr="000E4566" w:rsidRDefault="001B4E38" w:rsidP="001B4E38">
            <w:pPr>
              <w:rPr>
                <w:rFonts w:asciiTheme="minorHAnsi" w:hAnsiTheme="minorHAnsi" w:cstheme="minorHAnsi"/>
                <w:b w:val="0"/>
                <w:color w:val="000000"/>
                <w:sz w:val="20"/>
                <w:szCs w:val="20"/>
                <w:lang w:eastAsia="en-AU"/>
              </w:rPr>
            </w:pPr>
            <w:r w:rsidRPr="000E4566">
              <w:rPr>
                <w:rFonts w:asciiTheme="minorHAnsi" w:hAnsiTheme="minorHAnsi" w:cstheme="minorHAnsi"/>
                <w:b w:val="0"/>
                <w:color w:val="000000"/>
                <w:sz w:val="20"/>
                <w:szCs w:val="20"/>
                <w:lang w:eastAsia="en-AU"/>
              </w:rPr>
              <w:t xml:space="preserve">Plasmapheresis </w:t>
            </w:r>
          </w:p>
        </w:tc>
        <w:tc>
          <w:tcPr>
            <w:tcW w:w="1644"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1 (37)</w:t>
            </w:r>
          </w:p>
        </w:tc>
        <w:tc>
          <w:tcPr>
            <w:tcW w:w="1644"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2 (65)</w:t>
            </w:r>
          </w:p>
        </w:tc>
        <w:tc>
          <w:tcPr>
            <w:tcW w:w="1745"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2 (105)</w:t>
            </w:r>
          </w:p>
        </w:tc>
        <w:tc>
          <w:tcPr>
            <w:tcW w:w="1771"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2 (120)</w:t>
            </w:r>
          </w:p>
        </w:tc>
      </w:tr>
      <w:tr w:rsidR="001B4E38" w:rsidRPr="001B4E38" w:rsidTr="00C941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bottom w:val="single" w:sz="4" w:space="0" w:color="auto"/>
            </w:tcBorders>
            <w:shd w:val="clear" w:color="auto" w:fill="FFFFFF" w:themeFill="background1"/>
            <w:vAlign w:val="center"/>
          </w:tcPr>
          <w:p w:rsidR="001B4E38" w:rsidRPr="000E4566" w:rsidRDefault="001B4E38" w:rsidP="001B4E38">
            <w:pPr>
              <w:rPr>
                <w:rFonts w:asciiTheme="minorHAnsi" w:hAnsiTheme="minorHAnsi" w:cstheme="minorHAnsi"/>
                <w:b w:val="0"/>
                <w:color w:val="000000"/>
                <w:sz w:val="20"/>
                <w:szCs w:val="20"/>
                <w:lang w:eastAsia="en-AU"/>
              </w:rPr>
            </w:pPr>
            <w:proofErr w:type="spellStart"/>
            <w:r w:rsidRPr="000E4566">
              <w:rPr>
                <w:rFonts w:asciiTheme="minorHAnsi" w:hAnsiTheme="minorHAnsi" w:cstheme="minorHAnsi"/>
                <w:b w:val="0"/>
                <w:color w:val="000000"/>
                <w:sz w:val="20"/>
                <w:szCs w:val="20"/>
                <w:lang w:eastAsia="en-AU"/>
              </w:rPr>
              <w:t>Plateletpheresis</w:t>
            </w:r>
            <w:proofErr w:type="spellEnd"/>
          </w:p>
        </w:tc>
        <w:tc>
          <w:tcPr>
            <w:tcW w:w="1644"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2 (9)</w:t>
            </w:r>
          </w:p>
        </w:tc>
        <w:tc>
          <w:tcPr>
            <w:tcW w:w="1644"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3 (12)</w:t>
            </w:r>
          </w:p>
        </w:tc>
        <w:tc>
          <w:tcPr>
            <w:tcW w:w="1745"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5 (19)</w:t>
            </w:r>
          </w:p>
        </w:tc>
        <w:tc>
          <w:tcPr>
            <w:tcW w:w="1771" w:type="dxa"/>
            <w:tcBorders>
              <w:top w:val="single" w:sz="4" w:space="0" w:color="auto"/>
              <w:bottom w:val="single" w:sz="4" w:space="0" w:color="auto"/>
            </w:tcBorders>
            <w:shd w:val="clear" w:color="auto" w:fill="FFFFFF" w:themeFill="background1"/>
            <w:vAlign w:val="center"/>
          </w:tcPr>
          <w:p w:rsidR="001B4E38" w:rsidRPr="00EB6448" w:rsidRDefault="001B4E38" w:rsidP="00EB6448">
            <w:pPr>
              <w:spacing w:after="100"/>
              <w:ind w:left="60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B6448">
              <w:rPr>
                <w:rFonts w:eastAsia="Times New Roman" w:cs="Times New Roman"/>
                <w:color w:val="000000"/>
                <w:sz w:val="20"/>
                <w:szCs w:val="20"/>
                <w:lang w:eastAsia="en-AU"/>
              </w:rPr>
              <w:t>4 (16)</w:t>
            </w:r>
          </w:p>
        </w:tc>
      </w:tr>
    </w:tbl>
    <w:p w:rsidR="000740AA" w:rsidRPr="00875581" w:rsidRDefault="000740AA" w:rsidP="003B18A9">
      <w:pPr>
        <w:spacing w:before="40" w:line="180" w:lineRule="atLeast"/>
        <w:rPr>
          <w:sz w:val="18"/>
          <w:szCs w:val="18"/>
        </w:rPr>
      </w:pPr>
      <w:r w:rsidRPr="00875581">
        <w:rPr>
          <w:sz w:val="18"/>
          <w:szCs w:val="18"/>
        </w:rPr>
        <w:t xml:space="preserve">Note: The figures in this table will not agree </w:t>
      </w:r>
      <w:r w:rsidR="00437C01">
        <w:rPr>
          <w:sz w:val="18"/>
          <w:szCs w:val="18"/>
        </w:rPr>
        <w:t>with</w:t>
      </w:r>
      <w:r w:rsidR="00437C01" w:rsidRPr="00875581">
        <w:rPr>
          <w:sz w:val="18"/>
          <w:szCs w:val="18"/>
        </w:rPr>
        <w:t xml:space="preserve"> </w:t>
      </w:r>
      <w:r w:rsidRPr="00875581">
        <w:rPr>
          <w:sz w:val="18"/>
          <w:szCs w:val="18"/>
        </w:rPr>
        <w:t>those reported in the previous report due</w:t>
      </w:r>
      <w:r w:rsidR="003B18A9" w:rsidRPr="00875581">
        <w:rPr>
          <w:sz w:val="18"/>
          <w:szCs w:val="18"/>
        </w:rPr>
        <w:t xml:space="preserve"> to the</w:t>
      </w:r>
      <w:r w:rsidRPr="00875581">
        <w:rPr>
          <w:sz w:val="18"/>
          <w:szCs w:val="18"/>
        </w:rPr>
        <w:t xml:space="preserve"> updated data on i</w:t>
      </w:r>
      <w:r w:rsidR="003B18A9" w:rsidRPr="00875581">
        <w:rPr>
          <w:sz w:val="18"/>
          <w:szCs w:val="18"/>
        </w:rPr>
        <w:t xml:space="preserve">ncidents that happened in previous </w:t>
      </w:r>
      <w:r w:rsidRPr="00875581">
        <w:rPr>
          <w:sz w:val="18"/>
          <w:szCs w:val="18"/>
        </w:rPr>
        <w:t>years</w:t>
      </w:r>
    </w:p>
    <w:p w:rsidR="001B4E38" w:rsidRPr="001B4E38" w:rsidRDefault="001B4E38" w:rsidP="00875581">
      <w:r w:rsidRPr="001B4E38">
        <w:t xml:space="preserve">The small increase in the rate of hospital attendance following 2011-12 is the result of improved reporting by donors </w:t>
      </w:r>
      <w:r w:rsidR="004056B6">
        <w:t>to</w:t>
      </w:r>
      <w:r w:rsidRPr="001B4E38">
        <w:t xml:space="preserve"> staff (a combination of the donor wellness question and improved follow up by medical officers as a result of the enhanced reporting via the electronic database). It also reflects a change in donor centre design – previously there was a dedicated “reaction room” in most small and medium donor centres where donors who had experienced a donation reaction could rest, sometimes for several hours, until they had recovered. New donor centres do not have this capacity; if a donor has not recovered from their reaction within a maximum of 90 minutes, they are generally referred to hospital.</w:t>
      </w:r>
    </w:p>
    <w:p w:rsidR="001B4E38" w:rsidRPr="001B4E38" w:rsidRDefault="001B4E38" w:rsidP="001B4E38">
      <w:pPr>
        <w:spacing w:before="200"/>
        <w:rPr>
          <w:b/>
        </w:rPr>
      </w:pPr>
      <w:r w:rsidRPr="001B4E38">
        <w:rPr>
          <w:b/>
        </w:rPr>
        <w:t>Donor gender and age and adverse reactions to donation</w:t>
      </w:r>
    </w:p>
    <w:p w:rsidR="001B4E38" w:rsidRPr="001B4E38" w:rsidRDefault="001B4E38" w:rsidP="00875581">
      <w:r w:rsidRPr="001B4E38">
        <w:t>The frequency of donation</w:t>
      </w:r>
      <w:r w:rsidR="00100A0F">
        <w:t>-</w:t>
      </w:r>
      <w:r w:rsidRPr="001B4E38">
        <w:t xml:space="preserve">associated events is higher in younger blood donors and in female blood donors. Donors up to the age of 30 years have a significantly higher risk of experiencing an adverse reaction than donors over the age of 30 years. There is a steady reduction in the likelihood of a donation reaction with increasing age (See </w:t>
      </w:r>
      <w:r w:rsidR="00C747D3" w:rsidRPr="00EC4AF3">
        <w:fldChar w:fldCharType="begin"/>
      </w:r>
      <w:r w:rsidR="00C747D3" w:rsidRPr="00C747D3">
        <w:instrText xml:space="preserve"> REF _Ref451407738 \h  \* MERGEFORMAT </w:instrText>
      </w:r>
      <w:r w:rsidR="00C747D3" w:rsidRPr="00EC4AF3">
        <w:fldChar w:fldCharType="separate"/>
      </w:r>
      <w:r w:rsidR="000010BC" w:rsidRPr="003A25C4">
        <w:t xml:space="preserve">Table </w:t>
      </w:r>
      <w:r w:rsidR="000010BC">
        <w:rPr>
          <w:noProof/>
        </w:rPr>
        <w:t>30</w:t>
      </w:r>
      <w:r w:rsidR="00C747D3" w:rsidRPr="00EC4AF3">
        <w:fldChar w:fldCharType="end"/>
      </w:r>
      <w:r w:rsidRPr="00C747D3">
        <w:t xml:space="preserve"> and </w:t>
      </w:r>
      <w:r w:rsidRPr="00EC4AF3">
        <w:fldChar w:fldCharType="begin"/>
      </w:r>
      <w:r w:rsidRPr="00C747D3">
        <w:instrText xml:space="preserve"> REF _Ref403647594 \h  \* MERGEFORMAT </w:instrText>
      </w:r>
      <w:r w:rsidRPr="00EC4AF3">
        <w:fldChar w:fldCharType="separate"/>
      </w:r>
      <w:r w:rsidR="000010BC" w:rsidRPr="003A25C4">
        <w:t xml:space="preserve">Table </w:t>
      </w:r>
      <w:r w:rsidR="000010BC">
        <w:t>31</w:t>
      </w:r>
      <w:r w:rsidRPr="00EC4AF3">
        <w:fldChar w:fldCharType="end"/>
      </w:r>
      <w:r w:rsidRPr="001B4E38">
        <w:t xml:space="preserve"> below). The frequency of reactions in 16-17 year old females is one in every eight donations, and in 16-17 year old males, one in every 13 donations. The majority of the donation reactions in younger donors are characterised by brief dizziness, associated with sweating and nausea, usually lasting for less than</w:t>
      </w:r>
      <w:r w:rsidR="00100A0F">
        <w:t xml:space="preserve"> </w:t>
      </w:r>
      <w:r w:rsidRPr="001B4E38">
        <w:t xml:space="preserve">15 minutes. This trend is consistent with international published data. The higher rate of adverse events in this age group prompted a policy change to limit donations from this age group to one donation per annum. Safety and wellbeing of youth donors is a key area </w:t>
      </w:r>
      <w:r w:rsidR="006C3D85">
        <w:t>of focus for the Blood Service.</w:t>
      </w:r>
    </w:p>
    <w:p w:rsidR="00C747D3" w:rsidRDefault="00C747D3">
      <w:pPr>
        <w:spacing w:line="276" w:lineRule="auto"/>
        <w:rPr>
          <w:b/>
          <w:sz w:val="18"/>
          <w:szCs w:val="18"/>
        </w:rPr>
      </w:pPr>
      <w:bookmarkStart w:id="158" w:name="_Ref398651266"/>
      <w:bookmarkStart w:id="159" w:name="_Toc420835707"/>
      <w:r>
        <w:rPr>
          <w:b/>
          <w:sz w:val="18"/>
          <w:szCs w:val="18"/>
        </w:rPr>
        <w:br w:type="page"/>
      </w:r>
    </w:p>
    <w:p w:rsidR="001B4E38" w:rsidRPr="003A25C4" w:rsidRDefault="001B4E38" w:rsidP="003A25C4">
      <w:pPr>
        <w:pStyle w:val="Caption"/>
      </w:pPr>
      <w:bookmarkStart w:id="160" w:name="_Ref451407738"/>
      <w:bookmarkStart w:id="161" w:name="_Toc459636870"/>
      <w:r w:rsidRPr="003A25C4">
        <w:lastRenderedPageBreak/>
        <w:t xml:space="preserve">Table </w:t>
      </w:r>
      <w:fldSimple w:instr=" SEQ Table \* ARABIC ">
        <w:r w:rsidR="000010BC">
          <w:rPr>
            <w:noProof/>
          </w:rPr>
          <w:t>30</w:t>
        </w:r>
      </w:fldSimple>
      <w:bookmarkEnd w:id="158"/>
      <w:bookmarkEnd w:id="160"/>
      <w:r w:rsidRPr="003A25C4">
        <w:t xml:space="preserve">: </w:t>
      </w:r>
      <w:bookmarkEnd w:id="159"/>
      <w:r w:rsidRPr="003A25C4">
        <w:t>Adverse donation reactions in female donors by age, including odds ratio</w:t>
      </w:r>
      <w:bookmarkEnd w:id="161"/>
    </w:p>
    <w:tbl>
      <w:tblPr>
        <w:tblW w:w="8662" w:type="dxa"/>
        <w:tblInd w:w="93" w:type="dxa"/>
        <w:tblLook w:val="04A0" w:firstRow="1" w:lastRow="0" w:firstColumn="1" w:lastColumn="0" w:noHBand="0" w:noVBand="1"/>
      </w:tblPr>
      <w:tblGrid>
        <w:gridCol w:w="1149"/>
        <w:gridCol w:w="284"/>
        <w:gridCol w:w="1417"/>
        <w:gridCol w:w="142"/>
        <w:gridCol w:w="1418"/>
        <w:gridCol w:w="90"/>
        <w:gridCol w:w="1030"/>
        <w:gridCol w:w="90"/>
        <w:gridCol w:w="1030"/>
        <w:gridCol w:w="169"/>
        <w:gridCol w:w="1753"/>
        <w:gridCol w:w="90"/>
      </w:tblGrid>
      <w:tr w:rsidR="001B4E38" w:rsidRPr="001B4E38" w:rsidTr="009E4A39">
        <w:trPr>
          <w:trHeight w:val="510"/>
        </w:trPr>
        <w:tc>
          <w:tcPr>
            <w:tcW w:w="1433" w:type="dxa"/>
            <w:gridSpan w:val="2"/>
            <w:tcBorders>
              <w:top w:val="nil"/>
              <w:left w:val="nil"/>
              <w:right w:val="nil"/>
            </w:tcBorders>
            <w:shd w:val="clear" w:color="000000" w:fill="FF0000"/>
            <w:vAlign w:val="center"/>
            <w:hideMark/>
          </w:tcPr>
          <w:p w:rsidR="001B4E38" w:rsidRPr="001B4E38" w:rsidRDefault="001B4E38" w:rsidP="001B4E38">
            <w:pPr>
              <w:spacing w:after="0"/>
              <w:rPr>
                <w:rFonts w:eastAsia="Times New Roman"/>
                <w:b/>
                <w:bCs/>
                <w:color w:val="FFFFFF"/>
                <w:sz w:val="20"/>
                <w:szCs w:val="20"/>
                <w:lang w:eastAsia="en-AU"/>
              </w:rPr>
            </w:pPr>
            <w:r w:rsidRPr="001B4E38">
              <w:rPr>
                <w:rFonts w:eastAsia="Times New Roman"/>
                <w:b/>
                <w:bCs/>
                <w:color w:val="FFFFFF"/>
                <w:sz w:val="20"/>
                <w:szCs w:val="20"/>
                <w:lang w:eastAsia="en-AU"/>
              </w:rPr>
              <w:t>Age group</w:t>
            </w:r>
          </w:p>
        </w:tc>
        <w:tc>
          <w:tcPr>
            <w:tcW w:w="1559"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Number of</w:t>
            </w:r>
            <w:r w:rsidRPr="001B4E38">
              <w:rPr>
                <w:rFonts w:eastAsia="Times New Roman"/>
                <w:b/>
                <w:bCs/>
                <w:color w:val="FFFFFF"/>
                <w:sz w:val="20"/>
                <w:szCs w:val="20"/>
                <w:lang w:eastAsia="en-AU"/>
              </w:rPr>
              <w:br/>
              <w:t>events</w:t>
            </w:r>
          </w:p>
        </w:tc>
        <w:tc>
          <w:tcPr>
            <w:tcW w:w="1508"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Total donors</w:t>
            </w:r>
            <w:r w:rsidRPr="001B4E38">
              <w:rPr>
                <w:rFonts w:eastAsia="Times New Roman"/>
                <w:b/>
                <w:bCs/>
                <w:color w:val="FFFFFF"/>
                <w:sz w:val="20"/>
                <w:szCs w:val="20"/>
                <w:lang w:eastAsia="en-AU"/>
              </w:rPr>
              <w:br/>
              <w:t>in age group</w:t>
            </w:r>
          </w:p>
        </w:tc>
        <w:tc>
          <w:tcPr>
            <w:tcW w:w="1120"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Frequency</w:t>
            </w:r>
          </w:p>
        </w:tc>
        <w:tc>
          <w:tcPr>
            <w:tcW w:w="1199"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Rate/1000</w:t>
            </w:r>
            <w:r w:rsidRPr="001B4E38">
              <w:rPr>
                <w:rFonts w:eastAsia="Times New Roman"/>
                <w:b/>
                <w:bCs/>
                <w:color w:val="FFFFFF"/>
                <w:sz w:val="20"/>
                <w:szCs w:val="20"/>
                <w:lang w:eastAsia="en-AU"/>
              </w:rPr>
              <w:br/>
              <w:t>donations</w:t>
            </w:r>
          </w:p>
        </w:tc>
        <w:tc>
          <w:tcPr>
            <w:tcW w:w="1843" w:type="dxa"/>
            <w:gridSpan w:val="2"/>
            <w:tcBorders>
              <w:top w:val="nil"/>
              <w:left w:val="nil"/>
              <w:right w:val="nil"/>
            </w:tcBorders>
            <w:shd w:val="clear" w:color="000000" w:fill="FF0000"/>
            <w:vAlign w:val="center"/>
            <w:hideMark/>
          </w:tcPr>
          <w:p w:rsidR="001B4E38" w:rsidRPr="001B4E38" w:rsidRDefault="001B4E38" w:rsidP="001B4E38">
            <w:pPr>
              <w:spacing w:after="0"/>
              <w:jc w:val="center"/>
              <w:rPr>
                <w:rFonts w:eastAsia="Times New Roman"/>
                <w:b/>
                <w:bCs/>
                <w:color w:val="FFFFFF"/>
                <w:sz w:val="20"/>
                <w:szCs w:val="20"/>
                <w:lang w:eastAsia="en-AU"/>
              </w:rPr>
            </w:pPr>
            <w:r w:rsidRPr="001B4E38">
              <w:rPr>
                <w:rFonts w:eastAsia="Times New Roman"/>
                <w:b/>
                <w:bCs/>
                <w:color w:val="FFFFFF"/>
                <w:sz w:val="20"/>
                <w:szCs w:val="20"/>
                <w:lang w:eastAsia="en-AU"/>
              </w:rPr>
              <w:t>Odds ratio</w:t>
            </w:r>
            <w:r w:rsidRPr="001B4E38">
              <w:rPr>
                <w:rFonts w:eastAsia="Times New Roman"/>
                <w:b/>
                <w:bCs/>
                <w:color w:val="FFFFFF"/>
                <w:sz w:val="20"/>
                <w:szCs w:val="20"/>
                <w:lang w:eastAsia="en-AU"/>
              </w:rPr>
              <w:br/>
              <w:t>(95% CI)</w:t>
            </w:r>
          </w:p>
        </w:tc>
      </w:tr>
      <w:tr w:rsidR="001B4E38" w:rsidRPr="001B4E38" w:rsidTr="00875581">
        <w:trPr>
          <w:gridAfter w:val="1"/>
          <w:wAfter w:w="90" w:type="dxa"/>
          <w:trHeight w:val="300"/>
        </w:trPr>
        <w:tc>
          <w:tcPr>
            <w:tcW w:w="1149" w:type="dxa"/>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16–17yrs</w:t>
            </w:r>
          </w:p>
        </w:tc>
        <w:tc>
          <w:tcPr>
            <w:tcW w:w="1701"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1,866</w:t>
            </w:r>
          </w:p>
        </w:tc>
        <w:tc>
          <w:tcPr>
            <w:tcW w:w="1560"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14,868</w:t>
            </w:r>
          </w:p>
        </w:tc>
        <w:tc>
          <w:tcPr>
            <w:tcW w:w="1120"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1:8</w:t>
            </w:r>
          </w:p>
        </w:tc>
        <w:tc>
          <w:tcPr>
            <w:tcW w:w="1120"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126</w:t>
            </w:r>
          </w:p>
        </w:tc>
        <w:tc>
          <w:tcPr>
            <w:tcW w:w="1922" w:type="dxa"/>
            <w:gridSpan w:val="2"/>
            <w:tcBorders>
              <w:top w:val="nil"/>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3.8499             (3.6602 - 4.0495)</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18–20yrs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2,776</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32,718</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1:12</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85</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2.5234            (2.4208 - 2.6302)</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21–23yrs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2,554</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38,209</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1:15</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67</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1.9060             (1.8264 - 1.9890)</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24–30yrs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4,080</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78,241</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1:19</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52</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1.4704              (1.4199 - 1.5226)</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31–40yrs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2,796</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77,943</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1:28</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36</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0.9255             (0.8889 - 0.9637)</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41–50yrs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2,899</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105,275</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1:36</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28</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0.6676            (0.6416 - 0.6946)</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51–60yrs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3,179</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132,205</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1:42</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24</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0.5534             (0.5337 - 0.5760)</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61–70yrs</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1,600</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83,897</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1:52</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19</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0.4482             (0.4258 - 0.4719)</w:t>
            </w:r>
          </w:p>
        </w:tc>
      </w:tr>
      <w:tr w:rsidR="001B4E38" w:rsidRPr="001B4E38" w:rsidTr="00875581">
        <w:trPr>
          <w:gridAfter w:val="1"/>
          <w:wAfter w:w="90" w:type="dxa"/>
          <w:trHeight w:val="300"/>
        </w:trPr>
        <w:tc>
          <w:tcPr>
            <w:tcW w:w="1149"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71+</w:t>
            </w:r>
          </w:p>
        </w:tc>
        <w:tc>
          <w:tcPr>
            <w:tcW w:w="1701"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117</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8,055</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1:69</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15</w:t>
            </w:r>
          </w:p>
        </w:tc>
        <w:tc>
          <w:tcPr>
            <w:tcW w:w="1922" w:type="dxa"/>
            <w:gridSpan w:val="2"/>
            <w:tcBorders>
              <w:top w:val="single" w:sz="6" w:space="0" w:color="auto"/>
              <w:left w:val="nil"/>
              <w:bottom w:val="single" w:sz="6"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0.3680             (0.3065 - 0.4420)</w:t>
            </w:r>
          </w:p>
        </w:tc>
      </w:tr>
      <w:tr w:rsidR="001B4E38" w:rsidRPr="001B4E38" w:rsidTr="00875581">
        <w:trPr>
          <w:gridAfter w:val="1"/>
          <w:wAfter w:w="90" w:type="dxa"/>
          <w:trHeight w:val="300"/>
        </w:trPr>
        <w:tc>
          <w:tcPr>
            <w:tcW w:w="1149" w:type="dxa"/>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line="240" w:lineRule="exact"/>
              <w:rPr>
                <w:rFonts w:eastAsia="Times New Roman"/>
                <w:b/>
                <w:bCs/>
                <w:color w:val="000000"/>
                <w:sz w:val="20"/>
                <w:szCs w:val="20"/>
                <w:lang w:eastAsia="en-AU"/>
              </w:rPr>
            </w:pPr>
            <w:r w:rsidRPr="001B4E38">
              <w:rPr>
                <w:rFonts w:eastAsia="Times New Roman"/>
                <w:b/>
                <w:bCs/>
                <w:color w:val="000000"/>
                <w:sz w:val="20"/>
                <w:szCs w:val="20"/>
                <w:lang w:eastAsia="en-AU"/>
              </w:rPr>
              <w:t>Total</w:t>
            </w:r>
          </w:p>
        </w:tc>
        <w:tc>
          <w:tcPr>
            <w:tcW w:w="1701"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21,867</w:t>
            </w:r>
          </w:p>
        </w:tc>
        <w:tc>
          <w:tcPr>
            <w:tcW w:w="1560"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571,411</w:t>
            </w:r>
          </w:p>
        </w:tc>
        <w:tc>
          <w:tcPr>
            <w:tcW w:w="1120"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1:26</w:t>
            </w:r>
          </w:p>
        </w:tc>
        <w:tc>
          <w:tcPr>
            <w:tcW w:w="1120"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38</w:t>
            </w:r>
          </w:p>
        </w:tc>
        <w:tc>
          <w:tcPr>
            <w:tcW w:w="1922" w:type="dxa"/>
            <w:gridSpan w:val="2"/>
            <w:tcBorders>
              <w:top w:val="single" w:sz="6" w:space="0" w:color="auto"/>
              <w:left w:val="nil"/>
              <w:bottom w:val="single" w:sz="4" w:space="0" w:color="auto"/>
              <w:right w:val="nil"/>
            </w:tcBorders>
            <w:shd w:val="clear" w:color="auto" w:fill="auto"/>
            <w:vAlign w:val="center"/>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 </w:t>
            </w:r>
          </w:p>
        </w:tc>
      </w:tr>
    </w:tbl>
    <w:p w:rsidR="001B4E38" w:rsidRPr="001B4E38" w:rsidRDefault="001B4E38" w:rsidP="001B4E38">
      <w:pPr>
        <w:contextualSpacing/>
      </w:pPr>
      <w:bookmarkStart w:id="162" w:name="_Ref359342468"/>
      <w:bookmarkStart w:id="163" w:name="_Ref398651299"/>
    </w:p>
    <w:p w:rsidR="001B4E38" w:rsidRPr="003A25C4" w:rsidRDefault="001B4E38" w:rsidP="003A25C4">
      <w:pPr>
        <w:pStyle w:val="Caption"/>
      </w:pPr>
      <w:bookmarkStart w:id="164" w:name="_Ref403647594"/>
      <w:bookmarkStart w:id="165" w:name="_Toc420835708"/>
      <w:bookmarkStart w:id="166" w:name="_Toc459636871"/>
      <w:r w:rsidRPr="003A25C4">
        <w:t xml:space="preserve">Table </w:t>
      </w:r>
      <w:fldSimple w:instr=" SEQ Table \* ARABIC ">
        <w:r w:rsidR="000010BC">
          <w:rPr>
            <w:noProof/>
          </w:rPr>
          <w:t>31</w:t>
        </w:r>
      </w:fldSimple>
      <w:bookmarkEnd w:id="162"/>
      <w:bookmarkEnd w:id="163"/>
      <w:bookmarkEnd w:id="164"/>
      <w:r w:rsidRPr="003A25C4">
        <w:t xml:space="preserve">: </w:t>
      </w:r>
      <w:bookmarkEnd w:id="165"/>
      <w:r w:rsidRPr="003A25C4">
        <w:t>Adverse donation reactions in male donors by age, including odds ratio</w:t>
      </w:r>
      <w:bookmarkEnd w:id="166"/>
    </w:p>
    <w:tbl>
      <w:tblPr>
        <w:tblW w:w="8662" w:type="dxa"/>
        <w:tblInd w:w="93" w:type="dxa"/>
        <w:tblLook w:val="04A0" w:firstRow="1" w:lastRow="0" w:firstColumn="1" w:lastColumn="0" w:noHBand="0" w:noVBand="1"/>
      </w:tblPr>
      <w:tblGrid>
        <w:gridCol w:w="1433"/>
        <w:gridCol w:w="1417"/>
        <w:gridCol w:w="142"/>
        <w:gridCol w:w="1418"/>
        <w:gridCol w:w="90"/>
        <w:gridCol w:w="1030"/>
        <w:gridCol w:w="90"/>
        <w:gridCol w:w="1109"/>
        <w:gridCol w:w="90"/>
        <w:gridCol w:w="1753"/>
        <w:gridCol w:w="90"/>
      </w:tblGrid>
      <w:tr w:rsidR="001B4E38" w:rsidRPr="001B4E38" w:rsidTr="009E4A39">
        <w:trPr>
          <w:trHeight w:val="510"/>
        </w:trPr>
        <w:tc>
          <w:tcPr>
            <w:tcW w:w="1433" w:type="dxa"/>
            <w:tcBorders>
              <w:top w:val="nil"/>
              <w:left w:val="nil"/>
              <w:right w:val="nil"/>
            </w:tcBorders>
            <w:shd w:val="clear" w:color="000000" w:fill="FF0000"/>
            <w:vAlign w:val="center"/>
            <w:hideMark/>
          </w:tcPr>
          <w:p w:rsidR="001B4E38" w:rsidRPr="001B4E38" w:rsidRDefault="001B4E38" w:rsidP="001B4E38">
            <w:pPr>
              <w:spacing w:after="0"/>
              <w:rPr>
                <w:rFonts w:eastAsia="Times New Roman"/>
                <w:b/>
                <w:bCs/>
                <w:color w:val="FFFFFF"/>
                <w:sz w:val="20"/>
                <w:szCs w:val="20"/>
                <w:lang w:eastAsia="en-AU"/>
              </w:rPr>
            </w:pPr>
            <w:r w:rsidRPr="001B4E38">
              <w:rPr>
                <w:rFonts w:eastAsia="Times New Roman"/>
                <w:b/>
                <w:bCs/>
                <w:color w:val="FFFFFF"/>
                <w:sz w:val="20"/>
                <w:szCs w:val="20"/>
                <w:lang w:eastAsia="en-AU"/>
              </w:rPr>
              <w:t>Age group</w:t>
            </w:r>
          </w:p>
        </w:tc>
        <w:tc>
          <w:tcPr>
            <w:tcW w:w="1559"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Number of</w:t>
            </w:r>
            <w:r w:rsidRPr="001B4E38">
              <w:rPr>
                <w:rFonts w:eastAsia="Times New Roman"/>
                <w:b/>
                <w:bCs/>
                <w:color w:val="FFFFFF"/>
                <w:sz w:val="20"/>
                <w:szCs w:val="20"/>
                <w:lang w:eastAsia="en-AU"/>
              </w:rPr>
              <w:br/>
              <w:t>events</w:t>
            </w:r>
          </w:p>
        </w:tc>
        <w:tc>
          <w:tcPr>
            <w:tcW w:w="1508"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Total donors</w:t>
            </w:r>
            <w:r w:rsidRPr="001B4E38">
              <w:rPr>
                <w:rFonts w:eastAsia="Times New Roman"/>
                <w:b/>
                <w:bCs/>
                <w:color w:val="FFFFFF"/>
                <w:sz w:val="20"/>
                <w:szCs w:val="20"/>
                <w:lang w:eastAsia="en-AU"/>
              </w:rPr>
              <w:br/>
              <w:t>in age group</w:t>
            </w:r>
          </w:p>
        </w:tc>
        <w:tc>
          <w:tcPr>
            <w:tcW w:w="1120"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Frequency</w:t>
            </w:r>
          </w:p>
        </w:tc>
        <w:tc>
          <w:tcPr>
            <w:tcW w:w="1199" w:type="dxa"/>
            <w:gridSpan w:val="2"/>
            <w:tcBorders>
              <w:top w:val="nil"/>
              <w:left w:val="nil"/>
              <w:right w:val="nil"/>
            </w:tcBorders>
            <w:shd w:val="clear" w:color="000000" w:fill="FF0000"/>
            <w:vAlign w:val="center"/>
            <w:hideMark/>
          </w:tcPr>
          <w:p w:rsidR="001B4E38" w:rsidRPr="001B4E38" w:rsidRDefault="001B4E38" w:rsidP="001B4E38">
            <w:pPr>
              <w:spacing w:after="0"/>
              <w:jc w:val="right"/>
              <w:rPr>
                <w:rFonts w:eastAsia="Times New Roman"/>
                <w:b/>
                <w:bCs/>
                <w:color w:val="FFFFFF"/>
                <w:sz w:val="20"/>
                <w:szCs w:val="20"/>
                <w:lang w:eastAsia="en-AU"/>
              </w:rPr>
            </w:pPr>
            <w:r w:rsidRPr="001B4E38">
              <w:rPr>
                <w:rFonts w:eastAsia="Times New Roman"/>
                <w:b/>
                <w:bCs/>
                <w:color w:val="FFFFFF"/>
                <w:sz w:val="20"/>
                <w:szCs w:val="20"/>
                <w:lang w:eastAsia="en-AU"/>
              </w:rPr>
              <w:t>Rate/1000</w:t>
            </w:r>
            <w:r w:rsidRPr="001B4E38">
              <w:rPr>
                <w:rFonts w:eastAsia="Times New Roman"/>
                <w:b/>
                <w:bCs/>
                <w:color w:val="FFFFFF"/>
                <w:sz w:val="20"/>
                <w:szCs w:val="20"/>
                <w:lang w:eastAsia="en-AU"/>
              </w:rPr>
              <w:br/>
              <w:t>donations</w:t>
            </w:r>
          </w:p>
        </w:tc>
        <w:tc>
          <w:tcPr>
            <w:tcW w:w="1843" w:type="dxa"/>
            <w:gridSpan w:val="2"/>
            <w:tcBorders>
              <w:top w:val="nil"/>
              <w:left w:val="nil"/>
              <w:right w:val="nil"/>
            </w:tcBorders>
            <w:shd w:val="clear" w:color="000000" w:fill="FF0000"/>
            <w:vAlign w:val="center"/>
            <w:hideMark/>
          </w:tcPr>
          <w:p w:rsidR="001B4E38" w:rsidRPr="001B4E38" w:rsidRDefault="001B4E38" w:rsidP="001B4E38">
            <w:pPr>
              <w:spacing w:after="0"/>
              <w:jc w:val="center"/>
              <w:rPr>
                <w:rFonts w:eastAsia="Times New Roman"/>
                <w:b/>
                <w:bCs/>
                <w:color w:val="FFFFFF"/>
                <w:sz w:val="20"/>
                <w:szCs w:val="20"/>
                <w:lang w:eastAsia="en-AU"/>
              </w:rPr>
            </w:pPr>
            <w:r w:rsidRPr="001B4E38">
              <w:rPr>
                <w:rFonts w:eastAsia="Times New Roman"/>
                <w:b/>
                <w:bCs/>
                <w:color w:val="FFFFFF"/>
                <w:sz w:val="20"/>
                <w:szCs w:val="20"/>
                <w:lang w:eastAsia="en-AU"/>
              </w:rPr>
              <w:t>Odds ratio</w:t>
            </w:r>
            <w:r w:rsidRPr="001B4E38">
              <w:rPr>
                <w:rFonts w:eastAsia="Times New Roman"/>
                <w:b/>
                <w:bCs/>
                <w:color w:val="FFFFFF"/>
                <w:sz w:val="20"/>
                <w:szCs w:val="20"/>
                <w:lang w:eastAsia="en-AU"/>
              </w:rPr>
              <w:br/>
              <w:t>(95% CI)</w:t>
            </w:r>
          </w:p>
        </w:tc>
      </w:tr>
      <w:tr w:rsidR="001B4E38" w:rsidRPr="001B4E38" w:rsidTr="00875581">
        <w:trPr>
          <w:gridAfter w:val="1"/>
          <w:wAfter w:w="90" w:type="dxa"/>
          <w:trHeight w:val="300"/>
        </w:trPr>
        <w:tc>
          <w:tcPr>
            <w:tcW w:w="1433" w:type="dxa"/>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16–17yrs</w:t>
            </w:r>
          </w:p>
        </w:tc>
        <w:tc>
          <w:tcPr>
            <w:tcW w:w="1417" w:type="dxa"/>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897</w:t>
            </w:r>
          </w:p>
        </w:tc>
        <w:tc>
          <w:tcPr>
            <w:tcW w:w="1560"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11,638</w:t>
            </w:r>
          </w:p>
        </w:tc>
        <w:tc>
          <w:tcPr>
            <w:tcW w:w="1120"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1:13</w:t>
            </w:r>
          </w:p>
        </w:tc>
        <w:tc>
          <w:tcPr>
            <w:tcW w:w="1199" w:type="dxa"/>
            <w:gridSpan w:val="2"/>
            <w:tcBorders>
              <w:top w:val="nil"/>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77</w:t>
            </w:r>
          </w:p>
        </w:tc>
        <w:tc>
          <w:tcPr>
            <w:tcW w:w="1843" w:type="dxa"/>
            <w:gridSpan w:val="2"/>
            <w:tcBorders>
              <w:top w:val="nil"/>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4.9049             (4.5712 - 5.2629)</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18–20yrs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1,422</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31,191</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1:22</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46</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3.0827             (2.9133 - 3.2620)</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21–23yrs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1,210</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33,837</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1:28</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36</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2.1725             (2.0456 - 2.3074)</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24–30yrs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2,685</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84,042</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1:31</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32</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2.0453             (1.9676 - 2.1448)</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31–40yrs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2,372</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103,492</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1:44</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23</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1.3732             (1.3127 - 1.4365)</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41–50yrs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1,849</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141,539</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1:77</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13</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0.6920            (0.6585 - 0.7272)</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51–60yrs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1,637</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185,160</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1:113</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9</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0.4229             (0.4014 - 0.4455)</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61–70yrs</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774</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124,183</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1:160</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6</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0.3073              (0.2857 - 0.3305)</w:t>
            </w:r>
          </w:p>
        </w:tc>
      </w:tr>
      <w:tr w:rsidR="001B4E38" w:rsidRPr="001B4E38" w:rsidTr="00875581">
        <w:trPr>
          <w:gridAfter w:val="1"/>
          <w:wAfter w:w="90" w:type="dxa"/>
          <w:trHeight w:val="300"/>
        </w:trPr>
        <w:tc>
          <w:tcPr>
            <w:tcW w:w="1433"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rPr>
                <w:rFonts w:eastAsia="Times New Roman"/>
                <w:color w:val="000000"/>
                <w:sz w:val="20"/>
                <w:szCs w:val="20"/>
                <w:lang w:eastAsia="en-AU"/>
              </w:rPr>
            </w:pPr>
            <w:r w:rsidRPr="001B4E38">
              <w:rPr>
                <w:rFonts w:eastAsia="Times New Roman"/>
                <w:color w:val="000000"/>
                <w:sz w:val="20"/>
                <w:szCs w:val="20"/>
                <w:lang w:eastAsia="en-AU"/>
              </w:rPr>
              <w:t>71+</w:t>
            </w:r>
          </w:p>
        </w:tc>
        <w:tc>
          <w:tcPr>
            <w:tcW w:w="1417" w:type="dxa"/>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ahoma"/>
                <w:color w:val="000000"/>
                <w:sz w:val="20"/>
                <w:szCs w:val="20"/>
                <w:lang w:eastAsia="en-AU"/>
              </w:rPr>
            </w:pPr>
            <w:r w:rsidRPr="001B4E38">
              <w:rPr>
                <w:rFonts w:eastAsia="Times New Roman" w:cs="Tahoma"/>
                <w:color w:val="000000"/>
                <w:sz w:val="20"/>
                <w:szCs w:val="20"/>
                <w:lang w:eastAsia="en-AU"/>
              </w:rPr>
              <w:t>57</w:t>
            </w:r>
          </w:p>
        </w:tc>
        <w:tc>
          <w:tcPr>
            <w:tcW w:w="156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15,438</w:t>
            </w:r>
          </w:p>
        </w:tc>
        <w:tc>
          <w:tcPr>
            <w:tcW w:w="1120"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1:271</w:t>
            </w:r>
          </w:p>
        </w:tc>
        <w:tc>
          <w:tcPr>
            <w:tcW w:w="1199" w:type="dxa"/>
            <w:gridSpan w:val="2"/>
            <w:tcBorders>
              <w:top w:val="single" w:sz="6" w:space="0" w:color="auto"/>
              <w:left w:val="nil"/>
              <w:bottom w:val="single" w:sz="6"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color w:val="000000"/>
                <w:sz w:val="20"/>
                <w:szCs w:val="20"/>
                <w:lang w:eastAsia="en-AU"/>
              </w:rPr>
            </w:pPr>
            <w:r w:rsidRPr="001B4E38">
              <w:rPr>
                <w:rFonts w:eastAsia="Times New Roman" w:cs="Times New Roman"/>
                <w:color w:val="000000"/>
                <w:sz w:val="20"/>
                <w:szCs w:val="20"/>
                <w:lang w:eastAsia="en-AU"/>
              </w:rPr>
              <w:t>4</w:t>
            </w:r>
          </w:p>
        </w:tc>
        <w:tc>
          <w:tcPr>
            <w:tcW w:w="1843" w:type="dxa"/>
            <w:gridSpan w:val="2"/>
            <w:tcBorders>
              <w:top w:val="single" w:sz="6" w:space="0" w:color="auto"/>
              <w:left w:val="nil"/>
              <w:bottom w:val="single" w:sz="6"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color w:val="000000"/>
                <w:sz w:val="20"/>
                <w:szCs w:val="20"/>
                <w:lang w:eastAsia="en-AU"/>
              </w:rPr>
            </w:pPr>
            <w:r w:rsidRPr="001B4E38">
              <w:rPr>
                <w:rFonts w:eastAsia="Times New Roman" w:cs="Times New Roman"/>
                <w:color w:val="000000"/>
                <w:sz w:val="20"/>
                <w:szCs w:val="20"/>
                <w:lang w:eastAsia="en-AU"/>
              </w:rPr>
              <w:t>0.2026             (0.1561 - 0.2629)</w:t>
            </w:r>
          </w:p>
        </w:tc>
      </w:tr>
      <w:tr w:rsidR="001B4E38" w:rsidRPr="001B4E38" w:rsidTr="00875581">
        <w:trPr>
          <w:gridAfter w:val="1"/>
          <w:wAfter w:w="90" w:type="dxa"/>
          <w:trHeight w:val="300"/>
        </w:trPr>
        <w:tc>
          <w:tcPr>
            <w:tcW w:w="1433" w:type="dxa"/>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rPr>
                <w:rFonts w:eastAsia="Times New Roman"/>
                <w:b/>
                <w:bCs/>
                <w:color w:val="000000"/>
                <w:sz w:val="20"/>
                <w:szCs w:val="20"/>
                <w:lang w:eastAsia="en-AU"/>
              </w:rPr>
            </w:pPr>
            <w:r w:rsidRPr="001B4E38">
              <w:rPr>
                <w:rFonts w:eastAsia="Times New Roman"/>
                <w:b/>
                <w:bCs/>
                <w:color w:val="000000"/>
                <w:sz w:val="20"/>
                <w:szCs w:val="20"/>
                <w:lang w:eastAsia="en-AU"/>
              </w:rPr>
              <w:t>Total</w:t>
            </w:r>
          </w:p>
        </w:tc>
        <w:tc>
          <w:tcPr>
            <w:tcW w:w="1417" w:type="dxa"/>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12,903</w:t>
            </w:r>
          </w:p>
        </w:tc>
        <w:tc>
          <w:tcPr>
            <w:tcW w:w="1560"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730,520</w:t>
            </w:r>
          </w:p>
        </w:tc>
        <w:tc>
          <w:tcPr>
            <w:tcW w:w="1120"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1:57</w:t>
            </w:r>
          </w:p>
        </w:tc>
        <w:tc>
          <w:tcPr>
            <w:tcW w:w="1199" w:type="dxa"/>
            <w:gridSpan w:val="2"/>
            <w:tcBorders>
              <w:top w:val="single" w:sz="6" w:space="0" w:color="auto"/>
              <w:left w:val="nil"/>
              <w:bottom w:val="single" w:sz="4" w:space="0" w:color="auto"/>
              <w:right w:val="nil"/>
            </w:tcBorders>
            <w:shd w:val="clear" w:color="auto" w:fill="auto"/>
            <w:noWrap/>
            <w:vAlign w:val="center"/>
            <w:hideMark/>
          </w:tcPr>
          <w:p w:rsidR="001B4E38" w:rsidRPr="001B4E38" w:rsidRDefault="001B4E38" w:rsidP="001B4E38">
            <w:pPr>
              <w:spacing w:after="0"/>
              <w:jc w:val="right"/>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18</w:t>
            </w:r>
          </w:p>
        </w:tc>
        <w:tc>
          <w:tcPr>
            <w:tcW w:w="1843" w:type="dxa"/>
            <w:gridSpan w:val="2"/>
            <w:tcBorders>
              <w:top w:val="single" w:sz="6" w:space="0" w:color="auto"/>
              <w:left w:val="nil"/>
              <w:bottom w:val="single" w:sz="4" w:space="0" w:color="auto"/>
              <w:right w:val="nil"/>
            </w:tcBorders>
            <w:shd w:val="clear" w:color="auto" w:fill="auto"/>
            <w:vAlign w:val="bottom"/>
            <w:hideMark/>
          </w:tcPr>
          <w:p w:rsidR="001B4E38" w:rsidRPr="001B4E38" w:rsidRDefault="001B4E38" w:rsidP="001B4E38">
            <w:pPr>
              <w:spacing w:after="0"/>
              <w:jc w:val="center"/>
              <w:rPr>
                <w:rFonts w:eastAsia="Times New Roman" w:cs="Times New Roman"/>
                <w:b/>
                <w:bCs/>
                <w:color w:val="000000"/>
                <w:sz w:val="20"/>
                <w:szCs w:val="20"/>
                <w:lang w:eastAsia="en-AU"/>
              </w:rPr>
            </w:pPr>
            <w:r w:rsidRPr="001B4E38">
              <w:rPr>
                <w:rFonts w:eastAsia="Times New Roman" w:cs="Times New Roman"/>
                <w:b/>
                <w:bCs/>
                <w:color w:val="000000"/>
                <w:sz w:val="20"/>
                <w:szCs w:val="20"/>
                <w:lang w:eastAsia="en-AU"/>
              </w:rPr>
              <w:t> </w:t>
            </w:r>
          </w:p>
        </w:tc>
      </w:tr>
    </w:tbl>
    <w:p w:rsidR="001B4E38" w:rsidRPr="001B4E38" w:rsidRDefault="001B4E38" w:rsidP="001B4E38">
      <w:pPr>
        <w:spacing w:before="200"/>
        <w:rPr>
          <w:rFonts w:asciiTheme="minorHAnsi" w:eastAsiaTheme="minorHAnsi" w:hAnsiTheme="minorHAnsi" w:cs="Arial"/>
        </w:rPr>
      </w:pPr>
      <w:r w:rsidRPr="001B4E38">
        <w:rPr>
          <w:rFonts w:asciiTheme="minorHAnsi" w:eastAsiaTheme="minorHAnsi" w:hAnsiTheme="minorHAnsi" w:cs="Arial"/>
          <w:b/>
        </w:rPr>
        <w:t>Current interventions directed at improving the capture and reducing the risk of adverse events:</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 xml:space="preserve">Donor centres have access to a donor adverse events dashboard which is updated on a daily basis – this provides real time feedback to donor centres on their performance, and enables benchmarking between donor centres with similar donor and collection characteristics, and provides immediate </w:t>
      </w:r>
      <w:r w:rsidRPr="001B4E38">
        <w:rPr>
          <w:rFonts w:asciiTheme="minorHAnsi" w:eastAsiaTheme="minorHAnsi" w:hAnsiTheme="minorHAnsi" w:cs="Arial"/>
        </w:rPr>
        <w:lastRenderedPageBreak/>
        <w:t>feedback on those events which are notified after the donor leaves the donor centre. This improves staff awareness and focuses attention on preventative strategies.</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Information provided to donors at donateblood.com.au, in donor centres and on the Donor Questionnaire Form provides plain English, simple advice on preparation for blood donation using evidence–based strategies such as pre</w:t>
      </w:r>
      <w:r w:rsidR="00100A0F">
        <w:rPr>
          <w:rFonts w:asciiTheme="minorHAnsi" w:eastAsiaTheme="minorHAnsi" w:hAnsiTheme="minorHAnsi" w:cs="Arial"/>
        </w:rPr>
        <w:t>-</w:t>
      </w:r>
      <w:r w:rsidRPr="001B4E38">
        <w:rPr>
          <w:rFonts w:asciiTheme="minorHAnsi" w:eastAsiaTheme="minorHAnsi" w:hAnsiTheme="minorHAnsi" w:cs="Arial"/>
        </w:rPr>
        <w:t>donation salty snacks and in-centre pre-donation fluid intake.</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Provide plain English advice to donors on strategies to minimise the risk of a reaction during and after donation (use of applied muscle tension, rest and fluid intake, avoidance of strenuous physical activity and alcohol post donation). New approaches such as YouTube video clips are under consideration.</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Provision of specific information cards to donors at the time of an adverse event detailing immediate management and preventative actions relevant to subsequent donations.</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 xml:space="preserve">Permanent deferral of donors with significant risk of recurrence of serious adverse reactions. </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Use of a mid-donation saline protocol for plasma donors which includes the administration of 500mL of saline to reduce the risk of vasovagal reactions.</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Using a stepwise approach to increasing collection volume for plasmapheresis donors donating plasma for fractionation based on nomograms* for per cent Total B</w:t>
      </w:r>
      <w:r w:rsidR="006C3D85">
        <w:rPr>
          <w:rFonts w:asciiTheme="minorHAnsi" w:eastAsiaTheme="minorHAnsi" w:hAnsiTheme="minorHAnsi" w:cs="Arial"/>
        </w:rPr>
        <w:t>lood Volume.</w:t>
      </w:r>
    </w:p>
    <w:p w:rsidR="001B4E38" w:rsidRPr="001B4E38" w:rsidRDefault="001B4E38" w:rsidP="0096249F">
      <w:pPr>
        <w:numPr>
          <w:ilvl w:val="0"/>
          <w:numId w:val="12"/>
        </w:numPr>
        <w:ind w:left="357" w:hanging="357"/>
        <w:contextualSpacing/>
        <w:rPr>
          <w:rFonts w:asciiTheme="minorHAnsi" w:eastAsiaTheme="minorHAnsi" w:hAnsiTheme="minorHAnsi" w:cs="Arial"/>
        </w:rPr>
      </w:pPr>
      <w:r w:rsidRPr="001B4E38">
        <w:rPr>
          <w:rFonts w:asciiTheme="minorHAnsi" w:eastAsiaTheme="minorHAnsi" w:hAnsiTheme="minorHAnsi" w:cs="Arial"/>
        </w:rPr>
        <w:t>Using a stepwise approach for plasmapheresis donors donating Clinical Fresh Frozen Plasma with end saline also based on a nomogram for Total Blood Volume.</w:t>
      </w:r>
    </w:p>
    <w:p w:rsidR="001B4E38" w:rsidRPr="001B4E38" w:rsidRDefault="001B4E38" w:rsidP="0096249F">
      <w:pPr>
        <w:numPr>
          <w:ilvl w:val="0"/>
          <w:numId w:val="12"/>
        </w:numPr>
        <w:spacing w:line="276" w:lineRule="auto"/>
        <w:contextualSpacing/>
        <w:rPr>
          <w:rFonts w:asciiTheme="minorHAnsi" w:eastAsiaTheme="minorHAnsi" w:hAnsiTheme="minorHAnsi" w:cs="Arial"/>
        </w:rPr>
      </w:pPr>
      <w:r w:rsidRPr="001B4E38">
        <w:rPr>
          <w:rFonts w:asciiTheme="minorHAnsi" w:eastAsiaTheme="minorHAnsi" w:hAnsiTheme="minorHAnsi" w:cs="Arial"/>
        </w:rPr>
        <w:t>Using a “whole blood nomogram” with reduced volume whole blood collection for donors with low total blood volume.</w:t>
      </w:r>
    </w:p>
    <w:p w:rsidR="001B4E38" w:rsidRPr="001B4E38" w:rsidRDefault="001B4E38" w:rsidP="0096249F">
      <w:pPr>
        <w:numPr>
          <w:ilvl w:val="0"/>
          <w:numId w:val="12"/>
        </w:numPr>
        <w:contextualSpacing/>
        <w:rPr>
          <w:rFonts w:asciiTheme="minorHAnsi" w:eastAsiaTheme="minorHAnsi" w:hAnsiTheme="minorHAnsi" w:cs="Arial"/>
        </w:rPr>
      </w:pPr>
      <w:proofErr w:type="gramStart"/>
      <w:r w:rsidRPr="001B4E38">
        <w:rPr>
          <w:rFonts w:asciiTheme="minorHAnsi" w:eastAsiaTheme="minorHAnsi" w:hAnsiTheme="minorHAnsi" w:cs="Arial"/>
        </w:rPr>
        <w:t>Implementation of specific guidelines for managing young donors – females less than 20 years of age are</w:t>
      </w:r>
      <w:proofErr w:type="gramEnd"/>
      <w:r w:rsidRPr="001B4E38">
        <w:rPr>
          <w:rFonts w:asciiTheme="minorHAnsi" w:eastAsiaTheme="minorHAnsi" w:hAnsiTheme="minorHAnsi" w:cs="Arial"/>
        </w:rPr>
        <w:t xml:space="preserve"> not recruited to plasma donation.</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Youth donors (aged 16 and 17 years) have been restricted to one donation per annum from 1</w:t>
      </w:r>
      <w:r w:rsidR="00100A0F">
        <w:rPr>
          <w:rFonts w:asciiTheme="minorHAnsi" w:eastAsiaTheme="minorHAnsi" w:hAnsiTheme="minorHAnsi" w:cs="Arial"/>
        </w:rPr>
        <w:t> </w:t>
      </w:r>
      <w:r w:rsidRPr="001B4E38">
        <w:rPr>
          <w:rFonts w:asciiTheme="minorHAnsi" w:eastAsiaTheme="minorHAnsi" w:hAnsiTheme="minorHAnsi" w:cs="Arial"/>
        </w:rPr>
        <w:t>January 2014 to reduce the risk of iron deficiency and number of vasovagal reactions.</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 xml:space="preserve">Offering pre-donation oral calcium supplements for </w:t>
      </w:r>
      <w:proofErr w:type="spellStart"/>
      <w:r w:rsidRPr="001B4E38">
        <w:rPr>
          <w:rFonts w:asciiTheme="minorHAnsi" w:eastAsiaTheme="minorHAnsi" w:hAnsiTheme="minorHAnsi" w:cs="Arial"/>
        </w:rPr>
        <w:t>plateletpheresis</w:t>
      </w:r>
      <w:proofErr w:type="spellEnd"/>
      <w:r w:rsidRPr="001B4E38">
        <w:rPr>
          <w:rFonts w:asciiTheme="minorHAnsi" w:eastAsiaTheme="minorHAnsi" w:hAnsiTheme="minorHAnsi" w:cs="Arial"/>
        </w:rPr>
        <w:t xml:space="preserve"> donors to minimise the severity of citrate reactions.</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Communication with comparable international blood services to ensure ‘best practice’ protocols.</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Formal clinical governance processes including review of staff scope of practice and training, the conduct of clinical audits, robust data capture and analysis of adverse events, regular management and external review of donor adverse event trends with corrective action taken as required.</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Pain experienced during a difficult phlebotomy contributes to vasovagal reactions. A trial involving the use of vein visualisation technology is being progressed at 2 sites in NSW.</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External review and approval of donor selection guidelines and collection protocols by the Therapeutic Goods Administration.</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Two pilots of iron supplementation to reduce the risk of iron deficiency associated with blood donation have commenced.</w:t>
      </w:r>
    </w:p>
    <w:p w:rsidR="001B4E38" w:rsidRPr="001B4E38" w:rsidRDefault="001B4E38" w:rsidP="0096249F">
      <w:pPr>
        <w:numPr>
          <w:ilvl w:val="0"/>
          <w:numId w:val="12"/>
        </w:numPr>
        <w:contextualSpacing/>
        <w:rPr>
          <w:rFonts w:asciiTheme="minorHAnsi" w:eastAsiaTheme="minorHAnsi" w:hAnsiTheme="minorHAnsi" w:cs="Arial"/>
        </w:rPr>
      </w:pPr>
      <w:r w:rsidRPr="001B4E38">
        <w:rPr>
          <w:rFonts w:asciiTheme="minorHAnsi" w:eastAsiaTheme="minorHAnsi" w:hAnsiTheme="minorHAnsi" w:cs="Arial"/>
        </w:rPr>
        <w:t>Progressing a number of research initiatives aimed at maintaining donor health and wellbeing and reducing the number and sever</w:t>
      </w:r>
      <w:r w:rsidR="006C3D85">
        <w:rPr>
          <w:rFonts w:asciiTheme="minorHAnsi" w:eastAsiaTheme="minorHAnsi" w:hAnsiTheme="minorHAnsi" w:cs="Arial"/>
        </w:rPr>
        <w:t>ity of donation adverse events.</w:t>
      </w:r>
    </w:p>
    <w:p w:rsidR="001B4E38" w:rsidRPr="001B4E38" w:rsidRDefault="001B4E38" w:rsidP="001B4E38">
      <w:pPr>
        <w:spacing w:before="200"/>
        <w:rPr>
          <w:rFonts w:asciiTheme="minorHAnsi" w:eastAsiaTheme="minorHAnsi" w:hAnsiTheme="minorHAnsi" w:cs="Arial"/>
        </w:rPr>
      </w:pPr>
      <w:r w:rsidRPr="001B4E38">
        <w:rPr>
          <w:rFonts w:asciiTheme="minorHAnsi" w:eastAsiaTheme="minorHAnsi" w:hAnsiTheme="minorHAnsi" w:cs="Arial"/>
        </w:rPr>
        <w:t>*A nomogram is a chart or graph used to show relationships between several variables (such as height and weight) to enable a third value (the collection volume, which is based on the total blood volume) to be read directly at the intersection point of the first 2 values</w:t>
      </w:r>
      <w:r w:rsidRPr="001B4E38">
        <w:rPr>
          <w:rFonts w:asciiTheme="minorHAnsi" w:eastAsiaTheme="minorHAnsi" w:hAnsiTheme="minorHAnsi" w:cstheme="minorBidi"/>
          <w:sz w:val="18"/>
          <w:szCs w:val="18"/>
        </w:rPr>
        <w:t>.</w:t>
      </w:r>
    </w:p>
    <w:p w:rsidR="008C07FA" w:rsidRDefault="008C07FA" w:rsidP="00C94185">
      <w:r>
        <w:br w:type="page"/>
      </w:r>
    </w:p>
    <w:p w:rsidR="008C07FA" w:rsidRPr="008C07FA" w:rsidRDefault="008C07FA" w:rsidP="00875581">
      <w:pPr>
        <w:pStyle w:val="Heading1"/>
      </w:pPr>
      <w:bookmarkStart w:id="167" w:name="_Toc420837269"/>
      <w:bookmarkStart w:id="168" w:name="_Toc459366180"/>
      <w:r w:rsidRPr="008C07FA">
        <w:lastRenderedPageBreak/>
        <w:t xml:space="preserve">PART 04 </w:t>
      </w:r>
      <w:bookmarkEnd w:id="167"/>
      <w:r w:rsidR="00FF0C6B">
        <w:t>SCORECARD – PERFORMANCE TO DATE</w:t>
      </w:r>
      <w:bookmarkEnd w:id="168"/>
    </w:p>
    <w:p w:rsidR="00117984" w:rsidRPr="00117984" w:rsidRDefault="00117984" w:rsidP="00117984">
      <w:pPr>
        <w:rPr>
          <w:lang w:eastAsia="en-AU"/>
        </w:rPr>
      </w:pPr>
      <w:bookmarkStart w:id="169" w:name="_Toc263840028"/>
      <w:r w:rsidRPr="00117984">
        <w:t>The 2015 report delivered 10 key recommendations in the areas of national blood quality and safety initiatives, reducing human errors, data standards and reporting capacity. The following provides an update on the status of the strategies to be delivered against each recommendation.</w:t>
      </w:r>
    </w:p>
    <w:p w:rsidR="00117984" w:rsidRPr="00117984" w:rsidRDefault="00117984" w:rsidP="002E310A">
      <w:pPr>
        <w:pStyle w:val="Heading2"/>
        <w:rPr>
          <w:lang w:eastAsia="en-AU"/>
        </w:rPr>
      </w:pPr>
      <w:bookmarkStart w:id="170" w:name="_Toc420837271"/>
      <w:bookmarkStart w:id="171" w:name="_Toc459366181"/>
      <w:r w:rsidRPr="00117984">
        <w:rPr>
          <w:lang w:eastAsia="en-AU"/>
        </w:rPr>
        <w:t>National blood quality and safety initiatives</w:t>
      </w:r>
      <w:bookmarkEnd w:id="170"/>
      <w:bookmarkEnd w:id="171"/>
    </w:p>
    <w:p w:rsidR="00117984" w:rsidRPr="003A25C4" w:rsidRDefault="00117984" w:rsidP="003A25C4">
      <w:pPr>
        <w:pStyle w:val="Caption"/>
      </w:pPr>
      <w:bookmarkStart w:id="172" w:name="_Ref403986490"/>
      <w:bookmarkStart w:id="173" w:name="_Toc420835709"/>
      <w:bookmarkStart w:id="174" w:name="_Toc459636872"/>
      <w:r w:rsidRPr="003A25C4">
        <w:t xml:space="preserve">Table </w:t>
      </w:r>
      <w:fldSimple w:instr=" SEQ Table \* ARABIC ">
        <w:r w:rsidR="000010BC">
          <w:rPr>
            <w:noProof/>
          </w:rPr>
          <w:t>32</w:t>
        </w:r>
      </w:fldSimple>
      <w:bookmarkEnd w:id="172"/>
      <w:r w:rsidRPr="003A25C4">
        <w:t xml:space="preserve">: Progress against the national blood quality and safety initiatives recommendations of the Australian </w:t>
      </w:r>
      <w:proofErr w:type="spellStart"/>
      <w:r w:rsidRPr="003A25C4">
        <w:t>Haemovigilance</w:t>
      </w:r>
      <w:proofErr w:type="spellEnd"/>
      <w:r w:rsidRPr="003A25C4">
        <w:t xml:space="preserve"> Report </w:t>
      </w:r>
      <w:bookmarkEnd w:id="173"/>
      <w:r w:rsidRPr="003A25C4">
        <w:t>2015</w:t>
      </w:r>
      <w:bookmarkEnd w:id="174"/>
    </w:p>
    <w:tbl>
      <w:tblPr>
        <w:tblW w:w="9356" w:type="dxa"/>
        <w:tblInd w:w="108" w:type="dxa"/>
        <w:tblBorders>
          <w:bottom w:val="single" w:sz="4" w:space="0" w:color="auto"/>
          <w:insideH w:val="single" w:sz="4" w:space="0" w:color="auto"/>
        </w:tblBorders>
        <w:tblLook w:val="04A0" w:firstRow="1" w:lastRow="0" w:firstColumn="1" w:lastColumn="0" w:noHBand="0" w:noVBand="1"/>
      </w:tblPr>
      <w:tblGrid>
        <w:gridCol w:w="425"/>
        <w:gridCol w:w="2269"/>
        <w:gridCol w:w="1984"/>
        <w:gridCol w:w="2268"/>
        <w:gridCol w:w="2410"/>
      </w:tblGrid>
      <w:tr w:rsidR="00117984" w:rsidRPr="00117984" w:rsidTr="009E4A39">
        <w:trPr>
          <w:trHeight w:val="629"/>
        </w:trPr>
        <w:tc>
          <w:tcPr>
            <w:tcW w:w="425"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p>
        </w:tc>
        <w:tc>
          <w:tcPr>
            <w:tcW w:w="2269" w:type="dxa"/>
            <w:tcBorders>
              <w:bottom w:val="nil"/>
            </w:tcBorders>
            <w:shd w:val="clear" w:color="auto" w:fill="FF0000"/>
            <w:vAlign w:val="center"/>
          </w:tcPr>
          <w:p w:rsidR="00117984" w:rsidRPr="00117984" w:rsidRDefault="00117984" w:rsidP="00117984">
            <w:pPr>
              <w:spacing w:after="0"/>
              <w:jc w:val="both"/>
              <w:rPr>
                <w:b/>
                <w:color w:val="FFFFFF" w:themeColor="background1"/>
                <w:sz w:val="20"/>
                <w:szCs w:val="20"/>
                <w:lang w:eastAsia="en-AU"/>
              </w:rPr>
            </w:pPr>
            <w:r w:rsidRPr="00117984">
              <w:rPr>
                <w:b/>
                <w:color w:val="FFFFFF" w:themeColor="background1"/>
                <w:sz w:val="20"/>
                <w:szCs w:val="20"/>
                <w:lang w:eastAsia="en-AU"/>
              </w:rPr>
              <w:t>Recommendations from 2015 report</w:t>
            </w:r>
          </w:p>
        </w:tc>
        <w:tc>
          <w:tcPr>
            <w:tcW w:w="1984"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Who is responsible?</w:t>
            </w:r>
          </w:p>
        </w:tc>
        <w:tc>
          <w:tcPr>
            <w:tcW w:w="2268"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Proposed strategy from 2015 report</w:t>
            </w:r>
          </w:p>
        </w:tc>
        <w:tc>
          <w:tcPr>
            <w:tcW w:w="2410"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Outcomes</w:t>
            </w:r>
          </w:p>
        </w:tc>
      </w:tr>
      <w:tr w:rsidR="00117984" w:rsidRPr="00117984" w:rsidTr="009E4A39">
        <w:trPr>
          <w:trHeight w:val="1348"/>
        </w:trPr>
        <w:tc>
          <w:tcPr>
            <w:tcW w:w="425" w:type="dxa"/>
            <w:tcBorders>
              <w:top w:val="nil"/>
            </w:tcBorders>
            <w:shd w:val="clear" w:color="auto" w:fill="FFFFFF" w:themeFill="background1"/>
          </w:tcPr>
          <w:p w:rsidR="00117984" w:rsidRPr="00117984" w:rsidRDefault="00117984" w:rsidP="00117984">
            <w:pPr>
              <w:spacing w:after="0"/>
              <w:rPr>
                <w:sz w:val="20"/>
                <w:szCs w:val="20"/>
                <w:lang w:eastAsia="en-AU"/>
              </w:rPr>
            </w:pPr>
            <w:r w:rsidRPr="00117984">
              <w:rPr>
                <w:sz w:val="20"/>
                <w:szCs w:val="20"/>
                <w:lang w:eastAsia="en-AU"/>
              </w:rPr>
              <w:t>1</w:t>
            </w:r>
          </w:p>
        </w:tc>
        <w:tc>
          <w:tcPr>
            <w:tcW w:w="2269" w:type="dxa"/>
            <w:tcBorders>
              <w:top w:val="nil"/>
            </w:tcBorders>
            <w:shd w:val="clear" w:color="auto" w:fill="FFFFFF" w:themeFill="background1"/>
          </w:tcPr>
          <w:p w:rsidR="00117984" w:rsidRPr="00117984" w:rsidRDefault="00117984" w:rsidP="00117984">
            <w:pPr>
              <w:spacing w:after="0"/>
              <w:rPr>
                <w:sz w:val="20"/>
                <w:szCs w:val="20"/>
                <w:lang w:eastAsia="en-AU"/>
              </w:rPr>
            </w:pPr>
            <w:r w:rsidRPr="00117984">
              <w:rPr>
                <w:sz w:val="20"/>
                <w:szCs w:val="20"/>
              </w:rPr>
              <w:t>Promote the recognition and management of transfusion-related adverse events</w:t>
            </w:r>
          </w:p>
        </w:tc>
        <w:tc>
          <w:tcPr>
            <w:tcW w:w="1984" w:type="dxa"/>
            <w:tcBorders>
              <w:top w:val="nil"/>
            </w:tcBorders>
            <w:shd w:val="clear" w:color="auto" w:fill="F2F2F2" w:themeFill="background1" w:themeFillShade="F2"/>
          </w:tcPr>
          <w:p w:rsidR="00117984" w:rsidRPr="00117984" w:rsidRDefault="00117984" w:rsidP="001022C0">
            <w:pPr>
              <w:spacing w:after="0"/>
              <w:rPr>
                <w:sz w:val="20"/>
                <w:szCs w:val="20"/>
                <w:lang w:eastAsia="en-AU"/>
              </w:rPr>
            </w:pPr>
            <w:r w:rsidRPr="00117984">
              <w:rPr>
                <w:sz w:val="20"/>
                <w:szCs w:val="20"/>
              </w:rPr>
              <w:t xml:space="preserve">National Education and Training Committee; NBA; JBC; State and territory departments of health; </w:t>
            </w:r>
            <w:r w:rsidR="001022C0">
              <w:rPr>
                <w:sz w:val="20"/>
                <w:szCs w:val="20"/>
              </w:rPr>
              <w:t xml:space="preserve">health service provider </w:t>
            </w:r>
            <w:r w:rsidRPr="00117984">
              <w:rPr>
                <w:sz w:val="20"/>
                <w:szCs w:val="20"/>
              </w:rPr>
              <w:t>educators; Relevant professional Colleges and Societies</w:t>
            </w:r>
          </w:p>
        </w:tc>
        <w:tc>
          <w:tcPr>
            <w:tcW w:w="2268" w:type="dxa"/>
            <w:tcBorders>
              <w:top w:val="nil"/>
            </w:tcBorders>
            <w:shd w:val="clear" w:color="auto" w:fill="FFFFFF" w:themeFill="background1"/>
          </w:tcPr>
          <w:p w:rsidR="00117984" w:rsidRPr="00117984" w:rsidRDefault="00117984" w:rsidP="00117984">
            <w:pPr>
              <w:spacing w:after="0"/>
              <w:rPr>
                <w:sz w:val="20"/>
                <w:szCs w:val="20"/>
              </w:rPr>
            </w:pPr>
            <w:r w:rsidRPr="00117984">
              <w:rPr>
                <w:sz w:val="20"/>
                <w:szCs w:val="20"/>
              </w:rPr>
              <w:t xml:space="preserve">Establish a working group to </w:t>
            </w:r>
            <w:proofErr w:type="spellStart"/>
            <w:r w:rsidRPr="00117984">
              <w:rPr>
                <w:sz w:val="20"/>
                <w:szCs w:val="20"/>
              </w:rPr>
              <w:t>rescope</w:t>
            </w:r>
            <w:proofErr w:type="spellEnd"/>
            <w:r w:rsidRPr="00117984">
              <w:rPr>
                <w:sz w:val="20"/>
                <w:szCs w:val="20"/>
              </w:rPr>
              <w:t xml:space="preserve"> and redevelop</w:t>
            </w:r>
            <w:r w:rsidRPr="00117984">
              <w:t xml:space="preserve"> </w:t>
            </w:r>
            <w:r w:rsidRPr="00117984">
              <w:rPr>
                <w:sz w:val="20"/>
                <w:szCs w:val="20"/>
              </w:rPr>
              <w:t>the Guidance on Recognition and Management of Acute Transfusion-Related Adverse Events (the Guidance)</w:t>
            </w:r>
          </w:p>
          <w:p w:rsidR="00117984" w:rsidRPr="00117984" w:rsidRDefault="00117984" w:rsidP="00117984">
            <w:pPr>
              <w:spacing w:after="0"/>
              <w:rPr>
                <w:sz w:val="20"/>
                <w:szCs w:val="20"/>
              </w:rPr>
            </w:pPr>
          </w:p>
          <w:p w:rsidR="00117984" w:rsidRPr="00117984" w:rsidRDefault="00117984" w:rsidP="00117984">
            <w:pPr>
              <w:spacing w:after="0"/>
              <w:rPr>
                <w:sz w:val="20"/>
                <w:szCs w:val="20"/>
              </w:rPr>
            </w:pPr>
            <w:r w:rsidRPr="00117984">
              <w:rPr>
                <w:sz w:val="20"/>
                <w:szCs w:val="20"/>
              </w:rPr>
              <w:t>Publish the Guidance on the NBA website and incorporate it into the eLearning module</w:t>
            </w:r>
          </w:p>
        </w:tc>
        <w:tc>
          <w:tcPr>
            <w:tcW w:w="2410" w:type="dxa"/>
            <w:tcBorders>
              <w:top w:val="nil"/>
            </w:tcBorders>
            <w:shd w:val="clear" w:color="auto" w:fill="F2F2F2" w:themeFill="background1" w:themeFillShade="F2"/>
          </w:tcPr>
          <w:p w:rsidR="00117984" w:rsidRPr="00117984" w:rsidRDefault="00117984" w:rsidP="00117984">
            <w:pPr>
              <w:spacing w:after="0"/>
              <w:rPr>
                <w:sz w:val="20"/>
                <w:szCs w:val="20"/>
                <w:lang w:eastAsia="en-AU"/>
              </w:rPr>
            </w:pPr>
            <w:r w:rsidRPr="00117984">
              <w:rPr>
                <w:sz w:val="20"/>
                <w:szCs w:val="20"/>
                <w:lang w:eastAsia="en-AU"/>
              </w:rPr>
              <w:t>The Blood Service will develop the Guidance as part of an education and training package for junior medical officers (JMOs)</w:t>
            </w:r>
          </w:p>
          <w:p w:rsidR="00117984" w:rsidRPr="00117984" w:rsidRDefault="00117984" w:rsidP="00117984">
            <w:pPr>
              <w:spacing w:after="0"/>
              <w:rPr>
                <w:sz w:val="20"/>
                <w:szCs w:val="20"/>
                <w:lang w:eastAsia="en-AU"/>
              </w:rPr>
            </w:pPr>
          </w:p>
          <w:p w:rsidR="00117984" w:rsidRPr="00117984" w:rsidRDefault="00117984" w:rsidP="006C3D85">
            <w:pPr>
              <w:spacing w:after="0"/>
              <w:rPr>
                <w:sz w:val="20"/>
                <w:szCs w:val="20"/>
                <w:lang w:eastAsia="en-AU"/>
              </w:rPr>
            </w:pPr>
            <w:r w:rsidRPr="00117984">
              <w:rPr>
                <w:sz w:val="20"/>
                <w:szCs w:val="20"/>
                <w:lang w:eastAsia="en-AU"/>
              </w:rPr>
              <w:t>A project plan has been agreed between the Blood Service and NBA</w:t>
            </w:r>
          </w:p>
        </w:tc>
      </w:tr>
      <w:tr w:rsidR="00117984" w:rsidRPr="00117984" w:rsidTr="009E4A39">
        <w:tc>
          <w:tcPr>
            <w:tcW w:w="425" w:type="dxa"/>
            <w:shd w:val="clear" w:color="auto" w:fill="FFFFFF" w:themeFill="background1"/>
          </w:tcPr>
          <w:p w:rsidR="00117984" w:rsidRPr="00117984" w:rsidRDefault="00117984" w:rsidP="00117984">
            <w:pPr>
              <w:spacing w:after="0"/>
              <w:contextualSpacing/>
              <w:rPr>
                <w:sz w:val="20"/>
                <w:szCs w:val="20"/>
                <w:lang w:eastAsia="en-AU"/>
              </w:rPr>
            </w:pPr>
            <w:r w:rsidRPr="00117984">
              <w:rPr>
                <w:sz w:val="20"/>
                <w:szCs w:val="20"/>
                <w:lang w:eastAsia="en-AU"/>
              </w:rPr>
              <w:t>2</w:t>
            </w:r>
          </w:p>
        </w:tc>
        <w:tc>
          <w:tcPr>
            <w:tcW w:w="2269" w:type="dxa"/>
            <w:shd w:val="clear" w:color="auto" w:fill="FFFFFF" w:themeFill="background1"/>
          </w:tcPr>
          <w:p w:rsidR="00117984" w:rsidRPr="00117984" w:rsidRDefault="00117984" w:rsidP="001022C0">
            <w:pPr>
              <w:spacing w:after="0"/>
              <w:contextualSpacing/>
              <w:rPr>
                <w:sz w:val="20"/>
                <w:szCs w:val="20"/>
                <w:lang w:eastAsia="en-AU"/>
              </w:rPr>
            </w:pPr>
            <w:r w:rsidRPr="00117984">
              <w:rPr>
                <w:sz w:val="20"/>
                <w:szCs w:val="20"/>
              </w:rPr>
              <w:t xml:space="preserve">Implement programs at the national, state and local </w:t>
            </w:r>
            <w:r w:rsidR="001022C0">
              <w:rPr>
                <w:sz w:val="20"/>
                <w:szCs w:val="20"/>
              </w:rPr>
              <w:t>health service provider</w:t>
            </w:r>
            <w:r w:rsidR="001022C0" w:rsidRPr="00117984">
              <w:rPr>
                <w:sz w:val="20"/>
                <w:szCs w:val="20"/>
              </w:rPr>
              <w:t xml:space="preserve"> </w:t>
            </w:r>
            <w:r w:rsidRPr="00117984">
              <w:rPr>
                <w:sz w:val="20"/>
                <w:szCs w:val="20"/>
              </w:rPr>
              <w:t>levels to improve reporting of serious adverse events</w:t>
            </w:r>
          </w:p>
        </w:tc>
        <w:tc>
          <w:tcPr>
            <w:tcW w:w="1984" w:type="dxa"/>
            <w:shd w:val="clear" w:color="auto" w:fill="F2F2F2" w:themeFill="background1" w:themeFillShade="F2"/>
          </w:tcPr>
          <w:p w:rsidR="00117984" w:rsidRPr="00117984" w:rsidRDefault="00117984" w:rsidP="001022C0">
            <w:pPr>
              <w:spacing w:after="0"/>
              <w:contextualSpacing/>
              <w:rPr>
                <w:sz w:val="20"/>
                <w:szCs w:val="20"/>
                <w:lang w:eastAsia="en-AU"/>
              </w:rPr>
            </w:pPr>
            <w:r w:rsidRPr="00117984">
              <w:rPr>
                <w:sz w:val="20"/>
                <w:szCs w:val="20"/>
              </w:rPr>
              <w:t xml:space="preserve">NBA; JBC; State and territory </w:t>
            </w:r>
            <w:r w:rsidR="008E6FE9">
              <w:rPr>
                <w:sz w:val="20"/>
                <w:szCs w:val="20"/>
              </w:rPr>
              <w:t>d</w:t>
            </w:r>
            <w:r w:rsidRPr="00117984">
              <w:rPr>
                <w:sz w:val="20"/>
                <w:szCs w:val="20"/>
              </w:rPr>
              <w:t xml:space="preserve">epartments of </w:t>
            </w:r>
            <w:r w:rsidR="008E6FE9">
              <w:rPr>
                <w:sz w:val="20"/>
                <w:szCs w:val="20"/>
              </w:rPr>
              <w:t>h</w:t>
            </w:r>
            <w:r w:rsidRPr="00117984">
              <w:rPr>
                <w:sz w:val="20"/>
                <w:szCs w:val="20"/>
              </w:rPr>
              <w:t xml:space="preserve">ealth; </w:t>
            </w:r>
            <w:r w:rsidR="001022C0">
              <w:rPr>
                <w:sz w:val="20"/>
                <w:szCs w:val="20"/>
              </w:rPr>
              <w:t>health service provider</w:t>
            </w:r>
            <w:r w:rsidR="001022C0" w:rsidRPr="00117984">
              <w:rPr>
                <w:sz w:val="20"/>
                <w:szCs w:val="20"/>
              </w:rPr>
              <w:t xml:space="preserve"> </w:t>
            </w:r>
            <w:r w:rsidRPr="00117984">
              <w:rPr>
                <w:sz w:val="20"/>
                <w:szCs w:val="20"/>
              </w:rPr>
              <w:t>educators; Relevant professional Colleges and Societies</w:t>
            </w:r>
          </w:p>
        </w:tc>
        <w:tc>
          <w:tcPr>
            <w:tcW w:w="2268" w:type="dxa"/>
            <w:shd w:val="clear" w:color="auto" w:fill="FFFFFF" w:themeFill="background1"/>
          </w:tcPr>
          <w:p w:rsidR="00117984" w:rsidRPr="00117984" w:rsidRDefault="00117984" w:rsidP="00117984">
            <w:pPr>
              <w:spacing w:after="0"/>
              <w:rPr>
                <w:sz w:val="20"/>
                <w:szCs w:val="20"/>
              </w:rPr>
            </w:pPr>
            <w:r w:rsidRPr="00117984">
              <w:rPr>
                <w:sz w:val="20"/>
                <w:szCs w:val="20"/>
              </w:rPr>
              <w:t xml:space="preserve">The NBA and HAC will continue to engage with key stakeholders as part of the ongoing national </w:t>
            </w:r>
            <w:proofErr w:type="spellStart"/>
            <w:r w:rsidRPr="00117984">
              <w:rPr>
                <w:sz w:val="20"/>
                <w:szCs w:val="20"/>
              </w:rPr>
              <w:t>haemovigilance</w:t>
            </w:r>
            <w:proofErr w:type="spellEnd"/>
            <w:r w:rsidRPr="00117984">
              <w:rPr>
                <w:sz w:val="20"/>
                <w:szCs w:val="20"/>
              </w:rPr>
              <w:t xml:space="preserve"> and stewardship programs</w:t>
            </w:r>
          </w:p>
          <w:p w:rsidR="00117984" w:rsidRPr="00117984" w:rsidRDefault="00117984" w:rsidP="00117984">
            <w:pPr>
              <w:spacing w:after="0"/>
              <w:rPr>
                <w:sz w:val="20"/>
                <w:szCs w:val="20"/>
              </w:rPr>
            </w:pPr>
          </w:p>
          <w:p w:rsidR="00117984" w:rsidRPr="00117984" w:rsidRDefault="00117984" w:rsidP="00117984">
            <w:pPr>
              <w:spacing w:after="0"/>
              <w:contextualSpacing/>
              <w:rPr>
                <w:sz w:val="20"/>
                <w:szCs w:val="20"/>
              </w:rPr>
            </w:pPr>
            <w:r w:rsidRPr="00117984">
              <w:rPr>
                <w:sz w:val="20"/>
                <w:szCs w:val="20"/>
              </w:rPr>
              <w:t>The outcomes for Recommendations 6, 9 and 10 will also contribute to improving reporting of serious adverse events</w:t>
            </w:r>
          </w:p>
        </w:tc>
        <w:tc>
          <w:tcPr>
            <w:tcW w:w="2410" w:type="dxa"/>
            <w:shd w:val="clear" w:color="auto" w:fill="F2F2F2" w:themeFill="background1" w:themeFillShade="F2"/>
          </w:tcPr>
          <w:p w:rsidR="00117984" w:rsidRPr="00117984" w:rsidRDefault="00117984" w:rsidP="008C274E">
            <w:pPr>
              <w:spacing w:after="0"/>
              <w:contextualSpacing/>
              <w:rPr>
                <w:sz w:val="20"/>
                <w:szCs w:val="20"/>
                <w:lang w:eastAsia="en-AU"/>
              </w:rPr>
            </w:pPr>
            <w:r w:rsidRPr="00117984">
              <w:rPr>
                <w:sz w:val="20"/>
                <w:szCs w:val="20"/>
                <w:lang w:eastAsia="en-AU"/>
              </w:rPr>
              <w:t xml:space="preserve">The NBA will publish and distribute the </w:t>
            </w:r>
            <w:r w:rsidR="008C274E">
              <w:rPr>
                <w:sz w:val="20"/>
                <w:szCs w:val="20"/>
                <w:lang w:eastAsia="en-AU"/>
              </w:rPr>
              <w:t>G</w:t>
            </w:r>
            <w:r w:rsidRPr="00117984">
              <w:rPr>
                <w:sz w:val="20"/>
                <w:szCs w:val="20"/>
                <w:lang w:eastAsia="en-AU"/>
              </w:rPr>
              <w:t xml:space="preserve">uidance </w:t>
            </w:r>
            <w:r w:rsidR="008C274E">
              <w:rPr>
                <w:sz w:val="20"/>
                <w:szCs w:val="20"/>
                <w:lang w:eastAsia="en-AU"/>
              </w:rPr>
              <w:t>(see above)</w:t>
            </w:r>
            <w:r w:rsidRPr="00117984">
              <w:rPr>
                <w:sz w:val="20"/>
                <w:szCs w:val="20"/>
                <w:lang w:eastAsia="en-AU"/>
              </w:rPr>
              <w:t xml:space="preserve"> in 2016–17</w:t>
            </w:r>
          </w:p>
        </w:tc>
      </w:tr>
    </w:tbl>
    <w:p w:rsidR="00117984" w:rsidRPr="00117984" w:rsidRDefault="00117984" w:rsidP="00117984">
      <w:pPr>
        <w:spacing w:after="0"/>
        <w:contextualSpacing/>
        <w:rPr>
          <w:rFonts w:asciiTheme="minorHAnsi" w:eastAsia="Calibri" w:hAnsiTheme="minorHAnsi" w:cstheme="minorHAnsi"/>
          <w:lang w:eastAsia="en-AU"/>
        </w:rPr>
      </w:pPr>
    </w:p>
    <w:p w:rsidR="00117984" w:rsidRPr="00117984" w:rsidRDefault="00117984" w:rsidP="00117984">
      <w:pPr>
        <w:spacing w:line="276" w:lineRule="auto"/>
        <w:rPr>
          <w:rFonts w:asciiTheme="minorHAnsi" w:eastAsia="Calibri" w:hAnsiTheme="minorHAnsi" w:cstheme="minorHAnsi"/>
          <w:lang w:eastAsia="en-AU"/>
        </w:rPr>
      </w:pPr>
      <w:r w:rsidRPr="00117984">
        <w:rPr>
          <w:rFonts w:asciiTheme="minorHAnsi" w:eastAsia="Calibri" w:hAnsiTheme="minorHAnsi" w:cstheme="minorHAnsi"/>
          <w:lang w:eastAsia="en-AU"/>
        </w:rPr>
        <w:br w:type="page"/>
      </w:r>
    </w:p>
    <w:p w:rsidR="00117984" w:rsidRPr="00117984" w:rsidRDefault="00117984" w:rsidP="002E310A">
      <w:pPr>
        <w:pStyle w:val="Heading2"/>
        <w:rPr>
          <w:lang w:eastAsia="en-AU"/>
        </w:rPr>
      </w:pPr>
      <w:bookmarkStart w:id="175" w:name="_Toc420837272"/>
      <w:bookmarkStart w:id="176" w:name="_Toc459366182"/>
      <w:r w:rsidRPr="00117984">
        <w:rPr>
          <w:lang w:eastAsia="en-AU"/>
        </w:rPr>
        <w:lastRenderedPageBreak/>
        <w:t>Reducing human errors</w:t>
      </w:r>
      <w:bookmarkEnd w:id="175"/>
      <w:bookmarkEnd w:id="176"/>
    </w:p>
    <w:p w:rsidR="00117984" w:rsidRPr="003A25C4" w:rsidRDefault="00117984" w:rsidP="003A25C4">
      <w:pPr>
        <w:pStyle w:val="Caption"/>
      </w:pPr>
      <w:bookmarkStart w:id="177" w:name="_Ref403986523"/>
      <w:bookmarkStart w:id="178" w:name="_Toc420835710"/>
      <w:bookmarkStart w:id="179" w:name="_Toc459636873"/>
      <w:r w:rsidRPr="003A25C4">
        <w:t xml:space="preserve">Table </w:t>
      </w:r>
      <w:fldSimple w:instr=" SEQ Table \* ARABIC ">
        <w:r w:rsidR="000010BC">
          <w:rPr>
            <w:noProof/>
          </w:rPr>
          <w:t>33</w:t>
        </w:r>
      </w:fldSimple>
      <w:bookmarkEnd w:id="177"/>
      <w:r w:rsidRPr="003A25C4">
        <w:t>: Progress against the</w:t>
      </w:r>
      <w:r w:rsidR="008E6FE9">
        <w:t xml:space="preserve"> reducing</w:t>
      </w:r>
      <w:r w:rsidRPr="003A25C4">
        <w:t xml:space="preserve"> human errors recommendations of the Australian </w:t>
      </w:r>
      <w:proofErr w:type="spellStart"/>
      <w:r w:rsidRPr="003A25C4">
        <w:t>Haemovigilance</w:t>
      </w:r>
      <w:proofErr w:type="spellEnd"/>
      <w:r w:rsidRPr="003A25C4">
        <w:t xml:space="preserve"> Report </w:t>
      </w:r>
      <w:bookmarkEnd w:id="178"/>
      <w:r w:rsidRPr="003A25C4">
        <w:t>2015</w:t>
      </w:r>
      <w:bookmarkEnd w:id="179"/>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425"/>
        <w:gridCol w:w="2127"/>
        <w:gridCol w:w="1984"/>
        <w:gridCol w:w="2552"/>
        <w:gridCol w:w="2268"/>
      </w:tblGrid>
      <w:tr w:rsidR="00117984" w:rsidRPr="00117984" w:rsidTr="0096249F">
        <w:trPr>
          <w:trHeight w:val="629"/>
        </w:trPr>
        <w:tc>
          <w:tcPr>
            <w:tcW w:w="425"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p>
        </w:tc>
        <w:tc>
          <w:tcPr>
            <w:tcW w:w="2127"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Recommendations from 2015 report</w:t>
            </w:r>
          </w:p>
        </w:tc>
        <w:tc>
          <w:tcPr>
            <w:tcW w:w="1984"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Who is responsible?</w:t>
            </w:r>
          </w:p>
        </w:tc>
        <w:tc>
          <w:tcPr>
            <w:tcW w:w="2552"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Proposed strategy from 2015 report</w:t>
            </w:r>
          </w:p>
        </w:tc>
        <w:tc>
          <w:tcPr>
            <w:tcW w:w="2268"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Outcomes</w:t>
            </w:r>
          </w:p>
        </w:tc>
      </w:tr>
      <w:tr w:rsidR="00117984" w:rsidRPr="00117984" w:rsidTr="0096249F">
        <w:tc>
          <w:tcPr>
            <w:tcW w:w="425" w:type="dxa"/>
            <w:tcBorders>
              <w:top w:val="nil"/>
            </w:tcBorders>
          </w:tcPr>
          <w:p w:rsidR="00117984" w:rsidRPr="00117984" w:rsidRDefault="00117984" w:rsidP="00117984">
            <w:pPr>
              <w:rPr>
                <w:sz w:val="20"/>
                <w:szCs w:val="20"/>
                <w:lang w:eastAsia="en-AU"/>
              </w:rPr>
            </w:pPr>
            <w:r w:rsidRPr="00117984">
              <w:rPr>
                <w:sz w:val="20"/>
                <w:szCs w:val="20"/>
                <w:lang w:eastAsia="en-AU"/>
              </w:rPr>
              <w:t>3</w:t>
            </w:r>
          </w:p>
        </w:tc>
        <w:tc>
          <w:tcPr>
            <w:tcW w:w="2127" w:type="dxa"/>
            <w:tcBorders>
              <w:top w:val="nil"/>
            </w:tcBorders>
            <w:shd w:val="clear" w:color="auto" w:fill="auto"/>
          </w:tcPr>
          <w:p w:rsidR="00117984" w:rsidRPr="00117984" w:rsidRDefault="00117984" w:rsidP="00117984">
            <w:pPr>
              <w:spacing w:after="0"/>
              <w:rPr>
                <w:sz w:val="20"/>
                <w:szCs w:val="20"/>
                <w:lang w:eastAsia="en-AU"/>
              </w:rPr>
            </w:pPr>
            <w:r w:rsidRPr="00117984">
              <w:rPr>
                <w:sz w:val="20"/>
                <w:szCs w:val="20"/>
                <w:lang w:eastAsia="en-AU"/>
              </w:rPr>
              <w:t>Clinical staff should comply with national guidelines on sample collection and administration of blood and blood products</w:t>
            </w:r>
          </w:p>
        </w:tc>
        <w:tc>
          <w:tcPr>
            <w:tcW w:w="1984" w:type="dxa"/>
            <w:tcBorders>
              <w:top w:val="nil"/>
            </w:tcBorders>
            <w:shd w:val="clear" w:color="auto" w:fill="F2F2F2" w:themeFill="background1" w:themeFillShade="F2"/>
          </w:tcPr>
          <w:p w:rsidR="00117984" w:rsidRPr="00117984" w:rsidRDefault="00117984" w:rsidP="008C274E">
            <w:pPr>
              <w:spacing w:after="0"/>
              <w:rPr>
                <w:sz w:val="20"/>
                <w:szCs w:val="20"/>
                <w:lang w:eastAsia="en-AU"/>
              </w:rPr>
            </w:pPr>
            <w:r w:rsidRPr="00117984">
              <w:rPr>
                <w:sz w:val="20"/>
                <w:szCs w:val="20"/>
                <w:lang w:eastAsia="en-AU"/>
              </w:rPr>
              <w:t>State and territory departments of health;</w:t>
            </w:r>
            <w:r w:rsidR="001022C0">
              <w:rPr>
                <w:sz w:val="20"/>
                <w:szCs w:val="20"/>
                <w:lang w:eastAsia="en-AU"/>
              </w:rPr>
              <w:t xml:space="preserve"> </w:t>
            </w:r>
            <w:r w:rsidR="008C274E">
              <w:rPr>
                <w:sz w:val="20"/>
                <w:szCs w:val="20"/>
                <w:lang w:eastAsia="en-AU"/>
              </w:rPr>
              <w:t>h</w:t>
            </w:r>
            <w:r w:rsidR="00FF7E81">
              <w:rPr>
                <w:sz w:val="20"/>
                <w:szCs w:val="20"/>
                <w:lang w:eastAsia="en-AU"/>
              </w:rPr>
              <w:t>ealth service providers</w:t>
            </w:r>
          </w:p>
        </w:tc>
        <w:tc>
          <w:tcPr>
            <w:tcW w:w="2552" w:type="dxa"/>
            <w:tcBorders>
              <w:top w:val="nil"/>
            </w:tcBorders>
            <w:shd w:val="clear" w:color="auto" w:fill="auto"/>
          </w:tcPr>
          <w:p w:rsidR="00117984" w:rsidRPr="00117984" w:rsidRDefault="00117984" w:rsidP="00117984">
            <w:pPr>
              <w:spacing w:after="0"/>
              <w:rPr>
                <w:rFonts w:asciiTheme="minorHAnsi" w:hAnsiTheme="minorHAnsi" w:cstheme="minorHAnsi"/>
                <w:sz w:val="20"/>
                <w:szCs w:val="20"/>
                <w:lang w:eastAsia="en-AU"/>
              </w:rPr>
            </w:pPr>
            <w:r w:rsidRPr="00117984">
              <w:rPr>
                <w:rFonts w:asciiTheme="minorHAnsi" w:hAnsiTheme="minorHAnsi" w:cstheme="minorHAnsi"/>
                <w:sz w:val="20"/>
                <w:szCs w:val="20"/>
                <w:lang w:eastAsia="en-AU"/>
              </w:rPr>
              <w:t xml:space="preserve">NBA to promote or provide tools that allow states and territories to ensure </w:t>
            </w:r>
            <w:r w:rsidR="00FF7E81">
              <w:rPr>
                <w:rFonts w:asciiTheme="minorHAnsi" w:hAnsiTheme="minorHAnsi" w:cstheme="minorHAnsi"/>
                <w:sz w:val="20"/>
                <w:szCs w:val="20"/>
                <w:lang w:eastAsia="en-AU"/>
              </w:rPr>
              <w:t>health service providers</w:t>
            </w:r>
            <w:r w:rsidRPr="00117984">
              <w:rPr>
                <w:rFonts w:asciiTheme="minorHAnsi" w:hAnsiTheme="minorHAnsi" w:cstheme="minorHAnsi"/>
                <w:sz w:val="20"/>
                <w:szCs w:val="20"/>
                <w:lang w:eastAsia="en-AU"/>
              </w:rPr>
              <w:t xml:space="preserve"> have policies, procedures or protocols that adhere to national guidelines such as ANZSBT Guidelines for the Administration of Blood Products and Guideline for Pre-Transfusion Laboratory Practice</w:t>
            </w:r>
          </w:p>
          <w:p w:rsidR="00117984" w:rsidRPr="00117984" w:rsidRDefault="00117984" w:rsidP="00117984">
            <w:pPr>
              <w:spacing w:after="0"/>
              <w:rPr>
                <w:rFonts w:asciiTheme="minorHAnsi" w:hAnsiTheme="minorHAnsi" w:cstheme="minorHAnsi"/>
                <w:sz w:val="20"/>
                <w:szCs w:val="20"/>
                <w:lang w:eastAsia="en-AU"/>
              </w:rPr>
            </w:pPr>
          </w:p>
          <w:p w:rsidR="00117984" w:rsidRPr="00117984" w:rsidRDefault="00117984" w:rsidP="00117984">
            <w:pPr>
              <w:spacing w:after="0"/>
              <w:rPr>
                <w:rFonts w:asciiTheme="minorHAnsi" w:hAnsiTheme="minorHAnsi" w:cstheme="minorHAnsi"/>
                <w:sz w:val="20"/>
                <w:szCs w:val="20"/>
                <w:lang w:eastAsia="en-AU"/>
              </w:rPr>
            </w:pPr>
            <w:r w:rsidRPr="00117984">
              <w:rPr>
                <w:rFonts w:asciiTheme="minorHAnsi" w:hAnsiTheme="minorHAnsi" w:cstheme="minorHAnsi"/>
                <w:sz w:val="20"/>
                <w:szCs w:val="20"/>
                <w:lang w:eastAsia="en-AU"/>
              </w:rPr>
              <w:t xml:space="preserve">NBA to promote or provide tools that enable </w:t>
            </w:r>
            <w:r w:rsidR="00FF7E81">
              <w:rPr>
                <w:rFonts w:asciiTheme="minorHAnsi" w:hAnsiTheme="minorHAnsi" w:cstheme="minorHAnsi"/>
                <w:sz w:val="20"/>
                <w:szCs w:val="20"/>
                <w:lang w:eastAsia="en-AU"/>
              </w:rPr>
              <w:t>health service providers</w:t>
            </w:r>
            <w:r w:rsidRPr="00117984">
              <w:rPr>
                <w:rFonts w:asciiTheme="minorHAnsi" w:hAnsiTheme="minorHAnsi" w:cstheme="minorHAnsi"/>
                <w:sz w:val="20"/>
                <w:szCs w:val="20"/>
                <w:lang w:eastAsia="en-AU"/>
              </w:rPr>
              <w:t xml:space="preserve"> to ensure staff include regular continued professional development as part of their program, through resources such as </w:t>
            </w:r>
            <w:proofErr w:type="spellStart"/>
            <w:r w:rsidRPr="00117984">
              <w:rPr>
                <w:rFonts w:asciiTheme="minorHAnsi" w:hAnsiTheme="minorHAnsi" w:cstheme="minorHAnsi"/>
                <w:sz w:val="20"/>
                <w:szCs w:val="20"/>
                <w:lang w:eastAsia="en-AU"/>
              </w:rPr>
              <w:t>BloodSafe</w:t>
            </w:r>
            <w:proofErr w:type="spellEnd"/>
            <w:r w:rsidRPr="00117984">
              <w:rPr>
                <w:rFonts w:asciiTheme="minorHAnsi" w:hAnsiTheme="minorHAnsi" w:cstheme="minorHAnsi"/>
                <w:sz w:val="20"/>
                <w:szCs w:val="20"/>
                <w:lang w:eastAsia="en-AU"/>
              </w:rPr>
              <w:t xml:space="preserve"> eLearning</w:t>
            </w:r>
          </w:p>
          <w:p w:rsidR="00117984" w:rsidRPr="00117984" w:rsidRDefault="00117984" w:rsidP="00117984">
            <w:pPr>
              <w:spacing w:after="0"/>
              <w:rPr>
                <w:rFonts w:asciiTheme="minorHAnsi" w:hAnsiTheme="minorHAnsi" w:cstheme="minorHAnsi"/>
                <w:sz w:val="20"/>
                <w:szCs w:val="20"/>
                <w:lang w:eastAsia="en-AU"/>
              </w:rPr>
            </w:pPr>
          </w:p>
          <w:p w:rsidR="00117984" w:rsidRPr="00117984" w:rsidRDefault="00117984" w:rsidP="00117984">
            <w:pPr>
              <w:spacing w:after="0"/>
              <w:rPr>
                <w:sz w:val="20"/>
                <w:szCs w:val="20"/>
              </w:rPr>
            </w:pPr>
            <w:r w:rsidRPr="00117984">
              <w:rPr>
                <w:rFonts w:asciiTheme="minorHAnsi" w:hAnsiTheme="minorHAnsi" w:cstheme="minorHAnsi"/>
                <w:sz w:val="20"/>
                <w:szCs w:val="20"/>
                <w:lang w:eastAsia="en-AU"/>
              </w:rPr>
              <w:t>Monitor and publish the number of human errors in national or state/territory reports</w:t>
            </w:r>
          </w:p>
        </w:tc>
        <w:tc>
          <w:tcPr>
            <w:tcW w:w="2268" w:type="dxa"/>
            <w:tcBorders>
              <w:top w:val="nil"/>
            </w:tcBorders>
            <w:shd w:val="clear" w:color="auto" w:fill="F2F2F2" w:themeFill="background1" w:themeFillShade="F2"/>
          </w:tcPr>
          <w:p w:rsidR="00117984" w:rsidRDefault="00117984" w:rsidP="00117984">
            <w:pPr>
              <w:spacing w:after="0"/>
              <w:rPr>
                <w:sz w:val="20"/>
                <w:szCs w:val="20"/>
                <w:lang w:eastAsia="en-AU"/>
              </w:rPr>
            </w:pPr>
            <w:r w:rsidRPr="00117984">
              <w:rPr>
                <w:sz w:val="20"/>
                <w:szCs w:val="20"/>
                <w:lang w:eastAsia="en-AU"/>
              </w:rPr>
              <w:t>The number of avoidable human errors should decline; however this is difficult to determine because near miss data</w:t>
            </w:r>
            <w:r w:rsidR="00FF1C39">
              <w:t xml:space="preserve"> </w:t>
            </w:r>
            <w:r w:rsidR="00FF1C39" w:rsidRPr="00FF1C39">
              <w:rPr>
                <w:sz w:val="20"/>
                <w:szCs w:val="20"/>
                <w:lang w:eastAsia="en-AU"/>
              </w:rPr>
              <w:t>is currently</w:t>
            </w:r>
            <w:r w:rsidR="008E285F">
              <w:rPr>
                <w:sz w:val="20"/>
                <w:szCs w:val="20"/>
                <w:lang w:eastAsia="en-AU"/>
              </w:rPr>
              <w:t xml:space="preserve"> not</w:t>
            </w:r>
            <w:r w:rsidR="00FF1C39" w:rsidRPr="00FF1C39">
              <w:rPr>
                <w:sz w:val="20"/>
                <w:szCs w:val="20"/>
                <w:lang w:eastAsia="en-AU"/>
              </w:rPr>
              <w:t xml:space="preserve"> reported to a national body. Some jurisdictions do report</w:t>
            </w:r>
            <w:r w:rsidRPr="00117984">
              <w:rPr>
                <w:sz w:val="20"/>
                <w:szCs w:val="20"/>
                <w:lang w:eastAsia="en-AU"/>
              </w:rPr>
              <w:t xml:space="preserve"> local</w:t>
            </w:r>
            <w:r w:rsidR="00FF1C39">
              <w:rPr>
                <w:sz w:val="20"/>
                <w:szCs w:val="20"/>
                <w:lang w:eastAsia="en-AU"/>
              </w:rPr>
              <w:t>ly</w:t>
            </w:r>
          </w:p>
          <w:p w:rsidR="00FF1C39" w:rsidRDefault="00FF1C39" w:rsidP="00117984">
            <w:pPr>
              <w:spacing w:after="0"/>
              <w:rPr>
                <w:sz w:val="20"/>
                <w:szCs w:val="20"/>
                <w:lang w:eastAsia="en-AU"/>
              </w:rPr>
            </w:pPr>
          </w:p>
          <w:p w:rsidR="00FF1C39" w:rsidRPr="00117984" w:rsidRDefault="00FF1C39" w:rsidP="00D24808">
            <w:pPr>
              <w:spacing w:after="0"/>
              <w:rPr>
                <w:sz w:val="20"/>
                <w:szCs w:val="20"/>
                <w:lang w:eastAsia="en-AU"/>
              </w:rPr>
            </w:pPr>
            <w:r w:rsidRPr="00FF1C39">
              <w:rPr>
                <w:sz w:val="20"/>
                <w:szCs w:val="20"/>
                <w:lang w:eastAsia="en-AU"/>
              </w:rPr>
              <w:t>The number of I</w:t>
            </w:r>
            <w:r w:rsidR="008E285F">
              <w:rPr>
                <w:sz w:val="20"/>
                <w:szCs w:val="20"/>
                <w:lang w:eastAsia="en-AU"/>
              </w:rPr>
              <w:t>BCT</w:t>
            </w:r>
            <w:r w:rsidRPr="00FF1C39">
              <w:rPr>
                <w:sz w:val="20"/>
                <w:szCs w:val="20"/>
                <w:lang w:eastAsia="en-AU"/>
              </w:rPr>
              <w:t xml:space="preserve"> events reported should decline – this can be measured by</w:t>
            </w:r>
            <w:r w:rsidR="00D24808">
              <w:rPr>
                <w:sz w:val="20"/>
                <w:szCs w:val="20"/>
                <w:lang w:eastAsia="en-AU"/>
              </w:rPr>
              <w:t xml:space="preserve"> </w:t>
            </w:r>
            <w:proofErr w:type="spellStart"/>
            <w:r w:rsidR="00D24808">
              <w:rPr>
                <w:sz w:val="20"/>
                <w:szCs w:val="20"/>
                <w:lang w:eastAsia="en-AU"/>
              </w:rPr>
              <w:t>haemovigilance</w:t>
            </w:r>
            <w:proofErr w:type="spellEnd"/>
            <w:r w:rsidRPr="00FF1C39">
              <w:rPr>
                <w:sz w:val="20"/>
                <w:szCs w:val="20"/>
                <w:lang w:eastAsia="en-AU"/>
              </w:rPr>
              <w:t xml:space="preserve"> data</w:t>
            </w:r>
          </w:p>
        </w:tc>
      </w:tr>
      <w:tr w:rsidR="00117984" w:rsidRPr="00117984" w:rsidTr="0096249F">
        <w:tc>
          <w:tcPr>
            <w:tcW w:w="425" w:type="dxa"/>
            <w:tcBorders>
              <w:top w:val="nil"/>
            </w:tcBorders>
          </w:tcPr>
          <w:p w:rsidR="00117984" w:rsidRPr="00117984" w:rsidRDefault="00117984" w:rsidP="00117984">
            <w:pPr>
              <w:rPr>
                <w:sz w:val="20"/>
                <w:szCs w:val="20"/>
                <w:lang w:eastAsia="en-AU"/>
              </w:rPr>
            </w:pPr>
            <w:r w:rsidRPr="00117984">
              <w:rPr>
                <w:sz w:val="20"/>
                <w:szCs w:val="20"/>
                <w:lang w:eastAsia="en-AU"/>
              </w:rPr>
              <w:t>4</w:t>
            </w:r>
          </w:p>
        </w:tc>
        <w:tc>
          <w:tcPr>
            <w:tcW w:w="2127" w:type="dxa"/>
            <w:tcBorders>
              <w:top w:val="nil"/>
            </w:tcBorders>
            <w:shd w:val="clear" w:color="auto" w:fill="auto"/>
          </w:tcPr>
          <w:p w:rsidR="00117984" w:rsidRPr="00117984" w:rsidRDefault="00117984" w:rsidP="00117984">
            <w:pPr>
              <w:spacing w:after="0"/>
              <w:rPr>
                <w:sz w:val="20"/>
                <w:szCs w:val="20"/>
                <w:lang w:eastAsia="en-AU"/>
              </w:rPr>
            </w:pPr>
            <w:r w:rsidRPr="00117984">
              <w:rPr>
                <w:sz w:val="20"/>
                <w:szCs w:val="20"/>
                <w:lang w:eastAsia="en-AU"/>
              </w:rPr>
              <w:t>Promote the application of technological adjuncts such as portable barcode readers and/or radio frequency identification scanners to reduce the scope for error</w:t>
            </w:r>
          </w:p>
        </w:tc>
        <w:tc>
          <w:tcPr>
            <w:tcW w:w="1984" w:type="dxa"/>
            <w:tcBorders>
              <w:top w:val="nil"/>
            </w:tcBorders>
            <w:shd w:val="clear" w:color="auto" w:fill="F2F2F2" w:themeFill="background1" w:themeFillShade="F2"/>
          </w:tcPr>
          <w:p w:rsidR="00117984" w:rsidRPr="00117984" w:rsidRDefault="00117984" w:rsidP="00117984">
            <w:pPr>
              <w:spacing w:after="0"/>
              <w:rPr>
                <w:sz w:val="20"/>
                <w:szCs w:val="20"/>
                <w:lang w:eastAsia="en-AU"/>
              </w:rPr>
            </w:pPr>
            <w:r w:rsidRPr="00117984">
              <w:rPr>
                <w:sz w:val="20"/>
                <w:szCs w:val="20"/>
                <w:lang w:eastAsia="en-AU"/>
              </w:rPr>
              <w:t>NBA; HAC; Quality and Safety organisations; Research Bodies</w:t>
            </w:r>
          </w:p>
        </w:tc>
        <w:tc>
          <w:tcPr>
            <w:tcW w:w="2552" w:type="dxa"/>
            <w:tcBorders>
              <w:top w:val="nil"/>
            </w:tcBorders>
            <w:shd w:val="clear" w:color="auto" w:fill="auto"/>
          </w:tcPr>
          <w:p w:rsidR="00117984" w:rsidRPr="00117984" w:rsidRDefault="00117984" w:rsidP="00117984">
            <w:pPr>
              <w:spacing w:after="0"/>
              <w:rPr>
                <w:sz w:val="20"/>
                <w:szCs w:val="20"/>
                <w:lang w:eastAsia="en-AU"/>
              </w:rPr>
            </w:pPr>
            <w:r w:rsidRPr="00117984">
              <w:rPr>
                <w:sz w:val="20"/>
                <w:szCs w:val="20"/>
                <w:lang w:eastAsia="en-AU"/>
              </w:rPr>
              <w:t>Implement the National Policy on Barcoding for Blood and Blood Products</w:t>
            </w:r>
            <w:r w:rsidR="00FD65B6">
              <w:rPr>
                <w:sz w:val="20"/>
                <w:szCs w:val="20"/>
                <w:lang w:eastAsia="en-AU"/>
              </w:rPr>
              <w:t xml:space="preserve"> </w:t>
            </w:r>
          </w:p>
          <w:p w:rsidR="00117984" w:rsidRPr="00117984" w:rsidRDefault="00117984" w:rsidP="00117984">
            <w:pPr>
              <w:spacing w:after="0"/>
              <w:rPr>
                <w:sz w:val="20"/>
                <w:szCs w:val="20"/>
                <w:lang w:eastAsia="en-AU"/>
              </w:rPr>
            </w:pPr>
          </w:p>
          <w:p w:rsidR="00117984" w:rsidRPr="00117984" w:rsidRDefault="00117984" w:rsidP="006F4AB7">
            <w:pPr>
              <w:spacing w:after="0"/>
              <w:rPr>
                <w:sz w:val="20"/>
                <w:szCs w:val="20"/>
              </w:rPr>
            </w:pPr>
            <w:r w:rsidRPr="00117984">
              <w:rPr>
                <w:sz w:val="20"/>
                <w:szCs w:val="20"/>
                <w:lang w:eastAsia="en-AU"/>
              </w:rPr>
              <w:t>NBA to recommend strategies and develop case studies to support the implementation of the Barcoding Policy</w:t>
            </w:r>
          </w:p>
        </w:tc>
        <w:tc>
          <w:tcPr>
            <w:tcW w:w="2268" w:type="dxa"/>
            <w:tcBorders>
              <w:top w:val="nil"/>
            </w:tcBorders>
            <w:shd w:val="clear" w:color="auto" w:fill="F2F2F2" w:themeFill="background1" w:themeFillShade="F2"/>
          </w:tcPr>
          <w:p w:rsidR="00117984" w:rsidRDefault="00FD65B6" w:rsidP="00117984">
            <w:pPr>
              <w:spacing w:after="0"/>
              <w:rPr>
                <w:sz w:val="20"/>
                <w:szCs w:val="20"/>
                <w:lang w:eastAsia="en-AU"/>
              </w:rPr>
            </w:pPr>
            <w:r>
              <w:rPr>
                <w:sz w:val="20"/>
                <w:szCs w:val="20"/>
                <w:lang w:eastAsia="en-AU"/>
              </w:rPr>
              <w:t xml:space="preserve">The </w:t>
            </w:r>
            <w:r w:rsidR="00117984" w:rsidRPr="00117984">
              <w:rPr>
                <w:sz w:val="20"/>
                <w:szCs w:val="20"/>
                <w:lang w:eastAsia="en-AU"/>
              </w:rPr>
              <w:t xml:space="preserve">Barcode </w:t>
            </w:r>
            <w:r w:rsidR="006F4AB7">
              <w:rPr>
                <w:sz w:val="20"/>
                <w:szCs w:val="20"/>
                <w:lang w:eastAsia="en-AU"/>
              </w:rPr>
              <w:t>S</w:t>
            </w:r>
            <w:r w:rsidR="00117984" w:rsidRPr="00117984">
              <w:rPr>
                <w:sz w:val="20"/>
                <w:szCs w:val="20"/>
                <w:lang w:eastAsia="en-AU"/>
              </w:rPr>
              <w:t>pecification</w:t>
            </w:r>
            <w:r w:rsidR="006F4AB7">
              <w:rPr>
                <w:sz w:val="20"/>
                <w:szCs w:val="20"/>
                <w:lang w:eastAsia="en-AU"/>
              </w:rPr>
              <w:t>s</w:t>
            </w:r>
            <w:r w:rsidR="00374BE5">
              <w:rPr>
                <w:sz w:val="20"/>
                <w:szCs w:val="20"/>
                <w:lang w:eastAsia="en-AU"/>
              </w:rPr>
              <w:t xml:space="preserve"> (previously known as </w:t>
            </w:r>
            <w:r w:rsidR="00374BE5" w:rsidRPr="00374BE5">
              <w:rPr>
                <w:sz w:val="20"/>
                <w:szCs w:val="20"/>
                <w:lang w:eastAsia="en-AU"/>
              </w:rPr>
              <w:t>National Policy on Barcoding for Blood and Blood Products</w:t>
            </w:r>
            <w:r w:rsidR="000F41D7">
              <w:rPr>
                <w:sz w:val="20"/>
                <w:szCs w:val="20"/>
                <w:lang w:eastAsia="en-AU"/>
              </w:rPr>
              <w:t>)</w:t>
            </w:r>
            <w:r w:rsidR="00117984" w:rsidRPr="00117984">
              <w:rPr>
                <w:sz w:val="20"/>
                <w:szCs w:val="20"/>
                <w:lang w:eastAsia="en-AU"/>
              </w:rPr>
              <w:t>, samples and other standard and guide information have been published on the NBA website</w:t>
            </w:r>
          </w:p>
          <w:p w:rsidR="00374BE5" w:rsidRDefault="00374BE5" w:rsidP="00117984">
            <w:pPr>
              <w:spacing w:after="0"/>
              <w:rPr>
                <w:sz w:val="20"/>
                <w:szCs w:val="20"/>
                <w:lang w:eastAsia="en-AU"/>
              </w:rPr>
            </w:pPr>
          </w:p>
          <w:p w:rsidR="006F4AB7" w:rsidRPr="00117984" w:rsidRDefault="00374BE5" w:rsidP="004D69EE">
            <w:pPr>
              <w:spacing w:after="0"/>
              <w:rPr>
                <w:sz w:val="20"/>
                <w:szCs w:val="20"/>
                <w:lang w:eastAsia="en-AU"/>
              </w:rPr>
            </w:pPr>
            <w:r>
              <w:rPr>
                <w:sz w:val="20"/>
                <w:szCs w:val="20"/>
                <w:lang w:eastAsia="en-AU"/>
              </w:rPr>
              <w:t>The NBA is developing case studies with states/territories and health service providers</w:t>
            </w:r>
          </w:p>
        </w:tc>
      </w:tr>
      <w:tr w:rsidR="00117984" w:rsidRPr="00117984" w:rsidTr="0096249F">
        <w:tc>
          <w:tcPr>
            <w:tcW w:w="425" w:type="dxa"/>
          </w:tcPr>
          <w:p w:rsidR="00117984" w:rsidRPr="00117984" w:rsidRDefault="00117984" w:rsidP="00117984">
            <w:pPr>
              <w:rPr>
                <w:sz w:val="20"/>
                <w:szCs w:val="20"/>
                <w:lang w:eastAsia="en-AU"/>
              </w:rPr>
            </w:pPr>
            <w:r w:rsidRPr="00117984">
              <w:rPr>
                <w:sz w:val="20"/>
                <w:szCs w:val="20"/>
                <w:lang w:eastAsia="en-AU"/>
              </w:rPr>
              <w:t>5</w:t>
            </w:r>
          </w:p>
        </w:tc>
        <w:tc>
          <w:tcPr>
            <w:tcW w:w="2127" w:type="dxa"/>
            <w:shd w:val="clear" w:color="auto" w:fill="auto"/>
          </w:tcPr>
          <w:p w:rsidR="00117984" w:rsidRPr="00117984" w:rsidRDefault="00117984" w:rsidP="00117984">
            <w:pPr>
              <w:spacing w:after="0"/>
              <w:rPr>
                <w:sz w:val="20"/>
                <w:szCs w:val="20"/>
                <w:lang w:eastAsia="en-AU"/>
              </w:rPr>
            </w:pPr>
            <w:r w:rsidRPr="00117984">
              <w:rPr>
                <w:sz w:val="20"/>
                <w:szCs w:val="20"/>
              </w:rPr>
              <w:t>Develop tools to encourage alignment of prescribing practice with clinical guidelines</w:t>
            </w:r>
          </w:p>
        </w:tc>
        <w:tc>
          <w:tcPr>
            <w:tcW w:w="1984" w:type="dxa"/>
            <w:shd w:val="clear" w:color="auto" w:fill="F2F2F2" w:themeFill="background1" w:themeFillShade="F2"/>
          </w:tcPr>
          <w:p w:rsidR="00117984" w:rsidRPr="00117984" w:rsidRDefault="00117984" w:rsidP="00117984">
            <w:pPr>
              <w:spacing w:after="0"/>
              <w:rPr>
                <w:sz w:val="20"/>
                <w:szCs w:val="20"/>
                <w:lang w:eastAsia="en-AU"/>
              </w:rPr>
            </w:pPr>
            <w:r w:rsidRPr="00117984">
              <w:rPr>
                <w:sz w:val="20"/>
                <w:szCs w:val="20"/>
              </w:rPr>
              <w:t>NBA; Blood Sector stakeholders</w:t>
            </w:r>
          </w:p>
        </w:tc>
        <w:tc>
          <w:tcPr>
            <w:tcW w:w="2552" w:type="dxa"/>
            <w:shd w:val="clear" w:color="auto" w:fill="auto"/>
          </w:tcPr>
          <w:p w:rsidR="00117984" w:rsidRPr="00117984" w:rsidRDefault="00117984" w:rsidP="00117984">
            <w:pPr>
              <w:spacing w:after="0"/>
              <w:rPr>
                <w:sz w:val="20"/>
                <w:szCs w:val="20"/>
              </w:rPr>
            </w:pPr>
            <w:r w:rsidRPr="00117984">
              <w:rPr>
                <w:sz w:val="20"/>
                <w:szCs w:val="20"/>
              </w:rPr>
              <w:t>NBA to collaborate with relevant stakeholders to develop a national reference set of tools to assist with transfusion practice and clinical decision support</w:t>
            </w:r>
          </w:p>
        </w:tc>
        <w:tc>
          <w:tcPr>
            <w:tcW w:w="2268" w:type="dxa"/>
            <w:shd w:val="clear" w:color="auto" w:fill="F2F2F2" w:themeFill="background1" w:themeFillShade="F2"/>
          </w:tcPr>
          <w:p w:rsidR="00117984" w:rsidRPr="00117984" w:rsidRDefault="00117984" w:rsidP="00437C01">
            <w:pPr>
              <w:spacing w:after="0"/>
              <w:rPr>
                <w:sz w:val="20"/>
                <w:szCs w:val="20"/>
                <w:lang w:eastAsia="en-AU"/>
              </w:rPr>
            </w:pPr>
            <w:r w:rsidRPr="00117984">
              <w:rPr>
                <w:sz w:val="20"/>
                <w:szCs w:val="20"/>
                <w:lang w:eastAsia="en-AU"/>
              </w:rPr>
              <w:t>NBA is collaborating with stakeholders to promote and develop a national reference set of tools</w:t>
            </w:r>
          </w:p>
        </w:tc>
      </w:tr>
    </w:tbl>
    <w:p w:rsidR="003A25C4" w:rsidRPr="008C274E" w:rsidRDefault="003A25C4">
      <w:pPr>
        <w:spacing w:line="276" w:lineRule="auto"/>
        <w:rPr>
          <w:rFonts w:ascii="Arial" w:hAnsi="Arial" w:cs="Arial"/>
          <w:color w:val="FF0000"/>
          <w:sz w:val="28"/>
          <w:szCs w:val="28"/>
          <w:lang w:eastAsia="en-AU"/>
        </w:rPr>
      </w:pPr>
      <w:bookmarkStart w:id="180" w:name="_Toc420837273"/>
      <w:r w:rsidRPr="008C274E">
        <w:rPr>
          <w:rFonts w:ascii="Arial" w:hAnsi="Arial" w:cs="Arial"/>
          <w:color w:val="FF0000"/>
          <w:sz w:val="28"/>
          <w:szCs w:val="28"/>
          <w:lang w:eastAsia="en-AU"/>
        </w:rPr>
        <w:br w:type="page"/>
      </w:r>
    </w:p>
    <w:p w:rsidR="00117984" w:rsidRPr="00117984" w:rsidRDefault="00117984" w:rsidP="002E310A">
      <w:pPr>
        <w:pStyle w:val="Heading2"/>
        <w:rPr>
          <w:lang w:eastAsia="en-AU"/>
        </w:rPr>
      </w:pPr>
      <w:bookmarkStart w:id="181" w:name="_Toc459366183"/>
      <w:r w:rsidRPr="00117984">
        <w:rPr>
          <w:lang w:eastAsia="en-AU"/>
        </w:rPr>
        <w:lastRenderedPageBreak/>
        <w:t>Data standards</w:t>
      </w:r>
      <w:bookmarkEnd w:id="180"/>
      <w:bookmarkEnd w:id="181"/>
    </w:p>
    <w:p w:rsidR="00117984" w:rsidRPr="003A25C4" w:rsidRDefault="00117984" w:rsidP="003A25C4">
      <w:pPr>
        <w:pStyle w:val="Caption"/>
      </w:pPr>
      <w:bookmarkStart w:id="182" w:name="_Ref357179639"/>
      <w:bookmarkStart w:id="183" w:name="_Toc420835711"/>
      <w:bookmarkStart w:id="184" w:name="_Toc459636874"/>
      <w:bookmarkStart w:id="185" w:name="_Toc261415062"/>
      <w:bookmarkStart w:id="186" w:name="_Toc263840111"/>
      <w:r w:rsidRPr="003A25C4">
        <w:t xml:space="preserve">Table </w:t>
      </w:r>
      <w:fldSimple w:instr=" SEQ Table \* ARABIC ">
        <w:r w:rsidR="000010BC">
          <w:rPr>
            <w:noProof/>
          </w:rPr>
          <w:t>34</w:t>
        </w:r>
      </w:fldSimple>
      <w:bookmarkEnd w:id="182"/>
      <w:r w:rsidRPr="003A25C4">
        <w:t xml:space="preserve">: Progress against the data standards recommendations of the Australian </w:t>
      </w:r>
      <w:proofErr w:type="spellStart"/>
      <w:r w:rsidRPr="003A25C4">
        <w:t>Haemovigilance</w:t>
      </w:r>
      <w:proofErr w:type="spellEnd"/>
      <w:r w:rsidRPr="003A25C4">
        <w:t xml:space="preserve"> Report </w:t>
      </w:r>
      <w:bookmarkEnd w:id="183"/>
      <w:r w:rsidR="00230469" w:rsidRPr="003A25C4">
        <w:t>2015</w:t>
      </w:r>
      <w:bookmarkEnd w:id="184"/>
    </w:p>
    <w:bookmarkEnd w:id="185"/>
    <w:bookmarkEnd w:id="186"/>
    <w:tbl>
      <w:tblPr>
        <w:tblW w:w="0" w:type="auto"/>
        <w:tblInd w:w="108" w:type="dxa"/>
        <w:tblBorders>
          <w:insideH w:val="single" w:sz="4" w:space="0" w:color="auto"/>
        </w:tblBorders>
        <w:tblLook w:val="04A0" w:firstRow="1" w:lastRow="0" w:firstColumn="1" w:lastColumn="0" w:noHBand="0" w:noVBand="1"/>
      </w:tblPr>
      <w:tblGrid>
        <w:gridCol w:w="425"/>
        <w:gridCol w:w="2268"/>
        <w:gridCol w:w="1985"/>
        <w:gridCol w:w="2268"/>
        <w:gridCol w:w="2352"/>
      </w:tblGrid>
      <w:tr w:rsidR="00117984" w:rsidRPr="00117984" w:rsidTr="009E4A39">
        <w:trPr>
          <w:trHeight w:val="629"/>
          <w:tblHeader/>
        </w:trPr>
        <w:tc>
          <w:tcPr>
            <w:tcW w:w="425"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p>
        </w:tc>
        <w:tc>
          <w:tcPr>
            <w:tcW w:w="2268"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Recommendations from 2015 report</w:t>
            </w:r>
          </w:p>
        </w:tc>
        <w:tc>
          <w:tcPr>
            <w:tcW w:w="1985"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Who is responsible?</w:t>
            </w:r>
          </w:p>
        </w:tc>
        <w:tc>
          <w:tcPr>
            <w:tcW w:w="2268"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Proposed strategy from 2015 report</w:t>
            </w:r>
          </w:p>
        </w:tc>
        <w:tc>
          <w:tcPr>
            <w:tcW w:w="2352"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Outcomes</w:t>
            </w:r>
          </w:p>
        </w:tc>
      </w:tr>
      <w:tr w:rsidR="00117984" w:rsidRPr="00117984" w:rsidTr="009E4A39">
        <w:tc>
          <w:tcPr>
            <w:tcW w:w="425" w:type="dxa"/>
            <w:tcBorders>
              <w:top w:val="nil"/>
              <w:bottom w:val="single" w:sz="4" w:space="0" w:color="auto"/>
            </w:tcBorders>
            <w:shd w:val="clear" w:color="auto" w:fill="FFFFFF" w:themeFill="background1"/>
          </w:tcPr>
          <w:p w:rsidR="00117984" w:rsidRPr="00117984" w:rsidRDefault="00117984" w:rsidP="00117984">
            <w:pPr>
              <w:spacing w:after="120"/>
              <w:rPr>
                <w:sz w:val="20"/>
                <w:szCs w:val="20"/>
                <w:lang w:eastAsia="en-AU"/>
              </w:rPr>
            </w:pPr>
            <w:r w:rsidRPr="00117984">
              <w:rPr>
                <w:sz w:val="20"/>
                <w:szCs w:val="20"/>
                <w:lang w:eastAsia="en-AU"/>
              </w:rPr>
              <w:t>6</w:t>
            </w:r>
          </w:p>
        </w:tc>
        <w:tc>
          <w:tcPr>
            <w:tcW w:w="2268" w:type="dxa"/>
            <w:tcBorders>
              <w:top w:val="nil"/>
              <w:bottom w:val="single" w:sz="4" w:space="0" w:color="auto"/>
            </w:tcBorders>
            <w:shd w:val="clear" w:color="auto" w:fill="FFFFFF" w:themeFill="background1"/>
          </w:tcPr>
          <w:p w:rsidR="00117984" w:rsidRPr="00117984" w:rsidRDefault="00117984" w:rsidP="00117984">
            <w:pPr>
              <w:spacing w:after="0"/>
              <w:rPr>
                <w:sz w:val="20"/>
                <w:szCs w:val="20"/>
                <w:lang w:eastAsia="en-AU"/>
              </w:rPr>
            </w:pPr>
            <w:r w:rsidRPr="00117984">
              <w:rPr>
                <w:sz w:val="20"/>
                <w:szCs w:val="20"/>
              </w:rPr>
              <w:t>Review and re</w:t>
            </w:r>
            <w:r w:rsidRPr="00117984">
              <w:rPr>
                <w:sz w:val="20"/>
                <w:szCs w:val="20"/>
              </w:rPr>
              <w:noBreakHyphen/>
              <w:t xml:space="preserve">develop the Australian National </w:t>
            </w:r>
            <w:proofErr w:type="spellStart"/>
            <w:r w:rsidRPr="00117984">
              <w:rPr>
                <w:sz w:val="20"/>
                <w:szCs w:val="20"/>
              </w:rPr>
              <w:t>Haemovigilance</w:t>
            </w:r>
            <w:proofErr w:type="spellEnd"/>
            <w:r w:rsidRPr="00117984">
              <w:rPr>
                <w:sz w:val="20"/>
                <w:szCs w:val="20"/>
              </w:rPr>
              <w:t xml:space="preserve"> Data Dictionary</w:t>
            </w:r>
          </w:p>
        </w:tc>
        <w:tc>
          <w:tcPr>
            <w:tcW w:w="1985" w:type="dxa"/>
            <w:tcBorders>
              <w:top w:val="nil"/>
              <w:bottom w:val="single" w:sz="4" w:space="0" w:color="auto"/>
            </w:tcBorders>
            <w:shd w:val="clear" w:color="auto" w:fill="F2F2F2" w:themeFill="background1" w:themeFillShade="F2"/>
          </w:tcPr>
          <w:p w:rsidR="00117984" w:rsidRPr="00117984" w:rsidRDefault="00117984" w:rsidP="00117984">
            <w:pPr>
              <w:spacing w:after="0"/>
              <w:rPr>
                <w:sz w:val="20"/>
                <w:szCs w:val="20"/>
                <w:lang w:eastAsia="en-AU"/>
              </w:rPr>
            </w:pPr>
            <w:r w:rsidRPr="00117984">
              <w:rPr>
                <w:sz w:val="20"/>
                <w:szCs w:val="20"/>
                <w:lang w:eastAsia="en-AU"/>
              </w:rPr>
              <w:t>HAC; NBA</w:t>
            </w:r>
          </w:p>
        </w:tc>
        <w:tc>
          <w:tcPr>
            <w:tcW w:w="2268" w:type="dxa"/>
            <w:tcBorders>
              <w:top w:val="nil"/>
              <w:bottom w:val="single" w:sz="4" w:space="0" w:color="auto"/>
            </w:tcBorders>
            <w:shd w:val="clear" w:color="auto" w:fill="auto"/>
          </w:tcPr>
          <w:p w:rsidR="00117984" w:rsidRPr="00117984" w:rsidRDefault="00117984" w:rsidP="00117984">
            <w:pPr>
              <w:spacing w:after="0"/>
              <w:rPr>
                <w:rFonts w:asciiTheme="minorHAnsi" w:hAnsiTheme="minorHAnsi" w:cstheme="minorHAnsi"/>
                <w:sz w:val="20"/>
                <w:szCs w:val="20"/>
                <w:lang w:eastAsia="en-AU"/>
              </w:rPr>
            </w:pPr>
            <w:r w:rsidRPr="00117984">
              <w:rPr>
                <w:rFonts w:asciiTheme="minorHAnsi" w:hAnsiTheme="minorHAnsi" w:cstheme="minorHAnsi"/>
                <w:sz w:val="20"/>
                <w:szCs w:val="20"/>
                <w:lang w:eastAsia="en-AU"/>
              </w:rPr>
              <w:t>NBA to revise the ANHDD based on the NBA standard data element template</w:t>
            </w:r>
          </w:p>
          <w:p w:rsidR="008E6FE9" w:rsidRDefault="008E6FE9" w:rsidP="00117984">
            <w:pPr>
              <w:spacing w:after="0"/>
              <w:rPr>
                <w:rFonts w:asciiTheme="minorHAnsi" w:hAnsiTheme="minorHAnsi" w:cstheme="minorHAnsi"/>
                <w:sz w:val="20"/>
                <w:szCs w:val="20"/>
                <w:lang w:eastAsia="en-AU"/>
              </w:rPr>
            </w:pPr>
          </w:p>
          <w:p w:rsidR="00117984" w:rsidRPr="00117984" w:rsidRDefault="00117984" w:rsidP="00117984">
            <w:pPr>
              <w:spacing w:after="0"/>
              <w:rPr>
                <w:rFonts w:asciiTheme="minorHAnsi" w:hAnsiTheme="minorHAnsi" w:cstheme="minorHAnsi"/>
                <w:sz w:val="20"/>
                <w:szCs w:val="20"/>
                <w:lang w:eastAsia="en-AU"/>
              </w:rPr>
            </w:pPr>
            <w:r w:rsidRPr="00117984">
              <w:rPr>
                <w:rFonts w:asciiTheme="minorHAnsi" w:hAnsiTheme="minorHAnsi" w:cstheme="minorHAnsi"/>
                <w:sz w:val="20"/>
                <w:szCs w:val="20"/>
                <w:lang w:eastAsia="en-AU"/>
              </w:rPr>
              <w:t>The HAC to review and endorse the revised data dictionary and definitions</w:t>
            </w:r>
          </w:p>
          <w:p w:rsidR="008E6FE9" w:rsidRDefault="008E6FE9" w:rsidP="00117984">
            <w:pPr>
              <w:spacing w:after="0"/>
              <w:rPr>
                <w:rFonts w:asciiTheme="minorHAnsi" w:hAnsiTheme="minorHAnsi" w:cstheme="minorHAnsi"/>
                <w:sz w:val="20"/>
                <w:szCs w:val="20"/>
                <w:lang w:eastAsia="en-AU"/>
              </w:rPr>
            </w:pPr>
          </w:p>
          <w:p w:rsidR="00117984" w:rsidRPr="00117984" w:rsidRDefault="00117984" w:rsidP="00117984">
            <w:pPr>
              <w:spacing w:after="0"/>
              <w:rPr>
                <w:sz w:val="20"/>
                <w:szCs w:val="20"/>
              </w:rPr>
            </w:pPr>
            <w:r w:rsidRPr="00117984">
              <w:rPr>
                <w:rFonts w:asciiTheme="minorHAnsi" w:hAnsiTheme="minorHAnsi" w:cstheme="minorHAnsi"/>
                <w:sz w:val="20"/>
                <w:szCs w:val="20"/>
                <w:lang w:eastAsia="en-AU"/>
              </w:rPr>
              <w:t>NBA to publish and distribute the Dictionary</w:t>
            </w:r>
          </w:p>
        </w:tc>
        <w:tc>
          <w:tcPr>
            <w:tcW w:w="2352" w:type="dxa"/>
            <w:tcBorders>
              <w:top w:val="nil"/>
              <w:bottom w:val="single" w:sz="4" w:space="0" w:color="auto"/>
            </w:tcBorders>
            <w:shd w:val="clear" w:color="auto" w:fill="F2F2F2" w:themeFill="background1" w:themeFillShade="F2"/>
          </w:tcPr>
          <w:p w:rsidR="00117984" w:rsidRPr="00117984" w:rsidRDefault="00117984" w:rsidP="006C3D85">
            <w:pPr>
              <w:rPr>
                <w:rFonts w:asciiTheme="minorHAnsi" w:eastAsia="Times New Roman" w:hAnsiTheme="minorHAnsi" w:cstheme="minorHAnsi"/>
                <w:sz w:val="20"/>
                <w:szCs w:val="20"/>
                <w:lang w:eastAsia="en-AU"/>
              </w:rPr>
            </w:pPr>
            <w:r w:rsidRPr="00117984">
              <w:rPr>
                <w:rFonts w:asciiTheme="minorHAnsi" w:hAnsiTheme="minorHAnsi"/>
                <w:sz w:val="20"/>
                <w:szCs w:val="20"/>
              </w:rPr>
              <w:t xml:space="preserve">The revised ANHDD now called the </w:t>
            </w:r>
            <w:r w:rsidRPr="00117984">
              <w:rPr>
                <w:sz w:val="20"/>
                <w:szCs w:val="20"/>
              </w:rPr>
              <w:t xml:space="preserve">Australian </w:t>
            </w:r>
            <w:proofErr w:type="spellStart"/>
            <w:r w:rsidRPr="00117984">
              <w:rPr>
                <w:sz w:val="20"/>
                <w:szCs w:val="20"/>
              </w:rPr>
              <w:t>Haemovigilance</w:t>
            </w:r>
            <w:proofErr w:type="spellEnd"/>
            <w:r w:rsidRPr="00117984">
              <w:rPr>
                <w:sz w:val="20"/>
                <w:szCs w:val="20"/>
              </w:rPr>
              <w:t xml:space="preserve"> Minimum Data Set  (AHMDS) was reviewed by</w:t>
            </w:r>
            <w:r w:rsidRPr="00117984">
              <w:rPr>
                <w:rFonts w:asciiTheme="minorHAnsi" w:hAnsiTheme="minorHAnsi"/>
                <w:sz w:val="20"/>
                <w:szCs w:val="20"/>
              </w:rPr>
              <w:t xml:space="preserve"> HAC in 2015 and published on </w:t>
            </w:r>
            <w:r w:rsidR="008E6FE9">
              <w:rPr>
                <w:rFonts w:asciiTheme="minorHAnsi" w:hAnsiTheme="minorHAnsi"/>
                <w:sz w:val="20"/>
                <w:szCs w:val="20"/>
              </w:rPr>
              <w:t xml:space="preserve">the </w:t>
            </w:r>
            <w:r w:rsidRPr="00117984">
              <w:rPr>
                <w:rFonts w:asciiTheme="minorHAnsi" w:hAnsiTheme="minorHAnsi"/>
                <w:sz w:val="20"/>
                <w:szCs w:val="20"/>
              </w:rPr>
              <w:t>NBA website in 201</w:t>
            </w:r>
            <w:r w:rsidR="00230469">
              <w:rPr>
                <w:rFonts w:asciiTheme="minorHAnsi" w:hAnsiTheme="minorHAnsi"/>
                <w:sz w:val="20"/>
                <w:szCs w:val="20"/>
              </w:rPr>
              <w:t>6</w:t>
            </w:r>
          </w:p>
        </w:tc>
      </w:tr>
      <w:tr w:rsidR="00117984" w:rsidRPr="00117984" w:rsidTr="009E4A39">
        <w:tc>
          <w:tcPr>
            <w:tcW w:w="425" w:type="dxa"/>
            <w:tcBorders>
              <w:top w:val="single" w:sz="4" w:space="0" w:color="auto"/>
            </w:tcBorders>
            <w:shd w:val="clear" w:color="auto" w:fill="FFFFFF" w:themeFill="background1"/>
          </w:tcPr>
          <w:p w:rsidR="00117984" w:rsidRPr="00117984" w:rsidRDefault="00117984" w:rsidP="00117984">
            <w:pPr>
              <w:spacing w:after="120"/>
              <w:rPr>
                <w:sz w:val="20"/>
                <w:szCs w:val="20"/>
                <w:lang w:eastAsia="en-AU"/>
              </w:rPr>
            </w:pPr>
            <w:r w:rsidRPr="00117984">
              <w:rPr>
                <w:sz w:val="20"/>
                <w:szCs w:val="20"/>
                <w:lang w:eastAsia="en-AU"/>
              </w:rPr>
              <w:t>7</w:t>
            </w:r>
          </w:p>
        </w:tc>
        <w:tc>
          <w:tcPr>
            <w:tcW w:w="2268" w:type="dxa"/>
            <w:tcBorders>
              <w:top w:val="single" w:sz="4" w:space="0" w:color="auto"/>
            </w:tcBorders>
            <w:shd w:val="clear" w:color="auto" w:fill="FFFFFF" w:themeFill="background1"/>
          </w:tcPr>
          <w:p w:rsidR="00117984" w:rsidRPr="00117984" w:rsidRDefault="00117984" w:rsidP="00117984">
            <w:pPr>
              <w:spacing w:after="0"/>
              <w:rPr>
                <w:sz w:val="20"/>
                <w:szCs w:val="20"/>
                <w:lang w:eastAsia="en-AU"/>
              </w:rPr>
            </w:pPr>
            <w:r w:rsidRPr="00117984">
              <w:rPr>
                <w:sz w:val="20"/>
                <w:szCs w:val="20"/>
                <w:lang w:eastAsia="en-AU"/>
              </w:rPr>
              <w:t xml:space="preserve">Provide tools for </w:t>
            </w:r>
            <w:r w:rsidR="00FF7E81">
              <w:rPr>
                <w:sz w:val="20"/>
                <w:szCs w:val="20"/>
                <w:lang w:eastAsia="en-AU"/>
              </w:rPr>
              <w:t>health service providers</w:t>
            </w:r>
            <w:r w:rsidRPr="00117984">
              <w:rPr>
                <w:sz w:val="20"/>
                <w:szCs w:val="20"/>
                <w:lang w:eastAsia="en-AU"/>
              </w:rPr>
              <w:t xml:space="preserve"> on the application of </w:t>
            </w:r>
            <w:r w:rsidR="003F166E">
              <w:rPr>
                <w:sz w:val="20"/>
                <w:szCs w:val="20"/>
                <w:lang w:eastAsia="en-AU"/>
              </w:rPr>
              <w:t xml:space="preserve">the </w:t>
            </w:r>
            <w:r w:rsidRPr="00117984">
              <w:rPr>
                <w:sz w:val="20"/>
                <w:szCs w:val="20"/>
                <w:lang w:eastAsia="en-AU"/>
              </w:rPr>
              <w:t xml:space="preserve">Australian National </w:t>
            </w:r>
            <w:proofErr w:type="spellStart"/>
            <w:r w:rsidRPr="00117984">
              <w:rPr>
                <w:sz w:val="20"/>
                <w:szCs w:val="20"/>
                <w:lang w:eastAsia="en-AU"/>
              </w:rPr>
              <w:t>Haemovigilance</w:t>
            </w:r>
            <w:proofErr w:type="spellEnd"/>
            <w:r w:rsidRPr="00117984">
              <w:rPr>
                <w:sz w:val="20"/>
                <w:szCs w:val="20"/>
                <w:lang w:eastAsia="en-AU"/>
              </w:rPr>
              <w:t xml:space="preserve"> Data Dictionary and reporting of </w:t>
            </w:r>
            <w:proofErr w:type="spellStart"/>
            <w:r w:rsidRPr="00117984">
              <w:rPr>
                <w:sz w:val="20"/>
                <w:szCs w:val="20"/>
                <w:lang w:eastAsia="en-AU"/>
              </w:rPr>
              <w:t>haemovigilance</w:t>
            </w:r>
            <w:proofErr w:type="spellEnd"/>
            <w:r w:rsidRPr="00117984">
              <w:rPr>
                <w:sz w:val="20"/>
                <w:szCs w:val="20"/>
                <w:lang w:eastAsia="en-AU"/>
              </w:rPr>
              <w:t xml:space="preserve"> data</w:t>
            </w:r>
          </w:p>
        </w:tc>
        <w:tc>
          <w:tcPr>
            <w:tcW w:w="1985" w:type="dxa"/>
            <w:tcBorders>
              <w:top w:val="single" w:sz="4" w:space="0" w:color="auto"/>
            </w:tcBorders>
            <w:shd w:val="clear" w:color="auto" w:fill="F2F2F2" w:themeFill="background1" w:themeFillShade="F2"/>
          </w:tcPr>
          <w:p w:rsidR="00117984" w:rsidRPr="00117984" w:rsidRDefault="00117984" w:rsidP="00C66864">
            <w:pPr>
              <w:spacing w:after="0"/>
              <w:rPr>
                <w:sz w:val="20"/>
                <w:szCs w:val="20"/>
                <w:lang w:eastAsia="en-AU"/>
              </w:rPr>
            </w:pPr>
            <w:r w:rsidRPr="00117984">
              <w:rPr>
                <w:sz w:val="20"/>
                <w:szCs w:val="20"/>
                <w:lang w:eastAsia="en-AU"/>
              </w:rPr>
              <w:t xml:space="preserve">NBA; </w:t>
            </w:r>
            <w:r w:rsidRPr="00117984">
              <w:rPr>
                <w:color w:val="000000" w:themeColor="text1"/>
                <w:sz w:val="20"/>
                <w:szCs w:val="20"/>
                <w:lang w:eastAsia="en-AU"/>
              </w:rPr>
              <w:t xml:space="preserve">State and territory Quality and Safety Units; </w:t>
            </w:r>
            <w:r w:rsidR="00C66864">
              <w:rPr>
                <w:sz w:val="20"/>
                <w:szCs w:val="20"/>
                <w:lang w:eastAsia="en-AU"/>
              </w:rPr>
              <w:t>health service provider</w:t>
            </w:r>
            <w:r w:rsidR="00C66864" w:rsidRPr="00117984">
              <w:rPr>
                <w:sz w:val="20"/>
                <w:szCs w:val="20"/>
                <w:lang w:eastAsia="en-AU"/>
              </w:rPr>
              <w:t xml:space="preserve"> </w:t>
            </w:r>
            <w:r w:rsidR="00C66864">
              <w:rPr>
                <w:sz w:val="20"/>
                <w:szCs w:val="20"/>
                <w:lang w:eastAsia="en-AU"/>
              </w:rPr>
              <w:t>a</w:t>
            </w:r>
            <w:r w:rsidRPr="00117984">
              <w:rPr>
                <w:sz w:val="20"/>
                <w:szCs w:val="20"/>
                <w:lang w:eastAsia="en-AU"/>
              </w:rPr>
              <w:t>dministrators</w:t>
            </w:r>
          </w:p>
        </w:tc>
        <w:tc>
          <w:tcPr>
            <w:tcW w:w="2268" w:type="dxa"/>
            <w:tcBorders>
              <w:top w:val="single" w:sz="4" w:space="0" w:color="auto"/>
            </w:tcBorders>
            <w:shd w:val="clear" w:color="auto" w:fill="auto"/>
          </w:tcPr>
          <w:p w:rsidR="00117984" w:rsidRPr="00117984" w:rsidRDefault="00117984" w:rsidP="00117984">
            <w:pPr>
              <w:spacing w:after="0"/>
              <w:rPr>
                <w:sz w:val="20"/>
                <w:szCs w:val="20"/>
                <w:lang w:eastAsia="en-AU"/>
              </w:rPr>
            </w:pPr>
            <w:r w:rsidRPr="00117984">
              <w:rPr>
                <w:sz w:val="20"/>
                <w:szCs w:val="20"/>
                <w:lang w:eastAsia="en-AU"/>
              </w:rPr>
              <w:t xml:space="preserve">NBA, assisted by states and territories, to develop and distribute tools to support </w:t>
            </w:r>
            <w:r w:rsidR="00FF7E81">
              <w:rPr>
                <w:sz w:val="20"/>
                <w:szCs w:val="20"/>
                <w:lang w:eastAsia="en-AU"/>
              </w:rPr>
              <w:t>health service providers</w:t>
            </w:r>
            <w:r w:rsidRPr="00117984">
              <w:rPr>
                <w:sz w:val="20"/>
                <w:szCs w:val="20"/>
                <w:lang w:eastAsia="en-AU"/>
              </w:rPr>
              <w:t xml:space="preserve"> for national </w:t>
            </w:r>
            <w:proofErr w:type="spellStart"/>
            <w:r w:rsidRPr="00117984">
              <w:rPr>
                <w:sz w:val="20"/>
                <w:szCs w:val="20"/>
                <w:lang w:eastAsia="en-AU"/>
              </w:rPr>
              <w:t>haemovigilance</w:t>
            </w:r>
            <w:proofErr w:type="spellEnd"/>
            <w:r w:rsidRPr="00117984">
              <w:rPr>
                <w:sz w:val="20"/>
                <w:szCs w:val="20"/>
                <w:lang w:eastAsia="en-AU"/>
              </w:rPr>
              <w:t xml:space="preserve"> reporting</w:t>
            </w:r>
          </w:p>
          <w:p w:rsidR="008E6FE9" w:rsidRDefault="008E6FE9" w:rsidP="00117984">
            <w:pPr>
              <w:spacing w:after="0"/>
              <w:rPr>
                <w:sz w:val="20"/>
                <w:szCs w:val="20"/>
                <w:lang w:eastAsia="en-AU"/>
              </w:rPr>
            </w:pPr>
          </w:p>
          <w:p w:rsidR="00117984" w:rsidRPr="00117984" w:rsidRDefault="00117984" w:rsidP="00117984">
            <w:pPr>
              <w:spacing w:after="0"/>
              <w:rPr>
                <w:sz w:val="20"/>
                <w:szCs w:val="20"/>
              </w:rPr>
            </w:pPr>
            <w:r w:rsidRPr="00117984">
              <w:rPr>
                <w:sz w:val="20"/>
                <w:szCs w:val="20"/>
                <w:lang w:eastAsia="en-AU"/>
              </w:rPr>
              <w:t xml:space="preserve">NBA to inform </w:t>
            </w:r>
            <w:r w:rsidR="00FF7E81">
              <w:rPr>
                <w:sz w:val="20"/>
                <w:szCs w:val="20"/>
                <w:lang w:eastAsia="en-AU"/>
              </w:rPr>
              <w:t>health service providers</w:t>
            </w:r>
            <w:r w:rsidRPr="00117984">
              <w:rPr>
                <w:sz w:val="20"/>
                <w:szCs w:val="20"/>
                <w:lang w:eastAsia="en-AU"/>
              </w:rPr>
              <w:t xml:space="preserve"> on the availability and use of tools</w:t>
            </w:r>
          </w:p>
        </w:tc>
        <w:tc>
          <w:tcPr>
            <w:tcW w:w="2352" w:type="dxa"/>
            <w:tcBorders>
              <w:top w:val="single" w:sz="4" w:space="0" w:color="auto"/>
            </w:tcBorders>
            <w:shd w:val="clear" w:color="auto" w:fill="F2F2F2" w:themeFill="background1" w:themeFillShade="F2"/>
          </w:tcPr>
          <w:p w:rsidR="00117984" w:rsidRPr="00117984" w:rsidRDefault="00117984" w:rsidP="00117984">
            <w:pPr>
              <w:spacing w:after="0"/>
              <w:rPr>
                <w:rFonts w:asciiTheme="minorHAnsi" w:eastAsia="Times New Roman" w:hAnsiTheme="minorHAnsi" w:cstheme="minorHAnsi"/>
                <w:sz w:val="20"/>
                <w:szCs w:val="20"/>
                <w:lang w:eastAsia="en-AU"/>
              </w:rPr>
            </w:pPr>
            <w:r w:rsidRPr="00117984">
              <w:rPr>
                <w:rFonts w:asciiTheme="minorHAnsi" w:eastAsia="Times New Roman" w:hAnsiTheme="minorHAnsi" w:cstheme="minorHAnsi"/>
                <w:sz w:val="20"/>
                <w:szCs w:val="20"/>
                <w:lang w:eastAsia="en-AU"/>
              </w:rPr>
              <w:t xml:space="preserve">The NBA has helped QLD Health and WA to develop </w:t>
            </w:r>
            <w:proofErr w:type="spellStart"/>
            <w:r w:rsidRPr="00117984">
              <w:rPr>
                <w:rFonts w:asciiTheme="minorHAnsi" w:eastAsia="Times New Roman" w:hAnsiTheme="minorHAnsi" w:cstheme="minorHAnsi"/>
                <w:sz w:val="20"/>
                <w:szCs w:val="20"/>
                <w:lang w:eastAsia="en-AU"/>
              </w:rPr>
              <w:t>haemovigilance</w:t>
            </w:r>
            <w:proofErr w:type="spellEnd"/>
            <w:r w:rsidRPr="00117984">
              <w:rPr>
                <w:rFonts w:asciiTheme="minorHAnsi" w:eastAsia="Times New Roman" w:hAnsiTheme="minorHAnsi" w:cstheme="minorHAnsi"/>
                <w:sz w:val="20"/>
                <w:szCs w:val="20"/>
                <w:lang w:eastAsia="en-AU"/>
              </w:rPr>
              <w:t xml:space="preserve"> data collection tools in line with the AHMDS</w:t>
            </w:r>
          </w:p>
          <w:p w:rsidR="00117984" w:rsidRPr="00117984" w:rsidRDefault="00117984" w:rsidP="00117984">
            <w:pPr>
              <w:spacing w:after="0"/>
              <w:rPr>
                <w:rFonts w:asciiTheme="minorHAnsi" w:eastAsia="Times New Roman" w:hAnsiTheme="minorHAnsi" w:cstheme="minorHAnsi"/>
                <w:sz w:val="20"/>
                <w:szCs w:val="20"/>
                <w:lang w:eastAsia="en-AU"/>
              </w:rPr>
            </w:pPr>
          </w:p>
          <w:p w:rsidR="00117984" w:rsidRPr="00117984" w:rsidRDefault="00117984" w:rsidP="008E6FE9">
            <w:pPr>
              <w:spacing w:after="0"/>
              <w:rPr>
                <w:rFonts w:asciiTheme="minorHAnsi" w:eastAsia="Times New Roman" w:hAnsiTheme="minorHAnsi" w:cstheme="minorHAnsi"/>
                <w:sz w:val="20"/>
                <w:szCs w:val="20"/>
                <w:lang w:eastAsia="en-AU"/>
              </w:rPr>
            </w:pPr>
            <w:r w:rsidRPr="00117984">
              <w:rPr>
                <w:rFonts w:asciiTheme="minorHAnsi" w:eastAsia="Times New Roman" w:hAnsiTheme="minorHAnsi" w:cstheme="minorHAnsi"/>
                <w:sz w:val="20"/>
                <w:szCs w:val="20"/>
                <w:lang w:eastAsia="en-AU"/>
              </w:rPr>
              <w:t xml:space="preserve">The NBA is refining the tools </w:t>
            </w:r>
            <w:r w:rsidR="008E6FE9">
              <w:rPr>
                <w:rFonts w:asciiTheme="minorHAnsi" w:eastAsia="Times New Roman" w:hAnsiTheme="minorHAnsi" w:cstheme="minorHAnsi"/>
                <w:sz w:val="20"/>
                <w:szCs w:val="20"/>
                <w:lang w:eastAsia="en-AU"/>
              </w:rPr>
              <w:t>for publication</w:t>
            </w:r>
            <w:r w:rsidRPr="00117984">
              <w:rPr>
                <w:rFonts w:asciiTheme="minorHAnsi" w:eastAsia="Times New Roman" w:hAnsiTheme="minorHAnsi" w:cstheme="minorHAnsi"/>
                <w:sz w:val="20"/>
                <w:szCs w:val="20"/>
                <w:lang w:eastAsia="en-AU"/>
              </w:rPr>
              <w:t xml:space="preserve"> in 2016</w:t>
            </w:r>
          </w:p>
        </w:tc>
      </w:tr>
      <w:tr w:rsidR="00117984" w:rsidRPr="00117984" w:rsidTr="009E4A39">
        <w:tc>
          <w:tcPr>
            <w:tcW w:w="425" w:type="dxa"/>
            <w:tcBorders>
              <w:bottom w:val="single" w:sz="4" w:space="0" w:color="auto"/>
            </w:tcBorders>
            <w:shd w:val="clear" w:color="auto" w:fill="FFFFFF" w:themeFill="background1"/>
          </w:tcPr>
          <w:p w:rsidR="00117984" w:rsidRPr="00117984" w:rsidRDefault="00117984" w:rsidP="00117984">
            <w:pPr>
              <w:spacing w:after="120"/>
              <w:rPr>
                <w:sz w:val="20"/>
                <w:szCs w:val="20"/>
                <w:lang w:eastAsia="en-AU"/>
              </w:rPr>
            </w:pPr>
            <w:r w:rsidRPr="00117984">
              <w:rPr>
                <w:sz w:val="20"/>
                <w:szCs w:val="20"/>
                <w:lang w:eastAsia="en-AU"/>
              </w:rPr>
              <w:t>8</w:t>
            </w:r>
          </w:p>
        </w:tc>
        <w:tc>
          <w:tcPr>
            <w:tcW w:w="2268" w:type="dxa"/>
            <w:tcBorders>
              <w:bottom w:val="single" w:sz="4" w:space="0" w:color="auto"/>
            </w:tcBorders>
            <w:shd w:val="clear" w:color="auto" w:fill="FFFFFF" w:themeFill="background1"/>
          </w:tcPr>
          <w:p w:rsidR="00117984" w:rsidRPr="00117984" w:rsidRDefault="00117984" w:rsidP="00117984">
            <w:pPr>
              <w:spacing w:after="0"/>
              <w:rPr>
                <w:sz w:val="20"/>
                <w:szCs w:val="20"/>
                <w:lang w:eastAsia="en-AU"/>
              </w:rPr>
            </w:pPr>
            <w:r w:rsidRPr="00117984">
              <w:rPr>
                <w:sz w:val="20"/>
                <w:szCs w:val="20"/>
                <w:lang w:eastAsia="en-AU"/>
              </w:rPr>
              <w:t xml:space="preserve">Continue to include donor vigilance data in national </w:t>
            </w:r>
            <w:proofErr w:type="spellStart"/>
            <w:r w:rsidRPr="00117984">
              <w:rPr>
                <w:sz w:val="20"/>
                <w:szCs w:val="20"/>
                <w:lang w:eastAsia="en-AU"/>
              </w:rPr>
              <w:t>haemovigilance</w:t>
            </w:r>
            <w:proofErr w:type="spellEnd"/>
            <w:r w:rsidRPr="00117984">
              <w:rPr>
                <w:sz w:val="20"/>
                <w:szCs w:val="20"/>
                <w:lang w:eastAsia="en-AU"/>
              </w:rPr>
              <w:t xml:space="preserve"> reporting</w:t>
            </w:r>
          </w:p>
        </w:tc>
        <w:tc>
          <w:tcPr>
            <w:tcW w:w="1985" w:type="dxa"/>
            <w:tcBorders>
              <w:bottom w:val="single" w:sz="4" w:space="0" w:color="auto"/>
            </w:tcBorders>
            <w:shd w:val="clear" w:color="auto" w:fill="F2F2F2" w:themeFill="background1" w:themeFillShade="F2"/>
          </w:tcPr>
          <w:p w:rsidR="00117984" w:rsidRPr="00117984" w:rsidRDefault="00117984" w:rsidP="006C3D85">
            <w:pPr>
              <w:spacing w:after="0"/>
              <w:rPr>
                <w:sz w:val="20"/>
                <w:szCs w:val="20"/>
                <w:lang w:eastAsia="en-AU"/>
              </w:rPr>
            </w:pPr>
            <w:r w:rsidRPr="00117984">
              <w:rPr>
                <w:sz w:val="20"/>
                <w:szCs w:val="20"/>
                <w:lang w:eastAsia="en-AU"/>
              </w:rPr>
              <w:t>Blood Service; NBA</w:t>
            </w:r>
          </w:p>
        </w:tc>
        <w:tc>
          <w:tcPr>
            <w:tcW w:w="2268" w:type="dxa"/>
            <w:tcBorders>
              <w:bottom w:val="single" w:sz="4" w:space="0" w:color="auto"/>
            </w:tcBorders>
            <w:shd w:val="clear" w:color="auto" w:fill="auto"/>
          </w:tcPr>
          <w:p w:rsidR="00117984" w:rsidRPr="00117984" w:rsidRDefault="00117984" w:rsidP="00117984">
            <w:pPr>
              <w:spacing w:after="0"/>
              <w:rPr>
                <w:sz w:val="20"/>
                <w:szCs w:val="20"/>
              </w:rPr>
            </w:pPr>
            <w:r w:rsidRPr="00117984">
              <w:rPr>
                <w:rFonts w:asciiTheme="minorHAnsi" w:hAnsiTheme="minorHAnsi" w:cstheme="minorHAnsi"/>
                <w:sz w:val="20"/>
                <w:szCs w:val="20"/>
                <w:lang w:eastAsia="en-AU"/>
              </w:rPr>
              <w:t>Blood Service to continue to improve the transparency of donor vigilance data</w:t>
            </w:r>
          </w:p>
        </w:tc>
        <w:tc>
          <w:tcPr>
            <w:tcW w:w="2352" w:type="dxa"/>
            <w:tcBorders>
              <w:bottom w:val="single" w:sz="4" w:space="0" w:color="auto"/>
            </w:tcBorders>
            <w:shd w:val="clear" w:color="auto" w:fill="F2F2F2" w:themeFill="background1" w:themeFillShade="F2"/>
          </w:tcPr>
          <w:p w:rsidR="00117984" w:rsidRPr="00117984" w:rsidRDefault="00117984" w:rsidP="00117984">
            <w:pPr>
              <w:spacing w:after="0"/>
              <w:rPr>
                <w:rFonts w:asciiTheme="minorHAnsi" w:eastAsia="Times New Roman" w:hAnsiTheme="minorHAnsi" w:cstheme="minorHAnsi"/>
                <w:sz w:val="20"/>
                <w:szCs w:val="20"/>
                <w:lang w:eastAsia="en-AU"/>
              </w:rPr>
            </w:pPr>
            <w:r w:rsidRPr="00117984">
              <w:rPr>
                <w:rFonts w:asciiTheme="minorHAnsi" w:eastAsia="Times New Roman" w:hAnsiTheme="minorHAnsi" w:cstheme="minorHAnsi"/>
                <w:sz w:val="20"/>
                <w:szCs w:val="20"/>
                <w:lang w:eastAsia="en-AU"/>
              </w:rPr>
              <w:t>Donor vigilance data has been included in this report and will continue to be included in future reports</w:t>
            </w:r>
          </w:p>
          <w:p w:rsidR="00117984" w:rsidRPr="00117984" w:rsidRDefault="00117984" w:rsidP="00117984">
            <w:pPr>
              <w:spacing w:after="0"/>
              <w:rPr>
                <w:rFonts w:asciiTheme="minorHAnsi" w:eastAsia="Times New Roman" w:hAnsiTheme="minorHAnsi" w:cstheme="minorHAnsi"/>
                <w:sz w:val="20"/>
                <w:szCs w:val="20"/>
                <w:lang w:eastAsia="en-AU"/>
              </w:rPr>
            </w:pPr>
          </w:p>
          <w:p w:rsidR="00117984" w:rsidRPr="00117984" w:rsidRDefault="00117984" w:rsidP="008E6FE9">
            <w:pPr>
              <w:spacing w:after="0"/>
              <w:rPr>
                <w:rFonts w:asciiTheme="minorHAnsi" w:eastAsia="Times New Roman" w:hAnsiTheme="minorHAnsi" w:cstheme="minorHAnsi"/>
                <w:sz w:val="20"/>
                <w:szCs w:val="20"/>
                <w:lang w:eastAsia="en-AU"/>
              </w:rPr>
            </w:pPr>
            <w:r w:rsidRPr="00117984">
              <w:rPr>
                <w:rFonts w:asciiTheme="minorHAnsi" w:eastAsia="Times New Roman" w:hAnsiTheme="minorHAnsi" w:cstheme="minorHAnsi"/>
                <w:sz w:val="20"/>
                <w:szCs w:val="20"/>
                <w:lang w:eastAsia="en-AU"/>
              </w:rPr>
              <w:t xml:space="preserve">The Blood Service may provide </w:t>
            </w:r>
            <w:r w:rsidR="008E6FE9">
              <w:rPr>
                <w:rFonts w:asciiTheme="minorHAnsi" w:eastAsia="Times New Roman" w:hAnsiTheme="minorHAnsi" w:cstheme="minorHAnsi"/>
                <w:sz w:val="20"/>
                <w:szCs w:val="20"/>
                <w:lang w:eastAsia="en-AU"/>
              </w:rPr>
              <w:t xml:space="preserve">additional </w:t>
            </w:r>
            <w:r w:rsidRPr="00117984">
              <w:rPr>
                <w:rFonts w:asciiTheme="minorHAnsi" w:eastAsia="Times New Roman" w:hAnsiTheme="minorHAnsi" w:cstheme="minorHAnsi"/>
                <w:sz w:val="20"/>
                <w:szCs w:val="20"/>
                <w:lang w:eastAsia="en-AU"/>
              </w:rPr>
              <w:t>data after completing the reconciliation process with states and territories</w:t>
            </w:r>
          </w:p>
        </w:tc>
      </w:tr>
    </w:tbl>
    <w:p w:rsidR="003A25C4" w:rsidRDefault="003A25C4" w:rsidP="006C3D85">
      <w:pPr>
        <w:rPr>
          <w:lang w:eastAsia="en-AU"/>
        </w:rPr>
      </w:pPr>
      <w:bookmarkStart w:id="187" w:name="_Toc420837274"/>
      <w:r>
        <w:rPr>
          <w:lang w:eastAsia="en-AU"/>
        </w:rPr>
        <w:br w:type="page"/>
      </w:r>
    </w:p>
    <w:p w:rsidR="00117984" w:rsidRPr="00117984" w:rsidRDefault="00117984" w:rsidP="002E310A">
      <w:pPr>
        <w:pStyle w:val="Heading2"/>
        <w:rPr>
          <w:lang w:eastAsia="en-AU"/>
        </w:rPr>
      </w:pPr>
      <w:bookmarkStart w:id="188" w:name="_Toc459366184"/>
      <w:r w:rsidRPr="00117984">
        <w:rPr>
          <w:lang w:eastAsia="en-AU"/>
        </w:rPr>
        <w:lastRenderedPageBreak/>
        <w:t>Reporting capacity</w:t>
      </w:r>
      <w:bookmarkEnd w:id="187"/>
      <w:bookmarkEnd w:id="188"/>
    </w:p>
    <w:p w:rsidR="00117984" w:rsidRPr="003A25C4" w:rsidRDefault="00117984" w:rsidP="003A25C4">
      <w:pPr>
        <w:pStyle w:val="Caption"/>
      </w:pPr>
      <w:bookmarkStart w:id="189" w:name="_Ref357180579"/>
      <w:bookmarkStart w:id="190" w:name="_Toc420835712"/>
      <w:bookmarkStart w:id="191" w:name="_Toc459636875"/>
      <w:r w:rsidRPr="003A25C4">
        <w:t xml:space="preserve">Table </w:t>
      </w:r>
      <w:fldSimple w:instr=" SEQ Table \* ARABIC ">
        <w:r w:rsidR="000010BC">
          <w:rPr>
            <w:noProof/>
          </w:rPr>
          <w:t>35</w:t>
        </w:r>
      </w:fldSimple>
      <w:bookmarkEnd w:id="189"/>
      <w:r w:rsidRPr="003A25C4">
        <w:t xml:space="preserve">: Progress against the reporting capacity recommendations of the Australian </w:t>
      </w:r>
      <w:proofErr w:type="spellStart"/>
      <w:r w:rsidRPr="003A25C4">
        <w:t>Haemovigilance</w:t>
      </w:r>
      <w:proofErr w:type="spellEnd"/>
      <w:r w:rsidRPr="003A25C4">
        <w:t xml:space="preserve"> Report </w:t>
      </w:r>
      <w:bookmarkEnd w:id="190"/>
      <w:r w:rsidR="00230469" w:rsidRPr="003A25C4">
        <w:t>2015</w:t>
      </w:r>
      <w:bookmarkEnd w:id="191"/>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425"/>
        <w:gridCol w:w="2269"/>
        <w:gridCol w:w="1984"/>
        <w:gridCol w:w="2268"/>
        <w:gridCol w:w="2410"/>
      </w:tblGrid>
      <w:tr w:rsidR="00117984" w:rsidRPr="00117984" w:rsidTr="009E4A39">
        <w:trPr>
          <w:trHeight w:val="629"/>
        </w:trPr>
        <w:tc>
          <w:tcPr>
            <w:tcW w:w="425"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p>
        </w:tc>
        <w:tc>
          <w:tcPr>
            <w:tcW w:w="2269"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Recommendations from 2015 Report</w:t>
            </w:r>
          </w:p>
        </w:tc>
        <w:tc>
          <w:tcPr>
            <w:tcW w:w="1984"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Who is responsible?</w:t>
            </w:r>
          </w:p>
        </w:tc>
        <w:tc>
          <w:tcPr>
            <w:tcW w:w="2268"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Proposed strategy from 2015 report</w:t>
            </w:r>
          </w:p>
        </w:tc>
        <w:tc>
          <w:tcPr>
            <w:tcW w:w="2410" w:type="dxa"/>
            <w:tcBorders>
              <w:bottom w:val="nil"/>
            </w:tcBorders>
            <w:shd w:val="clear" w:color="auto" w:fill="FF0000"/>
            <w:vAlign w:val="center"/>
          </w:tcPr>
          <w:p w:rsidR="00117984" w:rsidRPr="00117984" w:rsidRDefault="00117984" w:rsidP="00117984">
            <w:pPr>
              <w:spacing w:after="0"/>
              <w:rPr>
                <w:b/>
                <w:color w:val="FFFFFF" w:themeColor="background1"/>
                <w:sz w:val="20"/>
                <w:szCs w:val="20"/>
                <w:lang w:eastAsia="en-AU"/>
              </w:rPr>
            </w:pPr>
            <w:r w:rsidRPr="00117984">
              <w:rPr>
                <w:b/>
                <w:color w:val="FFFFFF" w:themeColor="background1"/>
                <w:sz w:val="20"/>
                <w:szCs w:val="20"/>
                <w:lang w:eastAsia="en-AU"/>
              </w:rPr>
              <w:t>Outcomes</w:t>
            </w:r>
          </w:p>
        </w:tc>
      </w:tr>
      <w:tr w:rsidR="00117984" w:rsidRPr="00117984" w:rsidTr="009E4A39">
        <w:tc>
          <w:tcPr>
            <w:tcW w:w="425" w:type="dxa"/>
            <w:tcBorders>
              <w:top w:val="nil"/>
            </w:tcBorders>
            <w:shd w:val="clear" w:color="auto" w:fill="FFFFFF" w:themeFill="background1"/>
          </w:tcPr>
          <w:p w:rsidR="00117984" w:rsidRPr="00117984" w:rsidRDefault="00117984" w:rsidP="00117984">
            <w:pPr>
              <w:spacing w:after="120"/>
              <w:rPr>
                <w:sz w:val="20"/>
                <w:szCs w:val="20"/>
                <w:lang w:eastAsia="en-AU"/>
              </w:rPr>
            </w:pPr>
            <w:r w:rsidRPr="00117984">
              <w:rPr>
                <w:sz w:val="20"/>
                <w:szCs w:val="20"/>
                <w:lang w:eastAsia="en-AU"/>
              </w:rPr>
              <w:t>9</w:t>
            </w:r>
          </w:p>
        </w:tc>
        <w:tc>
          <w:tcPr>
            <w:tcW w:w="2269" w:type="dxa"/>
            <w:tcBorders>
              <w:top w:val="nil"/>
            </w:tcBorders>
            <w:shd w:val="clear" w:color="auto" w:fill="FFFFFF" w:themeFill="background1"/>
          </w:tcPr>
          <w:p w:rsidR="00117984" w:rsidRPr="00117984" w:rsidRDefault="00117984" w:rsidP="00117984">
            <w:pPr>
              <w:spacing w:after="0"/>
              <w:rPr>
                <w:sz w:val="20"/>
                <w:szCs w:val="20"/>
                <w:lang w:eastAsia="en-AU"/>
              </w:rPr>
            </w:pPr>
            <w:r w:rsidRPr="00117984">
              <w:rPr>
                <w:sz w:val="20"/>
                <w:szCs w:val="20"/>
              </w:rPr>
              <w:t xml:space="preserve">Implement the Strategic Framework for the National </w:t>
            </w:r>
            <w:proofErr w:type="spellStart"/>
            <w:r w:rsidRPr="00117984">
              <w:rPr>
                <w:sz w:val="20"/>
                <w:szCs w:val="20"/>
              </w:rPr>
              <w:t>Haemovigilance</w:t>
            </w:r>
            <w:proofErr w:type="spellEnd"/>
            <w:r w:rsidRPr="00117984">
              <w:rPr>
                <w:sz w:val="20"/>
                <w:szCs w:val="20"/>
              </w:rPr>
              <w:t xml:space="preserve"> Program</w:t>
            </w:r>
          </w:p>
        </w:tc>
        <w:tc>
          <w:tcPr>
            <w:tcW w:w="1984" w:type="dxa"/>
            <w:tcBorders>
              <w:top w:val="nil"/>
            </w:tcBorders>
            <w:shd w:val="clear" w:color="auto" w:fill="F2F2F2" w:themeFill="background1" w:themeFillShade="F2"/>
          </w:tcPr>
          <w:p w:rsidR="00117984" w:rsidRPr="00117984" w:rsidRDefault="00117984" w:rsidP="00252D67">
            <w:pPr>
              <w:spacing w:after="0"/>
              <w:rPr>
                <w:sz w:val="20"/>
                <w:szCs w:val="20"/>
                <w:lang w:eastAsia="en-AU"/>
              </w:rPr>
            </w:pPr>
            <w:r w:rsidRPr="00117984">
              <w:rPr>
                <w:sz w:val="20"/>
                <w:szCs w:val="20"/>
                <w:lang w:eastAsia="en-AU"/>
              </w:rPr>
              <w:t xml:space="preserve">NBA; HAC; State and territory departments of </w:t>
            </w:r>
            <w:r w:rsidR="008E6FE9">
              <w:rPr>
                <w:sz w:val="20"/>
                <w:szCs w:val="20"/>
                <w:lang w:eastAsia="en-AU"/>
              </w:rPr>
              <w:t>h</w:t>
            </w:r>
            <w:r w:rsidRPr="00117984">
              <w:rPr>
                <w:sz w:val="20"/>
                <w:szCs w:val="20"/>
                <w:lang w:eastAsia="en-AU"/>
              </w:rPr>
              <w:t xml:space="preserve">ealth; Blood Service; </w:t>
            </w:r>
            <w:r w:rsidR="00252D67">
              <w:rPr>
                <w:sz w:val="20"/>
                <w:szCs w:val="20"/>
                <w:lang w:eastAsia="en-AU"/>
              </w:rPr>
              <w:t>h</w:t>
            </w:r>
            <w:r w:rsidR="00FF7E81">
              <w:rPr>
                <w:sz w:val="20"/>
                <w:szCs w:val="20"/>
                <w:lang w:eastAsia="en-AU"/>
              </w:rPr>
              <w:t>ealth service providers</w:t>
            </w:r>
            <w:r w:rsidRPr="00117984">
              <w:rPr>
                <w:sz w:val="20"/>
                <w:szCs w:val="20"/>
                <w:lang w:eastAsia="en-AU"/>
              </w:rPr>
              <w:t xml:space="preserve">; </w:t>
            </w:r>
            <w:r w:rsidR="00252D67">
              <w:rPr>
                <w:sz w:val="20"/>
                <w:szCs w:val="20"/>
                <w:lang w:eastAsia="en-AU"/>
              </w:rPr>
              <w:t>p</w:t>
            </w:r>
            <w:r w:rsidRPr="00117984">
              <w:rPr>
                <w:sz w:val="20"/>
                <w:szCs w:val="20"/>
                <w:lang w:eastAsia="en-AU"/>
              </w:rPr>
              <w:t>athology providers; JBC</w:t>
            </w:r>
          </w:p>
        </w:tc>
        <w:tc>
          <w:tcPr>
            <w:tcW w:w="2268" w:type="dxa"/>
            <w:tcBorders>
              <w:top w:val="nil"/>
            </w:tcBorders>
            <w:shd w:val="clear" w:color="auto" w:fill="FFFFFF" w:themeFill="background1"/>
          </w:tcPr>
          <w:p w:rsidR="00117984" w:rsidRPr="00117984" w:rsidRDefault="00117984" w:rsidP="00117984">
            <w:pPr>
              <w:spacing w:after="0"/>
              <w:rPr>
                <w:sz w:val="20"/>
                <w:szCs w:val="20"/>
              </w:rPr>
            </w:pPr>
            <w:r w:rsidRPr="00117984">
              <w:rPr>
                <w:rFonts w:asciiTheme="minorHAnsi" w:hAnsiTheme="minorHAnsi" w:cstheme="minorHAnsi"/>
                <w:sz w:val="20"/>
                <w:szCs w:val="20"/>
                <w:lang w:eastAsia="en-AU"/>
              </w:rPr>
              <w:t>NBA to work in collaboration with key stakeholders to develop/implement the Communication Plan and Work Plan to support the implementation of the Strategic Framework</w:t>
            </w:r>
          </w:p>
        </w:tc>
        <w:tc>
          <w:tcPr>
            <w:tcW w:w="2410" w:type="dxa"/>
            <w:tcBorders>
              <w:top w:val="nil"/>
            </w:tcBorders>
            <w:shd w:val="clear" w:color="auto" w:fill="F2F2F2" w:themeFill="background1" w:themeFillShade="F2"/>
          </w:tcPr>
          <w:p w:rsidR="00117984" w:rsidRPr="00117984" w:rsidRDefault="00117984" w:rsidP="00230469">
            <w:pPr>
              <w:spacing w:after="0"/>
              <w:rPr>
                <w:sz w:val="20"/>
                <w:szCs w:val="20"/>
                <w:lang w:eastAsia="en-AU"/>
              </w:rPr>
            </w:pPr>
            <w:r w:rsidRPr="00117984">
              <w:rPr>
                <w:sz w:val="20"/>
                <w:szCs w:val="20"/>
                <w:lang w:eastAsia="en-AU"/>
              </w:rPr>
              <w:t>Communication Plan and Work Plan</w:t>
            </w:r>
            <w:r w:rsidR="003B18A9">
              <w:rPr>
                <w:sz w:val="20"/>
                <w:szCs w:val="20"/>
                <w:lang w:eastAsia="en-AU"/>
              </w:rPr>
              <w:t xml:space="preserve"> under development </w:t>
            </w:r>
            <w:r w:rsidRPr="00117984">
              <w:rPr>
                <w:sz w:val="20"/>
                <w:szCs w:val="20"/>
                <w:lang w:eastAsia="en-AU"/>
              </w:rPr>
              <w:t>to support the implementation of the Strategic Framework</w:t>
            </w:r>
          </w:p>
        </w:tc>
      </w:tr>
      <w:tr w:rsidR="00117984" w:rsidRPr="00117984" w:rsidTr="009E4A39">
        <w:tc>
          <w:tcPr>
            <w:tcW w:w="425" w:type="dxa"/>
            <w:shd w:val="clear" w:color="auto" w:fill="FFFFFF" w:themeFill="background1"/>
          </w:tcPr>
          <w:p w:rsidR="00117984" w:rsidRPr="00117984" w:rsidRDefault="00117984" w:rsidP="00117984">
            <w:pPr>
              <w:spacing w:after="120"/>
              <w:rPr>
                <w:sz w:val="20"/>
                <w:szCs w:val="20"/>
                <w:lang w:eastAsia="en-AU"/>
              </w:rPr>
            </w:pPr>
            <w:r w:rsidRPr="00117984">
              <w:rPr>
                <w:sz w:val="20"/>
                <w:szCs w:val="20"/>
                <w:lang w:eastAsia="en-AU"/>
              </w:rPr>
              <w:t>10</w:t>
            </w:r>
          </w:p>
        </w:tc>
        <w:tc>
          <w:tcPr>
            <w:tcW w:w="2269" w:type="dxa"/>
            <w:shd w:val="clear" w:color="auto" w:fill="FFFFFF" w:themeFill="background1"/>
          </w:tcPr>
          <w:p w:rsidR="00117984" w:rsidRPr="00117984" w:rsidRDefault="00117984" w:rsidP="00117984">
            <w:pPr>
              <w:spacing w:after="0"/>
              <w:rPr>
                <w:sz w:val="20"/>
                <w:szCs w:val="20"/>
                <w:lang w:eastAsia="en-AU"/>
              </w:rPr>
            </w:pPr>
            <w:r w:rsidRPr="00117984">
              <w:rPr>
                <w:sz w:val="20"/>
                <w:szCs w:val="20"/>
              </w:rPr>
              <w:t xml:space="preserve">Maintain and improve existing capacities for </w:t>
            </w:r>
            <w:proofErr w:type="spellStart"/>
            <w:r w:rsidRPr="00117984">
              <w:rPr>
                <w:sz w:val="20"/>
                <w:szCs w:val="20"/>
              </w:rPr>
              <w:t>haemovigilance</w:t>
            </w:r>
            <w:proofErr w:type="spellEnd"/>
            <w:r w:rsidRPr="00117984">
              <w:rPr>
                <w:sz w:val="20"/>
                <w:szCs w:val="20"/>
              </w:rPr>
              <w:t xml:space="preserve"> data reporting</w:t>
            </w:r>
          </w:p>
        </w:tc>
        <w:tc>
          <w:tcPr>
            <w:tcW w:w="1984" w:type="dxa"/>
            <w:shd w:val="clear" w:color="auto" w:fill="F2F2F2" w:themeFill="background1" w:themeFillShade="F2"/>
          </w:tcPr>
          <w:p w:rsidR="00117984" w:rsidRPr="00117984" w:rsidRDefault="00117984" w:rsidP="00252D67">
            <w:pPr>
              <w:spacing w:after="0"/>
              <w:rPr>
                <w:sz w:val="20"/>
                <w:szCs w:val="20"/>
                <w:lang w:eastAsia="en-AU"/>
              </w:rPr>
            </w:pPr>
            <w:r w:rsidRPr="00117984">
              <w:rPr>
                <w:sz w:val="20"/>
                <w:szCs w:val="20"/>
                <w:lang w:eastAsia="en-AU"/>
              </w:rPr>
              <w:t xml:space="preserve">NBA; HAC; States and territories; Blood Service; </w:t>
            </w:r>
            <w:r w:rsidR="00252D67">
              <w:rPr>
                <w:sz w:val="20"/>
                <w:szCs w:val="20"/>
                <w:lang w:eastAsia="en-AU"/>
              </w:rPr>
              <w:t>h</w:t>
            </w:r>
            <w:r w:rsidR="00FF7E81">
              <w:rPr>
                <w:sz w:val="20"/>
                <w:szCs w:val="20"/>
                <w:lang w:eastAsia="en-AU"/>
              </w:rPr>
              <w:t>ealth service providers</w:t>
            </w:r>
            <w:r w:rsidRPr="00117984">
              <w:rPr>
                <w:sz w:val="20"/>
                <w:szCs w:val="20"/>
                <w:lang w:eastAsia="en-AU"/>
              </w:rPr>
              <w:t xml:space="preserve">; </w:t>
            </w:r>
            <w:r w:rsidR="00252D67">
              <w:rPr>
                <w:sz w:val="20"/>
                <w:szCs w:val="20"/>
                <w:lang w:eastAsia="en-AU"/>
              </w:rPr>
              <w:t>p</w:t>
            </w:r>
            <w:r w:rsidRPr="00117984">
              <w:rPr>
                <w:sz w:val="20"/>
                <w:szCs w:val="20"/>
                <w:lang w:eastAsia="en-AU"/>
              </w:rPr>
              <w:t>athology providers; JBC</w:t>
            </w:r>
          </w:p>
        </w:tc>
        <w:tc>
          <w:tcPr>
            <w:tcW w:w="2268" w:type="dxa"/>
            <w:shd w:val="clear" w:color="auto" w:fill="FFFFFF" w:themeFill="background1"/>
          </w:tcPr>
          <w:p w:rsidR="00117984" w:rsidRPr="00117984" w:rsidRDefault="00117984" w:rsidP="00117984">
            <w:pPr>
              <w:spacing w:after="0"/>
              <w:rPr>
                <w:sz w:val="20"/>
                <w:szCs w:val="20"/>
              </w:rPr>
            </w:pPr>
            <w:r w:rsidRPr="00117984">
              <w:rPr>
                <w:rFonts w:asciiTheme="minorHAnsi" w:hAnsiTheme="minorHAnsi" w:cstheme="minorHAnsi"/>
                <w:sz w:val="20"/>
                <w:szCs w:val="20"/>
                <w:lang w:eastAsia="en-AU"/>
              </w:rPr>
              <w:t xml:space="preserve">NBA to investigate and consider other sources and types of reporting for national </w:t>
            </w:r>
            <w:proofErr w:type="spellStart"/>
            <w:r w:rsidRPr="00117984">
              <w:rPr>
                <w:rFonts w:asciiTheme="minorHAnsi" w:hAnsiTheme="minorHAnsi" w:cstheme="minorHAnsi"/>
                <w:sz w:val="20"/>
                <w:szCs w:val="20"/>
                <w:lang w:eastAsia="en-AU"/>
              </w:rPr>
              <w:t>haemovigilance</w:t>
            </w:r>
            <w:proofErr w:type="spellEnd"/>
            <w:r w:rsidRPr="00117984">
              <w:rPr>
                <w:rFonts w:asciiTheme="minorHAnsi" w:hAnsiTheme="minorHAnsi" w:cstheme="minorHAnsi"/>
                <w:sz w:val="20"/>
                <w:szCs w:val="20"/>
                <w:lang w:eastAsia="en-AU"/>
              </w:rPr>
              <w:t xml:space="preserve"> reporting</w:t>
            </w:r>
          </w:p>
        </w:tc>
        <w:tc>
          <w:tcPr>
            <w:tcW w:w="2410" w:type="dxa"/>
            <w:shd w:val="clear" w:color="auto" w:fill="F2F2F2" w:themeFill="background1" w:themeFillShade="F2"/>
          </w:tcPr>
          <w:p w:rsidR="00117984" w:rsidRPr="00117984" w:rsidRDefault="006C3D85" w:rsidP="00117984">
            <w:pPr>
              <w:spacing w:after="0"/>
              <w:rPr>
                <w:sz w:val="20"/>
                <w:szCs w:val="20"/>
                <w:lang w:eastAsia="en-AU"/>
              </w:rPr>
            </w:pPr>
            <w:r>
              <w:rPr>
                <w:sz w:val="20"/>
                <w:szCs w:val="20"/>
                <w:lang w:eastAsia="en-AU"/>
              </w:rPr>
              <w:t xml:space="preserve">The </w:t>
            </w:r>
            <w:r w:rsidR="00117984" w:rsidRPr="00117984">
              <w:rPr>
                <w:sz w:val="20"/>
                <w:szCs w:val="20"/>
                <w:lang w:eastAsia="en-AU"/>
              </w:rPr>
              <w:t xml:space="preserve">NBA and HAC </w:t>
            </w:r>
            <w:r w:rsidR="003B18A9">
              <w:rPr>
                <w:sz w:val="20"/>
                <w:szCs w:val="20"/>
                <w:lang w:eastAsia="en-AU"/>
              </w:rPr>
              <w:t>discussed</w:t>
            </w:r>
            <w:r w:rsidR="003B18A9" w:rsidRPr="00117984">
              <w:rPr>
                <w:sz w:val="20"/>
                <w:szCs w:val="20"/>
                <w:lang w:eastAsia="en-AU"/>
              </w:rPr>
              <w:t xml:space="preserve"> </w:t>
            </w:r>
            <w:r w:rsidR="00117984" w:rsidRPr="00117984">
              <w:rPr>
                <w:sz w:val="20"/>
                <w:szCs w:val="20"/>
                <w:lang w:eastAsia="en-AU"/>
              </w:rPr>
              <w:t>establishing a national independent review group to provide further validation over adverse events reported by states/</w:t>
            </w:r>
            <w:r w:rsidR="00252D67">
              <w:rPr>
                <w:sz w:val="20"/>
                <w:szCs w:val="20"/>
                <w:lang w:eastAsia="en-AU"/>
              </w:rPr>
              <w:t xml:space="preserve">territories and </w:t>
            </w:r>
            <w:r w:rsidR="00FF7E81">
              <w:rPr>
                <w:sz w:val="20"/>
                <w:szCs w:val="20"/>
                <w:lang w:eastAsia="en-AU"/>
              </w:rPr>
              <w:t>health service providers</w:t>
            </w:r>
          </w:p>
          <w:p w:rsidR="00117984" w:rsidRPr="00117984" w:rsidRDefault="00117984" w:rsidP="00117984">
            <w:pPr>
              <w:spacing w:after="0"/>
              <w:rPr>
                <w:sz w:val="20"/>
                <w:szCs w:val="20"/>
                <w:lang w:eastAsia="en-AU"/>
              </w:rPr>
            </w:pPr>
          </w:p>
          <w:p w:rsidR="00117984" w:rsidRPr="00117984" w:rsidRDefault="00117984" w:rsidP="00117984">
            <w:pPr>
              <w:spacing w:after="0"/>
              <w:rPr>
                <w:sz w:val="20"/>
                <w:szCs w:val="20"/>
                <w:lang w:eastAsia="en-AU"/>
              </w:rPr>
            </w:pPr>
            <w:r w:rsidRPr="00117984">
              <w:rPr>
                <w:sz w:val="20"/>
                <w:szCs w:val="20"/>
                <w:lang w:eastAsia="en-AU"/>
              </w:rPr>
              <w:t xml:space="preserve">QLD reporting capacity improved for both public and private </w:t>
            </w:r>
            <w:r w:rsidR="00FF7E81">
              <w:rPr>
                <w:sz w:val="20"/>
                <w:szCs w:val="20"/>
                <w:lang w:eastAsia="en-AU"/>
              </w:rPr>
              <w:t>health service providers</w:t>
            </w:r>
            <w:r w:rsidRPr="00117984">
              <w:rPr>
                <w:sz w:val="20"/>
                <w:szCs w:val="20"/>
                <w:lang w:eastAsia="en-AU"/>
              </w:rPr>
              <w:t xml:space="preserve"> due to the use of </w:t>
            </w:r>
            <w:proofErr w:type="spellStart"/>
            <w:r w:rsidRPr="00117984">
              <w:rPr>
                <w:sz w:val="20"/>
                <w:szCs w:val="20"/>
                <w:lang w:eastAsia="en-AU"/>
              </w:rPr>
              <w:t>haemovigilance</w:t>
            </w:r>
            <w:proofErr w:type="spellEnd"/>
            <w:r w:rsidRPr="00117984">
              <w:rPr>
                <w:sz w:val="20"/>
                <w:szCs w:val="20"/>
                <w:lang w:eastAsia="en-AU"/>
              </w:rPr>
              <w:t xml:space="preserve"> data collection </w:t>
            </w:r>
            <w:r w:rsidR="008E6FE9">
              <w:rPr>
                <w:sz w:val="20"/>
                <w:szCs w:val="20"/>
                <w:lang w:eastAsia="en-AU"/>
              </w:rPr>
              <w:t>forms</w:t>
            </w:r>
          </w:p>
          <w:p w:rsidR="00117984" w:rsidRPr="00117984" w:rsidRDefault="00117984" w:rsidP="00117984">
            <w:pPr>
              <w:spacing w:after="0"/>
              <w:rPr>
                <w:sz w:val="20"/>
                <w:szCs w:val="20"/>
                <w:lang w:eastAsia="en-AU"/>
              </w:rPr>
            </w:pPr>
          </w:p>
          <w:p w:rsidR="00117984" w:rsidRPr="00117984" w:rsidRDefault="00117984" w:rsidP="00117984">
            <w:pPr>
              <w:spacing w:after="0"/>
              <w:rPr>
                <w:sz w:val="20"/>
                <w:szCs w:val="20"/>
                <w:lang w:eastAsia="en-AU"/>
              </w:rPr>
            </w:pPr>
            <w:r w:rsidRPr="00117984">
              <w:rPr>
                <w:sz w:val="20"/>
                <w:szCs w:val="20"/>
                <w:lang w:eastAsia="en-AU"/>
              </w:rPr>
              <w:t xml:space="preserve">WA adopted a data collection tool to facilitate </w:t>
            </w:r>
            <w:proofErr w:type="spellStart"/>
            <w:r w:rsidRPr="00117984">
              <w:rPr>
                <w:sz w:val="20"/>
                <w:szCs w:val="20"/>
                <w:lang w:eastAsia="en-AU"/>
              </w:rPr>
              <w:t>haemovigilance</w:t>
            </w:r>
            <w:proofErr w:type="spellEnd"/>
            <w:r w:rsidRPr="00117984">
              <w:rPr>
                <w:sz w:val="20"/>
                <w:szCs w:val="20"/>
                <w:lang w:eastAsia="en-AU"/>
              </w:rPr>
              <w:t xml:space="preserve"> data collection and reporting from 2015–16</w:t>
            </w:r>
          </w:p>
        </w:tc>
      </w:tr>
      <w:bookmarkEnd w:id="169"/>
    </w:tbl>
    <w:p w:rsidR="00FF0C6B" w:rsidRDefault="00FF0C6B" w:rsidP="00C94185">
      <w:pPr>
        <w:rPr>
          <w:lang w:eastAsia="en-AU"/>
        </w:rPr>
      </w:pPr>
      <w:r>
        <w:rPr>
          <w:lang w:eastAsia="en-AU"/>
        </w:rPr>
        <w:br w:type="page"/>
      </w:r>
    </w:p>
    <w:p w:rsidR="00252B9F" w:rsidRDefault="00252B9F" w:rsidP="00875581">
      <w:pPr>
        <w:pStyle w:val="Heading1"/>
        <w:rPr>
          <w:lang w:eastAsia="en-AU"/>
        </w:rPr>
      </w:pPr>
      <w:bookmarkStart w:id="192" w:name="_Toc459366185"/>
      <w:r w:rsidRPr="00252B9F">
        <w:rPr>
          <w:lang w:eastAsia="en-AU"/>
        </w:rPr>
        <w:lastRenderedPageBreak/>
        <w:t>PART 0</w:t>
      </w:r>
      <w:r w:rsidR="00FF0C6B">
        <w:rPr>
          <w:lang w:eastAsia="en-AU"/>
        </w:rPr>
        <w:t>5</w:t>
      </w:r>
      <w:r w:rsidRPr="00252B9F">
        <w:rPr>
          <w:lang w:eastAsia="en-AU"/>
        </w:rPr>
        <w:t xml:space="preserve"> RECOMMENDATIONS</w:t>
      </w:r>
      <w:bookmarkEnd w:id="125"/>
      <w:bookmarkEnd w:id="126"/>
      <w:bookmarkEnd w:id="127"/>
      <w:bookmarkEnd w:id="192"/>
    </w:p>
    <w:p w:rsidR="006F39F9" w:rsidRPr="005E53A8" w:rsidRDefault="006F39F9" w:rsidP="006F39F9">
      <w:r>
        <w:t>There are 1</w:t>
      </w:r>
      <w:r w:rsidR="00D7035B">
        <w:t>2</w:t>
      </w:r>
      <w:r w:rsidRPr="005E53A8">
        <w:t xml:space="preserve"> recommendations</w:t>
      </w:r>
      <w:r>
        <w:t xml:space="preserve"> in this report, including </w:t>
      </w:r>
      <w:r w:rsidR="00FB35E6">
        <w:t>eight</w:t>
      </w:r>
      <w:r w:rsidR="00FB35E6" w:rsidRPr="005E53A8">
        <w:t xml:space="preserve"> </w:t>
      </w:r>
      <w:r w:rsidRPr="005E53A8">
        <w:t xml:space="preserve">recommendations </w:t>
      </w:r>
      <w:r>
        <w:t>from</w:t>
      </w:r>
      <w:r w:rsidR="008E6FE9">
        <w:t xml:space="preserve"> the</w:t>
      </w:r>
      <w:r>
        <w:t xml:space="preserve"> last report and </w:t>
      </w:r>
      <w:r w:rsidR="00D7035B">
        <w:t>four</w:t>
      </w:r>
      <w:r w:rsidR="00167723">
        <w:t xml:space="preserve"> </w:t>
      </w:r>
      <w:r>
        <w:t xml:space="preserve">new </w:t>
      </w:r>
      <w:r w:rsidR="00FB35E6">
        <w:t xml:space="preserve">or revised </w:t>
      </w:r>
      <w:r>
        <w:t>recommendations. Please note the</w:t>
      </w:r>
      <w:r w:rsidRPr="005E53A8">
        <w:t xml:space="preserve"> </w:t>
      </w:r>
      <w:r>
        <w:t>sixth</w:t>
      </w:r>
      <w:r w:rsidRPr="005E53A8">
        <w:t xml:space="preserve"> recommendation of ‘</w:t>
      </w:r>
      <w:r w:rsidRPr="008A3B38">
        <w:t>Review and re</w:t>
      </w:r>
      <w:r w:rsidR="008E6FE9">
        <w:t>-</w:t>
      </w:r>
      <w:r w:rsidRPr="008A3B38">
        <w:t xml:space="preserve">develop the Australian National </w:t>
      </w:r>
      <w:proofErr w:type="spellStart"/>
      <w:r w:rsidRPr="008A3B38">
        <w:t>Haemovigilance</w:t>
      </w:r>
      <w:proofErr w:type="spellEnd"/>
      <w:r w:rsidRPr="008A3B38">
        <w:t xml:space="preserve"> Data Dictionary</w:t>
      </w:r>
      <w:r w:rsidRPr="005E53A8">
        <w:t>’</w:t>
      </w:r>
      <w:r>
        <w:t xml:space="preserve"> from</w:t>
      </w:r>
      <w:r w:rsidR="008E6FE9">
        <w:t xml:space="preserve"> the</w:t>
      </w:r>
      <w:r>
        <w:t xml:space="preserve"> last report has been delivered</w:t>
      </w:r>
      <w:r w:rsidRPr="005E53A8">
        <w:t xml:space="preserve"> </w:t>
      </w:r>
      <w:r>
        <w:t>and replaced by ‘</w:t>
      </w:r>
      <w:r w:rsidRPr="008A3B38">
        <w:t xml:space="preserve">Implement the Australian </w:t>
      </w:r>
      <w:proofErr w:type="spellStart"/>
      <w:r w:rsidRPr="008A3B38">
        <w:t>Haemovigilance</w:t>
      </w:r>
      <w:proofErr w:type="spellEnd"/>
      <w:r w:rsidRPr="008A3B38">
        <w:t xml:space="preserve"> Minimum Data Set</w:t>
      </w:r>
      <w:r>
        <w:t>’ in this report</w:t>
      </w:r>
      <w:r w:rsidRPr="005E53A8">
        <w:t xml:space="preserve">. The NBA and HAC have developed a </w:t>
      </w:r>
      <w:r>
        <w:t xml:space="preserve">Work Plan for </w:t>
      </w:r>
      <w:r w:rsidRPr="009415E2">
        <w:t>2015–17</w:t>
      </w:r>
      <w:r w:rsidRPr="005E53A8">
        <w:t xml:space="preserve"> to guide the implementation of the recommendations in the following areas.</w:t>
      </w:r>
    </w:p>
    <w:p w:rsidR="006F39F9" w:rsidRPr="005E53A8" w:rsidRDefault="006F39F9" w:rsidP="006F39F9">
      <w:pPr>
        <w:pBdr>
          <w:bottom w:val="single" w:sz="4" w:space="1" w:color="auto"/>
        </w:pBdr>
        <w:rPr>
          <w:b/>
        </w:rPr>
      </w:pPr>
      <w:r w:rsidRPr="005E53A8">
        <w:rPr>
          <w:b/>
          <w:lang w:eastAsia="en-AU"/>
        </w:rPr>
        <w:t>National blood quality and safety initiatives</w:t>
      </w:r>
    </w:p>
    <w:p w:rsidR="006F39F9" w:rsidRPr="005E53A8" w:rsidRDefault="006F39F9" w:rsidP="00437C01">
      <w:pPr>
        <w:numPr>
          <w:ilvl w:val="0"/>
          <w:numId w:val="47"/>
        </w:numPr>
        <w:ind w:left="709"/>
        <w:contextualSpacing/>
      </w:pPr>
      <w:r w:rsidRPr="005E53A8">
        <w:t>Promote the recognition and management of transfusion-related adverse events.</w:t>
      </w:r>
    </w:p>
    <w:p w:rsidR="006F39F9" w:rsidRPr="005E53A8" w:rsidRDefault="006F39F9" w:rsidP="00437C01">
      <w:pPr>
        <w:numPr>
          <w:ilvl w:val="0"/>
          <w:numId w:val="47"/>
        </w:numPr>
        <w:ind w:left="709"/>
        <w:contextualSpacing/>
      </w:pPr>
      <w:r w:rsidRPr="005E53A8">
        <w:t xml:space="preserve">Implement programs at the national, state and local </w:t>
      </w:r>
      <w:r w:rsidR="00C66864">
        <w:t>health service provider</w:t>
      </w:r>
      <w:r w:rsidR="00C66864" w:rsidRPr="005E53A8">
        <w:t xml:space="preserve"> </w:t>
      </w:r>
      <w:r w:rsidRPr="005E53A8">
        <w:t>levels to improve reporting of serious adverse events.</w:t>
      </w:r>
    </w:p>
    <w:p w:rsidR="006F39F9" w:rsidRPr="005E53A8" w:rsidRDefault="006F39F9" w:rsidP="006F39F9">
      <w:pPr>
        <w:ind w:left="363"/>
        <w:contextualSpacing/>
      </w:pPr>
    </w:p>
    <w:p w:rsidR="006F39F9" w:rsidRPr="005E53A8" w:rsidRDefault="006F39F9" w:rsidP="006F39F9">
      <w:pPr>
        <w:pBdr>
          <w:bottom w:val="single" w:sz="4" w:space="1" w:color="auto"/>
        </w:pBdr>
        <w:ind w:left="3"/>
        <w:rPr>
          <w:b/>
        </w:rPr>
      </w:pPr>
      <w:r w:rsidRPr="005E53A8">
        <w:rPr>
          <w:b/>
          <w:lang w:eastAsia="en-AU"/>
        </w:rPr>
        <w:t>Reducing human errors</w:t>
      </w:r>
    </w:p>
    <w:p w:rsidR="006F39F9" w:rsidRPr="005E53A8" w:rsidRDefault="006F39F9" w:rsidP="00437C01">
      <w:pPr>
        <w:numPr>
          <w:ilvl w:val="0"/>
          <w:numId w:val="47"/>
        </w:numPr>
        <w:ind w:left="709"/>
        <w:contextualSpacing/>
      </w:pPr>
      <w:r w:rsidRPr="005E53A8">
        <w:t>Clinical staff should comply with national guidelines on sample collection and administration of blood and blood products.</w:t>
      </w:r>
    </w:p>
    <w:p w:rsidR="006F39F9" w:rsidRPr="005E53A8" w:rsidRDefault="006F39F9" w:rsidP="00437C01">
      <w:pPr>
        <w:numPr>
          <w:ilvl w:val="0"/>
          <w:numId w:val="47"/>
        </w:numPr>
        <w:ind w:left="709"/>
        <w:contextualSpacing/>
      </w:pPr>
      <w:r w:rsidRPr="005E53A8">
        <w:t>Promote the application of technological adjuncts such as portable barcode readers and/or radio-frequency identification scanners to reduce the scope for error.</w:t>
      </w:r>
    </w:p>
    <w:p w:rsidR="006F39F9" w:rsidRPr="005E53A8" w:rsidRDefault="006F39F9" w:rsidP="00437C01">
      <w:pPr>
        <w:numPr>
          <w:ilvl w:val="0"/>
          <w:numId w:val="47"/>
        </w:numPr>
        <w:ind w:left="709"/>
        <w:contextualSpacing/>
      </w:pPr>
      <w:r w:rsidRPr="005E53A8">
        <w:t>Develop tools to encourage alignment of prescribing practice with clinical guidelines.</w:t>
      </w:r>
    </w:p>
    <w:p w:rsidR="006F39F9" w:rsidRPr="005E53A8" w:rsidRDefault="006F39F9" w:rsidP="006F39F9">
      <w:pPr>
        <w:ind w:left="720"/>
        <w:contextualSpacing/>
      </w:pPr>
    </w:p>
    <w:p w:rsidR="006F39F9" w:rsidRPr="005E53A8" w:rsidRDefault="006F39F9" w:rsidP="006F39F9">
      <w:pPr>
        <w:pBdr>
          <w:bottom w:val="single" w:sz="4" w:space="1" w:color="auto"/>
        </w:pBdr>
        <w:rPr>
          <w:b/>
        </w:rPr>
      </w:pPr>
      <w:r w:rsidRPr="005E53A8">
        <w:rPr>
          <w:b/>
          <w:lang w:eastAsia="en-AU"/>
        </w:rPr>
        <w:t>Data standards</w:t>
      </w:r>
    </w:p>
    <w:p w:rsidR="006F39F9" w:rsidRPr="005E53A8" w:rsidRDefault="006F39F9" w:rsidP="00437C01">
      <w:pPr>
        <w:numPr>
          <w:ilvl w:val="0"/>
          <w:numId w:val="47"/>
        </w:numPr>
        <w:ind w:left="709"/>
        <w:contextualSpacing/>
      </w:pPr>
      <w:r>
        <w:t xml:space="preserve">Implement the Australian </w:t>
      </w:r>
      <w:proofErr w:type="spellStart"/>
      <w:r>
        <w:t>Haemovigilance</w:t>
      </w:r>
      <w:proofErr w:type="spellEnd"/>
      <w:r>
        <w:t xml:space="preserve"> Minimum Data Set (AHMDS).</w:t>
      </w:r>
    </w:p>
    <w:p w:rsidR="006F39F9" w:rsidRPr="005E53A8" w:rsidRDefault="006F39F9" w:rsidP="00437C01">
      <w:pPr>
        <w:numPr>
          <w:ilvl w:val="0"/>
          <w:numId w:val="47"/>
        </w:numPr>
        <w:ind w:left="709"/>
        <w:contextualSpacing/>
      </w:pPr>
      <w:r w:rsidRPr="005E53A8">
        <w:t xml:space="preserve">Provide tools for </w:t>
      </w:r>
      <w:r w:rsidR="00FF7E81">
        <w:t>health service providers</w:t>
      </w:r>
      <w:r w:rsidRPr="005E53A8">
        <w:t xml:space="preserve"> on the application of</w:t>
      </w:r>
      <w:r w:rsidR="008E6FE9">
        <w:t xml:space="preserve"> the</w:t>
      </w:r>
      <w:r w:rsidRPr="005E53A8">
        <w:t xml:space="preserve"> </w:t>
      </w:r>
      <w:r w:rsidR="008E6FE9">
        <w:t>AHMDS</w:t>
      </w:r>
      <w:r w:rsidR="008E6FE9" w:rsidRPr="005E53A8" w:rsidDel="008E6FE9">
        <w:t xml:space="preserve"> </w:t>
      </w:r>
      <w:r w:rsidRPr="005E53A8">
        <w:t xml:space="preserve">and reporting of </w:t>
      </w:r>
      <w:proofErr w:type="spellStart"/>
      <w:r w:rsidRPr="005E53A8">
        <w:t>haemovigilance</w:t>
      </w:r>
      <w:proofErr w:type="spellEnd"/>
      <w:r w:rsidRPr="005E53A8">
        <w:t xml:space="preserve"> data.</w:t>
      </w:r>
    </w:p>
    <w:p w:rsidR="006F39F9" w:rsidRDefault="006F39F9" w:rsidP="00437C01">
      <w:pPr>
        <w:numPr>
          <w:ilvl w:val="0"/>
          <w:numId w:val="47"/>
        </w:numPr>
        <w:ind w:left="709"/>
        <w:contextualSpacing/>
      </w:pPr>
      <w:r w:rsidRPr="005E53A8">
        <w:t xml:space="preserve">Continue to include donor vigilance data in national </w:t>
      </w:r>
      <w:proofErr w:type="spellStart"/>
      <w:r w:rsidRPr="005E53A8">
        <w:t>haemovigilance</w:t>
      </w:r>
      <w:proofErr w:type="spellEnd"/>
      <w:r w:rsidRPr="005E53A8">
        <w:t xml:space="preserve"> reporting.</w:t>
      </w:r>
    </w:p>
    <w:p w:rsidR="006F39F9" w:rsidRDefault="001655BD" w:rsidP="00437C01">
      <w:pPr>
        <w:numPr>
          <w:ilvl w:val="0"/>
          <w:numId w:val="47"/>
        </w:numPr>
        <w:ind w:left="709"/>
        <w:contextualSpacing/>
      </w:pPr>
      <w:r>
        <w:t xml:space="preserve">Consider including </w:t>
      </w:r>
      <w:r w:rsidR="006F39F9" w:rsidRPr="009415E2">
        <w:t xml:space="preserve">near misses in national </w:t>
      </w:r>
      <w:proofErr w:type="spellStart"/>
      <w:r w:rsidR="006F39F9" w:rsidRPr="009415E2">
        <w:t>haemovigilance</w:t>
      </w:r>
      <w:proofErr w:type="spellEnd"/>
      <w:r w:rsidR="006F39F9" w:rsidRPr="009415E2">
        <w:t xml:space="preserve"> reporting</w:t>
      </w:r>
      <w:r w:rsidR="008E6FE9">
        <w:t>.</w:t>
      </w:r>
    </w:p>
    <w:p w:rsidR="00D7035B" w:rsidRDefault="00D7035B" w:rsidP="00437C01">
      <w:pPr>
        <w:numPr>
          <w:ilvl w:val="0"/>
          <w:numId w:val="47"/>
        </w:numPr>
        <w:ind w:left="709"/>
        <w:contextualSpacing/>
      </w:pPr>
      <w:r w:rsidRPr="00D7035B">
        <w:t xml:space="preserve">Include relevant data in national </w:t>
      </w:r>
      <w:proofErr w:type="spellStart"/>
      <w:r w:rsidRPr="00D7035B">
        <w:t>haemovigilance</w:t>
      </w:r>
      <w:proofErr w:type="spellEnd"/>
      <w:r w:rsidRPr="00D7035B">
        <w:t xml:space="preserve"> reporting</w:t>
      </w:r>
      <w:r>
        <w:t>.</w:t>
      </w:r>
    </w:p>
    <w:p w:rsidR="006F39F9" w:rsidRPr="005E53A8" w:rsidRDefault="006F39F9" w:rsidP="006F39F9">
      <w:pPr>
        <w:contextualSpacing/>
      </w:pPr>
    </w:p>
    <w:p w:rsidR="006F39F9" w:rsidRPr="005E53A8" w:rsidRDefault="006F39F9" w:rsidP="006F39F9">
      <w:pPr>
        <w:pBdr>
          <w:bottom w:val="single" w:sz="4" w:space="1" w:color="auto"/>
        </w:pBdr>
        <w:rPr>
          <w:b/>
        </w:rPr>
      </w:pPr>
      <w:r w:rsidRPr="005E53A8">
        <w:rPr>
          <w:b/>
          <w:lang w:eastAsia="en-AU"/>
        </w:rPr>
        <w:t>Reporting capacity</w:t>
      </w:r>
    </w:p>
    <w:p w:rsidR="006F39F9" w:rsidRPr="005E53A8" w:rsidRDefault="006F39F9" w:rsidP="00437C01">
      <w:pPr>
        <w:numPr>
          <w:ilvl w:val="0"/>
          <w:numId w:val="47"/>
        </w:numPr>
        <w:ind w:left="709"/>
        <w:contextualSpacing/>
      </w:pPr>
      <w:r w:rsidRPr="005E53A8">
        <w:t xml:space="preserve">Implement the Strategic Framework for the National </w:t>
      </w:r>
      <w:proofErr w:type="spellStart"/>
      <w:r w:rsidRPr="005E53A8">
        <w:t>Haemovigilance</w:t>
      </w:r>
      <w:proofErr w:type="spellEnd"/>
      <w:r w:rsidRPr="005E53A8">
        <w:t xml:space="preserve"> Program.</w:t>
      </w:r>
    </w:p>
    <w:p w:rsidR="006F39F9" w:rsidRPr="005E53A8" w:rsidRDefault="006F39F9" w:rsidP="00437C01">
      <w:pPr>
        <w:numPr>
          <w:ilvl w:val="0"/>
          <w:numId w:val="47"/>
        </w:numPr>
        <w:ind w:left="709"/>
        <w:contextualSpacing/>
      </w:pPr>
      <w:r w:rsidRPr="005E53A8">
        <w:t xml:space="preserve">Maintain and improve existing capacities for </w:t>
      </w:r>
      <w:proofErr w:type="spellStart"/>
      <w:r w:rsidRPr="005E53A8">
        <w:t>haemovigilance</w:t>
      </w:r>
      <w:proofErr w:type="spellEnd"/>
      <w:r w:rsidRPr="005E53A8">
        <w:t xml:space="preserve"> data reporting.</w:t>
      </w:r>
    </w:p>
    <w:p w:rsidR="006F39F9" w:rsidRDefault="006F39F9" w:rsidP="006C3D85">
      <w:bookmarkStart w:id="193" w:name="_Toc420837262"/>
      <w:r>
        <w:br w:type="page"/>
      </w:r>
    </w:p>
    <w:p w:rsidR="006F39F9" w:rsidRPr="005E53A8" w:rsidRDefault="006F39F9" w:rsidP="006F39F9">
      <w:pPr>
        <w:pStyle w:val="Heading2"/>
      </w:pPr>
      <w:bookmarkStart w:id="194" w:name="_Toc459366186"/>
      <w:r w:rsidRPr="005E53A8">
        <w:lastRenderedPageBreak/>
        <w:t>National blood quality and safety initiatives</w:t>
      </w:r>
      <w:bookmarkEnd w:id="193"/>
      <w:bookmarkEnd w:id="194"/>
    </w:p>
    <w:p w:rsidR="006F39F9" w:rsidRPr="005E53A8" w:rsidRDefault="006F39F9" w:rsidP="006F39F9">
      <w:proofErr w:type="spellStart"/>
      <w:r w:rsidRPr="005E53A8">
        <w:t>Haemovigilance</w:t>
      </w:r>
      <w:proofErr w:type="spellEnd"/>
      <w:r w:rsidRPr="005E53A8">
        <w:t xml:space="preserve"> has become a more routine part of clinical practice in Australia. The data to date suggests a focus on those events that are most common (such as FNHTR and severe allergic reactions) and that cause the greatest numbers of severe patient outcomes (such as TACO and anaphylactic reactions).</w:t>
      </w:r>
    </w:p>
    <w:p w:rsidR="006F39F9" w:rsidRPr="005E53A8" w:rsidRDefault="006F39F9" w:rsidP="006F39F9">
      <w:r w:rsidRPr="005E53A8">
        <w:t>In relative terms, the Australian data suggests that TACO</w:t>
      </w:r>
      <w:r>
        <w:t>, TRA</w:t>
      </w:r>
      <w:r w:rsidR="00252D67">
        <w:t>L</w:t>
      </w:r>
      <w:r>
        <w:t xml:space="preserve">I and DHTR </w:t>
      </w:r>
      <w:r w:rsidRPr="005E53A8">
        <w:t>which account for disproportionate numbers of life</w:t>
      </w:r>
      <w:r w:rsidR="008E6FE9">
        <w:t>-</w:t>
      </w:r>
      <w:r w:rsidRPr="005E53A8">
        <w:t>threatening and severe morbidity events, are likely under</w:t>
      </w:r>
      <w:r w:rsidRPr="005E53A8">
        <w:noBreakHyphen/>
        <w:t xml:space="preserve">reported. National quality and safety initiatives should be developed with the aim of helping clinical staff to recognise and manage these events and support alignment of </w:t>
      </w:r>
      <w:r w:rsidR="00C66864">
        <w:t>health service provider</w:t>
      </w:r>
      <w:r w:rsidR="00C66864" w:rsidRPr="005E53A8">
        <w:t xml:space="preserve"> </w:t>
      </w:r>
      <w:r w:rsidRPr="005E53A8">
        <w:t>transfusion practice and incident reporting with the NSQHS Standard 7.</w:t>
      </w:r>
    </w:p>
    <w:p w:rsidR="006F39F9" w:rsidRPr="0067689B" w:rsidRDefault="006F39F9" w:rsidP="0067689B">
      <w:pPr>
        <w:pStyle w:val="Caption"/>
      </w:pPr>
      <w:bookmarkStart w:id="195" w:name="_Toc420835697"/>
      <w:bookmarkStart w:id="196" w:name="_Toc459636876"/>
      <w:r w:rsidRPr="0067689B">
        <w:t xml:space="preserve">Table </w:t>
      </w:r>
      <w:r w:rsidRPr="0067689B">
        <w:fldChar w:fldCharType="begin"/>
      </w:r>
      <w:r w:rsidRPr="00C94185">
        <w:instrText xml:space="preserve"> SEQ Table \* ARABIC </w:instrText>
      </w:r>
      <w:r w:rsidRPr="0067689B">
        <w:fldChar w:fldCharType="separate"/>
      </w:r>
      <w:r w:rsidR="000010BC">
        <w:rPr>
          <w:noProof/>
        </w:rPr>
        <w:t>36</w:t>
      </w:r>
      <w:r w:rsidRPr="0067689B">
        <w:fldChar w:fldCharType="end"/>
      </w:r>
      <w:r w:rsidRPr="0067689B">
        <w:t>: Recommendations on national blood quality and safety initiatives</w:t>
      </w:r>
      <w:bookmarkEnd w:id="195"/>
      <w:bookmarkEnd w:id="196"/>
    </w:p>
    <w:tbl>
      <w:tblPr>
        <w:tblW w:w="0" w:type="auto"/>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439"/>
        <w:gridCol w:w="1945"/>
        <w:gridCol w:w="1701"/>
        <w:gridCol w:w="2551"/>
        <w:gridCol w:w="2578"/>
      </w:tblGrid>
      <w:tr w:rsidR="006F39F9" w:rsidRPr="005E53A8" w:rsidTr="006F39F9">
        <w:trPr>
          <w:cantSplit/>
          <w:trHeight w:val="629"/>
        </w:trPr>
        <w:tc>
          <w:tcPr>
            <w:tcW w:w="439" w:type="dxa"/>
            <w:tcBorders>
              <w:top w:val="nil"/>
              <w:bottom w:val="nil"/>
            </w:tcBorders>
            <w:shd w:val="clear" w:color="auto" w:fill="FF0000"/>
            <w:vAlign w:val="center"/>
          </w:tcPr>
          <w:p w:rsidR="006F39F9" w:rsidRPr="005E53A8" w:rsidRDefault="006F39F9" w:rsidP="00C7431F">
            <w:pPr>
              <w:spacing w:after="0" w:line="276" w:lineRule="auto"/>
              <w:rPr>
                <w:b/>
                <w:color w:val="FFFFFF" w:themeColor="background1"/>
                <w:sz w:val="20"/>
                <w:szCs w:val="20"/>
                <w:lang w:eastAsia="en-AU"/>
              </w:rPr>
            </w:pPr>
          </w:p>
        </w:tc>
        <w:tc>
          <w:tcPr>
            <w:tcW w:w="1945" w:type="dxa"/>
            <w:tcBorders>
              <w:top w:val="nil"/>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Recommendation</w:t>
            </w:r>
          </w:p>
        </w:tc>
        <w:tc>
          <w:tcPr>
            <w:tcW w:w="1701" w:type="dxa"/>
            <w:tcBorders>
              <w:top w:val="nil"/>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Who is Responsible</w:t>
            </w:r>
          </w:p>
        </w:tc>
        <w:tc>
          <w:tcPr>
            <w:tcW w:w="2551" w:type="dxa"/>
            <w:tcBorders>
              <w:top w:val="nil"/>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Proposed Strategy</w:t>
            </w:r>
          </w:p>
        </w:tc>
        <w:tc>
          <w:tcPr>
            <w:tcW w:w="2578" w:type="dxa"/>
            <w:tcBorders>
              <w:top w:val="nil"/>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How that will be measured</w:t>
            </w:r>
          </w:p>
        </w:tc>
      </w:tr>
      <w:tr w:rsidR="006F39F9" w:rsidRPr="005E53A8" w:rsidTr="006F39F9">
        <w:trPr>
          <w:cantSplit/>
        </w:trPr>
        <w:tc>
          <w:tcPr>
            <w:tcW w:w="439" w:type="dxa"/>
            <w:tcBorders>
              <w:top w:val="nil"/>
            </w:tcBorders>
            <w:shd w:val="clear" w:color="auto" w:fill="FFFFFF" w:themeFill="background1"/>
            <w:hideMark/>
          </w:tcPr>
          <w:p w:rsidR="006F39F9" w:rsidRPr="005E53A8" w:rsidRDefault="006F39F9" w:rsidP="00C7431F">
            <w:pPr>
              <w:spacing w:after="0"/>
              <w:rPr>
                <w:sz w:val="20"/>
                <w:szCs w:val="20"/>
                <w:lang w:eastAsia="en-AU"/>
              </w:rPr>
            </w:pPr>
            <w:r>
              <w:rPr>
                <w:sz w:val="20"/>
                <w:szCs w:val="20"/>
                <w:lang w:eastAsia="en-AU"/>
              </w:rPr>
              <w:t>1</w:t>
            </w:r>
          </w:p>
        </w:tc>
        <w:tc>
          <w:tcPr>
            <w:tcW w:w="1945" w:type="dxa"/>
            <w:tcBorders>
              <w:top w:val="nil"/>
            </w:tcBorders>
            <w:shd w:val="clear" w:color="auto" w:fill="FFFFFF" w:themeFill="background1"/>
            <w:hideMark/>
          </w:tcPr>
          <w:p w:rsidR="006F39F9" w:rsidRPr="005E53A8" w:rsidRDefault="006F39F9" w:rsidP="00C7431F">
            <w:pPr>
              <w:spacing w:after="0"/>
              <w:rPr>
                <w:sz w:val="20"/>
                <w:szCs w:val="20"/>
                <w:lang w:eastAsia="en-AU"/>
              </w:rPr>
            </w:pPr>
            <w:r w:rsidRPr="005E53A8">
              <w:rPr>
                <w:sz w:val="20"/>
                <w:szCs w:val="20"/>
              </w:rPr>
              <w:t>Promote the recognition and management of transfusion-related adverse events</w:t>
            </w:r>
          </w:p>
        </w:tc>
        <w:tc>
          <w:tcPr>
            <w:tcW w:w="1701" w:type="dxa"/>
            <w:tcBorders>
              <w:top w:val="nil"/>
            </w:tcBorders>
            <w:shd w:val="clear" w:color="auto" w:fill="D9D9D9" w:themeFill="background1" w:themeFillShade="D9"/>
            <w:hideMark/>
          </w:tcPr>
          <w:p w:rsidR="006F39F9" w:rsidRPr="005E53A8" w:rsidRDefault="006F39F9" w:rsidP="00C66864">
            <w:pPr>
              <w:spacing w:after="0"/>
              <w:rPr>
                <w:sz w:val="20"/>
                <w:szCs w:val="20"/>
              </w:rPr>
            </w:pPr>
            <w:r w:rsidRPr="005E53A8">
              <w:rPr>
                <w:sz w:val="20"/>
                <w:szCs w:val="20"/>
              </w:rPr>
              <w:t xml:space="preserve">NBA; JBC; Blood Service; ANZSBT; State and territory departments of health; </w:t>
            </w:r>
            <w:r w:rsidR="00C66864">
              <w:rPr>
                <w:sz w:val="20"/>
                <w:szCs w:val="20"/>
              </w:rPr>
              <w:t>health service provider</w:t>
            </w:r>
            <w:r w:rsidRPr="005E53A8">
              <w:rPr>
                <w:sz w:val="20"/>
                <w:szCs w:val="20"/>
              </w:rPr>
              <w:t xml:space="preserve"> </w:t>
            </w:r>
            <w:r w:rsidR="00C66864">
              <w:rPr>
                <w:sz w:val="20"/>
                <w:szCs w:val="20"/>
              </w:rPr>
              <w:t>a</w:t>
            </w:r>
            <w:r w:rsidRPr="005E53A8">
              <w:rPr>
                <w:sz w:val="20"/>
                <w:szCs w:val="20"/>
              </w:rPr>
              <w:t xml:space="preserve">dministrators; </w:t>
            </w:r>
            <w:r w:rsidR="00C66864">
              <w:rPr>
                <w:sz w:val="20"/>
                <w:szCs w:val="20"/>
              </w:rPr>
              <w:t>health service provider</w:t>
            </w:r>
            <w:r w:rsidRPr="005E53A8">
              <w:rPr>
                <w:sz w:val="20"/>
                <w:szCs w:val="20"/>
              </w:rPr>
              <w:t xml:space="preserve"> educators; Relevant professional Colleges and Societies</w:t>
            </w:r>
          </w:p>
        </w:tc>
        <w:tc>
          <w:tcPr>
            <w:tcW w:w="2551" w:type="dxa"/>
            <w:tcBorders>
              <w:top w:val="nil"/>
            </w:tcBorders>
            <w:shd w:val="clear" w:color="auto" w:fill="FFFFFF" w:themeFill="background1"/>
            <w:hideMark/>
          </w:tcPr>
          <w:p w:rsidR="006F39F9" w:rsidRDefault="006F39F9" w:rsidP="00C7431F">
            <w:pPr>
              <w:spacing w:after="0"/>
              <w:rPr>
                <w:sz w:val="20"/>
                <w:szCs w:val="20"/>
              </w:rPr>
            </w:pPr>
            <w:r>
              <w:rPr>
                <w:sz w:val="20"/>
                <w:szCs w:val="20"/>
              </w:rPr>
              <w:t xml:space="preserve">Blood Service to develop the </w:t>
            </w:r>
            <w:r w:rsidRPr="00F220A6">
              <w:rPr>
                <w:sz w:val="20"/>
                <w:szCs w:val="20"/>
              </w:rPr>
              <w:t>Guidance on Recognition and Management of Acute Tra</w:t>
            </w:r>
            <w:r>
              <w:rPr>
                <w:sz w:val="20"/>
                <w:szCs w:val="20"/>
              </w:rPr>
              <w:t>nsfusion-Related Adverse Events (the Guidance)</w:t>
            </w:r>
          </w:p>
          <w:p w:rsidR="006F39F9" w:rsidRDefault="006F39F9" w:rsidP="00C7431F">
            <w:pPr>
              <w:spacing w:after="0"/>
              <w:rPr>
                <w:sz w:val="20"/>
                <w:szCs w:val="20"/>
              </w:rPr>
            </w:pPr>
          </w:p>
          <w:p w:rsidR="006F39F9" w:rsidRPr="005E53A8" w:rsidRDefault="006F39F9" w:rsidP="00C7431F">
            <w:pPr>
              <w:spacing w:after="0"/>
              <w:rPr>
                <w:sz w:val="20"/>
                <w:szCs w:val="20"/>
              </w:rPr>
            </w:pPr>
            <w:r>
              <w:rPr>
                <w:sz w:val="20"/>
                <w:szCs w:val="20"/>
              </w:rPr>
              <w:t>Publish the Guidance on the NBA and Blood Service websites and incorporate it into the eLearning module</w:t>
            </w:r>
          </w:p>
        </w:tc>
        <w:tc>
          <w:tcPr>
            <w:tcW w:w="2578" w:type="dxa"/>
            <w:tcBorders>
              <w:top w:val="nil"/>
            </w:tcBorders>
            <w:shd w:val="clear" w:color="auto" w:fill="D9D9D9" w:themeFill="background1" w:themeFillShade="D9"/>
            <w:hideMark/>
          </w:tcPr>
          <w:p w:rsidR="006F39F9" w:rsidRDefault="006F39F9" w:rsidP="00C7431F">
            <w:pPr>
              <w:spacing w:after="0"/>
              <w:rPr>
                <w:sz w:val="20"/>
                <w:szCs w:val="20"/>
              </w:rPr>
            </w:pPr>
            <w:r w:rsidRPr="005E53A8">
              <w:rPr>
                <w:sz w:val="20"/>
                <w:szCs w:val="20"/>
              </w:rPr>
              <w:t xml:space="preserve">The Guidance redeveloped by the </w:t>
            </w:r>
            <w:r>
              <w:rPr>
                <w:sz w:val="20"/>
                <w:szCs w:val="20"/>
              </w:rPr>
              <w:t>Blood Service and reviewed by the HAC</w:t>
            </w:r>
          </w:p>
          <w:p w:rsidR="006F39F9" w:rsidRPr="005E53A8" w:rsidRDefault="006F39F9" w:rsidP="00C7431F">
            <w:pPr>
              <w:spacing w:after="0"/>
              <w:rPr>
                <w:sz w:val="20"/>
                <w:szCs w:val="20"/>
              </w:rPr>
            </w:pPr>
          </w:p>
          <w:p w:rsidR="006F39F9" w:rsidRPr="005E53A8" w:rsidRDefault="006F39F9" w:rsidP="00C7431F">
            <w:pPr>
              <w:spacing w:after="0"/>
              <w:rPr>
                <w:sz w:val="20"/>
                <w:szCs w:val="20"/>
              </w:rPr>
            </w:pPr>
            <w:r>
              <w:rPr>
                <w:sz w:val="20"/>
                <w:szCs w:val="20"/>
              </w:rPr>
              <w:t>T</w:t>
            </w:r>
            <w:r w:rsidRPr="005E53A8">
              <w:rPr>
                <w:sz w:val="20"/>
                <w:szCs w:val="20"/>
              </w:rPr>
              <w:t>he Guidance published and evaluated by the NBA</w:t>
            </w:r>
            <w:r>
              <w:rPr>
                <w:sz w:val="20"/>
                <w:szCs w:val="20"/>
              </w:rPr>
              <w:t xml:space="preserve"> and Blood Service</w:t>
            </w:r>
          </w:p>
          <w:p w:rsidR="006F39F9" w:rsidRPr="005E53A8" w:rsidRDefault="006F39F9" w:rsidP="00C7431F">
            <w:pPr>
              <w:spacing w:after="0"/>
              <w:rPr>
                <w:sz w:val="20"/>
                <w:szCs w:val="20"/>
              </w:rPr>
            </w:pPr>
          </w:p>
          <w:p w:rsidR="006F39F9" w:rsidRPr="005E53A8" w:rsidRDefault="006F39F9" w:rsidP="00C7431F">
            <w:pPr>
              <w:spacing w:after="0"/>
              <w:rPr>
                <w:sz w:val="20"/>
                <w:szCs w:val="20"/>
              </w:rPr>
            </w:pPr>
            <w:r w:rsidRPr="005E53A8">
              <w:rPr>
                <w:sz w:val="20"/>
                <w:szCs w:val="20"/>
              </w:rPr>
              <w:t>An eLearning module based on the Guidance developed</w:t>
            </w:r>
          </w:p>
        </w:tc>
      </w:tr>
      <w:tr w:rsidR="006F39F9" w:rsidRPr="005E53A8" w:rsidTr="006F39F9">
        <w:trPr>
          <w:cantSplit/>
        </w:trPr>
        <w:tc>
          <w:tcPr>
            <w:tcW w:w="439" w:type="dxa"/>
            <w:shd w:val="clear" w:color="auto" w:fill="FFFFFF" w:themeFill="background1"/>
            <w:hideMark/>
          </w:tcPr>
          <w:p w:rsidR="006F39F9" w:rsidRPr="005E53A8" w:rsidRDefault="006F39F9" w:rsidP="00C7431F">
            <w:pPr>
              <w:spacing w:after="0"/>
              <w:rPr>
                <w:sz w:val="20"/>
                <w:szCs w:val="20"/>
                <w:lang w:eastAsia="en-AU"/>
              </w:rPr>
            </w:pPr>
            <w:r>
              <w:rPr>
                <w:sz w:val="20"/>
                <w:szCs w:val="20"/>
                <w:lang w:eastAsia="en-AU"/>
              </w:rPr>
              <w:t>2</w:t>
            </w:r>
          </w:p>
        </w:tc>
        <w:tc>
          <w:tcPr>
            <w:tcW w:w="1945" w:type="dxa"/>
            <w:shd w:val="clear" w:color="auto" w:fill="FFFFFF" w:themeFill="background1"/>
            <w:hideMark/>
          </w:tcPr>
          <w:p w:rsidR="006F39F9" w:rsidRPr="005E53A8" w:rsidRDefault="006F39F9" w:rsidP="00C7431F">
            <w:pPr>
              <w:spacing w:after="0"/>
              <w:rPr>
                <w:sz w:val="20"/>
                <w:szCs w:val="20"/>
                <w:lang w:eastAsia="en-AU"/>
              </w:rPr>
            </w:pPr>
            <w:r w:rsidRPr="005E53A8">
              <w:rPr>
                <w:sz w:val="20"/>
                <w:szCs w:val="20"/>
              </w:rPr>
              <w:t xml:space="preserve">Implement programs at the national, state and local </w:t>
            </w:r>
            <w:r w:rsidR="00C66864">
              <w:rPr>
                <w:sz w:val="20"/>
                <w:szCs w:val="20"/>
              </w:rPr>
              <w:t>health service provider</w:t>
            </w:r>
            <w:r w:rsidRPr="005E53A8">
              <w:rPr>
                <w:sz w:val="20"/>
                <w:szCs w:val="20"/>
              </w:rPr>
              <w:t xml:space="preserve"> levels to improve reporting of serious adverse events</w:t>
            </w:r>
          </w:p>
        </w:tc>
        <w:tc>
          <w:tcPr>
            <w:tcW w:w="1701" w:type="dxa"/>
            <w:shd w:val="clear" w:color="auto" w:fill="D9D9D9" w:themeFill="background1" w:themeFillShade="D9"/>
            <w:hideMark/>
          </w:tcPr>
          <w:p w:rsidR="006F39F9" w:rsidRPr="005E53A8" w:rsidRDefault="006F39F9" w:rsidP="00C66864">
            <w:pPr>
              <w:spacing w:after="0"/>
              <w:rPr>
                <w:sz w:val="20"/>
                <w:szCs w:val="20"/>
              </w:rPr>
            </w:pPr>
            <w:r w:rsidRPr="005E53A8">
              <w:rPr>
                <w:sz w:val="20"/>
                <w:szCs w:val="20"/>
              </w:rPr>
              <w:t xml:space="preserve">NBA; JBC; State and territory departments of health; </w:t>
            </w:r>
            <w:r w:rsidR="00C66864">
              <w:rPr>
                <w:sz w:val="20"/>
                <w:szCs w:val="20"/>
              </w:rPr>
              <w:t>health service provider</w:t>
            </w:r>
            <w:r w:rsidRPr="005E53A8">
              <w:rPr>
                <w:sz w:val="20"/>
                <w:szCs w:val="20"/>
              </w:rPr>
              <w:t xml:space="preserve"> </w:t>
            </w:r>
            <w:r w:rsidR="00C66864">
              <w:rPr>
                <w:sz w:val="20"/>
                <w:szCs w:val="20"/>
              </w:rPr>
              <w:t>a</w:t>
            </w:r>
            <w:r w:rsidRPr="005E53A8">
              <w:rPr>
                <w:sz w:val="20"/>
                <w:szCs w:val="20"/>
              </w:rPr>
              <w:t xml:space="preserve">dministrators; </w:t>
            </w:r>
            <w:r w:rsidR="00C66864">
              <w:rPr>
                <w:sz w:val="20"/>
                <w:szCs w:val="20"/>
              </w:rPr>
              <w:t>health service provider</w:t>
            </w:r>
            <w:r w:rsidRPr="005E53A8">
              <w:rPr>
                <w:sz w:val="20"/>
                <w:szCs w:val="20"/>
              </w:rPr>
              <w:t xml:space="preserve"> educators; Relevant professional Colleges and Societies</w:t>
            </w:r>
          </w:p>
        </w:tc>
        <w:tc>
          <w:tcPr>
            <w:tcW w:w="2551" w:type="dxa"/>
            <w:shd w:val="clear" w:color="auto" w:fill="FFFFFF" w:themeFill="background1"/>
            <w:hideMark/>
          </w:tcPr>
          <w:p w:rsidR="006F39F9" w:rsidRDefault="006F39F9" w:rsidP="00C7431F">
            <w:pPr>
              <w:spacing w:after="0"/>
              <w:rPr>
                <w:sz w:val="20"/>
                <w:szCs w:val="20"/>
              </w:rPr>
            </w:pPr>
            <w:r w:rsidRPr="008422ED">
              <w:rPr>
                <w:sz w:val="20"/>
                <w:szCs w:val="20"/>
              </w:rPr>
              <w:t>Monitor and publish the reporting rates for acute transfusion</w:t>
            </w:r>
            <w:r w:rsidR="008E6FE9">
              <w:rPr>
                <w:sz w:val="20"/>
                <w:szCs w:val="20"/>
              </w:rPr>
              <w:t>-</w:t>
            </w:r>
            <w:r w:rsidRPr="008422ED">
              <w:rPr>
                <w:sz w:val="20"/>
                <w:szCs w:val="20"/>
              </w:rPr>
              <w:t>related adverse events on a regular basis</w:t>
            </w:r>
          </w:p>
          <w:p w:rsidR="006F39F9" w:rsidRDefault="006F39F9" w:rsidP="00C7431F">
            <w:pPr>
              <w:spacing w:after="0"/>
              <w:rPr>
                <w:sz w:val="20"/>
                <w:szCs w:val="20"/>
              </w:rPr>
            </w:pPr>
          </w:p>
          <w:p w:rsidR="006F39F9" w:rsidRDefault="006F39F9" w:rsidP="00C7431F">
            <w:pPr>
              <w:spacing w:after="0"/>
              <w:rPr>
                <w:sz w:val="20"/>
                <w:szCs w:val="20"/>
              </w:rPr>
            </w:pPr>
            <w:r w:rsidRPr="008422ED">
              <w:rPr>
                <w:sz w:val="20"/>
                <w:szCs w:val="20"/>
              </w:rPr>
              <w:t xml:space="preserve">Establish </w:t>
            </w:r>
            <w:proofErr w:type="spellStart"/>
            <w:r w:rsidRPr="008422ED">
              <w:rPr>
                <w:sz w:val="20"/>
                <w:szCs w:val="20"/>
              </w:rPr>
              <w:t>haemovigilance</w:t>
            </w:r>
            <w:proofErr w:type="spellEnd"/>
            <w:r w:rsidRPr="008422ED">
              <w:rPr>
                <w:sz w:val="20"/>
                <w:szCs w:val="20"/>
              </w:rPr>
              <w:t xml:space="preserve"> independent review group(s) at national</w:t>
            </w:r>
            <w:r w:rsidR="008E6FE9">
              <w:rPr>
                <w:sz w:val="20"/>
                <w:szCs w:val="20"/>
              </w:rPr>
              <w:t>,</w:t>
            </w:r>
            <w:r w:rsidRPr="008422ED">
              <w:rPr>
                <w:sz w:val="20"/>
                <w:szCs w:val="20"/>
              </w:rPr>
              <w:t xml:space="preserve"> state or local level</w:t>
            </w:r>
            <w:r w:rsidR="008E6FE9">
              <w:rPr>
                <w:sz w:val="20"/>
                <w:szCs w:val="20"/>
              </w:rPr>
              <w:t>s</w:t>
            </w:r>
            <w:r w:rsidRPr="008422ED">
              <w:rPr>
                <w:sz w:val="20"/>
                <w:szCs w:val="20"/>
              </w:rPr>
              <w:t xml:space="preserve"> to provide further validation over adverse events reported by </w:t>
            </w:r>
            <w:r w:rsidR="00FF7E81">
              <w:rPr>
                <w:sz w:val="20"/>
                <w:szCs w:val="20"/>
              </w:rPr>
              <w:t>health service providers</w:t>
            </w:r>
          </w:p>
          <w:p w:rsidR="006F39F9" w:rsidRDefault="006F39F9" w:rsidP="00C7431F">
            <w:pPr>
              <w:spacing w:after="0"/>
              <w:rPr>
                <w:sz w:val="20"/>
                <w:szCs w:val="20"/>
              </w:rPr>
            </w:pPr>
          </w:p>
          <w:p w:rsidR="006F39F9" w:rsidRPr="005E53A8" w:rsidRDefault="006F39F9" w:rsidP="00252D67">
            <w:pPr>
              <w:spacing w:after="0"/>
              <w:rPr>
                <w:sz w:val="20"/>
                <w:szCs w:val="20"/>
              </w:rPr>
            </w:pPr>
            <w:r w:rsidRPr="008422ED">
              <w:rPr>
                <w:sz w:val="20"/>
                <w:szCs w:val="20"/>
              </w:rPr>
              <w:t xml:space="preserve">Develop and implement guidance on how to run a </w:t>
            </w:r>
            <w:proofErr w:type="spellStart"/>
            <w:r w:rsidRPr="008422ED">
              <w:rPr>
                <w:sz w:val="20"/>
                <w:szCs w:val="20"/>
              </w:rPr>
              <w:t>haemovigilance</w:t>
            </w:r>
            <w:proofErr w:type="spellEnd"/>
            <w:r w:rsidRPr="008422ED">
              <w:rPr>
                <w:sz w:val="20"/>
                <w:szCs w:val="20"/>
              </w:rPr>
              <w:t xml:space="preserve"> independent review at national, state, LHN/HH</w:t>
            </w:r>
            <w:r w:rsidR="008E6FE9" w:rsidRPr="008422ED">
              <w:rPr>
                <w:sz w:val="20"/>
                <w:szCs w:val="20"/>
              </w:rPr>
              <w:t>S</w:t>
            </w:r>
            <w:r w:rsidRPr="008422ED">
              <w:rPr>
                <w:sz w:val="20"/>
                <w:szCs w:val="20"/>
              </w:rPr>
              <w:t xml:space="preserve"> and </w:t>
            </w:r>
            <w:r w:rsidR="00252D67">
              <w:rPr>
                <w:sz w:val="20"/>
                <w:szCs w:val="20"/>
              </w:rPr>
              <w:t>health service provider</w:t>
            </w:r>
            <w:r w:rsidR="00252D67" w:rsidRPr="008422ED">
              <w:rPr>
                <w:sz w:val="20"/>
                <w:szCs w:val="20"/>
              </w:rPr>
              <w:t xml:space="preserve"> </w:t>
            </w:r>
            <w:r w:rsidRPr="008422ED">
              <w:rPr>
                <w:sz w:val="20"/>
                <w:szCs w:val="20"/>
              </w:rPr>
              <w:t>level</w:t>
            </w:r>
          </w:p>
        </w:tc>
        <w:tc>
          <w:tcPr>
            <w:tcW w:w="2578" w:type="dxa"/>
            <w:shd w:val="clear" w:color="auto" w:fill="D9D9D9" w:themeFill="background1" w:themeFillShade="D9"/>
          </w:tcPr>
          <w:p w:rsidR="006F39F9" w:rsidRDefault="006F39F9" w:rsidP="00C7431F">
            <w:pPr>
              <w:spacing w:after="0"/>
              <w:rPr>
                <w:sz w:val="20"/>
                <w:szCs w:val="20"/>
              </w:rPr>
            </w:pPr>
            <w:r w:rsidRPr="005E53A8">
              <w:rPr>
                <w:sz w:val="20"/>
                <w:szCs w:val="20"/>
              </w:rPr>
              <w:t>Reporting rates increased</w:t>
            </w:r>
          </w:p>
          <w:p w:rsidR="006F39F9" w:rsidRDefault="006F39F9" w:rsidP="00C7431F">
            <w:pPr>
              <w:spacing w:after="0"/>
              <w:rPr>
                <w:sz w:val="20"/>
                <w:szCs w:val="20"/>
              </w:rPr>
            </w:pPr>
          </w:p>
          <w:p w:rsidR="006F39F9" w:rsidRDefault="006F39F9" w:rsidP="00C7431F">
            <w:pPr>
              <w:spacing w:after="0"/>
              <w:rPr>
                <w:sz w:val="20"/>
                <w:szCs w:val="20"/>
              </w:rPr>
            </w:pPr>
            <w:proofErr w:type="spellStart"/>
            <w:r>
              <w:rPr>
                <w:sz w:val="20"/>
                <w:szCs w:val="20"/>
              </w:rPr>
              <w:t>H</w:t>
            </w:r>
            <w:r w:rsidRPr="008422ED">
              <w:rPr>
                <w:sz w:val="20"/>
                <w:szCs w:val="20"/>
              </w:rPr>
              <w:t>aemovigilance</w:t>
            </w:r>
            <w:proofErr w:type="spellEnd"/>
            <w:r w:rsidRPr="008422ED">
              <w:rPr>
                <w:sz w:val="20"/>
                <w:szCs w:val="20"/>
              </w:rPr>
              <w:t xml:space="preserve"> independent review group(s)</w:t>
            </w:r>
            <w:r>
              <w:rPr>
                <w:sz w:val="20"/>
                <w:szCs w:val="20"/>
              </w:rPr>
              <w:t xml:space="preserve"> established at national, state and local levels</w:t>
            </w:r>
          </w:p>
          <w:p w:rsidR="006F39F9" w:rsidRDefault="006F39F9" w:rsidP="00C7431F">
            <w:pPr>
              <w:spacing w:after="0"/>
              <w:rPr>
                <w:sz w:val="20"/>
                <w:szCs w:val="20"/>
              </w:rPr>
            </w:pPr>
          </w:p>
          <w:p w:rsidR="006F39F9" w:rsidRPr="005E53A8" w:rsidRDefault="006F39F9" w:rsidP="00C7431F">
            <w:pPr>
              <w:spacing w:after="0"/>
              <w:rPr>
                <w:sz w:val="20"/>
                <w:szCs w:val="20"/>
              </w:rPr>
            </w:pPr>
            <w:r>
              <w:rPr>
                <w:sz w:val="20"/>
                <w:szCs w:val="20"/>
              </w:rPr>
              <w:t>Independent review guidance developed and used</w:t>
            </w:r>
          </w:p>
        </w:tc>
      </w:tr>
    </w:tbl>
    <w:p w:rsidR="0062539C" w:rsidRPr="00C66864" w:rsidRDefault="0062539C">
      <w:pPr>
        <w:spacing w:line="276" w:lineRule="auto"/>
        <w:rPr>
          <w:rFonts w:ascii="Arial" w:hAnsi="Arial" w:cs="Arial"/>
        </w:rPr>
      </w:pPr>
      <w:bookmarkStart w:id="197" w:name="_Toc420837263"/>
      <w:r>
        <w:br w:type="page"/>
      </w:r>
    </w:p>
    <w:p w:rsidR="006F39F9" w:rsidRPr="005E53A8" w:rsidRDefault="006F39F9" w:rsidP="006F39F9">
      <w:pPr>
        <w:pStyle w:val="Heading2"/>
      </w:pPr>
      <w:bookmarkStart w:id="198" w:name="_Toc459366187"/>
      <w:r w:rsidRPr="005E53A8">
        <w:lastRenderedPageBreak/>
        <w:t>Reducing human errors</w:t>
      </w:r>
      <w:bookmarkEnd w:id="197"/>
      <w:bookmarkEnd w:id="198"/>
    </w:p>
    <w:p w:rsidR="006F39F9" w:rsidRPr="005E53A8" w:rsidRDefault="006F39F9" w:rsidP="006F39F9">
      <w:r w:rsidRPr="005E53A8">
        <w:t>Human errors continue to contribute significantly to</w:t>
      </w:r>
      <w:r w:rsidR="00FF1C39">
        <w:t xml:space="preserve"> avoidable</w:t>
      </w:r>
      <w:r w:rsidRPr="005E53A8">
        <w:t xml:space="preserve"> transfusion-related risks to patients. Further effort is required to ensure c</w:t>
      </w:r>
      <w:r w:rsidRPr="005E53A8">
        <w:rPr>
          <w:lang w:eastAsia="en-AU"/>
        </w:rPr>
        <w:t xml:space="preserve">linical </w:t>
      </w:r>
      <w:proofErr w:type="gramStart"/>
      <w:r w:rsidRPr="005E53A8">
        <w:rPr>
          <w:lang w:eastAsia="en-AU"/>
        </w:rPr>
        <w:t>staff comply</w:t>
      </w:r>
      <w:proofErr w:type="gramEnd"/>
      <w:r w:rsidRPr="005E53A8">
        <w:rPr>
          <w:lang w:eastAsia="en-AU"/>
        </w:rPr>
        <w:t xml:space="preserve"> with national guidelines on the collection and administration of blood and blood products. Data on ‘near </w:t>
      </w:r>
      <w:proofErr w:type="spellStart"/>
      <w:r w:rsidRPr="005E53A8">
        <w:rPr>
          <w:lang w:eastAsia="en-AU"/>
        </w:rPr>
        <w:t>miss’</w:t>
      </w:r>
      <w:proofErr w:type="spellEnd"/>
      <w:r w:rsidRPr="005E53A8">
        <w:rPr>
          <w:lang w:eastAsia="en-AU"/>
        </w:rPr>
        <w:t xml:space="preserve"> events (an adverse event that is discovered before the start of a transfusion) would be useful to focus efforts to reduce human errors, and transfusing facilities are now required by NSQHS Standard 7 Safety and Quality Improvement Guide to record near</w:t>
      </w:r>
      <w:r w:rsidR="008E6FE9">
        <w:rPr>
          <w:lang w:eastAsia="en-AU"/>
        </w:rPr>
        <w:t>-</w:t>
      </w:r>
      <w:r w:rsidRPr="005E53A8">
        <w:rPr>
          <w:lang w:eastAsia="en-AU"/>
        </w:rPr>
        <w:t xml:space="preserve">miss events in </w:t>
      </w:r>
      <w:proofErr w:type="spellStart"/>
      <w:r w:rsidRPr="005E53A8">
        <w:rPr>
          <w:lang w:eastAsia="en-AU"/>
        </w:rPr>
        <w:t>haemovigilance</w:t>
      </w:r>
      <w:proofErr w:type="spellEnd"/>
      <w:r w:rsidRPr="005E53A8">
        <w:rPr>
          <w:lang w:eastAsia="en-AU"/>
        </w:rPr>
        <w:t xml:space="preserve"> data.</w:t>
      </w:r>
      <w:r w:rsidRPr="005E53A8">
        <w:t xml:space="preserve"> Research suggests that t</w:t>
      </w:r>
      <w:r w:rsidRPr="005E53A8">
        <w:rPr>
          <w:lang w:eastAsia="en-AU"/>
        </w:rPr>
        <w:t>echnological adjuncts such as portable barcode readers and/or radio</w:t>
      </w:r>
      <w:r w:rsidRPr="005E53A8">
        <w:rPr>
          <w:lang w:eastAsia="en-AU"/>
        </w:rPr>
        <w:noBreakHyphen/>
        <w:t xml:space="preserve">frequency identification scanners also reduce the scope for human errors. Clinical staff should also be supported in their efforts with tools such as a defined </w:t>
      </w:r>
      <w:r w:rsidRPr="005E53A8">
        <w:t>blood order/prescription form to encourage alignment of prescribing with clinical guidelines.</w:t>
      </w:r>
    </w:p>
    <w:p w:rsidR="006F39F9" w:rsidRPr="0067689B" w:rsidRDefault="006F39F9" w:rsidP="0067689B">
      <w:pPr>
        <w:pStyle w:val="Caption"/>
      </w:pPr>
      <w:bookmarkStart w:id="199" w:name="_Toc420835698"/>
      <w:bookmarkStart w:id="200" w:name="_Toc459636877"/>
      <w:r w:rsidRPr="0067689B">
        <w:t xml:space="preserve">Table </w:t>
      </w:r>
      <w:r w:rsidRPr="0067689B">
        <w:fldChar w:fldCharType="begin"/>
      </w:r>
      <w:r w:rsidRPr="00C94185">
        <w:instrText xml:space="preserve"> SEQ Table \* ARABIC </w:instrText>
      </w:r>
      <w:r w:rsidRPr="0067689B">
        <w:fldChar w:fldCharType="separate"/>
      </w:r>
      <w:r w:rsidR="000010BC">
        <w:rPr>
          <w:noProof/>
        </w:rPr>
        <w:t>37</w:t>
      </w:r>
      <w:r w:rsidRPr="0067689B">
        <w:fldChar w:fldCharType="end"/>
      </w:r>
      <w:r w:rsidRPr="0067689B">
        <w:t>: Recommendations on reducing human errors</w:t>
      </w:r>
      <w:bookmarkEnd w:id="199"/>
      <w:bookmarkEnd w:id="200"/>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397"/>
        <w:gridCol w:w="1984"/>
        <w:gridCol w:w="1701"/>
        <w:gridCol w:w="2551"/>
        <w:gridCol w:w="2581"/>
      </w:tblGrid>
      <w:tr w:rsidR="006F39F9" w:rsidRPr="005E53A8" w:rsidTr="006F39F9">
        <w:trPr>
          <w:cantSplit/>
          <w:trHeight w:val="629"/>
          <w:tblHeader/>
        </w:trPr>
        <w:tc>
          <w:tcPr>
            <w:tcW w:w="397" w:type="dxa"/>
            <w:tcBorders>
              <w:bottom w:val="nil"/>
            </w:tcBorders>
            <w:shd w:val="clear" w:color="auto" w:fill="FF0000"/>
            <w:vAlign w:val="center"/>
          </w:tcPr>
          <w:p w:rsidR="006F39F9" w:rsidRPr="005E53A8" w:rsidRDefault="006F39F9" w:rsidP="00C7431F">
            <w:pPr>
              <w:spacing w:after="0" w:line="276" w:lineRule="auto"/>
              <w:rPr>
                <w:rFonts w:ascii="Arial" w:eastAsia="Times New Roman" w:hAnsi="Arial" w:cs="Times New Roman"/>
                <w:b/>
                <w:color w:val="FFFFFF"/>
                <w:sz w:val="20"/>
                <w:szCs w:val="20"/>
                <w:lang w:eastAsia="en-AU"/>
              </w:rPr>
            </w:pPr>
          </w:p>
        </w:tc>
        <w:tc>
          <w:tcPr>
            <w:tcW w:w="1984" w:type="dxa"/>
            <w:tcBorders>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Recommendation</w:t>
            </w:r>
          </w:p>
        </w:tc>
        <w:tc>
          <w:tcPr>
            <w:tcW w:w="1701" w:type="dxa"/>
            <w:tcBorders>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Who is Responsible</w:t>
            </w:r>
          </w:p>
        </w:tc>
        <w:tc>
          <w:tcPr>
            <w:tcW w:w="2551" w:type="dxa"/>
            <w:tcBorders>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Proposed Strategy</w:t>
            </w:r>
          </w:p>
        </w:tc>
        <w:tc>
          <w:tcPr>
            <w:tcW w:w="2581" w:type="dxa"/>
            <w:tcBorders>
              <w:bottom w:val="nil"/>
            </w:tcBorders>
            <w:shd w:val="clear" w:color="auto" w:fill="FF0000"/>
            <w:vAlign w:val="center"/>
            <w:hideMark/>
          </w:tcPr>
          <w:p w:rsidR="006F39F9" w:rsidRPr="005E53A8" w:rsidRDefault="006F39F9" w:rsidP="00C7431F">
            <w:pPr>
              <w:spacing w:after="0" w:line="276" w:lineRule="auto"/>
              <w:rPr>
                <w:b/>
                <w:color w:val="FFFFFF" w:themeColor="background1"/>
                <w:sz w:val="20"/>
                <w:szCs w:val="20"/>
                <w:lang w:eastAsia="en-AU"/>
              </w:rPr>
            </w:pPr>
            <w:r w:rsidRPr="005E53A8">
              <w:rPr>
                <w:b/>
                <w:color w:val="FFFFFF" w:themeColor="background1"/>
                <w:sz w:val="20"/>
                <w:szCs w:val="20"/>
                <w:lang w:eastAsia="en-AU"/>
              </w:rPr>
              <w:t>How that will be measured</w:t>
            </w:r>
          </w:p>
        </w:tc>
      </w:tr>
      <w:tr w:rsidR="006F39F9" w:rsidRPr="005E53A8" w:rsidTr="006F39F9">
        <w:trPr>
          <w:cantSplit/>
        </w:trPr>
        <w:tc>
          <w:tcPr>
            <w:tcW w:w="397" w:type="dxa"/>
            <w:tcBorders>
              <w:top w:val="nil"/>
            </w:tcBorders>
            <w:shd w:val="clear" w:color="auto" w:fill="FFFFFF" w:themeFill="background1"/>
            <w:hideMark/>
          </w:tcPr>
          <w:p w:rsidR="006F39F9" w:rsidRPr="005E53A8" w:rsidRDefault="006F39F9" w:rsidP="00C7431F">
            <w:pPr>
              <w:spacing w:after="0"/>
              <w:rPr>
                <w:sz w:val="20"/>
                <w:szCs w:val="20"/>
                <w:lang w:eastAsia="en-AU"/>
              </w:rPr>
            </w:pPr>
            <w:r>
              <w:rPr>
                <w:sz w:val="20"/>
                <w:szCs w:val="20"/>
                <w:lang w:eastAsia="en-AU"/>
              </w:rPr>
              <w:t>3</w:t>
            </w:r>
          </w:p>
        </w:tc>
        <w:tc>
          <w:tcPr>
            <w:tcW w:w="1984" w:type="dxa"/>
            <w:tcBorders>
              <w:top w:val="nil"/>
            </w:tcBorders>
            <w:shd w:val="clear" w:color="auto" w:fill="FFFFFF" w:themeFill="background1"/>
            <w:hideMark/>
          </w:tcPr>
          <w:p w:rsidR="006F39F9" w:rsidRPr="005E53A8" w:rsidRDefault="006F39F9" w:rsidP="00C7431F">
            <w:pPr>
              <w:spacing w:after="0"/>
              <w:rPr>
                <w:sz w:val="20"/>
                <w:szCs w:val="20"/>
                <w:lang w:eastAsia="en-AU"/>
              </w:rPr>
            </w:pPr>
            <w:r w:rsidRPr="005E53A8">
              <w:rPr>
                <w:sz w:val="20"/>
                <w:szCs w:val="20"/>
                <w:lang w:eastAsia="en-AU"/>
              </w:rPr>
              <w:t>Clinical staff should comply with national guidelines on sample collection and administration of blood and blood products</w:t>
            </w:r>
          </w:p>
        </w:tc>
        <w:tc>
          <w:tcPr>
            <w:tcW w:w="1701" w:type="dxa"/>
            <w:tcBorders>
              <w:top w:val="nil"/>
            </w:tcBorders>
            <w:shd w:val="clear" w:color="auto" w:fill="D9D9D9" w:themeFill="background1" w:themeFillShade="D9"/>
            <w:hideMark/>
          </w:tcPr>
          <w:p w:rsidR="006F39F9" w:rsidRPr="005E53A8" w:rsidRDefault="006F39F9" w:rsidP="00252D67">
            <w:pPr>
              <w:spacing w:after="0"/>
              <w:rPr>
                <w:sz w:val="20"/>
                <w:szCs w:val="20"/>
                <w:lang w:eastAsia="en-AU"/>
              </w:rPr>
            </w:pPr>
            <w:r w:rsidRPr="005E53A8">
              <w:rPr>
                <w:sz w:val="20"/>
                <w:szCs w:val="20"/>
                <w:lang w:eastAsia="en-AU"/>
              </w:rPr>
              <w:t xml:space="preserve">State and territory departments of health; </w:t>
            </w:r>
            <w:r w:rsidR="00252D67">
              <w:rPr>
                <w:sz w:val="20"/>
                <w:szCs w:val="20"/>
                <w:lang w:eastAsia="en-AU"/>
              </w:rPr>
              <w:t>h</w:t>
            </w:r>
            <w:r w:rsidR="00FF7E81">
              <w:rPr>
                <w:sz w:val="20"/>
                <w:szCs w:val="20"/>
                <w:lang w:eastAsia="en-AU"/>
              </w:rPr>
              <w:t>ealth service providers</w:t>
            </w:r>
            <w:r w:rsidRPr="005E53A8">
              <w:rPr>
                <w:sz w:val="20"/>
                <w:szCs w:val="20"/>
                <w:lang w:eastAsia="en-AU"/>
              </w:rPr>
              <w:t xml:space="preserve"> (Admin, HTC or equivalent)</w:t>
            </w:r>
          </w:p>
        </w:tc>
        <w:tc>
          <w:tcPr>
            <w:tcW w:w="2551" w:type="dxa"/>
            <w:tcBorders>
              <w:top w:val="nil"/>
            </w:tcBorders>
            <w:shd w:val="clear" w:color="auto" w:fill="FFFFFF" w:themeFill="background1"/>
            <w:hideMark/>
          </w:tcPr>
          <w:p w:rsidR="006F39F9" w:rsidRPr="005E53A8" w:rsidRDefault="006F39F9" w:rsidP="008E6FE9">
            <w:pPr>
              <w:spacing w:after="0"/>
              <w:rPr>
                <w:rFonts w:asciiTheme="minorHAnsi" w:hAnsiTheme="minorHAnsi" w:cstheme="minorHAnsi"/>
                <w:sz w:val="20"/>
                <w:szCs w:val="20"/>
                <w:lang w:eastAsia="en-AU"/>
              </w:rPr>
            </w:pPr>
            <w:r w:rsidRPr="005E53A8">
              <w:rPr>
                <w:rFonts w:asciiTheme="minorHAnsi" w:hAnsiTheme="minorHAnsi" w:cstheme="minorHAnsi"/>
                <w:sz w:val="20"/>
                <w:szCs w:val="20"/>
                <w:lang w:eastAsia="en-AU"/>
              </w:rPr>
              <w:t xml:space="preserve">NBA to promote or provide tools that allow states and territories to ensure </w:t>
            </w:r>
            <w:r w:rsidR="00FF7E81">
              <w:rPr>
                <w:rFonts w:asciiTheme="minorHAnsi" w:hAnsiTheme="minorHAnsi" w:cstheme="minorHAnsi"/>
                <w:sz w:val="20"/>
                <w:szCs w:val="20"/>
                <w:lang w:eastAsia="en-AU"/>
              </w:rPr>
              <w:t>health service providers</w:t>
            </w:r>
            <w:r w:rsidRPr="005E53A8">
              <w:rPr>
                <w:rFonts w:asciiTheme="minorHAnsi" w:hAnsiTheme="minorHAnsi" w:cstheme="minorHAnsi"/>
                <w:sz w:val="20"/>
                <w:szCs w:val="20"/>
                <w:lang w:eastAsia="en-AU"/>
              </w:rPr>
              <w:t xml:space="preserve"> have policies, procedures or protocols that adhere to national guidelines such as ANZSBT Guidelines for the Administration of Blood Products and Guideline for Pre-Transfusion Laboratory Practice</w:t>
            </w:r>
          </w:p>
          <w:p w:rsidR="006F39F9" w:rsidRPr="005E53A8" w:rsidRDefault="006F39F9" w:rsidP="008E6FE9">
            <w:pPr>
              <w:spacing w:after="0"/>
              <w:rPr>
                <w:rFonts w:asciiTheme="minorHAnsi" w:hAnsiTheme="minorHAnsi" w:cstheme="minorHAnsi"/>
                <w:sz w:val="20"/>
                <w:szCs w:val="20"/>
                <w:lang w:eastAsia="en-AU"/>
              </w:rPr>
            </w:pPr>
          </w:p>
          <w:p w:rsidR="006F39F9" w:rsidRPr="005E53A8" w:rsidRDefault="006F39F9" w:rsidP="008E6FE9">
            <w:pPr>
              <w:spacing w:after="0"/>
              <w:rPr>
                <w:rFonts w:asciiTheme="minorHAnsi" w:hAnsiTheme="minorHAnsi" w:cstheme="minorHAnsi"/>
                <w:sz w:val="20"/>
                <w:szCs w:val="20"/>
                <w:lang w:eastAsia="en-AU"/>
              </w:rPr>
            </w:pPr>
            <w:r w:rsidRPr="005E53A8">
              <w:rPr>
                <w:rFonts w:asciiTheme="minorHAnsi" w:hAnsiTheme="minorHAnsi" w:cstheme="minorHAnsi"/>
                <w:sz w:val="20"/>
                <w:szCs w:val="20"/>
                <w:lang w:eastAsia="en-AU"/>
              </w:rPr>
              <w:t xml:space="preserve">The NBA to promote or provide tools that enable </w:t>
            </w:r>
            <w:r w:rsidR="00FF7E81">
              <w:rPr>
                <w:rFonts w:asciiTheme="minorHAnsi" w:hAnsiTheme="minorHAnsi" w:cstheme="minorHAnsi"/>
                <w:sz w:val="20"/>
                <w:szCs w:val="20"/>
                <w:lang w:eastAsia="en-AU"/>
              </w:rPr>
              <w:t>health service providers</w:t>
            </w:r>
            <w:r w:rsidRPr="005E53A8">
              <w:rPr>
                <w:rFonts w:asciiTheme="minorHAnsi" w:hAnsiTheme="minorHAnsi" w:cstheme="minorHAnsi"/>
                <w:sz w:val="20"/>
                <w:szCs w:val="20"/>
                <w:lang w:eastAsia="en-AU"/>
              </w:rPr>
              <w:t xml:space="preserve"> to ensure staff include regular continued professional development as part of their program, through resources such as </w:t>
            </w:r>
            <w:proofErr w:type="spellStart"/>
            <w:r w:rsidRPr="005E53A8">
              <w:rPr>
                <w:rFonts w:asciiTheme="minorHAnsi" w:hAnsiTheme="minorHAnsi" w:cstheme="minorHAnsi"/>
                <w:sz w:val="20"/>
                <w:szCs w:val="20"/>
                <w:lang w:eastAsia="en-AU"/>
              </w:rPr>
              <w:t>BloodSafe</w:t>
            </w:r>
            <w:proofErr w:type="spellEnd"/>
            <w:r w:rsidRPr="005E53A8">
              <w:rPr>
                <w:rFonts w:asciiTheme="minorHAnsi" w:hAnsiTheme="minorHAnsi" w:cstheme="minorHAnsi"/>
                <w:sz w:val="20"/>
                <w:szCs w:val="20"/>
                <w:lang w:eastAsia="en-AU"/>
              </w:rPr>
              <w:t xml:space="preserve"> eLearning</w:t>
            </w:r>
          </w:p>
          <w:p w:rsidR="006F39F9" w:rsidRPr="005E53A8" w:rsidRDefault="006F39F9" w:rsidP="008E6FE9">
            <w:pPr>
              <w:spacing w:after="0"/>
              <w:rPr>
                <w:rFonts w:asciiTheme="minorHAnsi" w:hAnsiTheme="minorHAnsi" w:cstheme="minorHAnsi"/>
                <w:sz w:val="20"/>
                <w:szCs w:val="20"/>
                <w:lang w:eastAsia="en-AU"/>
              </w:rPr>
            </w:pPr>
          </w:p>
          <w:p w:rsidR="006F39F9" w:rsidRPr="005E53A8" w:rsidRDefault="006F39F9" w:rsidP="008E6FE9">
            <w:pPr>
              <w:spacing w:after="0"/>
              <w:rPr>
                <w:rFonts w:asciiTheme="minorHAnsi" w:hAnsiTheme="minorHAnsi" w:cstheme="minorHAnsi"/>
                <w:sz w:val="20"/>
                <w:szCs w:val="20"/>
                <w:lang w:eastAsia="en-AU"/>
              </w:rPr>
            </w:pPr>
            <w:r w:rsidRPr="005E53A8">
              <w:rPr>
                <w:rFonts w:asciiTheme="minorHAnsi" w:hAnsiTheme="minorHAnsi" w:cstheme="minorHAnsi"/>
                <w:sz w:val="20"/>
                <w:szCs w:val="20"/>
                <w:lang w:eastAsia="en-AU"/>
              </w:rPr>
              <w:t>Monitor and publish the number of human errors in national or state/territory reports</w:t>
            </w:r>
          </w:p>
        </w:tc>
        <w:tc>
          <w:tcPr>
            <w:tcW w:w="2581" w:type="dxa"/>
            <w:tcBorders>
              <w:top w:val="nil"/>
            </w:tcBorders>
            <w:shd w:val="clear" w:color="auto" w:fill="D9D9D9" w:themeFill="background1" w:themeFillShade="D9"/>
            <w:hideMark/>
          </w:tcPr>
          <w:p w:rsidR="006F39F9" w:rsidRPr="005E53A8" w:rsidRDefault="006F39F9" w:rsidP="00C7431F">
            <w:pPr>
              <w:spacing w:after="0"/>
              <w:rPr>
                <w:rFonts w:asciiTheme="minorHAnsi" w:eastAsia="Times New Roman" w:hAnsiTheme="minorHAnsi" w:cstheme="minorHAnsi"/>
                <w:sz w:val="20"/>
                <w:szCs w:val="20"/>
                <w:lang w:eastAsia="en-AU"/>
              </w:rPr>
            </w:pPr>
            <w:r w:rsidRPr="005E53A8">
              <w:rPr>
                <w:rFonts w:asciiTheme="minorHAnsi" w:eastAsia="Times New Roman" w:hAnsiTheme="minorHAnsi" w:cstheme="minorHAnsi"/>
                <w:sz w:val="20"/>
                <w:szCs w:val="20"/>
                <w:lang w:eastAsia="en-AU"/>
              </w:rPr>
              <w:t>Human errors captured and published in national or state/territory reports</w:t>
            </w:r>
          </w:p>
          <w:p w:rsidR="006F39F9" w:rsidRPr="005E53A8" w:rsidRDefault="006F39F9" w:rsidP="00C7431F">
            <w:pPr>
              <w:spacing w:after="0"/>
              <w:rPr>
                <w:rFonts w:asciiTheme="minorHAnsi" w:eastAsia="Times New Roman" w:hAnsiTheme="minorHAnsi" w:cstheme="minorHAnsi"/>
                <w:sz w:val="20"/>
                <w:szCs w:val="20"/>
                <w:lang w:eastAsia="en-AU"/>
              </w:rPr>
            </w:pPr>
          </w:p>
          <w:p w:rsidR="006F39F9" w:rsidRPr="005E53A8" w:rsidRDefault="006F39F9" w:rsidP="00C7431F">
            <w:pPr>
              <w:spacing w:after="0"/>
              <w:rPr>
                <w:rFonts w:asciiTheme="minorHAnsi" w:eastAsia="Times New Roman" w:hAnsiTheme="minorHAnsi" w:cstheme="minorHAnsi"/>
                <w:sz w:val="20"/>
                <w:szCs w:val="20"/>
                <w:lang w:eastAsia="en-AU"/>
              </w:rPr>
            </w:pPr>
            <w:r w:rsidRPr="005E53A8">
              <w:rPr>
                <w:rFonts w:asciiTheme="minorHAnsi" w:eastAsia="Times New Roman" w:hAnsiTheme="minorHAnsi" w:cstheme="minorHAnsi"/>
                <w:sz w:val="20"/>
                <w:szCs w:val="20"/>
                <w:lang w:eastAsia="en-AU"/>
              </w:rPr>
              <w:t>Decrease in the number of avoidable human errors</w:t>
            </w:r>
          </w:p>
        </w:tc>
      </w:tr>
      <w:tr w:rsidR="006F39F9" w:rsidRPr="005E53A8" w:rsidTr="006F39F9">
        <w:trPr>
          <w:cantSplit/>
        </w:trPr>
        <w:tc>
          <w:tcPr>
            <w:tcW w:w="397" w:type="dxa"/>
            <w:shd w:val="clear" w:color="auto" w:fill="FFFFFF" w:themeFill="background1"/>
            <w:hideMark/>
          </w:tcPr>
          <w:p w:rsidR="006F39F9" w:rsidRPr="005E53A8" w:rsidRDefault="006F39F9" w:rsidP="00C7431F">
            <w:pPr>
              <w:spacing w:after="0"/>
              <w:rPr>
                <w:sz w:val="20"/>
                <w:szCs w:val="20"/>
                <w:lang w:eastAsia="en-AU"/>
              </w:rPr>
            </w:pPr>
            <w:r>
              <w:rPr>
                <w:sz w:val="20"/>
                <w:szCs w:val="20"/>
                <w:lang w:eastAsia="en-AU"/>
              </w:rPr>
              <w:t>4</w:t>
            </w:r>
          </w:p>
        </w:tc>
        <w:tc>
          <w:tcPr>
            <w:tcW w:w="1984" w:type="dxa"/>
            <w:shd w:val="clear" w:color="auto" w:fill="FFFFFF" w:themeFill="background1"/>
            <w:hideMark/>
          </w:tcPr>
          <w:p w:rsidR="006F39F9" w:rsidRPr="005E53A8" w:rsidRDefault="006F39F9" w:rsidP="00C7431F">
            <w:pPr>
              <w:spacing w:after="0"/>
              <w:rPr>
                <w:sz w:val="20"/>
                <w:szCs w:val="20"/>
                <w:lang w:eastAsia="en-AU"/>
              </w:rPr>
            </w:pPr>
            <w:r w:rsidRPr="005E53A8">
              <w:rPr>
                <w:sz w:val="20"/>
                <w:szCs w:val="20"/>
                <w:lang w:eastAsia="en-AU"/>
              </w:rPr>
              <w:t>Promote the application of technological adjuncts such as portable barcode readers and/or radio-frequency identification scanners to reduce the scope for error</w:t>
            </w:r>
          </w:p>
        </w:tc>
        <w:tc>
          <w:tcPr>
            <w:tcW w:w="1701" w:type="dxa"/>
            <w:shd w:val="clear" w:color="auto" w:fill="D9D9D9" w:themeFill="background1" w:themeFillShade="D9"/>
            <w:hideMark/>
          </w:tcPr>
          <w:p w:rsidR="006F39F9" w:rsidRPr="005E53A8" w:rsidRDefault="006F39F9" w:rsidP="006C3D85">
            <w:pPr>
              <w:spacing w:after="0"/>
              <w:rPr>
                <w:sz w:val="20"/>
                <w:szCs w:val="20"/>
                <w:lang w:eastAsia="en-AU"/>
              </w:rPr>
            </w:pPr>
            <w:r w:rsidRPr="005E53A8">
              <w:rPr>
                <w:sz w:val="20"/>
                <w:szCs w:val="20"/>
                <w:lang w:eastAsia="en-AU"/>
              </w:rPr>
              <w:t>NBA; HAC; Quality and Safety organisations; Research bodies;</w:t>
            </w:r>
            <w:r w:rsidR="006C3D85">
              <w:rPr>
                <w:sz w:val="20"/>
                <w:szCs w:val="20"/>
                <w:lang w:eastAsia="en-AU"/>
              </w:rPr>
              <w:t xml:space="preserve"> </w:t>
            </w:r>
            <w:r w:rsidR="00FF7E81">
              <w:rPr>
                <w:sz w:val="20"/>
              </w:rPr>
              <w:t>health service providers</w:t>
            </w:r>
          </w:p>
        </w:tc>
        <w:tc>
          <w:tcPr>
            <w:tcW w:w="2551" w:type="dxa"/>
            <w:shd w:val="clear" w:color="auto" w:fill="FFFFFF" w:themeFill="background1"/>
            <w:hideMark/>
          </w:tcPr>
          <w:p w:rsidR="006F39F9" w:rsidRPr="005E53A8" w:rsidRDefault="006F39F9" w:rsidP="00C7431F">
            <w:pPr>
              <w:spacing w:after="0"/>
              <w:rPr>
                <w:sz w:val="20"/>
                <w:szCs w:val="20"/>
                <w:lang w:eastAsia="en-AU"/>
              </w:rPr>
            </w:pPr>
            <w:r w:rsidRPr="005E53A8">
              <w:rPr>
                <w:sz w:val="20"/>
                <w:szCs w:val="20"/>
                <w:lang w:eastAsia="en-AU"/>
              </w:rPr>
              <w:t xml:space="preserve">Implement the </w:t>
            </w:r>
            <w:r w:rsidR="00BA1C24">
              <w:rPr>
                <w:sz w:val="20"/>
                <w:szCs w:val="20"/>
                <w:lang w:eastAsia="en-AU"/>
              </w:rPr>
              <w:t>Barcode Specifications</w:t>
            </w:r>
            <w:r w:rsidR="003D4D63">
              <w:t xml:space="preserve"> </w:t>
            </w:r>
            <w:r w:rsidR="003D4D63" w:rsidRPr="003D4D63">
              <w:rPr>
                <w:sz w:val="20"/>
                <w:szCs w:val="20"/>
                <w:lang w:eastAsia="en-AU"/>
              </w:rPr>
              <w:t>to improve product safety and patient safety</w:t>
            </w:r>
          </w:p>
          <w:p w:rsidR="006F39F9" w:rsidRPr="005E53A8" w:rsidRDefault="006F39F9" w:rsidP="00C7431F">
            <w:pPr>
              <w:spacing w:after="0"/>
              <w:rPr>
                <w:sz w:val="20"/>
                <w:szCs w:val="20"/>
                <w:lang w:eastAsia="en-AU"/>
              </w:rPr>
            </w:pPr>
          </w:p>
          <w:p w:rsidR="006F39F9" w:rsidRPr="005E53A8" w:rsidRDefault="006F39F9" w:rsidP="00374BE5">
            <w:pPr>
              <w:spacing w:after="0"/>
              <w:rPr>
                <w:sz w:val="20"/>
                <w:szCs w:val="20"/>
                <w:lang w:eastAsia="en-AU"/>
              </w:rPr>
            </w:pPr>
            <w:r w:rsidRPr="005E53A8">
              <w:rPr>
                <w:sz w:val="20"/>
                <w:szCs w:val="20"/>
                <w:lang w:eastAsia="en-AU"/>
              </w:rPr>
              <w:t xml:space="preserve">NBA to </w:t>
            </w:r>
            <w:r w:rsidR="00374BE5">
              <w:rPr>
                <w:sz w:val="20"/>
                <w:szCs w:val="20"/>
                <w:lang w:eastAsia="en-AU"/>
              </w:rPr>
              <w:t xml:space="preserve">develop </w:t>
            </w:r>
            <w:r w:rsidRPr="005E53A8">
              <w:rPr>
                <w:sz w:val="20"/>
                <w:szCs w:val="20"/>
                <w:lang w:eastAsia="en-AU"/>
              </w:rPr>
              <w:t>case studies</w:t>
            </w:r>
            <w:r w:rsidR="00374BE5">
              <w:rPr>
                <w:sz w:val="20"/>
                <w:szCs w:val="20"/>
                <w:lang w:eastAsia="en-AU"/>
              </w:rPr>
              <w:t xml:space="preserve"> with states/territories and health service providers</w:t>
            </w:r>
            <w:r w:rsidRPr="005E53A8">
              <w:rPr>
                <w:sz w:val="20"/>
                <w:szCs w:val="20"/>
                <w:lang w:eastAsia="en-AU"/>
              </w:rPr>
              <w:t xml:space="preserve"> to support the implementation of the </w:t>
            </w:r>
            <w:r w:rsidR="00374BE5" w:rsidRPr="00374BE5">
              <w:rPr>
                <w:sz w:val="20"/>
                <w:szCs w:val="20"/>
                <w:lang w:eastAsia="en-AU"/>
              </w:rPr>
              <w:t>Barcode Specifications</w:t>
            </w:r>
          </w:p>
        </w:tc>
        <w:tc>
          <w:tcPr>
            <w:tcW w:w="2581" w:type="dxa"/>
            <w:shd w:val="clear" w:color="auto" w:fill="D9D9D9" w:themeFill="background1" w:themeFillShade="D9"/>
            <w:hideMark/>
          </w:tcPr>
          <w:p w:rsidR="006F39F9" w:rsidRPr="005E53A8" w:rsidRDefault="00BA1C24" w:rsidP="00C7431F">
            <w:pPr>
              <w:spacing w:after="0"/>
              <w:rPr>
                <w:sz w:val="20"/>
                <w:szCs w:val="20"/>
                <w:lang w:eastAsia="en-AU"/>
              </w:rPr>
            </w:pPr>
            <w:r>
              <w:rPr>
                <w:sz w:val="20"/>
                <w:szCs w:val="20"/>
                <w:lang w:eastAsia="en-AU"/>
              </w:rPr>
              <w:t>Case</w:t>
            </w:r>
            <w:r w:rsidR="006F39F9" w:rsidRPr="005E53A8">
              <w:rPr>
                <w:sz w:val="20"/>
                <w:szCs w:val="20"/>
                <w:lang w:eastAsia="en-AU"/>
              </w:rPr>
              <w:t xml:space="preserve"> studies developed in </w:t>
            </w:r>
            <w:r w:rsidR="00060FCE" w:rsidRPr="005E53A8">
              <w:rPr>
                <w:sz w:val="20"/>
                <w:szCs w:val="20"/>
                <w:lang w:eastAsia="en-AU"/>
              </w:rPr>
              <w:t>201</w:t>
            </w:r>
            <w:r w:rsidR="00060FCE">
              <w:rPr>
                <w:sz w:val="20"/>
                <w:szCs w:val="20"/>
                <w:lang w:eastAsia="en-AU"/>
              </w:rPr>
              <w:t>6</w:t>
            </w:r>
            <w:r w:rsidR="006F39F9" w:rsidRPr="005E53A8">
              <w:rPr>
                <w:sz w:val="20"/>
                <w:szCs w:val="20"/>
                <w:lang w:eastAsia="en-AU"/>
              </w:rPr>
              <w:t>–</w:t>
            </w:r>
            <w:r w:rsidRPr="005E53A8">
              <w:rPr>
                <w:sz w:val="20"/>
                <w:szCs w:val="20"/>
                <w:lang w:eastAsia="en-AU"/>
              </w:rPr>
              <w:t>1</w:t>
            </w:r>
            <w:r>
              <w:rPr>
                <w:sz w:val="20"/>
                <w:szCs w:val="20"/>
                <w:lang w:eastAsia="en-AU"/>
              </w:rPr>
              <w:t>7</w:t>
            </w:r>
          </w:p>
          <w:p w:rsidR="006F39F9" w:rsidRPr="005E53A8" w:rsidRDefault="006F39F9" w:rsidP="00C7431F">
            <w:pPr>
              <w:spacing w:after="0"/>
              <w:rPr>
                <w:sz w:val="20"/>
                <w:szCs w:val="20"/>
                <w:lang w:eastAsia="en-AU"/>
              </w:rPr>
            </w:pPr>
          </w:p>
          <w:p w:rsidR="006F39F9" w:rsidRPr="005E53A8" w:rsidRDefault="006F39F9" w:rsidP="00C7431F">
            <w:pPr>
              <w:spacing w:after="0"/>
              <w:rPr>
                <w:sz w:val="20"/>
                <w:szCs w:val="20"/>
                <w:lang w:eastAsia="en-AU"/>
              </w:rPr>
            </w:pPr>
            <w:r w:rsidRPr="005E53A8">
              <w:rPr>
                <w:sz w:val="20"/>
                <w:szCs w:val="20"/>
                <w:lang w:eastAsia="en-AU"/>
              </w:rPr>
              <w:t>Increased use of 2D barcode technology</w:t>
            </w:r>
            <w:r w:rsidR="00BA1C24">
              <w:rPr>
                <w:sz w:val="20"/>
                <w:szCs w:val="20"/>
                <w:lang w:eastAsia="en-AU"/>
              </w:rPr>
              <w:t xml:space="preserve"> by health service providers to </w:t>
            </w:r>
            <w:r w:rsidR="003D4D63">
              <w:rPr>
                <w:sz w:val="20"/>
                <w:szCs w:val="20"/>
                <w:lang w:eastAsia="en-AU"/>
              </w:rPr>
              <w:t xml:space="preserve">prevent and </w:t>
            </w:r>
            <w:r w:rsidR="00BA1C24">
              <w:rPr>
                <w:sz w:val="20"/>
                <w:szCs w:val="20"/>
                <w:lang w:eastAsia="en-AU"/>
              </w:rPr>
              <w:t>reduce human errors</w:t>
            </w:r>
          </w:p>
        </w:tc>
      </w:tr>
      <w:tr w:rsidR="006F39F9" w:rsidRPr="005E53A8" w:rsidTr="006F39F9">
        <w:trPr>
          <w:cantSplit/>
        </w:trPr>
        <w:tc>
          <w:tcPr>
            <w:tcW w:w="397" w:type="dxa"/>
            <w:shd w:val="clear" w:color="auto" w:fill="FFFFFF" w:themeFill="background1"/>
            <w:hideMark/>
          </w:tcPr>
          <w:p w:rsidR="006F39F9" w:rsidRPr="005E53A8" w:rsidRDefault="006F39F9" w:rsidP="00C7431F">
            <w:pPr>
              <w:spacing w:after="0"/>
              <w:rPr>
                <w:sz w:val="20"/>
                <w:szCs w:val="20"/>
                <w:lang w:eastAsia="en-AU"/>
              </w:rPr>
            </w:pPr>
            <w:r>
              <w:rPr>
                <w:sz w:val="20"/>
                <w:szCs w:val="20"/>
                <w:lang w:eastAsia="en-AU"/>
              </w:rPr>
              <w:lastRenderedPageBreak/>
              <w:t>5</w:t>
            </w:r>
          </w:p>
        </w:tc>
        <w:tc>
          <w:tcPr>
            <w:tcW w:w="1984" w:type="dxa"/>
            <w:shd w:val="clear" w:color="auto" w:fill="FFFFFF" w:themeFill="background1"/>
            <w:hideMark/>
          </w:tcPr>
          <w:p w:rsidR="006F39F9" w:rsidRPr="005E53A8" w:rsidRDefault="006F39F9" w:rsidP="00C7431F">
            <w:pPr>
              <w:keepNext/>
              <w:keepLines/>
              <w:widowControl w:val="0"/>
              <w:spacing w:after="0"/>
              <w:rPr>
                <w:sz w:val="20"/>
                <w:szCs w:val="20"/>
              </w:rPr>
            </w:pPr>
            <w:r w:rsidRPr="005E53A8">
              <w:rPr>
                <w:sz w:val="20"/>
                <w:szCs w:val="20"/>
              </w:rPr>
              <w:t>Develop tools to encourage alignment of prescribing practice with clinical guidelines</w:t>
            </w:r>
          </w:p>
        </w:tc>
        <w:tc>
          <w:tcPr>
            <w:tcW w:w="1701" w:type="dxa"/>
            <w:shd w:val="clear" w:color="auto" w:fill="D9D9D9" w:themeFill="background1" w:themeFillShade="D9"/>
          </w:tcPr>
          <w:p w:rsidR="006F39F9" w:rsidRPr="005E53A8" w:rsidRDefault="006F39F9" w:rsidP="00C7431F">
            <w:pPr>
              <w:keepNext/>
              <w:keepLines/>
              <w:widowControl w:val="0"/>
              <w:spacing w:after="0"/>
              <w:rPr>
                <w:sz w:val="20"/>
                <w:szCs w:val="20"/>
              </w:rPr>
            </w:pPr>
            <w:r w:rsidRPr="005E53A8">
              <w:rPr>
                <w:sz w:val="20"/>
                <w:szCs w:val="20"/>
              </w:rPr>
              <w:t>NBA; Blood Sector stakeholders</w:t>
            </w:r>
          </w:p>
        </w:tc>
        <w:tc>
          <w:tcPr>
            <w:tcW w:w="2551" w:type="dxa"/>
            <w:shd w:val="clear" w:color="auto" w:fill="FFFFFF" w:themeFill="background1"/>
            <w:hideMark/>
          </w:tcPr>
          <w:p w:rsidR="006F39F9" w:rsidRPr="005E53A8" w:rsidRDefault="006F39F9" w:rsidP="00C7431F">
            <w:pPr>
              <w:keepNext/>
              <w:keepLines/>
              <w:widowControl w:val="0"/>
              <w:spacing w:after="0"/>
              <w:rPr>
                <w:sz w:val="20"/>
                <w:szCs w:val="20"/>
              </w:rPr>
            </w:pPr>
            <w:r w:rsidRPr="005E53A8">
              <w:rPr>
                <w:sz w:val="20"/>
                <w:szCs w:val="20"/>
              </w:rPr>
              <w:t>NBA to collaborate with relevant stakeholders to develop a national reference set of tools to assist with transfusion practice and clinical decision support</w:t>
            </w:r>
          </w:p>
        </w:tc>
        <w:tc>
          <w:tcPr>
            <w:tcW w:w="2581" w:type="dxa"/>
            <w:shd w:val="clear" w:color="auto" w:fill="D9D9D9" w:themeFill="background1" w:themeFillShade="D9"/>
            <w:hideMark/>
          </w:tcPr>
          <w:p w:rsidR="006F39F9" w:rsidRPr="005E53A8" w:rsidRDefault="006F39F9" w:rsidP="00C7431F">
            <w:pPr>
              <w:keepNext/>
              <w:keepLines/>
              <w:widowControl w:val="0"/>
              <w:spacing w:after="0"/>
              <w:rPr>
                <w:sz w:val="20"/>
                <w:szCs w:val="20"/>
              </w:rPr>
            </w:pPr>
            <w:r w:rsidRPr="005E53A8">
              <w:rPr>
                <w:sz w:val="20"/>
                <w:szCs w:val="20"/>
              </w:rPr>
              <w:t>Tools developed, published, distributed and evaluated on an ongoing basis</w:t>
            </w:r>
          </w:p>
        </w:tc>
      </w:tr>
    </w:tbl>
    <w:p w:rsidR="006F39F9" w:rsidRPr="006F39F9" w:rsidRDefault="006F39F9" w:rsidP="006F39F9">
      <w:pPr>
        <w:pStyle w:val="Heading2"/>
      </w:pPr>
      <w:bookmarkStart w:id="201" w:name="_Toc459366188"/>
      <w:bookmarkStart w:id="202" w:name="_Toc420837264"/>
      <w:r w:rsidRPr="006F39F9">
        <w:t>Data standards</w:t>
      </w:r>
      <w:bookmarkEnd w:id="201"/>
    </w:p>
    <w:p w:rsidR="006F39F9" w:rsidRDefault="006F39F9" w:rsidP="006F39F9">
      <w:pPr>
        <w:rPr>
          <w:lang w:eastAsia="en-AU"/>
        </w:rPr>
      </w:pPr>
      <w:r>
        <w:rPr>
          <w:lang w:eastAsia="en-AU"/>
        </w:rPr>
        <w:t xml:space="preserve">Data standards should be revised and updated as </w:t>
      </w:r>
      <w:proofErr w:type="spellStart"/>
      <w:r>
        <w:rPr>
          <w:lang w:eastAsia="en-AU"/>
        </w:rPr>
        <w:t>haemovigilance</w:t>
      </w:r>
      <w:proofErr w:type="spellEnd"/>
      <w:r>
        <w:rPr>
          <w:lang w:eastAsia="en-AU"/>
        </w:rPr>
        <w:t xml:space="preserve"> matures in Australia. The </w:t>
      </w:r>
      <w:r w:rsidRPr="00D365A9">
        <w:rPr>
          <w:lang w:eastAsia="en-AU"/>
        </w:rPr>
        <w:t xml:space="preserve">Australian </w:t>
      </w:r>
      <w:proofErr w:type="spellStart"/>
      <w:r w:rsidRPr="00D365A9">
        <w:rPr>
          <w:lang w:eastAsia="en-AU"/>
        </w:rPr>
        <w:t>Haemovigilance</w:t>
      </w:r>
      <w:proofErr w:type="spellEnd"/>
      <w:r w:rsidRPr="00D365A9">
        <w:rPr>
          <w:lang w:eastAsia="en-AU"/>
        </w:rPr>
        <w:t xml:space="preserve"> Minimum Data Set (AHMDS)</w:t>
      </w:r>
      <w:r>
        <w:rPr>
          <w:lang w:eastAsia="en-AU"/>
        </w:rPr>
        <w:t xml:space="preserve">, previously known as </w:t>
      </w:r>
      <w:r w:rsidR="0050157C">
        <w:rPr>
          <w:lang w:eastAsia="en-AU"/>
        </w:rPr>
        <w:t xml:space="preserve">the </w:t>
      </w:r>
      <w:r>
        <w:rPr>
          <w:lang w:eastAsia="en-AU"/>
        </w:rPr>
        <w:t xml:space="preserve">Australian National </w:t>
      </w:r>
      <w:proofErr w:type="spellStart"/>
      <w:r>
        <w:rPr>
          <w:lang w:eastAsia="en-AU"/>
        </w:rPr>
        <w:t>Haemovigilance</w:t>
      </w:r>
      <w:proofErr w:type="spellEnd"/>
      <w:r>
        <w:rPr>
          <w:lang w:eastAsia="en-AU"/>
        </w:rPr>
        <w:t xml:space="preserve"> Data Dictionary (ANHDD) has been redeveloped and published in 2016. The NBA, HAC and states/territories are developing a set of tools including audit tools, guidance</w:t>
      </w:r>
      <w:r w:rsidR="008E6FE9">
        <w:rPr>
          <w:lang w:eastAsia="en-AU"/>
        </w:rPr>
        <w:t xml:space="preserve"> document</w:t>
      </w:r>
      <w:r>
        <w:rPr>
          <w:lang w:eastAsia="en-AU"/>
        </w:rPr>
        <w:t xml:space="preserve">s, data collection forms, </w:t>
      </w:r>
      <w:r w:rsidR="008E6FE9">
        <w:rPr>
          <w:lang w:eastAsia="en-AU"/>
        </w:rPr>
        <w:t xml:space="preserve">and </w:t>
      </w:r>
      <w:r>
        <w:rPr>
          <w:lang w:eastAsia="en-AU"/>
        </w:rPr>
        <w:t>case studies from 2015</w:t>
      </w:r>
      <w:r w:rsidRPr="00433526">
        <w:rPr>
          <w:lang w:eastAsia="en-AU"/>
        </w:rPr>
        <w:t>–</w:t>
      </w:r>
      <w:r>
        <w:rPr>
          <w:lang w:eastAsia="en-AU"/>
        </w:rPr>
        <w:t xml:space="preserve">16 to assist with the application of the </w:t>
      </w:r>
      <w:r w:rsidRPr="00D365A9">
        <w:rPr>
          <w:lang w:eastAsia="en-AU"/>
        </w:rPr>
        <w:t>AHMDS</w:t>
      </w:r>
      <w:r w:rsidRPr="00D365A9" w:rsidDel="00D365A9">
        <w:rPr>
          <w:lang w:eastAsia="en-AU"/>
        </w:rPr>
        <w:t xml:space="preserve"> </w:t>
      </w:r>
      <w:r>
        <w:rPr>
          <w:lang w:eastAsia="en-AU"/>
        </w:rPr>
        <w:t xml:space="preserve">and improve </w:t>
      </w:r>
      <w:proofErr w:type="spellStart"/>
      <w:r>
        <w:rPr>
          <w:lang w:eastAsia="en-AU"/>
        </w:rPr>
        <w:t>haemovigilance</w:t>
      </w:r>
      <w:proofErr w:type="spellEnd"/>
      <w:r>
        <w:rPr>
          <w:lang w:eastAsia="en-AU"/>
        </w:rPr>
        <w:t xml:space="preserve"> data collection and reporting. </w:t>
      </w:r>
      <w:r w:rsidRPr="0096710B">
        <w:rPr>
          <w:lang w:eastAsia="en-AU"/>
        </w:rPr>
        <w:t xml:space="preserve">The </w:t>
      </w:r>
      <w:proofErr w:type="spellStart"/>
      <w:r>
        <w:rPr>
          <w:lang w:eastAsia="en-AU"/>
        </w:rPr>
        <w:t>haemovigilance</w:t>
      </w:r>
      <w:proofErr w:type="spellEnd"/>
      <w:r>
        <w:rPr>
          <w:lang w:eastAsia="en-AU"/>
        </w:rPr>
        <w:t xml:space="preserve"> </w:t>
      </w:r>
      <w:r w:rsidRPr="0096710B">
        <w:rPr>
          <w:lang w:eastAsia="en-AU"/>
        </w:rPr>
        <w:t>report</w:t>
      </w:r>
      <w:r>
        <w:rPr>
          <w:lang w:eastAsia="en-AU"/>
        </w:rPr>
        <w:t xml:space="preserve"> will </w:t>
      </w:r>
      <w:r w:rsidRPr="0096710B">
        <w:rPr>
          <w:lang w:eastAsia="en-AU"/>
        </w:rPr>
        <w:t>continue to include donor vigilance data.</w:t>
      </w:r>
    </w:p>
    <w:p w:rsidR="006F39F9" w:rsidRPr="0067689B" w:rsidRDefault="006F39F9" w:rsidP="0067689B">
      <w:pPr>
        <w:pStyle w:val="Caption"/>
      </w:pPr>
      <w:bookmarkStart w:id="203" w:name="_Toc459636878"/>
      <w:r w:rsidRPr="0067689B">
        <w:t xml:space="preserve">Table </w:t>
      </w:r>
      <w:r w:rsidRPr="0067689B">
        <w:fldChar w:fldCharType="begin"/>
      </w:r>
      <w:r w:rsidRPr="00C94185">
        <w:instrText xml:space="preserve"> SEQ Table \* ARABIC </w:instrText>
      </w:r>
      <w:r w:rsidRPr="0067689B">
        <w:fldChar w:fldCharType="separate"/>
      </w:r>
      <w:r w:rsidR="000010BC">
        <w:rPr>
          <w:noProof/>
        </w:rPr>
        <w:t>38</w:t>
      </w:r>
      <w:r w:rsidRPr="0067689B">
        <w:fldChar w:fldCharType="end"/>
      </w:r>
      <w:r w:rsidRPr="0067689B">
        <w:t>: Recommendations on data standards</w:t>
      </w:r>
      <w:bookmarkEnd w:id="203"/>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419"/>
        <w:gridCol w:w="1984"/>
        <w:gridCol w:w="1701"/>
        <w:gridCol w:w="2551"/>
        <w:gridCol w:w="2559"/>
      </w:tblGrid>
      <w:tr w:rsidR="006F39F9" w:rsidRPr="006F39F9" w:rsidTr="006F39F9">
        <w:trPr>
          <w:trHeight w:val="629"/>
          <w:tblHeader/>
        </w:trPr>
        <w:tc>
          <w:tcPr>
            <w:tcW w:w="419" w:type="dxa"/>
            <w:tcBorders>
              <w:bottom w:val="nil"/>
            </w:tcBorders>
            <w:shd w:val="clear" w:color="auto" w:fill="FF0000"/>
            <w:vAlign w:val="center"/>
          </w:tcPr>
          <w:p w:rsidR="006F39F9" w:rsidRPr="006F39F9" w:rsidRDefault="006F39F9" w:rsidP="00C7431F">
            <w:pPr>
              <w:spacing w:after="0" w:line="276" w:lineRule="auto"/>
              <w:rPr>
                <w:rFonts w:ascii="Arial" w:eastAsia="Times New Roman" w:hAnsi="Arial" w:cs="Times New Roman"/>
                <w:color w:val="FFFFFF"/>
                <w:sz w:val="20"/>
                <w:szCs w:val="20"/>
                <w:lang w:eastAsia="en-AU"/>
              </w:rPr>
            </w:pPr>
          </w:p>
        </w:tc>
        <w:tc>
          <w:tcPr>
            <w:tcW w:w="1984" w:type="dxa"/>
            <w:tcBorders>
              <w:bottom w:val="nil"/>
            </w:tcBorders>
            <w:shd w:val="clear" w:color="auto" w:fill="FF0000"/>
            <w:vAlign w:val="center"/>
            <w:hideMark/>
          </w:tcPr>
          <w:p w:rsidR="006F39F9" w:rsidRPr="006F39F9" w:rsidRDefault="006F39F9" w:rsidP="00C7431F">
            <w:pPr>
              <w:spacing w:after="0" w:line="276" w:lineRule="auto"/>
              <w:rPr>
                <w:color w:val="FFFFFF" w:themeColor="background1"/>
                <w:sz w:val="20"/>
                <w:szCs w:val="20"/>
                <w:lang w:eastAsia="en-AU"/>
              </w:rPr>
            </w:pPr>
            <w:r w:rsidRPr="006F39F9">
              <w:rPr>
                <w:color w:val="FFFFFF" w:themeColor="background1"/>
                <w:sz w:val="20"/>
                <w:szCs w:val="20"/>
                <w:lang w:eastAsia="en-AU"/>
              </w:rPr>
              <w:t>Recommendation</w:t>
            </w:r>
          </w:p>
        </w:tc>
        <w:tc>
          <w:tcPr>
            <w:tcW w:w="1701" w:type="dxa"/>
            <w:tcBorders>
              <w:bottom w:val="nil"/>
            </w:tcBorders>
            <w:shd w:val="clear" w:color="auto" w:fill="FF0000"/>
            <w:vAlign w:val="center"/>
            <w:hideMark/>
          </w:tcPr>
          <w:p w:rsidR="006F39F9" w:rsidRPr="006F39F9" w:rsidRDefault="006F39F9" w:rsidP="00C7431F">
            <w:pPr>
              <w:spacing w:after="0" w:line="276" w:lineRule="auto"/>
              <w:rPr>
                <w:color w:val="FFFFFF" w:themeColor="background1"/>
                <w:sz w:val="20"/>
                <w:szCs w:val="20"/>
                <w:lang w:eastAsia="en-AU"/>
              </w:rPr>
            </w:pPr>
            <w:r w:rsidRPr="006F39F9">
              <w:rPr>
                <w:color w:val="FFFFFF" w:themeColor="background1"/>
                <w:sz w:val="20"/>
                <w:szCs w:val="20"/>
                <w:lang w:eastAsia="en-AU"/>
              </w:rPr>
              <w:t>Who is Responsible</w:t>
            </w:r>
          </w:p>
        </w:tc>
        <w:tc>
          <w:tcPr>
            <w:tcW w:w="2551" w:type="dxa"/>
            <w:tcBorders>
              <w:bottom w:val="nil"/>
            </w:tcBorders>
            <w:shd w:val="clear" w:color="auto" w:fill="FF0000"/>
            <w:vAlign w:val="center"/>
            <w:hideMark/>
          </w:tcPr>
          <w:p w:rsidR="006F39F9" w:rsidRPr="006F39F9" w:rsidRDefault="006F39F9" w:rsidP="00C7431F">
            <w:pPr>
              <w:spacing w:after="0" w:line="276" w:lineRule="auto"/>
              <w:rPr>
                <w:color w:val="FFFFFF" w:themeColor="background1"/>
                <w:sz w:val="20"/>
                <w:szCs w:val="20"/>
                <w:lang w:eastAsia="en-AU"/>
              </w:rPr>
            </w:pPr>
            <w:r w:rsidRPr="006F39F9">
              <w:rPr>
                <w:color w:val="FFFFFF" w:themeColor="background1"/>
                <w:sz w:val="20"/>
                <w:szCs w:val="20"/>
                <w:lang w:eastAsia="en-AU"/>
              </w:rPr>
              <w:t>Proposed Strategy</w:t>
            </w:r>
          </w:p>
        </w:tc>
        <w:tc>
          <w:tcPr>
            <w:tcW w:w="2559" w:type="dxa"/>
            <w:tcBorders>
              <w:bottom w:val="nil"/>
            </w:tcBorders>
            <w:shd w:val="clear" w:color="auto" w:fill="FF0000"/>
            <w:vAlign w:val="center"/>
            <w:hideMark/>
          </w:tcPr>
          <w:p w:rsidR="006F39F9" w:rsidRPr="006F39F9" w:rsidRDefault="006F39F9" w:rsidP="00C7431F">
            <w:pPr>
              <w:spacing w:after="0" w:line="276" w:lineRule="auto"/>
              <w:rPr>
                <w:color w:val="FFFFFF" w:themeColor="background1"/>
                <w:sz w:val="20"/>
                <w:szCs w:val="20"/>
                <w:lang w:eastAsia="en-AU"/>
              </w:rPr>
            </w:pPr>
            <w:r w:rsidRPr="006F39F9">
              <w:rPr>
                <w:color w:val="FFFFFF" w:themeColor="background1"/>
                <w:sz w:val="20"/>
                <w:szCs w:val="20"/>
                <w:lang w:eastAsia="en-AU"/>
              </w:rPr>
              <w:t>How that will be measured</w:t>
            </w:r>
          </w:p>
        </w:tc>
      </w:tr>
      <w:tr w:rsidR="006F39F9" w:rsidRPr="00EA5B29" w:rsidTr="006F39F9">
        <w:tc>
          <w:tcPr>
            <w:tcW w:w="419" w:type="dxa"/>
            <w:tcBorders>
              <w:top w:val="nil"/>
            </w:tcBorders>
            <w:shd w:val="clear" w:color="auto" w:fill="FFFFFF" w:themeFill="background1"/>
            <w:hideMark/>
          </w:tcPr>
          <w:p w:rsidR="006F39F9" w:rsidRPr="00EA5B29" w:rsidRDefault="006F39F9" w:rsidP="00C7431F">
            <w:pPr>
              <w:spacing w:line="276" w:lineRule="auto"/>
              <w:rPr>
                <w:sz w:val="20"/>
                <w:szCs w:val="20"/>
                <w:lang w:eastAsia="en-AU"/>
              </w:rPr>
            </w:pPr>
            <w:r>
              <w:rPr>
                <w:sz w:val="20"/>
                <w:szCs w:val="20"/>
                <w:lang w:eastAsia="en-AU"/>
              </w:rPr>
              <w:t>6</w:t>
            </w:r>
          </w:p>
        </w:tc>
        <w:tc>
          <w:tcPr>
            <w:tcW w:w="1984" w:type="dxa"/>
            <w:tcBorders>
              <w:top w:val="nil"/>
            </w:tcBorders>
            <w:shd w:val="clear" w:color="auto" w:fill="FFFFFF" w:themeFill="background1"/>
            <w:hideMark/>
          </w:tcPr>
          <w:p w:rsidR="006F39F9" w:rsidRPr="00EA5B29" w:rsidRDefault="006F39F9" w:rsidP="00C7431F">
            <w:pPr>
              <w:spacing w:after="0"/>
              <w:rPr>
                <w:sz w:val="20"/>
                <w:szCs w:val="20"/>
                <w:lang w:eastAsia="en-AU"/>
              </w:rPr>
            </w:pPr>
            <w:r w:rsidRPr="00FF1D02">
              <w:rPr>
                <w:sz w:val="20"/>
                <w:szCs w:val="20"/>
              </w:rPr>
              <w:t xml:space="preserve">Implement the Australian </w:t>
            </w:r>
            <w:proofErr w:type="spellStart"/>
            <w:r w:rsidRPr="00FF1D02">
              <w:rPr>
                <w:sz w:val="20"/>
                <w:szCs w:val="20"/>
              </w:rPr>
              <w:t>Haemovigilance</w:t>
            </w:r>
            <w:proofErr w:type="spellEnd"/>
            <w:r w:rsidRPr="00FF1D02">
              <w:rPr>
                <w:sz w:val="20"/>
                <w:szCs w:val="20"/>
              </w:rPr>
              <w:t xml:space="preserve"> Minimum Data Set (AHMDS)</w:t>
            </w:r>
          </w:p>
        </w:tc>
        <w:tc>
          <w:tcPr>
            <w:tcW w:w="1701" w:type="dxa"/>
            <w:tcBorders>
              <w:top w:val="nil"/>
            </w:tcBorders>
            <w:shd w:val="clear" w:color="auto" w:fill="D9D9D9" w:themeFill="background1" w:themeFillShade="D9"/>
            <w:hideMark/>
          </w:tcPr>
          <w:p w:rsidR="006F39F9" w:rsidRPr="00EA5B29" w:rsidRDefault="006F39F9" w:rsidP="00C7431F">
            <w:pPr>
              <w:spacing w:after="0"/>
              <w:rPr>
                <w:sz w:val="20"/>
                <w:szCs w:val="20"/>
                <w:lang w:eastAsia="en-AU"/>
              </w:rPr>
            </w:pPr>
            <w:r>
              <w:rPr>
                <w:sz w:val="20"/>
                <w:szCs w:val="20"/>
                <w:lang w:eastAsia="en-AU"/>
              </w:rPr>
              <w:t xml:space="preserve">JBC; </w:t>
            </w:r>
            <w:r w:rsidRPr="00EA5B29">
              <w:rPr>
                <w:sz w:val="20"/>
                <w:szCs w:val="20"/>
                <w:lang w:eastAsia="en-AU"/>
              </w:rPr>
              <w:t>HAC; NBA</w:t>
            </w:r>
            <w:r>
              <w:rPr>
                <w:sz w:val="20"/>
                <w:szCs w:val="20"/>
                <w:lang w:eastAsia="en-AU"/>
              </w:rPr>
              <w:t>;</w:t>
            </w:r>
            <w:r>
              <w:t xml:space="preserve"> </w:t>
            </w:r>
            <w:r w:rsidR="008E6FE9">
              <w:rPr>
                <w:sz w:val="20"/>
                <w:szCs w:val="20"/>
                <w:lang w:eastAsia="en-AU"/>
              </w:rPr>
              <w:t>S</w:t>
            </w:r>
            <w:r w:rsidRPr="00FF1D02">
              <w:rPr>
                <w:sz w:val="20"/>
                <w:szCs w:val="20"/>
                <w:lang w:eastAsia="en-AU"/>
              </w:rPr>
              <w:t>tate and territory departments of health</w:t>
            </w:r>
          </w:p>
        </w:tc>
        <w:tc>
          <w:tcPr>
            <w:tcW w:w="2551" w:type="dxa"/>
            <w:tcBorders>
              <w:top w:val="nil"/>
            </w:tcBorders>
            <w:shd w:val="clear" w:color="auto" w:fill="FFFFFF" w:themeFill="background1"/>
            <w:hideMark/>
          </w:tcPr>
          <w:p w:rsidR="006F39F9" w:rsidRPr="00FF1D02" w:rsidRDefault="006F39F9" w:rsidP="00C7431F">
            <w:pPr>
              <w:spacing w:after="0"/>
              <w:rPr>
                <w:rFonts w:asciiTheme="minorHAnsi" w:hAnsiTheme="minorHAnsi" w:cstheme="minorHAnsi"/>
                <w:sz w:val="20"/>
                <w:szCs w:val="20"/>
                <w:lang w:eastAsia="en-AU"/>
              </w:rPr>
            </w:pPr>
            <w:r w:rsidRPr="00FF1D02">
              <w:rPr>
                <w:rFonts w:asciiTheme="minorHAnsi" w:hAnsiTheme="minorHAnsi" w:cstheme="minorHAnsi"/>
                <w:sz w:val="20"/>
                <w:szCs w:val="20"/>
                <w:lang w:eastAsia="en-AU"/>
              </w:rPr>
              <w:t>NBA</w:t>
            </w:r>
            <w:r>
              <w:rPr>
                <w:rFonts w:asciiTheme="minorHAnsi" w:hAnsiTheme="minorHAnsi" w:cstheme="minorHAnsi"/>
                <w:sz w:val="20"/>
                <w:szCs w:val="20"/>
                <w:lang w:eastAsia="en-AU"/>
              </w:rPr>
              <w:t>/HAC</w:t>
            </w:r>
            <w:r w:rsidRPr="00FF1D02">
              <w:rPr>
                <w:rFonts w:asciiTheme="minorHAnsi" w:hAnsiTheme="minorHAnsi" w:cstheme="minorHAnsi"/>
                <w:sz w:val="20"/>
                <w:szCs w:val="20"/>
                <w:lang w:eastAsia="en-AU"/>
              </w:rPr>
              <w:t xml:space="preserve"> to work with the JBC and states/territories on the transition of AHMDS  and the timing for the implementation</w:t>
            </w:r>
          </w:p>
          <w:p w:rsidR="006F39F9" w:rsidRPr="00FF1D02" w:rsidRDefault="006F39F9" w:rsidP="00C7431F">
            <w:pPr>
              <w:spacing w:after="0"/>
              <w:rPr>
                <w:rFonts w:asciiTheme="minorHAnsi" w:hAnsiTheme="minorHAnsi" w:cstheme="minorHAnsi"/>
                <w:sz w:val="20"/>
                <w:szCs w:val="20"/>
                <w:lang w:eastAsia="en-AU"/>
              </w:rPr>
            </w:pPr>
          </w:p>
          <w:p w:rsidR="006F39F9" w:rsidRPr="00FF1D02" w:rsidRDefault="006F39F9" w:rsidP="00C7431F">
            <w:pPr>
              <w:spacing w:after="0"/>
              <w:rPr>
                <w:rFonts w:asciiTheme="minorHAnsi" w:hAnsiTheme="minorHAnsi" w:cstheme="minorHAnsi"/>
                <w:sz w:val="20"/>
                <w:szCs w:val="20"/>
                <w:lang w:eastAsia="en-AU"/>
              </w:rPr>
            </w:pPr>
            <w:r w:rsidRPr="00FF1D02">
              <w:rPr>
                <w:rFonts w:asciiTheme="minorHAnsi" w:hAnsiTheme="minorHAnsi" w:cstheme="minorHAnsi"/>
                <w:sz w:val="20"/>
                <w:szCs w:val="20"/>
                <w:lang w:eastAsia="en-AU"/>
              </w:rPr>
              <w:t xml:space="preserve">NBA to develop a </w:t>
            </w:r>
            <w:r w:rsidR="00D43070" w:rsidRPr="00FF1D02">
              <w:rPr>
                <w:rFonts w:asciiTheme="minorHAnsi" w:hAnsiTheme="minorHAnsi" w:cstheme="minorHAnsi"/>
                <w:sz w:val="20"/>
                <w:szCs w:val="20"/>
                <w:lang w:eastAsia="en-AU"/>
              </w:rPr>
              <w:t xml:space="preserve">mapping document </w:t>
            </w:r>
            <w:r w:rsidR="00D43070">
              <w:rPr>
                <w:rFonts w:asciiTheme="minorHAnsi" w:hAnsiTheme="minorHAnsi" w:cstheme="minorHAnsi"/>
                <w:sz w:val="20"/>
                <w:szCs w:val="20"/>
                <w:lang w:eastAsia="en-AU"/>
              </w:rPr>
              <w:t xml:space="preserve">from the ANHDD to the </w:t>
            </w:r>
            <w:r w:rsidRPr="00FF1D02">
              <w:rPr>
                <w:rFonts w:asciiTheme="minorHAnsi" w:hAnsiTheme="minorHAnsi" w:cstheme="minorHAnsi"/>
                <w:sz w:val="20"/>
                <w:szCs w:val="20"/>
                <w:lang w:eastAsia="en-AU"/>
              </w:rPr>
              <w:t>AHMDS</w:t>
            </w:r>
          </w:p>
          <w:p w:rsidR="006F39F9" w:rsidRPr="00FF1D02" w:rsidRDefault="006F39F9" w:rsidP="00C7431F">
            <w:pPr>
              <w:spacing w:after="0"/>
              <w:rPr>
                <w:rFonts w:asciiTheme="minorHAnsi" w:hAnsiTheme="minorHAnsi" w:cstheme="minorHAnsi"/>
                <w:sz w:val="20"/>
                <w:szCs w:val="20"/>
                <w:lang w:eastAsia="en-AU"/>
              </w:rPr>
            </w:pPr>
          </w:p>
          <w:p w:rsidR="006F39F9" w:rsidRPr="00EA5B29" w:rsidRDefault="006F39F9" w:rsidP="00C7431F">
            <w:pPr>
              <w:spacing w:after="0"/>
              <w:rPr>
                <w:rFonts w:asciiTheme="minorHAnsi" w:hAnsiTheme="minorHAnsi" w:cstheme="minorHAnsi"/>
                <w:sz w:val="20"/>
                <w:szCs w:val="20"/>
                <w:lang w:eastAsia="en-AU"/>
              </w:rPr>
            </w:pPr>
            <w:r w:rsidRPr="00FF1D02">
              <w:rPr>
                <w:rFonts w:asciiTheme="minorHAnsi" w:hAnsiTheme="minorHAnsi" w:cstheme="minorHAnsi"/>
                <w:sz w:val="20"/>
                <w:szCs w:val="20"/>
                <w:lang w:eastAsia="en-AU"/>
              </w:rPr>
              <w:t>HAC to establish a working group to develop guidance for states/territories to implement the AHMDS</w:t>
            </w:r>
          </w:p>
        </w:tc>
        <w:tc>
          <w:tcPr>
            <w:tcW w:w="2559" w:type="dxa"/>
            <w:tcBorders>
              <w:top w:val="nil"/>
            </w:tcBorders>
            <w:shd w:val="clear" w:color="auto" w:fill="D9D9D9" w:themeFill="background1" w:themeFillShade="D9"/>
            <w:hideMark/>
          </w:tcPr>
          <w:p w:rsidR="006F39F9" w:rsidRPr="00EA5B29" w:rsidRDefault="006F39F9" w:rsidP="00252D67">
            <w:pPr>
              <w:spacing w:after="0"/>
              <w:rPr>
                <w:rFonts w:asciiTheme="minorHAnsi" w:eastAsia="Times New Roman" w:hAnsiTheme="minorHAnsi" w:cstheme="minorHAnsi"/>
                <w:sz w:val="20"/>
                <w:szCs w:val="20"/>
                <w:lang w:eastAsia="en-AU"/>
              </w:rPr>
            </w:pPr>
            <w:r w:rsidRPr="00FF1D02">
              <w:rPr>
                <w:rFonts w:asciiTheme="minorHAnsi" w:eastAsia="Times New Roman" w:hAnsiTheme="minorHAnsi" w:cstheme="minorHAnsi"/>
                <w:sz w:val="20"/>
                <w:szCs w:val="20"/>
                <w:lang w:eastAsia="en-AU"/>
              </w:rPr>
              <w:t xml:space="preserve">AHMDS and </w:t>
            </w:r>
            <w:r w:rsidR="008E6FE9">
              <w:rPr>
                <w:rFonts w:asciiTheme="minorHAnsi" w:eastAsia="Times New Roman" w:hAnsiTheme="minorHAnsi" w:cstheme="minorHAnsi"/>
                <w:sz w:val="20"/>
                <w:szCs w:val="20"/>
                <w:lang w:eastAsia="en-AU"/>
              </w:rPr>
              <w:t>g</w:t>
            </w:r>
            <w:r w:rsidRPr="00FF1D02">
              <w:rPr>
                <w:rFonts w:asciiTheme="minorHAnsi" w:eastAsia="Times New Roman" w:hAnsiTheme="minorHAnsi" w:cstheme="minorHAnsi"/>
                <w:sz w:val="20"/>
                <w:szCs w:val="20"/>
                <w:lang w:eastAsia="en-AU"/>
              </w:rPr>
              <w:t>uidance implemented</w:t>
            </w:r>
            <w:r w:rsidR="00212300">
              <w:rPr>
                <w:rFonts w:asciiTheme="minorHAnsi" w:eastAsia="Times New Roman" w:hAnsiTheme="minorHAnsi" w:cstheme="minorHAnsi"/>
                <w:sz w:val="20"/>
                <w:szCs w:val="20"/>
                <w:lang w:eastAsia="en-AU"/>
              </w:rPr>
              <w:t xml:space="preserve"> in 2016</w:t>
            </w:r>
            <w:r w:rsidR="00212300" w:rsidRPr="00212300">
              <w:rPr>
                <w:rFonts w:asciiTheme="minorHAnsi" w:eastAsia="Times New Roman" w:hAnsiTheme="minorHAnsi" w:cstheme="minorHAnsi"/>
                <w:sz w:val="20"/>
                <w:szCs w:val="20"/>
                <w:lang w:eastAsia="en-AU"/>
              </w:rPr>
              <w:t>–1</w:t>
            </w:r>
            <w:r w:rsidR="00212300">
              <w:rPr>
                <w:rFonts w:asciiTheme="minorHAnsi" w:eastAsia="Times New Roman" w:hAnsiTheme="minorHAnsi" w:cstheme="minorHAnsi"/>
                <w:sz w:val="20"/>
                <w:szCs w:val="20"/>
                <w:lang w:eastAsia="en-AU"/>
              </w:rPr>
              <w:t>7 subject to approval from the JBC</w:t>
            </w:r>
          </w:p>
        </w:tc>
      </w:tr>
      <w:tr w:rsidR="006F39F9" w:rsidRPr="00EA5B29" w:rsidTr="006F39F9">
        <w:tc>
          <w:tcPr>
            <w:tcW w:w="419" w:type="dxa"/>
            <w:shd w:val="clear" w:color="auto" w:fill="FFFFFF" w:themeFill="background1"/>
            <w:hideMark/>
          </w:tcPr>
          <w:p w:rsidR="006F39F9" w:rsidRPr="00EA5B29" w:rsidRDefault="006F39F9" w:rsidP="00C7431F">
            <w:pPr>
              <w:spacing w:line="276" w:lineRule="auto"/>
              <w:rPr>
                <w:sz w:val="20"/>
                <w:szCs w:val="20"/>
                <w:lang w:eastAsia="en-AU"/>
              </w:rPr>
            </w:pPr>
            <w:r>
              <w:rPr>
                <w:sz w:val="20"/>
                <w:szCs w:val="20"/>
                <w:lang w:eastAsia="en-AU"/>
              </w:rPr>
              <w:t>7</w:t>
            </w:r>
          </w:p>
        </w:tc>
        <w:tc>
          <w:tcPr>
            <w:tcW w:w="1984" w:type="dxa"/>
            <w:shd w:val="clear" w:color="auto" w:fill="FFFFFF" w:themeFill="background1"/>
            <w:hideMark/>
          </w:tcPr>
          <w:p w:rsidR="006F39F9" w:rsidRPr="00EA5B29" w:rsidRDefault="006F39F9" w:rsidP="00252D67">
            <w:pPr>
              <w:spacing w:after="0"/>
              <w:rPr>
                <w:sz w:val="20"/>
                <w:szCs w:val="20"/>
                <w:lang w:eastAsia="en-AU"/>
              </w:rPr>
            </w:pPr>
            <w:r w:rsidRPr="00EA5B29">
              <w:rPr>
                <w:sz w:val="20"/>
                <w:szCs w:val="20"/>
                <w:lang w:eastAsia="en-AU"/>
              </w:rPr>
              <w:t xml:space="preserve">Provide tools for </w:t>
            </w:r>
            <w:r w:rsidR="00FF7E81">
              <w:rPr>
                <w:sz w:val="20"/>
                <w:szCs w:val="20"/>
                <w:lang w:eastAsia="en-AU"/>
              </w:rPr>
              <w:t>health service providers</w:t>
            </w:r>
            <w:r w:rsidRPr="00EA5B29">
              <w:rPr>
                <w:sz w:val="20"/>
                <w:szCs w:val="20"/>
                <w:lang w:eastAsia="en-AU"/>
              </w:rPr>
              <w:t xml:space="preserve"> on the application of </w:t>
            </w:r>
            <w:r>
              <w:rPr>
                <w:sz w:val="20"/>
                <w:szCs w:val="20"/>
                <w:lang w:eastAsia="en-AU"/>
              </w:rPr>
              <w:t xml:space="preserve">the </w:t>
            </w:r>
            <w:r w:rsidR="00252D67">
              <w:rPr>
                <w:sz w:val="20"/>
                <w:szCs w:val="20"/>
                <w:lang w:eastAsia="en-AU"/>
              </w:rPr>
              <w:t>AHMDS</w:t>
            </w:r>
            <w:r>
              <w:rPr>
                <w:sz w:val="20"/>
                <w:szCs w:val="20"/>
                <w:lang w:eastAsia="en-AU"/>
              </w:rPr>
              <w:t xml:space="preserve"> </w:t>
            </w:r>
            <w:r w:rsidRPr="00EA5B29">
              <w:rPr>
                <w:sz w:val="20"/>
                <w:szCs w:val="20"/>
                <w:lang w:eastAsia="en-AU"/>
              </w:rPr>
              <w:t xml:space="preserve">and reporting of </w:t>
            </w:r>
            <w:proofErr w:type="spellStart"/>
            <w:r w:rsidRPr="00EA5B29">
              <w:rPr>
                <w:sz w:val="20"/>
                <w:szCs w:val="20"/>
                <w:lang w:eastAsia="en-AU"/>
              </w:rPr>
              <w:t>haemovigilance</w:t>
            </w:r>
            <w:proofErr w:type="spellEnd"/>
            <w:r w:rsidRPr="00EA5B29">
              <w:rPr>
                <w:sz w:val="20"/>
                <w:szCs w:val="20"/>
                <w:lang w:eastAsia="en-AU"/>
              </w:rPr>
              <w:t xml:space="preserve"> data</w:t>
            </w:r>
          </w:p>
        </w:tc>
        <w:tc>
          <w:tcPr>
            <w:tcW w:w="1701" w:type="dxa"/>
            <w:shd w:val="clear" w:color="auto" w:fill="D9D9D9" w:themeFill="background1" w:themeFillShade="D9"/>
            <w:hideMark/>
          </w:tcPr>
          <w:p w:rsidR="006F39F9" w:rsidRDefault="006F39F9" w:rsidP="00C7431F">
            <w:pPr>
              <w:spacing w:after="0"/>
              <w:rPr>
                <w:sz w:val="20"/>
                <w:szCs w:val="20"/>
                <w:lang w:eastAsia="en-AU"/>
              </w:rPr>
            </w:pPr>
            <w:r w:rsidRPr="00EA5B29">
              <w:rPr>
                <w:sz w:val="20"/>
                <w:szCs w:val="20"/>
                <w:lang w:eastAsia="en-AU"/>
              </w:rPr>
              <w:t xml:space="preserve">NBA; </w:t>
            </w:r>
            <w:r>
              <w:rPr>
                <w:sz w:val="20"/>
                <w:szCs w:val="20"/>
                <w:lang w:eastAsia="en-AU"/>
              </w:rPr>
              <w:t>HAC;</w:t>
            </w:r>
          </w:p>
          <w:p w:rsidR="006F39F9" w:rsidRPr="00EA5B29" w:rsidRDefault="006F39F9" w:rsidP="00C66864">
            <w:pPr>
              <w:spacing w:after="0"/>
              <w:rPr>
                <w:sz w:val="20"/>
                <w:szCs w:val="20"/>
                <w:lang w:eastAsia="en-AU"/>
              </w:rPr>
            </w:pPr>
            <w:r w:rsidRPr="00EA5B29">
              <w:rPr>
                <w:color w:val="000000" w:themeColor="text1"/>
                <w:sz w:val="20"/>
                <w:szCs w:val="20"/>
                <w:lang w:eastAsia="en-AU"/>
              </w:rPr>
              <w:t xml:space="preserve">State and territory Quality and Safety Units; </w:t>
            </w:r>
            <w:r w:rsidR="00C66864">
              <w:rPr>
                <w:sz w:val="20"/>
                <w:szCs w:val="20"/>
              </w:rPr>
              <w:t>health service provider</w:t>
            </w:r>
            <w:r w:rsidRPr="00EA5B29">
              <w:rPr>
                <w:sz w:val="20"/>
                <w:szCs w:val="20"/>
                <w:lang w:eastAsia="en-AU"/>
              </w:rPr>
              <w:t xml:space="preserve"> </w:t>
            </w:r>
            <w:r w:rsidR="00C66864">
              <w:rPr>
                <w:sz w:val="20"/>
                <w:szCs w:val="20"/>
                <w:lang w:eastAsia="en-AU"/>
              </w:rPr>
              <w:t>a</w:t>
            </w:r>
            <w:r w:rsidRPr="00EA5B29">
              <w:rPr>
                <w:sz w:val="20"/>
                <w:szCs w:val="20"/>
                <w:lang w:eastAsia="en-AU"/>
              </w:rPr>
              <w:t>dministrators</w:t>
            </w:r>
            <w:r>
              <w:rPr>
                <w:sz w:val="20"/>
                <w:szCs w:val="20"/>
                <w:lang w:eastAsia="en-AU"/>
              </w:rPr>
              <w:t xml:space="preserve">; state and territory departments of health; </w:t>
            </w:r>
            <w:r w:rsidRPr="00FF1D02">
              <w:rPr>
                <w:sz w:val="20"/>
                <w:szCs w:val="20"/>
                <w:lang w:eastAsia="en-AU"/>
              </w:rPr>
              <w:t>Blood Service</w:t>
            </w:r>
          </w:p>
        </w:tc>
        <w:tc>
          <w:tcPr>
            <w:tcW w:w="2551" w:type="dxa"/>
            <w:shd w:val="clear" w:color="auto" w:fill="FFFFFF" w:themeFill="background1"/>
            <w:hideMark/>
          </w:tcPr>
          <w:p w:rsidR="006F39F9" w:rsidRDefault="006F39F9" w:rsidP="00C7431F">
            <w:pPr>
              <w:spacing w:after="0"/>
              <w:rPr>
                <w:sz w:val="20"/>
                <w:szCs w:val="20"/>
                <w:lang w:eastAsia="en-AU"/>
              </w:rPr>
            </w:pPr>
            <w:r>
              <w:rPr>
                <w:sz w:val="20"/>
                <w:szCs w:val="20"/>
                <w:lang w:eastAsia="en-AU"/>
              </w:rPr>
              <w:t>NBA/</w:t>
            </w:r>
            <w:r w:rsidRPr="00FF1D02">
              <w:rPr>
                <w:sz w:val="20"/>
                <w:szCs w:val="20"/>
                <w:lang w:eastAsia="en-AU"/>
              </w:rPr>
              <w:t>HAC, states and territories and Blood Service</w:t>
            </w:r>
            <w:r>
              <w:rPr>
                <w:sz w:val="20"/>
                <w:szCs w:val="20"/>
                <w:lang w:eastAsia="en-AU"/>
              </w:rPr>
              <w:t xml:space="preserve"> </w:t>
            </w:r>
            <w:r w:rsidRPr="00E04199">
              <w:rPr>
                <w:sz w:val="20"/>
                <w:szCs w:val="20"/>
                <w:lang w:eastAsia="en-AU"/>
              </w:rPr>
              <w:t xml:space="preserve">to develop and distribute tools to support </w:t>
            </w:r>
            <w:r w:rsidR="00FF7E81">
              <w:rPr>
                <w:sz w:val="20"/>
                <w:szCs w:val="20"/>
                <w:lang w:eastAsia="en-AU"/>
              </w:rPr>
              <w:t>health service providers</w:t>
            </w:r>
            <w:r w:rsidRPr="00E04199">
              <w:rPr>
                <w:sz w:val="20"/>
                <w:szCs w:val="20"/>
                <w:lang w:eastAsia="en-AU"/>
              </w:rPr>
              <w:t xml:space="preserve"> for nat</w:t>
            </w:r>
            <w:r>
              <w:rPr>
                <w:sz w:val="20"/>
                <w:szCs w:val="20"/>
                <w:lang w:eastAsia="en-AU"/>
              </w:rPr>
              <w:t xml:space="preserve">ional </w:t>
            </w:r>
            <w:proofErr w:type="spellStart"/>
            <w:r>
              <w:rPr>
                <w:sz w:val="20"/>
                <w:szCs w:val="20"/>
                <w:lang w:eastAsia="en-AU"/>
              </w:rPr>
              <w:t>haemovigilance</w:t>
            </w:r>
            <w:proofErr w:type="spellEnd"/>
            <w:r>
              <w:rPr>
                <w:sz w:val="20"/>
                <w:szCs w:val="20"/>
                <w:lang w:eastAsia="en-AU"/>
              </w:rPr>
              <w:t xml:space="preserve"> reporting</w:t>
            </w:r>
          </w:p>
          <w:p w:rsidR="006F39F9" w:rsidRDefault="006F39F9" w:rsidP="00C7431F">
            <w:pPr>
              <w:spacing w:after="0"/>
              <w:rPr>
                <w:sz w:val="20"/>
                <w:szCs w:val="20"/>
                <w:lang w:eastAsia="en-AU"/>
              </w:rPr>
            </w:pPr>
          </w:p>
          <w:p w:rsidR="006F39F9" w:rsidRPr="00EA5B29" w:rsidRDefault="006F39F9" w:rsidP="00C7431F">
            <w:pPr>
              <w:spacing w:after="0"/>
              <w:rPr>
                <w:sz w:val="20"/>
                <w:szCs w:val="20"/>
                <w:lang w:eastAsia="en-AU"/>
              </w:rPr>
            </w:pPr>
            <w:r w:rsidRPr="00E04199">
              <w:rPr>
                <w:sz w:val="20"/>
                <w:szCs w:val="20"/>
                <w:lang w:eastAsia="en-AU"/>
              </w:rPr>
              <w:t xml:space="preserve">NBA to inform </w:t>
            </w:r>
            <w:r w:rsidR="00FF7E81">
              <w:rPr>
                <w:sz w:val="20"/>
                <w:szCs w:val="20"/>
                <w:lang w:eastAsia="en-AU"/>
              </w:rPr>
              <w:t>health service providers</w:t>
            </w:r>
            <w:r w:rsidRPr="00E04199">
              <w:rPr>
                <w:sz w:val="20"/>
                <w:szCs w:val="20"/>
                <w:lang w:eastAsia="en-AU"/>
              </w:rPr>
              <w:t xml:space="preserve"> on the availability and use of tools</w:t>
            </w:r>
          </w:p>
        </w:tc>
        <w:tc>
          <w:tcPr>
            <w:tcW w:w="2559" w:type="dxa"/>
            <w:shd w:val="clear" w:color="auto" w:fill="D9D9D9" w:themeFill="background1" w:themeFillShade="D9"/>
            <w:hideMark/>
          </w:tcPr>
          <w:p w:rsidR="006F39F9" w:rsidRDefault="006F39F9" w:rsidP="00C7431F">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The following tools </w:t>
            </w:r>
            <w:r w:rsidR="00252D67">
              <w:rPr>
                <w:rFonts w:asciiTheme="minorHAnsi" w:eastAsia="Times New Roman" w:hAnsiTheme="minorHAnsi" w:cstheme="minorHAnsi"/>
                <w:sz w:val="20"/>
                <w:szCs w:val="20"/>
                <w:lang w:eastAsia="en-AU"/>
              </w:rPr>
              <w:t xml:space="preserve">have been or </w:t>
            </w:r>
            <w:r w:rsidR="00D43070">
              <w:rPr>
                <w:rFonts w:asciiTheme="minorHAnsi" w:eastAsia="Times New Roman" w:hAnsiTheme="minorHAnsi" w:cstheme="minorHAnsi"/>
                <w:sz w:val="20"/>
                <w:szCs w:val="20"/>
                <w:lang w:eastAsia="en-AU"/>
              </w:rPr>
              <w:t xml:space="preserve">will </w:t>
            </w:r>
            <w:r>
              <w:rPr>
                <w:rFonts w:asciiTheme="minorHAnsi" w:eastAsia="Times New Roman" w:hAnsiTheme="minorHAnsi" w:cstheme="minorHAnsi"/>
                <w:sz w:val="20"/>
                <w:szCs w:val="20"/>
                <w:lang w:eastAsia="en-AU"/>
              </w:rPr>
              <w:t xml:space="preserve">be developed or published in </w:t>
            </w:r>
            <w:r w:rsidRPr="00872487">
              <w:rPr>
                <w:rFonts w:asciiTheme="minorHAnsi" w:eastAsia="Times New Roman" w:hAnsiTheme="minorHAnsi" w:cstheme="minorHAnsi"/>
                <w:sz w:val="20"/>
                <w:szCs w:val="20"/>
                <w:lang w:eastAsia="en-AU"/>
              </w:rPr>
              <w:t>201</w:t>
            </w:r>
            <w:r>
              <w:rPr>
                <w:rFonts w:asciiTheme="minorHAnsi" w:eastAsia="Times New Roman" w:hAnsiTheme="minorHAnsi" w:cstheme="minorHAnsi"/>
                <w:sz w:val="20"/>
                <w:szCs w:val="20"/>
                <w:lang w:eastAsia="en-AU"/>
              </w:rPr>
              <w:t>5</w:t>
            </w:r>
            <w:r w:rsidRPr="00FF1D02">
              <w:rPr>
                <w:rFonts w:asciiTheme="minorHAnsi" w:eastAsia="Times New Roman" w:hAnsiTheme="minorHAnsi" w:cstheme="minorHAnsi"/>
                <w:sz w:val="20"/>
                <w:szCs w:val="20"/>
                <w:lang w:eastAsia="en-AU"/>
              </w:rPr>
              <w:t>–</w:t>
            </w:r>
            <w:r w:rsidRPr="00872487">
              <w:rPr>
                <w:rFonts w:asciiTheme="minorHAnsi" w:eastAsia="Times New Roman" w:hAnsiTheme="minorHAnsi" w:cstheme="minorHAnsi"/>
                <w:sz w:val="20"/>
                <w:szCs w:val="20"/>
                <w:lang w:eastAsia="en-AU"/>
              </w:rPr>
              <w:t>1</w:t>
            </w:r>
            <w:r>
              <w:rPr>
                <w:rFonts w:asciiTheme="minorHAnsi" w:eastAsia="Times New Roman" w:hAnsiTheme="minorHAnsi" w:cstheme="minorHAnsi"/>
                <w:sz w:val="20"/>
                <w:szCs w:val="20"/>
                <w:lang w:eastAsia="en-AU"/>
              </w:rPr>
              <w:t>7:</w:t>
            </w:r>
          </w:p>
          <w:p w:rsidR="006F39F9" w:rsidRDefault="006F39F9" w:rsidP="000C2CF0">
            <w:pPr>
              <w:pStyle w:val="ListParagraph"/>
              <w:numPr>
                <w:ilvl w:val="0"/>
                <w:numId w:val="48"/>
              </w:numPr>
              <w:spacing w:after="0"/>
              <w:ind w:left="183" w:hanging="183"/>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AHMDS and guidance</w:t>
            </w:r>
          </w:p>
          <w:p w:rsidR="006F39F9" w:rsidRDefault="006F39F9" w:rsidP="000C2CF0">
            <w:pPr>
              <w:pStyle w:val="ListParagraph"/>
              <w:numPr>
                <w:ilvl w:val="0"/>
                <w:numId w:val="48"/>
              </w:numPr>
              <w:spacing w:after="0"/>
              <w:ind w:left="183" w:hanging="183"/>
              <w:rPr>
                <w:rFonts w:asciiTheme="minorHAnsi" w:eastAsia="Times New Roman" w:hAnsiTheme="minorHAnsi" w:cstheme="minorHAnsi"/>
                <w:sz w:val="20"/>
                <w:szCs w:val="20"/>
                <w:lang w:eastAsia="en-AU"/>
              </w:rPr>
            </w:pPr>
            <w:proofErr w:type="spellStart"/>
            <w:r w:rsidRPr="00E04199">
              <w:rPr>
                <w:rFonts w:asciiTheme="minorHAnsi" w:eastAsia="Times New Roman" w:hAnsiTheme="minorHAnsi" w:cstheme="minorHAnsi"/>
                <w:sz w:val="20"/>
                <w:szCs w:val="20"/>
                <w:lang w:eastAsia="en-AU"/>
              </w:rPr>
              <w:t>Haemovigilance</w:t>
            </w:r>
            <w:proofErr w:type="spellEnd"/>
            <w:r w:rsidRPr="00E04199">
              <w:rPr>
                <w:rFonts w:asciiTheme="minorHAnsi" w:eastAsia="Times New Roman" w:hAnsiTheme="minorHAnsi" w:cstheme="minorHAnsi"/>
                <w:sz w:val="20"/>
                <w:szCs w:val="20"/>
                <w:lang w:eastAsia="en-AU"/>
              </w:rPr>
              <w:t xml:space="preserve"> data collection forms and guidance</w:t>
            </w:r>
          </w:p>
          <w:p w:rsidR="006F39F9" w:rsidRDefault="006F39F9" w:rsidP="000C2CF0">
            <w:pPr>
              <w:pStyle w:val="ListParagraph"/>
              <w:numPr>
                <w:ilvl w:val="0"/>
                <w:numId w:val="48"/>
              </w:numPr>
              <w:spacing w:after="0"/>
              <w:ind w:left="183" w:hanging="183"/>
              <w:rPr>
                <w:rFonts w:asciiTheme="minorHAnsi" w:eastAsia="Times New Roman" w:hAnsiTheme="minorHAnsi" w:cstheme="minorHAnsi"/>
                <w:sz w:val="20"/>
                <w:szCs w:val="20"/>
                <w:lang w:eastAsia="en-AU"/>
              </w:rPr>
            </w:pPr>
            <w:r w:rsidRPr="00E04199">
              <w:rPr>
                <w:rFonts w:asciiTheme="minorHAnsi" w:eastAsia="Times New Roman" w:hAnsiTheme="minorHAnsi" w:cstheme="minorHAnsi"/>
                <w:sz w:val="20"/>
                <w:szCs w:val="20"/>
                <w:lang w:eastAsia="en-AU"/>
              </w:rPr>
              <w:t>Clinical audit tools</w:t>
            </w:r>
          </w:p>
          <w:p w:rsidR="006F39F9" w:rsidRDefault="006F39F9" w:rsidP="000C2CF0">
            <w:pPr>
              <w:pStyle w:val="ListParagraph"/>
              <w:numPr>
                <w:ilvl w:val="0"/>
                <w:numId w:val="48"/>
              </w:numPr>
              <w:spacing w:after="0"/>
              <w:ind w:left="183" w:hanging="183"/>
              <w:rPr>
                <w:rFonts w:asciiTheme="minorHAnsi" w:eastAsia="Times New Roman" w:hAnsiTheme="minorHAnsi" w:cstheme="minorHAnsi"/>
                <w:sz w:val="20"/>
                <w:szCs w:val="20"/>
                <w:lang w:eastAsia="en-AU"/>
              </w:rPr>
            </w:pPr>
            <w:r w:rsidRPr="00E04199">
              <w:rPr>
                <w:rFonts w:asciiTheme="minorHAnsi" w:eastAsia="Times New Roman" w:hAnsiTheme="minorHAnsi" w:cstheme="minorHAnsi"/>
                <w:sz w:val="20"/>
                <w:szCs w:val="20"/>
                <w:lang w:eastAsia="en-AU"/>
              </w:rPr>
              <w:t>T</w:t>
            </w:r>
            <w:r>
              <w:rPr>
                <w:rFonts w:asciiTheme="minorHAnsi" w:eastAsia="Times New Roman" w:hAnsiTheme="minorHAnsi" w:cstheme="minorHAnsi"/>
                <w:sz w:val="20"/>
                <w:szCs w:val="20"/>
                <w:lang w:eastAsia="en-AU"/>
              </w:rPr>
              <w:t>ransfusion</w:t>
            </w:r>
            <w:r w:rsidR="00D43070">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related case studies</w:t>
            </w:r>
          </w:p>
          <w:p w:rsidR="006F39F9" w:rsidRPr="00E04199" w:rsidRDefault="006F39F9" w:rsidP="000C2CF0">
            <w:pPr>
              <w:pStyle w:val="ListParagraph"/>
              <w:numPr>
                <w:ilvl w:val="0"/>
                <w:numId w:val="48"/>
              </w:numPr>
              <w:spacing w:after="120"/>
              <w:ind w:left="181" w:hanging="181"/>
              <w:contextualSpacing w:val="0"/>
              <w:rPr>
                <w:rFonts w:asciiTheme="minorHAnsi" w:eastAsia="Times New Roman" w:hAnsiTheme="minorHAnsi" w:cstheme="minorHAnsi"/>
                <w:sz w:val="20"/>
                <w:szCs w:val="20"/>
                <w:lang w:eastAsia="en-AU"/>
              </w:rPr>
            </w:pPr>
            <w:r w:rsidRPr="00E04199">
              <w:rPr>
                <w:rFonts w:asciiTheme="minorHAnsi" w:eastAsia="Times New Roman" w:hAnsiTheme="minorHAnsi" w:cstheme="minorHAnsi"/>
                <w:sz w:val="20"/>
                <w:szCs w:val="20"/>
                <w:lang w:eastAsia="en-AU"/>
              </w:rPr>
              <w:t>Education</w:t>
            </w:r>
            <w:r>
              <w:rPr>
                <w:rFonts w:asciiTheme="minorHAnsi" w:eastAsia="Times New Roman" w:hAnsiTheme="minorHAnsi" w:cstheme="minorHAnsi"/>
                <w:sz w:val="20"/>
                <w:szCs w:val="20"/>
                <w:lang w:eastAsia="en-AU"/>
              </w:rPr>
              <w:t>al</w:t>
            </w:r>
            <w:r w:rsidRPr="00E04199">
              <w:rPr>
                <w:rFonts w:asciiTheme="minorHAnsi" w:eastAsia="Times New Roman" w:hAnsiTheme="minorHAnsi" w:cstheme="minorHAnsi"/>
                <w:sz w:val="20"/>
                <w:szCs w:val="20"/>
                <w:lang w:eastAsia="en-AU"/>
              </w:rPr>
              <w:t xml:space="preserve"> and training tools</w:t>
            </w:r>
          </w:p>
          <w:p w:rsidR="006F39F9" w:rsidRPr="00EA5B29" w:rsidRDefault="000C2CF0" w:rsidP="000C2CF0">
            <w:pPr>
              <w:spacing w:after="0"/>
              <w:rPr>
                <w:sz w:val="20"/>
                <w:szCs w:val="20"/>
                <w:lang w:eastAsia="en-AU"/>
              </w:rPr>
            </w:pPr>
            <w:r>
              <w:rPr>
                <w:rFonts w:asciiTheme="minorHAnsi" w:eastAsia="Times New Roman" w:hAnsiTheme="minorHAnsi" w:cstheme="minorHAnsi"/>
                <w:sz w:val="20"/>
                <w:szCs w:val="20"/>
                <w:lang w:eastAsia="en-AU"/>
              </w:rPr>
              <w:t>Increased</w:t>
            </w:r>
            <w:r w:rsidRPr="00EA5B29">
              <w:rPr>
                <w:rFonts w:asciiTheme="minorHAnsi" w:eastAsia="Times New Roman" w:hAnsiTheme="minorHAnsi" w:cstheme="minorHAnsi"/>
                <w:sz w:val="20"/>
                <w:szCs w:val="20"/>
                <w:lang w:eastAsia="en-AU"/>
              </w:rPr>
              <w:t xml:space="preserve"> </w:t>
            </w:r>
            <w:r w:rsidR="006F39F9" w:rsidRPr="00EA5B29">
              <w:rPr>
                <w:rFonts w:asciiTheme="minorHAnsi" w:eastAsia="Times New Roman" w:hAnsiTheme="minorHAnsi" w:cstheme="minorHAnsi"/>
                <w:sz w:val="20"/>
                <w:szCs w:val="20"/>
                <w:lang w:eastAsia="en-AU"/>
              </w:rPr>
              <w:t xml:space="preserve">number of public and private facilities submitting data to </w:t>
            </w:r>
            <w:r w:rsidR="00773683">
              <w:rPr>
                <w:rFonts w:asciiTheme="minorHAnsi" w:eastAsia="Times New Roman" w:hAnsiTheme="minorHAnsi" w:cstheme="minorHAnsi"/>
                <w:sz w:val="20"/>
                <w:szCs w:val="20"/>
                <w:lang w:eastAsia="en-AU"/>
              </w:rPr>
              <w:t>n</w:t>
            </w:r>
            <w:r w:rsidR="006F39F9" w:rsidRPr="00EA5B29">
              <w:rPr>
                <w:rFonts w:asciiTheme="minorHAnsi" w:eastAsia="Times New Roman" w:hAnsiTheme="minorHAnsi" w:cstheme="minorHAnsi"/>
                <w:sz w:val="20"/>
                <w:szCs w:val="20"/>
                <w:lang w:eastAsia="en-AU"/>
              </w:rPr>
              <w:t xml:space="preserve">ational </w:t>
            </w:r>
            <w:proofErr w:type="spellStart"/>
            <w:r w:rsidR="00773683">
              <w:rPr>
                <w:rFonts w:asciiTheme="minorHAnsi" w:eastAsia="Times New Roman" w:hAnsiTheme="minorHAnsi" w:cstheme="minorHAnsi"/>
                <w:sz w:val="20"/>
                <w:szCs w:val="20"/>
                <w:lang w:eastAsia="en-AU"/>
              </w:rPr>
              <w:t>h</w:t>
            </w:r>
            <w:r w:rsidR="006F39F9" w:rsidRPr="00EA5B29">
              <w:rPr>
                <w:rFonts w:asciiTheme="minorHAnsi" w:eastAsia="Times New Roman" w:hAnsiTheme="minorHAnsi" w:cstheme="minorHAnsi"/>
                <w:sz w:val="20"/>
                <w:szCs w:val="20"/>
                <w:lang w:eastAsia="en-AU"/>
              </w:rPr>
              <w:t>aemovigilance</w:t>
            </w:r>
            <w:proofErr w:type="spellEnd"/>
            <w:r w:rsidR="006F39F9" w:rsidRPr="00EA5B29">
              <w:rPr>
                <w:rFonts w:asciiTheme="minorHAnsi" w:eastAsia="Times New Roman" w:hAnsiTheme="minorHAnsi" w:cstheme="minorHAnsi"/>
                <w:sz w:val="20"/>
                <w:szCs w:val="20"/>
                <w:lang w:eastAsia="en-AU"/>
              </w:rPr>
              <w:t xml:space="preserve"> </w:t>
            </w:r>
            <w:r w:rsidR="00773683">
              <w:rPr>
                <w:rFonts w:asciiTheme="minorHAnsi" w:eastAsia="Times New Roman" w:hAnsiTheme="minorHAnsi" w:cstheme="minorHAnsi"/>
                <w:sz w:val="20"/>
                <w:szCs w:val="20"/>
                <w:lang w:eastAsia="en-AU"/>
              </w:rPr>
              <w:t>p</w:t>
            </w:r>
            <w:r w:rsidR="006F39F9" w:rsidRPr="00EA5B29">
              <w:rPr>
                <w:rFonts w:asciiTheme="minorHAnsi" w:eastAsia="Times New Roman" w:hAnsiTheme="minorHAnsi" w:cstheme="minorHAnsi"/>
                <w:sz w:val="20"/>
                <w:szCs w:val="20"/>
                <w:lang w:eastAsia="en-AU"/>
              </w:rPr>
              <w:t>rogram</w:t>
            </w:r>
          </w:p>
        </w:tc>
      </w:tr>
      <w:tr w:rsidR="006F39F9" w:rsidRPr="00EA5B29" w:rsidTr="006F39F9">
        <w:tc>
          <w:tcPr>
            <w:tcW w:w="419" w:type="dxa"/>
            <w:shd w:val="clear" w:color="auto" w:fill="FFFFFF" w:themeFill="background1"/>
            <w:hideMark/>
          </w:tcPr>
          <w:p w:rsidR="006F39F9" w:rsidRPr="00EA5B29" w:rsidRDefault="006F39F9" w:rsidP="00C7431F">
            <w:pPr>
              <w:spacing w:line="276" w:lineRule="auto"/>
              <w:rPr>
                <w:sz w:val="20"/>
                <w:szCs w:val="20"/>
                <w:lang w:eastAsia="en-AU"/>
              </w:rPr>
            </w:pPr>
            <w:r>
              <w:rPr>
                <w:sz w:val="20"/>
                <w:szCs w:val="20"/>
                <w:lang w:eastAsia="en-AU"/>
              </w:rPr>
              <w:lastRenderedPageBreak/>
              <w:t>8</w:t>
            </w:r>
          </w:p>
        </w:tc>
        <w:tc>
          <w:tcPr>
            <w:tcW w:w="1984" w:type="dxa"/>
            <w:shd w:val="clear" w:color="auto" w:fill="FFFFFF" w:themeFill="background1"/>
            <w:hideMark/>
          </w:tcPr>
          <w:p w:rsidR="006F39F9" w:rsidRPr="00EA5B29" w:rsidRDefault="006F39F9" w:rsidP="00C7431F">
            <w:pPr>
              <w:spacing w:after="0"/>
              <w:rPr>
                <w:sz w:val="20"/>
                <w:szCs w:val="20"/>
                <w:lang w:eastAsia="en-AU"/>
              </w:rPr>
            </w:pPr>
            <w:r w:rsidRPr="00EA5B29">
              <w:rPr>
                <w:sz w:val="20"/>
                <w:szCs w:val="20"/>
                <w:lang w:eastAsia="en-AU"/>
              </w:rPr>
              <w:t xml:space="preserve">Continue to include donor vigilance data in national </w:t>
            </w:r>
            <w:proofErr w:type="spellStart"/>
            <w:r w:rsidRPr="00EA5B29">
              <w:rPr>
                <w:sz w:val="20"/>
                <w:szCs w:val="20"/>
                <w:lang w:eastAsia="en-AU"/>
              </w:rPr>
              <w:t>haemovigilance</w:t>
            </w:r>
            <w:proofErr w:type="spellEnd"/>
            <w:r w:rsidRPr="00EA5B29">
              <w:rPr>
                <w:sz w:val="20"/>
                <w:szCs w:val="20"/>
                <w:lang w:eastAsia="en-AU"/>
              </w:rPr>
              <w:t xml:space="preserve"> reporting</w:t>
            </w:r>
          </w:p>
        </w:tc>
        <w:tc>
          <w:tcPr>
            <w:tcW w:w="1701" w:type="dxa"/>
            <w:shd w:val="clear" w:color="auto" w:fill="D9D9D9" w:themeFill="background1" w:themeFillShade="D9"/>
            <w:hideMark/>
          </w:tcPr>
          <w:p w:rsidR="006F39F9" w:rsidRPr="00EA5B29" w:rsidRDefault="006F39F9" w:rsidP="00C7431F">
            <w:pPr>
              <w:spacing w:after="0"/>
              <w:rPr>
                <w:sz w:val="20"/>
                <w:szCs w:val="20"/>
                <w:lang w:eastAsia="en-AU"/>
              </w:rPr>
            </w:pPr>
            <w:r>
              <w:rPr>
                <w:sz w:val="20"/>
                <w:szCs w:val="20"/>
                <w:lang w:eastAsia="en-AU"/>
              </w:rPr>
              <w:t>Blood Service; NBA</w:t>
            </w:r>
          </w:p>
        </w:tc>
        <w:tc>
          <w:tcPr>
            <w:tcW w:w="2551" w:type="dxa"/>
            <w:shd w:val="clear" w:color="auto" w:fill="FFFFFF" w:themeFill="background1"/>
            <w:hideMark/>
          </w:tcPr>
          <w:p w:rsidR="006F39F9" w:rsidRPr="00EA5B29" w:rsidRDefault="006F39F9" w:rsidP="00C7431F">
            <w:pPr>
              <w:spacing w:after="0"/>
              <w:rPr>
                <w:rFonts w:asciiTheme="minorHAnsi" w:hAnsiTheme="minorHAnsi" w:cstheme="minorHAnsi"/>
                <w:sz w:val="20"/>
                <w:szCs w:val="20"/>
                <w:lang w:eastAsia="en-AU"/>
              </w:rPr>
            </w:pPr>
            <w:r w:rsidRPr="00EA5B29">
              <w:rPr>
                <w:rFonts w:asciiTheme="minorHAnsi" w:hAnsiTheme="minorHAnsi" w:cstheme="minorHAnsi"/>
                <w:sz w:val="20"/>
                <w:szCs w:val="20"/>
                <w:lang w:eastAsia="en-AU"/>
              </w:rPr>
              <w:t>Blood Service to conti</w:t>
            </w:r>
            <w:r>
              <w:rPr>
                <w:rFonts w:asciiTheme="minorHAnsi" w:hAnsiTheme="minorHAnsi" w:cstheme="minorHAnsi"/>
                <w:sz w:val="20"/>
                <w:szCs w:val="20"/>
                <w:lang w:eastAsia="en-AU"/>
              </w:rPr>
              <w:t xml:space="preserve">nue to improve the transparency of </w:t>
            </w:r>
            <w:r w:rsidRPr="00EA5B29">
              <w:rPr>
                <w:rFonts w:asciiTheme="minorHAnsi" w:hAnsiTheme="minorHAnsi" w:cstheme="minorHAnsi"/>
                <w:sz w:val="20"/>
                <w:szCs w:val="20"/>
                <w:lang w:eastAsia="en-AU"/>
              </w:rPr>
              <w:t>donor vigilance data</w:t>
            </w:r>
          </w:p>
        </w:tc>
        <w:tc>
          <w:tcPr>
            <w:tcW w:w="2559" w:type="dxa"/>
            <w:shd w:val="clear" w:color="auto" w:fill="D9D9D9" w:themeFill="background1" w:themeFillShade="D9"/>
            <w:hideMark/>
          </w:tcPr>
          <w:p w:rsidR="006F39F9" w:rsidRPr="00EA5B29" w:rsidRDefault="006F39F9" w:rsidP="00C7431F">
            <w:pPr>
              <w:spacing w:after="0"/>
              <w:rPr>
                <w:rFonts w:asciiTheme="minorHAnsi" w:eastAsia="Times New Roman" w:hAnsiTheme="minorHAnsi" w:cstheme="minorHAnsi"/>
                <w:sz w:val="20"/>
                <w:szCs w:val="20"/>
                <w:lang w:eastAsia="en-AU"/>
              </w:rPr>
            </w:pPr>
            <w:r w:rsidRPr="00EA5B29">
              <w:rPr>
                <w:rFonts w:asciiTheme="minorHAnsi" w:eastAsia="Times New Roman" w:hAnsiTheme="minorHAnsi" w:cstheme="minorHAnsi"/>
                <w:sz w:val="20"/>
                <w:szCs w:val="20"/>
                <w:lang w:eastAsia="en-AU"/>
              </w:rPr>
              <w:t xml:space="preserve">Donor vigilance data included in future national </w:t>
            </w:r>
            <w:proofErr w:type="spellStart"/>
            <w:r w:rsidRPr="00EA5B29">
              <w:rPr>
                <w:rFonts w:asciiTheme="minorHAnsi" w:eastAsia="Times New Roman" w:hAnsiTheme="minorHAnsi" w:cstheme="minorHAnsi"/>
                <w:sz w:val="20"/>
                <w:szCs w:val="20"/>
                <w:lang w:eastAsia="en-AU"/>
              </w:rPr>
              <w:t>haemovigilance</w:t>
            </w:r>
            <w:proofErr w:type="spellEnd"/>
            <w:r w:rsidRPr="00EA5B29">
              <w:rPr>
                <w:rFonts w:asciiTheme="minorHAnsi" w:eastAsia="Times New Roman" w:hAnsiTheme="minorHAnsi" w:cstheme="minorHAnsi"/>
                <w:sz w:val="20"/>
                <w:szCs w:val="20"/>
                <w:lang w:eastAsia="en-AU"/>
              </w:rPr>
              <w:t xml:space="preserve"> reports</w:t>
            </w:r>
          </w:p>
          <w:p w:rsidR="00D43070" w:rsidRDefault="00D43070" w:rsidP="00C7431F">
            <w:pPr>
              <w:spacing w:after="0"/>
              <w:rPr>
                <w:rFonts w:asciiTheme="minorHAnsi" w:eastAsia="Times New Roman" w:hAnsiTheme="minorHAnsi" w:cstheme="minorHAnsi"/>
                <w:sz w:val="20"/>
                <w:szCs w:val="20"/>
                <w:lang w:eastAsia="en-AU"/>
              </w:rPr>
            </w:pPr>
          </w:p>
          <w:p w:rsidR="006F39F9" w:rsidRPr="00EA5B29" w:rsidRDefault="006F39F9" w:rsidP="00C7431F">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The </w:t>
            </w:r>
            <w:r w:rsidRPr="00EA5B29">
              <w:rPr>
                <w:rFonts w:asciiTheme="minorHAnsi" w:eastAsia="Times New Roman" w:hAnsiTheme="minorHAnsi" w:cstheme="minorHAnsi"/>
                <w:sz w:val="20"/>
                <w:szCs w:val="20"/>
                <w:lang w:eastAsia="en-AU"/>
              </w:rPr>
              <w:t xml:space="preserve">Blood Service </w:t>
            </w:r>
            <w:r w:rsidR="00D43070">
              <w:rPr>
                <w:rFonts w:asciiTheme="minorHAnsi" w:eastAsia="Times New Roman" w:hAnsiTheme="minorHAnsi" w:cstheme="minorHAnsi"/>
                <w:sz w:val="20"/>
                <w:szCs w:val="20"/>
                <w:lang w:eastAsia="en-AU"/>
              </w:rPr>
              <w:t xml:space="preserve">will </w:t>
            </w:r>
            <w:r w:rsidRPr="00EA5B29">
              <w:rPr>
                <w:rFonts w:asciiTheme="minorHAnsi" w:eastAsia="Times New Roman" w:hAnsiTheme="minorHAnsi" w:cstheme="minorHAnsi"/>
                <w:sz w:val="20"/>
                <w:szCs w:val="20"/>
                <w:lang w:eastAsia="en-AU"/>
              </w:rPr>
              <w:t>publish and report on donor vigilance data regularly</w:t>
            </w:r>
          </w:p>
        </w:tc>
      </w:tr>
      <w:tr w:rsidR="006F39F9" w:rsidRPr="00EA5B29" w:rsidTr="006F39F9">
        <w:tc>
          <w:tcPr>
            <w:tcW w:w="419" w:type="dxa"/>
            <w:shd w:val="clear" w:color="auto" w:fill="FFFFFF" w:themeFill="background1"/>
          </w:tcPr>
          <w:p w:rsidR="006F39F9" w:rsidRDefault="006F39F9" w:rsidP="00C7431F">
            <w:pPr>
              <w:spacing w:line="276" w:lineRule="auto"/>
              <w:rPr>
                <w:sz w:val="20"/>
                <w:szCs w:val="20"/>
                <w:lang w:eastAsia="en-AU"/>
              </w:rPr>
            </w:pPr>
            <w:r>
              <w:rPr>
                <w:sz w:val="20"/>
                <w:szCs w:val="20"/>
                <w:lang w:eastAsia="en-AU"/>
              </w:rPr>
              <w:t>9</w:t>
            </w:r>
          </w:p>
        </w:tc>
        <w:tc>
          <w:tcPr>
            <w:tcW w:w="1984" w:type="dxa"/>
            <w:shd w:val="clear" w:color="auto" w:fill="FFFFFF" w:themeFill="background1"/>
          </w:tcPr>
          <w:p w:rsidR="006F39F9" w:rsidRPr="00B75A22" w:rsidRDefault="003F166E" w:rsidP="003F166E">
            <w:pPr>
              <w:spacing w:after="0"/>
              <w:rPr>
                <w:sz w:val="20"/>
                <w:szCs w:val="20"/>
                <w:lang w:eastAsia="en-AU"/>
              </w:rPr>
            </w:pPr>
            <w:r>
              <w:rPr>
                <w:sz w:val="20"/>
                <w:szCs w:val="20"/>
                <w:lang w:eastAsia="en-AU"/>
              </w:rPr>
              <w:t>Consider i</w:t>
            </w:r>
            <w:r w:rsidR="006F39F9" w:rsidRPr="00B75A22">
              <w:rPr>
                <w:sz w:val="20"/>
                <w:szCs w:val="20"/>
                <w:lang w:eastAsia="en-AU"/>
              </w:rPr>
              <w:t>nclud</w:t>
            </w:r>
            <w:r>
              <w:rPr>
                <w:sz w:val="20"/>
                <w:szCs w:val="20"/>
                <w:lang w:eastAsia="en-AU"/>
              </w:rPr>
              <w:t>ing</w:t>
            </w:r>
            <w:r w:rsidR="006F39F9" w:rsidRPr="00B75A22">
              <w:rPr>
                <w:sz w:val="20"/>
                <w:szCs w:val="20"/>
                <w:lang w:eastAsia="en-AU"/>
              </w:rPr>
              <w:t xml:space="preserve"> near misses in national </w:t>
            </w:r>
            <w:proofErr w:type="spellStart"/>
            <w:r w:rsidR="006F39F9" w:rsidRPr="00B75A22">
              <w:rPr>
                <w:sz w:val="20"/>
                <w:szCs w:val="20"/>
                <w:lang w:eastAsia="en-AU"/>
              </w:rPr>
              <w:t>haemovigilance</w:t>
            </w:r>
            <w:proofErr w:type="spellEnd"/>
            <w:r w:rsidR="006F39F9" w:rsidRPr="00B75A22">
              <w:rPr>
                <w:sz w:val="20"/>
                <w:szCs w:val="20"/>
                <w:lang w:eastAsia="en-AU"/>
              </w:rPr>
              <w:t xml:space="preserve"> reporting</w:t>
            </w:r>
          </w:p>
        </w:tc>
        <w:tc>
          <w:tcPr>
            <w:tcW w:w="1701" w:type="dxa"/>
            <w:shd w:val="clear" w:color="auto" w:fill="D9D9D9" w:themeFill="background1" w:themeFillShade="D9"/>
          </w:tcPr>
          <w:p w:rsidR="006F39F9" w:rsidRPr="00B75A22" w:rsidRDefault="006F39F9" w:rsidP="00C66864">
            <w:pPr>
              <w:spacing w:after="0"/>
              <w:rPr>
                <w:sz w:val="20"/>
                <w:szCs w:val="20"/>
                <w:lang w:eastAsia="en-AU"/>
              </w:rPr>
            </w:pPr>
            <w:r w:rsidRPr="00B75A22">
              <w:rPr>
                <w:sz w:val="20"/>
                <w:szCs w:val="20"/>
                <w:lang w:eastAsia="en-AU"/>
              </w:rPr>
              <w:t>NBA; HAC;</w:t>
            </w:r>
            <w:r w:rsidR="00D43070">
              <w:rPr>
                <w:sz w:val="20"/>
                <w:szCs w:val="20"/>
                <w:lang w:eastAsia="en-AU"/>
              </w:rPr>
              <w:t xml:space="preserve"> </w:t>
            </w:r>
            <w:r>
              <w:rPr>
                <w:sz w:val="20"/>
                <w:szCs w:val="20"/>
                <w:lang w:eastAsia="en-AU"/>
              </w:rPr>
              <w:t xml:space="preserve">JBC; </w:t>
            </w:r>
            <w:r w:rsidRPr="00B75A22">
              <w:rPr>
                <w:sz w:val="20"/>
                <w:szCs w:val="20"/>
                <w:lang w:eastAsia="en-AU"/>
              </w:rPr>
              <w:t xml:space="preserve">State and territory Quality and Safety Units; </w:t>
            </w:r>
            <w:r w:rsidR="00C66864">
              <w:rPr>
                <w:sz w:val="20"/>
                <w:szCs w:val="20"/>
                <w:lang w:eastAsia="en-AU"/>
              </w:rPr>
              <w:t>h</w:t>
            </w:r>
            <w:r w:rsidR="00FF7E81">
              <w:rPr>
                <w:sz w:val="20"/>
                <w:szCs w:val="20"/>
                <w:lang w:eastAsia="en-AU"/>
              </w:rPr>
              <w:t>ealth service providers</w:t>
            </w:r>
            <w:r w:rsidRPr="00B75A22">
              <w:rPr>
                <w:sz w:val="20"/>
                <w:szCs w:val="20"/>
                <w:lang w:eastAsia="en-AU"/>
              </w:rPr>
              <w:t xml:space="preserve">; state and </w:t>
            </w:r>
            <w:r>
              <w:rPr>
                <w:sz w:val="20"/>
                <w:szCs w:val="20"/>
                <w:lang w:eastAsia="en-AU"/>
              </w:rPr>
              <w:t>territory departments of health</w:t>
            </w:r>
          </w:p>
        </w:tc>
        <w:tc>
          <w:tcPr>
            <w:tcW w:w="2551" w:type="dxa"/>
            <w:shd w:val="clear" w:color="auto" w:fill="FFFFFF" w:themeFill="background1"/>
          </w:tcPr>
          <w:p w:rsidR="006F39F9" w:rsidRPr="00EA5B29" w:rsidRDefault="006F39F9" w:rsidP="00D43070">
            <w:pPr>
              <w:spacing w:after="0"/>
              <w:rPr>
                <w:rFonts w:asciiTheme="minorHAnsi" w:hAnsiTheme="minorHAnsi" w:cstheme="minorHAnsi"/>
                <w:sz w:val="20"/>
                <w:szCs w:val="20"/>
                <w:lang w:eastAsia="en-AU"/>
              </w:rPr>
            </w:pPr>
            <w:r>
              <w:rPr>
                <w:rFonts w:asciiTheme="minorHAnsi" w:hAnsiTheme="minorHAnsi" w:cstheme="minorHAnsi"/>
                <w:sz w:val="20"/>
                <w:szCs w:val="20"/>
                <w:lang w:eastAsia="en-AU"/>
              </w:rPr>
              <w:t>JBC and NBA to provide a transition</w:t>
            </w:r>
            <w:r>
              <w:t xml:space="preserve"> </w:t>
            </w:r>
            <w:r>
              <w:rPr>
                <w:rFonts w:asciiTheme="minorHAnsi" w:hAnsiTheme="minorHAnsi" w:cstheme="minorHAnsi"/>
                <w:sz w:val="20"/>
                <w:szCs w:val="20"/>
                <w:lang w:eastAsia="en-AU"/>
              </w:rPr>
              <w:t xml:space="preserve">timetable to collect and include near misses for </w:t>
            </w:r>
            <w:r w:rsidRPr="00B75A22">
              <w:rPr>
                <w:rFonts w:asciiTheme="minorHAnsi" w:hAnsiTheme="minorHAnsi" w:cstheme="minorHAnsi"/>
                <w:sz w:val="20"/>
                <w:szCs w:val="20"/>
                <w:lang w:eastAsia="en-AU"/>
              </w:rPr>
              <w:t>national reporting</w:t>
            </w:r>
            <w:r w:rsidR="00075606">
              <w:rPr>
                <w:rFonts w:asciiTheme="minorHAnsi" w:hAnsiTheme="minorHAnsi" w:cstheme="minorHAnsi"/>
                <w:sz w:val="20"/>
                <w:szCs w:val="20"/>
                <w:lang w:eastAsia="en-AU"/>
              </w:rPr>
              <w:t xml:space="preserve"> and AHMDS</w:t>
            </w:r>
          </w:p>
        </w:tc>
        <w:tc>
          <w:tcPr>
            <w:tcW w:w="2559" w:type="dxa"/>
            <w:shd w:val="clear" w:color="auto" w:fill="D9D9D9" w:themeFill="background1" w:themeFillShade="D9"/>
          </w:tcPr>
          <w:p w:rsidR="006F39F9" w:rsidRDefault="006F39F9" w:rsidP="00D43070">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Near</w:t>
            </w:r>
            <w:r w:rsidR="00D43070">
              <w:rPr>
                <w:rFonts w:asciiTheme="minorHAnsi" w:eastAsia="Times New Roman" w:hAnsiTheme="minorHAnsi" w:cstheme="minorHAnsi"/>
                <w:sz w:val="20"/>
                <w:szCs w:val="20"/>
                <w:lang w:eastAsia="en-AU"/>
              </w:rPr>
              <w:t>-</w:t>
            </w:r>
            <w:r>
              <w:rPr>
                <w:rFonts w:asciiTheme="minorHAnsi" w:eastAsia="Times New Roman" w:hAnsiTheme="minorHAnsi" w:cstheme="minorHAnsi"/>
                <w:sz w:val="20"/>
                <w:szCs w:val="20"/>
                <w:lang w:eastAsia="en-AU"/>
              </w:rPr>
              <w:t xml:space="preserve">miss data included in future national </w:t>
            </w:r>
            <w:proofErr w:type="spellStart"/>
            <w:r>
              <w:rPr>
                <w:rFonts w:asciiTheme="minorHAnsi" w:eastAsia="Times New Roman" w:hAnsiTheme="minorHAnsi" w:cstheme="minorHAnsi"/>
                <w:sz w:val="20"/>
                <w:szCs w:val="20"/>
                <w:lang w:eastAsia="en-AU"/>
              </w:rPr>
              <w:t>haemovigilance</w:t>
            </w:r>
            <w:proofErr w:type="spellEnd"/>
            <w:r>
              <w:rPr>
                <w:rFonts w:asciiTheme="minorHAnsi" w:eastAsia="Times New Roman" w:hAnsiTheme="minorHAnsi" w:cstheme="minorHAnsi"/>
                <w:sz w:val="20"/>
                <w:szCs w:val="20"/>
                <w:lang w:eastAsia="en-AU"/>
              </w:rPr>
              <w:t xml:space="preserve"> reports</w:t>
            </w:r>
          </w:p>
          <w:p w:rsidR="00075606" w:rsidRPr="00EA5B29" w:rsidRDefault="00075606" w:rsidP="00D43070">
            <w:pPr>
              <w:spacing w:after="0"/>
              <w:rPr>
                <w:rFonts w:asciiTheme="minorHAnsi" w:eastAsia="Times New Roman" w:hAnsiTheme="minorHAnsi" w:cstheme="minorHAnsi"/>
                <w:sz w:val="20"/>
                <w:szCs w:val="20"/>
                <w:lang w:eastAsia="en-AU"/>
              </w:rPr>
            </w:pPr>
          </w:p>
        </w:tc>
      </w:tr>
      <w:tr w:rsidR="006F39F9" w:rsidRPr="00EA5B29" w:rsidTr="006F39F9">
        <w:tc>
          <w:tcPr>
            <w:tcW w:w="419" w:type="dxa"/>
            <w:shd w:val="clear" w:color="auto" w:fill="FFFFFF" w:themeFill="background1"/>
          </w:tcPr>
          <w:p w:rsidR="006F39F9" w:rsidRPr="00EA5B29" w:rsidRDefault="006F39F9" w:rsidP="00C7431F">
            <w:pPr>
              <w:spacing w:line="276" w:lineRule="auto"/>
              <w:rPr>
                <w:sz w:val="20"/>
                <w:szCs w:val="20"/>
                <w:lang w:eastAsia="en-AU"/>
              </w:rPr>
            </w:pPr>
            <w:r>
              <w:rPr>
                <w:sz w:val="20"/>
                <w:szCs w:val="20"/>
                <w:lang w:eastAsia="en-AU"/>
              </w:rPr>
              <w:t>10</w:t>
            </w:r>
          </w:p>
        </w:tc>
        <w:tc>
          <w:tcPr>
            <w:tcW w:w="1984" w:type="dxa"/>
            <w:shd w:val="clear" w:color="auto" w:fill="FFFFFF" w:themeFill="background1"/>
          </w:tcPr>
          <w:p w:rsidR="006F39F9" w:rsidRPr="00EA5B29" w:rsidRDefault="006F39F9" w:rsidP="00D43070">
            <w:pPr>
              <w:spacing w:after="0"/>
              <w:rPr>
                <w:sz w:val="20"/>
                <w:szCs w:val="20"/>
                <w:lang w:eastAsia="en-AU"/>
              </w:rPr>
            </w:pPr>
            <w:r w:rsidRPr="00B75A22">
              <w:rPr>
                <w:sz w:val="20"/>
                <w:szCs w:val="20"/>
                <w:lang w:eastAsia="en-AU"/>
              </w:rPr>
              <w:t xml:space="preserve">Include relevant data in national </w:t>
            </w:r>
            <w:proofErr w:type="spellStart"/>
            <w:r w:rsidRPr="00B75A22">
              <w:rPr>
                <w:sz w:val="20"/>
                <w:szCs w:val="20"/>
                <w:lang w:eastAsia="en-AU"/>
              </w:rPr>
              <w:t>haemovigilance</w:t>
            </w:r>
            <w:proofErr w:type="spellEnd"/>
            <w:r w:rsidRPr="00B75A22">
              <w:rPr>
                <w:sz w:val="20"/>
                <w:szCs w:val="20"/>
                <w:lang w:eastAsia="en-AU"/>
              </w:rPr>
              <w:t xml:space="preserve"> reporting</w:t>
            </w:r>
          </w:p>
        </w:tc>
        <w:tc>
          <w:tcPr>
            <w:tcW w:w="1701" w:type="dxa"/>
            <w:shd w:val="clear" w:color="auto" w:fill="D9D9D9" w:themeFill="background1" w:themeFillShade="D9"/>
          </w:tcPr>
          <w:p w:rsidR="006F39F9" w:rsidRDefault="006F39F9" w:rsidP="00C66864">
            <w:pPr>
              <w:spacing w:after="0"/>
              <w:rPr>
                <w:sz w:val="20"/>
                <w:szCs w:val="20"/>
                <w:lang w:eastAsia="en-AU"/>
              </w:rPr>
            </w:pPr>
            <w:r w:rsidRPr="00B75A22">
              <w:rPr>
                <w:sz w:val="20"/>
                <w:szCs w:val="20"/>
                <w:lang w:eastAsia="en-AU"/>
              </w:rPr>
              <w:t>NBA; HAC;</w:t>
            </w:r>
            <w:r w:rsidR="00D43070">
              <w:rPr>
                <w:sz w:val="20"/>
                <w:szCs w:val="20"/>
                <w:lang w:eastAsia="en-AU"/>
              </w:rPr>
              <w:t xml:space="preserve"> </w:t>
            </w:r>
            <w:r w:rsidRPr="00B75A22">
              <w:rPr>
                <w:sz w:val="20"/>
                <w:szCs w:val="20"/>
                <w:lang w:eastAsia="en-AU"/>
              </w:rPr>
              <w:t>State and territory Quality and Safety Units;</w:t>
            </w:r>
            <w:r>
              <w:rPr>
                <w:sz w:val="20"/>
                <w:szCs w:val="20"/>
                <w:lang w:eastAsia="en-AU"/>
              </w:rPr>
              <w:t xml:space="preserve"> </w:t>
            </w:r>
            <w:r w:rsidR="00C66864">
              <w:rPr>
                <w:sz w:val="20"/>
                <w:szCs w:val="20"/>
                <w:lang w:eastAsia="en-AU"/>
              </w:rPr>
              <w:t>h</w:t>
            </w:r>
            <w:r w:rsidR="00FF7E81">
              <w:rPr>
                <w:sz w:val="20"/>
                <w:szCs w:val="20"/>
                <w:lang w:eastAsia="en-AU"/>
              </w:rPr>
              <w:t>ealth service providers</w:t>
            </w:r>
            <w:r w:rsidRPr="00B75A22">
              <w:rPr>
                <w:sz w:val="20"/>
                <w:szCs w:val="20"/>
                <w:lang w:eastAsia="en-AU"/>
              </w:rPr>
              <w:t>; state and t</w:t>
            </w:r>
            <w:r>
              <w:rPr>
                <w:sz w:val="20"/>
                <w:szCs w:val="20"/>
                <w:lang w:eastAsia="en-AU"/>
              </w:rPr>
              <w:t>erritory departments of health</w:t>
            </w:r>
          </w:p>
        </w:tc>
        <w:tc>
          <w:tcPr>
            <w:tcW w:w="2551" w:type="dxa"/>
            <w:shd w:val="clear" w:color="auto" w:fill="FFFFFF" w:themeFill="background1"/>
          </w:tcPr>
          <w:p w:rsidR="006F39F9" w:rsidRPr="00EA5B29" w:rsidRDefault="006F39F9" w:rsidP="00D43070">
            <w:pPr>
              <w:spacing w:after="0"/>
              <w:rPr>
                <w:rFonts w:asciiTheme="minorHAnsi" w:hAnsiTheme="minorHAnsi" w:cstheme="minorHAnsi"/>
                <w:sz w:val="20"/>
                <w:szCs w:val="20"/>
                <w:lang w:eastAsia="en-AU"/>
              </w:rPr>
            </w:pPr>
            <w:r w:rsidRPr="008F49AD">
              <w:rPr>
                <w:rFonts w:asciiTheme="minorHAnsi" w:hAnsiTheme="minorHAnsi" w:cstheme="minorHAnsi"/>
                <w:sz w:val="20"/>
                <w:szCs w:val="20"/>
                <w:lang w:eastAsia="en-AU"/>
              </w:rPr>
              <w:t xml:space="preserve">JBC and NBA to provide a transition timetable to </w:t>
            </w:r>
            <w:r>
              <w:rPr>
                <w:rFonts w:asciiTheme="minorHAnsi" w:hAnsiTheme="minorHAnsi" w:cstheme="minorHAnsi"/>
                <w:sz w:val="20"/>
                <w:szCs w:val="20"/>
                <w:lang w:eastAsia="en-AU"/>
              </w:rPr>
              <w:t xml:space="preserve">define and </w:t>
            </w:r>
            <w:r w:rsidRPr="008F49AD">
              <w:rPr>
                <w:rFonts w:asciiTheme="minorHAnsi" w:hAnsiTheme="minorHAnsi" w:cstheme="minorHAnsi"/>
                <w:sz w:val="20"/>
                <w:szCs w:val="20"/>
                <w:lang w:eastAsia="en-AU"/>
              </w:rPr>
              <w:t xml:space="preserve">collect </w:t>
            </w:r>
            <w:r>
              <w:rPr>
                <w:rFonts w:asciiTheme="minorHAnsi" w:hAnsiTheme="minorHAnsi" w:cstheme="minorHAnsi"/>
                <w:sz w:val="20"/>
                <w:szCs w:val="20"/>
                <w:lang w:eastAsia="en-AU"/>
              </w:rPr>
              <w:t xml:space="preserve">relevant data such as </w:t>
            </w:r>
            <w:r w:rsidRPr="0027109D">
              <w:rPr>
                <w:rFonts w:asciiTheme="minorHAnsi" w:hAnsiTheme="minorHAnsi" w:cstheme="minorHAnsi"/>
                <w:sz w:val="20"/>
                <w:szCs w:val="20"/>
                <w:lang w:eastAsia="en-AU"/>
              </w:rPr>
              <w:t xml:space="preserve">Anti-D and Rh </w:t>
            </w:r>
            <w:proofErr w:type="spellStart"/>
            <w:r w:rsidRPr="0027109D">
              <w:rPr>
                <w:rFonts w:asciiTheme="minorHAnsi" w:hAnsiTheme="minorHAnsi" w:cstheme="minorHAnsi"/>
                <w:sz w:val="20"/>
                <w:szCs w:val="20"/>
                <w:lang w:eastAsia="en-AU"/>
              </w:rPr>
              <w:t>alloimmunisation</w:t>
            </w:r>
            <w:proofErr w:type="spellEnd"/>
            <w:r>
              <w:rPr>
                <w:rFonts w:asciiTheme="minorHAnsi" w:hAnsiTheme="minorHAnsi" w:cstheme="minorHAnsi"/>
                <w:sz w:val="20"/>
                <w:szCs w:val="20"/>
                <w:lang w:eastAsia="en-AU"/>
              </w:rPr>
              <w:t xml:space="preserve"> </w:t>
            </w:r>
            <w:r w:rsidRPr="008F49AD">
              <w:rPr>
                <w:rFonts w:asciiTheme="minorHAnsi" w:hAnsiTheme="minorHAnsi" w:cstheme="minorHAnsi"/>
                <w:sz w:val="20"/>
                <w:szCs w:val="20"/>
                <w:lang w:eastAsia="en-AU"/>
              </w:rPr>
              <w:t>data for national reporting</w:t>
            </w:r>
          </w:p>
        </w:tc>
        <w:tc>
          <w:tcPr>
            <w:tcW w:w="2559" w:type="dxa"/>
            <w:shd w:val="clear" w:color="auto" w:fill="D9D9D9" w:themeFill="background1" w:themeFillShade="D9"/>
          </w:tcPr>
          <w:p w:rsidR="006F39F9" w:rsidRPr="00EA5B29" w:rsidRDefault="006F39F9" w:rsidP="00D43070">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Relevant data such as Anti-D defined and included in future</w:t>
            </w:r>
            <w:r>
              <w:t xml:space="preserve"> </w:t>
            </w:r>
            <w:r w:rsidRPr="0027109D">
              <w:rPr>
                <w:rFonts w:asciiTheme="minorHAnsi" w:eastAsia="Times New Roman" w:hAnsiTheme="minorHAnsi" w:cstheme="minorHAnsi"/>
                <w:sz w:val="20"/>
                <w:szCs w:val="20"/>
                <w:lang w:eastAsia="en-AU"/>
              </w:rPr>
              <w:t xml:space="preserve">national </w:t>
            </w:r>
            <w:proofErr w:type="spellStart"/>
            <w:r w:rsidRPr="0027109D">
              <w:rPr>
                <w:rFonts w:asciiTheme="minorHAnsi" w:eastAsia="Times New Roman" w:hAnsiTheme="minorHAnsi" w:cstheme="minorHAnsi"/>
                <w:sz w:val="20"/>
                <w:szCs w:val="20"/>
                <w:lang w:eastAsia="en-AU"/>
              </w:rPr>
              <w:t>haemovigilance</w:t>
            </w:r>
            <w:proofErr w:type="spellEnd"/>
            <w:r w:rsidRPr="0027109D">
              <w:rPr>
                <w:rFonts w:asciiTheme="minorHAnsi" w:eastAsia="Times New Roman" w:hAnsiTheme="minorHAnsi" w:cstheme="minorHAnsi"/>
                <w:sz w:val="20"/>
                <w:szCs w:val="20"/>
                <w:lang w:eastAsia="en-AU"/>
              </w:rPr>
              <w:t xml:space="preserve"> reports</w:t>
            </w:r>
          </w:p>
        </w:tc>
      </w:tr>
    </w:tbl>
    <w:p w:rsidR="006F39F9" w:rsidRDefault="006F39F9" w:rsidP="006F39F9">
      <w:pPr>
        <w:pStyle w:val="Heading2"/>
        <w:rPr>
          <w:lang w:eastAsia="en-AU"/>
        </w:rPr>
      </w:pPr>
      <w:bookmarkStart w:id="204" w:name="_Toc420837265"/>
      <w:bookmarkStart w:id="205" w:name="_Toc459366189"/>
      <w:bookmarkEnd w:id="202"/>
      <w:r>
        <w:rPr>
          <w:lang w:eastAsia="en-AU"/>
        </w:rPr>
        <w:t>Reporting capacity</w:t>
      </w:r>
      <w:bookmarkEnd w:id="204"/>
      <w:bookmarkEnd w:id="205"/>
    </w:p>
    <w:p w:rsidR="006F39F9" w:rsidRDefault="006F39F9" w:rsidP="006F39F9">
      <w:pPr>
        <w:rPr>
          <w:lang w:eastAsia="en-AU"/>
        </w:rPr>
      </w:pPr>
      <w:r>
        <w:rPr>
          <w:lang w:eastAsia="en-AU"/>
        </w:rPr>
        <w:t xml:space="preserve">The mechanisms to collect, record, review and analyse </w:t>
      </w:r>
      <w:proofErr w:type="spellStart"/>
      <w:r>
        <w:rPr>
          <w:lang w:eastAsia="en-AU"/>
        </w:rPr>
        <w:t>haemovigilance</w:t>
      </w:r>
      <w:proofErr w:type="spellEnd"/>
      <w:r>
        <w:rPr>
          <w:lang w:eastAsia="en-AU"/>
        </w:rPr>
        <w:t xml:space="preserve"> data in Australia are fragmented. This allows varied approaches to data definitions and data validation processes, and has seen </w:t>
      </w:r>
      <w:proofErr w:type="spellStart"/>
      <w:r>
        <w:rPr>
          <w:lang w:eastAsia="en-AU"/>
        </w:rPr>
        <w:t>haemovigilance</w:t>
      </w:r>
      <w:proofErr w:type="spellEnd"/>
      <w:r>
        <w:rPr>
          <w:lang w:eastAsia="en-AU"/>
        </w:rPr>
        <w:t xml:space="preserve"> reporting develop at different rates in states and territories.</w:t>
      </w:r>
    </w:p>
    <w:p w:rsidR="006F39F9" w:rsidRDefault="006F39F9" w:rsidP="006F39F9">
      <w:pPr>
        <w:rPr>
          <w:lang w:eastAsia="en-AU"/>
        </w:rPr>
      </w:pPr>
      <w:r>
        <w:rPr>
          <w:lang w:eastAsia="en-AU"/>
        </w:rPr>
        <w:t xml:space="preserve">NBA/HAC and </w:t>
      </w:r>
      <w:r w:rsidR="00252D67">
        <w:rPr>
          <w:lang w:eastAsia="en-AU"/>
        </w:rPr>
        <w:t>s</w:t>
      </w:r>
      <w:r w:rsidRPr="00A45089">
        <w:rPr>
          <w:lang w:eastAsia="en-AU"/>
        </w:rPr>
        <w:t xml:space="preserve">tates and territories </w:t>
      </w:r>
      <w:r>
        <w:rPr>
          <w:lang w:eastAsia="en-AU"/>
        </w:rPr>
        <w:t>continue</w:t>
      </w:r>
      <w:r w:rsidRPr="00A45089">
        <w:rPr>
          <w:lang w:eastAsia="en-AU"/>
        </w:rPr>
        <w:t xml:space="preserve"> to improve capacities for </w:t>
      </w:r>
      <w:proofErr w:type="spellStart"/>
      <w:r w:rsidRPr="00A45089">
        <w:rPr>
          <w:lang w:eastAsia="en-AU"/>
        </w:rPr>
        <w:t>haemovigilance</w:t>
      </w:r>
      <w:proofErr w:type="spellEnd"/>
      <w:r w:rsidRPr="00A45089">
        <w:rPr>
          <w:lang w:eastAsia="en-AU"/>
        </w:rPr>
        <w:t xml:space="preserve"> data reporting</w:t>
      </w:r>
      <w:r>
        <w:rPr>
          <w:lang w:eastAsia="en-AU"/>
        </w:rPr>
        <w:t xml:space="preserve"> after the </w:t>
      </w:r>
      <w:r w:rsidRPr="00872487">
        <w:rPr>
          <w:lang w:eastAsia="en-AU"/>
        </w:rPr>
        <w:t>Strategic Framework for</w:t>
      </w:r>
      <w:r>
        <w:rPr>
          <w:lang w:eastAsia="en-AU"/>
        </w:rPr>
        <w:t xml:space="preserve"> the</w:t>
      </w:r>
      <w:r w:rsidRPr="00872487">
        <w:rPr>
          <w:lang w:eastAsia="en-AU"/>
        </w:rPr>
        <w:t xml:space="preserve"> National </w:t>
      </w:r>
      <w:proofErr w:type="spellStart"/>
      <w:r w:rsidRPr="00872487">
        <w:rPr>
          <w:lang w:eastAsia="en-AU"/>
        </w:rPr>
        <w:t>Haemovigilance</w:t>
      </w:r>
      <w:proofErr w:type="spellEnd"/>
      <w:r w:rsidRPr="00872487">
        <w:rPr>
          <w:lang w:eastAsia="en-AU"/>
        </w:rPr>
        <w:t xml:space="preserve"> Program</w:t>
      </w:r>
      <w:r>
        <w:rPr>
          <w:lang w:eastAsia="en-AU"/>
        </w:rPr>
        <w:t xml:space="preserve"> was endorsed by the JBC and published on the NBA website. The NBA and HAC have developed a Work Plan 2015–17 and will develop a Communication Plan </w:t>
      </w:r>
      <w:r w:rsidRPr="00A45089">
        <w:rPr>
          <w:lang w:eastAsia="en-AU"/>
        </w:rPr>
        <w:t>to support the implementation of the Strategic Framework</w:t>
      </w:r>
      <w:r w:rsidR="00C0360F">
        <w:rPr>
          <w:lang w:eastAsia="en-AU"/>
        </w:rPr>
        <w:t>.</w:t>
      </w:r>
    </w:p>
    <w:p w:rsidR="006F39F9" w:rsidRDefault="006F39F9" w:rsidP="006F39F9">
      <w:pPr>
        <w:pStyle w:val="Caption"/>
      </w:pPr>
      <w:bookmarkStart w:id="206" w:name="_Toc420835700"/>
      <w:bookmarkStart w:id="207" w:name="_Toc459636879"/>
      <w:r>
        <w:t xml:space="preserve">Table </w:t>
      </w:r>
      <w:fldSimple w:instr=" SEQ Table \* ARABIC ">
        <w:r w:rsidR="000010BC">
          <w:rPr>
            <w:noProof/>
          </w:rPr>
          <w:t>39</w:t>
        </w:r>
      </w:fldSimple>
      <w:r>
        <w:t>: Recommendations on reporting capacity</w:t>
      </w:r>
      <w:bookmarkEnd w:id="206"/>
      <w:bookmarkEnd w:id="207"/>
    </w:p>
    <w:tbl>
      <w:tblPr>
        <w:tblW w:w="0" w:type="auto"/>
        <w:tblInd w:w="108" w:type="dxa"/>
        <w:tblBorders>
          <w:bottom w:val="single" w:sz="4" w:space="0" w:color="auto"/>
          <w:insideH w:val="single" w:sz="4" w:space="0" w:color="auto"/>
        </w:tblBorders>
        <w:tblLook w:val="04A0" w:firstRow="1" w:lastRow="0" w:firstColumn="1" w:lastColumn="0" w:noHBand="0" w:noVBand="1"/>
      </w:tblPr>
      <w:tblGrid>
        <w:gridCol w:w="419"/>
        <w:gridCol w:w="1984"/>
        <w:gridCol w:w="1701"/>
        <w:gridCol w:w="2551"/>
        <w:gridCol w:w="2559"/>
      </w:tblGrid>
      <w:tr w:rsidR="006F39F9" w:rsidRPr="00EA5B29" w:rsidTr="006F39F9">
        <w:trPr>
          <w:cantSplit/>
          <w:trHeight w:val="629"/>
          <w:tblHeader/>
        </w:trPr>
        <w:tc>
          <w:tcPr>
            <w:tcW w:w="419" w:type="dxa"/>
            <w:tcBorders>
              <w:bottom w:val="nil"/>
            </w:tcBorders>
            <w:shd w:val="clear" w:color="auto" w:fill="FF0000"/>
            <w:vAlign w:val="center"/>
          </w:tcPr>
          <w:p w:rsidR="006F39F9" w:rsidRPr="00EA5B29" w:rsidRDefault="006F39F9" w:rsidP="00C7431F">
            <w:pPr>
              <w:spacing w:after="0" w:line="276" w:lineRule="auto"/>
              <w:rPr>
                <w:rFonts w:ascii="Arial" w:eastAsia="Times New Roman" w:hAnsi="Arial" w:cs="Times New Roman"/>
                <w:b/>
                <w:color w:val="FFFFFF"/>
                <w:sz w:val="20"/>
                <w:szCs w:val="20"/>
                <w:lang w:eastAsia="en-AU"/>
              </w:rPr>
            </w:pPr>
          </w:p>
        </w:tc>
        <w:tc>
          <w:tcPr>
            <w:tcW w:w="1984" w:type="dxa"/>
            <w:tcBorders>
              <w:bottom w:val="nil"/>
            </w:tcBorders>
            <w:shd w:val="clear" w:color="auto" w:fill="FF0000"/>
            <w:vAlign w:val="center"/>
            <w:hideMark/>
          </w:tcPr>
          <w:p w:rsidR="006F39F9" w:rsidRPr="00EA5B29" w:rsidRDefault="006F39F9" w:rsidP="00C7431F">
            <w:pPr>
              <w:spacing w:after="0" w:line="276" w:lineRule="auto"/>
              <w:rPr>
                <w:b/>
                <w:color w:val="FFFFFF" w:themeColor="background1"/>
                <w:sz w:val="20"/>
                <w:szCs w:val="20"/>
                <w:lang w:eastAsia="en-AU"/>
              </w:rPr>
            </w:pPr>
            <w:r w:rsidRPr="00EA5B29">
              <w:rPr>
                <w:b/>
                <w:color w:val="FFFFFF" w:themeColor="background1"/>
                <w:sz w:val="20"/>
                <w:szCs w:val="20"/>
                <w:lang w:eastAsia="en-AU"/>
              </w:rPr>
              <w:t>Recommendation</w:t>
            </w:r>
          </w:p>
        </w:tc>
        <w:tc>
          <w:tcPr>
            <w:tcW w:w="1701" w:type="dxa"/>
            <w:tcBorders>
              <w:bottom w:val="nil"/>
            </w:tcBorders>
            <w:shd w:val="clear" w:color="auto" w:fill="FF0000"/>
            <w:vAlign w:val="center"/>
            <w:hideMark/>
          </w:tcPr>
          <w:p w:rsidR="006F39F9" w:rsidRPr="00EA5B29" w:rsidRDefault="006F39F9" w:rsidP="00C7431F">
            <w:pPr>
              <w:spacing w:after="0" w:line="276" w:lineRule="auto"/>
              <w:rPr>
                <w:b/>
                <w:color w:val="FFFFFF" w:themeColor="background1"/>
                <w:sz w:val="20"/>
                <w:szCs w:val="20"/>
                <w:lang w:eastAsia="en-AU"/>
              </w:rPr>
            </w:pPr>
            <w:r w:rsidRPr="00EA5B29">
              <w:rPr>
                <w:b/>
                <w:color w:val="FFFFFF" w:themeColor="background1"/>
                <w:sz w:val="20"/>
                <w:szCs w:val="20"/>
                <w:lang w:eastAsia="en-AU"/>
              </w:rPr>
              <w:t>Who is Responsible</w:t>
            </w:r>
          </w:p>
        </w:tc>
        <w:tc>
          <w:tcPr>
            <w:tcW w:w="2551" w:type="dxa"/>
            <w:tcBorders>
              <w:bottom w:val="nil"/>
            </w:tcBorders>
            <w:shd w:val="clear" w:color="auto" w:fill="FF0000"/>
            <w:vAlign w:val="center"/>
            <w:hideMark/>
          </w:tcPr>
          <w:p w:rsidR="006F39F9" w:rsidRPr="00EA5B29" w:rsidRDefault="006F39F9" w:rsidP="00C7431F">
            <w:pPr>
              <w:spacing w:after="0" w:line="276" w:lineRule="auto"/>
              <w:rPr>
                <w:b/>
                <w:color w:val="FFFFFF" w:themeColor="background1"/>
                <w:sz w:val="20"/>
                <w:szCs w:val="20"/>
                <w:lang w:eastAsia="en-AU"/>
              </w:rPr>
            </w:pPr>
            <w:r w:rsidRPr="00EA5B29">
              <w:rPr>
                <w:b/>
                <w:color w:val="FFFFFF" w:themeColor="background1"/>
                <w:sz w:val="20"/>
                <w:szCs w:val="20"/>
                <w:lang w:eastAsia="en-AU"/>
              </w:rPr>
              <w:t>Proposed Strategy</w:t>
            </w:r>
          </w:p>
        </w:tc>
        <w:tc>
          <w:tcPr>
            <w:tcW w:w="2559" w:type="dxa"/>
            <w:tcBorders>
              <w:bottom w:val="nil"/>
            </w:tcBorders>
            <w:shd w:val="clear" w:color="auto" w:fill="FF0000"/>
            <w:vAlign w:val="center"/>
            <w:hideMark/>
          </w:tcPr>
          <w:p w:rsidR="006F39F9" w:rsidRPr="00EA5B29" w:rsidRDefault="006F39F9" w:rsidP="00C7431F">
            <w:pPr>
              <w:spacing w:after="0" w:line="276" w:lineRule="auto"/>
              <w:rPr>
                <w:b/>
                <w:color w:val="FFFFFF" w:themeColor="background1"/>
                <w:sz w:val="20"/>
                <w:szCs w:val="20"/>
                <w:lang w:eastAsia="en-AU"/>
              </w:rPr>
            </w:pPr>
            <w:r w:rsidRPr="00EA5B29">
              <w:rPr>
                <w:b/>
                <w:color w:val="FFFFFF" w:themeColor="background1"/>
                <w:sz w:val="20"/>
                <w:szCs w:val="20"/>
                <w:lang w:eastAsia="en-AU"/>
              </w:rPr>
              <w:t>How that will be measured</w:t>
            </w:r>
          </w:p>
        </w:tc>
      </w:tr>
      <w:tr w:rsidR="006F39F9" w:rsidRPr="00EA5B29" w:rsidTr="006F39F9">
        <w:trPr>
          <w:cantSplit/>
        </w:trPr>
        <w:tc>
          <w:tcPr>
            <w:tcW w:w="419" w:type="dxa"/>
            <w:tcBorders>
              <w:top w:val="nil"/>
            </w:tcBorders>
            <w:shd w:val="clear" w:color="auto" w:fill="FFFFFF" w:themeFill="background1"/>
            <w:hideMark/>
          </w:tcPr>
          <w:p w:rsidR="006F39F9" w:rsidRPr="00EA5B29" w:rsidRDefault="006F39F9" w:rsidP="00C7431F">
            <w:pPr>
              <w:spacing w:line="276" w:lineRule="auto"/>
              <w:rPr>
                <w:sz w:val="20"/>
                <w:szCs w:val="20"/>
                <w:lang w:eastAsia="en-AU"/>
              </w:rPr>
            </w:pPr>
            <w:r>
              <w:rPr>
                <w:sz w:val="20"/>
                <w:szCs w:val="20"/>
                <w:lang w:eastAsia="en-AU"/>
              </w:rPr>
              <w:t>11</w:t>
            </w:r>
          </w:p>
        </w:tc>
        <w:tc>
          <w:tcPr>
            <w:tcW w:w="1984" w:type="dxa"/>
            <w:tcBorders>
              <w:top w:val="nil"/>
            </w:tcBorders>
            <w:shd w:val="clear" w:color="auto" w:fill="FFFFFF" w:themeFill="background1"/>
          </w:tcPr>
          <w:p w:rsidR="006F39F9" w:rsidRPr="00EA5B29" w:rsidRDefault="006F39F9" w:rsidP="00C7431F">
            <w:pPr>
              <w:spacing w:after="0"/>
              <w:rPr>
                <w:sz w:val="20"/>
                <w:szCs w:val="20"/>
                <w:lang w:eastAsia="en-AU"/>
              </w:rPr>
            </w:pPr>
            <w:r>
              <w:rPr>
                <w:sz w:val="20"/>
                <w:szCs w:val="20"/>
              </w:rPr>
              <w:t xml:space="preserve">Implement the Strategic Framework for the National </w:t>
            </w:r>
            <w:proofErr w:type="spellStart"/>
            <w:r>
              <w:rPr>
                <w:sz w:val="20"/>
                <w:szCs w:val="20"/>
              </w:rPr>
              <w:t>Haemovigilance</w:t>
            </w:r>
            <w:proofErr w:type="spellEnd"/>
            <w:r>
              <w:rPr>
                <w:sz w:val="20"/>
                <w:szCs w:val="20"/>
              </w:rPr>
              <w:t xml:space="preserve"> Program</w:t>
            </w:r>
          </w:p>
        </w:tc>
        <w:tc>
          <w:tcPr>
            <w:tcW w:w="1701" w:type="dxa"/>
            <w:tcBorders>
              <w:top w:val="nil"/>
            </w:tcBorders>
            <w:shd w:val="clear" w:color="auto" w:fill="D9D9D9" w:themeFill="background1" w:themeFillShade="D9"/>
            <w:hideMark/>
          </w:tcPr>
          <w:p w:rsidR="006F39F9" w:rsidRPr="00EA5B29" w:rsidRDefault="006F39F9" w:rsidP="00C66864">
            <w:pPr>
              <w:spacing w:after="0"/>
              <w:rPr>
                <w:sz w:val="20"/>
                <w:szCs w:val="20"/>
                <w:lang w:eastAsia="en-AU"/>
              </w:rPr>
            </w:pPr>
            <w:r w:rsidRPr="00EA5B29">
              <w:rPr>
                <w:sz w:val="20"/>
                <w:szCs w:val="20"/>
                <w:lang w:eastAsia="en-AU"/>
              </w:rPr>
              <w:t xml:space="preserve">NBA; HAC; State and territory </w:t>
            </w:r>
            <w:r>
              <w:rPr>
                <w:sz w:val="20"/>
                <w:szCs w:val="20"/>
                <w:lang w:eastAsia="en-AU"/>
              </w:rPr>
              <w:t>d</w:t>
            </w:r>
            <w:r w:rsidRPr="00EA5B29">
              <w:rPr>
                <w:sz w:val="20"/>
                <w:szCs w:val="20"/>
                <w:lang w:eastAsia="en-AU"/>
              </w:rPr>
              <w:t xml:space="preserve">epartments of </w:t>
            </w:r>
            <w:r>
              <w:rPr>
                <w:sz w:val="20"/>
                <w:szCs w:val="20"/>
                <w:lang w:eastAsia="en-AU"/>
              </w:rPr>
              <w:t>h</w:t>
            </w:r>
            <w:r w:rsidRPr="00EA5B29">
              <w:rPr>
                <w:sz w:val="20"/>
                <w:szCs w:val="20"/>
                <w:lang w:eastAsia="en-AU"/>
              </w:rPr>
              <w:t xml:space="preserve">ealth; Blood Service; </w:t>
            </w:r>
            <w:r w:rsidR="00C66864">
              <w:rPr>
                <w:sz w:val="20"/>
                <w:szCs w:val="20"/>
                <w:lang w:eastAsia="en-AU"/>
              </w:rPr>
              <w:t>h</w:t>
            </w:r>
            <w:r w:rsidR="00FF7E81">
              <w:rPr>
                <w:sz w:val="20"/>
                <w:szCs w:val="20"/>
                <w:lang w:eastAsia="en-AU"/>
              </w:rPr>
              <w:t>ealth service providers</w:t>
            </w:r>
            <w:r w:rsidRPr="00EA5B29">
              <w:rPr>
                <w:sz w:val="20"/>
                <w:szCs w:val="20"/>
                <w:lang w:eastAsia="en-AU"/>
              </w:rPr>
              <w:t>; Pathology providers; JBC</w:t>
            </w:r>
          </w:p>
        </w:tc>
        <w:tc>
          <w:tcPr>
            <w:tcW w:w="2551" w:type="dxa"/>
            <w:tcBorders>
              <w:top w:val="nil"/>
            </w:tcBorders>
            <w:shd w:val="clear" w:color="auto" w:fill="FFFFFF" w:themeFill="background1"/>
            <w:hideMark/>
          </w:tcPr>
          <w:p w:rsidR="006F39F9" w:rsidRPr="00EA5B29" w:rsidRDefault="006F39F9" w:rsidP="00252D67">
            <w:pPr>
              <w:spacing w:after="0"/>
              <w:rPr>
                <w:rFonts w:asciiTheme="minorHAnsi" w:hAnsiTheme="minorHAnsi" w:cstheme="minorHAnsi"/>
                <w:sz w:val="20"/>
                <w:szCs w:val="20"/>
                <w:lang w:eastAsia="en-AU"/>
              </w:rPr>
            </w:pPr>
            <w:r w:rsidRPr="00EA5B29">
              <w:rPr>
                <w:rFonts w:asciiTheme="minorHAnsi" w:hAnsiTheme="minorHAnsi" w:cstheme="minorHAnsi"/>
                <w:sz w:val="20"/>
                <w:szCs w:val="20"/>
                <w:lang w:eastAsia="en-AU"/>
              </w:rPr>
              <w:t>NB</w:t>
            </w:r>
            <w:r>
              <w:rPr>
                <w:rFonts w:asciiTheme="minorHAnsi" w:hAnsiTheme="minorHAnsi" w:cstheme="minorHAnsi"/>
                <w:sz w:val="20"/>
                <w:szCs w:val="20"/>
                <w:lang w:eastAsia="en-AU"/>
              </w:rPr>
              <w:t>A to work in collaboration with key stakeholders to develop/implement the Communication Plan and Work Plan to support the implementation of the Strategic Framework</w:t>
            </w:r>
          </w:p>
        </w:tc>
        <w:tc>
          <w:tcPr>
            <w:tcW w:w="2559" w:type="dxa"/>
            <w:tcBorders>
              <w:top w:val="nil"/>
            </w:tcBorders>
            <w:shd w:val="clear" w:color="auto" w:fill="D9D9D9" w:themeFill="background1" w:themeFillShade="D9"/>
          </w:tcPr>
          <w:p w:rsidR="006F39F9" w:rsidRDefault="006F39F9" w:rsidP="00C7431F">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Communication Plan and Work Plan for the Strategic Framework implemented in 2016–17</w:t>
            </w:r>
          </w:p>
          <w:p w:rsidR="006F39F9" w:rsidRDefault="006F39F9" w:rsidP="00C7431F">
            <w:pPr>
              <w:spacing w:after="0"/>
              <w:rPr>
                <w:rFonts w:asciiTheme="minorHAnsi" w:eastAsia="Times New Roman" w:hAnsiTheme="minorHAnsi" w:cstheme="minorHAnsi"/>
                <w:sz w:val="20"/>
                <w:szCs w:val="20"/>
                <w:lang w:eastAsia="en-AU"/>
              </w:rPr>
            </w:pPr>
          </w:p>
          <w:p w:rsidR="006F39F9" w:rsidRPr="00EA5B29" w:rsidRDefault="006F39F9" w:rsidP="00252D67">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The timeliness and completion of </w:t>
            </w:r>
            <w:proofErr w:type="spellStart"/>
            <w:r w:rsidR="00252D67">
              <w:rPr>
                <w:rFonts w:asciiTheme="minorHAnsi" w:eastAsia="Times New Roman" w:hAnsiTheme="minorHAnsi" w:cstheme="minorHAnsi"/>
                <w:sz w:val="20"/>
                <w:szCs w:val="20"/>
                <w:lang w:eastAsia="en-AU"/>
              </w:rPr>
              <w:t>h</w:t>
            </w:r>
            <w:r>
              <w:rPr>
                <w:rFonts w:asciiTheme="minorHAnsi" w:eastAsia="Times New Roman" w:hAnsiTheme="minorHAnsi" w:cstheme="minorHAnsi"/>
                <w:sz w:val="20"/>
                <w:szCs w:val="20"/>
                <w:lang w:eastAsia="en-AU"/>
              </w:rPr>
              <w:t>aemovigilance</w:t>
            </w:r>
            <w:proofErr w:type="spellEnd"/>
            <w:r>
              <w:rPr>
                <w:rFonts w:asciiTheme="minorHAnsi" w:eastAsia="Times New Roman" w:hAnsiTheme="minorHAnsi" w:cstheme="minorHAnsi"/>
                <w:sz w:val="20"/>
                <w:szCs w:val="20"/>
                <w:lang w:eastAsia="en-AU"/>
              </w:rPr>
              <w:t xml:space="preserve"> reporting improved at national, state and local levels</w:t>
            </w:r>
          </w:p>
        </w:tc>
      </w:tr>
      <w:tr w:rsidR="006F39F9" w:rsidRPr="00EA5B29" w:rsidTr="006F39F9">
        <w:trPr>
          <w:cantSplit/>
        </w:trPr>
        <w:tc>
          <w:tcPr>
            <w:tcW w:w="419" w:type="dxa"/>
            <w:shd w:val="clear" w:color="auto" w:fill="FFFFFF" w:themeFill="background1"/>
            <w:hideMark/>
          </w:tcPr>
          <w:p w:rsidR="006F39F9" w:rsidRPr="00EA5B29" w:rsidRDefault="006F39F9" w:rsidP="00C7431F">
            <w:pPr>
              <w:spacing w:line="276" w:lineRule="auto"/>
              <w:rPr>
                <w:sz w:val="20"/>
                <w:szCs w:val="20"/>
                <w:lang w:eastAsia="en-AU"/>
              </w:rPr>
            </w:pPr>
            <w:r>
              <w:rPr>
                <w:sz w:val="20"/>
                <w:szCs w:val="20"/>
                <w:lang w:eastAsia="en-AU"/>
              </w:rPr>
              <w:lastRenderedPageBreak/>
              <w:t>12</w:t>
            </w:r>
          </w:p>
        </w:tc>
        <w:tc>
          <w:tcPr>
            <w:tcW w:w="1984" w:type="dxa"/>
            <w:shd w:val="clear" w:color="auto" w:fill="FFFFFF" w:themeFill="background1"/>
            <w:hideMark/>
          </w:tcPr>
          <w:p w:rsidR="006F39F9" w:rsidRPr="00EA5B29" w:rsidRDefault="006F39F9" w:rsidP="00C7431F">
            <w:pPr>
              <w:spacing w:after="0"/>
              <w:rPr>
                <w:sz w:val="20"/>
                <w:szCs w:val="20"/>
                <w:lang w:eastAsia="en-AU"/>
              </w:rPr>
            </w:pPr>
            <w:r w:rsidRPr="00EA5B29">
              <w:rPr>
                <w:sz w:val="20"/>
                <w:szCs w:val="20"/>
              </w:rPr>
              <w:t xml:space="preserve">Maintain and improve existing capacities for </w:t>
            </w:r>
            <w:proofErr w:type="spellStart"/>
            <w:r w:rsidRPr="00EA5B29">
              <w:rPr>
                <w:sz w:val="20"/>
                <w:szCs w:val="20"/>
              </w:rPr>
              <w:t>haemovigilance</w:t>
            </w:r>
            <w:proofErr w:type="spellEnd"/>
            <w:r w:rsidRPr="00EA5B29">
              <w:rPr>
                <w:sz w:val="20"/>
                <w:szCs w:val="20"/>
              </w:rPr>
              <w:t xml:space="preserve"> data reporting</w:t>
            </w:r>
          </w:p>
        </w:tc>
        <w:tc>
          <w:tcPr>
            <w:tcW w:w="1701" w:type="dxa"/>
            <w:shd w:val="clear" w:color="auto" w:fill="D9D9D9" w:themeFill="background1" w:themeFillShade="D9"/>
            <w:hideMark/>
          </w:tcPr>
          <w:p w:rsidR="006F39F9" w:rsidRPr="00EA5B29" w:rsidRDefault="006F39F9" w:rsidP="00C66864">
            <w:pPr>
              <w:spacing w:after="0"/>
              <w:rPr>
                <w:sz w:val="20"/>
                <w:szCs w:val="20"/>
                <w:lang w:eastAsia="en-AU"/>
              </w:rPr>
            </w:pPr>
            <w:r w:rsidRPr="00EA5B29">
              <w:rPr>
                <w:sz w:val="20"/>
                <w:szCs w:val="20"/>
                <w:lang w:eastAsia="en-AU"/>
              </w:rPr>
              <w:t>NBA; HAC; State and territory</w:t>
            </w:r>
            <w:r>
              <w:rPr>
                <w:sz w:val="20"/>
                <w:szCs w:val="20"/>
                <w:lang w:eastAsia="en-AU"/>
              </w:rPr>
              <w:t xml:space="preserve"> departments of health</w:t>
            </w:r>
            <w:r w:rsidRPr="00EA5B29">
              <w:rPr>
                <w:sz w:val="20"/>
                <w:szCs w:val="20"/>
                <w:lang w:eastAsia="en-AU"/>
              </w:rPr>
              <w:t xml:space="preserve"> Blood Service; </w:t>
            </w:r>
            <w:r w:rsidR="00C66864">
              <w:rPr>
                <w:sz w:val="20"/>
                <w:szCs w:val="20"/>
                <w:lang w:eastAsia="en-AU"/>
              </w:rPr>
              <w:t>h</w:t>
            </w:r>
            <w:r w:rsidR="00FF7E81">
              <w:rPr>
                <w:sz w:val="20"/>
                <w:szCs w:val="20"/>
                <w:lang w:eastAsia="en-AU"/>
              </w:rPr>
              <w:t>ealth service providers</w:t>
            </w:r>
            <w:r w:rsidRPr="00EA5B29">
              <w:rPr>
                <w:sz w:val="20"/>
                <w:szCs w:val="20"/>
                <w:lang w:eastAsia="en-AU"/>
              </w:rPr>
              <w:t>; Pathology providers; JBC</w:t>
            </w:r>
          </w:p>
        </w:tc>
        <w:tc>
          <w:tcPr>
            <w:tcW w:w="2551" w:type="dxa"/>
            <w:shd w:val="clear" w:color="auto" w:fill="FFFFFF" w:themeFill="background1"/>
            <w:hideMark/>
          </w:tcPr>
          <w:p w:rsidR="006F39F9" w:rsidRPr="00EA5B29" w:rsidRDefault="006F39F9" w:rsidP="00C7431F">
            <w:pPr>
              <w:spacing w:after="0"/>
              <w:rPr>
                <w:rFonts w:asciiTheme="minorHAnsi" w:hAnsiTheme="minorHAnsi" w:cstheme="minorHAnsi"/>
                <w:sz w:val="20"/>
                <w:szCs w:val="20"/>
                <w:lang w:eastAsia="en-AU"/>
              </w:rPr>
            </w:pPr>
            <w:r w:rsidRPr="00AA35B7">
              <w:rPr>
                <w:rFonts w:asciiTheme="minorHAnsi" w:hAnsiTheme="minorHAnsi" w:cstheme="minorHAnsi"/>
                <w:sz w:val="20"/>
                <w:szCs w:val="20"/>
                <w:lang w:eastAsia="en-AU"/>
              </w:rPr>
              <w:t xml:space="preserve">NBA to investigate </w:t>
            </w:r>
            <w:r>
              <w:rPr>
                <w:rFonts w:asciiTheme="minorHAnsi" w:hAnsiTheme="minorHAnsi" w:cstheme="minorHAnsi"/>
                <w:sz w:val="20"/>
                <w:szCs w:val="20"/>
                <w:lang w:eastAsia="en-AU"/>
              </w:rPr>
              <w:t xml:space="preserve">and consider </w:t>
            </w:r>
            <w:r w:rsidRPr="00AA35B7">
              <w:rPr>
                <w:rFonts w:asciiTheme="minorHAnsi" w:hAnsiTheme="minorHAnsi" w:cstheme="minorHAnsi"/>
                <w:sz w:val="20"/>
                <w:szCs w:val="20"/>
                <w:lang w:eastAsia="en-AU"/>
              </w:rPr>
              <w:t xml:space="preserve">other sources and types of reporting for </w:t>
            </w:r>
            <w:r>
              <w:rPr>
                <w:rFonts w:asciiTheme="minorHAnsi" w:hAnsiTheme="minorHAnsi" w:cstheme="minorHAnsi"/>
                <w:sz w:val="20"/>
                <w:szCs w:val="20"/>
                <w:lang w:eastAsia="en-AU"/>
              </w:rPr>
              <w:t xml:space="preserve">national </w:t>
            </w:r>
            <w:proofErr w:type="spellStart"/>
            <w:r>
              <w:rPr>
                <w:rFonts w:asciiTheme="minorHAnsi" w:hAnsiTheme="minorHAnsi" w:cstheme="minorHAnsi"/>
                <w:sz w:val="20"/>
                <w:szCs w:val="20"/>
                <w:lang w:eastAsia="en-AU"/>
              </w:rPr>
              <w:t>h</w:t>
            </w:r>
            <w:r w:rsidRPr="00AA35B7">
              <w:rPr>
                <w:rFonts w:asciiTheme="minorHAnsi" w:hAnsiTheme="minorHAnsi" w:cstheme="minorHAnsi"/>
                <w:sz w:val="20"/>
                <w:szCs w:val="20"/>
                <w:lang w:eastAsia="en-AU"/>
              </w:rPr>
              <w:t>aemovigilance</w:t>
            </w:r>
            <w:proofErr w:type="spellEnd"/>
            <w:r w:rsidRPr="00AA35B7">
              <w:rPr>
                <w:rFonts w:asciiTheme="minorHAnsi" w:hAnsiTheme="minorHAnsi" w:cstheme="minorHAnsi"/>
                <w:sz w:val="20"/>
                <w:szCs w:val="20"/>
                <w:lang w:eastAsia="en-AU"/>
              </w:rPr>
              <w:t xml:space="preserve"> r</w:t>
            </w:r>
            <w:r>
              <w:rPr>
                <w:rFonts w:asciiTheme="minorHAnsi" w:hAnsiTheme="minorHAnsi" w:cstheme="minorHAnsi"/>
                <w:sz w:val="20"/>
                <w:szCs w:val="20"/>
                <w:lang w:eastAsia="en-AU"/>
              </w:rPr>
              <w:t>eporting</w:t>
            </w:r>
          </w:p>
        </w:tc>
        <w:tc>
          <w:tcPr>
            <w:tcW w:w="2559" w:type="dxa"/>
            <w:shd w:val="clear" w:color="auto" w:fill="D9D9D9" w:themeFill="background1" w:themeFillShade="D9"/>
            <w:hideMark/>
          </w:tcPr>
          <w:p w:rsidR="006F39F9" w:rsidRDefault="006F39F9" w:rsidP="00C7431F">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N</w:t>
            </w:r>
            <w:r w:rsidRPr="00EA5B29">
              <w:rPr>
                <w:rFonts w:asciiTheme="minorHAnsi" w:eastAsia="Times New Roman" w:hAnsiTheme="minorHAnsi" w:cstheme="minorHAnsi"/>
                <w:sz w:val="20"/>
                <w:szCs w:val="20"/>
                <w:lang w:eastAsia="en-AU"/>
              </w:rPr>
              <w:t xml:space="preserve">umber of public and private facilities submitting data to the </w:t>
            </w:r>
            <w:r w:rsidR="00773683">
              <w:rPr>
                <w:rFonts w:asciiTheme="minorHAnsi" w:eastAsia="Times New Roman" w:hAnsiTheme="minorHAnsi" w:cstheme="minorHAnsi"/>
                <w:sz w:val="20"/>
                <w:szCs w:val="20"/>
                <w:lang w:eastAsia="en-AU"/>
              </w:rPr>
              <w:t>n</w:t>
            </w:r>
            <w:r w:rsidRPr="00EA5B29">
              <w:rPr>
                <w:rFonts w:asciiTheme="minorHAnsi" w:eastAsia="Times New Roman" w:hAnsiTheme="minorHAnsi" w:cstheme="minorHAnsi"/>
                <w:sz w:val="20"/>
                <w:szCs w:val="20"/>
                <w:lang w:eastAsia="en-AU"/>
              </w:rPr>
              <w:t xml:space="preserve">ational </w:t>
            </w:r>
            <w:proofErr w:type="spellStart"/>
            <w:r w:rsidR="00773683">
              <w:rPr>
                <w:rFonts w:asciiTheme="minorHAnsi" w:eastAsia="Times New Roman" w:hAnsiTheme="minorHAnsi" w:cstheme="minorHAnsi"/>
                <w:sz w:val="20"/>
                <w:szCs w:val="20"/>
                <w:lang w:eastAsia="en-AU"/>
              </w:rPr>
              <w:t>h</w:t>
            </w:r>
            <w:r w:rsidRPr="00EA5B29">
              <w:rPr>
                <w:rFonts w:asciiTheme="minorHAnsi" w:eastAsia="Times New Roman" w:hAnsiTheme="minorHAnsi" w:cstheme="minorHAnsi"/>
                <w:sz w:val="20"/>
                <w:szCs w:val="20"/>
                <w:lang w:eastAsia="en-AU"/>
              </w:rPr>
              <w:t>aemovigilance</w:t>
            </w:r>
            <w:proofErr w:type="spellEnd"/>
            <w:r w:rsidRPr="00EA5B29">
              <w:rPr>
                <w:rFonts w:asciiTheme="minorHAnsi" w:eastAsia="Times New Roman" w:hAnsiTheme="minorHAnsi" w:cstheme="minorHAnsi"/>
                <w:sz w:val="20"/>
                <w:szCs w:val="20"/>
                <w:lang w:eastAsia="en-AU"/>
              </w:rPr>
              <w:t xml:space="preserve"> </w:t>
            </w:r>
            <w:r w:rsidR="00773683">
              <w:rPr>
                <w:rFonts w:asciiTheme="minorHAnsi" w:eastAsia="Times New Roman" w:hAnsiTheme="minorHAnsi" w:cstheme="minorHAnsi"/>
                <w:sz w:val="20"/>
                <w:szCs w:val="20"/>
                <w:lang w:eastAsia="en-AU"/>
              </w:rPr>
              <w:t>p</w:t>
            </w:r>
            <w:r w:rsidRPr="00EA5B29">
              <w:rPr>
                <w:rFonts w:asciiTheme="minorHAnsi" w:eastAsia="Times New Roman" w:hAnsiTheme="minorHAnsi" w:cstheme="minorHAnsi"/>
                <w:sz w:val="20"/>
                <w:szCs w:val="20"/>
                <w:lang w:eastAsia="en-AU"/>
              </w:rPr>
              <w:t>rogram increase</w:t>
            </w:r>
            <w:r>
              <w:rPr>
                <w:rFonts w:asciiTheme="minorHAnsi" w:eastAsia="Times New Roman" w:hAnsiTheme="minorHAnsi" w:cstheme="minorHAnsi"/>
                <w:sz w:val="20"/>
                <w:szCs w:val="20"/>
                <w:lang w:eastAsia="en-AU"/>
              </w:rPr>
              <w:t>d</w:t>
            </w:r>
          </w:p>
          <w:p w:rsidR="006F39F9" w:rsidRDefault="006F39F9" w:rsidP="00C7431F">
            <w:pPr>
              <w:spacing w:after="0"/>
              <w:rPr>
                <w:rFonts w:asciiTheme="minorHAnsi" w:eastAsia="Times New Roman" w:hAnsiTheme="minorHAnsi" w:cstheme="minorHAnsi"/>
                <w:sz w:val="20"/>
                <w:szCs w:val="20"/>
                <w:lang w:eastAsia="en-AU"/>
              </w:rPr>
            </w:pPr>
          </w:p>
          <w:p w:rsidR="006F39F9" w:rsidRPr="00EA5B29" w:rsidRDefault="006F39F9" w:rsidP="00C7431F">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 xml:space="preserve">Additional </w:t>
            </w:r>
            <w:proofErr w:type="spellStart"/>
            <w:r>
              <w:rPr>
                <w:rFonts w:asciiTheme="minorHAnsi" w:eastAsia="Times New Roman" w:hAnsiTheme="minorHAnsi" w:cstheme="minorHAnsi"/>
                <w:sz w:val="20"/>
                <w:szCs w:val="20"/>
                <w:lang w:eastAsia="en-AU"/>
              </w:rPr>
              <w:t>haemovigilance</w:t>
            </w:r>
            <w:proofErr w:type="spellEnd"/>
            <w:r>
              <w:rPr>
                <w:rFonts w:asciiTheme="minorHAnsi" w:eastAsia="Times New Roman" w:hAnsiTheme="minorHAnsi" w:cstheme="minorHAnsi"/>
                <w:sz w:val="20"/>
                <w:szCs w:val="20"/>
                <w:lang w:eastAsia="en-AU"/>
              </w:rPr>
              <w:t xml:space="preserve"> information included in future national </w:t>
            </w:r>
            <w:proofErr w:type="spellStart"/>
            <w:r>
              <w:rPr>
                <w:rFonts w:asciiTheme="minorHAnsi" w:eastAsia="Times New Roman" w:hAnsiTheme="minorHAnsi" w:cstheme="minorHAnsi"/>
                <w:sz w:val="20"/>
                <w:szCs w:val="20"/>
                <w:lang w:eastAsia="en-AU"/>
              </w:rPr>
              <w:t>haemovigilance</w:t>
            </w:r>
            <w:proofErr w:type="spellEnd"/>
            <w:r>
              <w:rPr>
                <w:rFonts w:asciiTheme="minorHAnsi" w:eastAsia="Times New Roman" w:hAnsiTheme="minorHAnsi" w:cstheme="minorHAnsi"/>
                <w:sz w:val="20"/>
                <w:szCs w:val="20"/>
                <w:lang w:eastAsia="en-AU"/>
              </w:rPr>
              <w:t xml:space="preserve"> reports if agreed</w:t>
            </w:r>
          </w:p>
        </w:tc>
      </w:tr>
    </w:tbl>
    <w:p w:rsidR="006F39F9" w:rsidRDefault="006F39F9" w:rsidP="006F39F9"/>
    <w:p w:rsidR="004C6041" w:rsidRDefault="004C6041" w:rsidP="00C94185">
      <w:pPr>
        <w:rPr>
          <w:lang w:eastAsia="en-AU"/>
        </w:rPr>
      </w:pPr>
      <w:r>
        <w:rPr>
          <w:lang w:eastAsia="en-AU"/>
        </w:rPr>
        <w:br w:type="page"/>
      </w:r>
    </w:p>
    <w:p w:rsidR="004C6041" w:rsidRDefault="004C6041" w:rsidP="00875581">
      <w:pPr>
        <w:pStyle w:val="Heading1"/>
        <w:rPr>
          <w:lang w:eastAsia="en-AU"/>
        </w:rPr>
      </w:pPr>
      <w:bookmarkStart w:id="208" w:name="_Toc420837317"/>
      <w:bookmarkStart w:id="209" w:name="_Toc459366190"/>
      <w:r w:rsidRPr="004C6041">
        <w:rPr>
          <w:lang w:eastAsia="en-AU"/>
        </w:rPr>
        <w:lastRenderedPageBreak/>
        <w:t>ABBREVIATIONS AND ACRONYMS</w:t>
      </w:r>
      <w:bookmarkEnd w:id="208"/>
      <w:bookmarkEnd w:id="209"/>
    </w:p>
    <w:tbl>
      <w:tblPr>
        <w:tblW w:w="0" w:type="auto"/>
        <w:tblLook w:val="01E0" w:firstRow="1" w:lastRow="1" w:firstColumn="1" w:lastColumn="1" w:noHBand="0" w:noVBand="0"/>
      </w:tblPr>
      <w:tblGrid>
        <w:gridCol w:w="1527"/>
        <w:gridCol w:w="8021"/>
      </w:tblGrid>
      <w:tr w:rsidR="00866370" w:rsidRPr="007B7AAD" w:rsidTr="003F28D4">
        <w:tc>
          <w:tcPr>
            <w:tcW w:w="1527" w:type="dxa"/>
            <w:shd w:val="clear" w:color="auto" w:fill="auto"/>
          </w:tcPr>
          <w:p w:rsidR="00866370" w:rsidRPr="00866370" w:rsidRDefault="00866370" w:rsidP="003F28D4">
            <w:pPr>
              <w:spacing w:after="0"/>
              <w:rPr>
                <w:rFonts w:asciiTheme="minorHAnsi" w:eastAsia="Times New Roman" w:hAnsiTheme="minorHAnsi" w:cstheme="minorHAnsi"/>
                <w:b/>
                <w:sz w:val="20"/>
                <w:szCs w:val="20"/>
                <w:lang w:eastAsia="en-AU"/>
              </w:rPr>
            </w:pPr>
            <w:r w:rsidRPr="00866370">
              <w:rPr>
                <w:rFonts w:asciiTheme="minorHAnsi" w:eastAsia="Times New Roman" w:hAnsiTheme="minorHAnsi" w:cstheme="minorHAnsi"/>
                <w:b/>
                <w:sz w:val="20"/>
                <w:szCs w:val="20"/>
                <w:lang w:eastAsia="en-AU"/>
              </w:rPr>
              <w:t>AABB</w:t>
            </w:r>
          </w:p>
        </w:tc>
        <w:tc>
          <w:tcPr>
            <w:tcW w:w="8021" w:type="dxa"/>
            <w:shd w:val="clear" w:color="auto" w:fill="auto"/>
          </w:tcPr>
          <w:p w:rsidR="00866370" w:rsidRPr="007B7AAD" w:rsidRDefault="00866370" w:rsidP="00866370">
            <w:pPr>
              <w:spacing w:after="0"/>
              <w:rPr>
                <w:rFonts w:asciiTheme="minorHAnsi" w:eastAsia="Times New Roman" w:hAnsiTheme="minorHAnsi" w:cstheme="minorHAnsi"/>
                <w:sz w:val="20"/>
                <w:szCs w:val="20"/>
                <w:lang w:eastAsia="en-AU"/>
              </w:rPr>
            </w:pPr>
            <w:r w:rsidRPr="00866370">
              <w:rPr>
                <w:rFonts w:asciiTheme="minorHAnsi" w:eastAsia="Times New Roman" w:hAnsiTheme="minorHAnsi" w:cstheme="minorHAnsi"/>
                <w:sz w:val="20"/>
                <w:szCs w:val="20"/>
                <w:lang w:eastAsia="en-AU"/>
              </w:rPr>
              <w:t>American Association of Blood Banks</w:t>
            </w:r>
          </w:p>
        </w:tc>
      </w:tr>
      <w:tr w:rsidR="0062539C" w:rsidRPr="007B7AAD" w:rsidTr="003F28D4">
        <w:tc>
          <w:tcPr>
            <w:tcW w:w="1527" w:type="dxa"/>
            <w:shd w:val="clear" w:color="auto" w:fill="auto"/>
          </w:tcPr>
          <w:p w:rsidR="0062539C" w:rsidRPr="007B7AAD" w:rsidRDefault="0062539C" w:rsidP="003F28D4">
            <w:pPr>
              <w:spacing w:after="0"/>
              <w:rPr>
                <w:rFonts w:asciiTheme="minorHAnsi" w:eastAsia="Times New Roman" w:hAnsiTheme="minorHAnsi" w:cstheme="minorHAnsi"/>
                <w:b/>
                <w:sz w:val="20"/>
                <w:szCs w:val="20"/>
                <w:lang w:eastAsia="en-AU"/>
              </w:rPr>
            </w:pPr>
            <w:r w:rsidRPr="007B7AAD">
              <w:rPr>
                <w:rFonts w:asciiTheme="minorHAnsi" w:eastAsia="Times New Roman" w:hAnsiTheme="minorHAnsi" w:cstheme="minorHAnsi"/>
                <w:b/>
                <w:sz w:val="20"/>
                <w:szCs w:val="20"/>
                <w:lang w:eastAsia="en-AU"/>
              </w:rPr>
              <w:t>ABO</w:t>
            </w:r>
          </w:p>
        </w:tc>
        <w:tc>
          <w:tcPr>
            <w:tcW w:w="8021" w:type="dxa"/>
            <w:shd w:val="clear" w:color="auto" w:fill="auto"/>
          </w:tcPr>
          <w:p w:rsidR="0062539C" w:rsidRPr="007B7AAD" w:rsidRDefault="0062539C" w:rsidP="003F28D4">
            <w:pPr>
              <w:spacing w:after="0"/>
              <w:rPr>
                <w:rFonts w:asciiTheme="minorHAnsi" w:eastAsia="Times New Roman" w:hAnsiTheme="minorHAnsi" w:cstheme="minorHAnsi"/>
                <w:sz w:val="20"/>
                <w:szCs w:val="20"/>
                <w:lang w:eastAsia="en-AU"/>
              </w:rPr>
            </w:pPr>
            <w:r w:rsidRPr="007B7AAD">
              <w:rPr>
                <w:rFonts w:asciiTheme="minorHAnsi" w:eastAsia="Times New Roman" w:hAnsiTheme="minorHAnsi" w:cstheme="minorHAnsi"/>
                <w:sz w:val="20"/>
                <w:szCs w:val="20"/>
                <w:lang w:eastAsia="en-AU"/>
              </w:rPr>
              <w:t>The human red cell ABO blood group system</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ACSQHC</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Australian Commission on Safety and Quality in Health Care</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ACT</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Australian Capital Territory</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AHMDS</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 xml:space="preserve">Australian </w:t>
            </w:r>
            <w:proofErr w:type="spellStart"/>
            <w:r w:rsidRPr="00BB5A4C">
              <w:rPr>
                <w:rFonts w:asciiTheme="minorHAnsi" w:eastAsia="Times New Roman" w:hAnsiTheme="minorHAnsi" w:cstheme="minorHAnsi"/>
                <w:sz w:val="20"/>
                <w:szCs w:val="20"/>
                <w:lang w:eastAsia="en-AU"/>
              </w:rPr>
              <w:t>Haemovigilance</w:t>
            </w:r>
            <w:proofErr w:type="spellEnd"/>
            <w:r w:rsidRPr="00BB5A4C">
              <w:rPr>
                <w:rFonts w:asciiTheme="minorHAnsi" w:eastAsia="Times New Roman" w:hAnsiTheme="minorHAnsi" w:cstheme="minorHAnsi"/>
                <w:sz w:val="20"/>
                <w:szCs w:val="20"/>
                <w:lang w:eastAsia="en-AU"/>
              </w:rPr>
              <w:t xml:space="preserve"> Minimum Data Set</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ANHDD</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 xml:space="preserve">Australian National </w:t>
            </w:r>
            <w:proofErr w:type="spellStart"/>
            <w:r w:rsidRPr="00BB5A4C">
              <w:rPr>
                <w:rFonts w:asciiTheme="minorHAnsi" w:eastAsia="Times New Roman" w:hAnsiTheme="minorHAnsi" w:cstheme="minorHAnsi"/>
                <w:sz w:val="20"/>
                <w:szCs w:val="20"/>
                <w:lang w:eastAsia="en-AU"/>
              </w:rPr>
              <w:t>Haemovigilance</w:t>
            </w:r>
            <w:proofErr w:type="spellEnd"/>
            <w:r w:rsidRPr="00BB5A4C">
              <w:rPr>
                <w:rFonts w:asciiTheme="minorHAnsi" w:eastAsia="Times New Roman" w:hAnsiTheme="minorHAnsi" w:cstheme="minorHAnsi"/>
                <w:sz w:val="20"/>
                <w:szCs w:val="20"/>
                <w:lang w:eastAsia="en-AU"/>
              </w:rPr>
              <w:t xml:space="preserve"> Data Dictionary</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ANZSBT</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Australian and New Zealand Society of Blood Transfusion</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BCSH</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British Committee for Standards in Haematology</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FNHTR</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Febrile non</w:t>
            </w:r>
            <w:r w:rsidRPr="00BB5A4C">
              <w:rPr>
                <w:rFonts w:asciiTheme="minorHAnsi" w:eastAsia="Times New Roman" w:hAnsiTheme="minorHAnsi" w:cstheme="minorHAnsi"/>
                <w:sz w:val="20"/>
                <w:szCs w:val="20"/>
                <w:lang w:eastAsia="en-AU"/>
              </w:rPr>
              <w:noBreakHyphen/>
              <w:t>haemolytic transfusion reaction</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GP</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General practitioner</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HAC</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proofErr w:type="spellStart"/>
            <w:r w:rsidRPr="00BB5A4C">
              <w:rPr>
                <w:rFonts w:asciiTheme="minorHAnsi" w:eastAsia="Times New Roman" w:hAnsiTheme="minorHAnsi" w:cstheme="minorHAnsi"/>
                <w:sz w:val="20"/>
                <w:szCs w:val="20"/>
                <w:lang w:eastAsia="en-AU"/>
              </w:rPr>
              <w:t>Haemovigilance</w:t>
            </w:r>
            <w:proofErr w:type="spellEnd"/>
            <w:r w:rsidRPr="00BB5A4C">
              <w:rPr>
                <w:rFonts w:asciiTheme="minorHAnsi" w:eastAsia="Times New Roman" w:hAnsiTheme="minorHAnsi" w:cstheme="minorHAnsi"/>
                <w:sz w:val="20"/>
                <w:szCs w:val="20"/>
                <w:lang w:eastAsia="en-AU"/>
              </w:rPr>
              <w:t xml:space="preserve"> Advisory Committee</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IBCT</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Incorrect blood component transfused</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IHN</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 xml:space="preserve">International </w:t>
            </w:r>
            <w:proofErr w:type="spellStart"/>
            <w:r w:rsidRPr="00BB5A4C">
              <w:rPr>
                <w:rFonts w:asciiTheme="minorHAnsi" w:eastAsia="Times New Roman" w:hAnsiTheme="minorHAnsi" w:cstheme="minorHAnsi"/>
                <w:sz w:val="20"/>
                <w:szCs w:val="20"/>
                <w:lang w:eastAsia="en-AU"/>
              </w:rPr>
              <w:t>Haemovigilance</w:t>
            </w:r>
            <w:proofErr w:type="spellEnd"/>
            <w:r w:rsidRPr="00BB5A4C">
              <w:rPr>
                <w:rFonts w:asciiTheme="minorHAnsi" w:eastAsia="Times New Roman" w:hAnsiTheme="minorHAnsi" w:cstheme="minorHAnsi"/>
                <w:sz w:val="20"/>
                <w:szCs w:val="20"/>
                <w:lang w:eastAsia="en-AU"/>
              </w:rPr>
              <w:t xml:space="preserve"> Network (previously EHN)</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IIMS</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Incident Information Management System</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ISBT</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International Society for Blood Transfusion</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JBC</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Jurisdictional Blood Committee</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JMO</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Junior Medical Officer</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NBA</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National Blood Authority</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NSQHS</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National Safety and Quality Health Service</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NSW</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New South Wales</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NT</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Northern Territory</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PTP</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Post transfusion purpura</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proofErr w:type="spellStart"/>
            <w:r w:rsidRPr="00BB5A4C">
              <w:rPr>
                <w:rFonts w:asciiTheme="minorHAnsi" w:eastAsia="Times New Roman" w:hAnsiTheme="minorHAnsi" w:cstheme="minorHAnsi"/>
                <w:b/>
                <w:sz w:val="20"/>
                <w:szCs w:val="20"/>
                <w:lang w:eastAsia="en-AU"/>
              </w:rPr>
              <w:t>QiiT</w:t>
            </w:r>
            <w:proofErr w:type="spellEnd"/>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Queensland Incidents in Transfusion</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QLD</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Queensland</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SA</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South Australia</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SHOT</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Serious Hazards of Transfusion (UK)</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SLS</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Safety Learning System</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STIR</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Serious Transfusion Incident Reporting</w:t>
            </w:r>
          </w:p>
        </w:tc>
      </w:tr>
      <w:tr w:rsidR="00252D67" w:rsidRPr="00BB5A4C" w:rsidTr="00962D78">
        <w:tc>
          <w:tcPr>
            <w:tcW w:w="1527" w:type="dxa"/>
            <w:shd w:val="clear" w:color="auto" w:fill="auto"/>
          </w:tcPr>
          <w:p w:rsidR="00252D67" w:rsidRPr="00BB5A4C" w:rsidRDefault="00252D67" w:rsidP="00962D78">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TACO</w:t>
            </w:r>
          </w:p>
        </w:tc>
        <w:tc>
          <w:tcPr>
            <w:tcW w:w="8021" w:type="dxa"/>
            <w:shd w:val="clear" w:color="auto" w:fill="auto"/>
          </w:tcPr>
          <w:p w:rsidR="00252D67" w:rsidRPr="00BB5A4C" w:rsidRDefault="00252D67" w:rsidP="00962D78">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Transfusion-associated circulatory overload</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TAS</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Tasmania</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TGA</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Therapeutic Goods Administration</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TRALI</w:t>
            </w:r>
          </w:p>
        </w:tc>
        <w:tc>
          <w:tcPr>
            <w:tcW w:w="8021" w:type="dxa"/>
            <w:shd w:val="clear" w:color="auto" w:fill="auto"/>
          </w:tcPr>
          <w:p w:rsidR="0062539C" w:rsidRPr="00BB5A4C" w:rsidRDefault="0062539C" w:rsidP="003F28D4">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Transfusion-related acute lung injury</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TTI</w:t>
            </w:r>
          </w:p>
        </w:tc>
        <w:tc>
          <w:tcPr>
            <w:tcW w:w="8021" w:type="dxa"/>
            <w:shd w:val="clear" w:color="auto" w:fill="auto"/>
          </w:tcPr>
          <w:p w:rsidR="0062539C" w:rsidRPr="00BB5A4C" w:rsidRDefault="0062539C" w:rsidP="0050157C">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Transfusion</w:t>
            </w:r>
            <w:r w:rsidR="0050157C">
              <w:rPr>
                <w:rFonts w:asciiTheme="minorHAnsi" w:eastAsia="Times New Roman" w:hAnsiTheme="minorHAnsi" w:cstheme="minorHAnsi"/>
                <w:sz w:val="20"/>
                <w:szCs w:val="20"/>
                <w:lang w:eastAsia="en-AU"/>
              </w:rPr>
              <w:t>-</w:t>
            </w:r>
            <w:r w:rsidRPr="00BB5A4C">
              <w:rPr>
                <w:rFonts w:asciiTheme="minorHAnsi" w:eastAsia="Times New Roman" w:hAnsiTheme="minorHAnsi" w:cstheme="minorHAnsi"/>
                <w:sz w:val="20"/>
                <w:szCs w:val="20"/>
                <w:lang w:eastAsia="en-AU"/>
              </w:rPr>
              <w:t>transmitted infection</w:t>
            </w:r>
          </w:p>
        </w:tc>
      </w:tr>
      <w:tr w:rsidR="00252D67" w:rsidRPr="007B7AAD" w:rsidTr="00962D78">
        <w:tc>
          <w:tcPr>
            <w:tcW w:w="1527" w:type="dxa"/>
            <w:shd w:val="clear" w:color="auto" w:fill="auto"/>
          </w:tcPr>
          <w:p w:rsidR="00252D67" w:rsidRPr="00BB5A4C" w:rsidRDefault="00252D67" w:rsidP="00962D78">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UK</w:t>
            </w:r>
          </w:p>
        </w:tc>
        <w:tc>
          <w:tcPr>
            <w:tcW w:w="8021" w:type="dxa"/>
            <w:shd w:val="clear" w:color="auto" w:fill="auto"/>
          </w:tcPr>
          <w:p w:rsidR="00252D67" w:rsidRPr="007B7AAD" w:rsidRDefault="00252D67" w:rsidP="00962D78">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United Kingdom</w:t>
            </w:r>
          </w:p>
        </w:tc>
      </w:tr>
      <w:tr w:rsidR="00252D67" w:rsidRPr="00BB5A4C" w:rsidTr="00962D78">
        <w:tc>
          <w:tcPr>
            <w:tcW w:w="1527" w:type="dxa"/>
            <w:shd w:val="clear" w:color="auto" w:fill="auto"/>
          </w:tcPr>
          <w:p w:rsidR="00252D67" w:rsidRPr="00BB5A4C" w:rsidRDefault="00252D67" w:rsidP="00962D78">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VIC</w:t>
            </w:r>
          </w:p>
        </w:tc>
        <w:tc>
          <w:tcPr>
            <w:tcW w:w="8021" w:type="dxa"/>
            <w:shd w:val="clear" w:color="auto" w:fill="auto"/>
          </w:tcPr>
          <w:p w:rsidR="00252D67" w:rsidRPr="00BB5A4C" w:rsidRDefault="00252D67" w:rsidP="00962D78">
            <w:pPr>
              <w:spacing w:after="0"/>
              <w:rPr>
                <w:rFonts w:asciiTheme="minorHAnsi" w:eastAsia="Times New Roman" w:hAnsiTheme="minorHAnsi" w:cstheme="minorHAnsi"/>
                <w:sz w:val="20"/>
                <w:szCs w:val="20"/>
                <w:lang w:eastAsia="en-AU"/>
              </w:rPr>
            </w:pPr>
            <w:r w:rsidRPr="00BB5A4C">
              <w:rPr>
                <w:rFonts w:asciiTheme="minorHAnsi" w:eastAsia="Times New Roman" w:hAnsiTheme="minorHAnsi" w:cstheme="minorHAnsi"/>
                <w:sz w:val="20"/>
                <w:szCs w:val="20"/>
                <w:lang w:eastAsia="en-AU"/>
              </w:rPr>
              <w:t>Victoria</w:t>
            </w:r>
          </w:p>
        </w:tc>
      </w:tr>
      <w:tr w:rsidR="0062539C" w:rsidRPr="00BB5A4C" w:rsidTr="003F28D4">
        <w:tc>
          <w:tcPr>
            <w:tcW w:w="1527" w:type="dxa"/>
            <w:shd w:val="clear" w:color="auto" w:fill="auto"/>
          </w:tcPr>
          <w:p w:rsidR="0062539C" w:rsidRPr="00BB5A4C" w:rsidRDefault="0062539C" w:rsidP="003F28D4">
            <w:pPr>
              <w:spacing w:after="0"/>
              <w:rPr>
                <w:rFonts w:asciiTheme="minorHAnsi" w:eastAsia="Times New Roman" w:hAnsiTheme="minorHAnsi" w:cstheme="minorHAnsi"/>
                <w:b/>
                <w:sz w:val="20"/>
                <w:szCs w:val="20"/>
                <w:lang w:eastAsia="en-AU"/>
              </w:rPr>
            </w:pPr>
            <w:r w:rsidRPr="00BB5A4C">
              <w:rPr>
                <w:rFonts w:asciiTheme="minorHAnsi" w:eastAsia="Times New Roman" w:hAnsiTheme="minorHAnsi" w:cstheme="minorHAnsi"/>
                <w:b/>
                <w:sz w:val="20"/>
                <w:szCs w:val="20"/>
                <w:lang w:eastAsia="en-AU"/>
              </w:rPr>
              <w:t>WA</w:t>
            </w:r>
          </w:p>
        </w:tc>
        <w:tc>
          <w:tcPr>
            <w:tcW w:w="8021" w:type="dxa"/>
            <w:shd w:val="clear" w:color="auto" w:fill="auto"/>
          </w:tcPr>
          <w:p w:rsidR="0062539C" w:rsidRPr="00BB5A4C" w:rsidRDefault="00735247" w:rsidP="003F28D4">
            <w:pPr>
              <w:spacing w:after="0"/>
              <w:rPr>
                <w:rFonts w:asciiTheme="minorHAnsi" w:eastAsia="Times New Roman" w:hAnsiTheme="minorHAnsi" w:cstheme="minorHAnsi"/>
                <w:sz w:val="20"/>
                <w:szCs w:val="20"/>
                <w:lang w:eastAsia="en-AU"/>
              </w:rPr>
            </w:pPr>
            <w:r>
              <w:rPr>
                <w:rFonts w:asciiTheme="minorHAnsi" w:eastAsia="Times New Roman" w:hAnsiTheme="minorHAnsi" w:cstheme="minorHAnsi"/>
                <w:sz w:val="20"/>
                <w:szCs w:val="20"/>
                <w:lang w:eastAsia="en-AU"/>
              </w:rPr>
              <w:t>Western Australia</w:t>
            </w:r>
          </w:p>
        </w:tc>
      </w:tr>
    </w:tbl>
    <w:p w:rsidR="004C6041" w:rsidRDefault="004C6041" w:rsidP="00C94185">
      <w:pPr>
        <w:rPr>
          <w:lang w:eastAsia="en-AU"/>
        </w:rPr>
      </w:pPr>
      <w:bookmarkStart w:id="210" w:name="_Toc420837318"/>
      <w:r>
        <w:rPr>
          <w:lang w:eastAsia="en-AU"/>
        </w:rPr>
        <w:br w:type="page"/>
      </w:r>
    </w:p>
    <w:p w:rsidR="004C6041" w:rsidRPr="004C6041" w:rsidRDefault="004C6041" w:rsidP="00875581">
      <w:pPr>
        <w:pStyle w:val="Heading1"/>
        <w:rPr>
          <w:lang w:eastAsia="en-AU"/>
        </w:rPr>
      </w:pPr>
      <w:bookmarkStart w:id="211" w:name="_Toc459366191"/>
      <w:r w:rsidRPr="004C6041">
        <w:rPr>
          <w:lang w:eastAsia="en-AU"/>
        </w:rPr>
        <w:lastRenderedPageBreak/>
        <w:t>ACKNOWLEDGEMENTS</w:t>
      </w:r>
      <w:bookmarkEnd w:id="210"/>
      <w:bookmarkEnd w:id="211"/>
    </w:p>
    <w:p w:rsidR="00A10EE0" w:rsidRPr="00272720" w:rsidRDefault="00A10EE0" w:rsidP="00A10EE0">
      <w:pPr>
        <w:pBdr>
          <w:bottom w:val="single" w:sz="4" w:space="1" w:color="auto"/>
        </w:pBdr>
        <w:rPr>
          <w:rFonts w:ascii="Arial" w:hAnsi="Arial" w:cs="Arial"/>
          <w:b/>
          <w:sz w:val="28"/>
          <w:szCs w:val="28"/>
        </w:rPr>
      </w:pPr>
      <w:bookmarkStart w:id="212" w:name="_Toc420837319"/>
      <w:r w:rsidRPr="00272720">
        <w:rPr>
          <w:rFonts w:ascii="Arial" w:hAnsi="Arial" w:cs="Arial"/>
          <w:b/>
          <w:sz w:val="28"/>
          <w:szCs w:val="28"/>
        </w:rPr>
        <w:t>National Blood Authority</w:t>
      </w:r>
      <w:r>
        <w:rPr>
          <w:rFonts w:ascii="Arial" w:hAnsi="Arial" w:cs="Arial"/>
          <w:b/>
          <w:sz w:val="28"/>
          <w:szCs w:val="28"/>
        </w:rPr>
        <w:t xml:space="preserve"> </w:t>
      </w:r>
      <w:proofErr w:type="spellStart"/>
      <w:r w:rsidRPr="00272720">
        <w:rPr>
          <w:rFonts w:ascii="Arial" w:hAnsi="Arial" w:cs="Arial"/>
          <w:b/>
          <w:sz w:val="28"/>
          <w:szCs w:val="28"/>
        </w:rPr>
        <w:t>Haemovigilance</w:t>
      </w:r>
      <w:proofErr w:type="spellEnd"/>
      <w:r w:rsidRPr="00272720">
        <w:rPr>
          <w:rFonts w:ascii="Arial" w:hAnsi="Arial" w:cs="Arial"/>
          <w:b/>
          <w:sz w:val="28"/>
          <w:szCs w:val="28"/>
        </w:rPr>
        <w:t xml:space="preserve"> Advisory Committee</w:t>
      </w:r>
    </w:p>
    <w:p w:rsidR="00A10EE0" w:rsidRDefault="00A10EE0" w:rsidP="00A10EE0">
      <w:pPr>
        <w:pStyle w:val="NoSpacing"/>
        <w:tabs>
          <w:tab w:val="left" w:pos="3544"/>
        </w:tabs>
        <w:ind w:left="3544" w:hanging="3544"/>
        <w:rPr>
          <w:sz w:val="20"/>
          <w:szCs w:val="20"/>
        </w:rPr>
      </w:pPr>
      <w:r>
        <w:rPr>
          <w:sz w:val="20"/>
          <w:szCs w:val="20"/>
        </w:rPr>
        <w:t xml:space="preserve">Associate Professor </w:t>
      </w:r>
      <w:r w:rsidRPr="00C15D72">
        <w:rPr>
          <w:sz w:val="20"/>
          <w:szCs w:val="20"/>
        </w:rPr>
        <w:t>Alison Street</w:t>
      </w:r>
      <w:r>
        <w:rPr>
          <w:sz w:val="20"/>
          <w:szCs w:val="20"/>
        </w:rPr>
        <w:tab/>
      </w:r>
      <w:r w:rsidRPr="00C15D72">
        <w:rPr>
          <w:sz w:val="20"/>
          <w:szCs w:val="20"/>
        </w:rPr>
        <w:t>Department of Health</w:t>
      </w:r>
    </w:p>
    <w:p w:rsidR="00A10EE0" w:rsidRPr="00372597" w:rsidRDefault="00A10EE0" w:rsidP="00A10EE0">
      <w:pPr>
        <w:tabs>
          <w:tab w:val="left" w:pos="2552"/>
          <w:tab w:val="left" w:pos="3544"/>
        </w:tabs>
        <w:spacing w:after="0"/>
        <w:ind w:left="3544" w:hanging="3544"/>
        <w:rPr>
          <w:rFonts w:cs="Arial"/>
          <w:sz w:val="20"/>
          <w:szCs w:val="20"/>
        </w:rPr>
      </w:pPr>
      <w:r>
        <w:rPr>
          <w:rFonts w:cs="Arial"/>
          <w:sz w:val="20"/>
          <w:szCs w:val="20"/>
        </w:rPr>
        <w:t xml:space="preserve">Ms </w:t>
      </w:r>
      <w:r w:rsidRPr="00421454">
        <w:rPr>
          <w:rFonts w:cs="Arial"/>
          <w:sz w:val="20"/>
          <w:szCs w:val="20"/>
        </w:rPr>
        <w:t>Linley Bielby</w:t>
      </w:r>
      <w:r w:rsidRPr="00372597">
        <w:rPr>
          <w:rFonts w:cs="Arial"/>
          <w:sz w:val="20"/>
          <w:szCs w:val="20"/>
        </w:rPr>
        <w:tab/>
      </w:r>
      <w:r w:rsidRPr="00372597">
        <w:rPr>
          <w:rFonts w:cs="Arial"/>
          <w:sz w:val="20"/>
          <w:szCs w:val="20"/>
        </w:rPr>
        <w:tab/>
      </w:r>
      <w:r w:rsidRPr="00421454">
        <w:rPr>
          <w:rFonts w:cs="Arial"/>
          <w:sz w:val="20"/>
          <w:szCs w:val="20"/>
        </w:rPr>
        <w:t>Manager</w:t>
      </w:r>
      <w:r>
        <w:rPr>
          <w:rFonts w:cs="Arial"/>
          <w:sz w:val="20"/>
          <w:szCs w:val="20"/>
        </w:rPr>
        <w:t>, VIC Blood Matters Program</w:t>
      </w:r>
    </w:p>
    <w:p w:rsidR="00A10EE0" w:rsidRDefault="00A10EE0" w:rsidP="00A10EE0">
      <w:pPr>
        <w:tabs>
          <w:tab w:val="left" w:pos="2552"/>
          <w:tab w:val="left" w:pos="3544"/>
        </w:tabs>
        <w:spacing w:after="0"/>
        <w:ind w:left="3544" w:hanging="3544"/>
        <w:rPr>
          <w:rFonts w:cs="Arial"/>
          <w:sz w:val="20"/>
          <w:szCs w:val="20"/>
        </w:rPr>
      </w:pPr>
      <w:r w:rsidRPr="00E6721B">
        <w:rPr>
          <w:rFonts w:cs="Arial"/>
          <w:sz w:val="20"/>
          <w:szCs w:val="20"/>
        </w:rPr>
        <w:t>Mr Neville Board</w:t>
      </w:r>
      <w:r w:rsidRPr="00E6721B">
        <w:rPr>
          <w:rFonts w:cs="Arial"/>
          <w:sz w:val="20"/>
          <w:szCs w:val="20"/>
        </w:rPr>
        <w:tab/>
      </w:r>
      <w:r w:rsidRPr="00E6721B">
        <w:rPr>
          <w:rFonts w:cs="Arial"/>
          <w:sz w:val="20"/>
          <w:szCs w:val="20"/>
        </w:rPr>
        <w:tab/>
      </w:r>
      <w:r>
        <w:rPr>
          <w:rFonts w:cs="Arial"/>
          <w:sz w:val="20"/>
          <w:szCs w:val="20"/>
        </w:rPr>
        <w:t xml:space="preserve">Director, </w:t>
      </w:r>
      <w:r w:rsidRPr="00E6721B">
        <w:rPr>
          <w:rFonts w:cs="Arial"/>
          <w:sz w:val="20"/>
          <w:szCs w:val="20"/>
        </w:rPr>
        <w:t>Australian Commission on Safety and Quality in Health Care</w:t>
      </w:r>
    </w:p>
    <w:p w:rsidR="00A10EE0" w:rsidRPr="00372597" w:rsidRDefault="00A10EE0" w:rsidP="00A10EE0">
      <w:pPr>
        <w:tabs>
          <w:tab w:val="left" w:pos="2552"/>
          <w:tab w:val="left" w:pos="3544"/>
        </w:tabs>
        <w:spacing w:after="0"/>
        <w:ind w:left="3544" w:hanging="3544"/>
        <w:rPr>
          <w:rFonts w:cs="Arial"/>
          <w:sz w:val="20"/>
          <w:szCs w:val="20"/>
        </w:rPr>
      </w:pPr>
      <w:r w:rsidRPr="00372597">
        <w:rPr>
          <w:rFonts w:cs="Arial"/>
          <w:sz w:val="20"/>
          <w:szCs w:val="20"/>
        </w:rPr>
        <w:t>Ms Maria Burgess</w:t>
      </w:r>
      <w:r w:rsidRPr="00372597">
        <w:rPr>
          <w:rFonts w:cs="Arial"/>
          <w:sz w:val="20"/>
          <w:szCs w:val="20"/>
        </w:rPr>
        <w:tab/>
      </w:r>
      <w:r w:rsidRPr="00372597">
        <w:rPr>
          <w:rFonts w:cs="Arial"/>
          <w:sz w:val="20"/>
          <w:szCs w:val="20"/>
        </w:rPr>
        <w:tab/>
        <w:t>Transfusion Nurse, ACT Health</w:t>
      </w:r>
    </w:p>
    <w:p w:rsidR="00A10EE0" w:rsidRPr="00372597" w:rsidRDefault="00A10EE0" w:rsidP="00A10EE0">
      <w:pPr>
        <w:tabs>
          <w:tab w:val="left" w:pos="3544"/>
        </w:tabs>
        <w:spacing w:after="0"/>
        <w:ind w:left="3544" w:hanging="3544"/>
        <w:rPr>
          <w:rFonts w:cs="Arial"/>
          <w:sz w:val="20"/>
          <w:szCs w:val="20"/>
        </w:rPr>
      </w:pPr>
      <w:r>
        <w:rPr>
          <w:rFonts w:cs="Arial"/>
          <w:sz w:val="20"/>
          <w:szCs w:val="20"/>
        </w:rPr>
        <w:t xml:space="preserve">Dr </w:t>
      </w:r>
      <w:proofErr w:type="spellStart"/>
      <w:r>
        <w:rPr>
          <w:rFonts w:cs="Arial"/>
          <w:sz w:val="20"/>
          <w:szCs w:val="20"/>
        </w:rPr>
        <w:t>Bronwen</w:t>
      </w:r>
      <w:proofErr w:type="spellEnd"/>
      <w:r>
        <w:rPr>
          <w:rFonts w:cs="Arial"/>
          <w:sz w:val="20"/>
          <w:szCs w:val="20"/>
        </w:rPr>
        <w:t xml:space="preserve"> Harvey</w:t>
      </w:r>
      <w:r>
        <w:rPr>
          <w:rFonts w:cs="Arial"/>
          <w:sz w:val="20"/>
          <w:szCs w:val="20"/>
        </w:rPr>
        <w:tab/>
        <w:t>Director, Therapeutic Goods Administration</w:t>
      </w:r>
    </w:p>
    <w:p w:rsidR="00A10EE0" w:rsidRPr="00372597" w:rsidRDefault="00A10EE0" w:rsidP="00A10EE0">
      <w:pPr>
        <w:tabs>
          <w:tab w:val="left" w:pos="2552"/>
          <w:tab w:val="left" w:pos="3544"/>
        </w:tabs>
        <w:spacing w:after="0"/>
        <w:ind w:left="3544" w:hanging="3544"/>
        <w:rPr>
          <w:rFonts w:cs="Arial"/>
          <w:sz w:val="20"/>
          <w:szCs w:val="20"/>
        </w:rPr>
      </w:pPr>
      <w:r w:rsidRPr="00372597">
        <w:rPr>
          <w:rFonts w:cs="Arial"/>
          <w:sz w:val="20"/>
          <w:szCs w:val="20"/>
        </w:rPr>
        <w:t xml:space="preserve">Dr </w:t>
      </w:r>
      <w:r>
        <w:rPr>
          <w:rFonts w:cs="Arial"/>
          <w:sz w:val="20"/>
          <w:szCs w:val="20"/>
        </w:rPr>
        <w:t>James Daly</w:t>
      </w:r>
      <w:r w:rsidRPr="00372597">
        <w:rPr>
          <w:rFonts w:cs="Arial"/>
          <w:sz w:val="20"/>
          <w:szCs w:val="20"/>
        </w:rPr>
        <w:tab/>
      </w:r>
      <w:r w:rsidRPr="00372597">
        <w:rPr>
          <w:rFonts w:cs="Arial"/>
          <w:sz w:val="20"/>
          <w:szCs w:val="20"/>
        </w:rPr>
        <w:tab/>
      </w:r>
      <w:r w:rsidR="00BF4117" w:rsidRPr="00BF4117">
        <w:rPr>
          <w:rFonts w:cs="Arial"/>
          <w:sz w:val="20"/>
          <w:szCs w:val="20"/>
        </w:rPr>
        <w:t>President</w:t>
      </w:r>
      <w:r w:rsidR="00BF4117">
        <w:rPr>
          <w:rFonts w:cs="Arial"/>
          <w:sz w:val="20"/>
          <w:szCs w:val="20"/>
        </w:rPr>
        <w:t xml:space="preserve">, </w:t>
      </w:r>
      <w:r w:rsidR="00BF4117" w:rsidRPr="00BF4117">
        <w:rPr>
          <w:rFonts w:cs="Arial"/>
          <w:sz w:val="20"/>
          <w:szCs w:val="20"/>
        </w:rPr>
        <w:t>Australian and New Zealand Society for Blood Transfusion</w:t>
      </w:r>
    </w:p>
    <w:p w:rsidR="00A10EE0" w:rsidRPr="00372597" w:rsidRDefault="00A10EE0" w:rsidP="00A10EE0">
      <w:pPr>
        <w:pStyle w:val="NoSpacing"/>
        <w:tabs>
          <w:tab w:val="left" w:pos="3544"/>
        </w:tabs>
        <w:ind w:left="3544" w:hanging="3544"/>
        <w:rPr>
          <w:sz w:val="20"/>
          <w:szCs w:val="20"/>
        </w:rPr>
      </w:pPr>
      <w:r>
        <w:rPr>
          <w:sz w:val="20"/>
          <w:szCs w:val="20"/>
        </w:rPr>
        <w:t xml:space="preserve">Dr </w:t>
      </w:r>
      <w:r w:rsidRPr="0010576A">
        <w:rPr>
          <w:sz w:val="20"/>
          <w:szCs w:val="20"/>
        </w:rPr>
        <w:t>Peta</w:t>
      </w:r>
      <w:r>
        <w:rPr>
          <w:sz w:val="20"/>
          <w:szCs w:val="20"/>
        </w:rPr>
        <w:t xml:space="preserve"> </w:t>
      </w:r>
      <w:r w:rsidRPr="0010576A">
        <w:rPr>
          <w:sz w:val="20"/>
          <w:szCs w:val="20"/>
        </w:rPr>
        <w:t>Dennington</w:t>
      </w:r>
      <w:r>
        <w:rPr>
          <w:sz w:val="20"/>
          <w:szCs w:val="20"/>
        </w:rPr>
        <w:tab/>
      </w:r>
      <w:r w:rsidRPr="00F1705D">
        <w:rPr>
          <w:sz w:val="20"/>
          <w:szCs w:val="20"/>
        </w:rPr>
        <w:t>Transfusion Medicine Specialist</w:t>
      </w:r>
      <w:r>
        <w:rPr>
          <w:sz w:val="20"/>
          <w:szCs w:val="20"/>
        </w:rPr>
        <w:t xml:space="preserve">, </w:t>
      </w:r>
      <w:r w:rsidRPr="0010576A">
        <w:rPr>
          <w:sz w:val="20"/>
          <w:szCs w:val="20"/>
        </w:rPr>
        <w:t>Australian Red Cross Blood Service</w:t>
      </w:r>
    </w:p>
    <w:p w:rsidR="00A10EE0" w:rsidRPr="00372597" w:rsidRDefault="00A10EE0" w:rsidP="00A10EE0">
      <w:pPr>
        <w:tabs>
          <w:tab w:val="left" w:pos="2552"/>
          <w:tab w:val="left" w:pos="3544"/>
        </w:tabs>
        <w:spacing w:after="0"/>
        <w:ind w:left="3544" w:hanging="3544"/>
        <w:rPr>
          <w:rFonts w:cs="Arial"/>
          <w:sz w:val="20"/>
          <w:szCs w:val="20"/>
        </w:rPr>
      </w:pPr>
      <w:r>
        <w:rPr>
          <w:rFonts w:cs="Arial"/>
          <w:sz w:val="20"/>
          <w:szCs w:val="20"/>
        </w:rPr>
        <w:t xml:space="preserve">Dr Jan </w:t>
      </w:r>
      <w:proofErr w:type="spellStart"/>
      <w:r>
        <w:rPr>
          <w:rFonts w:cs="Arial"/>
          <w:sz w:val="20"/>
          <w:szCs w:val="20"/>
        </w:rPr>
        <w:t>Fizzell</w:t>
      </w:r>
      <w:proofErr w:type="spellEnd"/>
      <w:r w:rsidRPr="00372597">
        <w:rPr>
          <w:rFonts w:cs="Arial"/>
          <w:sz w:val="20"/>
          <w:szCs w:val="20"/>
        </w:rPr>
        <w:tab/>
      </w:r>
      <w:r w:rsidRPr="00372597">
        <w:rPr>
          <w:rFonts w:cs="Arial"/>
          <w:sz w:val="20"/>
          <w:szCs w:val="20"/>
        </w:rPr>
        <w:tab/>
      </w:r>
      <w:r>
        <w:rPr>
          <w:rFonts w:cs="Arial"/>
          <w:sz w:val="20"/>
          <w:szCs w:val="20"/>
        </w:rPr>
        <w:t>Medical Advisor, NSW Health Department</w:t>
      </w:r>
    </w:p>
    <w:p w:rsidR="00A10EE0" w:rsidRPr="00372597" w:rsidRDefault="00A10EE0" w:rsidP="00A10EE0">
      <w:pPr>
        <w:tabs>
          <w:tab w:val="left" w:pos="2552"/>
          <w:tab w:val="left" w:pos="3544"/>
        </w:tabs>
        <w:spacing w:after="0"/>
        <w:ind w:left="3544" w:hanging="3544"/>
        <w:rPr>
          <w:rFonts w:cs="Arial"/>
          <w:sz w:val="20"/>
          <w:szCs w:val="20"/>
        </w:rPr>
      </w:pPr>
      <w:r w:rsidRPr="00372597">
        <w:rPr>
          <w:rFonts w:cs="Arial"/>
          <w:sz w:val="20"/>
          <w:szCs w:val="20"/>
        </w:rPr>
        <w:t>Ms Jenny Hargreav</w:t>
      </w:r>
      <w:r>
        <w:rPr>
          <w:rFonts w:cs="Arial"/>
          <w:sz w:val="20"/>
          <w:szCs w:val="20"/>
        </w:rPr>
        <w:t>es</w:t>
      </w:r>
      <w:r w:rsidRPr="00372597">
        <w:rPr>
          <w:rFonts w:cs="Arial"/>
          <w:sz w:val="20"/>
          <w:szCs w:val="20"/>
        </w:rPr>
        <w:tab/>
      </w:r>
      <w:r w:rsidRPr="00372597">
        <w:rPr>
          <w:rFonts w:cs="Arial"/>
          <w:sz w:val="20"/>
          <w:szCs w:val="20"/>
        </w:rPr>
        <w:tab/>
      </w:r>
      <w:r>
        <w:rPr>
          <w:rFonts w:cs="Arial"/>
          <w:sz w:val="20"/>
          <w:szCs w:val="20"/>
        </w:rPr>
        <w:t xml:space="preserve">Senior Executive, </w:t>
      </w:r>
      <w:r w:rsidRPr="00372597">
        <w:rPr>
          <w:rFonts w:cs="Arial"/>
          <w:sz w:val="20"/>
          <w:szCs w:val="20"/>
        </w:rPr>
        <w:t>Australian Institute of Health and Welfare</w:t>
      </w:r>
    </w:p>
    <w:p w:rsidR="00A10EE0" w:rsidRPr="00372597" w:rsidRDefault="00A10EE0" w:rsidP="00A10EE0">
      <w:pPr>
        <w:tabs>
          <w:tab w:val="left" w:pos="2552"/>
          <w:tab w:val="left" w:pos="3544"/>
        </w:tabs>
        <w:spacing w:after="0"/>
        <w:ind w:left="3544" w:hanging="3544"/>
        <w:rPr>
          <w:rFonts w:cs="Arial"/>
          <w:sz w:val="20"/>
          <w:szCs w:val="20"/>
        </w:rPr>
      </w:pPr>
      <w:r w:rsidRPr="00372597">
        <w:rPr>
          <w:rFonts w:cs="Arial"/>
          <w:sz w:val="20"/>
          <w:szCs w:val="20"/>
        </w:rPr>
        <w:t>Dr Anne Haughton</w:t>
      </w:r>
      <w:r w:rsidRPr="00372597">
        <w:rPr>
          <w:rFonts w:cs="Arial"/>
          <w:sz w:val="20"/>
          <w:szCs w:val="20"/>
        </w:rPr>
        <w:tab/>
      </w:r>
      <w:r w:rsidRPr="00372597">
        <w:rPr>
          <w:rFonts w:cs="Arial"/>
          <w:sz w:val="20"/>
          <w:szCs w:val="20"/>
        </w:rPr>
        <w:tab/>
      </w:r>
      <w:r w:rsidRPr="002806AB">
        <w:rPr>
          <w:rFonts w:cs="Arial"/>
          <w:sz w:val="20"/>
          <w:szCs w:val="20"/>
        </w:rPr>
        <w:t xml:space="preserve">Haematologist, </w:t>
      </w:r>
      <w:r w:rsidRPr="00372597">
        <w:rPr>
          <w:rFonts w:cs="Arial"/>
          <w:sz w:val="20"/>
          <w:szCs w:val="20"/>
        </w:rPr>
        <w:t>Australian Association of Pathology Practices</w:t>
      </w:r>
    </w:p>
    <w:p w:rsidR="00A10EE0" w:rsidRDefault="00A10EE0" w:rsidP="00A10EE0">
      <w:pPr>
        <w:pStyle w:val="NoSpacing"/>
        <w:tabs>
          <w:tab w:val="left" w:pos="3544"/>
        </w:tabs>
        <w:ind w:left="3544" w:hanging="3544"/>
        <w:rPr>
          <w:sz w:val="20"/>
          <w:szCs w:val="20"/>
        </w:rPr>
      </w:pPr>
      <w:r w:rsidRPr="00372597">
        <w:rPr>
          <w:sz w:val="20"/>
          <w:szCs w:val="20"/>
        </w:rPr>
        <w:t>Dr Chris Hogan</w:t>
      </w:r>
      <w:r w:rsidRPr="00372597">
        <w:rPr>
          <w:sz w:val="20"/>
          <w:szCs w:val="20"/>
        </w:rPr>
        <w:tab/>
      </w:r>
      <w:r w:rsidRPr="00F1705D">
        <w:rPr>
          <w:sz w:val="20"/>
          <w:szCs w:val="20"/>
        </w:rPr>
        <w:t>Haematologist</w:t>
      </w:r>
      <w:r>
        <w:rPr>
          <w:sz w:val="20"/>
          <w:szCs w:val="20"/>
        </w:rPr>
        <w:t xml:space="preserve">, </w:t>
      </w:r>
      <w:r w:rsidRPr="00372597">
        <w:rPr>
          <w:sz w:val="20"/>
          <w:szCs w:val="20"/>
        </w:rPr>
        <w:t>Australian Red Cross Blood Service</w:t>
      </w:r>
    </w:p>
    <w:p w:rsidR="00A10EE0" w:rsidRPr="00372597" w:rsidRDefault="00A10EE0" w:rsidP="00A10EE0">
      <w:pPr>
        <w:tabs>
          <w:tab w:val="left" w:pos="2552"/>
          <w:tab w:val="left" w:pos="3544"/>
        </w:tabs>
        <w:spacing w:after="0"/>
        <w:ind w:left="3544" w:hanging="3544"/>
        <w:rPr>
          <w:rFonts w:cs="Arial"/>
          <w:sz w:val="20"/>
          <w:szCs w:val="20"/>
        </w:rPr>
      </w:pPr>
      <w:r w:rsidRPr="00372597">
        <w:rPr>
          <w:rFonts w:cs="Arial"/>
          <w:sz w:val="20"/>
          <w:szCs w:val="20"/>
        </w:rPr>
        <w:t xml:space="preserve">Dr Bevan </w:t>
      </w:r>
      <w:proofErr w:type="spellStart"/>
      <w:r w:rsidRPr="00372597">
        <w:rPr>
          <w:rFonts w:cs="Arial"/>
          <w:sz w:val="20"/>
          <w:szCs w:val="20"/>
        </w:rPr>
        <w:t>Hokin</w:t>
      </w:r>
      <w:proofErr w:type="spellEnd"/>
      <w:r w:rsidRPr="00372597">
        <w:rPr>
          <w:rFonts w:cs="Arial"/>
          <w:sz w:val="20"/>
          <w:szCs w:val="20"/>
        </w:rPr>
        <w:tab/>
      </w:r>
      <w:r w:rsidRPr="00372597">
        <w:rPr>
          <w:rFonts w:cs="Arial"/>
          <w:sz w:val="20"/>
          <w:szCs w:val="20"/>
        </w:rPr>
        <w:tab/>
      </w:r>
      <w:r>
        <w:rPr>
          <w:rFonts w:cs="Arial"/>
          <w:sz w:val="20"/>
          <w:szCs w:val="20"/>
        </w:rPr>
        <w:t xml:space="preserve">Pathology Director, </w:t>
      </w:r>
      <w:r w:rsidRPr="00372597">
        <w:rPr>
          <w:rFonts w:cs="Arial"/>
          <w:sz w:val="20"/>
          <w:szCs w:val="20"/>
        </w:rPr>
        <w:t>Australian Private Hospitals Association</w:t>
      </w:r>
    </w:p>
    <w:p w:rsidR="00A10EE0" w:rsidRPr="00372597" w:rsidRDefault="00A10EE0" w:rsidP="00A10EE0">
      <w:pPr>
        <w:tabs>
          <w:tab w:val="left" w:pos="2552"/>
          <w:tab w:val="left" w:pos="3544"/>
        </w:tabs>
        <w:spacing w:after="0"/>
        <w:ind w:left="3544" w:hanging="3544"/>
        <w:rPr>
          <w:rFonts w:cs="Arial"/>
          <w:sz w:val="20"/>
          <w:szCs w:val="20"/>
        </w:rPr>
      </w:pPr>
      <w:r>
        <w:rPr>
          <w:rFonts w:cs="Arial"/>
          <w:sz w:val="20"/>
          <w:szCs w:val="20"/>
        </w:rPr>
        <w:t>Dr David Forbes</w:t>
      </w:r>
      <w:r w:rsidRPr="00372597">
        <w:rPr>
          <w:rFonts w:cs="Arial"/>
          <w:sz w:val="20"/>
          <w:szCs w:val="20"/>
        </w:rPr>
        <w:tab/>
      </w:r>
      <w:r w:rsidRPr="00372597">
        <w:rPr>
          <w:rFonts w:cs="Arial"/>
          <w:sz w:val="20"/>
          <w:szCs w:val="20"/>
        </w:rPr>
        <w:tab/>
      </w:r>
      <w:r>
        <w:rPr>
          <w:rFonts w:cs="Arial"/>
          <w:sz w:val="20"/>
          <w:szCs w:val="20"/>
        </w:rPr>
        <w:t>Senior Clinical Advisor, WA Health</w:t>
      </w:r>
    </w:p>
    <w:p w:rsidR="00A10EE0" w:rsidRPr="00372597" w:rsidRDefault="00A10EE0" w:rsidP="00A10EE0">
      <w:pPr>
        <w:tabs>
          <w:tab w:val="left" w:pos="2552"/>
          <w:tab w:val="left" w:pos="3544"/>
        </w:tabs>
        <w:spacing w:after="0"/>
        <w:ind w:left="3544" w:hanging="3544"/>
        <w:rPr>
          <w:rFonts w:cs="Arial"/>
          <w:sz w:val="20"/>
          <w:szCs w:val="20"/>
        </w:rPr>
      </w:pPr>
      <w:r>
        <w:rPr>
          <w:rFonts w:cs="Arial"/>
          <w:sz w:val="20"/>
          <w:szCs w:val="20"/>
        </w:rPr>
        <w:t>Ms Susan McGregor</w:t>
      </w:r>
      <w:r w:rsidRPr="00372597">
        <w:rPr>
          <w:rFonts w:cs="Arial"/>
          <w:sz w:val="20"/>
          <w:szCs w:val="20"/>
        </w:rPr>
        <w:tab/>
      </w:r>
      <w:r w:rsidRPr="00372597">
        <w:rPr>
          <w:rFonts w:cs="Arial"/>
          <w:sz w:val="20"/>
          <w:szCs w:val="20"/>
        </w:rPr>
        <w:tab/>
        <w:t>Transfusion Nurse, Western Health</w:t>
      </w:r>
    </w:p>
    <w:p w:rsidR="00A10EE0" w:rsidRDefault="00A10EE0" w:rsidP="00A10EE0">
      <w:pPr>
        <w:tabs>
          <w:tab w:val="left" w:pos="2552"/>
          <w:tab w:val="left" w:pos="3544"/>
        </w:tabs>
        <w:spacing w:after="0"/>
        <w:ind w:left="3544" w:hanging="3544"/>
        <w:rPr>
          <w:rFonts w:cs="Arial"/>
          <w:sz w:val="20"/>
          <w:szCs w:val="20"/>
        </w:rPr>
      </w:pPr>
      <w:r w:rsidRPr="00372597">
        <w:rPr>
          <w:rFonts w:cs="Arial"/>
          <w:sz w:val="20"/>
          <w:szCs w:val="20"/>
        </w:rPr>
        <w:t>Professor John McNeil</w:t>
      </w:r>
      <w:r w:rsidRPr="00372597">
        <w:rPr>
          <w:rFonts w:cs="Arial"/>
          <w:sz w:val="20"/>
          <w:szCs w:val="20"/>
        </w:rPr>
        <w:tab/>
      </w:r>
      <w:r w:rsidRPr="00372597">
        <w:rPr>
          <w:rFonts w:cs="Arial"/>
          <w:sz w:val="20"/>
          <w:szCs w:val="20"/>
        </w:rPr>
        <w:tab/>
      </w:r>
      <w:r w:rsidRPr="00C15D72">
        <w:rPr>
          <w:rFonts w:cs="Arial"/>
          <w:sz w:val="20"/>
          <w:szCs w:val="20"/>
        </w:rPr>
        <w:t xml:space="preserve">Epidemiologist, </w:t>
      </w:r>
      <w:r w:rsidRPr="00372597">
        <w:rPr>
          <w:rFonts w:cs="Arial"/>
          <w:sz w:val="20"/>
          <w:szCs w:val="20"/>
        </w:rPr>
        <w:t>Monash University School of Public Health and</w:t>
      </w:r>
    </w:p>
    <w:p w:rsidR="00A10EE0" w:rsidRPr="00372597" w:rsidRDefault="00A10EE0" w:rsidP="00A10EE0">
      <w:pPr>
        <w:tabs>
          <w:tab w:val="left" w:pos="3544"/>
        </w:tabs>
        <w:spacing w:after="0"/>
        <w:ind w:left="3544" w:hanging="3544"/>
        <w:rPr>
          <w:rFonts w:cs="Arial"/>
          <w:sz w:val="20"/>
          <w:szCs w:val="20"/>
        </w:rPr>
      </w:pPr>
      <w:r>
        <w:rPr>
          <w:rFonts w:cs="Arial"/>
          <w:sz w:val="20"/>
          <w:szCs w:val="20"/>
        </w:rPr>
        <w:tab/>
      </w:r>
      <w:r w:rsidRPr="00372597">
        <w:rPr>
          <w:rFonts w:cs="Arial"/>
          <w:sz w:val="20"/>
          <w:szCs w:val="20"/>
        </w:rPr>
        <w:t>Preventive Medicine</w:t>
      </w:r>
    </w:p>
    <w:p w:rsidR="00A10EE0" w:rsidRPr="00372597" w:rsidRDefault="00A10EE0" w:rsidP="00A10EE0">
      <w:pPr>
        <w:tabs>
          <w:tab w:val="left" w:pos="2552"/>
          <w:tab w:val="left" w:pos="3544"/>
        </w:tabs>
        <w:spacing w:after="0"/>
        <w:ind w:left="3544" w:hanging="3544"/>
        <w:rPr>
          <w:rFonts w:cs="Arial"/>
          <w:sz w:val="20"/>
          <w:szCs w:val="20"/>
        </w:rPr>
      </w:pPr>
      <w:r w:rsidRPr="00E6721B">
        <w:rPr>
          <w:rFonts w:cs="Arial"/>
          <w:sz w:val="20"/>
          <w:szCs w:val="20"/>
        </w:rPr>
        <w:t>Associate Professor Erica Wood</w:t>
      </w:r>
      <w:r w:rsidRPr="00E6721B">
        <w:rPr>
          <w:rFonts w:cs="Arial"/>
          <w:sz w:val="20"/>
          <w:szCs w:val="20"/>
        </w:rPr>
        <w:tab/>
      </w:r>
      <w:r w:rsidR="00BF4117">
        <w:rPr>
          <w:rFonts w:cs="Arial"/>
          <w:sz w:val="20"/>
          <w:szCs w:val="20"/>
        </w:rPr>
        <w:t xml:space="preserve">President, International </w:t>
      </w:r>
      <w:proofErr w:type="spellStart"/>
      <w:r w:rsidR="00BF4117">
        <w:rPr>
          <w:rFonts w:cs="Arial"/>
          <w:sz w:val="20"/>
          <w:szCs w:val="20"/>
        </w:rPr>
        <w:t>Haemovigilance</w:t>
      </w:r>
      <w:proofErr w:type="spellEnd"/>
      <w:r w:rsidR="00BF4117">
        <w:rPr>
          <w:rFonts w:cs="Arial"/>
          <w:sz w:val="20"/>
          <w:szCs w:val="20"/>
        </w:rPr>
        <w:t xml:space="preserve"> Network</w:t>
      </w:r>
    </w:p>
    <w:p w:rsidR="00A10EE0" w:rsidRDefault="00A10EE0" w:rsidP="00A10EE0">
      <w:pPr>
        <w:tabs>
          <w:tab w:val="left" w:pos="2552"/>
        </w:tabs>
        <w:spacing w:after="0"/>
        <w:rPr>
          <w:rFonts w:cs="Arial"/>
          <w:sz w:val="20"/>
          <w:szCs w:val="20"/>
        </w:rPr>
      </w:pPr>
    </w:p>
    <w:p w:rsidR="00A10EE0" w:rsidRPr="00272720" w:rsidRDefault="00A10EE0" w:rsidP="00A10EE0">
      <w:pPr>
        <w:pBdr>
          <w:bottom w:val="single" w:sz="4" w:space="1" w:color="auto"/>
        </w:pBdr>
        <w:rPr>
          <w:rFonts w:ascii="Arial" w:hAnsi="Arial" w:cs="Arial"/>
          <w:b/>
          <w:sz w:val="28"/>
          <w:szCs w:val="28"/>
        </w:rPr>
      </w:pPr>
      <w:r w:rsidRPr="00272720">
        <w:rPr>
          <w:rFonts w:ascii="Arial" w:hAnsi="Arial" w:cs="Arial"/>
          <w:b/>
          <w:sz w:val="28"/>
          <w:szCs w:val="28"/>
        </w:rPr>
        <w:t>National Blood Authority</w:t>
      </w:r>
    </w:p>
    <w:p w:rsidR="00A10EE0" w:rsidRPr="00B14CC1" w:rsidRDefault="00A10EE0" w:rsidP="00A10EE0">
      <w:pPr>
        <w:tabs>
          <w:tab w:val="left" w:pos="2835"/>
        </w:tabs>
        <w:spacing w:after="0"/>
        <w:rPr>
          <w:rFonts w:cs="Arial"/>
          <w:sz w:val="20"/>
          <w:szCs w:val="20"/>
        </w:rPr>
      </w:pPr>
      <w:r>
        <w:rPr>
          <w:rFonts w:cs="Arial"/>
          <w:sz w:val="20"/>
          <w:szCs w:val="20"/>
        </w:rPr>
        <w:t>Mr Michael Stone</w:t>
      </w:r>
      <w:r w:rsidRPr="00B14CC1">
        <w:rPr>
          <w:rFonts w:cs="Arial"/>
          <w:sz w:val="20"/>
          <w:szCs w:val="20"/>
        </w:rPr>
        <w:tab/>
      </w:r>
      <w:r>
        <w:rPr>
          <w:rFonts w:cs="Arial"/>
          <w:sz w:val="20"/>
          <w:szCs w:val="20"/>
        </w:rPr>
        <w:tab/>
      </w:r>
      <w:r>
        <w:rPr>
          <w:rFonts w:cs="Arial"/>
          <w:sz w:val="20"/>
          <w:szCs w:val="20"/>
        </w:rPr>
        <w:tab/>
        <w:t>Acting General Manager</w:t>
      </w:r>
    </w:p>
    <w:p w:rsidR="00A10EE0" w:rsidRPr="00B14CC1" w:rsidRDefault="00A10EE0" w:rsidP="00A10EE0">
      <w:pPr>
        <w:tabs>
          <w:tab w:val="left" w:pos="2835"/>
        </w:tabs>
        <w:spacing w:after="0"/>
        <w:rPr>
          <w:rFonts w:cs="Arial"/>
          <w:sz w:val="20"/>
          <w:szCs w:val="20"/>
        </w:rPr>
      </w:pPr>
      <w:r w:rsidRPr="00B14CC1">
        <w:rPr>
          <w:rFonts w:cs="Arial"/>
          <w:sz w:val="20"/>
          <w:szCs w:val="20"/>
        </w:rPr>
        <w:t>M</w:t>
      </w:r>
      <w:r>
        <w:rPr>
          <w:rFonts w:cs="Arial"/>
          <w:sz w:val="20"/>
          <w:szCs w:val="20"/>
        </w:rPr>
        <w:t>s Sandra Cochrane</w:t>
      </w:r>
      <w:r w:rsidRPr="00B14CC1">
        <w:rPr>
          <w:rFonts w:cs="Arial"/>
          <w:sz w:val="20"/>
          <w:szCs w:val="20"/>
        </w:rPr>
        <w:tab/>
      </w:r>
      <w:r>
        <w:rPr>
          <w:rFonts w:cs="Arial"/>
          <w:sz w:val="20"/>
          <w:szCs w:val="20"/>
        </w:rPr>
        <w:tab/>
      </w:r>
      <w:r>
        <w:rPr>
          <w:rFonts w:cs="Arial"/>
          <w:sz w:val="20"/>
          <w:szCs w:val="20"/>
        </w:rPr>
        <w:tab/>
      </w:r>
      <w:r w:rsidRPr="00800904">
        <w:rPr>
          <w:rFonts w:cs="Arial"/>
          <w:sz w:val="20"/>
          <w:szCs w:val="20"/>
        </w:rPr>
        <w:t>Executive Director</w:t>
      </w:r>
      <w:r>
        <w:rPr>
          <w:rFonts w:cs="Arial"/>
          <w:sz w:val="20"/>
          <w:szCs w:val="20"/>
        </w:rPr>
        <w:t>, Fresh, Data &amp; Clinical Development</w:t>
      </w:r>
    </w:p>
    <w:p w:rsidR="00A10EE0" w:rsidRDefault="00A10EE0" w:rsidP="00A10EE0">
      <w:pPr>
        <w:tabs>
          <w:tab w:val="left" w:pos="2835"/>
        </w:tabs>
        <w:spacing w:after="0"/>
        <w:rPr>
          <w:rFonts w:cs="Arial"/>
          <w:sz w:val="20"/>
          <w:szCs w:val="20"/>
        </w:rPr>
      </w:pPr>
      <w:r>
        <w:rPr>
          <w:rFonts w:cs="Arial"/>
          <w:sz w:val="20"/>
          <w:szCs w:val="20"/>
        </w:rPr>
        <w:t>Ms Suzie Cong</w:t>
      </w:r>
      <w:r>
        <w:rPr>
          <w:rFonts w:cs="Arial"/>
          <w:sz w:val="20"/>
          <w:szCs w:val="20"/>
        </w:rPr>
        <w:tab/>
      </w:r>
      <w:r>
        <w:rPr>
          <w:rFonts w:cs="Arial"/>
          <w:sz w:val="20"/>
          <w:szCs w:val="20"/>
        </w:rPr>
        <w:tab/>
      </w:r>
      <w:r>
        <w:rPr>
          <w:rFonts w:cs="Arial"/>
          <w:sz w:val="20"/>
          <w:szCs w:val="20"/>
        </w:rPr>
        <w:tab/>
        <w:t>Senior Data Analyst, Data and Information Analysis</w:t>
      </w:r>
    </w:p>
    <w:p w:rsidR="004972F7" w:rsidRDefault="004972F7" w:rsidP="00A10EE0">
      <w:pPr>
        <w:tabs>
          <w:tab w:val="left" w:pos="2835"/>
        </w:tabs>
        <w:spacing w:after="0"/>
        <w:rPr>
          <w:rFonts w:cs="Arial"/>
          <w:sz w:val="20"/>
          <w:szCs w:val="20"/>
        </w:rPr>
      </w:pPr>
      <w:r>
        <w:rPr>
          <w:rFonts w:cs="Arial"/>
          <w:sz w:val="20"/>
          <w:szCs w:val="20"/>
        </w:rPr>
        <w:t>Ms Allison Peters</w:t>
      </w:r>
      <w:r w:rsidRPr="004972F7">
        <w:rPr>
          <w:rFonts w:cs="Arial"/>
          <w:sz w:val="20"/>
          <w:szCs w:val="20"/>
        </w:rPr>
        <w:t xml:space="preserve"> </w:t>
      </w:r>
      <w:r>
        <w:rPr>
          <w:rFonts w:cs="Arial"/>
          <w:sz w:val="20"/>
          <w:szCs w:val="20"/>
        </w:rPr>
        <w:tab/>
      </w:r>
      <w:r>
        <w:rPr>
          <w:rFonts w:cs="Arial"/>
          <w:sz w:val="20"/>
          <w:szCs w:val="20"/>
        </w:rPr>
        <w:tab/>
      </w:r>
      <w:r>
        <w:rPr>
          <w:rFonts w:cs="Arial"/>
          <w:sz w:val="20"/>
          <w:szCs w:val="20"/>
        </w:rPr>
        <w:tab/>
        <w:t>Senior Data Analyst, Data and Information Analysis</w:t>
      </w:r>
    </w:p>
    <w:p w:rsidR="00A10EE0" w:rsidRPr="00B14CC1" w:rsidRDefault="00A10EE0" w:rsidP="00A10EE0">
      <w:pPr>
        <w:tabs>
          <w:tab w:val="left" w:pos="2835"/>
        </w:tabs>
        <w:spacing w:after="0"/>
        <w:rPr>
          <w:rFonts w:cs="Arial"/>
          <w:sz w:val="20"/>
          <w:szCs w:val="20"/>
        </w:rPr>
      </w:pPr>
    </w:p>
    <w:p w:rsidR="00A10EE0" w:rsidRPr="00272720" w:rsidRDefault="00A10EE0" w:rsidP="00A10EE0">
      <w:pPr>
        <w:pBdr>
          <w:bottom w:val="single" w:sz="4" w:space="1" w:color="auto"/>
        </w:pBdr>
        <w:rPr>
          <w:rFonts w:ascii="Arial" w:hAnsi="Arial" w:cs="Arial"/>
          <w:b/>
          <w:sz w:val="28"/>
          <w:szCs w:val="28"/>
        </w:rPr>
      </w:pPr>
      <w:r w:rsidRPr="00272720">
        <w:rPr>
          <w:rFonts w:ascii="Arial" w:hAnsi="Arial" w:cs="Arial"/>
          <w:b/>
          <w:sz w:val="28"/>
          <w:szCs w:val="28"/>
        </w:rPr>
        <w:t>Australian Government and State and Territory Contributors</w:t>
      </w:r>
    </w:p>
    <w:p w:rsidR="00A10EE0" w:rsidRPr="00B14CC1" w:rsidRDefault="00A10EE0" w:rsidP="00A10EE0">
      <w:pPr>
        <w:spacing w:after="0"/>
        <w:rPr>
          <w:rFonts w:cs="Arial"/>
          <w:sz w:val="20"/>
          <w:szCs w:val="20"/>
        </w:rPr>
      </w:pPr>
      <w:r>
        <w:rPr>
          <w:rFonts w:cs="Arial"/>
          <w:sz w:val="20"/>
          <w:szCs w:val="20"/>
        </w:rPr>
        <w:t>NSW Health</w:t>
      </w:r>
      <w:r w:rsidRPr="00B14CC1">
        <w:rPr>
          <w:rFonts w:cs="Arial"/>
          <w:sz w:val="20"/>
          <w:szCs w:val="20"/>
        </w:rPr>
        <w:t xml:space="preserve"> Clinical Excellence Commission</w:t>
      </w:r>
      <w:r>
        <w:rPr>
          <w:rFonts w:cs="Arial"/>
          <w:sz w:val="20"/>
          <w:szCs w:val="20"/>
        </w:rPr>
        <w:t xml:space="preserve"> Blood Watch Program</w:t>
      </w:r>
    </w:p>
    <w:p w:rsidR="00A10EE0" w:rsidRDefault="00A10EE0" w:rsidP="00A10EE0">
      <w:pPr>
        <w:spacing w:after="0"/>
        <w:rPr>
          <w:rFonts w:cs="Arial"/>
          <w:sz w:val="20"/>
          <w:szCs w:val="20"/>
        </w:rPr>
      </w:pPr>
      <w:r>
        <w:rPr>
          <w:rFonts w:cs="Arial"/>
          <w:sz w:val="20"/>
          <w:szCs w:val="20"/>
        </w:rPr>
        <w:t>VIC Department of Health and Human Services</w:t>
      </w:r>
      <w:r w:rsidRPr="00B14CC1">
        <w:rPr>
          <w:rFonts w:cs="Arial"/>
          <w:sz w:val="20"/>
          <w:szCs w:val="20"/>
        </w:rPr>
        <w:t xml:space="preserve"> </w:t>
      </w:r>
      <w:r>
        <w:rPr>
          <w:rFonts w:cs="Arial"/>
          <w:sz w:val="20"/>
          <w:szCs w:val="20"/>
        </w:rPr>
        <w:t>Blood Matters Program</w:t>
      </w:r>
    </w:p>
    <w:p w:rsidR="00A10EE0" w:rsidRPr="00B14CC1" w:rsidRDefault="00A10EE0" w:rsidP="00A10EE0">
      <w:pPr>
        <w:spacing w:after="0"/>
        <w:rPr>
          <w:rFonts w:cs="Arial"/>
          <w:sz w:val="20"/>
          <w:szCs w:val="20"/>
        </w:rPr>
      </w:pPr>
      <w:r>
        <w:rPr>
          <w:rFonts w:cs="Arial"/>
          <w:sz w:val="20"/>
          <w:szCs w:val="20"/>
        </w:rPr>
        <w:t>Q</w:t>
      </w:r>
      <w:r w:rsidR="00D7035B">
        <w:rPr>
          <w:rFonts w:cs="Arial"/>
          <w:sz w:val="20"/>
          <w:szCs w:val="20"/>
        </w:rPr>
        <w:t>LD</w:t>
      </w:r>
      <w:r>
        <w:rPr>
          <w:rFonts w:cs="Arial"/>
          <w:sz w:val="20"/>
          <w:szCs w:val="20"/>
        </w:rPr>
        <w:t xml:space="preserve"> Health</w:t>
      </w:r>
    </w:p>
    <w:p w:rsidR="00A10EE0" w:rsidRDefault="00A10EE0" w:rsidP="00A10EE0">
      <w:pPr>
        <w:spacing w:after="0"/>
        <w:rPr>
          <w:rFonts w:cs="Arial"/>
          <w:sz w:val="20"/>
          <w:szCs w:val="20"/>
        </w:rPr>
      </w:pPr>
      <w:r w:rsidRPr="00B14CC1">
        <w:rPr>
          <w:rFonts w:cs="Arial"/>
          <w:sz w:val="20"/>
          <w:szCs w:val="20"/>
        </w:rPr>
        <w:t>S</w:t>
      </w:r>
      <w:r>
        <w:rPr>
          <w:rFonts w:cs="Arial"/>
          <w:sz w:val="20"/>
          <w:szCs w:val="20"/>
        </w:rPr>
        <w:t>A Health</w:t>
      </w:r>
      <w:r w:rsidRPr="00B14CC1">
        <w:rPr>
          <w:rFonts w:cs="Arial"/>
          <w:sz w:val="20"/>
          <w:szCs w:val="20"/>
        </w:rPr>
        <w:t xml:space="preserve"> </w:t>
      </w:r>
      <w:proofErr w:type="spellStart"/>
      <w:r w:rsidRPr="00B14CC1">
        <w:rPr>
          <w:rFonts w:cs="Arial"/>
          <w:sz w:val="20"/>
          <w:szCs w:val="20"/>
        </w:rPr>
        <w:t>BloodSafe</w:t>
      </w:r>
      <w:proofErr w:type="spellEnd"/>
      <w:r w:rsidRPr="00B14CC1">
        <w:rPr>
          <w:rFonts w:cs="Arial"/>
          <w:sz w:val="20"/>
          <w:szCs w:val="20"/>
        </w:rPr>
        <w:t xml:space="preserve"> </w:t>
      </w:r>
      <w:r>
        <w:rPr>
          <w:rFonts w:cs="Arial"/>
          <w:sz w:val="20"/>
          <w:szCs w:val="20"/>
        </w:rPr>
        <w:t>P</w:t>
      </w:r>
      <w:r w:rsidRPr="00B14CC1">
        <w:rPr>
          <w:rFonts w:cs="Arial"/>
          <w:sz w:val="20"/>
          <w:szCs w:val="20"/>
        </w:rPr>
        <w:t>rogram</w:t>
      </w:r>
    </w:p>
    <w:p w:rsidR="00A10EE0" w:rsidRDefault="00A10EE0" w:rsidP="00A10EE0">
      <w:pPr>
        <w:spacing w:after="0"/>
        <w:rPr>
          <w:rFonts w:cs="Arial"/>
          <w:sz w:val="20"/>
          <w:szCs w:val="20"/>
        </w:rPr>
      </w:pPr>
      <w:r>
        <w:rPr>
          <w:rFonts w:cs="Arial"/>
          <w:sz w:val="20"/>
          <w:szCs w:val="20"/>
        </w:rPr>
        <w:t>WA Department of Health</w:t>
      </w:r>
    </w:p>
    <w:p w:rsidR="00A10EE0" w:rsidRDefault="00A10EE0" w:rsidP="00A10EE0">
      <w:pPr>
        <w:spacing w:after="0"/>
        <w:rPr>
          <w:rFonts w:cs="Arial"/>
          <w:sz w:val="20"/>
          <w:szCs w:val="20"/>
        </w:rPr>
      </w:pPr>
      <w:r>
        <w:rPr>
          <w:rFonts w:cs="Arial"/>
          <w:sz w:val="20"/>
          <w:szCs w:val="20"/>
        </w:rPr>
        <w:t>TAS Department of Health and Human Services</w:t>
      </w:r>
    </w:p>
    <w:p w:rsidR="00A10EE0" w:rsidRDefault="00A10EE0" w:rsidP="00A10EE0">
      <w:pPr>
        <w:spacing w:after="0"/>
        <w:rPr>
          <w:rFonts w:cs="Arial"/>
          <w:sz w:val="20"/>
          <w:szCs w:val="20"/>
        </w:rPr>
      </w:pPr>
      <w:r>
        <w:rPr>
          <w:rFonts w:cs="Arial"/>
          <w:sz w:val="20"/>
          <w:szCs w:val="20"/>
        </w:rPr>
        <w:t>ACT Health</w:t>
      </w:r>
    </w:p>
    <w:p w:rsidR="00A10EE0" w:rsidRDefault="00A10EE0" w:rsidP="00A10EE0">
      <w:pPr>
        <w:spacing w:after="0"/>
        <w:rPr>
          <w:rFonts w:cs="Arial"/>
          <w:sz w:val="20"/>
          <w:szCs w:val="20"/>
        </w:rPr>
      </w:pPr>
      <w:r w:rsidRPr="003A0DDC">
        <w:rPr>
          <w:rFonts w:cs="Arial"/>
          <w:sz w:val="20"/>
          <w:szCs w:val="20"/>
        </w:rPr>
        <w:t>N</w:t>
      </w:r>
      <w:r>
        <w:rPr>
          <w:rFonts w:cs="Arial"/>
          <w:sz w:val="20"/>
          <w:szCs w:val="20"/>
        </w:rPr>
        <w:t>T</w:t>
      </w:r>
      <w:r w:rsidRPr="003A0DDC">
        <w:rPr>
          <w:rFonts w:cs="Arial"/>
          <w:sz w:val="20"/>
          <w:szCs w:val="20"/>
        </w:rPr>
        <w:t xml:space="preserve"> Department of Health</w:t>
      </w:r>
    </w:p>
    <w:p w:rsidR="00A10EE0" w:rsidRPr="00B14CC1" w:rsidRDefault="00A10EE0" w:rsidP="00A10EE0">
      <w:pPr>
        <w:spacing w:after="0"/>
        <w:rPr>
          <w:rFonts w:cs="Arial"/>
          <w:sz w:val="20"/>
          <w:szCs w:val="20"/>
        </w:rPr>
      </w:pPr>
    </w:p>
    <w:p w:rsidR="00A10EE0" w:rsidRPr="00272720" w:rsidRDefault="00A10EE0" w:rsidP="00A10EE0">
      <w:pPr>
        <w:pBdr>
          <w:bottom w:val="single" w:sz="4" w:space="1" w:color="auto"/>
        </w:pBdr>
        <w:rPr>
          <w:rFonts w:ascii="Arial" w:hAnsi="Arial" w:cs="Arial"/>
          <w:b/>
          <w:sz w:val="28"/>
          <w:szCs w:val="28"/>
        </w:rPr>
      </w:pPr>
      <w:r w:rsidRPr="00272720">
        <w:rPr>
          <w:rFonts w:ascii="Arial" w:hAnsi="Arial" w:cs="Arial"/>
          <w:b/>
          <w:sz w:val="28"/>
          <w:szCs w:val="28"/>
        </w:rPr>
        <w:t>Writing Group</w:t>
      </w:r>
    </w:p>
    <w:p w:rsidR="00A10EE0" w:rsidRPr="00C5188F" w:rsidRDefault="00A10EE0" w:rsidP="00A10EE0">
      <w:pPr>
        <w:rPr>
          <w:rFonts w:cs="Arial"/>
          <w:sz w:val="20"/>
          <w:szCs w:val="20"/>
        </w:rPr>
      </w:pPr>
      <w:r w:rsidRPr="00B14CC1">
        <w:rPr>
          <w:rFonts w:cs="Arial"/>
          <w:sz w:val="20"/>
          <w:szCs w:val="20"/>
        </w:rPr>
        <w:t>This report was prepared on behalf of the National Blood Authority and the Haemovigilance Advisory Com</w:t>
      </w:r>
      <w:r>
        <w:rPr>
          <w:rFonts w:cs="Arial"/>
          <w:sz w:val="20"/>
          <w:szCs w:val="20"/>
        </w:rPr>
        <w:t xml:space="preserve">mittee by </w:t>
      </w:r>
      <w:r w:rsidRPr="00C5188F">
        <w:rPr>
          <w:rFonts w:cs="Arial"/>
          <w:sz w:val="20"/>
          <w:szCs w:val="20"/>
        </w:rPr>
        <w:t>Ms Suzie Cong</w:t>
      </w:r>
      <w:r>
        <w:rPr>
          <w:rFonts w:cs="Arial"/>
          <w:sz w:val="20"/>
          <w:szCs w:val="20"/>
        </w:rPr>
        <w:t>.</w:t>
      </w:r>
    </w:p>
    <w:p w:rsidR="00A10EE0" w:rsidRDefault="00A10EE0" w:rsidP="00A10EE0">
      <w:pPr>
        <w:spacing w:after="0"/>
        <w:rPr>
          <w:rFonts w:asciiTheme="minorHAnsi" w:hAnsiTheme="minorHAnsi" w:cstheme="minorHAnsi"/>
          <w:lang w:eastAsia="en-AU"/>
        </w:rPr>
      </w:pPr>
    </w:p>
    <w:p w:rsidR="00A10EE0" w:rsidRDefault="00A10EE0" w:rsidP="00A10EE0">
      <w:pPr>
        <w:spacing w:after="0"/>
        <w:rPr>
          <w:rFonts w:asciiTheme="minorHAnsi" w:hAnsiTheme="minorHAnsi" w:cstheme="minorHAnsi"/>
          <w:b/>
          <w:lang w:eastAsia="en-AU"/>
        </w:rPr>
      </w:pPr>
      <w:r w:rsidRPr="00CF739C">
        <w:rPr>
          <w:rFonts w:asciiTheme="minorHAnsi" w:hAnsiTheme="minorHAnsi" w:cstheme="minorHAnsi"/>
          <w:b/>
          <w:lang w:eastAsia="en-AU"/>
        </w:rPr>
        <w:t xml:space="preserve">PART 03 </w:t>
      </w:r>
      <w:r w:rsidRPr="00CF739C">
        <w:rPr>
          <w:rFonts w:asciiTheme="minorHAnsi" w:hAnsiTheme="minorHAnsi" w:cstheme="minorHAnsi"/>
          <w:b/>
          <w:caps/>
          <w:lang w:eastAsia="en-AU"/>
        </w:rPr>
        <w:t xml:space="preserve">donor vigilance </w:t>
      </w:r>
      <w:r w:rsidRPr="00CF739C">
        <w:rPr>
          <w:rFonts w:asciiTheme="minorHAnsi" w:hAnsiTheme="minorHAnsi" w:cstheme="minorHAnsi"/>
          <w:b/>
          <w:lang w:eastAsia="en-AU"/>
        </w:rPr>
        <w:t>was contributed by the Australian Red Cross Blood Service.</w:t>
      </w:r>
    </w:p>
    <w:p w:rsidR="004C6041" w:rsidRDefault="004C6041" w:rsidP="00C94185">
      <w:r>
        <w:br w:type="page"/>
      </w:r>
    </w:p>
    <w:p w:rsidR="004C6041" w:rsidRPr="004C6041" w:rsidRDefault="004C6041" w:rsidP="00875581">
      <w:pPr>
        <w:pStyle w:val="Heading1"/>
      </w:pPr>
      <w:bookmarkStart w:id="213" w:name="_Toc459366192"/>
      <w:r w:rsidRPr="004C6041">
        <w:lastRenderedPageBreak/>
        <w:t>REFERENCES</w:t>
      </w:r>
      <w:bookmarkEnd w:id="212"/>
      <w:bookmarkEnd w:id="213"/>
    </w:p>
    <w:sectPr w:rsidR="004C6041" w:rsidRPr="004C6041" w:rsidSect="0091366C">
      <w:footerReference w:type="default" r:id="rId23"/>
      <w:pgSz w:w="11906" w:h="16838"/>
      <w:pgMar w:top="1440" w:right="1133"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643" w:rsidRDefault="00BB1643" w:rsidP="00856708">
      <w:pPr>
        <w:spacing w:after="0"/>
      </w:pPr>
      <w:r>
        <w:separator/>
      </w:r>
    </w:p>
  </w:endnote>
  <w:endnote w:type="continuationSeparator" w:id="0">
    <w:p w:rsidR="00BB1643" w:rsidRDefault="00BB1643" w:rsidP="00856708">
      <w:pPr>
        <w:spacing w:after="0"/>
      </w:pPr>
      <w:r>
        <w:continuationSeparator/>
      </w:r>
    </w:p>
  </w:endnote>
  <w:endnote w:id="1">
    <w:p w:rsidR="00BB1643" w:rsidRPr="00553B2A" w:rsidRDefault="00BB1643" w:rsidP="00FB14A2">
      <w:pPr>
        <w:pStyle w:val="EndnoteText"/>
        <w:tabs>
          <w:tab w:val="left" w:pos="284"/>
        </w:tabs>
        <w:ind w:left="284" w:hanging="284"/>
      </w:pPr>
      <w:r w:rsidRPr="00231DF7">
        <w:endnoteRef/>
      </w:r>
      <w:r>
        <w:tab/>
      </w:r>
      <w:r w:rsidRPr="00846E84">
        <w:t>Australian and New Zealand Society of Blood Transfusion Ltd &amp; Royal College of Nursing Australia</w:t>
      </w:r>
      <w:r>
        <w:t xml:space="preserve"> (ANZSBT&amp;RCNA) (2012)</w:t>
      </w:r>
      <w:r w:rsidRPr="00846E84">
        <w:t>.</w:t>
      </w:r>
      <w:r w:rsidRPr="00846E84">
        <w:rPr>
          <w:i/>
        </w:rPr>
        <w:t xml:space="preserve"> </w:t>
      </w:r>
      <w:proofErr w:type="gramStart"/>
      <w:r w:rsidRPr="005923AA">
        <w:rPr>
          <w:i/>
        </w:rPr>
        <w:t>Guidelines for</w:t>
      </w:r>
      <w:r>
        <w:rPr>
          <w:i/>
        </w:rPr>
        <w:t xml:space="preserve"> </w:t>
      </w:r>
      <w:r w:rsidRPr="00846E84">
        <w:rPr>
          <w:i/>
        </w:rPr>
        <w:t>the administration of blood products</w:t>
      </w:r>
      <w:r>
        <w:rPr>
          <w:i/>
        </w:rPr>
        <w:t>.</w:t>
      </w:r>
      <w:proofErr w:type="gramEnd"/>
      <w:r>
        <w:rPr>
          <w:i/>
        </w:rPr>
        <w:t xml:space="preserve"> </w:t>
      </w:r>
      <w:proofErr w:type="gramStart"/>
      <w:r w:rsidRPr="000B7619">
        <w:t>2</w:t>
      </w:r>
      <w:r w:rsidRPr="000B7619">
        <w:rPr>
          <w:vertAlign w:val="superscript"/>
        </w:rPr>
        <w:t>nd</w:t>
      </w:r>
      <w:r w:rsidRPr="000B7619">
        <w:t xml:space="preserve"> Edition</w:t>
      </w:r>
      <w:r>
        <w:t>.</w:t>
      </w:r>
      <w:proofErr w:type="gramEnd"/>
    </w:p>
    <w:p w:rsidR="00BB1643" w:rsidRPr="00231DF7" w:rsidRDefault="000010BC" w:rsidP="00FB14A2">
      <w:pPr>
        <w:pStyle w:val="EndnoteText"/>
        <w:ind w:left="284"/>
        <w:rPr>
          <w:rStyle w:val="Hyperlink"/>
        </w:rPr>
      </w:pPr>
      <w:hyperlink r:id="rId1" w:history="1">
        <w:r w:rsidR="00BB1643" w:rsidRPr="00846E84">
          <w:rPr>
            <w:rStyle w:val="Hyperlink"/>
          </w:rPr>
          <w:t>http://anzsbt.org.au/publications/documents/ANZSBT_Guidelines_Administration_Blood_Products_2ndEd_Dec_2011_Hyperlinks.pdf</w:t>
        </w:r>
      </w:hyperlink>
    </w:p>
  </w:endnote>
  <w:endnote w:id="2">
    <w:p w:rsidR="00BB1643" w:rsidRDefault="00BB1643" w:rsidP="00FB14A2">
      <w:pPr>
        <w:pStyle w:val="EndnoteText"/>
        <w:tabs>
          <w:tab w:val="left" w:pos="284"/>
        </w:tabs>
      </w:pPr>
      <w:r w:rsidRPr="00231DF7">
        <w:rPr>
          <w:rStyle w:val="EndnoteReference"/>
          <w:vertAlign w:val="baseline"/>
        </w:rPr>
        <w:endnoteRef/>
      </w:r>
      <w:r>
        <w:tab/>
      </w:r>
      <w:r w:rsidRPr="00231DF7">
        <w:rPr>
          <w:rStyle w:val="EndnoteReference"/>
          <w:vertAlign w:val="baseline"/>
        </w:rPr>
        <w:t>Guideline on the Administration of Blood Components British Committee for Standards in Haematology</w:t>
      </w:r>
    </w:p>
    <w:p w:rsidR="00BB1643" w:rsidRPr="00231DF7" w:rsidRDefault="00BB1643" w:rsidP="00FB14A2">
      <w:pPr>
        <w:pStyle w:val="EndnoteText"/>
        <w:ind w:left="284"/>
        <w:rPr>
          <w:rStyle w:val="Hyperlink"/>
          <w:sz w:val="22"/>
          <w:szCs w:val="22"/>
        </w:rPr>
      </w:pPr>
      <w:r w:rsidRPr="00231DF7">
        <w:rPr>
          <w:rStyle w:val="Hyperlink"/>
        </w:rPr>
        <w:t>http://www.bcshguidelines.com/documents/Admin_blood_components_bcsh_05012010.pdf</w:t>
      </w:r>
    </w:p>
  </w:endnote>
  <w:endnote w:id="3">
    <w:p w:rsidR="00BB1643" w:rsidRDefault="00BB1643" w:rsidP="00735C24">
      <w:pPr>
        <w:pStyle w:val="EndnoteText"/>
        <w:ind w:left="284" w:hanging="284"/>
      </w:pPr>
      <w:r w:rsidRPr="00735C24">
        <w:endnoteRef/>
      </w:r>
      <w:r>
        <w:tab/>
      </w:r>
      <w:proofErr w:type="gramStart"/>
      <w:r w:rsidRPr="00735C24">
        <w:t>Serious Hazards of Transfusion (SHOT).</w:t>
      </w:r>
      <w:proofErr w:type="gramEnd"/>
      <w:r w:rsidRPr="00735C24">
        <w:t xml:space="preserve"> Annual SHOT Report 2014. SHOT, National Blood Service, National Health Service, United Kingdom.</w:t>
      </w:r>
    </w:p>
    <w:p w:rsidR="00BB1643" w:rsidRPr="00735C24" w:rsidRDefault="000010BC" w:rsidP="00735C24">
      <w:pPr>
        <w:pStyle w:val="EndnoteText"/>
        <w:ind w:left="284"/>
        <w:rPr>
          <w:rStyle w:val="Hyperlink"/>
          <w:color w:val="auto"/>
          <w:u w:val="none"/>
        </w:rPr>
      </w:pPr>
      <w:hyperlink r:id="rId2" w:history="1">
        <w:r w:rsidR="00BB1643" w:rsidRPr="00735C24">
          <w:rPr>
            <w:rStyle w:val="Hyperlink"/>
          </w:rPr>
          <w:t>http://www.shotuk.org/wp-content/uploads/report-2014.pdf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HYGothic-Extra">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tilliumText25L">
    <w:panose1 w:val="02000000000000000000"/>
    <w:charset w:val="00"/>
    <w:family w:val="modern"/>
    <w:notTrueType/>
    <w:pitch w:val="variable"/>
    <w:sig w:usb0="A00000EF" w:usb1="0000004B" w:usb2="00000000" w:usb3="00000000" w:csb0="00000193"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 w:val="18"/>
        <w:szCs w:val="18"/>
      </w:rPr>
      <w:id w:val="1134675310"/>
      <w:docPartObj>
        <w:docPartGallery w:val="Page Numbers (Bottom of Page)"/>
        <w:docPartUnique/>
      </w:docPartObj>
    </w:sdtPr>
    <w:sdtEndPr>
      <w:rPr>
        <w:noProof/>
      </w:rPr>
    </w:sdtEndPr>
    <w:sdtContent>
      <w:p w:rsidR="00BB1643" w:rsidRPr="0091366C" w:rsidRDefault="00BB1643" w:rsidP="00735247">
        <w:pPr>
          <w:pStyle w:val="Footer"/>
          <w:tabs>
            <w:tab w:val="clear" w:pos="4513"/>
            <w:tab w:val="clear" w:pos="9026"/>
            <w:tab w:val="right" w:pos="9498"/>
          </w:tabs>
          <w:rPr>
            <w:rFonts w:asciiTheme="minorHAnsi" w:eastAsiaTheme="majorEastAsia" w:hAnsiTheme="minorHAnsi" w:cstheme="majorBidi"/>
            <w:sz w:val="18"/>
            <w:szCs w:val="18"/>
          </w:rPr>
        </w:pPr>
        <w:r w:rsidRPr="0091366C">
          <w:rPr>
            <w:rFonts w:asciiTheme="minorHAnsi" w:eastAsiaTheme="majorEastAsia" w:hAnsiTheme="minorHAnsi" w:cstheme="majorBidi"/>
            <w:caps/>
            <w:sz w:val="18"/>
            <w:szCs w:val="18"/>
          </w:rPr>
          <w:t>Australian Haemovigilance Report Data for 2013–14</w:t>
        </w:r>
        <w:r w:rsidRPr="0091366C">
          <w:rPr>
            <w:rFonts w:asciiTheme="minorHAnsi" w:eastAsiaTheme="majorEastAsia" w:hAnsiTheme="minorHAnsi" w:cstheme="majorBidi"/>
            <w:sz w:val="18"/>
            <w:szCs w:val="18"/>
          </w:rPr>
          <w:tab/>
          <w:t xml:space="preserve">pg. </w:t>
        </w:r>
        <w:r w:rsidRPr="0091366C">
          <w:rPr>
            <w:rFonts w:asciiTheme="minorHAnsi" w:eastAsiaTheme="minorEastAsia" w:hAnsiTheme="minorHAnsi" w:cstheme="minorBidi"/>
            <w:sz w:val="18"/>
            <w:szCs w:val="18"/>
          </w:rPr>
          <w:fldChar w:fldCharType="begin"/>
        </w:r>
        <w:r w:rsidRPr="0091366C">
          <w:rPr>
            <w:rFonts w:asciiTheme="minorHAnsi" w:hAnsiTheme="minorHAnsi"/>
            <w:sz w:val="18"/>
            <w:szCs w:val="18"/>
          </w:rPr>
          <w:instrText xml:space="preserve"> PAGE    \* MERGEFORMAT </w:instrText>
        </w:r>
        <w:r w:rsidRPr="0091366C">
          <w:rPr>
            <w:rFonts w:asciiTheme="minorHAnsi" w:eastAsiaTheme="minorEastAsia" w:hAnsiTheme="minorHAnsi" w:cstheme="minorBidi"/>
            <w:sz w:val="18"/>
            <w:szCs w:val="18"/>
          </w:rPr>
          <w:fldChar w:fldCharType="separate"/>
        </w:r>
        <w:r w:rsidR="000010BC" w:rsidRPr="000010BC">
          <w:rPr>
            <w:rFonts w:asciiTheme="minorHAnsi" w:eastAsiaTheme="majorEastAsia" w:hAnsiTheme="minorHAnsi" w:cstheme="majorBidi"/>
            <w:noProof/>
            <w:sz w:val="18"/>
            <w:szCs w:val="18"/>
          </w:rPr>
          <w:t>2</w:t>
        </w:r>
        <w:r w:rsidRPr="0091366C">
          <w:rPr>
            <w:rFonts w:asciiTheme="minorHAnsi" w:eastAsiaTheme="majorEastAsia" w:hAnsiTheme="minorHAnsi" w:cstheme="majorBidi"/>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43" w:rsidRPr="0091366C" w:rsidRDefault="00BB1643" w:rsidP="00735247">
    <w:pPr>
      <w:pStyle w:val="Footer"/>
      <w:tabs>
        <w:tab w:val="clear" w:pos="4513"/>
        <w:tab w:val="clear" w:pos="9026"/>
        <w:tab w:val="right" w:pos="9498"/>
      </w:tabs>
      <w:rPr>
        <w:sz w:val="18"/>
        <w:szCs w:val="18"/>
      </w:rPr>
    </w:pPr>
    <w:r w:rsidRPr="0091366C">
      <w:rPr>
        <w:rFonts w:asciiTheme="minorHAnsi" w:eastAsiaTheme="majorEastAsia" w:hAnsiTheme="minorHAnsi" w:cstheme="majorBidi"/>
        <w:caps/>
        <w:sz w:val="18"/>
        <w:szCs w:val="18"/>
      </w:rPr>
      <w:t>Australian Haemovigilance Report Data for 2013–14</w:t>
    </w:r>
    <w:r w:rsidRPr="0091366C">
      <w:rPr>
        <w:rFonts w:asciiTheme="minorHAnsi" w:eastAsiaTheme="majorEastAsia" w:hAnsiTheme="minorHAnsi" w:cstheme="majorBidi"/>
        <w:sz w:val="18"/>
        <w:szCs w:val="18"/>
      </w:rPr>
      <w:tab/>
      <w:t xml:space="preserve">pg. </w:t>
    </w:r>
    <w:r w:rsidRPr="0091366C">
      <w:rPr>
        <w:rFonts w:asciiTheme="minorHAnsi" w:eastAsiaTheme="minorEastAsia" w:hAnsiTheme="minorHAnsi" w:cstheme="minorBidi"/>
        <w:sz w:val="18"/>
        <w:szCs w:val="18"/>
      </w:rPr>
      <w:fldChar w:fldCharType="begin"/>
    </w:r>
    <w:r w:rsidRPr="0091366C">
      <w:rPr>
        <w:rFonts w:asciiTheme="minorHAnsi" w:hAnsiTheme="minorHAnsi"/>
        <w:sz w:val="18"/>
        <w:szCs w:val="18"/>
      </w:rPr>
      <w:instrText xml:space="preserve"> PAGE    \* MERGEFORMAT </w:instrText>
    </w:r>
    <w:r w:rsidRPr="0091366C">
      <w:rPr>
        <w:rFonts w:asciiTheme="minorHAnsi" w:eastAsiaTheme="minorEastAsia" w:hAnsiTheme="minorHAnsi" w:cstheme="minorBidi"/>
        <w:sz w:val="18"/>
        <w:szCs w:val="18"/>
      </w:rPr>
      <w:fldChar w:fldCharType="separate"/>
    </w:r>
    <w:r w:rsidR="000010BC" w:rsidRPr="000010BC">
      <w:rPr>
        <w:rFonts w:asciiTheme="minorHAnsi" w:eastAsiaTheme="majorEastAsia" w:hAnsiTheme="minorHAnsi" w:cstheme="majorBidi"/>
        <w:noProof/>
        <w:sz w:val="18"/>
        <w:szCs w:val="18"/>
      </w:rPr>
      <w:t>38</w:t>
    </w:r>
    <w:r w:rsidRPr="0091366C">
      <w:rPr>
        <w:rFonts w:asciiTheme="minorHAnsi" w:eastAsiaTheme="majorEastAsia" w:hAnsiTheme="minorHAnsi" w:cstheme="majorBidi"/>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43" w:rsidRDefault="00BB1643" w:rsidP="0091366C">
    <w:pPr>
      <w:pStyle w:val="Footer"/>
      <w:tabs>
        <w:tab w:val="clear" w:pos="4513"/>
        <w:tab w:val="clear" w:pos="9026"/>
        <w:tab w:val="right" w:pos="14459"/>
      </w:tabs>
    </w:pPr>
    <w:r w:rsidRPr="00735247">
      <w:rPr>
        <w:rFonts w:asciiTheme="minorHAnsi" w:eastAsiaTheme="majorEastAsia" w:hAnsiTheme="minorHAnsi" w:cstheme="majorBidi"/>
        <w:caps/>
        <w:sz w:val="18"/>
        <w:szCs w:val="18"/>
      </w:rPr>
      <w:t>Australian Haemovigilance Report Data for 2013–14</w:t>
    </w:r>
    <w:r w:rsidRPr="00735247">
      <w:rPr>
        <w:rFonts w:asciiTheme="minorHAnsi" w:eastAsiaTheme="majorEastAsia" w:hAnsiTheme="minorHAnsi" w:cstheme="majorBidi"/>
        <w:sz w:val="18"/>
        <w:szCs w:val="18"/>
      </w:rPr>
      <w:tab/>
      <w:t xml:space="preserve">pg. </w:t>
    </w:r>
    <w:r w:rsidRPr="00735247">
      <w:rPr>
        <w:rFonts w:asciiTheme="minorHAnsi" w:eastAsiaTheme="minorEastAsia" w:hAnsiTheme="minorHAnsi" w:cstheme="minorBidi"/>
        <w:sz w:val="18"/>
        <w:szCs w:val="18"/>
      </w:rPr>
      <w:fldChar w:fldCharType="begin"/>
    </w:r>
    <w:r w:rsidRPr="00735247">
      <w:rPr>
        <w:rFonts w:asciiTheme="minorHAnsi" w:hAnsiTheme="minorHAnsi"/>
        <w:sz w:val="18"/>
        <w:szCs w:val="18"/>
      </w:rPr>
      <w:instrText xml:space="preserve"> PAGE    \* MERGEFORMAT </w:instrText>
    </w:r>
    <w:r w:rsidRPr="00735247">
      <w:rPr>
        <w:rFonts w:asciiTheme="minorHAnsi" w:eastAsiaTheme="minorEastAsia" w:hAnsiTheme="minorHAnsi" w:cstheme="minorBidi"/>
        <w:sz w:val="18"/>
        <w:szCs w:val="18"/>
      </w:rPr>
      <w:fldChar w:fldCharType="separate"/>
    </w:r>
    <w:r w:rsidR="000010BC" w:rsidRPr="000010BC">
      <w:rPr>
        <w:rFonts w:asciiTheme="minorHAnsi" w:eastAsiaTheme="majorEastAsia" w:hAnsiTheme="minorHAnsi" w:cstheme="majorBidi"/>
        <w:noProof/>
        <w:sz w:val="18"/>
        <w:szCs w:val="18"/>
      </w:rPr>
      <w:t>39</w:t>
    </w:r>
    <w:r w:rsidRPr="00735247">
      <w:rPr>
        <w:rFonts w:asciiTheme="minorHAnsi" w:eastAsiaTheme="majorEastAsia" w:hAnsiTheme="minorHAnsi" w:cstheme="majorBidi"/>
        <w:noProof/>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43" w:rsidRPr="0091366C" w:rsidRDefault="00BB1643" w:rsidP="0091366C">
    <w:pPr>
      <w:pStyle w:val="Footer"/>
      <w:tabs>
        <w:tab w:val="clear" w:pos="4513"/>
        <w:tab w:val="clear" w:pos="9026"/>
        <w:tab w:val="right" w:pos="9214"/>
      </w:tabs>
      <w:rPr>
        <w:sz w:val="18"/>
        <w:szCs w:val="18"/>
      </w:rPr>
    </w:pPr>
    <w:r w:rsidRPr="0091366C">
      <w:rPr>
        <w:rFonts w:asciiTheme="minorHAnsi" w:eastAsiaTheme="majorEastAsia" w:hAnsiTheme="minorHAnsi" w:cstheme="majorBidi"/>
        <w:caps/>
        <w:sz w:val="18"/>
        <w:szCs w:val="18"/>
      </w:rPr>
      <w:t>Australian Haemovigilance Report Data for 2013–14</w:t>
    </w:r>
    <w:r w:rsidRPr="0091366C">
      <w:rPr>
        <w:sz w:val="18"/>
        <w:szCs w:val="18"/>
      </w:rPr>
      <w:tab/>
      <w:t xml:space="preserve">pg. </w:t>
    </w:r>
    <w:r w:rsidRPr="0091366C">
      <w:rPr>
        <w:sz w:val="18"/>
        <w:szCs w:val="18"/>
      </w:rPr>
      <w:fldChar w:fldCharType="begin"/>
    </w:r>
    <w:r w:rsidRPr="0091366C">
      <w:rPr>
        <w:sz w:val="18"/>
        <w:szCs w:val="18"/>
      </w:rPr>
      <w:instrText xml:space="preserve"> PAGE    \* MERGEFORMAT </w:instrText>
    </w:r>
    <w:r w:rsidRPr="0091366C">
      <w:rPr>
        <w:sz w:val="18"/>
        <w:szCs w:val="18"/>
      </w:rPr>
      <w:fldChar w:fldCharType="separate"/>
    </w:r>
    <w:r w:rsidR="000010BC">
      <w:rPr>
        <w:noProof/>
        <w:sz w:val="18"/>
        <w:szCs w:val="18"/>
      </w:rPr>
      <w:t>45</w:t>
    </w:r>
    <w:r w:rsidRPr="0091366C">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643" w:rsidRDefault="00BB1643" w:rsidP="00856708">
      <w:pPr>
        <w:spacing w:after="0"/>
      </w:pPr>
      <w:r>
        <w:separator/>
      </w:r>
    </w:p>
  </w:footnote>
  <w:footnote w:type="continuationSeparator" w:id="0">
    <w:p w:rsidR="00BB1643" w:rsidRDefault="00BB1643" w:rsidP="0085670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43" w:rsidRDefault="00BB16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1643" w:rsidRDefault="00BB16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00A62"/>
    <w:multiLevelType w:val="hybridMultilevel"/>
    <w:tmpl w:val="E11EF8E2"/>
    <w:lvl w:ilvl="0" w:tplc="0C090001">
      <w:start w:val="1"/>
      <w:numFmt w:val="bullet"/>
      <w:lvlText w:val=""/>
      <w:lvlJc w:val="left"/>
      <w:pPr>
        <w:ind w:left="360" w:hanging="360"/>
      </w:pPr>
      <w:rPr>
        <w:rFonts w:ascii="Symbol" w:hAnsi="Symbol" w:hint="default"/>
      </w:rPr>
    </w:lvl>
    <w:lvl w:ilvl="1" w:tplc="40E4D2E0">
      <w:numFmt w:val="bullet"/>
      <w:lvlText w:val="-"/>
      <w:lvlJc w:val="left"/>
      <w:pPr>
        <w:ind w:left="786" w:hanging="360"/>
      </w:pPr>
      <w:rPr>
        <w:rFonts w:ascii="Arial" w:eastAsia="Times New Roman" w:hAnsi="Arial" w:cs="Aria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51A560E"/>
    <w:multiLevelType w:val="hybridMultilevel"/>
    <w:tmpl w:val="4D18291E"/>
    <w:lvl w:ilvl="0" w:tplc="336E7B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nsid w:val="103911E5"/>
    <w:multiLevelType w:val="hybridMultilevel"/>
    <w:tmpl w:val="4EB632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28231F3"/>
    <w:multiLevelType w:val="hybridMultilevel"/>
    <w:tmpl w:val="6C68579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13514D8C"/>
    <w:multiLevelType w:val="hybridMultilevel"/>
    <w:tmpl w:val="95C644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52F72D7"/>
    <w:multiLevelType w:val="hybridMultilevel"/>
    <w:tmpl w:val="E384E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7D151BD"/>
    <w:multiLevelType w:val="hybridMultilevel"/>
    <w:tmpl w:val="300A66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BCD4A93"/>
    <w:multiLevelType w:val="hybridMultilevel"/>
    <w:tmpl w:val="915CE92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BCF07F2"/>
    <w:multiLevelType w:val="hybridMultilevel"/>
    <w:tmpl w:val="32E855EC"/>
    <w:lvl w:ilvl="0" w:tplc="0C090001">
      <w:start w:val="1"/>
      <w:numFmt w:val="bullet"/>
      <w:lvlText w:val=""/>
      <w:lvlJc w:val="left"/>
      <w:pPr>
        <w:ind w:left="360" w:hanging="360"/>
      </w:pPr>
      <w:rPr>
        <w:rFonts w:ascii="Symbol" w:hAnsi="Symbol" w:hint="default"/>
      </w:rPr>
    </w:lvl>
    <w:lvl w:ilvl="1" w:tplc="40E4D2E0">
      <w:numFmt w:val="bullet"/>
      <w:lvlText w:val="-"/>
      <w:lvlJc w:val="left"/>
      <w:pPr>
        <w:ind w:left="927"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F99769E"/>
    <w:multiLevelType w:val="hybridMultilevel"/>
    <w:tmpl w:val="072446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5BD732C"/>
    <w:multiLevelType w:val="hybridMultilevel"/>
    <w:tmpl w:val="5B2C1B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6820A0B"/>
    <w:multiLevelType w:val="hybridMultilevel"/>
    <w:tmpl w:val="D786B6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8F85AEE"/>
    <w:multiLevelType w:val="hybridMultilevel"/>
    <w:tmpl w:val="3E7EE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93F0DE4"/>
    <w:multiLevelType w:val="hybridMultilevel"/>
    <w:tmpl w:val="31281E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99A2350"/>
    <w:multiLevelType w:val="hybridMultilevel"/>
    <w:tmpl w:val="E2AED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B8F5319"/>
    <w:multiLevelType w:val="hybridMultilevel"/>
    <w:tmpl w:val="072446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31C92594"/>
    <w:multiLevelType w:val="hybridMultilevel"/>
    <w:tmpl w:val="B64638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321E6E51"/>
    <w:multiLevelType w:val="hybridMultilevel"/>
    <w:tmpl w:val="AE0CB8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D06467A"/>
    <w:multiLevelType w:val="hybridMultilevel"/>
    <w:tmpl w:val="041AA11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3EED4801"/>
    <w:multiLevelType w:val="hybridMultilevel"/>
    <w:tmpl w:val="C978A69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44164261"/>
    <w:multiLevelType w:val="hybridMultilevel"/>
    <w:tmpl w:val="9650F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448320DF"/>
    <w:multiLevelType w:val="hybridMultilevel"/>
    <w:tmpl w:val="6C6857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44D011E4"/>
    <w:multiLevelType w:val="hybridMultilevel"/>
    <w:tmpl w:val="37F2CFC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54B19A1"/>
    <w:multiLevelType w:val="hybridMultilevel"/>
    <w:tmpl w:val="EE2212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5771855"/>
    <w:multiLevelType w:val="hybridMultilevel"/>
    <w:tmpl w:val="072446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6253ECF"/>
    <w:multiLevelType w:val="hybridMultilevel"/>
    <w:tmpl w:val="C71AC29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47833230"/>
    <w:multiLevelType w:val="hybridMultilevel"/>
    <w:tmpl w:val="38BCE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B77518D"/>
    <w:multiLevelType w:val="hybridMultilevel"/>
    <w:tmpl w:val="E55478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4D266496"/>
    <w:multiLevelType w:val="hybridMultilevel"/>
    <w:tmpl w:val="51323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51DD44A1"/>
    <w:multiLevelType w:val="hybridMultilevel"/>
    <w:tmpl w:val="F8CC5A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nsid w:val="525F46BB"/>
    <w:multiLevelType w:val="multilevel"/>
    <w:tmpl w:val="9280A9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54B15415"/>
    <w:multiLevelType w:val="hybridMultilevel"/>
    <w:tmpl w:val="348AD8C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69A0C92"/>
    <w:multiLevelType w:val="hybridMultilevel"/>
    <w:tmpl w:val="E7541F9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57F63DFA"/>
    <w:multiLevelType w:val="hybridMultilevel"/>
    <w:tmpl w:val="B360F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5CE21746"/>
    <w:multiLevelType w:val="hybridMultilevel"/>
    <w:tmpl w:val="0F823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FDD6295"/>
    <w:multiLevelType w:val="hybridMultilevel"/>
    <w:tmpl w:val="F8CC5A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nsid w:val="63DD5C65"/>
    <w:multiLevelType w:val="hybridMultilevel"/>
    <w:tmpl w:val="E55478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5CB7A8F"/>
    <w:multiLevelType w:val="hybridMultilevel"/>
    <w:tmpl w:val="1C0658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nsid w:val="66EB122A"/>
    <w:multiLevelType w:val="hybridMultilevel"/>
    <w:tmpl w:val="38C89C8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67114855"/>
    <w:multiLevelType w:val="hybridMultilevel"/>
    <w:tmpl w:val="5720E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74769AF"/>
    <w:multiLevelType w:val="hybridMultilevel"/>
    <w:tmpl w:val="55F880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nsid w:val="675D30AA"/>
    <w:multiLevelType w:val="hybridMultilevel"/>
    <w:tmpl w:val="47726CC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6AAA4F18"/>
    <w:multiLevelType w:val="hybridMultilevel"/>
    <w:tmpl w:val="03007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D7F5EAF"/>
    <w:multiLevelType w:val="hybridMultilevel"/>
    <w:tmpl w:val="37CE5A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E5C7D0C"/>
    <w:multiLevelType w:val="hybridMultilevel"/>
    <w:tmpl w:val="C470B336"/>
    <w:lvl w:ilvl="0" w:tplc="0C090001">
      <w:start w:val="1"/>
      <w:numFmt w:val="bullet"/>
      <w:lvlText w:val=""/>
      <w:lvlJc w:val="left"/>
      <w:pPr>
        <w:ind w:left="360" w:hanging="360"/>
      </w:pPr>
      <w:rPr>
        <w:rFonts w:ascii="Symbol" w:hAnsi="Symbol" w:hint="default"/>
      </w:rPr>
    </w:lvl>
    <w:lvl w:ilvl="1" w:tplc="40E4D2E0">
      <w:numFmt w:val="bullet"/>
      <w:lvlText w:val="-"/>
      <w:lvlJc w:val="left"/>
      <w:pPr>
        <w:ind w:left="644"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0F66D8B"/>
    <w:multiLevelType w:val="hybridMultilevel"/>
    <w:tmpl w:val="579A19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13D7A35"/>
    <w:multiLevelType w:val="hybridMultilevel"/>
    <w:tmpl w:val="E55478A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nsid w:val="72EC0B68"/>
    <w:multiLevelType w:val="hybridMultilevel"/>
    <w:tmpl w:val="9F727C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33205DC"/>
    <w:multiLevelType w:val="hybridMultilevel"/>
    <w:tmpl w:val="80280EDE"/>
    <w:lvl w:ilvl="0" w:tplc="0C09000F">
      <w:start w:val="1"/>
      <w:numFmt w:val="decimal"/>
      <w:lvlText w:val="%1."/>
      <w:lvlJc w:val="left"/>
      <w:pPr>
        <w:ind w:left="360" w:hanging="360"/>
      </w:pPr>
      <w:rPr>
        <w:rFonts w:hint="default"/>
      </w:rPr>
    </w:lvl>
    <w:lvl w:ilvl="1" w:tplc="40E4D2E0">
      <w:numFmt w:val="bullet"/>
      <w:lvlText w:val="-"/>
      <w:lvlJc w:val="left"/>
      <w:pPr>
        <w:ind w:left="786"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63B136F"/>
    <w:multiLevelType w:val="hybridMultilevel"/>
    <w:tmpl w:val="7B0280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nsid w:val="79631FB9"/>
    <w:multiLevelType w:val="hybridMultilevel"/>
    <w:tmpl w:val="F8CC5A6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7A055549"/>
    <w:multiLevelType w:val="hybridMultilevel"/>
    <w:tmpl w:val="4EC8D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nsid w:val="7D517279"/>
    <w:multiLevelType w:val="hybridMultilevel"/>
    <w:tmpl w:val="5B2C1B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nsid w:val="7D963EF4"/>
    <w:multiLevelType w:val="hybridMultilevel"/>
    <w:tmpl w:val="50E4A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nsid w:val="7EAA023E"/>
    <w:multiLevelType w:val="hybridMultilevel"/>
    <w:tmpl w:val="5B2C1B3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nsid w:val="7FB509AB"/>
    <w:multiLevelType w:val="hybridMultilevel"/>
    <w:tmpl w:val="18E45E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49"/>
  </w:num>
  <w:num w:numId="3">
    <w:abstractNumId w:val="22"/>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6"/>
  </w:num>
  <w:num w:numId="7">
    <w:abstractNumId w:val="23"/>
  </w:num>
  <w:num w:numId="8">
    <w:abstractNumId w:val="30"/>
  </w:num>
  <w:num w:numId="9">
    <w:abstractNumId w:val="34"/>
  </w:num>
  <w:num w:numId="10">
    <w:abstractNumId w:val="41"/>
  </w:num>
  <w:num w:numId="11">
    <w:abstractNumId w:val="11"/>
  </w:num>
  <w:num w:numId="12">
    <w:abstractNumId w:val="54"/>
  </w:num>
  <w:num w:numId="13">
    <w:abstractNumId w:val="50"/>
  </w:num>
  <w:num w:numId="14">
    <w:abstractNumId w:val="27"/>
  </w:num>
  <w:num w:numId="15">
    <w:abstractNumId w:val="0"/>
  </w:num>
  <w:num w:numId="16">
    <w:abstractNumId w:val="16"/>
  </w:num>
  <w:num w:numId="17">
    <w:abstractNumId w:val="3"/>
  </w:num>
  <w:num w:numId="18">
    <w:abstractNumId w:val="45"/>
  </w:num>
  <w:num w:numId="19">
    <w:abstractNumId w:val="8"/>
  </w:num>
  <w:num w:numId="20">
    <w:abstractNumId w:val="43"/>
  </w:num>
  <w:num w:numId="21">
    <w:abstractNumId w:val="9"/>
  </w:num>
  <w:num w:numId="22">
    <w:abstractNumId w:val="15"/>
  </w:num>
  <w:num w:numId="23">
    <w:abstractNumId w:val="25"/>
  </w:num>
  <w:num w:numId="24">
    <w:abstractNumId w:val="55"/>
  </w:num>
  <w:num w:numId="25">
    <w:abstractNumId w:val="13"/>
  </w:num>
  <w:num w:numId="26">
    <w:abstractNumId w:val="24"/>
  </w:num>
  <w:num w:numId="27">
    <w:abstractNumId w:val="5"/>
  </w:num>
  <w:num w:numId="28">
    <w:abstractNumId w:val="38"/>
  </w:num>
  <w:num w:numId="29">
    <w:abstractNumId w:val="35"/>
  </w:num>
  <w:num w:numId="30">
    <w:abstractNumId w:val="29"/>
  </w:num>
  <w:num w:numId="31">
    <w:abstractNumId w:val="14"/>
  </w:num>
  <w:num w:numId="32">
    <w:abstractNumId w:val="52"/>
  </w:num>
  <w:num w:numId="33">
    <w:abstractNumId w:val="26"/>
  </w:num>
  <w:num w:numId="34">
    <w:abstractNumId w:val="33"/>
  </w:num>
  <w:num w:numId="35">
    <w:abstractNumId w:val="32"/>
  </w:num>
  <w:num w:numId="36">
    <w:abstractNumId w:val="20"/>
  </w:num>
  <w:num w:numId="37">
    <w:abstractNumId w:val="42"/>
  </w:num>
  <w:num w:numId="38">
    <w:abstractNumId w:val="39"/>
  </w:num>
  <w:num w:numId="39">
    <w:abstractNumId w:val="47"/>
  </w:num>
  <w:num w:numId="40">
    <w:abstractNumId w:val="28"/>
  </w:num>
  <w:num w:numId="41">
    <w:abstractNumId w:val="4"/>
  </w:num>
  <w:num w:numId="42">
    <w:abstractNumId w:val="12"/>
  </w:num>
  <w:num w:numId="43">
    <w:abstractNumId w:val="21"/>
  </w:num>
  <w:num w:numId="44">
    <w:abstractNumId w:val="10"/>
  </w:num>
  <w:num w:numId="45">
    <w:abstractNumId w:val="53"/>
  </w:num>
  <w:num w:numId="46">
    <w:abstractNumId w:val="37"/>
  </w:num>
  <w:num w:numId="47">
    <w:abstractNumId w:val="51"/>
  </w:num>
  <w:num w:numId="48">
    <w:abstractNumId w:val="40"/>
  </w:num>
  <w:num w:numId="49">
    <w:abstractNumId w:val="46"/>
  </w:num>
  <w:num w:numId="50">
    <w:abstractNumId w:val="48"/>
  </w:num>
  <w:num w:numId="51">
    <w:abstractNumId w:val="18"/>
  </w:num>
  <w:num w:numId="52">
    <w:abstractNumId w:val="44"/>
  </w:num>
  <w:num w:numId="53">
    <w:abstractNumId w:val="2"/>
  </w:num>
  <w:num w:numId="54">
    <w:abstractNumId w:val="7"/>
  </w:num>
  <w:num w:numId="55">
    <w:abstractNumId w:val="6"/>
  </w:num>
  <w:num w:numId="56">
    <w:abstractNumId w:val="1"/>
  </w:num>
  <w:num w:numId="57">
    <w:abstractNumId w:val="31"/>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proofState w:spelling="clean" w:grammar="clean"/>
  <w:doNotTrackFormatting/>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A77"/>
    <w:rsid w:val="000010BC"/>
    <w:rsid w:val="00004E50"/>
    <w:rsid w:val="000067D1"/>
    <w:rsid w:val="00006FBE"/>
    <w:rsid w:val="00011937"/>
    <w:rsid w:val="00016824"/>
    <w:rsid w:val="000234E0"/>
    <w:rsid w:val="00023669"/>
    <w:rsid w:val="00025F60"/>
    <w:rsid w:val="00030616"/>
    <w:rsid w:val="00036EDC"/>
    <w:rsid w:val="00041CDF"/>
    <w:rsid w:val="0004298C"/>
    <w:rsid w:val="00042D7D"/>
    <w:rsid w:val="00050110"/>
    <w:rsid w:val="00052CE0"/>
    <w:rsid w:val="000543D7"/>
    <w:rsid w:val="00057390"/>
    <w:rsid w:val="00060FCE"/>
    <w:rsid w:val="00062CDD"/>
    <w:rsid w:val="000651BE"/>
    <w:rsid w:val="000740AA"/>
    <w:rsid w:val="00075606"/>
    <w:rsid w:val="0007731D"/>
    <w:rsid w:val="00077E77"/>
    <w:rsid w:val="00080224"/>
    <w:rsid w:val="00080A80"/>
    <w:rsid w:val="000930CB"/>
    <w:rsid w:val="000A35E5"/>
    <w:rsid w:val="000B20D0"/>
    <w:rsid w:val="000B5E79"/>
    <w:rsid w:val="000B77FD"/>
    <w:rsid w:val="000C016F"/>
    <w:rsid w:val="000C2CF0"/>
    <w:rsid w:val="000C3EF5"/>
    <w:rsid w:val="000D64A8"/>
    <w:rsid w:val="000D7F22"/>
    <w:rsid w:val="000E11A2"/>
    <w:rsid w:val="000E21BE"/>
    <w:rsid w:val="000E4566"/>
    <w:rsid w:val="000E55F4"/>
    <w:rsid w:val="000F1AB4"/>
    <w:rsid w:val="000F41D7"/>
    <w:rsid w:val="000F60C0"/>
    <w:rsid w:val="000F7617"/>
    <w:rsid w:val="00100A0F"/>
    <w:rsid w:val="001022C0"/>
    <w:rsid w:val="00102DFA"/>
    <w:rsid w:val="0011169D"/>
    <w:rsid w:val="00117984"/>
    <w:rsid w:val="00120576"/>
    <w:rsid w:val="00120782"/>
    <w:rsid w:val="00121B20"/>
    <w:rsid w:val="00125901"/>
    <w:rsid w:val="00132DF6"/>
    <w:rsid w:val="0013502F"/>
    <w:rsid w:val="00135E58"/>
    <w:rsid w:val="00136F57"/>
    <w:rsid w:val="001536EF"/>
    <w:rsid w:val="00153A8F"/>
    <w:rsid w:val="00157167"/>
    <w:rsid w:val="001655BD"/>
    <w:rsid w:val="0016598A"/>
    <w:rsid w:val="0016616D"/>
    <w:rsid w:val="00167723"/>
    <w:rsid w:val="0016781C"/>
    <w:rsid w:val="00172F71"/>
    <w:rsid w:val="00175828"/>
    <w:rsid w:val="00176D17"/>
    <w:rsid w:val="00182F5F"/>
    <w:rsid w:val="001910CD"/>
    <w:rsid w:val="00192A17"/>
    <w:rsid w:val="001932B9"/>
    <w:rsid w:val="00193D50"/>
    <w:rsid w:val="00194DC7"/>
    <w:rsid w:val="0019768B"/>
    <w:rsid w:val="001B1695"/>
    <w:rsid w:val="001B1839"/>
    <w:rsid w:val="001B4537"/>
    <w:rsid w:val="001B4E38"/>
    <w:rsid w:val="001C2099"/>
    <w:rsid w:val="001C284A"/>
    <w:rsid w:val="001C43AE"/>
    <w:rsid w:val="001C57E4"/>
    <w:rsid w:val="001D0084"/>
    <w:rsid w:val="001D2F50"/>
    <w:rsid w:val="001D3D8D"/>
    <w:rsid w:val="001D683E"/>
    <w:rsid w:val="001D6AAB"/>
    <w:rsid w:val="001E2A43"/>
    <w:rsid w:val="001E49B7"/>
    <w:rsid w:val="001E49E4"/>
    <w:rsid w:val="001F4B62"/>
    <w:rsid w:val="001F50F9"/>
    <w:rsid w:val="00202BC7"/>
    <w:rsid w:val="00203942"/>
    <w:rsid w:val="00203D77"/>
    <w:rsid w:val="00204C24"/>
    <w:rsid w:val="00210321"/>
    <w:rsid w:val="002111DC"/>
    <w:rsid w:val="00212300"/>
    <w:rsid w:val="00213583"/>
    <w:rsid w:val="00213586"/>
    <w:rsid w:val="002166F5"/>
    <w:rsid w:val="00216C4A"/>
    <w:rsid w:val="00217E73"/>
    <w:rsid w:val="00222113"/>
    <w:rsid w:val="00223810"/>
    <w:rsid w:val="00225F2E"/>
    <w:rsid w:val="00230469"/>
    <w:rsid w:val="00231472"/>
    <w:rsid w:val="00231DF7"/>
    <w:rsid w:val="00243CFE"/>
    <w:rsid w:val="00244D65"/>
    <w:rsid w:val="00245712"/>
    <w:rsid w:val="00252B9F"/>
    <w:rsid w:val="00252D67"/>
    <w:rsid w:val="002537F2"/>
    <w:rsid w:val="00254D5A"/>
    <w:rsid w:val="00254F75"/>
    <w:rsid w:val="00255C87"/>
    <w:rsid w:val="002638EF"/>
    <w:rsid w:val="002656AE"/>
    <w:rsid w:val="00266823"/>
    <w:rsid w:val="002716ED"/>
    <w:rsid w:val="00274FE6"/>
    <w:rsid w:val="00287631"/>
    <w:rsid w:val="00287A0C"/>
    <w:rsid w:val="00287F26"/>
    <w:rsid w:val="00295CD3"/>
    <w:rsid w:val="002A1E15"/>
    <w:rsid w:val="002A39D5"/>
    <w:rsid w:val="002A5576"/>
    <w:rsid w:val="002A7899"/>
    <w:rsid w:val="002C7A63"/>
    <w:rsid w:val="002E22C9"/>
    <w:rsid w:val="002E310A"/>
    <w:rsid w:val="002E710A"/>
    <w:rsid w:val="002F0CDE"/>
    <w:rsid w:val="002F2675"/>
    <w:rsid w:val="002F2FAA"/>
    <w:rsid w:val="002F7A6F"/>
    <w:rsid w:val="00301BFE"/>
    <w:rsid w:val="00303E5B"/>
    <w:rsid w:val="003068BB"/>
    <w:rsid w:val="003070F6"/>
    <w:rsid w:val="0031009D"/>
    <w:rsid w:val="00316E02"/>
    <w:rsid w:val="003171A6"/>
    <w:rsid w:val="00323116"/>
    <w:rsid w:val="00323474"/>
    <w:rsid w:val="00326FBC"/>
    <w:rsid w:val="00330972"/>
    <w:rsid w:val="003310E1"/>
    <w:rsid w:val="003372B4"/>
    <w:rsid w:val="00340CAA"/>
    <w:rsid w:val="0035051E"/>
    <w:rsid w:val="00351B8D"/>
    <w:rsid w:val="003572F0"/>
    <w:rsid w:val="00361677"/>
    <w:rsid w:val="00365E95"/>
    <w:rsid w:val="003666A4"/>
    <w:rsid w:val="00366829"/>
    <w:rsid w:val="003700F5"/>
    <w:rsid w:val="00374BE5"/>
    <w:rsid w:val="00374BFB"/>
    <w:rsid w:val="00380BBD"/>
    <w:rsid w:val="0039090F"/>
    <w:rsid w:val="003933E1"/>
    <w:rsid w:val="003954F9"/>
    <w:rsid w:val="0039701B"/>
    <w:rsid w:val="003A25C4"/>
    <w:rsid w:val="003A6DB0"/>
    <w:rsid w:val="003B1288"/>
    <w:rsid w:val="003B18A9"/>
    <w:rsid w:val="003D27F1"/>
    <w:rsid w:val="003D4D63"/>
    <w:rsid w:val="003E3B23"/>
    <w:rsid w:val="003E508B"/>
    <w:rsid w:val="003F166E"/>
    <w:rsid w:val="003F28D4"/>
    <w:rsid w:val="004035E3"/>
    <w:rsid w:val="004056B6"/>
    <w:rsid w:val="004062BF"/>
    <w:rsid w:val="00411812"/>
    <w:rsid w:val="004147A1"/>
    <w:rsid w:val="00415DD7"/>
    <w:rsid w:val="004314E7"/>
    <w:rsid w:val="004379C0"/>
    <w:rsid w:val="00437C01"/>
    <w:rsid w:val="004417CB"/>
    <w:rsid w:val="00452D74"/>
    <w:rsid w:val="00474F3B"/>
    <w:rsid w:val="00476BD4"/>
    <w:rsid w:val="00480654"/>
    <w:rsid w:val="004972F7"/>
    <w:rsid w:val="004A2C9F"/>
    <w:rsid w:val="004A2EC1"/>
    <w:rsid w:val="004A3674"/>
    <w:rsid w:val="004C5C80"/>
    <w:rsid w:val="004C6041"/>
    <w:rsid w:val="004D4636"/>
    <w:rsid w:val="004D4F80"/>
    <w:rsid w:val="004D69EE"/>
    <w:rsid w:val="004E5E4C"/>
    <w:rsid w:val="004F04B7"/>
    <w:rsid w:val="004F17DC"/>
    <w:rsid w:val="004F5A2F"/>
    <w:rsid w:val="005010F1"/>
    <w:rsid w:val="0050157C"/>
    <w:rsid w:val="00502A8D"/>
    <w:rsid w:val="00506A42"/>
    <w:rsid w:val="00507303"/>
    <w:rsid w:val="0052041E"/>
    <w:rsid w:val="00521F8A"/>
    <w:rsid w:val="005234B0"/>
    <w:rsid w:val="00531FA0"/>
    <w:rsid w:val="0053433A"/>
    <w:rsid w:val="00537C0C"/>
    <w:rsid w:val="00540020"/>
    <w:rsid w:val="005420F7"/>
    <w:rsid w:val="005429AF"/>
    <w:rsid w:val="005501AE"/>
    <w:rsid w:val="005569C0"/>
    <w:rsid w:val="00562206"/>
    <w:rsid w:val="00563A4F"/>
    <w:rsid w:val="00567AE2"/>
    <w:rsid w:val="00570324"/>
    <w:rsid w:val="00591DDA"/>
    <w:rsid w:val="00594F68"/>
    <w:rsid w:val="0059589A"/>
    <w:rsid w:val="005A1755"/>
    <w:rsid w:val="005A3637"/>
    <w:rsid w:val="005B4D40"/>
    <w:rsid w:val="005C6BAE"/>
    <w:rsid w:val="005D02EA"/>
    <w:rsid w:val="005D127E"/>
    <w:rsid w:val="005E6A1F"/>
    <w:rsid w:val="005E6BF9"/>
    <w:rsid w:val="005F29F1"/>
    <w:rsid w:val="005F2C26"/>
    <w:rsid w:val="005F62BB"/>
    <w:rsid w:val="006018DF"/>
    <w:rsid w:val="00605288"/>
    <w:rsid w:val="0060573E"/>
    <w:rsid w:val="006133F4"/>
    <w:rsid w:val="00617C32"/>
    <w:rsid w:val="00622B38"/>
    <w:rsid w:val="0062539C"/>
    <w:rsid w:val="00626F62"/>
    <w:rsid w:val="0062784F"/>
    <w:rsid w:val="00636C90"/>
    <w:rsid w:val="006447CF"/>
    <w:rsid w:val="00652D2D"/>
    <w:rsid w:val="006532DC"/>
    <w:rsid w:val="006552CF"/>
    <w:rsid w:val="006562DC"/>
    <w:rsid w:val="0066187A"/>
    <w:rsid w:val="00662152"/>
    <w:rsid w:val="00674439"/>
    <w:rsid w:val="0067584D"/>
    <w:rsid w:val="0067689B"/>
    <w:rsid w:val="00686E10"/>
    <w:rsid w:val="006873B2"/>
    <w:rsid w:val="00687F8E"/>
    <w:rsid w:val="00694240"/>
    <w:rsid w:val="00695754"/>
    <w:rsid w:val="006A311F"/>
    <w:rsid w:val="006C33E2"/>
    <w:rsid w:val="006C3D85"/>
    <w:rsid w:val="006D1C14"/>
    <w:rsid w:val="006E311C"/>
    <w:rsid w:val="006F39F9"/>
    <w:rsid w:val="006F4AB7"/>
    <w:rsid w:val="00702F80"/>
    <w:rsid w:val="00704467"/>
    <w:rsid w:val="007078D5"/>
    <w:rsid w:val="00711478"/>
    <w:rsid w:val="007128C4"/>
    <w:rsid w:val="00721BBC"/>
    <w:rsid w:val="00723DCC"/>
    <w:rsid w:val="0072498E"/>
    <w:rsid w:val="00735247"/>
    <w:rsid w:val="00735427"/>
    <w:rsid w:val="00735A4E"/>
    <w:rsid w:val="00735C24"/>
    <w:rsid w:val="00737BB3"/>
    <w:rsid w:val="007410E9"/>
    <w:rsid w:val="007449C2"/>
    <w:rsid w:val="00747B6C"/>
    <w:rsid w:val="00752448"/>
    <w:rsid w:val="007526C5"/>
    <w:rsid w:val="00773683"/>
    <w:rsid w:val="0077447A"/>
    <w:rsid w:val="00776EC6"/>
    <w:rsid w:val="00781184"/>
    <w:rsid w:val="007A73F2"/>
    <w:rsid w:val="007B3AA4"/>
    <w:rsid w:val="007B6A0A"/>
    <w:rsid w:val="007B6A5A"/>
    <w:rsid w:val="007B7954"/>
    <w:rsid w:val="007C1768"/>
    <w:rsid w:val="007C7DEF"/>
    <w:rsid w:val="007D1002"/>
    <w:rsid w:val="007D30FF"/>
    <w:rsid w:val="007D4A01"/>
    <w:rsid w:val="007D6B6B"/>
    <w:rsid w:val="007E0ADB"/>
    <w:rsid w:val="007E307B"/>
    <w:rsid w:val="007E5CC3"/>
    <w:rsid w:val="007F3053"/>
    <w:rsid w:val="00807580"/>
    <w:rsid w:val="008126BE"/>
    <w:rsid w:val="00814F44"/>
    <w:rsid w:val="008163E3"/>
    <w:rsid w:val="00821618"/>
    <w:rsid w:val="00833F3A"/>
    <w:rsid w:val="008355CB"/>
    <w:rsid w:val="008365D5"/>
    <w:rsid w:val="00837992"/>
    <w:rsid w:val="00842531"/>
    <w:rsid w:val="00842715"/>
    <w:rsid w:val="00844CBE"/>
    <w:rsid w:val="0084782E"/>
    <w:rsid w:val="00854115"/>
    <w:rsid w:val="00854E57"/>
    <w:rsid w:val="00855F52"/>
    <w:rsid w:val="00856708"/>
    <w:rsid w:val="00866370"/>
    <w:rsid w:val="008714A4"/>
    <w:rsid w:val="0087162E"/>
    <w:rsid w:val="00875581"/>
    <w:rsid w:val="00876758"/>
    <w:rsid w:val="00876A77"/>
    <w:rsid w:val="008802AE"/>
    <w:rsid w:val="0088252B"/>
    <w:rsid w:val="00893E0A"/>
    <w:rsid w:val="008A3B89"/>
    <w:rsid w:val="008B71D9"/>
    <w:rsid w:val="008B79C6"/>
    <w:rsid w:val="008B7ADF"/>
    <w:rsid w:val="008C07FA"/>
    <w:rsid w:val="008C16FF"/>
    <w:rsid w:val="008C274E"/>
    <w:rsid w:val="008C2847"/>
    <w:rsid w:val="008C503A"/>
    <w:rsid w:val="008C5583"/>
    <w:rsid w:val="008C7546"/>
    <w:rsid w:val="008D68A7"/>
    <w:rsid w:val="008E0351"/>
    <w:rsid w:val="008E0D11"/>
    <w:rsid w:val="008E285F"/>
    <w:rsid w:val="008E54B8"/>
    <w:rsid w:val="008E6FE9"/>
    <w:rsid w:val="008F2146"/>
    <w:rsid w:val="00911AD3"/>
    <w:rsid w:val="00911CB7"/>
    <w:rsid w:val="0091316B"/>
    <w:rsid w:val="0091366C"/>
    <w:rsid w:val="00916F92"/>
    <w:rsid w:val="00923B94"/>
    <w:rsid w:val="00925095"/>
    <w:rsid w:val="00926B41"/>
    <w:rsid w:val="009313CD"/>
    <w:rsid w:val="0093147B"/>
    <w:rsid w:val="00940C5B"/>
    <w:rsid w:val="00942648"/>
    <w:rsid w:val="0094489C"/>
    <w:rsid w:val="00944C80"/>
    <w:rsid w:val="00945B5D"/>
    <w:rsid w:val="00946083"/>
    <w:rsid w:val="00946E2C"/>
    <w:rsid w:val="00951B85"/>
    <w:rsid w:val="0095713F"/>
    <w:rsid w:val="00960680"/>
    <w:rsid w:val="0096249F"/>
    <w:rsid w:val="00962D78"/>
    <w:rsid w:val="00967266"/>
    <w:rsid w:val="00967378"/>
    <w:rsid w:val="0097131E"/>
    <w:rsid w:val="00977A4E"/>
    <w:rsid w:val="0098411C"/>
    <w:rsid w:val="00985A4D"/>
    <w:rsid w:val="00986861"/>
    <w:rsid w:val="00986C46"/>
    <w:rsid w:val="00991EA4"/>
    <w:rsid w:val="00992A6B"/>
    <w:rsid w:val="00994B42"/>
    <w:rsid w:val="009A221F"/>
    <w:rsid w:val="009A7A23"/>
    <w:rsid w:val="009B0152"/>
    <w:rsid w:val="009B3BE9"/>
    <w:rsid w:val="009B4CEF"/>
    <w:rsid w:val="009C1CE9"/>
    <w:rsid w:val="009C2ECF"/>
    <w:rsid w:val="009C4743"/>
    <w:rsid w:val="009C7EE5"/>
    <w:rsid w:val="009D3B69"/>
    <w:rsid w:val="009E0DE0"/>
    <w:rsid w:val="009E316C"/>
    <w:rsid w:val="009E38CC"/>
    <w:rsid w:val="009E4A39"/>
    <w:rsid w:val="009E74AE"/>
    <w:rsid w:val="009E7B49"/>
    <w:rsid w:val="009F13E9"/>
    <w:rsid w:val="009F6944"/>
    <w:rsid w:val="00A04237"/>
    <w:rsid w:val="00A0639A"/>
    <w:rsid w:val="00A065EF"/>
    <w:rsid w:val="00A06D90"/>
    <w:rsid w:val="00A10EE0"/>
    <w:rsid w:val="00A1510F"/>
    <w:rsid w:val="00A172E8"/>
    <w:rsid w:val="00A37B7A"/>
    <w:rsid w:val="00A44126"/>
    <w:rsid w:val="00A5151B"/>
    <w:rsid w:val="00A62129"/>
    <w:rsid w:val="00A67A54"/>
    <w:rsid w:val="00A71F37"/>
    <w:rsid w:val="00A76029"/>
    <w:rsid w:val="00A7793D"/>
    <w:rsid w:val="00A808D8"/>
    <w:rsid w:val="00A85F2C"/>
    <w:rsid w:val="00A87407"/>
    <w:rsid w:val="00A95479"/>
    <w:rsid w:val="00A96213"/>
    <w:rsid w:val="00A979B2"/>
    <w:rsid w:val="00AA6C2C"/>
    <w:rsid w:val="00AA7429"/>
    <w:rsid w:val="00AA7B6E"/>
    <w:rsid w:val="00AB2D80"/>
    <w:rsid w:val="00AB34C1"/>
    <w:rsid w:val="00AC11CA"/>
    <w:rsid w:val="00AC562B"/>
    <w:rsid w:val="00AD272F"/>
    <w:rsid w:val="00AE0077"/>
    <w:rsid w:val="00AE3505"/>
    <w:rsid w:val="00AE4395"/>
    <w:rsid w:val="00AF2603"/>
    <w:rsid w:val="00AF7B55"/>
    <w:rsid w:val="00B0300F"/>
    <w:rsid w:val="00B048FC"/>
    <w:rsid w:val="00B11169"/>
    <w:rsid w:val="00B144F9"/>
    <w:rsid w:val="00B1673B"/>
    <w:rsid w:val="00B21A13"/>
    <w:rsid w:val="00B22626"/>
    <w:rsid w:val="00B3447E"/>
    <w:rsid w:val="00B366E9"/>
    <w:rsid w:val="00B3726E"/>
    <w:rsid w:val="00B40707"/>
    <w:rsid w:val="00B433DF"/>
    <w:rsid w:val="00B44206"/>
    <w:rsid w:val="00B5086A"/>
    <w:rsid w:val="00B50E05"/>
    <w:rsid w:val="00B52C47"/>
    <w:rsid w:val="00B5301C"/>
    <w:rsid w:val="00B54518"/>
    <w:rsid w:val="00B60C2C"/>
    <w:rsid w:val="00B66618"/>
    <w:rsid w:val="00B71955"/>
    <w:rsid w:val="00B72971"/>
    <w:rsid w:val="00B73DF7"/>
    <w:rsid w:val="00B7606F"/>
    <w:rsid w:val="00B76D45"/>
    <w:rsid w:val="00B8055E"/>
    <w:rsid w:val="00B81157"/>
    <w:rsid w:val="00B816AB"/>
    <w:rsid w:val="00B8520B"/>
    <w:rsid w:val="00B87842"/>
    <w:rsid w:val="00B9073E"/>
    <w:rsid w:val="00BA1C24"/>
    <w:rsid w:val="00BA4AE7"/>
    <w:rsid w:val="00BA4CCD"/>
    <w:rsid w:val="00BB10D7"/>
    <w:rsid w:val="00BB1643"/>
    <w:rsid w:val="00BB2B07"/>
    <w:rsid w:val="00BB717A"/>
    <w:rsid w:val="00BB73E4"/>
    <w:rsid w:val="00BC0EC6"/>
    <w:rsid w:val="00BC2465"/>
    <w:rsid w:val="00BC26B7"/>
    <w:rsid w:val="00BC4368"/>
    <w:rsid w:val="00BC4AC4"/>
    <w:rsid w:val="00BC70D4"/>
    <w:rsid w:val="00BD7532"/>
    <w:rsid w:val="00BE35BB"/>
    <w:rsid w:val="00BE6693"/>
    <w:rsid w:val="00BF03B3"/>
    <w:rsid w:val="00BF34C1"/>
    <w:rsid w:val="00BF37B4"/>
    <w:rsid w:val="00BF4117"/>
    <w:rsid w:val="00C01B95"/>
    <w:rsid w:val="00C0360F"/>
    <w:rsid w:val="00C118F1"/>
    <w:rsid w:val="00C15B94"/>
    <w:rsid w:val="00C23E28"/>
    <w:rsid w:val="00C30096"/>
    <w:rsid w:val="00C3689B"/>
    <w:rsid w:val="00C42CFD"/>
    <w:rsid w:val="00C6276C"/>
    <w:rsid w:val="00C64E4E"/>
    <w:rsid w:val="00C66864"/>
    <w:rsid w:val="00C67DFD"/>
    <w:rsid w:val="00C7431F"/>
    <w:rsid w:val="00C747D3"/>
    <w:rsid w:val="00C84FFD"/>
    <w:rsid w:val="00C907B6"/>
    <w:rsid w:val="00C937F9"/>
    <w:rsid w:val="00C94185"/>
    <w:rsid w:val="00CA1D77"/>
    <w:rsid w:val="00CB0456"/>
    <w:rsid w:val="00CB2B72"/>
    <w:rsid w:val="00CB3A0B"/>
    <w:rsid w:val="00CD3C35"/>
    <w:rsid w:val="00CD49C0"/>
    <w:rsid w:val="00CD554D"/>
    <w:rsid w:val="00CF3594"/>
    <w:rsid w:val="00CF6AE8"/>
    <w:rsid w:val="00D030B1"/>
    <w:rsid w:val="00D146BA"/>
    <w:rsid w:val="00D24808"/>
    <w:rsid w:val="00D27B7D"/>
    <w:rsid w:val="00D305D8"/>
    <w:rsid w:val="00D30EC2"/>
    <w:rsid w:val="00D311EA"/>
    <w:rsid w:val="00D3289E"/>
    <w:rsid w:val="00D42785"/>
    <w:rsid w:val="00D43070"/>
    <w:rsid w:val="00D45AB1"/>
    <w:rsid w:val="00D50613"/>
    <w:rsid w:val="00D54E4F"/>
    <w:rsid w:val="00D5622E"/>
    <w:rsid w:val="00D67425"/>
    <w:rsid w:val="00D7035B"/>
    <w:rsid w:val="00D73FC3"/>
    <w:rsid w:val="00D74C94"/>
    <w:rsid w:val="00D77A46"/>
    <w:rsid w:val="00D846D8"/>
    <w:rsid w:val="00D869F0"/>
    <w:rsid w:val="00D93A00"/>
    <w:rsid w:val="00D93A35"/>
    <w:rsid w:val="00DA3B69"/>
    <w:rsid w:val="00DB4619"/>
    <w:rsid w:val="00DB7873"/>
    <w:rsid w:val="00DC52C5"/>
    <w:rsid w:val="00DD48FF"/>
    <w:rsid w:val="00DE560D"/>
    <w:rsid w:val="00DF0114"/>
    <w:rsid w:val="00E006B9"/>
    <w:rsid w:val="00E0314D"/>
    <w:rsid w:val="00E03AD1"/>
    <w:rsid w:val="00E05C87"/>
    <w:rsid w:val="00E1117B"/>
    <w:rsid w:val="00E163D4"/>
    <w:rsid w:val="00E17200"/>
    <w:rsid w:val="00E240F8"/>
    <w:rsid w:val="00E30A1B"/>
    <w:rsid w:val="00E42ED1"/>
    <w:rsid w:val="00E443E2"/>
    <w:rsid w:val="00E52247"/>
    <w:rsid w:val="00E56D6F"/>
    <w:rsid w:val="00E60D65"/>
    <w:rsid w:val="00E629B7"/>
    <w:rsid w:val="00E63397"/>
    <w:rsid w:val="00E67A9D"/>
    <w:rsid w:val="00E7254D"/>
    <w:rsid w:val="00E74D56"/>
    <w:rsid w:val="00E8195C"/>
    <w:rsid w:val="00E8248C"/>
    <w:rsid w:val="00E83FFB"/>
    <w:rsid w:val="00E917C8"/>
    <w:rsid w:val="00EA52A2"/>
    <w:rsid w:val="00EB01A9"/>
    <w:rsid w:val="00EB1220"/>
    <w:rsid w:val="00EB33D2"/>
    <w:rsid w:val="00EB6448"/>
    <w:rsid w:val="00EC2658"/>
    <w:rsid w:val="00EC4AF3"/>
    <w:rsid w:val="00ED4883"/>
    <w:rsid w:val="00ED50BB"/>
    <w:rsid w:val="00ED663F"/>
    <w:rsid w:val="00ED7AD2"/>
    <w:rsid w:val="00EF4B08"/>
    <w:rsid w:val="00F0147C"/>
    <w:rsid w:val="00F05299"/>
    <w:rsid w:val="00F11712"/>
    <w:rsid w:val="00F1188A"/>
    <w:rsid w:val="00F1550C"/>
    <w:rsid w:val="00F17E63"/>
    <w:rsid w:val="00F210BB"/>
    <w:rsid w:val="00F31A7D"/>
    <w:rsid w:val="00F331D9"/>
    <w:rsid w:val="00F35D94"/>
    <w:rsid w:val="00F40480"/>
    <w:rsid w:val="00F404F6"/>
    <w:rsid w:val="00F46D5E"/>
    <w:rsid w:val="00F5518E"/>
    <w:rsid w:val="00F565E0"/>
    <w:rsid w:val="00F57E34"/>
    <w:rsid w:val="00F6530F"/>
    <w:rsid w:val="00F65BFE"/>
    <w:rsid w:val="00F66403"/>
    <w:rsid w:val="00F916A7"/>
    <w:rsid w:val="00F93EBC"/>
    <w:rsid w:val="00F95970"/>
    <w:rsid w:val="00F96C15"/>
    <w:rsid w:val="00F974E8"/>
    <w:rsid w:val="00F97707"/>
    <w:rsid w:val="00F97860"/>
    <w:rsid w:val="00FA3488"/>
    <w:rsid w:val="00FA409D"/>
    <w:rsid w:val="00FB0BF5"/>
    <w:rsid w:val="00FB14A2"/>
    <w:rsid w:val="00FB35E6"/>
    <w:rsid w:val="00FC1A0A"/>
    <w:rsid w:val="00FC6332"/>
    <w:rsid w:val="00FD055F"/>
    <w:rsid w:val="00FD07E5"/>
    <w:rsid w:val="00FD40A3"/>
    <w:rsid w:val="00FD65B6"/>
    <w:rsid w:val="00FD6F3C"/>
    <w:rsid w:val="00FE0D88"/>
    <w:rsid w:val="00FE6DFD"/>
    <w:rsid w:val="00FF0C6B"/>
    <w:rsid w:val="00FF1C39"/>
    <w:rsid w:val="00FF53AC"/>
    <w:rsid w:val="00FF5B28"/>
    <w:rsid w:val="00FF7E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01B"/>
    <w:pPr>
      <w:spacing w:line="240" w:lineRule="auto"/>
    </w:pPr>
    <w:rPr>
      <w:rFonts w:ascii="Calibri" w:eastAsia="Dotum" w:hAnsi="Calibri" w:cs="Calibri"/>
    </w:rPr>
  </w:style>
  <w:style w:type="paragraph" w:styleId="Heading1">
    <w:name w:val="heading 1"/>
    <w:next w:val="Normal"/>
    <w:link w:val="Heading1Char"/>
    <w:uiPriority w:val="9"/>
    <w:qFormat/>
    <w:rsid w:val="00C6276C"/>
    <w:pPr>
      <w:widowControl w:val="0"/>
      <w:spacing w:after="240" w:line="580" w:lineRule="exact"/>
      <w:ind w:right="6"/>
      <w:outlineLvl w:val="0"/>
    </w:pPr>
    <w:rPr>
      <w:rFonts w:ascii="Calibri" w:eastAsia="HYGothic-Extra" w:hAnsi="Calibri" w:cs="Calibri"/>
      <w:bCs/>
      <w:color w:val="C00000"/>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76C"/>
    <w:rPr>
      <w:rFonts w:ascii="Calibri" w:eastAsia="HYGothic-Extra" w:hAnsi="Calibri" w:cs="Calibri"/>
      <w:bCs/>
      <w:color w:val="C00000"/>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Test">
    <w:name w:val="Test"/>
    <w:next w:val="Normal"/>
    <w:rsid w:val="00876A77"/>
    <w:pPr>
      <w:ind w:left="1276" w:right="416"/>
    </w:pPr>
    <w:rPr>
      <w:rFonts w:ascii="Arial" w:hAnsi="Arial" w:cs="Arial"/>
      <w:color w:val="FFFFFF" w:themeColor="background1"/>
      <w:sz w:val="72"/>
      <w:szCs w:val="72"/>
    </w:rPr>
  </w:style>
  <w:style w:type="character" w:styleId="FootnoteReference">
    <w:name w:val="footnote reference"/>
    <w:unhideWhenUsed/>
    <w:rsid w:val="00876A77"/>
    <w:rPr>
      <w:vertAlign w:val="superscript"/>
    </w:rPr>
  </w:style>
  <w:style w:type="paragraph" w:styleId="FootnoteText">
    <w:name w:val="footnote text"/>
    <w:basedOn w:val="Normal"/>
    <w:link w:val="FootnoteTextChar"/>
    <w:semiHidden/>
    <w:unhideWhenUsed/>
    <w:rsid w:val="00876A77"/>
    <w:pPr>
      <w:spacing w:after="0"/>
    </w:pPr>
    <w:rPr>
      <w:sz w:val="20"/>
      <w:szCs w:val="20"/>
      <w:lang w:val="en-US" w:eastAsia="zh-CN"/>
    </w:rPr>
  </w:style>
  <w:style w:type="character" w:customStyle="1" w:styleId="FootnoteTextChar">
    <w:name w:val="Footnote Text Char"/>
    <w:basedOn w:val="DefaultParagraphFont"/>
    <w:link w:val="FootnoteText"/>
    <w:semiHidden/>
    <w:rsid w:val="00876A77"/>
    <w:rPr>
      <w:rFonts w:ascii="Calibri" w:eastAsia="Dotum" w:hAnsi="Calibri" w:cs="Calibri"/>
      <w:sz w:val="20"/>
      <w:szCs w:val="20"/>
      <w:lang w:val="en-US" w:eastAsia="zh-CN"/>
    </w:rPr>
  </w:style>
  <w:style w:type="character" w:styleId="Hyperlink">
    <w:name w:val="Hyperlink"/>
    <w:basedOn w:val="DefaultParagraphFont"/>
    <w:uiPriority w:val="99"/>
    <w:unhideWhenUsed/>
    <w:rsid w:val="00876A77"/>
    <w:rPr>
      <w:color w:val="0000FF" w:themeColor="hyperlink"/>
      <w:u w:val="single"/>
    </w:rPr>
  </w:style>
  <w:style w:type="paragraph" w:styleId="NoSpacing">
    <w:name w:val="No Spacing"/>
    <w:link w:val="NoSpacingChar"/>
    <w:uiPriority w:val="1"/>
    <w:qFormat/>
    <w:rsid w:val="00876A77"/>
    <w:pPr>
      <w:spacing w:after="0" w:line="240" w:lineRule="auto"/>
    </w:pPr>
    <w:rPr>
      <w:rFonts w:ascii="Calibri" w:eastAsia="Dotum" w:hAnsi="Calibri" w:cs="Calibri"/>
    </w:rPr>
  </w:style>
  <w:style w:type="paragraph" w:styleId="BalloonText">
    <w:name w:val="Balloon Text"/>
    <w:basedOn w:val="Normal"/>
    <w:link w:val="BalloonTextChar"/>
    <w:uiPriority w:val="99"/>
    <w:semiHidden/>
    <w:unhideWhenUsed/>
    <w:rsid w:val="00876A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A77"/>
    <w:rPr>
      <w:rFonts w:ascii="Tahoma" w:eastAsia="Dotum" w:hAnsi="Tahoma" w:cs="Tahoma"/>
      <w:sz w:val="16"/>
      <w:szCs w:val="16"/>
    </w:rPr>
  </w:style>
  <w:style w:type="numbering" w:customStyle="1" w:styleId="NoList1">
    <w:name w:val="No List1"/>
    <w:next w:val="NoList"/>
    <w:uiPriority w:val="99"/>
    <w:semiHidden/>
    <w:unhideWhenUsed/>
    <w:rsid w:val="00876A77"/>
  </w:style>
  <w:style w:type="table" w:customStyle="1" w:styleId="TableGrid1">
    <w:name w:val="Table Grid1"/>
    <w:basedOn w:val="TableNormal"/>
    <w:next w:val="TableGrid"/>
    <w:uiPriority w:val="59"/>
    <w:rsid w:val="00876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76A77"/>
    <w:rPr>
      <w:color w:val="800080" w:themeColor="followedHyperlink"/>
      <w:u w:val="single"/>
    </w:rPr>
  </w:style>
  <w:style w:type="paragraph" w:styleId="EndnoteText">
    <w:name w:val="endnote text"/>
    <w:basedOn w:val="Normal"/>
    <w:link w:val="EndnoteTextChar"/>
    <w:uiPriority w:val="99"/>
    <w:semiHidden/>
    <w:unhideWhenUsed/>
    <w:rsid w:val="00876A77"/>
    <w:pPr>
      <w:spacing w:after="0"/>
    </w:pPr>
    <w:rPr>
      <w:sz w:val="20"/>
      <w:szCs w:val="20"/>
    </w:rPr>
  </w:style>
  <w:style w:type="character" w:customStyle="1" w:styleId="EndnoteTextChar">
    <w:name w:val="Endnote Text Char"/>
    <w:basedOn w:val="DefaultParagraphFont"/>
    <w:link w:val="EndnoteText"/>
    <w:uiPriority w:val="99"/>
    <w:semiHidden/>
    <w:rsid w:val="00876A77"/>
    <w:rPr>
      <w:rFonts w:ascii="Calibri" w:eastAsia="Dotum" w:hAnsi="Calibri" w:cs="Calibri"/>
      <w:sz w:val="20"/>
      <w:szCs w:val="20"/>
    </w:rPr>
  </w:style>
  <w:style w:type="character" w:styleId="EndnoteReference">
    <w:name w:val="endnote reference"/>
    <w:basedOn w:val="DefaultParagraphFont"/>
    <w:uiPriority w:val="99"/>
    <w:unhideWhenUsed/>
    <w:rsid w:val="00876A77"/>
    <w:rPr>
      <w:vertAlign w:val="superscript"/>
    </w:rPr>
  </w:style>
  <w:style w:type="character" w:customStyle="1" w:styleId="NoSpacingChar">
    <w:name w:val="No Spacing Char"/>
    <w:basedOn w:val="DefaultParagraphFont"/>
    <w:link w:val="NoSpacing"/>
    <w:uiPriority w:val="1"/>
    <w:rsid w:val="00876A77"/>
    <w:rPr>
      <w:rFonts w:ascii="Calibri" w:eastAsia="Dotum" w:hAnsi="Calibri" w:cs="Calibri"/>
    </w:rPr>
  </w:style>
  <w:style w:type="paragraph" w:styleId="TOCHeading">
    <w:name w:val="TOC Heading"/>
    <w:basedOn w:val="Heading1"/>
    <w:next w:val="Normal"/>
    <w:uiPriority w:val="39"/>
    <w:semiHidden/>
    <w:unhideWhenUsed/>
    <w:qFormat/>
    <w:rsid w:val="00876A77"/>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qFormat/>
    <w:rsid w:val="00876A77"/>
    <w:pPr>
      <w:spacing w:after="100"/>
    </w:pPr>
  </w:style>
  <w:style w:type="paragraph" w:styleId="TOC2">
    <w:name w:val="toc 2"/>
    <w:basedOn w:val="Normal"/>
    <w:next w:val="Normal"/>
    <w:autoRedefine/>
    <w:uiPriority w:val="39"/>
    <w:unhideWhenUsed/>
    <w:qFormat/>
    <w:rsid w:val="00876A77"/>
    <w:pPr>
      <w:tabs>
        <w:tab w:val="right" w:leader="dot" w:pos="9322"/>
      </w:tabs>
      <w:spacing w:after="100"/>
      <w:ind w:left="220"/>
    </w:pPr>
  </w:style>
  <w:style w:type="paragraph" w:styleId="TOC3">
    <w:name w:val="toc 3"/>
    <w:basedOn w:val="Normal"/>
    <w:next w:val="Normal"/>
    <w:autoRedefine/>
    <w:uiPriority w:val="39"/>
    <w:unhideWhenUsed/>
    <w:qFormat/>
    <w:rsid w:val="00876A77"/>
    <w:pPr>
      <w:tabs>
        <w:tab w:val="right" w:leader="dot" w:pos="9322"/>
      </w:tabs>
      <w:spacing w:after="100"/>
      <w:ind w:left="440"/>
    </w:pPr>
    <w:rPr>
      <w:noProof/>
      <w:color w:val="000000" w:themeColor="text1"/>
      <w:lang w:eastAsia="en-AU"/>
    </w:rPr>
  </w:style>
  <w:style w:type="paragraph" w:styleId="TableofFigures">
    <w:name w:val="table of figures"/>
    <w:basedOn w:val="Normal"/>
    <w:next w:val="Normal"/>
    <w:uiPriority w:val="99"/>
    <w:unhideWhenUsed/>
    <w:rsid w:val="00876A77"/>
    <w:pPr>
      <w:spacing w:after="0"/>
    </w:pPr>
  </w:style>
  <w:style w:type="paragraph" w:styleId="Caption">
    <w:name w:val="caption"/>
    <w:basedOn w:val="Normal"/>
    <w:next w:val="Normal"/>
    <w:uiPriority w:val="35"/>
    <w:unhideWhenUsed/>
    <w:qFormat/>
    <w:rsid w:val="004062BF"/>
    <w:rPr>
      <w:b/>
      <w:bCs/>
      <w:sz w:val="18"/>
      <w:szCs w:val="18"/>
    </w:rPr>
  </w:style>
  <w:style w:type="character" w:styleId="PageNumber">
    <w:name w:val="page number"/>
    <w:basedOn w:val="DefaultParagraphFont"/>
    <w:rsid w:val="00876A77"/>
  </w:style>
  <w:style w:type="paragraph" w:styleId="Quote">
    <w:name w:val="Quote"/>
    <w:basedOn w:val="Normal"/>
    <w:next w:val="Normal"/>
    <w:link w:val="QuoteChar"/>
    <w:uiPriority w:val="29"/>
    <w:qFormat/>
    <w:rsid w:val="00876A77"/>
    <w:rPr>
      <w:i/>
      <w:iCs/>
      <w:color w:val="000000" w:themeColor="text1"/>
    </w:rPr>
  </w:style>
  <w:style w:type="character" w:customStyle="1" w:styleId="QuoteChar">
    <w:name w:val="Quote Char"/>
    <w:basedOn w:val="DefaultParagraphFont"/>
    <w:link w:val="Quote"/>
    <w:uiPriority w:val="29"/>
    <w:rsid w:val="00876A77"/>
    <w:rPr>
      <w:rFonts w:ascii="Calibri" w:eastAsia="Dotum" w:hAnsi="Calibri" w:cs="Calibri"/>
      <w:i/>
      <w:iCs/>
      <w:color w:val="000000" w:themeColor="text1"/>
    </w:rPr>
  </w:style>
  <w:style w:type="paragraph" w:styleId="IntenseQuote">
    <w:name w:val="Intense Quote"/>
    <w:basedOn w:val="Normal"/>
    <w:next w:val="Normal"/>
    <w:link w:val="IntenseQuoteChar"/>
    <w:uiPriority w:val="30"/>
    <w:qFormat/>
    <w:rsid w:val="00876A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6A77"/>
    <w:rPr>
      <w:rFonts w:ascii="Calibri" w:eastAsia="Dotum" w:hAnsi="Calibri" w:cs="Calibri"/>
      <w:b/>
      <w:bCs/>
      <w:i/>
      <w:iCs/>
      <w:color w:val="4F81BD" w:themeColor="accent1"/>
    </w:rPr>
  </w:style>
  <w:style w:type="character" w:styleId="CommentReference">
    <w:name w:val="annotation reference"/>
    <w:basedOn w:val="DefaultParagraphFont"/>
    <w:uiPriority w:val="99"/>
    <w:semiHidden/>
    <w:unhideWhenUsed/>
    <w:rsid w:val="00876A77"/>
    <w:rPr>
      <w:sz w:val="16"/>
      <w:szCs w:val="16"/>
    </w:rPr>
  </w:style>
  <w:style w:type="paragraph" w:styleId="CommentText">
    <w:name w:val="annotation text"/>
    <w:basedOn w:val="Normal"/>
    <w:link w:val="CommentTextChar"/>
    <w:uiPriority w:val="99"/>
    <w:unhideWhenUsed/>
    <w:rsid w:val="00876A77"/>
    <w:rPr>
      <w:sz w:val="20"/>
      <w:szCs w:val="20"/>
    </w:rPr>
  </w:style>
  <w:style w:type="character" w:customStyle="1" w:styleId="CommentTextChar">
    <w:name w:val="Comment Text Char"/>
    <w:basedOn w:val="DefaultParagraphFont"/>
    <w:link w:val="CommentText"/>
    <w:uiPriority w:val="99"/>
    <w:rsid w:val="00876A77"/>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876A77"/>
    <w:rPr>
      <w:b/>
      <w:bCs/>
    </w:rPr>
  </w:style>
  <w:style w:type="character" w:customStyle="1" w:styleId="CommentSubjectChar">
    <w:name w:val="Comment Subject Char"/>
    <w:basedOn w:val="CommentTextChar"/>
    <w:link w:val="CommentSubject"/>
    <w:uiPriority w:val="99"/>
    <w:semiHidden/>
    <w:rsid w:val="00876A77"/>
    <w:rPr>
      <w:rFonts w:ascii="Calibri" w:eastAsia="Dotum" w:hAnsi="Calibri" w:cs="Calibri"/>
      <w:b/>
      <w:bCs/>
      <w:sz w:val="20"/>
      <w:szCs w:val="20"/>
    </w:rPr>
  </w:style>
  <w:style w:type="paragraph" w:styleId="NormalWeb">
    <w:name w:val="Normal (Web)"/>
    <w:basedOn w:val="Normal"/>
    <w:uiPriority w:val="99"/>
    <w:rsid w:val="00876A77"/>
    <w:pPr>
      <w:spacing w:before="100" w:beforeAutospacing="1" w:after="100" w:afterAutospacing="1"/>
    </w:pPr>
    <w:rPr>
      <w:rFonts w:ascii="Times New Roman" w:eastAsia="Calibri" w:hAnsi="Times New Roman" w:cs="Times New Roman"/>
      <w:sz w:val="24"/>
      <w:szCs w:val="24"/>
      <w:lang w:eastAsia="en-AU"/>
    </w:rPr>
  </w:style>
  <w:style w:type="table" w:styleId="LightList-Accent2">
    <w:name w:val="Light List Accent 2"/>
    <w:basedOn w:val="TableNormal"/>
    <w:uiPriority w:val="61"/>
    <w:rsid w:val="00876A7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876A7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76A7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file-filter">
    <w:name w:val="file-filter"/>
    <w:basedOn w:val="DefaultParagraphFont"/>
    <w:rsid w:val="00876A77"/>
  </w:style>
  <w:style w:type="table" w:customStyle="1" w:styleId="TableGrid2">
    <w:name w:val="Table Grid2"/>
    <w:basedOn w:val="TableNormal"/>
    <w:next w:val="TableGrid"/>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next w:val="Normal"/>
    <w:uiPriority w:val="99"/>
    <w:rsid w:val="00876A77"/>
    <w:pPr>
      <w:autoSpaceDE w:val="0"/>
      <w:autoSpaceDN w:val="0"/>
      <w:adjustRightInd w:val="0"/>
      <w:spacing w:after="0" w:line="161" w:lineRule="atLeast"/>
    </w:pPr>
    <w:rPr>
      <w:rFonts w:ascii="TitilliumText25L" w:eastAsiaTheme="minorHAnsi" w:hAnsi="TitilliumText25L" w:cstheme="minorBidi"/>
      <w:sz w:val="24"/>
      <w:szCs w:val="24"/>
    </w:rPr>
  </w:style>
  <w:style w:type="paragraph" w:styleId="Revision">
    <w:name w:val="Revision"/>
    <w:hidden/>
    <w:uiPriority w:val="99"/>
    <w:semiHidden/>
    <w:rsid w:val="00876A77"/>
    <w:pPr>
      <w:spacing w:after="0" w:line="240" w:lineRule="auto"/>
    </w:pPr>
    <w:rPr>
      <w:rFonts w:ascii="Calibri" w:eastAsia="Dotum" w:hAnsi="Calibri" w:cs="Calibri"/>
    </w:rPr>
  </w:style>
  <w:style w:type="character" w:customStyle="1" w:styleId="ListParagraphChar">
    <w:name w:val="List Paragraph Char"/>
    <w:basedOn w:val="DefaultParagraphFont"/>
    <w:link w:val="ListParagraph"/>
    <w:uiPriority w:val="34"/>
    <w:locked/>
    <w:rsid w:val="00876A77"/>
    <w:rPr>
      <w:rFonts w:ascii="Calibri" w:eastAsia="Dotum" w:hAnsi="Calibri" w:cs="Calibri"/>
    </w:rPr>
  </w:style>
  <w:style w:type="table" w:customStyle="1" w:styleId="TableGrid3">
    <w:name w:val="Table Grid3"/>
    <w:basedOn w:val="TableNormal"/>
    <w:next w:val="TableGrid"/>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6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76A77"/>
    <w:pPr>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76A77"/>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76A77"/>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76A77"/>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76A77"/>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76A77"/>
    <w:pPr>
      <w:spacing w:after="100" w:line="276" w:lineRule="auto"/>
      <w:ind w:left="1760"/>
    </w:pPr>
    <w:rPr>
      <w:rFonts w:asciiTheme="minorHAnsi" w:eastAsiaTheme="minorEastAsia" w:hAnsiTheme="minorHAnsi" w:cstheme="minorBidi"/>
      <w:lang w:eastAsia="en-AU"/>
    </w:rPr>
  </w:style>
  <w:style w:type="paragraph" w:customStyle="1" w:styleId="Default">
    <w:name w:val="Default"/>
    <w:rsid w:val="00B76D45"/>
    <w:pPr>
      <w:autoSpaceDE w:val="0"/>
      <w:autoSpaceDN w:val="0"/>
      <w:adjustRightInd w:val="0"/>
      <w:spacing w:after="0" w:line="240" w:lineRule="auto"/>
    </w:pPr>
    <w:rPr>
      <w:rFonts w:ascii="Calibri" w:hAnsi="Calibri" w:cs="Calibri"/>
      <w:color w:val="000000"/>
      <w:sz w:val="24"/>
      <w:szCs w:val="24"/>
    </w:rPr>
  </w:style>
  <w:style w:type="table" w:customStyle="1" w:styleId="TableGrid6">
    <w:name w:val="Table Grid6"/>
    <w:basedOn w:val="TableNormal"/>
    <w:next w:val="TableGrid"/>
    <w:uiPriority w:val="59"/>
    <w:rsid w:val="00925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068BB"/>
  </w:style>
  <w:style w:type="numbering" w:customStyle="1" w:styleId="NoList3">
    <w:name w:val="No List3"/>
    <w:next w:val="NoList"/>
    <w:uiPriority w:val="99"/>
    <w:semiHidden/>
    <w:unhideWhenUsed/>
    <w:rsid w:val="00252B9F"/>
  </w:style>
  <w:style w:type="table" w:customStyle="1" w:styleId="TableGrid7">
    <w:name w:val="Table Grid7"/>
    <w:basedOn w:val="TableNormal"/>
    <w:next w:val="TableGrid"/>
    <w:uiPriority w:val="59"/>
    <w:rsid w:val="0025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52B9F"/>
  </w:style>
  <w:style w:type="table" w:customStyle="1" w:styleId="TableGrid12">
    <w:name w:val="Table Grid12"/>
    <w:basedOn w:val="TableNormal"/>
    <w:next w:val="TableGrid"/>
    <w:uiPriority w:val="59"/>
    <w:rsid w:val="0025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252B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21">
    <w:name w:val="Medium Shading 1 - Accent 21"/>
    <w:basedOn w:val="TableNormal"/>
    <w:next w:val="MediumShading1-Accent2"/>
    <w:uiPriority w:val="63"/>
    <w:rsid w:val="00252B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52B9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21">
    <w:name w:val="Table Grid21"/>
    <w:basedOn w:val="TableNormal"/>
    <w:next w:val="TableGrid"/>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5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B4E38"/>
    <w:rPr>
      <w:i/>
      <w:iCs/>
      <w:color w:val="808080" w:themeColor="text1" w:themeTint="7F"/>
    </w:rPr>
  </w:style>
  <w:style w:type="character" w:customStyle="1" w:styleId="A13">
    <w:name w:val="A13"/>
    <w:uiPriority w:val="99"/>
    <w:rsid w:val="001B4E38"/>
    <w:rPr>
      <w:rFonts w:cs="TitilliumText25L"/>
      <w:color w:val="000000"/>
    </w:rPr>
  </w:style>
  <w:style w:type="paragraph" w:customStyle="1" w:styleId="Pa2">
    <w:name w:val="Pa2"/>
    <w:basedOn w:val="Default"/>
    <w:next w:val="Default"/>
    <w:uiPriority w:val="99"/>
    <w:rsid w:val="001B4E38"/>
    <w:pPr>
      <w:spacing w:line="181" w:lineRule="atLeast"/>
    </w:pPr>
    <w:rPr>
      <w:rFonts w:ascii="TitilliumText25L" w:hAnsi="TitilliumText25L" w:cstheme="minorBidi"/>
      <w:color w:val="auto"/>
    </w:rPr>
  </w:style>
  <w:style w:type="character" w:customStyle="1" w:styleId="A5">
    <w:name w:val="A5"/>
    <w:uiPriority w:val="99"/>
    <w:rsid w:val="001B4E38"/>
    <w:rPr>
      <w:rFonts w:cs="TitilliumText25L"/>
      <w:color w:val="221E1F"/>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01B"/>
    <w:pPr>
      <w:spacing w:line="240" w:lineRule="auto"/>
    </w:pPr>
    <w:rPr>
      <w:rFonts w:ascii="Calibri" w:eastAsia="Dotum" w:hAnsi="Calibri" w:cs="Calibri"/>
    </w:rPr>
  </w:style>
  <w:style w:type="paragraph" w:styleId="Heading1">
    <w:name w:val="heading 1"/>
    <w:next w:val="Normal"/>
    <w:link w:val="Heading1Char"/>
    <w:uiPriority w:val="9"/>
    <w:qFormat/>
    <w:rsid w:val="00C6276C"/>
    <w:pPr>
      <w:widowControl w:val="0"/>
      <w:spacing w:after="240" w:line="580" w:lineRule="exact"/>
      <w:ind w:right="6"/>
      <w:outlineLvl w:val="0"/>
    </w:pPr>
    <w:rPr>
      <w:rFonts w:ascii="Calibri" w:eastAsia="HYGothic-Extra" w:hAnsi="Calibri" w:cs="Calibri"/>
      <w:bCs/>
      <w:color w:val="C00000"/>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276C"/>
    <w:rPr>
      <w:rFonts w:ascii="Calibri" w:eastAsia="HYGothic-Extra" w:hAnsi="Calibri" w:cs="Calibri"/>
      <w:bCs/>
      <w:color w:val="C00000"/>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Test">
    <w:name w:val="Test"/>
    <w:next w:val="Normal"/>
    <w:rsid w:val="00876A77"/>
    <w:pPr>
      <w:ind w:left="1276" w:right="416"/>
    </w:pPr>
    <w:rPr>
      <w:rFonts w:ascii="Arial" w:hAnsi="Arial" w:cs="Arial"/>
      <w:color w:val="FFFFFF" w:themeColor="background1"/>
      <w:sz w:val="72"/>
      <w:szCs w:val="72"/>
    </w:rPr>
  </w:style>
  <w:style w:type="character" w:styleId="FootnoteReference">
    <w:name w:val="footnote reference"/>
    <w:unhideWhenUsed/>
    <w:rsid w:val="00876A77"/>
    <w:rPr>
      <w:vertAlign w:val="superscript"/>
    </w:rPr>
  </w:style>
  <w:style w:type="paragraph" w:styleId="FootnoteText">
    <w:name w:val="footnote text"/>
    <w:basedOn w:val="Normal"/>
    <w:link w:val="FootnoteTextChar"/>
    <w:semiHidden/>
    <w:unhideWhenUsed/>
    <w:rsid w:val="00876A77"/>
    <w:pPr>
      <w:spacing w:after="0"/>
    </w:pPr>
    <w:rPr>
      <w:sz w:val="20"/>
      <w:szCs w:val="20"/>
      <w:lang w:val="en-US" w:eastAsia="zh-CN"/>
    </w:rPr>
  </w:style>
  <w:style w:type="character" w:customStyle="1" w:styleId="FootnoteTextChar">
    <w:name w:val="Footnote Text Char"/>
    <w:basedOn w:val="DefaultParagraphFont"/>
    <w:link w:val="FootnoteText"/>
    <w:semiHidden/>
    <w:rsid w:val="00876A77"/>
    <w:rPr>
      <w:rFonts w:ascii="Calibri" w:eastAsia="Dotum" w:hAnsi="Calibri" w:cs="Calibri"/>
      <w:sz w:val="20"/>
      <w:szCs w:val="20"/>
      <w:lang w:val="en-US" w:eastAsia="zh-CN"/>
    </w:rPr>
  </w:style>
  <w:style w:type="character" w:styleId="Hyperlink">
    <w:name w:val="Hyperlink"/>
    <w:basedOn w:val="DefaultParagraphFont"/>
    <w:uiPriority w:val="99"/>
    <w:unhideWhenUsed/>
    <w:rsid w:val="00876A77"/>
    <w:rPr>
      <w:color w:val="0000FF" w:themeColor="hyperlink"/>
      <w:u w:val="single"/>
    </w:rPr>
  </w:style>
  <w:style w:type="paragraph" w:styleId="NoSpacing">
    <w:name w:val="No Spacing"/>
    <w:link w:val="NoSpacingChar"/>
    <w:uiPriority w:val="1"/>
    <w:qFormat/>
    <w:rsid w:val="00876A77"/>
    <w:pPr>
      <w:spacing w:after="0" w:line="240" w:lineRule="auto"/>
    </w:pPr>
    <w:rPr>
      <w:rFonts w:ascii="Calibri" w:eastAsia="Dotum" w:hAnsi="Calibri" w:cs="Calibri"/>
    </w:rPr>
  </w:style>
  <w:style w:type="paragraph" w:styleId="BalloonText">
    <w:name w:val="Balloon Text"/>
    <w:basedOn w:val="Normal"/>
    <w:link w:val="BalloonTextChar"/>
    <w:uiPriority w:val="99"/>
    <w:semiHidden/>
    <w:unhideWhenUsed/>
    <w:rsid w:val="00876A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A77"/>
    <w:rPr>
      <w:rFonts w:ascii="Tahoma" w:eastAsia="Dotum" w:hAnsi="Tahoma" w:cs="Tahoma"/>
      <w:sz w:val="16"/>
      <w:szCs w:val="16"/>
    </w:rPr>
  </w:style>
  <w:style w:type="numbering" w:customStyle="1" w:styleId="NoList1">
    <w:name w:val="No List1"/>
    <w:next w:val="NoList"/>
    <w:uiPriority w:val="99"/>
    <w:semiHidden/>
    <w:unhideWhenUsed/>
    <w:rsid w:val="00876A77"/>
  </w:style>
  <w:style w:type="table" w:customStyle="1" w:styleId="TableGrid1">
    <w:name w:val="Table Grid1"/>
    <w:basedOn w:val="TableNormal"/>
    <w:next w:val="TableGrid"/>
    <w:uiPriority w:val="59"/>
    <w:rsid w:val="00876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76A77"/>
    <w:rPr>
      <w:color w:val="800080" w:themeColor="followedHyperlink"/>
      <w:u w:val="single"/>
    </w:rPr>
  </w:style>
  <w:style w:type="paragraph" w:styleId="EndnoteText">
    <w:name w:val="endnote text"/>
    <w:basedOn w:val="Normal"/>
    <w:link w:val="EndnoteTextChar"/>
    <w:uiPriority w:val="99"/>
    <w:semiHidden/>
    <w:unhideWhenUsed/>
    <w:rsid w:val="00876A77"/>
    <w:pPr>
      <w:spacing w:after="0"/>
    </w:pPr>
    <w:rPr>
      <w:sz w:val="20"/>
      <w:szCs w:val="20"/>
    </w:rPr>
  </w:style>
  <w:style w:type="character" w:customStyle="1" w:styleId="EndnoteTextChar">
    <w:name w:val="Endnote Text Char"/>
    <w:basedOn w:val="DefaultParagraphFont"/>
    <w:link w:val="EndnoteText"/>
    <w:uiPriority w:val="99"/>
    <w:semiHidden/>
    <w:rsid w:val="00876A77"/>
    <w:rPr>
      <w:rFonts w:ascii="Calibri" w:eastAsia="Dotum" w:hAnsi="Calibri" w:cs="Calibri"/>
      <w:sz w:val="20"/>
      <w:szCs w:val="20"/>
    </w:rPr>
  </w:style>
  <w:style w:type="character" w:styleId="EndnoteReference">
    <w:name w:val="endnote reference"/>
    <w:basedOn w:val="DefaultParagraphFont"/>
    <w:uiPriority w:val="99"/>
    <w:unhideWhenUsed/>
    <w:rsid w:val="00876A77"/>
    <w:rPr>
      <w:vertAlign w:val="superscript"/>
    </w:rPr>
  </w:style>
  <w:style w:type="character" w:customStyle="1" w:styleId="NoSpacingChar">
    <w:name w:val="No Spacing Char"/>
    <w:basedOn w:val="DefaultParagraphFont"/>
    <w:link w:val="NoSpacing"/>
    <w:uiPriority w:val="1"/>
    <w:rsid w:val="00876A77"/>
    <w:rPr>
      <w:rFonts w:ascii="Calibri" w:eastAsia="Dotum" w:hAnsi="Calibri" w:cs="Calibri"/>
    </w:rPr>
  </w:style>
  <w:style w:type="paragraph" w:styleId="TOCHeading">
    <w:name w:val="TOC Heading"/>
    <w:basedOn w:val="Heading1"/>
    <w:next w:val="Normal"/>
    <w:uiPriority w:val="39"/>
    <w:semiHidden/>
    <w:unhideWhenUsed/>
    <w:qFormat/>
    <w:rsid w:val="00876A77"/>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qFormat/>
    <w:rsid w:val="00876A77"/>
    <w:pPr>
      <w:spacing w:after="100"/>
    </w:pPr>
  </w:style>
  <w:style w:type="paragraph" w:styleId="TOC2">
    <w:name w:val="toc 2"/>
    <w:basedOn w:val="Normal"/>
    <w:next w:val="Normal"/>
    <w:autoRedefine/>
    <w:uiPriority w:val="39"/>
    <w:unhideWhenUsed/>
    <w:qFormat/>
    <w:rsid w:val="00876A77"/>
    <w:pPr>
      <w:tabs>
        <w:tab w:val="right" w:leader="dot" w:pos="9322"/>
      </w:tabs>
      <w:spacing w:after="100"/>
      <w:ind w:left="220"/>
    </w:pPr>
  </w:style>
  <w:style w:type="paragraph" w:styleId="TOC3">
    <w:name w:val="toc 3"/>
    <w:basedOn w:val="Normal"/>
    <w:next w:val="Normal"/>
    <w:autoRedefine/>
    <w:uiPriority w:val="39"/>
    <w:unhideWhenUsed/>
    <w:qFormat/>
    <w:rsid w:val="00876A77"/>
    <w:pPr>
      <w:tabs>
        <w:tab w:val="right" w:leader="dot" w:pos="9322"/>
      </w:tabs>
      <w:spacing w:after="100"/>
      <w:ind w:left="440"/>
    </w:pPr>
    <w:rPr>
      <w:noProof/>
      <w:color w:val="000000" w:themeColor="text1"/>
      <w:lang w:eastAsia="en-AU"/>
    </w:rPr>
  </w:style>
  <w:style w:type="paragraph" w:styleId="TableofFigures">
    <w:name w:val="table of figures"/>
    <w:basedOn w:val="Normal"/>
    <w:next w:val="Normal"/>
    <w:uiPriority w:val="99"/>
    <w:unhideWhenUsed/>
    <w:rsid w:val="00876A77"/>
    <w:pPr>
      <w:spacing w:after="0"/>
    </w:pPr>
  </w:style>
  <w:style w:type="paragraph" w:styleId="Caption">
    <w:name w:val="caption"/>
    <w:basedOn w:val="Normal"/>
    <w:next w:val="Normal"/>
    <w:uiPriority w:val="35"/>
    <w:unhideWhenUsed/>
    <w:qFormat/>
    <w:rsid w:val="004062BF"/>
    <w:rPr>
      <w:b/>
      <w:bCs/>
      <w:sz w:val="18"/>
      <w:szCs w:val="18"/>
    </w:rPr>
  </w:style>
  <w:style w:type="character" w:styleId="PageNumber">
    <w:name w:val="page number"/>
    <w:basedOn w:val="DefaultParagraphFont"/>
    <w:rsid w:val="00876A77"/>
  </w:style>
  <w:style w:type="paragraph" w:styleId="Quote">
    <w:name w:val="Quote"/>
    <w:basedOn w:val="Normal"/>
    <w:next w:val="Normal"/>
    <w:link w:val="QuoteChar"/>
    <w:uiPriority w:val="29"/>
    <w:qFormat/>
    <w:rsid w:val="00876A77"/>
    <w:rPr>
      <w:i/>
      <w:iCs/>
      <w:color w:val="000000" w:themeColor="text1"/>
    </w:rPr>
  </w:style>
  <w:style w:type="character" w:customStyle="1" w:styleId="QuoteChar">
    <w:name w:val="Quote Char"/>
    <w:basedOn w:val="DefaultParagraphFont"/>
    <w:link w:val="Quote"/>
    <w:uiPriority w:val="29"/>
    <w:rsid w:val="00876A77"/>
    <w:rPr>
      <w:rFonts w:ascii="Calibri" w:eastAsia="Dotum" w:hAnsi="Calibri" w:cs="Calibri"/>
      <w:i/>
      <w:iCs/>
      <w:color w:val="000000" w:themeColor="text1"/>
    </w:rPr>
  </w:style>
  <w:style w:type="paragraph" w:styleId="IntenseQuote">
    <w:name w:val="Intense Quote"/>
    <w:basedOn w:val="Normal"/>
    <w:next w:val="Normal"/>
    <w:link w:val="IntenseQuoteChar"/>
    <w:uiPriority w:val="30"/>
    <w:qFormat/>
    <w:rsid w:val="00876A7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6A77"/>
    <w:rPr>
      <w:rFonts w:ascii="Calibri" w:eastAsia="Dotum" w:hAnsi="Calibri" w:cs="Calibri"/>
      <w:b/>
      <w:bCs/>
      <w:i/>
      <w:iCs/>
      <w:color w:val="4F81BD" w:themeColor="accent1"/>
    </w:rPr>
  </w:style>
  <w:style w:type="character" w:styleId="CommentReference">
    <w:name w:val="annotation reference"/>
    <w:basedOn w:val="DefaultParagraphFont"/>
    <w:uiPriority w:val="99"/>
    <w:semiHidden/>
    <w:unhideWhenUsed/>
    <w:rsid w:val="00876A77"/>
    <w:rPr>
      <w:sz w:val="16"/>
      <w:szCs w:val="16"/>
    </w:rPr>
  </w:style>
  <w:style w:type="paragraph" w:styleId="CommentText">
    <w:name w:val="annotation text"/>
    <w:basedOn w:val="Normal"/>
    <w:link w:val="CommentTextChar"/>
    <w:uiPriority w:val="99"/>
    <w:unhideWhenUsed/>
    <w:rsid w:val="00876A77"/>
    <w:rPr>
      <w:sz w:val="20"/>
      <w:szCs w:val="20"/>
    </w:rPr>
  </w:style>
  <w:style w:type="character" w:customStyle="1" w:styleId="CommentTextChar">
    <w:name w:val="Comment Text Char"/>
    <w:basedOn w:val="DefaultParagraphFont"/>
    <w:link w:val="CommentText"/>
    <w:uiPriority w:val="99"/>
    <w:rsid w:val="00876A77"/>
    <w:rPr>
      <w:rFonts w:ascii="Calibri" w:eastAsia="Dotum" w:hAnsi="Calibri" w:cs="Calibri"/>
      <w:sz w:val="20"/>
      <w:szCs w:val="20"/>
    </w:rPr>
  </w:style>
  <w:style w:type="paragraph" w:styleId="CommentSubject">
    <w:name w:val="annotation subject"/>
    <w:basedOn w:val="CommentText"/>
    <w:next w:val="CommentText"/>
    <w:link w:val="CommentSubjectChar"/>
    <w:uiPriority w:val="99"/>
    <w:semiHidden/>
    <w:unhideWhenUsed/>
    <w:rsid w:val="00876A77"/>
    <w:rPr>
      <w:b/>
      <w:bCs/>
    </w:rPr>
  </w:style>
  <w:style w:type="character" w:customStyle="1" w:styleId="CommentSubjectChar">
    <w:name w:val="Comment Subject Char"/>
    <w:basedOn w:val="CommentTextChar"/>
    <w:link w:val="CommentSubject"/>
    <w:uiPriority w:val="99"/>
    <w:semiHidden/>
    <w:rsid w:val="00876A77"/>
    <w:rPr>
      <w:rFonts w:ascii="Calibri" w:eastAsia="Dotum" w:hAnsi="Calibri" w:cs="Calibri"/>
      <w:b/>
      <w:bCs/>
      <w:sz w:val="20"/>
      <w:szCs w:val="20"/>
    </w:rPr>
  </w:style>
  <w:style w:type="paragraph" w:styleId="NormalWeb">
    <w:name w:val="Normal (Web)"/>
    <w:basedOn w:val="Normal"/>
    <w:uiPriority w:val="99"/>
    <w:rsid w:val="00876A77"/>
    <w:pPr>
      <w:spacing w:before="100" w:beforeAutospacing="1" w:after="100" w:afterAutospacing="1"/>
    </w:pPr>
    <w:rPr>
      <w:rFonts w:ascii="Times New Roman" w:eastAsia="Calibri" w:hAnsi="Times New Roman" w:cs="Times New Roman"/>
      <w:sz w:val="24"/>
      <w:szCs w:val="24"/>
      <w:lang w:eastAsia="en-AU"/>
    </w:rPr>
  </w:style>
  <w:style w:type="table" w:styleId="LightList-Accent2">
    <w:name w:val="Light List Accent 2"/>
    <w:basedOn w:val="TableNormal"/>
    <w:uiPriority w:val="61"/>
    <w:rsid w:val="00876A77"/>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876A77"/>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76A77"/>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file-filter">
    <w:name w:val="file-filter"/>
    <w:basedOn w:val="DefaultParagraphFont"/>
    <w:rsid w:val="00876A77"/>
  </w:style>
  <w:style w:type="table" w:customStyle="1" w:styleId="TableGrid2">
    <w:name w:val="Table Grid2"/>
    <w:basedOn w:val="TableNormal"/>
    <w:next w:val="TableGrid"/>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1">
    <w:name w:val="Pa11"/>
    <w:basedOn w:val="Normal"/>
    <w:next w:val="Normal"/>
    <w:uiPriority w:val="99"/>
    <w:rsid w:val="00876A77"/>
    <w:pPr>
      <w:autoSpaceDE w:val="0"/>
      <w:autoSpaceDN w:val="0"/>
      <w:adjustRightInd w:val="0"/>
      <w:spacing w:after="0" w:line="161" w:lineRule="atLeast"/>
    </w:pPr>
    <w:rPr>
      <w:rFonts w:ascii="TitilliumText25L" w:eastAsiaTheme="minorHAnsi" w:hAnsi="TitilliumText25L" w:cstheme="minorBidi"/>
      <w:sz w:val="24"/>
      <w:szCs w:val="24"/>
    </w:rPr>
  </w:style>
  <w:style w:type="paragraph" w:styleId="Revision">
    <w:name w:val="Revision"/>
    <w:hidden/>
    <w:uiPriority w:val="99"/>
    <w:semiHidden/>
    <w:rsid w:val="00876A77"/>
    <w:pPr>
      <w:spacing w:after="0" w:line="240" w:lineRule="auto"/>
    </w:pPr>
    <w:rPr>
      <w:rFonts w:ascii="Calibri" w:eastAsia="Dotum" w:hAnsi="Calibri" w:cs="Calibri"/>
    </w:rPr>
  </w:style>
  <w:style w:type="character" w:customStyle="1" w:styleId="ListParagraphChar">
    <w:name w:val="List Paragraph Char"/>
    <w:basedOn w:val="DefaultParagraphFont"/>
    <w:link w:val="ListParagraph"/>
    <w:uiPriority w:val="34"/>
    <w:locked/>
    <w:rsid w:val="00876A77"/>
    <w:rPr>
      <w:rFonts w:ascii="Calibri" w:eastAsia="Dotum" w:hAnsi="Calibri" w:cs="Calibri"/>
    </w:rPr>
  </w:style>
  <w:style w:type="table" w:customStyle="1" w:styleId="TableGrid3">
    <w:name w:val="Table Grid3"/>
    <w:basedOn w:val="TableNormal"/>
    <w:next w:val="TableGrid"/>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6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76A7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76A77"/>
    <w:pPr>
      <w:spacing w:after="100" w:line="276" w:lineRule="auto"/>
      <w:ind w:left="660"/>
    </w:pPr>
    <w:rPr>
      <w:rFonts w:asciiTheme="minorHAnsi" w:eastAsiaTheme="minorEastAsia" w:hAnsiTheme="minorHAnsi" w:cstheme="minorBidi"/>
      <w:lang w:eastAsia="en-AU"/>
    </w:rPr>
  </w:style>
  <w:style w:type="paragraph" w:styleId="TOC5">
    <w:name w:val="toc 5"/>
    <w:basedOn w:val="Normal"/>
    <w:next w:val="Normal"/>
    <w:autoRedefine/>
    <w:uiPriority w:val="39"/>
    <w:unhideWhenUsed/>
    <w:rsid w:val="00876A77"/>
    <w:pPr>
      <w:spacing w:after="100" w:line="276" w:lineRule="auto"/>
      <w:ind w:left="880"/>
    </w:pPr>
    <w:rPr>
      <w:rFonts w:asciiTheme="minorHAnsi" w:eastAsiaTheme="minorEastAsia" w:hAnsiTheme="minorHAnsi" w:cstheme="minorBidi"/>
      <w:lang w:eastAsia="en-AU"/>
    </w:rPr>
  </w:style>
  <w:style w:type="paragraph" w:styleId="TOC6">
    <w:name w:val="toc 6"/>
    <w:basedOn w:val="Normal"/>
    <w:next w:val="Normal"/>
    <w:autoRedefine/>
    <w:uiPriority w:val="39"/>
    <w:unhideWhenUsed/>
    <w:rsid w:val="00876A77"/>
    <w:pPr>
      <w:spacing w:after="100" w:line="276" w:lineRule="auto"/>
      <w:ind w:left="1100"/>
    </w:pPr>
    <w:rPr>
      <w:rFonts w:asciiTheme="minorHAnsi" w:eastAsiaTheme="minorEastAsia" w:hAnsiTheme="minorHAnsi" w:cstheme="minorBidi"/>
      <w:lang w:eastAsia="en-AU"/>
    </w:rPr>
  </w:style>
  <w:style w:type="paragraph" w:styleId="TOC7">
    <w:name w:val="toc 7"/>
    <w:basedOn w:val="Normal"/>
    <w:next w:val="Normal"/>
    <w:autoRedefine/>
    <w:uiPriority w:val="39"/>
    <w:unhideWhenUsed/>
    <w:rsid w:val="00876A77"/>
    <w:pPr>
      <w:spacing w:after="100" w:line="276" w:lineRule="auto"/>
      <w:ind w:left="1320"/>
    </w:pPr>
    <w:rPr>
      <w:rFonts w:asciiTheme="minorHAnsi" w:eastAsiaTheme="minorEastAsia" w:hAnsiTheme="minorHAnsi" w:cstheme="minorBidi"/>
      <w:lang w:eastAsia="en-AU"/>
    </w:rPr>
  </w:style>
  <w:style w:type="paragraph" w:styleId="TOC8">
    <w:name w:val="toc 8"/>
    <w:basedOn w:val="Normal"/>
    <w:next w:val="Normal"/>
    <w:autoRedefine/>
    <w:uiPriority w:val="39"/>
    <w:unhideWhenUsed/>
    <w:rsid w:val="00876A77"/>
    <w:pPr>
      <w:spacing w:after="100" w:line="276" w:lineRule="auto"/>
      <w:ind w:left="1540"/>
    </w:pPr>
    <w:rPr>
      <w:rFonts w:asciiTheme="minorHAnsi" w:eastAsiaTheme="minorEastAsia" w:hAnsiTheme="minorHAnsi" w:cstheme="minorBidi"/>
      <w:lang w:eastAsia="en-AU"/>
    </w:rPr>
  </w:style>
  <w:style w:type="paragraph" w:styleId="TOC9">
    <w:name w:val="toc 9"/>
    <w:basedOn w:val="Normal"/>
    <w:next w:val="Normal"/>
    <w:autoRedefine/>
    <w:uiPriority w:val="39"/>
    <w:unhideWhenUsed/>
    <w:rsid w:val="00876A77"/>
    <w:pPr>
      <w:spacing w:after="100" w:line="276" w:lineRule="auto"/>
      <w:ind w:left="1760"/>
    </w:pPr>
    <w:rPr>
      <w:rFonts w:asciiTheme="minorHAnsi" w:eastAsiaTheme="minorEastAsia" w:hAnsiTheme="minorHAnsi" w:cstheme="minorBidi"/>
      <w:lang w:eastAsia="en-AU"/>
    </w:rPr>
  </w:style>
  <w:style w:type="paragraph" w:customStyle="1" w:styleId="Default">
    <w:name w:val="Default"/>
    <w:rsid w:val="00B76D45"/>
    <w:pPr>
      <w:autoSpaceDE w:val="0"/>
      <w:autoSpaceDN w:val="0"/>
      <w:adjustRightInd w:val="0"/>
      <w:spacing w:after="0" w:line="240" w:lineRule="auto"/>
    </w:pPr>
    <w:rPr>
      <w:rFonts w:ascii="Calibri" w:hAnsi="Calibri" w:cs="Calibri"/>
      <w:color w:val="000000"/>
      <w:sz w:val="24"/>
      <w:szCs w:val="24"/>
    </w:rPr>
  </w:style>
  <w:style w:type="table" w:customStyle="1" w:styleId="TableGrid6">
    <w:name w:val="Table Grid6"/>
    <w:basedOn w:val="TableNormal"/>
    <w:next w:val="TableGrid"/>
    <w:uiPriority w:val="59"/>
    <w:rsid w:val="00925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068BB"/>
  </w:style>
  <w:style w:type="numbering" w:customStyle="1" w:styleId="NoList3">
    <w:name w:val="No List3"/>
    <w:next w:val="NoList"/>
    <w:uiPriority w:val="99"/>
    <w:semiHidden/>
    <w:unhideWhenUsed/>
    <w:rsid w:val="00252B9F"/>
  </w:style>
  <w:style w:type="table" w:customStyle="1" w:styleId="TableGrid7">
    <w:name w:val="Table Grid7"/>
    <w:basedOn w:val="TableNormal"/>
    <w:next w:val="TableGrid"/>
    <w:uiPriority w:val="59"/>
    <w:rsid w:val="0025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52B9F"/>
  </w:style>
  <w:style w:type="table" w:customStyle="1" w:styleId="TableGrid12">
    <w:name w:val="Table Grid12"/>
    <w:basedOn w:val="TableNormal"/>
    <w:next w:val="TableGrid"/>
    <w:uiPriority w:val="59"/>
    <w:rsid w:val="0025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21">
    <w:name w:val="Light List - Accent 21"/>
    <w:basedOn w:val="TableNormal"/>
    <w:next w:val="LightList-Accent2"/>
    <w:uiPriority w:val="61"/>
    <w:rsid w:val="00252B9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MediumShading1-Accent21">
    <w:name w:val="Medium Shading 1 - Accent 21"/>
    <w:basedOn w:val="TableNormal"/>
    <w:next w:val="MediumShading1-Accent2"/>
    <w:uiPriority w:val="63"/>
    <w:rsid w:val="00252B9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252B9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eGrid21">
    <w:name w:val="Table Grid21"/>
    <w:basedOn w:val="TableNormal"/>
    <w:next w:val="TableGrid"/>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52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252B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B4E38"/>
    <w:rPr>
      <w:i/>
      <w:iCs/>
      <w:color w:val="808080" w:themeColor="text1" w:themeTint="7F"/>
    </w:rPr>
  </w:style>
  <w:style w:type="character" w:customStyle="1" w:styleId="A13">
    <w:name w:val="A13"/>
    <w:uiPriority w:val="99"/>
    <w:rsid w:val="001B4E38"/>
    <w:rPr>
      <w:rFonts w:cs="TitilliumText25L"/>
      <w:color w:val="000000"/>
    </w:rPr>
  </w:style>
  <w:style w:type="paragraph" w:customStyle="1" w:styleId="Pa2">
    <w:name w:val="Pa2"/>
    <w:basedOn w:val="Default"/>
    <w:next w:val="Default"/>
    <w:uiPriority w:val="99"/>
    <w:rsid w:val="001B4E38"/>
    <w:pPr>
      <w:spacing w:line="181" w:lineRule="atLeast"/>
    </w:pPr>
    <w:rPr>
      <w:rFonts w:ascii="TitilliumText25L" w:hAnsi="TitilliumText25L" w:cstheme="minorBidi"/>
      <w:color w:val="auto"/>
    </w:rPr>
  </w:style>
  <w:style w:type="character" w:customStyle="1" w:styleId="A5">
    <w:name w:val="A5"/>
    <w:uiPriority w:val="99"/>
    <w:rsid w:val="001B4E38"/>
    <w:rPr>
      <w:rFonts w:cs="TitilliumText25L"/>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46617">
      <w:bodyDiv w:val="1"/>
      <w:marLeft w:val="0"/>
      <w:marRight w:val="0"/>
      <w:marTop w:val="0"/>
      <w:marBottom w:val="0"/>
      <w:divBdr>
        <w:top w:val="none" w:sz="0" w:space="0" w:color="auto"/>
        <w:left w:val="none" w:sz="0" w:space="0" w:color="auto"/>
        <w:bottom w:val="none" w:sz="0" w:space="0" w:color="auto"/>
        <w:right w:val="none" w:sz="0" w:space="0" w:color="auto"/>
      </w:divBdr>
    </w:div>
    <w:div w:id="193154235">
      <w:bodyDiv w:val="1"/>
      <w:marLeft w:val="0"/>
      <w:marRight w:val="0"/>
      <w:marTop w:val="0"/>
      <w:marBottom w:val="0"/>
      <w:divBdr>
        <w:top w:val="none" w:sz="0" w:space="0" w:color="auto"/>
        <w:left w:val="none" w:sz="0" w:space="0" w:color="auto"/>
        <w:bottom w:val="none" w:sz="0" w:space="0" w:color="auto"/>
        <w:right w:val="none" w:sz="0" w:space="0" w:color="auto"/>
      </w:divBdr>
    </w:div>
    <w:div w:id="250509850">
      <w:bodyDiv w:val="1"/>
      <w:marLeft w:val="0"/>
      <w:marRight w:val="0"/>
      <w:marTop w:val="0"/>
      <w:marBottom w:val="0"/>
      <w:divBdr>
        <w:top w:val="none" w:sz="0" w:space="0" w:color="auto"/>
        <w:left w:val="none" w:sz="0" w:space="0" w:color="auto"/>
        <w:bottom w:val="none" w:sz="0" w:space="0" w:color="auto"/>
        <w:right w:val="none" w:sz="0" w:space="0" w:color="auto"/>
      </w:divBdr>
    </w:div>
    <w:div w:id="329720868">
      <w:bodyDiv w:val="1"/>
      <w:marLeft w:val="0"/>
      <w:marRight w:val="0"/>
      <w:marTop w:val="0"/>
      <w:marBottom w:val="0"/>
      <w:divBdr>
        <w:top w:val="none" w:sz="0" w:space="0" w:color="auto"/>
        <w:left w:val="none" w:sz="0" w:space="0" w:color="auto"/>
        <w:bottom w:val="none" w:sz="0" w:space="0" w:color="auto"/>
        <w:right w:val="none" w:sz="0" w:space="0" w:color="auto"/>
      </w:divBdr>
    </w:div>
    <w:div w:id="336424425">
      <w:bodyDiv w:val="1"/>
      <w:marLeft w:val="0"/>
      <w:marRight w:val="0"/>
      <w:marTop w:val="0"/>
      <w:marBottom w:val="0"/>
      <w:divBdr>
        <w:top w:val="none" w:sz="0" w:space="0" w:color="auto"/>
        <w:left w:val="none" w:sz="0" w:space="0" w:color="auto"/>
        <w:bottom w:val="none" w:sz="0" w:space="0" w:color="auto"/>
        <w:right w:val="none" w:sz="0" w:space="0" w:color="auto"/>
      </w:divBdr>
    </w:div>
    <w:div w:id="469632071">
      <w:bodyDiv w:val="1"/>
      <w:marLeft w:val="0"/>
      <w:marRight w:val="0"/>
      <w:marTop w:val="0"/>
      <w:marBottom w:val="0"/>
      <w:divBdr>
        <w:top w:val="none" w:sz="0" w:space="0" w:color="auto"/>
        <w:left w:val="none" w:sz="0" w:space="0" w:color="auto"/>
        <w:bottom w:val="none" w:sz="0" w:space="0" w:color="auto"/>
        <w:right w:val="none" w:sz="0" w:space="0" w:color="auto"/>
      </w:divBdr>
    </w:div>
    <w:div w:id="525215644">
      <w:bodyDiv w:val="1"/>
      <w:marLeft w:val="0"/>
      <w:marRight w:val="0"/>
      <w:marTop w:val="0"/>
      <w:marBottom w:val="0"/>
      <w:divBdr>
        <w:top w:val="none" w:sz="0" w:space="0" w:color="auto"/>
        <w:left w:val="none" w:sz="0" w:space="0" w:color="auto"/>
        <w:bottom w:val="none" w:sz="0" w:space="0" w:color="auto"/>
        <w:right w:val="none" w:sz="0" w:space="0" w:color="auto"/>
      </w:divBdr>
    </w:div>
    <w:div w:id="548568564">
      <w:bodyDiv w:val="1"/>
      <w:marLeft w:val="0"/>
      <w:marRight w:val="0"/>
      <w:marTop w:val="0"/>
      <w:marBottom w:val="0"/>
      <w:divBdr>
        <w:top w:val="none" w:sz="0" w:space="0" w:color="auto"/>
        <w:left w:val="none" w:sz="0" w:space="0" w:color="auto"/>
        <w:bottom w:val="none" w:sz="0" w:space="0" w:color="auto"/>
        <w:right w:val="none" w:sz="0" w:space="0" w:color="auto"/>
      </w:divBdr>
    </w:div>
    <w:div w:id="718699944">
      <w:bodyDiv w:val="1"/>
      <w:marLeft w:val="0"/>
      <w:marRight w:val="0"/>
      <w:marTop w:val="0"/>
      <w:marBottom w:val="0"/>
      <w:divBdr>
        <w:top w:val="none" w:sz="0" w:space="0" w:color="auto"/>
        <w:left w:val="none" w:sz="0" w:space="0" w:color="auto"/>
        <w:bottom w:val="none" w:sz="0" w:space="0" w:color="auto"/>
        <w:right w:val="none" w:sz="0" w:space="0" w:color="auto"/>
      </w:divBdr>
    </w:div>
    <w:div w:id="788622810">
      <w:bodyDiv w:val="1"/>
      <w:marLeft w:val="0"/>
      <w:marRight w:val="0"/>
      <w:marTop w:val="0"/>
      <w:marBottom w:val="0"/>
      <w:divBdr>
        <w:top w:val="none" w:sz="0" w:space="0" w:color="auto"/>
        <w:left w:val="none" w:sz="0" w:space="0" w:color="auto"/>
        <w:bottom w:val="none" w:sz="0" w:space="0" w:color="auto"/>
        <w:right w:val="none" w:sz="0" w:space="0" w:color="auto"/>
      </w:divBdr>
    </w:div>
    <w:div w:id="1047728306">
      <w:bodyDiv w:val="1"/>
      <w:marLeft w:val="0"/>
      <w:marRight w:val="0"/>
      <w:marTop w:val="0"/>
      <w:marBottom w:val="0"/>
      <w:divBdr>
        <w:top w:val="none" w:sz="0" w:space="0" w:color="auto"/>
        <w:left w:val="none" w:sz="0" w:space="0" w:color="auto"/>
        <w:bottom w:val="none" w:sz="0" w:space="0" w:color="auto"/>
        <w:right w:val="none" w:sz="0" w:space="0" w:color="auto"/>
      </w:divBdr>
    </w:div>
    <w:div w:id="1159149192">
      <w:bodyDiv w:val="1"/>
      <w:marLeft w:val="0"/>
      <w:marRight w:val="0"/>
      <w:marTop w:val="0"/>
      <w:marBottom w:val="0"/>
      <w:divBdr>
        <w:top w:val="none" w:sz="0" w:space="0" w:color="auto"/>
        <w:left w:val="none" w:sz="0" w:space="0" w:color="auto"/>
        <w:bottom w:val="none" w:sz="0" w:space="0" w:color="auto"/>
        <w:right w:val="none" w:sz="0" w:space="0" w:color="auto"/>
      </w:divBdr>
    </w:div>
    <w:div w:id="1172992554">
      <w:bodyDiv w:val="1"/>
      <w:marLeft w:val="0"/>
      <w:marRight w:val="0"/>
      <w:marTop w:val="0"/>
      <w:marBottom w:val="0"/>
      <w:divBdr>
        <w:top w:val="none" w:sz="0" w:space="0" w:color="auto"/>
        <w:left w:val="none" w:sz="0" w:space="0" w:color="auto"/>
        <w:bottom w:val="none" w:sz="0" w:space="0" w:color="auto"/>
        <w:right w:val="none" w:sz="0" w:space="0" w:color="auto"/>
      </w:divBdr>
    </w:div>
    <w:div w:id="1370035871">
      <w:bodyDiv w:val="1"/>
      <w:marLeft w:val="0"/>
      <w:marRight w:val="0"/>
      <w:marTop w:val="0"/>
      <w:marBottom w:val="0"/>
      <w:divBdr>
        <w:top w:val="none" w:sz="0" w:space="0" w:color="auto"/>
        <w:left w:val="none" w:sz="0" w:space="0" w:color="auto"/>
        <w:bottom w:val="none" w:sz="0" w:space="0" w:color="auto"/>
        <w:right w:val="none" w:sz="0" w:space="0" w:color="auto"/>
      </w:divBdr>
    </w:div>
    <w:div w:id="1386486782">
      <w:bodyDiv w:val="1"/>
      <w:marLeft w:val="0"/>
      <w:marRight w:val="0"/>
      <w:marTop w:val="0"/>
      <w:marBottom w:val="0"/>
      <w:divBdr>
        <w:top w:val="none" w:sz="0" w:space="0" w:color="auto"/>
        <w:left w:val="none" w:sz="0" w:space="0" w:color="auto"/>
        <w:bottom w:val="none" w:sz="0" w:space="0" w:color="auto"/>
        <w:right w:val="none" w:sz="0" w:space="0" w:color="auto"/>
      </w:divBdr>
    </w:div>
    <w:div w:id="1414350793">
      <w:bodyDiv w:val="1"/>
      <w:marLeft w:val="0"/>
      <w:marRight w:val="0"/>
      <w:marTop w:val="0"/>
      <w:marBottom w:val="0"/>
      <w:divBdr>
        <w:top w:val="none" w:sz="0" w:space="0" w:color="auto"/>
        <w:left w:val="none" w:sz="0" w:space="0" w:color="auto"/>
        <w:bottom w:val="none" w:sz="0" w:space="0" w:color="auto"/>
        <w:right w:val="none" w:sz="0" w:space="0" w:color="auto"/>
      </w:divBdr>
      <w:divsChild>
        <w:div w:id="914701859">
          <w:marLeft w:val="0"/>
          <w:marRight w:val="0"/>
          <w:marTop w:val="0"/>
          <w:marBottom w:val="0"/>
          <w:divBdr>
            <w:top w:val="none" w:sz="0" w:space="0" w:color="auto"/>
            <w:left w:val="none" w:sz="0" w:space="0" w:color="auto"/>
            <w:bottom w:val="none" w:sz="0" w:space="0" w:color="auto"/>
            <w:right w:val="none" w:sz="0" w:space="0" w:color="auto"/>
          </w:divBdr>
          <w:divsChild>
            <w:div w:id="1152019168">
              <w:marLeft w:val="0"/>
              <w:marRight w:val="0"/>
              <w:marTop w:val="0"/>
              <w:marBottom w:val="0"/>
              <w:divBdr>
                <w:top w:val="none" w:sz="0" w:space="0" w:color="auto"/>
                <w:left w:val="none" w:sz="0" w:space="0" w:color="auto"/>
                <w:bottom w:val="none" w:sz="0" w:space="0" w:color="auto"/>
                <w:right w:val="none" w:sz="0" w:space="0" w:color="auto"/>
              </w:divBdr>
              <w:divsChild>
                <w:div w:id="996299567">
                  <w:marLeft w:val="0"/>
                  <w:marRight w:val="0"/>
                  <w:marTop w:val="0"/>
                  <w:marBottom w:val="0"/>
                  <w:divBdr>
                    <w:top w:val="none" w:sz="0" w:space="0" w:color="auto"/>
                    <w:left w:val="none" w:sz="0" w:space="0" w:color="auto"/>
                    <w:bottom w:val="none" w:sz="0" w:space="0" w:color="auto"/>
                    <w:right w:val="none" w:sz="0" w:space="0" w:color="auto"/>
                  </w:divBdr>
                  <w:divsChild>
                    <w:div w:id="269121452">
                      <w:marLeft w:val="0"/>
                      <w:marRight w:val="0"/>
                      <w:marTop w:val="0"/>
                      <w:marBottom w:val="0"/>
                      <w:divBdr>
                        <w:top w:val="none" w:sz="0" w:space="0" w:color="auto"/>
                        <w:left w:val="none" w:sz="0" w:space="0" w:color="auto"/>
                        <w:bottom w:val="none" w:sz="0" w:space="0" w:color="auto"/>
                        <w:right w:val="none" w:sz="0" w:space="0" w:color="auto"/>
                      </w:divBdr>
                      <w:divsChild>
                        <w:div w:id="61877555">
                          <w:marLeft w:val="0"/>
                          <w:marRight w:val="0"/>
                          <w:marTop w:val="0"/>
                          <w:marBottom w:val="0"/>
                          <w:divBdr>
                            <w:top w:val="none" w:sz="0" w:space="0" w:color="auto"/>
                            <w:left w:val="none" w:sz="0" w:space="0" w:color="auto"/>
                            <w:bottom w:val="none" w:sz="0" w:space="0" w:color="auto"/>
                            <w:right w:val="none" w:sz="0" w:space="0" w:color="auto"/>
                          </w:divBdr>
                          <w:divsChild>
                            <w:div w:id="1962416140">
                              <w:marLeft w:val="0"/>
                              <w:marRight w:val="0"/>
                              <w:marTop w:val="0"/>
                              <w:marBottom w:val="0"/>
                              <w:divBdr>
                                <w:top w:val="none" w:sz="0" w:space="0" w:color="auto"/>
                                <w:left w:val="none" w:sz="0" w:space="0" w:color="auto"/>
                                <w:bottom w:val="none" w:sz="0" w:space="0" w:color="auto"/>
                                <w:right w:val="none" w:sz="0" w:space="0" w:color="auto"/>
                              </w:divBdr>
                              <w:divsChild>
                                <w:div w:id="1496453758">
                                  <w:marLeft w:val="0"/>
                                  <w:marRight w:val="0"/>
                                  <w:marTop w:val="0"/>
                                  <w:marBottom w:val="0"/>
                                  <w:divBdr>
                                    <w:top w:val="none" w:sz="0" w:space="0" w:color="auto"/>
                                    <w:left w:val="none" w:sz="0" w:space="0" w:color="auto"/>
                                    <w:bottom w:val="none" w:sz="0" w:space="0" w:color="auto"/>
                                    <w:right w:val="none" w:sz="0" w:space="0" w:color="auto"/>
                                  </w:divBdr>
                                  <w:divsChild>
                                    <w:div w:id="17975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917194">
      <w:bodyDiv w:val="1"/>
      <w:marLeft w:val="0"/>
      <w:marRight w:val="0"/>
      <w:marTop w:val="0"/>
      <w:marBottom w:val="0"/>
      <w:divBdr>
        <w:top w:val="none" w:sz="0" w:space="0" w:color="auto"/>
        <w:left w:val="none" w:sz="0" w:space="0" w:color="auto"/>
        <w:bottom w:val="none" w:sz="0" w:space="0" w:color="auto"/>
        <w:right w:val="none" w:sz="0" w:space="0" w:color="auto"/>
      </w:divBdr>
    </w:div>
    <w:div w:id="1436946738">
      <w:bodyDiv w:val="1"/>
      <w:marLeft w:val="0"/>
      <w:marRight w:val="0"/>
      <w:marTop w:val="0"/>
      <w:marBottom w:val="0"/>
      <w:divBdr>
        <w:top w:val="none" w:sz="0" w:space="0" w:color="auto"/>
        <w:left w:val="none" w:sz="0" w:space="0" w:color="auto"/>
        <w:bottom w:val="none" w:sz="0" w:space="0" w:color="auto"/>
        <w:right w:val="none" w:sz="0" w:space="0" w:color="auto"/>
      </w:divBdr>
    </w:div>
    <w:div w:id="1653674709">
      <w:bodyDiv w:val="1"/>
      <w:marLeft w:val="0"/>
      <w:marRight w:val="0"/>
      <w:marTop w:val="0"/>
      <w:marBottom w:val="0"/>
      <w:divBdr>
        <w:top w:val="none" w:sz="0" w:space="0" w:color="auto"/>
        <w:left w:val="none" w:sz="0" w:space="0" w:color="auto"/>
        <w:bottom w:val="none" w:sz="0" w:space="0" w:color="auto"/>
        <w:right w:val="none" w:sz="0" w:space="0" w:color="auto"/>
      </w:divBdr>
    </w:div>
    <w:div w:id="1670793678">
      <w:bodyDiv w:val="1"/>
      <w:marLeft w:val="0"/>
      <w:marRight w:val="0"/>
      <w:marTop w:val="0"/>
      <w:marBottom w:val="0"/>
      <w:divBdr>
        <w:top w:val="none" w:sz="0" w:space="0" w:color="auto"/>
        <w:left w:val="none" w:sz="0" w:space="0" w:color="auto"/>
        <w:bottom w:val="none" w:sz="0" w:space="0" w:color="auto"/>
        <w:right w:val="none" w:sz="0" w:space="0" w:color="auto"/>
      </w:divBdr>
    </w:div>
    <w:div w:id="1672757306">
      <w:bodyDiv w:val="1"/>
      <w:marLeft w:val="0"/>
      <w:marRight w:val="0"/>
      <w:marTop w:val="0"/>
      <w:marBottom w:val="0"/>
      <w:divBdr>
        <w:top w:val="none" w:sz="0" w:space="0" w:color="auto"/>
        <w:left w:val="none" w:sz="0" w:space="0" w:color="auto"/>
        <w:bottom w:val="none" w:sz="0" w:space="0" w:color="auto"/>
        <w:right w:val="none" w:sz="0" w:space="0" w:color="auto"/>
      </w:divBdr>
    </w:div>
    <w:div w:id="1967589140">
      <w:bodyDiv w:val="1"/>
      <w:marLeft w:val="0"/>
      <w:marRight w:val="0"/>
      <w:marTop w:val="0"/>
      <w:marBottom w:val="0"/>
      <w:divBdr>
        <w:top w:val="none" w:sz="0" w:space="0" w:color="auto"/>
        <w:left w:val="none" w:sz="0" w:space="0" w:color="auto"/>
        <w:bottom w:val="none" w:sz="0" w:space="0" w:color="auto"/>
        <w:right w:val="none" w:sz="0" w:space="0" w:color="auto"/>
      </w:divBdr>
    </w:div>
    <w:div w:id="208090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ood.gov.au/haemovigilance-reporting" TargetMode="Externa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blood.gov.au/haemovigilance-reportin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F6C40535-00CF-4106-8E67-54EA8699523D@swelldesign.com.a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lood.gov.au/document/strategic-framework-national-haemovigilance-program-pdf" TargetMode="External"/><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chart" Target="charts/chart1.xml"/></Relationships>
</file>

<file path=word/_rels/endnotes.xml.rels><?xml version="1.0" encoding="UTF-8" standalone="yes"?>
<Relationships xmlns="http://schemas.openxmlformats.org/package/2006/relationships"><Relationship Id="rId2" Type="http://schemas.openxmlformats.org/officeDocument/2006/relationships/hyperlink" Target="http://www.shotuk.org/wp-content/uploads/report-2014.pdf" TargetMode="External"/><Relationship Id="rId1" Type="http://schemas.openxmlformats.org/officeDocument/2006/relationships/hyperlink" Target="http://anzsbt.org.au/publications/documents/ANZSBT_Guidelines_Administration_Blood_Products_2ndEd_Dec_2011_Hyperlinks.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88258762834044"/>
          <c:y val="5.276298231604503E-2"/>
          <c:w val="0.86453649573062186"/>
          <c:h val="0.75658475794137903"/>
        </c:manualLayout>
      </c:layout>
      <c:barChart>
        <c:barDir val="col"/>
        <c:grouping val="clustered"/>
        <c:varyColors val="0"/>
        <c:ser>
          <c:idx val="0"/>
          <c:order val="0"/>
          <c:tx>
            <c:strRef>
              <c:f>'Figure 3 TotalEvents'!$A$5:$B$5</c:f>
              <c:strCache>
                <c:ptCount val="1"/>
                <c:pt idx="0">
                  <c:v>Total events/ 10,000 donations</c:v>
                </c:pt>
              </c:strCache>
            </c:strRef>
          </c:tx>
          <c:spPr>
            <a:solidFill>
              <a:srgbClr val="FF0000"/>
            </a:solidFill>
          </c:spPr>
          <c:invertIfNegative val="0"/>
          <c:dLbls>
            <c:dLbl>
              <c:idx val="5"/>
              <c:layout>
                <c:manualLayout>
                  <c:x val="0"/>
                  <c:y val="2.89220382623274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'Figure 3 TotalEvents'!$C$4:$H$4</c:f>
              <c:strCache>
                <c:ptCount val="6"/>
                <c:pt idx="0">
                  <c:v>2008–09</c:v>
                </c:pt>
                <c:pt idx="1">
                  <c:v>2009–10</c:v>
                </c:pt>
                <c:pt idx="2">
                  <c:v>2010–11</c:v>
                </c:pt>
                <c:pt idx="3">
                  <c:v>2011–12</c:v>
                </c:pt>
                <c:pt idx="4">
                  <c:v>2012–13</c:v>
                </c:pt>
                <c:pt idx="5">
                  <c:v>2013–14</c:v>
                </c:pt>
              </c:strCache>
            </c:strRef>
          </c:cat>
          <c:val>
            <c:numRef>
              <c:f>'Figure 3 TotalEvents'!$C$5:$H$5</c:f>
              <c:numCache>
                <c:formatCode>General</c:formatCode>
                <c:ptCount val="6"/>
                <c:pt idx="0">
                  <c:v>38</c:v>
                </c:pt>
                <c:pt idx="1">
                  <c:v>40</c:v>
                </c:pt>
                <c:pt idx="2">
                  <c:v>190</c:v>
                </c:pt>
                <c:pt idx="3">
                  <c:v>220</c:v>
                </c:pt>
                <c:pt idx="4">
                  <c:v>251</c:v>
                </c:pt>
                <c:pt idx="5">
                  <c:v>267</c:v>
                </c:pt>
              </c:numCache>
            </c:numRef>
          </c:val>
        </c:ser>
        <c:ser>
          <c:idx val="1"/>
          <c:order val="1"/>
          <c:tx>
            <c:strRef>
              <c:f>'Figure 3 TotalEvents'!$A$6:$B$6</c:f>
              <c:strCache>
                <c:ptCount val="1"/>
                <c:pt idx="0">
                  <c:v>Serious events/ 10,000 donations</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'Figure 3 TotalEvents'!$C$4:$H$4</c:f>
              <c:strCache>
                <c:ptCount val="6"/>
                <c:pt idx="0">
                  <c:v>2008–09</c:v>
                </c:pt>
                <c:pt idx="1">
                  <c:v>2009–10</c:v>
                </c:pt>
                <c:pt idx="2">
                  <c:v>2010–11</c:v>
                </c:pt>
                <c:pt idx="3">
                  <c:v>2011–12</c:v>
                </c:pt>
                <c:pt idx="4">
                  <c:v>2012–13</c:v>
                </c:pt>
                <c:pt idx="5">
                  <c:v>2013–14</c:v>
                </c:pt>
              </c:strCache>
            </c:strRef>
          </c:cat>
          <c:val>
            <c:numRef>
              <c:f>'Figure 3 TotalEvents'!$C$6:$H$6</c:f>
              <c:numCache>
                <c:formatCode>General</c:formatCode>
                <c:ptCount val="6"/>
                <c:pt idx="0">
                  <c:v>4.9000000000000004</c:v>
                </c:pt>
                <c:pt idx="1">
                  <c:v>5.3</c:v>
                </c:pt>
                <c:pt idx="2">
                  <c:v>5.9</c:v>
                </c:pt>
                <c:pt idx="3">
                  <c:v>6.8</c:v>
                </c:pt>
                <c:pt idx="4">
                  <c:v>8</c:v>
                </c:pt>
                <c:pt idx="5">
                  <c:v>8.5</c:v>
                </c:pt>
              </c:numCache>
            </c:numRef>
          </c:val>
        </c:ser>
        <c:dLbls>
          <c:showLegendKey val="0"/>
          <c:showVal val="0"/>
          <c:showCatName val="0"/>
          <c:showSerName val="0"/>
          <c:showPercent val="0"/>
          <c:showBubbleSize val="0"/>
        </c:dLbls>
        <c:gapWidth val="150"/>
        <c:axId val="627020800"/>
        <c:axId val="609274688"/>
      </c:barChart>
      <c:catAx>
        <c:axId val="627020800"/>
        <c:scaling>
          <c:orientation val="minMax"/>
        </c:scaling>
        <c:delete val="0"/>
        <c:axPos val="b"/>
        <c:majorTickMark val="out"/>
        <c:minorTickMark val="none"/>
        <c:tickLblPos val="nextTo"/>
        <c:crossAx val="609274688"/>
        <c:crosses val="autoZero"/>
        <c:auto val="1"/>
        <c:lblAlgn val="ctr"/>
        <c:lblOffset val="100"/>
        <c:noMultiLvlLbl val="0"/>
      </c:catAx>
      <c:valAx>
        <c:axId val="609274688"/>
        <c:scaling>
          <c:orientation val="minMax"/>
          <c:max val="350"/>
        </c:scaling>
        <c:delete val="0"/>
        <c:axPos val="l"/>
        <c:majorGridlines>
          <c:spPr>
            <a:ln>
              <a:solidFill>
                <a:schemeClr val="tx1">
                  <a:tint val="75000"/>
                  <a:shade val="95000"/>
                  <a:satMod val="105000"/>
                </a:schemeClr>
              </a:solidFill>
              <a:prstDash val="dash"/>
            </a:ln>
          </c:spPr>
        </c:majorGridlines>
        <c:title>
          <c:tx>
            <c:rich>
              <a:bodyPr rot="-5400000" vert="horz"/>
              <a:lstStyle/>
              <a:p>
                <a:pPr>
                  <a:defRPr/>
                </a:pPr>
                <a:r>
                  <a:rPr lang="en-AU"/>
                  <a:t>Event</a:t>
                </a:r>
                <a:r>
                  <a:rPr lang="en-AU" baseline="0"/>
                  <a:t> rate/ 10,000 donations</a:t>
                </a:r>
                <a:endParaRPr lang="en-AU"/>
              </a:p>
            </c:rich>
          </c:tx>
          <c:layout>
            <c:manualLayout>
              <c:xMode val="edge"/>
              <c:yMode val="edge"/>
              <c:x val="8.5748787785591574E-3"/>
              <c:y val="0.10749827849465585"/>
            </c:manualLayout>
          </c:layout>
          <c:overlay val="0"/>
        </c:title>
        <c:numFmt formatCode="General" sourceLinked="1"/>
        <c:majorTickMark val="out"/>
        <c:minorTickMark val="none"/>
        <c:tickLblPos val="nextTo"/>
        <c:spPr>
          <a:ln>
            <a:noFill/>
          </a:ln>
        </c:spPr>
        <c:crossAx val="627020800"/>
        <c:crosses val="autoZero"/>
        <c:crossBetween val="between"/>
      </c:valAx>
    </c:plotArea>
    <c:legend>
      <c:legendPos val="b"/>
      <c:layout/>
      <c:overlay val="0"/>
      <c:txPr>
        <a:bodyPr/>
        <a:lstStyle/>
        <a:p>
          <a:pPr>
            <a:defRPr b="0"/>
          </a:pPr>
          <a:endParaRPr lang="en-US"/>
        </a:p>
      </c:txPr>
    </c:legend>
    <c:plotVisOnly val="1"/>
    <c:dispBlanksAs val="gap"/>
    <c:showDLblsOverMax val="0"/>
  </c:chart>
  <c:spPr>
    <a:noFill/>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0.26597</cdr:x>
      <cdr:y>0.25868</cdr:y>
    </cdr:from>
    <cdr:to>
      <cdr:x>0.40862</cdr:x>
      <cdr:y>0.59201</cdr:y>
    </cdr:to>
    <cdr:sp macro="" textlink="">
      <cdr:nvSpPr>
        <cdr:cNvPr id="2" name="TextBox 1"/>
        <cdr:cNvSpPr txBox="1"/>
      </cdr:nvSpPr>
      <cdr:spPr>
        <a:xfrm xmlns:a="http://schemas.openxmlformats.org/drawingml/2006/main">
          <a:off x="1704975" y="70961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AFA3-F33D-4755-802B-A13633292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19873</Words>
  <Characters>105129</Characters>
  <Application>Microsoft Office Word</Application>
  <DocSecurity>0</DocSecurity>
  <Lines>6184</Lines>
  <Paragraphs>4807</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120195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2016-08-30T02:03:00Z</cp:lastPrinted>
  <dcterms:created xsi:type="dcterms:W3CDTF">2016-08-30T02:00:00Z</dcterms:created>
  <dcterms:modified xsi:type="dcterms:W3CDTF">2016-08-30T02:04:00Z</dcterms:modified>
</cp:coreProperties>
</file>