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786E12" w14:textId="77777777" w:rsidR="00B3726E" w:rsidRDefault="00674CB4" w:rsidP="00CE4B5F">
      <w:bookmarkStart w:id="0" w:name="_GoBack"/>
      <w:bookmarkEnd w:id="0"/>
      <w:r>
        <w:rPr>
          <w:noProof/>
          <w:lang w:eastAsia="en-AU"/>
        </w:rPr>
        <w:drawing>
          <wp:anchor distT="0" distB="0" distL="114300" distR="114300" simplePos="0" relativeHeight="251660288" behindDoc="0" locked="0" layoutInCell="1" allowOverlap="1" wp14:anchorId="096C0199" wp14:editId="0F85F2AC">
            <wp:simplePos x="0" y="0"/>
            <wp:positionH relativeFrom="column">
              <wp:posOffset>-931652</wp:posOffset>
            </wp:positionH>
            <wp:positionV relativeFrom="paragraph">
              <wp:posOffset>-1004807</wp:posOffset>
            </wp:positionV>
            <wp:extent cx="7668000" cy="108396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19_v3_cover-01-01-01.png"/>
                    <pic:cNvPicPr/>
                  </pic:nvPicPr>
                  <pic:blipFill>
                    <a:blip r:embed="rId8">
                      <a:extLst>
                        <a:ext uri="{28A0092B-C50C-407E-A947-70E740481C1C}">
                          <a14:useLocalDpi xmlns:a14="http://schemas.microsoft.com/office/drawing/2010/main" val="0"/>
                        </a:ext>
                      </a:extLst>
                    </a:blip>
                    <a:stretch>
                      <a:fillRect/>
                    </a:stretch>
                  </pic:blipFill>
                  <pic:spPr>
                    <a:xfrm>
                      <a:off x="0" y="0"/>
                      <a:ext cx="7668000" cy="10839600"/>
                    </a:xfrm>
                    <a:prstGeom prst="rect">
                      <a:avLst/>
                    </a:prstGeom>
                  </pic:spPr>
                </pic:pic>
              </a:graphicData>
            </a:graphic>
            <wp14:sizeRelH relativeFrom="page">
              <wp14:pctWidth>0</wp14:pctWidth>
            </wp14:sizeRelH>
            <wp14:sizeRelV relativeFrom="page">
              <wp14:pctHeight>0</wp14:pctHeight>
            </wp14:sizeRelV>
          </wp:anchor>
        </w:drawing>
      </w:r>
    </w:p>
    <w:p w14:paraId="1323889A" w14:textId="77777777" w:rsidR="00851697" w:rsidRDefault="00851697">
      <w:pPr>
        <w:spacing w:line="276" w:lineRule="auto"/>
      </w:pPr>
    </w:p>
    <w:p w14:paraId="553C2A2D" w14:textId="77777777" w:rsidR="00851697" w:rsidRDefault="00851697">
      <w:pPr>
        <w:spacing w:line="276" w:lineRule="auto"/>
      </w:pPr>
    </w:p>
    <w:p w14:paraId="002ADCF7" w14:textId="77777777" w:rsidR="00851697" w:rsidRDefault="00851697">
      <w:pPr>
        <w:spacing w:line="276" w:lineRule="auto"/>
      </w:pPr>
    </w:p>
    <w:p w14:paraId="076B9054" w14:textId="77777777" w:rsidR="00851697" w:rsidRDefault="00851697">
      <w:pPr>
        <w:spacing w:line="276" w:lineRule="auto"/>
      </w:pPr>
    </w:p>
    <w:p w14:paraId="448C9A84" w14:textId="77777777" w:rsidR="00851697" w:rsidRDefault="00851697">
      <w:pPr>
        <w:spacing w:line="276" w:lineRule="auto"/>
      </w:pPr>
    </w:p>
    <w:p w14:paraId="6110A46A" w14:textId="77777777" w:rsidR="00851697" w:rsidRDefault="00851697">
      <w:pPr>
        <w:spacing w:line="276" w:lineRule="auto"/>
      </w:pPr>
    </w:p>
    <w:p w14:paraId="56806BB2" w14:textId="77777777" w:rsidR="00851697" w:rsidRDefault="00851697">
      <w:pPr>
        <w:spacing w:line="276" w:lineRule="auto"/>
      </w:pPr>
    </w:p>
    <w:p w14:paraId="17B068CD" w14:textId="77777777" w:rsidR="00851697" w:rsidRDefault="00851697">
      <w:pPr>
        <w:spacing w:line="276" w:lineRule="auto"/>
      </w:pPr>
    </w:p>
    <w:p w14:paraId="65B151D8" w14:textId="77777777" w:rsidR="00851697" w:rsidRDefault="00851697">
      <w:pPr>
        <w:spacing w:line="276" w:lineRule="auto"/>
      </w:pPr>
    </w:p>
    <w:p w14:paraId="5E9DAF59" w14:textId="77777777" w:rsidR="00851697" w:rsidRDefault="00851697">
      <w:pPr>
        <w:spacing w:line="276" w:lineRule="auto"/>
      </w:pPr>
    </w:p>
    <w:p w14:paraId="625CC80A" w14:textId="77777777" w:rsidR="00851697" w:rsidRDefault="00851697">
      <w:pPr>
        <w:spacing w:line="276" w:lineRule="auto"/>
      </w:pPr>
    </w:p>
    <w:p w14:paraId="1C731841" w14:textId="77777777" w:rsidR="00851697" w:rsidRDefault="00851697">
      <w:pPr>
        <w:spacing w:line="276" w:lineRule="auto"/>
      </w:pPr>
    </w:p>
    <w:p w14:paraId="06762951" w14:textId="77777777" w:rsidR="00851697" w:rsidRDefault="00851697">
      <w:pPr>
        <w:spacing w:line="276" w:lineRule="auto"/>
      </w:pPr>
    </w:p>
    <w:p w14:paraId="7E1BC8A3" w14:textId="77777777" w:rsidR="00851697" w:rsidRDefault="00851697" w:rsidP="00851697">
      <w:r>
        <w:rPr>
          <w:noProof/>
          <w:lang w:eastAsia="en-AU"/>
        </w:rPr>
        <w:drawing>
          <wp:inline distT="0" distB="0" distL="0" distR="0" wp14:anchorId="20BB6AC8" wp14:editId="50FC3A45">
            <wp:extent cx="1175657" cy="414152"/>
            <wp:effectExtent l="0" t="0" r="571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9">
                      <a:extLst>
                        <a:ext uri="{28A0092B-C50C-407E-A947-70E740481C1C}">
                          <a14:useLocalDpi xmlns:a14="http://schemas.microsoft.com/office/drawing/2010/main" val="0"/>
                        </a:ext>
                      </a:extLst>
                    </a:blip>
                    <a:stretch>
                      <a:fillRect/>
                    </a:stretch>
                  </pic:blipFill>
                  <pic:spPr>
                    <a:xfrm>
                      <a:off x="0" y="0"/>
                      <a:ext cx="1169285" cy="411907"/>
                    </a:xfrm>
                    <a:prstGeom prst="rect">
                      <a:avLst/>
                    </a:prstGeom>
                  </pic:spPr>
                </pic:pic>
              </a:graphicData>
            </a:graphic>
          </wp:inline>
        </w:drawing>
      </w:r>
    </w:p>
    <w:p w14:paraId="0AED089C" w14:textId="77777777" w:rsidR="00851697" w:rsidRPr="0078402D" w:rsidRDefault="00851697" w:rsidP="00851697">
      <w:pPr>
        <w:pStyle w:val="Pa1"/>
        <w:spacing w:before="100" w:after="40"/>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With the exception of any logos and registered trademarks, and where otherwise noted, all material presented in this document is provided under a Creative Commons Attribution 4.0 license (https://creativecommons.org/licenses/by/4.0/) </w:t>
      </w:r>
    </w:p>
    <w:p w14:paraId="426FF1A8" w14:textId="77777777" w:rsidR="00851697" w:rsidRPr="0078402D" w:rsidRDefault="00851697" w:rsidP="00851697">
      <w:pPr>
        <w:pStyle w:val="Pa1"/>
        <w:spacing w:before="100" w:after="40"/>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The details of the relevant license conditions are available on the Creative Commons website (accessible using the links provided) as is the full legal code for the CC BY 4.0 license (https://creativecommons.org/licenses/by/4.0/legalcode) </w:t>
      </w:r>
    </w:p>
    <w:p w14:paraId="5B96A195" w14:textId="77777777" w:rsidR="00851697" w:rsidRPr="0078402D" w:rsidRDefault="00851697" w:rsidP="00851697">
      <w:pPr>
        <w:pStyle w:val="Pa1"/>
        <w:spacing w:before="100" w:after="40"/>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The content obtained from this document or derivative of this work must be attributed as: </w:t>
      </w:r>
    </w:p>
    <w:p w14:paraId="3CC1AC04" w14:textId="77777777" w:rsidR="00851697" w:rsidRPr="0078402D" w:rsidRDefault="00851697" w:rsidP="00851697">
      <w:pPr>
        <w:pStyle w:val="Pa1"/>
        <w:spacing w:before="100" w:after="40"/>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Australian Haemovigilance Report, Data for </w:t>
      </w:r>
      <w:r w:rsidR="00D16364">
        <w:rPr>
          <w:rFonts w:asciiTheme="minorHAnsi" w:hAnsiTheme="minorHAnsi" w:cstheme="minorHAnsi"/>
          <w:color w:val="221E1F"/>
          <w:sz w:val="20"/>
          <w:szCs w:val="20"/>
        </w:rPr>
        <w:t>2018-19</w:t>
      </w:r>
      <w:r w:rsidRPr="0078402D">
        <w:rPr>
          <w:rFonts w:asciiTheme="minorHAnsi" w:hAnsiTheme="minorHAnsi" w:cstheme="minorHAnsi"/>
          <w:color w:val="221E1F"/>
          <w:sz w:val="20"/>
          <w:szCs w:val="20"/>
        </w:rPr>
        <w:t xml:space="preserve"> published by the National Blood Authority. </w:t>
      </w:r>
    </w:p>
    <w:p w14:paraId="6CF0FBF4" w14:textId="77777777" w:rsidR="00851697" w:rsidRPr="0078402D" w:rsidRDefault="00851697" w:rsidP="00851697">
      <w:pPr>
        <w:pStyle w:val="Pa1"/>
        <w:spacing w:before="100" w:after="40"/>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ISSN 1838-1790 </w:t>
      </w:r>
    </w:p>
    <w:p w14:paraId="73FEAC0F" w14:textId="77777777" w:rsidR="00851697" w:rsidRPr="0078402D" w:rsidRDefault="00851697" w:rsidP="00851697">
      <w:pPr>
        <w:pStyle w:val="Pa1"/>
        <w:spacing w:before="100" w:after="40"/>
        <w:rPr>
          <w:rFonts w:asciiTheme="minorHAnsi" w:hAnsiTheme="minorHAnsi" w:cstheme="minorHAnsi"/>
          <w:color w:val="263895"/>
          <w:sz w:val="20"/>
          <w:szCs w:val="20"/>
        </w:rPr>
      </w:pPr>
      <w:r w:rsidRPr="0078402D">
        <w:rPr>
          <w:rFonts w:asciiTheme="minorHAnsi" w:hAnsiTheme="minorHAnsi" w:cstheme="minorHAnsi"/>
          <w:color w:val="221E1F"/>
          <w:sz w:val="20"/>
          <w:szCs w:val="20"/>
        </w:rPr>
        <w:t xml:space="preserve">This report is available online at </w:t>
      </w:r>
      <w:r w:rsidRPr="0078402D">
        <w:rPr>
          <w:rStyle w:val="A4"/>
          <w:rFonts w:asciiTheme="minorHAnsi" w:hAnsiTheme="minorHAnsi" w:cstheme="minorHAnsi"/>
        </w:rPr>
        <w:t xml:space="preserve">www.blood.gov.au/haemovigilance-reporting </w:t>
      </w:r>
    </w:p>
    <w:p w14:paraId="0C1BB55C" w14:textId="77777777" w:rsidR="00851697" w:rsidRPr="0078402D" w:rsidRDefault="00851697" w:rsidP="00851697">
      <w:pPr>
        <w:pStyle w:val="Default"/>
        <w:spacing w:before="160" w:line="201" w:lineRule="atLeast"/>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Contact officer: </w:t>
      </w:r>
    </w:p>
    <w:p w14:paraId="1E095248" w14:textId="77777777" w:rsidR="00851697" w:rsidRPr="0078402D" w:rsidRDefault="00851697" w:rsidP="00851697">
      <w:pPr>
        <w:pStyle w:val="Pa3"/>
        <w:spacing w:before="220"/>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Communications Manager </w:t>
      </w:r>
    </w:p>
    <w:p w14:paraId="66A64F0C" w14:textId="77777777" w:rsidR="00851697" w:rsidRPr="0078402D" w:rsidRDefault="00851697" w:rsidP="00851697">
      <w:pPr>
        <w:pStyle w:val="Pa4"/>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Locked Bag 8430 </w:t>
      </w:r>
    </w:p>
    <w:p w14:paraId="153376B9" w14:textId="77777777" w:rsidR="00851697" w:rsidRPr="0078402D" w:rsidRDefault="00851697" w:rsidP="00851697">
      <w:pPr>
        <w:pStyle w:val="Pa4"/>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Canberra ACT 2601 </w:t>
      </w:r>
    </w:p>
    <w:p w14:paraId="725E583E" w14:textId="77777777" w:rsidR="00851697" w:rsidRPr="0078402D" w:rsidRDefault="00851697" w:rsidP="00851697">
      <w:pPr>
        <w:pStyle w:val="Pa3"/>
        <w:spacing w:before="220"/>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Phone: +61 2 6151 5000 </w:t>
      </w:r>
    </w:p>
    <w:p w14:paraId="286C35D7" w14:textId="77777777" w:rsidR="00851697" w:rsidRPr="0078402D" w:rsidRDefault="00851697" w:rsidP="00851697">
      <w:pPr>
        <w:pStyle w:val="Pa4"/>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Fax: +61 2 6151 5300 </w:t>
      </w:r>
    </w:p>
    <w:p w14:paraId="5A5A418F" w14:textId="77777777" w:rsidR="00851697" w:rsidRPr="0078402D" w:rsidRDefault="00851697" w:rsidP="00851697">
      <w:pPr>
        <w:pStyle w:val="Pa4"/>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Email: haemovigilance@blood.gov.au </w:t>
      </w:r>
    </w:p>
    <w:p w14:paraId="5391FD97" w14:textId="77777777" w:rsidR="00851697" w:rsidRPr="0078402D" w:rsidRDefault="00851697" w:rsidP="00851697">
      <w:pPr>
        <w:rPr>
          <w:rFonts w:asciiTheme="minorHAnsi" w:hAnsiTheme="minorHAnsi" w:cstheme="minorHAnsi"/>
        </w:rPr>
      </w:pPr>
      <w:r w:rsidRPr="0078402D">
        <w:rPr>
          <w:rFonts w:asciiTheme="minorHAnsi" w:hAnsiTheme="minorHAnsi" w:cstheme="minorHAnsi"/>
          <w:color w:val="221E1F"/>
          <w:sz w:val="20"/>
          <w:szCs w:val="20"/>
        </w:rPr>
        <w:t xml:space="preserve">Website: </w:t>
      </w:r>
      <w:r w:rsidRPr="0078402D">
        <w:rPr>
          <w:rStyle w:val="A4"/>
          <w:rFonts w:asciiTheme="minorHAnsi" w:hAnsiTheme="minorHAnsi" w:cstheme="minorHAnsi"/>
        </w:rPr>
        <w:t>www.blood.gov.au</w:t>
      </w:r>
    </w:p>
    <w:p w14:paraId="22BA6040" w14:textId="77777777" w:rsidR="00CE4B5F" w:rsidRDefault="00CE4B5F">
      <w:pPr>
        <w:spacing w:line="276" w:lineRule="auto"/>
      </w:pPr>
      <w:r>
        <w:br w:type="page"/>
      </w:r>
    </w:p>
    <w:p w14:paraId="630B3B48" w14:textId="77777777" w:rsidR="00ED55A8" w:rsidRDefault="00ED55A8">
      <w:pPr>
        <w:pStyle w:val="TOCHeading"/>
      </w:pPr>
    </w:p>
    <w:sdt>
      <w:sdtPr>
        <w:rPr>
          <w:rFonts w:ascii="Calibri" w:eastAsia="Dotum" w:hAnsi="Calibri" w:cs="Calibri"/>
          <w:color w:val="auto"/>
          <w:sz w:val="22"/>
          <w:szCs w:val="22"/>
          <w:lang w:val="en-AU"/>
        </w:rPr>
        <w:id w:val="1618024806"/>
        <w:docPartObj>
          <w:docPartGallery w:val="Table of Contents"/>
          <w:docPartUnique/>
        </w:docPartObj>
      </w:sdtPr>
      <w:sdtEndPr>
        <w:rPr>
          <w:b/>
          <w:bCs/>
          <w:noProof/>
        </w:rPr>
      </w:sdtEndPr>
      <w:sdtContent>
        <w:p w14:paraId="40EE36A9" w14:textId="77777777" w:rsidR="00ED55A8" w:rsidRPr="00ED55A8" w:rsidRDefault="00ED55A8">
          <w:pPr>
            <w:pStyle w:val="TOCHeading"/>
            <w:rPr>
              <w:rFonts w:asciiTheme="minorHAnsi" w:hAnsiTheme="minorHAnsi" w:cstheme="minorHAnsi"/>
              <w:sz w:val="56"/>
              <w:szCs w:val="56"/>
            </w:rPr>
          </w:pPr>
          <w:r>
            <w:rPr>
              <w:rFonts w:asciiTheme="minorHAnsi" w:hAnsiTheme="minorHAnsi" w:cstheme="minorHAnsi"/>
              <w:sz w:val="56"/>
              <w:szCs w:val="56"/>
            </w:rPr>
            <w:t>TABLE OF CONTENTS</w:t>
          </w:r>
        </w:p>
        <w:p w14:paraId="0FFD7354" w14:textId="2383536E" w:rsidR="00936D53" w:rsidRDefault="00767128">
          <w:pPr>
            <w:pStyle w:val="TOC1"/>
            <w:tabs>
              <w:tab w:val="right" w:leader="dot" w:pos="9323"/>
            </w:tabs>
            <w:rPr>
              <w:rFonts w:asciiTheme="minorHAnsi" w:eastAsiaTheme="minorEastAsia" w:hAnsiTheme="minorHAnsi" w:cstheme="minorBidi"/>
              <w:noProof/>
              <w:lang w:eastAsia="en-AU"/>
            </w:rPr>
          </w:pPr>
          <w:r>
            <w:fldChar w:fldCharType="begin"/>
          </w:r>
          <w:r>
            <w:instrText xml:space="preserve"> TOC \o "1-4" \h \z \u </w:instrText>
          </w:r>
          <w:r>
            <w:fldChar w:fldCharType="separate"/>
          </w:r>
          <w:hyperlink w:anchor="_Toc64836302" w:history="1">
            <w:r w:rsidR="00936D53" w:rsidRPr="003B2F22">
              <w:rPr>
                <w:rStyle w:val="Hyperlink"/>
                <w:noProof/>
              </w:rPr>
              <w:t>TABLES AND FIGURES</w:t>
            </w:r>
            <w:r w:rsidR="00936D53">
              <w:rPr>
                <w:noProof/>
                <w:webHidden/>
              </w:rPr>
              <w:tab/>
            </w:r>
            <w:r w:rsidR="00936D53">
              <w:rPr>
                <w:noProof/>
                <w:webHidden/>
              </w:rPr>
              <w:fldChar w:fldCharType="begin"/>
            </w:r>
            <w:r w:rsidR="00936D53">
              <w:rPr>
                <w:noProof/>
                <w:webHidden/>
              </w:rPr>
              <w:instrText xml:space="preserve"> PAGEREF _Toc64836302 \h </w:instrText>
            </w:r>
            <w:r w:rsidR="00936D53">
              <w:rPr>
                <w:noProof/>
                <w:webHidden/>
              </w:rPr>
            </w:r>
            <w:r w:rsidR="00936D53">
              <w:rPr>
                <w:noProof/>
                <w:webHidden/>
              </w:rPr>
              <w:fldChar w:fldCharType="separate"/>
            </w:r>
            <w:r w:rsidR="00936D53">
              <w:rPr>
                <w:noProof/>
                <w:webHidden/>
              </w:rPr>
              <w:t>4</w:t>
            </w:r>
            <w:r w:rsidR="00936D53">
              <w:rPr>
                <w:noProof/>
                <w:webHidden/>
              </w:rPr>
              <w:fldChar w:fldCharType="end"/>
            </w:r>
          </w:hyperlink>
        </w:p>
        <w:p w14:paraId="093E19B0" w14:textId="4DCC2813" w:rsidR="00936D53" w:rsidRDefault="00D41059">
          <w:pPr>
            <w:pStyle w:val="TOC1"/>
            <w:tabs>
              <w:tab w:val="right" w:leader="dot" w:pos="9323"/>
            </w:tabs>
            <w:rPr>
              <w:rFonts w:asciiTheme="minorHAnsi" w:eastAsiaTheme="minorEastAsia" w:hAnsiTheme="minorHAnsi" w:cstheme="minorBidi"/>
              <w:noProof/>
              <w:lang w:eastAsia="en-AU"/>
            </w:rPr>
          </w:pPr>
          <w:hyperlink w:anchor="_Toc64836303" w:history="1">
            <w:r w:rsidR="00936D53" w:rsidRPr="003B2F22">
              <w:rPr>
                <w:rStyle w:val="Hyperlink"/>
                <w:noProof/>
              </w:rPr>
              <w:t>SECTION 1</w:t>
            </w:r>
            <w:r w:rsidR="00936D53">
              <w:rPr>
                <w:noProof/>
                <w:webHidden/>
              </w:rPr>
              <w:tab/>
            </w:r>
            <w:r w:rsidR="00936D53">
              <w:rPr>
                <w:noProof/>
                <w:webHidden/>
              </w:rPr>
              <w:fldChar w:fldCharType="begin"/>
            </w:r>
            <w:r w:rsidR="00936D53">
              <w:rPr>
                <w:noProof/>
                <w:webHidden/>
              </w:rPr>
              <w:instrText xml:space="preserve"> PAGEREF _Toc64836303 \h </w:instrText>
            </w:r>
            <w:r w:rsidR="00936D53">
              <w:rPr>
                <w:noProof/>
                <w:webHidden/>
              </w:rPr>
            </w:r>
            <w:r w:rsidR="00936D53">
              <w:rPr>
                <w:noProof/>
                <w:webHidden/>
              </w:rPr>
              <w:fldChar w:fldCharType="separate"/>
            </w:r>
            <w:r w:rsidR="00936D53">
              <w:rPr>
                <w:noProof/>
                <w:webHidden/>
              </w:rPr>
              <w:t>6</w:t>
            </w:r>
            <w:r w:rsidR="00936D53">
              <w:rPr>
                <w:noProof/>
                <w:webHidden/>
              </w:rPr>
              <w:fldChar w:fldCharType="end"/>
            </w:r>
          </w:hyperlink>
        </w:p>
        <w:p w14:paraId="2E6C22F2" w14:textId="7789237E" w:rsidR="00936D53" w:rsidRDefault="00D41059">
          <w:pPr>
            <w:pStyle w:val="TOC1"/>
            <w:tabs>
              <w:tab w:val="right" w:leader="dot" w:pos="9323"/>
            </w:tabs>
            <w:rPr>
              <w:rFonts w:asciiTheme="minorHAnsi" w:eastAsiaTheme="minorEastAsia" w:hAnsiTheme="minorHAnsi" w:cstheme="minorBidi"/>
              <w:noProof/>
              <w:lang w:eastAsia="en-AU"/>
            </w:rPr>
          </w:pPr>
          <w:hyperlink w:anchor="_Toc64836304" w:history="1">
            <w:r w:rsidR="00936D53" w:rsidRPr="003B2F22">
              <w:rPr>
                <w:rStyle w:val="Hyperlink"/>
                <w:noProof/>
              </w:rPr>
              <w:t>Australian Haemovigilance Data</w:t>
            </w:r>
            <w:r w:rsidR="00936D53">
              <w:rPr>
                <w:noProof/>
                <w:webHidden/>
              </w:rPr>
              <w:tab/>
            </w:r>
            <w:r w:rsidR="00936D53">
              <w:rPr>
                <w:noProof/>
                <w:webHidden/>
              </w:rPr>
              <w:fldChar w:fldCharType="begin"/>
            </w:r>
            <w:r w:rsidR="00936D53">
              <w:rPr>
                <w:noProof/>
                <w:webHidden/>
              </w:rPr>
              <w:instrText xml:space="preserve"> PAGEREF _Toc64836304 \h </w:instrText>
            </w:r>
            <w:r w:rsidR="00936D53">
              <w:rPr>
                <w:noProof/>
                <w:webHidden/>
              </w:rPr>
            </w:r>
            <w:r w:rsidR="00936D53">
              <w:rPr>
                <w:noProof/>
                <w:webHidden/>
              </w:rPr>
              <w:fldChar w:fldCharType="separate"/>
            </w:r>
            <w:r w:rsidR="00936D53">
              <w:rPr>
                <w:noProof/>
                <w:webHidden/>
              </w:rPr>
              <w:t>6</w:t>
            </w:r>
            <w:r w:rsidR="00936D53">
              <w:rPr>
                <w:noProof/>
                <w:webHidden/>
              </w:rPr>
              <w:fldChar w:fldCharType="end"/>
            </w:r>
          </w:hyperlink>
        </w:p>
        <w:p w14:paraId="058565A0" w14:textId="74D9F35F" w:rsidR="00936D53" w:rsidRDefault="00D41059">
          <w:pPr>
            <w:pStyle w:val="TOC3"/>
            <w:tabs>
              <w:tab w:val="right" w:leader="dot" w:pos="9323"/>
            </w:tabs>
            <w:rPr>
              <w:rFonts w:asciiTheme="minorHAnsi" w:eastAsiaTheme="minorEastAsia" w:hAnsiTheme="minorHAnsi" w:cstheme="minorBidi"/>
              <w:noProof/>
              <w:lang w:eastAsia="en-AU"/>
            </w:rPr>
          </w:pPr>
          <w:hyperlink w:anchor="_Toc64836305" w:history="1">
            <w:r w:rsidR="00936D53" w:rsidRPr="003B2F22">
              <w:rPr>
                <w:rStyle w:val="Hyperlink"/>
                <w:noProof/>
              </w:rPr>
              <w:t>Acknowledgements</w:t>
            </w:r>
            <w:r w:rsidR="00936D53">
              <w:rPr>
                <w:noProof/>
                <w:webHidden/>
              </w:rPr>
              <w:tab/>
            </w:r>
            <w:r w:rsidR="00936D53">
              <w:rPr>
                <w:noProof/>
                <w:webHidden/>
              </w:rPr>
              <w:fldChar w:fldCharType="begin"/>
            </w:r>
            <w:r w:rsidR="00936D53">
              <w:rPr>
                <w:noProof/>
                <w:webHidden/>
              </w:rPr>
              <w:instrText xml:space="preserve"> PAGEREF _Toc64836305 \h </w:instrText>
            </w:r>
            <w:r w:rsidR="00936D53">
              <w:rPr>
                <w:noProof/>
                <w:webHidden/>
              </w:rPr>
            </w:r>
            <w:r w:rsidR="00936D53">
              <w:rPr>
                <w:noProof/>
                <w:webHidden/>
              </w:rPr>
              <w:fldChar w:fldCharType="separate"/>
            </w:r>
            <w:r w:rsidR="00936D53">
              <w:rPr>
                <w:noProof/>
                <w:webHidden/>
              </w:rPr>
              <w:t>6</w:t>
            </w:r>
            <w:r w:rsidR="00936D53">
              <w:rPr>
                <w:noProof/>
                <w:webHidden/>
              </w:rPr>
              <w:fldChar w:fldCharType="end"/>
            </w:r>
          </w:hyperlink>
        </w:p>
        <w:p w14:paraId="69985814" w14:textId="7B6A0462" w:rsidR="00936D53" w:rsidRDefault="00D41059">
          <w:pPr>
            <w:pStyle w:val="TOC3"/>
            <w:tabs>
              <w:tab w:val="right" w:leader="dot" w:pos="9323"/>
            </w:tabs>
            <w:rPr>
              <w:rFonts w:asciiTheme="minorHAnsi" w:eastAsiaTheme="minorEastAsia" w:hAnsiTheme="minorHAnsi" w:cstheme="minorBidi"/>
              <w:noProof/>
              <w:lang w:eastAsia="en-AU"/>
            </w:rPr>
          </w:pPr>
          <w:hyperlink w:anchor="_Toc64836306" w:history="1">
            <w:r w:rsidR="00936D53" w:rsidRPr="003B2F22">
              <w:rPr>
                <w:rStyle w:val="Hyperlink"/>
                <w:noProof/>
              </w:rPr>
              <w:t>Caveats</w:t>
            </w:r>
            <w:r w:rsidR="00936D53">
              <w:rPr>
                <w:noProof/>
                <w:webHidden/>
              </w:rPr>
              <w:tab/>
            </w:r>
            <w:r w:rsidR="00936D53">
              <w:rPr>
                <w:noProof/>
                <w:webHidden/>
              </w:rPr>
              <w:fldChar w:fldCharType="begin"/>
            </w:r>
            <w:r w:rsidR="00936D53">
              <w:rPr>
                <w:noProof/>
                <w:webHidden/>
              </w:rPr>
              <w:instrText xml:space="preserve"> PAGEREF _Toc64836306 \h </w:instrText>
            </w:r>
            <w:r w:rsidR="00936D53">
              <w:rPr>
                <w:noProof/>
                <w:webHidden/>
              </w:rPr>
            </w:r>
            <w:r w:rsidR="00936D53">
              <w:rPr>
                <w:noProof/>
                <w:webHidden/>
              </w:rPr>
              <w:fldChar w:fldCharType="separate"/>
            </w:r>
            <w:r w:rsidR="00936D53">
              <w:rPr>
                <w:noProof/>
                <w:webHidden/>
              </w:rPr>
              <w:t>6</w:t>
            </w:r>
            <w:r w:rsidR="00936D53">
              <w:rPr>
                <w:noProof/>
                <w:webHidden/>
              </w:rPr>
              <w:fldChar w:fldCharType="end"/>
            </w:r>
          </w:hyperlink>
        </w:p>
        <w:p w14:paraId="1477F6DF" w14:textId="14B0317E" w:rsidR="00936D53" w:rsidRDefault="00D41059">
          <w:pPr>
            <w:pStyle w:val="TOC3"/>
            <w:tabs>
              <w:tab w:val="right" w:leader="dot" w:pos="9323"/>
            </w:tabs>
            <w:rPr>
              <w:rFonts w:asciiTheme="minorHAnsi" w:eastAsiaTheme="minorEastAsia" w:hAnsiTheme="minorHAnsi" w:cstheme="minorBidi"/>
              <w:noProof/>
              <w:lang w:eastAsia="en-AU"/>
            </w:rPr>
          </w:pPr>
          <w:hyperlink w:anchor="_Toc64836307" w:history="1">
            <w:r w:rsidR="00936D53" w:rsidRPr="003B2F22">
              <w:rPr>
                <w:rStyle w:val="Hyperlink"/>
                <w:noProof/>
              </w:rPr>
              <w:t>Collection and reporting process</w:t>
            </w:r>
            <w:r w:rsidR="00936D53">
              <w:rPr>
                <w:noProof/>
                <w:webHidden/>
              </w:rPr>
              <w:tab/>
            </w:r>
            <w:r w:rsidR="00936D53">
              <w:rPr>
                <w:noProof/>
                <w:webHidden/>
              </w:rPr>
              <w:fldChar w:fldCharType="begin"/>
            </w:r>
            <w:r w:rsidR="00936D53">
              <w:rPr>
                <w:noProof/>
                <w:webHidden/>
              </w:rPr>
              <w:instrText xml:space="preserve"> PAGEREF _Toc64836307 \h </w:instrText>
            </w:r>
            <w:r w:rsidR="00936D53">
              <w:rPr>
                <w:noProof/>
                <w:webHidden/>
              </w:rPr>
            </w:r>
            <w:r w:rsidR="00936D53">
              <w:rPr>
                <w:noProof/>
                <w:webHidden/>
              </w:rPr>
              <w:fldChar w:fldCharType="separate"/>
            </w:r>
            <w:r w:rsidR="00936D53">
              <w:rPr>
                <w:noProof/>
                <w:webHidden/>
              </w:rPr>
              <w:t>7</w:t>
            </w:r>
            <w:r w:rsidR="00936D53">
              <w:rPr>
                <w:noProof/>
                <w:webHidden/>
              </w:rPr>
              <w:fldChar w:fldCharType="end"/>
            </w:r>
          </w:hyperlink>
        </w:p>
        <w:p w14:paraId="5946894D" w14:textId="7ED3D880" w:rsidR="00936D53" w:rsidRDefault="00D41059">
          <w:pPr>
            <w:pStyle w:val="TOC3"/>
            <w:tabs>
              <w:tab w:val="right" w:leader="dot" w:pos="9323"/>
            </w:tabs>
            <w:rPr>
              <w:rFonts w:asciiTheme="minorHAnsi" w:eastAsiaTheme="minorEastAsia" w:hAnsiTheme="minorHAnsi" w:cstheme="minorBidi"/>
              <w:noProof/>
              <w:lang w:eastAsia="en-AU"/>
            </w:rPr>
          </w:pPr>
          <w:hyperlink w:anchor="_Toc64836308" w:history="1">
            <w:r w:rsidR="00936D53" w:rsidRPr="003B2F22">
              <w:rPr>
                <w:rStyle w:val="Hyperlink"/>
                <w:noProof/>
              </w:rPr>
              <w:t>Summary of findings for 2018-19</w:t>
            </w:r>
            <w:r w:rsidR="00936D53">
              <w:rPr>
                <w:noProof/>
                <w:webHidden/>
              </w:rPr>
              <w:tab/>
            </w:r>
            <w:r w:rsidR="00936D53">
              <w:rPr>
                <w:noProof/>
                <w:webHidden/>
              </w:rPr>
              <w:fldChar w:fldCharType="begin"/>
            </w:r>
            <w:r w:rsidR="00936D53">
              <w:rPr>
                <w:noProof/>
                <w:webHidden/>
              </w:rPr>
              <w:instrText xml:space="preserve"> PAGEREF _Toc64836308 \h </w:instrText>
            </w:r>
            <w:r w:rsidR="00936D53">
              <w:rPr>
                <w:noProof/>
                <w:webHidden/>
              </w:rPr>
            </w:r>
            <w:r w:rsidR="00936D53">
              <w:rPr>
                <w:noProof/>
                <w:webHidden/>
              </w:rPr>
              <w:fldChar w:fldCharType="separate"/>
            </w:r>
            <w:r w:rsidR="00936D53">
              <w:rPr>
                <w:noProof/>
                <w:webHidden/>
              </w:rPr>
              <w:t>8</w:t>
            </w:r>
            <w:r w:rsidR="00936D53">
              <w:rPr>
                <w:noProof/>
                <w:webHidden/>
              </w:rPr>
              <w:fldChar w:fldCharType="end"/>
            </w:r>
          </w:hyperlink>
        </w:p>
        <w:p w14:paraId="020E22F9" w14:textId="0276B85E" w:rsidR="00936D53" w:rsidRDefault="00D41059">
          <w:pPr>
            <w:pStyle w:val="TOC4"/>
            <w:tabs>
              <w:tab w:val="right" w:leader="dot" w:pos="9323"/>
            </w:tabs>
            <w:rPr>
              <w:rFonts w:asciiTheme="minorHAnsi" w:eastAsiaTheme="minorEastAsia" w:hAnsiTheme="minorHAnsi" w:cstheme="minorBidi"/>
              <w:noProof/>
              <w:lang w:eastAsia="en-AU"/>
            </w:rPr>
          </w:pPr>
          <w:hyperlink w:anchor="_Toc64836309" w:history="1">
            <w:r w:rsidR="00936D53" w:rsidRPr="003B2F22">
              <w:rPr>
                <w:rStyle w:val="Hyperlink"/>
                <w:noProof/>
              </w:rPr>
              <w:t>Cumulative results for 2013-14 to 2018-19</w:t>
            </w:r>
            <w:r w:rsidR="00936D53">
              <w:rPr>
                <w:noProof/>
                <w:webHidden/>
              </w:rPr>
              <w:tab/>
            </w:r>
            <w:r w:rsidR="00936D53">
              <w:rPr>
                <w:noProof/>
                <w:webHidden/>
              </w:rPr>
              <w:fldChar w:fldCharType="begin"/>
            </w:r>
            <w:r w:rsidR="00936D53">
              <w:rPr>
                <w:noProof/>
                <w:webHidden/>
              </w:rPr>
              <w:instrText xml:space="preserve"> PAGEREF _Toc64836309 \h </w:instrText>
            </w:r>
            <w:r w:rsidR="00936D53">
              <w:rPr>
                <w:noProof/>
                <w:webHidden/>
              </w:rPr>
            </w:r>
            <w:r w:rsidR="00936D53">
              <w:rPr>
                <w:noProof/>
                <w:webHidden/>
              </w:rPr>
              <w:fldChar w:fldCharType="separate"/>
            </w:r>
            <w:r w:rsidR="00936D53">
              <w:rPr>
                <w:noProof/>
                <w:webHidden/>
              </w:rPr>
              <w:t>13</w:t>
            </w:r>
            <w:r w:rsidR="00936D53">
              <w:rPr>
                <w:noProof/>
                <w:webHidden/>
              </w:rPr>
              <w:fldChar w:fldCharType="end"/>
            </w:r>
          </w:hyperlink>
        </w:p>
        <w:p w14:paraId="73604F52" w14:textId="573E0903" w:rsidR="00936D53" w:rsidRDefault="00D41059">
          <w:pPr>
            <w:pStyle w:val="TOC4"/>
            <w:tabs>
              <w:tab w:val="right" w:leader="dot" w:pos="9323"/>
            </w:tabs>
            <w:rPr>
              <w:rFonts w:asciiTheme="minorHAnsi" w:eastAsiaTheme="minorEastAsia" w:hAnsiTheme="minorHAnsi" w:cstheme="minorBidi"/>
              <w:noProof/>
              <w:lang w:eastAsia="en-AU"/>
            </w:rPr>
          </w:pPr>
          <w:hyperlink w:anchor="_Toc64836310" w:history="1">
            <w:r w:rsidR="00936D53" w:rsidRPr="003B2F22">
              <w:rPr>
                <w:rStyle w:val="Hyperlink"/>
                <w:noProof/>
                <w:lang w:eastAsia="en-AU"/>
              </w:rPr>
              <w:t>Febrile non haemolytic transfusion reaction (FNHTR)</w:t>
            </w:r>
            <w:r w:rsidR="00936D53">
              <w:rPr>
                <w:noProof/>
                <w:webHidden/>
              </w:rPr>
              <w:tab/>
            </w:r>
            <w:r w:rsidR="00936D53">
              <w:rPr>
                <w:noProof/>
                <w:webHidden/>
              </w:rPr>
              <w:fldChar w:fldCharType="begin"/>
            </w:r>
            <w:r w:rsidR="00936D53">
              <w:rPr>
                <w:noProof/>
                <w:webHidden/>
              </w:rPr>
              <w:instrText xml:space="preserve"> PAGEREF _Toc64836310 \h </w:instrText>
            </w:r>
            <w:r w:rsidR="00936D53">
              <w:rPr>
                <w:noProof/>
                <w:webHidden/>
              </w:rPr>
            </w:r>
            <w:r w:rsidR="00936D53">
              <w:rPr>
                <w:noProof/>
                <w:webHidden/>
              </w:rPr>
              <w:fldChar w:fldCharType="separate"/>
            </w:r>
            <w:r w:rsidR="00936D53">
              <w:rPr>
                <w:noProof/>
                <w:webHidden/>
              </w:rPr>
              <w:t>17</w:t>
            </w:r>
            <w:r w:rsidR="00936D53">
              <w:rPr>
                <w:noProof/>
                <w:webHidden/>
              </w:rPr>
              <w:fldChar w:fldCharType="end"/>
            </w:r>
          </w:hyperlink>
        </w:p>
        <w:p w14:paraId="50CFE4B7" w14:textId="238FDAED" w:rsidR="00936D53" w:rsidRDefault="00D41059">
          <w:pPr>
            <w:pStyle w:val="TOC4"/>
            <w:tabs>
              <w:tab w:val="right" w:leader="dot" w:pos="9323"/>
            </w:tabs>
            <w:rPr>
              <w:rFonts w:asciiTheme="minorHAnsi" w:eastAsiaTheme="minorEastAsia" w:hAnsiTheme="minorHAnsi" w:cstheme="minorBidi"/>
              <w:noProof/>
              <w:lang w:eastAsia="en-AU"/>
            </w:rPr>
          </w:pPr>
          <w:hyperlink w:anchor="_Toc64836311" w:history="1">
            <w:r w:rsidR="00936D53" w:rsidRPr="003B2F22">
              <w:rPr>
                <w:rStyle w:val="Hyperlink"/>
                <w:noProof/>
                <w:lang w:eastAsia="en-AU"/>
              </w:rPr>
              <w:t>Allergic reaction</w:t>
            </w:r>
            <w:r w:rsidR="00936D53">
              <w:rPr>
                <w:noProof/>
                <w:webHidden/>
              </w:rPr>
              <w:tab/>
            </w:r>
            <w:r w:rsidR="00936D53">
              <w:rPr>
                <w:noProof/>
                <w:webHidden/>
              </w:rPr>
              <w:fldChar w:fldCharType="begin"/>
            </w:r>
            <w:r w:rsidR="00936D53">
              <w:rPr>
                <w:noProof/>
                <w:webHidden/>
              </w:rPr>
              <w:instrText xml:space="preserve"> PAGEREF _Toc64836311 \h </w:instrText>
            </w:r>
            <w:r w:rsidR="00936D53">
              <w:rPr>
                <w:noProof/>
                <w:webHidden/>
              </w:rPr>
            </w:r>
            <w:r w:rsidR="00936D53">
              <w:rPr>
                <w:noProof/>
                <w:webHidden/>
              </w:rPr>
              <w:fldChar w:fldCharType="separate"/>
            </w:r>
            <w:r w:rsidR="00936D53">
              <w:rPr>
                <w:noProof/>
                <w:webHidden/>
              </w:rPr>
              <w:t>18</w:t>
            </w:r>
            <w:r w:rsidR="00936D53">
              <w:rPr>
                <w:noProof/>
                <w:webHidden/>
              </w:rPr>
              <w:fldChar w:fldCharType="end"/>
            </w:r>
          </w:hyperlink>
        </w:p>
        <w:p w14:paraId="52862ED9" w14:textId="341F751E" w:rsidR="00936D53" w:rsidRDefault="00D41059">
          <w:pPr>
            <w:pStyle w:val="TOC4"/>
            <w:tabs>
              <w:tab w:val="right" w:leader="dot" w:pos="9323"/>
            </w:tabs>
            <w:rPr>
              <w:rFonts w:asciiTheme="minorHAnsi" w:eastAsiaTheme="minorEastAsia" w:hAnsiTheme="minorHAnsi" w:cstheme="minorBidi"/>
              <w:noProof/>
              <w:lang w:eastAsia="en-AU"/>
            </w:rPr>
          </w:pPr>
          <w:hyperlink w:anchor="_Toc64836312" w:history="1">
            <w:r w:rsidR="00936D53" w:rsidRPr="003B2F22">
              <w:rPr>
                <w:rStyle w:val="Hyperlink"/>
                <w:noProof/>
                <w:lang w:eastAsia="en-AU"/>
              </w:rPr>
              <w:t>Transfusion-associated circulatory overload (TACO)</w:t>
            </w:r>
            <w:r w:rsidR="00936D53">
              <w:rPr>
                <w:noProof/>
                <w:webHidden/>
              </w:rPr>
              <w:tab/>
            </w:r>
            <w:r w:rsidR="00936D53">
              <w:rPr>
                <w:noProof/>
                <w:webHidden/>
              </w:rPr>
              <w:fldChar w:fldCharType="begin"/>
            </w:r>
            <w:r w:rsidR="00936D53">
              <w:rPr>
                <w:noProof/>
                <w:webHidden/>
              </w:rPr>
              <w:instrText xml:space="preserve"> PAGEREF _Toc64836312 \h </w:instrText>
            </w:r>
            <w:r w:rsidR="00936D53">
              <w:rPr>
                <w:noProof/>
                <w:webHidden/>
              </w:rPr>
            </w:r>
            <w:r w:rsidR="00936D53">
              <w:rPr>
                <w:noProof/>
                <w:webHidden/>
              </w:rPr>
              <w:fldChar w:fldCharType="separate"/>
            </w:r>
            <w:r w:rsidR="00936D53">
              <w:rPr>
                <w:noProof/>
                <w:webHidden/>
              </w:rPr>
              <w:t>19</w:t>
            </w:r>
            <w:r w:rsidR="00936D53">
              <w:rPr>
                <w:noProof/>
                <w:webHidden/>
              </w:rPr>
              <w:fldChar w:fldCharType="end"/>
            </w:r>
          </w:hyperlink>
        </w:p>
        <w:p w14:paraId="00C02A08" w14:textId="47F0D053" w:rsidR="00936D53" w:rsidRDefault="00D41059">
          <w:pPr>
            <w:pStyle w:val="TOC4"/>
            <w:tabs>
              <w:tab w:val="right" w:leader="dot" w:pos="9323"/>
            </w:tabs>
            <w:rPr>
              <w:rFonts w:asciiTheme="minorHAnsi" w:eastAsiaTheme="minorEastAsia" w:hAnsiTheme="minorHAnsi" w:cstheme="minorBidi"/>
              <w:noProof/>
              <w:lang w:eastAsia="en-AU"/>
            </w:rPr>
          </w:pPr>
          <w:hyperlink w:anchor="_Toc64836313" w:history="1">
            <w:r w:rsidR="00936D53" w:rsidRPr="003B2F22">
              <w:rPr>
                <w:rStyle w:val="Hyperlink"/>
                <w:noProof/>
                <w:lang w:eastAsia="en-AU"/>
              </w:rPr>
              <w:t>Incorrect blood component transfused (IBCT)</w:t>
            </w:r>
            <w:r w:rsidR="00936D53">
              <w:rPr>
                <w:noProof/>
                <w:webHidden/>
              </w:rPr>
              <w:tab/>
            </w:r>
            <w:r w:rsidR="00936D53">
              <w:rPr>
                <w:noProof/>
                <w:webHidden/>
              </w:rPr>
              <w:fldChar w:fldCharType="begin"/>
            </w:r>
            <w:r w:rsidR="00936D53">
              <w:rPr>
                <w:noProof/>
                <w:webHidden/>
              </w:rPr>
              <w:instrText xml:space="preserve"> PAGEREF _Toc64836313 \h </w:instrText>
            </w:r>
            <w:r w:rsidR="00936D53">
              <w:rPr>
                <w:noProof/>
                <w:webHidden/>
              </w:rPr>
            </w:r>
            <w:r w:rsidR="00936D53">
              <w:rPr>
                <w:noProof/>
                <w:webHidden/>
              </w:rPr>
              <w:fldChar w:fldCharType="separate"/>
            </w:r>
            <w:r w:rsidR="00936D53">
              <w:rPr>
                <w:noProof/>
                <w:webHidden/>
              </w:rPr>
              <w:t>20</w:t>
            </w:r>
            <w:r w:rsidR="00936D53">
              <w:rPr>
                <w:noProof/>
                <w:webHidden/>
              </w:rPr>
              <w:fldChar w:fldCharType="end"/>
            </w:r>
          </w:hyperlink>
        </w:p>
        <w:p w14:paraId="6719174C" w14:textId="3BD3DCB6" w:rsidR="00936D53" w:rsidRDefault="00D41059">
          <w:pPr>
            <w:pStyle w:val="TOC4"/>
            <w:tabs>
              <w:tab w:val="right" w:leader="dot" w:pos="9323"/>
            </w:tabs>
            <w:rPr>
              <w:rFonts w:asciiTheme="minorHAnsi" w:eastAsiaTheme="minorEastAsia" w:hAnsiTheme="minorHAnsi" w:cstheme="minorBidi"/>
              <w:noProof/>
              <w:lang w:eastAsia="en-AU"/>
            </w:rPr>
          </w:pPr>
          <w:hyperlink w:anchor="_Toc64836314" w:history="1">
            <w:r w:rsidR="00936D53" w:rsidRPr="003B2F22">
              <w:rPr>
                <w:rStyle w:val="Hyperlink"/>
                <w:noProof/>
                <w:lang w:eastAsia="en-AU"/>
              </w:rPr>
              <w:t>Anaphylactic or anaphylactoid reaction</w:t>
            </w:r>
            <w:r w:rsidR="00936D53">
              <w:rPr>
                <w:noProof/>
                <w:webHidden/>
              </w:rPr>
              <w:tab/>
            </w:r>
            <w:r w:rsidR="00936D53">
              <w:rPr>
                <w:noProof/>
                <w:webHidden/>
              </w:rPr>
              <w:fldChar w:fldCharType="begin"/>
            </w:r>
            <w:r w:rsidR="00936D53">
              <w:rPr>
                <w:noProof/>
                <w:webHidden/>
              </w:rPr>
              <w:instrText xml:space="preserve"> PAGEREF _Toc64836314 \h </w:instrText>
            </w:r>
            <w:r w:rsidR="00936D53">
              <w:rPr>
                <w:noProof/>
                <w:webHidden/>
              </w:rPr>
            </w:r>
            <w:r w:rsidR="00936D53">
              <w:rPr>
                <w:noProof/>
                <w:webHidden/>
              </w:rPr>
              <w:fldChar w:fldCharType="separate"/>
            </w:r>
            <w:r w:rsidR="00936D53">
              <w:rPr>
                <w:noProof/>
                <w:webHidden/>
              </w:rPr>
              <w:t>22</w:t>
            </w:r>
            <w:r w:rsidR="00936D53">
              <w:rPr>
                <w:noProof/>
                <w:webHidden/>
              </w:rPr>
              <w:fldChar w:fldCharType="end"/>
            </w:r>
          </w:hyperlink>
        </w:p>
        <w:p w14:paraId="489FA6C3" w14:textId="03780E2A" w:rsidR="00936D53" w:rsidRDefault="00D41059">
          <w:pPr>
            <w:pStyle w:val="TOC4"/>
            <w:tabs>
              <w:tab w:val="right" w:leader="dot" w:pos="9323"/>
            </w:tabs>
            <w:rPr>
              <w:rFonts w:asciiTheme="minorHAnsi" w:eastAsiaTheme="minorEastAsia" w:hAnsiTheme="minorHAnsi" w:cstheme="minorBidi"/>
              <w:noProof/>
              <w:lang w:eastAsia="en-AU"/>
            </w:rPr>
          </w:pPr>
          <w:hyperlink w:anchor="_Toc64836315" w:history="1">
            <w:r w:rsidR="00936D53" w:rsidRPr="003B2F22">
              <w:rPr>
                <w:rStyle w:val="Hyperlink"/>
                <w:noProof/>
                <w:lang w:eastAsia="en-AU"/>
              </w:rPr>
              <w:t>Delayed haemolytic transfusion reaction (DHTR)</w:t>
            </w:r>
            <w:r w:rsidR="00936D53">
              <w:rPr>
                <w:noProof/>
                <w:webHidden/>
              </w:rPr>
              <w:tab/>
            </w:r>
            <w:r w:rsidR="00936D53">
              <w:rPr>
                <w:noProof/>
                <w:webHidden/>
              </w:rPr>
              <w:fldChar w:fldCharType="begin"/>
            </w:r>
            <w:r w:rsidR="00936D53">
              <w:rPr>
                <w:noProof/>
                <w:webHidden/>
              </w:rPr>
              <w:instrText xml:space="preserve"> PAGEREF _Toc64836315 \h </w:instrText>
            </w:r>
            <w:r w:rsidR="00936D53">
              <w:rPr>
                <w:noProof/>
                <w:webHidden/>
              </w:rPr>
            </w:r>
            <w:r w:rsidR="00936D53">
              <w:rPr>
                <w:noProof/>
                <w:webHidden/>
              </w:rPr>
              <w:fldChar w:fldCharType="separate"/>
            </w:r>
            <w:r w:rsidR="00936D53">
              <w:rPr>
                <w:noProof/>
                <w:webHidden/>
              </w:rPr>
              <w:t>23</w:t>
            </w:r>
            <w:r w:rsidR="00936D53">
              <w:rPr>
                <w:noProof/>
                <w:webHidden/>
              </w:rPr>
              <w:fldChar w:fldCharType="end"/>
            </w:r>
          </w:hyperlink>
        </w:p>
        <w:p w14:paraId="2FCD5837" w14:textId="0C6FFCD9" w:rsidR="00936D53" w:rsidRDefault="00D41059">
          <w:pPr>
            <w:pStyle w:val="TOC4"/>
            <w:tabs>
              <w:tab w:val="right" w:leader="dot" w:pos="9323"/>
            </w:tabs>
            <w:rPr>
              <w:rFonts w:asciiTheme="minorHAnsi" w:eastAsiaTheme="minorEastAsia" w:hAnsiTheme="minorHAnsi" w:cstheme="minorBidi"/>
              <w:noProof/>
              <w:lang w:eastAsia="en-AU"/>
            </w:rPr>
          </w:pPr>
          <w:hyperlink w:anchor="_Toc64836316" w:history="1">
            <w:r w:rsidR="00936D53" w:rsidRPr="003B2F22">
              <w:rPr>
                <w:rStyle w:val="Hyperlink"/>
                <w:noProof/>
                <w:lang w:eastAsia="en-AU"/>
              </w:rPr>
              <w:t>Acute haemolytic transfusion reaction (AHTR)</w:t>
            </w:r>
            <w:r w:rsidR="00936D53">
              <w:rPr>
                <w:noProof/>
                <w:webHidden/>
              </w:rPr>
              <w:tab/>
            </w:r>
            <w:r w:rsidR="00936D53">
              <w:rPr>
                <w:noProof/>
                <w:webHidden/>
              </w:rPr>
              <w:fldChar w:fldCharType="begin"/>
            </w:r>
            <w:r w:rsidR="00936D53">
              <w:rPr>
                <w:noProof/>
                <w:webHidden/>
              </w:rPr>
              <w:instrText xml:space="preserve"> PAGEREF _Toc64836316 \h </w:instrText>
            </w:r>
            <w:r w:rsidR="00936D53">
              <w:rPr>
                <w:noProof/>
                <w:webHidden/>
              </w:rPr>
            </w:r>
            <w:r w:rsidR="00936D53">
              <w:rPr>
                <w:noProof/>
                <w:webHidden/>
              </w:rPr>
              <w:fldChar w:fldCharType="separate"/>
            </w:r>
            <w:r w:rsidR="00936D53">
              <w:rPr>
                <w:noProof/>
                <w:webHidden/>
              </w:rPr>
              <w:t>24</w:t>
            </w:r>
            <w:r w:rsidR="00936D53">
              <w:rPr>
                <w:noProof/>
                <w:webHidden/>
              </w:rPr>
              <w:fldChar w:fldCharType="end"/>
            </w:r>
          </w:hyperlink>
        </w:p>
        <w:p w14:paraId="73BDF37E" w14:textId="1254CF19" w:rsidR="00936D53" w:rsidRDefault="00D41059">
          <w:pPr>
            <w:pStyle w:val="TOC4"/>
            <w:tabs>
              <w:tab w:val="right" w:leader="dot" w:pos="9323"/>
            </w:tabs>
            <w:rPr>
              <w:rFonts w:asciiTheme="minorHAnsi" w:eastAsiaTheme="minorEastAsia" w:hAnsiTheme="minorHAnsi" w:cstheme="minorBidi"/>
              <w:noProof/>
              <w:lang w:eastAsia="en-AU"/>
            </w:rPr>
          </w:pPr>
          <w:hyperlink w:anchor="_Toc64836317" w:history="1">
            <w:r w:rsidR="00936D53" w:rsidRPr="003B2F22">
              <w:rPr>
                <w:rStyle w:val="Hyperlink"/>
                <w:noProof/>
                <w:lang w:eastAsia="en-AU"/>
              </w:rPr>
              <w:t>Transfusion-transmitted infection (TTI)</w:t>
            </w:r>
            <w:r w:rsidR="00936D53">
              <w:rPr>
                <w:noProof/>
                <w:webHidden/>
              </w:rPr>
              <w:tab/>
            </w:r>
            <w:r w:rsidR="00936D53">
              <w:rPr>
                <w:noProof/>
                <w:webHidden/>
              </w:rPr>
              <w:fldChar w:fldCharType="begin"/>
            </w:r>
            <w:r w:rsidR="00936D53">
              <w:rPr>
                <w:noProof/>
                <w:webHidden/>
              </w:rPr>
              <w:instrText xml:space="preserve"> PAGEREF _Toc64836317 \h </w:instrText>
            </w:r>
            <w:r w:rsidR="00936D53">
              <w:rPr>
                <w:noProof/>
                <w:webHidden/>
              </w:rPr>
            </w:r>
            <w:r w:rsidR="00936D53">
              <w:rPr>
                <w:noProof/>
                <w:webHidden/>
              </w:rPr>
              <w:fldChar w:fldCharType="separate"/>
            </w:r>
            <w:r w:rsidR="00936D53">
              <w:rPr>
                <w:noProof/>
                <w:webHidden/>
              </w:rPr>
              <w:t>25</w:t>
            </w:r>
            <w:r w:rsidR="00936D53">
              <w:rPr>
                <w:noProof/>
                <w:webHidden/>
              </w:rPr>
              <w:fldChar w:fldCharType="end"/>
            </w:r>
          </w:hyperlink>
        </w:p>
        <w:p w14:paraId="59332DD8" w14:textId="43D353B1" w:rsidR="00936D53" w:rsidRDefault="00D41059">
          <w:pPr>
            <w:pStyle w:val="TOC4"/>
            <w:tabs>
              <w:tab w:val="right" w:leader="dot" w:pos="9323"/>
            </w:tabs>
            <w:rPr>
              <w:rFonts w:asciiTheme="minorHAnsi" w:eastAsiaTheme="minorEastAsia" w:hAnsiTheme="minorHAnsi" w:cstheme="minorBidi"/>
              <w:noProof/>
              <w:lang w:eastAsia="en-AU"/>
            </w:rPr>
          </w:pPr>
          <w:hyperlink w:anchor="_Toc64836318" w:history="1">
            <w:r w:rsidR="00936D53" w:rsidRPr="003B2F22">
              <w:rPr>
                <w:rStyle w:val="Hyperlink"/>
                <w:noProof/>
                <w:lang w:eastAsia="en-AU"/>
              </w:rPr>
              <w:t>Transfusion related acute lung injury (TRALI)</w:t>
            </w:r>
            <w:r w:rsidR="00936D53">
              <w:rPr>
                <w:noProof/>
                <w:webHidden/>
              </w:rPr>
              <w:tab/>
            </w:r>
            <w:r w:rsidR="00936D53">
              <w:rPr>
                <w:noProof/>
                <w:webHidden/>
              </w:rPr>
              <w:fldChar w:fldCharType="begin"/>
            </w:r>
            <w:r w:rsidR="00936D53">
              <w:rPr>
                <w:noProof/>
                <w:webHidden/>
              </w:rPr>
              <w:instrText xml:space="preserve"> PAGEREF _Toc64836318 \h </w:instrText>
            </w:r>
            <w:r w:rsidR="00936D53">
              <w:rPr>
                <w:noProof/>
                <w:webHidden/>
              </w:rPr>
            </w:r>
            <w:r w:rsidR="00936D53">
              <w:rPr>
                <w:noProof/>
                <w:webHidden/>
              </w:rPr>
              <w:fldChar w:fldCharType="separate"/>
            </w:r>
            <w:r w:rsidR="00936D53">
              <w:rPr>
                <w:noProof/>
                <w:webHidden/>
              </w:rPr>
              <w:t>26</w:t>
            </w:r>
            <w:r w:rsidR="00936D53">
              <w:rPr>
                <w:noProof/>
                <w:webHidden/>
              </w:rPr>
              <w:fldChar w:fldCharType="end"/>
            </w:r>
          </w:hyperlink>
        </w:p>
        <w:p w14:paraId="1B72A817" w14:textId="497BC25A" w:rsidR="00936D53" w:rsidRDefault="00D41059">
          <w:pPr>
            <w:pStyle w:val="TOC4"/>
            <w:tabs>
              <w:tab w:val="right" w:leader="dot" w:pos="9323"/>
            </w:tabs>
            <w:rPr>
              <w:rFonts w:asciiTheme="minorHAnsi" w:eastAsiaTheme="minorEastAsia" w:hAnsiTheme="minorHAnsi" w:cstheme="minorBidi"/>
              <w:noProof/>
              <w:lang w:eastAsia="en-AU"/>
            </w:rPr>
          </w:pPr>
          <w:hyperlink w:anchor="_Toc64836319" w:history="1">
            <w:r w:rsidR="00936D53" w:rsidRPr="003B2F22">
              <w:rPr>
                <w:rStyle w:val="Hyperlink"/>
                <w:noProof/>
                <w:lang w:eastAsia="en-AU"/>
              </w:rPr>
              <w:t>Delayed serologic reaction (DSTR)</w:t>
            </w:r>
            <w:r w:rsidR="00936D53">
              <w:rPr>
                <w:noProof/>
                <w:webHidden/>
              </w:rPr>
              <w:tab/>
            </w:r>
            <w:r w:rsidR="00936D53">
              <w:rPr>
                <w:noProof/>
                <w:webHidden/>
              </w:rPr>
              <w:fldChar w:fldCharType="begin"/>
            </w:r>
            <w:r w:rsidR="00936D53">
              <w:rPr>
                <w:noProof/>
                <w:webHidden/>
              </w:rPr>
              <w:instrText xml:space="preserve"> PAGEREF _Toc64836319 \h </w:instrText>
            </w:r>
            <w:r w:rsidR="00936D53">
              <w:rPr>
                <w:noProof/>
                <w:webHidden/>
              </w:rPr>
            </w:r>
            <w:r w:rsidR="00936D53">
              <w:rPr>
                <w:noProof/>
                <w:webHidden/>
              </w:rPr>
              <w:fldChar w:fldCharType="separate"/>
            </w:r>
            <w:r w:rsidR="00936D53">
              <w:rPr>
                <w:noProof/>
                <w:webHidden/>
              </w:rPr>
              <w:t>28</w:t>
            </w:r>
            <w:r w:rsidR="00936D53">
              <w:rPr>
                <w:noProof/>
                <w:webHidden/>
              </w:rPr>
              <w:fldChar w:fldCharType="end"/>
            </w:r>
          </w:hyperlink>
        </w:p>
        <w:p w14:paraId="18A72E0F" w14:textId="2D467535" w:rsidR="00936D53" w:rsidRDefault="00D41059">
          <w:pPr>
            <w:pStyle w:val="TOC4"/>
            <w:tabs>
              <w:tab w:val="right" w:leader="dot" w:pos="9323"/>
            </w:tabs>
            <w:rPr>
              <w:rFonts w:asciiTheme="minorHAnsi" w:eastAsiaTheme="minorEastAsia" w:hAnsiTheme="minorHAnsi" w:cstheme="minorBidi"/>
              <w:noProof/>
              <w:lang w:eastAsia="en-AU"/>
            </w:rPr>
          </w:pPr>
          <w:hyperlink w:anchor="_Toc64836320" w:history="1">
            <w:r w:rsidR="00936D53" w:rsidRPr="003B2F22">
              <w:rPr>
                <w:rStyle w:val="Hyperlink"/>
                <w:noProof/>
                <w:lang w:eastAsia="en-AU"/>
              </w:rPr>
              <w:t>Hypotensive transfusion reaction (Hypotensive)</w:t>
            </w:r>
            <w:r w:rsidR="00936D53">
              <w:rPr>
                <w:noProof/>
                <w:webHidden/>
              </w:rPr>
              <w:tab/>
            </w:r>
            <w:r w:rsidR="00936D53">
              <w:rPr>
                <w:noProof/>
                <w:webHidden/>
              </w:rPr>
              <w:fldChar w:fldCharType="begin"/>
            </w:r>
            <w:r w:rsidR="00936D53">
              <w:rPr>
                <w:noProof/>
                <w:webHidden/>
              </w:rPr>
              <w:instrText xml:space="preserve"> PAGEREF _Toc64836320 \h </w:instrText>
            </w:r>
            <w:r w:rsidR="00936D53">
              <w:rPr>
                <w:noProof/>
                <w:webHidden/>
              </w:rPr>
            </w:r>
            <w:r w:rsidR="00936D53">
              <w:rPr>
                <w:noProof/>
                <w:webHidden/>
              </w:rPr>
              <w:fldChar w:fldCharType="separate"/>
            </w:r>
            <w:r w:rsidR="00936D53">
              <w:rPr>
                <w:noProof/>
                <w:webHidden/>
              </w:rPr>
              <w:t>29</w:t>
            </w:r>
            <w:r w:rsidR="00936D53">
              <w:rPr>
                <w:noProof/>
                <w:webHidden/>
              </w:rPr>
              <w:fldChar w:fldCharType="end"/>
            </w:r>
          </w:hyperlink>
        </w:p>
        <w:p w14:paraId="609EB5A9" w14:textId="198DCA6D" w:rsidR="00936D53" w:rsidRDefault="00D41059">
          <w:pPr>
            <w:pStyle w:val="TOC4"/>
            <w:tabs>
              <w:tab w:val="right" w:leader="dot" w:pos="9323"/>
            </w:tabs>
            <w:rPr>
              <w:rFonts w:asciiTheme="minorHAnsi" w:eastAsiaTheme="minorEastAsia" w:hAnsiTheme="minorHAnsi" w:cstheme="minorBidi"/>
              <w:noProof/>
              <w:lang w:eastAsia="en-AU"/>
            </w:rPr>
          </w:pPr>
          <w:hyperlink w:anchor="_Toc64836321" w:history="1">
            <w:r w:rsidR="00936D53" w:rsidRPr="003B2F22">
              <w:rPr>
                <w:rStyle w:val="Hyperlink"/>
                <w:noProof/>
                <w:lang w:eastAsia="en-AU"/>
              </w:rPr>
              <w:t>ABO incompatibility (ABO)</w:t>
            </w:r>
            <w:r w:rsidR="00936D53">
              <w:rPr>
                <w:noProof/>
                <w:webHidden/>
              </w:rPr>
              <w:tab/>
            </w:r>
            <w:r w:rsidR="00936D53">
              <w:rPr>
                <w:noProof/>
                <w:webHidden/>
              </w:rPr>
              <w:fldChar w:fldCharType="begin"/>
            </w:r>
            <w:r w:rsidR="00936D53">
              <w:rPr>
                <w:noProof/>
                <w:webHidden/>
              </w:rPr>
              <w:instrText xml:space="preserve"> PAGEREF _Toc64836321 \h </w:instrText>
            </w:r>
            <w:r w:rsidR="00936D53">
              <w:rPr>
                <w:noProof/>
                <w:webHidden/>
              </w:rPr>
            </w:r>
            <w:r w:rsidR="00936D53">
              <w:rPr>
                <w:noProof/>
                <w:webHidden/>
              </w:rPr>
              <w:fldChar w:fldCharType="separate"/>
            </w:r>
            <w:r w:rsidR="00936D53">
              <w:rPr>
                <w:noProof/>
                <w:webHidden/>
              </w:rPr>
              <w:t>30</w:t>
            </w:r>
            <w:r w:rsidR="00936D53">
              <w:rPr>
                <w:noProof/>
                <w:webHidden/>
              </w:rPr>
              <w:fldChar w:fldCharType="end"/>
            </w:r>
          </w:hyperlink>
        </w:p>
        <w:p w14:paraId="43AC07C9" w14:textId="2B4EF237" w:rsidR="00936D53" w:rsidRDefault="00D41059">
          <w:pPr>
            <w:pStyle w:val="TOC4"/>
            <w:tabs>
              <w:tab w:val="right" w:leader="dot" w:pos="9323"/>
            </w:tabs>
            <w:rPr>
              <w:rFonts w:asciiTheme="minorHAnsi" w:eastAsiaTheme="minorEastAsia" w:hAnsiTheme="minorHAnsi" w:cstheme="minorBidi"/>
              <w:noProof/>
              <w:lang w:eastAsia="en-AU"/>
            </w:rPr>
          </w:pPr>
          <w:hyperlink w:anchor="_Toc64836322" w:history="1">
            <w:r w:rsidR="00936D53" w:rsidRPr="003B2F22">
              <w:rPr>
                <w:rStyle w:val="Hyperlink"/>
                <w:noProof/>
                <w:lang w:eastAsia="en-AU"/>
              </w:rPr>
              <w:t>Transfusion associated dyspnoea (TAD)</w:t>
            </w:r>
            <w:r w:rsidR="00936D53">
              <w:rPr>
                <w:noProof/>
                <w:webHidden/>
              </w:rPr>
              <w:tab/>
            </w:r>
            <w:r w:rsidR="00936D53">
              <w:rPr>
                <w:noProof/>
                <w:webHidden/>
              </w:rPr>
              <w:fldChar w:fldCharType="begin"/>
            </w:r>
            <w:r w:rsidR="00936D53">
              <w:rPr>
                <w:noProof/>
                <w:webHidden/>
              </w:rPr>
              <w:instrText xml:space="preserve"> PAGEREF _Toc64836322 \h </w:instrText>
            </w:r>
            <w:r w:rsidR="00936D53">
              <w:rPr>
                <w:noProof/>
                <w:webHidden/>
              </w:rPr>
            </w:r>
            <w:r w:rsidR="00936D53">
              <w:rPr>
                <w:noProof/>
                <w:webHidden/>
              </w:rPr>
              <w:fldChar w:fldCharType="separate"/>
            </w:r>
            <w:r w:rsidR="00936D53">
              <w:rPr>
                <w:noProof/>
                <w:webHidden/>
              </w:rPr>
              <w:t>31</w:t>
            </w:r>
            <w:r w:rsidR="00936D53">
              <w:rPr>
                <w:noProof/>
                <w:webHidden/>
              </w:rPr>
              <w:fldChar w:fldCharType="end"/>
            </w:r>
          </w:hyperlink>
        </w:p>
        <w:p w14:paraId="39B3795F" w14:textId="3806887A" w:rsidR="00936D53" w:rsidRDefault="00D41059">
          <w:pPr>
            <w:pStyle w:val="TOC4"/>
            <w:tabs>
              <w:tab w:val="right" w:leader="dot" w:pos="9323"/>
            </w:tabs>
            <w:rPr>
              <w:rFonts w:asciiTheme="minorHAnsi" w:eastAsiaTheme="minorEastAsia" w:hAnsiTheme="minorHAnsi" w:cstheme="minorBidi"/>
              <w:noProof/>
              <w:lang w:eastAsia="en-AU"/>
            </w:rPr>
          </w:pPr>
          <w:hyperlink w:anchor="_Toc64836323" w:history="1">
            <w:r w:rsidR="00936D53" w:rsidRPr="003B2F22">
              <w:rPr>
                <w:rStyle w:val="Hyperlink"/>
                <w:noProof/>
                <w:lang w:eastAsia="en-AU"/>
              </w:rPr>
              <w:t>Other adverse events</w:t>
            </w:r>
            <w:r w:rsidR="00936D53">
              <w:rPr>
                <w:noProof/>
                <w:webHidden/>
              </w:rPr>
              <w:tab/>
            </w:r>
            <w:r w:rsidR="00936D53">
              <w:rPr>
                <w:noProof/>
                <w:webHidden/>
              </w:rPr>
              <w:fldChar w:fldCharType="begin"/>
            </w:r>
            <w:r w:rsidR="00936D53">
              <w:rPr>
                <w:noProof/>
                <w:webHidden/>
              </w:rPr>
              <w:instrText xml:space="preserve"> PAGEREF _Toc64836323 \h </w:instrText>
            </w:r>
            <w:r w:rsidR="00936D53">
              <w:rPr>
                <w:noProof/>
                <w:webHidden/>
              </w:rPr>
            </w:r>
            <w:r w:rsidR="00936D53">
              <w:rPr>
                <w:noProof/>
                <w:webHidden/>
              </w:rPr>
              <w:fldChar w:fldCharType="separate"/>
            </w:r>
            <w:r w:rsidR="00936D53">
              <w:rPr>
                <w:noProof/>
                <w:webHidden/>
              </w:rPr>
              <w:t>32</w:t>
            </w:r>
            <w:r w:rsidR="00936D53">
              <w:rPr>
                <w:noProof/>
                <w:webHidden/>
              </w:rPr>
              <w:fldChar w:fldCharType="end"/>
            </w:r>
          </w:hyperlink>
        </w:p>
        <w:p w14:paraId="3543F2B3" w14:textId="2941DDAE" w:rsidR="00936D53" w:rsidRDefault="00D41059">
          <w:pPr>
            <w:pStyle w:val="TOC4"/>
            <w:tabs>
              <w:tab w:val="right" w:leader="dot" w:pos="9323"/>
            </w:tabs>
            <w:rPr>
              <w:rFonts w:asciiTheme="minorHAnsi" w:eastAsiaTheme="minorEastAsia" w:hAnsiTheme="minorHAnsi" w:cstheme="minorBidi"/>
              <w:noProof/>
              <w:lang w:eastAsia="en-AU"/>
            </w:rPr>
          </w:pPr>
          <w:hyperlink w:anchor="_Toc64836324" w:history="1">
            <w:r w:rsidR="00936D53" w:rsidRPr="003B2F22">
              <w:rPr>
                <w:rStyle w:val="Hyperlink"/>
                <w:noProof/>
                <w:lang w:eastAsia="en-AU"/>
              </w:rPr>
              <w:t>Contributory factors</w:t>
            </w:r>
            <w:r w:rsidR="00936D53">
              <w:rPr>
                <w:noProof/>
                <w:webHidden/>
              </w:rPr>
              <w:tab/>
            </w:r>
            <w:r w:rsidR="00936D53">
              <w:rPr>
                <w:noProof/>
                <w:webHidden/>
              </w:rPr>
              <w:fldChar w:fldCharType="begin"/>
            </w:r>
            <w:r w:rsidR="00936D53">
              <w:rPr>
                <w:noProof/>
                <w:webHidden/>
              </w:rPr>
              <w:instrText xml:space="preserve"> PAGEREF _Toc64836324 \h </w:instrText>
            </w:r>
            <w:r w:rsidR="00936D53">
              <w:rPr>
                <w:noProof/>
                <w:webHidden/>
              </w:rPr>
            </w:r>
            <w:r w:rsidR="00936D53">
              <w:rPr>
                <w:noProof/>
                <w:webHidden/>
              </w:rPr>
              <w:fldChar w:fldCharType="separate"/>
            </w:r>
            <w:r w:rsidR="00936D53">
              <w:rPr>
                <w:noProof/>
                <w:webHidden/>
              </w:rPr>
              <w:t>33</w:t>
            </w:r>
            <w:r w:rsidR="00936D53">
              <w:rPr>
                <w:noProof/>
                <w:webHidden/>
              </w:rPr>
              <w:fldChar w:fldCharType="end"/>
            </w:r>
          </w:hyperlink>
        </w:p>
        <w:p w14:paraId="0AC297EB" w14:textId="60D95093" w:rsidR="00936D53" w:rsidRDefault="00D41059">
          <w:pPr>
            <w:pStyle w:val="TOC1"/>
            <w:tabs>
              <w:tab w:val="right" w:leader="dot" w:pos="9323"/>
            </w:tabs>
            <w:rPr>
              <w:rFonts w:asciiTheme="minorHAnsi" w:eastAsiaTheme="minorEastAsia" w:hAnsiTheme="minorHAnsi" w:cstheme="minorBidi"/>
              <w:noProof/>
              <w:lang w:eastAsia="en-AU"/>
            </w:rPr>
          </w:pPr>
          <w:hyperlink w:anchor="_Toc64836325" w:history="1">
            <w:r w:rsidR="00936D53" w:rsidRPr="003B2F22">
              <w:rPr>
                <w:rStyle w:val="Hyperlink"/>
                <w:noProof/>
              </w:rPr>
              <w:t>SECTION 2</w:t>
            </w:r>
            <w:r w:rsidR="00936D53">
              <w:rPr>
                <w:noProof/>
                <w:webHidden/>
              </w:rPr>
              <w:tab/>
            </w:r>
            <w:r w:rsidR="00936D53">
              <w:rPr>
                <w:noProof/>
                <w:webHidden/>
              </w:rPr>
              <w:fldChar w:fldCharType="begin"/>
            </w:r>
            <w:r w:rsidR="00936D53">
              <w:rPr>
                <w:noProof/>
                <w:webHidden/>
              </w:rPr>
              <w:instrText xml:space="preserve"> PAGEREF _Toc64836325 \h </w:instrText>
            </w:r>
            <w:r w:rsidR="00936D53">
              <w:rPr>
                <w:noProof/>
                <w:webHidden/>
              </w:rPr>
            </w:r>
            <w:r w:rsidR="00936D53">
              <w:rPr>
                <w:noProof/>
                <w:webHidden/>
              </w:rPr>
              <w:fldChar w:fldCharType="separate"/>
            </w:r>
            <w:r w:rsidR="00936D53">
              <w:rPr>
                <w:noProof/>
                <w:webHidden/>
              </w:rPr>
              <w:t>34</w:t>
            </w:r>
            <w:r w:rsidR="00936D53">
              <w:rPr>
                <w:noProof/>
                <w:webHidden/>
              </w:rPr>
              <w:fldChar w:fldCharType="end"/>
            </w:r>
          </w:hyperlink>
        </w:p>
        <w:p w14:paraId="664AD282" w14:textId="0EC39783" w:rsidR="00936D53" w:rsidRDefault="00D41059">
          <w:pPr>
            <w:pStyle w:val="TOC1"/>
            <w:tabs>
              <w:tab w:val="right" w:leader="dot" w:pos="9323"/>
            </w:tabs>
            <w:rPr>
              <w:rFonts w:asciiTheme="minorHAnsi" w:eastAsiaTheme="minorEastAsia" w:hAnsiTheme="minorHAnsi" w:cstheme="minorBidi"/>
              <w:noProof/>
              <w:lang w:eastAsia="en-AU"/>
            </w:rPr>
          </w:pPr>
          <w:hyperlink w:anchor="_Toc64836326" w:history="1">
            <w:r w:rsidR="00936D53" w:rsidRPr="003B2F22">
              <w:rPr>
                <w:rStyle w:val="Hyperlink"/>
                <w:noProof/>
              </w:rPr>
              <w:t>Donor vigilance data</w:t>
            </w:r>
            <w:r w:rsidR="00936D53">
              <w:rPr>
                <w:noProof/>
                <w:webHidden/>
              </w:rPr>
              <w:tab/>
            </w:r>
            <w:r w:rsidR="00936D53">
              <w:rPr>
                <w:noProof/>
                <w:webHidden/>
              </w:rPr>
              <w:fldChar w:fldCharType="begin"/>
            </w:r>
            <w:r w:rsidR="00936D53">
              <w:rPr>
                <w:noProof/>
                <w:webHidden/>
              </w:rPr>
              <w:instrText xml:space="preserve"> PAGEREF _Toc64836326 \h </w:instrText>
            </w:r>
            <w:r w:rsidR="00936D53">
              <w:rPr>
                <w:noProof/>
                <w:webHidden/>
              </w:rPr>
            </w:r>
            <w:r w:rsidR="00936D53">
              <w:rPr>
                <w:noProof/>
                <w:webHidden/>
              </w:rPr>
              <w:fldChar w:fldCharType="separate"/>
            </w:r>
            <w:r w:rsidR="00936D53">
              <w:rPr>
                <w:noProof/>
                <w:webHidden/>
              </w:rPr>
              <w:t>34</w:t>
            </w:r>
            <w:r w:rsidR="00936D53">
              <w:rPr>
                <w:noProof/>
                <w:webHidden/>
              </w:rPr>
              <w:fldChar w:fldCharType="end"/>
            </w:r>
          </w:hyperlink>
        </w:p>
        <w:p w14:paraId="5F7AB1A5" w14:textId="3B98FEB0" w:rsidR="00936D53" w:rsidRDefault="00D41059">
          <w:pPr>
            <w:pStyle w:val="TOC3"/>
            <w:tabs>
              <w:tab w:val="right" w:leader="dot" w:pos="9323"/>
            </w:tabs>
            <w:rPr>
              <w:rFonts w:asciiTheme="minorHAnsi" w:eastAsiaTheme="minorEastAsia" w:hAnsiTheme="minorHAnsi" w:cstheme="minorBidi"/>
              <w:noProof/>
              <w:lang w:eastAsia="en-AU"/>
            </w:rPr>
          </w:pPr>
          <w:hyperlink w:anchor="_Toc64836327" w:history="1">
            <w:r w:rsidR="00936D53" w:rsidRPr="003B2F22">
              <w:rPr>
                <w:rStyle w:val="Hyperlink"/>
                <w:noProof/>
              </w:rPr>
              <w:t>Method for Reporting Donor Adverse Events</w:t>
            </w:r>
            <w:r w:rsidR="00936D53">
              <w:rPr>
                <w:noProof/>
                <w:webHidden/>
              </w:rPr>
              <w:tab/>
            </w:r>
            <w:r w:rsidR="00936D53">
              <w:rPr>
                <w:noProof/>
                <w:webHidden/>
              </w:rPr>
              <w:fldChar w:fldCharType="begin"/>
            </w:r>
            <w:r w:rsidR="00936D53">
              <w:rPr>
                <w:noProof/>
                <w:webHidden/>
              </w:rPr>
              <w:instrText xml:space="preserve"> PAGEREF _Toc64836327 \h </w:instrText>
            </w:r>
            <w:r w:rsidR="00936D53">
              <w:rPr>
                <w:noProof/>
                <w:webHidden/>
              </w:rPr>
            </w:r>
            <w:r w:rsidR="00936D53">
              <w:rPr>
                <w:noProof/>
                <w:webHidden/>
              </w:rPr>
              <w:fldChar w:fldCharType="separate"/>
            </w:r>
            <w:r w:rsidR="00936D53">
              <w:rPr>
                <w:noProof/>
                <w:webHidden/>
              </w:rPr>
              <w:t>34</w:t>
            </w:r>
            <w:r w:rsidR="00936D53">
              <w:rPr>
                <w:noProof/>
                <w:webHidden/>
              </w:rPr>
              <w:fldChar w:fldCharType="end"/>
            </w:r>
          </w:hyperlink>
        </w:p>
        <w:p w14:paraId="00FE00C7" w14:textId="096DA924" w:rsidR="00936D53" w:rsidRDefault="00D41059">
          <w:pPr>
            <w:pStyle w:val="TOC4"/>
            <w:tabs>
              <w:tab w:val="right" w:leader="dot" w:pos="9323"/>
            </w:tabs>
            <w:rPr>
              <w:rFonts w:asciiTheme="minorHAnsi" w:eastAsiaTheme="minorEastAsia" w:hAnsiTheme="minorHAnsi" w:cstheme="minorBidi"/>
              <w:noProof/>
              <w:lang w:eastAsia="en-AU"/>
            </w:rPr>
          </w:pPr>
          <w:hyperlink w:anchor="_Toc64836328" w:history="1">
            <w:r w:rsidR="00936D53" w:rsidRPr="003B2F22">
              <w:rPr>
                <w:rStyle w:val="Hyperlink"/>
                <w:noProof/>
              </w:rPr>
              <w:t>Reporting Period</w:t>
            </w:r>
            <w:r w:rsidR="00936D53">
              <w:rPr>
                <w:noProof/>
                <w:webHidden/>
              </w:rPr>
              <w:tab/>
            </w:r>
            <w:r w:rsidR="00936D53">
              <w:rPr>
                <w:noProof/>
                <w:webHidden/>
              </w:rPr>
              <w:fldChar w:fldCharType="begin"/>
            </w:r>
            <w:r w:rsidR="00936D53">
              <w:rPr>
                <w:noProof/>
                <w:webHidden/>
              </w:rPr>
              <w:instrText xml:space="preserve"> PAGEREF _Toc64836328 \h </w:instrText>
            </w:r>
            <w:r w:rsidR="00936D53">
              <w:rPr>
                <w:noProof/>
                <w:webHidden/>
              </w:rPr>
            </w:r>
            <w:r w:rsidR="00936D53">
              <w:rPr>
                <w:noProof/>
                <w:webHidden/>
              </w:rPr>
              <w:fldChar w:fldCharType="separate"/>
            </w:r>
            <w:r w:rsidR="00936D53">
              <w:rPr>
                <w:noProof/>
                <w:webHidden/>
              </w:rPr>
              <w:t>34</w:t>
            </w:r>
            <w:r w:rsidR="00936D53">
              <w:rPr>
                <w:noProof/>
                <w:webHidden/>
              </w:rPr>
              <w:fldChar w:fldCharType="end"/>
            </w:r>
          </w:hyperlink>
        </w:p>
        <w:p w14:paraId="2B70931C" w14:textId="3FDE707F" w:rsidR="00936D53" w:rsidRDefault="00D41059">
          <w:pPr>
            <w:pStyle w:val="TOC4"/>
            <w:tabs>
              <w:tab w:val="right" w:leader="dot" w:pos="9323"/>
            </w:tabs>
            <w:rPr>
              <w:rFonts w:asciiTheme="minorHAnsi" w:eastAsiaTheme="minorEastAsia" w:hAnsiTheme="minorHAnsi" w:cstheme="minorBidi"/>
              <w:noProof/>
              <w:lang w:eastAsia="en-AU"/>
            </w:rPr>
          </w:pPr>
          <w:hyperlink w:anchor="_Toc64836329" w:history="1">
            <w:r w:rsidR="00936D53" w:rsidRPr="003B2F22">
              <w:rPr>
                <w:rStyle w:val="Hyperlink"/>
                <w:noProof/>
              </w:rPr>
              <w:t>Donor Adverse Event Categories</w:t>
            </w:r>
            <w:r w:rsidR="00936D53">
              <w:rPr>
                <w:noProof/>
                <w:webHidden/>
              </w:rPr>
              <w:tab/>
            </w:r>
            <w:r w:rsidR="00936D53">
              <w:rPr>
                <w:noProof/>
                <w:webHidden/>
              </w:rPr>
              <w:fldChar w:fldCharType="begin"/>
            </w:r>
            <w:r w:rsidR="00936D53">
              <w:rPr>
                <w:noProof/>
                <w:webHidden/>
              </w:rPr>
              <w:instrText xml:space="preserve"> PAGEREF _Toc64836329 \h </w:instrText>
            </w:r>
            <w:r w:rsidR="00936D53">
              <w:rPr>
                <w:noProof/>
                <w:webHidden/>
              </w:rPr>
            </w:r>
            <w:r w:rsidR="00936D53">
              <w:rPr>
                <w:noProof/>
                <w:webHidden/>
              </w:rPr>
              <w:fldChar w:fldCharType="separate"/>
            </w:r>
            <w:r w:rsidR="00936D53">
              <w:rPr>
                <w:noProof/>
                <w:webHidden/>
              </w:rPr>
              <w:t>35</w:t>
            </w:r>
            <w:r w:rsidR="00936D53">
              <w:rPr>
                <w:noProof/>
                <w:webHidden/>
              </w:rPr>
              <w:fldChar w:fldCharType="end"/>
            </w:r>
          </w:hyperlink>
        </w:p>
        <w:p w14:paraId="18C85139" w14:textId="4001A85B" w:rsidR="00936D53" w:rsidRDefault="00D41059">
          <w:pPr>
            <w:pStyle w:val="TOC4"/>
            <w:tabs>
              <w:tab w:val="right" w:leader="dot" w:pos="9323"/>
            </w:tabs>
            <w:rPr>
              <w:rFonts w:asciiTheme="minorHAnsi" w:eastAsiaTheme="minorEastAsia" w:hAnsiTheme="minorHAnsi" w:cstheme="minorBidi"/>
              <w:noProof/>
              <w:lang w:eastAsia="en-AU"/>
            </w:rPr>
          </w:pPr>
          <w:hyperlink w:anchor="_Toc64836330" w:history="1">
            <w:r w:rsidR="00936D53" w:rsidRPr="003B2F22">
              <w:rPr>
                <w:rStyle w:val="Hyperlink"/>
                <w:noProof/>
              </w:rPr>
              <w:t>Denominator Cohort</w:t>
            </w:r>
            <w:r w:rsidR="00936D53">
              <w:rPr>
                <w:noProof/>
                <w:webHidden/>
              </w:rPr>
              <w:tab/>
            </w:r>
            <w:r w:rsidR="00936D53">
              <w:rPr>
                <w:noProof/>
                <w:webHidden/>
              </w:rPr>
              <w:fldChar w:fldCharType="begin"/>
            </w:r>
            <w:r w:rsidR="00936D53">
              <w:rPr>
                <w:noProof/>
                <w:webHidden/>
              </w:rPr>
              <w:instrText xml:space="preserve"> PAGEREF _Toc64836330 \h </w:instrText>
            </w:r>
            <w:r w:rsidR="00936D53">
              <w:rPr>
                <w:noProof/>
                <w:webHidden/>
              </w:rPr>
            </w:r>
            <w:r w:rsidR="00936D53">
              <w:rPr>
                <w:noProof/>
                <w:webHidden/>
              </w:rPr>
              <w:fldChar w:fldCharType="separate"/>
            </w:r>
            <w:r w:rsidR="00936D53">
              <w:rPr>
                <w:noProof/>
                <w:webHidden/>
              </w:rPr>
              <w:t>35</w:t>
            </w:r>
            <w:r w:rsidR="00936D53">
              <w:rPr>
                <w:noProof/>
                <w:webHidden/>
              </w:rPr>
              <w:fldChar w:fldCharType="end"/>
            </w:r>
          </w:hyperlink>
        </w:p>
        <w:p w14:paraId="57E0B197" w14:textId="792760F1" w:rsidR="00936D53" w:rsidRDefault="00D41059">
          <w:pPr>
            <w:pStyle w:val="TOC3"/>
            <w:tabs>
              <w:tab w:val="right" w:leader="dot" w:pos="9323"/>
            </w:tabs>
            <w:rPr>
              <w:rFonts w:asciiTheme="minorHAnsi" w:eastAsiaTheme="minorEastAsia" w:hAnsiTheme="minorHAnsi" w:cstheme="minorBidi"/>
              <w:noProof/>
              <w:lang w:eastAsia="en-AU"/>
            </w:rPr>
          </w:pPr>
          <w:hyperlink w:anchor="_Toc64836331" w:history="1">
            <w:r w:rsidR="00936D53" w:rsidRPr="003B2F22">
              <w:rPr>
                <w:rStyle w:val="Hyperlink"/>
                <w:noProof/>
              </w:rPr>
              <w:t>Donor Adverse Events</w:t>
            </w:r>
            <w:r w:rsidR="00936D53">
              <w:rPr>
                <w:noProof/>
                <w:webHidden/>
              </w:rPr>
              <w:tab/>
            </w:r>
            <w:r w:rsidR="00936D53">
              <w:rPr>
                <w:noProof/>
                <w:webHidden/>
              </w:rPr>
              <w:fldChar w:fldCharType="begin"/>
            </w:r>
            <w:r w:rsidR="00936D53">
              <w:rPr>
                <w:noProof/>
                <w:webHidden/>
              </w:rPr>
              <w:instrText xml:space="preserve"> PAGEREF _Toc64836331 \h </w:instrText>
            </w:r>
            <w:r w:rsidR="00936D53">
              <w:rPr>
                <w:noProof/>
                <w:webHidden/>
              </w:rPr>
            </w:r>
            <w:r w:rsidR="00936D53">
              <w:rPr>
                <w:noProof/>
                <w:webHidden/>
              </w:rPr>
              <w:fldChar w:fldCharType="separate"/>
            </w:r>
            <w:r w:rsidR="00936D53">
              <w:rPr>
                <w:noProof/>
                <w:webHidden/>
              </w:rPr>
              <w:t>37</w:t>
            </w:r>
            <w:r w:rsidR="00936D53">
              <w:rPr>
                <w:noProof/>
                <w:webHidden/>
              </w:rPr>
              <w:fldChar w:fldCharType="end"/>
            </w:r>
          </w:hyperlink>
        </w:p>
        <w:p w14:paraId="6209C0B0" w14:textId="402B1D1D" w:rsidR="00936D53" w:rsidRDefault="00D41059">
          <w:pPr>
            <w:pStyle w:val="TOC4"/>
            <w:tabs>
              <w:tab w:val="right" w:leader="dot" w:pos="9323"/>
            </w:tabs>
            <w:rPr>
              <w:rFonts w:asciiTheme="minorHAnsi" w:eastAsiaTheme="minorEastAsia" w:hAnsiTheme="minorHAnsi" w:cstheme="minorBidi"/>
              <w:noProof/>
              <w:lang w:eastAsia="en-AU"/>
            </w:rPr>
          </w:pPr>
          <w:hyperlink w:anchor="_Toc64836332" w:history="1">
            <w:r w:rsidR="00936D53" w:rsidRPr="003B2F22">
              <w:rPr>
                <w:rStyle w:val="Hyperlink"/>
                <w:noProof/>
              </w:rPr>
              <w:t>Donor Adverse Events by Donation Category</w:t>
            </w:r>
            <w:r w:rsidR="00936D53">
              <w:rPr>
                <w:noProof/>
                <w:webHidden/>
              </w:rPr>
              <w:tab/>
            </w:r>
            <w:r w:rsidR="00936D53">
              <w:rPr>
                <w:noProof/>
                <w:webHidden/>
              </w:rPr>
              <w:fldChar w:fldCharType="begin"/>
            </w:r>
            <w:r w:rsidR="00936D53">
              <w:rPr>
                <w:noProof/>
                <w:webHidden/>
              </w:rPr>
              <w:instrText xml:space="preserve"> PAGEREF _Toc64836332 \h </w:instrText>
            </w:r>
            <w:r w:rsidR="00936D53">
              <w:rPr>
                <w:noProof/>
                <w:webHidden/>
              </w:rPr>
            </w:r>
            <w:r w:rsidR="00936D53">
              <w:rPr>
                <w:noProof/>
                <w:webHidden/>
              </w:rPr>
              <w:fldChar w:fldCharType="separate"/>
            </w:r>
            <w:r w:rsidR="00936D53">
              <w:rPr>
                <w:noProof/>
                <w:webHidden/>
              </w:rPr>
              <w:t>37</w:t>
            </w:r>
            <w:r w:rsidR="00936D53">
              <w:rPr>
                <w:noProof/>
                <w:webHidden/>
              </w:rPr>
              <w:fldChar w:fldCharType="end"/>
            </w:r>
          </w:hyperlink>
        </w:p>
        <w:p w14:paraId="2B320564" w14:textId="4643E7E7" w:rsidR="00936D53" w:rsidRDefault="00D41059">
          <w:pPr>
            <w:pStyle w:val="TOC4"/>
            <w:tabs>
              <w:tab w:val="right" w:leader="dot" w:pos="9323"/>
            </w:tabs>
            <w:rPr>
              <w:rFonts w:asciiTheme="minorHAnsi" w:eastAsiaTheme="minorEastAsia" w:hAnsiTheme="minorHAnsi" w:cstheme="minorBidi"/>
              <w:noProof/>
              <w:lang w:eastAsia="en-AU"/>
            </w:rPr>
          </w:pPr>
          <w:hyperlink w:anchor="_Toc64836333" w:history="1">
            <w:r w:rsidR="00936D53" w:rsidRPr="003B2F22">
              <w:rPr>
                <w:rStyle w:val="Hyperlink"/>
                <w:noProof/>
              </w:rPr>
              <w:t>Trends over the 2015-16 to 2018-19 period</w:t>
            </w:r>
            <w:r w:rsidR="00936D53">
              <w:rPr>
                <w:noProof/>
                <w:webHidden/>
              </w:rPr>
              <w:tab/>
            </w:r>
            <w:r w:rsidR="00936D53">
              <w:rPr>
                <w:noProof/>
                <w:webHidden/>
              </w:rPr>
              <w:fldChar w:fldCharType="begin"/>
            </w:r>
            <w:r w:rsidR="00936D53">
              <w:rPr>
                <w:noProof/>
                <w:webHidden/>
              </w:rPr>
              <w:instrText xml:space="preserve"> PAGEREF _Toc64836333 \h </w:instrText>
            </w:r>
            <w:r w:rsidR="00936D53">
              <w:rPr>
                <w:noProof/>
                <w:webHidden/>
              </w:rPr>
            </w:r>
            <w:r w:rsidR="00936D53">
              <w:rPr>
                <w:noProof/>
                <w:webHidden/>
              </w:rPr>
              <w:fldChar w:fldCharType="separate"/>
            </w:r>
            <w:r w:rsidR="00936D53">
              <w:rPr>
                <w:noProof/>
                <w:webHidden/>
              </w:rPr>
              <w:t>39</w:t>
            </w:r>
            <w:r w:rsidR="00936D53">
              <w:rPr>
                <w:noProof/>
                <w:webHidden/>
              </w:rPr>
              <w:fldChar w:fldCharType="end"/>
            </w:r>
          </w:hyperlink>
        </w:p>
        <w:p w14:paraId="3905A4EC" w14:textId="5911C381" w:rsidR="00936D53" w:rsidRDefault="00D41059">
          <w:pPr>
            <w:pStyle w:val="TOC4"/>
            <w:tabs>
              <w:tab w:val="right" w:leader="dot" w:pos="9323"/>
            </w:tabs>
            <w:rPr>
              <w:rFonts w:asciiTheme="minorHAnsi" w:eastAsiaTheme="minorEastAsia" w:hAnsiTheme="minorHAnsi" w:cstheme="minorBidi"/>
              <w:noProof/>
              <w:lang w:eastAsia="en-AU"/>
            </w:rPr>
          </w:pPr>
          <w:hyperlink w:anchor="_Toc64836334" w:history="1">
            <w:r w:rsidR="00936D53" w:rsidRPr="003B2F22">
              <w:rPr>
                <w:rStyle w:val="Hyperlink"/>
                <w:noProof/>
              </w:rPr>
              <w:t>Vasovagal events</w:t>
            </w:r>
            <w:r w:rsidR="00936D53">
              <w:rPr>
                <w:noProof/>
                <w:webHidden/>
              </w:rPr>
              <w:tab/>
            </w:r>
            <w:r w:rsidR="00936D53">
              <w:rPr>
                <w:noProof/>
                <w:webHidden/>
              </w:rPr>
              <w:fldChar w:fldCharType="begin"/>
            </w:r>
            <w:r w:rsidR="00936D53">
              <w:rPr>
                <w:noProof/>
                <w:webHidden/>
              </w:rPr>
              <w:instrText xml:space="preserve"> PAGEREF _Toc64836334 \h </w:instrText>
            </w:r>
            <w:r w:rsidR="00936D53">
              <w:rPr>
                <w:noProof/>
                <w:webHidden/>
              </w:rPr>
            </w:r>
            <w:r w:rsidR="00936D53">
              <w:rPr>
                <w:noProof/>
                <w:webHidden/>
              </w:rPr>
              <w:fldChar w:fldCharType="separate"/>
            </w:r>
            <w:r w:rsidR="00936D53">
              <w:rPr>
                <w:noProof/>
                <w:webHidden/>
              </w:rPr>
              <w:t>41</w:t>
            </w:r>
            <w:r w:rsidR="00936D53">
              <w:rPr>
                <w:noProof/>
                <w:webHidden/>
              </w:rPr>
              <w:fldChar w:fldCharType="end"/>
            </w:r>
          </w:hyperlink>
        </w:p>
        <w:p w14:paraId="2894B22D" w14:textId="371AF635" w:rsidR="00936D53" w:rsidRDefault="00D41059">
          <w:pPr>
            <w:pStyle w:val="TOC4"/>
            <w:tabs>
              <w:tab w:val="right" w:leader="dot" w:pos="9323"/>
            </w:tabs>
            <w:rPr>
              <w:rFonts w:asciiTheme="minorHAnsi" w:eastAsiaTheme="minorEastAsia" w:hAnsiTheme="minorHAnsi" w:cstheme="minorBidi"/>
              <w:noProof/>
              <w:lang w:eastAsia="en-AU"/>
            </w:rPr>
          </w:pPr>
          <w:hyperlink w:anchor="_Toc64836335" w:history="1">
            <w:r w:rsidR="00936D53" w:rsidRPr="003B2F22">
              <w:rPr>
                <w:rStyle w:val="Hyperlink"/>
                <w:noProof/>
              </w:rPr>
              <w:t>Events requiring external</w:t>
            </w:r>
            <w:r w:rsidR="00936D53" w:rsidRPr="003B2F22">
              <w:rPr>
                <w:rStyle w:val="Hyperlink"/>
                <w:noProof/>
                <w:spacing w:val="-1"/>
              </w:rPr>
              <w:t xml:space="preserve"> </w:t>
            </w:r>
            <w:r w:rsidR="00936D53" w:rsidRPr="003B2F22">
              <w:rPr>
                <w:rStyle w:val="Hyperlink"/>
                <w:noProof/>
              </w:rPr>
              <w:t>referral</w:t>
            </w:r>
            <w:r w:rsidR="00936D53">
              <w:rPr>
                <w:noProof/>
                <w:webHidden/>
              </w:rPr>
              <w:tab/>
            </w:r>
            <w:r w:rsidR="00936D53">
              <w:rPr>
                <w:noProof/>
                <w:webHidden/>
              </w:rPr>
              <w:fldChar w:fldCharType="begin"/>
            </w:r>
            <w:r w:rsidR="00936D53">
              <w:rPr>
                <w:noProof/>
                <w:webHidden/>
              </w:rPr>
              <w:instrText xml:space="preserve"> PAGEREF _Toc64836335 \h </w:instrText>
            </w:r>
            <w:r w:rsidR="00936D53">
              <w:rPr>
                <w:noProof/>
                <w:webHidden/>
              </w:rPr>
            </w:r>
            <w:r w:rsidR="00936D53">
              <w:rPr>
                <w:noProof/>
                <w:webHidden/>
              </w:rPr>
              <w:fldChar w:fldCharType="separate"/>
            </w:r>
            <w:r w:rsidR="00936D53">
              <w:rPr>
                <w:noProof/>
                <w:webHidden/>
              </w:rPr>
              <w:t>45</w:t>
            </w:r>
            <w:r w:rsidR="00936D53">
              <w:rPr>
                <w:noProof/>
                <w:webHidden/>
              </w:rPr>
              <w:fldChar w:fldCharType="end"/>
            </w:r>
          </w:hyperlink>
        </w:p>
        <w:p w14:paraId="6B8423EA" w14:textId="33DCC7AD" w:rsidR="00936D53" w:rsidRDefault="00D41059">
          <w:pPr>
            <w:pStyle w:val="TOC3"/>
            <w:tabs>
              <w:tab w:val="right" w:leader="dot" w:pos="9323"/>
            </w:tabs>
            <w:rPr>
              <w:rFonts w:asciiTheme="minorHAnsi" w:eastAsiaTheme="minorEastAsia" w:hAnsiTheme="minorHAnsi" w:cstheme="minorBidi"/>
              <w:noProof/>
              <w:lang w:eastAsia="en-AU"/>
            </w:rPr>
          </w:pPr>
          <w:hyperlink w:anchor="_Toc64836336" w:history="1">
            <w:r w:rsidR="00936D53" w:rsidRPr="003B2F22">
              <w:rPr>
                <w:rStyle w:val="Hyperlink"/>
                <w:noProof/>
              </w:rPr>
              <w:t>Conclusion</w:t>
            </w:r>
            <w:r w:rsidR="00936D53">
              <w:rPr>
                <w:noProof/>
                <w:webHidden/>
              </w:rPr>
              <w:tab/>
            </w:r>
            <w:r w:rsidR="00936D53">
              <w:rPr>
                <w:noProof/>
                <w:webHidden/>
              </w:rPr>
              <w:fldChar w:fldCharType="begin"/>
            </w:r>
            <w:r w:rsidR="00936D53">
              <w:rPr>
                <w:noProof/>
                <w:webHidden/>
              </w:rPr>
              <w:instrText xml:space="preserve"> PAGEREF _Toc64836336 \h </w:instrText>
            </w:r>
            <w:r w:rsidR="00936D53">
              <w:rPr>
                <w:noProof/>
                <w:webHidden/>
              </w:rPr>
            </w:r>
            <w:r w:rsidR="00936D53">
              <w:rPr>
                <w:noProof/>
                <w:webHidden/>
              </w:rPr>
              <w:fldChar w:fldCharType="separate"/>
            </w:r>
            <w:r w:rsidR="00936D53">
              <w:rPr>
                <w:noProof/>
                <w:webHidden/>
              </w:rPr>
              <w:t>46</w:t>
            </w:r>
            <w:r w:rsidR="00936D53">
              <w:rPr>
                <w:noProof/>
                <w:webHidden/>
              </w:rPr>
              <w:fldChar w:fldCharType="end"/>
            </w:r>
          </w:hyperlink>
        </w:p>
        <w:p w14:paraId="4762B15B" w14:textId="15B68EA6" w:rsidR="00936D53" w:rsidRDefault="00D41059">
          <w:pPr>
            <w:pStyle w:val="TOC1"/>
            <w:tabs>
              <w:tab w:val="right" w:leader="dot" w:pos="9323"/>
            </w:tabs>
            <w:rPr>
              <w:rFonts w:asciiTheme="minorHAnsi" w:eastAsiaTheme="minorEastAsia" w:hAnsiTheme="minorHAnsi" w:cstheme="minorBidi"/>
              <w:noProof/>
              <w:lang w:eastAsia="en-AU"/>
            </w:rPr>
          </w:pPr>
          <w:hyperlink w:anchor="_Toc64836337" w:history="1">
            <w:r w:rsidR="00936D53" w:rsidRPr="003B2F22">
              <w:rPr>
                <w:rStyle w:val="Hyperlink"/>
                <w:noProof/>
              </w:rPr>
              <w:t>APPENDIXES</w:t>
            </w:r>
            <w:r w:rsidR="00936D53">
              <w:rPr>
                <w:noProof/>
                <w:webHidden/>
              </w:rPr>
              <w:tab/>
            </w:r>
            <w:r w:rsidR="00936D53">
              <w:rPr>
                <w:noProof/>
                <w:webHidden/>
              </w:rPr>
              <w:fldChar w:fldCharType="begin"/>
            </w:r>
            <w:r w:rsidR="00936D53">
              <w:rPr>
                <w:noProof/>
                <w:webHidden/>
              </w:rPr>
              <w:instrText xml:space="preserve"> PAGEREF _Toc64836337 \h </w:instrText>
            </w:r>
            <w:r w:rsidR="00936D53">
              <w:rPr>
                <w:noProof/>
                <w:webHidden/>
              </w:rPr>
            </w:r>
            <w:r w:rsidR="00936D53">
              <w:rPr>
                <w:noProof/>
                <w:webHidden/>
              </w:rPr>
              <w:fldChar w:fldCharType="separate"/>
            </w:r>
            <w:r w:rsidR="00936D53">
              <w:rPr>
                <w:noProof/>
                <w:webHidden/>
              </w:rPr>
              <w:t>47</w:t>
            </w:r>
            <w:r w:rsidR="00936D53">
              <w:rPr>
                <w:noProof/>
                <w:webHidden/>
              </w:rPr>
              <w:fldChar w:fldCharType="end"/>
            </w:r>
          </w:hyperlink>
        </w:p>
        <w:p w14:paraId="303AD8E2" w14:textId="38C281C3" w:rsidR="00936D53" w:rsidRDefault="00D41059">
          <w:pPr>
            <w:pStyle w:val="TOC3"/>
            <w:tabs>
              <w:tab w:val="right" w:leader="dot" w:pos="9323"/>
            </w:tabs>
            <w:rPr>
              <w:rFonts w:asciiTheme="minorHAnsi" w:eastAsiaTheme="minorEastAsia" w:hAnsiTheme="minorHAnsi" w:cstheme="minorBidi"/>
              <w:noProof/>
              <w:lang w:eastAsia="en-AU"/>
            </w:rPr>
          </w:pPr>
          <w:hyperlink w:anchor="_Toc64836338" w:history="1">
            <w:r w:rsidR="00936D53" w:rsidRPr="003B2F22">
              <w:rPr>
                <w:rStyle w:val="Hyperlink"/>
                <w:noProof/>
              </w:rPr>
              <w:t>Appendix 1: Current policies and interventions to minimise the risk of donor adverse events</w:t>
            </w:r>
            <w:r w:rsidR="00936D53">
              <w:rPr>
                <w:noProof/>
                <w:webHidden/>
              </w:rPr>
              <w:tab/>
            </w:r>
            <w:r w:rsidR="00936D53">
              <w:rPr>
                <w:noProof/>
                <w:webHidden/>
              </w:rPr>
              <w:fldChar w:fldCharType="begin"/>
            </w:r>
            <w:r w:rsidR="00936D53">
              <w:rPr>
                <w:noProof/>
                <w:webHidden/>
              </w:rPr>
              <w:instrText xml:space="preserve"> PAGEREF _Toc64836338 \h </w:instrText>
            </w:r>
            <w:r w:rsidR="00936D53">
              <w:rPr>
                <w:noProof/>
                <w:webHidden/>
              </w:rPr>
            </w:r>
            <w:r w:rsidR="00936D53">
              <w:rPr>
                <w:noProof/>
                <w:webHidden/>
              </w:rPr>
              <w:fldChar w:fldCharType="separate"/>
            </w:r>
            <w:r w:rsidR="00936D53">
              <w:rPr>
                <w:noProof/>
                <w:webHidden/>
              </w:rPr>
              <w:t>47</w:t>
            </w:r>
            <w:r w:rsidR="00936D53">
              <w:rPr>
                <w:noProof/>
                <w:webHidden/>
              </w:rPr>
              <w:fldChar w:fldCharType="end"/>
            </w:r>
          </w:hyperlink>
        </w:p>
        <w:p w14:paraId="5C9F345C" w14:textId="6470C86A" w:rsidR="00936D53" w:rsidRDefault="00D41059">
          <w:pPr>
            <w:pStyle w:val="TOC1"/>
            <w:tabs>
              <w:tab w:val="right" w:leader="dot" w:pos="9323"/>
            </w:tabs>
            <w:rPr>
              <w:rFonts w:asciiTheme="minorHAnsi" w:eastAsiaTheme="minorEastAsia" w:hAnsiTheme="minorHAnsi" w:cstheme="minorBidi"/>
              <w:noProof/>
              <w:lang w:eastAsia="en-AU"/>
            </w:rPr>
          </w:pPr>
          <w:hyperlink w:anchor="_Toc64836339" w:history="1">
            <w:r w:rsidR="00936D53" w:rsidRPr="003B2F22">
              <w:rPr>
                <w:rStyle w:val="Hyperlink"/>
                <w:noProof/>
              </w:rPr>
              <w:t>ABBREVIATIONS</w:t>
            </w:r>
            <w:r w:rsidR="00936D53">
              <w:rPr>
                <w:noProof/>
                <w:webHidden/>
              </w:rPr>
              <w:tab/>
            </w:r>
            <w:r w:rsidR="00936D53">
              <w:rPr>
                <w:noProof/>
                <w:webHidden/>
              </w:rPr>
              <w:fldChar w:fldCharType="begin"/>
            </w:r>
            <w:r w:rsidR="00936D53">
              <w:rPr>
                <w:noProof/>
                <w:webHidden/>
              </w:rPr>
              <w:instrText xml:space="preserve"> PAGEREF _Toc64836339 \h </w:instrText>
            </w:r>
            <w:r w:rsidR="00936D53">
              <w:rPr>
                <w:noProof/>
                <w:webHidden/>
              </w:rPr>
            </w:r>
            <w:r w:rsidR="00936D53">
              <w:rPr>
                <w:noProof/>
                <w:webHidden/>
              </w:rPr>
              <w:fldChar w:fldCharType="separate"/>
            </w:r>
            <w:r w:rsidR="00936D53">
              <w:rPr>
                <w:noProof/>
                <w:webHidden/>
              </w:rPr>
              <w:t>48</w:t>
            </w:r>
            <w:r w:rsidR="00936D53">
              <w:rPr>
                <w:noProof/>
                <w:webHidden/>
              </w:rPr>
              <w:fldChar w:fldCharType="end"/>
            </w:r>
          </w:hyperlink>
        </w:p>
        <w:p w14:paraId="62A89A97" w14:textId="217B0A5C" w:rsidR="00936D53" w:rsidRDefault="00D41059">
          <w:pPr>
            <w:pStyle w:val="TOC1"/>
            <w:tabs>
              <w:tab w:val="right" w:leader="dot" w:pos="9323"/>
            </w:tabs>
            <w:rPr>
              <w:rFonts w:asciiTheme="minorHAnsi" w:eastAsiaTheme="minorEastAsia" w:hAnsiTheme="minorHAnsi" w:cstheme="minorBidi"/>
              <w:noProof/>
              <w:lang w:eastAsia="en-AU"/>
            </w:rPr>
          </w:pPr>
          <w:hyperlink w:anchor="_Toc64836340" w:history="1">
            <w:r w:rsidR="00936D53" w:rsidRPr="003B2F22">
              <w:rPr>
                <w:rStyle w:val="Hyperlink"/>
                <w:noProof/>
              </w:rPr>
              <w:t>ACKNOWLEDGEMENTS LIST</w:t>
            </w:r>
            <w:r w:rsidR="00936D53">
              <w:rPr>
                <w:noProof/>
                <w:webHidden/>
              </w:rPr>
              <w:tab/>
            </w:r>
            <w:r w:rsidR="00936D53">
              <w:rPr>
                <w:noProof/>
                <w:webHidden/>
              </w:rPr>
              <w:fldChar w:fldCharType="begin"/>
            </w:r>
            <w:r w:rsidR="00936D53">
              <w:rPr>
                <w:noProof/>
                <w:webHidden/>
              </w:rPr>
              <w:instrText xml:space="preserve"> PAGEREF _Toc64836340 \h </w:instrText>
            </w:r>
            <w:r w:rsidR="00936D53">
              <w:rPr>
                <w:noProof/>
                <w:webHidden/>
              </w:rPr>
            </w:r>
            <w:r w:rsidR="00936D53">
              <w:rPr>
                <w:noProof/>
                <w:webHidden/>
              </w:rPr>
              <w:fldChar w:fldCharType="separate"/>
            </w:r>
            <w:r w:rsidR="00936D53">
              <w:rPr>
                <w:noProof/>
                <w:webHidden/>
              </w:rPr>
              <w:t>49</w:t>
            </w:r>
            <w:r w:rsidR="00936D53">
              <w:rPr>
                <w:noProof/>
                <w:webHidden/>
              </w:rPr>
              <w:fldChar w:fldCharType="end"/>
            </w:r>
          </w:hyperlink>
        </w:p>
        <w:p w14:paraId="132D3499" w14:textId="209BB1B7" w:rsidR="00ED55A8" w:rsidRDefault="00767128">
          <w:r>
            <w:fldChar w:fldCharType="end"/>
          </w:r>
        </w:p>
      </w:sdtContent>
    </w:sdt>
    <w:p w14:paraId="48478BE0" w14:textId="77777777" w:rsidR="00ED55A8" w:rsidRDefault="00ED55A8" w:rsidP="00D16364">
      <w:pPr>
        <w:spacing w:line="276" w:lineRule="auto"/>
      </w:pPr>
    </w:p>
    <w:p w14:paraId="7BCDF659" w14:textId="77777777" w:rsidR="009528D5" w:rsidRDefault="009528D5" w:rsidP="00D16364">
      <w:pPr>
        <w:spacing w:line="276" w:lineRule="auto"/>
      </w:pPr>
    </w:p>
    <w:p w14:paraId="2770BCB4" w14:textId="77777777" w:rsidR="00D16364" w:rsidRDefault="00D16364">
      <w:pPr>
        <w:spacing w:line="276" w:lineRule="auto"/>
      </w:pPr>
      <w:r>
        <w:br w:type="page"/>
      </w:r>
    </w:p>
    <w:p w14:paraId="2B040F59" w14:textId="77777777" w:rsidR="001F7E9C" w:rsidRDefault="002B5C4E" w:rsidP="002B5C4E">
      <w:pPr>
        <w:pStyle w:val="Heading1"/>
      </w:pPr>
      <w:bookmarkStart w:id="1" w:name="_Toc64836302"/>
      <w:r>
        <w:lastRenderedPageBreak/>
        <w:t>TABLES AND FIGURES</w:t>
      </w:r>
      <w:bookmarkEnd w:id="1"/>
    </w:p>
    <w:p w14:paraId="56FE958F" w14:textId="5A130090" w:rsidR="00936D53" w:rsidRPr="00936D53" w:rsidRDefault="001F7E9C">
      <w:pPr>
        <w:pStyle w:val="TableofFigures"/>
        <w:tabs>
          <w:tab w:val="right" w:leader="dot" w:pos="9323"/>
        </w:tabs>
        <w:rPr>
          <w:rFonts w:asciiTheme="minorHAnsi" w:eastAsiaTheme="minorEastAsia" w:hAnsiTheme="minorHAnsi" w:cstheme="minorBidi"/>
          <w:noProof/>
          <w:lang w:eastAsia="en-AU"/>
        </w:rPr>
      </w:pPr>
      <w:r w:rsidRPr="001F7E9C">
        <w:fldChar w:fldCharType="begin"/>
      </w:r>
      <w:r w:rsidRPr="001F7E9C">
        <w:instrText xml:space="preserve"> TOC \h \z \c "Table" </w:instrText>
      </w:r>
      <w:r w:rsidRPr="001F7E9C">
        <w:fldChar w:fldCharType="separate"/>
      </w:r>
      <w:hyperlink w:anchor="_Toc64836404" w:history="1">
        <w:r w:rsidR="00936D53" w:rsidRPr="00936D53">
          <w:rPr>
            <w:rStyle w:val="Hyperlink"/>
            <w:noProof/>
          </w:rPr>
          <w:t>Table 1: Adverse events by state,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_Toc64836404 \h </w:instrText>
        </w:r>
        <w:r w:rsidR="00936D53" w:rsidRPr="00936D53">
          <w:rPr>
            <w:noProof/>
            <w:webHidden/>
          </w:rPr>
        </w:r>
        <w:r w:rsidR="00936D53" w:rsidRPr="00936D53">
          <w:rPr>
            <w:noProof/>
            <w:webHidden/>
          </w:rPr>
          <w:fldChar w:fldCharType="separate"/>
        </w:r>
        <w:r w:rsidR="00936D53" w:rsidRPr="00936D53">
          <w:rPr>
            <w:noProof/>
            <w:webHidden/>
          </w:rPr>
          <w:t>8</w:t>
        </w:r>
        <w:r w:rsidR="00936D53" w:rsidRPr="00936D53">
          <w:rPr>
            <w:noProof/>
            <w:webHidden/>
          </w:rPr>
          <w:fldChar w:fldCharType="end"/>
        </w:r>
      </w:hyperlink>
    </w:p>
    <w:p w14:paraId="7FBC644A" w14:textId="0A102C17"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05" w:history="1">
        <w:r w:rsidR="00936D53" w:rsidRPr="00936D53">
          <w:rPr>
            <w:rStyle w:val="Hyperlink"/>
            <w:noProof/>
          </w:rPr>
          <w:t>Table 2: Adverse events by imputability score,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_Toc64836405 \h </w:instrText>
        </w:r>
        <w:r w:rsidR="00936D53" w:rsidRPr="00936D53">
          <w:rPr>
            <w:noProof/>
            <w:webHidden/>
          </w:rPr>
        </w:r>
        <w:r w:rsidR="00936D53" w:rsidRPr="00936D53">
          <w:rPr>
            <w:noProof/>
            <w:webHidden/>
          </w:rPr>
          <w:fldChar w:fldCharType="separate"/>
        </w:r>
        <w:r w:rsidR="00936D53" w:rsidRPr="00936D53">
          <w:rPr>
            <w:noProof/>
            <w:webHidden/>
          </w:rPr>
          <w:t>8</w:t>
        </w:r>
        <w:r w:rsidR="00936D53" w:rsidRPr="00936D53">
          <w:rPr>
            <w:noProof/>
            <w:webHidden/>
          </w:rPr>
          <w:fldChar w:fldCharType="end"/>
        </w:r>
      </w:hyperlink>
    </w:p>
    <w:p w14:paraId="796066D0" w14:textId="085B27B1"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06" w:history="1">
        <w:r w:rsidR="00936D53" w:rsidRPr="00936D53">
          <w:rPr>
            <w:rStyle w:val="Hyperlink"/>
            <w:noProof/>
          </w:rPr>
          <w:t>Table 3: Adverse events by blood product,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_Toc64836406 \h </w:instrText>
        </w:r>
        <w:r w:rsidR="00936D53" w:rsidRPr="00936D53">
          <w:rPr>
            <w:noProof/>
            <w:webHidden/>
          </w:rPr>
        </w:r>
        <w:r w:rsidR="00936D53" w:rsidRPr="00936D53">
          <w:rPr>
            <w:noProof/>
            <w:webHidden/>
          </w:rPr>
          <w:fldChar w:fldCharType="separate"/>
        </w:r>
        <w:r w:rsidR="00936D53" w:rsidRPr="00936D53">
          <w:rPr>
            <w:noProof/>
            <w:webHidden/>
          </w:rPr>
          <w:t>9</w:t>
        </w:r>
        <w:r w:rsidR="00936D53" w:rsidRPr="00936D53">
          <w:rPr>
            <w:noProof/>
            <w:webHidden/>
          </w:rPr>
          <w:fldChar w:fldCharType="end"/>
        </w:r>
      </w:hyperlink>
    </w:p>
    <w:p w14:paraId="02552431" w14:textId="3AB4FEE9"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07" w:history="1">
        <w:r w:rsidR="00936D53" w:rsidRPr="00936D53">
          <w:rPr>
            <w:rStyle w:val="Hyperlink"/>
            <w:noProof/>
          </w:rPr>
          <w:t>Table 4: Adverse events by clinical outcome severity,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_Toc64836407 \h </w:instrText>
        </w:r>
        <w:r w:rsidR="00936D53" w:rsidRPr="00936D53">
          <w:rPr>
            <w:noProof/>
            <w:webHidden/>
          </w:rPr>
        </w:r>
        <w:r w:rsidR="00936D53" w:rsidRPr="00936D53">
          <w:rPr>
            <w:noProof/>
            <w:webHidden/>
          </w:rPr>
          <w:fldChar w:fldCharType="separate"/>
        </w:r>
        <w:r w:rsidR="00936D53" w:rsidRPr="00936D53">
          <w:rPr>
            <w:noProof/>
            <w:webHidden/>
          </w:rPr>
          <w:t>10</w:t>
        </w:r>
        <w:r w:rsidR="00936D53" w:rsidRPr="00936D53">
          <w:rPr>
            <w:noProof/>
            <w:webHidden/>
          </w:rPr>
          <w:fldChar w:fldCharType="end"/>
        </w:r>
      </w:hyperlink>
    </w:p>
    <w:p w14:paraId="175A0B33" w14:textId="35421B00"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08" w:history="1">
        <w:r w:rsidR="00936D53" w:rsidRPr="00936D53">
          <w:rPr>
            <w:rStyle w:val="Hyperlink"/>
            <w:noProof/>
          </w:rPr>
          <w:t>Table 5: Reported adverse events by sex,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_Toc64836408 \h </w:instrText>
        </w:r>
        <w:r w:rsidR="00936D53" w:rsidRPr="00936D53">
          <w:rPr>
            <w:noProof/>
            <w:webHidden/>
          </w:rPr>
        </w:r>
        <w:r w:rsidR="00936D53" w:rsidRPr="00936D53">
          <w:rPr>
            <w:noProof/>
            <w:webHidden/>
          </w:rPr>
          <w:fldChar w:fldCharType="separate"/>
        </w:r>
        <w:r w:rsidR="00936D53" w:rsidRPr="00936D53">
          <w:rPr>
            <w:noProof/>
            <w:webHidden/>
          </w:rPr>
          <w:t>11</w:t>
        </w:r>
        <w:r w:rsidR="00936D53" w:rsidRPr="00936D53">
          <w:rPr>
            <w:noProof/>
            <w:webHidden/>
          </w:rPr>
          <w:fldChar w:fldCharType="end"/>
        </w:r>
      </w:hyperlink>
    </w:p>
    <w:p w14:paraId="746C5B20" w14:textId="47BC1129"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09" w:history="1">
        <w:r w:rsidR="00936D53" w:rsidRPr="00936D53">
          <w:rPr>
            <w:rStyle w:val="Hyperlink"/>
            <w:noProof/>
          </w:rPr>
          <w:t>Table 6: Adverse events by age and sex,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_Toc64836409 \h </w:instrText>
        </w:r>
        <w:r w:rsidR="00936D53" w:rsidRPr="00936D53">
          <w:rPr>
            <w:noProof/>
            <w:webHidden/>
          </w:rPr>
        </w:r>
        <w:r w:rsidR="00936D53" w:rsidRPr="00936D53">
          <w:rPr>
            <w:noProof/>
            <w:webHidden/>
          </w:rPr>
          <w:fldChar w:fldCharType="separate"/>
        </w:r>
        <w:r w:rsidR="00936D53" w:rsidRPr="00936D53">
          <w:rPr>
            <w:noProof/>
            <w:webHidden/>
          </w:rPr>
          <w:t>11</w:t>
        </w:r>
        <w:r w:rsidR="00936D53" w:rsidRPr="00936D53">
          <w:rPr>
            <w:noProof/>
            <w:webHidden/>
          </w:rPr>
          <w:fldChar w:fldCharType="end"/>
        </w:r>
      </w:hyperlink>
    </w:p>
    <w:p w14:paraId="7BF0C2EC" w14:textId="7AA4BC5C"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10" w:history="1">
        <w:r w:rsidR="00936D53" w:rsidRPr="00936D53">
          <w:rPr>
            <w:rStyle w:val="Hyperlink"/>
            <w:noProof/>
          </w:rPr>
          <w:t>Table 7: Serious adverse events by outcome severity and imputability score,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_Toc64836410 \h </w:instrText>
        </w:r>
        <w:r w:rsidR="00936D53" w:rsidRPr="00936D53">
          <w:rPr>
            <w:noProof/>
            <w:webHidden/>
          </w:rPr>
        </w:r>
        <w:r w:rsidR="00936D53" w:rsidRPr="00936D53">
          <w:rPr>
            <w:noProof/>
            <w:webHidden/>
          </w:rPr>
          <w:fldChar w:fldCharType="separate"/>
        </w:r>
        <w:r w:rsidR="00936D53" w:rsidRPr="00936D53">
          <w:rPr>
            <w:noProof/>
            <w:webHidden/>
          </w:rPr>
          <w:t>12</w:t>
        </w:r>
        <w:r w:rsidR="00936D53" w:rsidRPr="00936D53">
          <w:rPr>
            <w:noProof/>
            <w:webHidden/>
          </w:rPr>
          <w:fldChar w:fldCharType="end"/>
        </w:r>
      </w:hyperlink>
    </w:p>
    <w:p w14:paraId="5E72D1F1" w14:textId="687AA877"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11" w:history="1">
        <w:r w:rsidR="00936D53" w:rsidRPr="00936D53">
          <w:rPr>
            <w:rStyle w:val="Hyperlink"/>
            <w:noProof/>
          </w:rPr>
          <w:t>Table 8: Adverse events by state, 2014–15 to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_Toc64836411 \h </w:instrText>
        </w:r>
        <w:r w:rsidR="00936D53" w:rsidRPr="00936D53">
          <w:rPr>
            <w:noProof/>
            <w:webHidden/>
          </w:rPr>
        </w:r>
        <w:r w:rsidR="00936D53" w:rsidRPr="00936D53">
          <w:rPr>
            <w:noProof/>
            <w:webHidden/>
          </w:rPr>
          <w:fldChar w:fldCharType="separate"/>
        </w:r>
        <w:r w:rsidR="00936D53" w:rsidRPr="00936D53">
          <w:rPr>
            <w:noProof/>
            <w:webHidden/>
          </w:rPr>
          <w:t>13</w:t>
        </w:r>
        <w:r w:rsidR="00936D53" w:rsidRPr="00936D53">
          <w:rPr>
            <w:noProof/>
            <w:webHidden/>
          </w:rPr>
          <w:fldChar w:fldCharType="end"/>
        </w:r>
      </w:hyperlink>
    </w:p>
    <w:p w14:paraId="75ECEE47" w14:textId="2295B362"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12" w:history="1">
        <w:r w:rsidR="00936D53" w:rsidRPr="00936D53">
          <w:rPr>
            <w:rStyle w:val="Hyperlink"/>
            <w:noProof/>
          </w:rPr>
          <w:t>Table 9: Adverse events by hospital type, 2014–15 to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_Toc64836412 \h </w:instrText>
        </w:r>
        <w:r w:rsidR="00936D53" w:rsidRPr="00936D53">
          <w:rPr>
            <w:noProof/>
            <w:webHidden/>
          </w:rPr>
        </w:r>
        <w:r w:rsidR="00936D53" w:rsidRPr="00936D53">
          <w:rPr>
            <w:noProof/>
            <w:webHidden/>
          </w:rPr>
          <w:fldChar w:fldCharType="separate"/>
        </w:r>
        <w:r w:rsidR="00936D53" w:rsidRPr="00936D53">
          <w:rPr>
            <w:noProof/>
            <w:webHidden/>
          </w:rPr>
          <w:t>13</w:t>
        </w:r>
        <w:r w:rsidR="00936D53" w:rsidRPr="00936D53">
          <w:rPr>
            <w:noProof/>
            <w:webHidden/>
          </w:rPr>
          <w:fldChar w:fldCharType="end"/>
        </w:r>
      </w:hyperlink>
    </w:p>
    <w:p w14:paraId="1D7E10EE" w14:textId="384D8CD1"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13" w:history="1">
        <w:r w:rsidR="00936D53" w:rsidRPr="00936D53">
          <w:rPr>
            <w:rStyle w:val="Hyperlink"/>
            <w:noProof/>
          </w:rPr>
          <w:t>Table 10: Australian adverse event data, 2014–15 to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_Toc64836413 \h </w:instrText>
        </w:r>
        <w:r w:rsidR="00936D53" w:rsidRPr="00936D53">
          <w:rPr>
            <w:noProof/>
            <w:webHidden/>
          </w:rPr>
        </w:r>
        <w:r w:rsidR="00936D53" w:rsidRPr="00936D53">
          <w:rPr>
            <w:noProof/>
            <w:webHidden/>
          </w:rPr>
          <w:fldChar w:fldCharType="separate"/>
        </w:r>
        <w:r w:rsidR="00936D53" w:rsidRPr="00936D53">
          <w:rPr>
            <w:noProof/>
            <w:webHidden/>
          </w:rPr>
          <w:t>14</w:t>
        </w:r>
        <w:r w:rsidR="00936D53" w:rsidRPr="00936D53">
          <w:rPr>
            <w:noProof/>
            <w:webHidden/>
          </w:rPr>
          <w:fldChar w:fldCharType="end"/>
        </w:r>
      </w:hyperlink>
    </w:p>
    <w:p w14:paraId="085C4D1C" w14:textId="5516A6A2"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14" w:history="1">
        <w:r w:rsidR="00936D53" w:rsidRPr="00936D53">
          <w:rPr>
            <w:rStyle w:val="Hyperlink"/>
            <w:noProof/>
          </w:rPr>
          <w:t>Table 11: Serious Adverse events by state, 2014–15 to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_Toc64836414 \h </w:instrText>
        </w:r>
        <w:r w:rsidR="00936D53" w:rsidRPr="00936D53">
          <w:rPr>
            <w:noProof/>
            <w:webHidden/>
          </w:rPr>
        </w:r>
        <w:r w:rsidR="00936D53" w:rsidRPr="00936D53">
          <w:rPr>
            <w:noProof/>
            <w:webHidden/>
          </w:rPr>
          <w:fldChar w:fldCharType="separate"/>
        </w:r>
        <w:r w:rsidR="00936D53" w:rsidRPr="00936D53">
          <w:rPr>
            <w:noProof/>
            <w:webHidden/>
          </w:rPr>
          <w:t>14</w:t>
        </w:r>
        <w:r w:rsidR="00936D53" w:rsidRPr="00936D53">
          <w:rPr>
            <w:noProof/>
            <w:webHidden/>
          </w:rPr>
          <w:fldChar w:fldCharType="end"/>
        </w:r>
      </w:hyperlink>
    </w:p>
    <w:p w14:paraId="5806EC0F" w14:textId="3500DBBB"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15" w:history="1">
        <w:r w:rsidR="00936D53" w:rsidRPr="00936D53">
          <w:rPr>
            <w:rStyle w:val="Hyperlink"/>
            <w:noProof/>
          </w:rPr>
          <w:t>Table 12: Serious adverse events, 2014–15 to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_Toc64836415 \h </w:instrText>
        </w:r>
        <w:r w:rsidR="00936D53" w:rsidRPr="00936D53">
          <w:rPr>
            <w:noProof/>
            <w:webHidden/>
          </w:rPr>
        </w:r>
        <w:r w:rsidR="00936D53" w:rsidRPr="00936D53">
          <w:rPr>
            <w:noProof/>
            <w:webHidden/>
          </w:rPr>
          <w:fldChar w:fldCharType="separate"/>
        </w:r>
        <w:r w:rsidR="00936D53" w:rsidRPr="00936D53">
          <w:rPr>
            <w:noProof/>
            <w:webHidden/>
          </w:rPr>
          <w:t>15</w:t>
        </w:r>
        <w:r w:rsidR="00936D53" w:rsidRPr="00936D53">
          <w:rPr>
            <w:noProof/>
            <w:webHidden/>
          </w:rPr>
          <w:fldChar w:fldCharType="end"/>
        </w:r>
      </w:hyperlink>
    </w:p>
    <w:p w14:paraId="1C9AE0D4" w14:textId="60979928"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16" w:history="1">
        <w:r w:rsidR="00936D53" w:rsidRPr="00936D53">
          <w:rPr>
            <w:rStyle w:val="Hyperlink"/>
            <w:noProof/>
          </w:rPr>
          <w:t>Table 13: Serious adverse events by product, 2014–15 to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_Toc64836416 \h </w:instrText>
        </w:r>
        <w:r w:rsidR="00936D53" w:rsidRPr="00936D53">
          <w:rPr>
            <w:noProof/>
            <w:webHidden/>
          </w:rPr>
        </w:r>
        <w:r w:rsidR="00936D53" w:rsidRPr="00936D53">
          <w:rPr>
            <w:noProof/>
            <w:webHidden/>
          </w:rPr>
          <w:fldChar w:fldCharType="separate"/>
        </w:r>
        <w:r w:rsidR="00936D53" w:rsidRPr="00936D53">
          <w:rPr>
            <w:noProof/>
            <w:webHidden/>
          </w:rPr>
          <w:t>15</w:t>
        </w:r>
        <w:r w:rsidR="00936D53" w:rsidRPr="00936D53">
          <w:rPr>
            <w:noProof/>
            <w:webHidden/>
          </w:rPr>
          <w:fldChar w:fldCharType="end"/>
        </w:r>
      </w:hyperlink>
    </w:p>
    <w:p w14:paraId="7CAFF5A3" w14:textId="412B84FC"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17" w:history="1">
        <w:r w:rsidR="00936D53" w:rsidRPr="00936D53">
          <w:rPr>
            <w:rStyle w:val="Hyperlink"/>
            <w:noProof/>
          </w:rPr>
          <w:t>Table 14: Serious adverse events by transfusion time, 2014–15 to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_Toc64836417 \h </w:instrText>
        </w:r>
        <w:r w:rsidR="00936D53" w:rsidRPr="00936D53">
          <w:rPr>
            <w:noProof/>
            <w:webHidden/>
          </w:rPr>
        </w:r>
        <w:r w:rsidR="00936D53" w:rsidRPr="00936D53">
          <w:rPr>
            <w:noProof/>
            <w:webHidden/>
          </w:rPr>
          <w:fldChar w:fldCharType="separate"/>
        </w:r>
        <w:r w:rsidR="00936D53" w:rsidRPr="00936D53">
          <w:rPr>
            <w:noProof/>
            <w:webHidden/>
          </w:rPr>
          <w:t>16</w:t>
        </w:r>
        <w:r w:rsidR="00936D53" w:rsidRPr="00936D53">
          <w:rPr>
            <w:noProof/>
            <w:webHidden/>
          </w:rPr>
          <w:fldChar w:fldCharType="end"/>
        </w:r>
      </w:hyperlink>
    </w:p>
    <w:p w14:paraId="056F5924" w14:textId="4BEF8FFB"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18" w:history="1">
        <w:r w:rsidR="00936D53" w:rsidRPr="00936D53">
          <w:rPr>
            <w:rStyle w:val="Hyperlink"/>
            <w:noProof/>
          </w:rPr>
          <w:t>Table 15: Serious adverse events by week day/weekend, 2014–15 to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_Toc64836418 \h </w:instrText>
        </w:r>
        <w:r w:rsidR="00936D53" w:rsidRPr="00936D53">
          <w:rPr>
            <w:noProof/>
            <w:webHidden/>
          </w:rPr>
        </w:r>
        <w:r w:rsidR="00936D53" w:rsidRPr="00936D53">
          <w:rPr>
            <w:noProof/>
            <w:webHidden/>
          </w:rPr>
          <w:fldChar w:fldCharType="separate"/>
        </w:r>
        <w:r w:rsidR="00936D53" w:rsidRPr="00936D53">
          <w:rPr>
            <w:noProof/>
            <w:webHidden/>
          </w:rPr>
          <w:t>16</w:t>
        </w:r>
        <w:r w:rsidR="00936D53" w:rsidRPr="00936D53">
          <w:rPr>
            <w:noProof/>
            <w:webHidden/>
          </w:rPr>
          <w:fldChar w:fldCharType="end"/>
        </w:r>
      </w:hyperlink>
    </w:p>
    <w:p w14:paraId="1BBB7559" w14:textId="443EB149"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19" w:history="1">
        <w:r w:rsidR="00936D53" w:rsidRPr="00936D53">
          <w:rPr>
            <w:rStyle w:val="Hyperlink"/>
            <w:noProof/>
          </w:rPr>
          <w:t>Table 16: Serious adverse events by age group, 2014–15 to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_Toc64836419 \h </w:instrText>
        </w:r>
        <w:r w:rsidR="00936D53" w:rsidRPr="00936D53">
          <w:rPr>
            <w:noProof/>
            <w:webHidden/>
          </w:rPr>
        </w:r>
        <w:r w:rsidR="00936D53" w:rsidRPr="00936D53">
          <w:rPr>
            <w:noProof/>
            <w:webHidden/>
          </w:rPr>
          <w:fldChar w:fldCharType="separate"/>
        </w:r>
        <w:r w:rsidR="00936D53" w:rsidRPr="00936D53">
          <w:rPr>
            <w:noProof/>
            <w:webHidden/>
          </w:rPr>
          <w:t>16</w:t>
        </w:r>
        <w:r w:rsidR="00936D53" w:rsidRPr="00936D53">
          <w:rPr>
            <w:noProof/>
            <w:webHidden/>
          </w:rPr>
          <w:fldChar w:fldCharType="end"/>
        </w:r>
      </w:hyperlink>
    </w:p>
    <w:p w14:paraId="0191A4D0" w14:textId="7CC4A65B"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20" w:history="1">
        <w:r w:rsidR="00936D53" w:rsidRPr="00936D53">
          <w:rPr>
            <w:rStyle w:val="Hyperlink"/>
            <w:noProof/>
          </w:rPr>
          <w:t>Table 17: FNHTR data summary,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_Toc64836420 \h </w:instrText>
        </w:r>
        <w:r w:rsidR="00936D53" w:rsidRPr="00936D53">
          <w:rPr>
            <w:noProof/>
            <w:webHidden/>
          </w:rPr>
        </w:r>
        <w:r w:rsidR="00936D53" w:rsidRPr="00936D53">
          <w:rPr>
            <w:noProof/>
            <w:webHidden/>
          </w:rPr>
          <w:fldChar w:fldCharType="separate"/>
        </w:r>
        <w:r w:rsidR="00936D53" w:rsidRPr="00936D53">
          <w:rPr>
            <w:noProof/>
            <w:webHidden/>
          </w:rPr>
          <w:t>17</w:t>
        </w:r>
        <w:r w:rsidR="00936D53" w:rsidRPr="00936D53">
          <w:rPr>
            <w:noProof/>
            <w:webHidden/>
          </w:rPr>
          <w:fldChar w:fldCharType="end"/>
        </w:r>
      </w:hyperlink>
    </w:p>
    <w:p w14:paraId="4B6C6BFF" w14:textId="477D19EE"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21" w:history="1">
        <w:r w:rsidR="00936D53" w:rsidRPr="00936D53">
          <w:rPr>
            <w:rStyle w:val="Hyperlink"/>
            <w:noProof/>
          </w:rPr>
          <w:t>Table 18: FNHTR clinical outcome severity by imputability,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_Toc64836421 \h </w:instrText>
        </w:r>
        <w:r w:rsidR="00936D53" w:rsidRPr="00936D53">
          <w:rPr>
            <w:noProof/>
            <w:webHidden/>
          </w:rPr>
        </w:r>
        <w:r w:rsidR="00936D53" w:rsidRPr="00936D53">
          <w:rPr>
            <w:noProof/>
            <w:webHidden/>
          </w:rPr>
          <w:fldChar w:fldCharType="separate"/>
        </w:r>
        <w:r w:rsidR="00936D53" w:rsidRPr="00936D53">
          <w:rPr>
            <w:noProof/>
            <w:webHidden/>
          </w:rPr>
          <w:t>17</w:t>
        </w:r>
        <w:r w:rsidR="00936D53" w:rsidRPr="00936D53">
          <w:rPr>
            <w:noProof/>
            <w:webHidden/>
          </w:rPr>
          <w:fldChar w:fldCharType="end"/>
        </w:r>
      </w:hyperlink>
    </w:p>
    <w:p w14:paraId="1977E477" w14:textId="06D22D81"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22" w:history="1">
        <w:r w:rsidR="00936D53" w:rsidRPr="00936D53">
          <w:rPr>
            <w:rStyle w:val="Hyperlink"/>
            <w:noProof/>
          </w:rPr>
          <w:t>Table 19:  Allergic reaction data summary,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_Toc64836422 \h </w:instrText>
        </w:r>
        <w:r w:rsidR="00936D53" w:rsidRPr="00936D53">
          <w:rPr>
            <w:noProof/>
            <w:webHidden/>
          </w:rPr>
        </w:r>
        <w:r w:rsidR="00936D53" w:rsidRPr="00936D53">
          <w:rPr>
            <w:noProof/>
            <w:webHidden/>
          </w:rPr>
          <w:fldChar w:fldCharType="separate"/>
        </w:r>
        <w:r w:rsidR="00936D53" w:rsidRPr="00936D53">
          <w:rPr>
            <w:noProof/>
            <w:webHidden/>
          </w:rPr>
          <w:t>18</w:t>
        </w:r>
        <w:r w:rsidR="00936D53" w:rsidRPr="00936D53">
          <w:rPr>
            <w:noProof/>
            <w:webHidden/>
          </w:rPr>
          <w:fldChar w:fldCharType="end"/>
        </w:r>
      </w:hyperlink>
    </w:p>
    <w:p w14:paraId="27846B78" w14:textId="25B192F5"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23" w:history="1">
        <w:r w:rsidR="00936D53" w:rsidRPr="00936D53">
          <w:rPr>
            <w:rStyle w:val="Hyperlink"/>
            <w:noProof/>
          </w:rPr>
          <w:t>Table 20: Allergic reaction clinical outcome severity by imputability,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_Toc64836423 \h </w:instrText>
        </w:r>
        <w:r w:rsidR="00936D53" w:rsidRPr="00936D53">
          <w:rPr>
            <w:noProof/>
            <w:webHidden/>
          </w:rPr>
        </w:r>
        <w:r w:rsidR="00936D53" w:rsidRPr="00936D53">
          <w:rPr>
            <w:noProof/>
            <w:webHidden/>
          </w:rPr>
          <w:fldChar w:fldCharType="separate"/>
        </w:r>
        <w:r w:rsidR="00936D53" w:rsidRPr="00936D53">
          <w:rPr>
            <w:noProof/>
            <w:webHidden/>
          </w:rPr>
          <w:t>18</w:t>
        </w:r>
        <w:r w:rsidR="00936D53" w:rsidRPr="00936D53">
          <w:rPr>
            <w:noProof/>
            <w:webHidden/>
          </w:rPr>
          <w:fldChar w:fldCharType="end"/>
        </w:r>
      </w:hyperlink>
    </w:p>
    <w:p w14:paraId="1E1BA3F3" w14:textId="07B9C8B0"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24" w:history="1">
        <w:r w:rsidR="00936D53" w:rsidRPr="00936D53">
          <w:rPr>
            <w:rStyle w:val="Hyperlink"/>
            <w:noProof/>
          </w:rPr>
          <w:t>Table 21: TACO data summary,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_Toc64836424 \h </w:instrText>
        </w:r>
        <w:r w:rsidR="00936D53" w:rsidRPr="00936D53">
          <w:rPr>
            <w:noProof/>
            <w:webHidden/>
          </w:rPr>
        </w:r>
        <w:r w:rsidR="00936D53" w:rsidRPr="00936D53">
          <w:rPr>
            <w:noProof/>
            <w:webHidden/>
          </w:rPr>
          <w:fldChar w:fldCharType="separate"/>
        </w:r>
        <w:r w:rsidR="00936D53" w:rsidRPr="00936D53">
          <w:rPr>
            <w:noProof/>
            <w:webHidden/>
          </w:rPr>
          <w:t>19</w:t>
        </w:r>
        <w:r w:rsidR="00936D53" w:rsidRPr="00936D53">
          <w:rPr>
            <w:noProof/>
            <w:webHidden/>
          </w:rPr>
          <w:fldChar w:fldCharType="end"/>
        </w:r>
      </w:hyperlink>
    </w:p>
    <w:p w14:paraId="256D7473" w14:textId="19CC1BDF"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25" w:history="1">
        <w:r w:rsidR="00936D53" w:rsidRPr="00936D53">
          <w:rPr>
            <w:rStyle w:val="Hyperlink"/>
            <w:noProof/>
          </w:rPr>
          <w:t>Table 22: TACO clinical outcome severity by imputability,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_Toc64836425 \h </w:instrText>
        </w:r>
        <w:r w:rsidR="00936D53" w:rsidRPr="00936D53">
          <w:rPr>
            <w:noProof/>
            <w:webHidden/>
          </w:rPr>
        </w:r>
        <w:r w:rsidR="00936D53" w:rsidRPr="00936D53">
          <w:rPr>
            <w:noProof/>
            <w:webHidden/>
          </w:rPr>
          <w:fldChar w:fldCharType="separate"/>
        </w:r>
        <w:r w:rsidR="00936D53" w:rsidRPr="00936D53">
          <w:rPr>
            <w:noProof/>
            <w:webHidden/>
          </w:rPr>
          <w:t>19</w:t>
        </w:r>
        <w:r w:rsidR="00936D53" w:rsidRPr="00936D53">
          <w:rPr>
            <w:noProof/>
            <w:webHidden/>
          </w:rPr>
          <w:fldChar w:fldCharType="end"/>
        </w:r>
      </w:hyperlink>
    </w:p>
    <w:p w14:paraId="73192B14" w14:textId="6EFD8CF3"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26" w:history="1">
        <w:r w:rsidR="00936D53" w:rsidRPr="00936D53">
          <w:rPr>
            <w:rStyle w:val="Hyperlink"/>
            <w:noProof/>
          </w:rPr>
          <w:t>Table 23:  IBCT data summary,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_Toc64836426 \h </w:instrText>
        </w:r>
        <w:r w:rsidR="00936D53" w:rsidRPr="00936D53">
          <w:rPr>
            <w:noProof/>
            <w:webHidden/>
          </w:rPr>
        </w:r>
        <w:r w:rsidR="00936D53" w:rsidRPr="00936D53">
          <w:rPr>
            <w:noProof/>
            <w:webHidden/>
          </w:rPr>
          <w:fldChar w:fldCharType="separate"/>
        </w:r>
        <w:r w:rsidR="00936D53" w:rsidRPr="00936D53">
          <w:rPr>
            <w:noProof/>
            <w:webHidden/>
          </w:rPr>
          <w:t>20</w:t>
        </w:r>
        <w:r w:rsidR="00936D53" w:rsidRPr="00936D53">
          <w:rPr>
            <w:noProof/>
            <w:webHidden/>
          </w:rPr>
          <w:fldChar w:fldCharType="end"/>
        </w:r>
      </w:hyperlink>
    </w:p>
    <w:p w14:paraId="27968D29" w14:textId="635770BB"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27" w:history="1">
        <w:r w:rsidR="00936D53" w:rsidRPr="00936D53">
          <w:rPr>
            <w:rStyle w:val="Hyperlink"/>
            <w:noProof/>
          </w:rPr>
          <w:t>Table 24: IBCT clinical outcome severity by imputability,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_Toc64836427 \h </w:instrText>
        </w:r>
        <w:r w:rsidR="00936D53" w:rsidRPr="00936D53">
          <w:rPr>
            <w:noProof/>
            <w:webHidden/>
          </w:rPr>
        </w:r>
        <w:r w:rsidR="00936D53" w:rsidRPr="00936D53">
          <w:rPr>
            <w:noProof/>
            <w:webHidden/>
          </w:rPr>
          <w:fldChar w:fldCharType="separate"/>
        </w:r>
        <w:r w:rsidR="00936D53" w:rsidRPr="00936D53">
          <w:rPr>
            <w:noProof/>
            <w:webHidden/>
          </w:rPr>
          <w:t>20</w:t>
        </w:r>
        <w:r w:rsidR="00936D53" w:rsidRPr="00936D53">
          <w:rPr>
            <w:noProof/>
            <w:webHidden/>
          </w:rPr>
          <w:fldChar w:fldCharType="end"/>
        </w:r>
      </w:hyperlink>
    </w:p>
    <w:p w14:paraId="55B23124" w14:textId="5CAFB84D"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28" w:history="1">
        <w:r w:rsidR="00936D53" w:rsidRPr="00936D53">
          <w:rPr>
            <w:rStyle w:val="Hyperlink"/>
            <w:noProof/>
          </w:rPr>
          <w:t>Table 25: Contributory factors cited in IBCT, 2014–15 to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_Toc64836428 \h </w:instrText>
        </w:r>
        <w:r w:rsidR="00936D53" w:rsidRPr="00936D53">
          <w:rPr>
            <w:noProof/>
            <w:webHidden/>
          </w:rPr>
        </w:r>
        <w:r w:rsidR="00936D53" w:rsidRPr="00936D53">
          <w:rPr>
            <w:noProof/>
            <w:webHidden/>
          </w:rPr>
          <w:fldChar w:fldCharType="separate"/>
        </w:r>
        <w:r w:rsidR="00936D53" w:rsidRPr="00936D53">
          <w:rPr>
            <w:noProof/>
            <w:webHidden/>
          </w:rPr>
          <w:t>21</w:t>
        </w:r>
        <w:r w:rsidR="00936D53" w:rsidRPr="00936D53">
          <w:rPr>
            <w:noProof/>
            <w:webHidden/>
          </w:rPr>
          <w:fldChar w:fldCharType="end"/>
        </w:r>
      </w:hyperlink>
    </w:p>
    <w:p w14:paraId="3014045A" w14:textId="7E1B3609"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29" w:history="1">
        <w:r w:rsidR="00936D53" w:rsidRPr="00936D53">
          <w:rPr>
            <w:rStyle w:val="Hyperlink"/>
            <w:noProof/>
          </w:rPr>
          <w:t>Table 26: Anaphylactic or anaphylactoid reaction data summary,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_Toc64836429 \h </w:instrText>
        </w:r>
        <w:r w:rsidR="00936D53" w:rsidRPr="00936D53">
          <w:rPr>
            <w:noProof/>
            <w:webHidden/>
          </w:rPr>
        </w:r>
        <w:r w:rsidR="00936D53" w:rsidRPr="00936D53">
          <w:rPr>
            <w:noProof/>
            <w:webHidden/>
          </w:rPr>
          <w:fldChar w:fldCharType="separate"/>
        </w:r>
        <w:r w:rsidR="00936D53" w:rsidRPr="00936D53">
          <w:rPr>
            <w:noProof/>
            <w:webHidden/>
          </w:rPr>
          <w:t>22</w:t>
        </w:r>
        <w:r w:rsidR="00936D53" w:rsidRPr="00936D53">
          <w:rPr>
            <w:noProof/>
            <w:webHidden/>
          </w:rPr>
          <w:fldChar w:fldCharType="end"/>
        </w:r>
      </w:hyperlink>
    </w:p>
    <w:p w14:paraId="0AF7B51C" w14:textId="5320E294"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30" w:history="1">
        <w:r w:rsidR="00936D53" w:rsidRPr="00936D53">
          <w:rPr>
            <w:rStyle w:val="Hyperlink"/>
            <w:noProof/>
          </w:rPr>
          <w:t>Table 27: Anaphylactic or anaphylactoid reaction clinical outcome severity by imputability,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_Toc64836430 \h </w:instrText>
        </w:r>
        <w:r w:rsidR="00936D53" w:rsidRPr="00936D53">
          <w:rPr>
            <w:noProof/>
            <w:webHidden/>
          </w:rPr>
        </w:r>
        <w:r w:rsidR="00936D53" w:rsidRPr="00936D53">
          <w:rPr>
            <w:noProof/>
            <w:webHidden/>
          </w:rPr>
          <w:fldChar w:fldCharType="separate"/>
        </w:r>
        <w:r w:rsidR="00936D53" w:rsidRPr="00936D53">
          <w:rPr>
            <w:noProof/>
            <w:webHidden/>
          </w:rPr>
          <w:t>22</w:t>
        </w:r>
        <w:r w:rsidR="00936D53" w:rsidRPr="00936D53">
          <w:rPr>
            <w:noProof/>
            <w:webHidden/>
          </w:rPr>
          <w:fldChar w:fldCharType="end"/>
        </w:r>
      </w:hyperlink>
    </w:p>
    <w:p w14:paraId="5BEBA06D" w14:textId="271F5850"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31" w:history="1">
        <w:r w:rsidR="00936D53" w:rsidRPr="00936D53">
          <w:rPr>
            <w:rStyle w:val="Hyperlink"/>
            <w:noProof/>
          </w:rPr>
          <w:t>Table 28: DHTR data summary,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_Toc64836431 \h </w:instrText>
        </w:r>
        <w:r w:rsidR="00936D53" w:rsidRPr="00936D53">
          <w:rPr>
            <w:noProof/>
            <w:webHidden/>
          </w:rPr>
        </w:r>
        <w:r w:rsidR="00936D53" w:rsidRPr="00936D53">
          <w:rPr>
            <w:noProof/>
            <w:webHidden/>
          </w:rPr>
          <w:fldChar w:fldCharType="separate"/>
        </w:r>
        <w:r w:rsidR="00936D53" w:rsidRPr="00936D53">
          <w:rPr>
            <w:noProof/>
            <w:webHidden/>
          </w:rPr>
          <w:t>23</w:t>
        </w:r>
        <w:r w:rsidR="00936D53" w:rsidRPr="00936D53">
          <w:rPr>
            <w:noProof/>
            <w:webHidden/>
          </w:rPr>
          <w:fldChar w:fldCharType="end"/>
        </w:r>
      </w:hyperlink>
    </w:p>
    <w:p w14:paraId="79766AB5" w14:textId="5FED4C71"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32" w:history="1">
        <w:r w:rsidR="00936D53" w:rsidRPr="00936D53">
          <w:rPr>
            <w:rStyle w:val="Hyperlink"/>
            <w:noProof/>
          </w:rPr>
          <w:t>Table 29: DHTR clinical outcome severity by imputability,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_Toc64836432 \h </w:instrText>
        </w:r>
        <w:r w:rsidR="00936D53" w:rsidRPr="00936D53">
          <w:rPr>
            <w:noProof/>
            <w:webHidden/>
          </w:rPr>
        </w:r>
        <w:r w:rsidR="00936D53" w:rsidRPr="00936D53">
          <w:rPr>
            <w:noProof/>
            <w:webHidden/>
          </w:rPr>
          <w:fldChar w:fldCharType="separate"/>
        </w:r>
        <w:r w:rsidR="00936D53" w:rsidRPr="00936D53">
          <w:rPr>
            <w:noProof/>
            <w:webHidden/>
          </w:rPr>
          <w:t>23</w:t>
        </w:r>
        <w:r w:rsidR="00936D53" w:rsidRPr="00936D53">
          <w:rPr>
            <w:noProof/>
            <w:webHidden/>
          </w:rPr>
          <w:fldChar w:fldCharType="end"/>
        </w:r>
      </w:hyperlink>
    </w:p>
    <w:p w14:paraId="4EE89E49" w14:textId="1481720E"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33" w:history="1">
        <w:r w:rsidR="00936D53" w:rsidRPr="00936D53">
          <w:rPr>
            <w:rStyle w:val="Hyperlink"/>
            <w:noProof/>
          </w:rPr>
          <w:t>Table 30: AHTR data summary,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_Toc64836433 \h </w:instrText>
        </w:r>
        <w:r w:rsidR="00936D53" w:rsidRPr="00936D53">
          <w:rPr>
            <w:noProof/>
            <w:webHidden/>
          </w:rPr>
        </w:r>
        <w:r w:rsidR="00936D53" w:rsidRPr="00936D53">
          <w:rPr>
            <w:noProof/>
            <w:webHidden/>
          </w:rPr>
          <w:fldChar w:fldCharType="separate"/>
        </w:r>
        <w:r w:rsidR="00936D53" w:rsidRPr="00936D53">
          <w:rPr>
            <w:noProof/>
            <w:webHidden/>
          </w:rPr>
          <w:t>24</w:t>
        </w:r>
        <w:r w:rsidR="00936D53" w:rsidRPr="00936D53">
          <w:rPr>
            <w:noProof/>
            <w:webHidden/>
          </w:rPr>
          <w:fldChar w:fldCharType="end"/>
        </w:r>
      </w:hyperlink>
    </w:p>
    <w:p w14:paraId="4D0D2C29" w14:textId="300937B2"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34" w:history="1">
        <w:r w:rsidR="00936D53" w:rsidRPr="00936D53">
          <w:rPr>
            <w:rStyle w:val="Hyperlink"/>
            <w:noProof/>
          </w:rPr>
          <w:t>Table 31: AHTR clinical outcome severity by imputability,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_Toc64836434 \h </w:instrText>
        </w:r>
        <w:r w:rsidR="00936D53" w:rsidRPr="00936D53">
          <w:rPr>
            <w:noProof/>
            <w:webHidden/>
          </w:rPr>
        </w:r>
        <w:r w:rsidR="00936D53" w:rsidRPr="00936D53">
          <w:rPr>
            <w:noProof/>
            <w:webHidden/>
          </w:rPr>
          <w:fldChar w:fldCharType="separate"/>
        </w:r>
        <w:r w:rsidR="00936D53" w:rsidRPr="00936D53">
          <w:rPr>
            <w:noProof/>
            <w:webHidden/>
          </w:rPr>
          <w:t>24</w:t>
        </w:r>
        <w:r w:rsidR="00936D53" w:rsidRPr="00936D53">
          <w:rPr>
            <w:noProof/>
            <w:webHidden/>
          </w:rPr>
          <w:fldChar w:fldCharType="end"/>
        </w:r>
      </w:hyperlink>
    </w:p>
    <w:p w14:paraId="0D641257" w14:textId="39A7A1E9"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35" w:history="1">
        <w:r w:rsidR="00936D53" w:rsidRPr="00936D53">
          <w:rPr>
            <w:rStyle w:val="Hyperlink"/>
            <w:noProof/>
          </w:rPr>
          <w:t>Table 32: TTI data summary,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_Toc64836435 \h </w:instrText>
        </w:r>
        <w:r w:rsidR="00936D53" w:rsidRPr="00936D53">
          <w:rPr>
            <w:noProof/>
            <w:webHidden/>
          </w:rPr>
        </w:r>
        <w:r w:rsidR="00936D53" w:rsidRPr="00936D53">
          <w:rPr>
            <w:noProof/>
            <w:webHidden/>
          </w:rPr>
          <w:fldChar w:fldCharType="separate"/>
        </w:r>
        <w:r w:rsidR="00936D53" w:rsidRPr="00936D53">
          <w:rPr>
            <w:noProof/>
            <w:webHidden/>
          </w:rPr>
          <w:t>25</w:t>
        </w:r>
        <w:r w:rsidR="00936D53" w:rsidRPr="00936D53">
          <w:rPr>
            <w:noProof/>
            <w:webHidden/>
          </w:rPr>
          <w:fldChar w:fldCharType="end"/>
        </w:r>
      </w:hyperlink>
    </w:p>
    <w:p w14:paraId="5320473B" w14:textId="33163289"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36" w:history="1">
        <w:r w:rsidR="00936D53" w:rsidRPr="00936D53">
          <w:rPr>
            <w:rStyle w:val="Hyperlink"/>
            <w:noProof/>
          </w:rPr>
          <w:t>Table 33:  TTI clinical outcome severity by imputability,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_Toc64836436 \h </w:instrText>
        </w:r>
        <w:r w:rsidR="00936D53" w:rsidRPr="00936D53">
          <w:rPr>
            <w:noProof/>
            <w:webHidden/>
          </w:rPr>
        </w:r>
        <w:r w:rsidR="00936D53" w:rsidRPr="00936D53">
          <w:rPr>
            <w:noProof/>
            <w:webHidden/>
          </w:rPr>
          <w:fldChar w:fldCharType="separate"/>
        </w:r>
        <w:r w:rsidR="00936D53" w:rsidRPr="00936D53">
          <w:rPr>
            <w:noProof/>
            <w:webHidden/>
          </w:rPr>
          <w:t>25</w:t>
        </w:r>
        <w:r w:rsidR="00936D53" w:rsidRPr="00936D53">
          <w:rPr>
            <w:noProof/>
            <w:webHidden/>
          </w:rPr>
          <w:fldChar w:fldCharType="end"/>
        </w:r>
      </w:hyperlink>
    </w:p>
    <w:p w14:paraId="1859820B" w14:textId="215DECC2"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37" w:history="1">
        <w:r w:rsidR="00936D53" w:rsidRPr="00936D53">
          <w:rPr>
            <w:rStyle w:val="Hyperlink"/>
            <w:noProof/>
          </w:rPr>
          <w:t>Table 34: TRALI data summary,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_Toc64836437 \h </w:instrText>
        </w:r>
        <w:r w:rsidR="00936D53" w:rsidRPr="00936D53">
          <w:rPr>
            <w:noProof/>
            <w:webHidden/>
          </w:rPr>
        </w:r>
        <w:r w:rsidR="00936D53" w:rsidRPr="00936D53">
          <w:rPr>
            <w:noProof/>
            <w:webHidden/>
          </w:rPr>
          <w:fldChar w:fldCharType="separate"/>
        </w:r>
        <w:r w:rsidR="00936D53" w:rsidRPr="00936D53">
          <w:rPr>
            <w:noProof/>
            <w:webHidden/>
          </w:rPr>
          <w:t>26</w:t>
        </w:r>
        <w:r w:rsidR="00936D53" w:rsidRPr="00936D53">
          <w:rPr>
            <w:noProof/>
            <w:webHidden/>
          </w:rPr>
          <w:fldChar w:fldCharType="end"/>
        </w:r>
      </w:hyperlink>
    </w:p>
    <w:p w14:paraId="3CDEB125" w14:textId="64C69F9B"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38" w:history="1">
        <w:r w:rsidR="00936D53" w:rsidRPr="00936D53">
          <w:rPr>
            <w:rStyle w:val="Hyperlink"/>
            <w:noProof/>
          </w:rPr>
          <w:t>Table 35: TRALI clinical outcome severity by imputability,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_Toc64836438 \h </w:instrText>
        </w:r>
        <w:r w:rsidR="00936D53" w:rsidRPr="00936D53">
          <w:rPr>
            <w:noProof/>
            <w:webHidden/>
          </w:rPr>
        </w:r>
        <w:r w:rsidR="00936D53" w:rsidRPr="00936D53">
          <w:rPr>
            <w:noProof/>
            <w:webHidden/>
          </w:rPr>
          <w:fldChar w:fldCharType="separate"/>
        </w:r>
        <w:r w:rsidR="00936D53" w:rsidRPr="00936D53">
          <w:rPr>
            <w:noProof/>
            <w:webHidden/>
          </w:rPr>
          <w:t>26</w:t>
        </w:r>
        <w:r w:rsidR="00936D53" w:rsidRPr="00936D53">
          <w:rPr>
            <w:noProof/>
            <w:webHidden/>
          </w:rPr>
          <w:fldChar w:fldCharType="end"/>
        </w:r>
      </w:hyperlink>
    </w:p>
    <w:p w14:paraId="463EA76A" w14:textId="7F681792"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39" w:history="1">
        <w:r w:rsidR="00936D53" w:rsidRPr="00936D53">
          <w:rPr>
            <w:rStyle w:val="Hyperlink"/>
            <w:noProof/>
          </w:rPr>
          <w:t>Table 36: PTP data summary,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_Toc64836439 \h </w:instrText>
        </w:r>
        <w:r w:rsidR="00936D53" w:rsidRPr="00936D53">
          <w:rPr>
            <w:noProof/>
            <w:webHidden/>
          </w:rPr>
        </w:r>
        <w:r w:rsidR="00936D53" w:rsidRPr="00936D53">
          <w:rPr>
            <w:noProof/>
            <w:webHidden/>
          </w:rPr>
          <w:fldChar w:fldCharType="separate"/>
        </w:r>
        <w:r w:rsidR="00936D53" w:rsidRPr="00936D53">
          <w:rPr>
            <w:noProof/>
            <w:webHidden/>
          </w:rPr>
          <w:t>27</w:t>
        </w:r>
        <w:r w:rsidR="00936D53" w:rsidRPr="00936D53">
          <w:rPr>
            <w:noProof/>
            <w:webHidden/>
          </w:rPr>
          <w:fldChar w:fldCharType="end"/>
        </w:r>
      </w:hyperlink>
    </w:p>
    <w:p w14:paraId="6CA97894" w14:textId="1A82F0C5"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40" w:history="1">
        <w:r w:rsidR="00936D53" w:rsidRPr="00936D53">
          <w:rPr>
            <w:rStyle w:val="Hyperlink"/>
            <w:noProof/>
          </w:rPr>
          <w:t>Table 37: PTP clinical outcome severity by imputability,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_Toc64836440 \h </w:instrText>
        </w:r>
        <w:r w:rsidR="00936D53" w:rsidRPr="00936D53">
          <w:rPr>
            <w:noProof/>
            <w:webHidden/>
          </w:rPr>
        </w:r>
        <w:r w:rsidR="00936D53" w:rsidRPr="00936D53">
          <w:rPr>
            <w:noProof/>
            <w:webHidden/>
          </w:rPr>
          <w:fldChar w:fldCharType="separate"/>
        </w:r>
        <w:r w:rsidR="00936D53" w:rsidRPr="00936D53">
          <w:rPr>
            <w:noProof/>
            <w:webHidden/>
          </w:rPr>
          <w:t>27</w:t>
        </w:r>
        <w:r w:rsidR="00936D53" w:rsidRPr="00936D53">
          <w:rPr>
            <w:noProof/>
            <w:webHidden/>
          </w:rPr>
          <w:fldChar w:fldCharType="end"/>
        </w:r>
      </w:hyperlink>
    </w:p>
    <w:p w14:paraId="3C83B542" w14:textId="29976E77"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41" w:history="1">
        <w:r w:rsidR="00936D53" w:rsidRPr="00936D53">
          <w:rPr>
            <w:rStyle w:val="Hyperlink"/>
            <w:noProof/>
          </w:rPr>
          <w:t>Table 38: DSTR data summary,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_Toc64836441 \h </w:instrText>
        </w:r>
        <w:r w:rsidR="00936D53" w:rsidRPr="00936D53">
          <w:rPr>
            <w:noProof/>
            <w:webHidden/>
          </w:rPr>
        </w:r>
        <w:r w:rsidR="00936D53" w:rsidRPr="00936D53">
          <w:rPr>
            <w:noProof/>
            <w:webHidden/>
          </w:rPr>
          <w:fldChar w:fldCharType="separate"/>
        </w:r>
        <w:r w:rsidR="00936D53" w:rsidRPr="00936D53">
          <w:rPr>
            <w:noProof/>
            <w:webHidden/>
          </w:rPr>
          <w:t>28</w:t>
        </w:r>
        <w:r w:rsidR="00936D53" w:rsidRPr="00936D53">
          <w:rPr>
            <w:noProof/>
            <w:webHidden/>
          </w:rPr>
          <w:fldChar w:fldCharType="end"/>
        </w:r>
      </w:hyperlink>
    </w:p>
    <w:p w14:paraId="23CD899B" w14:textId="7A5ED107"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42" w:history="1">
        <w:r w:rsidR="00936D53" w:rsidRPr="00936D53">
          <w:rPr>
            <w:rStyle w:val="Hyperlink"/>
            <w:noProof/>
          </w:rPr>
          <w:t>Table 39: DSTR clinical outcome severity by imputability,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_Toc64836442 \h </w:instrText>
        </w:r>
        <w:r w:rsidR="00936D53" w:rsidRPr="00936D53">
          <w:rPr>
            <w:noProof/>
            <w:webHidden/>
          </w:rPr>
        </w:r>
        <w:r w:rsidR="00936D53" w:rsidRPr="00936D53">
          <w:rPr>
            <w:noProof/>
            <w:webHidden/>
          </w:rPr>
          <w:fldChar w:fldCharType="separate"/>
        </w:r>
        <w:r w:rsidR="00936D53" w:rsidRPr="00936D53">
          <w:rPr>
            <w:noProof/>
            <w:webHidden/>
          </w:rPr>
          <w:t>28</w:t>
        </w:r>
        <w:r w:rsidR="00936D53" w:rsidRPr="00936D53">
          <w:rPr>
            <w:noProof/>
            <w:webHidden/>
          </w:rPr>
          <w:fldChar w:fldCharType="end"/>
        </w:r>
      </w:hyperlink>
    </w:p>
    <w:p w14:paraId="1F24D6FA" w14:textId="3EC8E5A0"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43" w:history="1">
        <w:r w:rsidR="00936D53" w:rsidRPr="00936D53">
          <w:rPr>
            <w:rStyle w:val="Hyperlink"/>
            <w:noProof/>
          </w:rPr>
          <w:t>Table 40: Hypotensive data summary,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_Toc64836443 \h </w:instrText>
        </w:r>
        <w:r w:rsidR="00936D53" w:rsidRPr="00936D53">
          <w:rPr>
            <w:noProof/>
            <w:webHidden/>
          </w:rPr>
        </w:r>
        <w:r w:rsidR="00936D53" w:rsidRPr="00936D53">
          <w:rPr>
            <w:noProof/>
            <w:webHidden/>
          </w:rPr>
          <w:fldChar w:fldCharType="separate"/>
        </w:r>
        <w:r w:rsidR="00936D53" w:rsidRPr="00936D53">
          <w:rPr>
            <w:noProof/>
            <w:webHidden/>
          </w:rPr>
          <w:t>29</w:t>
        </w:r>
        <w:r w:rsidR="00936D53" w:rsidRPr="00936D53">
          <w:rPr>
            <w:noProof/>
            <w:webHidden/>
          </w:rPr>
          <w:fldChar w:fldCharType="end"/>
        </w:r>
      </w:hyperlink>
    </w:p>
    <w:p w14:paraId="6357FC3A" w14:textId="0EE4F9EE"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44" w:history="1">
        <w:r w:rsidR="00936D53" w:rsidRPr="00936D53">
          <w:rPr>
            <w:rStyle w:val="Hyperlink"/>
            <w:noProof/>
          </w:rPr>
          <w:t>Table 41: Hypotensive clinical outcome severity by imputability,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_Toc64836444 \h </w:instrText>
        </w:r>
        <w:r w:rsidR="00936D53" w:rsidRPr="00936D53">
          <w:rPr>
            <w:noProof/>
            <w:webHidden/>
          </w:rPr>
        </w:r>
        <w:r w:rsidR="00936D53" w:rsidRPr="00936D53">
          <w:rPr>
            <w:noProof/>
            <w:webHidden/>
          </w:rPr>
          <w:fldChar w:fldCharType="separate"/>
        </w:r>
        <w:r w:rsidR="00936D53" w:rsidRPr="00936D53">
          <w:rPr>
            <w:noProof/>
            <w:webHidden/>
          </w:rPr>
          <w:t>29</w:t>
        </w:r>
        <w:r w:rsidR="00936D53" w:rsidRPr="00936D53">
          <w:rPr>
            <w:noProof/>
            <w:webHidden/>
          </w:rPr>
          <w:fldChar w:fldCharType="end"/>
        </w:r>
      </w:hyperlink>
    </w:p>
    <w:p w14:paraId="41741AE1" w14:textId="59E2F7E7"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45" w:history="1">
        <w:r w:rsidR="00936D53" w:rsidRPr="00936D53">
          <w:rPr>
            <w:rStyle w:val="Hyperlink"/>
            <w:noProof/>
          </w:rPr>
          <w:t>Table 42: ABO data summary,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_Toc64836445 \h </w:instrText>
        </w:r>
        <w:r w:rsidR="00936D53" w:rsidRPr="00936D53">
          <w:rPr>
            <w:noProof/>
            <w:webHidden/>
          </w:rPr>
        </w:r>
        <w:r w:rsidR="00936D53" w:rsidRPr="00936D53">
          <w:rPr>
            <w:noProof/>
            <w:webHidden/>
          </w:rPr>
          <w:fldChar w:fldCharType="separate"/>
        </w:r>
        <w:r w:rsidR="00936D53" w:rsidRPr="00936D53">
          <w:rPr>
            <w:noProof/>
            <w:webHidden/>
          </w:rPr>
          <w:t>30</w:t>
        </w:r>
        <w:r w:rsidR="00936D53" w:rsidRPr="00936D53">
          <w:rPr>
            <w:noProof/>
            <w:webHidden/>
          </w:rPr>
          <w:fldChar w:fldCharType="end"/>
        </w:r>
      </w:hyperlink>
    </w:p>
    <w:p w14:paraId="1E381377" w14:textId="7B5AFEBB"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46" w:history="1">
        <w:r w:rsidR="00936D53" w:rsidRPr="00936D53">
          <w:rPr>
            <w:rStyle w:val="Hyperlink"/>
            <w:noProof/>
          </w:rPr>
          <w:t>Table 43: ABO clinical outcome severity by imputability,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_Toc64836446 \h </w:instrText>
        </w:r>
        <w:r w:rsidR="00936D53" w:rsidRPr="00936D53">
          <w:rPr>
            <w:noProof/>
            <w:webHidden/>
          </w:rPr>
        </w:r>
        <w:r w:rsidR="00936D53" w:rsidRPr="00936D53">
          <w:rPr>
            <w:noProof/>
            <w:webHidden/>
          </w:rPr>
          <w:fldChar w:fldCharType="separate"/>
        </w:r>
        <w:r w:rsidR="00936D53" w:rsidRPr="00936D53">
          <w:rPr>
            <w:noProof/>
            <w:webHidden/>
          </w:rPr>
          <w:t>30</w:t>
        </w:r>
        <w:r w:rsidR="00936D53" w:rsidRPr="00936D53">
          <w:rPr>
            <w:noProof/>
            <w:webHidden/>
          </w:rPr>
          <w:fldChar w:fldCharType="end"/>
        </w:r>
      </w:hyperlink>
    </w:p>
    <w:p w14:paraId="684F7B05" w14:textId="6E514B18"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47" w:history="1">
        <w:r w:rsidR="00936D53" w:rsidRPr="00936D53">
          <w:rPr>
            <w:rStyle w:val="Hyperlink"/>
            <w:noProof/>
          </w:rPr>
          <w:t>Table 44: ABO data summary,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_Toc64836447 \h </w:instrText>
        </w:r>
        <w:r w:rsidR="00936D53" w:rsidRPr="00936D53">
          <w:rPr>
            <w:noProof/>
            <w:webHidden/>
          </w:rPr>
        </w:r>
        <w:r w:rsidR="00936D53" w:rsidRPr="00936D53">
          <w:rPr>
            <w:noProof/>
            <w:webHidden/>
          </w:rPr>
          <w:fldChar w:fldCharType="separate"/>
        </w:r>
        <w:r w:rsidR="00936D53" w:rsidRPr="00936D53">
          <w:rPr>
            <w:noProof/>
            <w:webHidden/>
          </w:rPr>
          <w:t>31</w:t>
        </w:r>
        <w:r w:rsidR="00936D53" w:rsidRPr="00936D53">
          <w:rPr>
            <w:noProof/>
            <w:webHidden/>
          </w:rPr>
          <w:fldChar w:fldCharType="end"/>
        </w:r>
      </w:hyperlink>
    </w:p>
    <w:p w14:paraId="4C2F50E6" w14:textId="76F90573"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48" w:history="1">
        <w:r w:rsidR="00936D53" w:rsidRPr="00936D53">
          <w:rPr>
            <w:rStyle w:val="Hyperlink"/>
            <w:noProof/>
          </w:rPr>
          <w:t>Table 45: TAD clinical outcome severity by imputability,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_Toc64836448 \h </w:instrText>
        </w:r>
        <w:r w:rsidR="00936D53" w:rsidRPr="00936D53">
          <w:rPr>
            <w:noProof/>
            <w:webHidden/>
          </w:rPr>
        </w:r>
        <w:r w:rsidR="00936D53" w:rsidRPr="00936D53">
          <w:rPr>
            <w:noProof/>
            <w:webHidden/>
          </w:rPr>
          <w:fldChar w:fldCharType="separate"/>
        </w:r>
        <w:r w:rsidR="00936D53" w:rsidRPr="00936D53">
          <w:rPr>
            <w:noProof/>
            <w:webHidden/>
          </w:rPr>
          <w:t>31</w:t>
        </w:r>
        <w:r w:rsidR="00936D53" w:rsidRPr="00936D53">
          <w:rPr>
            <w:noProof/>
            <w:webHidden/>
          </w:rPr>
          <w:fldChar w:fldCharType="end"/>
        </w:r>
      </w:hyperlink>
    </w:p>
    <w:p w14:paraId="4E3F587A" w14:textId="4A9A6A8A"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49" w:history="1">
        <w:r w:rsidR="00936D53" w:rsidRPr="00936D53">
          <w:rPr>
            <w:rStyle w:val="Hyperlink"/>
            <w:noProof/>
          </w:rPr>
          <w:t>Table 46: Other data summary,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_Toc64836449 \h </w:instrText>
        </w:r>
        <w:r w:rsidR="00936D53" w:rsidRPr="00936D53">
          <w:rPr>
            <w:noProof/>
            <w:webHidden/>
          </w:rPr>
        </w:r>
        <w:r w:rsidR="00936D53" w:rsidRPr="00936D53">
          <w:rPr>
            <w:noProof/>
            <w:webHidden/>
          </w:rPr>
          <w:fldChar w:fldCharType="separate"/>
        </w:r>
        <w:r w:rsidR="00936D53" w:rsidRPr="00936D53">
          <w:rPr>
            <w:noProof/>
            <w:webHidden/>
          </w:rPr>
          <w:t>32</w:t>
        </w:r>
        <w:r w:rsidR="00936D53" w:rsidRPr="00936D53">
          <w:rPr>
            <w:noProof/>
            <w:webHidden/>
          </w:rPr>
          <w:fldChar w:fldCharType="end"/>
        </w:r>
      </w:hyperlink>
    </w:p>
    <w:p w14:paraId="6F3220C0" w14:textId="0B1323DC"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50" w:history="1">
        <w:r w:rsidR="00936D53" w:rsidRPr="00936D53">
          <w:rPr>
            <w:rStyle w:val="Hyperlink"/>
            <w:noProof/>
          </w:rPr>
          <w:t>Table 47: Other clinical outcome severity by imputability,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_Toc64836450 \h </w:instrText>
        </w:r>
        <w:r w:rsidR="00936D53" w:rsidRPr="00936D53">
          <w:rPr>
            <w:noProof/>
            <w:webHidden/>
          </w:rPr>
        </w:r>
        <w:r w:rsidR="00936D53" w:rsidRPr="00936D53">
          <w:rPr>
            <w:noProof/>
            <w:webHidden/>
          </w:rPr>
          <w:fldChar w:fldCharType="separate"/>
        </w:r>
        <w:r w:rsidR="00936D53" w:rsidRPr="00936D53">
          <w:rPr>
            <w:noProof/>
            <w:webHidden/>
          </w:rPr>
          <w:t>32</w:t>
        </w:r>
        <w:r w:rsidR="00936D53" w:rsidRPr="00936D53">
          <w:rPr>
            <w:noProof/>
            <w:webHidden/>
          </w:rPr>
          <w:fldChar w:fldCharType="end"/>
        </w:r>
      </w:hyperlink>
    </w:p>
    <w:p w14:paraId="711F5D2F" w14:textId="2800A3DB"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51" w:history="1">
        <w:r w:rsidR="00936D53" w:rsidRPr="00936D53">
          <w:rPr>
            <w:rStyle w:val="Hyperlink"/>
            <w:noProof/>
          </w:rPr>
          <w:t>Table 48: Contributory factors data summary,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_Toc64836451 \h </w:instrText>
        </w:r>
        <w:r w:rsidR="00936D53" w:rsidRPr="00936D53">
          <w:rPr>
            <w:noProof/>
            <w:webHidden/>
          </w:rPr>
        </w:r>
        <w:r w:rsidR="00936D53" w:rsidRPr="00936D53">
          <w:rPr>
            <w:noProof/>
            <w:webHidden/>
          </w:rPr>
          <w:fldChar w:fldCharType="separate"/>
        </w:r>
        <w:r w:rsidR="00936D53" w:rsidRPr="00936D53">
          <w:rPr>
            <w:noProof/>
            <w:webHidden/>
          </w:rPr>
          <w:t>33</w:t>
        </w:r>
        <w:r w:rsidR="00936D53" w:rsidRPr="00936D53">
          <w:rPr>
            <w:noProof/>
            <w:webHidden/>
          </w:rPr>
          <w:fldChar w:fldCharType="end"/>
        </w:r>
      </w:hyperlink>
    </w:p>
    <w:p w14:paraId="5B46C298" w14:textId="7491E731"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52" w:history="1">
        <w:r w:rsidR="00936D53" w:rsidRPr="00936D53">
          <w:rPr>
            <w:rStyle w:val="Hyperlink"/>
            <w:noProof/>
          </w:rPr>
          <w:t>Table 49: Contributory factors cited by adverse event and by clinical outcome severity,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_Toc64836452 \h </w:instrText>
        </w:r>
        <w:r w:rsidR="00936D53" w:rsidRPr="00936D53">
          <w:rPr>
            <w:noProof/>
            <w:webHidden/>
          </w:rPr>
        </w:r>
        <w:r w:rsidR="00936D53" w:rsidRPr="00936D53">
          <w:rPr>
            <w:noProof/>
            <w:webHidden/>
          </w:rPr>
          <w:fldChar w:fldCharType="separate"/>
        </w:r>
        <w:r w:rsidR="00936D53" w:rsidRPr="00936D53">
          <w:rPr>
            <w:noProof/>
            <w:webHidden/>
          </w:rPr>
          <w:t>33</w:t>
        </w:r>
        <w:r w:rsidR="00936D53" w:rsidRPr="00936D53">
          <w:rPr>
            <w:noProof/>
            <w:webHidden/>
          </w:rPr>
          <w:fldChar w:fldCharType="end"/>
        </w:r>
      </w:hyperlink>
    </w:p>
    <w:p w14:paraId="44A41810" w14:textId="5894E6D4"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53" w:history="1">
        <w:r w:rsidR="00936D53" w:rsidRPr="00936D53">
          <w:rPr>
            <w:rStyle w:val="Hyperlink"/>
            <w:noProof/>
          </w:rPr>
          <w:t>Table 50: Number of donations in the denominator cohort for FY 2015-16 to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_Toc64836453 \h </w:instrText>
        </w:r>
        <w:r w:rsidR="00936D53" w:rsidRPr="00936D53">
          <w:rPr>
            <w:noProof/>
            <w:webHidden/>
          </w:rPr>
        </w:r>
        <w:r w:rsidR="00936D53" w:rsidRPr="00936D53">
          <w:rPr>
            <w:noProof/>
            <w:webHidden/>
          </w:rPr>
          <w:fldChar w:fldCharType="separate"/>
        </w:r>
        <w:r w:rsidR="00936D53" w:rsidRPr="00936D53">
          <w:rPr>
            <w:noProof/>
            <w:webHidden/>
          </w:rPr>
          <w:t>36</w:t>
        </w:r>
        <w:r w:rsidR="00936D53" w:rsidRPr="00936D53">
          <w:rPr>
            <w:noProof/>
            <w:webHidden/>
          </w:rPr>
          <w:fldChar w:fldCharType="end"/>
        </w:r>
      </w:hyperlink>
    </w:p>
    <w:p w14:paraId="663BE54B" w14:textId="6495345B"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54" w:history="1">
        <w:r w:rsidR="00936D53" w:rsidRPr="00936D53">
          <w:rPr>
            <w:rStyle w:val="Hyperlink"/>
            <w:noProof/>
          </w:rPr>
          <w:t>Table 51: Donor demographics by donation category for FY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_Toc64836454 \h </w:instrText>
        </w:r>
        <w:r w:rsidR="00936D53" w:rsidRPr="00936D53">
          <w:rPr>
            <w:noProof/>
            <w:webHidden/>
          </w:rPr>
        </w:r>
        <w:r w:rsidR="00936D53" w:rsidRPr="00936D53">
          <w:rPr>
            <w:noProof/>
            <w:webHidden/>
          </w:rPr>
          <w:fldChar w:fldCharType="separate"/>
        </w:r>
        <w:r w:rsidR="00936D53" w:rsidRPr="00936D53">
          <w:rPr>
            <w:noProof/>
            <w:webHidden/>
          </w:rPr>
          <w:t>36</w:t>
        </w:r>
        <w:r w:rsidR="00936D53" w:rsidRPr="00936D53">
          <w:rPr>
            <w:noProof/>
            <w:webHidden/>
          </w:rPr>
          <w:fldChar w:fldCharType="end"/>
        </w:r>
      </w:hyperlink>
    </w:p>
    <w:p w14:paraId="22D85307" w14:textId="6980E841"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55" w:history="1">
        <w:r w:rsidR="00936D53" w:rsidRPr="00936D53">
          <w:rPr>
            <w:rStyle w:val="Hyperlink"/>
            <w:noProof/>
          </w:rPr>
          <w:t>Table 52: Donor adverse event rates per 10,000 donations by donation type for FY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_Toc64836455 \h </w:instrText>
        </w:r>
        <w:r w:rsidR="00936D53" w:rsidRPr="00936D53">
          <w:rPr>
            <w:noProof/>
            <w:webHidden/>
          </w:rPr>
        </w:r>
        <w:r w:rsidR="00936D53" w:rsidRPr="00936D53">
          <w:rPr>
            <w:noProof/>
            <w:webHidden/>
          </w:rPr>
          <w:fldChar w:fldCharType="separate"/>
        </w:r>
        <w:r w:rsidR="00936D53" w:rsidRPr="00936D53">
          <w:rPr>
            <w:noProof/>
            <w:webHidden/>
          </w:rPr>
          <w:t>38</w:t>
        </w:r>
        <w:r w:rsidR="00936D53" w:rsidRPr="00936D53">
          <w:rPr>
            <w:noProof/>
            <w:webHidden/>
          </w:rPr>
          <w:fldChar w:fldCharType="end"/>
        </w:r>
      </w:hyperlink>
    </w:p>
    <w:p w14:paraId="5FF5F2C8" w14:textId="4F0529F2"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56" w:history="1">
        <w:r w:rsidR="00936D53" w:rsidRPr="00936D53">
          <w:rPr>
            <w:rStyle w:val="Hyperlink"/>
            <w:noProof/>
          </w:rPr>
          <w:t>Table 53: Specific apheresis-related donor adverse event rates per 10,000 donations for FY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_Toc64836456 \h </w:instrText>
        </w:r>
        <w:r w:rsidR="00936D53" w:rsidRPr="00936D53">
          <w:rPr>
            <w:noProof/>
            <w:webHidden/>
          </w:rPr>
        </w:r>
        <w:r w:rsidR="00936D53" w:rsidRPr="00936D53">
          <w:rPr>
            <w:noProof/>
            <w:webHidden/>
          </w:rPr>
          <w:fldChar w:fldCharType="separate"/>
        </w:r>
        <w:r w:rsidR="00936D53" w:rsidRPr="00936D53">
          <w:rPr>
            <w:noProof/>
            <w:webHidden/>
          </w:rPr>
          <w:t>38</w:t>
        </w:r>
        <w:r w:rsidR="00936D53" w:rsidRPr="00936D53">
          <w:rPr>
            <w:noProof/>
            <w:webHidden/>
          </w:rPr>
          <w:fldChar w:fldCharType="end"/>
        </w:r>
      </w:hyperlink>
    </w:p>
    <w:p w14:paraId="796FC82E" w14:textId="2BFA288F"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57" w:history="1">
        <w:r w:rsidR="00936D53" w:rsidRPr="00936D53">
          <w:rPr>
            <w:rStyle w:val="Hyperlink"/>
            <w:noProof/>
          </w:rPr>
          <w:t>Table 54: Total donor adverse event rates per 10,000 donations for FY 2015-16 to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_Toc64836457 \h </w:instrText>
        </w:r>
        <w:r w:rsidR="00936D53" w:rsidRPr="00936D53">
          <w:rPr>
            <w:noProof/>
            <w:webHidden/>
          </w:rPr>
        </w:r>
        <w:r w:rsidR="00936D53" w:rsidRPr="00936D53">
          <w:rPr>
            <w:noProof/>
            <w:webHidden/>
          </w:rPr>
          <w:fldChar w:fldCharType="separate"/>
        </w:r>
        <w:r w:rsidR="00936D53" w:rsidRPr="00936D53">
          <w:rPr>
            <w:noProof/>
            <w:webHidden/>
          </w:rPr>
          <w:t>39</w:t>
        </w:r>
        <w:r w:rsidR="00936D53" w:rsidRPr="00936D53">
          <w:rPr>
            <w:noProof/>
            <w:webHidden/>
          </w:rPr>
          <w:fldChar w:fldCharType="end"/>
        </w:r>
      </w:hyperlink>
    </w:p>
    <w:p w14:paraId="505F91A2" w14:textId="5982D629"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58" w:history="1">
        <w:r w:rsidR="00936D53" w:rsidRPr="00936D53">
          <w:rPr>
            <w:rStyle w:val="Hyperlink"/>
            <w:noProof/>
          </w:rPr>
          <w:t>Table 55: Phlebotomy-related injury rate per 10,000 donations for FY 2015-16 to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_Toc64836458 \h </w:instrText>
        </w:r>
        <w:r w:rsidR="00936D53" w:rsidRPr="00936D53">
          <w:rPr>
            <w:noProof/>
            <w:webHidden/>
          </w:rPr>
        </w:r>
        <w:r w:rsidR="00936D53" w:rsidRPr="00936D53">
          <w:rPr>
            <w:noProof/>
            <w:webHidden/>
          </w:rPr>
          <w:fldChar w:fldCharType="separate"/>
        </w:r>
        <w:r w:rsidR="00936D53" w:rsidRPr="00936D53">
          <w:rPr>
            <w:noProof/>
            <w:webHidden/>
          </w:rPr>
          <w:t>40</w:t>
        </w:r>
        <w:r w:rsidR="00936D53" w:rsidRPr="00936D53">
          <w:rPr>
            <w:noProof/>
            <w:webHidden/>
          </w:rPr>
          <w:fldChar w:fldCharType="end"/>
        </w:r>
      </w:hyperlink>
    </w:p>
    <w:p w14:paraId="7D62D6AE" w14:textId="3ABF6DA3"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59" w:history="1">
        <w:r w:rsidR="00936D53" w:rsidRPr="00936D53">
          <w:rPr>
            <w:rStyle w:val="Hyperlink"/>
            <w:noProof/>
          </w:rPr>
          <w:t>Table 56: Vasovagal events per 10,000 donations* by donation category for FY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_Toc64836459 \h </w:instrText>
        </w:r>
        <w:r w:rsidR="00936D53" w:rsidRPr="00936D53">
          <w:rPr>
            <w:noProof/>
            <w:webHidden/>
          </w:rPr>
        </w:r>
        <w:r w:rsidR="00936D53" w:rsidRPr="00936D53">
          <w:rPr>
            <w:noProof/>
            <w:webHidden/>
          </w:rPr>
          <w:fldChar w:fldCharType="separate"/>
        </w:r>
        <w:r w:rsidR="00936D53" w:rsidRPr="00936D53">
          <w:rPr>
            <w:noProof/>
            <w:webHidden/>
          </w:rPr>
          <w:t>41</w:t>
        </w:r>
        <w:r w:rsidR="00936D53" w:rsidRPr="00936D53">
          <w:rPr>
            <w:noProof/>
            <w:webHidden/>
          </w:rPr>
          <w:fldChar w:fldCharType="end"/>
        </w:r>
      </w:hyperlink>
    </w:p>
    <w:p w14:paraId="53D2C174" w14:textId="35EEE355"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60" w:history="1">
        <w:r w:rsidR="00936D53" w:rsidRPr="00936D53">
          <w:rPr>
            <w:rStyle w:val="Hyperlink"/>
            <w:noProof/>
          </w:rPr>
          <w:t>Table 57: Vasovagal events associated with loss of consciousness per 10,000 donations by donation category for FY 2015-16 to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_Toc64836460 \h </w:instrText>
        </w:r>
        <w:r w:rsidR="00936D53" w:rsidRPr="00936D53">
          <w:rPr>
            <w:noProof/>
            <w:webHidden/>
          </w:rPr>
        </w:r>
        <w:r w:rsidR="00936D53" w:rsidRPr="00936D53">
          <w:rPr>
            <w:noProof/>
            <w:webHidden/>
          </w:rPr>
          <w:fldChar w:fldCharType="separate"/>
        </w:r>
        <w:r w:rsidR="00936D53" w:rsidRPr="00936D53">
          <w:rPr>
            <w:noProof/>
            <w:webHidden/>
          </w:rPr>
          <w:t>42</w:t>
        </w:r>
        <w:r w:rsidR="00936D53" w:rsidRPr="00936D53">
          <w:rPr>
            <w:noProof/>
            <w:webHidden/>
          </w:rPr>
          <w:fldChar w:fldCharType="end"/>
        </w:r>
      </w:hyperlink>
    </w:p>
    <w:p w14:paraId="57545CE0" w14:textId="7752A655"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61" w:history="1">
        <w:r w:rsidR="00936D53" w:rsidRPr="00936D53">
          <w:rPr>
            <w:rStyle w:val="Hyperlink"/>
            <w:noProof/>
          </w:rPr>
          <w:t>Table 58: Vasovagal rates in new and returned female and male whole blood donors for FY 2018-2019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_Toc64836461 \h </w:instrText>
        </w:r>
        <w:r w:rsidR="00936D53" w:rsidRPr="00936D53">
          <w:rPr>
            <w:noProof/>
            <w:webHidden/>
          </w:rPr>
        </w:r>
        <w:r w:rsidR="00936D53" w:rsidRPr="00936D53">
          <w:rPr>
            <w:noProof/>
            <w:webHidden/>
          </w:rPr>
          <w:fldChar w:fldCharType="separate"/>
        </w:r>
        <w:r w:rsidR="00936D53" w:rsidRPr="00936D53">
          <w:rPr>
            <w:noProof/>
            <w:webHidden/>
          </w:rPr>
          <w:t>43</w:t>
        </w:r>
        <w:r w:rsidR="00936D53" w:rsidRPr="00936D53">
          <w:rPr>
            <w:noProof/>
            <w:webHidden/>
          </w:rPr>
          <w:fldChar w:fldCharType="end"/>
        </w:r>
      </w:hyperlink>
    </w:p>
    <w:p w14:paraId="5A7BE021" w14:textId="47C00065"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62" w:history="1">
        <w:r w:rsidR="00936D53" w:rsidRPr="00936D53">
          <w:rPr>
            <w:rStyle w:val="Hyperlink"/>
            <w:noProof/>
          </w:rPr>
          <w:t>Table 59: Vasovagal rates in new and returned female and male plasma donors for FY 2018-2019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_Toc64836462 \h </w:instrText>
        </w:r>
        <w:r w:rsidR="00936D53" w:rsidRPr="00936D53">
          <w:rPr>
            <w:noProof/>
            <w:webHidden/>
          </w:rPr>
        </w:r>
        <w:r w:rsidR="00936D53" w:rsidRPr="00936D53">
          <w:rPr>
            <w:noProof/>
            <w:webHidden/>
          </w:rPr>
          <w:fldChar w:fldCharType="separate"/>
        </w:r>
        <w:r w:rsidR="00936D53" w:rsidRPr="00936D53">
          <w:rPr>
            <w:noProof/>
            <w:webHidden/>
          </w:rPr>
          <w:t>43</w:t>
        </w:r>
        <w:r w:rsidR="00936D53" w:rsidRPr="00936D53">
          <w:rPr>
            <w:noProof/>
            <w:webHidden/>
          </w:rPr>
          <w:fldChar w:fldCharType="end"/>
        </w:r>
      </w:hyperlink>
    </w:p>
    <w:p w14:paraId="5D523B43" w14:textId="36FE194D"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63" w:history="1">
        <w:r w:rsidR="00936D53" w:rsidRPr="00936D53">
          <w:rPr>
            <w:rStyle w:val="Hyperlink"/>
            <w:noProof/>
          </w:rPr>
          <w:t>Table 60: Rates and relative risk for vasovagal events in females for all donation categories by age for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_Toc64836463 \h </w:instrText>
        </w:r>
        <w:r w:rsidR="00936D53" w:rsidRPr="00936D53">
          <w:rPr>
            <w:noProof/>
            <w:webHidden/>
          </w:rPr>
        </w:r>
        <w:r w:rsidR="00936D53" w:rsidRPr="00936D53">
          <w:rPr>
            <w:noProof/>
            <w:webHidden/>
          </w:rPr>
          <w:fldChar w:fldCharType="separate"/>
        </w:r>
        <w:r w:rsidR="00936D53" w:rsidRPr="00936D53">
          <w:rPr>
            <w:noProof/>
            <w:webHidden/>
          </w:rPr>
          <w:t>44</w:t>
        </w:r>
        <w:r w:rsidR="00936D53" w:rsidRPr="00936D53">
          <w:rPr>
            <w:noProof/>
            <w:webHidden/>
          </w:rPr>
          <w:fldChar w:fldCharType="end"/>
        </w:r>
      </w:hyperlink>
    </w:p>
    <w:p w14:paraId="36B85B0C" w14:textId="16A7849F"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64" w:history="1">
        <w:r w:rsidR="00936D53" w:rsidRPr="00936D53">
          <w:rPr>
            <w:rStyle w:val="Hyperlink"/>
            <w:noProof/>
          </w:rPr>
          <w:t>Table 61: Rates and relative risk for vasovagal events in males for all donation categories by age for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_Toc64836464 \h </w:instrText>
        </w:r>
        <w:r w:rsidR="00936D53" w:rsidRPr="00936D53">
          <w:rPr>
            <w:noProof/>
            <w:webHidden/>
          </w:rPr>
        </w:r>
        <w:r w:rsidR="00936D53" w:rsidRPr="00936D53">
          <w:rPr>
            <w:noProof/>
            <w:webHidden/>
          </w:rPr>
          <w:fldChar w:fldCharType="separate"/>
        </w:r>
        <w:r w:rsidR="00936D53" w:rsidRPr="00936D53">
          <w:rPr>
            <w:noProof/>
            <w:webHidden/>
          </w:rPr>
          <w:t>44</w:t>
        </w:r>
        <w:r w:rsidR="00936D53" w:rsidRPr="00936D53">
          <w:rPr>
            <w:noProof/>
            <w:webHidden/>
          </w:rPr>
          <w:fldChar w:fldCharType="end"/>
        </w:r>
      </w:hyperlink>
    </w:p>
    <w:p w14:paraId="5989AFCD" w14:textId="1709B750" w:rsidR="00936D53" w:rsidRP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65" w:history="1">
        <w:r w:rsidR="00936D53" w:rsidRPr="00936D53">
          <w:rPr>
            <w:rStyle w:val="Hyperlink"/>
            <w:noProof/>
          </w:rPr>
          <w:t>Table 62: Donor adverse events requiring hospital attendance (per 10,000 donations), FY 2015-16 to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_Toc64836465 \h </w:instrText>
        </w:r>
        <w:r w:rsidR="00936D53" w:rsidRPr="00936D53">
          <w:rPr>
            <w:noProof/>
            <w:webHidden/>
          </w:rPr>
        </w:r>
        <w:r w:rsidR="00936D53" w:rsidRPr="00936D53">
          <w:rPr>
            <w:noProof/>
            <w:webHidden/>
          </w:rPr>
          <w:fldChar w:fldCharType="separate"/>
        </w:r>
        <w:r w:rsidR="00936D53" w:rsidRPr="00936D53">
          <w:rPr>
            <w:noProof/>
            <w:webHidden/>
          </w:rPr>
          <w:t>45</w:t>
        </w:r>
        <w:r w:rsidR="00936D53" w:rsidRPr="00936D53">
          <w:rPr>
            <w:noProof/>
            <w:webHidden/>
          </w:rPr>
          <w:fldChar w:fldCharType="end"/>
        </w:r>
      </w:hyperlink>
    </w:p>
    <w:p w14:paraId="122A4084" w14:textId="392BBBC3" w:rsidR="00936D53" w:rsidRDefault="00D41059">
      <w:pPr>
        <w:pStyle w:val="TableofFigures"/>
        <w:tabs>
          <w:tab w:val="right" w:leader="dot" w:pos="9323"/>
        </w:tabs>
        <w:rPr>
          <w:rFonts w:asciiTheme="minorHAnsi" w:eastAsiaTheme="minorEastAsia" w:hAnsiTheme="minorHAnsi" w:cstheme="minorBidi"/>
          <w:noProof/>
          <w:lang w:eastAsia="en-AU"/>
        </w:rPr>
      </w:pPr>
      <w:hyperlink w:anchor="_Toc64836466" w:history="1">
        <w:r w:rsidR="00936D53" w:rsidRPr="00936D53">
          <w:rPr>
            <w:rStyle w:val="Hyperlink"/>
            <w:noProof/>
          </w:rPr>
          <w:t>Table 63: Donor adverse events requiring external care (rates per 10,000 donations) for FY 2018-19</w:t>
        </w:r>
        <w:r w:rsidR="00936D53" w:rsidRPr="00936D53">
          <w:rPr>
            <w:noProof/>
            <w:webHidden/>
          </w:rPr>
          <w:tab/>
        </w:r>
        <w:r w:rsidR="00936D53" w:rsidRPr="00936D53">
          <w:rPr>
            <w:noProof/>
            <w:webHidden/>
          </w:rPr>
          <w:fldChar w:fldCharType="begin"/>
        </w:r>
        <w:r w:rsidR="00936D53" w:rsidRPr="00936D53">
          <w:rPr>
            <w:noProof/>
            <w:webHidden/>
          </w:rPr>
          <w:instrText xml:space="preserve"> PAGEREF _Toc64836466 \h </w:instrText>
        </w:r>
        <w:r w:rsidR="00936D53" w:rsidRPr="00936D53">
          <w:rPr>
            <w:noProof/>
            <w:webHidden/>
          </w:rPr>
        </w:r>
        <w:r w:rsidR="00936D53" w:rsidRPr="00936D53">
          <w:rPr>
            <w:noProof/>
            <w:webHidden/>
          </w:rPr>
          <w:fldChar w:fldCharType="separate"/>
        </w:r>
        <w:r w:rsidR="00936D53" w:rsidRPr="00936D53">
          <w:rPr>
            <w:noProof/>
            <w:webHidden/>
          </w:rPr>
          <w:t>45</w:t>
        </w:r>
        <w:r w:rsidR="00936D53" w:rsidRPr="00936D53">
          <w:rPr>
            <w:noProof/>
            <w:webHidden/>
          </w:rPr>
          <w:fldChar w:fldCharType="end"/>
        </w:r>
      </w:hyperlink>
    </w:p>
    <w:p w14:paraId="60E369FB" w14:textId="6D259CD5" w:rsidR="001F7E9C" w:rsidRDefault="001F7E9C">
      <w:pPr>
        <w:spacing w:line="276" w:lineRule="auto"/>
      </w:pPr>
      <w:r w:rsidRPr="001F7E9C">
        <w:fldChar w:fldCharType="end"/>
      </w:r>
    </w:p>
    <w:p w14:paraId="0F65AF35" w14:textId="77777777" w:rsidR="00D16364" w:rsidRDefault="00D16364">
      <w:pPr>
        <w:spacing w:line="276" w:lineRule="auto"/>
      </w:pPr>
      <w:r>
        <w:br w:type="page"/>
      </w:r>
    </w:p>
    <w:p w14:paraId="4AFF42BE" w14:textId="77777777" w:rsidR="00D16364" w:rsidRDefault="009A0BD1" w:rsidP="009A0BD1">
      <w:pPr>
        <w:pStyle w:val="Heading1"/>
      </w:pPr>
      <w:bookmarkStart w:id="2" w:name="_Toc64836303"/>
      <w:r>
        <w:lastRenderedPageBreak/>
        <w:t>SECTION 1</w:t>
      </w:r>
      <w:bookmarkEnd w:id="2"/>
    </w:p>
    <w:p w14:paraId="3DB05F98" w14:textId="77777777" w:rsidR="009A0BD1" w:rsidRPr="00D24C37" w:rsidRDefault="009A0BD1" w:rsidP="009A0BD1">
      <w:pPr>
        <w:pStyle w:val="Heading1"/>
        <w:rPr>
          <w:color w:val="365F91" w:themeColor="accent1" w:themeShade="BF"/>
        </w:rPr>
      </w:pPr>
      <w:bookmarkStart w:id="3" w:name="_Toc64836304"/>
      <w:r w:rsidRPr="00D24C37">
        <w:rPr>
          <w:color w:val="365F91" w:themeColor="accent1" w:themeShade="BF"/>
        </w:rPr>
        <w:t>Australian Haemovigilance Data</w:t>
      </w:r>
      <w:bookmarkEnd w:id="3"/>
      <w:r w:rsidRPr="00D24C37">
        <w:rPr>
          <w:color w:val="365F91" w:themeColor="accent1" w:themeShade="BF"/>
        </w:rPr>
        <w:t xml:space="preserve"> </w:t>
      </w:r>
    </w:p>
    <w:p w14:paraId="32502BA0" w14:textId="77777777" w:rsidR="009A0BD1" w:rsidRPr="009A0BD1" w:rsidRDefault="009A0BD1" w:rsidP="0064690B">
      <w:pPr>
        <w:shd w:val="clear" w:color="auto" w:fill="548DD4" w:themeFill="text2" w:themeFillTint="99"/>
        <w:rPr>
          <w:b/>
          <w:color w:val="FFFFFF" w:themeColor="background1"/>
          <w:sz w:val="28"/>
          <w:szCs w:val="28"/>
        </w:rPr>
      </w:pPr>
      <w:r w:rsidRPr="009A0BD1">
        <w:rPr>
          <w:b/>
          <w:color w:val="FFFFFF" w:themeColor="background1"/>
          <w:sz w:val="28"/>
          <w:szCs w:val="28"/>
        </w:rPr>
        <w:t>July 2018 – June 2019</w:t>
      </w:r>
    </w:p>
    <w:p w14:paraId="48A6780F" w14:textId="77777777" w:rsidR="009A0BD1" w:rsidRDefault="009A0BD1" w:rsidP="009A0BD1">
      <w:pPr>
        <w:pStyle w:val="Heading3"/>
      </w:pPr>
    </w:p>
    <w:p w14:paraId="3558B69C" w14:textId="77777777" w:rsidR="009A0BD1" w:rsidRDefault="009A0BD1" w:rsidP="009A0BD1">
      <w:pPr>
        <w:pStyle w:val="Heading3"/>
      </w:pPr>
      <w:bookmarkStart w:id="4" w:name="_Toc64836305"/>
      <w:r>
        <w:t>Acknowledgements</w:t>
      </w:r>
      <w:bookmarkEnd w:id="4"/>
    </w:p>
    <w:p w14:paraId="27624C60" w14:textId="295A6746" w:rsidR="009A0BD1" w:rsidRDefault="009A0BD1" w:rsidP="009A0BD1">
      <w:r>
        <w:t>This report is published on behalf of the states and territories who voluntarily provided data to the national system. The National Blood Authority (NBA) thank</w:t>
      </w:r>
      <w:r w:rsidR="00CF3F7C">
        <w:t>s</w:t>
      </w:r>
      <w:r>
        <w:t xml:space="preserve"> them for their contributions and ongoing commitment to haemovigilance.</w:t>
      </w:r>
    </w:p>
    <w:p w14:paraId="0118C037" w14:textId="77777777" w:rsidR="009A0BD1" w:rsidRDefault="009A0BD1" w:rsidP="009A0BD1">
      <w:r>
        <w:t>Appreciation is also extended to the members of the Haemovigilance Advisory Committee (HAC) for their advice on improvements in adverse event reporting and analysis of the data for this report.</w:t>
      </w:r>
    </w:p>
    <w:p w14:paraId="2D92C071" w14:textId="7660C78D" w:rsidR="009A0BD1" w:rsidRDefault="009A0BD1" w:rsidP="009A0BD1">
      <w:pPr>
        <w:pStyle w:val="Heading3"/>
      </w:pPr>
      <w:bookmarkStart w:id="5" w:name="_Toc23863882"/>
      <w:bookmarkStart w:id="6" w:name="_Toc41929208"/>
      <w:bookmarkStart w:id="7" w:name="_Toc64836306"/>
      <w:r>
        <w:t>Caveat</w:t>
      </w:r>
      <w:bookmarkEnd w:id="5"/>
      <w:bookmarkEnd w:id="6"/>
      <w:r w:rsidR="00E4448C">
        <w:t>s</w:t>
      </w:r>
      <w:bookmarkEnd w:id="7"/>
    </w:p>
    <w:p w14:paraId="71ED8D4F" w14:textId="77777777" w:rsidR="009A0BD1" w:rsidRDefault="009A0BD1" w:rsidP="009A0BD1">
      <w:r>
        <w:t>Reporting of haemovigilance data to the national haemovigilance program is voluntary and data validation is not performed in all instances in Australia.</w:t>
      </w:r>
    </w:p>
    <w:p w14:paraId="4153085F" w14:textId="77777777" w:rsidR="009A0BD1" w:rsidRDefault="009A0BD1" w:rsidP="009A0BD1">
      <w:r>
        <w:t>When using the data from this report it is important to note that it has quality issues in relation to data completeness, standardisation and relevance.</w:t>
      </w:r>
    </w:p>
    <w:p w14:paraId="2974FFB3" w14:textId="77777777" w:rsidR="009A0BD1" w:rsidRDefault="009A0BD1" w:rsidP="009A0BD1">
      <w:r>
        <w:t>Notwithstanding these limitations, the NBA is publishing this data as an aid to relevant analysis and to maintain the time series of data published during the last ten years.</w:t>
      </w:r>
    </w:p>
    <w:p w14:paraId="0882520B" w14:textId="3B5C6586" w:rsidR="009A0BD1" w:rsidRDefault="009A0BD1" w:rsidP="009A0BD1">
      <w:pPr>
        <w:pStyle w:val="ListParagraph"/>
        <w:numPr>
          <w:ilvl w:val="0"/>
          <w:numId w:val="6"/>
        </w:numPr>
      </w:pPr>
      <w:r>
        <w:t xml:space="preserve">Data </w:t>
      </w:r>
      <w:r w:rsidRPr="002F1939">
        <w:t xml:space="preserve">in this report are in accordance with </w:t>
      </w:r>
      <w:r w:rsidR="00316435">
        <w:t xml:space="preserve">either </w:t>
      </w:r>
      <w:r w:rsidRPr="002F1939">
        <w:t>the National Blood Authority National Haemovigilance Data Dictionary (NHDD) 2010</w:t>
      </w:r>
      <w:r w:rsidR="00316435">
        <w:t xml:space="preserve"> or the Australian Haemovigilance Minimum Data Set (AHMDS) 2015. </w:t>
      </w:r>
    </w:p>
    <w:p w14:paraId="0A922593" w14:textId="77777777" w:rsidR="009A0BD1" w:rsidRDefault="009A0BD1" w:rsidP="009A0BD1">
      <w:pPr>
        <w:pStyle w:val="ListParagraph"/>
        <w:numPr>
          <w:ilvl w:val="0"/>
          <w:numId w:val="6"/>
        </w:numPr>
      </w:pPr>
      <w:r>
        <w:t>Data contributions vary across years and between states/territories.</w:t>
      </w:r>
    </w:p>
    <w:p w14:paraId="23B82703" w14:textId="77777777" w:rsidR="009A0BD1" w:rsidRDefault="009A0BD1" w:rsidP="009A0BD1">
      <w:pPr>
        <w:pStyle w:val="ListParagraph"/>
        <w:numPr>
          <w:ilvl w:val="0"/>
          <w:numId w:val="6"/>
        </w:numPr>
      </w:pPr>
      <w:r>
        <w:t>Near misses and denominator data (number of transfusions) are not collected and reported at national level.</w:t>
      </w:r>
    </w:p>
    <w:p w14:paraId="6ABD50D0" w14:textId="77777777" w:rsidR="009A0BD1" w:rsidRDefault="009A0BD1" w:rsidP="009A0BD1">
      <w:pPr>
        <w:pStyle w:val="ListParagraph"/>
        <w:numPr>
          <w:ilvl w:val="0"/>
          <w:numId w:val="6"/>
        </w:numPr>
      </w:pPr>
      <w:r>
        <w:t>All the adverse events in this report are reported cases rather than confirmed cases.</w:t>
      </w:r>
    </w:p>
    <w:p w14:paraId="7BD23AA3" w14:textId="1B79E674" w:rsidR="009A0BD1" w:rsidRDefault="009A0BD1" w:rsidP="009A0BD1">
      <w:pPr>
        <w:pStyle w:val="ListParagraph"/>
        <w:numPr>
          <w:ilvl w:val="0"/>
          <w:numId w:val="6"/>
        </w:numPr>
      </w:pPr>
      <w:r>
        <w:t xml:space="preserve">The </w:t>
      </w:r>
      <w:r w:rsidRPr="002F1939">
        <w:t xml:space="preserve">definitions for the adverse events in </w:t>
      </w:r>
      <w:r w:rsidR="00910150" w:rsidRPr="002F1939">
        <w:t xml:space="preserve">Appendix I of </w:t>
      </w:r>
      <w:r w:rsidRPr="002F1939">
        <w:t>the 2010 NHDD</w:t>
      </w:r>
      <w:r w:rsidR="00316435">
        <w:t xml:space="preserve"> and 2015 AHMDS</w:t>
      </w:r>
      <w:r w:rsidRPr="002F1939">
        <w:t xml:space="preserve"> align with those used by the International Haemovigilance Network (IHN) and International Society Blood Transfusion (ISBT)</w:t>
      </w:r>
      <w:r w:rsidR="00316435">
        <w:t xml:space="preserve"> unless </w:t>
      </w:r>
      <w:r w:rsidR="00485D4D">
        <w:t xml:space="preserve">otherwise </w:t>
      </w:r>
      <w:r w:rsidR="00316435">
        <w:t>stated</w:t>
      </w:r>
      <w:r w:rsidRPr="002F1939">
        <w:t>. However, it is not expected that they are applied rigorously.</w:t>
      </w:r>
    </w:p>
    <w:p w14:paraId="4B2081D1" w14:textId="77777777" w:rsidR="009A0BD1" w:rsidRDefault="009A0BD1" w:rsidP="009A0BD1">
      <w:pPr>
        <w:spacing w:line="276" w:lineRule="auto"/>
      </w:pPr>
      <w:r>
        <w:t>The national data set accepts the categorisation assigned by the contributing jurisdiction and the reviewing clinicians, regardless of minor differences to definitions</w:t>
      </w:r>
      <w:r w:rsidR="00D24C37">
        <w:t>.</w:t>
      </w:r>
    </w:p>
    <w:p w14:paraId="3920F97B" w14:textId="77777777" w:rsidR="00B03C1B" w:rsidRDefault="00B03C1B">
      <w:pPr>
        <w:spacing w:line="276" w:lineRule="auto"/>
      </w:pPr>
      <w:r>
        <w:br w:type="page"/>
      </w:r>
    </w:p>
    <w:p w14:paraId="410FB342" w14:textId="77777777" w:rsidR="00D24C37" w:rsidRDefault="00D24C37" w:rsidP="00D24C37">
      <w:pPr>
        <w:pStyle w:val="Heading3"/>
      </w:pPr>
      <w:bookmarkStart w:id="8" w:name="_Toc41929209"/>
      <w:bookmarkStart w:id="9" w:name="_Toc64836307"/>
      <w:r>
        <w:lastRenderedPageBreak/>
        <w:t>Collection and reporting process</w:t>
      </w:r>
      <w:bookmarkEnd w:id="8"/>
      <w:bookmarkEnd w:id="9"/>
    </w:p>
    <w:p w14:paraId="125CC113" w14:textId="77777777" w:rsidR="00D24C37" w:rsidRDefault="00D24C37" w:rsidP="00D24C37">
      <w:pPr>
        <w:pStyle w:val="ListParagraph"/>
        <w:numPr>
          <w:ilvl w:val="0"/>
          <w:numId w:val="7"/>
        </w:numPr>
      </w:pPr>
      <w:r>
        <w:t xml:space="preserve">Data is provided to the national haemovigilance program according to each jurisdiction’s review and reporting requirements. </w:t>
      </w:r>
    </w:p>
    <w:p w14:paraId="0B679E11" w14:textId="2E8AB560" w:rsidR="00D24C37" w:rsidRPr="002F1939" w:rsidRDefault="0064690B" w:rsidP="00D24C37">
      <w:pPr>
        <w:pStyle w:val="ListParagraph"/>
        <w:numPr>
          <w:ilvl w:val="0"/>
          <w:numId w:val="7"/>
        </w:numPr>
      </w:pPr>
      <w:r w:rsidRPr="002F1939">
        <w:t>Data</w:t>
      </w:r>
      <w:r w:rsidR="00EA7398" w:rsidRPr="002F1939">
        <w:t xml:space="preserve"> for bacterial contamination and TRALI</w:t>
      </w:r>
      <w:r w:rsidRPr="002F1939">
        <w:t xml:space="preserve"> is reconciled </w:t>
      </w:r>
      <w:r w:rsidR="002F1939">
        <w:t xml:space="preserve">with data from </w:t>
      </w:r>
      <w:r w:rsidRPr="002F1939">
        <w:t>Lifeblood</w:t>
      </w:r>
      <w:r w:rsidR="00D24C37" w:rsidRPr="002F1939">
        <w:t xml:space="preserve">. </w:t>
      </w:r>
    </w:p>
    <w:p w14:paraId="2127B371" w14:textId="77777777" w:rsidR="00D24C37" w:rsidRDefault="00D24C37" w:rsidP="0096152A">
      <w:pPr>
        <w:pStyle w:val="ListParagraph"/>
        <w:numPr>
          <w:ilvl w:val="0"/>
          <w:numId w:val="7"/>
        </w:numPr>
        <w:spacing w:line="276" w:lineRule="auto"/>
      </w:pPr>
      <w:r>
        <w:t>State and territory health departments aggregate and de-identify data and report to the NBA.</w:t>
      </w:r>
    </w:p>
    <w:p w14:paraId="0B1BB18C" w14:textId="77777777" w:rsidR="00013CCF" w:rsidRDefault="008D7ABF" w:rsidP="00013CCF">
      <w:pPr>
        <w:spacing w:line="276" w:lineRule="auto"/>
      </w:pPr>
      <w:r>
        <w:rPr>
          <w:noProof/>
          <w:lang w:eastAsia="en-AU"/>
        </w:rPr>
        <w:drawing>
          <wp:inline distT="0" distB="0" distL="0" distR="0" wp14:anchorId="0551FEF5" wp14:editId="35AEAE28">
            <wp:extent cx="4963218" cy="6906589"/>
            <wp:effectExtent l="0" t="0"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10">
                      <a:extLst>
                        <a:ext uri="{28A0092B-C50C-407E-A947-70E740481C1C}">
                          <a14:useLocalDpi xmlns:a14="http://schemas.microsoft.com/office/drawing/2010/main" val="0"/>
                        </a:ext>
                      </a:extLst>
                    </a:blip>
                    <a:stretch>
                      <a:fillRect/>
                    </a:stretch>
                  </pic:blipFill>
                  <pic:spPr>
                    <a:xfrm>
                      <a:off x="0" y="0"/>
                      <a:ext cx="4963218" cy="6906589"/>
                    </a:xfrm>
                    <a:prstGeom prst="rect">
                      <a:avLst/>
                    </a:prstGeom>
                  </pic:spPr>
                </pic:pic>
              </a:graphicData>
            </a:graphic>
          </wp:inline>
        </w:drawing>
      </w:r>
    </w:p>
    <w:p w14:paraId="30DC952C" w14:textId="77777777" w:rsidR="00013CCF" w:rsidRDefault="00013CCF" w:rsidP="00013CCF">
      <w:pPr>
        <w:pStyle w:val="Heading3"/>
      </w:pPr>
      <w:bookmarkStart w:id="10" w:name="_Toc41929210"/>
      <w:bookmarkStart w:id="11" w:name="_Toc64836308"/>
      <w:r>
        <w:lastRenderedPageBreak/>
        <w:t xml:space="preserve">Summary of findings </w:t>
      </w:r>
      <w:r w:rsidR="00C51A96">
        <w:t>for 2018</w:t>
      </w:r>
      <w:r>
        <w:t>-</w:t>
      </w:r>
      <w:bookmarkEnd w:id="10"/>
      <w:r w:rsidR="00C51A96">
        <w:t>1</w:t>
      </w:r>
      <w:r>
        <w:t>9</w:t>
      </w:r>
      <w:bookmarkEnd w:id="11"/>
    </w:p>
    <w:p w14:paraId="195388F0" w14:textId="77777777" w:rsidR="00E63AC4" w:rsidRPr="00E63AC4" w:rsidRDefault="00E63AC4" w:rsidP="00E63AC4">
      <w:pPr>
        <w:pStyle w:val="Caption"/>
        <w:keepNext/>
        <w:spacing w:after="0"/>
        <w:rPr>
          <w:b/>
          <w:i w:val="0"/>
          <w:color w:val="auto"/>
        </w:rPr>
      </w:pPr>
      <w:bookmarkStart w:id="12" w:name="_Toc64836404"/>
      <w:r w:rsidRPr="00E63AC4">
        <w:rPr>
          <w:b/>
          <w:i w:val="0"/>
          <w:color w:val="auto"/>
        </w:rPr>
        <w:t xml:space="preserve">Table </w:t>
      </w:r>
      <w:r w:rsidRPr="00E63AC4">
        <w:rPr>
          <w:b/>
          <w:i w:val="0"/>
          <w:color w:val="auto"/>
        </w:rPr>
        <w:fldChar w:fldCharType="begin"/>
      </w:r>
      <w:r w:rsidRPr="00E63AC4">
        <w:rPr>
          <w:b/>
          <w:i w:val="0"/>
          <w:color w:val="auto"/>
        </w:rPr>
        <w:instrText xml:space="preserve"> SEQ Table \* ARABIC </w:instrText>
      </w:r>
      <w:r w:rsidRPr="00E63AC4">
        <w:rPr>
          <w:b/>
          <w:i w:val="0"/>
          <w:color w:val="auto"/>
        </w:rPr>
        <w:fldChar w:fldCharType="separate"/>
      </w:r>
      <w:r w:rsidR="001F7368">
        <w:rPr>
          <w:b/>
          <w:i w:val="0"/>
          <w:noProof/>
          <w:color w:val="auto"/>
        </w:rPr>
        <w:t>1</w:t>
      </w:r>
      <w:r w:rsidRPr="00E63AC4">
        <w:rPr>
          <w:b/>
          <w:i w:val="0"/>
          <w:color w:val="auto"/>
        </w:rPr>
        <w:fldChar w:fldCharType="end"/>
      </w:r>
      <w:r w:rsidRPr="00E63AC4">
        <w:rPr>
          <w:b/>
          <w:i w:val="0"/>
          <w:color w:val="auto"/>
        </w:rPr>
        <w:t>: Adverse events by state, 2018–19</w:t>
      </w:r>
      <w:bookmarkEnd w:id="12"/>
    </w:p>
    <w:p w14:paraId="34B90B65" w14:textId="0D5A8CF0" w:rsidR="00E63AC4" w:rsidRDefault="00817059" w:rsidP="006136B2">
      <w:pPr>
        <w:spacing w:after="0"/>
      </w:pPr>
      <w:r w:rsidRPr="00817059">
        <w:rPr>
          <w:noProof/>
          <w:lang w:eastAsia="en-AU"/>
        </w:rPr>
        <w:drawing>
          <wp:inline distT="0" distB="0" distL="0" distR="0" wp14:anchorId="50D32CA0" wp14:editId="5063E937">
            <wp:extent cx="5926455" cy="185336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6455" cy="1853364"/>
                    </a:xfrm>
                    <a:prstGeom prst="rect">
                      <a:avLst/>
                    </a:prstGeom>
                    <a:noFill/>
                    <a:ln>
                      <a:noFill/>
                    </a:ln>
                  </pic:spPr>
                </pic:pic>
              </a:graphicData>
            </a:graphic>
          </wp:inline>
        </w:drawing>
      </w:r>
    </w:p>
    <w:p w14:paraId="39F701FA" w14:textId="77777777" w:rsidR="00E63AC4" w:rsidRPr="00E63AC4" w:rsidRDefault="00E63AC4" w:rsidP="00E63AC4">
      <w:pPr>
        <w:spacing w:after="0"/>
        <w:rPr>
          <w:sz w:val="18"/>
        </w:rPr>
      </w:pPr>
      <w:r w:rsidRPr="00E63AC4">
        <w:rPr>
          <w:sz w:val="18"/>
        </w:rPr>
        <w:t>Notes</w:t>
      </w:r>
    </w:p>
    <w:p w14:paraId="541396F5" w14:textId="77777777" w:rsidR="00E63AC4" w:rsidRPr="006136B2" w:rsidRDefault="00E63AC4" w:rsidP="006136B2">
      <w:pPr>
        <w:pStyle w:val="ListParagraph"/>
        <w:numPr>
          <w:ilvl w:val="0"/>
          <w:numId w:val="15"/>
        </w:numPr>
        <w:spacing w:after="0"/>
        <w:ind w:left="426" w:hanging="426"/>
        <w:rPr>
          <w:sz w:val="18"/>
        </w:rPr>
      </w:pPr>
      <w:r w:rsidRPr="006136B2">
        <w:rPr>
          <w:sz w:val="18"/>
        </w:rPr>
        <w:t>All states/territories contributed the data</w:t>
      </w:r>
    </w:p>
    <w:p w14:paraId="0E930541" w14:textId="77777777" w:rsidR="00E63AC4" w:rsidRPr="006136B2" w:rsidRDefault="00E63AC4" w:rsidP="006136B2">
      <w:pPr>
        <w:pStyle w:val="ListParagraph"/>
        <w:numPr>
          <w:ilvl w:val="0"/>
          <w:numId w:val="15"/>
        </w:numPr>
        <w:spacing w:after="0"/>
        <w:ind w:left="426" w:hanging="426"/>
        <w:rPr>
          <w:sz w:val="18"/>
        </w:rPr>
      </w:pPr>
      <w:r w:rsidRPr="006136B2">
        <w:rPr>
          <w:sz w:val="18"/>
        </w:rPr>
        <w:t>All TTIs were suspected but not confirmed bacterial infection</w:t>
      </w:r>
    </w:p>
    <w:p w14:paraId="393D56B2" w14:textId="77777777" w:rsidR="00E63AC4" w:rsidRPr="006136B2" w:rsidRDefault="00E63AC4" w:rsidP="006136B2">
      <w:pPr>
        <w:pStyle w:val="ListParagraph"/>
        <w:numPr>
          <w:ilvl w:val="0"/>
          <w:numId w:val="15"/>
        </w:numPr>
        <w:spacing w:after="0"/>
        <w:ind w:left="426" w:hanging="426"/>
        <w:rPr>
          <w:sz w:val="18"/>
        </w:rPr>
      </w:pPr>
      <w:r w:rsidRPr="006136B2">
        <w:rPr>
          <w:sz w:val="18"/>
        </w:rPr>
        <w:t>STIR uses a higher level temperature threshold for the reporting of FNHTR</w:t>
      </w:r>
    </w:p>
    <w:p w14:paraId="0133BA78" w14:textId="77777777" w:rsidR="00E63AC4" w:rsidRPr="006136B2" w:rsidRDefault="00E63AC4" w:rsidP="006136B2">
      <w:pPr>
        <w:pStyle w:val="ListParagraph"/>
        <w:numPr>
          <w:ilvl w:val="0"/>
          <w:numId w:val="15"/>
        </w:numPr>
        <w:spacing w:after="0"/>
        <w:ind w:left="426" w:hanging="426"/>
        <w:rPr>
          <w:sz w:val="18"/>
        </w:rPr>
      </w:pPr>
      <w:r w:rsidRPr="006136B2">
        <w:rPr>
          <w:sz w:val="18"/>
        </w:rPr>
        <w:t>QLD uses the 2010 AHMDS for all reporting</w:t>
      </w:r>
    </w:p>
    <w:p w14:paraId="38852BDE" w14:textId="77777777" w:rsidR="00E63AC4" w:rsidRPr="006136B2" w:rsidRDefault="00E63AC4" w:rsidP="006136B2">
      <w:pPr>
        <w:pStyle w:val="ListParagraph"/>
        <w:numPr>
          <w:ilvl w:val="0"/>
          <w:numId w:val="15"/>
        </w:numPr>
        <w:spacing w:after="0"/>
        <w:ind w:left="426" w:hanging="426"/>
        <w:rPr>
          <w:sz w:val="18"/>
        </w:rPr>
      </w:pPr>
      <w:r w:rsidRPr="006136B2">
        <w:rPr>
          <w:sz w:val="18"/>
        </w:rPr>
        <w:t>In 2018-19, some states reported new adverse events in accordance with the 2015 AHMDS. Refer to each adverse event reporting for details</w:t>
      </w:r>
    </w:p>
    <w:p w14:paraId="67F0A5CF" w14:textId="77777777" w:rsidR="00E63AC4" w:rsidRDefault="00E63AC4" w:rsidP="00E63AC4">
      <w:pPr>
        <w:spacing w:after="0"/>
        <w:rPr>
          <w:sz w:val="18"/>
        </w:rPr>
      </w:pPr>
    </w:p>
    <w:p w14:paraId="1615EA6A" w14:textId="77777777" w:rsidR="006136B2" w:rsidRPr="006136B2" w:rsidRDefault="006136B2" w:rsidP="006136B2">
      <w:pPr>
        <w:pStyle w:val="Caption"/>
        <w:keepNext/>
        <w:spacing w:after="0"/>
        <w:rPr>
          <w:b/>
          <w:i w:val="0"/>
          <w:color w:val="auto"/>
        </w:rPr>
      </w:pPr>
      <w:bookmarkStart w:id="13" w:name="_Toc64836405"/>
      <w:r w:rsidRPr="006136B2">
        <w:rPr>
          <w:b/>
          <w:i w:val="0"/>
          <w:color w:val="auto"/>
        </w:rPr>
        <w:t xml:space="preserve">Table </w:t>
      </w:r>
      <w:r w:rsidRPr="006136B2">
        <w:rPr>
          <w:b/>
          <w:i w:val="0"/>
          <w:color w:val="auto"/>
        </w:rPr>
        <w:fldChar w:fldCharType="begin"/>
      </w:r>
      <w:r w:rsidRPr="006136B2">
        <w:rPr>
          <w:b/>
          <w:i w:val="0"/>
          <w:color w:val="auto"/>
        </w:rPr>
        <w:instrText xml:space="preserve"> SEQ Table \* ARABIC </w:instrText>
      </w:r>
      <w:r w:rsidRPr="006136B2">
        <w:rPr>
          <w:b/>
          <w:i w:val="0"/>
          <w:color w:val="auto"/>
        </w:rPr>
        <w:fldChar w:fldCharType="separate"/>
      </w:r>
      <w:r w:rsidR="001F7368">
        <w:rPr>
          <w:b/>
          <w:i w:val="0"/>
          <w:noProof/>
          <w:color w:val="auto"/>
        </w:rPr>
        <w:t>2</w:t>
      </w:r>
      <w:r w:rsidRPr="006136B2">
        <w:rPr>
          <w:b/>
          <w:i w:val="0"/>
          <w:color w:val="auto"/>
        </w:rPr>
        <w:fldChar w:fldCharType="end"/>
      </w:r>
      <w:r w:rsidRPr="006136B2">
        <w:rPr>
          <w:b/>
          <w:i w:val="0"/>
          <w:color w:val="auto"/>
        </w:rPr>
        <w:t>: Adverse events by imputability score, 2018–19</w:t>
      </w:r>
      <w:bookmarkEnd w:id="13"/>
    </w:p>
    <w:p w14:paraId="61CEB3C8" w14:textId="77777777" w:rsidR="00E63AC4" w:rsidRDefault="00817059" w:rsidP="00E63AC4">
      <w:pPr>
        <w:spacing w:after="0"/>
        <w:rPr>
          <w:sz w:val="18"/>
        </w:rPr>
      </w:pPr>
      <w:r w:rsidRPr="00817059">
        <w:rPr>
          <w:noProof/>
          <w:lang w:eastAsia="en-AU"/>
        </w:rPr>
        <w:drawing>
          <wp:inline distT="0" distB="0" distL="0" distR="0" wp14:anchorId="5DBAC90D" wp14:editId="0A27BA95">
            <wp:extent cx="5031843" cy="3747468"/>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8458" cy="3752394"/>
                    </a:xfrm>
                    <a:prstGeom prst="rect">
                      <a:avLst/>
                    </a:prstGeom>
                    <a:noFill/>
                    <a:ln>
                      <a:noFill/>
                    </a:ln>
                  </pic:spPr>
                </pic:pic>
              </a:graphicData>
            </a:graphic>
          </wp:inline>
        </w:drawing>
      </w:r>
    </w:p>
    <w:p w14:paraId="51D3E03D" w14:textId="77777777" w:rsidR="006136B2" w:rsidRPr="006136B2" w:rsidRDefault="006136B2" w:rsidP="006136B2">
      <w:pPr>
        <w:spacing w:after="0" w:line="276" w:lineRule="auto"/>
        <w:rPr>
          <w:sz w:val="18"/>
        </w:rPr>
      </w:pPr>
      <w:r w:rsidRPr="006136B2">
        <w:rPr>
          <w:sz w:val="18"/>
        </w:rPr>
        <w:t>Notes</w:t>
      </w:r>
    </w:p>
    <w:p w14:paraId="484E632B" w14:textId="77777777" w:rsidR="006136B2" w:rsidRPr="006136B2" w:rsidRDefault="006136B2" w:rsidP="006136B2">
      <w:pPr>
        <w:pStyle w:val="ListParagraph"/>
        <w:numPr>
          <w:ilvl w:val="0"/>
          <w:numId w:val="17"/>
        </w:numPr>
        <w:spacing w:after="0"/>
        <w:ind w:left="426" w:hanging="426"/>
        <w:rPr>
          <w:sz w:val="18"/>
        </w:rPr>
      </w:pPr>
      <w:r w:rsidRPr="006136B2">
        <w:rPr>
          <w:sz w:val="18"/>
        </w:rPr>
        <w:t>All states/territories contributed the data</w:t>
      </w:r>
    </w:p>
    <w:p w14:paraId="023F4EC1" w14:textId="77777777" w:rsidR="006136B2" w:rsidRPr="006136B2" w:rsidRDefault="006136B2" w:rsidP="006136B2">
      <w:pPr>
        <w:pStyle w:val="ListParagraph"/>
        <w:numPr>
          <w:ilvl w:val="0"/>
          <w:numId w:val="17"/>
        </w:numPr>
        <w:spacing w:after="0"/>
        <w:ind w:left="426" w:hanging="426"/>
        <w:rPr>
          <w:sz w:val="18"/>
        </w:rPr>
      </w:pPr>
      <w:r w:rsidRPr="006136B2">
        <w:rPr>
          <w:sz w:val="18"/>
        </w:rPr>
        <w:t>All TTIs were suspected but not confirmed bacterial infection</w:t>
      </w:r>
    </w:p>
    <w:p w14:paraId="51BCE554" w14:textId="77777777" w:rsidR="006136B2" w:rsidRPr="006136B2" w:rsidRDefault="006136B2" w:rsidP="006136B2">
      <w:pPr>
        <w:pStyle w:val="ListParagraph"/>
        <w:numPr>
          <w:ilvl w:val="0"/>
          <w:numId w:val="17"/>
        </w:numPr>
        <w:spacing w:after="0"/>
        <w:ind w:left="426" w:hanging="426"/>
        <w:rPr>
          <w:sz w:val="18"/>
        </w:rPr>
      </w:pPr>
      <w:r w:rsidRPr="006136B2">
        <w:rPr>
          <w:sz w:val="18"/>
        </w:rPr>
        <w:t>STIR uses a higher level temperature threshold for the reporting of FNHTR</w:t>
      </w:r>
    </w:p>
    <w:p w14:paraId="56B6AF98" w14:textId="77777777" w:rsidR="006136B2" w:rsidRPr="006136B2" w:rsidRDefault="006136B2" w:rsidP="006136B2">
      <w:pPr>
        <w:pStyle w:val="ListParagraph"/>
        <w:numPr>
          <w:ilvl w:val="0"/>
          <w:numId w:val="17"/>
        </w:numPr>
        <w:spacing w:after="0"/>
        <w:ind w:left="426" w:hanging="426"/>
        <w:rPr>
          <w:sz w:val="18"/>
        </w:rPr>
      </w:pPr>
      <w:r w:rsidRPr="006136B2">
        <w:rPr>
          <w:sz w:val="18"/>
        </w:rPr>
        <w:t>QLD uses the 2010 AHMDS for all reporting</w:t>
      </w:r>
    </w:p>
    <w:p w14:paraId="397B302A" w14:textId="5F961DBD" w:rsidR="006136B2" w:rsidRPr="006136B2" w:rsidRDefault="006136B2" w:rsidP="006136B2">
      <w:pPr>
        <w:pStyle w:val="ListParagraph"/>
        <w:numPr>
          <w:ilvl w:val="0"/>
          <w:numId w:val="17"/>
        </w:numPr>
        <w:spacing w:after="0"/>
        <w:ind w:left="426" w:hanging="426"/>
        <w:rPr>
          <w:sz w:val="18"/>
        </w:rPr>
      </w:pPr>
      <w:r w:rsidRPr="006136B2">
        <w:rPr>
          <w:sz w:val="18"/>
        </w:rPr>
        <w:t xml:space="preserve">In 2018-19, some states reported new adverse events in accordance with the 2015 AHMDS. Refer to </w:t>
      </w:r>
      <w:r w:rsidR="0047139A">
        <w:rPr>
          <w:sz w:val="18"/>
        </w:rPr>
        <w:t xml:space="preserve">individual </w:t>
      </w:r>
      <w:r w:rsidRPr="006136B2">
        <w:rPr>
          <w:sz w:val="18"/>
        </w:rPr>
        <w:t xml:space="preserve">adverse event reporting </w:t>
      </w:r>
      <w:r w:rsidR="0047139A">
        <w:rPr>
          <w:sz w:val="18"/>
        </w:rPr>
        <w:t>further in Section 1</w:t>
      </w:r>
    </w:p>
    <w:p w14:paraId="45F37BD9" w14:textId="77777777" w:rsidR="006136B2" w:rsidRPr="006136B2" w:rsidRDefault="006136B2" w:rsidP="006136B2">
      <w:pPr>
        <w:pStyle w:val="Caption"/>
        <w:keepNext/>
        <w:spacing w:after="0"/>
        <w:rPr>
          <w:b/>
          <w:i w:val="0"/>
          <w:color w:val="auto"/>
        </w:rPr>
      </w:pPr>
      <w:bookmarkStart w:id="14" w:name="_Toc64836406"/>
      <w:r w:rsidRPr="006136B2">
        <w:rPr>
          <w:b/>
          <w:i w:val="0"/>
          <w:color w:val="auto"/>
        </w:rPr>
        <w:lastRenderedPageBreak/>
        <w:t xml:space="preserve">Table </w:t>
      </w:r>
      <w:r w:rsidRPr="006136B2">
        <w:rPr>
          <w:b/>
          <w:i w:val="0"/>
          <w:color w:val="auto"/>
        </w:rPr>
        <w:fldChar w:fldCharType="begin"/>
      </w:r>
      <w:r w:rsidRPr="006136B2">
        <w:rPr>
          <w:b/>
          <w:i w:val="0"/>
          <w:color w:val="auto"/>
        </w:rPr>
        <w:instrText xml:space="preserve"> SEQ Table \* ARABIC </w:instrText>
      </w:r>
      <w:r w:rsidRPr="006136B2">
        <w:rPr>
          <w:b/>
          <w:i w:val="0"/>
          <w:color w:val="auto"/>
        </w:rPr>
        <w:fldChar w:fldCharType="separate"/>
      </w:r>
      <w:r w:rsidR="001F7368">
        <w:rPr>
          <w:b/>
          <w:i w:val="0"/>
          <w:noProof/>
          <w:color w:val="auto"/>
        </w:rPr>
        <w:t>3</w:t>
      </w:r>
      <w:r w:rsidRPr="006136B2">
        <w:rPr>
          <w:b/>
          <w:i w:val="0"/>
          <w:color w:val="auto"/>
        </w:rPr>
        <w:fldChar w:fldCharType="end"/>
      </w:r>
      <w:r w:rsidRPr="006136B2">
        <w:rPr>
          <w:b/>
          <w:i w:val="0"/>
          <w:color w:val="auto"/>
        </w:rPr>
        <w:t>: Adverse events by blood product, 2018–19</w:t>
      </w:r>
      <w:bookmarkEnd w:id="14"/>
    </w:p>
    <w:p w14:paraId="28E2FD57" w14:textId="77777777" w:rsidR="006136B2" w:rsidRDefault="00817059" w:rsidP="006136B2">
      <w:pPr>
        <w:spacing w:after="0"/>
      </w:pPr>
      <w:r w:rsidRPr="00817059">
        <w:rPr>
          <w:noProof/>
          <w:lang w:eastAsia="en-AU"/>
        </w:rPr>
        <w:drawing>
          <wp:inline distT="0" distB="0" distL="0" distR="0" wp14:anchorId="16C613C3" wp14:editId="50FEB16A">
            <wp:extent cx="5125102" cy="427600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7371" cy="4277902"/>
                    </a:xfrm>
                    <a:prstGeom prst="rect">
                      <a:avLst/>
                    </a:prstGeom>
                    <a:noFill/>
                    <a:ln>
                      <a:noFill/>
                    </a:ln>
                  </pic:spPr>
                </pic:pic>
              </a:graphicData>
            </a:graphic>
          </wp:inline>
        </w:drawing>
      </w:r>
    </w:p>
    <w:p w14:paraId="271DAD5A" w14:textId="77777777" w:rsidR="006136B2" w:rsidRPr="006136B2" w:rsidRDefault="006136B2" w:rsidP="006136B2">
      <w:pPr>
        <w:spacing w:after="0" w:line="276" w:lineRule="auto"/>
        <w:rPr>
          <w:sz w:val="18"/>
        </w:rPr>
      </w:pPr>
      <w:r w:rsidRPr="006136B2">
        <w:rPr>
          <w:sz w:val="18"/>
        </w:rPr>
        <w:t>Notes</w:t>
      </w:r>
    </w:p>
    <w:p w14:paraId="389018C2" w14:textId="77777777" w:rsidR="006136B2" w:rsidRPr="006136B2" w:rsidRDefault="006136B2" w:rsidP="006136B2">
      <w:pPr>
        <w:pStyle w:val="ListParagraph"/>
        <w:numPr>
          <w:ilvl w:val="0"/>
          <w:numId w:val="19"/>
        </w:numPr>
        <w:spacing w:line="276" w:lineRule="auto"/>
        <w:ind w:left="426" w:hanging="426"/>
        <w:rPr>
          <w:sz w:val="18"/>
        </w:rPr>
      </w:pPr>
      <w:r w:rsidRPr="006136B2">
        <w:rPr>
          <w:sz w:val="18"/>
        </w:rPr>
        <w:t>All states/territories contributed the data</w:t>
      </w:r>
    </w:p>
    <w:p w14:paraId="0B1293C3" w14:textId="77777777" w:rsidR="006136B2" w:rsidRPr="006136B2" w:rsidRDefault="006136B2" w:rsidP="006136B2">
      <w:pPr>
        <w:pStyle w:val="ListParagraph"/>
        <w:numPr>
          <w:ilvl w:val="0"/>
          <w:numId w:val="19"/>
        </w:numPr>
        <w:spacing w:line="276" w:lineRule="auto"/>
        <w:ind w:left="426" w:hanging="426"/>
        <w:rPr>
          <w:sz w:val="18"/>
        </w:rPr>
      </w:pPr>
      <w:r w:rsidRPr="006136B2">
        <w:rPr>
          <w:sz w:val="18"/>
        </w:rPr>
        <w:t>All TTIs were suspected but not confirmed bacterial infection</w:t>
      </w:r>
    </w:p>
    <w:p w14:paraId="62BB45AD" w14:textId="77777777" w:rsidR="006136B2" w:rsidRPr="006136B2" w:rsidRDefault="006136B2" w:rsidP="006136B2">
      <w:pPr>
        <w:pStyle w:val="ListParagraph"/>
        <w:numPr>
          <w:ilvl w:val="0"/>
          <w:numId w:val="19"/>
        </w:numPr>
        <w:spacing w:line="276" w:lineRule="auto"/>
        <w:ind w:left="426" w:hanging="426"/>
        <w:rPr>
          <w:sz w:val="18"/>
        </w:rPr>
      </w:pPr>
      <w:r w:rsidRPr="006136B2">
        <w:rPr>
          <w:sz w:val="18"/>
        </w:rPr>
        <w:t>STIR uses a higher level temperature threshold for the reporting of FNHTR</w:t>
      </w:r>
    </w:p>
    <w:p w14:paraId="456CF3A3" w14:textId="77777777" w:rsidR="006136B2" w:rsidRPr="006136B2" w:rsidRDefault="006136B2" w:rsidP="006136B2">
      <w:pPr>
        <w:pStyle w:val="ListParagraph"/>
        <w:numPr>
          <w:ilvl w:val="0"/>
          <w:numId w:val="19"/>
        </w:numPr>
        <w:spacing w:line="276" w:lineRule="auto"/>
        <w:ind w:left="426" w:hanging="426"/>
        <w:rPr>
          <w:sz w:val="18"/>
        </w:rPr>
      </w:pPr>
      <w:r w:rsidRPr="006136B2">
        <w:rPr>
          <w:sz w:val="18"/>
        </w:rPr>
        <w:t>QLD uses the 2010 AHMDS for all reporting</w:t>
      </w:r>
    </w:p>
    <w:p w14:paraId="7FCB7C5E" w14:textId="77777777" w:rsidR="006136B2" w:rsidRPr="006136B2" w:rsidRDefault="006136B2" w:rsidP="006136B2">
      <w:pPr>
        <w:pStyle w:val="ListParagraph"/>
        <w:numPr>
          <w:ilvl w:val="0"/>
          <w:numId w:val="19"/>
        </w:numPr>
        <w:spacing w:line="276" w:lineRule="auto"/>
        <w:ind w:left="426" w:hanging="426"/>
        <w:rPr>
          <w:sz w:val="18"/>
        </w:rPr>
      </w:pPr>
      <w:r w:rsidRPr="006136B2">
        <w:rPr>
          <w:sz w:val="18"/>
        </w:rPr>
        <w:t>In 2018-19, some states reported new adverse events in accordance with the 2015 AHMDS. Refer to each adverse event reporting for details</w:t>
      </w:r>
    </w:p>
    <w:p w14:paraId="3C6F1F47" w14:textId="77777777" w:rsidR="006136B2" w:rsidRPr="006136B2" w:rsidRDefault="006136B2" w:rsidP="006136B2">
      <w:pPr>
        <w:pStyle w:val="Caption"/>
        <w:keepNext/>
        <w:spacing w:after="0"/>
        <w:rPr>
          <w:b/>
          <w:i w:val="0"/>
        </w:rPr>
      </w:pPr>
      <w:bookmarkStart w:id="15" w:name="_Toc64836407"/>
      <w:r w:rsidRPr="006136B2">
        <w:rPr>
          <w:b/>
          <w:i w:val="0"/>
          <w:color w:val="auto"/>
        </w:rPr>
        <w:lastRenderedPageBreak/>
        <w:t xml:space="preserve">Table </w:t>
      </w:r>
      <w:r w:rsidRPr="006136B2">
        <w:rPr>
          <w:b/>
          <w:i w:val="0"/>
          <w:color w:val="auto"/>
        </w:rPr>
        <w:fldChar w:fldCharType="begin"/>
      </w:r>
      <w:r w:rsidRPr="006136B2">
        <w:rPr>
          <w:b/>
          <w:i w:val="0"/>
          <w:color w:val="auto"/>
        </w:rPr>
        <w:instrText xml:space="preserve"> SEQ Table \* ARABIC </w:instrText>
      </w:r>
      <w:r w:rsidRPr="006136B2">
        <w:rPr>
          <w:b/>
          <w:i w:val="0"/>
          <w:color w:val="auto"/>
        </w:rPr>
        <w:fldChar w:fldCharType="separate"/>
      </w:r>
      <w:r w:rsidR="001F7368">
        <w:rPr>
          <w:b/>
          <w:i w:val="0"/>
          <w:noProof/>
          <w:color w:val="auto"/>
        </w:rPr>
        <w:t>4</w:t>
      </w:r>
      <w:r w:rsidRPr="006136B2">
        <w:rPr>
          <w:b/>
          <w:i w:val="0"/>
          <w:color w:val="auto"/>
        </w:rPr>
        <w:fldChar w:fldCharType="end"/>
      </w:r>
      <w:r w:rsidRPr="006136B2">
        <w:rPr>
          <w:b/>
          <w:i w:val="0"/>
          <w:color w:val="auto"/>
        </w:rPr>
        <w:t>: Adverse events by clinical outcome severity, 2018–19</w:t>
      </w:r>
      <w:bookmarkEnd w:id="15"/>
    </w:p>
    <w:p w14:paraId="0E0FCDD3" w14:textId="77777777" w:rsidR="006136B2" w:rsidRDefault="00817059" w:rsidP="006136B2">
      <w:pPr>
        <w:spacing w:after="0"/>
      </w:pPr>
      <w:r w:rsidRPr="00817059">
        <w:rPr>
          <w:noProof/>
          <w:lang w:eastAsia="en-AU"/>
        </w:rPr>
        <w:drawing>
          <wp:inline distT="0" distB="0" distL="0" distR="0" wp14:anchorId="008AF233" wp14:editId="6D7A490B">
            <wp:extent cx="5382895" cy="4429125"/>
            <wp:effectExtent l="0" t="0" r="825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2895" cy="4429125"/>
                    </a:xfrm>
                    <a:prstGeom prst="rect">
                      <a:avLst/>
                    </a:prstGeom>
                    <a:noFill/>
                    <a:ln>
                      <a:noFill/>
                    </a:ln>
                  </pic:spPr>
                </pic:pic>
              </a:graphicData>
            </a:graphic>
          </wp:inline>
        </w:drawing>
      </w:r>
    </w:p>
    <w:p w14:paraId="0F57C1C4" w14:textId="77777777" w:rsidR="006136B2" w:rsidRPr="006136B2" w:rsidRDefault="006136B2" w:rsidP="006136B2">
      <w:pPr>
        <w:spacing w:after="0"/>
        <w:rPr>
          <w:sz w:val="18"/>
        </w:rPr>
      </w:pPr>
      <w:r w:rsidRPr="006136B2">
        <w:rPr>
          <w:sz w:val="18"/>
        </w:rPr>
        <w:t>Notes</w:t>
      </w:r>
    </w:p>
    <w:p w14:paraId="34B132D4" w14:textId="77777777" w:rsidR="006136B2" w:rsidRPr="006136B2" w:rsidRDefault="006136B2" w:rsidP="006136B2">
      <w:pPr>
        <w:pStyle w:val="ListParagraph"/>
        <w:numPr>
          <w:ilvl w:val="0"/>
          <w:numId w:val="21"/>
        </w:numPr>
        <w:spacing w:after="0"/>
        <w:ind w:left="426" w:hanging="426"/>
        <w:rPr>
          <w:sz w:val="18"/>
        </w:rPr>
      </w:pPr>
      <w:r w:rsidRPr="006136B2">
        <w:rPr>
          <w:sz w:val="18"/>
        </w:rPr>
        <w:t>All states/territories contributed the data</w:t>
      </w:r>
    </w:p>
    <w:p w14:paraId="0CF7B274" w14:textId="77777777" w:rsidR="006136B2" w:rsidRPr="006136B2" w:rsidRDefault="006136B2" w:rsidP="006136B2">
      <w:pPr>
        <w:pStyle w:val="ListParagraph"/>
        <w:numPr>
          <w:ilvl w:val="0"/>
          <w:numId w:val="21"/>
        </w:numPr>
        <w:spacing w:after="0"/>
        <w:ind w:left="426" w:hanging="426"/>
        <w:rPr>
          <w:sz w:val="18"/>
        </w:rPr>
      </w:pPr>
      <w:r w:rsidRPr="006136B2">
        <w:rPr>
          <w:sz w:val="18"/>
        </w:rPr>
        <w:t>All TTIs were suspected but not confirmed bacterial infection</w:t>
      </w:r>
    </w:p>
    <w:p w14:paraId="1585D1E7" w14:textId="77777777" w:rsidR="006136B2" w:rsidRPr="006136B2" w:rsidRDefault="006136B2" w:rsidP="006136B2">
      <w:pPr>
        <w:pStyle w:val="ListParagraph"/>
        <w:numPr>
          <w:ilvl w:val="0"/>
          <w:numId w:val="21"/>
        </w:numPr>
        <w:spacing w:after="0"/>
        <w:ind w:left="426" w:hanging="426"/>
        <w:rPr>
          <w:sz w:val="18"/>
        </w:rPr>
      </w:pPr>
      <w:r w:rsidRPr="006136B2">
        <w:rPr>
          <w:sz w:val="18"/>
        </w:rPr>
        <w:t>STIR uses a higher level temperature threshold for the reporting of FNHTR</w:t>
      </w:r>
    </w:p>
    <w:p w14:paraId="49D24284" w14:textId="77777777" w:rsidR="006136B2" w:rsidRPr="006136B2" w:rsidRDefault="006136B2" w:rsidP="006136B2">
      <w:pPr>
        <w:pStyle w:val="ListParagraph"/>
        <w:numPr>
          <w:ilvl w:val="0"/>
          <w:numId w:val="21"/>
        </w:numPr>
        <w:spacing w:after="0"/>
        <w:ind w:left="426" w:hanging="426"/>
        <w:rPr>
          <w:sz w:val="18"/>
        </w:rPr>
      </w:pPr>
      <w:r w:rsidRPr="006136B2">
        <w:rPr>
          <w:sz w:val="18"/>
        </w:rPr>
        <w:t>QLD uses the 2010 AHMDS for all reporting</w:t>
      </w:r>
    </w:p>
    <w:p w14:paraId="224E9341" w14:textId="77777777" w:rsidR="006136B2" w:rsidRPr="006136B2" w:rsidRDefault="006136B2" w:rsidP="006136B2">
      <w:pPr>
        <w:pStyle w:val="ListParagraph"/>
        <w:numPr>
          <w:ilvl w:val="0"/>
          <w:numId w:val="21"/>
        </w:numPr>
        <w:spacing w:after="0"/>
        <w:ind w:left="426" w:hanging="426"/>
        <w:rPr>
          <w:sz w:val="18"/>
        </w:rPr>
      </w:pPr>
      <w:r w:rsidRPr="006136B2">
        <w:rPr>
          <w:sz w:val="18"/>
        </w:rPr>
        <w:t>In 2018-19, some states reported new adverse events in accordance with the 2015 AHMDS. Refer to each adverse event reporting for details</w:t>
      </w:r>
    </w:p>
    <w:p w14:paraId="3B73DB29" w14:textId="77777777" w:rsidR="006136B2" w:rsidRDefault="006136B2" w:rsidP="006136B2">
      <w:pPr>
        <w:spacing w:after="0"/>
      </w:pPr>
    </w:p>
    <w:p w14:paraId="66AB96B9" w14:textId="77777777" w:rsidR="006136B2" w:rsidRPr="006136B2" w:rsidRDefault="006136B2" w:rsidP="006136B2">
      <w:pPr>
        <w:pStyle w:val="Caption"/>
        <w:keepNext/>
        <w:spacing w:after="0"/>
        <w:rPr>
          <w:b/>
          <w:i w:val="0"/>
          <w:color w:val="auto"/>
        </w:rPr>
      </w:pPr>
      <w:bookmarkStart w:id="16" w:name="_Toc64836408"/>
      <w:r w:rsidRPr="006136B2">
        <w:rPr>
          <w:b/>
          <w:i w:val="0"/>
          <w:color w:val="auto"/>
        </w:rPr>
        <w:lastRenderedPageBreak/>
        <w:t xml:space="preserve">Table </w:t>
      </w:r>
      <w:r w:rsidRPr="006136B2">
        <w:rPr>
          <w:b/>
          <w:i w:val="0"/>
          <w:color w:val="auto"/>
        </w:rPr>
        <w:fldChar w:fldCharType="begin"/>
      </w:r>
      <w:r w:rsidRPr="006136B2">
        <w:rPr>
          <w:b/>
          <w:i w:val="0"/>
          <w:color w:val="auto"/>
        </w:rPr>
        <w:instrText xml:space="preserve"> SEQ Table \* ARABIC </w:instrText>
      </w:r>
      <w:r w:rsidRPr="006136B2">
        <w:rPr>
          <w:b/>
          <w:i w:val="0"/>
          <w:color w:val="auto"/>
        </w:rPr>
        <w:fldChar w:fldCharType="separate"/>
      </w:r>
      <w:r w:rsidR="001F7368">
        <w:rPr>
          <w:b/>
          <w:i w:val="0"/>
          <w:noProof/>
          <w:color w:val="auto"/>
        </w:rPr>
        <w:t>5</w:t>
      </w:r>
      <w:r w:rsidRPr="006136B2">
        <w:rPr>
          <w:b/>
          <w:i w:val="0"/>
          <w:color w:val="auto"/>
        </w:rPr>
        <w:fldChar w:fldCharType="end"/>
      </w:r>
      <w:r w:rsidRPr="006136B2">
        <w:rPr>
          <w:b/>
          <w:i w:val="0"/>
          <w:color w:val="auto"/>
        </w:rPr>
        <w:t>: Reported adverse events by sex, 2018–19</w:t>
      </w:r>
      <w:bookmarkEnd w:id="16"/>
    </w:p>
    <w:p w14:paraId="5FC22773" w14:textId="77777777" w:rsidR="006136B2" w:rsidRDefault="00817059" w:rsidP="006136B2">
      <w:pPr>
        <w:spacing w:after="0"/>
      </w:pPr>
      <w:r w:rsidRPr="00817059">
        <w:rPr>
          <w:noProof/>
          <w:lang w:eastAsia="en-AU"/>
        </w:rPr>
        <w:drawing>
          <wp:inline distT="0" distB="0" distL="0" distR="0" wp14:anchorId="075125E2" wp14:editId="4F2709EB">
            <wp:extent cx="4563745" cy="3601720"/>
            <wp:effectExtent l="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3745" cy="3601720"/>
                    </a:xfrm>
                    <a:prstGeom prst="rect">
                      <a:avLst/>
                    </a:prstGeom>
                    <a:noFill/>
                    <a:ln>
                      <a:noFill/>
                    </a:ln>
                  </pic:spPr>
                </pic:pic>
              </a:graphicData>
            </a:graphic>
          </wp:inline>
        </w:drawing>
      </w:r>
    </w:p>
    <w:p w14:paraId="3670445D" w14:textId="77777777" w:rsidR="00A37A29" w:rsidRPr="00A37A29" w:rsidRDefault="00A37A29" w:rsidP="00A37A29">
      <w:pPr>
        <w:spacing w:after="0"/>
        <w:rPr>
          <w:sz w:val="18"/>
        </w:rPr>
      </w:pPr>
      <w:r w:rsidRPr="00A37A29">
        <w:rPr>
          <w:sz w:val="18"/>
        </w:rPr>
        <w:t>Notes</w:t>
      </w:r>
    </w:p>
    <w:p w14:paraId="0BFB789C" w14:textId="77777777" w:rsidR="00A37A29" w:rsidRPr="00A37A29" w:rsidRDefault="00A37A29" w:rsidP="00A37A29">
      <w:pPr>
        <w:pStyle w:val="ListParagraph"/>
        <w:numPr>
          <w:ilvl w:val="0"/>
          <w:numId w:val="24"/>
        </w:numPr>
        <w:spacing w:after="0"/>
        <w:ind w:left="426" w:hanging="426"/>
        <w:rPr>
          <w:sz w:val="18"/>
        </w:rPr>
      </w:pPr>
      <w:r w:rsidRPr="00A37A29">
        <w:rPr>
          <w:sz w:val="18"/>
        </w:rPr>
        <w:t>Sex data incomplete for NSW</w:t>
      </w:r>
    </w:p>
    <w:p w14:paraId="494E9D76" w14:textId="77777777" w:rsidR="006136B2" w:rsidRPr="00A37A29" w:rsidRDefault="00A37A29" w:rsidP="00A37A29">
      <w:pPr>
        <w:pStyle w:val="ListParagraph"/>
        <w:numPr>
          <w:ilvl w:val="0"/>
          <w:numId w:val="24"/>
        </w:numPr>
        <w:spacing w:after="0"/>
        <w:ind w:left="426" w:hanging="426"/>
        <w:rPr>
          <w:sz w:val="18"/>
        </w:rPr>
      </w:pPr>
      <w:r w:rsidRPr="00A37A29">
        <w:rPr>
          <w:sz w:val="18"/>
        </w:rPr>
        <w:t>In 2018-19, some states reported new adverse events in accordance with the 2015 AHMDS. Refer to each adverse event reporting for details</w:t>
      </w:r>
    </w:p>
    <w:p w14:paraId="67FB98D3" w14:textId="77777777" w:rsidR="006136B2" w:rsidRDefault="006136B2" w:rsidP="006136B2">
      <w:pPr>
        <w:spacing w:after="0"/>
      </w:pPr>
    </w:p>
    <w:p w14:paraId="3A22B224" w14:textId="77777777" w:rsidR="00F3556D" w:rsidRPr="00F3556D" w:rsidRDefault="00F3556D" w:rsidP="00F3556D">
      <w:pPr>
        <w:pStyle w:val="Caption"/>
        <w:keepNext/>
        <w:spacing w:after="0"/>
        <w:rPr>
          <w:b/>
          <w:i w:val="0"/>
          <w:color w:val="auto"/>
        </w:rPr>
      </w:pPr>
      <w:bookmarkStart w:id="17" w:name="_Toc64836409"/>
      <w:r w:rsidRPr="00F3556D">
        <w:rPr>
          <w:b/>
          <w:i w:val="0"/>
          <w:color w:val="auto"/>
        </w:rPr>
        <w:t xml:space="preserve">Table </w:t>
      </w:r>
      <w:r w:rsidRPr="00F3556D">
        <w:rPr>
          <w:b/>
          <w:i w:val="0"/>
          <w:color w:val="auto"/>
        </w:rPr>
        <w:fldChar w:fldCharType="begin"/>
      </w:r>
      <w:r w:rsidRPr="00F3556D">
        <w:rPr>
          <w:b/>
          <w:i w:val="0"/>
          <w:color w:val="auto"/>
        </w:rPr>
        <w:instrText xml:space="preserve"> SEQ Table \* ARABIC </w:instrText>
      </w:r>
      <w:r w:rsidRPr="00F3556D">
        <w:rPr>
          <w:b/>
          <w:i w:val="0"/>
          <w:color w:val="auto"/>
        </w:rPr>
        <w:fldChar w:fldCharType="separate"/>
      </w:r>
      <w:r w:rsidR="001F7368">
        <w:rPr>
          <w:b/>
          <w:i w:val="0"/>
          <w:noProof/>
          <w:color w:val="auto"/>
        </w:rPr>
        <w:t>6</w:t>
      </w:r>
      <w:r w:rsidRPr="00F3556D">
        <w:rPr>
          <w:b/>
          <w:i w:val="0"/>
          <w:color w:val="auto"/>
        </w:rPr>
        <w:fldChar w:fldCharType="end"/>
      </w:r>
      <w:r w:rsidRPr="00F3556D">
        <w:rPr>
          <w:b/>
          <w:i w:val="0"/>
          <w:color w:val="auto"/>
        </w:rPr>
        <w:t>: Adverse events by age and sex, 2018–19</w:t>
      </w:r>
      <w:bookmarkEnd w:id="17"/>
    </w:p>
    <w:p w14:paraId="6018E099" w14:textId="77777777" w:rsidR="006136B2" w:rsidRDefault="00817059" w:rsidP="006136B2">
      <w:pPr>
        <w:spacing w:after="0"/>
      </w:pPr>
      <w:r w:rsidRPr="00817059">
        <w:rPr>
          <w:noProof/>
          <w:lang w:eastAsia="en-AU"/>
        </w:rPr>
        <w:drawing>
          <wp:inline distT="0" distB="0" distL="0" distR="0" wp14:anchorId="27B46CC4" wp14:editId="4FBD605C">
            <wp:extent cx="5208270" cy="26003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8270" cy="2600325"/>
                    </a:xfrm>
                    <a:prstGeom prst="rect">
                      <a:avLst/>
                    </a:prstGeom>
                    <a:noFill/>
                    <a:ln>
                      <a:noFill/>
                    </a:ln>
                  </pic:spPr>
                </pic:pic>
              </a:graphicData>
            </a:graphic>
          </wp:inline>
        </w:drawing>
      </w:r>
    </w:p>
    <w:p w14:paraId="356D3F66" w14:textId="77777777" w:rsidR="00F3556D" w:rsidRPr="00F3556D" w:rsidRDefault="00F3556D" w:rsidP="006136B2">
      <w:pPr>
        <w:spacing w:after="0"/>
        <w:rPr>
          <w:sz w:val="18"/>
        </w:rPr>
      </w:pPr>
      <w:r w:rsidRPr="00F3556D">
        <w:rPr>
          <w:sz w:val="18"/>
        </w:rPr>
        <w:t>Note: Sex data incomplete for NSW</w:t>
      </w:r>
    </w:p>
    <w:p w14:paraId="3B260286" w14:textId="77777777" w:rsidR="00F3556D" w:rsidRDefault="00F3556D" w:rsidP="006136B2">
      <w:pPr>
        <w:spacing w:after="0"/>
      </w:pPr>
    </w:p>
    <w:p w14:paraId="3C3B99AF" w14:textId="77777777" w:rsidR="00F3556D" w:rsidRPr="00F3556D" w:rsidRDefault="00F3556D" w:rsidP="00F3556D">
      <w:pPr>
        <w:pStyle w:val="Caption"/>
        <w:keepNext/>
        <w:spacing w:after="0"/>
        <w:rPr>
          <w:b/>
          <w:i w:val="0"/>
          <w:color w:val="auto"/>
        </w:rPr>
      </w:pPr>
      <w:bookmarkStart w:id="18" w:name="_Toc64836410"/>
      <w:r w:rsidRPr="00F3556D">
        <w:rPr>
          <w:b/>
          <w:i w:val="0"/>
          <w:color w:val="auto"/>
        </w:rPr>
        <w:lastRenderedPageBreak/>
        <w:t xml:space="preserve">Table </w:t>
      </w:r>
      <w:r w:rsidRPr="00F3556D">
        <w:rPr>
          <w:b/>
          <w:i w:val="0"/>
          <w:color w:val="auto"/>
        </w:rPr>
        <w:fldChar w:fldCharType="begin"/>
      </w:r>
      <w:r w:rsidRPr="00F3556D">
        <w:rPr>
          <w:b/>
          <w:i w:val="0"/>
          <w:color w:val="auto"/>
        </w:rPr>
        <w:instrText xml:space="preserve"> SEQ Table \* ARABIC </w:instrText>
      </w:r>
      <w:r w:rsidRPr="00F3556D">
        <w:rPr>
          <w:b/>
          <w:i w:val="0"/>
          <w:color w:val="auto"/>
        </w:rPr>
        <w:fldChar w:fldCharType="separate"/>
      </w:r>
      <w:r w:rsidR="001F7368">
        <w:rPr>
          <w:b/>
          <w:i w:val="0"/>
          <w:noProof/>
          <w:color w:val="auto"/>
        </w:rPr>
        <w:t>7</w:t>
      </w:r>
      <w:r w:rsidRPr="00F3556D">
        <w:rPr>
          <w:b/>
          <w:i w:val="0"/>
          <w:color w:val="auto"/>
        </w:rPr>
        <w:fldChar w:fldCharType="end"/>
      </w:r>
      <w:r w:rsidRPr="00F3556D">
        <w:rPr>
          <w:b/>
          <w:i w:val="0"/>
          <w:color w:val="auto"/>
        </w:rPr>
        <w:t>: Serious adverse events by outcome severity and imputability score, 2018–19</w:t>
      </w:r>
      <w:bookmarkEnd w:id="18"/>
    </w:p>
    <w:p w14:paraId="5583A198" w14:textId="77777777" w:rsidR="00F3556D" w:rsidRDefault="00817059" w:rsidP="006136B2">
      <w:pPr>
        <w:spacing w:after="0"/>
      </w:pPr>
      <w:r w:rsidRPr="00817059">
        <w:rPr>
          <w:noProof/>
          <w:lang w:eastAsia="en-AU"/>
        </w:rPr>
        <w:drawing>
          <wp:inline distT="0" distB="0" distL="0" distR="0" wp14:anchorId="2F269C5D" wp14:editId="774967AF">
            <wp:extent cx="5057140" cy="1192530"/>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7140" cy="1192530"/>
                    </a:xfrm>
                    <a:prstGeom prst="rect">
                      <a:avLst/>
                    </a:prstGeom>
                    <a:noFill/>
                    <a:ln>
                      <a:noFill/>
                    </a:ln>
                  </pic:spPr>
                </pic:pic>
              </a:graphicData>
            </a:graphic>
          </wp:inline>
        </w:drawing>
      </w:r>
    </w:p>
    <w:p w14:paraId="35DB27F3" w14:textId="77777777" w:rsidR="00F3556D" w:rsidRPr="00F3556D" w:rsidRDefault="00F3556D" w:rsidP="00F3556D">
      <w:pPr>
        <w:spacing w:after="0"/>
        <w:rPr>
          <w:sz w:val="18"/>
        </w:rPr>
      </w:pPr>
      <w:r w:rsidRPr="00F3556D">
        <w:rPr>
          <w:sz w:val="18"/>
        </w:rPr>
        <w:t>Notes</w:t>
      </w:r>
    </w:p>
    <w:p w14:paraId="3398660D" w14:textId="77777777" w:rsidR="00F3556D" w:rsidRPr="00F3556D" w:rsidRDefault="00F3556D" w:rsidP="00F3556D">
      <w:pPr>
        <w:pStyle w:val="ListParagraph"/>
        <w:numPr>
          <w:ilvl w:val="0"/>
          <w:numId w:val="26"/>
        </w:numPr>
        <w:spacing w:after="0"/>
        <w:ind w:left="426" w:hanging="426"/>
        <w:rPr>
          <w:sz w:val="18"/>
        </w:rPr>
      </w:pPr>
      <w:r w:rsidRPr="00F3556D">
        <w:rPr>
          <w:sz w:val="18"/>
        </w:rPr>
        <w:t>Not assessable and excluded/unlikely imputability scores are not included in the analysis</w:t>
      </w:r>
    </w:p>
    <w:p w14:paraId="788FD337" w14:textId="77777777" w:rsidR="00F3556D" w:rsidRPr="00F3556D" w:rsidRDefault="00F3556D" w:rsidP="00F3556D">
      <w:pPr>
        <w:pStyle w:val="ListParagraph"/>
        <w:numPr>
          <w:ilvl w:val="0"/>
          <w:numId w:val="26"/>
        </w:numPr>
        <w:spacing w:after="0"/>
        <w:ind w:left="426" w:hanging="426"/>
        <w:rPr>
          <w:sz w:val="18"/>
        </w:rPr>
      </w:pPr>
      <w:r w:rsidRPr="00F3556D">
        <w:rPr>
          <w:sz w:val="18"/>
        </w:rPr>
        <w:t>Outcome severity with unknown outcomes, minor and no morbidities are not included in the analysis</w:t>
      </w:r>
    </w:p>
    <w:p w14:paraId="40A6E4A9" w14:textId="77777777" w:rsidR="00F3556D" w:rsidRDefault="00F3556D" w:rsidP="006136B2">
      <w:pPr>
        <w:spacing w:after="0"/>
      </w:pPr>
    </w:p>
    <w:p w14:paraId="5D9EEEA6" w14:textId="77777777" w:rsidR="00F3556D" w:rsidRDefault="00F3556D">
      <w:pPr>
        <w:spacing w:line="276" w:lineRule="auto"/>
      </w:pPr>
      <w:r>
        <w:br w:type="page"/>
      </w:r>
    </w:p>
    <w:p w14:paraId="35364C8B" w14:textId="77777777" w:rsidR="00F3556D" w:rsidRDefault="00F3556D" w:rsidP="00F3556D">
      <w:pPr>
        <w:pStyle w:val="Heading4"/>
        <w:spacing w:after="240"/>
      </w:pPr>
      <w:bookmarkStart w:id="19" w:name="_Toc64836309"/>
      <w:r>
        <w:lastRenderedPageBreak/>
        <w:t>Cumulative results for 2013-14 to 2018-19</w:t>
      </w:r>
      <w:bookmarkEnd w:id="19"/>
    </w:p>
    <w:p w14:paraId="7F233C18" w14:textId="77777777" w:rsidR="00F3556D" w:rsidRPr="00F3556D" w:rsidRDefault="00F3556D" w:rsidP="00F3556D">
      <w:pPr>
        <w:pStyle w:val="Caption"/>
        <w:keepNext/>
        <w:spacing w:after="0"/>
        <w:rPr>
          <w:b/>
          <w:i w:val="0"/>
          <w:color w:val="auto"/>
        </w:rPr>
      </w:pPr>
      <w:bookmarkStart w:id="20" w:name="_Toc64836411"/>
      <w:r w:rsidRPr="00F3556D">
        <w:rPr>
          <w:b/>
          <w:i w:val="0"/>
          <w:color w:val="auto"/>
        </w:rPr>
        <w:t xml:space="preserve">Table </w:t>
      </w:r>
      <w:r w:rsidRPr="00F3556D">
        <w:rPr>
          <w:b/>
          <w:i w:val="0"/>
          <w:color w:val="auto"/>
        </w:rPr>
        <w:fldChar w:fldCharType="begin"/>
      </w:r>
      <w:r w:rsidRPr="00F3556D">
        <w:rPr>
          <w:b/>
          <w:i w:val="0"/>
          <w:color w:val="auto"/>
        </w:rPr>
        <w:instrText xml:space="preserve"> SEQ Table \* ARABIC </w:instrText>
      </w:r>
      <w:r w:rsidRPr="00F3556D">
        <w:rPr>
          <w:b/>
          <w:i w:val="0"/>
          <w:color w:val="auto"/>
        </w:rPr>
        <w:fldChar w:fldCharType="separate"/>
      </w:r>
      <w:r w:rsidR="001F7368">
        <w:rPr>
          <w:b/>
          <w:i w:val="0"/>
          <w:noProof/>
          <w:color w:val="auto"/>
        </w:rPr>
        <w:t>8</w:t>
      </w:r>
      <w:r w:rsidRPr="00F3556D">
        <w:rPr>
          <w:b/>
          <w:i w:val="0"/>
          <w:color w:val="auto"/>
        </w:rPr>
        <w:fldChar w:fldCharType="end"/>
      </w:r>
      <w:r w:rsidRPr="00F3556D">
        <w:rPr>
          <w:b/>
          <w:i w:val="0"/>
          <w:color w:val="auto"/>
        </w:rPr>
        <w:t>: Adverse events by state, 2014–15 to 2018–19</w:t>
      </w:r>
      <w:bookmarkEnd w:id="20"/>
    </w:p>
    <w:p w14:paraId="2B1236AC" w14:textId="77777777" w:rsidR="003E771D" w:rsidRDefault="003E771D" w:rsidP="00F3556D">
      <w:pPr>
        <w:spacing w:after="0"/>
        <w:rPr>
          <w:sz w:val="18"/>
        </w:rPr>
      </w:pPr>
      <w:r w:rsidRPr="003E771D">
        <w:rPr>
          <w:noProof/>
          <w:lang w:eastAsia="en-AU"/>
        </w:rPr>
        <w:drawing>
          <wp:inline distT="0" distB="0" distL="0" distR="0" wp14:anchorId="03813AFA" wp14:editId="3F39F264">
            <wp:extent cx="4278630" cy="2191385"/>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8630" cy="2191385"/>
                    </a:xfrm>
                    <a:prstGeom prst="rect">
                      <a:avLst/>
                    </a:prstGeom>
                    <a:noFill/>
                    <a:ln>
                      <a:noFill/>
                    </a:ln>
                  </pic:spPr>
                </pic:pic>
              </a:graphicData>
            </a:graphic>
          </wp:inline>
        </w:drawing>
      </w:r>
    </w:p>
    <w:p w14:paraId="0252D12D" w14:textId="2F034246" w:rsidR="00F3556D" w:rsidRPr="00F3556D" w:rsidRDefault="00F3556D" w:rsidP="00F3556D">
      <w:pPr>
        <w:spacing w:after="0"/>
        <w:rPr>
          <w:sz w:val="18"/>
        </w:rPr>
      </w:pPr>
      <w:r w:rsidRPr="00F3556D">
        <w:rPr>
          <w:sz w:val="18"/>
        </w:rPr>
        <w:t>Notes</w:t>
      </w:r>
    </w:p>
    <w:p w14:paraId="3E2F58C1" w14:textId="77777777" w:rsidR="00F3556D" w:rsidRPr="00F3556D" w:rsidRDefault="00F3556D" w:rsidP="00F3556D">
      <w:pPr>
        <w:pStyle w:val="ListParagraph"/>
        <w:numPr>
          <w:ilvl w:val="0"/>
          <w:numId w:val="28"/>
        </w:numPr>
        <w:spacing w:after="0"/>
        <w:ind w:left="426" w:hanging="426"/>
        <w:rPr>
          <w:sz w:val="18"/>
        </w:rPr>
      </w:pPr>
      <w:r w:rsidRPr="00F3556D">
        <w:rPr>
          <w:sz w:val="18"/>
        </w:rPr>
        <w:t>ACT reported zero adverse events for 2014–15</w:t>
      </w:r>
    </w:p>
    <w:p w14:paraId="396CC0CD" w14:textId="77777777" w:rsidR="00F3556D" w:rsidRPr="00F3556D" w:rsidRDefault="00F3556D" w:rsidP="00F3556D">
      <w:pPr>
        <w:pStyle w:val="ListParagraph"/>
        <w:numPr>
          <w:ilvl w:val="0"/>
          <w:numId w:val="28"/>
        </w:numPr>
        <w:spacing w:after="0"/>
        <w:ind w:left="426" w:hanging="426"/>
        <w:rPr>
          <w:sz w:val="18"/>
        </w:rPr>
      </w:pPr>
      <w:r w:rsidRPr="00F3556D">
        <w:rPr>
          <w:sz w:val="18"/>
        </w:rPr>
        <w:t>TAS reported zero events for 2015–16 and 2018–19</w:t>
      </w:r>
    </w:p>
    <w:p w14:paraId="1C2D5D67" w14:textId="77777777" w:rsidR="00F3556D" w:rsidRPr="00F3556D" w:rsidRDefault="00F3556D" w:rsidP="00F3556D">
      <w:pPr>
        <w:pStyle w:val="ListParagraph"/>
        <w:numPr>
          <w:ilvl w:val="0"/>
          <w:numId w:val="28"/>
        </w:numPr>
        <w:spacing w:after="0"/>
        <w:ind w:left="426" w:hanging="426"/>
        <w:rPr>
          <w:sz w:val="18"/>
        </w:rPr>
      </w:pPr>
      <w:r w:rsidRPr="00F3556D">
        <w:rPr>
          <w:sz w:val="18"/>
        </w:rPr>
        <w:t>WA did not contribute data for 2014–15</w:t>
      </w:r>
    </w:p>
    <w:p w14:paraId="13650599" w14:textId="77777777" w:rsidR="00F3556D" w:rsidRPr="00F3556D" w:rsidRDefault="00F3556D" w:rsidP="00F3556D">
      <w:pPr>
        <w:pStyle w:val="ListParagraph"/>
        <w:numPr>
          <w:ilvl w:val="0"/>
          <w:numId w:val="28"/>
        </w:numPr>
        <w:spacing w:after="0"/>
        <w:ind w:left="426" w:hanging="426"/>
        <w:rPr>
          <w:sz w:val="18"/>
        </w:rPr>
      </w:pPr>
      <w:r w:rsidRPr="00F3556D">
        <w:rPr>
          <w:sz w:val="18"/>
        </w:rPr>
        <w:t>STIR uses a higher level temperature threshold for the reporting of FNHTR and cases are validated by an expert group prior to finalisation of the report</w:t>
      </w:r>
    </w:p>
    <w:p w14:paraId="25947582" w14:textId="77777777" w:rsidR="00F3556D" w:rsidRPr="00F3556D" w:rsidRDefault="00F3556D" w:rsidP="00F3556D">
      <w:pPr>
        <w:pStyle w:val="ListParagraph"/>
        <w:numPr>
          <w:ilvl w:val="0"/>
          <w:numId w:val="28"/>
        </w:numPr>
        <w:spacing w:after="0"/>
        <w:ind w:left="426" w:hanging="426"/>
        <w:rPr>
          <w:sz w:val="18"/>
        </w:rPr>
      </w:pPr>
      <w:r w:rsidRPr="00F3556D">
        <w:rPr>
          <w:sz w:val="18"/>
        </w:rPr>
        <w:t>QLD uses the 2010 AHMDS for all reporting</w:t>
      </w:r>
    </w:p>
    <w:p w14:paraId="4B6CB52C" w14:textId="77777777" w:rsidR="00F3556D" w:rsidRDefault="00F3556D" w:rsidP="006136B2">
      <w:pPr>
        <w:spacing w:after="0"/>
      </w:pPr>
    </w:p>
    <w:p w14:paraId="246F34A0" w14:textId="77777777" w:rsidR="00F3556D" w:rsidRPr="00F3556D" w:rsidRDefault="00F3556D" w:rsidP="00F3556D">
      <w:pPr>
        <w:pStyle w:val="Caption"/>
        <w:keepNext/>
        <w:spacing w:after="0"/>
        <w:rPr>
          <w:b/>
          <w:i w:val="0"/>
          <w:color w:val="auto"/>
        </w:rPr>
      </w:pPr>
      <w:bookmarkStart w:id="21" w:name="_Toc64836412"/>
      <w:r w:rsidRPr="00F3556D">
        <w:rPr>
          <w:b/>
          <w:i w:val="0"/>
          <w:color w:val="auto"/>
        </w:rPr>
        <w:t xml:space="preserve">Table </w:t>
      </w:r>
      <w:r w:rsidRPr="00F3556D">
        <w:rPr>
          <w:b/>
          <w:i w:val="0"/>
          <w:color w:val="auto"/>
        </w:rPr>
        <w:fldChar w:fldCharType="begin"/>
      </w:r>
      <w:r w:rsidRPr="00F3556D">
        <w:rPr>
          <w:b/>
          <w:i w:val="0"/>
          <w:color w:val="auto"/>
        </w:rPr>
        <w:instrText xml:space="preserve"> SEQ Table \* ARABIC </w:instrText>
      </w:r>
      <w:r w:rsidRPr="00F3556D">
        <w:rPr>
          <w:b/>
          <w:i w:val="0"/>
          <w:color w:val="auto"/>
        </w:rPr>
        <w:fldChar w:fldCharType="separate"/>
      </w:r>
      <w:r w:rsidR="001F7368">
        <w:rPr>
          <w:b/>
          <w:i w:val="0"/>
          <w:noProof/>
          <w:color w:val="auto"/>
        </w:rPr>
        <w:t>9</w:t>
      </w:r>
      <w:r w:rsidRPr="00F3556D">
        <w:rPr>
          <w:b/>
          <w:i w:val="0"/>
          <w:color w:val="auto"/>
        </w:rPr>
        <w:fldChar w:fldCharType="end"/>
      </w:r>
      <w:r w:rsidRPr="00F3556D">
        <w:rPr>
          <w:b/>
          <w:i w:val="0"/>
          <w:color w:val="auto"/>
        </w:rPr>
        <w:t>: Adverse events by hospital type, 2014–15 to 2018–19</w:t>
      </w:r>
      <w:bookmarkEnd w:id="21"/>
    </w:p>
    <w:p w14:paraId="59429738" w14:textId="77777777" w:rsidR="00F3556D" w:rsidRDefault="00817059" w:rsidP="006136B2">
      <w:pPr>
        <w:spacing w:after="0"/>
      </w:pPr>
      <w:r w:rsidRPr="00817059">
        <w:rPr>
          <w:noProof/>
          <w:lang w:eastAsia="en-AU"/>
        </w:rPr>
        <w:drawing>
          <wp:inline distT="0" distB="0" distL="0" distR="0" wp14:anchorId="45466FB7" wp14:editId="3A38A47A">
            <wp:extent cx="5926455" cy="1438720"/>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6455" cy="1438720"/>
                    </a:xfrm>
                    <a:prstGeom prst="rect">
                      <a:avLst/>
                    </a:prstGeom>
                    <a:noFill/>
                    <a:ln>
                      <a:noFill/>
                    </a:ln>
                  </pic:spPr>
                </pic:pic>
              </a:graphicData>
            </a:graphic>
          </wp:inline>
        </w:drawing>
      </w:r>
    </w:p>
    <w:p w14:paraId="6AB028EA" w14:textId="77777777" w:rsidR="00F3556D" w:rsidRPr="00F3556D" w:rsidRDefault="00F3556D" w:rsidP="00F3556D">
      <w:pPr>
        <w:spacing w:after="0"/>
        <w:rPr>
          <w:sz w:val="18"/>
        </w:rPr>
      </w:pPr>
      <w:r w:rsidRPr="00F3556D">
        <w:rPr>
          <w:sz w:val="18"/>
        </w:rPr>
        <w:t>Notes</w:t>
      </w:r>
    </w:p>
    <w:p w14:paraId="031E9697" w14:textId="77777777" w:rsidR="00F3556D" w:rsidRPr="00F3556D" w:rsidRDefault="00F3556D" w:rsidP="00F3556D">
      <w:pPr>
        <w:pStyle w:val="ListParagraph"/>
        <w:numPr>
          <w:ilvl w:val="0"/>
          <w:numId w:val="30"/>
        </w:numPr>
        <w:spacing w:after="0"/>
        <w:ind w:left="426" w:hanging="426"/>
        <w:rPr>
          <w:sz w:val="18"/>
        </w:rPr>
      </w:pPr>
      <w:r w:rsidRPr="00F3556D">
        <w:rPr>
          <w:sz w:val="18"/>
        </w:rPr>
        <w:t>ACT reported zero adverse events for 2014–15</w:t>
      </w:r>
    </w:p>
    <w:p w14:paraId="4783E2D1" w14:textId="77777777" w:rsidR="00F3556D" w:rsidRPr="00F3556D" w:rsidRDefault="00F3556D" w:rsidP="00F3556D">
      <w:pPr>
        <w:pStyle w:val="ListParagraph"/>
        <w:numPr>
          <w:ilvl w:val="0"/>
          <w:numId w:val="30"/>
        </w:numPr>
        <w:spacing w:after="0"/>
        <w:ind w:left="426" w:hanging="426"/>
        <w:rPr>
          <w:sz w:val="18"/>
        </w:rPr>
      </w:pPr>
      <w:r w:rsidRPr="00F3556D">
        <w:rPr>
          <w:sz w:val="18"/>
        </w:rPr>
        <w:t>TAS reported zero events for 2015–16 and 2018–19</w:t>
      </w:r>
    </w:p>
    <w:p w14:paraId="29A13C1A" w14:textId="77777777" w:rsidR="00F3556D" w:rsidRPr="00F3556D" w:rsidRDefault="00F3556D" w:rsidP="00F3556D">
      <w:pPr>
        <w:pStyle w:val="ListParagraph"/>
        <w:numPr>
          <w:ilvl w:val="0"/>
          <w:numId w:val="30"/>
        </w:numPr>
        <w:spacing w:after="0"/>
        <w:ind w:left="426" w:hanging="426"/>
        <w:rPr>
          <w:sz w:val="18"/>
        </w:rPr>
      </w:pPr>
      <w:r w:rsidRPr="00F3556D">
        <w:rPr>
          <w:sz w:val="18"/>
        </w:rPr>
        <w:t>WA did not contribute data for 2014–15</w:t>
      </w:r>
    </w:p>
    <w:p w14:paraId="298B8990" w14:textId="77777777" w:rsidR="00F3556D" w:rsidRPr="00F3556D" w:rsidRDefault="00F3556D" w:rsidP="00F3556D">
      <w:pPr>
        <w:pStyle w:val="ListParagraph"/>
        <w:numPr>
          <w:ilvl w:val="0"/>
          <w:numId w:val="30"/>
        </w:numPr>
        <w:spacing w:after="0"/>
        <w:ind w:left="426" w:hanging="426"/>
        <w:rPr>
          <w:sz w:val="18"/>
        </w:rPr>
      </w:pPr>
      <w:r w:rsidRPr="00F3556D">
        <w:rPr>
          <w:sz w:val="18"/>
        </w:rPr>
        <w:t>Only VIC, QLD and WA contributed private hospital data</w:t>
      </w:r>
    </w:p>
    <w:p w14:paraId="6929242A" w14:textId="08A979AF" w:rsidR="00F3556D" w:rsidRPr="00F3556D" w:rsidRDefault="00F3556D" w:rsidP="00F3556D">
      <w:pPr>
        <w:pStyle w:val="ListParagraph"/>
        <w:numPr>
          <w:ilvl w:val="0"/>
          <w:numId w:val="30"/>
        </w:numPr>
        <w:spacing w:after="0"/>
        <w:ind w:left="426" w:hanging="426"/>
        <w:rPr>
          <w:sz w:val="18"/>
        </w:rPr>
      </w:pPr>
      <w:r w:rsidRPr="00F3556D">
        <w:rPr>
          <w:sz w:val="18"/>
        </w:rPr>
        <w:t xml:space="preserve">Private hospitals include private free-standing day hospital and other private hospitals </w:t>
      </w:r>
    </w:p>
    <w:p w14:paraId="6A5D4AB4" w14:textId="77777777" w:rsidR="00F3556D" w:rsidRDefault="00F3556D" w:rsidP="006136B2">
      <w:pPr>
        <w:spacing w:after="0"/>
      </w:pPr>
    </w:p>
    <w:p w14:paraId="673B1CE3" w14:textId="77777777" w:rsidR="00E4448C" w:rsidRDefault="00E4448C" w:rsidP="00D27164">
      <w:pPr>
        <w:pStyle w:val="Caption"/>
        <w:keepNext/>
        <w:spacing w:after="0"/>
        <w:rPr>
          <w:b/>
          <w:i w:val="0"/>
          <w:color w:val="auto"/>
        </w:rPr>
      </w:pPr>
      <w:r>
        <w:rPr>
          <w:b/>
          <w:i w:val="0"/>
          <w:color w:val="auto"/>
        </w:rPr>
        <w:br/>
      </w:r>
    </w:p>
    <w:p w14:paraId="055EC18E" w14:textId="77777777" w:rsidR="00E4448C" w:rsidRDefault="00E4448C">
      <w:pPr>
        <w:spacing w:line="276" w:lineRule="auto"/>
        <w:rPr>
          <w:b/>
          <w:iCs/>
          <w:sz w:val="18"/>
          <w:szCs w:val="18"/>
        </w:rPr>
      </w:pPr>
      <w:r>
        <w:rPr>
          <w:b/>
          <w:i/>
        </w:rPr>
        <w:br w:type="page"/>
      </w:r>
    </w:p>
    <w:p w14:paraId="1807C75D" w14:textId="61D00BBA" w:rsidR="00D27164" w:rsidRPr="00D27164" w:rsidRDefault="00D27164" w:rsidP="00D27164">
      <w:pPr>
        <w:pStyle w:val="Caption"/>
        <w:keepNext/>
        <w:spacing w:after="0"/>
        <w:rPr>
          <w:b/>
          <w:i w:val="0"/>
          <w:color w:val="auto"/>
        </w:rPr>
      </w:pPr>
      <w:bookmarkStart w:id="22" w:name="_Toc64836413"/>
      <w:r w:rsidRPr="00D27164">
        <w:rPr>
          <w:b/>
          <w:i w:val="0"/>
          <w:color w:val="auto"/>
        </w:rPr>
        <w:lastRenderedPageBreak/>
        <w:t xml:space="preserve">Table </w:t>
      </w:r>
      <w:r w:rsidRPr="00D27164">
        <w:rPr>
          <w:b/>
          <w:i w:val="0"/>
          <w:color w:val="auto"/>
        </w:rPr>
        <w:fldChar w:fldCharType="begin"/>
      </w:r>
      <w:r w:rsidRPr="00D27164">
        <w:rPr>
          <w:b/>
          <w:i w:val="0"/>
          <w:color w:val="auto"/>
        </w:rPr>
        <w:instrText xml:space="preserve"> SEQ Table \* ARABIC </w:instrText>
      </w:r>
      <w:r w:rsidRPr="00D27164">
        <w:rPr>
          <w:b/>
          <w:i w:val="0"/>
          <w:color w:val="auto"/>
        </w:rPr>
        <w:fldChar w:fldCharType="separate"/>
      </w:r>
      <w:r w:rsidR="001F7368">
        <w:rPr>
          <w:b/>
          <w:i w:val="0"/>
          <w:noProof/>
          <w:color w:val="auto"/>
        </w:rPr>
        <w:t>10</w:t>
      </w:r>
      <w:r w:rsidRPr="00D27164">
        <w:rPr>
          <w:b/>
          <w:i w:val="0"/>
          <w:color w:val="auto"/>
        </w:rPr>
        <w:fldChar w:fldCharType="end"/>
      </w:r>
      <w:r w:rsidRPr="00D27164">
        <w:rPr>
          <w:b/>
          <w:i w:val="0"/>
          <w:color w:val="auto"/>
        </w:rPr>
        <w:t>: Australian adverse event data, 2014–15 to 2018–19</w:t>
      </w:r>
      <w:bookmarkEnd w:id="22"/>
    </w:p>
    <w:p w14:paraId="3E1507B6" w14:textId="2EB2CAB6" w:rsidR="0077452C" w:rsidRPr="00CE31B4" w:rsidRDefault="003E771D" w:rsidP="0077452C">
      <w:pPr>
        <w:spacing w:after="0"/>
        <w:rPr>
          <w:sz w:val="18"/>
        </w:rPr>
      </w:pPr>
      <w:r w:rsidRPr="003E771D">
        <w:rPr>
          <w:noProof/>
          <w:lang w:eastAsia="en-AU"/>
        </w:rPr>
        <w:drawing>
          <wp:inline distT="0" distB="0" distL="0" distR="0" wp14:anchorId="1245C77E" wp14:editId="1D641A82">
            <wp:extent cx="5692536" cy="3339890"/>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1093" cy="3344911"/>
                    </a:xfrm>
                    <a:prstGeom prst="rect">
                      <a:avLst/>
                    </a:prstGeom>
                    <a:noFill/>
                    <a:ln>
                      <a:noFill/>
                    </a:ln>
                  </pic:spPr>
                </pic:pic>
              </a:graphicData>
            </a:graphic>
          </wp:inline>
        </w:drawing>
      </w:r>
      <w:r w:rsidR="0077452C" w:rsidRPr="00CE31B4">
        <w:rPr>
          <w:sz w:val="18"/>
        </w:rPr>
        <w:t>*Australian Lifeblood (2020), Blood Component Information: An extension of blood component labels</w:t>
      </w:r>
    </w:p>
    <w:p w14:paraId="014380BE" w14:textId="590A44EC" w:rsidR="00D27164" w:rsidRPr="00CE31B4" w:rsidRDefault="00D27164" w:rsidP="00D27164">
      <w:pPr>
        <w:spacing w:after="0"/>
        <w:rPr>
          <w:sz w:val="18"/>
        </w:rPr>
      </w:pPr>
      <w:r w:rsidRPr="00CE31B4">
        <w:rPr>
          <w:sz w:val="18"/>
        </w:rPr>
        <w:t>Notes</w:t>
      </w:r>
    </w:p>
    <w:p w14:paraId="15AEAEE6" w14:textId="77777777" w:rsidR="00D27164" w:rsidRPr="00CE31B4" w:rsidRDefault="00D27164" w:rsidP="00CE31B4">
      <w:pPr>
        <w:pStyle w:val="ListParagraph"/>
        <w:numPr>
          <w:ilvl w:val="0"/>
          <w:numId w:val="32"/>
        </w:numPr>
        <w:spacing w:after="0"/>
        <w:ind w:left="426" w:hanging="426"/>
        <w:rPr>
          <w:sz w:val="18"/>
        </w:rPr>
      </w:pPr>
      <w:r w:rsidRPr="00CE31B4">
        <w:rPr>
          <w:sz w:val="18"/>
        </w:rPr>
        <w:t>ACT reported zero adverse events for 2014–15</w:t>
      </w:r>
    </w:p>
    <w:p w14:paraId="69787808" w14:textId="77777777" w:rsidR="00D27164" w:rsidRPr="00CE31B4" w:rsidRDefault="00D27164" w:rsidP="00CE31B4">
      <w:pPr>
        <w:pStyle w:val="ListParagraph"/>
        <w:numPr>
          <w:ilvl w:val="0"/>
          <w:numId w:val="32"/>
        </w:numPr>
        <w:spacing w:after="0"/>
        <w:ind w:left="426" w:hanging="426"/>
        <w:rPr>
          <w:sz w:val="18"/>
        </w:rPr>
      </w:pPr>
      <w:r w:rsidRPr="00CE31B4">
        <w:rPr>
          <w:sz w:val="18"/>
        </w:rPr>
        <w:t>TAS reported zero events for 2015–16 and 2018–19</w:t>
      </w:r>
    </w:p>
    <w:p w14:paraId="4DA1C560" w14:textId="77777777" w:rsidR="00D27164" w:rsidRPr="00CE31B4" w:rsidRDefault="00D27164" w:rsidP="00CE31B4">
      <w:pPr>
        <w:pStyle w:val="ListParagraph"/>
        <w:numPr>
          <w:ilvl w:val="0"/>
          <w:numId w:val="32"/>
        </w:numPr>
        <w:spacing w:after="0"/>
        <w:ind w:left="426" w:hanging="426"/>
        <w:rPr>
          <w:sz w:val="18"/>
        </w:rPr>
      </w:pPr>
      <w:r w:rsidRPr="00CE31B4">
        <w:rPr>
          <w:sz w:val="18"/>
        </w:rPr>
        <w:t>WA did not contribute data for 2014–15</w:t>
      </w:r>
    </w:p>
    <w:p w14:paraId="521DDCC6" w14:textId="77777777" w:rsidR="00D27164" w:rsidRPr="00CE31B4" w:rsidRDefault="00D27164" w:rsidP="00CE31B4">
      <w:pPr>
        <w:pStyle w:val="ListParagraph"/>
        <w:numPr>
          <w:ilvl w:val="0"/>
          <w:numId w:val="32"/>
        </w:numPr>
        <w:spacing w:after="0"/>
        <w:ind w:left="426" w:hanging="426"/>
        <w:rPr>
          <w:sz w:val="18"/>
        </w:rPr>
      </w:pPr>
      <w:r w:rsidRPr="00CE31B4">
        <w:rPr>
          <w:sz w:val="18"/>
        </w:rPr>
        <w:t>All TTIs were suspected but not confirmed bacterial infections</w:t>
      </w:r>
    </w:p>
    <w:p w14:paraId="5EAB7D28" w14:textId="77777777" w:rsidR="00D27164" w:rsidRPr="00CE31B4" w:rsidRDefault="00D27164" w:rsidP="00CE31B4">
      <w:pPr>
        <w:pStyle w:val="ListParagraph"/>
        <w:numPr>
          <w:ilvl w:val="0"/>
          <w:numId w:val="32"/>
        </w:numPr>
        <w:spacing w:after="0"/>
        <w:ind w:left="426" w:hanging="426"/>
        <w:rPr>
          <w:sz w:val="18"/>
        </w:rPr>
      </w:pPr>
      <w:r w:rsidRPr="00CE31B4">
        <w:rPr>
          <w:sz w:val="18"/>
        </w:rPr>
        <w:t>In 2018-19, some states reported new adverse events in accordance with the 2015 AHMDS. Refer to each adverse event reporting for details</w:t>
      </w:r>
    </w:p>
    <w:p w14:paraId="723930ED" w14:textId="77777777" w:rsidR="00D27164" w:rsidRDefault="00D27164" w:rsidP="006136B2">
      <w:pPr>
        <w:spacing w:after="0"/>
      </w:pPr>
    </w:p>
    <w:p w14:paraId="1716FB59" w14:textId="77777777" w:rsidR="00CE31B4" w:rsidRPr="00CE31B4" w:rsidRDefault="00CE31B4" w:rsidP="00CE31B4">
      <w:pPr>
        <w:pStyle w:val="Caption"/>
        <w:keepNext/>
        <w:spacing w:after="0"/>
        <w:rPr>
          <w:b/>
          <w:i w:val="0"/>
          <w:color w:val="auto"/>
        </w:rPr>
      </w:pPr>
      <w:bookmarkStart w:id="23" w:name="_Toc64836414"/>
      <w:r w:rsidRPr="00CE31B4">
        <w:rPr>
          <w:b/>
          <w:i w:val="0"/>
          <w:color w:val="auto"/>
        </w:rPr>
        <w:t xml:space="preserve">Table </w:t>
      </w:r>
      <w:r w:rsidRPr="00CE31B4">
        <w:rPr>
          <w:b/>
          <w:i w:val="0"/>
          <w:color w:val="auto"/>
        </w:rPr>
        <w:fldChar w:fldCharType="begin"/>
      </w:r>
      <w:r w:rsidRPr="00CE31B4">
        <w:rPr>
          <w:b/>
          <w:i w:val="0"/>
          <w:color w:val="auto"/>
        </w:rPr>
        <w:instrText xml:space="preserve"> SEQ Table \* ARABIC </w:instrText>
      </w:r>
      <w:r w:rsidRPr="00CE31B4">
        <w:rPr>
          <w:b/>
          <w:i w:val="0"/>
          <w:color w:val="auto"/>
        </w:rPr>
        <w:fldChar w:fldCharType="separate"/>
      </w:r>
      <w:r w:rsidR="001F7368">
        <w:rPr>
          <w:b/>
          <w:i w:val="0"/>
          <w:noProof/>
          <w:color w:val="auto"/>
        </w:rPr>
        <w:t>11</w:t>
      </w:r>
      <w:r w:rsidRPr="00CE31B4">
        <w:rPr>
          <w:b/>
          <w:i w:val="0"/>
          <w:color w:val="auto"/>
        </w:rPr>
        <w:fldChar w:fldCharType="end"/>
      </w:r>
      <w:r w:rsidRPr="00CE31B4">
        <w:rPr>
          <w:b/>
          <w:i w:val="0"/>
          <w:color w:val="auto"/>
        </w:rPr>
        <w:t>: Serious Adverse events by state, 2014–15 to 2018–19</w:t>
      </w:r>
      <w:bookmarkEnd w:id="23"/>
    </w:p>
    <w:p w14:paraId="012635AA" w14:textId="77777777" w:rsidR="003E771D" w:rsidRDefault="003E771D" w:rsidP="00CE31B4">
      <w:pPr>
        <w:spacing w:after="0"/>
        <w:rPr>
          <w:sz w:val="18"/>
        </w:rPr>
      </w:pPr>
      <w:r w:rsidRPr="003E771D">
        <w:rPr>
          <w:noProof/>
          <w:lang w:eastAsia="en-AU"/>
        </w:rPr>
        <w:drawing>
          <wp:inline distT="0" distB="0" distL="0" distR="0" wp14:anchorId="6A421456" wp14:editId="1C1501D0">
            <wp:extent cx="4278630" cy="2191385"/>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78630" cy="2191385"/>
                    </a:xfrm>
                    <a:prstGeom prst="rect">
                      <a:avLst/>
                    </a:prstGeom>
                    <a:noFill/>
                    <a:ln>
                      <a:noFill/>
                    </a:ln>
                  </pic:spPr>
                </pic:pic>
              </a:graphicData>
            </a:graphic>
          </wp:inline>
        </w:drawing>
      </w:r>
    </w:p>
    <w:p w14:paraId="2D87F7ED" w14:textId="3A12DFF3" w:rsidR="00CE31B4" w:rsidRPr="00CE31B4" w:rsidRDefault="00CE31B4" w:rsidP="00CE31B4">
      <w:pPr>
        <w:spacing w:after="0"/>
        <w:rPr>
          <w:sz w:val="18"/>
        </w:rPr>
      </w:pPr>
      <w:r w:rsidRPr="00CE31B4">
        <w:rPr>
          <w:sz w:val="18"/>
        </w:rPr>
        <w:t>Notes</w:t>
      </w:r>
    </w:p>
    <w:p w14:paraId="543F060E" w14:textId="77777777" w:rsidR="00CE31B4" w:rsidRPr="00CE31B4" w:rsidRDefault="00CE31B4" w:rsidP="00CE31B4">
      <w:pPr>
        <w:pStyle w:val="ListParagraph"/>
        <w:numPr>
          <w:ilvl w:val="0"/>
          <w:numId w:val="34"/>
        </w:numPr>
        <w:spacing w:after="0"/>
        <w:ind w:left="426" w:hanging="426"/>
        <w:rPr>
          <w:sz w:val="18"/>
        </w:rPr>
      </w:pPr>
      <w:r w:rsidRPr="00CE31B4">
        <w:rPr>
          <w:sz w:val="18"/>
        </w:rPr>
        <w:t>TAS reported zero events for 2015–16 and 2018–19</w:t>
      </w:r>
    </w:p>
    <w:p w14:paraId="10D82174" w14:textId="77777777" w:rsidR="00CE31B4" w:rsidRPr="00CE31B4" w:rsidRDefault="00CE31B4" w:rsidP="00CE31B4">
      <w:pPr>
        <w:pStyle w:val="ListParagraph"/>
        <w:numPr>
          <w:ilvl w:val="0"/>
          <w:numId w:val="34"/>
        </w:numPr>
        <w:spacing w:after="0"/>
        <w:ind w:left="426" w:hanging="426"/>
        <w:rPr>
          <w:sz w:val="18"/>
        </w:rPr>
      </w:pPr>
      <w:r w:rsidRPr="00CE31B4">
        <w:rPr>
          <w:sz w:val="18"/>
        </w:rPr>
        <w:t>ACT reported zero adverse events for 2014–15</w:t>
      </w:r>
    </w:p>
    <w:p w14:paraId="4E8814DD" w14:textId="77777777" w:rsidR="00CE31B4" w:rsidRPr="00CE31B4" w:rsidRDefault="00CE31B4" w:rsidP="00CE31B4">
      <w:pPr>
        <w:pStyle w:val="ListParagraph"/>
        <w:numPr>
          <w:ilvl w:val="0"/>
          <w:numId w:val="34"/>
        </w:numPr>
        <w:spacing w:after="0"/>
        <w:ind w:left="426" w:hanging="426"/>
        <w:rPr>
          <w:sz w:val="18"/>
        </w:rPr>
      </w:pPr>
      <w:r w:rsidRPr="00CE31B4">
        <w:rPr>
          <w:sz w:val="18"/>
        </w:rPr>
        <w:t>WA did not contribute data for 2014–15</w:t>
      </w:r>
    </w:p>
    <w:p w14:paraId="55954531" w14:textId="77777777" w:rsidR="00CE31B4" w:rsidRPr="00CE31B4" w:rsidRDefault="00CE31B4" w:rsidP="00CE31B4">
      <w:pPr>
        <w:pStyle w:val="ListParagraph"/>
        <w:numPr>
          <w:ilvl w:val="0"/>
          <w:numId w:val="34"/>
        </w:numPr>
        <w:spacing w:after="0"/>
        <w:ind w:left="426" w:hanging="426"/>
        <w:rPr>
          <w:sz w:val="18"/>
        </w:rPr>
      </w:pPr>
      <w:r w:rsidRPr="00CE31B4">
        <w:rPr>
          <w:sz w:val="18"/>
        </w:rPr>
        <w:t>All TTIs were suspected but not confirmed bacterial infections</w:t>
      </w:r>
    </w:p>
    <w:p w14:paraId="5A8C39A6" w14:textId="77777777" w:rsidR="00CE31B4" w:rsidRPr="00CE31B4" w:rsidRDefault="00CE31B4" w:rsidP="00CE31B4">
      <w:pPr>
        <w:pStyle w:val="ListParagraph"/>
        <w:numPr>
          <w:ilvl w:val="0"/>
          <w:numId w:val="34"/>
        </w:numPr>
        <w:spacing w:after="0"/>
        <w:ind w:left="426" w:hanging="426"/>
        <w:rPr>
          <w:sz w:val="18"/>
        </w:rPr>
      </w:pPr>
      <w:r w:rsidRPr="00CE31B4">
        <w:rPr>
          <w:sz w:val="18"/>
        </w:rPr>
        <w:t>In 2018-19, some states reported new adverse events in accordance with the 2015 AHMDS. Refer to each adverse event reporting for details</w:t>
      </w:r>
    </w:p>
    <w:p w14:paraId="508C6EC5" w14:textId="77777777" w:rsidR="00CE31B4" w:rsidRDefault="00CE31B4" w:rsidP="006136B2">
      <w:pPr>
        <w:spacing w:after="0"/>
      </w:pPr>
    </w:p>
    <w:p w14:paraId="368250C3" w14:textId="77777777" w:rsidR="00CE31B4" w:rsidRPr="00CE31B4" w:rsidRDefault="00CE31B4" w:rsidP="00CE31B4">
      <w:pPr>
        <w:pStyle w:val="Caption"/>
        <w:keepNext/>
        <w:spacing w:after="0"/>
        <w:rPr>
          <w:b/>
          <w:i w:val="0"/>
          <w:color w:val="auto"/>
        </w:rPr>
      </w:pPr>
      <w:bookmarkStart w:id="24" w:name="_Toc64836415"/>
      <w:r w:rsidRPr="00CE31B4">
        <w:rPr>
          <w:b/>
          <w:i w:val="0"/>
          <w:color w:val="auto"/>
        </w:rPr>
        <w:lastRenderedPageBreak/>
        <w:t xml:space="preserve">Table </w:t>
      </w:r>
      <w:r w:rsidRPr="00CE31B4">
        <w:rPr>
          <w:b/>
          <w:i w:val="0"/>
          <w:color w:val="auto"/>
        </w:rPr>
        <w:fldChar w:fldCharType="begin"/>
      </w:r>
      <w:r w:rsidRPr="00CE31B4">
        <w:rPr>
          <w:b/>
          <w:i w:val="0"/>
          <w:color w:val="auto"/>
        </w:rPr>
        <w:instrText xml:space="preserve"> SEQ Table \* ARABIC </w:instrText>
      </w:r>
      <w:r w:rsidRPr="00CE31B4">
        <w:rPr>
          <w:b/>
          <w:i w:val="0"/>
          <w:color w:val="auto"/>
        </w:rPr>
        <w:fldChar w:fldCharType="separate"/>
      </w:r>
      <w:r w:rsidR="001F7368">
        <w:rPr>
          <w:b/>
          <w:i w:val="0"/>
          <w:noProof/>
          <w:color w:val="auto"/>
        </w:rPr>
        <w:t>12</w:t>
      </w:r>
      <w:r w:rsidRPr="00CE31B4">
        <w:rPr>
          <w:b/>
          <w:i w:val="0"/>
          <w:color w:val="auto"/>
        </w:rPr>
        <w:fldChar w:fldCharType="end"/>
      </w:r>
      <w:r w:rsidRPr="00CE31B4">
        <w:rPr>
          <w:b/>
          <w:i w:val="0"/>
          <w:color w:val="auto"/>
        </w:rPr>
        <w:t xml:space="preserve">: </w:t>
      </w:r>
      <w:r>
        <w:rPr>
          <w:b/>
          <w:i w:val="0"/>
          <w:color w:val="auto"/>
        </w:rPr>
        <w:t xml:space="preserve">Serious adverse events, </w:t>
      </w:r>
      <w:r w:rsidRPr="00CE31B4">
        <w:rPr>
          <w:b/>
          <w:i w:val="0"/>
          <w:color w:val="auto"/>
        </w:rPr>
        <w:t>2014–15 to 2018–19</w:t>
      </w:r>
      <w:bookmarkEnd w:id="24"/>
    </w:p>
    <w:p w14:paraId="40611079" w14:textId="77777777" w:rsidR="00CE31B4" w:rsidRDefault="00817059" w:rsidP="006136B2">
      <w:pPr>
        <w:spacing w:after="0"/>
      </w:pPr>
      <w:r w:rsidRPr="00817059">
        <w:rPr>
          <w:noProof/>
          <w:lang w:eastAsia="en-AU"/>
        </w:rPr>
        <w:drawing>
          <wp:inline distT="0" distB="0" distL="0" distR="0" wp14:anchorId="73CDB92F" wp14:editId="36463EA1">
            <wp:extent cx="5136515" cy="2790825"/>
            <wp:effectExtent l="0" t="0" r="698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6515" cy="2790825"/>
                    </a:xfrm>
                    <a:prstGeom prst="rect">
                      <a:avLst/>
                    </a:prstGeom>
                    <a:noFill/>
                    <a:ln>
                      <a:noFill/>
                    </a:ln>
                  </pic:spPr>
                </pic:pic>
              </a:graphicData>
            </a:graphic>
          </wp:inline>
        </w:drawing>
      </w:r>
    </w:p>
    <w:p w14:paraId="66C1BE4F" w14:textId="77777777" w:rsidR="00CE31B4" w:rsidRPr="00CE31B4" w:rsidRDefault="00CE31B4" w:rsidP="00CE31B4">
      <w:pPr>
        <w:spacing w:after="0"/>
        <w:rPr>
          <w:sz w:val="18"/>
        </w:rPr>
      </w:pPr>
      <w:r w:rsidRPr="00CE31B4">
        <w:rPr>
          <w:sz w:val="18"/>
        </w:rPr>
        <w:t>Notes</w:t>
      </w:r>
    </w:p>
    <w:p w14:paraId="31AEBA10" w14:textId="77777777" w:rsidR="00CE31B4" w:rsidRPr="00CE31B4" w:rsidRDefault="00CE31B4" w:rsidP="00CE31B4">
      <w:pPr>
        <w:pStyle w:val="ListParagraph"/>
        <w:numPr>
          <w:ilvl w:val="0"/>
          <w:numId w:val="36"/>
        </w:numPr>
        <w:spacing w:after="0"/>
        <w:ind w:left="426" w:hanging="426"/>
        <w:rPr>
          <w:sz w:val="18"/>
        </w:rPr>
      </w:pPr>
      <w:r w:rsidRPr="00CE31B4">
        <w:rPr>
          <w:sz w:val="18"/>
        </w:rPr>
        <w:t>TAS reported zero events for 2015–16 and 2018–19</w:t>
      </w:r>
    </w:p>
    <w:p w14:paraId="1724B7BB" w14:textId="77777777" w:rsidR="00CE31B4" w:rsidRPr="00CE31B4" w:rsidRDefault="00CE31B4" w:rsidP="00CE31B4">
      <w:pPr>
        <w:pStyle w:val="ListParagraph"/>
        <w:numPr>
          <w:ilvl w:val="0"/>
          <w:numId w:val="36"/>
        </w:numPr>
        <w:spacing w:after="0"/>
        <w:ind w:left="426" w:hanging="426"/>
        <w:rPr>
          <w:sz w:val="18"/>
        </w:rPr>
      </w:pPr>
      <w:r w:rsidRPr="00CE31B4">
        <w:rPr>
          <w:sz w:val="18"/>
        </w:rPr>
        <w:t>ACT reported zero adverse events for 2014–15</w:t>
      </w:r>
    </w:p>
    <w:p w14:paraId="76A93215" w14:textId="77777777" w:rsidR="00CE31B4" w:rsidRPr="00CE31B4" w:rsidRDefault="00CE31B4" w:rsidP="00CE31B4">
      <w:pPr>
        <w:pStyle w:val="ListParagraph"/>
        <w:numPr>
          <w:ilvl w:val="0"/>
          <w:numId w:val="36"/>
        </w:numPr>
        <w:spacing w:after="0"/>
        <w:ind w:left="426" w:hanging="426"/>
        <w:rPr>
          <w:sz w:val="18"/>
        </w:rPr>
      </w:pPr>
      <w:r w:rsidRPr="00CE31B4">
        <w:rPr>
          <w:sz w:val="18"/>
        </w:rPr>
        <w:t>WA did not contribute data for 2014–15</w:t>
      </w:r>
    </w:p>
    <w:p w14:paraId="53F355D3" w14:textId="77777777" w:rsidR="00CE31B4" w:rsidRPr="00CE31B4" w:rsidRDefault="00CE31B4" w:rsidP="00CE31B4">
      <w:pPr>
        <w:pStyle w:val="ListParagraph"/>
        <w:numPr>
          <w:ilvl w:val="0"/>
          <w:numId w:val="36"/>
        </w:numPr>
        <w:spacing w:after="0"/>
        <w:ind w:left="426" w:hanging="426"/>
        <w:rPr>
          <w:sz w:val="18"/>
        </w:rPr>
      </w:pPr>
      <w:r w:rsidRPr="00CE31B4">
        <w:rPr>
          <w:sz w:val="18"/>
        </w:rPr>
        <w:t>All TTIs were suspected but not confirmed bacterial infections</w:t>
      </w:r>
    </w:p>
    <w:p w14:paraId="393065C8" w14:textId="77777777" w:rsidR="00CE31B4" w:rsidRPr="00CE31B4" w:rsidRDefault="00CE31B4" w:rsidP="00CE31B4">
      <w:pPr>
        <w:pStyle w:val="ListParagraph"/>
        <w:numPr>
          <w:ilvl w:val="0"/>
          <w:numId w:val="36"/>
        </w:numPr>
        <w:spacing w:after="0"/>
        <w:ind w:left="426" w:hanging="426"/>
        <w:rPr>
          <w:sz w:val="18"/>
        </w:rPr>
      </w:pPr>
      <w:r w:rsidRPr="00CE31B4">
        <w:rPr>
          <w:sz w:val="18"/>
        </w:rPr>
        <w:t>In 2018-19, some states reported new adverse events in accordance with the 2015 AHMDS. Refer to each adverse event reporting for details</w:t>
      </w:r>
    </w:p>
    <w:p w14:paraId="10BD733D" w14:textId="77777777" w:rsidR="00CE31B4" w:rsidRDefault="00CE31B4" w:rsidP="006136B2">
      <w:pPr>
        <w:spacing w:after="0"/>
      </w:pPr>
    </w:p>
    <w:p w14:paraId="4EFAACDF" w14:textId="77777777" w:rsidR="00035299" w:rsidRPr="00035299" w:rsidRDefault="00035299" w:rsidP="00035299">
      <w:pPr>
        <w:pStyle w:val="Caption"/>
        <w:keepNext/>
        <w:spacing w:after="0"/>
        <w:rPr>
          <w:b/>
          <w:i w:val="0"/>
          <w:color w:val="auto"/>
        </w:rPr>
      </w:pPr>
      <w:bookmarkStart w:id="25" w:name="_Toc64836416"/>
      <w:r w:rsidRPr="00035299">
        <w:rPr>
          <w:b/>
          <w:i w:val="0"/>
          <w:color w:val="auto"/>
        </w:rPr>
        <w:t xml:space="preserve">Table </w:t>
      </w:r>
      <w:r w:rsidRPr="00035299">
        <w:rPr>
          <w:b/>
          <w:i w:val="0"/>
          <w:color w:val="auto"/>
        </w:rPr>
        <w:fldChar w:fldCharType="begin"/>
      </w:r>
      <w:r w:rsidRPr="00035299">
        <w:rPr>
          <w:b/>
          <w:i w:val="0"/>
          <w:color w:val="auto"/>
        </w:rPr>
        <w:instrText xml:space="preserve"> SEQ Table \* ARABIC </w:instrText>
      </w:r>
      <w:r w:rsidRPr="00035299">
        <w:rPr>
          <w:b/>
          <w:i w:val="0"/>
          <w:color w:val="auto"/>
        </w:rPr>
        <w:fldChar w:fldCharType="separate"/>
      </w:r>
      <w:r w:rsidR="001F7368">
        <w:rPr>
          <w:b/>
          <w:i w:val="0"/>
          <w:noProof/>
          <w:color w:val="auto"/>
        </w:rPr>
        <w:t>13</w:t>
      </w:r>
      <w:r w:rsidRPr="00035299">
        <w:rPr>
          <w:b/>
          <w:i w:val="0"/>
          <w:color w:val="auto"/>
        </w:rPr>
        <w:fldChar w:fldCharType="end"/>
      </w:r>
      <w:r w:rsidR="00A341DC">
        <w:rPr>
          <w:b/>
          <w:i w:val="0"/>
          <w:color w:val="auto"/>
        </w:rPr>
        <w:t xml:space="preserve">: </w:t>
      </w:r>
      <w:r w:rsidRPr="00035299">
        <w:rPr>
          <w:b/>
          <w:i w:val="0"/>
          <w:color w:val="auto"/>
        </w:rPr>
        <w:t>Serious adverse events by product, 2014–15 to 2018–19</w:t>
      </w:r>
      <w:bookmarkEnd w:id="25"/>
    </w:p>
    <w:p w14:paraId="01C6CC52" w14:textId="4B04087E" w:rsidR="00CE31B4" w:rsidRDefault="00817059" w:rsidP="006136B2">
      <w:pPr>
        <w:spacing w:after="0"/>
      </w:pPr>
      <w:r w:rsidRPr="00817059">
        <w:rPr>
          <w:noProof/>
          <w:lang w:eastAsia="en-AU"/>
        </w:rPr>
        <w:drawing>
          <wp:inline distT="0" distB="0" distL="0" distR="0" wp14:anchorId="58AC0AB3" wp14:editId="5B234EB7">
            <wp:extent cx="5926455" cy="179266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6455" cy="1792668"/>
                    </a:xfrm>
                    <a:prstGeom prst="rect">
                      <a:avLst/>
                    </a:prstGeom>
                    <a:noFill/>
                    <a:ln>
                      <a:noFill/>
                    </a:ln>
                  </pic:spPr>
                </pic:pic>
              </a:graphicData>
            </a:graphic>
          </wp:inline>
        </w:drawing>
      </w:r>
    </w:p>
    <w:p w14:paraId="42990915" w14:textId="77777777" w:rsidR="00035299" w:rsidRPr="00035299" w:rsidRDefault="00035299" w:rsidP="00035299">
      <w:pPr>
        <w:spacing w:after="0"/>
        <w:rPr>
          <w:sz w:val="18"/>
        </w:rPr>
      </w:pPr>
      <w:r w:rsidRPr="00035299">
        <w:rPr>
          <w:sz w:val="18"/>
        </w:rPr>
        <w:t>Notes</w:t>
      </w:r>
    </w:p>
    <w:p w14:paraId="03FE3351" w14:textId="77777777" w:rsidR="00035299" w:rsidRPr="00035299" w:rsidRDefault="00035299" w:rsidP="00035299">
      <w:pPr>
        <w:pStyle w:val="ListParagraph"/>
        <w:numPr>
          <w:ilvl w:val="0"/>
          <w:numId w:val="38"/>
        </w:numPr>
        <w:spacing w:after="0"/>
        <w:ind w:left="426" w:hanging="426"/>
        <w:rPr>
          <w:sz w:val="18"/>
        </w:rPr>
      </w:pPr>
      <w:r w:rsidRPr="00035299">
        <w:rPr>
          <w:sz w:val="18"/>
        </w:rPr>
        <w:t>TAS reported zero events for 2015–16 and 2018–19</w:t>
      </w:r>
    </w:p>
    <w:p w14:paraId="4A0355E2" w14:textId="77777777" w:rsidR="00035299" w:rsidRPr="00035299" w:rsidRDefault="00035299" w:rsidP="00035299">
      <w:pPr>
        <w:pStyle w:val="ListParagraph"/>
        <w:numPr>
          <w:ilvl w:val="0"/>
          <w:numId w:val="38"/>
        </w:numPr>
        <w:spacing w:after="0"/>
        <w:ind w:left="426" w:hanging="426"/>
        <w:rPr>
          <w:sz w:val="18"/>
        </w:rPr>
      </w:pPr>
      <w:r w:rsidRPr="00035299">
        <w:rPr>
          <w:sz w:val="18"/>
        </w:rPr>
        <w:t>ACT reported zero adverse events for 2014–15</w:t>
      </w:r>
    </w:p>
    <w:p w14:paraId="7D02A66D" w14:textId="77777777" w:rsidR="00035299" w:rsidRPr="00035299" w:rsidRDefault="00035299" w:rsidP="00035299">
      <w:pPr>
        <w:pStyle w:val="ListParagraph"/>
        <w:numPr>
          <w:ilvl w:val="0"/>
          <w:numId w:val="38"/>
        </w:numPr>
        <w:spacing w:after="0"/>
        <w:ind w:left="426" w:hanging="426"/>
        <w:rPr>
          <w:sz w:val="18"/>
        </w:rPr>
      </w:pPr>
      <w:r w:rsidRPr="00035299">
        <w:rPr>
          <w:sz w:val="18"/>
        </w:rPr>
        <w:t>WA did not contribute data for 2014–15</w:t>
      </w:r>
    </w:p>
    <w:p w14:paraId="69B78FF1" w14:textId="77777777" w:rsidR="00035299" w:rsidRPr="00035299" w:rsidRDefault="00035299" w:rsidP="00035299">
      <w:pPr>
        <w:pStyle w:val="ListParagraph"/>
        <w:numPr>
          <w:ilvl w:val="0"/>
          <w:numId w:val="38"/>
        </w:numPr>
        <w:spacing w:after="0"/>
        <w:ind w:left="426" w:hanging="426"/>
        <w:rPr>
          <w:sz w:val="18"/>
        </w:rPr>
      </w:pPr>
      <w:r w:rsidRPr="00035299">
        <w:rPr>
          <w:sz w:val="18"/>
        </w:rPr>
        <w:t>All TTIs were suspected but not confirmed bacterial infections</w:t>
      </w:r>
    </w:p>
    <w:p w14:paraId="421A0391" w14:textId="77777777" w:rsidR="00035299" w:rsidRPr="00035299" w:rsidRDefault="00035299" w:rsidP="00035299">
      <w:pPr>
        <w:pStyle w:val="ListParagraph"/>
        <w:numPr>
          <w:ilvl w:val="0"/>
          <w:numId w:val="38"/>
        </w:numPr>
        <w:spacing w:after="0"/>
        <w:ind w:left="426" w:hanging="426"/>
        <w:rPr>
          <w:sz w:val="18"/>
        </w:rPr>
      </w:pPr>
      <w:r w:rsidRPr="00035299">
        <w:rPr>
          <w:sz w:val="18"/>
        </w:rPr>
        <w:t>In 2018-19, some states reported new adverse events in accordance with the 2015 AHMDS. Refer to each adverse event reporting for details</w:t>
      </w:r>
    </w:p>
    <w:p w14:paraId="7B07A48B" w14:textId="77777777" w:rsidR="00362EE4" w:rsidRDefault="00362EE4">
      <w:pPr>
        <w:spacing w:line="276" w:lineRule="auto"/>
      </w:pPr>
    </w:p>
    <w:p w14:paraId="6F4064A6" w14:textId="77777777" w:rsidR="00362EE4" w:rsidRDefault="00362EE4">
      <w:pPr>
        <w:spacing w:line="276" w:lineRule="auto"/>
      </w:pPr>
      <w:r>
        <w:br w:type="page"/>
      </w:r>
    </w:p>
    <w:p w14:paraId="146233C3" w14:textId="77777777" w:rsidR="00035299" w:rsidRPr="00035299" w:rsidRDefault="00035299" w:rsidP="00035299">
      <w:pPr>
        <w:pStyle w:val="Caption"/>
        <w:keepNext/>
        <w:spacing w:after="0"/>
        <w:rPr>
          <w:b/>
          <w:i w:val="0"/>
          <w:color w:val="auto"/>
        </w:rPr>
      </w:pPr>
      <w:bookmarkStart w:id="26" w:name="_Toc64836417"/>
      <w:r w:rsidRPr="00035299">
        <w:rPr>
          <w:b/>
          <w:i w:val="0"/>
          <w:color w:val="auto"/>
        </w:rPr>
        <w:lastRenderedPageBreak/>
        <w:t xml:space="preserve">Table </w:t>
      </w:r>
      <w:r w:rsidRPr="00035299">
        <w:rPr>
          <w:b/>
          <w:i w:val="0"/>
          <w:color w:val="auto"/>
        </w:rPr>
        <w:fldChar w:fldCharType="begin"/>
      </w:r>
      <w:r w:rsidRPr="00035299">
        <w:rPr>
          <w:b/>
          <w:i w:val="0"/>
          <w:color w:val="auto"/>
        </w:rPr>
        <w:instrText xml:space="preserve"> SEQ Table \* ARABIC </w:instrText>
      </w:r>
      <w:r w:rsidRPr="00035299">
        <w:rPr>
          <w:b/>
          <w:i w:val="0"/>
          <w:color w:val="auto"/>
        </w:rPr>
        <w:fldChar w:fldCharType="separate"/>
      </w:r>
      <w:r w:rsidR="001F7368">
        <w:rPr>
          <w:b/>
          <w:i w:val="0"/>
          <w:noProof/>
          <w:color w:val="auto"/>
        </w:rPr>
        <w:t>14</w:t>
      </w:r>
      <w:r w:rsidRPr="00035299">
        <w:rPr>
          <w:b/>
          <w:i w:val="0"/>
          <w:color w:val="auto"/>
        </w:rPr>
        <w:fldChar w:fldCharType="end"/>
      </w:r>
      <w:r w:rsidRPr="00035299">
        <w:rPr>
          <w:b/>
          <w:i w:val="0"/>
          <w:color w:val="auto"/>
        </w:rPr>
        <w:t>: Serious adverse events by transfusion time, 2014–15 to 2018–19</w:t>
      </w:r>
      <w:bookmarkEnd w:id="26"/>
    </w:p>
    <w:p w14:paraId="16687245" w14:textId="77777777" w:rsidR="00035299" w:rsidRDefault="000511F0" w:rsidP="006136B2">
      <w:pPr>
        <w:spacing w:after="0"/>
      </w:pPr>
      <w:r w:rsidRPr="000511F0">
        <w:rPr>
          <w:noProof/>
          <w:lang w:eastAsia="en-AU"/>
        </w:rPr>
        <w:drawing>
          <wp:inline distT="0" distB="0" distL="0" distR="0" wp14:anchorId="38B2B22A" wp14:editId="3A69BEC3">
            <wp:extent cx="5542280" cy="1192530"/>
            <wp:effectExtent l="0" t="0" r="127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2280" cy="1192530"/>
                    </a:xfrm>
                    <a:prstGeom prst="rect">
                      <a:avLst/>
                    </a:prstGeom>
                    <a:noFill/>
                    <a:ln>
                      <a:noFill/>
                    </a:ln>
                  </pic:spPr>
                </pic:pic>
              </a:graphicData>
            </a:graphic>
          </wp:inline>
        </w:drawing>
      </w:r>
    </w:p>
    <w:p w14:paraId="3FF47DE9" w14:textId="77777777" w:rsidR="00035299" w:rsidRPr="00035299" w:rsidRDefault="00035299" w:rsidP="00035299">
      <w:pPr>
        <w:spacing w:after="0"/>
        <w:rPr>
          <w:sz w:val="18"/>
        </w:rPr>
      </w:pPr>
      <w:r w:rsidRPr="00035299">
        <w:rPr>
          <w:sz w:val="18"/>
        </w:rPr>
        <w:t>Notes</w:t>
      </w:r>
    </w:p>
    <w:p w14:paraId="218F1A01" w14:textId="77777777" w:rsidR="00035299" w:rsidRPr="00035299" w:rsidRDefault="00035299" w:rsidP="00035299">
      <w:pPr>
        <w:pStyle w:val="ListParagraph"/>
        <w:numPr>
          <w:ilvl w:val="0"/>
          <w:numId w:val="40"/>
        </w:numPr>
        <w:spacing w:after="0"/>
        <w:ind w:left="426" w:hanging="426"/>
        <w:rPr>
          <w:sz w:val="18"/>
        </w:rPr>
      </w:pPr>
      <w:r w:rsidRPr="00035299">
        <w:rPr>
          <w:sz w:val="18"/>
        </w:rPr>
        <w:t>ACT reported zero adverse events for 2014–15</w:t>
      </w:r>
    </w:p>
    <w:p w14:paraId="09E56159" w14:textId="77777777" w:rsidR="00035299" w:rsidRPr="00035299" w:rsidRDefault="00035299" w:rsidP="00035299">
      <w:pPr>
        <w:pStyle w:val="ListParagraph"/>
        <w:numPr>
          <w:ilvl w:val="0"/>
          <w:numId w:val="40"/>
        </w:numPr>
        <w:spacing w:after="0"/>
        <w:ind w:left="426" w:hanging="426"/>
        <w:rPr>
          <w:sz w:val="18"/>
        </w:rPr>
      </w:pPr>
      <w:r w:rsidRPr="00035299">
        <w:rPr>
          <w:sz w:val="18"/>
        </w:rPr>
        <w:t>TAS reported zero events for 2015–16 and 2018–19</w:t>
      </w:r>
    </w:p>
    <w:p w14:paraId="3FD443A9" w14:textId="77777777" w:rsidR="00035299" w:rsidRPr="00035299" w:rsidRDefault="00035299" w:rsidP="00035299">
      <w:pPr>
        <w:pStyle w:val="ListParagraph"/>
        <w:numPr>
          <w:ilvl w:val="0"/>
          <w:numId w:val="40"/>
        </w:numPr>
        <w:spacing w:after="0"/>
        <w:ind w:left="426" w:hanging="426"/>
        <w:rPr>
          <w:sz w:val="18"/>
        </w:rPr>
      </w:pPr>
      <w:r w:rsidRPr="00035299">
        <w:rPr>
          <w:sz w:val="18"/>
        </w:rPr>
        <w:t>WA did not contribute data for 2014–15</w:t>
      </w:r>
    </w:p>
    <w:p w14:paraId="4D348A4D" w14:textId="77777777" w:rsidR="00035299" w:rsidRPr="00035299" w:rsidRDefault="00035299" w:rsidP="00035299">
      <w:pPr>
        <w:pStyle w:val="ListParagraph"/>
        <w:numPr>
          <w:ilvl w:val="0"/>
          <w:numId w:val="40"/>
        </w:numPr>
        <w:spacing w:after="0"/>
        <w:ind w:left="426" w:hanging="426"/>
        <w:rPr>
          <w:sz w:val="18"/>
        </w:rPr>
      </w:pPr>
      <w:r w:rsidRPr="00035299">
        <w:rPr>
          <w:sz w:val="18"/>
        </w:rPr>
        <w:t>SA did not report transfusion time data for 2014–15</w:t>
      </w:r>
    </w:p>
    <w:p w14:paraId="73AA98FE" w14:textId="77777777" w:rsidR="00035299" w:rsidRDefault="00035299" w:rsidP="006136B2">
      <w:pPr>
        <w:spacing w:after="0"/>
      </w:pPr>
    </w:p>
    <w:p w14:paraId="72BC2D20" w14:textId="77777777" w:rsidR="00362EE4" w:rsidRPr="00362EE4" w:rsidRDefault="00362EE4" w:rsidP="00362EE4">
      <w:pPr>
        <w:pStyle w:val="Caption"/>
        <w:keepNext/>
        <w:spacing w:after="0"/>
        <w:rPr>
          <w:b/>
          <w:i w:val="0"/>
          <w:color w:val="auto"/>
        </w:rPr>
      </w:pPr>
      <w:bookmarkStart w:id="27" w:name="_Toc64836418"/>
      <w:r w:rsidRPr="00362EE4">
        <w:rPr>
          <w:b/>
          <w:i w:val="0"/>
          <w:color w:val="auto"/>
        </w:rPr>
        <w:t xml:space="preserve">Table </w:t>
      </w:r>
      <w:r w:rsidRPr="00362EE4">
        <w:rPr>
          <w:b/>
          <w:i w:val="0"/>
          <w:color w:val="auto"/>
        </w:rPr>
        <w:fldChar w:fldCharType="begin"/>
      </w:r>
      <w:r w:rsidRPr="00362EE4">
        <w:rPr>
          <w:b/>
          <w:i w:val="0"/>
          <w:color w:val="auto"/>
        </w:rPr>
        <w:instrText xml:space="preserve"> SEQ Table \* ARABIC </w:instrText>
      </w:r>
      <w:r w:rsidRPr="00362EE4">
        <w:rPr>
          <w:b/>
          <w:i w:val="0"/>
          <w:color w:val="auto"/>
        </w:rPr>
        <w:fldChar w:fldCharType="separate"/>
      </w:r>
      <w:r w:rsidR="001F7368">
        <w:rPr>
          <w:b/>
          <w:i w:val="0"/>
          <w:noProof/>
          <w:color w:val="auto"/>
        </w:rPr>
        <w:t>15</w:t>
      </w:r>
      <w:r w:rsidRPr="00362EE4">
        <w:rPr>
          <w:b/>
          <w:i w:val="0"/>
          <w:color w:val="auto"/>
        </w:rPr>
        <w:fldChar w:fldCharType="end"/>
      </w:r>
      <w:r w:rsidRPr="00362EE4">
        <w:rPr>
          <w:b/>
          <w:i w:val="0"/>
          <w:color w:val="auto"/>
        </w:rPr>
        <w:t>: Serious adverse events by week day/weekend, 2014–15 to 2018–19</w:t>
      </w:r>
      <w:bookmarkEnd w:id="27"/>
    </w:p>
    <w:p w14:paraId="381C1159" w14:textId="77777777" w:rsidR="00035299" w:rsidRDefault="000511F0" w:rsidP="006136B2">
      <w:pPr>
        <w:spacing w:after="0"/>
      </w:pPr>
      <w:r w:rsidRPr="000511F0">
        <w:rPr>
          <w:noProof/>
          <w:lang w:eastAsia="en-AU"/>
        </w:rPr>
        <w:drawing>
          <wp:inline distT="0" distB="0" distL="0" distR="0" wp14:anchorId="05C81FF3" wp14:editId="697E7056">
            <wp:extent cx="5136515" cy="993775"/>
            <wp:effectExtent l="0" t="0" r="698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6515" cy="993775"/>
                    </a:xfrm>
                    <a:prstGeom prst="rect">
                      <a:avLst/>
                    </a:prstGeom>
                    <a:noFill/>
                    <a:ln>
                      <a:noFill/>
                    </a:ln>
                  </pic:spPr>
                </pic:pic>
              </a:graphicData>
            </a:graphic>
          </wp:inline>
        </w:drawing>
      </w:r>
    </w:p>
    <w:p w14:paraId="27D24C64" w14:textId="77777777" w:rsidR="00362EE4" w:rsidRPr="00362EE4" w:rsidRDefault="00362EE4" w:rsidP="00362EE4">
      <w:pPr>
        <w:spacing w:after="0"/>
        <w:rPr>
          <w:sz w:val="18"/>
        </w:rPr>
      </w:pPr>
      <w:r w:rsidRPr="00362EE4">
        <w:rPr>
          <w:sz w:val="18"/>
        </w:rPr>
        <w:t>Notes</w:t>
      </w:r>
    </w:p>
    <w:p w14:paraId="49C94FA0" w14:textId="77777777" w:rsidR="00362EE4" w:rsidRPr="00362EE4" w:rsidRDefault="00362EE4" w:rsidP="00362EE4">
      <w:pPr>
        <w:pStyle w:val="ListParagraph"/>
        <w:numPr>
          <w:ilvl w:val="0"/>
          <w:numId w:val="42"/>
        </w:numPr>
        <w:spacing w:after="0"/>
        <w:ind w:left="426" w:hanging="426"/>
        <w:rPr>
          <w:sz w:val="18"/>
        </w:rPr>
      </w:pPr>
      <w:r w:rsidRPr="00362EE4">
        <w:rPr>
          <w:sz w:val="18"/>
        </w:rPr>
        <w:t>ACT reported zero adverse events for 2014–15</w:t>
      </w:r>
    </w:p>
    <w:p w14:paraId="4B0088E9" w14:textId="77777777" w:rsidR="00362EE4" w:rsidRPr="00362EE4" w:rsidRDefault="00362EE4" w:rsidP="00362EE4">
      <w:pPr>
        <w:pStyle w:val="ListParagraph"/>
        <w:numPr>
          <w:ilvl w:val="0"/>
          <w:numId w:val="42"/>
        </w:numPr>
        <w:spacing w:after="0"/>
        <w:ind w:left="426" w:hanging="426"/>
        <w:rPr>
          <w:sz w:val="18"/>
        </w:rPr>
      </w:pPr>
      <w:r w:rsidRPr="00362EE4">
        <w:rPr>
          <w:sz w:val="18"/>
        </w:rPr>
        <w:t>TAS reported zero events for 2015–16 and 2018–19</w:t>
      </w:r>
    </w:p>
    <w:p w14:paraId="6E91400A" w14:textId="77777777" w:rsidR="00035299" w:rsidRPr="00362EE4" w:rsidRDefault="00362EE4" w:rsidP="00362EE4">
      <w:pPr>
        <w:pStyle w:val="ListParagraph"/>
        <w:numPr>
          <w:ilvl w:val="0"/>
          <w:numId w:val="42"/>
        </w:numPr>
        <w:spacing w:after="0"/>
        <w:ind w:left="426" w:hanging="426"/>
        <w:rPr>
          <w:sz w:val="18"/>
        </w:rPr>
      </w:pPr>
      <w:r w:rsidRPr="00362EE4">
        <w:rPr>
          <w:sz w:val="18"/>
        </w:rPr>
        <w:t>WA did not contribute data for 2014–15</w:t>
      </w:r>
    </w:p>
    <w:p w14:paraId="5552A0F7" w14:textId="77777777" w:rsidR="00362EE4" w:rsidRDefault="00362EE4" w:rsidP="006136B2">
      <w:pPr>
        <w:spacing w:after="0"/>
      </w:pPr>
    </w:p>
    <w:p w14:paraId="5DF5FBC5" w14:textId="77777777" w:rsidR="00024BA0" w:rsidRPr="00024BA0" w:rsidRDefault="00024BA0" w:rsidP="00024BA0">
      <w:pPr>
        <w:pStyle w:val="Caption"/>
        <w:keepNext/>
        <w:spacing w:after="0"/>
        <w:rPr>
          <w:b/>
          <w:i w:val="0"/>
          <w:color w:val="auto"/>
        </w:rPr>
      </w:pPr>
      <w:bookmarkStart w:id="28" w:name="_Toc64836419"/>
      <w:r w:rsidRPr="00024BA0">
        <w:rPr>
          <w:b/>
          <w:i w:val="0"/>
          <w:color w:val="auto"/>
        </w:rPr>
        <w:t xml:space="preserve">Table </w:t>
      </w:r>
      <w:r w:rsidRPr="00024BA0">
        <w:rPr>
          <w:b/>
          <w:i w:val="0"/>
          <w:color w:val="auto"/>
        </w:rPr>
        <w:fldChar w:fldCharType="begin"/>
      </w:r>
      <w:r w:rsidRPr="00024BA0">
        <w:rPr>
          <w:b/>
          <w:i w:val="0"/>
          <w:color w:val="auto"/>
        </w:rPr>
        <w:instrText xml:space="preserve"> SEQ Table \* ARABIC </w:instrText>
      </w:r>
      <w:r w:rsidRPr="00024BA0">
        <w:rPr>
          <w:b/>
          <w:i w:val="0"/>
          <w:color w:val="auto"/>
        </w:rPr>
        <w:fldChar w:fldCharType="separate"/>
      </w:r>
      <w:r w:rsidR="001F7368">
        <w:rPr>
          <w:b/>
          <w:i w:val="0"/>
          <w:noProof/>
          <w:color w:val="auto"/>
        </w:rPr>
        <w:t>16</w:t>
      </w:r>
      <w:r w:rsidRPr="00024BA0">
        <w:rPr>
          <w:b/>
          <w:i w:val="0"/>
          <w:color w:val="auto"/>
        </w:rPr>
        <w:fldChar w:fldCharType="end"/>
      </w:r>
      <w:r w:rsidRPr="00024BA0">
        <w:rPr>
          <w:b/>
          <w:i w:val="0"/>
          <w:color w:val="auto"/>
        </w:rPr>
        <w:t>: Serious adverse events by age group, 2014–15 to 2018–19</w:t>
      </w:r>
      <w:bookmarkEnd w:id="28"/>
    </w:p>
    <w:p w14:paraId="40C89ED1" w14:textId="77777777" w:rsidR="00362EE4" w:rsidRDefault="000511F0" w:rsidP="006136B2">
      <w:pPr>
        <w:spacing w:after="0"/>
      </w:pPr>
      <w:r w:rsidRPr="000511F0">
        <w:rPr>
          <w:noProof/>
          <w:lang w:eastAsia="en-AU"/>
        </w:rPr>
        <w:drawing>
          <wp:inline distT="0" distB="0" distL="0" distR="0" wp14:anchorId="32A882E3" wp14:editId="05B20AAC">
            <wp:extent cx="5255895" cy="2592070"/>
            <wp:effectExtent l="0" t="0" r="190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5895" cy="2592070"/>
                    </a:xfrm>
                    <a:prstGeom prst="rect">
                      <a:avLst/>
                    </a:prstGeom>
                    <a:noFill/>
                    <a:ln>
                      <a:noFill/>
                    </a:ln>
                  </pic:spPr>
                </pic:pic>
              </a:graphicData>
            </a:graphic>
          </wp:inline>
        </w:drawing>
      </w:r>
    </w:p>
    <w:p w14:paraId="6B818121" w14:textId="77777777" w:rsidR="00024BA0" w:rsidRPr="00024BA0" w:rsidRDefault="00024BA0" w:rsidP="00024BA0">
      <w:pPr>
        <w:spacing w:after="0"/>
        <w:rPr>
          <w:sz w:val="18"/>
        </w:rPr>
      </w:pPr>
      <w:r w:rsidRPr="00024BA0">
        <w:rPr>
          <w:sz w:val="18"/>
        </w:rPr>
        <w:t>Notes</w:t>
      </w:r>
    </w:p>
    <w:p w14:paraId="6243BA95" w14:textId="77777777" w:rsidR="00024BA0" w:rsidRPr="00024BA0" w:rsidRDefault="00024BA0" w:rsidP="00024BA0">
      <w:pPr>
        <w:pStyle w:val="ListParagraph"/>
        <w:numPr>
          <w:ilvl w:val="0"/>
          <w:numId w:val="44"/>
        </w:numPr>
        <w:spacing w:after="0"/>
        <w:ind w:left="426" w:hanging="426"/>
        <w:rPr>
          <w:sz w:val="18"/>
        </w:rPr>
      </w:pPr>
      <w:r w:rsidRPr="00024BA0">
        <w:rPr>
          <w:sz w:val="18"/>
        </w:rPr>
        <w:t>ACT reported zero adverse events for 2014–15</w:t>
      </w:r>
    </w:p>
    <w:p w14:paraId="5B59E009" w14:textId="77777777" w:rsidR="00024BA0" w:rsidRPr="00024BA0" w:rsidRDefault="00024BA0" w:rsidP="00024BA0">
      <w:pPr>
        <w:pStyle w:val="ListParagraph"/>
        <w:numPr>
          <w:ilvl w:val="0"/>
          <w:numId w:val="44"/>
        </w:numPr>
        <w:spacing w:after="0"/>
        <w:ind w:left="426" w:hanging="426"/>
        <w:rPr>
          <w:sz w:val="18"/>
        </w:rPr>
      </w:pPr>
      <w:r w:rsidRPr="00024BA0">
        <w:rPr>
          <w:sz w:val="18"/>
        </w:rPr>
        <w:t>TAS reported zero events for 2015–16 and 2018–19</w:t>
      </w:r>
    </w:p>
    <w:p w14:paraId="21F4A76B" w14:textId="77777777" w:rsidR="00362EE4" w:rsidRPr="00024BA0" w:rsidRDefault="00024BA0" w:rsidP="00024BA0">
      <w:pPr>
        <w:pStyle w:val="ListParagraph"/>
        <w:numPr>
          <w:ilvl w:val="0"/>
          <w:numId w:val="44"/>
        </w:numPr>
        <w:spacing w:after="0"/>
        <w:ind w:left="426" w:hanging="426"/>
        <w:rPr>
          <w:sz w:val="18"/>
        </w:rPr>
      </w:pPr>
      <w:r w:rsidRPr="00024BA0">
        <w:rPr>
          <w:sz w:val="18"/>
        </w:rPr>
        <w:t>WA did not contribute data for 2014–15</w:t>
      </w:r>
    </w:p>
    <w:p w14:paraId="41C767CC" w14:textId="77777777" w:rsidR="00362EE4" w:rsidRDefault="00362EE4" w:rsidP="006136B2">
      <w:pPr>
        <w:spacing w:after="0"/>
      </w:pPr>
    </w:p>
    <w:p w14:paraId="19E5D23B" w14:textId="77777777" w:rsidR="00024BA0" w:rsidRDefault="00024BA0">
      <w:pPr>
        <w:spacing w:line="276" w:lineRule="auto"/>
      </w:pPr>
      <w:r>
        <w:br w:type="page"/>
      </w:r>
    </w:p>
    <w:p w14:paraId="20BEE219" w14:textId="77777777" w:rsidR="00024BA0" w:rsidRPr="00024BA0" w:rsidRDefault="00024BA0" w:rsidP="00024BA0">
      <w:pPr>
        <w:pStyle w:val="Heading4"/>
        <w:spacing w:after="240"/>
        <w:rPr>
          <w:lang w:eastAsia="en-AU"/>
        </w:rPr>
      </w:pPr>
      <w:bookmarkStart w:id="29" w:name="_Toc64836310"/>
      <w:r w:rsidRPr="00024BA0">
        <w:rPr>
          <w:lang w:eastAsia="en-AU"/>
        </w:rPr>
        <w:lastRenderedPageBreak/>
        <w:t>Febrile non haemolytic transfusion reaction (FNHTR)</w:t>
      </w:r>
      <w:bookmarkEnd w:id="29"/>
    </w:p>
    <w:p w14:paraId="55F4A98E" w14:textId="77777777" w:rsidR="00024BA0" w:rsidRPr="00024BA0" w:rsidRDefault="00024BA0" w:rsidP="00024BA0">
      <w:pPr>
        <w:pStyle w:val="Caption"/>
        <w:keepNext/>
        <w:spacing w:after="0"/>
        <w:rPr>
          <w:b/>
          <w:i w:val="0"/>
          <w:color w:val="auto"/>
        </w:rPr>
      </w:pPr>
      <w:bookmarkStart w:id="30" w:name="_Toc64836420"/>
      <w:r w:rsidRPr="00024BA0">
        <w:rPr>
          <w:b/>
          <w:i w:val="0"/>
          <w:color w:val="auto"/>
        </w:rPr>
        <w:t xml:space="preserve">Table </w:t>
      </w:r>
      <w:r w:rsidRPr="00024BA0">
        <w:rPr>
          <w:b/>
          <w:i w:val="0"/>
          <w:color w:val="auto"/>
        </w:rPr>
        <w:fldChar w:fldCharType="begin"/>
      </w:r>
      <w:r w:rsidRPr="00024BA0">
        <w:rPr>
          <w:b/>
          <w:i w:val="0"/>
          <w:color w:val="auto"/>
        </w:rPr>
        <w:instrText xml:space="preserve"> SEQ Table \* ARABIC </w:instrText>
      </w:r>
      <w:r w:rsidRPr="00024BA0">
        <w:rPr>
          <w:b/>
          <w:i w:val="0"/>
          <w:color w:val="auto"/>
        </w:rPr>
        <w:fldChar w:fldCharType="separate"/>
      </w:r>
      <w:r w:rsidR="001F7368">
        <w:rPr>
          <w:b/>
          <w:i w:val="0"/>
          <w:noProof/>
          <w:color w:val="auto"/>
        </w:rPr>
        <w:t>17</w:t>
      </w:r>
      <w:r w:rsidRPr="00024BA0">
        <w:rPr>
          <w:b/>
          <w:i w:val="0"/>
          <w:color w:val="auto"/>
        </w:rPr>
        <w:fldChar w:fldCharType="end"/>
      </w:r>
      <w:r w:rsidRPr="00024BA0">
        <w:rPr>
          <w:b/>
          <w:i w:val="0"/>
          <w:color w:val="auto"/>
        </w:rPr>
        <w:t>: FNHTR data summary, 2018–19</w:t>
      </w:r>
      <w:bookmarkEnd w:id="30"/>
    </w:p>
    <w:p w14:paraId="26198993" w14:textId="16B50027" w:rsidR="00362EE4" w:rsidRDefault="0045348C" w:rsidP="006136B2">
      <w:pPr>
        <w:spacing w:after="0"/>
      </w:pPr>
      <w:r w:rsidRPr="0045348C">
        <w:rPr>
          <w:noProof/>
          <w:lang w:eastAsia="en-AU"/>
        </w:rPr>
        <w:drawing>
          <wp:inline distT="0" distB="0" distL="0" distR="0" wp14:anchorId="691596C0" wp14:editId="0DD2864E">
            <wp:extent cx="5926455" cy="4056632"/>
            <wp:effectExtent l="0" t="0" r="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6455" cy="4056632"/>
                    </a:xfrm>
                    <a:prstGeom prst="rect">
                      <a:avLst/>
                    </a:prstGeom>
                    <a:noFill/>
                    <a:ln>
                      <a:noFill/>
                    </a:ln>
                  </pic:spPr>
                </pic:pic>
              </a:graphicData>
            </a:graphic>
          </wp:inline>
        </w:drawing>
      </w:r>
    </w:p>
    <w:p w14:paraId="3CBF8FD7" w14:textId="77777777" w:rsidR="00024BA0" w:rsidRDefault="00024BA0" w:rsidP="006136B2">
      <w:pPr>
        <w:spacing w:after="0"/>
      </w:pPr>
    </w:p>
    <w:p w14:paraId="1BFDF0DE" w14:textId="77777777" w:rsidR="00024BA0" w:rsidRPr="00024BA0" w:rsidRDefault="00024BA0" w:rsidP="00024BA0">
      <w:pPr>
        <w:pStyle w:val="Caption"/>
        <w:keepNext/>
        <w:spacing w:after="0"/>
        <w:rPr>
          <w:b/>
          <w:i w:val="0"/>
        </w:rPr>
      </w:pPr>
      <w:bookmarkStart w:id="31" w:name="_Toc64836421"/>
      <w:r w:rsidRPr="00024BA0">
        <w:rPr>
          <w:b/>
          <w:i w:val="0"/>
          <w:color w:val="auto"/>
        </w:rPr>
        <w:t xml:space="preserve">Table </w:t>
      </w:r>
      <w:r w:rsidRPr="00024BA0">
        <w:rPr>
          <w:b/>
          <w:i w:val="0"/>
          <w:color w:val="auto"/>
        </w:rPr>
        <w:fldChar w:fldCharType="begin"/>
      </w:r>
      <w:r w:rsidRPr="00024BA0">
        <w:rPr>
          <w:b/>
          <w:i w:val="0"/>
          <w:color w:val="auto"/>
        </w:rPr>
        <w:instrText xml:space="preserve"> SEQ Table \* ARABIC </w:instrText>
      </w:r>
      <w:r w:rsidRPr="00024BA0">
        <w:rPr>
          <w:b/>
          <w:i w:val="0"/>
          <w:color w:val="auto"/>
        </w:rPr>
        <w:fldChar w:fldCharType="separate"/>
      </w:r>
      <w:r w:rsidR="001F7368">
        <w:rPr>
          <w:b/>
          <w:i w:val="0"/>
          <w:noProof/>
          <w:color w:val="auto"/>
        </w:rPr>
        <w:t>18</w:t>
      </w:r>
      <w:r w:rsidRPr="00024BA0">
        <w:rPr>
          <w:b/>
          <w:i w:val="0"/>
          <w:color w:val="auto"/>
        </w:rPr>
        <w:fldChar w:fldCharType="end"/>
      </w:r>
      <w:r w:rsidRPr="00024BA0">
        <w:rPr>
          <w:b/>
          <w:i w:val="0"/>
          <w:color w:val="auto"/>
        </w:rPr>
        <w:t>: FNHTR clinical outcome severity by imputability, 2018–19</w:t>
      </w:r>
      <w:bookmarkEnd w:id="31"/>
    </w:p>
    <w:p w14:paraId="780E2C3E" w14:textId="77777777" w:rsidR="00024BA0" w:rsidRDefault="00024BA0" w:rsidP="006136B2">
      <w:pPr>
        <w:spacing w:after="0"/>
      </w:pPr>
      <w:r w:rsidRPr="00024BA0">
        <w:rPr>
          <w:noProof/>
          <w:lang w:eastAsia="en-AU"/>
        </w:rPr>
        <w:drawing>
          <wp:inline distT="0" distB="0" distL="0" distR="0" wp14:anchorId="33DF37E5" wp14:editId="15702609">
            <wp:extent cx="4969510" cy="171767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9510" cy="1717675"/>
                    </a:xfrm>
                    <a:prstGeom prst="rect">
                      <a:avLst/>
                    </a:prstGeom>
                    <a:noFill/>
                    <a:ln>
                      <a:noFill/>
                    </a:ln>
                  </pic:spPr>
                </pic:pic>
              </a:graphicData>
            </a:graphic>
          </wp:inline>
        </w:drawing>
      </w:r>
    </w:p>
    <w:p w14:paraId="52C43E2F" w14:textId="77777777" w:rsidR="00C41C72" w:rsidRDefault="00C41C72">
      <w:pPr>
        <w:spacing w:line="276" w:lineRule="auto"/>
      </w:pPr>
      <w:r>
        <w:br w:type="page"/>
      </w:r>
    </w:p>
    <w:p w14:paraId="4D926E0F" w14:textId="77777777" w:rsidR="00C41C72" w:rsidRPr="00C41C72" w:rsidRDefault="00C41C72" w:rsidP="00C41C72">
      <w:pPr>
        <w:pStyle w:val="Heading4"/>
        <w:spacing w:after="240"/>
        <w:rPr>
          <w:lang w:eastAsia="en-AU"/>
        </w:rPr>
      </w:pPr>
      <w:bookmarkStart w:id="32" w:name="_Toc64836311"/>
      <w:r w:rsidRPr="00C41C72">
        <w:rPr>
          <w:lang w:eastAsia="en-AU"/>
        </w:rPr>
        <w:lastRenderedPageBreak/>
        <w:t>Allergic reaction</w:t>
      </w:r>
      <w:bookmarkEnd w:id="32"/>
    </w:p>
    <w:p w14:paraId="05951F40" w14:textId="77777777" w:rsidR="00C41C72" w:rsidRPr="00C41C72" w:rsidRDefault="00C41C72" w:rsidP="00C41C72">
      <w:pPr>
        <w:pStyle w:val="Caption"/>
        <w:keepNext/>
        <w:spacing w:after="0"/>
        <w:rPr>
          <w:b/>
          <w:i w:val="0"/>
          <w:color w:val="auto"/>
        </w:rPr>
      </w:pPr>
      <w:bookmarkStart w:id="33" w:name="_Toc64836422"/>
      <w:r w:rsidRPr="00C41C72">
        <w:rPr>
          <w:b/>
          <w:i w:val="0"/>
          <w:color w:val="auto"/>
        </w:rPr>
        <w:t xml:space="preserve">Table </w:t>
      </w:r>
      <w:r w:rsidRPr="00C41C72">
        <w:rPr>
          <w:b/>
          <w:i w:val="0"/>
          <w:color w:val="auto"/>
        </w:rPr>
        <w:fldChar w:fldCharType="begin"/>
      </w:r>
      <w:r w:rsidRPr="00C41C72">
        <w:rPr>
          <w:b/>
          <w:i w:val="0"/>
          <w:color w:val="auto"/>
        </w:rPr>
        <w:instrText xml:space="preserve"> SEQ Table \* ARABIC </w:instrText>
      </w:r>
      <w:r w:rsidRPr="00C41C72">
        <w:rPr>
          <w:b/>
          <w:i w:val="0"/>
          <w:color w:val="auto"/>
        </w:rPr>
        <w:fldChar w:fldCharType="separate"/>
      </w:r>
      <w:r w:rsidR="001F7368">
        <w:rPr>
          <w:b/>
          <w:i w:val="0"/>
          <w:noProof/>
          <w:color w:val="auto"/>
        </w:rPr>
        <w:t>19</w:t>
      </w:r>
      <w:r w:rsidRPr="00C41C72">
        <w:rPr>
          <w:b/>
          <w:i w:val="0"/>
          <w:color w:val="auto"/>
        </w:rPr>
        <w:fldChar w:fldCharType="end"/>
      </w:r>
      <w:r w:rsidRPr="00C41C72">
        <w:rPr>
          <w:b/>
          <w:i w:val="0"/>
          <w:color w:val="auto"/>
        </w:rPr>
        <w:t>:  Allergic reaction data summary, 2018–19</w:t>
      </w:r>
      <w:bookmarkEnd w:id="33"/>
    </w:p>
    <w:p w14:paraId="44DCA002" w14:textId="2C5AEA8F" w:rsidR="00024BA0" w:rsidRDefault="0045348C" w:rsidP="006136B2">
      <w:pPr>
        <w:spacing w:after="0"/>
      </w:pPr>
      <w:r w:rsidRPr="0045348C">
        <w:rPr>
          <w:noProof/>
          <w:lang w:eastAsia="en-AU"/>
        </w:rPr>
        <w:drawing>
          <wp:inline distT="0" distB="0" distL="0" distR="0" wp14:anchorId="2E6D6883" wp14:editId="59EF1DB5">
            <wp:extent cx="5926455" cy="406307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6455" cy="4063079"/>
                    </a:xfrm>
                    <a:prstGeom prst="rect">
                      <a:avLst/>
                    </a:prstGeom>
                    <a:noFill/>
                    <a:ln>
                      <a:noFill/>
                    </a:ln>
                  </pic:spPr>
                </pic:pic>
              </a:graphicData>
            </a:graphic>
          </wp:inline>
        </w:drawing>
      </w:r>
    </w:p>
    <w:p w14:paraId="5EF34AAF" w14:textId="77777777" w:rsidR="00024BA0" w:rsidRDefault="00024BA0" w:rsidP="006136B2">
      <w:pPr>
        <w:spacing w:after="0"/>
      </w:pPr>
    </w:p>
    <w:p w14:paraId="3685133C" w14:textId="77777777" w:rsidR="00C41C72" w:rsidRPr="00C41C72" w:rsidRDefault="00C41C72" w:rsidP="00C41C72">
      <w:pPr>
        <w:pStyle w:val="Caption"/>
        <w:keepNext/>
        <w:spacing w:after="0"/>
        <w:rPr>
          <w:b/>
          <w:i w:val="0"/>
          <w:color w:val="auto"/>
        </w:rPr>
      </w:pPr>
      <w:bookmarkStart w:id="34" w:name="_Toc64836423"/>
      <w:r w:rsidRPr="00C41C72">
        <w:rPr>
          <w:b/>
          <w:i w:val="0"/>
          <w:color w:val="auto"/>
        </w:rPr>
        <w:t xml:space="preserve">Table </w:t>
      </w:r>
      <w:r w:rsidRPr="00C41C72">
        <w:rPr>
          <w:b/>
          <w:i w:val="0"/>
          <w:color w:val="auto"/>
        </w:rPr>
        <w:fldChar w:fldCharType="begin"/>
      </w:r>
      <w:r w:rsidRPr="00C41C72">
        <w:rPr>
          <w:b/>
          <w:i w:val="0"/>
          <w:color w:val="auto"/>
        </w:rPr>
        <w:instrText xml:space="preserve"> SEQ Table \* ARABIC </w:instrText>
      </w:r>
      <w:r w:rsidRPr="00C41C72">
        <w:rPr>
          <w:b/>
          <w:i w:val="0"/>
          <w:color w:val="auto"/>
        </w:rPr>
        <w:fldChar w:fldCharType="separate"/>
      </w:r>
      <w:r w:rsidR="001F7368">
        <w:rPr>
          <w:b/>
          <w:i w:val="0"/>
          <w:noProof/>
          <w:color w:val="auto"/>
        </w:rPr>
        <w:t>20</w:t>
      </w:r>
      <w:r w:rsidRPr="00C41C72">
        <w:rPr>
          <w:b/>
          <w:i w:val="0"/>
          <w:color w:val="auto"/>
        </w:rPr>
        <w:fldChar w:fldCharType="end"/>
      </w:r>
      <w:r w:rsidRPr="00C41C72">
        <w:rPr>
          <w:b/>
          <w:i w:val="0"/>
          <w:color w:val="auto"/>
        </w:rPr>
        <w:t>:</w:t>
      </w:r>
      <w:r>
        <w:rPr>
          <w:b/>
          <w:i w:val="0"/>
          <w:color w:val="auto"/>
        </w:rPr>
        <w:t xml:space="preserve"> </w:t>
      </w:r>
      <w:r w:rsidRPr="00C41C72">
        <w:rPr>
          <w:b/>
          <w:i w:val="0"/>
          <w:color w:val="auto"/>
        </w:rPr>
        <w:t>Allergic reaction clinical outcome severity by imputability, 2018–19</w:t>
      </w:r>
      <w:bookmarkEnd w:id="34"/>
    </w:p>
    <w:p w14:paraId="2A3FC1B6" w14:textId="77777777" w:rsidR="00362EE4" w:rsidRDefault="00C41C72" w:rsidP="006136B2">
      <w:pPr>
        <w:spacing w:after="0"/>
      </w:pPr>
      <w:r w:rsidRPr="00C41C72">
        <w:rPr>
          <w:noProof/>
          <w:lang w:eastAsia="en-AU"/>
        </w:rPr>
        <w:drawing>
          <wp:inline distT="0" distB="0" distL="0" distR="0" wp14:anchorId="17AC39C2" wp14:editId="4530933B">
            <wp:extent cx="4961890" cy="17411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61890" cy="1741170"/>
                    </a:xfrm>
                    <a:prstGeom prst="rect">
                      <a:avLst/>
                    </a:prstGeom>
                    <a:noFill/>
                    <a:ln>
                      <a:noFill/>
                    </a:ln>
                  </pic:spPr>
                </pic:pic>
              </a:graphicData>
            </a:graphic>
          </wp:inline>
        </w:drawing>
      </w:r>
    </w:p>
    <w:p w14:paraId="6AF71F95" w14:textId="77777777" w:rsidR="00806BD8" w:rsidRDefault="00806BD8">
      <w:pPr>
        <w:spacing w:line="276" w:lineRule="auto"/>
      </w:pPr>
      <w:r>
        <w:br w:type="page"/>
      </w:r>
    </w:p>
    <w:p w14:paraId="25838760" w14:textId="77777777" w:rsidR="00806BD8" w:rsidRPr="00806BD8" w:rsidRDefault="00806BD8" w:rsidP="00806BD8">
      <w:pPr>
        <w:pStyle w:val="Heading4"/>
        <w:spacing w:after="240"/>
        <w:rPr>
          <w:lang w:eastAsia="en-AU"/>
        </w:rPr>
      </w:pPr>
      <w:bookmarkStart w:id="35" w:name="_Toc64836312"/>
      <w:r w:rsidRPr="00806BD8">
        <w:rPr>
          <w:lang w:eastAsia="en-AU"/>
        </w:rPr>
        <w:lastRenderedPageBreak/>
        <w:t>Transfusion-associated circulatory overload (TACO)</w:t>
      </w:r>
      <w:bookmarkEnd w:id="35"/>
    </w:p>
    <w:p w14:paraId="41ED253F" w14:textId="77777777" w:rsidR="00806BD8" w:rsidRPr="00806BD8" w:rsidRDefault="00806BD8" w:rsidP="00806BD8">
      <w:pPr>
        <w:pStyle w:val="Caption"/>
        <w:keepNext/>
        <w:spacing w:after="0"/>
        <w:rPr>
          <w:b/>
          <w:i w:val="0"/>
        </w:rPr>
      </w:pPr>
      <w:bookmarkStart w:id="36" w:name="_Toc64836424"/>
      <w:r w:rsidRPr="00806BD8">
        <w:rPr>
          <w:b/>
          <w:i w:val="0"/>
          <w:color w:val="auto"/>
        </w:rPr>
        <w:t xml:space="preserve">Table </w:t>
      </w:r>
      <w:r w:rsidRPr="00806BD8">
        <w:rPr>
          <w:b/>
          <w:i w:val="0"/>
          <w:color w:val="auto"/>
        </w:rPr>
        <w:fldChar w:fldCharType="begin"/>
      </w:r>
      <w:r w:rsidRPr="00806BD8">
        <w:rPr>
          <w:b/>
          <w:i w:val="0"/>
          <w:color w:val="auto"/>
        </w:rPr>
        <w:instrText xml:space="preserve"> SEQ Table \* ARABIC </w:instrText>
      </w:r>
      <w:r w:rsidRPr="00806BD8">
        <w:rPr>
          <w:b/>
          <w:i w:val="0"/>
          <w:color w:val="auto"/>
        </w:rPr>
        <w:fldChar w:fldCharType="separate"/>
      </w:r>
      <w:r w:rsidR="001F7368">
        <w:rPr>
          <w:b/>
          <w:i w:val="0"/>
          <w:noProof/>
          <w:color w:val="auto"/>
        </w:rPr>
        <w:t>21</w:t>
      </w:r>
      <w:r w:rsidRPr="00806BD8">
        <w:rPr>
          <w:b/>
          <w:i w:val="0"/>
          <w:color w:val="auto"/>
        </w:rPr>
        <w:fldChar w:fldCharType="end"/>
      </w:r>
      <w:r w:rsidRPr="00806BD8">
        <w:rPr>
          <w:b/>
          <w:i w:val="0"/>
          <w:color w:val="auto"/>
        </w:rPr>
        <w:t>: TACO data summary, 2018–19</w:t>
      </w:r>
      <w:bookmarkEnd w:id="36"/>
    </w:p>
    <w:p w14:paraId="41BAC4A4" w14:textId="39FBB682" w:rsidR="00C41C72" w:rsidRDefault="0045348C" w:rsidP="006136B2">
      <w:pPr>
        <w:spacing w:after="0"/>
      </w:pPr>
      <w:r w:rsidRPr="0045348C">
        <w:rPr>
          <w:noProof/>
          <w:lang w:eastAsia="en-AU"/>
        </w:rPr>
        <w:drawing>
          <wp:inline distT="0" distB="0" distL="0" distR="0" wp14:anchorId="23D5E10F" wp14:editId="733203BE">
            <wp:extent cx="5926455" cy="40654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6455" cy="4065400"/>
                    </a:xfrm>
                    <a:prstGeom prst="rect">
                      <a:avLst/>
                    </a:prstGeom>
                    <a:noFill/>
                    <a:ln>
                      <a:noFill/>
                    </a:ln>
                  </pic:spPr>
                </pic:pic>
              </a:graphicData>
            </a:graphic>
          </wp:inline>
        </w:drawing>
      </w:r>
    </w:p>
    <w:p w14:paraId="3516B0DA" w14:textId="77777777" w:rsidR="00806BD8" w:rsidRDefault="00806BD8" w:rsidP="006136B2">
      <w:pPr>
        <w:spacing w:after="0"/>
      </w:pPr>
    </w:p>
    <w:p w14:paraId="428B7CE7" w14:textId="77777777" w:rsidR="00806BD8" w:rsidRPr="00806BD8" w:rsidRDefault="00806BD8" w:rsidP="00806BD8">
      <w:pPr>
        <w:pStyle w:val="Caption"/>
        <w:keepNext/>
        <w:spacing w:after="0"/>
        <w:rPr>
          <w:b/>
          <w:i w:val="0"/>
          <w:color w:val="auto"/>
        </w:rPr>
      </w:pPr>
      <w:bookmarkStart w:id="37" w:name="_Toc64836425"/>
      <w:r w:rsidRPr="00806BD8">
        <w:rPr>
          <w:b/>
          <w:i w:val="0"/>
          <w:color w:val="auto"/>
        </w:rPr>
        <w:t xml:space="preserve">Table </w:t>
      </w:r>
      <w:r w:rsidRPr="00806BD8">
        <w:rPr>
          <w:b/>
          <w:i w:val="0"/>
          <w:color w:val="auto"/>
        </w:rPr>
        <w:fldChar w:fldCharType="begin"/>
      </w:r>
      <w:r w:rsidRPr="00806BD8">
        <w:rPr>
          <w:b/>
          <w:i w:val="0"/>
          <w:color w:val="auto"/>
        </w:rPr>
        <w:instrText xml:space="preserve"> SEQ Table \* ARABIC </w:instrText>
      </w:r>
      <w:r w:rsidRPr="00806BD8">
        <w:rPr>
          <w:b/>
          <w:i w:val="0"/>
          <w:color w:val="auto"/>
        </w:rPr>
        <w:fldChar w:fldCharType="separate"/>
      </w:r>
      <w:r w:rsidR="001F7368">
        <w:rPr>
          <w:b/>
          <w:i w:val="0"/>
          <w:noProof/>
          <w:color w:val="auto"/>
        </w:rPr>
        <w:t>22</w:t>
      </w:r>
      <w:r w:rsidRPr="00806BD8">
        <w:rPr>
          <w:b/>
          <w:i w:val="0"/>
          <w:color w:val="auto"/>
        </w:rPr>
        <w:fldChar w:fldCharType="end"/>
      </w:r>
      <w:r w:rsidRPr="00806BD8">
        <w:rPr>
          <w:b/>
          <w:i w:val="0"/>
          <w:color w:val="auto"/>
        </w:rPr>
        <w:t>: TACO clinical outcome severity by imputability, 2018–19</w:t>
      </w:r>
      <w:bookmarkEnd w:id="37"/>
    </w:p>
    <w:p w14:paraId="7C437E5C" w14:textId="77777777" w:rsidR="00806BD8" w:rsidRDefault="00806BD8" w:rsidP="006136B2">
      <w:pPr>
        <w:spacing w:after="0"/>
      </w:pPr>
      <w:r w:rsidRPr="00806BD8">
        <w:rPr>
          <w:noProof/>
          <w:lang w:eastAsia="en-AU"/>
        </w:rPr>
        <w:drawing>
          <wp:inline distT="0" distB="0" distL="0" distR="0" wp14:anchorId="03DFC424" wp14:editId="3A744F54">
            <wp:extent cx="4993640" cy="17411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93640" cy="1741170"/>
                    </a:xfrm>
                    <a:prstGeom prst="rect">
                      <a:avLst/>
                    </a:prstGeom>
                    <a:noFill/>
                    <a:ln>
                      <a:noFill/>
                    </a:ln>
                  </pic:spPr>
                </pic:pic>
              </a:graphicData>
            </a:graphic>
          </wp:inline>
        </w:drawing>
      </w:r>
    </w:p>
    <w:p w14:paraId="44538476" w14:textId="77777777" w:rsidR="00806BD8" w:rsidRDefault="00806BD8" w:rsidP="006136B2">
      <w:pPr>
        <w:spacing w:after="0"/>
      </w:pPr>
    </w:p>
    <w:p w14:paraId="530D7237" w14:textId="77777777" w:rsidR="00806BD8" w:rsidRDefault="00806BD8">
      <w:pPr>
        <w:spacing w:line="276" w:lineRule="auto"/>
      </w:pPr>
      <w:r>
        <w:br w:type="page"/>
      </w:r>
    </w:p>
    <w:p w14:paraId="45E38F88" w14:textId="77777777" w:rsidR="00806BD8" w:rsidRPr="00806BD8" w:rsidRDefault="00806BD8" w:rsidP="00806BD8">
      <w:pPr>
        <w:pStyle w:val="Heading4"/>
        <w:spacing w:after="240"/>
        <w:rPr>
          <w:lang w:eastAsia="en-AU"/>
        </w:rPr>
      </w:pPr>
      <w:bookmarkStart w:id="38" w:name="_Toc64836313"/>
      <w:r w:rsidRPr="00806BD8">
        <w:rPr>
          <w:lang w:eastAsia="en-AU"/>
        </w:rPr>
        <w:lastRenderedPageBreak/>
        <w:t>Incorrect blood component transfused (IBCT)</w:t>
      </w:r>
      <w:bookmarkEnd w:id="38"/>
    </w:p>
    <w:p w14:paraId="46062F4B" w14:textId="77777777" w:rsidR="00806BD8" w:rsidRPr="00806BD8" w:rsidRDefault="00806BD8" w:rsidP="00806BD8">
      <w:pPr>
        <w:pStyle w:val="Caption"/>
        <w:keepNext/>
        <w:spacing w:after="0"/>
        <w:rPr>
          <w:b/>
          <w:i w:val="0"/>
          <w:color w:val="auto"/>
        </w:rPr>
      </w:pPr>
      <w:bookmarkStart w:id="39" w:name="_Toc64836426"/>
      <w:r w:rsidRPr="00806BD8">
        <w:rPr>
          <w:b/>
          <w:i w:val="0"/>
          <w:color w:val="auto"/>
        </w:rPr>
        <w:t xml:space="preserve">Table </w:t>
      </w:r>
      <w:r w:rsidRPr="00806BD8">
        <w:rPr>
          <w:b/>
          <w:i w:val="0"/>
          <w:color w:val="auto"/>
        </w:rPr>
        <w:fldChar w:fldCharType="begin"/>
      </w:r>
      <w:r w:rsidRPr="00806BD8">
        <w:rPr>
          <w:b/>
          <w:i w:val="0"/>
          <w:color w:val="auto"/>
        </w:rPr>
        <w:instrText xml:space="preserve"> SEQ Table \* ARABIC </w:instrText>
      </w:r>
      <w:r w:rsidRPr="00806BD8">
        <w:rPr>
          <w:b/>
          <w:i w:val="0"/>
          <w:color w:val="auto"/>
        </w:rPr>
        <w:fldChar w:fldCharType="separate"/>
      </w:r>
      <w:r w:rsidR="001F7368">
        <w:rPr>
          <w:b/>
          <w:i w:val="0"/>
          <w:noProof/>
          <w:color w:val="auto"/>
        </w:rPr>
        <w:t>23</w:t>
      </w:r>
      <w:r w:rsidRPr="00806BD8">
        <w:rPr>
          <w:b/>
          <w:i w:val="0"/>
          <w:color w:val="auto"/>
        </w:rPr>
        <w:fldChar w:fldCharType="end"/>
      </w:r>
      <w:r w:rsidRPr="00806BD8">
        <w:rPr>
          <w:b/>
          <w:i w:val="0"/>
          <w:color w:val="auto"/>
        </w:rPr>
        <w:t>:  IBCT data summary, 2018–19</w:t>
      </w:r>
      <w:bookmarkEnd w:id="39"/>
    </w:p>
    <w:p w14:paraId="765136BF" w14:textId="74BB4672" w:rsidR="00806BD8" w:rsidRDefault="0045348C" w:rsidP="00806BD8">
      <w:pPr>
        <w:pStyle w:val="NoSpacing"/>
      </w:pPr>
      <w:r w:rsidRPr="0045348C">
        <w:rPr>
          <w:noProof/>
          <w:lang w:eastAsia="en-AU"/>
        </w:rPr>
        <w:drawing>
          <wp:inline distT="0" distB="0" distL="0" distR="0" wp14:anchorId="3DBD9104" wp14:editId="5896FF06">
            <wp:extent cx="5926455" cy="4056632"/>
            <wp:effectExtent l="0" t="0" r="0"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6455" cy="4056632"/>
                    </a:xfrm>
                    <a:prstGeom prst="rect">
                      <a:avLst/>
                    </a:prstGeom>
                    <a:noFill/>
                    <a:ln>
                      <a:noFill/>
                    </a:ln>
                  </pic:spPr>
                </pic:pic>
              </a:graphicData>
            </a:graphic>
          </wp:inline>
        </w:drawing>
      </w:r>
    </w:p>
    <w:p w14:paraId="24AE29CF" w14:textId="77777777" w:rsidR="00806BD8" w:rsidRDefault="00806BD8" w:rsidP="006136B2">
      <w:pPr>
        <w:spacing w:after="0"/>
      </w:pPr>
    </w:p>
    <w:p w14:paraId="4886BDBE" w14:textId="77777777" w:rsidR="00806BD8" w:rsidRPr="00806BD8" w:rsidRDefault="00806BD8" w:rsidP="00806BD8">
      <w:pPr>
        <w:pStyle w:val="Caption"/>
        <w:keepNext/>
        <w:spacing w:after="0"/>
        <w:rPr>
          <w:b/>
          <w:i w:val="0"/>
        </w:rPr>
      </w:pPr>
      <w:bookmarkStart w:id="40" w:name="_Toc64836427"/>
      <w:r w:rsidRPr="00806BD8">
        <w:rPr>
          <w:b/>
          <w:i w:val="0"/>
          <w:color w:val="auto"/>
        </w:rPr>
        <w:t xml:space="preserve">Table </w:t>
      </w:r>
      <w:r w:rsidRPr="00806BD8">
        <w:rPr>
          <w:b/>
          <w:i w:val="0"/>
          <w:color w:val="auto"/>
        </w:rPr>
        <w:fldChar w:fldCharType="begin"/>
      </w:r>
      <w:r w:rsidRPr="00806BD8">
        <w:rPr>
          <w:b/>
          <w:i w:val="0"/>
          <w:color w:val="auto"/>
        </w:rPr>
        <w:instrText xml:space="preserve"> SEQ Table \* ARABIC </w:instrText>
      </w:r>
      <w:r w:rsidRPr="00806BD8">
        <w:rPr>
          <w:b/>
          <w:i w:val="0"/>
          <w:color w:val="auto"/>
        </w:rPr>
        <w:fldChar w:fldCharType="separate"/>
      </w:r>
      <w:r w:rsidR="001F7368">
        <w:rPr>
          <w:b/>
          <w:i w:val="0"/>
          <w:noProof/>
          <w:color w:val="auto"/>
        </w:rPr>
        <w:t>24</w:t>
      </w:r>
      <w:r w:rsidRPr="00806BD8">
        <w:rPr>
          <w:b/>
          <w:i w:val="0"/>
          <w:color w:val="auto"/>
        </w:rPr>
        <w:fldChar w:fldCharType="end"/>
      </w:r>
      <w:r w:rsidRPr="00806BD8">
        <w:rPr>
          <w:b/>
          <w:i w:val="0"/>
          <w:color w:val="auto"/>
        </w:rPr>
        <w:t>: IBCT clinical outcome severity by imputability, 2018–19</w:t>
      </w:r>
      <w:bookmarkEnd w:id="40"/>
    </w:p>
    <w:p w14:paraId="742A102A" w14:textId="77777777" w:rsidR="00806BD8" w:rsidRDefault="00806BD8" w:rsidP="006136B2">
      <w:pPr>
        <w:spacing w:after="0"/>
      </w:pPr>
      <w:r w:rsidRPr="00806BD8">
        <w:rPr>
          <w:noProof/>
          <w:lang w:eastAsia="en-AU"/>
        </w:rPr>
        <w:drawing>
          <wp:inline distT="0" distB="0" distL="0" distR="0" wp14:anchorId="115341E1" wp14:editId="4213115B">
            <wp:extent cx="4969510" cy="171767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69510" cy="1717675"/>
                    </a:xfrm>
                    <a:prstGeom prst="rect">
                      <a:avLst/>
                    </a:prstGeom>
                    <a:noFill/>
                    <a:ln>
                      <a:noFill/>
                    </a:ln>
                  </pic:spPr>
                </pic:pic>
              </a:graphicData>
            </a:graphic>
          </wp:inline>
        </w:drawing>
      </w:r>
    </w:p>
    <w:p w14:paraId="0CBB1BEA" w14:textId="77777777" w:rsidR="00806BD8" w:rsidRDefault="00806BD8" w:rsidP="006136B2">
      <w:pPr>
        <w:spacing w:after="0"/>
      </w:pPr>
    </w:p>
    <w:p w14:paraId="012A8ED8" w14:textId="77777777" w:rsidR="00806BD8" w:rsidRPr="00806BD8" w:rsidRDefault="00806BD8" w:rsidP="00806BD8">
      <w:pPr>
        <w:pStyle w:val="Caption"/>
        <w:keepNext/>
        <w:spacing w:after="0"/>
        <w:rPr>
          <w:b/>
          <w:i w:val="0"/>
          <w:color w:val="auto"/>
        </w:rPr>
      </w:pPr>
      <w:bookmarkStart w:id="41" w:name="_Toc64836428"/>
      <w:r w:rsidRPr="00806BD8">
        <w:rPr>
          <w:b/>
          <w:i w:val="0"/>
          <w:color w:val="auto"/>
        </w:rPr>
        <w:lastRenderedPageBreak/>
        <w:t xml:space="preserve">Table </w:t>
      </w:r>
      <w:r w:rsidRPr="00806BD8">
        <w:rPr>
          <w:b/>
          <w:i w:val="0"/>
          <w:color w:val="auto"/>
        </w:rPr>
        <w:fldChar w:fldCharType="begin"/>
      </w:r>
      <w:r w:rsidRPr="00806BD8">
        <w:rPr>
          <w:b/>
          <w:i w:val="0"/>
          <w:color w:val="auto"/>
        </w:rPr>
        <w:instrText xml:space="preserve"> SEQ Table \* ARABIC </w:instrText>
      </w:r>
      <w:r w:rsidRPr="00806BD8">
        <w:rPr>
          <w:b/>
          <w:i w:val="0"/>
          <w:color w:val="auto"/>
        </w:rPr>
        <w:fldChar w:fldCharType="separate"/>
      </w:r>
      <w:r w:rsidR="001F7368">
        <w:rPr>
          <w:b/>
          <w:i w:val="0"/>
          <w:noProof/>
          <w:color w:val="auto"/>
        </w:rPr>
        <w:t>25</w:t>
      </w:r>
      <w:r w:rsidRPr="00806BD8">
        <w:rPr>
          <w:b/>
          <w:i w:val="0"/>
          <w:color w:val="auto"/>
        </w:rPr>
        <w:fldChar w:fldCharType="end"/>
      </w:r>
      <w:r w:rsidRPr="00806BD8">
        <w:rPr>
          <w:b/>
          <w:i w:val="0"/>
          <w:color w:val="auto"/>
        </w:rPr>
        <w:t>: Contributory factors cited in IBCT, 2014–15 to 2018–19</w:t>
      </w:r>
      <w:bookmarkEnd w:id="41"/>
    </w:p>
    <w:p w14:paraId="58B695BC" w14:textId="77777777" w:rsidR="00806BD8" w:rsidRDefault="00806BD8" w:rsidP="006136B2">
      <w:pPr>
        <w:spacing w:after="0"/>
      </w:pPr>
      <w:r w:rsidRPr="00806BD8">
        <w:rPr>
          <w:noProof/>
          <w:lang w:eastAsia="en-AU"/>
        </w:rPr>
        <w:drawing>
          <wp:inline distT="0" distB="0" distL="0" distR="0" wp14:anchorId="708DA7DF" wp14:editId="056E11B9">
            <wp:extent cx="5017135" cy="275907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17135" cy="2759075"/>
                    </a:xfrm>
                    <a:prstGeom prst="rect">
                      <a:avLst/>
                    </a:prstGeom>
                    <a:noFill/>
                    <a:ln>
                      <a:noFill/>
                    </a:ln>
                  </pic:spPr>
                </pic:pic>
              </a:graphicData>
            </a:graphic>
          </wp:inline>
        </w:drawing>
      </w:r>
    </w:p>
    <w:p w14:paraId="6F9B4003" w14:textId="354162F6" w:rsidR="00806BD8" w:rsidRDefault="00806BD8" w:rsidP="006136B2">
      <w:pPr>
        <w:spacing w:after="0"/>
      </w:pPr>
      <w:r w:rsidRPr="00806BD8">
        <w:rPr>
          <w:sz w:val="18"/>
        </w:rPr>
        <w:t>* refers to potentially avoidable human errors</w:t>
      </w:r>
    </w:p>
    <w:p w14:paraId="31F39BEA" w14:textId="77777777" w:rsidR="00806BD8" w:rsidRDefault="00806BD8" w:rsidP="006136B2">
      <w:pPr>
        <w:spacing w:after="0"/>
      </w:pPr>
    </w:p>
    <w:p w14:paraId="69B13E57" w14:textId="77777777" w:rsidR="00806BD8" w:rsidRDefault="00806BD8">
      <w:pPr>
        <w:spacing w:line="276" w:lineRule="auto"/>
      </w:pPr>
      <w:r>
        <w:br w:type="page"/>
      </w:r>
    </w:p>
    <w:p w14:paraId="4FB183BE" w14:textId="77777777" w:rsidR="00F37B44" w:rsidRPr="00F37B44" w:rsidRDefault="00F37B44" w:rsidP="00F37B44">
      <w:pPr>
        <w:pStyle w:val="Heading4"/>
        <w:spacing w:after="240"/>
        <w:rPr>
          <w:lang w:eastAsia="en-AU"/>
        </w:rPr>
      </w:pPr>
      <w:bookmarkStart w:id="42" w:name="_Toc64836314"/>
      <w:r w:rsidRPr="00F37B44">
        <w:rPr>
          <w:lang w:eastAsia="en-AU"/>
        </w:rPr>
        <w:lastRenderedPageBreak/>
        <w:t>Anaphylactic or anaphylactoid reaction</w:t>
      </w:r>
      <w:bookmarkEnd w:id="42"/>
    </w:p>
    <w:p w14:paraId="6817FEB1" w14:textId="77777777" w:rsidR="00F37B44" w:rsidRPr="00F37B44" w:rsidRDefault="00F37B44" w:rsidP="00F37B44">
      <w:pPr>
        <w:pStyle w:val="Caption"/>
        <w:keepNext/>
        <w:spacing w:after="0"/>
        <w:rPr>
          <w:b/>
          <w:i w:val="0"/>
          <w:color w:val="auto"/>
        </w:rPr>
      </w:pPr>
      <w:bookmarkStart w:id="43" w:name="_Toc64836429"/>
      <w:r w:rsidRPr="00F37B44">
        <w:rPr>
          <w:b/>
          <w:i w:val="0"/>
          <w:color w:val="auto"/>
        </w:rPr>
        <w:t xml:space="preserve">Table </w:t>
      </w:r>
      <w:r w:rsidRPr="00F37B44">
        <w:rPr>
          <w:b/>
          <w:i w:val="0"/>
          <w:color w:val="auto"/>
        </w:rPr>
        <w:fldChar w:fldCharType="begin"/>
      </w:r>
      <w:r w:rsidRPr="00F37B44">
        <w:rPr>
          <w:b/>
          <w:i w:val="0"/>
          <w:color w:val="auto"/>
        </w:rPr>
        <w:instrText xml:space="preserve"> SEQ Table \* ARABIC </w:instrText>
      </w:r>
      <w:r w:rsidRPr="00F37B44">
        <w:rPr>
          <w:b/>
          <w:i w:val="0"/>
          <w:color w:val="auto"/>
        </w:rPr>
        <w:fldChar w:fldCharType="separate"/>
      </w:r>
      <w:r w:rsidR="001F7368">
        <w:rPr>
          <w:b/>
          <w:i w:val="0"/>
          <w:noProof/>
          <w:color w:val="auto"/>
        </w:rPr>
        <w:t>26</w:t>
      </w:r>
      <w:r w:rsidRPr="00F37B44">
        <w:rPr>
          <w:b/>
          <w:i w:val="0"/>
          <w:color w:val="auto"/>
        </w:rPr>
        <w:fldChar w:fldCharType="end"/>
      </w:r>
      <w:r w:rsidRPr="00F37B44">
        <w:rPr>
          <w:b/>
          <w:i w:val="0"/>
          <w:color w:val="auto"/>
        </w:rPr>
        <w:t>: Anaphylactic or anaphylactoid reaction data summary, 2018–19</w:t>
      </w:r>
      <w:bookmarkEnd w:id="43"/>
    </w:p>
    <w:p w14:paraId="7B92B100" w14:textId="07FA82C1" w:rsidR="00F37B44" w:rsidRDefault="0045348C" w:rsidP="006136B2">
      <w:pPr>
        <w:spacing w:after="0"/>
      </w:pPr>
      <w:r w:rsidRPr="0045348C">
        <w:rPr>
          <w:noProof/>
          <w:lang w:eastAsia="en-AU"/>
        </w:rPr>
        <w:drawing>
          <wp:inline distT="0" distB="0" distL="0" distR="0" wp14:anchorId="16685052" wp14:editId="505DB6D9">
            <wp:extent cx="5926455" cy="412292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26455" cy="4122920"/>
                    </a:xfrm>
                    <a:prstGeom prst="rect">
                      <a:avLst/>
                    </a:prstGeom>
                    <a:noFill/>
                    <a:ln>
                      <a:noFill/>
                    </a:ln>
                  </pic:spPr>
                </pic:pic>
              </a:graphicData>
            </a:graphic>
          </wp:inline>
        </w:drawing>
      </w:r>
    </w:p>
    <w:p w14:paraId="459D51FF" w14:textId="77777777" w:rsidR="00F37B44" w:rsidRDefault="00F37B44" w:rsidP="006136B2">
      <w:pPr>
        <w:spacing w:after="0"/>
      </w:pPr>
    </w:p>
    <w:p w14:paraId="3F5F8D5C" w14:textId="77777777" w:rsidR="00F37B44" w:rsidRPr="00F37B44" w:rsidRDefault="00F37B44" w:rsidP="00F37B44">
      <w:pPr>
        <w:pStyle w:val="Caption"/>
        <w:keepNext/>
        <w:spacing w:after="0"/>
        <w:rPr>
          <w:b/>
          <w:i w:val="0"/>
          <w:color w:val="auto"/>
        </w:rPr>
      </w:pPr>
      <w:bookmarkStart w:id="44" w:name="_Toc64836430"/>
      <w:r w:rsidRPr="00F37B44">
        <w:rPr>
          <w:b/>
          <w:i w:val="0"/>
          <w:color w:val="auto"/>
        </w:rPr>
        <w:t xml:space="preserve">Table </w:t>
      </w:r>
      <w:r w:rsidRPr="00F37B44">
        <w:rPr>
          <w:b/>
          <w:i w:val="0"/>
          <w:color w:val="auto"/>
        </w:rPr>
        <w:fldChar w:fldCharType="begin"/>
      </w:r>
      <w:r w:rsidRPr="00F37B44">
        <w:rPr>
          <w:b/>
          <w:i w:val="0"/>
          <w:color w:val="auto"/>
        </w:rPr>
        <w:instrText xml:space="preserve"> SEQ Table \* ARABIC </w:instrText>
      </w:r>
      <w:r w:rsidRPr="00F37B44">
        <w:rPr>
          <w:b/>
          <w:i w:val="0"/>
          <w:color w:val="auto"/>
        </w:rPr>
        <w:fldChar w:fldCharType="separate"/>
      </w:r>
      <w:r w:rsidR="001F7368">
        <w:rPr>
          <w:b/>
          <w:i w:val="0"/>
          <w:noProof/>
          <w:color w:val="auto"/>
        </w:rPr>
        <w:t>27</w:t>
      </w:r>
      <w:r w:rsidRPr="00F37B44">
        <w:rPr>
          <w:b/>
          <w:i w:val="0"/>
          <w:color w:val="auto"/>
        </w:rPr>
        <w:fldChar w:fldCharType="end"/>
      </w:r>
      <w:r w:rsidRPr="00F37B44">
        <w:rPr>
          <w:b/>
          <w:i w:val="0"/>
          <w:color w:val="auto"/>
        </w:rPr>
        <w:t>: Anaphylactic or anaphylactoid reaction clinical outcome severity by imputability, 2018–19</w:t>
      </w:r>
      <w:bookmarkEnd w:id="44"/>
    </w:p>
    <w:p w14:paraId="4FBEE793" w14:textId="77777777" w:rsidR="00F37B44" w:rsidRDefault="00F37B44" w:rsidP="006136B2">
      <w:pPr>
        <w:spacing w:after="0"/>
      </w:pPr>
      <w:r w:rsidRPr="00F37B44">
        <w:rPr>
          <w:noProof/>
          <w:lang w:eastAsia="en-AU"/>
        </w:rPr>
        <w:drawing>
          <wp:inline distT="0" distB="0" distL="0" distR="0" wp14:anchorId="7E674065" wp14:editId="5A1E68A9">
            <wp:extent cx="4961890" cy="17411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61890" cy="1741170"/>
                    </a:xfrm>
                    <a:prstGeom prst="rect">
                      <a:avLst/>
                    </a:prstGeom>
                    <a:noFill/>
                    <a:ln>
                      <a:noFill/>
                    </a:ln>
                  </pic:spPr>
                </pic:pic>
              </a:graphicData>
            </a:graphic>
          </wp:inline>
        </w:drawing>
      </w:r>
    </w:p>
    <w:p w14:paraId="69C6D47B" w14:textId="77777777" w:rsidR="00F37B44" w:rsidRDefault="00F37B44" w:rsidP="006136B2">
      <w:pPr>
        <w:spacing w:after="0"/>
      </w:pPr>
    </w:p>
    <w:p w14:paraId="0BD269F9" w14:textId="77777777" w:rsidR="00F37B44" w:rsidRDefault="00F37B44">
      <w:pPr>
        <w:spacing w:line="276" w:lineRule="auto"/>
      </w:pPr>
      <w:r>
        <w:br w:type="page"/>
      </w:r>
    </w:p>
    <w:p w14:paraId="22382F87" w14:textId="77777777" w:rsidR="00F37B44" w:rsidRPr="00F37B44" w:rsidRDefault="00F37B44" w:rsidP="00F37B44">
      <w:pPr>
        <w:pStyle w:val="Heading4"/>
        <w:spacing w:after="240"/>
        <w:rPr>
          <w:lang w:eastAsia="en-AU"/>
        </w:rPr>
      </w:pPr>
      <w:bookmarkStart w:id="45" w:name="_Toc64836315"/>
      <w:r w:rsidRPr="00F37B44">
        <w:rPr>
          <w:lang w:eastAsia="en-AU"/>
        </w:rPr>
        <w:lastRenderedPageBreak/>
        <w:t>Delayed haemolytic transfusion reaction (DHTR)</w:t>
      </w:r>
      <w:bookmarkEnd w:id="45"/>
    </w:p>
    <w:p w14:paraId="60841F1D" w14:textId="77777777" w:rsidR="00F37B44" w:rsidRPr="00F37B44" w:rsidRDefault="00F37B44" w:rsidP="00F37B44">
      <w:pPr>
        <w:pStyle w:val="Caption"/>
        <w:keepNext/>
        <w:spacing w:after="0"/>
        <w:rPr>
          <w:b/>
          <w:i w:val="0"/>
          <w:color w:val="auto"/>
        </w:rPr>
      </w:pPr>
      <w:bookmarkStart w:id="46" w:name="_Toc64836431"/>
      <w:r w:rsidRPr="00F37B44">
        <w:rPr>
          <w:b/>
          <w:i w:val="0"/>
          <w:color w:val="auto"/>
        </w:rPr>
        <w:t xml:space="preserve">Table </w:t>
      </w:r>
      <w:r w:rsidRPr="00F37B44">
        <w:rPr>
          <w:b/>
          <w:i w:val="0"/>
          <w:color w:val="auto"/>
        </w:rPr>
        <w:fldChar w:fldCharType="begin"/>
      </w:r>
      <w:r w:rsidRPr="00F37B44">
        <w:rPr>
          <w:b/>
          <w:i w:val="0"/>
          <w:color w:val="auto"/>
        </w:rPr>
        <w:instrText xml:space="preserve"> SEQ Table \* ARABIC </w:instrText>
      </w:r>
      <w:r w:rsidRPr="00F37B44">
        <w:rPr>
          <w:b/>
          <w:i w:val="0"/>
          <w:color w:val="auto"/>
        </w:rPr>
        <w:fldChar w:fldCharType="separate"/>
      </w:r>
      <w:r w:rsidR="001F7368">
        <w:rPr>
          <w:b/>
          <w:i w:val="0"/>
          <w:noProof/>
          <w:color w:val="auto"/>
        </w:rPr>
        <w:t>28</w:t>
      </w:r>
      <w:r w:rsidRPr="00F37B44">
        <w:rPr>
          <w:b/>
          <w:i w:val="0"/>
          <w:color w:val="auto"/>
        </w:rPr>
        <w:fldChar w:fldCharType="end"/>
      </w:r>
      <w:r w:rsidRPr="00F37B44">
        <w:rPr>
          <w:b/>
          <w:i w:val="0"/>
          <w:color w:val="auto"/>
        </w:rPr>
        <w:t>: DHTR data summary, 2018–19</w:t>
      </w:r>
      <w:bookmarkEnd w:id="46"/>
    </w:p>
    <w:p w14:paraId="47AA89E8" w14:textId="762680B0" w:rsidR="00F37B44" w:rsidRDefault="0045348C" w:rsidP="006136B2">
      <w:pPr>
        <w:spacing w:after="0"/>
      </w:pPr>
      <w:r w:rsidRPr="0045348C">
        <w:rPr>
          <w:noProof/>
          <w:lang w:eastAsia="en-AU"/>
        </w:rPr>
        <w:drawing>
          <wp:inline distT="0" distB="0" distL="0" distR="0" wp14:anchorId="5444FFFC" wp14:editId="4CC8E378">
            <wp:extent cx="5926455" cy="4066036"/>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26455" cy="4066036"/>
                    </a:xfrm>
                    <a:prstGeom prst="rect">
                      <a:avLst/>
                    </a:prstGeom>
                    <a:noFill/>
                    <a:ln>
                      <a:noFill/>
                    </a:ln>
                  </pic:spPr>
                </pic:pic>
              </a:graphicData>
            </a:graphic>
          </wp:inline>
        </w:drawing>
      </w:r>
    </w:p>
    <w:p w14:paraId="7479521C" w14:textId="77777777" w:rsidR="00F37B44" w:rsidRDefault="00F37B44" w:rsidP="006136B2">
      <w:pPr>
        <w:spacing w:after="0"/>
      </w:pPr>
    </w:p>
    <w:p w14:paraId="6D4FEB4A" w14:textId="77777777" w:rsidR="00F37B44" w:rsidRPr="00F37B44" w:rsidRDefault="00F37B44" w:rsidP="00F37B44">
      <w:pPr>
        <w:pStyle w:val="Caption"/>
        <w:keepNext/>
        <w:spacing w:after="0"/>
        <w:rPr>
          <w:b/>
          <w:i w:val="0"/>
          <w:color w:val="auto"/>
        </w:rPr>
      </w:pPr>
      <w:bookmarkStart w:id="47" w:name="_Toc64836432"/>
      <w:r w:rsidRPr="00F37B44">
        <w:rPr>
          <w:b/>
          <w:i w:val="0"/>
          <w:color w:val="auto"/>
        </w:rPr>
        <w:t xml:space="preserve">Table </w:t>
      </w:r>
      <w:r w:rsidRPr="00F37B44">
        <w:rPr>
          <w:b/>
          <w:i w:val="0"/>
          <w:color w:val="auto"/>
        </w:rPr>
        <w:fldChar w:fldCharType="begin"/>
      </w:r>
      <w:r w:rsidRPr="00F37B44">
        <w:rPr>
          <w:b/>
          <w:i w:val="0"/>
          <w:color w:val="auto"/>
        </w:rPr>
        <w:instrText xml:space="preserve"> SEQ Table \* ARABIC </w:instrText>
      </w:r>
      <w:r w:rsidRPr="00F37B44">
        <w:rPr>
          <w:b/>
          <w:i w:val="0"/>
          <w:color w:val="auto"/>
        </w:rPr>
        <w:fldChar w:fldCharType="separate"/>
      </w:r>
      <w:r w:rsidR="001F7368">
        <w:rPr>
          <w:b/>
          <w:i w:val="0"/>
          <w:noProof/>
          <w:color w:val="auto"/>
        </w:rPr>
        <w:t>29</w:t>
      </w:r>
      <w:r w:rsidRPr="00F37B44">
        <w:rPr>
          <w:b/>
          <w:i w:val="0"/>
          <w:color w:val="auto"/>
        </w:rPr>
        <w:fldChar w:fldCharType="end"/>
      </w:r>
      <w:r w:rsidRPr="00F37B44">
        <w:rPr>
          <w:b/>
          <w:i w:val="0"/>
          <w:color w:val="auto"/>
        </w:rPr>
        <w:t>: DHTR clinical outcome severity by imputability, 2018–19</w:t>
      </w:r>
      <w:bookmarkEnd w:id="47"/>
    </w:p>
    <w:p w14:paraId="2E025E1C" w14:textId="77777777" w:rsidR="00F37B44" w:rsidRDefault="00F37B44" w:rsidP="006136B2">
      <w:pPr>
        <w:spacing w:after="0"/>
      </w:pPr>
      <w:r w:rsidRPr="00F37B44">
        <w:rPr>
          <w:noProof/>
          <w:lang w:eastAsia="en-AU"/>
        </w:rPr>
        <w:drawing>
          <wp:inline distT="0" distB="0" distL="0" distR="0" wp14:anchorId="12BB31B0" wp14:editId="326DF625">
            <wp:extent cx="4969510" cy="174117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69510" cy="1741170"/>
                    </a:xfrm>
                    <a:prstGeom prst="rect">
                      <a:avLst/>
                    </a:prstGeom>
                    <a:noFill/>
                    <a:ln>
                      <a:noFill/>
                    </a:ln>
                  </pic:spPr>
                </pic:pic>
              </a:graphicData>
            </a:graphic>
          </wp:inline>
        </w:drawing>
      </w:r>
    </w:p>
    <w:p w14:paraId="2BE12520" w14:textId="77777777" w:rsidR="00F37B44" w:rsidRDefault="00F37B44" w:rsidP="006136B2">
      <w:pPr>
        <w:spacing w:after="0"/>
      </w:pPr>
    </w:p>
    <w:p w14:paraId="775A0501" w14:textId="77777777" w:rsidR="00F37B44" w:rsidRDefault="00F37B44">
      <w:pPr>
        <w:spacing w:line="276" w:lineRule="auto"/>
      </w:pPr>
      <w:r>
        <w:br w:type="page"/>
      </w:r>
    </w:p>
    <w:p w14:paraId="537EE309" w14:textId="77777777" w:rsidR="00E85FD9" w:rsidRPr="00E85FD9" w:rsidRDefault="00E85FD9" w:rsidP="00E85FD9">
      <w:pPr>
        <w:pStyle w:val="Heading4"/>
        <w:spacing w:after="240"/>
        <w:rPr>
          <w:lang w:eastAsia="en-AU"/>
        </w:rPr>
      </w:pPr>
      <w:bookmarkStart w:id="48" w:name="_Toc64836316"/>
      <w:r w:rsidRPr="00E85FD9">
        <w:rPr>
          <w:lang w:eastAsia="en-AU"/>
        </w:rPr>
        <w:lastRenderedPageBreak/>
        <w:t>Acute haemolytic transfusion reaction (AHTR)</w:t>
      </w:r>
      <w:bookmarkEnd w:id="48"/>
    </w:p>
    <w:p w14:paraId="45D8AADC" w14:textId="77777777" w:rsidR="00E85FD9" w:rsidRPr="00E85FD9" w:rsidRDefault="00E85FD9" w:rsidP="00E85FD9">
      <w:pPr>
        <w:pStyle w:val="Caption"/>
        <w:keepNext/>
        <w:spacing w:after="0"/>
        <w:rPr>
          <w:b/>
          <w:i w:val="0"/>
          <w:color w:val="auto"/>
        </w:rPr>
      </w:pPr>
      <w:bookmarkStart w:id="49" w:name="_Toc64836433"/>
      <w:r w:rsidRPr="00E85FD9">
        <w:rPr>
          <w:b/>
          <w:i w:val="0"/>
          <w:color w:val="auto"/>
        </w:rPr>
        <w:t xml:space="preserve">Table </w:t>
      </w:r>
      <w:r w:rsidRPr="00E85FD9">
        <w:rPr>
          <w:b/>
          <w:i w:val="0"/>
          <w:color w:val="auto"/>
        </w:rPr>
        <w:fldChar w:fldCharType="begin"/>
      </w:r>
      <w:r w:rsidRPr="00E85FD9">
        <w:rPr>
          <w:b/>
          <w:i w:val="0"/>
          <w:color w:val="auto"/>
        </w:rPr>
        <w:instrText xml:space="preserve"> SEQ Table \* ARABIC </w:instrText>
      </w:r>
      <w:r w:rsidRPr="00E85FD9">
        <w:rPr>
          <w:b/>
          <w:i w:val="0"/>
          <w:color w:val="auto"/>
        </w:rPr>
        <w:fldChar w:fldCharType="separate"/>
      </w:r>
      <w:r w:rsidR="001F7368">
        <w:rPr>
          <w:b/>
          <w:i w:val="0"/>
          <w:noProof/>
          <w:color w:val="auto"/>
        </w:rPr>
        <w:t>30</w:t>
      </w:r>
      <w:r w:rsidRPr="00E85FD9">
        <w:rPr>
          <w:b/>
          <w:i w:val="0"/>
          <w:color w:val="auto"/>
        </w:rPr>
        <w:fldChar w:fldCharType="end"/>
      </w:r>
      <w:r w:rsidRPr="00E85FD9">
        <w:rPr>
          <w:b/>
          <w:i w:val="0"/>
          <w:color w:val="auto"/>
        </w:rPr>
        <w:t>: AHTR data summary, 2018–19</w:t>
      </w:r>
      <w:bookmarkEnd w:id="49"/>
    </w:p>
    <w:p w14:paraId="241F848D" w14:textId="51CE7325" w:rsidR="00F37B44" w:rsidRDefault="0045348C" w:rsidP="006136B2">
      <w:pPr>
        <w:spacing w:after="0"/>
      </w:pPr>
      <w:r w:rsidRPr="0045348C">
        <w:rPr>
          <w:noProof/>
          <w:lang w:eastAsia="en-AU"/>
        </w:rPr>
        <w:drawing>
          <wp:inline distT="0" distB="0" distL="0" distR="0" wp14:anchorId="269AE226" wp14:editId="7385C9F6">
            <wp:extent cx="5926455" cy="404778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26455" cy="4047780"/>
                    </a:xfrm>
                    <a:prstGeom prst="rect">
                      <a:avLst/>
                    </a:prstGeom>
                    <a:noFill/>
                    <a:ln>
                      <a:noFill/>
                    </a:ln>
                  </pic:spPr>
                </pic:pic>
              </a:graphicData>
            </a:graphic>
          </wp:inline>
        </w:drawing>
      </w:r>
    </w:p>
    <w:p w14:paraId="682CEBC3" w14:textId="77777777" w:rsidR="00F37B44" w:rsidRDefault="00F37B44" w:rsidP="006136B2">
      <w:pPr>
        <w:spacing w:after="0"/>
      </w:pPr>
    </w:p>
    <w:p w14:paraId="1E5D902D" w14:textId="77777777" w:rsidR="00E85FD9" w:rsidRPr="00E85FD9" w:rsidRDefault="00E85FD9" w:rsidP="00E85FD9">
      <w:pPr>
        <w:pStyle w:val="Caption"/>
        <w:keepNext/>
        <w:spacing w:after="0"/>
        <w:rPr>
          <w:b/>
          <w:i w:val="0"/>
          <w:color w:val="auto"/>
        </w:rPr>
      </w:pPr>
      <w:bookmarkStart w:id="50" w:name="_Toc64836434"/>
      <w:r w:rsidRPr="00E85FD9">
        <w:rPr>
          <w:b/>
          <w:i w:val="0"/>
          <w:color w:val="auto"/>
        </w:rPr>
        <w:t xml:space="preserve">Table </w:t>
      </w:r>
      <w:r w:rsidRPr="00E85FD9">
        <w:rPr>
          <w:b/>
          <w:i w:val="0"/>
          <w:color w:val="auto"/>
        </w:rPr>
        <w:fldChar w:fldCharType="begin"/>
      </w:r>
      <w:r w:rsidRPr="00E85FD9">
        <w:rPr>
          <w:b/>
          <w:i w:val="0"/>
          <w:color w:val="auto"/>
        </w:rPr>
        <w:instrText xml:space="preserve"> SEQ Table \* ARABIC </w:instrText>
      </w:r>
      <w:r w:rsidRPr="00E85FD9">
        <w:rPr>
          <w:b/>
          <w:i w:val="0"/>
          <w:color w:val="auto"/>
        </w:rPr>
        <w:fldChar w:fldCharType="separate"/>
      </w:r>
      <w:r w:rsidR="001F7368">
        <w:rPr>
          <w:b/>
          <w:i w:val="0"/>
          <w:noProof/>
          <w:color w:val="auto"/>
        </w:rPr>
        <w:t>31</w:t>
      </w:r>
      <w:r w:rsidRPr="00E85FD9">
        <w:rPr>
          <w:b/>
          <w:i w:val="0"/>
          <w:color w:val="auto"/>
        </w:rPr>
        <w:fldChar w:fldCharType="end"/>
      </w:r>
      <w:r w:rsidRPr="00E85FD9">
        <w:rPr>
          <w:b/>
          <w:i w:val="0"/>
          <w:color w:val="auto"/>
        </w:rPr>
        <w:t>: AHTR clinical outcome severity by imputability, 2018–19</w:t>
      </w:r>
      <w:bookmarkEnd w:id="50"/>
    </w:p>
    <w:p w14:paraId="0670DD40" w14:textId="77777777" w:rsidR="00F37B44" w:rsidRDefault="00E85FD9" w:rsidP="006136B2">
      <w:pPr>
        <w:spacing w:after="0"/>
      </w:pPr>
      <w:r w:rsidRPr="00E85FD9">
        <w:rPr>
          <w:noProof/>
          <w:lang w:eastAsia="en-AU"/>
        </w:rPr>
        <w:drawing>
          <wp:inline distT="0" distB="0" distL="0" distR="0" wp14:anchorId="55764879" wp14:editId="35C72465">
            <wp:extent cx="4969510" cy="174117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69510" cy="1741170"/>
                    </a:xfrm>
                    <a:prstGeom prst="rect">
                      <a:avLst/>
                    </a:prstGeom>
                    <a:noFill/>
                    <a:ln>
                      <a:noFill/>
                    </a:ln>
                  </pic:spPr>
                </pic:pic>
              </a:graphicData>
            </a:graphic>
          </wp:inline>
        </w:drawing>
      </w:r>
    </w:p>
    <w:p w14:paraId="32E49DFE" w14:textId="77777777" w:rsidR="00F37B44" w:rsidRDefault="00F37B44" w:rsidP="006136B2">
      <w:pPr>
        <w:spacing w:after="0"/>
      </w:pPr>
    </w:p>
    <w:p w14:paraId="078DE687" w14:textId="77777777" w:rsidR="00E85FD9" w:rsidRDefault="00E85FD9">
      <w:pPr>
        <w:spacing w:line="276" w:lineRule="auto"/>
      </w:pPr>
      <w:r>
        <w:br w:type="page"/>
      </w:r>
    </w:p>
    <w:p w14:paraId="69D186EE" w14:textId="77777777" w:rsidR="00E85FD9" w:rsidRPr="00E85FD9" w:rsidRDefault="00E85FD9" w:rsidP="00E85FD9">
      <w:pPr>
        <w:pStyle w:val="Heading4"/>
        <w:spacing w:after="240"/>
        <w:rPr>
          <w:lang w:eastAsia="en-AU"/>
        </w:rPr>
      </w:pPr>
      <w:bookmarkStart w:id="51" w:name="_Toc64836317"/>
      <w:r w:rsidRPr="00E85FD9">
        <w:rPr>
          <w:lang w:eastAsia="en-AU"/>
        </w:rPr>
        <w:lastRenderedPageBreak/>
        <w:t>Transfusion-transmitted infection (TTI)</w:t>
      </w:r>
      <w:bookmarkEnd w:id="51"/>
    </w:p>
    <w:p w14:paraId="26325A04" w14:textId="77777777" w:rsidR="00E85FD9" w:rsidRPr="00E85FD9" w:rsidRDefault="00E85FD9" w:rsidP="00E85FD9">
      <w:pPr>
        <w:pStyle w:val="Caption"/>
        <w:keepNext/>
        <w:spacing w:after="0"/>
        <w:rPr>
          <w:b/>
          <w:i w:val="0"/>
          <w:color w:val="auto"/>
        </w:rPr>
      </w:pPr>
      <w:bookmarkStart w:id="52" w:name="_Toc64836435"/>
      <w:r w:rsidRPr="00E85FD9">
        <w:rPr>
          <w:b/>
          <w:i w:val="0"/>
          <w:color w:val="auto"/>
        </w:rPr>
        <w:t xml:space="preserve">Table </w:t>
      </w:r>
      <w:r w:rsidRPr="00E85FD9">
        <w:rPr>
          <w:b/>
          <w:i w:val="0"/>
          <w:color w:val="auto"/>
        </w:rPr>
        <w:fldChar w:fldCharType="begin"/>
      </w:r>
      <w:r w:rsidRPr="00E85FD9">
        <w:rPr>
          <w:b/>
          <w:i w:val="0"/>
          <w:color w:val="auto"/>
        </w:rPr>
        <w:instrText xml:space="preserve"> SEQ Table \* ARABIC </w:instrText>
      </w:r>
      <w:r w:rsidRPr="00E85FD9">
        <w:rPr>
          <w:b/>
          <w:i w:val="0"/>
          <w:color w:val="auto"/>
        </w:rPr>
        <w:fldChar w:fldCharType="separate"/>
      </w:r>
      <w:r w:rsidR="001F7368">
        <w:rPr>
          <w:b/>
          <w:i w:val="0"/>
          <w:noProof/>
          <w:color w:val="auto"/>
        </w:rPr>
        <w:t>32</w:t>
      </w:r>
      <w:r w:rsidRPr="00E85FD9">
        <w:rPr>
          <w:b/>
          <w:i w:val="0"/>
          <w:color w:val="auto"/>
        </w:rPr>
        <w:fldChar w:fldCharType="end"/>
      </w:r>
      <w:r w:rsidRPr="00E85FD9">
        <w:rPr>
          <w:b/>
          <w:i w:val="0"/>
          <w:color w:val="auto"/>
        </w:rPr>
        <w:t>: TTI data summary, 2018–19</w:t>
      </w:r>
      <w:bookmarkEnd w:id="52"/>
    </w:p>
    <w:p w14:paraId="74B40119" w14:textId="1301D58E" w:rsidR="00E85FD9" w:rsidRDefault="0045348C" w:rsidP="006136B2">
      <w:pPr>
        <w:spacing w:after="0"/>
      </w:pPr>
      <w:r w:rsidRPr="0045348C">
        <w:rPr>
          <w:noProof/>
          <w:lang w:eastAsia="en-AU"/>
        </w:rPr>
        <w:drawing>
          <wp:inline distT="0" distB="0" distL="0" distR="0" wp14:anchorId="55FE626E" wp14:editId="3D3473B1">
            <wp:extent cx="5926455" cy="4049227"/>
            <wp:effectExtent l="0" t="0" r="0" b="889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26455" cy="4049227"/>
                    </a:xfrm>
                    <a:prstGeom prst="rect">
                      <a:avLst/>
                    </a:prstGeom>
                    <a:noFill/>
                    <a:ln>
                      <a:noFill/>
                    </a:ln>
                  </pic:spPr>
                </pic:pic>
              </a:graphicData>
            </a:graphic>
          </wp:inline>
        </w:drawing>
      </w:r>
    </w:p>
    <w:p w14:paraId="389B1E62" w14:textId="77777777" w:rsidR="00E85FD9" w:rsidRDefault="00E85FD9" w:rsidP="006136B2">
      <w:pPr>
        <w:spacing w:after="0"/>
      </w:pPr>
    </w:p>
    <w:p w14:paraId="31E96AA5" w14:textId="77777777" w:rsidR="00E85FD9" w:rsidRPr="00E85FD9" w:rsidRDefault="00E85FD9" w:rsidP="00E85FD9">
      <w:pPr>
        <w:pStyle w:val="Caption"/>
        <w:keepNext/>
        <w:spacing w:after="0"/>
        <w:rPr>
          <w:b/>
          <w:i w:val="0"/>
          <w:color w:val="auto"/>
        </w:rPr>
      </w:pPr>
      <w:bookmarkStart w:id="53" w:name="_Toc64836436"/>
      <w:r w:rsidRPr="00E85FD9">
        <w:rPr>
          <w:b/>
          <w:i w:val="0"/>
          <w:color w:val="auto"/>
        </w:rPr>
        <w:t xml:space="preserve">Table </w:t>
      </w:r>
      <w:r w:rsidRPr="00E85FD9">
        <w:rPr>
          <w:b/>
          <w:i w:val="0"/>
          <w:color w:val="auto"/>
        </w:rPr>
        <w:fldChar w:fldCharType="begin"/>
      </w:r>
      <w:r w:rsidRPr="00E85FD9">
        <w:rPr>
          <w:b/>
          <w:i w:val="0"/>
          <w:color w:val="auto"/>
        </w:rPr>
        <w:instrText xml:space="preserve"> SEQ Table \* ARABIC </w:instrText>
      </w:r>
      <w:r w:rsidRPr="00E85FD9">
        <w:rPr>
          <w:b/>
          <w:i w:val="0"/>
          <w:color w:val="auto"/>
        </w:rPr>
        <w:fldChar w:fldCharType="separate"/>
      </w:r>
      <w:r w:rsidR="001F7368">
        <w:rPr>
          <w:b/>
          <w:i w:val="0"/>
          <w:noProof/>
          <w:color w:val="auto"/>
        </w:rPr>
        <w:t>33</w:t>
      </w:r>
      <w:r w:rsidRPr="00E85FD9">
        <w:rPr>
          <w:b/>
          <w:i w:val="0"/>
          <w:color w:val="auto"/>
        </w:rPr>
        <w:fldChar w:fldCharType="end"/>
      </w:r>
      <w:r w:rsidRPr="00E85FD9">
        <w:rPr>
          <w:b/>
          <w:i w:val="0"/>
          <w:color w:val="auto"/>
        </w:rPr>
        <w:t>:  TTI clinical outcome severity by imputability, 2018–19</w:t>
      </w:r>
      <w:bookmarkEnd w:id="53"/>
    </w:p>
    <w:p w14:paraId="62AD1BFF" w14:textId="77777777" w:rsidR="00E85FD9" w:rsidRDefault="00E85FD9" w:rsidP="006136B2">
      <w:pPr>
        <w:spacing w:after="0"/>
      </w:pPr>
      <w:r w:rsidRPr="00E85FD9">
        <w:rPr>
          <w:noProof/>
          <w:lang w:eastAsia="en-AU"/>
        </w:rPr>
        <w:drawing>
          <wp:inline distT="0" distB="0" distL="0" distR="0" wp14:anchorId="228ED035" wp14:editId="5BD65732">
            <wp:extent cx="4961890" cy="176530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61890" cy="1765300"/>
                    </a:xfrm>
                    <a:prstGeom prst="rect">
                      <a:avLst/>
                    </a:prstGeom>
                    <a:noFill/>
                    <a:ln>
                      <a:noFill/>
                    </a:ln>
                  </pic:spPr>
                </pic:pic>
              </a:graphicData>
            </a:graphic>
          </wp:inline>
        </w:drawing>
      </w:r>
    </w:p>
    <w:p w14:paraId="26180099" w14:textId="77777777" w:rsidR="00E85FD9" w:rsidRDefault="00E85FD9" w:rsidP="006136B2">
      <w:pPr>
        <w:spacing w:after="0"/>
      </w:pPr>
    </w:p>
    <w:p w14:paraId="01DBA3D6" w14:textId="77777777" w:rsidR="00E85FD9" w:rsidRDefault="00E85FD9">
      <w:pPr>
        <w:spacing w:line="276" w:lineRule="auto"/>
      </w:pPr>
      <w:r>
        <w:br w:type="page"/>
      </w:r>
    </w:p>
    <w:p w14:paraId="6228E956" w14:textId="77777777" w:rsidR="00E85FD9" w:rsidRPr="00E85FD9" w:rsidRDefault="00E85FD9" w:rsidP="00E85FD9">
      <w:pPr>
        <w:pStyle w:val="Heading4"/>
        <w:spacing w:after="240"/>
        <w:rPr>
          <w:lang w:eastAsia="en-AU"/>
        </w:rPr>
      </w:pPr>
      <w:bookmarkStart w:id="54" w:name="_Toc64836318"/>
      <w:r w:rsidRPr="00E85FD9">
        <w:rPr>
          <w:lang w:eastAsia="en-AU"/>
        </w:rPr>
        <w:lastRenderedPageBreak/>
        <w:t>Transfusion related acute lung injury (TRALI)</w:t>
      </w:r>
      <w:bookmarkEnd w:id="54"/>
    </w:p>
    <w:p w14:paraId="568C629B" w14:textId="77777777" w:rsidR="00E85FD9" w:rsidRPr="00E85FD9" w:rsidRDefault="00E85FD9" w:rsidP="00E85FD9">
      <w:pPr>
        <w:pStyle w:val="Caption"/>
        <w:keepNext/>
        <w:spacing w:after="0"/>
        <w:rPr>
          <w:b/>
          <w:i w:val="0"/>
          <w:color w:val="auto"/>
        </w:rPr>
      </w:pPr>
      <w:bookmarkStart w:id="55" w:name="_Toc64836437"/>
      <w:r w:rsidRPr="00E85FD9">
        <w:rPr>
          <w:b/>
          <w:i w:val="0"/>
          <w:color w:val="auto"/>
        </w:rPr>
        <w:t xml:space="preserve">Table </w:t>
      </w:r>
      <w:r w:rsidRPr="00E85FD9">
        <w:rPr>
          <w:b/>
          <w:i w:val="0"/>
          <w:color w:val="auto"/>
        </w:rPr>
        <w:fldChar w:fldCharType="begin"/>
      </w:r>
      <w:r w:rsidRPr="00E85FD9">
        <w:rPr>
          <w:b/>
          <w:i w:val="0"/>
          <w:color w:val="auto"/>
        </w:rPr>
        <w:instrText xml:space="preserve"> SEQ Table \* ARABIC </w:instrText>
      </w:r>
      <w:r w:rsidRPr="00E85FD9">
        <w:rPr>
          <w:b/>
          <w:i w:val="0"/>
          <w:color w:val="auto"/>
        </w:rPr>
        <w:fldChar w:fldCharType="separate"/>
      </w:r>
      <w:r w:rsidR="001F7368">
        <w:rPr>
          <w:b/>
          <w:i w:val="0"/>
          <w:noProof/>
          <w:color w:val="auto"/>
        </w:rPr>
        <w:t>34</w:t>
      </w:r>
      <w:r w:rsidRPr="00E85FD9">
        <w:rPr>
          <w:b/>
          <w:i w:val="0"/>
          <w:color w:val="auto"/>
        </w:rPr>
        <w:fldChar w:fldCharType="end"/>
      </w:r>
      <w:r w:rsidRPr="00E85FD9">
        <w:rPr>
          <w:b/>
          <w:i w:val="0"/>
          <w:color w:val="auto"/>
        </w:rPr>
        <w:t>: TRALI data summary, 2018–19</w:t>
      </w:r>
      <w:bookmarkEnd w:id="55"/>
    </w:p>
    <w:p w14:paraId="62AFC766" w14:textId="5CBA25AD" w:rsidR="00E85FD9" w:rsidRDefault="0045348C" w:rsidP="00E85FD9">
      <w:pPr>
        <w:pStyle w:val="NoSpacing"/>
      </w:pPr>
      <w:r w:rsidRPr="0045348C">
        <w:rPr>
          <w:noProof/>
          <w:lang w:eastAsia="en-AU"/>
        </w:rPr>
        <w:drawing>
          <wp:inline distT="0" distB="0" distL="0" distR="0" wp14:anchorId="196EC121" wp14:editId="0C7C5BD0">
            <wp:extent cx="5926455" cy="4066761"/>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26455" cy="4066761"/>
                    </a:xfrm>
                    <a:prstGeom prst="rect">
                      <a:avLst/>
                    </a:prstGeom>
                    <a:noFill/>
                    <a:ln>
                      <a:noFill/>
                    </a:ln>
                  </pic:spPr>
                </pic:pic>
              </a:graphicData>
            </a:graphic>
          </wp:inline>
        </w:drawing>
      </w:r>
    </w:p>
    <w:p w14:paraId="0C816DE6" w14:textId="77777777" w:rsidR="00E85FD9" w:rsidRDefault="00E85FD9" w:rsidP="006136B2">
      <w:pPr>
        <w:spacing w:after="0"/>
      </w:pPr>
    </w:p>
    <w:p w14:paraId="5C61BBDD" w14:textId="77777777" w:rsidR="00E85FD9" w:rsidRPr="00E85FD9" w:rsidRDefault="00E85FD9" w:rsidP="00E85FD9">
      <w:pPr>
        <w:pStyle w:val="Caption"/>
        <w:keepNext/>
        <w:spacing w:after="0"/>
        <w:rPr>
          <w:b/>
          <w:i w:val="0"/>
          <w:color w:val="auto"/>
        </w:rPr>
      </w:pPr>
      <w:bookmarkStart w:id="56" w:name="_Toc64836438"/>
      <w:r w:rsidRPr="00E85FD9">
        <w:rPr>
          <w:b/>
          <w:i w:val="0"/>
          <w:color w:val="auto"/>
        </w:rPr>
        <w:t xml:space="preserve">Table </w:t>
      </w:r>
      <w:r w:rsidRPr="00E85FD9">
        <w:rPr>
          <w:b/>
          <w:i w:val="0"/>
          <w:color w:val="auto"/>
        </w:rPr>
        <w:fldChar w:fldCharType="begin"/>
      </w:r>
      <w:r w:rsidRPr="00E85FD9">
        <w:rPr>
          <w:b/>
          <w:i w:val="0"/>
          <w:color w:val="auto"/>
        </w:rPr>
        <w:instrText xml:space="preserve"> SEQ Table \* ARABIC </w:instrText>
      </w:r>
      <w:r w:rsidRPr="00E85FD9">
        <w:rPr>
          <w:b/>
          <w:i w:val="0"/>
          <w:color w:val="auto"/>
        </w:rPr>
        <w:fldChar w:fldCharType="separate"/>
      </w:r>
      <w:r w:rsidR="001F7368">
        <w:rPr>
          <w:b/>
          <w:i w:val="0"/>
          <w:noProof/>
          <w:color w:val="auto"/>
        </w:rPr>
        <w:t>35</w:t>
      </w:r>
      <w:r w:rsidRPr="00E85FD9">
        <w:rPr>
          <w:b/>
          <w:i w:val="0"/>
          <w:color w:val="auto"/>
        </w:rPr>
        <w:fldChar w:fldCharType="end"/>
      </w:r>
      <w:r w:rsidRPr="00E85FD9">
        <w:rPr>
          <w:b/>
          <w:i w:val="0"/>
          <w:color w:val="auto"/>
        </w:rPr>
        <w:t>: TRALI clinical outcome severity by imputability, 2018–19</w:t>
      </w:r>
      <w:bookmarkEnd w:id="56"/>
    </w:p>
    <w:p w14:paraId="2C70E6AD" w14:textId="77777777" w:rsidR="00E85FD9" w:rsidRDefault="00E85FD9" w:rsidP="006136B2">
      <w:pPr>
        <w:spacing w:after="0"/>
      </w:pPr>
      <w:r w:rsidRPr="00E85FD9">
        <w:rPr>
          <w:noProof/>
          <w:lang w:eastAsia="en-AU"/>
        </w:rPr>
        <w:drawing>
          <wp:inline distT="0" distB="0" distL="0" distR="0" wp14:anchorId="21CF7887" wp14:editId="2F4F961B">
            <wp:extent cx="4946015" cy="1908175"/>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46015" cy="1908175"/>
                    </a:xfrm>
                    <a:prstGeom prst="rect">
                      <a:avLst/>
                    </a:prstGeom>
                    <a:noFill/>
                    <a:ln>
                      <a:noFill/>
                    </a:ln>
                  </pic:spPr>
                </pic:pic>
              </a:graphicData>
            </a:graphic>
          </wp:inline>
        </w:drawing>
      </w:r>
    </w:p>
    <w:p w14:paraId="024E4914" w14:textId="77777777" w:rsidR="00E85FD9" w:rsidRDefault="00E85FD9" w:rsidP="006136B2">
      <w:pPr>
        <w:spacing w:after="0"/>
      </w:pPr>
    </w:p>
    <w:p w14:paraId="105629A8" w14:textId="77777777" w:rsidR="00E85FD9" w:rsidRDefault="00E85FD9">
      <w:pPr>
        <w:spacing w:line="276" w:lineRule="auto"/>
      </w:pPr>
      <w:r>
        <w:br w:type="page"/>
      </w:r>
    </w:p>
    <w:p w14:paraId="5488DE03" w14:textId="77777777" w:rsidR="00E85FD9" w:rsidRPr="00E85FD9" w:rsidRDefault="00E85FD9" w:rsidP="00E85FD9">
      <w:pPr>
        <w:rPr>
          <w:rFonts w:eastAsia="Times New Roman"/>
          <w:color w:val="000000"/>
          <w:sz w:val="28"/>
          <w:szCs w:val="28"/>
          <w:lang w:eastAsia="en-AU"/>
        </w:rPr>
      </w:pPr>
      <w:r w:rsidRPr="00E85FD9">
        <w:rPr>
          <w:rFonts w:eastAsia="Times New Roman"/>
          <w:color w:val="000000"/>
          <w:sz w:val="28"/>
          <w:szCs w:val="28"/>
          <w:lang w:eastAsia="en-AU"/>
        </w:rPr>
        <w:lastRenderedPageBreak/>
        <w:t>Post-tran</w:t>
      </w:r>
      <w:r w:rsidRPr="00E85FD9">
        <w:rPr>
          <w:rStyle w:val="Heading4Char"/>
          <w:lang w:eastAsia="en-AU"/>
        </w:rPr>
        <w:t>s</w:t>
      </w:r>
      <w:r w:rsidRPr="00E85FD9">
        <w:rPr>
          <w:rFonts w:eastAsia="Times New Roman"/>
          <w:color w:val="000000"/>
          <w:sz w:val="28"/>
          <w:szCs w:val="28"/>
          <w:lang w:eastAsia="en-AU"/>
        </w:rPr>
        <w:t>fusion purpura (PTP)</w:t>
      </w:r>
    </w:p>
    <w:p w14:paraId="21B9EA9D" w14:textId="77777777" w:rsidR="00E85FD9" w:rsidRPr="00E85FD9" w:rsidRDefault="00E85FD9" w:rsidP="00E85FD9">
      <w:pPr>
        <w:pStyle w:val="Caption"/>
        <w:keepNext/>
        <w:spacing w:after="0"/>
        <w:rPr>
          <w:b/>
          <w:i w:val="0"/>
          <w:color w:val="auto"/>
        </w:rPr>
      </w:pPr>
      <w:bookmarkStart w:id="57" w:name="_Toc64836439"/>
      <w:r w:rsidRPr="00E85FD9">
        <w:rPr>
          <w:b/>
          <w:i w:val="0"/>
          <w:color w:val="auto"/>
        </w:rPr>
        <w:t xml:space="preserve">Table </w:t>
      </w:r>
      <w:r w:rsidRPr="00E85FD9">
        <w:rPr>
          <w:b/>
          <w:i w:val="0"/>
          <w:color w:val="auto"/>
        </w:rPr>
        <w:fldChar w:fldCharType="begin"/>
      </w:r>
      <w:r w:rsidRPr="00E85FD9">
        <w:rPr>
          <w:b/>
          <w:i w:val="0"/>
          <w:color w:val="auto"/>
        </w:rPr>
        <w:instrText xml:space="preserve"> SEQ Table \* ARABIC </w:instrText>
      </w:r>
      <w:r w:rsidRPr="00E85FD9">
        <w:rPr>
          <w:b/>
          <w:i w:val="0"/>
          <w:color w:val="auto"/>
        </w:rPr>
        <w:fldChar w:fldCharType="separate"/>
      </w:r>
      <w:r w:rsidR="001F7368">
        <w:rPr>
          <w:b/>
          <w:i w:val="0"/>
          <w:noProof/>
          <w:color w:val="auto"/>
        </w:rPr>
        <w:t>36</w:t>
      </w:r>
      <w:r w:rsidRPr="00E85FD9">
        <w:rPr>
          <w:b/>
          <w:i w:val="0"/>
          <w:color w:val="auto"/>
        </w:rPr>
        <w:fldChar w:fldCharType="end"/>
      </w:r>
      <w:r w:rsidRPr="00E85FD9">
        <w:rPr>
          <w:b/>
          <w:i w:val="0"/>
          <w:color w:val="auto"/>
        </w:rPr>
        <w:t>:</w:t>
      </w:r>
      <w:r>
        <w:rPr>
          <w:b/>
          <w:i w:val="0"/>
          <w:color w:val="auto"/>
        </w:rPr>
        <w:t xml:space="preserve"> </w:t>
      </w:r>
      <w:r w:rsidRPr="00E85FD9">
        <w:rPr>
          <w:b/>
          <w:i w:val="0"/>
          <w:color w:val="auto"/>
        </w:rPr>
        <w:t>PTP data summary, 2018–19</w:t>
      </w:r>
      <w:bookmarkEnd w:id="57"/>
    </w:p>
    <w:p w14:paraId="746A547C" w14:textId="18940DBE" w:rsidR="00E85FD9" w:rsidRDefault="00FC06B4" w:rsidP="006136B2">
      <w:pPr>
        <w:spacing w:after="0"/>
      </w:pPr>
      <w:r w:rsidRPr="00FC06B4">
        <w:rPr>
          <w:noProof/>
          <w:lang w:eastAsia="en-AU"/>
        </w:rPr>
        <w:drawing>
          <wp:inline distT="0" distB="0" distL="0" distR="0" wp14:anchorId="0502D7B0" wp14:editId="20618FC8">
            <wp:extent cx="5926455" cy="4066761"/>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26455" cy="4066761"/>
                    </a:xfrm>
                    <a:prstGeom prst="rect">
                      <a:avLst/>
                    </a:prstGeom>
                    <a:noFill/>
                    <a:ln>
                      <a:noFill/>
                    </a:ln>
                  </pic:spPr>
                </pic:pic>
              </a:graphicData>
            </a:graphic>
          </wp:inline>
        </w:drawing>
      </w:r>
    </w:p>
    <w:p w14:paraId="2E3815E1" w14:textId="77777777" w:rsidR="00E85FD9" w:rsidRDefault="00E85FD9" w:rsidP="006136B2">
      <w:pPr>
        <w:spacing w:after="0"/>
      </w:pPr>
    </w:p>
    <w:p w14:paraId="38AC23E4" w14:textId="77777777" w:rsidR="00E85FD9" w:rsidRPr="00E85FD9" w:rsidRDefault="00E85FD9" w:rsidP="00E85FD9">
      <w:pPr>
        <w:pStyle w:val="Caption"/>
        <w:keepNext/>
        <w:spacing w:after="0"/>
        <w:rPr>
          <w:b/>
          <w:i w:val="0"/>
          <w:color w:val="auto"/>
        </w:rPr>
      </w:pPr>
      <w:bookmarkStart w:id="58" w:name="_Toc64836440"/>
      <w:r w:rsidRPr="00E85FD9">
        <w:rPr>
          <w:b/>
          <w:i w:val="0"/>
          <w:color w:val="auto"/>
        </w:rPr>
        <w:t xml:space="preserve">Table </w:t>
      </w:r>
      <w:r w:rsidRPr="00E85FD9">
        <w:rPr>
          <w:b/>
          <w:i w:val="0"/>
          <w:color w:val="auto"/>
        </w:rPr>
        <w:fldChar w:fldCharType="begin"/>
      </w:r>
      <w:r w:rsidRPr="00E85FD9">
        <w:rPr>
          <w:b/>
          <w:i w:val="0"/>
          <w:color w:val="auto"/>
        </w:rPr>
        <w:instrText xml:space="preserve"> SEQ Table \* ARABIC </w:instrText>
      </w:r>
      <w:r w:rsidRPr="00E85FD9">
        <w:rPr>
          <w:b/>
          <w:i w:val="0"/>
          <w:color w:val="auto"/>
        </w:rPr>
        <w:fldChar w:fldCharType="separate"/>
      </w:r>
      <w:r w:rsidR="001F7368">
        <w:rPr>
          <w:b/>
          <w:i w:val="0"/>
          <w:noProof/>
          <w:color w:val="auto"/>
        </w:rPr>
        <w:t>37</w:t>
      </w:r>
      <w:r w:rsidRPr="00E85FD9">
        <w:rPr>
          <w:b/>
          <w:i w:val="0"/>
          <w:color w:val="auto"/>
        </w:rPr>
        <w:fldChar w:fldCharType="end"/>
      </w:r>
      <w:r w:rsidRPr="00E85FD9">
        <w:rPr>
          <w:b/>
          <w:i w:val="0"/>
          <w:color w:val="auto"/>
        </w:rPr>
        <w:t>: PTP clinical outcome severity by imputability, 2018–19</w:t>
      </w:r>
      <w:bookmarkEnd w:id="58"/>
    </w:p>
    <w:p w14:paraId="3EE9C2C9" w14:textId="77777777" w:rsidR="00E85FD9" w:rsidRDefault="00E85FD9" w:rsidP="006136B2">
      <w:pPr>
        <w:spacing w:after="0"/>
      </w:pPr>
      <w:r w:rsidRPr="00E85FD9">
        <w:rPr>
          <w:noProof/>
          <w:lang w:eastAsia="en-AU"/>
        </w:rPr>
        <w:drawing>
          <wp:inline distT="0" distB="0" distL="0" distR="0" wp14:anchorId="2D72EE60" wp14:editId="2D2FA108">
            <wp:extent cx="4946015" cy="1908175"/>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46015" cy="1908175"/>
                    </a:xfrm>
                    <a:prstGeom prst="rect">
                      <a:avLst/>
                    </a:prstGeom>
                    <a:noFill/>
                    <a:ln>
                      <a:noFill/>
                    </a:ln>
                  </pic:spPr>
                </pic:pic>
              </a:graphicData>
            </a:graphic>
          </wp:inline>
        </w:drawing>
      </w:r>
    </w:p>
    <w:p w14:paraId="28E27482" w14:textId="77777777" w:rsidR="00E85FD9" w:rsidRDefault="00E85FD9" w:rsidP="006136B2">
      <w:pPr>
        <w:spacing w:after="0"/>
      </w:pPr>
    </w:p>
    <w:p w14:paraId="129C70C0" w14:textId="77777777" w:rsidR="00E85FD9" w:rsidRDefault="00E85FD9">
      <w:pPr>
        <w:spacing w:line="276" w:lineRule="auto"/>
      </w:pPr>
      <w:r>
        <w:br w:type="page"/>
      </w:r>
    </w:p>
    <w:p w14:paraId="169E4135" w14:textId="77777777" w:rsidR="00E85FD9" w:rsidRPr="00E85FD9" w:rsidRDefault="00E85FD9" w:rsidP="00E85FD9">
      <w:pPr>
        <w:pStyle w:val="Heading4"/>
        <w:spacing w:after="240"/>
        <w:rPr>
          <w:lang w:eastAsia="en-AU"/>
        </w:rPr>
      </w:pPr>
      <w:bookmarkStart w:id="59" w:name="_Toc64836319"/>
      <w:r w:rsidRPr="00E85FD9">
        <w:rPr>
          <w:lang w:eastAsia="en-AU"/>
        </w:rPr>
        <w:lastRenderedPageBreak/>
        <w:t>Delayed serologic reaction (DSTR)</w:t>
      </w:r>
      <w:bookmarkEnd w:id="59"/>
    </w:p>
    <w:p w14:paraId="50383E5B" w14:textId="77777777" w:rsidR="00E85FD9" w:rsidRPr="00E85FD9" w:rsidRDefault="00E85FD9" w:rsidP="00E85FD9">
      <w:pPr>
        <w:pStyle w:val="Caption"/>
        <w:keepNext/>
        <w:spacing w:after="0"/>
        <w:rPr>
          <w:b/>
          <w:i w:val="0"/>
          <w:color w:val="auto"/>
        </w:rPr>
      </w:pPr>
      <w:bookmarkStart w:id="60" w:name="_Toc64836441"/>
      <w:r w:rsidRPr="00E85FD9">
        <w:rPr>
          <w:b/>
          <w:i w:val="0"/>
          <w:color w:val="auto"/>
        </w:rPr>
        <w:t xml:space="preserve">Table </w:t>
      </w:r>
      <w:r w:rsidRPr="00E85FD9">
        <w:rPr>
          <w:b/>
          <w:i w:val="0"/>
          <w:color w:val="auto"/>
        </w:rPr>
        <w:fldChar w:fldCharType="begin"/>
      </w:r>
      <w:r w:rsidRPr="00E85FD9">
        <w:rPr>
          <w:b/>
          <w:i w:val="0"/>
          <w:color w:val="auto"/>
        </w:rPr>
        <w:instrText xml:space="preserve"> SEQ Table \* ARABIC </w:instrText>
      </w:r>
      <w:r w:rsidRPr="00E85FD9">
        <w:rPr>
          <w:b/>
          <w:i w:val="0"/>
          <w:color w:val="auto"/>
        </w:rPr>
        <w:fldChar w:fldCharType="separate"/>
      </w:r>
      <w:r w:rsidR="001F7368">
        <w:rPr>
          <w:b/>
          <w:i w:val="0"/>
          <w:noProof/>
          <w:color w:val="auto"/>
        </w:rPr>
        <w:t>38</w:t>
      </w:r>
      <w:r w:rsidRPr="00E85FD9">
        <w:rPr>
          <w:b/>
          <w:i w:val="0"/>
          <w:color w:val="auto"/>
        </w:rPr>
        <w:fldChar w:fldCharType="end"/>
      </w:r>
      <w:r w:rsidRPr="00E85FD9">
        <w:rPr>
          <w:b/>
          <w:i w:val="0"/>
          <w:color w:val="auto"/>
        </w:rPr>
        <w:t>: DSTR data summary, 2018–19</w:t>
      </w:r>
      <w:bookmarkEnd w:id="60"/>
    </w:p>
    <w:p w14:paraId="18BD1A6E" w14:textId="05661C93" w:rsidR="00E85FD9" w:rsidRDefault="00FC06B4" w:rsidP="006136B2">
      <w:pPr>
        <w:spacing w:after="0"/>
      </w:pPr>
      <w:r w:rsidRPr="00FC06B4">
        <w:rPr>
          <w:noProof/>
          <w:lang w:eastAsia="en-AU"/>
        </w:rPr>
        <w:drawing>
          <wp:inline distT="0" distB="0" distL="0" distR="0" wp14:anchorId="39FAC99D" wp14:editId="25D01116">
            <wp:extent cx="5926455" cy="4066761"/>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26455" cy="4066761"/>
                    </a:xfrm>
                    <a:prstGeom prst="rect">
                      <a:avLst/>
                    </a:prstGeom>
                    <a:noFill/>
                    <a:ln>
                      <a:noFill/>
                    </a:ln>
                  </pic:spPr>
                </pic:pic>
              </a:graphicData>
            </a:graphic>
          </wp:inline>
        </w:drawing>
      </w:r>
    </w:p>
    <w:p w14:paraId="29AB9A9F" w14:textId="77777777" w:rsidR="00E85FD9" w:rsidRPr="00E85FD9" w:rsidRDefault="00E85FD9" w:rsidP="006136B2">
      <w:pPr>
        <w:spacing w:after="0"/>
        <w:rPr>
          <w:sz w:val="18"/>
        </w:rPr>
      </w:pPr>
      <w:r w:rsidRPr="00E85FD9">
        <w:rPr>
          <w:sz w:val="18"/>
        </w:rPr>
        <w:t>Note: WA and VIC reported DSTR in accordance with the 2015 AHMDS in 2018-19</w:t>
      </w:r>
    </w:p>
    <w:p w14:paraId="37578321" w14:textId="77777777" w:rsidR="00E85FD9" w:rsidRDefault="00E85FD9" w:rsidP="006136B2">
      <w:pPr>
        <w:spacing w:after="0"/>
      </w:pPr>
    </w:p>
    <w:p w14:paraId="334E59C3" w14:textId="77777777" w:rsidR="00E85FD9" w:rsidRPr="00E85FD9" w:rsidRDefault="00E85FD9" w:rsidP="00E85FD9">
      <w:pPr>
        <w:pStyle w:val="Caption"/>
        <w:keepNext/>
        <w:spacing w:after="0"/>
        <w:rPr>
          <w:b/>
          <w:i w:val="0"/>
        </w:rPr>
      </w:pPr>
      <w:bookmarkStart w:id="61" w:name="_Toc64836442"/>
      <w:r w:rsidRPr="00E85FD9">
        <w:rPr>
          <w:b/>
          <w:i w:val="0"/>
          <w:color w:val="auto"/>
        </w:rPr>
        <w:t xml:space="preserve">Table </w:t>
      </w:r>
      <w:r w:rsidRPr="00E85FD9">
        <w:rPr>
          <w:b/>
          <w:i w:val="0"/>
          <w:color w:val="auto"/>
        </w:rPr>
        <w:fldChar w:fldCharType="begin"/>
      </w:r>
      <w:r w:rsidRPr="00E85FD9">
        <w:rPr>
          <w:b/>
          <w:i w:val="0"/>
          <w:color w:val="auto"/>
        </w:rPr>
        <w:instrText xml:space="preserve"> SEQ Table \* ARABIC </w:instrText>
      </w:r>
      <w:r w:rsidRPr="00E85FD9">
        <w:rPr>
          <w:b/>
          <w:i w:val="0"/>
          <w:color w:val="auto"/>
        </w:rPr>
        <w:fldChar w:fldCharType="separate"/>
      </w:r>
      <w:r w:rsidR="001F7368">
        <w:rPr>
          <w:b/>
          <w:i w:val="0"/>
          <w:noProof/>
          <w:color w:val="auto"/>
        </w:rPr>
        <w:t>39</w:t>
      </w:r>
      <w:r w:rsidRPr="00E85FD9">
        <w:rPr>
          <w:b/>
          <w:i w:val="0"/>
          <w:color w:val="auto"/>
        </w:rPr>
        <w:fldChar w:fldCharType="end"/>
      </w:r>
      <w:r w:rsidRPr="00E85FD9">
        <w:rPr>
          <w:b/>
          <w:i w:val="0"/>
          <w:color w:val="auto"/>
        </w:rPr>
        <w:t>: DSTR clinical outcome severity by imputability, 2018–19</w:t>
      </w:r>
      <w:bookmarkEnd w:id="61"/>
    </w:p>
    <w:p w14:paraId="5FD66056" w14:textId="77777777" w:rsidR="00E85FD9" w:rsidRDefault="00E85FD9" w:rsidP="006136B2">
      <w:pPr>
        <w:spacing w:after="0"/>
      </w:pPr>
      <w:r w:rsidRPr="00E85FD9">
        <w:rPr>
          <w:noProof/>
          <w:lang w:eastAsia="en-AU"/>
        </w:rPr>
        <w:drawing>
          <wp:inline distT="0" distB="0" distL="0" distR="0" wp14:anchorId="5235C152" wp14:editId="73464C04">
            <wp:extent cx="4946015" cy="1908175"/>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46015" cy="1908175"/>
                    </a:xfrm>
                    <a:prstGeom prst="rect">
                      <a:avLst/>
                    </a:prstGeom>
                    <a:noFill/>
                    <a:ln>
                      <a:noFill/>
                    </a:ln>
                  </pic:spPr>
                </pic:pic>
              </a:graphicData>
            </a:graphic>
          </wp:inline>
        </w:drawing>
      </w:r>
    </w:p>
    <w:p w14:paraId="3E3A9C8F" w14:textId="77777777" w:rsidR="00E85FD9" w:rsidRDefault="00E85FD9">
      <w:pPr>
        <w:spacing w:line="276" w:lineRule="auto"/>
      </w:pPr>
      <w:r>
        <w:br w:type="page"/>
      </w:r>
    </w:p>
    <w:p w14:paraId="6994E134" w14:textId="77777777" w:rsidR="0012223A" w:rsidRPr="0012223A" w:rsidRDefault="0012223A" w:rsidP="0012223A">
      <w:pPr>
        <w:pStyle w:val="Heading4"/>
        <w:spacing w:after="240"/>
        <w:rPr>
          <w:lang w:eastAsia="en-AU"/>
        </w:rPr>
      </w:pPr>
      <w:bookmarkStart w:id="62" w:name="_Toc64836320"/>
      <w:r w:rsidRPr="0012223A">
        <w:rPr>
          <w:lang w:eastAsia="en-AU"/>
        </w:rPr>
        <w:lastRenderedPageBreak/>
        <w:t xml:space="preserve">Hypotensive transfusion </w:t>
      </w:r>
      <w:r>
        <w:rPr>
          <w:lang w:eastAsia="en-AU"/>
        </w:rPr>
        <w:t>reaction</w:t>
      </w:r>
      <w:r w:rsidRPr="0012223A">
        <w:rPr>
          <w:lang w:eastAsia="en-AU"/>
        </w:rPr>
        <w:t xml:space="preserve"> (Hypotensive)</w:t>
      </w:r>
      <w:bookmarkEnd w:id="62"/>
    </w:p>
    <w:p w14:paraId="0F907E21" w14:textId="77777777" w:rsidR="0012223A" w:rsidRPr="0012223A" w:rsidRDefault="0012223A" w:rsidP="0012223A">
      <w:pPr>
        <w:pStyle w:val="Caption"/>
        <w:keepNext/>
        <w:spacing w:after="0"/>
        <w:rPr>
          <w:b/>
          <w:i w:val="0"/>
          <w:color w:val="auto"/>
        </w:rPr>
      </w:pPr>
      <w:bookmarkStart w:id="63" w:name="_Toc64836443"/>
      <w:r w:rsidRPr="0012223A">
        <w:rPr>
          <w:b/>
          <w:i w:val="0"/>
          <w:color w:val="auto"/>
        </w:rPr>
        <w:t xml:space="preserve">Table </w:t>
      </w:r>
      <w:r w:rsidRPr="0012223A">
        <w:rPr>
          <w:b/>
          <w:i w:val="0"/>
          <w:color w:val="auto"/>
        </w:rPr>
        <w:fldChar w:fldCharType="begin"/>
      </w:r>
      <w:r w:rsidRPr="0012223A">
        <w:rPr>
          <w:b/>
          <w:i w:val="0"/>
          <w:color w:val="auto"/>
        </w:rPr>
        <w:instrText xml:space="preserve"> SEQ Table \* ARABIC </w:instrText>
      </w:r>
      <w:r w:rsidRPr="0012223A">
        <w:rPr>
          <w:b/>
          <w:i w:val="0"/>
          <w:color w:val="auto"/>
        </w:rPr>
        <w:fldChar w:fldCharType="separate"/>
      </w:r>
      <w:r w:rsidR="001F7368">
        <w:rPr>
          <w:b/>
          <w:i w:val="0"/>
          <w:noProof/>
          <w:color w:val="auto"/>
        </w:rPr>
        <w:t>40</w:t>
      </w:r>
      <w:r w:rsidRPr="0012223A">
        <w:rPr>
          <w:b/>
          <w:i w:val="0"/>
          <w:color w:val="auto"/>
        </w:rPr>
        <w:fldChar w:fldCharType="end"/>
      </w:r>
      <w:r w:rsidRPr="0012223A">
        <w:rPr>
          <w:b/>
          <w:i w:val="0"/>
          <w:color w:val="auto"/>
        </w:rPr>
        <w:t>: Hypotensive data summary, 2018–19</w:t>
      </w:r>
      <w:bookmarkEnd w:id="63"/>
    </w:p>
    <w:p w14:paraId="35438398" w14:textId="45A5AF67" w:rsidR="00E85FD9" w:rsidRDefault="00FC06B4" w:rsidP="006136B2">
      <w:pPr>
        <w:spacing w:after="0"/>
      </w:pPr>
      <w:r w:rsidRPr="00FC06B4">
        <w:rPr>
          <w:noProof/>
          <w:lang w:eastAsia="en-AU"/>
        </w:rPr>
        <w:drawing>
          <wp:inline distT="0" distB="0" distL="0" distR="0" wp14:anchorId="1C04BB8F" wp14:editId="2E7564D8">
            <wp:extent cx="5926455" cy="4066761"/>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26455" cy="4066761"/>
                    </a:xfrm>
                    <a:prstGeom prst="rect">
                      <a:avLst/>
                    </a:prstGeom>
                    <a:noFill/>
                    <a:ln>
                      <a:noFill/>
                    </a:ln>
                  </pic:spPr>
                </pic:pic>
              </a:graphicData>
            </a:graphic>
          </wp:inline>
        </w:drawing>
      </w:r>
    </w:p>
    <w:p w14:paraId="7A1C1C42" w14:textId="77777777" w:rsidR="0012223A" w:rsidRPr="0012223A" w:rsidRDefault="0012223A" w:rsidP="0012223A">
      <w:pPr>
        <w:spacing w:after="0"/>
        <w:rPr>
          <w:rFonts w:eastAsia="Times New Roman"/>
          <w:color w:val="000000"/>
          <w:sz w:val="18"/>
          <w:szCs w:val="18"/>
          <w:lang w:eastAsia="en-AU"/>
        </w:rPr>
      </w:pPr>
      <w:r w:rsidRPr="0012223A">
        <w:rPr>
          <w:rFonts w:eastAsia="Times New Roman"/>
          <w:color w:val="000000"/>
          <w:sz w:val="18"/>
          <w:szCs w:val="18"/>
          <w:lang w:eastAsia="en-AU"/>
        </w:rPr>
        <w:t>Note: WA, SA and NSW reported hypotensive reaction in accordance with the 2015 AHMDS in 2018-19</w:t>
      </w:r>
    </w:p>
    <w:p w14:paraId="2374F91A" w14:textId="77777777" w:rsidR="00E85FD9" w:rsidRDefault="00E85FD9" w:rsidP="006136B2">
      <w:pPr>
        <w:spacing w:after="0"/>
      </w:pPr>
    </w:p>
    <w:p w14:paraId="59852E4A" w14:textId="77777777" w:rsidR="0012223A" w:rsidRPr="0012223A" w:rsidRDefault="0012223A" w:rsidP="0012223A">
      <w:pPr>
        <w:pStyle w:val="Caption"/>
        <w:keepNext/>
        <w:spacing w:after="0"/>
        <w:rPr>
          <w:b/>
          <w:i w:val="0"/>
          <w:color w:val="auto"/>
        </w:rPr>
      </w:pPr>
      <w:bookmarkStart w:id="64" w:name="_Toc64836444"/>
      <w:r w:rsidRPr="0012223A">
        <w:rPr>
          <w:b/>
          <w:i w:val="0"/>
          <w:color w:val="auto"/>
        </w:rPr>
        <w:t xml:space="preserve">Table </w:t>
      </w:r>
      <w:r w:rsidRPr="0012223A">
        <w:rPr>
          <w:b/>
          <w:i w:val="0"/>
          <w:color w:val="auto"/>
        </w:rPr>
        <w:fldChar w:fldCharType="begin"/>
      </w:r>
      <w:r w:rsidRPr="0012223A">
        <w:rPr>
          <w:b/>
          <w:i w:val="0"/>
          <w:color w:val="auto"/>
        </w:rPr>
        <w:instrText xml:space="preserve"> SEQ Table \* ARABIC </w:instrText>
      </w:r>
      <w:r w:rsidRPr="0012223A">
        <w:rPr>
          <w:b/>
          <w:i w:val="0"/>
          <w:color w:val="auto"/>
        </w:rPr>
        <w:fldChar w:fldCharType="separate"/>
      </w:r>
      <w:r w:rsidR="001F7368">
        <w:rPr>
          <w:b/>
          <w:i w:val="0"/>
          <w:noProof/>
          <w:color w:val="auto"/>
        </w:rPr>
        <w:t>41</w:t>
      </w:r>
      <w:r w:rsidRPr="0012223A">
        <w:rPr>
          <w:b/>
          <w:i w:val="0"/>
          <w:color w:val="auto"/>
        </w:rPr>
        <w:fldChar w:fldCharType="end"/>
      </w:r>
      <w:r w:rsidRPr="0012223A">
        <w:rPr>
          <w:b/>
          <w:i w:val="0"/>
          <w:color w:val="auto"/>
        </w:rPr>
        <w:t>: Hypotensive clinical outcome severity by imputability, 2018–19</w:t>
      </w:r>
      <w:bookmarkEnd w:id="64"/>
    </w:p>
    <w:p w14:paraId="654DB089" w14:textId="77777777" w:rsidR="00E85FD9" w:rsidRDefault="0012223A" w:rsidP="006136B2">
      <w:pPr>
        <w:spacing w:after="0"/>
      </w:pPr>
      <w:r w:rsidRPr="0012223A">
        <w:rPr>
          <w:noProof/>
          <w:lang w:eastAsia="en-AU"/>
        </w:rPr>
        <w:drawing>
          <wp:inline distT="0" distB="0" distL="0" distR="0" wp14:anchorId="3F12A562" wp14:editId="495F6CE1">
            <wp:extent cx="4946015" cy="1908175"/>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46015" cy="1908175"/>
                    </a:xfrm>
                    <a:prstGeom prst="rect">
                      <a:avLst/>
                    </a:prstGeom>
                    <a:noFill/>
                    <a:ln>
                      <a:noFill/>
                    </a:ln>
                  </pic:spPr>
                </pic:pic>
              </a:graphicData>
            </a:graphic>
          </wp:inline>
        </w:drawing>
      </w:r>
    </w:p>
    <w:p w14:paraId="707A67EF" w14:textId="77777777" w:rsidR="00E85FD9" w:rsidRDefault="00E85FD9" w:rsidP="006136B2">
      <w:pPr>
        <w:spacing w:after="0"/>
      </w:pPr>
    </w:p>
    <w:p w14:paraId="22F238CF" w14:textId="77777777" w:rsidR="00E85FD9" w:rsidRDefault="00E85FD9">
      <w:pPr>
        <w:spacing w:line="276" w:lineRule="auto"/>
      </w:pPr>
      <w:r>
        <w:br w:type="page"/>
      </w:r>
    </w:p>
    <w:p w14:paraId="417A0FC7" w14:textId="77777777" w:rsidR="0012223A" w:rsidRPr="0012223A" w:rsidRDefault="0012223A" w:rsidP="0012223A">
      <w:pPr>
        <w:pStyle w:val="Heading4"/>
        <w:spacing w:after="240"/>
        <w:rPr>
          <w:lang w:eastAsia="en-AU"/>
        </w:rPr>
      </w:pPr>
      <w:bookmarkStart w:id="65" w:name="_Toc64836321"/>
      <w:r w:rsidRPr="0012223A">
        <w:rPr>
          <w:lang w:eastAsia="en-AU"/>
        </w:rPr>
        <w:lastRenderedPageBreak/>
        <w:t>ABO incompatibility (ABO)</w:t>
      </w:r>
      <w:bookmarkEnd w:id="65"/>
    </w:p>
    <w:p w14:paraId="02BC1013" w14:textId="77777777" w:rsidR="0075738C" w:rsidRPr="0075738C" w:rsidRDefault="0075738C" w:rsidP="0075738C">
      <w:pPr>
        <w:pStyle w:val="Caption"/>
        <w:keepNext/>
        <w:spacing w:after="0"/>
        <w:rPr>
          <w:b/>
          <w:i w:val="0"/>
          <w:color w:val="auto"/>
        </w:rPr>
      </w:pPr>
      <w:bookmarkStart w:id="66" w:name="_Toc64836445"/>
      <w:r w:rsidRPr="0075738C">
        <w:rPr>
          <w:b/>
          <w:i w:val="0"/>
          <w:color w:val="auto"/>
        </w:rPr>
        <w:t xml:space="preserve">Table </w:t>
      </w:r>
      <w:r w:rsidRPr="0075738C">
        <w:rPr>
          <w:b/>
          <w:i w:val="0"/>
          <w:color w:val="auto"/>
        </w:rPr>
        <w:fldChar w:fldCharType="begin"/>
      </w:r>
      <w:r w:rsidRPr="0075738C">
        <w:rPr>
          <w:b/>
          <w:i w:val="0"/>
          <w:color w:val="auto"/>
        </w:rPr>
        <w:instrText xml:space="preserve"> SEQ Table \* ARABIC </w:instrText>
      </w:r>
      <w:r w:rsidRPr="0075738C">
        <w:rPr>
          <w:b/>
          <w:i w:val="0"/>
          <w:color w:val="auto"/>
        </w:rPr>
        <w:fldChar w:fldCharType="separate"/>
      </w:r>
      <w:r w:rsidR="001F7368">
        <w:rPr>
          <w:b/>
          <w:i w:val="0"/>
          <w:noProof/>
          <w:color w:val="auto"/>
        </w:rPr>
        <w:t>42</w:t>
      </w:r>
      <w:r w:rsidRPr="0075738C">
        <w:rPr>
          <w:b/>
          <w:i w:val="0"/>
          <w:color w:val="auto"/>
        </w:rPr>
        <w:fldChar w:fldCharType="end"/>
      </w:r>
      <w:r w:rsidRPr="0075738C">
        <w:rPr>
          <w:b/>
          <w:i w:val="0"/>
          <w:color w:val="auto"/>
        </w:rPr>
        <w:t>: ABO data summary, 2018–19</w:t>
      </w:r>
      <w:bookmarkEnd w:id="66"/>
    </w:p>
    <w:p w14:paraId="03C16706" w14:textId="27A9F757" w:rsidR="00E85FD9" w:rsidRDefault="00FC06B4" w:rsidP="006136B2">
      <w:pPr>
        <w:spacing w:after="0"/>
      </w:pPr>
      <w:r w:rsidRPr="00FC06B4">
        <w:rPr>
          <w:noProof/>
          <w:lang w:eastAsia="en-AU"/>
        </w:rPr>
        <w:drawing>
          <wp:inline distT="0" distB="0" distL="0" distR="0" wp14:anchorId="2CBBEF33" wp14:editId="6FCD1B9F">
            <wp:extent cx="5926455" cy="4066761"/>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26455" cy="4066761"/>
                    </a:xfrm>
                    <a:prstGeom prst="rect">
                      <a:avLst/>
                    </a:prstGeom>
                    <a:noFill/>
                    <a:ln>
                      <a:noFill/>
                    </a:ln>
                  </pic:spPr>
                </pic:pic>
              </a:graphicData>
            </a:graphic>
          </wp:inline>
        </w:drawing>
      </w:r>
    </w:p>
    <w:p w14:paraId="2D99F48D" w14:textId="77777777" w:rsidR="0075738C" w:rsidRPr="0075738C" w:rsidRDefault="0075738C" w:rsidP="0075738C">
      <w:pPr>
        <w:spacing w:after="0"/>
        <w:rPr>
          <w:rFonts w:eastAsia="Times New Roman"/>
          <w:color w:val="000000"/>
          <w:sz w:val="18"/>
          <w:szCs w:val="18"/>
          <w:lang w:eastAsia="en-AU"/>
        </w:rPr>
      </w:pPr>
      <w:r w:rsidRPr="0075738C">
        <w:rPr>
          <w:rFonts w:eastAsia="Times New Roman"/>
          <w:color w:val="000000"/>
          <w:sz w:val="18"/>
          <w:szCs w:val="18"/>
          <w:lang w:eastAsia="en-AU"/>
        </w:rPr>
        <w:t>Note: SA reported ABO incompatibility in accordance with the 2015 AHMDS in 2018-19</w:t>
      </w:r>
    </w:p>
    <w:p w14:paraId="06478581" w14:textId="77777777" w:rsidR="00E85FD9" w:rsidRDefault="00E85FD9" w:rsidP="006136B2">
      <w:pPr>
        <w:spacing w:after="0"/>
      </w:pPr>
    </w:p>
    <w:p w14:paraId="00D96A9D" w14:textId="77777777" w:rsidR="0075738C" w:rsidRPr="0075738C" w:rsidRDefault="0075738C" w:rsidP="0075738C">
      <w:pPr>
        <w:pStyle w:val="Caption"/>
        <w:keepNext/>
        <w:spacing w:after="0"/>
        <w:rPr>
          <w:b/>
          <w:i w:val="0"/>
          <w:color w:val="auto"/>
        </w:rPr>
      </w:pPr>
      <w:bookmarkStart w:id="67" w:name="_Toc64836446"/>
      <w:r w:rsidRPr="0075738C">
        <w:rPr>
          <w:b/>
          <w:i w:val="0"/>
          <w:color w:val="auto"/>
        </w:rPr>
        <w:t xml:space="preserve">Table </w:t>
      </w:r>
      <w:r w:rsidRPr="0075738C">
        <w:rPr>
          <w:b/>
          <w:i w:val="0"/>
          <w:color w:val="auto"/>
        </w:rPr>
        <w:fldChar w:fldCharType="begin"/>
      </w:r>
      <w:r w:rsidRPr="0075738C">
        <w:rPr>
          <w:b/>
          <w:i w:val="0"/>
          <w:color w:val="auto"/>
        </w:rPr>
        <w:instrText xml:space="preserve"> SEQ Table \* ARABIC </w:instrText>
      </w:r>
      <w:r w:rsidRPr="0075738C">
        <w:rPr>
          <w:b/>
          <w:i w:val="0"/>
          <w:color w:val="auto"/>
        </w:rPr>
        <w:fldChar w:fldCharType="separate"/>
      </w:r>
      <w:r w:rsidR="001F7368">
        <w:rPr>
          <w:b/>
          <w:i w:val="0"/>
          <w:noProof/>
          <w:color w:val="auto"/>
        </w:rPr>
        <w:t>43</w:t>
      </w:r>
      <w:r w:rsidRPr="0075738C">
        <w:rPr>
          <w:b/>
          <w:i w:val="0"/>
          <w:color w:val="auto"/>
        </w:rPr>
        <w:fldChar w:fldCharType="end"/>
      </w:r>
      <w:r w:rsidRPr="0075738C">
        <w:rPr>
          <w:b/>
          <w:i w:val="0"/>
          <w:color w:val="auto"/>
        </w:rPr>
        <w:t>: ABO clinical outcome severity by imputability, 2018–19</w:t>
      </w:r>
      <w:bookmarkEnd w:id="67"/>
    </w:p>
    <w:p w14:paraId="2FDBC278" w14:textId="77777777" w:rsidR="00E85FD9" w:rsidRDefault="0075738C" w:rsidP="006136B2">
      <w:pPr>
        <w:spacing w:after="0"/>
      </w:pPr>
      <w:r w:rsidRPr="0075738C">
        <w:rPr>
          <w:noProof/>
          <w:lang w:eastAsia="en-AU"/>
        </w:rPr>
        <w:drawing>
          <wp:inline distT="0" distB="0" distL="0" distR="0" wp14:anchorId="3EE1331B" wp14:editId="60727629">
            <wp:extent cx="4946015" cy="1908175"/>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46015" cy="1908175"/>
                    </a:xfrm>
                    <a:prstGeom prst="rect">
                      <a:avLst/>
                    </a:prstGeom>
                    <a:noFill/>
                    <a:ln>
                      <a:noFill/>
                    </a:ln>
                  </pic:spPr>
                </pic:pic>
              </a:graphicData>
            </a:graphic>
          </wp:inline>
        </w:drawing>
      </w:r>
    </w:p>
    <w:p w14:paraId="1CC044FC" w14:textId="77777777" w:rsidR="00E85FD9" w:rsidRDefault="00E85FD9" w:rsidP="006136B2">
      <w:pPr>
        <w:spacing w:after="0"/>
      </w:pPr>
    </w:p>
    <w:p w14:paraId="1723348B" w14:textId="77777777" w:rsidR="0075738C" w:rsidRDefault="0075738C">
      <w:pPr>
        <w:spacing w:line="276" w:lineRule="auto"/>
      </w:pPr>
      <w:r>
        <w:br w:type="page"/>
      </w:r>
    </w:p>
    <w:p w14:paraId="3CA3666D" w14:textId="77777777" w:rsidR="0075738C" w:rsidRPr="0075738C" w:rsidRDefault="0075738C" w:rsidP="0075738C">
      <w:pPr>
        <w:pStyle w:val="Heading4"/>
        <w:spacing w:after="240"/>
        <w:rPr>
          <w:lang w:eastAsia="en-AU"/>
        </w:rPr>
      </w:pPr>
      <w:bookmarkStart w:id="68" w:name="_Toc64836322"/>
      <w:r w:rsidRPr="0075738C">
        <w:rPr>
          <w:lang w:eastAsia="en-AU"/>
        </w:rPr>
        <w:lastRenderedPageBreak/>
        <w:t>Transfusion associated dyspnoea (TAD)</w:t>
      </w:r>
      <w:bookmarkEnd w:id="68"/>
      <w:r w:rsidRPr="0075738C">
        <w:rPr>
          <w:lang w:eastAsia="en-AU"/>
        </w:rPr>
        <w:t xml:space="preserve"> </w:t>
      </w:r>
    </w:p>
    <w:p w14:paraId="639D4AB2" w14:textId="77777777" w:rsidR="0075738C" w:rsidRPr="0075738C" w:rsidRDefault="0075738C" w:rsidP="0075738C">
      <w:pPr>
        <w:pStyle w:val="Caption"/>
        <w:keepNext/>
        <w:spacing w:after="0"/>
        <w:rPr>
          <w:b/>
          <w:i w:val="0"/>
          <w:color w:val="auto"/>
        </w:rPr>
      </w:pPr>
      <w:bookmarkStart w:id="69" w:name="_Toc64836447"/>
      <w:r w:rsidRPr="0075738C">
        <w:rPr>
          <w:b/>
          <w:i w:val="0"/>
          <w:color w:val="auto"/>
        </w:rPr>
        <w:t xml:space="preserve">Table </w:t>
      </w:r>
      <w:r w:rsidRPr="0075738C">
        <w:rPr>
          <w:b/>
          <w:i w:val="0"/>
          <w:color w:val="auto"/>
        </w:rPr>
        <w:fldChar w:fldCharType="begin"/>
      </w:r>
      <w:r w:rsidRPr="0075738C">
        <w:rPr>
          <w:b/>
          <w:i w:val="0"/>
          <w:color w:val="auto"/>
        </w:rPr>
        <w:instrText xml:space="preserve"> SEQ Table \* ARABIC </w:instrText>
      </w:r>
      <w:r w:rsidRPr="0075738C">
        <w:rPr>
          <w:b/>
          <w:i w:val="0"/>
          <w:color w:val="auto"/>
        </w:rPr>
        <w:fldChar w:fldCharType="separate"/>
      </w:r>
      <w:r w:rsidR="001F7368">
        <w:rPr>
          <w:b/>
          <w:i w:val="0"/>
          <w:noProof/>
          <w:color w:val="auto"/>
        </w:rPr>
        <w:t>44</w:t>
      </w:r>
      <w:r w:rsidRPr="0075738C">
        <w:rPr>
          <w:b/>
          <w:i w:val="0"/>
          <w:color w:val="auto"/>
        </w:rPr>
        <w:fldChar w:fldCharType="end"/>
      </w:r>
      <w:r w:rsidRPr="0075738C">
        <w:rPr>
          <w:b/>
          <w:i w:val="0"/>
          <w:color w:val="auto"/>
        </w:rPr>
        <w:t>: ABO data summary, 2018–19</w:t>
      </w:r>
      <w:bookmarkEnd w:id="69"/>
    </w:p>
    <w:p w14:paraId="24478C78" w14:textId="7D42229F" w:rsidR="00E85FD9" w:rsidRDefault="00FC06B4" w:rsidP="006136B2">
      <w:pPr>
        <w:spacing w:after="0"/>
      </w:pPr>
      <w:r w:rsidRPr="00FC06B4">
        <w:rPr>
          <w:noProof/>
          <w:lang w:eastAsia="en-AU"/>
        </w:rPr>
        <w:drawing>
          <wp:inline distT="0" distB="0" distL="0" distR="0" wp14:anchorId="1123ECEF" wp14:editId="07D08538">
            <wp:extent cx="5926455" cy="4066761"/>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26455" cy="4066761"/>
                    </a:xfrm>
                    <a:prstGeom prst="rect">
                      <a:avLst/>
                    </a:prstGeom>
                    <a:noFill/>
                    <a:ln>
                      <a:noFill/>
                    </a:ln>
                  </pic:spPr>
                </pic:pic>
              </a:graphicData>
            </a:graphic>
          </wp:inline>
        </w:drawing>
      </w:r>
    </w:p>
    <w:p w14:paraId="67E4B075" w14:textId="287E473E" w:rsidR="0075738C" w:rsidRPr="0075738C" w:rsidRDefault="0075738C" w:rsidP="0075738C">
      <w:pPr>
        <w:spacing w:after="0"/>
        <w:rPr>
          <w:rFonts w:eastAsia="Times New Roman"/>
          <w:color w:val="000000"/>
          <w:sz w:val="18"/>
          <w:szCs w:val="18"/>
          <w:lang w:eastAsia="en-AU"/>
        </w:rPr>
      </w:pPr>
      <w:r w:rsidRPr="0075738C">
        <w:rPr>
          <w:rFonts w:eastAsia="Times New Roman"/>
          <w:color w:val="000000"/>
          <w:sz w:val="18"/>
          <w:szCs w:val="18"/>
          <w:lang w:eastAsia="en-AU"/>
        </w:rPr>
        <w:t xml:space="preserve">Note: NSW, WA, and SA reported TAD in accordance with the </w:t>
      </w:r>
      <w:r w:rsidR="00FE2C6D">
        <w:rPr>
          <w:rFonts w:eastAsia="Times New Roman"/>
          <w:color w:val="000000"/>
          <w:sz w:val="18"/>
          <w:szCs w:val="18"/>
          <w:lang w:eastAsia="en-AU"/>
        </w:rPr>
        <w:t>2015</w:t>
      </w:r>
      <w:r w:rsidRPr="0075738C">
        <w:rPr>
          <w:rFonts w:eastAsia="Times New Roman"/>
          <w:color w:val="000000"/>
          <w:sz w:val="18"/>
          <w:szCs w:val="18"/>
          <w:lang w:eastAsia="en-AU"/>
        </w:rPr>
        <w:t>AHMDS in 2018-19</w:t>
      </w:r>
    </w:p>
    <w:p w14:paraId="4B5262AD" w14:textId="77777777" w:rsidR="0075738C" w:rsidRDefault="0075738C" w:rsidP="006136B2">
      <w:pPr>
        <w:spacing w:after="0"/>
      </w:pPr>
    </w:p>
    <w:p w14:paraId="32A06F73" w14:textId="77777777" w:rsidR="0075738C" w:rsidRPr="0075738C" w:rsidRDefault="0075738C" w:rsidP="0075738C">
      <w:pPr>
        <w:pStyle w:val="Caption"/>
        <w:keepNext/>
        <w:spacing w:after="0"/>
        <w:rPr>
          <w:b/>
          <w:i w:val="0"/>
          <w:color w:val="auto"/>
        </w:rPr>
      </w:pPr>
      <w:bookmarkStart w:id="70" w:name="_Toc64836448"/>
      <w:r w:rsidRPr="0075738C">
        <w:rPr>
          <w:b/>
          <w:i w:val="0"/>
          <w:color w:val="auto"/>
        </w:rPr>
        <w:t xml:space="preserve">Table </w:t>
      </w:r>
      <w:r w:rsidRPr="0075738C">
        <w:rPr>
          <w:b/>
          <w:i w:val="0"/>
          <w:color w:val="auto"/>
        </w:rPr>
        <w:fldChar w:fldCharType="begin"/>
      </w:r>
      <w:r w:rsidRPr="0075738C">
        <w:rPr>
          <w:b/>
          <w:i w:val="0"/>
          <w:color w:val="auto"/>
        </w:rPr>
        <w:instrText xml:space="preserve"> SEQ Table \* ARABIC </w:instrText>
      </w:r>
      <w:r w:rsidRPr="0075738C">
        <w:rPr>
          <w:b/>
          <w:i w:val="0"/>
          <w:color w:val="auto"/>
        </w:rPr>
        <w:fldChar w:fldCharType="separate"/>
      </w:r>
      <w:r w:rsidR="001F7368">
        <w:rPr>
          <w:b/>
          <w:i w:val="0"/>
          <w:noProof/>
          <w:color w:val="auto"/>
        </w:rPr>
        <w:t>45</w:t>
      </w:r>
      <w:r w:rsidRPr="0075738C">
        <w:rPr>
          <w:b/>
          <w:i w:val="0"/>
          <w:color w:val="auto"/>
        </w:rPr>
        <w:fldChar w:fldCharType="end"/>
      </w:r>
      <w:r w:rsidRPr="0075738C">
        <w:rPr>
          <w:b/>
          <w:i w:val="0"/>
          <w:color w:val="auto"/>
        </w:rPr>
        <w:t>: TAD clinical outcome severity by imputability, 2018–19</w:t>
      </w:r>
      <w:bookmarkEnd w:id="70"/>
    </w:p>
    <w:p w14:paraId="4FE05822" w14:textId="77777777" w:rsidR="0075738C" w:rsidRDefault="0075738C" w:rsidP="006136B2">
      <w:pPr>
        <w:spacing w:after="0"/>
      </w:pPr>
      <w:r w:rsidRPr="0075738C">
        <w:rPr>
          <w:noProof/>
          <w:lang w:eastAsia="en-AU"/>
        </w:rPr>
        <w:drawing>
          <wp:inline distT="0" distB="0" distL="0" distR="0" wp14:anchorId="14F8D499" wp14:editId="2900A416">
            <wp:extent cx="4946015" cy="1908175"/>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46015" cy="1908175"/>
                    </a:xfrm>
                    <a:prstGeom prst="rect">
                      <a:avLst/>
                    </a:prstGeom>
                    <a:noFill/>
                    <a:ln>
                      <a:noFill/>
                    </a:ln>
                  </pic:spPr>
                </pic:pic>
              </a:graphicData>
            </a:graphic>
          </wp:inline>
        </w:drawing>
      </w:r>
    </w:p>
    <w:p w14:paraId="6CA1E385" w14:textId="77777777" w:rsidR="0075738C" w:rsidRDefault="0075738C" w:rsidP="006136B2">
      <w:pPr>
        <w:spacing w:after="0"/>
      </w:pPr>
    </w:p>
    <w:p w14:paraId="19A256FC" w14:textId="77777777" w:rsidR="0075738C" w:rsidRDefault="0075738C">
      <w:pPr>
        <w:spacing w:line="276" w:lineRule="auto"/>
      </w:pPr>
      <w:r>
        <w:br w:type="page"/>
      </w:r>
    </w:p>
    <w:p w14:paraId="03EFCA28" w14:textId="77777777" w:rsidR="0075738C" w:rsidRPr="0075738C" w:rsidRDefault="0075738C" w:rsidP="0075738C">
      <w:pPr>
        <w:pStyle w:val="Heading4"/>
        <w:spacing w:after="240"/>
        <w:rPr>
          <w:lang w:eastAsia="en-AU"/>
        </w:rPr>
      </w:pPr>
      <w:bookmarkStart w:id="71" w:name="_Toc64836323"/>
      <w:r w:rsidRPr="0075738C">
        <w:rPr>
          <w:lang w:eastAsia="en-AU"/>
        </w:rPr>
        <w:lastRenderedPageBreak/>
        <w:t>Other adverse events</w:t>
      </w:r>
      <w:bookmarkEnd w:id="71"/>
    </w:p>
    <w:p w14:paraId="212B1462" w14:textId="77777777" w:rsidR="0075738C" w:rsidRPr="0075738C" w:rsidRDefault="0075738C" w:rsidP="0075738C">
      <w:pPr>
        <w:pStyle w:val="Caption"/>
        <w:keepNext/>
        <w:spacing w:after="0"/>
        <w:rPr>
          <w:b/>
          <w:i w:val="0"/>
          <w:color w:val="auto"/>
        </w:rPr>
      </w:pPr>
      <w:bookmarkStart w:id="72" w:name="_Toc64836449"/>
      <w:r w:rsidRPr="0075738C">
        <w:rPr>
          <w:b/>
          <w:i w:val="0"/>
          <w:color w:val="auto"/>
        </w:rPr>
        <w:t xml:space="preserve">Table </w:t>
      </w:r>
      <w:r w:rsidRPr="0075738C">
        <w:rPr>
          <w:b/>
          <w:i w:val="0"/>
          <w:color w:val="auto"/>
        </w:rPr>
        <w:fldChar w:fldCharType="begin"/>
      </w:r>
      <w:r w:rsidRPr="0075738C">
        <w:rPr>
          <w:b/>
          <w:i w:val="0"/>
          <w:color w:val="auto"/>
        </w:rPr>
        <w:instrText xml:space="preserve"> SEQ Table \* ARABIC </w:instrText>
      </w:r>
      <w:r w:rsidRPr="0075738C">
        <w:rPr>
          <w:b/>
          <w:i w:val="0"/>
          <w:color w:val="auto"/>
        </w:rPr>
        <w:fldChar w:fldCharType="separate"/>
      </w:r>
      <w:r w:rsidR="001F7368">
        <w:rPr>
          <w:b/>
          <w:i w:val="0"/>
          <w:noProof/>
          <w:color w:val="auto"/>
        </w:rPr>
        <w:t>46</w:t>
      </w:r>
      <w:r w:rsidRPr="0075738C">
        <w:rPr>
          <w:b/>
          <w:i w:val="0"/>
          <w:color w:val="auto"/>
        </w:rPr>
        <w:fldChar w:fldCharType="end"/>
      </w:r>
      <w:r w:rsidRPr="0075738C">
        <w:rPr>
          <w:b/>
          <w:i w:val="0"/>
          <w:color w:val="auto"/>
        </w:rPr>
        <w:t>: Other data summary, 2018–19</w:t>
      </w:r>
      <w:bookmarkEnd w:id="72"/>
    </w:p>
    <w:p w14:paraId="0CB9C1C1" w14:textId="0C8DA2BB" w:rsidR="0075738C" w:rsidRDefault="00FC06B4" w:rsidP="006136B2">
      <w:pPr>
        <w:spacing w:after="0"/>
      </w:pPr>
      <w:r w:rsidRPr="00FC06B4">
        <w:rPr>
          <w:noProof/>
          <w:lang w:eastAsia="en-AU"/>
        </w:rPr>
        <w:drawing>
          <wp:inline distT="0" distB="0" distL="0" distR="0" wp14:anchorId="4913CCF3" wp14:editId="315C4105">
            <wp:extent cx="5926455" cy="4066761"/>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26455" cy="4066761"/>
                    </a:xfrm>
                    <a:prstGeom prst="rect">
                      <a:avLst/>
                    </a:prstGeom>
                    <a:noFill/>
                    <a:ln>
                      <a:noFill/>
                    </a:ln>
                  </pic:spPr>
                </pic:pic>
              </a:graphicData>
            </a:graphic>
          </wp:inline>
        </w:drawing>
      </w:r>
    </w:p>
    <w:p w14:paraId="4D4ACDE6" w14:textId="77777777" w:rsidR="0075738C" w:rsidRPr="0075738C" w:rsidRDefault="0075738C" w:rsidP="0075738C">
      <w:pPr>
        <w:spacing w:after="0"/>
        <w:rPr>
          <w:rFonts w:eastAsia="Times New Roman"/>
          <w:color w:val="000000"/>
          <w:sz w:val="18"/>
          <w:szCs w:val="18"/>
          <w:lang w:eastAsia="en-AU"/>
        </w:rPr>
      </w:pPr>
      <w:r w:rsidRPr="0075738C">
        <w:rPr>
          <w:rFonts w:eastAsia="Times New Roman"/>
          <w:color w:val="000000"/>
          <w:sz w:val="18"/>
          <w:szCs w:val="18"/>
          <w:lang w:eastAsia="en-AU"/>
        </w:rPr>
        <w:t>Note: WA, SA and VIC reported "other" adverse events in accordance with the 2015 AHMDS in 2018-19</w:t>
      </w:r>
    </w:p>
    <w:p w14:paraId="49C9C0A7" w14:textId="77777777" w:rsidR="0075738C" w:rsidRPr="0075738C" w:rsidRDefault="0075738C" w:rsidP="006136B2">
      <w:pPr>
        <w:spacing w:after="0"/>
      </w:pPr>
    </w:p>
    <w:p w14:paraId="5BF0A72D" w14:textId="77777777" w:rsidR="0075738C" w:rsidRPr="0075738C" w:rsidRDefault="0075738C" w:rsidP="0075738C">
      <w:pPr>
        <w:pStyle w:val="Caption"/>
        <w:keepNext/>
        <w:spacing w:after="0"/>
        <w:rPr>
          <w:b/>
          <w:i w:val="0"/>
          <w:color w:val="auto"/>
        </w:rPr>
      </w:pPr>
      <w:bookmarkStart w:id="73" w:name="_Toc64836450"/>
      <w:r w:rsidRPr="0075738C">
        <w:rPr>
          <w:b/>
          <w:i w:val="0"/>
          <w:color w:val="auto"/>
        </w:rPr>
        <w:t xml:space="preserve">Table </w:t>
      </w:r>
      <w:r w:rsidRPr="0075738C">
        <w:rPr>
          <w:b/>
          <w:i w:val="0"/>
          <w:color w:val="auto"/>
        </w:rPr>
        <w:fldChar w:fldCharType="begin"/>
      </w:r>
      <w:r w:rsidRPr="0075738C">
        <w:rPr>
          <w:b/>
          <w:i w:val="0"/>
          <w:color w:val="auto"/>
        </w:rPr>
        <w:instrText xml:space="preserve"> SEQ Table \* ARABIC </w:instrText>
      </w:r>
      <w:r w:rsidRPr="0075738C">
        <w:rPr>
          <w:b/>
          <w:i w:val="0"/>
          <w:color w:val="auto"/>
        </w:rPr>
        <w:fldChar w:fldCharType="separate"/>
      </w:r>
      <w:r w:rsidR="001F7368">
        <w:rPr>
          <w:b/>
          <w:i w:val="0"/>
          <w:noProof/>
          <w:color w:val="auto"/>
        </w:rPr>
        <w:t>47</w:t>
      </w:r>
      <w:r w:rsidRPr="0075738C">
        <w:rPr>
          <w:b/>
          <w:i w:val="0"/>
          <w:color w:val="auto"/>
        </w:rPr>
        <w:fldChar w:fldCharType="end"/>
      </w:r>
      <w:r w:rsidRPr="0075738C">
        <w:rPr>
          <w:b/>
          <w:i w:val="0"/>
          <w:color w:val="auto"/>
        </w:rPr>
        <w:t>: Other clinical outcome severity by imputability, 2018–19</w:t>
      </w:r>
      <w:bookmarkEnd w:id="73"/>
    </w:p>
    <w:p w14:paraId="3A4A4164" w14:textId="77777777" w:rsidR="0075738C" w:rsidRDefault="0075738C" w:rsidP="006136B2">
      <w:pPr>
        <w:spacing w:after="0"/>
      </w:pPr>
      <w:r w:rsidRPr="0075738C">
        <w:rPr>
          <w:noProof/>
          <w:lang w:eastAsia="en-AU"/>
        </w:rPr>
        <w:drawing>
          <wp:inline distT="0" distB="0" distL="0" distR="0" wp14:anchorId="38A11A42" wp14:editId="17792926">
            <wp:extent cx="4946015" cy="1908175"/>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46015" cy="1908175"/>
                    </a:xfrm>
                    <a:prstGeom prst="rect">
                      <a:avLst/>
                    </a:prstGeom>
                    <a:noFill/>
                    <a:ln>
                      <a:noFill/>
                    </a:ln>
                  </pic:spPr>
                </pic:pic>
              </a:graphicData>
            </a:graphic>
          </wp:inline>
        </w:drawing>
      </w:r>
    </w:p>
    <w:p w14:paraId="4DBB5D36" w14:textId="77777777" w:rsidR="0075738C" w:rsidRDefault="0075738C" w:rsidP="006136B2">
      <w:pPr>
        <w:spacing w:after="0"/>
      </w:pPr>
    </w:p>
    <w:p w14:paraId="27F3D030" w14:textId="77777777" w:rsidR="0075738C" w:rsidRDefault="0075738C">
      <w:pPr>
        <w:spacing w:line="276" w:lineRule="auto"/>
      </w:pPr>
      <w:r>
        <w:br w:type="page"/>
      </w:r>
    </w:p>
    <w:p w14:paraId="4F8686AC" w14:textId="77777777" w:rsidR="0075738C" w:rsidRPr="0075738C" w:rsidRDefault="0075738C" w:rsidP="0075738C">
      <w:pPr>
        <w:pStyle w:val="Heading4"/>
        <w:spacing w:after="240"/>
        <w:rPr>
          <w:lang w:eastAsia="en-AU"/>
        </w:rPr>
      </w:pPr>
      <w:bookmarkStart w:id="74" w:name="_Toc64836324"/>
      <w:r w:rsidRPr="0075738C">
        <w:rPr>
          <w:lang w:eastAsia="en-AU"/>
        </w:rPr>
        <w:lastRenderedPageBreak/>
        <w:t>Contributory factors</w:t>
      </w:r>
      <w:bookmarkEnd w:id="74"/>
    </w:p>
    <w:p w14:paraId="76E94807" w14:textId="77777777" w:rsidR="0075738C" w:rsidRPr="0075738C" w:rsidRDefault="0075738C" w:rsidP="0075738C">
      <w:pPr>
        <w:pStyle w:val="Caption"/>
        <w:keepNext/>
        <w:spacing w:after="0"/>
        <w:rPr>
          <w:b/>
          <w:i w:val="0"/>
          <w:color w:val="auto"/>
        </w:rPr>
      </w:pPr>
      <w:bookmarkStart w:id="75" w:name="_Toc64836451"/>
      <w:r w:rsidRPr="0075738C">
        <w:rPr>
          <w:b/>
          <w:i w:val="0"/>
          <w:color w:val="auto"/>
        </w:rPr>
        <w:t xml:space="preserve">Table </w:t>
      </w:r>
      <w:r w:rsidRPr="0075738C">
        <w:rPr>
          <w:b/>
          <w:i w:val="0"/>
          <w:color w:val="auto"/>
        </w:rPr>
        <w:fldChar w:fldCharType="begin"/>
      </w:r>
      <w:r w:rsidRPr="0075738C">
        <w:rPr>
          <w:b/>
          <w:i w:val="0"/>
          <w:color w:val="auto"/>
        </w:rPr>
        <w:instrText xml:space="preserve"> SEQ Table \* ARABIC </w:instrText>
      </w:r>
      <w:r w:rsidRPr="0075738C">
        <w:rPr>
          <w:b/>
          <w:i w:val="0"/>
          <w:color w:val="auto"/>
        </w:rPr>
        <w:fldChar w:fldCharType="separate"/>
      </w:r>
      <w:r w:rsidR="001F7368">
        <w:rPr>
          <w:b/>
          <w:i w:val="0"/>
          <w:noProof/>
          <w:color w:val="auto"/>
        </w:rPr>
        <w:t>48</w:t>
      </w:r>
      <w:r w:rsidRPr="0075738C">
        <w:rPr>
          <w:b/>
          <w:i w:val="0"/>
          <w:color w:val="auto"/>
        </w:rPr>
        <w:fldChar w:fldCharType="end"/>
      </w:r>
      <w:r w:rsidRPr="0075738C">
        <w:rPr>
          <w:b/>
          <w:i w:val="0"/>
          <w:color w:val="auto"/>
        </w:rPr>
        <w:t>: Contributory factors data summary, 2018–19</w:t>
      </w:r>
      <w:bookmarkEnd w:id="75"/>
    </w:p>
    <w:p w14:paraId="6E7D22AF" w14:textId="77777777" w:rsidR="0075738C" w:rsidRDefault="0075738C" w:rsidP="006136B2">
      <w:pPr>
        <w:spacing w:after="0"/>
      </w:pPr>
      <w:r w:rsidRPr="0075738C">
        <w:rPr>
          <w:noProof/>
          <w:lang w:eastAsia="en-AU"/>
        </w:rPr>
        <w:drawing>
          <wp:inline distT="0" distB="0" distL="0" distR="0" wp14:anchorId="1E2C621C" wp14:editId="27BC94B4">
            <wp:extent cx="4095115" cy="3291840"/>
            <wp:effectExtent l="0" t="0" r="635"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95115" cy="3291840"/>
                    </a:xfrm>
                    <a:prstGeom prst="rect">
                      <a:avLst/>
                    </a:prstGeom>
                    <a:noFill/>
                    <a:ln>
                      <a:noFill/>
                    </a:ln>
                  </pic:spPr>
                </pic:pic>
              </a:graphicData>
            </a:graphic>
          </wp:inline>
        </w:drawing>
      </w:r>
    </w:p>
    <w:p w14:paraId="51A89460" w14:textId="0F7FE121" w:rsidR="0075738C" w:rsidRPr="0075738C" w:rsidRDefault="0075738C" w:rsidP="0075738C">
      <w:pPr>
        <w:spacing w:after="0"/>
        <w:rPr>
          <w:rFonts w:eastAsia="Times New Roman"/>
          <w:color w:val="000000"/>
          <w:sz w:val="18"/>
          <w:szCs w:val="18"/>
          <w:lang w:eastAsia="en-AU"/>
        </w:rPr>
      </w:pPr>
      <w:r w:rsidRPr="0075738C">
        <w:rPr>
          <w:rFonts w:eastAsia="Times New Roman"/>
          <w:color w:val="000000"/>
          <w:sz w:val="18"/>
          <w:szCs w:val="18"/>
          <w:lang w:eastAsia="en-AU"/>
        </w:rPr>
        <w:t>* refers to potentially avoidable human errors</w:t>
      </w:r>
    </w:p>
    <w:p w14:paraId="4B510A01" w14:textId="77777777" w:rsidR="00E85FD9" w:rsidRDefault="00E85FD9" w:rsidP="006136B2">
      <w:pPr>
        <w:spacing w:after="0"/>
      </w:pPr>
    </w:p>
    <w:p w14:paraId="7EF9AE1D" w14:textId="77777777" w:rsidR="0075738C" w:rsidRPr="0075738C" w:rsidRDefault="0075738C" w:rsidP="0075738C">
      <w:pPr>
        <w:pStyle w:val="Caption"/>
        <w:keepNext/>
        <w:spacing w:after="0"/>
        <w:rPr>
          <w:b/>
          <w:i w:val="0"/>
          <w:color w:val="auto"/>
        </w:rPr>
      </w:pPr>
      <w:bookmarkStart w:id="76" w:name="_Toc64836452"/>
      <w:r w:rsidRPr="0075738C">
        <w:rPr>
          <w:b/>
          <w:i w:val="0"/>
          <w:color w:val="auto"/>
        </w:rPr>
        <w:t xml:space="preserve">Table </w:t>
      </w:r>
      <w:r w:rsidRPr="0075738C">
        <w:rPr>
          <w:b/>
          <w:i w:val="0"/>
          <w:color w:val="auto"/>
        </w:rPr>
        <w:fldChar w:fldCharType="begin"/>
      </w:r>
      <w:r w:rsidRPr="0075738C">
        <w:rPr>
          <w:b/>
          <w:i w:val="0"/>
          <w:color w:val="auto"/>
        </w:rPr>
        <w:instrText xml:space="preserve"> SEQ Table \* ARABIC </w:instrText>
      </w:r>
      <w:r w:rsidRPr="0075738C">
        <w:rPr>
          <w:b/>
          <w:i w:val="0"/>
          <w:color w:val="auto"/>
        </w:rPr>
        <w:fldChar w:fldCharType="separate"/>
      </w:r>
      <w:r w:rsidR="001F7368">
        <w:rPr>
          <w:b/>
          <w:i w:val="0"/>
          <w:noProof/>
          <w:color w:val="auto"/>
        </w:rPr>
        <w:t>49</w:t>
      </w:r>
      <w:r w:rsidRPr="0075738C">
        <w:rPr>
          <w:b/>
          <w:i w:val="0"/>
          <w:color w:val="auto"/>
        </w:rPr>
        <w:fldChar w:fldCharType="end"/>
      </w:r>
      <w:r w:rsidRPr="0075738C">
        <w:rPr>
          <w:b/>
          <w:i w:val="0"/>
          <w:color w:val="auto"/>
        </w:rPr>
        <w:t>: Contributory factors cited by adverse event and by clinical outcome severity, 2018–19</w:t>
      </w:r>
      <w:bookmarkEnd w:id="76"/>
    </w:p>
    <w:p w14:paraId="4B998200" w14:textId="1AD6DE6C" w:rsidR="00E85FD9" w:rsidRDefault="00273A71" w:rsidP="006136B2">
      <w:pPr>
        <w:spacing w:after="0"/>
      </w:pPr>
      <w:r w:rsidRPr="00273A71">
        <w:rPr>
          <w:noProof/>
          <w:lang w:eastAsia="en-AU"/>
        </w:rPr>
        <w:drawing>
          <wp:inline distT="0" distB="0" distL="0" distR="0" wp14:anchorId="5307191E" wp14:editId="525B777A">
            <wp:extent cx="5926455" cy="2885147"/>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26455" cy="2885147"/>
                    </a:xfrm>
                    <a:prstGeom prst="rect">
                      <a:avLst/>
                    </a:prstGeom>
                    <a:noFill/>
                    <a:ln>
                      <a:noFill/>
                    </a:ln>
                  </pic:spPr>
                </pic:pic>
              </a:graphicData>
            </a:graphic>
          </wp:inline>
        </w:drawing>
      </w:r>
    </w:p>
    <w:p w14:paraId="4C266F24" w14:textId="77777777" w:rsidR="00B17453" w:rsidRPr="00FC06B4" w:rsidRDefault="00B17453" w:rsidP="00FC06B4">
      <w:pPr>
        <w:spacing w:after="0"/>
        <w:rPr>
          <w:sz w:val="18"/>
        </w:rPr>
      </w:pPr>
      <w:r w:rsidRPr="00FC06B4">
        <w:rPr>
          <w:sz w:val="18"/>
        </w:rPr>
        <w:t>* refers to potentially avoidable human errors</w:t>
      </w:r>
    </w:p>
    <w:p w14:paraId="5B1D1064" w14:textId="77777777" w:rsidR="0075738C" w:rsidRPr="0075738C" w:rsidRDefault="0075738C" w:rsidP="0075738C">
      <w:pPr>
        <w:spacing w:after="0"/>
        <w:rPr>
          <w:sz w:val="18"/>
        </w:rPr>
      </w:pPr>
      <w:r w:rsidRPr="0075738C">
        <w:rPr>
          <w:sz w:val="18"/>
        </w:rPr>
        <w:t>Notes</w:t>
      </w:r>
    </w:p>
    <w:p w14:paraId="050AB6BB" w14:textId="77777777" w:rsidR="005C4869" w:rsidRDefault="0075738C" w:rsidP="005C4869">
      <w:pPr>
        <w:pStyle w:val="ListParagraph"/>
        <w:numPr>
          <w:ilvl w:val="0"/>
          <w:numId w:val="46"/>
        </w:numPr>
        <w:spacing w:after="0"/>
        <w:ind w:left="426" w:hanging="426"/>
        <w:rPr>
          <w:sz w:val="18"/>
        </w:rPr>
      </w:pPr>
      <w:r w:rsidRPr="005C4869">
        <w:rPr>
          <w:sz w:val="18"/>
        </w:rPr>
        <w:t>In 2018-19, some states reported new adverse events in accordance with the 2015 AHMDS. Refer to each adverse event reporting for details</w:t>
      </w:r>
    </w:p>
    <w:p w14:paraId="2BBD2D79" w14:textId="77777777" w:rsidR="00C51A96" w:rsidRDefault="00C51A96" w:rsidP="006136B2">
      <w:pPr>
        <w:spacing w:after="0"/>
      </w:pPr>
      <w:r>
        <w:br w:type="page"/>
      </w:r>
    </w:p>
    <w:p w14:paraId="13864F41" w14:textId="77777777" w:rsidR="00C51A96" w:rsidRDefault="00C51A96" w:rsidP="00C51A96">
      <w:pPr>
        <w:pStyle w:val="Heading1"/>
      </w:pPr>
      <w:bookmarkStart w:id="77" w:name="_Toc64836325"/>
      <w:r>
        <w:lastRenderedPageBreak/>
        <w:t>SECTION 2</w:t>
      </w:r>
      <w:bookmarkEnd w:id="77"/>
    </w:p>
    <w:p w14:paraId="229B315A" w14:textId="77777777" w:rsidR="00C51A96" w:rsidRPr="00C51A96" w:rsidRDefault="00C51A96" w:rsidP="00C51A96">
      <w:pPr>
        <w:pStyle w:val="Heading1"/>
        <w:rPr>
          <w:color w:val="365F91" w:themeColor="accent1" w:themeShade="BF"/>
        </w:rPr>
      </w:pPr>
      <w:bookmarkStart w:id="78" w:name="_Toc64836326"/>
      <w:r w:rsidRPr="00C51A96">
        <w:rPr>
          <w:color w:val="365F91" w:themeColor="accent1" w:themeShade="BF"/>
        </w:rPr>
        <w:t>Donor vigilance data</w:t>
      </w:r>
      <w:bookmarkEnd w:id="78"/>
    </w:p>
    <w:p w14:paraId="36C12123" w14:textId="77777777" w:rsidR="00C51A96" w:rsidRPr="00C51A96" w:rsidRDefault="00C51A96" w:rsidP="00C51A96">
      <w:pPr>
        <w:shd w:val="clear" w:color="auto" w:fill="548DD4" w:themeFill="text2" w:themeFillTint="99"/>
        <w:spacing w:line="276" w:lineRule="auto"/>
        <w:rPr>
          <w:b/>
          <w:color w:val="FFFFFF" w:themeColor="background1"/>
          <w:sz w:val="28"/>
          <w:szCs w:val="28"/>
        </w:rPr>
      </w:pPr>
      <w:r w:rsidRPr="00C51A96">
        <w:rPr>
          <w:b/>
          <w:color w:val="FFFFFF" w:themeColor="background1"/>
          <w:sz w:val="28"/>
          <w:szCs w:val="28"/>
        </w:rPr>
        <w:t>July 2018 - June 2019</w:t>
      </w:r>
    </w:p>
    <w:p w14:paraId="521F5BF0" w14:textId="11DAB5ED" w:rsidR="00BC799D" w:rsidRDefault="00BC799D">
      <w:pPr>
        <w:spacing w:line="276" w:lineRule="auto"/>
      </w:pPr>
      <w:r w:rsidRPr="00BC799D">
        <w:t>Whilst blood donation is generally a safe process, there are recognised complications which can occur. Lifeblood’s donor vigilance system monitors adverse events in blood donors that have a temporal relationship to blood donation. The system underpins Lifeblood’s comprehensive and continuous improvement approach to the mitigation and management of donor adverse events to improve donor safety and experience and is integral to Lifeblood’s Clinical and Quality Governance Framework (</w:t>
      </w:r>
      <w:r w:rsidR="00E57127">
        <w:t xml:space="preserve">See </w:t>
      </w:r>
      <w:r w:rsidRPr="00276B6C">
        <w:t>Appendix 1</w:t>
      </w:r>
      <w:r w:rsidR="00E57127">
        <w:t xml:space="preserve"> - </w:t>
      </w:r>
      <w:r w:rsidR="00E57127" w:rsidRPr="00E57127">
        <w:t>Current policies and interventions to minimise the risk of donor adverse events</w:t>
      </w:r>
      <w:r w:rsidRPr="00BC799D">
        <w:t>).</w:t>
      </w:r>
    </w:p>
    <w:p w14:paraId="1816EECA" w14:textId="77777777" w:rsidR="00BC799D" w:rsidRDefault="00BC799D" w:rsidP="00BC799D">
      <w:pPr>
        <w:pStyle w:val="Heading3"/>
      </w:pPr>
      <w:bookmarkStart w:id="79" w:name="_Toc64836327"/>
      <w:r>
        <w:t>Method for Reporting Donor Adverse Events</w:t>
      </w:r>
      <w:bookmarkEnd w:id="79"/>
    </w:p>
    <w:p w14:paraId="42D384BD" w14:textId="77777777" w:rsidR="00BC799D" w:rsidRDefault="00BC799D" w:rsidP="00BC799D">
      <w:pPr>
        <w:pStyle w:val="Heading4"/>
      </w:pPr>
      <w:bookmarkStart w:id="80" w:name="_Toc64836328"/>
      <w:r>
        <w:t>Reporting Period</w:t>
      </w:r>
      <w:bookmarkEnd w:id="80"/>
    </w:p>
    <w:p w14:paraId="479819D5" w14:textId="77777777" w:rsidR="00BC799D" w:rsidRDefault="00BC799D">
      <w:pPr>
        <w:spacing w:line="276" w:lineRule="auto"/>
      </w:pPr>
      <w:r w:rsidRPr="00BC799D">
        <w:t>This report provides donor adverse event rates for the 2018-19 financial year (FY) along with comparative data from the three previous years. The method of collecting donor adverse event data continues to evolve to improve reporting robustness and access to real-time data. As such, data presented in this report may not be consistent with data presented in previous reports. The data in this report is accurate as at 14 September 2019.</w:t>
      </w:r>
    </w:p>
    <w:p w14:paraId="3123CBAF" w14:textId="77777777" w:rsidR="00BC799D" w:rsidRDefault="00BC799D" w:rsidP="00BC799D">
      <w:pPr>
        <w:spacing w:line="276" w:lineRule="auto"/>
      </w:pPr>
      <w:r>
        <w:t>A whole blood donation involves the collection of approximately 500mL of blood which takes an average of 8-9 minutes</w:t>
      </w:r>
      <w:r w:rsidR="005828D7">
        <w:rPr>
          <w:rStyle w:val="FootnoteReference"/>
        </w:rPr>
        <w:footnoteReference w:id="1"/>
      </w:r>
      <w:r>
        <w:t xml:space="preserve"> from when the needle is inserted. This donation process does not involve the return of any blood components back to the donor.</w:t>
      </w:r>
    </w:p>
    <w:p w14:paraId="4549C11B" w14:textId="77777777" w:rsidR="00C51A96" w:rsidRDefault="00BC799D" w:rsidP="00BC799D">
      <w:pPr>
        <w:spacing w:line="276" w:lineRule="auto"/>
      </w:pPr>
      <w:r>
        <w:t>The donation of plasma and/or platelet components is by apheresis and involves the use of a cell-separating machine. The machine draws blood from the donor and mixes it with anticoagulant (citrate) solution to prevent clotting. It then separates out the plasma and/or platelets and returns the remainder of the blood (which includes the donor’s red cells), along with a small amount of anticoagulant solution, to the donor. This cycle is repeated until the target collection volume is reached. Plasmapheresis is associated with larger collection volumes than plateletpheresis and as an additional safety measure, plasmapheresis donors receive 500mL of saline solution through the donation needle at the middle and/or end of the donation. A plasmapheresis donation takes an average of approximately 41 minutes</w:t>
      </w:r>
      <w:r w:rsidR="005828D7">
        <w:rPr>
          <w:rStyle w:val="FootnoteReference"/>
        </w:rPr>
        <w:footnoteReference w:id="2"/>
      </w:r>
      <w:r>
        <w:t xml:space="preserve"> and a plateletpheresis donation, 73 minutes</w:t>
      </w:r>
      <w:r w:rsidR="005828D7">
        <w:rPr>
          <w:rStyle w:val="FootnoteReference"/>
        </w:rPr>
        <w:footnoteReference w:id="3"/>
      </w:r>
      <w:r>
        <w:t>. Since 2015-16, plateletpheresis donations have been predominantly collected from male donors as a risk mitigation strategy for transfusion-related acute lung injury (TRALI).</w:t>
      </w:r>
      <w:r w:rsidR="00C51A96">
        <w:br w:type="page"/>
      </w:r>
    </w:p>
    <w:p w14:paraId="3981FC0E" w14:textId="77777777" w:rsidR="00A20CA3" w:rsidRDefault="00A20CA3" w:rsidP="00A20CA3">
      <w:pPr>
        <w:pStyle w:val="Heading4"/>
      </w:pPr>
      <w:bookmarkStart w:id="81" w:name="_Toc64836329"/>
      <w:r>
        <w:lastRenderedPageBreak/>
        <w:t>Donor Adverse Event Categories</w:t>
      </w:r>
      <w:bookmarkEnd w:id="81"/>
    </w:p>
    <w:p w14:paraId="4AAF775B" w14:textId="77777777" w:rsidR="00A20CA3" w:rsidRDefault="00A20CA3" w:rsidP="00A20CA3">
      <w:r w:rsidRPr="00A20CA3">
        <w:t>Donor adverse events are categorised into the following four categories:</w:t>
      </w:r>
    </w:p>
    <w:p w14:paraId="4882C8D5" w14:textId="77777777" w:rsidR="00A20CA3" w:rsidRPr="000E704B" w:rsidRDefault="00A20CA3" w:rsidP="008F608F">
      <w:pPr>
        <w:spacing w:after="0"/>
        <w:rPr>
          <w:rStyle w:val="IntenseEmphasis"/>
          <w:b/>
        </w:rPr>
      </w:pPr>
      <w:r w:rsidRPr="000E704B">
        <w:rPr>
          <w:rStyle w:val="IntenseEmphasis"/>
          <w:b/>
        </w:rPr>
        <w:t>Vasovagal reactions</w:t>
      </w:r>
    </w:p>
    <w:p w14:paraId="5C5F66FF" w14:textId="77777777" w:rsidR="00A20CA3" w:rsidRDefault="00A20CA3" w:rsidP="00A20CA3">
      <w:r>
        <w:t>Donors may feel faint and experience symptoms such as dizziness, light-headedness and nausea. In some cases the donor may faint (lose consciousness). These symptoms may be triggered by anxiety or pain and/or occur as a result of the reduction in blood volume. In many cases when donors feel faint or faint, there are multiple contributing factors.</w:t>
      </w:r>
    </w:p>
    <w:p w14:paraId="52FF39C0" w14:textId="77777777" w:rsidR="00A20CA3" w:rsidRPr="000E704B" w:rsidRDefault="00A20CA3" w:rsidP="008F608F">
      <w:pPr>
        <w:spacing w:after="0"/>
        <w:rPr>
          <w:rStyle w:val="IntenseEmphasis"/>
          <w:b/>
        </w:rPr>
      </w:pPr>
      <w:r w:rsidRPr="000E704B">
        <w:rPr>
          <w:rStyle w:val="IntenseEmphasis"/>
          <w:b/>
        </w:rPr>
        <w:t>Phlebotomy related injury</w:t>
      </w:r>
    </w:p>
    <w:p w14:paraId="245750EB" w14:textId="77777777" w:rsidR="00A20CA3" w:rsidRDefault="00A20CA3" w:rsidP="00A20CA3">
      <w:r>
        <w:t>These refer to the complications that can arise from having a needle inserted. These include bleeding or bruising (haematoma) which may result from incorrect placement or dislodgment of the needle from the vein, piercing of an artery (arterial puncture), irritation or damage to a nerve (nerve injury), infection (cellulitis) or inflammation (phlebitis) which may be associated with clot formation (thrombophlebitis).</w:t>
      </w:r>
    </w:p>
    <w:p w14:paraId="44C81CDD" w14:textId="77777777" w:rsidR="00A20CA3" w:rsidRPr="000E704B" w:rsidRDefault="00A20CA3" w:rsidP="008F608F">
      <w:pPr>
        <w:spacing w:after="0"/>
        <w:rPr>
          <w:rStyle w:val="IntenseEmphasis"/>
          <w:b/>
        </w:rPr>
      </w:pPr>
      <w:r w:rsidRPr="000E704B">
        <w:rPr>
          <w:rStyle w:val="IntenseEmphasis"/>
          <w:b/>
        </w:rPr>
        <w:t>Apheresis specific events</w:t>
      </w:r>
    </w:p>
    <w:p w14:paraId="4C082DCA" w14:textId="77777777" w:rsidR="00A20CA3" w:rsidRDefault="00A20CA3" w:rsidP="00A20CA3">
      <w:r>
        <w:t>These events relate to exposure to citrate, the return of red cells, the administration of saline solution and apheresis machine/process issues. Citrate binds calcium temporarily reducing calcium levels in the blood which can cause symptoms such as tingling around the mouth, a metallic taste in the mouth or altered sensation of hands and feet. Leakage of blood and/or saline solution into the tissues may occur during a return cycle (infiltration/extravasation) and lead to swelling and bruising in the arm and in very rare circumstances compartment syndrome.</w:t>
      </w:r>
    </w:p>
    <w:p w14:paraId="70D1809C" w14:textId="77777777" w:rsidR="00A20CA3" w:rsidRDefault="00A20CA3" w:rsidP="00A20CA3">
      <w:r>
        <w:t>Donation procedures and machine safety features minimise the risk of machine issues and operator error. Machine or process issues can result in damage to the donor’s red cells (haemolysis), air entering the line or insufficient administration of anticoagulant, which may lead to a donor adverse event. Should this occur, processes are in place to manage and refer donors accordingly and investigate the root cause.</w:t>
      </w:r>
    </w:p>
    <w:p w14:paraId="303FE5E5" w14:textId="77777777" w:rsidR="00A20CA3" w:rsidRPr="000E704B" w:rsidRDefault="00A20CA3" w:rsidP="008F608F">
      <w:pPr>
        <w:spacing w:after="0"/>
        <w:rPr>
          <w:rStyle w:val="IntenseEmphasis"/>
          <w:b/>
        </w:rPr>
      </w:pPr>
      <w:r w:rsidRPr="000E704B">
        <w:rPr>
          <w:rStyle w:val="IntenseEmphasis"/>
          <w:b/>
        </w:rPr>
        <w:t>Other category</w:t>
      </w:r>
    </w:p>
    <w:p w14:paraId="1E635A89" w14:textId="77777777" w:rsidR="00A20CA3" w:rsidRDefault="00A20CA3" w:rsidP="00A20CA3">
      <w:r>
        <w:t>This captures all other events that occur within 24 hours of the donation including allergic reactions, chest pain and major thrombotic events. In these cases, an assessment is made as to the imputability of the donation as the cause.</w:t>
      </w:r>
    </w:p>
    <w:p w14:paraId="6494F32A" w14:textId="77777777" w:rsidR="00A20CA3" w:rsidRDefault="00A20CA3" w:rsidP="00A20CA3">
      <w:pPr>
        <w:pStyle w:val="Heading4"/>
      </w:pPr>
      <w:bookmarkStart w:id="82" w:name="_Toc64836330"/>
      <w:r>
        <w:t>Denominator Cohort</w:t>
      </w:r>
      <w:bookmarkEnd w:id="82"/>
    </w:p>
    <w:p w14:paraId="41417158" w14:textId="4489040D" w:rsidR="00A20CA3" w:rsidRDefault="00A20CA3" w:rsidP="00A20CA3">
      <w:r>
        <w:t xml:space="preserve">The denominator cohort used to calculate donor adverse event rates are those attendances that progress to a donation attempt and have a needle inserted, regardless of whether the target collection volume was achieved. The number of donations that make up the denominator cohort for FY 2015-16 to 2018-19 are provided </w:t>
      </w:r>
      <w:r w:rsidRPr="00E57127">
        <w:t xml:space="preserve">in Table </w:t>
      </w:r>
      <w:r w:rsidR="00975316" w:rsidRPr="00E57127">
        <w:t>50</w:t>
      </w:r>
      <w:r w:rsidRPr="00E57127">
        <w:t xml:space="preserve">. Of note, FY 2018-19 is the first year that plasmapheresis donations have exceeded whole blood. Table </w:t>
      </w:r>
      <w:r w:rsidR="00975316" w:rsidRPr="00E57127">
        <w:t>51</w:t>
      </w:r>
      <w:r w:rsidR="00975316">
        <w:t xml:space="preserve"> </w:t>
      </w:r>
      <w:r>
        <w:t>provides an overview of the donor demographic for FY 2018-19.</w:t>
      </w:r>
    </w:p>
    <w:p w14:paraId="06A603B4" w14:textId="77777777" w:rsidR="00A20CA3" w:rsidRDefault="00A20CA3">
      <w:pPr>
        <w:spacing w:line="276" w:lineRule="auto"/>
      </w:pPr>
      <w:r>
        <w:br w:type="page"/>
      </w:r>
    </w:p>
    <w:p w14:paraId="6460CE48" w14:textId="018F0083" w:rsidR="005C4869" w:rsidRDefault="005C4869" w:rsidP="005C4869">
      <w:pPr>
        <w:pStyle w:val="Caption"/>
        <w:keepNext/>
        <w:spacing w:after="0"/>
        <w:rPr>
          <w:b/>
          <w:i w:val="0"/>
          <w:color w:val="auto"/>
        </w:rPr>
      </w:pPr>
      <w:bookmarkStart w:id="83" w:name="_Toc64836453"/>
      <w:r w:rsidRPr="005C4869">
        <w:rPr>
          <w:b/>
          <w:i w:val="0"/>
          <w:color w:val="auto"/>
        </w:rPr>
        <w:lastRenderedPageBreak/>
        <w:t xml:space="preserve">Table </w:t>
      </w:r>
      <w:r w:rsidRPr="005C4869">
        <w:rPr>
          <w:b/>
          <w:i w:val="0"/>
          <w:color w:val="auto"/>
        </w:rPr>
        <w:fldChar w:fldCharType="begin"/>
      </w:r>
      <w:r w:rsidRPr="005C4869">
        <w:rPr>
          <w:b/>
          <w:i w:val="0"/>
          <w:color w:val="auto"/>
        </w:rPr>
        <w:instrText xml:space="preserve"> SEQ Table \* ARABIC </w:instrText>
      </w:r>
      <w:r w:rsidRPr="005C4869">
        <w:rPr>
          <w:b/>
          <w:i w:val="0"/>
          <w:color w:val="auto"/>
        </w:rPr>
        <w:fldChar w:fldCharType="separate"/>
      </w:r>
      <w:r w:rsidR="001F7368">
        <w:rPr>
          <w:b/>
          <w:i w:val="0"/>
          <w:noProof/>
          <w:color w:val="auto"/>
        </w:rPr>
        <w:t>50</w:t>
      </w:r>
      <w:r w:rsidRPr="005C4869">
        <w:rPr>
          <w:b/>
          <w:i w:val="0"/>
          <w:color w:val="auto"/>
        </w:rPr>
        <w:fldChar w:fldCharType="end"/>
      </w:r>
      <w:r w:rsidRPr="005C4869">
        <w:rPr>
          <w:b/>
          <w:i w:val="0"/>
          <w:color w:val="auto"/>
        </w:rPr>
        <w:t>: Number of donations in the denominator cohort for FY 2015-16 to 2018-19</w:t>
      </w:r>
      <w:bookmarkEnd w:id="83"/>
    </w:p>
    <w:p w14:paraId="182C286C" w14:textId="77777777" w:rsidR="00E57127" w:rsidRDefault="002D1F91" w:rsidP="005C4869">
      <w:pPr>
        <w:pStyle w:val="Caption"/>
        <w:keepNext/>
        <w:spacing w:after="0"/>
        <w:rPr>
          <w:i w:val="0"/>
          <w:iCs w:val="0"/>
          <w:color w:val="auto"/>
          <w:sz w:val="22"/>
          <w:szCs w:val="22"/>
        </w:rPr>
      </w:pPr>
      <w:r>
        <w:rPr>
          <w:noProof/>
          <w:lang w:eastAsia="en-AU"/>
        </w:rPr>
        <w:drawing>
          <wp:inline distT="0" distB="0" distL="0" distR="0" wp14:anchorId="63F4B54F" wp14:editId="5C159AF0">
            <wp:extent cx="6067425" cy="1426845"/>
            <wp:effectExtent l="0" t="0" r="952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067425" cy="1426845"/>
                    </a:xfrm>
                    <a:prstGeom prst="rect">
                      <a:avLst/>
                    </a:prstGeom>
                  </pic:spPr>
                </pic:pic>
              </a:graphicData>
            </a:graphic>
          </wp:inline>
        </w:drawing>
      </w:r>
    </w:p>
    <w:p w14:paraId="3175D221" w14:textId="77777777" w:rsidR="00E57127" w:rsidRDefault="00E57127" w:rsidP="005C4869">
      <w:pPr>
        <w:pStyle w:val="Caption"/>
        <w:keepNext/>
        <w:spacing w:after="0"/>
        <w:rPr>
          <w:i w:val="0"/>
          <w:iCs w:val="0"/>
          <w:color w:val="auto"/>
          <w:sz w:val="22"/>
          <w:szCs w:val="22"/>
        </w:rPr>
      </w:pPr>
    </w:p>
    <w:p w14:paraId="22D934F5" w14:textId="20B3EC1D" w:rsidR="005C4869" w:rsidRPr="005C4869" w:rsidRDefault="005C4869" w:rsidP="005C4869">
      <w:pPr>
        <w:pStyle w:val="Caption"/>
        <w:keepNext/>
        <w:spacing w:after="0"/>
        <w:rPr>
          <w:b/>
          <w:i w:val="0"/>
          <w:color w:val="auto"/>
        </w:rPr>
      </w:pPr>
      <w:bookmarkStart w:id="84" w:name="_Toc64836454"/>
      <w:r w:rsidRPr="005C4869">
        <w:rPr>
          <w:b/>
          <w:i w:val="0"/>
          <w:color w:val="auto"/>
        </w:rPr>
        <w:t xml:space="preserve">Table </w:t>
      </w:r>
      <w:r w:rsidRPr="005C4869">
        <w:rPr>
          <w:b/>
          <w:i w:val="0"/>
          <w:color w:val="auto"/>
        </w:rPr>
        <w:fldChar w:fldCharType="begin"/>
      </w:r>
      <w:r w:rsidRPr="005C4869">
        <w:rPr>
          <w:b/>
          <w:i w:val="0"/>
          <w:color w:val="auto"/>
        </w:rPr>
        <w:instrText xml:space="preserve"> SEQ Table \* ARABIC </w:instrText>
      </w:r>
      <w:r w:rsidRPr="005C4869">
        <w:rPr>
          <w:b/>
          <w:i w:val="0"/>
          <w:color w:val="auto"/>
        </w:rPr>
        <w:fldChar w:fldCharType="separate"/>
      </w:r>
      <w:r w:rsidR="001F7368">
        <w:rPr>
          <w:b/>
          <w:i w:val="0"/>
          <w:noProof/>
          <w:color w:val="auto"/>
        </w:rPr>
        <w:t>51</w:t>
      </w:r>
      <w:r w:rsidRPr="005C4869">
        <w:rPr>
          <w:b/>
          <w:i w:val="0"/>
          <w:color w:val="auto"/>
        </w:rPr>
        <w:fldChar w:fldCharType="end"/>
      </w:r>
      <w:r w:rsidRPr="005C4869">
        <w:rPr>
          <w:b/>
          <w:i w:val="0"/>
          <w:color w:val="auto"/>
        </w:rPr>
        <w:t>: Donor demographics by donation category for FY 2018-19</w:t>
      </w:r>
      <w:bookmarkEnd w:id="84"/>
    </w:p>
    <w:p w14:paraId="243DE1A9" w14:textId="7AEE1FA3" w:rsidR="002D1F91" w:rsidRDefault="002D1F91" w:rsidP="00A20CA3">
      <w:r>
        <w:rPr>
          <w:noProof/>
          <w:lang w:eastAsia="en-AU"/>
        </w:rPr>
        <w:drawing>
          <wp:inline distT="0" distB="0" distL="0" distR="0" wp14:anchorId="1C40B810" wp14:editId="3C5405D0">
            <wp:extent cx="6038850" cy="16757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038850" cy="1675765"/>
                    </a:xfrm>
                    <a:prstGeom prst="rect">
                      <a:avLst/>
                    </a:prstGeom>
                  </pic:spPr>
                </pic:pic>
              </a:graphicData>
            </a:graphic>
          </wp:inline>
        </w:drawing>
      </w:r>
    </w:p>
    <w:p w14:paraId="0CD61630" w14:textId="77777777" w:rsidR="006675EF" w:rsidRDefault="006675EF">
      <w:pPr>
        <w:spacing w:line="276" w:lineRule="auto"/>
        <w:rPr>
          <w:rFonts w:ascii="Arial" w:hAnsi="Arial" w:cs="Arial"/>
          <w:color w:val="C60C30"/>
          <w:sz w:val="28"/>
          <w:szCs w:val="28"/>
        </w:rPr>
      </w:pPr>
      <w:r>
        <w:br w:type="page"/>
      </w:r>
    </w:p>
    <w:p w14:paraId="0C1DE637" w14:textId="77777777" w:rsidR="00A20CA3" w:rsidRDefault="00A20CA3" w:rsidP="00A20CA3">
      <w:pPr>
        <w:pStyle w:val="Heading3"/>
      </w:pPr>
      <w:bookmarkStart w:id="85" w:name="_Toc64836331"/>
      <w:r>
        <w:lastRenderedPageBreak/>
        <w:t>Donor Adverse Events</w:t>
      </w:r>
      <w:bookmarkEnd w:id="85"/>
    </w:p>
    <w:p w14:paraId="721576FD" w14:textId="77777777" w:rsidR="00A20CA3" w:rsidRDefault="00A20CA3" w:rsidP="00A20CA3">
      <w:pPr>
        <w:pStyle w:val="Heading4"/>
      </w:pPr>
      <w:bookmarkStart w:id="86" w:name="_Toc64836332"/>
      <w:r>
        <w:t>Donor Adverse Events by Donation Category</w:t>
      </w:r>
      <w:bookmarkEnd w:id="86"/>
    </w:p>
    <w:p w14:paraId="3C82ABCA" w14:textId="370D8042" w:rsidR="009E153D" w:rsidRDefault="00A20CA3" w:rsidP="00A20CA3">
      <w:r>
        <w:t xml:space="preserve">An </w:t>
      </w:r>
      <w:r w:rsidRPr="00A20CA3">
        <w:t xml:space="preserve">overview of the donor adverse event rates applicable across all donation categories are provided in </w:t>
      </w:r>
      <w:r w:rsidRPr="00E57127">
        <w:t xml:space="preserve">Table </w:t>
      </w:r>
      <w:r w:rsidR="00975316" w:rsidRPr="00E57127">
        <w:t>52</w:t>
      </w:r>
      <w:r w:rsidRPr="00E57127">
        <w:t xml:space="preserve">. The rates for apheresis-specific donor adverse events are provided in Table </w:t>
      </w:r>
      <w:r w:rsidR="00975316" w:rsidRPr="00E57127">
        <w:t>53</w:t>
      </w:r>
      <w:r w:rsidRPr="00E57127">
        <w:t>.</w:t>
      </w:r>
    </w:p>
    <w:p w14:paraId="7C05432A" w14:textId="77777777" w:rsidR="009E153D" w:rsidRPr="000E704B" w:rsidRDefault="009E153D" w:rsidP="00812741">
      <w:pPr>
        <w:spacing w:after="0"/>
        <w:rPr>
          <w:rStyle w:val="IntenseEmphasis"/>
          <w:b/>
        </w:rPr>
      </w:pPr>
      <w:r w:rsidRPr="000E704B">
        <w:rPr>
          <w:rStyle w:val="IntenseEmphasis"/>
          <w:b/>
        </w:rPr>
        <w:t>Whole blood</w:t>
      </w:r>
    </w:p>
    <w:p w14:paraId="70EE99D7" w14:textId="77777777" w:rsidR="009E153D" w:rsidRDefault="009E153D" w:rsidP="009E153D">
      <w:r>
        <w:t>Whole blood donations have lower rates of phlebotomy-related events but have a significantly higher rate of vasovagal reactions (210.59 per 10,000 donations) compared with plasma (123.42 per 10,000 donations; RR: 1.71, 95% CI 1.66-1.75; p&lt;0.0001) and platelets (133.55 per 10,000 donations; RR: 1.58, 95% CI 1.43-1.74; p &lt;0.0001). This is attributed to the higher proportion of first time (new) blood donors in this group. Approximately 20% and 14% of whole blood donations are made by new female and male donors respectively, compared with plasmapheresis where 12.1% and 6.9% of donations are made by female and male donors respectively who have not previously donated plasma, noting that one third of these were new donors and therefore had not made a prior whole blood donation.</w:t>
      </w:r>
    </w:p>
    <w:p w14:paraId="0C90C96A" w14:textId="77777777" w:rsidR="006675EF" w:rsidRPr="000E704B" w:rsidRDefault="006675EF" w:rsidP="00812741">
      <w:pPr>
        <w:spacing w:after="0"/>
        <w:rPr>
          <w:rStyle w:val="IntenseEmphasis"/>
          <w:b/>
        </w:rPr>
      </w:pPr>
      <w:r w:rsidRPr="000E704B">
        <w:rPr>
          <w:rStyle w:val="IntenseEmphasis"/>
          <w:b/>
        </w:rPr>
        <w:t>Apheresis</w:t>
      </w:r>
    </w:p>
    <w:p w14:paraId="298BA82C" w14:textId="77777777" w:rsidR="006675EF" w:rsidRDefault="006675EF" w:rsidP="009E153D">
      <w:r w:rsidRPr="006675EF">
        <w:t>The higher rate of phlebotomy-related events in apheresis donations compared with whole blood relates to the longer collection time, the use of citrate anticoagulant, the return of red cells and the delivery of saline solution. A higher rate of haematomas and painful arm are observed in plateletpheresis compared with plasmapheresis and is postulated to be the result of the longer collection time and a higher dose of citrate anti-coagulant. The higher rate of citrate reactions in plateletpheresis is related to the higher dose of citrate delivered during plateletpheresis compared with plasmapheresis. All plateletpheresis and plasmapheresis donors are offered calcium supplements prior to their donation with the aim of reducing the likelihood of a citrate reaction. Of note, approximately 94% of all citrate reactions are mild and most cases are managed using simple measures such as reducing return flow rates and calcium supplements.</w:t>
      </w:r>
    </w:p>
    <w:p w14:paraId="6DBF7074" w14:textId="77777777" w:rsidR="006675EF" w:rsidRDefault="006675EF">
      <w:pPr>
        <w:spacing w:line="276" w:lineRule="auto"/>
        <w:rPr>
          <w:highlight w:val="yellow"/>
        </w:rPr>
      </w:pPr>
      <w:r>
        <w:rPr>
          <w:highlight w:val="yellow"/>
        </w:rPr>
        <w:br w:type="page"/>
      </w:r>
    </w:p>
    <w:p w14:paraId="0927464A" w14:textId="77777777" w:rsidR="005C4869" w:rsidRPr="005C4869" w:rsidRDefault="005C4869" w:rsidP="005C4869">
      <w:pPr>
        <w:pStyle w:val="Caption"/>
        <w:keepNext/>
        <w:spacing w:after="0"/>
        <w:rPr>
          <w:b/>
          <w:i w:val="0"/>
          <w:color w:val="auto"/>
        </w:rPr>
      </w:pPr>
      <w:bookmarkStart w:id="87" w:name="_Toc64836455"/>
      <w:r w:rsidRPr="005C4869">
        <w:rPr>
          <w:b/>
          <w:i w:val="0"/>
          <w:color w:val="auto"/>
        </w:rPr>
        <w:lastRenderedPageBreak/>
        <w:t xml:space="preserve">Table </w:t>
      </w:r>
      <w:r w:rsidRPr="005C4869">
        <w:rPr>
          <w:b/>
          <w:i w:val="0"/>
          <w:color w:val="auto"/>
        </w:rPr>
        <w:fldChar w:fldCharType="begin"/>
      </w:r>
      <w:r w:rsidRPr="005C4869">
        <w:rPr>
          <w:b/>
          <w:i w:val="0"/>
          <w:color w:val="auto"/>
        </w:rPr>
        <w:instrText xml:space="preserve"> SEQ Table \* ARABIC </w:instrText>
      </w:r>
      <w:r w:rsidRPr="005C4869">
        <w:rPr>
          <w:b/>
          <w:i w:val="0"/>
          <w:color w:val="auto"/>
        </w:rPr>
        <w:fldChar w:fldCharType="separate"/>
      </w:r>
      <w:r w:rsidR="001F7368">
        <w:rPr>
          <w:b/>
          <w:i w:val="0"/>
          <w:noProof/>
          <w:color w:val="auto"/>
        </w:rPr>
        <w:t>52</w:t>
      </w:r>
      <w:r w:rsidRPr="005C4869">
        <w:rPr>
          <w:b/>
          <w:i w:val="0"/>
          <w:color w:val="auto"/>
        </w:rPr>
        <w:fldChar w:fldCharType="end"/>
      </w:r>
      <w:r w:rsidRPr="005C4869">
        <w:rPr>
          <w:b/>
          <w:i w:val="0"/>
          <w:color w:val="auto"/>
        </w:rPr>
        <w:t>: Donor adverse event rates per 10,000 donations by donation type for FY 2018-19</w:t>
      </w:r>
      <w:bookmarkEnd w:id="87"/>
    </w:p>
    <w:p w14:paraId="5D527288" w14:textId="43DA5413" w:rsidR="006675EF" w:rsidRDefault="00D63A27" w:rsidP="009E153D">
      <w:r>
        <w:rPr>
          <w:noProof/>
          <w:lang w:eastAsia="en-AU"/>
        </w:rPr>
        <w:drawing>
          <wp:inline distT="0" distB="0" distL="0" distR="0" wp14:anchorId="44C260E3" wp14:editId="0BA2D5D6">
            <wp:extent cx="6051582" cy="50673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055261" cy="5070381"/>
                    </a:xfrm>
                    <a:prstGeom prst="rect">
                      <a:avLst/>
                    </a:prstGeom>
                  </pic:spPr>
                </pic:pic>
              </a:graphicData>
            </a:graphic>
          </wp:inline>
        </w:drawing>
      </w:r>
    </w:p>
    <w:p w14:paraId="42343706" w14:textId="77777777" w:rsidR="00E57127" w:rsidRDefault="00E57127" w:rsidP="00517AD8">
      <w:pPr>
        <w:pStyle w:val="Caption"/>
        <w:keepNext/>
        <w:spacing w:after="0"/>
        <w:rPr>
          <w:b/>
          <w:i w:val="0"/>
          <w:color w:val="auto"/>
        </w:rPr>
      </w:pPr>
    </w:p>
    <w:p w14:paraId="3F00AE2A" w14:textId="18DF1BA5" w:rsidR="00517AD8" w:rsidRPr="00517AD8" w:rsidRDefault="00517AD8" w:rsidP="00517AD8">
      <w:pPr>
        <w:pStyle w:val="Caption"/>
        <w:keepNext/>
        <w:spacing w:after="0"/>
        <w:rPr>
          <w:b/>
          <w:i w:val="0"/>
          <w:color w:val="auto"/>
        </w:rPr>
      </w:pPr>
      <w:bookmarkStart w:id="88" w:name="_Toc64836456"/>
      <w:r w:rsidRPr="00517AD8">
        <w:rPr>
          <w:b/>
          <w:i w:val="0"/>
          <w:color w:val="auto"/>
        </w:rPr>
        <w:t xml:space="preserve">Table </w:t>
      </w:r>
      <w:r w:rsidRPr="00517AD8">
        <w:rPr>
          <w:b/>
          <w:i w:val="0"/>
          <w:color w:val="auto"/>
        </w:rPr>
        <w:fldChar w:fldCharType="begin"/>
      </w:r>
      <w:r w:rsidRPr="00517AD8">
        <w:rPr>
          <w:b/>
          <w:i w:val="0"/>
          <w:color w:val="auto"/>
        </w:rPr>
        <w:instrText xml:space="preserve"> SEQ Table \* ARABIC </w:instrText>
      </w:r>
      <w:r w:rsidRPr="00517AD8">
        <w:rPr>
          <w:b/>
          <w:i w:val="0"/>
          <w:color w:val="auto"/>
        </w:rPr>
        <w:fldChar w:fldCharType="separate"/>
      </w:r>
      <w:r w:rsidR="001F7368">
        <w:rPr>
          <w:b/>
          <w:i w:val="0"/>
          <w:noProof/>
          <w:color w:val="auto"/>
        </w:rPr>
        <w:t>53</w:t>
      </w:r>
      <w:r w:rsidRPr="00517AD8">
        <w:rPr>
          <w:b/>
          <w:i w:val="0"/>
          <w:color w:val="auto"/>
        </w:rPr>
        <w:fldChar w:fldCharType="end"/>
      </w:r>
      <w:r w:rsidRPr="00517AD8">
        <w:rPr>
          <w:b/>
          <w:i w:val="0"/>
          <w:color w:val="auto"/>
        </w:rPr>
        <w:t>: Specific apheresis-related donor adverse event rates per 10,000 donations for FY 2018-19</w:t>
      </w:r>
      <w:bookmarkEnd w:id="88"/>
    </w:p>
    <w:p w14:paraId="2FB11821" w14:textId="5748A606" w:rsidR="006675EF" w:rsidRPr="006675EF" w:rsidRDefault="00D63A27" w:rsidP="002017C6">
      <w:pPr>
        <w:widowControl w:val="0"/>
        <w:autoSpaceDE w:val="0"/>
        <w:autoSpaceDN w:val="0"/>
        <w:spacing w:after="0"/>
        <w:rPr>
          <w:rFonts w:asciiTheme="minorHAnsi" w:eastAsia="Arial" w:hAnsiTheme="minorHAnsi" w:cstheme="minorHAnsi"/>
          <w:sz w:val="18"/>
          <w:lang w:eastAsia="en-AU" w:bidi="en-AU"/>
        </w:rPr>
      </w:pPr>
      <w:r>
        <w:rPr>
          <w:noProof/>
          <w:lang w:eastAsia="en-AU"/>
        </w:rPr>
        <w:drawing>
          <wp:inline distT="0" distB="0" distL="0" distR="0" wp14:anchorId="19160973" wp14:editId="158A1DF2">
            <wp:extent cx="6103455" cy="1905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12218" cy="1907735"/>
                    </a:xfrm>
                    <a:prstGeom prst="rect">
                      <a:avLst/>
                    </a:prstGeom>
                  </pic:spPr>
                </pic:pic>
              </a:graphicData>
            </a:graphic>
          </wp:inline>
        </w:drawing>
      </w:r>
      <w:r w:rsidR="006675EF" w:rsidRPr="006675EF">
        <w:rPr>
          <w:rFonts w:asciiTheme="minorHAnsi" w:eastAsia="Arial" w:hAnsiTheme="minorHAnsi" w:cstheme="minorHAnsi"/>
          <w:sz w:val="18"/>
          <w:lang w:eastAsia="en-AU" w:bidi="en-AU"/>
        </w:rPr>
        <w:t>*An event is not recorded if the issue is detected and the donation stopped before cells are returned to the donor.</w:t>
      </w:r>
    </w:p>
    <w:p w14:paraId="37F778BD" w14:textId="77777777" w:rsidR="002C09A1" w:rsidRDefault="002C09A1">
      <w:pPr>
        <w:spacing w:line="276" w:lineRule="auto"/>
        <w:rPr>
          <w:rFonts w:ascii="Arial" w:hAnsi="Arial" w:cs="Arial"/>
          <w:b/>
        </w:rPr>
      </w:pPr>
      <w:r>
        <w:br w:type="page"/>
      </w:r>
    </w:p>
    <w:p w14:paraId="163E0E54" w14:textId="77777777" w:rsidR="00E57127" w:rsidRDefault="00E57127" w:rsidP="006675EF">
      <w:pPr>
        <w:pStyle w:val="Heading4"/>
      </w:pPr>
    </w:p>
    <w:p w14:paraId="2BDFC0D4" w14:textId="0265CB8A" w:rsidR="006675EF" w:rsidRDefault="006675EF" w:rsidP="006675EF">
      <w:pPr>
        <w:pStyle w:val="Heading4"/>
      </w:pPr>
      <w:bookmarkStart w:id="89" w:name="_Toc64836333"/>
      <w:r>
        <w:t xml:space="preserve">Trends </w:t>
      </w:r>
      <w:r w:rsidRPr="006675EF">
        <w:t>over the 2015-16 to 2018-19 period</w:t>
      </w:r>
      <w:bookmarkEnd w:id="89"/>
    </w:p>
    <w:p w14:paraId="41F55A82" w14:textId="12BF937D" w:rsidR="006675EF" w:rsidRDefault="006675EF" w:rsidP="009E153D">
      <w:r w:rsidRPr="006675EF">
        <w:t>Donor adverse event rates have been influenced by several factors over the last four years. These include the impact of new mitigation strategies, changing donor demographics including the extent of previous donation experience, expanding donor adverse event categories to include the reporting of additional minor events and an increasing internal focus on donor adverse event reporting</w:t>
      </w:r>
      <w:r w:rsidRPr="00E57127">
        <w:t xml:space="preserve">. Table </w:t>
      </w:r>
      <w:r w:rsidR="00975316" w:rsidRPr="00E57127">
        <w:t>54</w:t>
      </w:r>
      <w:r w:rsidR="00975316" w:rsidRPr="006675EF">
        <w:t xml:space="preserve"> </w:t>
      </w:r>
      <w:r w:rsidRPr="006675EF">
        <w:t>provides total donor adverse event rates by donation type. A donation may be associated with more than one type of adverse event. The total rate for the year will only include a donation once even if more than one event was reported for that donation.</w:t>
      </w:r>
    </w:p>
    <w:p w14:paraId="56F4B82A" w14:textId="77777777" w:rsidR="00517AD8" w:rsidRPr="00517AD8" w:rsidRDefault="00517AD8" w:rsidP="00517AD8">
      <w:pPr>
        <w:pStyle w:val="Caption"/>
        <w:keepNext/>
        <w:spacing w:after="0"/>
        <w:rPr>
          <w:b/>
          <w:i w:val="0"/>
          <w:color w:val="auto"/>
        </w:rPr>
      </w:pPr>
      <w:bookmarkStart w:id="90" w:name="_Toc64836457"/>
      <w:r w:rsidRPr="00517AD8">
        <w:rPr>
          <w:b/>
          <w:i w:val="0"/>
          <w:color w:val="auto"/>
        </w:rPr>
        <w:t xml:space="preserve">Table </w:t>
      </w:r>
      <w:r w:rsidRPr="00517AD8">
        <w:rPr>
          <w:b/>
          <w:i w:val="0"/>
          <w:color w:val="auto"/>
        </w:rPr>
        <w:fldChar w:fldCharType="begin"/>
      </w:r>
      <w:r w:rsidRPr="00517AD8">
        <w:rPr>
          <w:b/>
          <w:i w:val="0"/>
          <w:color w:val="auto"/>
        </w:rPr>
        <w:instrText xml:space="preserve"> SEQ Table \* ARABIC </w:instrText>
      </w:r>
      <w:r w:rsidRPr="00517AD8">
        <w:rPr>
          <w:b/>
          <w:i w:val="0"/>
          <w:color w:val="auto"/>
        </w:rPr>
        <w:fldChar w:fldCharType="separate"/>
      </w:r>
      <w:r w:rsidR="001F7368">
        <w:rPr>
          <w:b/>
          <w:i w:val="0"/>
          <w:noProof/>
          <w:color w:val="auto"/>
        </w:rPr>
        <w:t>54</w:t>
      </w:r>
      <w:r w:rsidRPr="00517AD8">
        <w:rPr>
          <w:b/>
          <w:i w:val="0"/>
          <w:color w:val="auto"/>
        </w:rPr>
        <w:fldChar w:fldCharType="end"/>
      </w:r>
      <w:r w:rsidRPr="00517AD8">
        <w:rPr>
          <w:b/>
          <w:i w:val="0"/>
          <w:color w:val="auto"/>
        </w:rPr>
        <w:t>: Total donor adverse event rates per 10,000 donations for FY 2015-16 to 2018-19</w:t>
      </w:r>
      <w:bookmarkEnd w:id="90"/>
    </w:p>
    <w:p w14:paraId="4EF34946" w14:textId="0D918CE1" w:rsidR="00D63A27" w:rsidRDefault="00D63A27" w:rsidP="009E153D">
      <w:r>
        <w:rPr>
          <w:noProof/>
          <w:lang w:eastAsia="en-AU"/>
        </w:rPr>
        <w:drawing>
          <wp:inline distT="0" distB="0" distL="0" distR="0" wp14:anchorId="23D65CCC" wp14:editId="3D2EC1DB">
            <wp:extent cx="6152859" cy="146685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64595" cy="1469648"/>
                    </a:xfrm>
                    <a:prstGeom prst="rect">
                      <a:avLst/>
                    </a:prstGeom>
                  </pic:spPr>
                </pic:pic>
              </a:graphicData>
            </a:graphic>
          </wp:inline>
        </w:drawing>
      </w:r>
    </w:p>
    <w:p w14:paraId="2348E43F" w14:textId="77777777" w:rsidR="000D316A" w:rsidRPr="000E704B" w:rsidRDefault="000D316A" w:rsidP="00812741">
      <w:pPr>
        <w:spacing w:after="0"/>
        <w:rPr>
          <w:rStyle w:val="IntenseEmphasis"/>
          <w:b/>
        </w:rPr>
      </w:pPr>
      <w:r w:rsidRPr="000E704B">
        <w:rPr>
          <w:rStyle w:val="IntenseEmphasis"/>
          <w:b/>
        </w:rPr>
        <w:t>Whole blood</w:t>
      </w:r>
    </w:p>
    <w:p w14:paraId="3E690972" w14:textId="77777777" w:rsidR="000D316A" w:rsidRDefault="000D316A" w:rsidP="009E153D">
      <w:r w:rsidRPr="000D316A">
        <w:t>With respect to whole blood donations, total donor adverse event rates are sig</w:t>
      </w:r>
      <w:r>
        <w:t>nificantly reduced in the 2018-</w:t>
      </w:r>
      <w:r w:rsidRPr="000D316A">
        <w:t>19 FY compared with</w:t>
      </w:r>
      <w:r>
        <w:t xml:space="preserve"> 2015-16 FY (297.09 vs 317.08 </w:t>
      </w:r>
      <w:r w:rsidRPr="000D316A">
        <w:t>pre-10,000 donations; Relative Risk (RR):   0.94; 95% CI 0.92-0.95; p&lt;0.0001). This is primarily a result of the decrease in vasovagal reactions (210.59 vs 292.45 per 10,000 donations: RR: 0.72; 95% CI:0.71-0.74; p&lt;0.0001) which is the result of the introduction of in-centre pre-donation water loading (500mL) and use of applied muscle tension exercises during key points in the collection process.</w:t>
      </w:r>
    </w:p>
    <w:p w14:paraId="5E9C3BF8" w14:textId="77777777" w:rsidR="00A02D60" w:rsidRPr="000E704B" w:rsidRDefault="00A02D60" w:rsidP="00812741">
      <w:pPr>
        <w:spacing w:after="0"/>
        <w:rPr>
          <w:rStyle w:val="IntenseEmphasis"/>
          <w:b/>
        </w:rPr>
      </w:pPr>
      <w:r w:rsidRPr="000E704B">
        <w:rPr>
          <w:rStyle w:val="IntenseEmphasis"/>
          <w:b/>
        </w:rPr>
        <w:t>Apheresis</w:t>
      </w:r>
    </w:p>
    <w:p w14:paraId="2AB585F7" w14:textId="77777777" w:rsidR="00A02D60" w:rsidRDefault="00A02D60" w:rsidP="009E153D">
      <w:r w:rsidRPr="00A02D60">
        <w:t>There has been an increase in the overall reported rate of donor adverse events observed in both plasmapheresis and plateletpheresis collections over the four-year period. This is a result of the increase in vasovagal and phlebotomy injury rates. Vasovagal reactions have increased from 99.93</w:t>
      </w:r>
      <w:r>
        <w:t xml:space="preserve"> per 10,000 in 2016-17 </w:t>
      </w:r>
      <w:r w:rsidRPr="00A02D60">
        <w:t xml:space="preserve">FY to 123.42 per 10,000 in 2018-19 FY (RR: 1.24; 95% CI: 1.20-1.28; p&lt;0.0001). </w:t>
      </w:r>
      <w:r w:rsidR="00207DC0">
        <w:t xml:space="preserve">This is suspected to be due to </w:t>
      </w:r>
      <w:r w:rsidRPr="00A02D60">
        <w:t>an increase in less experienced donors entering the plasma pool. Prior to December 2017, all donors were required to make a whole blood donation prior to a plasmapheresis donation. Whilst the proportion of donations made by first-time plasma donors has been similar over the last three FY periods (8.8, 8.9 and 9.1% for FY 2016-17 , 2017-18 and 2018-19 respectively), since December 2017 this first-time plasma cohort has constituted an increasing proportion of new donors who have not previously made a whole blood donation. In 2017-18, 19% of plasmapheresis donations made by first time plasma donors, were made by donors making their first donation compared with 33.8% in 2018-19 FY.</w:t>
      </w:r>
    </w:p>
    <w:p w14:paraId="10E12BA7" w14:textId="3133DECE" w:rsidR="00A02D60" w:rsidRDefault="00A02D60" w:rsidP="009E153D">
      <w:r>
        <w:t xml:space="preserve">Rates </w:t>
      </w:r>
      <w:r w:rsidRPr="00A02D60">
        <w:t>of phlebotomy-related injuries have increased across all donation categories over the last two financial years (</w:t>
      </w:r>
      <w:r w:rsidRPr="00E57127">
        <w:t xml:space="preserve">Table </w:t>
      </w:r>
      <w:r w:rsidR="00975316" w:rsidRPr="00E57127">
        <w:t>55</w:t>
      </w:r>
      <w:r w:rsidRPr="00E57127">
        <w:t>).</w:t>
      </w:r>
      <w:r w:rsidRPr="00A02D60">
        <w:t xml:space="preserve"> One major contributing factor is the change to haematoma reporting introduced in 2017 that required all haematomas regardless of size to be reported, where previously only haematomas greater than 5cm were reported. As the change was implemented in September 2017, the full effect was not fully realised in the 2017-18 period, and accounts for some of the increase in the 2018-19 FY, which is the first full year of reporting. The limitations of the database do not permit a detailed analysis to determine if the increase is fully accounted for by haematomas less than 5cm.</w:t>
      </w:r>
    </w:p>
    <w:p w14:paraId="29544DC2" w14:textId="77777777" w:rsidR="00A02D60" w:rsidRDefault="00A02D60" w:rsidP="009E153D">
      <w:r w:rsidRPr="00A02D60">
        <w:lastRenderedPageBreak/>
        <w:t>The haematoma reporting change has coincided with significant increases in rates of painful arm (without haematoma or nerve injury) in all donation categories and in infiltration/extravasation and delayed bleeding in apheresis donations. This is considered to largely be due to improved reporting compliance as a result of heightened awareness by staff to report phlebotomy related trauma, associated with the reporting change</w:t>
      </w:r>
      <w:r>
        <w:t xml:space="preserve"> to haematomas. </w:t>
      </w:r>
      <w:r w:rsidRPr="00A02D60">
        <w:t>It is relevant to note that there has been no change in the whole blood collection procedure, nor have there been change to the apheresis procedures in this period which would account for these increases. Of note, Lifeblood commenced the roll-out of a new plasmapheresis collection platform (Fresenius Aurora) on 20 May 2019. In the 2018-19 FY, 4,982 plasma donations were collected on the Aurora, accounting for approximately 0.7% of the total plasmapheresis collections for the year. Whilst the reported rates of some phlebotomy-related events have increased, the rate of sustaining one or more phlebotomy-related event (including a haematoma less than 5cm) in the 2018-19 FY is less than 1%, 2% and 5% for whole blood, plasmapheresis and plateletpheresis collections respectively.</w:t>
      </w:r>
    </w:p>
    <w:p w14:paraId="50AAFC8B" w14:textId="77777777" w:rsidR="00517AD8" w:rsidRPr="00517AD8" w:rsidRDefault="00517AD8" w:rsidP="00517AD8">
      <w:pPr>
        <w:pStyle w:val="Caption"/>
        <w:keepNext/>
        <w:spacing w:after="0"/>
        <w:rPr>
          <w:b/>
          <w:i w:val="0"/>
          <w:color w:val="auto"/>
        </w:rPr>
      </w:pPr>
      <w:bookmarkStart w:id="91" w:name="_Toc64836458"/>
      <w:r w:rsidRPr="00517AD8">
        <w:rPr>
          <w:b/>
          <w:i w:val="0"/>
          <w:color w:val="auto"/>
        </w:rPr>
        <w:t xml:space="preserve">Table </w:t>
      </w:r>
      <w:r w:rsidRPr="00517AD8">
        <w:rPr>
          <w:b/>
          <w:i w:val="0"/>
          <w:color w:val="auto"/>
        </w:rPr>
        <w:fldChar w:fldCharType="begin"/>
      </w:r>
      <w:r w:rsidRPr="00517AD8">
        <w:rPr>
          <w:b/>
          <w:i w:val="0"/>
          <w:color w:val="auto"/>
        </w:rPr>
        <w:instrText xml:space="preserve"> SEQ Table \* ARABIC </w:instrText>
      </w:r>
      <w:r w:rsidRPr="00517AD8">
        <w:rPr>
          <w:b/>
          <w:i w:val="0"/>
          <w:color w:val="auto"/>
        </w:rPr>
        <w:fldChar w:fldCharType="separate"/>
      </w:r>
      <w:r w:rsidR="001F7368">
        <w:rPr>
          <w:b/>
          <w:i w:val="0"/>
          <w:noProof/>
          <w:color w:val="auto"/>
        </w:rPr>
        <w:t>55</w:t>
      </w:r>
      <w:r w:rsidRPr="00517AD8">
        <w:rPr>
          <w:b/>
          <w:i w:val="0"/>
          <w:color w:val="auto"/>
        </w:rPr>
        <w:fldChar w:fldCharType="end"/>
      </w:r>
      <w:r w:rsidRPr="00517AD8">
        <w:rPr>
          <w:b/>
          <w:i w:val="0"/>
          <w:color w:val="auto"/>
        </w:rPr>
        <w:t>: Phlebotomy-related injury rate per 10,000 donations for FY 2015-16 to 2018-19</w:t>
      </w:r>
      <w:bookmarkEnd w:id="91"/>
    </w:p>
    <w:p w14:paraId="4A0AE6BE" w14:textId="14649945" w:rsidR="00D63A27" w:rsidRDefault="00D63A27" w:rsidP="009E153D">
      <w:r>
        <w:rPr>
          <w:noProof/>
          <w:lang w:eastAsia="en-AU"/>
        </w:rPr>
        <w:drawing>
          <wp:inline distT="0" distB="0" distL="0" distR="0" wp14:anchorId="7258AFE0" wp14:editId="7B842CD8">
            <wp:extent cx="6209699" cy="4476466"/>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215760" cy="4480835"/>
                    </a:xfrm>
                    <a:prstGeom prst="rect">
                      <a:avLst/>
                    </a:prstGeom>
                  </pic:spPr>
                </pic:pic>
              </a:graphicData>
            </a:graphic>
          </wp:inline>
        </w:drawing>
      </w:r>
    </w:p>
    <w:p w14:paraId="41D6020D" w14:textId="77777777" w:rsidR="00E1434C" w:rsidRDefault="00E1434C">
      <w:pPr>
        <w:spacing w:line="276" w:lineRule="auto"/>
      </w:pPr>
      <w:r>
        <w:br w:type="page"/>
      </w:r>
    </w:p>
    <w:p w14:paraId="4A1980CB" w14:textId="77777777" w:rsidR="00E1434C" w:rsidRDefault="005E66BC" w:rsidP="005E66BC">
      <w:pPr>
        <w:pStyle w:val="Heading4"/>
      </w:pPr>
      <w:bookmarkStart w:id="92" w:name="_Toc64836334"/>
      <w:r>
        <w:lastRenderedPageBreak/>
        <w:t>Vasovagal events</w:t>
      </w:r>
      <w:bookmarkEnd w:id="92"/>
    </w:p>
    <w:p w14:paraId="4F6EBDF1" w14:textId="1AA9D935" w:rsidR="005E66BC" w:rsidRDefault="005E66BC" w:rsidP="005E66BC">
      <w:r>
        <w:t xml:space="preserve">Vasovagal events are the most common donor adverse event if considered across all donation categories. The overall rate </w:t>
      </w:r>
      <w:r w:rsidRPr="00E57127">
        <w:t xml:space="preserve">of vasovagal events across all donation categories for the FY 2018-19 was 165.12 per 10,000 donations (Table </w:t>
      </w:r>
      <w:r w:rsidR="00975316" w:rsidRPr="00E57127">
        <w:t>52</w:t>
      </w:r>
      <w:r w:rsidRPr="00E57127">
        <w:t xml:space="preserve">). Table </w:t>
      </w:r>
      <w:r w:rsidR="00975316" w:rsidRPr="00E57127">
        <w:t xml:space="preserve">56 </w:t>
      </w:r>
      <w:r w:rsidRPr="00E57127">
        <w:t>provides</w:t>
      </w:r>
      <w:r>
        <w:t xml:space="preserve"> rates of vasovagal events by location and if associated with loss of consciousness and/or injury. Approximately 90% of vasovagal reactions occurred on-site. Events occurring on-site were less likely to be associated with loss of consciousness (6.9% vs 16.8%; RR: 0.41; 95% CI 0.37- 0.45; p&lt;0.0001) and those sustaining loss of consciousness, had a lower rate of injury if the event occurred on-site (2.32% vs 11.26%; RR: 0.21; 95% CI 0.14-0.31; p&lt;0.0001). In 2018-19 there were 79 reports (0.52 per 10,000 donations) of vasovagal reactions occurring whilst driving. Two motor vehicle accidents were reported in association with these events.</w:t>
      </w:r>
    </w:p>
    <w:p w14:paraId="6679AA5A" w14:textId="77777777" w:rsidR="005E66BC" w:rsidRDefault="005E66BC" w:rsidP="005E66BC">
      <w:r w:rsidRPr="005E66BC">
        <w:t>Whilst donors are encouraged to report adverse events that occur after leaving the donor centre, it is likely that minor off-site events are under-reported. Figures may therefore overstate both the proportion of events that occur on-site and the association between off-site events and loss of consciousness and/or injury</w:t>
      </w:r>
    </w:p>
    <w:p w14:paraId="7FEE52D8" w14:textId="77777777" w:rsidR="00517AD8" w:rsidRPr="00517AD8" w:rsidRDefault="00517AD8" w:rsidP="00517AD8">
      <w:pPr>
        <w:pStyle w:val="Caption"/>
        <w:keepNext/>
        <w:spacing w:after="0"/>
        <w:rPr>
          <w:b/>
          <w:i w:val="0"/>
          <w:color w:val="auto"/>
        </w:rPr>
      </w:pPr>
      <w:bookmarkStart w:id="93" w:name="_Toc64836459"/>
      <w:r w:rsidRPr="00517AD8">
        <w:rPr>
          <w:b/>
          <w:i w:val="0"/>
          <w:color w:val="auto"/>
        </w:rPr>
        <w:t xml:space="preserve">Table </w:t>
      </w:r>
      <w:r w:rsidRPr="00517AD8">
        <w:rPr>
          <w:b/>
          <w:i w:val="0"/>
          <w:color w:val="auto"/>
        </w:rPr>
        <w:fldChar w:fldCharType="begin"/>
      </w:r>
      <w:r w:rsidRPr="00517AD8">
        <w:rPr>
          <w:b/>
          <w:i w:val="0"/>
          <w:color w:val="auto"/>
        </w:rPr>
        <w:instrText xml:space="preserve"> SEQ Table \* ARABIC </w:instrText>
      </w:r>
      <w:r w:rsidRPr="00517AD8">
        <w:rPr>
          <w:b/>
          <w:i w:val="0"/>
          <w:color w:val="auto"/>
        </w:rPr>
        <w:fldChar w:fldCharType="separate"/>
      </w:r>
      <w:r w:rsidR="001F7368">
        <w:rPr>
          <w:b/>
          <w:i w:val="0"/>
          <w:noProof/>
          <w:color w:val="auto"/>
        </w:rPr>
        <w:t>56</w:t>
      </w:r>
      <w:r w:rsidRPr="00517AD8">
        <w:rPr>
          <w:b/>
          <w:i w:val="0"/>
          <w:color w:val="auto"/>
        </w:rPr>
        <w:fldChar w:fldCharType="end"/>
      </w:r>
      <w:r w:rsidRPr="00517AD8">
        <w:rPr>
          <w:b/>
          <w:i w:val="0"/>
          <w:color w:val="auto"/>
        </w:rPr>
        <w:t>: Vasovagal events per 10,000 donations* by donation category for FY 2018-19</w:t>
      </w:r>
      <w:bookmarkEnd w:id="93"/>
    </w:p>
    <w:p w14:paraId="2F39C8B1" w14:textId="649844DC" w:rsidR="00D63A27" w:rsidRDefault="00D63A27" w:rsidP="00D63A27">
      <w:pPr>
        <w:spacing w:after="0"/>
      </w:pPr>
      <w:r>
        <w:rPr>
          <w:noProof/>
          <w:lang w:eastAsia="en-AU"/>
        </w:rPr>
        <w:drawing>
          <wp:inline distT="0" distB="0" distL="0" distR="0" wp14:anchorId="4096A9E0" wp14:editId="2B93BB98">
            <wp:extent cx="6121283" cy="44291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25237" cy="4431986"/>
                    </a:xfrm>
                    <a:prstGeom prst="rect">
                      <a:avLst/>
                    </a:prstGeom>
                  </pic:spPr>
                </pic:pic>
              </a:graphicData>
            </a:graphic>
          </wp:inline>
        </w:drawing>
      </w:r>
    </w:p>
    <w:p w14:paraId="28BBB618" w14:textId="7E100B65" w:rsidR="005E66BC" w:rsidRDefault="004220BB" w:rsidP="004220BB">
      <w:pPr>
        <w:rPr>
          <w:sz w:val="18"/>
          <w:szCs w:val="18"/>
        </w:rPr>
      </w:pPr>
      <w:r>
        <w:t xml:space="preserve">* </w:t>
      </w:r>
      <w:r w:rsidRPr="004220BB">
        <w:rPr>
          <w:sz w:val="18"/>
          <w:szCs w:val="18"/>
        </w:rPr>
        <w:t xml:space="preserve">A single donation can be associated with more than one vasovagal event. This table captures each vasovagal event separately. The total vasovagal events in this table therefore exceeds the total vasovagal events in </w:t>
      </w:r>
      <w:r w:rsidRPr="00E57127">
        <w:rPr>
          <w:sz w:val="18"/>
          <w:szCs w:val="18"/>
        </w:rPr>
        <w:t xml:space="preserve">Table </w:t>
      </w:r>
      <w:r w:rsidR="00975316" w:rsidRPr="00E57127">
        <w:rPr>
          <w:sz w:val="18"/>
          <w:szCs w:val="18"/>
        </w:rPr>
        <w:t>52</w:t>
      </w:r>
      <w:r w:rsidRPr="00E57127">
        <w:rPr>
          <w:sz w:val="18"/>
          <w:szCs w:val="18"/>
        </w:rPr>
        <w:t>,</w:t>
      </w:r>
      <w:r w:rsidRPr="004220BB">
        <w:rPr>
          <w:sz w:val="18"/>
          <w:szCs w:val="18"/>
        </w:rPr>
        <w:t xml:space="preserve"> which in comparison reports the number of donations associated with at least one vasovagal event.</w:t>
      </w:r>
    </w:p>
    <w:p w14:paraId="44458073" w14:textId="77777777" w:rsidR="004220BB" w:rsidRDefault="004220BB">
      <w:pPr>
        <w:spacing w:line="276" w:lineRule="auto"/>
        <w:rPr>
          <w:sz w:val="18"/>
          <w:szCs w:val="18"/>
        </w:rPr>
      </w:pPr>
      <w:r>
        <w:rPr>
          <w:sz w:val="18"/>
          <w:szCs w:val="18"/>
        </w:rPr>
        <w:br w:type="page"/>
      </w:r>
    </w:p>
    <w:p w14:paraId="395D8B6D" w14:textId="4D3C121F" w:rsidR="004220BB" w:rsidRDefault="004220BB" w:rsidP="004220BB">
      <w:r w:rsidRPr="00E57127">
        <w:lastRenderedPageBreak/>
        <w:t xml:space="preserve">Table </w:t>
      </w:r>
      <w:r w:rsidR="00975316" w:rsidRPr="00E57127">
        <w:t xml:space="preserve">57 </w:t>
      </w:r>
      <w:r w:rsidRPr="00E57127">
        <w:t>demonstrates</w:t>
      </w:r>
      <w:r>
        <w:t xml:space="preserve"> that in terms of severe vasovagal events, there has been a significant overall reduction over time in vasovagal events associated with loss of consciousness that is attributed to whole blood donors. Given that a vasovagal event associated with loss of consciousness is more likely to be associated with injury than a vasovagal without loss of consciousness, this is an important donor safety reduction to note over time.</w:t>
      </w:r>
    </w:p>
    <w:p w14:paraId="193E6ACD" w14:textId="77777777" w:rsidR="00517AD8" w:rsidRPr="00517AD8" w:rsidRDefault="00517AD8" w:rsidP="00517AD8">
      <w:pPr>
        <w:pStyle w:val="Caption"/>
        <w:keepNext/>
        <w:spacing w:after="0"/>
        <w:rPr>
          <w:b/>
          <w:i w:val="0"/>
          <w:color w:val="auto"/>
        </w:rPr>
      </w:pPr>
      <w:bookmarkStart w:id="94" w:name="_Toc64836460"/>
      <w:r w:rsidRPr="00517AD8">
        <w:rPr>
          <w:b/>
          <w:i w:val="0"/>
          <w:color w:val="auto"/>
        </w:rPr>
        <w:t xml:space="preserve">Table </w:t>
      </w:r>
      <w:r w:rsidRPr="00517AD8">
        <w:rPr>
          <w:b/>
          <w:i w:val="0"/>
          <w:color w:val="auto"/>
        </w:rPr>
        <w:fldChar w:fldCharType="begin"/>
      </w:r>
      <w:r w:rsidRPr="00517AD8">
        <w:rPr>
          <w:b/>
          <w:i w:val="0"/>
          <w:color w:val="auto"/>
        </w:rPr>
        <w:instrText xml:space="preserve"> SEQ Table \* ARABIC </w:instrText>
      </w:r>
      <w:r w:rsidRPr="00517AD8">
        <w:rPr>
          <w:b/>
          <w:i w:val="0"/>
          <w:color w:val="auto"/>
        </w:rPr>
        <w:fldChar w:fldCharType="separate"/>
      </w:r>
      <w:r w:rsidR="001F7368">
        <w:rPr>
          <w:b/>
          <w:i w:val="0"/>
          <w:noProof/>
          <w:color w:val="auto"/>
        </w:rPr>
        <w:t>57</w:t>
      </w:r>
      <w:r w:rsidRPr="00517AD8">
        <w:rPr>
          <w:b/>
          <w:i w:val="0"/>
          <w:color w:val="auto"/>
        </w:rPr>
        <w:fldChar w:fldCharType="end"/>
      </w:r>
      <w:r w:rsidRPr="00517AD8">
        <w:rPr>
          <w:b/>
          <w:i w:val="0"/>
          <w:color w:val="auto"/>
        </w:rPr>
        <w:t>: Vasovagal events associated with loss of consciousness per 10,000 donations by donation category for FY 2015-16 to 2018-19</w:t>
      </w:r>
      <w:bookmarkEnd w:id="94"/>
    </w:p>
    <w:p w14:paraId="5A2D17C7" w14:textId="3B479CF7" w:rsidR="00D63A27" w:rsidRDefault="00D63A27" w:rsidP="004220BB">
      <w:r>
        <w:rPr>
          <w:noProof/>
          <w:lang w:eastAsia="en-AU"/>
        </w:rPr>
        <w:drawing>
          <wp:inline distT="0" distB="0" distL="0" distR="0" wp14:anchorId="455D7FD4" wp14:editId="58E87596">
            <wp:extent cx="6349773" cy="20383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352765" cy="2039311"/>
                    </a:xfrm>
                    <a:prstGeom prst="rect">
                      <a:avLst/>
                    </a:prstGeom>
                  </pic:spPr>
                </pic:pic>
              </a:graphicData>
            </a:graphic>
          </wp:inline>
        </w:drawing>
      </w:r>
    </w:p>
    <w:p w14:paraId="107DD37E" w14:textId="77777777" w:rsidR="004220BB" w:rsidRPr="000E704B" w:rsidRDefault="004220BB" w:rsidP="00812741">
      <w:pPr>
        <w:spacing w:after="0"/>
        <w:rPr>
          <w:rStyle w:val="IntenseEmphasis"/>
          <w:b/>
        </w:rPr>
      </w:pPr>
      <w:r w:rsidRPr="000E704B">
        <w:rPr>
          <w:rStyle w:val="IntenseEmphasis"/>
          <w:b/>
        </w:rPr>
        <w:t>Vasovagal rates and donor experience</w:t>
      </w:r>
    </w:p>
    <w:p w14:paraId="46273BCD" w14:textId="77777777" w:rsidR="00FF237E" w:rsidRDefault="00FF237E" w:rsidP="004220BB">
      <w:r w:rsidRPr="00FF237E">
        <w:t>Significantly lower rates of vasovagal are observed in both male and female returning donors compared with new donors. The effect is observed in both whole blood and plasmapheresis and is greatest in males. The risk of a vasovagal event occurring in a returning donor is less because returning donors become increasingly</w:t>
      </w:r>
      <w:r>
        <w:t xml:space="preserve"> familiar </w:t>
      </w:r>
      <w:r w:rsidRPr="00FF237E">
        <w:t>with the process and relevant mitigation strategies and new donors who experience a reaction on the first visit (and who are potentially more prone to future vasovagal events) are less likely to return, or if the reaction is severe, they are deferred from further donation.</w:t>
      </w:r>
    </w:p>
    <w:p w14:paraId="6A2DF5B2" w14:textId="127B2B1C" w:rsidR="00FF237E" w:rsidRDefault="00FF237E" w:rsidP="00FF237E">
      <w:r>
        <w:t xml:space="preserve">The relative risk of a new whole blood donor having a vasovagal reaction compared with a returning whole blood donor is 3.61 and 6.98 for females and males respectively </w:t>
      </w:r>
      <w:r w:rsidRPr="00E57127">
        <w:t xml:space="preserve">(Table </w:t>
      </w:r>
      <w:r w:rsidR="00975316" w:rsidRPr="00E57127">
        <w:t>58</w:t>
      </w:r>
      <w:r w:rsidRPr="00E57127">
        <w:t>).</w:t>
      </w:r>
    </w:p>
    <w:p w14:paraId="00379FC9" w14:textId="50A53177" w:rsidR="00FF237E" w:rsidRDefault="00FF237E" w:rsidP="00FF237E">
      <w:r>
        <w:t>The relative risk of a new plasma donor who has made a previous whole blood donation having a vasovagal reaction compared with a returning plasma donor is 6.37 for females and 12.96 for males (</w:t>
      </w:r>
      <w:r w:rsidRPr="00E57127">
        <w:t xml:space="preserve">Table </w:t>
      </w:r>
      <w:r w:rsidR="00975316" w:rsidRPr="00E57127">
        <w:t>59</w:t>
      </w:r>
      <w:r w:rsidRPr="00E57127">
        <w:t>).</w:t>
      </w:r>
    </w:p>
    <w:p w14:paraId="70F987A2" w14:textId="77777777" w:rsidR="00FF237E" w:rsidRDefault="00FF237E" w:rsidP="00FF237E">
      <w:r>
        <w:t>From December 2017, donors were no longer required to make a whole blood donor prior to donating plasma. In 2018-2019, the excess risk of a new donor who is donating plasma having a vasovagal reaction is 2.93% for females and 1.74% for males compared to first time whole blood donors. This is not unexpected given a first-time plasma donor who has previously donated whole blood has a higher rate of a vasovagal reaction than an experienced plasma donor.</w:t>
      </w:r>
    </w:p>
    <w:p w14:paraId="2FD532BD" w14:textId="77777777" w:rsidR="00FF237E" w:rsidRDefault="00FF237E">
      <w:pPr>
        <w:spacing w:line="276" w:lineRule="auto"/>
      </w:pPr>
      <w:r>
        <w:br w:type="page"/>
      </w:r>
    </w:p>
    <w:p w14:paraId="538A309C" w14:textId="77777777" w:rsidR="001F7368" w:rsidRPr="001F7368" w:rsidRDefault="001F7368" w:rsidP="001F7368">
      <w:pPr>
        <w:pStyle w:val="Caption"/>
        <w:keepNext/>
        <w:spacing w:after="0"/>
        <w:rPr>
          <w:b/>
          <w:i w:val="0"/>
          <w:color w:val="auto"/>
        </w:rPr>
      </w:pPr>
      <w:bookmarkStart w:id="95" w:name="_Toc64836461"/>
      <w:r w:rsidRPr="001F7368">
        <w:rPr>
          <w:b/>
          <w:i w:val="0"/>
          <w:color w:val="auto"/>
        </w:rPr>
        <w:lastRenderedPageBreak/>
        <w:t xml:space="preserve">Table </w:t>
      </w:r>
      <w:r w:rsidRPr="001F7368">
        <w:rPr>
          <w:b/>
          <w:i w:val="0"/>
          <w:color w:val="auto"/>
        </w:rPr>
        <w:fldChar w:fldCharType="begin"/>
      </w:r>
      <w:r w:rsidRPr="001F7368">
        <w:rPr>
          <w:b/>
          <w:i w:val="0"/>
          <w:color w:val="auto"/>
        </w:rPr>
        <w:instrText xml:space="preserve"> SEQ Table \* ARABIC </w:instrText>
      </w:r>
      <w:r w:rsidRPr="001F7368">
        <w:rPr>
          <w:b/>
          <w:i w:val="0"/>
          <w:color w:val="auto"/>
        </w:rPr>
        <w:fldChar w:fldCharType="separate"/>
      </w:r>
      <w:r>
        <w:rPr>
          <w:b/>
          <w:i w:val="0"/>
          <w:noProof/>
          <w:color w:val="auto"/>
        </w:rPr>
        <w:t>58</w:t>
      </w:r>
      <w:r w:rsidRPr="001F7368">
        <w:rPr>
          <w:b/>
          <w:i w:val="0"/>
          <w:color w:val="auto"/>
        </w:rPr>
        <w:fldChar w:fldCharType="end"/>
      </w:r>
      <w:r w:rsidRPr="001F7368">
        <w:rPr>
          <w:b/>
          <w:i w:val="0"/>
          <w:color w:val="auto"/>
        </w:rPr>
        <w:t>: Vasovagal rates in new and returned female and male whole blood donors for FY 2018-2019</w:t>
      </w:r>
      <w:bookmarkEnd w:id="95"/>
    </w:p>
    <w:p w14:paraId="3DC6BC3B" w14:textId="24D210B8" w:rsidR="00FF237E" w:rsidRDefault="007574F7" w:rsidP="00FF237E">
      <w:r>
        <w:rPr>
          <w:noProof/>
          <w:lang w:eastAsia="en-AU"/>
        </w:rPr>
        <w:drawing>
          <wp:inline distT="0" distB="0" distL="0" distR="0" wp14:anchorId="29D82335" wp14:editId="568A1600">
            <wp:extent cx="6217285" cy="137962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234437" cy="1383427"/>
                    </a:xfrm>
                    <a:prstGeom prst="rect">
                      <a:avLst/>
                    </a:prstGeom>
                  </pic:spPr>
                </pic:pic>
              </a:graphicData>
            </a:graphic>
          </wp:inline>
        </w:drawing>
      </w:r>
    </w:p>
    <w:p w14:paraId="7E3C8614" w14:textId="77777777" w:rsidR="00E57127" w:rsidRDefault="00E57127" w:rsidP="001F7368">
      <w:pPr>
        <w:pStyle w:val="Caption"/>
        <w:keepNext/>
        <w:spacing w:after="0"/>
        <w:rPr>
          <w:i w:val="0"/>
          <w:iCs w:val="0"/>
          <w:color w:val="auto"/>
          <w:sz w:val="22"/>
          <w:szCs w:val="22"/>
        </w:rPr>
      </w:pPr>
    </w:p>
    <w:p w14:paraId="24E3DCD5" w14:textId="5B1CE2FA" w:rsidR="001F7368" w:rsidRPr="001F7368" w:rsidRDefault="001F7368" w:rsidP="001F7368">
      <w:pPr>
        <w:pStyle w:val="Caption"/>
        <w:keepNext/>
        <w:spacing w:after="0"/>
        <w:rPr>
          <w:b/>
          <w:i w:val="0"/>
          <w:color w:val="auto"/>
        </w:rPr>
      </w:pPr>
      <w:bookmarkStart w:id="96" w:name="_Toc64836462"/>
      <w:r w:rsidRPr="001F7368">
        <w:rPr>
          <w:b/>
          <w:i w:val="0"/>
          <w:color w:val="auto"/>
        </w:rPr>
        <w:t xml:space="preserve">Table </w:t>
      </w:r>
      <w:r w:rsidRPr="001F7368">
        <w:rPr>
          <w:b/>
          <w:i w:val="0"/>
          <w:color w:val="auto"/>
        </w:rPr>
        <w:fldChar w:fldCharType="begin"/>
      </w:r>
      <w:r w:rsidRPr="001F7368">
        <w:rPr>
          <w:b/>
          <w:i w:val="0"/>
          <w:color w:val="auto"/>
        </w:rPr>
        <w:instrText xml:space="preserve"> SEQ Table \* ARABIC </w:instrText>
      </w:r>
      <w:r w:rsidRPr="001F7368">
        <w:rPr>
          <w:b/>
          <w:i w:val="0"/>
          <w:color w:val="auto"/>
        </w:rPr>
        <w:fldChar w:fldCharType="separate"/>
      </w:r>
      <w:r>
        <w:rPr>
          <w:b/>
          <w:i w:val="0"/>
          <w:noProof/>
          <w:color w:val="auto"/>
        </w:rPr>
        <w:t>59</w:t>
      </w:r>
      <w:r w:rsidRPr="001F7368">
        <w:rPr>
          <w:b/>
          <w:i w:val="0"/>
          <w:color w:val="auto"/>
        </w:rPr>
        <w:fldChar w:fldCharType="end"/>
      </w:r>
      <w:r w:rsidRPr="001F7368">
        <w:rPr>
          <w:b/>
          <w:i w:val="0"/>
          <w:color w:val="auto"/>
        </w:rPr>
        <w:t>: Vasovagal rates in new and returned female and male plasma donors for FY 2018-2019</w:t>
      </w:r>
      <w:bookmarkEnd w:id="96"/>
    </w:p>
    <w:p w14:paraId="23AB0137" w14:textId="16777724" w:rsidR="00FF237E" w:rsidRDefault="007574F7" w:rsidP="00FF237E">
      <w:r>
        <w:rPr>
          <w:noProof/>
          <w:lang w:eastAsia="en-AU"/>
        </w:rPr>
        <w:drawing>
          <wp:inline distT="0" distB="0" distL="0" distR="0" wp14:anchorId="00226F22" wp14:editId="0BF67996">
            <wp:extent cx="6217324" cy="21717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222859" cy="2173633"/>
                    </a:xfrm>
                    <a:prstGeom prst="rect">
                      <a:avLst/>
                    </a:prstGeom>
                  </pic:spPr>
                </pic:pic>
              </a:graphicData>
            </a:graphic>
          </wp:inline>
        </w:drawing>
      </w:r>
    </w:p>
    <w:p w14:paraId="725A56D8" w14:textId="77777777" w:rsidR="00FE0898" w:rsidRPr="000E704B" w:rsidRDefault="00FE0898" w:rsidP="00812741">
      <w:pPr>
        <w:spacing w:after="0"/>
        <w:rPr>
          <w:rStyle w:val="IntenseEmphasis"/>
          <w:b/>
        </w:rPr>
      </w:pPr>
      <w:r w:rsidRPr="000E704B">
        <w:rPr>
          <w:rStyle w:val="IntenseEmphasis"/>
          <w:b/>
        </w:rPr>
        <w:t>Vasovagal rates, gender and age</w:t>
      </w:r>
    </w:p>
    <w:p w14:paraId="0EC2A1B2" w14:textId="2FF02945" w:rsidR="00FE0898" w:rsidRDefault="00FE0898" w:rsidP="00FF237E">
      <w:r w:rsidRPr="00FE0898">
        <w:t xml:space="preserve">The relative risk of a vasovagal reduces with age in both males and </w:t>
      </w:r>
      <w:r w:rsidRPr="00E57127">
        <w:t xml:space="preserve">females (Tables </w:t>
      </w:r>
      <w:r w:rsidR="00975316" w:rsidRPr="00E57127">
        <w:t xml:space="preserve">60 </w:t>
      </w:r>
      <w:r w:rsidRPr="00E57127">
        <w:t xml:space="preserve">and </w:t>
      </w:r>
      <w:r w:rsidR="00975316" w:rsidRPr="00E57127">
        <w:t>61</w:t>
      </w:r>
      <w:r w:rsidRPr="00E57127">
        <w:t>).</w:t>
      </w:r>
      <w:r w:rsidRPr="00FE0898">
        <w:t xml:space="preserve"> Females and males aged 18-20 years have a relative risk of 3.36 and 4.61 respectively, compared with other donors in their gender cohort. A significant proportion of this increase is attributed to donor experience with younger donors being more likely to be first time or less experienced donors. The rates of vasovagal reactions are higher in females. Females aged 18-</w:t>
      </w:r>
      <w:r>
        <w:t xml:space="preserve">20 have a relative risk of </w:t>
      </w:r>
      <w:r w:rsidR="00636AC6">
        <w:t xml:space="preserve">                              </w:t>
      </w:r>
      <w:r>
        <w:t xml:space="preserve">1.89 </w:t>
      </w:r>
      <w:r w:rsidRPr="00FE0898">
        <w:t>(95% CI 1.76-2.03) compared with males of the same age.</w:t>
      </w:r>
    </w:p>
    <w:p w14:paraId="5BC1DBA4" w14:textId="77777777" w:rsidR="00636AC6" w:rsidRDefault="00636AC6">
      <w:pPr>
        <w:spacing w:line="276" w:lineRule="auto"/>
      </w:pPr>
      <w:r>
        <w:br w:type="page"/>
      </w:r>
    </w:p>
    <w:p w14:paraId="15AA7C54" w14:textId="77777777" w:rsidR="001F7368" w:rsidRPr="001F7368" w:rsidRDefault="001F7368" w:rsidP="001F7368">
      <w:pPr>
        <w:pStyle w:val="Caption"/>
        <w:keepNext/>
        <w:spacing w:after="0"/>
        <w:rPr>
          <w:b/>
          <w:i w:val="0"/>
          <w:color w:val="auto"/>
        </w:rPr>
      </w:pPr>
      <w:bookmarkStart w:id="97" w:name="_Toc64836463"/>
      <w:r w:rsidRPr="001F7368">
        <w:rPr>
          <w:b/>
          <w:i w:val="0"/>
          <w:color w:val="auto"/>
        </w:rPr>
        <w:lastRenderedPageBreak/>
        <w:t xml:space="preserve">Table </w:t>
      </w:r>
      <w:r w:rsidRPr="001F7368">
        <w:rPr>
          <w:b/>
          <w:i w:val="0"/>
          <w:color w:val="auto"/>
        </w:rPr>
        <w:fldChar w:fldCharType="begin"/>
      </w:r>
      <w:r w:rsidRPr="001F7368">
        <w:rPr>
          <w:b/>
          <w:i w:val="0"/>
          <w:color w:val="auto"/>
        </w:rPr>
        <w:instrText xml:space="preserve"> SEQ Table \* ARABIC </w:instrText>
      </w:r>
      <w:r w:rsidRPr="001F7368">
        <w:rPr>
          <w:b/>
          <w:i w:val="0"/>
          <w:color w:val="auto"/>
        </w:rPr>
        <w:fldChar w:fldCharType="separate"/>
      </w:r>
      <w:r>
        <w:rPr>
          <w:b/>
          <w:i w:val="0"/>
          <w:noProof/>
          <w:color w:val="auto"/>
        </w:rPr>
        <w:t>60</w:t>
      </w:r>
      <w:r w:rsidRPr="001F7368">
        <w:rPr>
          <w:b/>
          <w:i w:val="0"/>
          <w:color w:val="auto"/>
        </w:rPr>
        <w:fldChar w:fldCharType="end"/>
      </w:r>
      <w:r w:rsidRPr="001F7368">
        <w:rPr>
          <w:b/>
          <w:i w:val="0"/>
          <w:color w:val="auto"/>
        </w:rPr>
        <w:t>: Rates and relative risk for vasovagal events in females for all donation categories by age for 2018-19</w:t>
      </w:r>
      <w:bookmarkEnd w:id="97"/>
    </w:p>
    <w:p w14:paraId="10B402AE" w14:textId="4539EA5F" w:rsidR="007574F7" w:rsidRDefault="007574F7" w:rsidP="003864F4">
      <w:pPr>
        <w:spacing w:after="0"/>
        <w:rPr>
          <w:sz w:val="18"/>
          <w:szCs w:val="18"/>
        </w:rPr>
      </w:pPr>
      <w:r>
        <w:rPr>
          <w:noProof/>
          <w:lang w:eastAsia="en-AU"/>
        </w:rPr>
        <w:drawing>
          <wp:inline distT="0" distB="0" distL="0" distR="0" wp14:anchorId="59E1228A" wp14:editId="165B41C2">
            <wp:extent cx="6150095" cy="2305050"/>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50868" cy="2305340"/>
                    </a:xfrm>
                    <a:prstGeom prst="rect">
                      <a:avLst/>
                    </a:prstGeom>
                  </pic:spPr>
                </pic:pic>
              </a:graphicData>
            </a:graphic>
          </wp:inline>
        </w:drawing>
      </w:r>
    </w:p>
    <w:p w14:paraId="0ABA864D" w14:textId="770B719E" w:rsidR="003864F4" w:rsidRPr="003864F4" w:rsidRDefault="003864F4" w:rsidP="003864F4">
      <w:pPr>
        <w:spacing w:after="0"/>
        <w:rPr>
          <w:sz w:val="18"/>
          <w:szCs w:val="18"/>
        </w:rPr>
      </w:pPr>
      <w:r w:rsidRPr="003864F4">
        <w:rPr>
          <w:sz w:val="18"/>
          <w:szCs w:val="18"/>
        </w:rPr>
        <w:t>+ Risk compared to all other female donors</w:t>
      </w:r>
    </w:p>
    <w:p w14:paraId="30BEF245" w14:textId="77777777" w:rsidR="003864F4" w:rsidRPr="003864F4" w:rsidRDefault="003864F4" w:rsidP="003864F4">
      <w:pPr>
        <w:spacing w:after="0"/>
        <w:rPr>
          <w:sz w:val="18"/>
          <w:szCs w:val="18"/>
        </w:rPr>
      </w:pPr>
      <w:r w:rsidRPr="003864F4">
        <w:rPr>
          <w:sz w:val="18"/>
          <w:szCs w:val="18"/>
        </w:rPr>
        <w:t xml:space="preserve">* The minimum age for blood donation is 18 years. Therapeutic donors are accepted from 16 </w:t>
      </w:r>
      <w:r>
        <w:rPr>
          <w:sz w:val="18"/>
          <w:szCs w:val="18"/>
        </w:rPr>
        <w:t>years. In the 18-20 age group, eight</w:t>
      </w:r>
      <w:r w:rsidRPr="003864F4">
        <w:rPr>
          <w:sz w:val="18"/>
          <w:szCs w:val="18"/>
        </w:rPr>
        <w:t xml:space="preserve"> donations were collected from donors aged 16-17.</w:t>
      </w:r>
    </w:p>
    <w:p w14:paraId="286100AF" w14:textId="77777777" w:rsidR="00636AC6" w:rsidRPr="003864F4" w:rsidRDefault="003864F4" w:rsidP="003864F4">
      <w:pPr>
        <w:spacing w:after="0"/>
        <w:rPr>
          <w:sz w:val="18"/>
          <w:szCs w:val="18"/>
        </w:rPr>
      </w:pPr>
      <w:r>
        <w:rPr>
          <w:sz w:val="18"/>
          <w:szCs w:val="18"/>
        </w:rPr>
        <w:t>^ One</w:t>
      </w:r>
      <w:r w:rsidRPr="003864F4">
        <w:rPr>
          <w:sz w:val="18"/>
          <w:szCs w:val="18"/>
        </w:rPr>
        <w:t xml:space="preserve"> collection has been excluded as an age was not recorded.</w:t>
      </w:r>
    </w:p>
    <w:p w14:paraId="2C63F538" w14:textId="77777777" w:rsidR="003864F4" w:rsidRDefault="003864F4" w:rsidP="00A02D60"/>
    <w:p w14:paraId="07FA5B2B" w14:textId="77777777" w:rsidR="001F7368" w:rsidRPr="001F7368" w:rsidRDefault="001F7368" w:rsidP="001F7368">
      <w:pPr>
        <w:pStyle w:val="Caption"/>
        <w:keepNext/>
        <w:spacing w:after="0"/>
        <w:rPr>
          <w:b/>
          <w:i w:val="0"/>
          <w:color w:val="auto"/>
        </w:rPr>
      </w:pPr>
      <w:bookmarkStart w:id="98" w:name="_Toc64836464"/>
      <w:r w:rsidRPr="001F7368">
        <w:rPr>
          <w:b/>
          <w:i w:val="0"/>
          <w:color w:val="auto"/>
        </w:rPr>
        <w:t xml:space="preserve">Table </w:t>
      </w:r>
      <w:r w:rsidRPr="001F7368">
        <w:rPr>
          <w:b/>
          <w:i w:val="0"/>
          <w:color w:val="auto"/>
        </w:rPr>
        <w:fldChar w:fldCharType="begin"/>
      </w:r>
      <w:r w:rsidRPr="001F7368">
        <w:rPr>
          <w:b/>
          <w:i w:val="0"/>
          <w:color w:val="auto"/>
        </w:rPr>
        <w:instrText xml:space="preserve"> SEQ Table \* ARABIC </w:instrText>
      </w:r>
      <w:r w:rsidRPr="001F7368">
        <w:rPr>
          <w:b/>
          <w:i w:val="0"/>
          <w:color w:val="auto"/>
        </w:rPr>
        <w:fldChar w:fldCharType="separate"/>
      </w:r>
      <w:r>
        <w:rPr>
          <w:b/>
          <w:i w:val="0"/>
          <w:noProof/>
          <w:color w:val="auto"/>
        </w:rPr>
        <w:t>61</w:t>
      </w:r>
      <w:r w:rsidRPr="001F7368">
        <w:rPr>
          <w:b/>
          <w:i w:val="0"/>
          <w:color w:val="auto"/>
        </w:rPr>
        <w:fldChar w:fldCharType="end"/>
      </w:r>
      <w:r w:rsidRPr="001F7368">
        <w:rPr>
          <w:b/>
          <w:i w:val="0"/>
          <w:color w:val="auto"/>
        </w:rPr>
        <w:t>: Rates and relative risk for vasovagal events in males for all donation categories by age for 2018-19</w:t>
      </w:r>
      <w:bookmarkEnd w:id="98"/>
    </w:p>
    <w:p w14:paraId="3AAA11A6" w14:textId="3EB8BF4D" w:rsidR="003864F4" w:rsidRDefault="007574F7" w:rsidP="00A02D60">
      <w:r>
        <w:rPr>
          <w:noProof/>
          <w:lang w:eastAsia="en-AU"/>
        </w:rPr>
        <w:drawing>
          <wp:inline distT="0" distB="0" distL="0" distR="0" wp14:anchorId="508FB13B" wp14:editId="25D5AD18">
            <wp:extent cx="6153150" cy="2302899"/>
            <wp:effectExtent l="0" t="0" r="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57070" cy="2304366"/>
                    </a:xfrm>
                    <a:prstGeom prst="rect">
                      <a:avLst/>
                    </a:prstGeom>
                  </pic:spPr>
                </pic:pic>
              </a:graphicData>
            </a:graphic>
          </wp:inline>
        </w:drawing>
      </w:r>
    </w:p>
    <w:p w14:paraId="2973DAA2" w14:textId="77777777" w:rsidR="00DD0787" w:rsidRDefault="00DD0787">
      <w:pPr>
        <w:spacing w:line="276" w:lineRule="auto"/>
        <w:rPr>
          <w:rFonts w:ascii="Arial" w:hAnsi="Arial" w:cs="Arial"/>
          <w:b/>
        </w:rPr>
      </w:pPr>
      <w:r>
        <w:br w:type="page"/>
      </w:r>
    </w:p>
    <w:p w14:paraId="5C973DB6" w14:textId="77777777" w:rsidR="003864F4" w:rsidRDefault="003864F4" w:rsidP="00DD0787">
      <w:pPr>
        <w:pStyle w:val="Heading4"/>
      </w:pPr>
      <w:bookmarkStart w:id="99" w:name="_Toc64836335"/>
      <w:r>
        <w:lastRenderedPageBreak/>
        <w:t>Events requiring external</w:t>
      </w:r>
      <w:r>
        <w:rPr>
          <w:spacing w:val="-1"/>
        </w:rPr>
        <w:t xml:space="preserve"> </w:t>
      </w:r>
      <w:r>
        <w:t>referral</w:t>
      </w:r>
      <w:bookmarkEnd w:id="99"/>
      <w:r>
        <w:t xml:space="preserve"> </w:t>
      </w:r>
    </w:p>
    <w:p w14:paraId="3127462F" w14:textId="1FD1F098" w:rsidR="003864F4" w:rsidRDefault="003864F4" w:rsidP="00A02D60">
      <w:r w:rsidRPr="003864F4">
        <w:t>Hospital attendance rates have remained relatively stable over the last two financial periods for all donation categories (</w:t>
      </w:r>
      <w:r w:rsidRPr="00E57127">
        <w:t xml:space="preserve">Table </w:t>
      </w:r>
      <w:r w:rsidR="00975316" w:rsidRPr="00E57127">
        <w:t>62</w:t>
      </w:r>
      <w:r w:rsidRPr="00E57127">
        <w:t>).</w:t>
      </w:r>
      <w:r w:rsidRPr="003864F4">
        <w:t xml:space="preserve"> In 2018-19, there were 424 donor adverse events (2.87 per 10,000 donations) that were associated with a hospital attendance. Vasovagal reactions continue to remain the single most common event associated with a hospital attendance; approximately 91% and 75% of whole blood and plasmapheresis events respectively. In the 2018-19 FY, 100 events required an ambulance to attend the donor centre but did not require hospital transfer, and 679 events (4.59 per 10,000 donations) were associated with an attendance at the donor’s general practitioner (</w:t>
      </w:r>
      <w:r w:rsidRPr="00E57127">
        <w:t xml:space="preserve">GP) (Table </w:t>
      </w:r>
      <w:r w:rsidR="00975316" w:rsidRPr="00E57127">
        <w:t>63</w:t>
      </w:r>
      <w:r w:rsidRPr="00E57127">
        <w:t>).</w:t>
      </w:r>
    </w:p>
    <w:p w14:paraId="36276849" w14:textId="77777777" w:rsidR="001F7368" w:rsidRPr="001F7368" w:rsidRDefault="001F7368" w:rsidP="001F7368">
      <w:pPr>
        <w:pStyle w:val="Caption"/>
        <w:keepNext/>
        <w:spacing w:after="0"/>
        <w:rPr>
          <w:b/>
          <w:i w:val="0"/>
          <w:color w:val="auto"/>
        </w:rPr>
      </w:pPr>
      <w:bookmarkStart w:id="100" w:name="_Toc64836465"/>
      <w:r w:rsidRPr="001F7368">
        <w:rPr>
          <w:b/>
          <w:i w:val="0"/>
          <w:color w:val="auto"/>
        </w:rPr>
        <w:t xml:space="preserve">Table </w:t>
      </w:r>
      <w:r w:rsidRPr="001F7368">
        <w:rPr>
          <w:b/>
          <w:i w:val="0"/>
          <w:color w:val="auto"/>
        </w:rPr>
        <w:fldChar w:fldCharType="begin"/>
      </w:r>
      <w:r w:rsidRPr="001F7368">
        <w:rPr>
          <w:b/>
          <w:i w:val="0"/>
          <w:color w:val="auto"/>
        </w:rPr>
        <w:instrText xml:space="preserve"> SEQ Table \* ARABIC </w:instrText>
      </w:r>
      <w:r w:rsidRPr="001F7368">
        <w:rPr>
          <w:b/>
          <w:i w:val="0"/>
          <w:color w:val="auto"/>
        </w:rPr>
        <w:fldChar w:fldCharType="separate"/>
      </w:r>
      <w:r>
        <w:rPr>
          <w:b/>
          <w:i w:val="0"/>
          <w:noProof/>
          <w:color w:val="auto"/>
        </w:rPr>
        <w:t>62</w:t>
      </w:r>
      <w:r w:rsidRPr="001F7368">
        <w:rPr>
          <w:b/>
          <w:i w:val="0"/>
          <w:color w:val="auto"/>
        </w:rPr>
        <w:fldChar w:fldCharType="end"/>
      </w:r>
      <w:r w:rsidRPr="001F7368">
        <w:rPr>
          <w:b/>
          <w:i w:val="0"/>
          <w:color w:val="auto"/>
        </w:rPr>
        <w:t>: Donor adverse events requiring hospital attendance (per 10,000 donations), FY 2015-16 to 2018-19</w:t>
      </w:r>
      <w:bookmarkEnd w:id="100"/>
    </w:p>
    <w:p w14:paraId="504308A6" w14:textId="5D83C224" w:rsidR="007574F7" w:rsidRDefault="007574F7" w:rsidP="00A02D60">
      <w:r>
        <w:rPr>
          <w:noProof/>
          <w:lang w:eastAsia="en-AU"/>
        </w:rPr>
        <w:drawing>
          <wp:inline distT="0" distB="0" distL="0" distR="0" wp14:anchorId="22BBD099" wp14:editId="6A87FC12">
            <wp:extent cx="6175728" cy="1400175"/>
            <wp:effectExtent l="0" t="0" r="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75728" cy="1400175"/>
                    </a:xfrm>
                    <a:prstGeom prst="rect">
                      <a:avLst/>
                    </a:prstGeom>
                  </pic:spPr>
                </pic:pic>
              </a:graphicData>
            </a:graphic>
          </wp:inline>
        </w:drawing>
      </w:r>
    </w:p>
    <w:p w14:paraId="56640B7F" w14:textId="77777777" w:rsidR="001F7368" w:rsidRPr="001F7368" w:rsidRDefault="001F7368" w:rsidP="001F7368">
      <w:pPr>
        <w:pStyle w:val="Caption"/>
        <w:keepNext/>
        <w:spacing w:after="0"/>
        <w:rPr>
          <w:b/>
          <w:i w:val="0"/>
          <w:color w:val="auto"/>
        </w:rPr>
      </w:pPr>
      <w:bookmarkStart w:id="101" w:name="_Toc64836466"/>
      <w:r w:rsidRPr="001F7368">
        <w:rPr>
          <w:b/>
          <w:i w:val="0"/>
          <w:color w:val="auto"/>
        </w:rPr>
        <w:t xml:space="preserve">Table </w:t>
      </w:r>
      <w:r w:rsidRPr="001F7368">
        <w:rPr>
          <w:b/>
          <w:i w:val="0"/>
          <w:color w:val="auto"/>
        </w:rPr>
        <w:fldChar w:fldCharType="begin"/>
      </w:r>
      <w:r w:rsidRPr="001F7368">
        <w:rPr>
          <w:b/>
          <w:i w:val="0"/>
          <w:color w:val="auto"/>
        </w:rPr>
        <w:instrText xml:space="preserve"> SEQ Table \* ARABIC </w:instrText>
      </w:r>
      <w:r w:rsidRPr="001F7368">
        <w:rPr>
          <w:b/>
          <w:i w:val="0"/>
          <w:color w:val="auto"/>
        </w:rPr>
        <w:fldChar w:fldCharType="separate"/>
      </w:r>
      <w:r w:rsidRPr="001F7368">
        <w:rPr>
          <w:b/>
          <w:i w:val="0"/>
          <w:noProof/>
          <w:color w:val="auto"/>
        </w:rPr>
        <w:t>63</w:t>
      </w:r>
      <w:r w:rsidRPr="001F7368">
        <w:rPr>
          <w:b/>
          <w:i w:val="0"/>
          <w:color w:val="auto"/>
        </w:rPr>
        <w:fldChar w:fldCharType="end"/>
      </w:r>
      <w:r w:rsidRPr="001F7368">
        <w:rPr>
          <w:b/>
          <w:i w:val="0"/>
          <w:color w:val="auto"/>
        </w:rPr>
        <w:t>: Donor adverse events requiring external care (rates per 10,000 donations) for FY 2018-19</w:t>
      </w:r>
      <w:bookmarkEnd w:id="101"/>
    </w:p>
    <w:p w14:paraId="2101842C" w14:textId="36D45AA4" w:rsidR="007574F7" w:rsidRDefault="007574F7" w:rsidP="00F47C6F">
      <w:pPr>
        <w:spacing w:after="0"/>
        <w:rPr>
          <w:sz w:val="18"/>
          <w:szCs w:val="18"/>
        </w:rPr>
      </w:pPr>
      <w:r>
        <w:rPr>
          <w:noProof/>
          <w:lang w:eastAsia="en-AU"/>
        </w:rPr>
        <w:drawing>
          <wp:inline distT="0" distB="0" distL="0" distR="0" wp14:anchorId="0BA62185" wp14:editId="31F7B337">
            <wp:extent cx="6205241" cy="13144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205241" cy="1314450"/>
                    </a:xfrm>
                    <a:prstGeom prst="rect">
                      <a:avLst/>
                    </a:prstGeom>
                  </pic:spPr>
                </pic:pic>
              </a:graphicData>
            </a:graphic>
          </wp:inline>
        </w:drawing>
      </w:r>
    </w:p>
    <w:p w14:paraId="5C586D67" w14:textId="04252B79" w:rsidR="00F47C6F" w:rsidRPr="00F47C6F" w:rsidRDefault="00F47C6F" w:rsidP="00F47C6F">
      <w:pPr>
        <w:spacing w:after="0"/>
        <w:rPr>
          <w:sz w:val="18"/>
          <w:szCs w:val="18"/>
        </w:rPr>
      </w:pPr>
      <w:r w:rsidRPr="00F47C6F">
        <w:rPr>
          <w:sz w:val="18"/>
          <w:szCs w:val="18"/>
        </w:rPr>
        <w:t>*Initiated by Lifeblood or donor.</w:t>
      </w:r>
    </w:p>
    <w:p w14:paraId="4769F48A" w14:textId="77777777" w:rsidR="00F47C6F" w:rsidRPr="00F47C6F" w:rsidRDefault="00F47C6F" w:rsidP="00F47C6F">
      <w:pPr>
        <w:spacing w:after="0"/>
        <w:rPr>
          <w:sz w:val="18"/>
          <w:szCs w:val="18"/>
        </w:rPr>
      </w:pPr>
      <w:r w:rsidRPr="00F47C6F">
        <w:rPr>
          <w:sz w:val="18"/>
          <w:szCs w:val="18"/>
        </w:rPr>
        <w:t>^Attendance by ambulance not requiring transfer to hospital.</w:t>
      </w:r>
    </w:p>
    <w:p w14:paraId="46D73018" w14:textId="77777777" w:rsidR="00F47C6F" w:rsidRDefault="00F47C6F" w:rsidP="00F47C6F"/>
    <w:p w14:paraId="485CDA04" w14:textId="77777777" w:rsidR="00DD0787" w:rsidRDefault="00DD0787">
      <w:pPr>
        <w:spacing w:line="276" w:lineRule="auto"/>
        <w:rPr>
          <w:rStyle w:val="Heading3Char"/>
        </w:rPr>
      </w:pPr>
      <w:r>
        <w:rPr>
          <w:rStyle w:val="Heading3Char"/>
        </w:rPr>
        <w:br w:type="page"/>
      </w:r>
    </w:p>
    <w:p w14:paraId="2D24A85E" w14:textId="62E75399" w:rsidR="00F47C6F" w:rsidRDefault="00F47C6F" w:rsidP="00F47C6F">
      <w:bookmarkStart w:id="102" w:name="_Toc64836336"/>
      <w:r w:rsidRPr="00F47C6F">
        <w:rPr>
          <w:rStyle w:val="Heading3Char"/>
        </w:rPr>
        <w:lastRenderedPageBreak/>
        <w:t>Conclusion</w:t>
      </w:r>
      <w:bookmarkEnd w:id="102"/>
      <w:r>
        <w:br/>
        <w:t>Over the course of the last four financial periods, donor adverse event rates have been influenced by new mitigation strategies, reporting requir</w:t>
      </w:r>
      <w:r w:rsidR="00CF3F7C">
        <w:t xml:space="preserve">ements, the changing profile of </w:t>
      </w:r>
      <w:r>
        <w:t>donors and the increasing proportion of plasma to whole blood donations.</w:t>
      </w:r>
    </w:p>
    <w:p w14:paraId="725BDA9D" w14:textId="77777777" w:rsidR="00F47C6F" w:rsidRDefault="00F47C6F" w:rsidP="00F47C6F">
      <w:r>
        <w:t>Vasovagal rates are the most common adverse event. These events are more likely to occur in females, younger donors and donors who are new to whole blood or new to plasmapheresis. The reduced rate of vasovagal reactions seen in whole blood over the last few years is related to the introduction of water loading and applied muscle tension exercises. The increased vasovagal rate seen in plasmapheresis is likely to be related to the increasing proportion of collections from relatively inexperienced donors.</w:t>
      </w:r>
    </w:p>
    <w:p w14:paraId="48DEA947" w14:textId="77777777" w:rsidR="00F47C6F" w:rsidRDefault="00F47C6F" w:rsidP="00F47C6F">
      <w:r>
        <w:t>Reported rates of phlebotomy-related injury have increased significantly over the last two financial years and is primarily the result of the reporting change in September 2017 which required that all haematomas, regardless of size, were reported, together with staff hypervigilance which has resulted in the reporting of more minor events.</w:t>
      </w:r>
    </w:p>
    <w:p w14:paraId="2110E688" w14:textId="77777777" w:rsidR="00F47C6F" w:rsidRDefault="00F47C6F" w:rsidP="00F47C6F">
      <w:r>
        <w:t>There has been no change in the whole blood collection or apheresis procedures in this period, nor have there been significant changes to the staffing model or other environmental factors which would account for these increases.</w:t>
      </w:r>
    </w:p>
    <w:p w14:paraId="2068ABCD" w14:textId="77777777" w:rsidR="00F47C6F" w:rsidRDefault="00F47C6F" w:rsidP="00F47C6F">
      <w:r>
        <w:t>In addition hospital attendance rates have remained relatively stable over the last two financial periods for all donation categories and vasovagal events associated with loss of consciousness, where injury is more likely to occur, have significantly decreased over time.</w:t>
      </w:r>
    </w:p>
    <w:p w14:paraId="6A939A62" w14:textId="77777777" w:rsidR="00560425" w:rsidRDefault="00F47C6F" w:rsidP="00F47C6F">
      <w:r>
        <w:t>The Lifeblood donor vigilance system continues to evolve to improve the robustness and translation of adverse event data and serves to underpin our continuous improvement approach to mitigate donor adverse events and ensure the blood donation process is as safe as possible. The data will continue to inform research, guide targeted interventions and support process evaluation.</w:t>
      </w:r>
    </w:p>
    <w:p w14:paraId="3B96834F" w14:textId="77777777" w:rsidR="00560425" w:rsidRDefault="00560425">
      <w:pPr>
        <w:spacing w:line="276" w:lineRule="auto"/>
      </w:pPr>
      <w:r>
        <w:br w:type="page"/>
      </w:r>
    </w:p>
    <w:p w14:paraId="18384225" w14:textId="77777777" w:rsidR="00560425" w:rsidRDefault="00AD5205" w:rsidP="00AD5205">
      <w:pPr>
        <w:pStyle w:val="Heading1"/>
      </w:pPr>
      <w:bookmarkStart w:id="103" w:name="_Toc64836337"/>
      <w:r>
        <w:lastRenderedPageBreak/>
        <w:t>APPENDIXES</w:t>
      </w:r>
      <w:bookmarkEnd w:id="103"/>
    </w:p>
    <w:p w14:paraId="414E541E" w14:textId="77777777" w:rsidR="00AD5205" w:rsidRDefault="00AD5205" w:rsidP="00AD5205">
      <w:pPr>
        <w:pStyle w:val="Heading3"/>
      </w:pPr>
      <w:bookmarkStart w:id="104" w:name="_Toc64836338"/>
      <w:r>
        <w:t>Appendix 1: Current policies and interventions to minimise the risk of donor adverse events</w:t>
      </w:r>
      <w:bookmarkEnd w:id="104"/>
    </w:p>
    <w:tbl>
      <w:tblPr>
        <w:tblW w:w="97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9"/>
        <w:gridCol w:w="8359"/>
      </w:tblGrid>
      <w:tr w:rsidR="00560425" w14:paraId="4AB7C0D2" w14:textId="77777777" w:rsidTr="00AD5205">
        <w:trPr>
          <w:trHeight w:val="2779"/>
        </w:trPr>
        <w:tc>
          <w:tcPr>
            <w:tcW w:w="1419" w:type="dxa"/>
          </w:tcPr>
          <w:p w14:paraId="74FDD218" w14:textId="77777777" w:rsidR="00560425" w:rsidRDefault="00560425" w:rsidP="00E63AC4">
            <w:pPr>
              <w:pStyle w:val="TableParagraph"/>
              <w:spacing w:before="0"/>
              <w:ind w:left="110" w:right="152"/>
              <w:jc w:val="left"/>
              <w:rPr>
                <w:b/>
                <w:sz w:val="24"/>
              </w:rPr>
            </w:pPr>
            <w:r>
              <w:rPr>
                <w:b/>
                <w:sz w:val="24"/>
              </w:rPr>
              <w:t>Donor assessment</w:t>
            </w:r>
          </w:p>
        </w:tc>
        <w:tc>
          <w:tcPr>
            <w:tcW w:w="8359" w:type="dxa"/>
          </w:tcPr>
          <w:p w14:paraId="4871E2B2" w14:textId="77777777" w:rsidR="00560425" w:rsidRDefault="00560425" w:rsidP="00E63AC4">
            <w:pPr>
              <w:pStyle w:val="TableParagraph"/>
              <w:spacing w:before="0"/>
              <w:ind w:left="110"/>
              <w:jc w:val="left"/>
              <w:rPr>
                <w:rFonts w:ascii="Arial" w:hAnsi="Arial"/>
                <w:sz w:val="20"/>
              </w:rPr>
            </w:pPr>
            <w:r>
              <w:rPr>
                <w:rFonts w:ascii="Arial" w:hAnsi="Arial"/>
                <w:sz w:val="20"/>
              </w:rPr>
              <w:t>The donor assessment process includes questionnaire, interview and physical checks to assess a donor’s eligibility for donation.</w:t>
            </w:r>
          </w:p>
          <w:p w14:paraId="5412A9CB" w14:textId="77777777" w:rsidR="00560425" w:rsidRDefault="00560425" w:rsidP="00E63AC4">
            <w:pPr>
              <w:pStyle w:val="TableParagraph"/>
              <w:spacing w:before="120"/>
              <w:ind w:left="110" w:right="230"/>
              <w:jc w:val="both"/>
              <w:rPr>
                <w:rFonts w:ascii="Arial"/>
                <w:sz w:val="20"/>
              </w:rPr>
            </w:pPr>
            <w:r>
              <w:rPr>
                <w:rFonts w:ascii="Arial"/>
                <w:sz w:val="20"/>
              </w:rPr>
              <w:t>The process includes identifying previous donation-related events and medical history that may preclude donation and ensures that donors meet minimum criteria for age, weight</w:t>
            </w:r>
            <w:r>
              <w:rPr>
                <w:rFonts w:ascii="Arial"/>
                <w:spacing w:val="-25"/>
                <w:sz w:val="20"/>
              </w:rPr>
              <w:t xml:space="preserve"> </w:t>
            </w:r>
            <w:r>
              <w:rPr>
                <w:rFonts w:ascii="Arial"/>
                <w:sz w:val="20"/>
              </w:rPr>
              <w:t>and donation</w:t>
            </w:r>
            <w:r>
              <w:rPr>
                <w:rFonts w:ascii="Arial"/>
                <w:spacing w:val="-2"/>
                <w:sz w:val="20"/>
              </w:rPr>
              <w:t xml:space="preserve"> </w:t>
            </w:r>
            <w:r>
              <w:rPr>
                <w:rFonts w:ascii="Arial"/>
                <w:sz w:val="20"/>
              </w:rPr>
              <w:t>intervals:</w:t>
            </w:r>
          </w:p>
          <w:p w14:paraId="6B08B67F" w14:textId="77777777" w:rsidR="00560425" w:rsidRDefault="00560425" w:rsidP="00560425">
            <w:pPr>
              <w:pStyle w:val="TableParagraph"/>
              <w:numPr>
                <w:ilvl w:val="0"/>
                <w:numId w:val="14"/>
              </w:numPr>
              <w:tabs>
                <w:tab w:val="left" w:pos="677"/>
              </w:tabs>
              <w:spacing w:before="0" w:line="237" w:lineRule="exact"/>
              <w:ind w:hanging="283"/>
              <w:jc w:val="left"/>
              <w:rPr>
                <w:rFonts w:ascii="Arial" w:hAnsi="Arial"/>
                <w:sz w:val="20"/>
              </w:rPr>
            </w:pPr>
            <w:r>
              <w:rPr>
                <w:rFonts w:ascii="Arial" w:hAnsi="Arial"/>
                <w:sz w:val="20"/>
              </w:rPr>
              <w:t>Minimum age for whole blood and apheresis is 18 years</w:t>
            </w:r>
            <w:r>
              <w:rPr>
                <w:rFonts w:ascii="Arial" w:hAnsi="Arial"/>
                <w:spacing w:val="-6"/>
                <w:sz w:val="20"/>
              </w:rPr>
              <w:t xml:space="preserve"> </w:t>
            </w:r>
            <w:r>
              <w:rPr>
                <w:rFonts w:ascii="Arial" w:hAnsi="Arial"/>
                <w:sz w:val="20"/>
              </w:rPr>
              <w:t>(2018)</w:t>
            </w:r>
          </w:p>
          <w:p w14:paraId="484E199A" w14:textId="77777777" w:rsidR="00560425" w:rsidRDefault="00560425" w:rsidP="00560425">
            <w:pPr>
              <w:pStyle w:val="TableParagraph"/>
              <w:numPr>
                <w:ilvl w:val="0"/>
                <w:numId w:val="14"/>
              </w:numPr>
              <w:tabs>
                <w:tab w:val="left" w:pos="677"/>
              </w:tabs>
              <w:spacing w:before="0" w:line="233" w:lineRule="exact"/>
              <w:ind w:hanging="283"/>
              <w:jc w:val="left"/>
              <w:rPr>
                <w:rFonts w:ascii="Arial" w:hAnsi="Arial"/>
                <w:sz w:val="20"/>
              </w:rPr>
            </w:pPr>
            <w:r>
              <w:rPr>
                <w:rFonts w:ascii="Arial" w:hAnsi="Arial"/>
                <w:sz w:val="20"/>
              </w:rPr>
              <w:t>Weight limit 50kg for all donation categories</w:t>
            </w:r>
            <w:r>
              <w:rPr>
                <w:rFonts w:ascii="Arial" w:hAnsi="Arial"/>
                <w:spacing w:val="-7"/>
                <w:sz w:val="20"/>
              </w:rPr>
              <w:t xml:space="preserve"> </w:t>
            </w:r>
            <w:r>
              <w:rPr>
                <w:rFonts w:ascii="Arial" w:hAnsi="Arial"/>
                <w:sz w:val="20"/>
              </w:rPr>
              <w:t>(2015)</w:t>
            </w:r>
          </w:p>
          <w:p w14:paraId="7738FF56" w14:textId="77777777" w:rsidR="00560425" w:rsidRDefault="00560425" w:rsidP="00560425">
            <w:pPr>
              <w:pStyle w:val="TableParagraph"/>
              <w:numPr>
                <w:ilvl w:val="0"/>
                <w:numId w:val="14"/>
              </w:numPr>
              <w:tabs>
                <w:tab w:val="left" w:pos="679"/>
              </w:tabs>
              <w:spacing w:before="0" w:line="233" w:lineRule="exact"/>
              <w:ind w:left="678" w:hanging="285"/>
              <w:jc w:val="left"/>
              <w:rPr>
                <w:rFonts w:ascii="Arial" w:hAnsi="Arial"/>
                <w:sz w:val="20"/>
              </w:rPr>
            </w:pPr>
            <w:r>
              <w:rPr>
                <w:rFonts w:ascii="Arial" w:hAnsi="Arial"/>
                <w:sz w:val="20"/>
              </w:rPr>
              <w:t>Physical</w:t>
            </w:r>
            <w:r>
              <w:rPr>
                <w:rFonts w:ascii="Arial" w:hAnsi="Arial"/>
                <w:spacing w:val="-2"/>
                <w:sz w:val="20"/>
              </w:rPr>
              <w:t xml:space="preserve"> </w:t>
            </w:r>
            <w:r>
              <w:rPr>
                <w:rFonts w:ascii="Arial" w:hAnsi="Arial"/>
                <w:sz w:val="20"/>
              </w:rPr>
              <w:t>checks</w:t>
            </w:r>
          </w:p>
          <w:p w14:paraId="60A870A4" w14:textId="77777777" w:rsidR="00560425" w:rsidRDefault="00560425" w:rsidP="00560425">
            <w:pPr>
              <w:pStyle w:val="TableParagraph"/>
              <w:numPr>
                <w:ilvl w:val="1"/>
                <w:numId w:val="14"/>
              </w:numPr>
              <w:tabs>
                <w:tab w:val="left" w:pos="961"/>
                <w:tab w:val="left" w:pos="962"/>
              </w:tabs>
              <w:spacing w:before="0" w:line="225" w:lineRule="exact"/>
              <w:jc w:val="left"/>
              <w:rPr>
                <w:rFonts w:ascii="Arial" w:hAnsi="Arial"/>
                <w:sz w:val="20"/>
              </w:rPr>
            </w:pPr>
            <w:r>
              <w:rPr>
                <w:rFonts w:ascii="Arial" w:hAnsi="Arial"/>
                <w:sz w:val="20"/>
              </w:rPr>
              <w:t>Blood Pressure (all donors on each</w:t>
            </w:r>
            <w:r>
              <w:rPr>
                <w:rFonts w:ascii="Arial" w:hAnsi="Arial"/>
                <w:spacing w:val="-1"/>
                <w:sz w:val="20"/>
              </w:rPr>
              <w:t xml:space="preserve"> </w:t>
            </w:r>
            <w:r>
              <w:rPr>
                <w:rFonts w:ascii="Arial" w:hAnsi="Arial"/>
                <w:sz w:val="20"/>
              </w:rPr>
              <w:t>attendance)</w:t>
            </w:r>
          </w:p>
          <w:p w14:paraId="38F61AB8" w14:textId="77777777" w:rsidR="00560425" w:rsidRDefault="00560425" w:rsidP="00560425">
            <w:pPr>
              <w:pStyle w:val="TableParagraph"/>
              <w:numPr>
                <w:ilvl w:val="1"/>
                <w:numId w:val="14"/>
              </w:numPr>
              <w:tabs>
                <w:tab w:val="left" w:pos="961"/>
                <w:tab w:val="left" w:pos="962"/>
              </w:tabs>
              <w:spacing w:before="0"/>
              <w:jc w:val="left"/>
              <w:rPr>
                <w:rFonts w:ascii="Arial" w:hAnsi="Arial"/>
                <w:sz w:val="20"/>
              </w:rPr>
            </w:pPr>
            <w:r>
              <w:rPr>
                <w:rFonts w:ascii="Arial" w:hAnsi="Arial"/>
                <w:sz w:val="20"/>
              </w:rPr>
              <w:t>Pulse (apheresis donors)</w:t>
            </w:r>
          </w:p>
          <w:p w14:paraId="546BE833" w14:textId="77777777" w:rsidR="00560425" w:rsidRDefault="00560425" w:rsidP="00560425">
            <w:pPr>
              <w:pStyle w:val="TableParagraph"/>
              <w:numPr>
                <w:ilvl w:val="1"/>
                <w:numId w:val="14"/>
              </w:numPr>
              <w:tabs>
                <w:tab w:val="left" w:pos="961"/>
                <w:tab w:val="left" w:pos="962"/>
              </w:tabs>
              <w:spacing w:before="1"/>
              <w:jc w:val="left"/>
              <w:rPr>
                <w:rFonts w:ascii="Arial" w:hAnsi="Arial"/>
                <w:sz w:val="20"/>
              </w:rPr>
            </w:pPr>
            <w:r>
              <w:rPr>
                <w:rFonts w:ascii="Arial" w:hAnsi="Arial"/>
                <w:sz w:val="20"/>
              </w:rPr>
              <w:t>Haemoglobin screening test (all donors on each</w:t>
            </w:r>
            <w:r>
              <w:rPr>
                <w:rFonts w:ascii="Arial" w:hAnsi="Arial"/>
                <w:spacing w:val="-1"/>
                <w:sz w:val="20"/>
              </w:rPr>
              <w:t xml:space="preserve"> </w:t>
            </w:r>
            <w:r>
              <w:rPr>
                <w:rFonts w:ascii="Arial" w:hAnsi="Arial"/>
                <w:sz w:val="20"/>
              </w:rPr>
              <w:t>attendance)</w:t>
            </w:r>
          </w:p>
        </w:tc>
      </w:tr>
      <w:tr w:rsidR="00560425" w14:paraId="2BC83BFF" w14:textId="77777777" w:rsidTr="00AD5205">
        <w:trPr>
          <w:trHeight w:val="1509"/>
        </w:trPr>
        <w:tc>
          <w:tcPr>
            <w:tcW w:w="1419" w:type="dxa"/>
          </w:tcPr>
          <w:p w14:paraId="066D1F65" w14:textId="77777777" w:rsidR="00560425" w:rsidRDefault="00560425" w:rsidP="00E63AC4">
            <w:pPr>
              <w:pStyle w:val="TableParagraph"/>
              <w:spacing w:before="0"/>
              <w:ind w:left="110" w:right="196"/>
              <w:jc w:val="left"/>
              <w:rPr>
                <w:b/>
                <w:sz w:val="24"/>
              </w:rPr>
            </w:pPr>
            <w:r>
              <w:rPr>
                <w:b/>
                <w:sz w:val="24"/>
              </w:rPr>
              <w:t>Donor information and awareness</w:t>
            </w:r>
          </w:p>
        </w:tc>
        <w:tc>
          <w:tcPr>
            <w:tcW w:w="8359" w:type="dxa"/>
          </w:tcPr>
          <w:p w14:paraId="235A16C6" w14:textId="77777777" w:rsidR="00560425" w:rsidRDefault="00560425" w:rsidP="00E63AC4">
            <w:pPr>
              <w:pStyle w:val="TableParagraph"/>
              <w:spacing w:before="0" w:line="229" w:lineRule="exact"/>
              <w:ind w:left="110"/>
              <w:jc w:val="left"/>
              <w:rPr>
                <w:rFonts w:ascii="Arial"/>
                <w:sz w:val="20"/>
              </w:rPr>
            </w:pPr>
            <w:r>
              <w:rPr>
                <w:rFonts w:ascii="Arial"/>
                <w:sz w:val="20"/>
              </w:rPr>
              <w:t>Several platforms are used t</w:t>
            </w:r>
            <w:r w:rsidR="00F6682C">
              <w:rPr>
                <w:rFonts w:ascii="Arial"/>
                <w:sz w:val="20"/>
              </w:rPr>
              <w:t>o deliver information regarding:</w:t>
            </w:r>
          </w:p>
          <w:p w14:paraId="52285C6E" w14:textId="77777777" w:rsidR="00560425" w:rsidRDefault="00560425" w:rsidP="00560425">
            <w:pPr>
              <w:pStyle w:val="TableParagraph"/>
              <w:numPr>
                <w:ilvl w:val="0"/>
                <w:numId w:val="13"/>
              </w:numPr>
              <w:tabs>
                <w:tab w:val="left" w:pos="677"/>
              </w:tabs>
              <w:spacing w:before="9" w:line="228" w:lineRule="auto"/>
              <w:ind w:right="503" w:hanging="283"/>
              <w:jc w:val="left"/>
              <w:rPr>
                <w:rFonts w:ascii="Arial" w:hAnsi="Arial"/>
                <w:sz w:val="20"/>
              </w:rPr>
            </w:pPr>
            <w:r>
              <w:rPr>
                <w:rFonts w:ascii="Arial" w:hAnsi="Arial"/>
                <w:sz w:val="20"/>
              </w:rPr>
              <w:t>Pre-donation strategies including pre-arrival hydration, in-centre water loading</w:t>
            </w:r>
            <w:r>
              <w:rPr>
                <w:rFonts w:ascii="Arial" w:hAnsi="Arial"/>
                <w:spacing w:val="-21"/>
                <w:sz w:val="20"/>
              </w:rPr>
              <w:t xml:space="preserve"> </w:t>
            </w:r>
            <w:r>
              <w:rPr>
                <w:rFonts w:ascii="Arial" w:hAnsi="Arial"/>
                <w:sz w:val="20"/>
              </w:rPr>
              <w:t>for whole blood donors and calcium supplementation for apheresis</w:t>
            </w:r>
            <w:r>
              <w:rPr>
                <w:rFonts w:ascii="Arial" w:hAnsi="Arial"/>
                <w:spacing w:val="-6"/>
                <w:sz w:val="20"/>
              </w:rPr>
              <w:t xml:space="preserve"> </w:t>
            </w:r>
            <w:r>
              <w:rPr>
                <w:rFonts w:ascii="Arial" w:hAnsi="Arial"/>
                <w:sz w:val="20"/>
              </w:rPr>
              <w:t>donors</w:t>
            </w:r>
          </w:p>
          <w:p w14:paraId="716ED222" w14:textId="77777777" w:rsidR="00560425" w:rsidRDefault="00560425" w:rsidP="00560425">
            <w:pPr>
              <w:pStyle w:val="TableParagraph"/>
              <w:numPr>
                <w:ilvl w:val="0"/>
                <w:numId w:val="13"/>
              </w:numPr>
              <w:tabs>
                <w:tab w:val="left" w:pos="677"/>
              </w:tabs>
              <w:spacing w:before="3" w:line="238" w:lineRule="exact"/>
              <w:ind w:hanging="283"/>
              <w:jc w:val="left"/>
              <w:rPr>
                <w:rFonts w:ascii="Arial" w:hAnsi="Arial"/>
                <w:sz w:val="20"/>
              </w:rPr>
            </w:pPr>
            <w:r>
              <w:rPr>
                <w:rFonts w:ascii="Arial" w:hAnsi="Arial"/>
                <w:sz w:val="20"/>
              </w:rPr>
              <w:t>Use of applied muscle tension</w:t>
            </w:r>
            <w:r>
              <w:rPr>
                <w:rFonts w:ascii="Arial" w:hAnsi="Arial"/>
                <w:spacing w:val="-4"/>
                <w:sz w:val="20"/>
              </w:rPr>
              <w:t xml:space="preserve"> </w:t>
            </w:r>
            <w:r>
              <w:rPr>
                <w:rFonts w:ascii="Arial" w:hAnsi="Arial"/>
                <w:sz w:val="20"/>
              </w:rPr>
              <w:t>exercises</w:t>
            </w:r>
          </w:p>
          <w:p w14:paraId="43804AF4" w14:textId="77777777" w:rsidR="00560425" w:rsidRDefault="00560425" w:rsidP="00560425">
            <w:pPr>
              <w:pStyle w:val="TableParagraph"/>
              <w:numPr>
                <w:ilvl w:val="0"/>
                <w:numId w:val="13"/>
              </w:numPr>
              <w:tabs>
                <w:tab w:val="left" w:pos="677"/>
              </w:tabs>
              <w:spacing w:before="4" w:line="228" w:lineRule="auto"/>
              <w:ind w:right="538" w:hanging="283"/>
              <w:jc w:val="left"/>
              <w:rPr>
                <w:rFonts w:ascii="Arial" w:hAnsi="Arial"/>
                <w:sz w:val="20"/>
              </w:rPr>
            </w:pPr>
            <w:r>
              <w:rPr>
                <w:rFonts w:ascii="Arial" w:hAnsi="Arial"/>
                <w:sz w:val="20"/>
              </w:rPr>
              <w:t>Post-donation strategies including onsite recovery time, hydration and</w:t>
            </w:r>
            <w:r>
              <w:rPr>
                <w:rFonts w:ascii="Arial" w:hAnsi="Arial"/>
                <w:spacing w:val="-22"/>
                <w:sz w:val="20"/>
              </w:rPr>
              <w:t xml:space="preserve"> </w:t>
            </w:r>
            <w:r>
              <w:rPr>
                <w:rFonts w:ascii="Arial" w:hAnsi="Arial"/>
                <w:sz w:val="20"/>
              </w:rPr>
              <w:t>avoidance measures</w:t>
            </w:r>
          </w:p>
        </w:tc>
      </w:tr>
      <w:tr w:rsidR="00560425" w14:paraId="2FFFCD7D" w14:textId="77777777" w:rsidTr="00AD5205">
        <w:trPr>
          <w:trHeight w:val="1970"/>
        </w:trPr>
        <w:tc>
          <w:tcPr>
            <w:tcW w:w="1419" w:type="dxa"/>
          </w:tcPr>
          <w:p w14:paraId="3BB278CF" w14:textId="77777777" w:rsidR="00560425" w:rsidRDefault="00560425" w:rsidP="00E63AC4">
            <w:pPr>
              <w:pStyle w:val="TableParagraph"/>
              <w:spacing w:before="0"/>
              <w:ind w:left="110" w:right="119"/>
              <w:jc w:val="left"/>
              <w:rPr>
                <w:b/>
                <w:sz w:val="24"/>
              </w:rPr>
            </w:pPr>
            <w:r>
              <w:rPr>
                <w:b/>
                <w:sz w:val="24"/>
              </w:rPr>
              <w:t>Donation selection and process</w:t>
            </w:r>
          </w:p>
        </w:tc>
        <w:tc>
          <w:tcPr>
            <w:tcW w:w="8359" w:type="dxa"/>
          </w:tcPr>
          <w:p w14:paraId="48D16880" w14:textId="77777777" w:rsidR="00560425" w:rsidRDefault="00560425" w:rsidP="00E63AC4">
            <w:pPr>
              <w:pStyle w:val="TableParagraph"/>
              <w:spacing w:before="0" w:line="227" w:lineRule="exact"/>
              <w:ind w:left="110"/>
              <w:jc w:val="left"/>
              <w:rPr>
                <w:rFonts w:ascii="Arial"/>
                <w:sz w:val="20"/>
              </w:rPr>
            </w:pPr>
            <w:r>
              <w:rPr>
                <w:rFonts w:ascii="Arial"/>
                <w:sz w:val="20"/>
              </w:rPr>
              <w:t>All donors</w:t>
            </w:r>
            <w:r w:rsidR="00F6682C">
              <w:rPr>
                <w:rFonts w:ascii="Arial"/>
                <w:sz w:val="20"/>
              </w:rPr>
              <w:t>:</w:t>
            </w:r>
          </w:p>
          <w:p w14:paraId="24A2E565" w14:textId="77777777" w:rsidR="00560425" w:rsidRDefault="00560425" w:rsidP="00560425">
            <w:pPr>
              <w:pStyle w:val="TableParagraph"/>
              <w:numPr>
                <w:ilvl w:val="0"/>
                <w:numId w:val="12"/>
              </w:numPr>
              <w:tabs>
                <w:tab w:val="left" w:pos="677"/>
              </w:tabs>
              <w:spacing w:before="9" w:line="228" w:lineRule="auto"/>
              <w:ind w:right="3348" w:firstLine="283"/>
              <w:jc w:val="left"/>
              <w:rPr>
                <w:rFonts w:ascii="Arial" w:hAnsi="Arial"/>
                <w:sz w:val="20"/>
              </w:rPr>
            </w:pPr>
            <w:r>
              <w:rPr>
                <w:rFonts w:ascii="Arial" w:hAnsi="Arial"/>
                <w:sz w:val="20"/>
              </w:rPr>
              <w:t>Assessment of veins prior to phlebotomy</w:t>
            </w:r>
            <w:r>
              <w:rPr>
                <w:rFonts w:ascii="Arial" w:hAnsi="Arial"/>
                <w:spacing w:val="-14"/>
                <w:sz w:val="20"/>
              </w:rPr>
              <w:t xml:space="preserve"> </w:t>
            </w:r>
            <w:r>
              <w:rPr>
                <w:rFonts w:ascii="Arial" w:hAnsi="Arial"/>
                <w:sz w:val="20"/>
              </w:rPr>
              <w:t>attempt Plasmapheresis</w:t>
            </w:r>
            <w:r w:rsidR="00F6682C">
              <w:rPr>
                <w:rFonts w:ascii="Arial" w:hAnsi="Arial"/>
                <w:sz w:val="20"/>
              </w:rPr>
              <w:t>:</w:t>
            </w:r>
          </w:p>
          <w:p w14:paraId="184726F1" w14:textId="77777777" w:rsidR="00560425" w:rsidRDefault="00560425" w:rsidP="00560425">
            <w:pPr>
              <w:pStyle w:val="TableParagraph"/>
              <w:numPr>
                <w:ilvl w:val="0"/>
                <w:numId w:val="12"/>
              </w:numPr>
              <w:tabs>
                <w:tab w:val="left" w:pos="677"/>
              </w:tabs>
              <w:spacing w:before="13" w:line="228" w:lineRule="auto"/>
              <w:ind w:left="676" w:right="723" w:hanging="283"/>
              <w:jc w:val="left"/>
              <w:rPr>
                <w:rFonts w:ascii="Arial" w:hAnsi="Arial"/>
                <w:sz w:val="20"/>
              </w:rPr>
            </w:pPr>
            <w:r>
              <w:rPr>
                <w:rFonts w:ascii="Arial" w:hAnsi="Arial"/>
                <w:sz w:val="20"/>
              </w:rPr>
              <w:t>Incremental increase in collection volume based on donor height and weight</w:t>
            </w:r>
            <w:r>
              <w:rPr>
                <w:rFonts w:ascii="Arial" w:hAnsi="Arial"/>
                <w:spacing w:val="-21"/>
                <w:sz w:val="20"/>
              </w:rPr>
              <w:t xml:space="preserve"> </w:t>
            </w:r>
            <w:r>
              <w:rPr>
                <w:rFonts w:ascii="Arial" w:hAnsi="Arial"/>
                <w:sz w:val="20"/>
              </w:rPr>
              <w:t>to maximum of 16% total blood volume capped at 800mL.</w:t>
            </w:r>
          </w:p>
          <w:p w14:paraId="7CAD9775" w14:textId="77777777" w:rsidR="00560425" w:rsidRDefault="00560425" w:rsidP="00560425">
            <w:pPr>
              <w:pStyle w:val="TableParagraph"/>
              <w:numPr>
                <w:ilvl w:val="0"/>
                <w:numId w:val="12"/>
              </w:numPr>
              <w:tabs>
                <w:tab w:val="left" w:pos="677"/>
              </w:tabs>
              <w:spacing w:before="11" w:line="230" w:lineRule="auto"/>
              <w:ind w:right="5068" w:firstLine="283"/>
              <w:jc w:val="left"/>
              <w:rPr>
                <w:rFonts w:ascii="Arial" w:hAnsi="Arial"/>
                <w:sz w:val="20"/>
              </w:rPr>
            </w:pPr>
            <w:r>
              <w:rPr>
                <w:rFonts w:ascii="Arial" w:hAnsi="Arial"/>
                <w:sz w:val="20"/>
              </w:rPr>
              <w:t>Saline replacement of 500mL Plateletpheresis</w:t>
            </w:r>
            <w:r w:rsidR="00F6682C">
              <w:rPr>
                <w:rFonts w:ascii="Arial" w:hAnsi="Arial"/>
                <w:sz w:val="20"/>
              </w:rPr>
              <w:t>:</w:t>
            </w:r>
          </w:p>
          <w:p w14:paraId="2A984E47" w14:textId="77777777" w:rsidR="00560425" w:rsidRDefault="00560425" w:rsidP="00560425">
            <w:pPr>
              <w:pStyle w:val="TableParagraph"/>
              <w:numPr>
                <w:ilvl w:val="0"/>
                <w:numId w:val="12"/>
              </w:numPr>
              <w:tabs>
                <w:tab w:val="left" w:pos="677"/>
              </w:tabs>
              <w:spacing w:before="1"/>
              <w:ind w:left="676" w:hanging="283"/>
              <w:jc w:val="left"/>
              <w:rPr>
                <w:rFonts w:ascii="Arial" w:hAnsi="Arial"/>
                <w:sz w:val="20"/>
              </w:rPr>
            </w:pPr>
            <w:r>
              <w:rPr>
                <w:rFonts w:ascii="Arial" w:hAnsi="Arial"/>
                <w:sz w:val="20"/>
              </w:rPr>
              <w:t>Minimum platelet count required to proceed with</w:t>
            </w:r>
            <w:r>
              <w:rPr>
                <w:rFonts w:ascii="Arial" w:hAnsi="Arial"/>
                <w:spacing w:val="2"/>
                <w:sz w:val="20"/>
              </w:rPr>
              <w:t xml:space="preserve"> </w:t>
            </w:r>
            <w:r>
              <w:rPr>
                <w:rFonts w:ascii="Arial" w:hAnsi="Arial"/>
                <w:sz w:val="20"/>
              </w:rPr>
              <w:t>collection</w:t>
            </w:r>
          </w:p>
        </w:tc>
      </w:tr>
      <w:tr w:rsidR="00560425" w14:paraId="35534D77" w14:textId="77777777" w:rsidTr="00AD5205">
        <w:trPr>
          <w:trHeight w:val="3480"/>
        </w:trPr>
        <w:tc>
          <w:tcPr>
            <w:tcW w:w="1419" w:type="dxa"/>
          </w:tcPr>
          <w:p w14:paraId="037B0A22" w14:textId="77777777" w:rsidR="00560425" w:rsidRDefault="00560425" w:rsidP="00E63AC4">
            <w:pPr>
              <w:pStyle w:val="TableParagraph"/>
              <w:spacing w:before="0"/>
              <w:ind w:left="110" w:right="76"/>
              <w:jc w:val="left"/>
              <w:rPr>
                <w:b/>
                <w:sz w:val="24"/>
              </w:rPr>
            </w:pPr>
            <w:r>
              <w:rPr>
                <w:b/>
                <w:sz w:val="24"/>
              </w:rPr>
              <w:t>Management of donors with adverse events</w:t>
            </w:r>
          </w:p>
        </w:tc>
        <w:tc>
          <w:tcPr>
            <w:tcW w:w="8359" w:type="dxa"/>
          </w:tcPr>
          <w:p w14:paraId="22406609" w14:textId="77777777" w:rsidR="00560425" w:rsidRDefault="00560425" w:rsidP="00E63AC4">
            <w:pPr>
              <w:pStyle w:val="TableParagraph"/>
              <w:spacing w:before="0" w:line="229" w:lineRule="exact"/>
              <w:ind w:left="110"/>
              <w:jc w:val="left"/>
              <w:rPr>
                <w:rFonts w:ascii="Arial"/>
                <w:sz w:val="20"/>
              </w:rPr>
            </w:pPr>
            <w:r>
              <w:rPr>
                <w:rFonts w:ascii="Arial"/>
                <w:sz w:val="20"/>
              </w:rPr>
              <w:t>Procedures and training support teams to identify and manage donor adverse events.</w:t>
            </w:r>
          </w:p>
          <w:p w14:paraId="1B973D24" w14:textId="77777777" w:rsidR="00560425" w:rsidRDefault="00560425" w:rsidP="00E63AC4">
            <w:pPr>
              <w:pStyle w:val="TableParagraph"/>
              <w:spacing w:before="120"/>
              <w:ind w:left="110"/>
              <w:jc w:val="left"/>
              <w:rPr>
                <w:rFonts w:ascii="Arial"/>
                <w:sz w:val="20"/>
              </w:rPr>
            </w:pPr>
            <w:r>
              <w:rPr>
                <w:rFonts w:ascii="Arial"/>
                <w:sz w:val="20"/>
              </w:rPr>
              <w:t>Onsite care includes:</w:t>
            </w:r>
          </w:p>
          <w:p w14:paraId="141147B3" w14:textId="77777777" w:rsidR="00560425" w:rsidRDefault="00560425" w:rsidP="00560425">
            <w:pPr>
              <w:pStyle w:val="TableParagraph"/>
              <w:numPr>
                <w:ilvl w:val="0"/>
                <w:numId w:val="11"/>
              </w:numPr>
              <w:tabs>
                <w:tab w:val="left" w:pos="677"/>
              </w:tabs>
              <w:spacing w:before="0" w:line="238" w:lineRule="exact"/>
              <w:ind w:hanging="283"/>
              <w:jc w:val="left"/>
              <w:rPr>
                <w:rFonts w:ascii="Arial" w:hAnsi="Arial"/>
                <w:sz w:val="20"/>
              </w:rPr>
            </w:pPr>
            <w:r>
              <w:rPr>
                <w:rFonts w:ascii="Arial" w:hAnsi="Arial"/>
                <w:sz w:val="20"/>
              </w:rPr>
              <w:t>Administration of oral calcium for citrate</w:t>
            </w:r>
            <w:r>
              <w:rPr>
                <w:rFonts w:ascii="Arial" w:hAnsi="Arial"/>
                <w:spacing w:val="-3"/>
                <w:sz w:val="20"/>
              </w:rPr>
              <w:t xml:space="preserve"> </w:t>
            </w:r>
            <w:r>
              <w:rPr>
                <w:rFonts w:ascii="Arial" w:hAnsi="Arial"/>
                <w:sz w:val="20"/>
              </w:rPr>
              <w:t>reactions</w:t>
            </w:r>
          </w:p>
          <w:p w14:paraId="75F86BA6" w14:textId="77777777" w:rsidR="00560425" w:rsidRDefault="00560425" w:rsidP="00560425">
            <w:pPr>
              <w:pStyle w:val="TableParagraph"/>
              <w:numPr>
                <w:ilvl w:val="0"/>
                <w:numId w:val="11"/>
              </w:numPr>
              <w:tabs>
                <w:tab w:val="left" w:pos="677"/>
              </w:tabs>
              <w:spacing w:before="0" w:line="233" w:lineRule="exact"/>
              <w:ind w:hanging="283"/>
              <w:jc w:val="left"/>
              <w:rPr>
                <w:rFonts w:ascii="Arial" w:hAnsi="Arial"/>
                <w:sz w:val="20"/>
              </w:rPr>
            </w:pPr>
            <w:r>
              <w:rPr>
                <w:rFonts w:ascii="Arial" w:hAnsi="Arial"/>
                <w:sz w:val="20"/>
              </w:rPr>
              <w:t>Provision of advice cards to donors to support</w:t>
            </w:r>
            <w:r>
              <w:rPr>
                <w:rFonts w:ascii="Arial" w:hAnsi="Arial"/>
                <w:spacing w:val="-1"/>
                <w:sz w:val="20"/>
              </w:rPr>
              <w:t xml:space="preserve"> </w:t>
            </w:r>
            <w:r>
              <w:rPr>
                <w:rFonts w:ascii="Arial" w:hAnsi="Arial"/>
                <w:sz w:val="20"/>
              </w:rPr>
              <w:t>after-care</w:t>
            </w:r>
          </w:p>
          <w:p w14:paraId="5646C666" w14:textId="77777777" w:rsidR="00560425" w:rsidRDefault="00560425" w:rsidP="00560425">
            <w:pPr>
              <w:pStyle w:val="TableParagraph"/>
              <w:numPr>
                <w:ilvl w:val="0"/>
                <w:numId w:val="11"/>
              </w:numPr>
              <w:tabs>
                <w:tab w:val="left" w:pos="677"/>
              </w:tabs>
              <w:spacing w:before="4" w:line="228" w:lineRule="auto"/>
              <w:ind w:right="451" w:hanging="283"/>
              <w:jc w:val="left"/>
              <w:rPr>
                <w:rFonts w:ascii="Arial" w:hAnsi="Arial"/>
                <w:sz w:val="20"/>
              </w:rPr>
            </w:pPr>
            <w:r>
              <w:rPr>
                <w:rFonts w:ascii="Arial" w:hAnsi="Arial"/>
                <w:sz w:val="20"/>
              </w:rPr>
              <w:t>Observation period for donors who sustain vasovagal reactions. Those with prolonged recovery times are referred to hospital for ongoing care and</w:t>
            </w:r>
            <w:r>
              <w:rPr>
                <w:rFonts w:ascii="Arial" w:hAnsi="Arial"/>
                <w:spacing w:val="-27"/>
                <w:sz w:val="20"/>
              </w:rPr>
              <w:t xml:space="preserve"> </w:t>
            </w:r>
            <w:r>
              <w:rPr>
                <w:rFonts w:ascii="Arial" w:hAnsi="Arial"/>
                <w:sz w:val="20"/>
              </w:rPr>
              <w:t>evaluation.</w:t>
            </w:r>
          </w:p>
          <w:p w14:paraId="74362413" w14:textId="77777777" w:rsidR="00560425" w:rsidRDefault="00560425" w:rsidP="00E63AC4">
            <w:pPr>
              <w:pStyle w:val="TableParagraph"/>
              <w:spacing w:before="1"/>
              <w:ind w:left="110"/>
              <w:jc w:val="left"/>
              <w:rPr>
                <w:rFonts w:ascii="Arial"/>
                <w:sz w:val="20"/>
              </w:rPr>
            </w:pPr>
            <w:r>
              <w:rPr>
                <w:rFonts w:ascii="Arial"/>
                <w:sz w:val="20"/>
              </w:rPr>
              <w:t>After-donation care includes:</w:t>
            </w:r>
          </w:p>
          <w:p w14:paraId="5C12D1C1" w14:textId="77777777" w:rsidR="00560425" w:rsidRDefault="00560425" w:rsidP="00560425">
            <w:pPr>
              <w:pStyle w:val="TableParagraph"/>
              <w:numPr>
                <w:ilvl w:val="0"/>
                <w:numId w:val="11"/>
              </w:numPr>
              <w:tabs>
                <w:tab w:val="left" w:pos="677"/>
              </w:tabs>
              <w:spacing w:before="0" w:line="238" w:lineRule="exact"/>
              <w:ind w:hanging="283"/>
              <w:jc w:val="left"/>
              <w:rPr>
                <w:rFonts w:ascii="Arial" w:hAnsi="Arial"/>
                <w:sz w:val="20"/>
              </w:rPr>
            </w:pPr>
            <w:r>
              <w:rPr>
                <w:rFonts w:ascii="Arial" w:hAnsi="Arial"/>
                <w:sz w:val="20"/>
              </w:rPr>
              <w:t>24-hour access to Lifeblood Medical</w:t>
            </w:r>
            <w:r>
              <w:rPr>
                <w:rFonts w:ascii="Arial" w:hAnsi="Arial"/>
                <w:spacing w:val="-4"/>
                <w:sz w:val="20"/>
              </w:rPr>
              <w:t xml:space="preserve"> </w:t>
            </w:r>
            <w:r>
              <w:rPr>
                <w:rFonts w:ascii="Arial" w:hAnsi="Arial"/>
                <w:sz w:val="20"/>
              </w:rPr>
              <w:t>Officer</w:t>
            </w:r>
          </w:p>
          <w:p w14:paraId="5905C5D5" w14:textId="77777777" w:rsidR="00560425" w:rsidRDefault="00560425" w:rsidP="00560425">
            <w:pPr>
              <w:pStyle w:val="TableParagraph"/>
              <w:numPr>
                <w:ilvl w:val="0"/>
                <w:numId w:val="11"/>
              </w:numPr>
              <w:tabs>
                <w:tab w:val="left" w:pos="677"/>
              </w:tabs>
              <w:spacing w:before="0" w:line="235" w:lineRule="auto"/>
              <w:ind w:right="150" w:hanging="283"/>
              <w:jc w:val="left"/>
              <w:rPr>
                <w:rFonts w:ascii="Arial" w:hAnsi="Arial"/>
                <w:sz w:val="20"/>
              </w:rPr>
            </w:pPr>
            <w:r>
              <w:rPr>
                <w:rFonts w:ascii="Arial" w:hAnsi="Arial"/>
                <w:sz w:val="20"/>
              </w:rPr>
              <w:t>Contacting donors who sustain a significant event to assess clinical outcome, contributory factors and suitability for future donations and if eligible, providing</w:t>
            </w:r>
            <w:r>
              <w:rPr>
                <w:rFonts w:ascii="Arial" w:hAnsi="Arial"/>
                <w:spacing w:val="-28"/>
                <w:sz w:val="20"/>
              </w:rPr>
              <w:t xml:space="preserve"> </w:t>
            </w:r>
            <w:r>
              <w:rPr>
                <w:rFonts w:ascii="Arial" w:hAnsi="Arial"/>
                <w:sz w:val="20"/>
              </w:rPr>
              <w:t>advice to minimise risk of future</w:t>
            </w:r>
            <w:r>
              <w:rPr>
                <w:rFonts w:ascii="Arial" w:hAnsi="Arial"/>
                <w:spacing w:val="-3"/>
                <w:sz w:val="20"/>
              </w:rPr>
              <w:t xml:space="preserve"> </w:t>
            </w:r>
            <w:r>
              <w:rPr>
                <w:rFonts w:ascii="Arial" w:hAnsi="Arial"/>
                <w:sz w:val="20"/>
              </w:rPr>
              <w:t>events.</w:t>
            </w:r>
          </w:p>
          <w:p w14:paraId="4D836BB9" w14:textId="77777777" w:rsidR="00560425" w:rsidRDefault="00560425" w:rsidP="00560425">
            <w:pPr>
              <w:pStyle w:val="TableParagraph"/>
              <w:numPr>
                <w:ilvl w:val="0"/>
                <w:numId w:val="11"/>
              </w:numPr>
              <w:tabs>
                <w:tab w:val="left" w:pos="677"/>
              </w:tabs>
              <w:spacing w:before="8" w:line="228" w:lineRule="auto"/>
              <w:ind w:right="816" w:hanging="283"/>
              <w:jc w:val="left"/>
              <w:rPr>
                <w:rFonts w:ascii="Arial" w:hAnsi="Arial"/>
                <w:sz w:val="20"/>
              </w:rPr>
            </w:pPr>
            <w:r>
              <w:rPr>
                <w:rFonts w:ascii="Arial" w:hAnsi="Arial"/>
                <w:sz w:val="20"/>
              </w:rPr>
              <w:t>Reducing collection volume for apheresis donors who are suitable to</w:t>
            </w:r>
            <w:r>
              <w:rPr>
                <w:rFonts w:ascii="Arial" w:hAnsi="Arial"/>
                <w:spacing w:val="-22"/>
                <w:sz w:val="20"/>
              </w:rPr>
              <w:t xml:space="preserve"> </w:t>
            </w:r>
            <w:r>
              <w:rPr>
                <w:rFonts w:ascii="Arial" w:hAnsi="Arial"/>
                <w:sz w:val="20"/>
              </w:rPr>
              <w:t>continue donating</w:t>
            </w:r>
          </w:p>
          <w:p w14:paraId="45C86EE6" w14:textId="77777777" w:rsidR="00560425" w:rsidRDefault="00560425" w:rsidP="00560425">
            <w:pPr>
              <w:pStyle w:val="TableParagraph"/>
              <w:numPr>
                <w:ilvl w:val="0"/>
                <w:numId w:val="11"/>
              </w:numPr>
              <w:tabs>
                <w:tab w:val="left" w:pos="677"/>
              </w:tabs>
              <w:spacing w:before="3"/>
              <w:ind w:hanging="283"/>
              <w:jc w:val="left"/>
              <w:rPr>
                <w:rFonts w:ascii="Arial" w:hAnsi="Arial"/>
                <w:sz w:val="20"/>
              </w:rPr>
            </w:pPr>
            <w:r>
              <w:rPr>
                <w:rFonts w:ascii="Arial" w:hAnsi="Arial"/>
                <w:sz w:val="20"/>
              </w:rPr>
              <w:t>Where the event is severe or recurrent, the donor is permanently</w:t>
            </w:r>
            <w:r>
              <w:rPr>
                <w:rFonts w:ascii="Arial" w:hAnsi="Arial"/>
                <w:spacing w:val="-11"/>
                <w:sz w:val="20"/>
              </w:rPr>
              <w:t xml:space="preserve"> </w:t>
            </w:r>
            <w:r>
              <w:rPr>
                <w:rFonts w:ascii="Arial" w:hAnsi="Arial"/>
                <w:sz w:val="20"/>
              </w:rPr>
              <w:t>deferred.</w:t>
            </w:r>
          </w:p>
        </w:tc>
      </w:tr>
      <w:tr w:rsidR="00560425" w14:paraId="0C42EA9E" w14:textId="77777777" w:rsidTr="00AD5205">
        <w:trPr>
          <w:trHeight w:val="1741"/>
        </w:trPr>
        <w:tc>
          <w:tcPr>
            <w:tcW w:w="1419" w:type="dxa"/>
          </w:tcPr>
          <w:p w14:paraId="57CF94E3" w14:textId="77777777" w:rsidR="00560425" w:rsidRDefault="00560425" w:rsidP="00E63AC4">
            <w:pPr>
              <w:pStyle w:val="TableParagraph"/>
              <w:spacing w:before="0"/>
              <w:ind w:left="110" w:right="141"/>
              <w:jc w:val="left"/>
              <w:rPr>
                <w:b/>
                <w:sz w:val="24"/>
              </w:rPr>
            </w:pPr>
            <w:r>
              <w:rPr>
                <w:b/>
                <w:sz w:val="24"/>
              </w:rPr>
              <w:t>Clinical Governance</w:t>
            </w:r>
          </w:p>
        </w:tc>
        <w:tc>
          <w:tcPr>
            <w:tcW w:w="8359" w:type="dxa"/>
          </w:tcPr>
          <w:p w14:paraId="518FAD51" w14:textId="77777777" w:rsidR="00560425" w:rsidRDefault="00560425" w:rsidP="00E63AC4">
            <w:pPr>
              <w:pStyle w:val="TableParagraph"/>
              <w:spacing w:before="0"/>
              <w:ind w:left="110" w:right="122"/>
              <w:jc w:val="both"/>
              <w:rPr>
                <w:rFonts w:ascii="Arial"/>
                <w:sz w:val="20"/>
              </w:rPr>
            </w:pPr>
            <w:r>
              <w:rPr>
                <w:rFonts w:ascii="Arial"/>
                <w:sz w:val="20"/>
              </w:rPr>
              <w:t>Lifeblood has a Clinical and Quality Governance Framework that supports the provision of a safe, high quality service that works to monitor, mitigate and manage donor adverse events, including:</w:t>
            </w:r>
          </w:p>
          <w:p w14:paraId="0FF8E900" w14:textId="77777777" w:rsidR="00560425" w:rsidRDefault="00560425" w:rsidP="00560425">
            <w:pPr>
              <w:pStyle w:val="TableParagraph"/>
              <w:numPr>
                <w:ilvl w:val="0"/>
                <w:numId w:val="10"/>
              </w:numPr>
              <w:tabs>
                <w:tab w:val="left" w:pos="677"/>
              </w:tabs>
              <w:spacing w:before="0" w:line="238" w:lineRule="exact"/>
              <w:ind w:hanging="283"/>
              <w:jc w:val="left"/>
              <w:rPr>
                <w:rFonts w:ascii="Arial" w:hAnsi="Arial"/>
                <w:sz w:val="20"/>
              </w:rPr>
            </w:pPr>
            <w:r>
              <w:rPr>
                <w:rFonts w:ascii="Arial" w:hAnsi="Arial"/>
                <w:sz w:val="20"/>
              </w:rPr>
              <w:t>Data monitoring and reporting to executive</w:t>
            </w:r>
            <w:r>
              <w:rPr>
                <w:rFonts w:ascii="Arial" w:hAnsi="Arial"/>
                <w:spacing w:val="-3"/>
                <w:sz w:val="20"/>
              </w:rPr>
              <w:t xml:space="preserve"> </w:t>
            </w:r>
            <w:r>
              <w:rPr>
                <w:rFonts w:ascii="Arial" w:hAnsi="Arial"/>
                <w:sz w:val="20"/>
              </w:rPr>
              <w:t>committees</w:t>
            </w:r>
          </w:p>
          <w:p w14:paraId="5B0F600B" w14:textId="77777777" w:rsidR="00560425" w:rsidRDefault="00560425" w:rsidP="00560425">
            <w:pPr>
              <w:pStyle w:val="TableParagraph"/>
              <w:numPr>
                <w:ilvl w:val="0"/>
                <w:numId w:val="10"/>
              </w:numPr>
              <w:tabs>
                <w:tab w:val="left" w:pos="677"/>
              </w:tabs>
              <w:spacing w:before="0" w:line="233" w:lineRule="exact"/>
              <w:ind w:hanging="283"/>
              <w:jc w:val="left"/>
              <w:rPr>
                <w:rFonts w:ascii="Arial" w:hAnsi="Arial"/>
                <w:sz w:val="20"/>
              </w:rPr>
            </w:pPr>
            <w:r>
              <w:rPr>
                <w:rFonts w:ascii="Arial" w:hAnsi="Arial"/>
                <w:sz w:val="20"/>
              </w:rPr>
              <w:t>Clinical</w:t>
            </w:r>
            <w:r>
              <w:rPr>
                <w:rFonts w:ascii="Arial" w:hAnsi="Arial"/>
                <w:spacing w:val="-3"/>
                <w:sz w:val="20"/>
              </w:rPr>
              <w:t xml:space="preserve"> </w:t>
            </w:r>
            <w:r>
              <w:rPr>
                <w:rFonts w:ascii="Arial" w:hAnsi="Arial"/>
                <w:sz w:val="20"/>
              </w:rPr>
              <w:t>audits</w:t>
            </w:r>
          </w:p>
          <w:p w14:paraId="77E464ED" w14:textId="77777777" w:rsidR="00560425" w:rsidRDefault="00560425" w:rsidP="00560425">
            <w:pPr>
              <w:pStyle w:val="TableParagraph"/>
              <w:numPr>
                <w:ilvl w:val="0"/>
                <w:numId w:val="10"/>
              </w:numPr>
              <w:tabs>
                <w:tab w:val="left" w:pos="677"/>
              </w:tabs>
              <w:spacing w:before="0" w:line="233" w:lineRule="exact"/>
              <w:ind w:hanging="283"/>
              <w:jc w:val="left"/>
              <w:rPr>
                <w:rFonts w:ascii="Arial" w:hAnsi="Arial"/>
                <w:sz w:val="20"/>
              </w:rPr>
            </w:pPr>
            <w:r>
              <w:rPr>
                <w:rFonts w:ascii="Arial" w:hAnsi="Arial"/>
                <w:sz w:val="20"/>
              </w:rPr>
              <w:t>Continuous improvement and corrective action</w:t>
            </w:r>
            <w:r>
              <w:rPr>
                <w:rFonts w:ascii="Arial" w:hAnsi="Arial"/>
                <w:spacing w:val="-4"/>
                <w:sz w:val="20"/>
              </w:rPr>
              <w:t xml:space="preserve"> </w:t>
            </w:r>
            <w:r>
              <w:rPr>
                <w:rFonts w:ascii="Arial" w:hAnsi="Arial"/>
                <w:sz w:val="20"/>
              </w:rPr>
              <w:t>processes</w:t>
            </w:r>
          </w:p>
          <w:p w14:paraId="1000DDA0" w14:textId="77777777" w:rsidR="00560425" w:rsidRDefault="00560425" w:rsidP="00560425">
            <w:pPr>
              <w:pStyle w:val="TableParagraph"/>
              <w:numPr>
                <w:ilvl w:val="0"/>
                <w:numId w:val="10"/>
              </w:numPr>
              <w:tabs>
                <w:tab w:val="left" w:pos="677"/>
              </w:tabs>
              <w:spacing w:before="0" w:line="238" w:lineRule="exact"/>
              <w:ind w:hanging="283"/>
              <w:jc w:val="left"/>
              <w:rPr>
                <w:rFonts w:ascii="Arial" w:hAnsi="Arial"/>
                <w:sz w:val="20"/>
              </w:rPr>
            </w:pPr>
            <w:r>
              <w:rPr>
                <w:rFonts w:ascii="Arial" w:hAnsi="Arial"/>
                <w:sz w:val="20"/>
              </w:rPr>
              <w:t>International</w:t>
            </w:r>
            <w:r>
              <w:rPr>
                <w:rFonts w:ascii="Arial" w:hAnsi="Arial"/>
                <w:spacing w:val="-3"/>
                <w:sz w:val="20"/>
              </w:rPr>
              <w:t xml:space="preserve"> </w:t>
            </w:r>
            <w:r>
              <w:rPr>
                <w:rFonts w:ascii="Arial" w:hAnsi="Arial"/>
                <w:sz w:val="20"/>
              </w:rPr>
              <w:t>benchmarking</w:t>
            </w:r>
          </w:p>
        </w:tc>
      </w:tr>
    </w:tbl>
    <w:p w14:paraId="7E2F584E" w14:textId="77777777" w:rsidR="00C51A96" w:rsidRDefault="00C51A96" w:rsidP="00C51A96">
      <w:pPr>
        <w:pStyle w:val="Heading1"/>
      </w:pPr>
      <w:bookmarkStart w:id="105" w:name="_Toc64836339"/>
      <w:r>
        <w:lastRenderedPageBreak/>
        <w:t>ABBREVIATIONS</w:t>
      </w:r>
      <w:bookmarkEnd w:id="105"/>
    </w:p>
    <w:p w14:paraId="795BAF47" w14:textId="77777777" w:rsidR="00C51A96" w:rsidRDefault="00C51A96" w:rsidP="002C09A1">
      <w:pPr>
        <w:spacing w:after="0"/>
      </w:pPr>
      <w:r>
        <w:t>AABB</w:t>
      </w:r>
      <w:r>
        <w:tab/>
      </w:r>
      <w:r>
        <w:tab/>
        <w:t xml:space="preserve">American Association of Blood Banks </w:t>
      </w:r>
    </w:p>
    <w:p w14:paraId="4D603C3D" w14:textId="77777777" w:rsidR="00C51A96" w:rsidRDefault="00C51A96" w:rsidP="002C09A1">
      <w:pPr>
        <w:spacing w:after="0"/>
      </w:pPr>
      <w:r>
        <w:t xml:space="preserve">ABO </w:t>
      </w:r>
      <w:r>
        <w:tab/>
      </w:r>
      <w:r>
        <w:tab/>
        <w:t>The human red cell ABO blood group system</w:t>
      </w:r>
    </w:p>
    <w:p w14:paraId="7FF3DD54" w14:textId="77777777" w:rsidR="00C51A96" w:rsidRDefault="00C51A96" w:rsidP="002C09A1">
      <w:pPr>
        <w:spacing w:after="0"/>
      </w:pPr>
      <w:r>
        <w:t xml:space="preserve">ACT </w:t>
      </w:r>
      <w:r>
        <w:tab/>
      </w:r>
      <w:r>
        <w:tab/>
        <w:t>Australian Capital Territory</w:t>
      </w:r>
    </w:p>
    <w:p w14:paraId="497ED24E" w14:textId="77777777" w:rsidR="00C51A96" w:rsidRDefault="00C51A96" w:rsidP="002C09A1">
      <w:pPr>
        <w:spacing w:after="0"/>
      </w:pPr>
      <w:r>
        <w:t xml:space="preserve">AHTR </w:t>
      </w:r>
      <w:r>
        <w:tab/>
      </w:r>
      <w:r>
        <w:tab/>
        <w:t>Acute haemolytic transfusion reaction (other than ABO incompatibility)</w:t>
      </w:r>
    </w:p>
    <w:p w14:paraId="2156DEAB" w14:textId="77777777" w:rsidR="00C51A96" w:rsidRDefault="00C51A96" w:rsidP="002C09A1">
      <w:pPr>
        <w:spacing w:after="0"/>
      </w:pPr>
      <w:r>
        <w:t xml:space="preserve">ATR </w:t>
      </w:r>
      <w:r>
        <w:tab/>
      </w:r>
      <w:r>
        <w:tab/>
        <w:t>Acute transfusion reactions</w:t>
      </w:r>
    </w:p>
    <w:p w14:paraId="1CA901EB" w14:textId="77777777" w:rsidR="00C51A96" w:rsidRDefault="00C51A96" w:rsidP="002C09A1">
      <w:pPr>
        <w:spacing w:after="0"/>
      </w:pPr>
      <w:r>
        <w:t>DAE</w:t>
      </w:r>
      <w:r>
        <w:tab/>
      </w:r>
      <w:r>
        <w:tab/>
        <w:t>Donor adverse event</w:t>
      </w:r>
    </w:p>
    <w:p w14:paraId="1ABB45E7" w14:textId="77777777" w:rsidR="00C51A96" w:rsidRDefault="00C51A96" w:rsidP="002C09A1">
      <w:pPr>
        <w:spacing w:after="0"/>
      </w:pPr>
      <w:r>
        <w:t xml:space="preserve">DHTR </w:t>
      </w:r>
      <w:r>
        <w:tab/>
      </w:r>
      <w:r>
        <w:tab/>
        <w:t>Delayed haemolytic transfusion reaction</w:t>
      </w:r>
    </w:p>
    <w:p w14:paraId="1D7564DE" w14:textId="77777777" w:rsidR="00C51A96" w:rsidRDefault="00C51A96" w:rsidP="002C09A1">
      <w:pPr>
        <w:spacing w:after="0"/>
      </w:pPr>
      <w:r>
        <w:t xml:space="preserve">DVT </w:t>
      </w:r>
      <w:r>
        <w:tab/>
      </w:r>
      <w:r>
        <w:tab/>
        <w:t>Deep vein thrombosis</w:t>
      </w:r>
    </w:p>
    <w:p w14:paraId="3BAB6A19" w14:textId="77777777" w:rsidR="00C51A96" w:rsidRDefault="00C51A96" w:rsidP="002C09A1">
      <w:pPr>
        <w:spacing w:after="0"/>
      </w:pPr>
      <w:r>
        <w:t xml:space="preserve">FNHTR </w:t>
      </w:r>
      <w:r>
        <w:tab/>
      </w:r>
      <w:r>
        <w:tab/>
        <w:t>Febrile non haemolytic transfusion reaction</w:t>
      </w:r>
    </w:p>
    <w:p w14:paraId="3A120591" w14:textId="77777777" w:rsidR="00C51A96" w:rsidRDefault="00C51A96" w:rsidP="002C09A1">
      <w:pPr>
        <w:spacing w:after="0"/>
      </w:pPr>
      <w:r>
        <w:t xml:space="preserve">GP </w:t>
      </w:r>
      <w:r>
        <w:tab/>
      </w:r>
      <w:r>
        <w:tab/>
        <w:t>General Practitioner</w:t>
      </w:r>
    </w:p>
    <w:p w14:paraId="606C6643" w14:textId="77777777" w:rsidR="00C51A96" w:rsidRDefault="00C51A96" w:rsidP="002C09A1">
      <w:pPr>
        <w:spacing w:after="0"/>
      </w:pPr>
      <w:r>
        <w:t xml:space="preserve">HAC </w:t>
      </w:r>
      <w:r>
        <w:tab/>
      </w:r>
      <w:r>
        <w:tab/>
        <w:t>Haemovigilance Advisory Committee</w:t>
      </w:r>
    </w:p>
    <w:p w14:paraId="399C0955" w14:textId="77777777" w:rsidR="00C51A96" w:rsidRDefault="00C51A96" w:rsidP="002C09A1">
      <w:pPr>
        <w:spacing w:after="0"/>
      </w:pPr>
      <w:r>
        <w:t xml:space="preserve">HBsAg </w:t>
      </w:r>
      <w:r>
        <w:tab/>
      </w:r>
      <w:r>
        <w:tab/>
        <w:t>Hepatitis B surface antigen</w:t>
      </w:r>
    </w:p>
    <w:p w14:paraId="321ED86C" w14:textId="77777777" w:rsidR="00C51A96" w:rsidRDefault="00C51A96" w:rsidP="002C09A1">
      <w:pPr>
        <w:spacing w:after="0"/>
      </w:pPr>
      <w:r>
        <w:t xml:space="preserve">HBV </w:t>
      </w:r>
      <w:r>
        <w:tab/>
      </w:r>
      <w:r>
        <w:tab/>
        <w:t>Hepatitis B virus</w:t>
      </w:r>
    </w:p>
    <w:p w14:paraId="64617934" w14:textId="77777777" w:rsidR="00C51A96" w:rsidRDefault="00C51A96" w:rsidP="002C09A1">
      <w:pPr>
        <w:spacing w:after="0"/>
      </w:pPr>
      <w:r>
        <w:t xml:space="preserve">HCV </w:t>
      </w:r>
      <w:r>
        <w:tab/>
      </w:r>
      <w:r>
        <w:tab/>
        <w:t>Hepatitis C virus</w:t>
      </w:r>
    </w:p>
    <w:p w14:paraId="0A73B528" w14:textId="77777777" w:rsidR="00C51A96" w:rsidRDefault="00C51A96" w:rsidP="002C09A1">
      <w:pPr>
        <w:spacing w:after="0"/>
      </w:pPr>
      <w:r>
        <w:t xml:space="preserve">HIV </w:t>
      </w:r>
      <w:r>
        <w:tab/>
      </w:r>
      <w:r>
        <w:tab/>
        <w:t>Human Immunodeficiency virus</w:t>
      </w:r>
    </w:p>
    <w:p w14:paraId="13F97D46" w14:textId="77777777" w:rsidR="00C51A96" w:rsidRDefault="00C51A96" w:rsidP="002C09A1">
      <w:pPr>
        <w:spacing w:after="0"/>
      </w:pPr>
      <w:r>
        <w:t xml:space="preserve">HTC </w:t>
      </w:r>
      <w:r>
        <w:tab/>
      </w:r>
      <w:r>
        <w:tab/>
        <w:t>Haemophilia Treatment Centre</w:t>
      </w:r>
    </w:p>
    <w:p w14:paraId="6547B3AE" w14:textId="77777777" w:rsidR="00C51A96" w:rsidRDefault="00C51A96" w:rsidP="002C09A1">
      <w:pPr>
        <w:spacing w:after="0"/>
      </w:pPr>
      <w:r>
        <w:t xml:space="preserve">HTLV </w:t>
      </w:r>
      <w:r>
        <w:tab/>
      </w:r>
      <w:r>
        <w:tab/>
        <w:t>Human T-cell lymphoma virus</w:t>
      </w:r>
    </w:p>
    <w:p w14:paraId="0AC4FE78" w14:textId="77777777" w:rsidR="00C51A96" w:rsidRDefault="00C51A96" w:rsidP="002C09A1">
      <w:pPr>
        <w:spacing w:after="0"/>
      </w:pPr>
      <w:r>
        <w:t xml:space="preserve">IBCT </w:t>
      </w:r>
      <w:r>
        <w:tab/>
      </w:r>
      <w:r>
        <w:tab/>
        <w:t>Incorrect blood component transfused</w:t>
      </w:r>
    </w:p>
    <w:p w14:paraId="4262F66B" w14:textId="77777777" w:rsidR="00C51A96" w:rsidRDefault="00C51A96" w:rsidP="002C09A1">
      <w:pPr>
        <w:spacing w:after="0"/>
      </w:pPr>
      <w:r>
        <w:t xml:space="preserve">IHN </w:t>
      </w:r>
      <w:r>
        <w:tab/>
      </w:r>
      <w:r>
        <w:tab/>
        <w:t>International Haemovigilance Network</w:t>
      </w:r>
    </w:p>
    <w:p w14:paraId="699442E1" w14:textId="77777777" w:rsidR="00C51A96" w:rsidRDefault="00C51A96" w:rsidP="002C09A1">
      <w:pPr>
        <w:spacing w:after="0"/>
      </w:pPr>
      <w:r>
        <w:t xml:space="preserve">ISBT </w:t>
      </w:r>
      <w:r>
        <w:tab/>
      </w:r>
      <w:r>
        <w:tab/>
        <w:t>International Society for Blood Transfusion</w:t>
      </w:r>
    </w:p>
    <w:p w14:paraId="77D6B409" w14:textId="77777777" w:rsidR="00C51A96" w:rsidRDefault="00C51A96" w:rsidP="002C09A1">
      <w:pPr>
        <w:spacing w:after="0"/>
      </w:pPr>
      <w:r>
        <w:t xml:space="preserve">LOC </w:t>
      </w:r>
      <w:r>
        <w:tab/>
      </w:r>
      <w:r>
        <w:tab/>
        <w:t>Loss of consciousness</w:t>
      </w:r>
    </w:p>
    <w:p w14:paraId="02C5B89B" w14:textId="77777777" w:rsidR="00C51A96" w:rsidRDefault="00C51A96" w:rsidP="002C09A1">
      <w:pPr>
        <w:spacing w:after="0"/>
      </w:pPr>
      <w:r>
        <w:t xml:space="preserve">NAT </w:t>
      </w:r>
      <w:r>
        <w:tab/>
      </w:r>
      <w:r>
        <w:tab/>
        <w:t>Nucleic acid testing</w:t>
      </w:r>
    </w:p>
    <w:p w14:paraId="7647C52F" w14:textId="77777777" w:rsidR="00C51A96" w:rsidRDefault="00C51A96" w:rsidP="002C09A1">
      <w:pPr>
        <w:spacing w:after="0"/>
      </w:pPr>
      <w:r>
        <w:t xml:space="preserve">NBA </w:t>
      </w:r>
      <w:r>
        <w:tab/>
      </w:r>
      <w:r>
        <w:tab/>
        <w:t>National Blood Authority</w:t>
      </w:r>
    </w:p>
    <w:p w14:paraId="3A6482BB" w14:textId="77777777" w:rsidR="00C51A96" w:rsidRDefault="00C51A96" w:rsidP="002C09A1">
      <w:pPr>
        <w:spacing w:after="0"/>
      </w:pPr>
      <w:r>
        <w:rPr>
          <w:rFonts w:cs="Arial"/>
        </w:rPr>
        <w:t>NBMS</w:t>
      </w:r>
      <w:r>
        <w:t xml:space="preserve"> </w:t>
      </w:r>
      <w:r>
        <w:tab/>
      </w:r>
      <w:r>
        <w:tab/>
      </w:r>
      <w:r>
        <w:rPr>
          <w:rFonts w:cs="Arial"/>
        </w:rPr>
        <w:t>National Blood Management System</w:t>
      </w:r>
      <w:r>
        <w:t xml:space="preserve"> </w:t>
      </w:r>
    </w:p>
    <w:p w14:paraId="3CF804A5" w14:textId="77777777" w:rsidR="00C51A96" w:rsidRDefault="00C51A96" w:rsidP="002C09A1">
      <w:pPr>
        <w:spacing w:after="0"/>
      </w:pPr>
      <w:r w:rsidRPr="005C11C2">
        <w:rPr>
          <w:rFonts w:cs="Arial"/>
        </w:rPr>
        <w:t>NDDP</w:t>
      </w:r>
      <w:r>
        <w:t xml:space="preserve"> </w:t>
      </w:r>
      <w:r>
        <w:tab/>
      </w:r>
      <w:r>
        <w:tab/>
      </w:r>
      <w:r w:rsidRPr="005C11C2">
        <w:rPr>
          <w:rFonts w:cs="Arial"/>
        </w:rPr>
        <w:t>New donors direct to plasma</w:t>
      </w:r>
    </w:p>
    <w:p w14:paraId="11D6F713" w14:textId="77777777" w:rsidR="00C51A96" w:rsidRDefault="00C51A96" w:rsidP="002C09A1">
      <w:pPr>
        <w:spacing w:after="0"/>
      </w:pPr>
      <w:r>
        <w:t xml:space="preserve">NHDD </w:t>
      </w:r>
      <w:r>
        <w:tab/>
      </w:r>
      <w:r>
        <w:tab/>
        <w:t>National Haemovigilance Data Dictionary</w:t>
      </w:r>
    </w:p>
    <w:p w14:paraId="7ED1522A" w14:textId="77777777" w:rsidR="00C51A96" w:rsidRDefault="00C51A96" w:rsidP="002C09A1">
      <w:pPr>
        <w:spacing w:after="0"/>
      </w:pPr>
      <w:r>
        <w:t xml:space="preserve">NSW </w:t>
      </w:r>
      <w:r>
        <w:tab/>
      </w:r>
      <w:r>
        <w:tab/>
        <w:t>New South Wales</w:t>
      </w:r>
    </w:p>
    <w:p w14:paraId="3F4A134A" w14:textId="77777777" w:rsidR="00C51A96" w:rsidRDefault="00C51A96" w:rsidP="002C09A1">
      <w:pPr>
        <w:spacing w:after="0"/>
      </w:pPr>
      <w:r>
        <w:t xml:space="preserve">NT </w:t>
      </w:r>
      <w:r>
        <w:tab/>
      </w:r>
      <w:r>
        <w:tab/>
        <w:t>Northern Territory</w:t>
      </w:r>
    </w:p>
    <w:p w14:paraId="17D2C571" w14:textId="77777777" w:rsidR="00C51A96" w:rsidRDefault="00C51A96" w:rsidP="002C09A1">
      <w:pPr>
        <w:spacing w:after="0" w:line="276" w:lineRule="auto"/>
      </w:pPr>
      <w:r>
        <w:t xml:space="preserve">PTP </w:t>
      </w:r>
      <w:r>
        <w:tab/>
      </w:r>
      <w:r>
        <w:tab/>
        <w:t>Post transfusion purpura</w:t>
      </w:r>
    </w:p>
    <w:p w14:paraId="0BED4570" w14:textId="77777777" w:rsidR="00C51A96" w:rsidRDefault="00C51A96" w:rsidP="002C09A1">
      <w:pPr>
        <w:spacing w:after="0"/>
      </w:pPr>
      <w:r>
        <w:t xml:space="preserve">QLD </w:t>
      </w:r>
      <w:r>
        <w:tab/>
      </w:r>
      <w:r>
        <w:tab/>
        <w:t>Queensland</w:t>
      </w:r>
    </w:p>
    <w:p w14:paraId="288D94CF" w14:textId="77777777" w:rsidR="00C51A96" w:rsidRDefault="00C51A96" w:rsidP="002C09A1">
      <w:pPr>
        <w:spacing w:after="0"/>
      </w:pPr>
      <w:r>
        <w:t xml:space="preserve">SA </w:t>
      </w:r>
      <w:r>
        <w:tab/>
      </w:r>
      <w:r>
        <w:tab/>
        <w:t>South Australia</w:t>
      </w:r>
    </w:p>
    <w:p w14:paraId="5A9288BD" w14:textId="77777777" w:rsidR="00C51A96" w:rsidRDefault="00C51A96" w:rsidP="002C09A1">
      <w:pPr>
        <w:spacing w:after="0"/>
      </w:pPr>
      <w:r>
        <w:t xml:space="preserve">STIR </w:t>
      </w:r>
      <w:r>
        <w:tab/>
      </w:r>
      <w:r>
        <w:tab/>
        <w:t>Serious Transfusion Incident Reporting</w:t>
      </w:r>
    </w:p>
    <w:p w14:paraId="429495B3" w14:textId="77777777" w:rsidR="00C51A96" w:rsidRDefault="00C51A96" w:rsidP="002C09A1">
      <w:pPr>
        <w:spacing w:after="0"/>
      </w:pPr>
      <w:r>
        <w:t xml:space="preserve">TACO </w:t>
      </w:r>
      <w:r>
        <w:tab/>
      </w:r>
      <w:r>
        <w:tab/>
        <w:t>Transfusion-associated circulatory overload</w:t>
      </w:r>
    </w:p>
    <w:p w14:paraId="593FC21A" w14:textId="77777777" w:rsidR="00C51A96" w:rsidRDefault="00C51A96" w:rsidP="002C09A1">
      <w:pPr>
        <w:spacing w:after="0"/>
      </w:pPr>
      <w:r>
        <w:t xml:space="preserve">TAS </w:t>
      </w:r>
      <w:r>
        <w:tab/>
      </w:r>
      <w:r>
        <w:tab/>
        <w:t>Tasmania</w:t>
      </w:r>
    </w:p>
    <w:p w14:paraId="7E06439F" w14:textId="77777777" w:rsidR="00C51A96" w:rsidRDefault="00C51A96" w:rsidP="002C09A1">
      <w:pPr>
        <w:spacing w:after="0"/>
      </w:pPr>
      <w:r>
        <w:t xml:space="preserve">TIA </w:t>
      </w:r>
      <w:r>
        <w:tab/>
      </w:r>
      <w:r>
        <w:tab/>
        <w:t>Transient ischaemic attack</w:t>
      </w:r>
    </w:p>
    <w:p w14:paraId="515D2558" w14:textId="77777777" w:rsidR="00C51A96" w:rsidRDefault="00C51A96" w:rsidP="002C09A1">
      <w:pPr>
        <w:spacing w:after="0"/>
      </w:pPr>
      <w:r>
        <w:t xml:space="preserve">TRALI </w:t>
      </w:r>
      <w:r>
        <w:tab/>
      </w:r>
      <w:r>
        <w:tab/>
        <w:t>Transfusion-related acute lung injury</w:t>
      </w:r>
    </w:p>
    <w:p w14:paraId="7D6E8119" w14:textId="77777777" w:rsidR="00C51A96" w:rsidRDefault="00C51A96" w:rsidP="002C09A1">
      <w:pPr>
        <w:spacing w:after="0"/>
      </w:pPr>
      <w:r>
        <w:t xml:space="preserve">TTI </w:t>
      </w:r>
      <w:r>
        <w:tab/>
      </w:r>
      <w:r>
        <w:tab/>
        <w:t>Transfusion-transmitted infection</w:t>
      </w:r>
    </w:p>
    <w:p w14:paraId="135B9E03" w14:textId="77777777" w:rsidR="00C51A96" w:rsidRDefault="00C51A96" w:rsidP="002C09A1">
      <w:pPr>
        <w:spacing w:after="0"/>
      </w:pPr>
      <w:r>
        <w:t xml:space="preserve">vCJD </w:t>
      </w:r>
      <w:r>
        <w:tab/>
      </w:r>
      <w:r>
        <w:tab/>
        <w:t>Variant Creutzfeldt-Jakob disease</w:t>
      </w:r>
    </w:p>
    <w:p w14:paraId="3CC98B5E" w14:textId="77777777" w:rsidR="00C51A96" w:rsidRDefault="00C51A96" w:rsidP="002C09A1">
      <w:pPr>
        <w:spacing w:after="0"/>
      </w:pPr>
      <w:r>
        <w:t xml:space="preserve">VIC </w:t>
      </w:r>
      <w:r>
        <w:tab/>
      </w:r>
      <w:r>
        <w:tab/>
        <w:t>Victoria</w:t>
      </w:r>
    </w:p>
    <w:p w14:paraId="1AF46A6B" w14:textId="77777777" w:rsidR="00C51A96" w:rsidRDefault="00C51A96" w:rsidP="002C09A1">
      <w:pPr>
        <w:spacing w:after="0"/>
      </w:pPr>
      <w:r>
        <w:t xml:space="preserve">VVR </w:t>
      </w:r>
      <w:r>
        <w:tab/>
      </w:r>
      <w:r>
        <w:tab/>
        <w:t>Vasovagal reaction</w:t>
      </w:r>
    </w:p>
    <w:p w14:paraId="2DA35979" w14:textId="77777777" w:rsidR="00C51A96" w:rsidRDefault="00C51A96" w:rsidP="002C09A1">
      <w:pPr>
        <w:spacing w:after="0"/>
        <w:jc w:val="both"/>
      </w:pPr>
      <w:r>
        <w:t xml:space="preserve">WA </w:t>
      </w:r>
      <w:r>
        <w:tab/>
      </w:r>
      <w:r>
        <w:tab/>
        <w:t>Western Australia</w:t>
      </w:r>
    </w:p>
    <w:p w14:paraId="6EAC3F2F" w14:textId="77777777" w:rsidR="00C51A96" w:rsidRDefault="00C51A96" w:rsidP="002C09A1">
      <w:pPr>
        <w:spacing w:after="0" w:line="276" w:lineRule="auto"/>
      </w:pPr>
      <w:r>
        <w:t>WB</w:t>
      </w:r>
      <w:r>
        <w:tab/>
      </w:r>
      <w:r>
        <w:tab/>
        <w:t>Whole blood</w:t>
      </w:r>
    </w:p>
    <w:p w14:paraId="6100F22C" w14:textId="77777777" w:rsidR="00C51A96" w:rsidRDefault="00C51A96">
      <w:pPr>
        <w:spacing w:line="276" w:lineRule="auto"/>
      </w:pPr>
      <w:r>
        <w:br w:type="page"/>
      </w:r>
    </w:p>
    <w:p w14:paraId="7C5764D0" w14:textId="77777777" w:rsidR="00C51A96" w:rsidRDefault="00C51A96" w:rsidP="00C51A96">
      <w:pPr>
        <w:pStyle w:val="Heading1"/>
      </w:pPr>
      <w:bookmarkStart w:id="106" w:name="_Toc64836340"/>
      <w:r>
        <w:lastRenderedPageBreak/>
        <w:t>ACKNOWLEDGEMENTS LIST</w:t>
      </w:r>
      <w:bookmarkEnd w:id="106"/>
    </w:p>
    <w:p w14:paraId="3FC36FCE" w14:textId="389E65EB" w:rsidR="00C51A96" w:rsidRPr="00C51A96" w:rsidRDefault="00C51A96" w:rsidP="00C51A96">
      <w:pPr>
        <w:spacing w:line="276" w:lineRule="auto"/>
        <w:rPr>
          <w:b/>
          <w:color w:val="365F91" w:themeColor="accent1" w:themeShade="BF"/>
          <w:sz w:val="32"/>
          <w:szCs w:val="32"/>
        </w:rPr>
      </w:pPr>
      <w:r w:rsidRPr="00C51A96">
        <w:rPr>
          <w:b/>
          <w:color w:val="365F91" w:themeColor="accent1" w:themeShade="BF"/>
          <w:sz w:val="32"/>
          <w:szCs w:val="32"/>
        </w:rPr>
        <w:t xml:space="preserve">National Blood Authority Haemovigilance </w:t>
      </w:r>
      <w:r w:rsidR="00BE5D5E">
        <w:rPr>
          <w:b/>
          <w:color w:val="365F91" w:themeColor="accent1" w:themeShade="BF"/>
          <w:sz w:val="32"/>
          <w:szCs w:val="32"/>
        </w:rPr>
        <w:t xml:space="preserve">Advisory </w:t>
      </w:r>
      <w:r w:rsidRPr="00C51A96">
        <w:rPr>
          <w:b/>
          <w:color w:val="365F91" w:themeColor="accent1" w:themeShade="BF"/>
          <w:sz w:val="32"/>
          <w:szCs w:val="32"/>
        </w:rPr>
        <w:t>Committee</w:t>
      </w:r>
      <w:r w:rsidR="0084723C">
        <w:rPr>
          <w:b/>
          <w:color w:val="365F91" w:themeColor="accent1" w:themeShade="BF"/>
          <w:sz w:val="32"/>
          <w:szCs w:val="32"/>
        </w:rPr>
        <w:t xml:space="preserve"> (HAC)</w:t>
      </w:r>
    </w:p>
    <w:p w14:paraId="47A50F92" w14:textId="77777777" w:rsidR="0084723C" w:rsidRPr="003F37A1" w:rsidRDefault="003F37A1" w:rsidP="00D01D94">
      <w:pPr>
        <w:spacing w:after="0" w:line="276" w:lineRule="auto"/>
        <w:rPr>
          <w:b/>
        </w:rPr>
      </w:pPr>
      <w:r w:rsidRPr="003F37A1">
        <w:rPr>
          <w:b/>
        </w:rPr>
        <w:t>Members</w:t>
      </w:r>
    </w:p>
    <w:p w14:paraId="225336CC" w14:textId="77777777" w:rsidR="0084723C" w:rsidRDefault="0084723C" w:rsidP="0084723C">
      <w:pPr>
        <w:spacing w:after="0" w:line="276" w:lineRule="auto"/>
      </w:pPr>
      <w:r>
        <w:t>Associate Professor Alison Street</w:t>
      </w:r>
      <w:r>
        <w:tab/>
        <w:t>NBA Board member and NBA appointed HAC Chair</w:t>
      </w:r>
    </w:p>
    <w:p w14:paraId="6D69F305" w14:textId="77777777" w:rsidR="00C51A96" w:rsidRDefault="00C51A96" w:rsidP="00D01D94">
      <w:pPr>
        <w:spacing w:after="0" w:line="276" w:lineRule="auto"/>
      </w:pPr>
      <w:r>
        <w:t>Mr Brett Aitken</w:t>
      </w:r>
      <w:r>
        <w:tab/>
      </w:r>
      <w:r>
        <w:tab/>
      </w:r>
      <w:r>
        <w:tab/>
      </w:r>
      <w:r>
        <w:tab/>
        <w:t>Australian Private Hospitals Association</w:t>
      </w:r>
    </w:p>
    <w:p w14:paraId="149CE887" w14:textId="77777777" w:rsidR="0084723C" w:rsidRDefault="0084723C" w:rsidP="0084723C">
      <w:pPr>
        <w:spacing w:after="0" w:line="276" w:lineRule="auto"/>
      </w:pPr>
      <w:r>
        <w:t>Associate Professor Lilon Bandler</w:t>
      </w:r>
      <w:r>
        <w:tab/>
        <w:t>NBA Patient Blood Management Advisory Committee Chair</w:t>
      </w:r>
    </w:p>
    <w:p w14:paraId="6291311F" w14:textId="77777777" w:rsidR="0084723C" w:rsidRPr="0084723C" w:rsidRDefault="0084723C" w:rsidP="0084723C">
      <w:pPr>
        <w:spacing w:after="0" w:line="276" w:lineRule="auto"/>
      </w:pPr>
      <w:r w:rsidRPr="0084723C">
        <w:t>Mr Geoffrey Bartle</w:t>
      </w:r>
      <w:r w:rsidRPr="0084723C">
        <w:tab/>
      </w:r>
      <w:r w:rsidRPr="0084723C">
        <w:tab/>
      </w:r>
      <w:r w:rsidRPr="0084723C">
        <w:tab/>
        <w:t>Consumer Representative</w:t>
      </w:r>
    </w:p>
    <w:p w14:paraId="7716674C" w14:textId="77777777" w:rsidR="0084723C" w:rsidRPr="0084723C" w:rsidRDefault="0084723C" w:rsidP="0084723C">
      <w:pPr>
        <w:spacing w:after="0" w:line="276" w:lineRule="auto"/>
      </w:pPr>
      <w:r w:rsidRPr="0084723C">
        <w:t xml:space="preserve">Ms Linley Bielby </w:t>
      </w:r>
      <w:r w:rsidRPr="0084723C">
        <w:tab/>
      </w:r>
      <w:r w:rsidRPr="0084723C">
        <w:tab/>
      </w:r>
      <w:r w:rsidRPr="0084723C">
        <w:tab/>
        <w:t>VIC Health</w:t>
      </w:r>
    </w:p>
    <w:p w14:paraId="3185C42C" w14:textId="77777777" w:rsidR="0084723C" w:rsidRPr="0084723C" w:rsidRDefault="0084723C" w:rsidP="0084723C">
      <w:pPr>
        <w:spacing w:after="0" w:line="276" w:lineRule="auto"/>
      </w:pPr>
      <w:r w:rsidRPr="0084723C">
        <w:t xml:space="preserve">Ms Maria Burgess </w:t>
      </w:r>
      <w:r w:rsidRPr="0084723C">
        <w:tab/>
      </w:r>
      <w:r w:rsidRPr="0084723C">
        <w:tab/>
      </w:r>
      <w:r w:rsidRPr="0084723C">
        <w:tab/>
        <w:t>ACT Health</w:t>
      </w:r>
    </w:p>
    <w:p w14:paraId="73C3A5AC" w14:textId="77777777" w:rsidR="0084723C" w:rsidRPr="0084723C" w:rsidRDefault="0084723C" w:rsidP="0084723C">
      <w:pPr>
        <w:spacing w:after="0" w:line="276" w:lineRule="auto"/>
      </w:pPr>
      <w:r w:rsidRPr="0084723C">
        <w:t xml:space="preserve">Dr James Daly </w:t>
      </w:r>
      <w:r w:rsidRPr="0084723C">
        <w:tab/>
      </w:r>
      <w:r w:rsidRPr="0084723C">
        <w:tab/>
      </w:r>
      <w:r w:rsidRPr="0084723C">
        <w:tab/>
      </w:r>
      <w:r w:rsidRPr="0084723C">
        <w:tab/>
        <w:t xml:space="preserve">Australian Red Cross Lifeblood </w:t>
      </w:r>
    </w:p>
    <w:p w14:paraId="33B7A195" w14:textId="77777777" w:rsidR="0084723C" w:rsidRPr="0084723C" w:rsidRDefault="0084723C" w:rsidP="0084723C">
      <w:pPr>
        <w:spacing w:after="0" w:line="276" w:lineRule="auto"/>
      </w:pPr>
      <w:r w:rsidRPr="0084723C">
        <w:t xml:space="preserve">Dr Chris Hogan </w:t>
      </w:r>
      <w:r w:rsidRPr="0084723C">
        <w:tab/>
      </w:r>
      <w:r w:rsidRPr="0084723C">
        <w:tab/>
      </w:r>
      <w:r w:rsidRPr="0084723C">
        <w:tab/>
      </w:r>
      <w:r w:rsidRPr="0084723C">
        <w:tab/>
        <w:t>Non-affiliated Haematologist</w:t>
      </w:r>
    </w:p>
    <w:p w14:paraId="26BEB2C3" w14:textId="77777777" w:rsidR="0084723C" w:rsidRPr="0084723C" w:rsidRDefault="0084723C" w:rsidP="0084723C">
      <w:pPr>
        <w:spacing w:after="0" w:line="276" w:lineRule="auto"/>
      </w:pPr>
      <w:r w:rsidRPr="0084723C">
        <w:t xml:space="preserve">Ms Penny O’Beid </w:t>
      </w:r>
      <w:r w:rsidRPr="0084723C">
        <w:tab/>
      </w:r>
      <w:r w:rsidRPr="0084723C">
        <w:tab/>
      </w:r>
      <w:r w:rsidRPr="0084723C">
        <w:tab/>
        <w:t>NSW Health</w:t>
      </w:r>
    </w:p>
    <w:p w14:paraId="7CDCB050" w14:textId="77777777" w:rsidR="0084723C" w:rsidRPr="0084723C" w:rsidRDefault="0084723C" w:rsidP="0084723C">
      <w:pPr>
        <w:spacing w:after="0" w:line="276" w:lineRule="auto"/>
      </w:pPr>
      <w:r w:rsidRPr="0084723C">
        <w:t>Dr Sharon Nowrojee</w:t>
      </w:r>
      <w:r w:rsidRPr="0084723C">
        <w:tab/>
      </w:r>
      <w:r w:rsidRPr="0084723C">
        <w:tab/>
      </w:r>
      <w:r w:rsidRPr="0084723C">
        <w:tab/>
        <w:t>WA Health</w:t>
      </w:r>
      <w:r w:rsidRPr="0084723C">
        <w:tab/>
      </w:r>
      <w:r w:rsidRPr="0084723C">
        <w:tab/>
      </w:r>
      <w:r w:rsidRPr="0084723C">
        <w:tab/>
      </w:r>
      <w:r w:rsidRPr="0084723C">
        <w:tab/>
      </w:r>
      <w:r w:rsidRPr="0084723C">
        <w:tab/>
      </w:r>
      <w:r w:rsidRPr="0084723C">
        <w:tab/>
      </w:r>
    </w:p>
    <w:p w14:paraId="3964E639" w14:textId="5884B048" w:rsidR="0084723C" w:rsidRPr="0084723C" w:rsidRDefault="0084723C" w:rsidP="0084723C">
      <w:pPr>
        <w:spacing w:after="0" w:line="276" w:lineRule="auto"/>
        <w:rPr>
          <w:b/>
        </w:rPr>
      </w:pPr>
      <w:r w:rsidRPr="0084723C">
        <w:t>Associate Professor David Roxby</w:t>
      </w:r>
      <w:r w:rsidRPr="0084723C">
        <w:tab/>
      </w:r>
      <w:r w:rsidR="009E791C">
        <w:t>Australian and New Zealand Society of Blood Transfusion</w:t>
      </w:r>
    </w:p>
    <w:p w14:paraId="6EE0E79B" w14:textId="77777777" w:rsidR="0084723C" w:rsidRPr="0084723C" w:rsidRDefault="0084723C" w:rsidP="0084723C">
      <w:pPr>
        <w:spacing w:after="0" w:line="276" w:lineRule="auto"/>
      </w:pPr>
      <w:r w:rsidRPr="0084723C">
        <w:t xml:space="preserve">Dr </w:t>
      </w:r>
      <w:r>
        <w:t>Neil Everest</w:t>
      </w:r>
      <w:r>
        <w:tab/>
      </w:r>
      <w:r w:rsidRPr="0084723C">
        <w:tab/>
      </w:r>
      <w:r w:rsidRPr="0084723C">
        <w:tab/>
      </w:r>
      <w:r w:rsidRPr="0084723C">
        <w:tab/>
        <w:t>Commonwealth Department of Health</w:t>
      </w:r>
    </w:p>
    <w:p w14:paraId="4522096A" w14:textId="77777777" w:rsidR="0084723C" w:rsidRPr="0084723C" w:rsidRDefault="0084723C" w:rsidP="0084723C">
      <w:pPr>
        <w:spacing w:after="0" w:line="276" w:lineRule="auto"/>
      </w:pPr>
      <w:r w:rsidRPr="0084723C">
        <w:t xml:space="preserve">Professor Erica Wood </w:t>
      </w:r>
      <w:r w:rsidRPr="0084723C">
        <w:tab/>
      </w:r>
      <w:r w:rsidRPr="0084723C">
        <w:tab/>
      </w:r>
      <w:r w:rsidRPr="0084723C">
        <w:tab/>
        <w:t>Non-affiliated Haematologist</w:t>
      </w:r>
    </w:p>
    <w:p w14:paraId="45CFF4C2" w14:textId="77777777" w:rsidR="0084723C" w:rsidRPr="003F37A1" w:rsidRDefault="003F37A1" w:rsidP="00D01D94">
      <w:pPr>
        <w:spacing w:after="0" w:line="276" w:lineRule="auto"/>
        <w:rPr>
          <w:b/>
        </w:rPr>
      </w:pPr>
      <w:r w:rsidRPr="003F37A1">
        <w:rPr>
          <w:b/>
        </w:rPr>
        <w:t>Expert Advisors</w:t>
      </w:r>
    </w:p>
    <w:p w14:paraId="55ED9ABB" w14:textId="77777777" w:rsidR="003F37A1" w:rsidRDefault="003F37A1" w:rsidP="00D01D94">
      <w:pPr>
        <w:spacing w:after="0" w:line="276" w:lineRule="auto"/>
        <w:rPr>
          <w:rFonts w:eastAsia="Times New Roman"/>
          <w:lang w:eastAsia="en-AU"/>
        </w:rPr>
      </w:pPr>
      <w:r>
        <w:t>Dr Heather Buchan</w:t>
      </w:r>
      <w:r>
        <w:tab/>
      </w:r>
      <w:r>
        <w:tab/>
      </w:r>
      <w:r>
        <w:tab/>
      </w:r>
      <w:r>
        <w:rPr>
          <w:rFonts w:eastAsia="Times New Roman"/>
          <w:lang w:eastAsia="en-AU"/>
        </w:rPr>
        <w:t>Australian Commission on Safety and Quality in Health Care</w:t>
      </w:r>
    </w:p>
    <w:p w14:paraId="1755D320" w14:textId="77777777" w:rsidR="003F37A1" w:rsidRDefault="003F37A1" w:rsidP="00D01D94">
      <w:pPr>
        <w:spacing w:after="0" w:line="276" w:lineRule="auto"/>
      </w:pPr>
      <w:r>
        <w:rPr>
          <w:rFonts w:eastAsia="Times New Roman"/>
          <w:lang w:eastAsia="en-AU"/>
        </w:rPr>
        <w:t>Dr Angela Gowland</w:t>
      </w:r>
      <w:r>
        <w:rPr>
          <w:rFonts w:eastAsia="Times New Roman"/>
          <w:lang w:eastAsia="en-AU"/>
        </w:rPr>
        <w:tab/>
      </w:r>
      <w:r>
        <w:rPr>
          <w:rFonts w:eastAsia="Times New Roman"/>
          <w:lang w:eastAsia="en-AU"/>
        </w:rPr>
        <w:tab/>
      </w:r>
      <w:r>
        <w:rPr>
          <w:rFonts w:eastAsia="Times New Roman"/>
          <w:lang w:eastAsia="en-AU"/>
        </w:rPr>
        <w:tab/>
        <w:t>Therapeutic Goods Administration</w:t>
      </w:r>
    </w:p>
    <w:p w14:paraId="52912846" w14:textId="77777777" w:rsidR="0012468F" w:rsidRDefault="0012468F" w:rsidP="0012468F">
      <w:pPr>
        <w:spacing w:after="0" w:line="276" w:lineRule="auto"/>
      </w:pPr>
      <w:r w:rsidRPr="0084723C">
        <w:t>Dr Adrian Webster</w:t>
      </w:r>
      <w:r w:rsidRPr="0084723C">
        <w:tab/>
      </w:r>
      <w:r w:rsidRPr="0084723C">
        <w:tab/>
      </w:r>
      <w:r w:rsidRPr="0084723C">
        <w:tab/>
        <w:t>Australian Institute of Health and Welfare</w:t>
      </w:r>
    </w:p>
    <w:p w14:paraId="404CA81E" w14:textId="77777777" w:rsidR="00873057" w:rsidRPr="00C51A96" w:rsidRDefault="00873057" w:rsidP="00873057">
      <w:pPr>
        <w:spacing w:line="276" w:lineRule="auto"/>
        <w:rPr>
          <w:b/>
          <w:color w:val="365F91" w:themeColor="accent1" w:themeShade="BF"/>
          <w:sz w:val="32"/>
          <w:szCs w:val="32"/>
        </w:rPr>
      </w:pPr>
      <w:r w:rsidRPr="00C51A96">
        <w:rPr>
          <w:b/>
          <w:color w:val="365F91" w:themeColor="accent1" w:themeShade="BF"/>
          <w:sz w:val="32"/>
          <w:szCs w:val="32"/>
        </w:rPr>
        <w:t xml:space="preserve">National Blood Authority </w:t>
      </w:r>
    </w:p>
    <w:p w14:paraId="57DA5FFD" w14:textId="77777777" w:rsidR="00873057" w:rsidRPr="00873057" w:rsidRDefault="00873057" w:rsidP="00873057">
      <w:pPr>
        <w:spacing w:after="0" w:line="276" w:lineRule="auto"/>
      </w:pPr>
      <w:r w:rsidRPr="00873057">
        <w:t xml:space="preserve">Mr John Cahill </w:t>
      </w:r>
      <w:r w:rsidRPr="00873057">
        <w:tab/>
      </w:r>
      <w:r w:rsidRPr="00873057">
        <w:tab/>
      </w:r>
      <w:r w:rsidRPr="00873057">
        <w:tab/>
      </w:r>
      <w:r w:rsidRPr="00873057">
        <w:tab/>
        <w:t>Chief Executive</w:t>
      </w:r>
    </w:p>
    <w:p w14:paraId="6FA1459F" w14:textId="77777777" w:rsidR="00873057" w:rsidRPr="00873057" w:rsidRDefault="00873057" w:rsidP="00873057">
      <w:pPr>
        <w:spacing w:after="0" w:line="276" w:lineRule="auto"/>
      </w:pPr>
      <w:r w:rsidRPr="00873057">
        <w:t xml:space="preserve">Ms Sandra Cochrane </w:t>
      </w:r>
      <w:r w:rsidRPr="00873057">
        <w:tab/>
      </w:r>
      <w:r w:rsidRPr="00873057">
        <w:tab/>
      </w:r>
      <w:r w:rsidRPr="00873057">
        <w:tab/>
        <w:t>Senior Advisor, Blood and Data Services</w:t>
      </w:r>
    </w:p>
    <w:p w14:paraId="18F8E75D" w14:textId="77777777" w:rsidR="00873057" w:rsidRPr="00873057" w:rsidRDefault="00873057" w:rsidP="00873057">
      <w:pPr>
        <w:spacing w:after="0" w:line="276" w:lineRule="auto"/>
      </w:pPr>
      <w:r w:rsidRPr="00873057">
        <w:t xml:space="preserve">Ms Suzie Cong </w:t>
      </w:r>
      <w:r w:rsidRPr="00873057">
        <w:tab/>
      </w:r>
      <w:r w:rsidRPr="00873057">
        <w:tab/>
      </w:r>
      <w:r w:rsidRPr="00873057">
        <w:tab/>
      </w:r>
      <w:r w:rsidRPr="00873057">
        <w:tab/>
        <w:t>Senior Data Analyst, Blood and Data Services</w:t>
      </w:r>
    </w:p>
    <w:p w14:paraId="1FD0A557" w14:textId="77777777" w:rsidR="00873057" w:rsidRPr="00873057" w:rsidRDefault="00873057" w:rsidP="00873057">
      <w:pPr>
        <w:spacing w:after="0" w:line="276" w:lineRule="auto"/>
      </w:pPr>
      <w:r w:rsidRPr="00873057">
        <w:t xml:space="preserve">Ms Leia Earnshaw </w:t>
      </w:r>
      <w:r w:rsidRPr="00873057">
        <w:tab/>
      </w:r>
      <w:r w:rsidRPr="00873057">
        <w:tab/>
      </w:r>
      <w:r w:rsidRPr="00873057">
        <w:tab/>
        <w:t>Assistant Director, Haemovigilance, Blood and Data Services</w:t>
      </w:r>
    </w:p>
    <w:p w14:paraId="2263CA2E" w14:textId="77777777" w:rsidR="00873057" w:rsidRDefault="00873057" w:rsidP="00873057">
      <w:pPr>
        <w:spacing w:after="0" w:line="276" w:lineRule="auto"/>
      </w:pPr>
      <w:r w:rsidRPr="00873057">
        <w:t xml:space="preserve">Ms Allison Peters </w:t>
      </w:r>
      <w:r w:rsidRPr="00873057">
        <w:tab/>
      </w:r>
      <w:r w:rsidRPr="00873057">
        <w:tab/>
      </w:r>
      <w:r w:rsidRPr="00873057">
        <w:tab/>
        <w:t>Senior Data Analyst, Blood and Data Services</w:t>
      </w:r>
    </w:p>
    <w:p w14:paraId="416DD95C" w14:textId="77777777" w:rsidR="00873057" w:rsidRPr="00C51A96" w:rsidRDefault="00873057" w:rsidP="00873057">
      <w:pPr>
        <w:spacing w:line="276" w:lineRule="auto"/>
        <w:rPr>
          <w:b/>
          <w:color w:val="365F91" w:themeColor="accent1" w:themeShade="BF"/>
          <w:sz w:val="32"/>
          <w:szCs w:val="32"/>
        </w:rPr>
      </w:pPr>
      <w:r>
        <w:rPr>
          <w:b/>
          <w:color w:val="365F91" w:themeColor="accent1" w:themeShade="BF"/>
          <w:sz w:val="32"/>
          <w:szCs w:val="32"/>
        </w:rPr>
        <w:t>Australian Government and State and Territory contributors</w:t>
      </w:r>
    </w:p>
    <w:p w14:paraId="2E38860D" w14:textId="77777777" w:rsidR="00873057" w:rsidRPr="00873057" w:rsidRDefault="00873057" w:rsidP="00873057">
      <w:pPr>
        <w:spacing w:after="0" w:line="276" w:lineRule="auto"/>
      </w:pPr>
      <w:r w:rsidRPr="00873057">
        <w:t>NSW Health Clinical Excellence Commission Blood Watch Program</w:t>
      </w:r>
    </w:p>
    <w:p w14:paraId="497B5C37" w14:textId="77777777" w:rsidR="00873057" w:rsidRPr="00873057" w:rsidRDefault="00873057" w:rsidP="00873057">
      <w:pPr>
        <w:spacing w:after="0" w:line="276" w:lineRule="auto"/>
      </w:pPr>
      <w:r w:rsidRPr="00873057">
        <w:t>VIC Department of Health and Human Services Blood Matters Program</w:t>
      </w:r>
    </w:p>
    <w:p w14:paraId="1C8D8C5D" w14:textId="77777777" w:rsidR="00873057" w:rsidRPr="00873057" w:rsidRDefault="00873057" w:rsidP="00873057">
      <w:pPr>
        <w:spacing w:after="0" w:line="276" w:lineRule="auto"/>
      </w:pPr>
      <w:r w:rsidRPr="00873057">
        <w:t>QLD Health</w:t>
      </w:r>
    </w:p>
    <w:p w14:paraId="7D4E9237" w14:textId="77777777" w:rsidR="00873057" w:rsidRPr="00873057" w:rsidRDefault="00873057" w:rsidP="00873057">
      <w:pPr>
        <w:spacing w:after="0" w:line="276" w:lineRule="auto"/>
      </w:pPr>
      <w:r w:rsidRPr="00873057">
        <w:t>SA Health BloodSafe Program</w:t>
      </w:r>
    </w:p>
    <w:p w14:paraId="4A4C3E4B" w14:textId="77777777" w:rsidR="00873057" w:rsidRPr="00873057" w:rsidRDefault="00873057" w:rsidP="00873057">
      <w:pPr>
        <w:spacing w:after="0" w:line="276" w:lineRule="auto"/>
      </w:pPr>
      <w:r w:rsidRPr="00873057">
        <w:t>WA Department of Health</w:t>
      </w:r>
    </w:p>
    <w:p w14:paraId="69FE95E4" w14:textId="77777777" w:rsidR="00873057" w:rsidRPr="00873057" w:rsidRDefault="00873057" w:rsidP="00873057">
      <w:pPr>
        <w:spacing w:after="0" w:line="276" w:lineRule="auto"/>
      </w:pPr>
      <w:r w:rsidRPr="00873057">
        <w:t>TAS Department of Health and Human Services</w:t>
      </w:r>
    </w:p>
    <w:p w14:paraId="66C93314" w14:textId="77777777" w:rsidR="00873057" w:rsidRPr="00873057" w:rsidRDefault="00873057" w:rsidP="00873057">
      <w:pPr>
        <w:spacing w:after="0" w:line="276" w:lineRule="auto"/>
      </w:pPr>
      <w:r w:rsidRPr="00873057">
        <w:t>ACT Health</w:t>
      </w:r>
    </w:p>
    <w:p w14:paraId="4FB96BA5" w14:textId="77777777" w:rsidR="00873057" w:rsidRPr="00873057" w:rsidRDefault="00873057" w:rsidP="00873057">
      <w:pPr>
        <w:spacing w:after="0" w:line="276" w:lineRule="auto"/>
      </w:pPr>
      <w:r w:rsidRPr="00873057">
        <w:t>NT Department of Health</w:t>
      </w:r>
    </w:p>
    <w:p w14:paraId="17636991" w14:textId="77777777" w:rsidR="00873057" w:rsidRDefault="00873057" w:rsidP="00873057">
      <w:pPr>
        <w:spacing w:after="0" w:line="276" w:lineRule="auto"/>
      </w:pPr>
    </w:p>
    <w:p w14:paraId="5BD5A43C" w14:textId="77777777" w:rsidR="00026EA6" w:rsidRDefault="00873057" w:rsidP="00873057">
      <w:pPr>
        <w:spacing w:after="0" w:line="276" w:lineRule="auto"/>
      </w:pPr>
      <w:r>
        <w:t>SECTION 2 – DONOR VIGILANCE was contributed by the Australian Red Cross Lifeblood.</w:t>
      </w:r>
    </w:p>
    <w:sectPr w:rsidR="00026EA6" w:rsidSect="00856708">
      <w:headerReference w:type="default" r:id="rId74"/>
      <w:footerReference w:type="default" r:id="rId75"/>
      <w:pgSz w:w="11906" w:h="16838"/>
      <w:pgMar w:top="1440" w:right="1133"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D828B0" w14:textId="77777777" w:rsidR="00485D4D" w:rsidRDefault="00485D4D" w:rsidP="00856708">
      <w:pPr>
        <w:spacing w:after="0"/>
      </w:pPr>
      <w:r>
        <w:separator/>
      </w:r>
    </w:p>
  </w:endnote>
  <w:endnote w:type="continuationSeparator" w:id="0">
    <w:p w14:paraId="7D8F025E" w14:textId="77777777" w:rsidR="00485D4D" w:rsidRDefault="00485D4D" w:rsidP="008567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otum">
    <w:altName w:val="돋움"/>
    <w:panose1 w:val="020B0600000101010101"/>
    <w:charset w:val="81"/>
    <w:family w:val="swiss"/>
    <w:pitch w:val="variable"/>
    <w:sig w:usb0="00000000" w:usb1="69D77CFB" w:usb2="00000030" w:usb3="00000000" w:csb0="0008009F" w:csb1="00000000"/>
  </w:font>
  <w:font w:name="HYGothic-Extra">
    <w:panose1 w:val="00000000000000000000"/>
    <w:charset w:val="81"/>
    <w:family w:val="roman"/>
    <w:notTrueType/>
    <w:pitch w:val="default"/>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tilliumText25L">
    <w:panose1 w:val="02000000000000000000"/>
    <w:charset w:val="00"/>
    <w:family w:val="auto"/>
    <w:pitch w:val="variable"/>
    <w:sig w:usb0="A00000EF" w:usb1="0000004B"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846B6" w14:textId="641B4286" w:rsidR="00485D4D" w:rsidRPr="00856708" w:rsidRDefault="00485D4D" w:rsidP="00856708">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t xml:space="preserve">pg. </w:t>
    </w:r>
    <w:r w:rsidRPr="00856708">
      <w:rPr>
        <w:sz w:val="20"/>
        <w:szCs w:val="20"/>
      </w:rPr>
      <w:fldChar w:fldCharType="begin"/>
    </w:r>
    <w:r w:rsidRPr="00856708">
      <w:rPr>
        <w:sz w:val="20"/>
        <w:szCs w:val="20"/>
      </w:rPr>
      <w:instrText xml:space="preserve"> PAGE    \* MERGEFORMAT </w:instrText>
    </w:r>
    <w:r w:rsidRPr="00856708">
      <w:rPr>
        <w:sz w:val="20"/>
        <w:szCs w:val="20"/>
      </w:rPr>
      <w:fldChar w:fldCharType="separate"/>
    </w:r>
    <w:r w:rsidR="00D41059">
      <w:rPr>
        <w:noProof/>
        <w:sz w:val="20"/>
        <w:szCs w:val="20"/>
      </w:rPr>
      <w:t>2</w:t>
    </w:r>
    <w:r w:rsidRPr="00856708">
      <w:rPr>
        <w:sz w:val="20"/>
        <w:szCs w:val="20"/>
      </w:rPr>
      <w:fldChar w:fldCharType="end"/>
    </w:r>
  </w:p>
  <w:p w14:paraId="504879D2" w14:textId="77777777" w:rsidR="00485D4D" w:rsidRDefault="00485D4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E41ED5" w14:textId="77777777" w:rsidR="00485D4D" w:rsidRDefault="00485D4D" w:rsidP="00856708">
      <w:pPr>
        <w:spacing w:after="0"/>
      </w:pPr>
      <w:r>
        <w:separator/>
      </w:r>
    </w:p>
  </w:footnote>
  <w:footnote w:type="continuationSeparator" w:id="0">
    <w:p w14:paraId="0293DAA7" w14:textId="77777777" w:rsidR="00485D4D" w:rsidRDefault="00485D4D" w:rsidP="00856708">
      <w:pPr>
        <w:spacing w:after="0"/>
      </w:pPr>
      <w:r>
        <w:continuationSeparator/>
      </w:r>
    </w:p>
  </w:footnote>
  <w:footnote w:id="1">
    <w:p w14:paraId="63A85E82" w14:textId="77777777" w:rsidR="00485D4D" w:rsidRDefault="00485D4D">
      <w:pPr>
        <w:pStyle w:val="FootnoteText"/>
      </w:pPr>
      <w:r>
        <w:rPr>
          <w:rStyle w:val="FootnoteReference"/>
        </w:rPr>
        <w:footnoteRef/>
      </w:r>
      <w:r>
        <w:t xml:space="preserve"> Based on minimum collection of 450mL for males and females</w:t>
      </w:r>
    </w:p>
  </w:footnote>
  <w:footnote w:id="2">
    <w:p w14:paraId="4D3E7A64" w14:textId="77777777" w:rsidR="00485D4D" w:rsidRDefault="00485D4D">
      <w:pPr>
        <w:pStyle w:val="FootnoteText"/>
      </w:pPr>
      <w:r>
        <w:rPr>
          <w:rStyle w:val="FootnoteReference"/>
        </w:rPr>
        <w:footnoteRef/>
      </w:r>
      <w:r>
        <w:t xml:space="preserve"> </w:t>
      </w:r>
      <w:r w:rsidRPr="005828D7">
        <w:t>Based on minimum collection volume of 422mL for females and 488mL for males excluding anticoagulant</w:t>
      </w:r>
    </w:p>
  </w:footnote>
  <w:footnote w:id="3">
    <w:p w14:paraId="70EA2E02" w14:textId="77777777" w:rsidR="00485D4D" w:rsidRDefault="00485D4D">
      <w:pPr>
        <w:pStyle w:val="FootnoteText"/>
      </w:pPr>
      <w:r>
        <w:rPr>
          <w:rStyle w:val="FootnoteReference"/>
        </w:rPr>
        <w:footnoteRef/>
      </w:r>
      <w:r>
        <w:t xml:space="preserve"> </w:t>
      </w:r>
      <w:r w:rsidRPr="005828D7">
        <w:t>Based on collection of double-dose platelet</w:t>
      </w:r>
    </w:p>
    <w:p w14:paraId="62F40134" w14:textId="77777777" w:rsidR="00485D4D" w:rsidRDefault="00485D4D">
      <w:pPr>
        <w:pStyle w:val="FootnoteText"/>
      </w:pPr>
      <w:r w:rsidRPr="005828D7">
        <w:rPr>
          <w:vertAlign w:val="superscript"/>
        </w:rPr>
        <w:t>1,2,3</w:t>
      </w:r>
      <w:r w:rsidRPr="005828D7">
        <w:t xml:space="preserve"> Collection times are based on data from FY 2015/16 to 2018/19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21EB4" w14:textId="77777777" w:rsidR="00485D4D" w:rsidRDefault="00485D4D" w:rsidP="002C09A1">
    <w:pPr>
      <w:pStyle w:val="Header"/>
    </w:pPr>
    <w:r>
      <w:rPr>
        <w:noProof/>
        <w:lang w:eastAsia="en-AU"/>
      </w:rPr>
      <w:drawing>
        <wp:anchor distT="0" distB="0" distL="114300" distR="114300" simplePos="0" relativeHeight="251658240" behindDoc="0" locked="0" layoutInCell="1" allowOverlap="1" wp14:anchorId="6F9A1B00" wp14:editId="060AB402">
          <wp:simplePos x="0" y="0"/>
          <wp:positionH relativeFrom="column">
            <wp:posOffset>-1043317</wp:posOffset>
          </wp:positionH>
          <wp:positionV relativeFrom="paragraph">
            <wp:posOffset>-518699</wp:posOffset>
          </wp:positionV>
          <wp:extent cx="7694295" cy="1045210"/>
          <wp:effectExtent l="0" t="0" r="1905" b="2540"/>
          <wp:wrapThrough wrapText="bothSides">
            <wp:wrapPolygon edited="0">
              <wp:start x="0" y="0"/>
              <wp:lineTo x="0" y="21259"/>
              <wp:lineTo x="21552" y="21259"/>
              <wp:lineTo x="2155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19-Header_v2-01.png"/>
                  <pic:cNvPicPr/>
                </pic:nvPicPr>
                <pic:blipFill rotWithShape="1">
                  <a:blip r:embed="rId1" cstate="print">
                    <a:extLst>
                      <a:ext uri="{28A0092B-C50C-407E-A947-70E740481C1C}">
                        <a14:useLocalDpi xmlns:a14="http://schemas.microsoft.com/office/drawing/2010/main" val="0"/>
                      </a:ext>
                    </a:extLst>
                  </a:blip>
                  <a:srcRect t="25736"/>
                  <a:stretch/>
                </pic:blipFill>
                <pic:spPr bwMode="auto">
                  <a:xfrm>
                    <a:off x="0" y="0"/>
                    <a:ext cx="7694295" cy="1045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04DB22" w14:textId="77777777" w:rsidR="00485D4D" w:rsidRDefault="00485D4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37A85"/>
    <w:multiLevelType w:val="hybridMultilevel"/>
    <w:tmpl w:val="4F1A289A"/>
    <w:lvl w:ilvl="0" w:tplc="B6E4EA50">
      <w:start w:val="1"/>
      <w:numFmt w:val="decimal"/>
      <w:lvlText w:val="%1."/>
      <w:lvlJc w:val="left"/>
      <w:pPr>
        <w:ind w:left="900"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732056"/>
    <w:multiLevelType w:val="hybridMultilevel"/>
    <w:tmpl w:val="8F9A8C8C"/>
    <w:lvl w:ilvl="0" w:tplc="04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C00C10"/>
    <w:multiLevelType w:val="hybridMultilevel"/>
    <w:tmpl w:val="F7C60458"/>
    <w:lvl w:ilvl="0" w:tplc="0E8A336C">
      <w:numFmt w:val="bullet"/>
      <w:lvlText w:val="–"/>
      <w:lvlJc w:val="left"/>
      <w:pPr>
        <w:ind w:left="110" w:hanging="284"/>
      </w:pPr>
      <w:rPr>
        <w:rFonts w:ascii="Calibri" w:eastAsia="Calibri" w:hAnsi="Calibri" w:cs="Calibri" w:hint="default"/>
        <w:w w:val="99"/>
        <w:sz w:val="20"/>
        <w:szCs w:val="20"/>
        <w:lang w:val="en-AU" w:eastAsia="en-AU" w:bidi="en-AU"/>
      </w:rPr>
    </w:lvl>
    <w:lvl w:ilvl="1" w:tplc="15E8A392">
      <w:numFmt w:val="bullet"/>
      <w:lvlText w:val="•"/>
      <w:lvlJc w:val="left"/>
      <w:pPr>
        <w:ind w:left="942" w:hanging="284"/>
      </w:pPr>
      <w:rPr>
        <w:rFonts w:hint="default"/>
        <w:lang w:val="en-AU" w:eastAsia="en-AU" w:bidi="en-AU"/>
      </w:rPr>
    </w:lvl>
    <w:lvl w:ilvl="2" w:tplc="BB52A884">
      <w:numFmt w:val="bullet"/>
      <w:lvlText w:val="•"/>
      <w:lvlJc w:val="left"/>
      <w:pPr>
        <w:ind w:left="1765" w:hanging="284"/>
      </w:pPr>
      <w:rPr>
        <w:rFonts w:hint="default"/>
        <w:lang w:val="en-AU" w:eastAsia="en-AU" w:bidi="en-AU"/>
      </w:rPr>
    </w:lvl>
    <w:lvl w:ilvl="3" w:tplc="46DA6948">
      <w:numFmt w:val="bullet"/>
      <w:lvlText w:val="•"/>
      <w:lvlJc w:val="left"/>
      <w:pPr>
        <w:ind w:left="2588" w:hanging="284"/>
      </w:pPr>
      <w:rPr>
        <w:rFonts w:hint="default"/>
        <w:lang w:val="en-AU" w:eastAsia="en-AU" w:bidi="en-AU"/>
      </w:rPr>
    </w:lvl>
    <w:lvl w:ilvl="4" w:tplc="683C6136">
      <w:numFmt w:val="bullet"/>
      <w:lvlText w:val="•"/>
      <w:lvlJc w:val="left"/>
      <w:pPr>
        <w:ind w:left="3411" w:hanging="284"/>
      </w:pPr>
      <w:rPr>
        <w:rFonts w:hint="default"/>
        <w:lang w:val="en-AU" w:eastAsia="en-AU" w:bidi="en-AU"/>
      </w:rPr>
    </w:lvl>
    <w:lvl w:ilvl="5" w:tplc="F4446380">
      <w:numFmt w:val="bullet"/>
      <w:lvlText w:val="•"/>
      <w:lvlJc w:val="left"/>
      <w:pPr>
        <w:ind w:left="4234" w:hanging="284"/>
      </w:pPr>
      <w:rPr>
        <w:rFonts w:hint="default"/>
        <w:lang w:val="en-AU" w:eastAsia="en-AU" w:bidi="en-AU"/>
      </w:rPr>
    </w:lvl>
    <w:lvl w:ilvl="6" w:tplc="B56C5F4A">
      <w:numFmt w:val="bullet"/>
      <w:lvlText w:val="•"/>
      <w:lvlJc w:val="left"/>
      <w:pPr>
        <w:ind w:left="5057" w:hanging="284"/>
      </w:pPr>
      <w:rPr>
        <w:rFonts w:hint="default"/>
        <w:lang w:val="en-AU" w:eastAsia="en-AU" w:bidi="en-AU"/>
      </w:rPr>
    </w:lvl>
    <w:lvl w:ilvl="7" w:tplc="21923292">
      <w:numFmt w:val="bullet"/>
      <w:lvlText w:val="•"/>
      <w:lvlJc w:val="left"/>
      <w:pPr>
        <w:ind w:left="5880" w:hanging="284"/>
      </w:pPr>
      <w:rPr>
        <w:rFonts w:hint="default"/>
        <w:lang w:val="en-AU" w:eastAsia="en-AU" w:bidi="en-AU"/>
      </w:rPr>
    </w:lvl>
    <w:lvl w:ilvl="8" w:tplc="6FE04F02">
      <w:numFmt w:val="bullet"/>
      <w:lvlText w:val="•"/>
      <w:lvlJc w:val="left"/>
      <w:pPr>
        <w:ind w:left="6703" w:hanging="284"/>
      </w:pPr>
      <w:rPr>
        <w:rFonts w:hint="default"/>
        <w:lang w:val="en-AU" w:eastAsia="en-AU" w:bidi="en-AU"/>
      </w:rPr>
    </w:lvl>
  </w:abstractNum>
  <w:abstractNum w:abstractNumId="3" w15:restartNumberingAfterBreak="0">
    <w:nsid w:val="0A3D02EB"/>
    <w:multiLevelType w:val="hybridMultilevel"/>
    <w:tmpl w:val="1C9E4276"/>
    <w:lvl w:ilvl="0" w:tplc="D9B6D602">
      <w:start w:val="1"/>
      <w:numFmt w:val="decimal"/>
      <w:lvlText w:val="%1."/>
      <w:lvlJc w:val="left"/>
      <w:pPr>
        <w:ind w:left="825" w:hanging="46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C7023B"/>
    <w:multiLevelType w:val="hybridMultilevel"/>
    <w:tmpl w:val="5E8EC8EC"/>
    <w:lvl w:ilvl="0" w:tplc="D9B6D602">
      <w:start w:val="1"/>
      <w:numFmt w:val="decimal"/>
      <w:lvlText w:val="%1."/>
      <w:lvlJc w:val="left"/>
      <w:pPr>
        <w:ind w:left="825" w:hanging="46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D256AE1"/>
    <w:multiLevelType w:val="hybridMultilevel"/>
    <w:tmpl w:val="3112E88A"/>
    <w:lvl w:ilvl="0" w:tplc="82F8C932">
      <w:start w:val="1"/>
      <w:numFmt w:val="decimal"/>
      <w:lvlText w:val="%1."/>
      <w:lvlJc w:val="left"/>
      <w:pPr>
        <w:ind w:left="825" w:hanging="46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EAD42DA"/>
    <w:multiLevelType w:val="hybridMultilevel"/>
    <w:tmpl w:val="B588D578"/>
    <w:lvl w:ilvl="0" w:tplc="04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2782E94"/>
    <w:multiLevelType w:val="hybridMultilevel"/>
    <w:tmpl w:val="FC922F02"/>
    <w:lvl w:ilvl="0" w:tplc="82F8C932">
      <w:start w:val="1"/>
      <w:numFmt w:val="decimal"/>
      <w:lvlText w:val="%1."/>
      <w:lvlJc w:val="left"/>
      <w:pPr>
        <w:ind w:left="825" w:hanging="46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E87A6F"/>
    <w:multiLevelType w:val="hybridMultilevel"/>
    <w:tmpl w:val="7A0466C4"/>
    <w:lvl w:ilvl="0" w:tplc="B6E4EA50">
      <w:start w:val="1"/>
      <w:numFmt w:val="decimal"/>
      <w:lvlText w:val="%1."/>
      <w:lvlJc w:val="left"/>
      <w:pPr>
        <w:ind w:left="900"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4AD7286"/>
    <w:multiLevelType w:val="hybridMultilevel"/>
    <w:tmpl w:val="864EF2FC"/>
    <w:lvl w:ilvl="0" w:tplc="45FC6348">
      <w:numFmt w:val="bullet"/>
      <w:lvlText w:val="–"/>
      <w:lvlJc w:val="left"/>
      <w:pPr>
        <w:ind w:left="676" w:hanging="284"/>
      </w:pPr>
      <w:rPr>
        <w:rFonts w:ascii="Calibri" w:eastAsia="Calibri" w:hAnsi="Calibri" w:cs="Calibri" w:hint="default"/>
        <w:w w:val="99"/>
        <w:sz w:val="20"/>
        <w:szCs w:val="20"/>
        <w:lang w:val="en-AU" w:eastAsia="en-AU" w:bidi="en-AU"/>
      </w:rPr>
    </w:lvl>
    <w:lvl w:ilvl="1" w:tplc="3B9A11EC">
      <w:numFmt w:val="bullet"/>
      <w:lvlText w:val="•"/>
      <w:lvlJc w:val="left"/>
      <w:pPr>
        <w:ind w:left="1446" w:hanging="284"/>
      </w:pPr>
      <w:rPr>
        <w:rFonts w:hint="default"/>
        <w:lang w:val="en-AU" w:eastAsia="en-AU" w:bidi="en-AU"/>
      </w:rPr>
    </w:lvl>
    <w:lvl w:ilvl="2" w:tplc="F8F212BC">
      <w:numFmt w:val="bullet"/>
      <w:lvlText w:val="•"/>
      <w:lvlJc w:val="left"/>
      <w:pPr>
        <w:ind w:left="2213" w:hanging="284"/>
      </w:pPr>
      <w:rPr>
        <w:rFonts w:hint="default"/>
        <w:lang w:val="en-AU" w:eastAsia="en-AU" w:bidi="en-AU"/>
      </w:rPr>
    </w:lvl>
    <w:lvl w:ilvl="3" w:tplc="124AEB12">
      <w:numFmt w:val="bullet"/>
      <w:lvlText w:val="•"/>
      <w:lvlJc w:val="left"/>
      <w:pPr>
        <w:ind w:left="2980" w:hanging="284"/>
      </w:pPr>
      <w:rPr>
        <w:rFonts w:hint="default"/>
        <w:lang w:val="en-AU" w:eastAsia="en-AU" w:bidi="en-AU"/>
      </w:rPr>
    </w:lvl>
    <w:lvl w:ilvl="4" w:tplc="C1208F92">
      <w:numFmt w:val="bullet"/>
      <w:lvlText w:val="•"/>
      <w:lvlJc w:val="left"/>
      <w:pPr>
        <w:ind w:left="3747" w:hanging="284"/>
      </w:pPr>
      <w:rPr>
        <w:rFonts w:hint="default"/>
        <w:lang w:val="en-AU" w:eastAsia="en-AU" w:bidi="en-AU"/>
      </w:rPr>
    </w:lvl>
    <w:lvl w:ilvl="5" w:tplc="5E544E1C">
      <w:numFmt w:val="bullet"/>
      <w:lvlText w:val="•"/>
      <w:lvlJc w:val="left"/>
      <w:pPr>
        <w:ind w:left="4514" w:hanging="284"/>
      </w:pPr>
      <w:rPr>
        <w:rFonts w:hint="default"/>
        <w:lang w:val="en-AU" w:eastAsia="en-AU" w:bidi="en-AU"/>
      </w:rPr>
    </w:lvl>
    <w:lvl w:ilvl="6" w:tplc="EC9EE78A">
      <w:numFmt w:val="bullet"/>
      <w:lvlText w:val="•"/>
      <w:lvlJc w:val="left"/>
      <w:pPr>
        <w:ind w:left="5281" w:hanging="284"/>
      </w:pPr>
      <w:rPr>
        <w:rFonts w:hint="default"/>
        <w:lang w:val="en-AU" w:eastAsia="en-AU" w:bidi="en-AU"/>
      </w:rPr>
    </w:lvl>
    <w:lvl w:ilvl="7" w:tplc="434E7E96">
      <w:numFmt w:val="bullet"/>
      <w:lvlText w:val="•"/>
      <w:lvlJc w:val="left"/>
      <w:pPr>
        <w:ind w:left="6048" w:hanging="284"/>
      </w:pPr>
      <w:rPr>
        <w:rFonts w:hint="default"/>
        <w:lang w:val="en-AU" w:eastAsia="en-AU" w:bidi="en-AU"/>
      </w:rPr>
    </w:lvl>
    <w:lvl w:ilvl="8" w:tplc="B2D2C652">
      <w:numFmt w:val="bullet"/>
      <w:lvlText w:val="•"/>
      <w:lvlJc w:val="left"/>
      <w:pPr>
        <w:ind w:left="6815" w:hanging="284"/>
      </w:pPr>
      <w:rPr>
        <w:rFonts w:hint="default"/>
        <w:lang w:val="en-AU" w:eastAsia="en-AU" w:bidi="en-AU"/>
      </w:rPr>
    </w:lvl>
  </w:abstractNum>
  <w:abstractNum w:abstractNumId="10" w15:restartNumberingAfterBreak="0">
    <w:nsid w:val="1CEE1146"/>
    <w:multiLevelType w:val="hybridMultilevel"/>
    <w:tmpl w:val="A06E06C4"/>
    <w:lvl w:ilvl="0" w:tplc="B6E4EA50">
      <w:start w:val="1"/>
      <w:numFmt w:val="decimal"/>
      <w:lvlText w:val="%1."/>
      <w:lvlJc w:val="left"/>
      <w:pPr>
        <w:ind w:left="900"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CF75D8A"/>
    <w:multiLevelType w:val="hybridMultilevel"/>
    <w:tmpl w:val="81F6580E"/>
    <w:lvl w:ilvl="0" w:tplc="D9B6D602">
      <w:start w:val="1"/>
      <w:numFmt w:val="decimal"/>
      <w:lvlText w:val="%1."/>
      <w:lvlJc w:val="left"/>
      <w:pPr>
        <w:ind w:left="825" w:hanging="46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36767AA"/>
    <w:multiLevelType w:val="hybridMultilevel"/>
    <w:tmpl w:val="8A68243C"/>
    <w:lvl w:ilvl="0" w:tplc="B6E4EA50">
      <w:start w:val="1"/>
      <w:numFmt w:val="decimal"/>
      <w:lvlText w:val="%1."/>
      <w:lvlJc w:val="left"/>
      <w:pPr>
        <w:ind w:left="900"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423160C"/>
    <w:multiLevelType w:val="hybridMultilevel"/>
    <w:tmpl w:val="3B0A5332"/>
    <w:lvl w:ilvl="0" w:tplc="82F8C932">
      <w:start w:val="1"/>
      <w:numFmt w:val="decimal"/>
      <w:lvlText w:val="%1."/>
      <w:lvlJc w:val="left"/>
      <w:pPr>
        <w:ind w:left="825" w:hanging="46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5AE49D1"/>
    <w:multiLevelType w:val="hybridMultilevel"/>
    <w:tmpl w:val="19E02BA2"/>
    <w:lvl w:ilvl="0" w:tplc="04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9A266F3"/>
    <w:multiLevelType w:val="hybridMultilevel"/>
    <w:tmpl w:val="69E4F212"/>
    <w:lvl w:ilvl="0" w:tplc="82F8C932">
      <w:start w:val="1"/>
      <w:numFmt w:val="decimal"/>
      <w:lvlText w:val="%1."/>
      <w:lvlJc w:val="left"/>
      <w:pPr>
        <w:ind w:left="825" w:hanging="46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A3C7386"/>
    <w:multiLevelType w:val="hybridMultilevel"/>
    <w:tmpl w:val="5C16155C"/>
    <w:lvl w:ilvl="0" w:tplc="D49AB12C">
      <w:start w:val="1"/>
      <w:numFmt w:val="bullet"/>
      <w:lvlText w:val="&gt;"/>
      <w:lvlJc w:val="left"/>
      <w:pPr>
        <w:ind w:left="720" w:hanging="360"/>
      </w:pPr>
      <w:rPr>
        <w:rFonts w:ascii="Calibri" w:hAnsi="Calibri" w:hint="default"/>
        <w:b/>
        <w:i w:val="0"/>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1A4236"/>
    <w:multiLevelType w:val="hybridMultilevel"/>
    <w:tmpl w:val="ACB080C8"/>
    <w:lvl w:ilvl="0" w:tplc="B6E4EA50">
      <w:start w:val="1"/>
      <w:numFmt w:val="decimal"/>
      <w:lvlText w:val="%1."/>
      <w:lvlJc w:val="left"/>
      <w:pPr>
        <w:ind w:left="900"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B3966CC"/>
    <w:multiLevelType w:val="hybridMultilevel"/>
    <w:tmpl w:val="31143856"/>
    <w:lvl w:ilvl="0" w:tplc="D9B6D602">
      <w:start w:val="1"/>
      <w:numFmt w:val="decimal"/>
      <w:lvlText w:val="%1."/>
      <w:lvlJc w:val="left"/>
      <w:pPr>
        <w:ind w:left="825" w:hanging="46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D0005EA"/>
    <w:multiLevelType w:val="hybridMultilevel"/>
    <w:tmpl w:val="B2CE3770"/>
    <w:lvl w:ilvl="0" w:tplc="AA725412">
      <w:start w:val="1"/>
      <w:numFmt w:val="decimal"/>
      <w:lvlText w:val="%1."/>
      <w:lvlJc w:val="left"/>
      <w:pPr>
        <w:ind w:left="900"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F22629E"/>
    <w:multiLevelType w:val="hybridMultilevel"/>
    <w:tmpl w:val="2BD28B66"/>
    <w:lvl w:ilvl="0" w:tplc="6DD2942E">
      <w:numFmt w:val="bullet"/>
      <w:lvlText w:val="–"/>
      <w:lvlJc w:val="left"/>
      <w:pPr>
        <w:ind w:left="676" w:hanging="284"/>
      </w:pPr>
      <w:rPr>
        <w:rFonts w:ascii="Calibri" w:eastAsia="Calibri" w:hAnsi="Calibri" w:cs="Calibri" w:hint="default"/>
        <w:w w:val="99"/>
        <w:sz w:val="20"/>
        <w:szCs w:val="20"/>
        <w:lang w:val="en-AU" w:eastAsia="en-AU" w:bidi="en-AU"/>
      </w:rPr>
    </w:lvl>
    <w:lvl w:ilvl="1" w:tplc="50AEAF1A">
      <w:numFmt w:val="bullet"/>
      <w:lvlText w:val="•"/>
      <w:lvlJc w:val="left"/>
      <w:pPr>
        <w:ind w:left="1446" w:hanging="284"/>
      </w:pPr>
      <w:rPr>
        <w:rFonts w:hint="default"/>
        <w:lang w:val="en-AU" w:eastAsia="en-AU" w:bidi="en-AU"/>
      </w:rPr>
    </w:lvl>
    <w:lvl w:ilvl="2" w:tplc="125E1684">
      <w:numFmt w:val="bullet"/>
      <w:lvlText w:val="•"/>
      <w:lvlJc w:val="left"/>
      <w:pPr>
        <w:ind w:left="2213" w:hanging="284"/>
      </w:pPr>
      <w:rPr>
        <w:rFonts w:hint="default"/>
        <w:lang w:val="en-AU" w:eastAsia="en-AU" w:bidi="en-AU"/>
      </w:rPr>
    </w:lvl>
    <w:lvl w:ilvl="3" w:tplc="3F2E1F98">
      <w:numFmt w:val="bullet"/>
      <w:lvlText w:val="•"/>
      <w:lvlJc w:val="left"/>
      <w:pPr>
        <w:ind w:left="2980" w:hanging="284"/>
      </w:pPr>
      <w:rPr>
        <w:rFonts w:hint="default"/>
        <w:lang w:val="en-AU" w:eastAsia="en-AU" w:bidi="en-AU"/>
      </w:rPr>
    </w:lvl>
    <w:lvl w:ilvl="4" w:tplc="6E701AE4">
      <w:numFmt w:val="bullet"/>
      <w:lvlText w:val="•"/>
      <w:lvlJc w:val="left"/>
      <w:pPr>
        <w:ind w:left="3747" w:hanging="284"/>
      </w:pPr>
      <w:rPr>
        <w:rFonts w:hint="default"/>
        <w:lang w:val="en-AU" w:eastAsia="en-AU" w:bidi="en-AU"/>
      </w:rPr>
    </w:lvl>
    <w:lvl w:ilvl="5" w:tplc="F5DC7D7E">
      <w:numFmt w:val="bullet"/>
      <w:lvlText w:val="•"/>
      <w:lvlJc w:val="left"/>
      <w:pPr>
        <w:ind w:left="4514" w:hanging="284"/>
      </w:pPr>
      <w:rPr>
        <w:rFonts w:hint="default"/>
        <w:lang w:val="en-AU" w:eastAsia="en-AU" w:bidi="en-AU"/>
      </w:rPr>
    </w:lvl>
    <w:lvl w:ilvl="6" w:tplc="C7A49AE4">
      <w:numFmt w:val="bullet"/>
      <w:lvlText w:val="•"/>
      <w:lvlJc w:val="left"/>
      <w:pPr>
        <w:ind w:left="5281" w:hanging="284"/>
      </w:pPr>
      <w:rPr>
        <w:rFonts w:hint="default"/>
        <w:lang w:val="en-AU" w:eastAsia="en-AU" w:bidi="en-AU"/>
      </w:rPr>
    </w:lvl>
    <w:lvl w:ilvl="7" w:tplc="A1CC98D6">
      <w:numFmt w:val="bullet"/>
      <w:lvlText w:val="•"/>
      <w:lvlJc w:val="left"/>
      <w:pPr>
        <w:ind w:left="6048" w:hanging="284"/>
      </w:pPr>
      <w:rPr>
        <w:rFonts w:hint="default"/>
        <w:lang w:val="en-AU" w:eastAsia="en-AU" w:bidi="en-AU"/>
      </w:rPr>
    </w:lvl>
    <w:lvl w:ilvl="8" w:tplc="D11250E6">
      <w:numFmt w:val="bullet"/>
      <w:lvlText w:val="•"/>
      <w:lvlJc w:val="left"/>
      <w:pPr>
        <w:ind w:left="6815" w:hanging="284"/>
      </w:pPr>
      <w:rPr>
        <w:rFonts w:hint="default"/>
        <w:lang w:val="en-AU" w:eastAsia="en-AU" w:bidi="en-AU"/>
      </w:rPr>
    </w:lvl>
  </w:abstractNum>
  <w:abstractNum w:abstractNumId="21" w15:restartNumberingAfterBreak="0">
    <w:nsid w:val="31DF7BF4"/>
    <w:multiLevelType w:val="multilevel"/>
    <w:tmpl w:val="E25EB8C8"/>
    <w:lvl w:ilvl="0">
      <w:start w:val="1"/>
      <w:numFmt w:val="decimal"/>
      <w:lvlText w:val="%1. "/>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15:restartNumberingAfterBreak="0">
    <w:nsid w:val="37434B42"/>
    <w:multiLevelType w:val="hybridMultilevel"/>
    <w:tmpl w:val="E28CBCD8"/>
    <w:lvl w:ilvl="0" w:tplc="DA3E38AC">
      <w:start w:val="1"/>
      <w:numFmt w:val="bullet"/>
      <w:lvlText w:val="&gt;"/>
      <w:lvlJc w:val="left"/>
      <w:pPr>
        <w:ind w:left="720" w:hanging="360"/>
      </w:pPr>
      <w:rPr>
        <w:rFonts w:ascii="Calibri" w:hAnsi="Calibri" w:hint="default"/>
        <w:b/>
        <w:i w:val="0"/>
        <w:color w:val="BCBDBC"/>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6D714C"/>
    <w:multiLevelType w:val="hybridMultilevel"/>
    <w:tmpl w:val="96EC6AD4"/>
    <w:lvl w:ilvl="0" w:tplc="B6E4EA50">
      <w:start w:val="1"/>
      <w:numFmt w:val="decimal"/>
      <w:lvlText w:val="%1."/>
      <w:lvlJc w:val="left"/>
      <w:pPr>
        <w:ind w:left="900"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97B6AB8"/>
    <w:multiLevelType w:val="hybridMultilevel"/>
    <w:tmpl w:val="A3581A90"/>
    <w:lvl w:ilvl="0" w:tplc="B6E4EA50">
      <w:start w:val="1"/>
      <w:numFmt w:val="decimal"/>
      <w:lvlText w:val="%1."/>
      <w:lvlJc w:val="left"/>
      <w:pPr>
        <w:ind w:left="900"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A830346"/>
    <w:multiLevelType w:val="hybridMultilevel"/>
    <w:tmpl w:val="98D00330"/>
    <w:lvl w:ilvl="0" w:tplc="B6E4EA50">
      <w:start w:val="1"/>
      <w:numFmt w:val="decimal"/>
      <w:lvlText w:val="%1."/>
      <w:lvlJc w:val="left"/>
      <w:pPr>
        <w:ind w:left="900"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DAD563D"/>
    <w:multiLevelType w:val="hybridMultilevel"/>
    <w:tmpl w:val="8B5E0DD8"/>
    <w:lvl w:ilvl="0" w:tplc="B6E4EA50">
      <w:start w:val="1"/>
      <w:numFmt w:val="decimal"/>
      <w:lvlText w:val="%1."/>
      <w:lvlJc w:val="left"/>
      <w:pPr>
        <w:ind w:left="900"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F1E324E"/>
    <w:multiLevelType w:val="hybridMultilevel"/>
    <w:tmpl w:val="3BC0A586"/>
    <w:lvl w:ilvl="0" w:tplc="B6E4EA50">
      <w:start w:val="1"/>
      <w:numFmt w:val="decimal"/>
      <w:lvlText w:val="%1."/>
      <w:lvlJc w:val="left"/>
      <w:pPr>
        <w:ind w:left="900"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3EC7FDA"/>
    <w:multiLevelType w:val="hybridMultilevel"/>
    <w:tmpl w:val="F86CE41E"/>
    <w:lvl w:ilvl="0" w:tplc="B6E4EA50">
      <w:start w:val="1"/>
      <w:numFmt w:val="decimal"/>
      <w:lvlText w:val="%1."/>
      <w:lvlJc w:val="left"/>
      <w:pPr>
        <w:ind w:left="900"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4C1760E"/>
    <w:multiLevelType w:val="hybridMultilevel"/>
    <w:tmpl w:val="81643A5E"/>
    <w:lvl w:ilvl="0" w:tplc="6F884228">
      <w:start w:val="18"/>
      <w:numFmt w:val="bullet"/>
      <w:lvlText w:val=""/>
      <w:lvlJc w:val="left"/>
      <w:pPr>
        <w:ind w:left="720" w:hanging="360"/>
      </w:pPr>
      <w:rPr>
        <w:rFonts w:ascii="Symbol" w:eastAsia="Dotum"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6B60006"/>
    <w:multiLevelType w:val="hybridMultilevel"/>
    <w:tmpl w:val="45F053B4"/>
    <w:lvl w:ilvl="0" w:tplc="D9B6D602">
      <w:start w:val="1"/>
      <w:numFmt w:val="decimal"/>
      <w:lvlText w:val="%1."/>
      <w:lvlJc w:val="left"/>
      <w:pPr>
        <w:ind w:left="825" w:hanging="46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235716B"/>
    <w:multiLevelType w:val="hybridMultilevel"/>
    <w:tmpl w:val="8B14EA18"/>
    <w:lvl w:ilvl="0" w:tplc="D9B6D602">
      <w:start w:val="1"/>
      <w:numFmt w:val="decimal"/>
      <w:lvlText w:val="%1."/>
      <w:lvlJc w:val="left"/>
      <w:pPr>
        <w:ind w:left="825" w:hanging="46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3F4108D"/>
    <w:multiLevelType w:val="hybridMultilevel"/>
    <w:tmpl w:val="602012E2"/>
    <w:lvl w:ilvl="0" w:tplc="82F8C932">
      <w:start w:val="1"/>
      <w:numFmt w:val="decimal"/>
      <w:lvlText w:val="%1."/>
      <w:lvlJc w:val="left"/>
      <w:pPr>
        <w:ind w:left="825" w:hanging="46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5AA0F90"/>
    <w:multiLevelType w:val="hybridMultilevel"/>
    <w:tmpl w:val="DA9C1B30"/>
    <w:lvl w:ilvl="0" w:tplc="04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D1D69C5"/>
    <w:multiLevelType w:val="hybridMultilevel"/>
    <w:tmpl w:val="ED88F884"/>
    <w:lvl w:ilvl="0" w:tplc="18524094">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71A18B1"/>
    <w:multiLevelType w:val="hybridMultilevel"/>
    <w:tmpl w:val="A3B261F6"/>
    <w:lvl w:ilvl="0" w:tplc="B6E4EA50">
      <w:start w:val="1"/>
      <w:numFmt w:val="decimal"/>
      <w:lvlText w:val="%1."/>
      <w:lvlJc w:val="left"/>
      <w:pPr>
        <w:ind w:left="900"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9760FE8"/>
    <w:multiLevelType w:val="hybridMultilevel"/>
    <w:tmpl w:val="B2A4C1C4"/>
    <w:lvl w:ilvl="0" w:tplc="1FAC58DA">
      <w:numFmt w:val="bullet"/>
      <w:lvlText w:val="–"/>
      <w:lvlJc w:val="left"/>
      <w:pPr>
        <w:ind w:left="676" w:hanging="284"/>
      </w:pPr>
      <w:rPr>
        <w:rFonts w:ascii="Calibri" w:eastAsia="Calibri" w:hAnsi="Calibri" w:cs="Calibri" w:hint="default"/>
        <w:w w:val="99"/>
        <w:sz w:val="20"/>
        <w:szCs w:val="20"/>
        <w:lang w:val="en-AU" w:eastAsia="en-AU" w:bidi="en-AU"/>
      </w:rPr>
    </w:lvl>
    <w:lvl w:ilvl="1" w:tplc="2306ED02">
      <w:numFmt w:val="bullet"/>
      <w:lvlText w:val="•"/>
      <w:lvlJc w:val="left"/>
      <w:pPr>
        <w:ind w:left="1446" w:hanging="284"/>
      </w:pPr>
      <w:rPr>
        <w:rFonts w:hint="default"/>
        <w:lang w:val="en-AU" w:eastAsia="en-AU" w:bidi="en-AU"/>
      </w:rPr>
    </w:lvl>
    <w:lvl w:ilvl="2" w:tplc="1D92EC36">
      <w:numFmt w:val="bullet"/>
      <w:lvlText w:val="•"/>
      <w:lvlJc w:val="left"/>
      <w:pPr>
        <w:ind w:left="2213" w:hanging="284"/>
      </w:pPr>
      <w:rPr>
        <w:rFonts w:hint="default"/>
        <w:lang w:val="en-AU" w:eastAsia="en-AU" w:bidi="en-AU"/>
      </w:rPr>
    </w:lvl>
    <w:lvl w:ilvl="3" w:tplc="5086816A">
      <w:numFmt w:val="bullet"/>
      <w:lvlText w:val="•"/>
      <w:lvlJc w:val="left"/>
      <w:pPr>
        <w:ind w:left="2980" w:hanging="284"/>
      </w:pPr>
      <w:rPr>
        <w:rFonts w:hint="default"/>
        <w:lang w:val="en-AU" w:eastAsia="en-AU" w:bidi="en-AU"/>
      </w:rPr>
    </w:lvl>
    <w:lvl w:ilvl="4" w:tplc="4FA83F96">
      <w:numFmt w:val="bullet"/>
      <w:lvlText w:val="•"/>
      <w:lvlJc w:val="left"/>
      <w:pPr>
        <w:ind w:left="3747" w:hanging="284"/>
      </w:pPr>
      <w:rPr>
        <w:rFonts w:hint="default"/>
        <w:lang w:val="en-AU" w:eastAsia="en-AU" w:bidi="en-AU"/>
      </w:rPr>
    </w:lvl>
    <w:lvl w:ilvl="5" w:tplc="B8AAF314">
      <w:numFmt w:val="bullet"/>
      <w:lvlText w:val="•"/>
      <w:lvlJc w:val="left"/>
      <w:pPr>
        <w:ind w:left="4514" w:hanging="284"/>
      </w:pPr>
      <w:rPr>
        <w:rFonts w:hint="default"/>
        <w:lang w:val="en-AU" w:eastAsia="en-AU" w:bidi="en-AU"/>
      </w:rPr>
    </w:lvl>
    <w:lvl w:ilvl="6" w:tplc="00F05914">
      <w:numFmt w:val="bullet"/>
      <w:lvlText w:val="•"/>
      <w:lvlJc w:val="left"/>
      <w:pPr>
        <w:ind w:left="5281" w:hanging="284"/>
      </w:pPr>
      <w:rPr>
        <w:rFonts w:hint="default"/>
        <w:lang w:val="en-AU" w:eastAsia="en-AU" w:bidi="en-AU"/>
      </w:rPr>
    </w:lvl>
    <w:lvl w:ilvl="7" w:tplc="F112C9EC">
      <w:numFmt w:val="bullet"/>
      <w:lvlText w:val="•"/>
      <w:lvlJc w:val="left"/>
      <w:pPr>
        <w:ind w:left="6048" w:hanging="284"/>
      </w:pPr>
      <w:rPr>
        <w:rFonts w:hint="default"/>
        <w:lang w:val="en-AU" w:eastAsia="en-AU" w:bidi="en-AU"/>
      </w:rPr>
    </w:lvl>
    <w:lvl w:ilvl="8" w:tplc="08420C30">
      <w:numFmt w:val="bullet"/>
      <w:lvlText w:val="•"/>
      <w:lvlJc w:val="left"/>
      <w:pPr>
        <w:ind w:left="6815" w:hanging="284"/>
      </w:pPr>
      <w:rPr>
        <w:rFonts w:hint="default"/>
        <w:lang w:val="en-AU" w:eastAsia="en-AU" w:bidi="en-AU"/>
      </w:rPr>
    </w:lvl>
  </w:abstractNum>
  <w:abstractNum w:abstractNumId="37" w15:restartNumberingAfterBreak="0">
    <w:nsid w:val="6BCE12FB"/>
    <w:multiLevelType w:val="hybridMultilevel"/>
    <w:tmpl w:val="C2F60FAE"/>
    <w:lvl w:ilvl="0" w:tplc="B6E4EA50">
      <w:start w:val="1"/>
      <w:numFmt w:val="decimal"/>
      <w:lvlText w:val="%1."/>
      <w:lvlJc w:val="left"/>
      <w:pPr>
        <w:ind w:left="900"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CF247F0"/>
    <w:multiLevelType w:val="hybridMultilevel"/>
    <w:tmpl w:val="0B40D8C6"/>
    <w:lvl w:ilvl="0" w:tplc="04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EA216AE"/>
    <w:multiLevelType w:val="hybridMultilevel"/>
    <w:tmpl w:val="79BEDF2C"/>
    <w:lvl w:ilvl="0" w:tplc="DA3E38AC">
      <w:start w:val="1"/>
      <w:numFmt w:val="bullet"/>
      <w:lvlText w:val="&gt;"/>
      <w:lvlJc w:val="left"/>
      <w:pPr>
        <w:ind w:left="720" w:hanging="360"/>
      </w:pPr>
      <w:rPr>
        <w:rFonts w:ascii="Calibri" w:hAnsi="Calibri" w:hint="default"/>
        <w:b/>
        <w:i w:val="0"/>
        <w:color w:val="BCBDBC"/>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1731C18"/>
    <w:multiLevelType w:val="hybridMultilevel"/>
    <w:tmpl w:val="063C949A"/>
    <w:lvl w:ilvl="0" w:tplc="B6E4EA50">
      <w:start w:val="1"/>
      <w:numFmt w:val="decimal"/>
      <w:lvlText w:val="%1."/>
      <w:lvlJc w:val="left"/>
      <w:pPr>
        <w:ind w:left="900"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2E33C77"/>
    <w:multiLevelType w:val="hybridMultilevel"/>
    <w:tmpl w:val="C482583A"/>
    <w:lvl w:ilvl="0" w:tplc="04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77D47C7"/>
    <w:multiLevelType w:val="hybridMultilevel"/>
    <w:tmpl w:val="9F2E1686"/>
    <w:lvl w:ilvl="0" w:tplc="61A69056">
      <w:start w:val="2"/>
      <w:numFmt w:val="bullet"/>
      <w:lvlText w:val=""/>
      <w:lvlJc w:val="left"/>
      <w:pPr>
        <w:ind w:left="720" w:hanging="360"/>
      </w:pPr>
      <w:rPr>
        <w:rFonts w:ascii="Symbol" w:eastAsia="Dotum"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7DF69F3"/>
    <w:multiLevelType w:val="hybridMultilevel"/>
    <w:tmpl w:val="FC922F02"/>
    <w:lvl w:ilvl="0" w:tplc="82F8C932">
      <w:start w:val="1"/>
      <w:numFmt w:val="decimal"/>
      <w:lvlText w:val="%1."/>
      <w:lvlJc w:val="left"/>
      <w:pPr>
        <w:ind w:left="825" w:hanging="46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8674B17"/>
    <w:multiLevelType w:val="hybridMultilevel"/>
    <w:tmpl w:val="079431AC"/>
    <w:lvl w:ilvl="0" w:tplc="EBFCA3AC">
      <w:numFmt w:val="bullet"/>
      <w:lvlText w:val="–"/>
      <w:lvlJc w:val="left"/>
      <w:pPr>
        <w:ind w:left="676" w:hanging="284"/>
      </w:pPr>
      <w:rPr>
        <w:rFonts w:ascii="Calibri" w:eastAsia="Calibri" w:hAnsi="Calibri" w:cs="Calibri" w:hint="default"/>
        <w:w w:val="99"/>
        <w:sz w:val="20"/>
        <w:szCs w:val="20"/>
        <w:lang w:val="en-AU" w:eastAsia="en-AU" w:bidi="en-AU"/>
      </w:rPr>
    </w:lvl>
    <w:lvl w:ilvl="1" w:tplc="AFB072EC">
      <w:numFmt w:val="bullet"/>
      <w:lvlText w:val=""/>
      <w:lvlJc w:val="left"/>
      <w:pPr>
        <w:ind w:left="962" w:hanging="286"/>
      </w:pPr>
      <w:rPr>
        <w:rFonts w:ascii="Wingdings" w:eastAsia="Wingdings" w:hAnsi="Wingdings" w:cs="Wingdings" w:hint="default"/>
        <w:w w:val="100"/>
        <w:sz w:val="16"/>
        <w:szCs w:val="16"/>
        <w:lang w:val="en-AU" w:eastAsia="en-AU" w:bidi="en-AU"/>
      </w:rPr>
    </w:lvl>
    <w:lvl w:ilvl="2" w:tplc="255C9F64">
      <w:numFmt w:val="bullet"/>
      <w:lvlText w:val="•"/>
      <w:lvlJc w:val="left"/>
      <w:pPr>
        <w:ind w:left="1781" w:hanging="286"/>
      </w:pPr>
      <w:rPr>
        <w:rFonts w:hint="default"/>
        <w:lang w:val="en-AU" w:eastAsia="en-AU" w:bidi="en-AU"/>
      </w:rPr>
    </w:lvl>
    <w:lvl w:ilvl="3" w:tplc="685C203E">
      <w:numFmt w:val="bullet"/>
      <w:lvlText w:val="•"/>
      <w:lvlJc w:val="left"/>
      <w:pPr>
        <w:ind w:left="2602" w:hanging="286"/>
      </w:pPr>
      <w:rPr>
        <w:rFonts w:hint="default"/>
        <w:lang w:val="en-AU" w:eastAsia="en-AU" w:bidi="en-AU"/>
      </w:rPr>
    </w:lvl>
    <w:lvl w:ilvl="4" w:tplc="6D56E116">
      <w:numFmt w:val="bullet"/>
      <w:lvlText w:val="•"/>
      <w:lvlJc w:val="left"/>
      <w:pPr>
        <w:ind w:left="3423" w:hanging="286"/>
      </w:pPr>
      <w:rPr>
        <w:rFonts w:hint="default"/>
        <w:lang w:val="en-AU" w:eastAsia="en-AU" w:bidi="en-AU"/>
      </w:rPr>
    </w:lvl>
    <w:lvl w:ilvl="5" w:tplc="A002D6D0">
      <w:numFmt w:val="bullet"/>
      <w:lvlText w:val="•"/>
      <w:lvlJc w:val="left"/>
      <w:pPr>
        <w:ind w:left="4244" w:hanging="286"/>
      </w:pPr>
      <w:rPr>
        <w:rFonts w:hint="default"/>
        <w:lang w:val="en-AU" w:eastAsia="en-AU" w:bidi="en-AU"/>
      </w:rPr>
    </w:lvl>
    <w:lvl w:ilvl="6" w:tplc="9092A484">
      <w:numFmt w:val="bullet"/>
      <w:lvlText w:val="•"/>
      <w:lvlJc w:val="left"/>
      <w:pPr>
        <w:ind w:left="5065" w:hanging="286"/>
      </w:pPr>
      <w:rPr>
        <w:rFonts w:hint="default"/>
        <w:lang w:val="en-AU" w:eastAsia="en-AU" w:bidi="en-AU"/>
      </w:rPr>
    </w:lvl>
    <w:lvl w:ilvl="7" w:tplc="F3BE428A">
      <w:numFmt w:val="bullet"/>
      <w:lvlText w:val="•"/>
      <w:lvlJc w:val="left"/>
      <w:pPr>
        <w:ind w:left="5886" w:hanging="286"/>
      </w:pPr>
      <w:rPr>
        <w:rFonts w:hint="default"/>
        <w:lang w:val="en-AU" w:eastAsia="en-AU" w:bidi="en-AU"/>
      </w:rPr>
    </w:lvl>
    <w:lvl w:ilvl="8" w:tplc="11E6ED1E">
      <w:numFmt w:val="bullet"/>
      <w:lvlText w:val="•"/>
      <w:lvlJc w:val="left"/>
      <w:pPr>
        <w:ind w:left="6707" w:hanging="286"/>
      </w:pPr>
      <w:rPr>
        <w:rFonts w:hint="default"/>
        <w:lang w:val="en-AU" w:eastAsia="en-AU" w:bidi="en-AU"/>
      </w:rPr>
    </w:lvl>
  </w:abstractNum>
  <w:abstractNum w:abstractNumId="45" w15:restartNumberingAfterBreak="0">
    <w:nsid w:val="7A0B397A"/>
    <w:multiLevelType w:val="hybridMultilevel"/>
    <w:tmpl w:val="269A3A76"/>
    <w:lvl w:ilvl="0" w:tplc="8A02E3FE">
      <w:start w:val="1"/>
      <w:numFmt w:val="decimal"/>
      <w:lvlText w:val="%1."/>
      <w:lvlJc w:val="left"/>
      <w:pPr>
        <w:ind w:left="825" w:hanging="46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1"/>
  </w:num>
  <w:num w:numId="2">
    <w:abstractNumId w:val="21"/>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
    <w:abstractNumId w:val="22"/>
  </w:num>
  <w:num w:numId="4">
    <w:abstractNumId w:val="39"/>
  </w:num>
  <w:num w:numId="5">
    <w:abstractNumId w:val="16"/>
  </w:num>
  <w:num w:numId="6">
    <w:abstractNumId w:val="41"/>
  </w:num>
  <w:num w:numId="7">
    <w:abstractNumId w:val="38"/>
  </w:num>
  <w:num w:numId="8">
    <w:abstractNumId w:val="29"/>
  </w:num>
  <w:num w:numId="9">
    <w:abstractNumId w:val="42"/>
  </w:num>
  <w:num w:numId="10">
    <w:abstractNumId w:val="9"/>
  </w:num>
  <w:num w:numId="11">
    <w:abstractNumId w:val="36"/>
  </w:num>
  <w:num w:numId="12">
    <w:abstractNumId w:val="2"/>
  </w:num>
  <w:num w:numId="13">
    <w:abstractNumId w:val="20"/>
  </w:num>
  <w:num w:numId="14">
    <w:abstractNumId w:val="44"/>
  </w:num>
  <w:num w:numId="15">
    <w:abstractNumId w:val="6"/>
  </w:num>
  <w:num w:numId="16">
    <w:abstractNumId w:val="45"/>
  </w:num>
  <w:num w:numId="17">
    <w:abstractNumId w:val="33"/>
  </w:num>
  <w:num w:numId="18">
    <w:abstractNumId w:val="1"/>
  </w:num>
  <w:num w:numId="19">
    <w:abstractNumId w:val="13"/>
  </w:num>
  <w:num w:numId="20">
    <w:abstractNumId w:val="32"/>
  </w:num>
  <w:num w:numId="21">
    <w:abstractNumId w:val="43"/>
  </w:num>
  <w:num w:numId="22">
    <w:abstractNumId w:val="15"/>
  </w:num>
  <w:num w:numId="23">
    <w:abstractNumId w:val="19"/>
  </w:num>
  <w:num w:numId="24">
    <w:abstractNumId w:val="7"/>
  </w:num>
  <w:num w:numId="25">
    <w:abstractNumId w:val="5"/>
  </w:num>
  <w:num w:numId="26">
    <w:abstractNumId w:val="26"/>
  </w:num>
  <w:num w:numId="27">
    <w:abstractNumId w:val="40"/>
  </w:num>
  <w:num w:numId="28">
    <w:abstractNumId w:val="17"/>
  </w:num>
  <w:num w:numId="29">
    <w:abstractNumId w:val="10"/>
  </w:num>
  <w:num w:numId="30">
    <w:abstractNumId w:val="35"/>
  </w:num>
  <w:num w:numId="31">
    <w:abstractNumId w:val="8"/>
  </w:num>
  <w:num w:numId="32">
    <w:abstractNumId w:val="0"/>
  </w:num>
  <w:num w:numId="33">
    <w:abstractNumId w:val="23"/>
  </w:num>
  <w:num w:numId="34">
    <w:abstractNumId w:val="37"/>
  </w:num>
  <w:num w:numId="35">
    <w:abstractNumId w:val="12"/>
  </w:num>
  <w:num w:numId="36">
    <w:abstractNumId w:val="27"/>
  </w:num>
  <w:num w:numId="37">
    <w:abstractNumId w:val="24"/>
  </w:num>
  <w:num w:numId="38">
    <w:abstractNumId w:val="28"/>
  </w:num>
  <w:num w:numId="39">
    <w:abstractNumId w:val="25"/>
  </w:num>
  <w:num w:numId="40">
    <w:abstractNumId w:val="31"/>
  </w:num>
  <w:num w:numId="41">
    <w:abstractNumId w:val="4"/>
  </w:num>
  <w:num w:numId="42">
    <w:abstractNumId w:val="30"/>
  </w:num>
  <w:num w:numId="43">
    <w:abstractNumId w:val="3"/>
  </w:num>
  <w:num w:numId="44">
    <w:abstractNumId w:val="11"/>
  </w:num>
  <w:num w:numId="45">
    <w:abstractNumId w:val="14"/>
  </w:num>
  <w:num w:numId="46">
    <w:abstractNumId w:val="18"/>
  </w:num>
  <w:num w:numId="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B5F"/>
    <w:rsid w:val="00013CCF"/>
    <w:rsid w:val="00024BA0"/>
    <w:rsid w:val="00026EA6"/>
    <w:rsid w:val="00035299"/>
    <w:rsid w:val="00036EDC"/>
    <w:rsid w:val="000511F0"/>
    <w:rsid w:val="000666E0"/>
    <w:rsid w:val="00094967"/>
    <w:rsid w:val="000A5CF0"/>
    <w:rsid w:val="000D316A"/>
    <w:rsid w:val="000D5BD5"/>
    <w:rsid w:val="000D7296"/>
    <w:rsid w:val="000E704B"/>
    <w:rsid w:val="00102411"/>
    <w:rsid w:val="00106A02"/>
    <w:rsid w:val="0012223A"/>
    <w:rsid w:val="0012468F"/>
    <w:rsid w:val="0012503D"/>
    <w:rsid w:val="0014048C"/>
    <w:rsid w:val="00156F5A"/>
    <w:rsid w:val="001A463B"/>
    <w:rsid w:val="001B39B3"/>
    <w:rsid w:val="001F7368"/>
    <w:rsid w:val="001F7E9C"/>
    <w:rsid w:val="002017C6"/>
    <w:rsid w:val="00207DC0"/>
    <w:rsid w:val="00224A1D"/>
    <w:rsid w:val="002537F2"/>
    <w:rsid w:val="002675F2"/>
    <w:rsid w:val="00273A71"/>
    <w:rsid w:val="00276B6C"/>
    <w:rsid w:val="00295CD3"/>
    <w:rsid w:val="002B5C4E"/>
    <w:rsid w:val="002C09A1"/>
    <w:rsid w:val="002D1F91"/>
    <w:rsid w:val="002F1939"/>
    <w:rsid w:val="00316435"/>
    <w:rsid w:val="003507F0"/>
    <w:rsid w:val="00362EE4"/>
    <w:rsid w:val="003864F4"/>
    <w:rsid w:val="003D27F1"/>
    <w:rsid w:val="003E771D"/>
    <w:rsid w:val="003F37A1"/>
    <w:rsid w:val="004220BB"/>
    <w:rsid w:val="0045348C"/>
    <w:rsid w:val="0047139A"/>
    <w:rsid w:val="00485D4D"/>
    <w:rsid w:val="004D4636"/>
    <w:rsid w:val="00517AD8"/>
    <w:rsid w:val="00540020"/>
    <w:rsid w:val="00555478"/>
    <w:rsid w:val="00560425"/>
    <w:rsid w:val="005828D7"/>
    <w:rsid w:val="005B31E5"/>
    <w:rsid w:val="005C4869"/>
    <w:rsid w:val="005E66BC"/>
    <w:rsid w:val="006136B2"/>
    <w:rsid w:val="00630DD4"/>
    <w:rsid w:val="00636AC6"/>
    <w:rsid w:val="0064690B"/>
    <w:rsid w:val="006552B8"/>
    <w:rsid w:val="006675EF"/>
    <w:rsid w:val="00674CB4"/>
    <w:rsid w:val="006B11FB"/>
    <w:rsid w:val="007226E3"/>
    <w:rsid w:val="0075738C"/>
    <w:rsid w:val="007574F7"/>
    <w:rsid w:val="00767128"/>
    <w:rsid w:val="0077452C"/>
    <w:rsid w:val="007A07A7"/>
    <w:rsid w:val="00806BD8"/>
    <w:rsid w:val="00812741"/>
    <w:rsid w:val="00817059"/>
    <w:rsid w:val="008233B1"/>
    <w:rsid w:val="0084723C"/>
    <w:rsid w:val="00851697"/>
    <w:rsid w:val="00856708"/>
    <w:rsid w:val="008657CA"/>
    <w:rsid w:val="00873057"/>
    <w:rsid w:val="00882344"/>
    <w:rsid w:val="00890DFF"/>
    <w:rsid w:val="0089343D"/>
    <w:rsid w:val="00893E0A"/>
    <w:rsid w:val="008D7ABF"/>
    <w:rsid w:val="008F608F"/>
    <w:rsid w:val="00910150"/>
    <w:rsid w:val="0091425F"/>
    <w:rsid w:val="00936D53"/>
    <w:rsid w:val="00951B85"/>
    <w:rsid w:val="009528D5"/>
    <w:rsid w:val="0096152A"/>
    <w:rsid w:val="00975316"/>
    <w:rsid w:val="009961B8"/>
    <w:rsid w:val="009A0BD1"/>
    <w:rsid w:val="009E153D"/>
    <w:rsid w:val="009E38CC"/>
    <w:rsid w:val="009E791C"/>
    <w:rsid w:val="00A02D60"/>
    <w:rsid w:val="00A11EDA"/>
    <w:rsid w:val="00A1284A"/>
    <w:rsid w:val="00A20CA3"/>
    <w:rsid w:val="00A341DC"/>
    <w:rsid w:val="00A37A29"/>
    <w:rsid w:val="00A42CC1"/>
    <w:rsid w:val="00A5580A"/>
    <w:rsid w:val="00A83FDD"/>
    <w:rsid w:val="00A851CA"/>
    <w:rsid w:val="00AD0613"/>
    <w:rsid w:val="00AD5205"/>
    <w:rsid w:val="00AD7400"/>
    <w:rsid w:val="00AE3C2B"/>
    <w:rsid w:val="00B03C1B"/>
    <w:rsid w:val="00B17453"/>
    <w:rsid w:val="00B31BCD"/>
    <w:rsid w:val="00B3726E"/>
    <w:rsid w:val="00B379DB"/>
    <w:rsid w:val="00BB041F"/>
    <w:rsid w:val="00BC799D"/>
    <w:rsid w:val="00BE5D5E"/>
    <w:rsid w:val="00C41C72"/>
    <w:rsid w:val="00C51A96"/>
    <w:rsid w:val="00C53677"/>
    <w:rsid w:val="00C6286A"/>
    <w:rsid w:val="00CC7158"/>
    <w:rsid w:val="00CE31B4"/>
    <w:rsid w:val="00CE4B5F"/>
    <w:rsid w:val="00CF3F7C"/>
    <w:rsid w:val="00D01D94"/>
    <w:rsid w:val="00D16364"/>
    <w:rsid w:val="00D24C37"/>
    <w:rsid w:val="00D27164"/>
    <w:rsid w:val="00D41059"/>
    <w:rsid w:val="00D63A27"/>
    <w:rsid w:val="00D86DC6"/>
    <w:rsid w:val="00DB316E"/>
    <w:rsid w:val="00DD0787"/>
    <w:rsid w:val="00E1434C"/>
    <w:rsid w:val="00E4448C"/>
    <w:rsid w:val="00E57127"/>
    <w:rsid w:val="00E63AC4"/>
    <w:rsid w:val="00E85FD9"/>
    <w:rsid w:val="00EA5D4A"/>
    <w:rsid w:val="00EA7398"/>
    <w:rsid w:val="00EB15B4"/>
    <w:rsid w:val="00ED55A8"/>
    <w:rsid w:val="00F3556D"/>
    <w:rsid w:val="00F37B44"/>
    <w:rsid w:val="00F434B5"/>
    <w:rsid w:val="00F47C6F"/>
    <w:rsid w:val="00F610A9"/>
    <w:rsid w:val="00F6682C"/>
    <w:rsid w:val="00F727D6"/>
    <w:rsid w:val="00F86F07"/>
    <w:rsid w:val="00F87565"/>
    <w:rsid w:val="00F97C20"/>
    <w:rsid w:val="00FC06B4"/>
    <w:rsid w:val="00FC4203"/>
    <w:rsid w:val="00FE0898"/>
    <w:rsid w:val="00FE2C6D"/>
    <w:rsid w:val="00FF237E"/>
    <w:rsid w:val="00FF75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4E79194"/>
  <w15:chartTrackingRefBased/>
  <w15:docId w15:val="{251BFAC6-0984-41B9-96A6-2B5F3C852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38CC"/>
    <w:pPr>
      <w:spacing w:line="240" w:lineRule="auto"/>
    </w:pPr>
    <w:rPr>
      <w:rFonts w:ascii="Calibri" w:eastAsia="Dotum" w:hAnsi="Calibri" w:cs="Calibri"/>
    </w:rPr>
  </w:style>
  <w:style w:type="paragraph" w:styleId="Heading1">
    <w:name w:val="heading 1"/>
    <w:next w:val="Normal"/>
    <w:link w:val="Heading1Char"/>
    <w:uiPriority w:val="9"/>
    <w:qFormat/>
    <w:rsid w:val="003D27F1"/>
    <w:pPr>
      <w:widowControl w:val="0"/>
      <w:spacing w:after="240" w:line="580" w:lineRule="exact"/>
      <w:ind w:right="6"/>
      <w:outlineLvl w:val="0"/>
    </w:pPr>
    <w:rPr>
      <w:rFonts w:ascii="Calibri" w:eastAsia="HYGothic-Extra" w:hAnsi="Calibri" w:cs="Calibri"/>
      <w:bCs/>
      <w:color w:val="1E1E1E"/>
      <w:spacing w:val="-20"/>
      <w:sz w:val="56"/>
      <w:szCs w:val="72"/>
    </w:rPr>
  </w:style>
  <w:style w:type="paragraph" w:styleId="Heading2">
    <w:name w:val="heading 2"/>
    <w:next w:val="Normal"/>
    <w:link w:val="Heading2Char"/>
    <w:uiPriority w:val="9"/>
    <w:unhideWhenUsed/>
    <w:qFormat/>
    <w:rsid w:val="00B3726E"/>
    <w:pPr>
      <w:spacing w:before="360" w:after="120" w:line="240" w:lineRule="auto"/>
      <w:outlineLvl w:val="1"/>
    </w:pPr>
    <w:rPr>
      <w:rFonts w:ascii="Arial" w:eastAsia="Dotum" w:hAnsi="Arial" w:cs="Arial"/>
      <w:sz w:val="36"/>
      <w:szCs w:val="36"/>
    </w:rPr>
  </w:style>
  <w:style w:type="paragraph" w:styleId="Heading3">
    <w:name w:val="heading 3"/>
    <w:basedOn w:val="Normal"/>
    <w:next w:val="Normal"/>
    <w:link w:val="Heading3Char"/>
    <w:uiPriority w:val="9"/>
    <w:unhideWhenUsed/>
    <w:qFormat/>
    <w:rsid w:val="003D27F1"/>
    <w:pPr>
      <w:spacing w:before="120" w:after="120"/>
      <w:outlineLvl w:val="2"/>
    </w:pPr>
    <w:rPr>
      <w:rFonts w:ascii="Arial" w:hAnsi="Arial" w:cs="Arial"/>
      <w:color w:val="C60C30"/>
      <w:sz w:val="28"/>
      <w:szCs w:val="28"/>
    </w:rPr>
  </w:style>
  <w:style w:type="paragraph" w:styleId="Heading4">
    <w:name w:val="heading 4"/>
    <w:basedOn w:val="Normal"/>
    <w:next w:val="Normal"/>
    <w:link w:val="Heading4Char"/>
    <w:uiPriority w:val="9"/>
    <w:unhideWhenUsed/>
    <w:qFormat/>
    <w:rsid w:val="00B3726E"/>
    <w:pPr>
      <w:spacing w:after="0"/>
      <w:outlineLvl w:val="3"/>
    </w:pPr>
    <w:rPr>
      <w:rFonts w:ascii="Arial" w:hAnsi="Arial" w:cs="Arial"/>
      <w:b/>
    </w:rPr>
  </w:style>
  <w:style w:type="paragraph" w:styleId="Heading5">
    <w:name w:val="heading 5"/>
    <w:basedOn w:val="Normal"/>
    <w:next w:val="Normal"/>
    <w:link w:val="Heading5Char"/>
    <w:uiPriority w:val="9"/>
    <w:unhideWhenUsed/>
    <w:rsid w:val="00B3726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B3726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3726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3726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3726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27F1"/>
    <w:rPr>
      <w:rFonts w:ascii="Calibri" w:eastAsia="HYGothic-Extra" w:hAnsi="Calibri" w:cs="Calibri"/>
      <w:bCs/>
      <w:color w:val="1E1E1E"/>
      <w:spacing w:val="-20"/>
      <w:sz w:val="56"/>
      <w:szCs w:val="72"/>
    </w:rPr>
  </w:style>
  <w:style w:type="character" w:customStyle="1" w:styleId="Heading2Char">
    <w:name w:val="Heading 2 Char"/>
    <w:basedOn w:val="DefaultParagraphFont"/>
    <w:link w:val="Heading2"/>
    <w:uiPriority w:val="9"/>
    <w:rsid w:val="00B3726E"/>
    <w:rPr>
      <w:rFonts w:ascii="Arial" w:eastAsia="Dotum" w:hAnsi="Arial" w:cs="Arial"/>
      <w:sz w:val="36"/>
      <w:szCs w:val="36"/>
    </w:rPr>
  </w:style>
  <w:style w:type="character" w:customStyle="1" w:styleId="Heading3Char">
    <w:name w:val="Heading 3 Char"/>
    <w:basedOn w:val="DefaultParagraphFont"/>
    <w:link w:val="Heading3"/>
    <w:uiPriority w:val="9"/>
    <w:rsid w:val="003D27F1"/>
    <w:rPr>
      <w:rFonts w:ascii="Arial" w:eastAsia="Dotum" w:hAnsi="Arial" w:cs="Arial"/>
      <w:color w:val="C60C30"/>
      <w:sz w:val="28"/>
      <w:szCs w:val="28"/>
    </w:rPr>
  </w:style>
  <w:style w:type="character" w:customStyle="1" w:styleId="Heading4Char">
    <w:name w:val="Heading 4 Char"/>
    <w:basedOn w:val="DefaultParagraphFont"/>
    <w:link w:val="Heading4"/>
    <w:uiPriority w:val="9"/>
    <w:rsid w:val="00B3726E"/>
    <w:rPr>
      <w:rFonts w:ascii="Arial" w:eastAsia="Dotum" w:hAnsi="Arial" w:cs="Arial"/>
      <w:b/>
    </w:rPr>
  </w:style>
  <w:style w:type="character" w:customStyle="1" w:styleId="Heading5Char">
    <w:name w:val="Heading 5 Char"/>
    <w:basedOn w:val="DefaultParagraphFont"/>
    <w:link w:val="Heading5"/>
    <w:uiPriority w:val="9"/>
    <w:rsid w:val="00B3726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3726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3726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3726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3726E"/>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B3726E"/>
    <w:pPr>
      <w:ind w:left="720"/>
      <w:contextualSpacing/>
    </w:pPr>
  </w:style>
  <w:style w:type="table" w:styleId="TableGrid">
    <w:name w:val="Table Grid"/>
    <w:basedOn w:val="TableNormal"/>
    <w:uiPriority w:val="59"/>
    <w:rsid w:val="00B37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36EDC"/>
    <w:pPr>
      <w:spacing w:before="3000" w:after="300"/>
      <w:contextualSpacing/>
    </w:pPr>
    <w:rPr>
      <w:rFonts w:ascii="Arial" w:eastAsiaTheme="majorEastAsia" w:hAnsi="Arial" w:cstheme="majorBidi"/>
      <w:caps/>
      <w:color w:val="1E1E1E"/>
      <w:spacing w:val="-22"/>
      <w:w w:val="105"/>
      <w:kern w:val="28"/>
      <w:sz w:val="80"/>
      <w:szCs w:val="80"/>
    </w:rPr>
  </w:style>
  <w:style w:type="character" w:customStyle="1" w:styleId="TitleChar">
    <w:name w:val="Title Char"/>
    <w:basedOn w:val="DefaultParagraphFont"/>
    <w:link w:val="Title"/>
    <w:uiPriority w:val="10"/>
    <w:rsid w:val="00036EDC"/>
    <w:rPr>
      <w:rFonts w:ascii="Arial" w:eastAsiaTheme="majorEastAsia" w:hAnsi="Arial" w:cstheme="majorBidi"/>
      <w:caps/>
      <w:color w:val="1E1E1E"/>
      <w:spacing w:val="-22"/>
      <w:w w:val="105"/>
      <w:kern w:val="28"/>
      <w:sz w:val="80"/>
      <w:szCs w:val="80"/>
    </w:rPr>
  </w:style>
  <w:style w:type="paragraph" w:styleId="Subtitle">
    <w:name w:val="Subtitle"/>
    <w:basedOn w:val="Normal"/>
    <w:next w:val="Normal"/>
    <w:link w:val="SubtitleChar"/>
    <w:uiPriority w:val="11"/>
    <w:qFormat/>
    <w:rsid w:val="004D4636"/>
    <w:rPr>
      <w:rFonts w:asciiTheme="majorHAnsi" w:eastAsiaTheme="majorEastAsia" w:hAnsiTheme="majorHAnsi" w:cstheme="majorBidi"/>
      <w:i/>
      <w:iCs/>
      <w:color w:val="C60C30"/>
      <w:spacing w:val="15"/>
      <w:sz w:val="24"/>
      <w:szCs w:val="24"/>
    </w:rPr>
  </w:style>
  <w:style w:type="character" w:customStyle="1" w:styleId="SubtitleChar">
    <w:name w:val="Subtitle Char"/>
    <w:basedOn w:val="DefaultParagraphFont"/>
    <w:link w:val="Subtitle"/>
    <w:uiPriority w:val="11"/>
    <w:rsid w:val="004D4636"/>
    <w:rPr>
      <w:rFonts w:asciiTheme="majorHAnsi" w:eastAsiaTheme="majorEastAsia" w:hAnsiTheme="majorHAnsi" w:cstheme="majorBidi"/>
      <w:i/>
      <w:iCs/>
      <w:color w:val="C60C30"/>
      <w:spacing w:val="15"/>
      <w:sz w:val="24"/>
      <w:szCs w:val="24"/>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customStyle="1" w:styleId="Default">
    <w:name w:val="Default"/>
    <w:rsid w:val="00851697"/>
    <w:pPr>
      <w:autoSpaceDE w:val="0"/>
      <w:autoSpaceDN w:val="0"/>
      <w:adjustRightInd w:val="0"/>
      <w:spacing w:after="0" w:line="240" w:lineRule="auto"/>
    </w:pPr>
    <w:rPr>
      <w:rFonts w:ascii="TitilliumText25L" w:hAnsi="TitilliumText25L" w:cs="TitilliumText25L"/>
      <w:color w:val="000000"/>
      <w:sz w:val="24"/>
      <w:szCs w:val="24"/>
    </w:rPr>
  </w:style>
  <w:style w:type="paragraph" w:customStyle="1" w:styleId="Pa1">
    <w:name w:val="Pa1"/>
    <w:basedOn w:val="Default"/>
    <w:next w:val="Default"/>
    <w:uiPriority w:val="99"/>
    <w:rsid w:val="00851697"/>
    <w:pPr>
      <w:spacing w:line="201" w:lineRule="atLeast"/>
    </w:pPr>
    <w:rPr>
      <w:rFonts w:cstheme="minorBidi"/>
      <w:color w:val="auto"/>
    </w:rPr>
  </w:style>
  <w:style w:type="character" w:customStyle="1" w:styleId="A4">
    <w:name w:val="A4"/>
    <w:uiPriority w:val="99"/>
    <w:rsid w:val="00851697"/>
    <w:rPr>
      <w:rFonts w:cs="TitilliumText25L"/>
      <w:color w:val="263895"/>
      <w:sz w:val="20"/>
      <w:szCs w:val="20"/>
      <w:u w:val="single"/>
    </w:rPr>
  </w:style>
  <w:style w:type="paragraph" w:customStyle="1" w:styleId="Pa3">
    <w:name w:val="Pa3"/>
    <w:basedOn w:val="Default"/>
    <w:next w:val="Default"/>
    <w:uiPriority w:val="99"/>
    <w:rsid w:val="00851697"/>
    <w:pPr>
      <w:spacing w:line="201" w:lineRule="atLeast"/>
    </w:pPr>
    <w:rPr>
      <w:rFonts w:cstheme="minorBidi"/>
      <w:color w:val="auto"/>
    </w:rPr>
  </w:style>
  <w:style w:type="paragraph" w:customStyle="1" w:styleId="Pa4">
    <w:name w:val="Pa4"/>
    <w:basedOn w:val="Default"/>
    <w:next w:val="Default"/>
    <w:uiPriority w:val="99"/>
    <w:rsid w:val="00851697"/>
    <w:pPr>
      <w:spacing w:line="201" w:lineRule="atLeast"/>
    </w:pPr>
    <w:rPr>
      <w:rFonts w:cstheme="minorBidi"/>
      <w:color w:val="auto"/>
    </w:rPr>
  </w:style>
  <w:style w:type="paragraph" w:styleId="TOCHeading">
    <w:name w:val="TOC Heading"/>
    <w:basedOn w:val="Heading1"/>
    <w:next w:val="Normal"/>
    <w:uiPriority w:val="39"/>
    <w:unhideWhenUsed/>
    <w:qFormat/>
    <w:rsid w:val="00ED55A8"/>
    <w:pPr>
      <w:keepNext/>
      <w:keepLines/>
      <w:widowControl/>
      <w:spacing w:before="240" w:after="0" w:line="259" w:lineRule="auto"/>
      <w:ind w:right="0"/>
      <w:outlineLvl w:val="9"/>
    </w:pPr>
    <w:rPr>
      <w:rFonts w:asciiTheme="majorHAnsi" w:eastAsiaTheme="majorEastAsia" w:hAnsiTheme="majorHAnsi" w:cstheme="majorBidi"/>
      <w:bCs w:val="0"/>
      <w:color w:val="365F91" w:themeColor="accent1" w:themeShade="BF"/>
      <w:spacing w:val="0"/>
      <w:sz w:val="32"/>
      <w:szCs w:val="32"/>
      <w:lang w:val="en-US"/>
    </w:rPr>
  </w:style>
  <w:style w:type="paragraph" w:styleId="TOC1">
    <w:name w:val="toc 1"/>
    <w:basedOn w:val="Normal"/>
    <w:next w:val="Normal"/>
    <w:autoRedefine/>
    <w:uiPriority w:val="39"/>
    <w:unhideWhenUsed/>
    <w:rsid w:val="00ED55A8"/>
    <w:pPr>
      <w:spacing w:after="100"/>
    </w:pPr>
  </w:style>
  <w:style w:type="paragraph" w:styleId="TOC3">
    <w:name w:val="toc 3"/>
    <w:basedOn w:val="Normal"/>
    <w:next w:val="Normal"/>
    <w:autoRedefine/>
    <w:uiPriority w:val="39"/>
    <w:unhideWhenUsed/>
    <w:rsid w:val="00ED55A8"/>
    <w:pPr>
      <w:spacing w:after="100"/>
      <w:ind w:left="440"/>
    </w:pPr>
  </w:style>
  <w:style w:type="character" w:styleId="Hyperlink">
    <w:name w:val="Hyperlink"/>
    <w:basedOn w:val="DefaultParagraphFont"/>
    <w:uiPriority w:val="99"/>
    <w:unhideWhenUsed/>
    <w:rsid w:val="00ED55A8"/>
    <w:rPr>
      <w:color w:val="0000FF" w:themeColor="hyperlink"/>
      <w:u w:val="single"/>
    </w:rPr>
  </w:style>
  <w:style w:type="paragraph" w:styleId="FootnoteText">
    <w:name w:val="footnote text"/>
    <w:basedOn w:val="Normal"/>
    <w:link w:val="FootnoteTextChar"/>
    <w:uiPriority w:val="99"/>
    <w:semiHidden/>
    <w:unhideWhenUsed/>
    <w:rsid w:val="005828D7"/>
    <w:pPr>
      <w:spacing w:after="0"/>
    </w:pPr>
    <w:rPr>
      <w:sz w:val="20"/>
      <w:szCs w:val="20"/>
    </w:rPr>
  </w:style>
  <w:style w:type="character" w:customStyle="1" w:styleId="FootnoteTextChar">
    <w:name w:val="Footnote Text Char"/>
    <w:basedOn w:val="DefaultParagraphFont"/>
    <w:link w:val="FootnoteText"/>
    <w:uiPriority w:val="99"/>
    <w:semiHidden/>
    <w:rsid w:val="005828D7"/>
    <w:rPr>
      <w:rFonts w:ascii="Calibri" w:eastAsia="Dotum" w:hAnsi="Calibri" w:cs="Calibri"/>
      <w:sz w:val="20"/>
      <w:szCs w:val="20"/>
    </w:rPr>
  </w:style>
  <w:style w:type="character" w:styleId="FootnoteReference">
    <w:name w:val="footnote reference"/>
    <w:basedOn w:val="DefaultParagraphFont"/>
    <w:uiPriority w:val="99"/>
    <w:semiHidden/>
    <w:unhideWhenUsed/>
    <w:rsid w:val="005828D7"/>
    <w:rPr>
      <w:vertAlign w:val="superscript"/>
    </w:rPr>
  </w:style>
  <w:style w:type="character" w:styleId="IntenseEmphasis">
    <w:name w:val="Intense Emphasis"/>
    <w:basedOn w:val="DefaultParagraphFont"/>
    <w:uiPriority w:val="21"/>
    <w:qFormat/>
    <w:rsid w:val="00A20CA3"/>
    <w:rPr>
      <w:i/>
      <w:iCs/>
      <w:color w:val="4F81BD" w:themeColor="accent1"/>
    </w:rPr>
  </w:style>
  <w:style w:type="paragraph" w:customStyle="1" w:styleId="TableParagraph">
    <w:name w:val="Table Paragraph"/>
    <w:basedOn w:val="Normal"/>
    <w:uiPriority w:val="1"/>
    <w:qFormat/>
    <w:rsid w:val="00A20CA3"/>
    <w:pPr>
      <w:widowControl w:val="0"/>
      <w:autoSpaceDE w:val="0"/>
      <w:autoSpaceDN w:val="0"/>
      <w:spacing w:before="112" w:after="0"/>
      <w:jc w:val="right"/>
    </w:pPr>
    <w:rPr>
      <w:rFonts w:ascii="Arial Narrow" w:eastAsia="Arial Narrow" w:hAnsi="Arial Narrow" w:cs="Arial Narrow"/>
      <w:lang w:eastAsia="en-AU" w:bidi="en-AU"/>
    </w:rPr>
  </w:style>
  <w:style w:type="character" w:styleId="CommentReference">
    <w:name w:val="annotation reference"/>
    <w:basedOn w:val="DefaultParagraphFont"/>
    <w:uiPriority w:val="99"/>
    <w:semiHidden/>
    <w:unhideWhenUsed/>
    <w:rsid w:val="00AE3C2B"/>
    <w:rPr>
      <w:sz w:val="16"/>
      <w:szCs w:val="16"/>
    </w:rPr>
  </w:style>
  <w:style w:type="paragraph" w:styleId="CommentText">
    <w:name w:val="annotation text"/>
    <w:basedOn w:val="Normal"/>
    <w:link w:val="CommentTextChar"/>
    <w:uiPriority w:val="99"/>
    <w:unhideWhenUsed/>
    <w:rsid w:val="00AE3C2B"/>
    <w:pPr>
      <w:widowControl w:val="0"/>
      <w:autoSpaceDE w:val="0"/>
      <w:autoSpaceDN w:val="0"/>
      <w:spacing w:after="0"/>
    </w:pPr>
    <w:rPr>
      <w:rFonts w:ascii="Arial" w:eastAsia="Arial" w:hAnsi="Arial" w:cs="Arial"/>
      <w:sz w:val="20"/>
      <w:szCs w:val="20"/>
      <w:lang w:eastAsia="en-AU" w:bidi="en-AU"/>
    </w:rPr>
  </w:style>
  <w:style w:type="character" w:customStyle="1" w:styleId="CommentTextChar">
    <w:name w:val="Comment Text Char"/>
    <w:basedOn w:val="DefaultParagraphFont"/>
    <w:link w:val="CommentText"/>
    <w:uiPriority w:val="99"/>
    <w:rsid w:val="00AE3C2B"/>
    <w:rPr>
      <w:rFonts w:ascii="Arial" w:eastAsia="Arial" w:hAnsi="Arial" w:cs="Arial"/>
      <w:sz w:val="20"/>
      <w:szCs w:val="20"/>
      <w:lang w:eastAsia="en-AU" w:bidi="en-AU"/>
    </w:rPr>
  </w:style>
  <w:style w:type="paragraph" w:styleId="BalloonText">
    <w:name w:val="Balloon Text"/>
    <w:basedOn w:val="Normal"/>
    <w:link w:val="BalloonTextChar"/>
    <w:uiPriority w:val="99"/>
    <w:semiHidden/>
    <w:unhideWhenUsed/>
    <w:rsid w:val="00AE3C2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3C2B"/>
    <w:rPr>
      <w:rFonts w:ascii="Segoe UI" w:eastAsia="Dotum" w:hAnsi="Segoe UI" w:cs="Segoe UI"/>
      <w:sz w:val="18"/>
      <w:szCs w:val="18"/>
    </w:rPr>
  </w:style>
  <w:style w:type="table" w:customStyle="1" w:styleId="TableGridRed">
    <w:name w:val="Table Grid Red"/>
    <w:basedOn w:val="TableNormal"/>
    <w:uiPriority w:val="99"/>
    <w:rsid w:val="004220BB"/>
    <w:pPr>
      <w:spacing w:after="0" w:line="240" w:lineRule="auto"/>
    </w:pPr>
    <w:tblPr>
      <w:tblStyleRowBandSize w:val="1"/>
      <w:tblBorders>
        <w:top w:val="single" w:sz="2" w:space="0" w:color="000000"/>
        <w:bottom w:val="single" w:sz="2" w:space="0" w:color="000000"/>
        <w:insideH w:val="single" w:sz="2" w:space="0" w:color="000000"/>
      </w:tblBorders>
      <w:tblCellMar>
        <w:top w:w="113" w:type="dxa"/>
        <w:bottom w:w="113" w:type="dxa"/>
      </w:tblCellMar>
    </w:tblPr>
    <w:tblStylePr w:type="firstRow">
      <w:rPr>
        <w:b/>
        <w:color w:val="D1D1D1"/>
      </w:rPr>
      <w:tblPr/>
      <w:tcPr>
        <w:tcBorders>
          <w:top w:val="nil"/>
          <w:left w:val="nil"/>
          <w:bottom w:val="nil"/>
          <w:right w:val="nil"/>
          <w:insideH w:val="nil"/>
          <w:insideV w:val="nil"/>
          <w:tl2br w:val="nil"/>
          <w:tr2bl w:val="nil"/>
        </w:tcBorders>
        <w:shd w:val="clear" w:color="auto" w:fill="E42313"/>
      </w:tcPr>
    </w:tblStylePr>
    <w:tblStylePr w:type="firstCol">
      <w:rPr>
        <w:b/>
      </w:rPr>
    </w:tblStylePr>
    <w:tblStylePr w:type="band1Horz">
      <w:tblPr/>
      <w:tcPr>
        <w:tcBorders>
          <w:top w:val="nil"/>
          <w:left w:val="nil"/>
          <w:bottom w:val="nil"/>
          <w:right w:val="nil"/>
          <w:insideH w:val="nil"/>
          <w:insideV w:val="nil"/>
          <w:tl2br w:val="nil"/>
          <w:tr2bl w:val="nil"/>
        </w:tcBorders>
        <w:shd w:val="clear" w:color="auto" w:fill="FFFFFF"/>
      </w:tcPr>
    </w:tblStylePr>
    <w:tblStylePr w:type="band2Horz">
      <w:tblPr/>
      <w:tcPr>
        <w:tcBorders>
          <w:top w:val="single" w:sz="4" w:space="0" w:color="auto"/>
          <w:left w:val="nil"/>
          <w:bottom w:val="single" w:sz="4" w:space="0" w:color="auto"/>
          <w:right w:val="nil"/>
          <w:insideH w:val="nil"/>
          <w:insideV w:val="nil"/>
          <w:tl2br w:val="nil"/>
          <w:tr2bl w:val="nil"/>
        </w:tcBorders>
        <w:shd w:val="clear" w:color="auto" w:fill="E8E8E8"/>
      </w:tcPr>
    </w:tblStylePr>
  </w:style>
  <w:style w:type="paragraph" w:styleId="TOC2">
    <w:name w:val="toc 2"/>
    <w:basedOn w:val="Normal"/>
    <w:next w:val="Normal"/>
    <w:autoRedefine/>
    <w:uiPriority w:val="39"/>
    <w:unhideWhenUsed/>
    <w:rsid w:val="0089343D"/>
    <w:pPr>
      <w:spacing w:after="100" w:line="259" w:lineRule="auto"/>
      <w:ind w:left="220"/>
    </w:pPr>
    <w:rPr>
      <w:rFonts w:asciiTheme="minorHAnsi" w:eastAsiaTheme="minorEastAsia" w:hAnsiTheme="minorHAnsi" w:cs="Times New Roman"/>
      <w:lang w:val="en-US"/>
    </w:rPr>
  </w:style>
  <w:style w:type="paragraph" w:styleId="TOC4">
    <w:name w:val="toc 4"/>
    <w:basedOn w:val="Normal"/>
    <w:next w:val="Normal"/>
    <w:autoRedefine/>
    <w:uiPriority w:val="39"/>
    <w:unhideWhenUsed/>
    <w:rsid w:val="008F608F"/>
    <w:pPr>
      <w:spacing w:after="100"/>
      <w:ind w:left="660"/>
    </w:pPr>
  </w:style>
  <w:style w:type="paragraph" w:styleId="Caption">
    <w:name w:val="caption"/>
    <w:basedOn w:val="Normal"/>
    <w:next w:val="Normal"/>
    <w:uiPriority w:val="35"/>
    <w:unhideWhenUsed/>
    <w:qFormat/>
    <w:rsid w:val="00E63AC4"/>
    <w:rPr>
      <w:i/>
      <w:iCs/>
      <w:color w:val="1F497D" w:themeColor="text2"/>
      <w:sz w:val="18"/>
      <w:szCs w:val="18"/>
    </w:rPr>
  </w:style>
  <w:style w:type="paragraph" w:styleId="NoSpacing">
    <w:name w:val="No Spacing"/>
    <w:uiPriority w:val="1"/>
    <w:qFormat/>
    <w:rsid w:val="00806BD8"/>
    <w:pPr>
      <w:spacing w:after="0" w:line="240" w:lineRule="auto"/>
    </w:pPr>
    <w:rPr>
      <w:rFonts w:ascii="Calibri" w:eastAsia="Dotum" w:hAnsi="Calibri" w:cs="Calibri"/>
    </w:rPr>
  </w:style>
  <w:style w:type="paragraph" w:styleId="TableofFigures">
    <w:name w:val="table of figures"/>
    <w:aliases w:val="Tables and Figures"/>
    <w:basedOn w:val="Normal"/>
    <w:next w:val="Normal"/>
    <w:uiPriority w:val="99"/>
    <w:unhideWhenUsed/>
    <w:rsid w:val="001F7E9C"/>
    <w:pPr>
      <w:spacing w:after="0"/>
    </w:pPr>
  </w:style>
  <w:style w:type="paragraph" w:styleId="CommentSubject">
    <w:name w:val="annotation subject"/>
    <w:basedOn w:val="CommentText"/>
    <w:next w:val="CommentText"/>
    <w:link w:val="CommentSubjectChar"/>
    <w:uiPriority w:val="99"/>
    <w:semiHidden/>
    <w:unhideWhenUsed/>
    <w:rsid w:val="00A341DC"/>
    <w:pPr>
      <w:widowControl/>
      <w:autoSpaceDE/>
      <w:autoSpaceDN/>
      <w:spacing w:after="200"/>
    </w:pPr>
    <w:rPr>
      <w:rFonts w:ascii="Calibri" w:eastAsia="Dotum" w:hAnsi="Calibri" w:cs="Calibri"/>
      <w:b/>
      <w:bCs/>
      <w:lang w:eastAsia="en-US" w:bidi="ar-SA"/>
    </w:rPr>
  </w:style>
  <w:style w:type="character" w:customStyle="1" w:styleId="CommentSubjectChar">
    <w:name w:val="Comment Subject Char"/>
    <w:basedOn w:val="CommentTextChar"/>
    <w:link w:val="CommentSubject"/>
    <w:uiPriority w:val="99"/>
    <w:semiHidden/>
    <w:rsid w:val="00A341DC"/>
    <w:rPr>
      <w:rFonts w:ascii="Calibri" w:eastAsia="Dotum" w:hAnsi="Calibri" w:cs="Calibri"/>
      <w:b/>
      <w:bCs/>
      <w:sz w:val="20"/>
      <w:szCs w:val="20"/>
      <w:lang w:eastAsia="en-AU" w:bidi="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45841">
      <w:bodyDiv w:val="1"/>
      <w:marLeft w:val="0"/>
      <w:marRight w:val="0"/>
      <w:marTop w:val="0"/>
      <w:marBottom w:val="0"/>
      <w:divBdr>
        <w:top w:val="none" w:sz="0" w:space="0" w:color="auto"/>
        <w:left w:val="none" w:sz="0" w:space="0" w:color="auto"/>
        <w:bottom w:val="none" w:sz="0" w:space="0" w:color="auto"/>
        <w:right w:val="none" w:sz="0" w:space="0" w:color="auto"/>
      </w:divBdr>
    </w:div>
    <w:div w:id="96220522">
      <w:bodyDiv w:val="1"/>
      <w:marLeft w:val="0"/>
      <w:marRight w:val="0"/>
      <w:marTop w:val="0"/>
      <w:marBottom w:val="0"/>
      <w:divBdr>
        <w:top w:val="none" w:sz="0" w:space="0" w:color="auto"/>
        <w:left w:val="none" w:sz="0" w:space="0" w:color="auto"/>
        <w:bottom w:val="none" w:sz="0" w:space="0" w:color="auto"/>
        <w:right w:val="none" w:sz="0" w:space="0" w:color="auto"/>
      </w:divBdr>
    </w:div>
    <w:div w:id="219680195">
      <w:bodyDiv w:val="1"/>
      <w:marLeft w:val="0"/>
      <w:marRight w:val="0"/>
      <w:marTop w:val="0"/>
      <w:marBottom w:val="0"/>
      <w:divBdr>
        <w:top w:val="none" w:sz="0" w:space="0" w:color="auto"/>
        <w:left w:val="none" w:sz="0" w:space="0" w:color="auto"/>
        <w:bottom w:val="none" w:sz="0" w:space="0" w:color="auto"/>
        <w:right w:val="none" w:sz="0" w:space="0" w:color="auto"/>
      </w:divBdr>
    </w:div>
    <w:div w:id="239755565">
      <w:bodyDiv w:val="1"/>
      <w:marLeft w:val="0"/>
      <w:marRight w:val="0"/>
      <w:marTop w:val="0"/>
      <w:marBottom w:val="0"/>
      <w:divBdr>
        <w:top w:val="none" w:sz="0" w:space="0" w:color="auto"/>
        <w:left w:val="none" w:sz="0" w:space="0" w:color="auto"/>
        <w:bottom w:val="none" w:sz="0" w:space="0" w:color="auto"/>
        <w:right w:val="none" w:sz="0" w:space="0" w:color="auto"/>
      </w:divBdr>
    </w:div>
    <w:div w:id="254635368">
      <w:bodyDiv w:val="1"/>
      <w:marLeft w:val="0"/>
      <w:marRight w:val="0"/>
      <w:marTop w:val="0"/>
      <w:marBottom w:val="0"/>
      <w:divBdr>
        <w:top w:val="none" w:sz="0" w:space="0" w:color="auto"/>
        <w:left w:val="none" w:sz="0" w:space="0" w:color="auto"/>
        <w:bottom w:val="none" w:sz="0" w:space="0" w:color="auto"/>
        <w:right w:val="none" w:sz="0" w:space="0" w:color="auto"/>
      </w:divBdr>
    </w:div>
    <w:div w:id="261769189">
      <w:bodyDiv w:val="1"/>
      <w:marLeft w:val="0"/>
      <w:marRight w:val="0"/>
      <w:marTop w:val="0"/>
      <w:marBottom w:val="0"/>
      <w:divBdr>
        <w:top w:val="none" w:sz="0" w:space="0" w:color="auto"/>
        <w:left w:val="none" w:sz="0" w:space="0" w:color="auto"/>
        <w:bottom w:val="none" w:sz="0" w:space="0" w:color="auto"/>
        <w:right w:val="none" w:sz="0" w:space="0" w:color="auto"/>
      </w:divBdr>
    </w:div>
    <w:div w:id="272248056">
      <w:bodyDiv w:val="1"/>
      <w:marLeft w:val="0"/>
      <w:marRight w:val="0"/>
      <w:marTop w:val="0"/>
      <w:marBottom w:val="0"/>
      <w:divBdr>
        <w:top w:val="none" w:sz="0" w:space="0" w:color="auto"/>
        <w:left w:val="none" w:sz="0" w:space="0" w:color="auto"/>
        <w:bottom w:val="none" w:sz="0" w:space="0" w:color="auto"/>
        <w:right w:val="none" w:sz="0" w:space="0" w:color="auto"/>
      </w:divBdr>
    </w:div>
    <w:div w:id="275185991">
      <w:bodyDiv w:val="1"/>
      <w:marLeft w:val="0"/>
      <w:marRight w:val="0"/>
      <w:marTop w:val="0"/>
      <w:marBottom w:val="0"/>
      <w:divBdr>
        <w:top w:val="none" w:sz="0" w:space="0" w:color="auto"/>
        <w:left w:val="none" w:sz="0" w:space="0" w:color="auto"/>
        <w:bottom w:val="none" w:sz="0" w:space="0" w:color="auto"/>
        <w:right w:val="none" w:sz="0" w:space="0" w:color="auto"/>
      </w:divBdr>
    </w:div>
    <w:div w:id="304087495">
      <w:bodyDiv w:val="1"/>
      <w:marLeft w:val="0"/>
      <w:marRight w:val="0"/>
      <w:marTop w:val="0"/>
      <w:marBottom w:val="0"/>
      <w:divBdr>
        <w:top w:val="none" w:sz="0" w:space="0" w:color="auto"/>
        <w:left w:val="none" w:sz="0" w:space="0" w:color="auto"/>
        <w:bottom w:val="none" w:sz="0" w:space="0" w:color="auto"/>
        <w:right w:val="none" w:sz="0" w:space="0" w:color="auto"/>
      </w:divBdr>
    </w:div>
    <w:div w:id="472677899">
      <w:bodyDiv w:val="1"/>
      <w:marLeft w:val="0"/>
      <w:marRight w:val="0"/>
      <w:marTop w:val="0"/>
      <w:marBottom w:val="0"/>
      <w:divBdr>
        <w:top w:val="none" w:sz="0" w:space="0" w:color="auto"/>
        <w:left w:val="none" w:sz="0" w:space="0" w:color="auto"/>
        <w:bottom w:val="none" w:sz="0" w:space="0" w:color="auto"/>
        <w:right w:val="none" w:sz="0" w:space="0" w:color="auto"/>
      </w:divBdr>
    </w:div>
    <w:div w:id="482043202">
      <w:bodyDiv w:val="1"/>
      <w:marLeft w:val="0"/>
      <w:marRight w:val="0"/>
      <w:marTop w:val="0"/>
      <w:marBottom w:val="0"/>
      <w:divBdr>
        <w:top w:val="none" w:sz="0" w:space="0" w:color="auto"/>
        <w:left w:val="none" w:sz="0" w:space="0" w:color="auto"/>
        <w:bottom w:val="none" w:sz="0" w:space="0" w:color="auto"/>
        <w:right w:val="none" w:sz="0" w:space="0" w:color="auto"/>
      </w:divBdr>
    </w:div>
    <w:div w:id="486550846">
      <w:bodyDiv w:val="1"/>
      <w:marLeft w:val="0"/>
      <w:marRight w:val="0"/>
      <w:marTop w:val="0"/>
      <w:marBottom w:val="0"/>
      <w:divBdr>
        <w:top w:val="none" w:sz="0" w:space="0" w:color="auto"/>
        <w:left w:val="none" w:sz="0" w:space="0" w:color="auto"/>
        <w:bottom w:val="none" w:sz="0" w:space="0" w:color="auto"/>
        <w:right w:val="none" w:sz="0" w:space="0" w:color="auto"/>
      </w:divBdr>
    </w:div>
    <w:div w:id="534200615">
      <w:bodyDiv w:val="1"/>
      <w:marLeft w:val="0"/>
      <w:marRight w:val="0"/>
      <w:marTop w:val="0"/>
      <w:marBottom w:val="0"/>
      <w:divBdr>
        <w:top w:val="none" w:sz="0" w:space="0" w:color="auto"/>
        <w:left w:val="none" w:sz="0" w:space="0" w:color="auto"/>
        <w:bottom w:val="none" w:sz="0" w:space="0" w:color="auto"/>
        <w:right w:val="none" w:sz="0" w:space="0" w:color="auto"/>
      </w:divBdr>
    </w:div>
    <w:div w:id="589851694">
      <w:bodyDiv w:val="1"/>
      <w:marLeft w:val="0"/>
      <w:marRight w:val="0"/>
      <w:marTop w:val="0"/>
      <w:marBottom w:val="0"/>
      <w:divBdr>
        <w:top w:val="none" w:sz="0" w:space="0" w:color="auto"/>
        <w:left w:val="none" w:sz="0" w:space="0" w:color="auto"/>
        <w:bottom w:val="none" w:sz="0" w:space="0" w:color="auto"/>
        <w:right w:val="none" w:sz="0" w:space="0" w:color="auto"/>
      </w:divBdr>
    </w:div>
    <w:div w:id="591818063">
      <w:bodyDiv w:val="1"/>
      <w:marLeft w:val="0"/>
      <w:marRight w:val="0"/>
      <w:marTop w:val="0"/>
      <w:marBottom w:val="0"/>
      <w:divBdr>
        <w:top w:val="none" w:sz="0" w:space="0" w:color="auto"/>
        <w:left w:val="none" w:sz="0" w:space="0" w:color="auto"/>
        <w:bottom w:val="none" w:sz="0" w:space="0" w:color="auto"/>
        <w:right w:val="none" w:sz="0" w:space="0" w:color="auto"/>
      </w:divBdr>
    </w:div>
    <w:div w:id="653067297">
      <w:bodyDiv w:val="1"/>
      <w:marLeft w:val="0"/>
      <w:marRight w:val="0"/>
      <w:marTop w:val="0"/>
      <w:marBottom w:val="0"/>
      <w:divBdr>
        <w:top w:val="none" w:sz="0" w:space="0" w:color="auto"/>
        <w:left w:val="none" w:sz="0" w:space="0" w:color="auto"/>
        <w:bottom w:val="none" w:sz="0" w:space="0" w:color="auto"/>
        <w:right w:val="none" w:sz="0" w:space="0" w:color="auto"/>
      </w:divBdr>
    </w:div>
    <w:div w:id="658311357">
      <w:bodyDiv w:val="1"/>
      <w:marLeft w:val="0"/>
      <w:marRight w:val="0"/>
      <w:marTop w:val="0"/>
      <w:marBottom w:val="0"/>
      <w:divBdr>
        <w:top w:val="none" w:sz="0" w:space="0" w:color="auto"/>
        <w:left w:val="none" w:sz="0" w:space="0" w:color="auto"/>
        <w:bottom w:val="none" w:sz="0" w:space="0" w:color="auto"/>
        <w:right w:val="none" w:sz="0" w:space="0" w:color="auto"/>
      </w:divBdr>
    </w:div>
    <w:div w:id="686442507">
      <w:bodyDiv w:val="1"/>
      <w:marLeft w:val="0"/>
      <w:marRight w:val="0"/>
      <w:marTop w:val="0"/>
      <w:marBottom w:val="0"/>
      <w:divBdr>
        <w:top w:val="none" w:sz="0" w:space="0" w:color="auto"/>
        <w:left w:val="none" w:sz="0" w:space="0" w:color="auto"/>
        <w:bottom w:val="none" w:sz="0" w:space="0" w:color="auto"/>
        <w:right w:val="none" w:sz="0" w:space="0" w:color="auto"/>
      </w:divBdr>
    </w:div>
    <w:div w:id="722604518">
      <w:bodyDiv w:val="1"/>
      <w:marLeft w:val="0"/>
      <w:marRight w:val="0"/>
      <w:marTop w:val="0"/>
      <w:marBottom w:val="0"/>
      <w:divBdr>
        <w:top w:val="none" w:sz="0" w:space="0" w:color="auto"/>
        <w:left w:val="none" w:sz="0" w:space="0" w:color="auto"/>
        <w:bottom w:val="none" w:sz="0" w:space="0" w:color="auto"/>
        <w:right w:val="none" w:sz="0" w:space="0" w:color="auto"/>
      </w:divBdr>
    </w:div>
    <w:div w:id="880477126">
      <w:bodyDiv w:val="1"/>
      <w:marLeft w:val="0"/>
      <w:marRight w:val="0"/>
      <w:marTop w:val="0"/>
      <w:marBottom w:val="0"/>
      <w:divBdr>
        <w:top w:val="none" w:sz="0" w:space="0" w:color="auto"/>
        <w:left w:val="none" w:sz="0" w:space="0" w:color="auto"/>
        <w:bottom w:val="none" w:sz="0" w:space="0" w:color="auto"/>
        <w:right w:val="none" w:sz="0" w:space="0" w:color="auto"/>
      </w:divBdr>
    </w:div>
    <w:div w:id="898592318">
      <w:bodyDiv w:val="1"/>
      <w:marLeft w:val="0"/>
      <w:marRight w:val="0"/>
      <w:marTop w:val="0"/>
      <w:marBottom w:val="0"/>
      <w:divBdr>
        <w:top w:val="none" w:sz="0" w:space="0" w:color="auto"/>
        <w:left w:val="none" w:sz="0" w:space="0" w:color="auto"/>
        <w:bottom w:val="none" w:sz="0" w:space="0" w:color="auto"/>
        <w:right w:val="none" w:sz="0" w:space="0" w:color="auto"/>
      </w:divBdr>
    </w:div>
    <w:div w:id="940069306">
      <w:bodyDiv w:val="1"/>
      <w:marLeft w:val="0"/>
      <w:marRight w:val="0"/>
      <w:marTop w:val="0"/>
      <w:marBottom w:val="0"/>
      <w:divBdr>
        <w:top w:val="none" w:sz="0" w:space="0" w:color="auto"/>
        <w:left w:val="none" w:sz="0" w:space="0" w:color="auto"/>
        <w:bottom w:val="none" w:sz="0" w:space="0" w:color="auto"/>
        <w:right w:val="none" w:sz="0" w:space="0" w:color="auto"/>
      </w:divBdr>
    </w:div>
    <w:div w:id="942884854">
      <w:bodyDiv w:val="1"/>
      <w:marLeft w:val="0"/>
      <w:marRight w:val="0"/>
      <w:marTop w:val="0"/>
      <w:marBottom w:val="0"/>
      <w:divBdr>
        <w:top w:val="none" w:sz="0" w:space="0" w:color="auto"/>
        <w:left w:val="none" w:sz="0" w:space="0" w:color="auto"/>
        <w:bottom w:val="none" w:sz="0" w:space="0" w:color="auto"/>
        <w:right w:val="none" w:sz="0" w:space="0" w:color="auto"/>
      </w:divBdr>
    </w:div>
    <w:div w:id="1110395242">
      <w:bodyDiv w:val="1"/>
      <w:marLeft w:val="0"/>
      <w:marRight w:val="0"/>
      <w:marTop w:val="0"/>
      <w:marBottom w:val="0"/>
      <w:divBdr>
        <w:top w:val="none" w:sz="0" w:space="0" w:color="auto"/>
        <w:left w:val="none" w:sz="0" w:space="0" w:color="auto"/>
        <w:bottom w:val="none" w:sz="0" w:space="0" w:color="auto"/>
        <w:right w:val="none" w:sz="0" w:space="0" w:color="auto"/>
      </w:divBdr>
    </w:div>
    <w:div w:id="1191140852">
      <w:bodyDiv w:val="1"/>
      <w:marLeft w:val="0"/>
      <w:marRight w:val="0"/>
      <w:marTop w:val="0"/>
      <w:marBottom w:val="0"/>
      <w:divBdr>
        <w:top w:val="none" w:sz="0" w:space="0" w:color="auto"/>
        <w:left w:val="none" w:sz="0" w:space="0" w:color="auto"/>
        <w:bottom w:val="none" w:sz="0" w:space="0" w:color="auto"/>
        <w:right w:val="none" w:sz="0" w:space="0" w:color="auto"/>
      </w:divBdr>
    </w:div>
    <w:div w:id="1245846388">
      <w:bodyDiv w:val="1"/>
      <w:marLeft w:val="0"/>
      <w:marRight w:val="0"/>
      <w:marTop w:val="0"/>
      <w:marBottom w:val="0"/>
      <w:divBdr>
        <w:top w:val="none" w:sz="0" w:space="0" w:color="auto"/>
        <w:left w:val="none" w:sz="0" w:space="0" w:color="auto"/>
        <w:bottom w:val="none" w:sz="0" w:space="0" w:color="auto"/>
        <w:right w:val="none" w:sz="0" w:space="0" w:color="auto"/>
      </w:divBdr>
    </w:div>
    <w:div w:id="1265578783">
      <w:bodyDiv w:val="1"/>
      <w:marLeft w:val="0"/>
      <w:marRight w:val="0"/>
      <w:marTop w:val="0"/>
      <w:marBottom w:val="0"/>
      <w:divBdr>
        <w:top w:val="none" w:sz="0" w:space="0" w:color="auto"/>
        <w:left w:val="none" w:sz="0" w:space="0" w:color="auto"/>
        <w:bottom w:val="none" w:sz="0" w:space="0" w:color="auto"/>
        <w:right w:val="none" w:sz="0" w:space="0" w:color="auto"/>
      </w:divBdr>
    </w:div>
    <w:div w:id="1282151882">
      <w:bodyDiv w:val="1"/>
      <w:marLeft w:val="0"/>
      <w:marRight w:val="0"/>
      <w:marTop w:val="0"/>
      <w:marBottom w:val="0"/>
      <w:divBdr>
        <w:top w:val="none" w:sz="0" w:space="0" w:color="auto"/>
        <w:left w:val="none" w:sz="0" w:space="0" w:color="auto"/>
        <w:bottom w:val="none" w:sz="0" w:space="0" w:color="auto"/>
        <w:right w:val="none" w:sz="0" w:space="0" w:color="auto"/>
      </w:divBdr>
    </w:div>
    <w:div w:id="1321731436">
      <w:bodyDiv w:val="1"/>
      <w:marLeft w:val="0"/>
      <w:marRight w:val="0"/>
      <w:marTop w:val="0"/>
      <w:marBottom w:val="0"/>
      <w:divBdr>
        <w:top w:val="none" w:sz="0" w:space="0" w:color="auto"/>
        <w:left w:val="none" w:sz="0" w:space="0" w:color="auto"/>
        <w:bottom w:val="none" w:sz="0" w:space="0" w:color="auto"/>
        <w:right w:val="none" w:sz="0" w:space="0" w:color="auto"/>
      </w:divBdr>
    </w:div>
    <w:div w:id="1454206320">
      <w:bodyDiv w:val="1"/>
      <w:marLeft w:val="0"/>
      <w:marRight w:val="0"/>
      <w:marTop w:val="0"/>
      <w:marBottom w:val="0"/>
      <w:divBdr>
        <w:top w:val="none" w:sz="0" w:space="0" w:color="auto"/>
        <w:left w:val="none" w:sz="0" w:space="0" w:color="auto"/>
        <w:bottom w:val="none" w:sz="0" w:space="0" w:color="auto"/>
        <w:right w:val="none" w:sz="0" w:space="0" w:color="auto"/>
      </w:divBdr>
    </w:div>
    <w:div w:id="1464885930">
      <w:bodyDiv w:val="1"/>
      <w:marLeft w:val="0"/>
      <w:marRight w:val="0"/>
      <w:marTop w:val="0"/>
      <w:marBottom w:val="0"/>
      <w:divBdr>
        <w:top w:val="none" w:sz="0" w:space="0" w:color="auto"/>
        <w:left w:val="none" w:sz="0" w:space="0" w:color="auto"/>
        <w:bottom w:val="none" w:sz="0" w:space="0" w:color="auto"/>
        <w:right w:val="none" w:sz="0" w:space="0" w:color="auto"/>
      </w:divBdr>
    </w:div>
    <w:div w:id="1490562017">
      <w:bodyDiv w:val="1"/>
      <w:marLeft w:val="0"/>
      <w:marRight w:val="0"/>
      <w:marTop w:val="0"/>
      <w:marBottom w:val="0"/>
      <w:divBdr>
        <w:top w:val="none" w:sz="0" w:space="0" w:color="auto"/>
        <w:left w:val="none" w:sz="0" w:space="0" w:color="auto"/>
        <w:bottom w:val="none" w:sz="0" w:space="0" w:color="auto"/>
        <w:right w:val="none" w:sz="0" w:space="0" w:color="auto"/>
      </w:divBdr>
    </w:div>
    <w:div w:id="1545480730">
      <w:bodyDiv w:val="1"/>
      <w:marLeft w:val="0"/>
      <w:marRight w:val="0"/>
      <w:marTop w:val="0"/>
      <w:marBottom w:val="0"/>
      <w:divBdr>
        <w:top w:val="none" w:sz="0" w:space="0" w:color="auto"/>
        <w:left w:val="none" w:sz="0" w:space="0" w:color="auto"/>
        <w:bottom w:val="none" w:sz="0" w:space="0" w:color="auto"/>
        <w:right w:val="none" w:sz="0" w:space="0" w:color="auto"/>
      </w:divBdr>
    </w:div>
    <w:div w:id="1594899621">
      <w:bodyDiv w:val="1"/>
      <w:marLeft w:val="0"/>
      <w:marRight w:val="0"/>
      <w:marTop w:val="0"/>
      <w:marBottom w:val="0"/>
      <w:divBdr>
        <w:top w:val="none" w:sz="0" w:space="0" w:color="auto"/>
        <w:left w:val="none" w:sz="0" w:space="0" w:color="auto"/>
        <w:bottom w:val="none" w:sz="0" w:space="0" w:color="auto"/>
        <w:right w:val="none" w:sz="0" w:space="0" w:color="auto"/>
      </w:divBdr>
    </w:div>
    <w:div w:id="1603343479">
      <w:bodyDiv w:val="1"/>
      <w:marLeft w:val="0"/>
      <w:marRight w:val="0"/>
      <w:marTop w:val="0"/>
      <w:marBottom w:val="0"/>
      <w:divBdr>
        <w:top w:val="none" w:sz="0" w:space="0" w:color="auto"/>
        <w:left w:val="none" w:sz="0" w:space="0" w:color="auto"/>
        <w:bottom w:val="none" w:sz="0" w:space="0" w:color="auto"/>
        <w:right w:val="none" w:sz="0" w:space="0" w:color="auto"/>
      </w:divBdr>
    </w:div>
    <w:div w:id="1646622482">
      <w:bodyDiv w:val="1"/>
      <w:marLeft w:val="0"/>
      <w:marRight w:val="0"/>
      <w:marTop w:val="0"/>
      <w:marBottom w:val="0"/>
      <w:divBdr>
        <w:top w:val="none" w:sz="0" w:space="0" w:color="auto"/>
        <w:left w:val="none" w:sz="0" w:space="0" w:color="auto"/>
        <w:bottom w:val="none" w:sz="0" w:space="0" w:color="auto"/>
        <w:right w:val="none" w:sz="0" w:space="0" w:color="auto"/>
      </w:divBdr>
    </w:div>
    <w:div w:id="1650133111">
      <w:bodyDiv w:val="1"/>
      <w:marLeft w:val="0"/>
      <w:marRight w:val="0"/>
      <w:marTop w:val="0"/>
      <w:marBottom w:val="0"/>
      <w:divBdr>
        <w:top w:val="none" w:sz="0" w:space="0" w:color="auto"/>
        <w:left w:val="none" w:sz="0" w:space="0" w:color="auto"/>
        <w:bottom w:val="none" w:sz="0" w:space="0" w:color="auto"/>
        <w:right w:val="none" w:sz="0" w:space="0" w:color="auto"/>
      </w:divBdr>
    </w:div>
    <w:div w:id="1666473475">
      <w:bodyDiv w:val="1"/>
      <w:marLeft w:val="0"/>
      <w:marRight w:val="0"/>
      <w:marTop w:val="0"/>
      <w:marBottom w:val="0"/>
      <w:divBdr>
        <w:top w:val="none" w:sz="0" w:space="0" w:color="auto"/>
        <w:left w:val="none" w:sz="0" w:space="0" w:color="auto"/>
        <w:bottom w:val="none" w:sz="0" w:space="0" w:color="auto"/>
        <w:right w:val="none" w:sz="0" w:space="0" w:color="auto"/>
      </w:divBdr>
    </w:div>
    <w:div w:id="1715152151">
      <w:bodyDiv w:val="1"/>
      <w:marLeft w:val="0"/>
      <w:marRight w:val="0"/>
      <w:marTop w:val="0"/>
      <w:marBottom w:val="0"/>
      <w:divBdr>
        <w:top w:val="none" w:sz="0" w:space="0" w:color="auto"/>
        <w:left w:val="none" w:sz="0" w:space="0" w:color="auto"/>
        <w:bottom w:val="none" w:sz="0" w:space="0" w:color="auto"/>
        <w:right w:val="none" w:sz="0" w:space="0" w:color="auto"/>
      </w:divBdr>
    </w:div>
    <w:div w:id="1751391748">
      <w:bodyDiv w:val="1"/>
      <w:marLeft w:val="0"/>
      <w:marRight w:val="0"/>
      <w:marTop w:val="0"/>
      <w:marBottom w:val="0"/>
      <w:divBdr>
        <w:top w:val="none" w:sz="0" w:space="0" w:color="auto"/>
        <w:left w:val="none" w:sz="0" w:space="0" w:color="auto"/>
        <w:bottom w:val="none" w:sz="0" w:space="0" w:color="auto"/>
        <w:right w:val="none" w:sz="0" w:space="0" w:color="auto"/>
      </w:divBdr>
    </w:div>
    <w:div w:id="1758624716">
      <w:bodyDiv w:val="1"/>
      <w:marLeft w:val="0"/>
      <w:marRight w:val="0"/>
      <w:marTop w:val="0"/>
      <w:marBottom w:val="0"/>
      <w:divBdr>
        <w:top w:val="none" w:sz="0" w:space="0" w:color="auto"/>
        <w:left w:val="none" w:sz="0" w:space="0" w:color="auto"/>
        <w:bottom w:val="none" w:sz="0" w:space="0" w:color="auto"/>
        <w:right w:val="none" w:sz="0" w:space="0" w:color="auto"/>
      </w:divBdr>
    </w:div>
    <w:div w:id="1776486433">
      <w:bodyDiv w:val="1"/>
      <w:marLeft w:val="0"/>
      <w:marRight w:val="0"/>
      <w:marTop w:val="0"/>
      <w:marBottom w:val="0"/>
      <w:divBdr>
        <w:top w:val="none" w:sz="0" w:space="0" w:color="auto"/>
        <w:left w:val="none" w:sz="0" w:space="0" w:color="auto"/>
        <w:bottom w:val="none" w:sz="0" w:space="0" w:color="auto"/>
        <w:right w:val="none" w:sz="0" w:space="0" w:color="auto"/>
      </w:divBdr>
    </w:div>
    <w:div w:id="1780447372">
      <w:bodyDiv w:val="1"/>
      <w:marLeft w:val="0"/>
      <w:marRight w:val="0"/>
      <w:marTop w:val="0"/>
      <w:marBottom w:val="0"/>
      <w:divBdr>
        <w:top w:val="none" w:sz="0" w:space="0" w:color="auto"/>
        <w:left w:val="none" w:sz="0" w:space="0" w:color="auto"/>
        <w:bottom w:val="none" w:sz="0" w:space="0" w:color="auto"/>
        <w:right w:val="none" w:sz="0" w:space="0" w:color="auto"/>
      </w:divBdr>
    </w:div>
    <w:div w:id="1837649221">
      <w:bodyDiv w:val="1"/>
      <w:marLeft w:val="0"/>
      <w:marRight w:val="0"/>
      <w:marTop w:val="0"/>
      <w:marBottom w:val="0"/>
      <w:divBdr>
        <w:top w:val="none" w:sz="0" w:space="0" w:color="auto"/>
        <w:left w:val="none" w:sz="0" w:space="0" w:color="auto"/>
        <w:bottom w:val="none" w:sz="0" w:space="0" w:color="auto"/>
        <w:right w:val="none" w:sz="0" w:space="0" w:color="auto"/>
      </w:divBdr>
    </w:div>
    <w:div w:id="1886527567">
      <w:bodyDiv w:val="1"/>
      <w:marLeft w:val="0"/>
      <w:marRight w:val="0"/>
      <w:marTop w:val="0"/>
      <w:marBottom w:val="0"/>
      <w:divBdr>
        <w:top w:val="none" w:sz="0" w:space="0" w:color="auto"/>
        <w:left w:val="none" w:sz="0" w:space="0" w:color="auto"/>
        <w:bottom w:val="none" w:sz="0" w:space="0" w:color="auto"/>
        <w:right w:val="none" w:sz="0" w:space="0" w:color="auto"/>
      </w:divBdr>
    </w:div>
    <w:div w:id="1887257497">
      <w:bodyDiv w:val="1"/>
      <w:marLeft w:val="0"/>
      <w:marRight w:val="0"/>
      <w:marTop w:val="0"/>
      <w:marBottom w:val="0"/>
      <w:divBdr>
        <w:top w:val="none" w:sz="0" w:space="0" w:color="auto"/>
        <w:left w:val="none" w:sz="0" w:space="0" w:color="auto"/>
        <w:bottom w:val="none" w:sz="0" w:space="0" w:color="auto"/>
        <w:right w:val="none" w:sz="0" w:space="0" w:color="auto"/>
      </w:divBdr>
    </w:div>
    <w:div w:id="1934436985">
      <w:bodyDiv w:val="1"/>
      <w:marLeft w:val="0"/>
      <w:marRight w:val="0"/>
      <w:marTop w:val="0"/>
      <w:marBottom w:val="0"/>
      <w:divBdr>
        <w:top w:val="none" w:sz="0" w:space="0" w:color="auto"/>
        <w:left w:val="none" w:sz="0" w:space="0" w:color="auto"/>
        <w:bottom w:val="none" w:sz="0" w:space="0" w:color="auto"/>
        <w:right w:val="none" w:sz="0" w:space="0" w:color="auto"/>
      </w:divBdr>
    </w:div>
    <w:div w:id="1985621034">
      <w:bodyDiv w:val="1"/>
      <w:marLeft w:val="0"/>
      <w:marRight w:val="0"/>
      <w:marTop w:val="0"/>
      <w:marBottom w:val="0"/>
      <w:divBdr>
        <w:top w:val="none" w:sz="0" w:space="0" w:color="auto"/>
        <w:left w:val="none" w:sz="0" w:space="0" w:color="auto"/>
        <w:bottom w:val="none" w:sz="0" w:space="0" w:color="auto"/>
        <w:right w:val="none" w:sz="0" w:space="0" w:color="auto"/>
      </w:divBdr>
    </w:div>
    <w:div w:id="2041970964">
      <w:bodyDiv w:val="1"/>
      <w:marLeft w:val="0"/>
      <w:marRight w:val="0"/>
      <w:marTop w:val="0"/>
      <w:marBottom w:val="0"/>
      <w:divBdr>
        <w:top w:val="none" w:sz="0" w:space="0" w:color="auto"/>
        <w:left w:val="none" w:sz="0" w:space="0" w:color="auto"/>
        <w:bottom w:val="none" w:sz="0" w:space="0" w:color="auto"/>
        <w:right w:val="none" w:sz="0" w:space="0" w:color="auto"/>
      </w:divBdr>
    </w:div>
    <w:div w:id="2105373514">
      <w:bodyDiv w:val="1"/>
      <w:marLeft w:val="0"/>
      <w:marRight w:val="0"/>
      <w:marTop w:val="0"/>
      <w:marBottom w:val="0"/>
      <w:divBdr>
        <w:top w:val="none" w:sz="0" w:space="0" w:color="auto"/>
        <w:left w:val="none" w:sz="0" w:space="0" w:color="auto"/>
        <w:bottom w:val="none" w:sz="0" w:space="0" w:color="auto"/>
        <w:right w:val="none" w:sz="0" w:space="0" w:color="auto"/>
      </w:divBdr>
    </w:div>
    <w:div w:id="2130200209">
      <w:bodyDiv w:val="1"/>
      <w:marLeft w:val="0"/>
      <w:marRight w:val="0"/>
      <w:marTop w:val="0"/>
      <w:marBottom w:val="0"/>
      <w:divBdr>
        <w:top w:val="none" w:sz="0" w:space="0" w:color="auto"/>
        <w:left w:val="none" w:sz="0" w:space="0" w:color="auto"/>
        <w:bottom w:val="none" w:sz="0" w:space="0" w:color="auto"/>
        <w:right w:val="none" w:sz="0" w:space="0" w:color="auto"/>
      </w:divBdr>
    </w:div>
    <w:div w:id="2147308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59.png"/><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emf"/><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png"/><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0B8C4-24F6-47B4-B641-B519B0FBC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7468</Words>
  <Characters>44064</Characters>
  <Application>Microsoft Office Word</Application>
  <DocSecurity>0</DocSecurity>
  <Lines>3389</Lines>
  <Paragraphs>1145</Paragraphs>
  <ScaleCrop>false</ScaleCrop>
  <HeadingPairs>
    <vt:vector size="2" baseType="variant">
      <vt:variant>
        <vt:lpstr>Title</vt:lpstr>
      </vt:variant>
      <vt:variant>
        <vt:i4>1</vt:i4>
      </vt:variant>
    </vt:vector>
  </HeadingPairs>
  <TitlesOfParts>
    <vt:vector size="1" baseType="lpstr">
      <vt:lpstr/>
    </vt:vector>
  </TitlesOfParts>
  <Company>The National Blood Authority, Australia</Company>
  <LinksUpToDate>false</LinksUpToDate>
  <CharactersWithSpaces>50387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NBA</dc:creator>
  <cp:keywords/>
  <dc:description/>
  <cp:lastModifiedBy>Little, Rennay</cp:lastModifiedBy>
  <cp:revision>2</cp:revision>
  <dcterms:created xsi:type="dcterms:W3CDTF">2021-05-06T23:41:00Z</dcterms:created>
  <dcterms:modified xsi:type="dcterms:W3CDTF">2021-05-06T23:41:00Z</dcterms:modified>
</cp:coreProperties>
</file>