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016F8" w14:textId="77777777" w:rsidR="00725009" w:rsidRDefault="00725009" w:rsidP="00725009">
      <w:pPr>
        <w:pStyle w:val="ReportDate"/>
        <w:ind w:left="0"/>
        <w:jc w:val="left"/>
      </w:pPr>
      <w:bookmarkStart w:id="0" w:name="_GoBack"/>
      <w:bookmarkEnd w:id="0"/>
    </w:p>
    <w:p w14:paraId="1CBDF054" w14:textId="77777777" w:rsidR="00725009" w:rsidRDefault="00725009" w:rsidP="00725009">
      <w:pPr>
        <w:pStyle w:val="ReportTitle"/>
        <w:spacing w:before="0" w:after="0"/>
        <w:jc w:val="left"/>
        <w:rPr>
          <w:sz w:val="40"/>
          <w:szCs w:val="40"/>
        </w:rPr>
      </w:pPr>
      <w:r>
        <w:rPr>
          <w:sz w:val="40"/>
          <w:szCs w:val="40"/>
        </w:rPr>
        <w:t>Patient Blood M</w:t>
      </w:r>
      <w:r w:rsidRPr="001B017C">
        <w:rPr>
          <w:sz w:val="40"/>
          <w:szCs w:val="40"/>
        </w:rPr>
        <w:t>anagement</w:t>
      </w:r>
    </w:p>
    <w:p w14:paraId="3DB97DE3" w14:textId="77777777" w:rsidR="00725009" w:rsidRDefault="00725009" w:rsidP="00725009">
      <w:pPr>
        <w:pStyle w:val="ReportTitle"/>
        <w:pBdr>
          <w:bottom w:val="single" w:sz="4" w:space="31" w:color="auto"/>
        </w:pBdr>
        <w:spacing w:before="0" w:after="0"/>
        <w:jc w:val="left"/>
        <w:rPr>
          <w:sz w:val="40"/>
          <w:szCs w:val="40"/>
        </w:rPr>
      </w:pPr>
      <w:r w:rsidRPr="001B017C">
        <w:rPr>
          <w:sz w:val="40"/>
          <w:szCs w:val="40"/>
        </w:rPr>
        <w:t>Guidelines:</w:t>
      </w:r>
      <w:r>
        <w:rPr>
          <w:sz w:val="40"/>
          <w:szCs w:val="40"/>
        </w:rPr>
        <w:t xml:space="preserve"> Module </w:t>
      </w:r>
      <w:r w:rsidR="001C7CA7">
        <w:rPr>
          <w:sz w:val="40"/>
          <w:szCs w:val="40"/>
        </w:rPr>
        <w:t>6</w:t>
      </w:r>
    </w:p>
    <w:p w14:paraId="101F5039" w14:textId="77777777" w:rsidR="00725009" w:rsidRDefault="001D57AB" w:rsidP="00725009">
      <w:pPr>
        <w:pStyle w:val="ReportSubtitle"/>
        <w:spacing w:after="0"/>
        <w:jc w:val="left"/>
        <w:rPr>
          <w:sz w:val="72"/>
          <w:szCs w:val="72"/>
        </w:rPr>
      </w:pPr>
      <w:r>
        <w:rPr>
          <w:sz w:val="72"/>
          <w:szCs w:val="72"/>
        </w:rPr>
        <w:t>Neonatal and p</w:t>
      </w:r>
      <w:r w:rsidR="00383563">
        <w:rPr>
          <w:sz w:val="72"/>
          <w:szCs w:val="72"/>
        </w:rPr>
        <w:t>aediatrics</w:t>
      </w:r>
    </w:p>
    <w:p w14:paraId="1C555D9F" w14:textId="77777777" w:rsidR="00206576" w:rsidRDefault="00206576" w:rsidP="00725009">
      <w:pPr>
        <w:pStyle w:val="ReportSubtitle"/>
        <w:spacing w:after="0"/>
        <w:jc w:val="left"/>
        <w:rPr>
          <w:sz w:val="72"/>
          <w:szCs w:val="72"/>
        </w:rPr>
      </w:pPr>
    </w:p>
    <w:p w14:paraId="11F5581C" w14:textId="77777777" w:rsidR="00206576" w:rsidRDefault="00206576" w:rsidP="00725009">
      <w:pPr>
        <w:pStyle w:val="ReportSubtitle"/>
        <w:spacing w:after="0"/>
        <w:jc w:val="left"/>
        <w:rPr>
          <w:sz w:val="72"/>
          <w:szCs w:val="72"/>
        </w:rPr>
      </w:pPr>
    </w:p>
    <w:p w14:paraId="0C41D842" w14:textId="77777777" w:rsidR="00040473" w:rsidRDefault="00040473">
      <w:pPr>
        <w:spacing w:after="0"/>
        <w:ind w:left="0"/>
        <w:rPr>
          <w:i/>
        </w:rPr>
      </w:pPr>
      <w:r>
        <w:rPr>
          <w:i/>
        </w:rPr>
        <w:br w:type="page"/>
      </w:r>
    </w:p>
    <w:p w14:paraId="55120449" w14:textId="77777777" w:rsidR="00725009" w:rsidRPr="006E7030" w:rsidRDefault="00725009" w:rsidP="00725009">
      <w:pPr>
        <w:rPr>
          <w:rFonts w:cs="Calibri"/>
          <w:bCs/>
          <w:sz w:val="18"/>
          <w:szCs w:val="18"/>
        </w:rPr>
      </w:pPr>
      <w:r w:rsidRPr="00840CFB">
        <w:rPr>
          <w:i/>
        </w:rPr>
        <w:lastRenderedPageBreak/>
        <w:t>© National Blood Authority, 201</w:t>
      </w:r>
      <w:r w:rsidR="001C7CA7" w:rsidRPr="001C7CA7">
        <w:rPr>
          <w:i/>
          <w:highlight w:val="yellow"/>
        </w:rPr>
        <w:t>X</w:t>
      </w:r>
      <w:r w:rsidRPr="00840CFB">
        <w:rPr>
          <w:i/>
        </w:rPr>
        <w:t>.</w:t>
      </w:r>
      <w:r w:rsidRPr="00840CFB">
        <w:rPr>
          <w:i/>
        </w:rPr>
        <w:br/>
      </w:r>
      <w:r w:rsidRPr="00840243">
        <w:rPr>
          <w:b/>
          <w:bCs/>
          <w:noProof/>
          <w:lang w:eastAsia="zh-TW"/>
        </w:rPr>
        <w:t xml:space="preserve"> </w:t>
      </w:r>
      <w:r>
        <w:rPr>
          <w:b/>
          <w:noProof/>
        </w:rPr>
        <w:drawing>
          <wp:inline distT="0" distB="0" distL="0" distR="0" wp14:anchorId="0B7E49AF" wp14:editId="06DD635E">
            <wp:extent cx="856615" cy="292100"/>
            <wp:effectExtent l="0" t="0" r="63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615" cy="292100"/>
                    </a:xfrm>
                    <a:prstGeom prst="rect">
                      <a:avLst/>
                    </a:prstGeom>
                    <a:noFill/>
                    <a:ln>
                      <a:noFill/>
                    </a:ln>
                  </pic:spPr>
                </pic:pic>
              </a:graphicData>
            </a:graphic>
          </wp:inline>
        </w:drawing>
      </w:r>
      <w:r>
        <w:rPr>
          <w:rFonts w:cs="Calibri"/>
          <w:bCs/>
        </w:rPr>
        <w:br/>
      </w:r>
      <w:r w:rsidRPr="006E7030">
        <w:rPr>
          <w:rFonts w:cs="Calibri"/>
          <w:bCs/>
          <w:sz w:val="18"/>
          <w:szCs w:val="18"/>
        </w:rPr>
        <w:t>With the exception of any logos and registered trademarks, and where otherwise noted, all material presented in this document is provided under a Creative Commons Attribution-</w:t>
      </w:r>
      <w:r w:rsidRPr="006E7030">
        <w:rPr>
          <w:rFonts w:cs="Calibri"/>
          <w:sz w:val="18"/>
          <w:szCs w:val="18"/>
        </w:rPr>
        <w:t>NonCommercial-ShareAlike</w:t>
      </w:r>
      <w:r w:rsidRPr="006E7030">
        <w:rPr>
          <w:rFonts w:cs="Calibri"/>
          <w:bCs/>
          <w:sz w:val="18"/>
          <w:szCs w:val="18"/>
        </w:rPr>
        <w:t xml:space="preserve"> 3.0 Australia (</w:t>
      </w:r>
      <w:hyperlink r:id="rId10" w:history="1">
        <w:r w:rsidRPr="006E7030">
          <w:rPr>
            <w:rStyle w:val="Hyperlink"/>
            <w:rFonts w:cs="Calibri"/>
            <w:bCs/>
            <w:sz w:val="18"/>
            <w:szCs w:val="18"/>
          </w:rPr>
          <w:t>http://creativecommons.org/licenses/by-nc-sa/3.0/au/</w:t>
        </w:r>
      </w:hyperlink>
      <w:r w:rsidRPr="006E7030">
        <w:rPr>
          <w:rFonts w:cs="Calibri"/>
          <w:bCs/>
          <w:sz w:val="18"/>
          <w:szCs w:val="18"/>
        </w:rPr>
        <w:t>) licence.</w:t>
      </w:r>
    </w:p>
    <w:p w14:paraId="2F3B5A15" w14:textId="77777777" w:rsidR="00725009" w:rsidRPr="006E7030" w:rsidRDefault="00725009" w:rsidP="00725009">
      <w:pPr>
        <w:rPr>
          <w:rFonts w:cs="Calibri"/>
          <w:sz w:val="18"/>
          <w:szCs w:val="18"/>
        </w:rPr>
      </w:pPr>
      <w:r w:rsidRPr="006E7030">
        <w:rPr>
          <w:rFonts w:cs="Calibri"/>
          <w:sz w:val="18"/>
          <w:szCs w:val="18"/>
        </w:rPr>
        <w:t>You are free to copy, communicate and adapt the work for noncommercial purposes, as long as you attribute the authors and distribute any derivative work (i.e. new work based on this work) only under this licence.</w:t>
      </w:r>
    </w:p>
    <w:p w14:paraId="12FBB13F" w14:textId="77777777" w:rsidR="00725009" w:rsidRPr="006E7030" w:rsidRDefault="00725009" w:rsidP="00FF2787">
      <w:pPr>
        <w:pStyle w:val="Normalbeforebullet"/>
      </w:pPr>
      <w:r w:rsidRPr="006E7030">
        <w:t>If you adapt this work in any way or include it in a collection, and publish, distribute or otherwise disseminate that adaptation or collection to the public, it should be attributed in the following way:</w:t>
      </w:r>
    </w:p>
    <w:p w14:paraId="5CCB7AA7" w14:textId="66A513AA" w:rsidR="00725009" w:rsidRPr="006E7030" w:rsidRDefault="00725009" w:rsidP="00725009">
      <w:pPr>
        <w:pStyle w:val="Quote"/>
        <w:rPr>
          <w:sz w:val="18"/>
          <w:szCs w:val="18"/>
        </w:rPr>
      </w:pPr>
      <w:r>
        <w:rPr>
          <w:rFonts w:ascii="Arial" w:hAnsi="Arial" w:cs="Arial"/>
          <w:noProof/>
          <w:lang w:val="en-AU"/>
        </w:rPr>
        <w:drawing>
          <wp:inline distT="0" distB="0" distL="0" distR="0" wp14:anchorId="7639C7BD" wp14:editId="21B09F83">
            <wp:extent cx="819150" cy="177800"/>
            <wp:effectExtent l="0" t="0" r="0" b="0"/>
            <wp:docPr id="3" name="Picture 17" descr="http://lava360.com/wp-content/uploads/2010/04/creative_commons_lic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va360.com/wp-content/uploads/2010/04/creative_commons_licenses.jpg"/>
                    <pic:cNvPicPr>
                      <a:picLocks noChangeAspect="1" noChangeArrowheads="1"/>
                    </pic:cNvPicPr>
                  </pic:nvPicPr>
                  <pic:blipFill>
                    <a:blip r:embed="rId11">
                      <a:extLst>
                        <a:ext uri="{28A0092B-C50C-407E-A947-70E740481C1C}">
                          <a14:useLocalDpi xmlns:a14="http://schemas.microsoft.com/office/drawing/2010/main" val="0"/>
                        </a:ext>
                      </a:extLst>
                    </a:blip>
                    <a:srcRect t="49654" r="49709" b="25694"/>
                    <a:stretch>
                      <a:fillRect/>
                    </a:stretch>
                  </pic:blipFill>
                  <pic:spPr bwMode="auto">
                    <a:xfrm>
                      <a:off x="0" y="0"/>
                      <a:ext cx="819150" cy="177800"/>
                    </a:xfrm>
                    <a:prstGeom prst="rect">
                      <a:avLst/>
                    </a:prstGeom>
                    <a:noFill/>
                    <a:ln>
                      <a:noFill/>
                    </a:ln>
                  </pic:spPr>
                </pic:pic>
              </a:graphicData>
            </a:graphic>
          </wp:inline>
        </w:drawing>
      </w:r>
      <w:r w:rsidRPr="00840243">
        <w:t xml:space="preserve"> </w:t>
      </w:r>
      <w:r>
        <w:br/>
      </w:r>
      <w:r w:rsidRPr="006E7030">
        <w:rPr>
          <w:sz w:val="18"/>
          <w:szCs w:val="18"/>
        </w:rPr>
        <w:t xml:space="preserve">This work is based on/includes </w:t>
      </w:r>
      <w:r w:rsidRPr="006E7030">
        <w:rPr>
          <w:i/>
          <w:sz w:val="18"/>
          <w:szCs w:val="18"/>
        </w:rPr>
        <w:t>The National Blood Authority’s Patient Blood Management Guideline</w:t>
      </w:r>
      <w:r w:rsidR="009E764E">
        <w:rPr>
          <w:i/>
          <w:sz w:val="18"/>
          <w:szCs w:val="18"/>
          <w:lang w:val="en-AU"/>
        </w:rPr>
        <w:t>s</w:t>
      </w:r>
      <w:r w:rsidRPr="006E7030">
        <w:rPr>
          <w:i/>
          <w:sz w:val="18"/>
          <w:szCs w:val="18"/>
        </w:rPr>
        <w:t xml:space="preserve">: Module </w:t>
      </w:r>
      <w:r w:rsidR="001C7CA7">
        <w:rPr>
          <w:i/>
          <w:sz w:val="18"/>
          <w:szCs w:val="18"/>
          <w:lang w:val="en-US"/>
        </w:rPr>
        <w:t>6</w:t>
      </w:r>
      <w:r w:rsidRPr="006E7030">
        <w:rPr>
          <w:i/>
          <w:sz w:val="18"/>
          <w:szCs w:val="18"/>
        </w:rPr>
        <w:t xml:space="preserve"> – </w:t>
      </w:r>
      <w:r w:rsidR="001D57AB">
        <w:rPr>
          <w:i/>
          <w:sz w:val="18"/>
          <w:szCs w:val="18"/>
          <w:lang w:val="en-AU"/>
        </w:rPr>
        <w:t xml:space="preserve">Neonatal and </w:t>
      </w:r>
      <w:r w:rsidR="001C7CA7">
        <w:rPr>
          <w:i/>
          <w:sz w:val="18"/>
          <w:szCs w:val="18"/>
          <w:lang w:val="en-US"/>
        </w:rPr>
        <w:t>Paediatrics</w:t>
      </w:r>
      <w:r w:rsidRPr="006E7030">
        <w:rPr>
          <w:sz w:val="18"/>
          <w:szCs w:val="18"/>
        </w:rPr>
        <w:t>, which is licensed under the Creative Commons Attribution-NonCommercial-ShareAlike 3.0 Australia licence.</w:t>
      </w:r>
    </w:p>
    <w:p w14:paraId="052D3E6D" w14:textId="77777777" w:rsidR="00725009" w:rsidRPr="006E7030" w:rsidRDefault="00725009" w:rsidP="00FF2787">
      <w:pPr>
        <w:pStyle w:val="Normalbeforebullet"/>
      </w:pPr>
      <w:r w:rsidRPr="006E7030">
        <w:t>Where this work is not modified or changed, it should be attributed in the following way:</w:t>
      </w:r>
    </w:p>
    <w:p w14:paraId="33C08256" w14:textId="77777777" w:rsidR="00725009" w:rsidRPr="00E66427" w:rsidRDefault="00725009" w:rsidP="00725009">
      <w:pPr>
        <w:pStyle w:val="Quote"/>
        <w:rPr>
          <w:bCs/>
          <w:lang w:val="en-AU"/>
        </w:rPr>
      </w:pPr>
      <w:r>
        <w:rPr>
          <w:rFonts w:ascii="Arial" w:hAnsi="Arial" w:cs="Arial"/>
          <w:noProof/>
          <w:lang w:val="en-AU"/>
        </w:rPr>
        <w:drawing>
          <wp:inline distT="0" distB="0" distL="0" distR="0" wp14:anchorId="0FE43631" wp14:editId="40FFA1DC">
            <wp:extent cx="819785" cy="177800"/>
            <wp:effectExtent l="0" t="0" r="0" b="0"/>
            <wp:docPr id="4" name="Picture 18" descr="http://lava360.com/wp-content/uploads/2010/04/creative_commons_lic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va360.com/wp-content/uploads/2010/04/creative_commons_licenses.jpg"/>
                    <pic:cNvPicPr>
                      <a:picLocks noChangeAspect="1" noChangeArrowheads="1"/>
                    </pic:cNvPicPr>
                  </pic:nvPicPr>
                  <pic:blipFill>
                    <a:blip r:embed="rId12">
                      <a:extLst>
                        <a:ext uri="{28A0092B-C50C-407E-A947-70E740481C1C}">
                          <a14:useLocalDpi xmlns:a14="http://schemas.microsoft.com/office/drawing/2010/main" val="0"/>
                        </a:ext>
                      </a:extLst>
                    </a:blip>
                    <a:srcRect t="49654" r="49709" b="25694"/>
                    <a:stretch>
                      <a:fillRect/>
                    </a:stretch>
                  </pic:blipFill>
                  <pic:spPr bwMode="auto">
                    <a:xfrm>
                      <a:off x="0" y="0"/>
                      <a:ext cx="819785" cy="177800"/>
                    </a:xfrm>
                    <a:prstGeom prst="rect">
                      <a:avLst/>
                    </a:prstGeom>
                    <a:noFill/>
                    <a:ln>
                      <a:noFill/>
                    </a:ln>
                  </pic:spPr>
                </pic:pic>
              </a:graphicData>
            </a:graphic>
          </wp:inline>
        </w:drawing>
      </w:r>
      <w:r>
        <w:br/>
      </w:r>
      <w:r w:rsidRPr="00840243">
        <w:t xml:space="preserve">© </w:t>
      </w:r>
      <w:r w:rsidRPr="006E7030">
        <w:rPr>
          <w:sz w:val="18"/>
          <w:szCs w:val="18"/>
        </w:rPr>
        <w:t>National Blood Authority, 201</w:t>
      </w:r>
      <w:r w:rsidR="001C7CA7" w:rsidRPr="001C7CA7">
        <w:rPr>
          <w:sz w:val="18"/>
          <w:szCs w:val="18"/>
          <w:highlight w:val="yellow"/>
          <w:lang w:val="en-US"/>
        </w:rPr>
        <w:t>X</w:t>
      </w:r>
      <w:r w:rsidRPr="006E7030">
        <w:rPr>
          <w:sz w:val="18"/>
          <w:szCs w:val="18"/>
        </w:rPr>
        <w:t>.</w:t>
      </w:r>
      <w:r w:rsidRPr="006E7030">
        <w:rPr>
          <w:sz w:val="18"/>
          <w:szCs w:val="18"/>
        </w:rPr>
        <w:br/>
      </w:r>
      <w:r w:rsidRPr="006E7030">
        <w:rPr>
          <w:bCs/>
          <w:sz w:val="18"/>
          <w:szCs w:val="18"/>
        </w:rPr>
        <w:t>ISBN</w:t>
      </w:r>
      <w:r w:rsidRPr="006E7030">
        <w:rPr>
          <w:bCs/>
          <w:sz w:val="18"/>
          <w:szCs w:val="18"/>
          <w:lang w:val="en-AU"/>
        </w:rPr>
        <w:t xml:space="preserve"> </w:t>
      </w:r>
      <w:r w:rsidR="001C7CA7">
        <w:rPr>
          <w:rStyle w:val="A21"/>
          <w:sz w:val="18"/>
          <w:szCs w:val="18"/>
          <w:lang w:val="en-AU"/>
        </w:rPr>
        <w:t xml:space="preserve">XXX </w:t>
      </w:r>
      <w:r w:rsidRPr="006E7030">
        <w:rPr>
          <w:bCs/>
          <w:sz w:val="18"/>
          <w:szCs w:val="18"/>
          <w:highlight w:val="yellow"/>
          <w:lang w:val="en-AU"/>
        </w:rPr>
        <w:t>(hard copy ISBN</w:t>
      </w:r>
      <w:r w:rsidRPr="006E7030">
        <w:rPr>
          <w:bCs/>
          <w:sz w:val="18"/>
          <w:szCs w:val="18"/>
          <w:lang w:val="en-AU"/>
        </w:rPr>
        <w:t>)</w:t>
      </w:r>
    </w:p>
    <w:p w14:paraId="7B54F38E" w14:textId="77777777" w:rsidR="00725009" w:rsidRPr="006E7030" w:rsidRDefault="00725009" w:rsidP="00FF2787">
      <w:pPr>
        <w:pStyle w:val="Normalbeforebullet"/>
      </w:pPr>
      <w:r w:rsidRPr="006E7030">
        <w:t>For more information and to request permission to reproduce material:</w:t>
      </w:r>
    </w:p>
    <w:p w14:paraId="05109862" w14:textId="77777777" w:rsidR="00725009" w:rsidRPr="006E7030" w:rsidRDefault="00725009" w:rsidP="00725009">
      <w:pPr>
        <w:rPr>
          <w:sz w:val="18"/>
          <w:szCs w:val="18"/>
        </w:rPr>
      </w:pPr>
      <w:r w:rsidRPr="006E7030">
        <w:rPr>
          <w:sz w:val="18"/>
          <w:szCs w:val="18"/>
        </w:rPr>
        <w:t>Patient Blood Management Guidelines</w:t>
      </w:r>
      <w:r w:rsidRPr="006E7030">
        <w:rPr>
          <w:sz w:val="18"/>
          <w:szCs w:val="18"/>
        </w:rPr>
        <w:br/>
        <w:t>National Blood Authority</w:t>
      </w:r>
      <w:r w:rsidRPr="006E7030">
        <w:rPr>
          <w:sz w:val="18"/>
          <w:szCs w:val="18"/>
        </w:rPr>
        <w:br/>
        <w:t>Locked Bag 8430</w:t>
      </w:r>
      <w:r w:rsidRPr="006E7030">
        <w:rPr>
          <w:sz w:val="18"/>
          <w:szCs w:val="18"/>
        </w:rPr>
        <w:br/>
        <w:t>Canberra ACT 2601</w:t>
      </w:r>
      <w:r w:rsidRPr="006E7030">
        <w:rPr>
          <w:sz w:val="18"/>
          <w:szCs w:val="18"/>
        </w:rPr>
        <w:br/>
        <w:t>Telephone: +61 2 6211 8300</w:t>
      </w:r>
    </w:p>
    <w:p w14:paraId="68B29C93" w14:textId="77777777" w:rsidR="00725009" w:rsidRPr="006E7030" w:rsidRDefault="00725009" w:rsidP="00725009">
      <w:pPr>
        <w:rPr>
          <w:sz w:val="18"/>
          <w:szCs w:val="18"/>
        </w:rPr>
      </w:pPr>
      <w:r w:rsidRPr="006E7030">
        <w:rPr>
          <w:sz w:val="18"/>
          <w:szCs w:val="18"/>
        </w:rPr>
        <w:t xml:space="preserve">Email: </w:t>
      </w:r>
      <w:hyperlink r:id="rId13" w:history="1">
        <w:r w:rsidRPr="006E7030">
          <w:rPr>
            <w:rStyle w:val="Hyperlink"/>
            <w:sz w:val="18"/>
            <w:szCs w:val="18"/>
          </w:rPr>
          <w:t>guidelines@blood.gov.au</w:t>
        </w:r>
      </w:hyperlink>
      <w:r w:rsidRPr="006E7030">
        <w:rPr>
          <w:sz w:val="18"/>
          <w:szCs w:val="18"/>
        </w:rPr>
        <w:t xml:space="preserve"> </w:t>
      </w:r>
      <w:r w:rsidRPr="006E7030">
        <w:rPr>
          <w:sz w:val="18"/>
          <w:szCs w:val="18"/>
        </w:rPr>
        <w:br/>
        <w:t xml:space="preserve">Website: </w:t>
      </w:r>
      <w:hyperlink r:id="rId14" w:history="1">
        <w:r w:rsidRPr="006E7030">
          <w:rPr>
            <w:rStyle w:val="Hyperlink"/>
            <w:sz w:val="18"/>
            <w:szCs w:val="18"/>
          </w:rPr>
          <w:t>www.blood.gov.au</w:t>
        </w:r>
      </w:hyperlink>
    </w:p>
    <w:p w14:paraId="272D9D5A" w14:textId="77777777" w:rsidR="00725009" w:rsidRPr="00840243" w:rsidRDefault="00725009" w:rsidP="00725009">
      <w:pPr>
        <w:pStyle w:val="Heading3a"/>
      </w:pPr>
      <w:r w:rsidRPr="00840243">
        <w:t>Disclaimer</w:t>
      </w:r>
    </w:p>
    <w:p w14:paraId="1BFA5965" w14:textId="77777777" w:rsidR="00725009" w:rsidRPr="006E7030" w:rsidRDefault="00725009" w:rsidP="00725009">
      <w:pPr>
        <w:rPr>
          <w:sz w:val="18"/>
          <w:szCs w:val="18"/>
        </w:rPr>
      </w:pPr>
      <w:r w:rsidRPr="006E7030">
        <w:rPr>
          <w:sz w:val="18"/>
          <w:szCs w:val="18"/>
        </w:rPr>
        <w:t>This document is a general guide to appropriate practice, to be followed subject to the circumstances, clinician’s judgement and patient’s preferences in each individual case. It is designed to provide information to assist decision making. Recommendations contained herein are based on the best available evidence published up to 12 June 2013. The relevance and appropriateness of the information and recommendations in this document depend on the individual circumstances. Moreover, the recommendations and guidelines are subject to change over time.</w:t>
      </w:r>
    </w:p>
    <w:p w14:paraId="6E44270B" w14:textId="77777777" w:rsidR="00725009" w:rsidRDefault="00725009" w:rsidP="006E7030">
      <w:pPr>
        <w:pBdr>
          <w:bottom w:val="single" w:sz="4" w:space="1" w:color="auto"/>
        </w:pBdr>
        <w:rPr>
          <w:sz w:val="18"/>
          <w:szCs w:val="18"/>
        </w:rPr>
      </w:pPr>
      <w:r w:rsidRPr="006E7030">
        <w:rPr>
          <w:sz w:val="18"/>
          <w:szCs w:val="18"/>
        </w:rPr>
        <w:t>Each of the parties involved in developing this document expressly disclaims and accepts no responsibility for any undesirable consequences arising from relying on the information or recommendations contained herein.</w:t>
      </w:r>
    </w:p>
    <w:p w14:paraId="479AC968" w14:textId="77777777" w:rsidR="006E7030" w:rsidRDefault="00725009" w:rsidP="00EE1D24">
      <w:pPr>
        <w:spacing w:after="120"/>
        <w:rPr>
          <w:rFonts w:ascii="Arial" w:hAnsi="Arial" w:cs="Arial"/>
          <w:b/>
        </w:rPr>
      </w:pPr>
      <w:r w:rsidRPr="00055E3C">
        <w:rPr>
          <w:rFonts w:ascii="Arial" w:hAnsi="Arial" w:cs="Arial"/>
          <w:b/>
        </w:rPr>
        <w:t>Publication approval</w:t>
      </w:r>
      <w:r>
        <w:rPr>
          <w:rFonts w:ascii="Arial" w:hAnsi="Arial" w:cs="Arial"/>
          <w:b/>
        </w:rPr>
        <w:t xml:space="preserve"> </w:t>
      </w:r>
    </w:p>
    <w:p w14:paraId="182D70BA" w14:textId="77777777" w:rsidR="006E7030" w:rsidRPr="006E7030" w:rsidRDefault="00725009" w:rsidP="00040473">
      <w:pPr>
        <w:rPr>
          <w:rFonts w:cs="Calibri"/>
          <w:sz w:val="18"/>
          <w:szCs w:val="18"/>
        </w:rPr>
      </w:pPr>
      <w:r w:rsidRPr="006E7030">
        <w:rPr>
          <w:rFonts w:cs="Calibri"/>
          <w:sz w:val="18"/>
          <w:szCs w:val="18"/>
          <w:highlight w:val="yellow"/>
        </w:rPr>
        <w:t>[</w:t>
      </w:r>
      <w:r w:rsidR="006E7030" w:rsidRPr="006E7030">
        <w:rPr>
          <w:rFonts w:cs="Calibri"/>
          <w:sz w:val="18"/>
          <w:szCs w:val="18"/>
          <w:highlight w:val="yellow"/>
        </w:rPr>
        <w:t>I</w:t>
      </w:r>
      <w:r w:rsidRPr="006E7030">
        <w:rPr>
          <w:rFonts w:cs="Calibri"/>
          <w:sz w:val="18"/>
          <w:szCs w:val="18"/>
          <w:highlight w:val="yellow"/>
        </w:rPr>
        <w:t xml:space="preserve">nsert </w:t>
      </w:r>
      <w:r w:rsidR="006E7030" w:rsidRPr="006E7030">
        <w:rPr>
          <w:rFonts w:cs="Calibri"/>
          <w:sz w:val="18"/>
          <w:szCs w:val="18"/>
          <w:highlight w:val="yellow"/>
        </w:rPr>
        <w:t>NHMRC LOGO</w:t>
      </w:r>
      <w:r w:rsidRPr="006E7030">
        <w:rPr>
          <w:rFonts w:cs="Calibri"/>
          <w:sz w:val="18"/>
          <w:szCs w:val="18"/>
          <w:highlight w:val="yellow"/>
        </w:rPr>
        <w:t>]</w:t>
      </w:r>
    </w:p>
    <w:p w14:paraId="224A5029" w14:textId="77777777" w:rsidR="006E7030" w:rsidRPr="006E7030" w:rsidRDefault="006E7030" w:rsidP="006E7030">
      <w:pPr>
        <w:rPr>
          <w:rFonts w:cs="Calibri"/>
          <w:sz w:val="18"/>
          <w:szCs w:val="18"/>
        </w:rPr>
      </w:pPr>
      <w:r w:rsidRPr="006E7030">
        <w:rPr>
          <w:rFonts w:cs="Calibri"/>
          <w:sz w:val="18"/>
          <w:szCs w:val="18"/>
        </w:rPr>
        <w:t>These guidelines were approved by the Chief Executive Officer of the National Health and Medical Research Council (NHMRC) on [</w:t>
      </w:r>
      <w:r w:rsidRPr="006E7030">
        <w:rPr>
          <w:rFonts w:cs="Calibri"/>
          <w:sz w:val="18"/>
          <w:szCs w:val="18"/>
          <w:highlight w:val="yellow"/>
        </w:rPr>
        <w:t>Day Month Year TBC by NBA</w:t>
      </w:r>
      <w:r w:rsidRPr="006E7030">
        <w:rPr>
          <w:rFonts w:cs="Calibri"/>
          <w:sz w:val="18"/>
          <w:szCs w:val="18"/>
        </w:rPr>
        <w:t>], under Section 14A of the National Health and Medical Research Council Act 1992. In approving these guidelines the NHMRC considers that they meet the NHMRC standard for clinical practice guidelines. This appro</w:t>
      </w:r>
      <w:r>
        <w:rPr>
          <w:rFonts w:cs="Calibri"/>
          <w:sz w:val="18"/>
          <w:szCs w:val="18"/>
        </w:rPr>
        <w:t>val is valid for a period of five</w:t>
      </w:r>
      <w:r w:rsidRPr="006E7030">
        <w:rPr>
          <w:rFonts w:cs="Calibri"/>
          <w:sz w:val="18"/>
          <w:szCs w:val="18"/>
        </w:rPr>
        <w:t xml:space="preserve"> years.</w:t>
      </w:r>
    </w:p>
    <w:p w14:paraId="17F1FE67" w14:textId="2105B582" w:rsidR="006E7030" w:rsidRPr="006E7030" w:rsidRDefault="006E7030" w:rsidP="006E7030">
      <w:pPr>
        <w:rPr>
          <w:rFonts w:cs="Calibri"/>
          <w:sz w:val="18"/>
          <w:szCs w:val="18"/>
        </w:rPr>
      </w:pPr>
      <w:r w:rsidRPr="006E7030">
        <w:rPr>
          <w:rFonts w:cs="Calibri"/>
          <w:sz w:val="18"/>
          <w:szCs w:val="18"/>
        </w:rPr>
        <w:t xml:space="preserve">NHMRC is satisfied that they are based on the systematic identification and synthesis of the best available scientific evidence and make clear recommendations for health professionals practising in an Australian </w:t>
      </w:r>
      <w:r w:rsidR="009E764E" w:rsidRPr="006E7030">
        <w:rPr>
          <w:rFonts w:cs="Calibri"/>
          <w:sz w:val="18"/>
          <w:szCs w:val="18"/>
        </w:rPr>
        <w:t>health</w:t>
      </w:r>
      <w:r w:rsidR="009E764E">
        <w:rPr>
          <w:rFonts w:cs="Calibri"/>
          <w:sz w:val="18"/>
          <w:szCs w:val="18"/>
        </w:rPr>
        <w:t>-</w:t>
      </w:r>
      <w:r w:rsidRPr="006E7030">
        <w:rPr>
          <w:rFonts w:cs="Calibri"/>
          <w:sz w:val="18"/>
          <w:szCs w:val="18"/>
        </w:rPr>
        <w:t xml:space="preserve">care setting. The NHMRC expects that all guidelines will be reviewed no less than once every five years. </w:t>
      </w:r>
    </w:p>
    <w:p w14:paraId="39B9702A" w14:textId="77777777" w:rsidR="00040473" w:rsidRDefault="006E7030" w:rsidP="006E7030">
      <w:pPr>
        <w:pBdr>
          <w:bottom w:val="single" w:sz="4" w:space="1" w:color="auto"/>
        </w:pBdr>
        <w:rPr>
          <w:rFonts w:cs="Calibri"/>
        </w:rPr>
      </w:pPr>
      <w:r w:rsidRPr="006E7030">
        <w:rPr>
          <w:rFonts w:cs="Calibri"/>
          <w:sz w:val="18"/>
          <w:szCs w:val="18"/>
        </w:rPr>
        <w:t>This publication reflects the views of the authors and not necessarily the views of the Australian Government.</w:t>
      </w:r>
      <w:r w:rsidR="00040473">
        <w:rPr>
          <w:rFonts w:cs="Calibri"/>
        </w:rPr>
        <w:br w:type="page"/>
      </w:r>
    </w:p>
    <w:p w14:paraId="1A10BE52" w14:textId="77777777" w:rsidR="00725009" w:rsidRDefault="00725009" w:rsidP="00040473">
      <w:pPr>
        <w:rPr>
          <w:rStyle w:val="A0"/>
          <w:rFonts w:ascii="Arial" w:hAnsi="Arial" w:cs="Arial"/>
          <w:b/>
          <w:sz w:val="36"/>
          <w:szCs w:val="36"/>
        </w:rPr>
      </w:pPr>
      <w:r w:rsidRPr="00840243">
        <w:rPr>
          <w:rStyle w:val="A0"/>
          <w:rFonts w:ascii="Arial" w:hAnsi="Arial" w:cs="Arial"/>
          <w:b/>
          <w:sz w:val="36"/>
          <w:szCs w:val="36"/>
        </w:rPr>
        <w:lastRenderedPageBreak/>
        <w:t>Patient Blood Management Guidelines:</w:t>
      </w:r>
    </w:p>
    <w:p w14:paraId="0F621912" w14:textId="77777777" w:rsidR="00725009" w:rsidRDefault="00725009" w:rsidP="00725009">
      <w:pPr>
        <w:spacing w:after="0"/>
        <w:rPr>
          <w:rStyle w:val="A0"/>
          <w:rFonts w:ascii="Arial" w:hAnsi="Arial" w:cs="Arial"/>
          <w:b/>
          <w:sz w:val="36"/>
          <w:szCs w:val="36"/>
        </w:rPr>
      </w:pPr>
      <w:r w:rsidRPr="00840243">
        <w:rPr>
          <w:rStyle w:val="A0"/>
          <w:rFonts w:ascii="Arial" w:hAnsi="Arial" w:cs="Arial"/>
          <w:b/>
          <w:sz w:val="36"/>
          <w:szCs w:val="36"/>
        </w:rPr>
        <w:t xml:space="preserve">Module </w:t>
      </w:r>
      <w:r w:rsidR="001C7CA7">
        <w:rPr>
          <w:rStyle w:val="A0"/>
          <w:rFonts w:ascii="Arial" w:hAnsi="Arial" w:cs="Arial"/>
          <w:b/>
          <w:sz w:val="36"/>
          <w:szCs w:val="36"/>
        </w:rPr>
        <w:t>6</w:t>
      </w:r>
      <w:r w:rsidRPr="00840243">
        <w:rPr>
          <w:rStyle w:val="A0"/>
          <w:rFonts w:ascii="Arial" w:hAnsi="Arial" w:cs="Arial"/>
          <w:b/>
          <w:sz w:val="36"/>
          <w:szCs w:val="36"/>
        </w:rPr>
        <w:t xml:space="preserve"> – </w:t>
      </w:r>
      <w:r w:rsidR="001D57AB">
        <w:rPr>
          <w:rStyle w:val="A0"/>
          <w:rFonts w:ascii="Arial" w:hAnsi="Arial" w:cs="Arial"/>
          <w:b/>
          <w:sz w:val="36"/>
          <w:szCs w:val="36"/>
        </w:rPr>
        <w:t xml:space="preserve">Neonatal and </w:t>
      </w:r>
      <w:r w:rsidR="001C7CA7">
        <w:rPr>
          <w:rStyle w:val="A0"/>
          <w:rFonts w:ascii="Arial" w:hAnsi="Arial" w:cs="Arial"/>
          <w:b/>
          <w:sz w:val="36"/>
          <w:szCs w:val="36"/>
        </w:rPr>
        <w:t>Paediatrics</w:t>
      </w:r>
    </w:p>
    <w:p w14:paraId="416893BE" w14:textId="77777777" w:rsidR="00FE1778" w:rsidRDefault="00FE1778" w:rsidP="00725009">
      <w:pPr>
        <w:spacing w:after="0"/>
        <w:rPr>
          <w:rStyle w:val="A0"/>
        </w:rPr>
      </w:pPr>
    </w:p>
    <w:p w14:paraId="63F8AF72" w14:textId="77777777" w:rsidR="00FE1778" w:rsidRDefault="00FE1778" w:rsidP="00725009">
      <w:pPr>
        <w:spacing w:after="0"/>
        <w:rPr>
          <w:rStyle w:val="A0"/>
        </w:rPr>
      </w:pPr>
    </w:p>
    <w:p w14:paraId="566F96EF" w14:textId="77777777" w:rsidR="00725009" w:rsidRDefault="00725009" w:rsidP="00725009">
      <w:pPr>
        <w:spacing w:after="0"/>
        <w:rPr>
          <w:rStyle w:val="A0"/>
        </w:rPr>
      </w:pPr>
      <w:r w:rsidRPr="00840243">
        <w:rPr>
          <w:rStyle w:val="A0"/>
        </w:rPr>
        <w:t xml:space="preserve">Development of this module was achieved through clinical input and expertise of representatives from the </w:t>
      </w:r>
      <w:r>
        <w:rPr>
          <w:rStyle w:val="A0"/>
        </w:rPr>
        <w:t>c</w:t>
      </w:r>
      <w:r w:rsidRPr="00840243">
        <w:rPr>
          <w:rStyle w:val="A0"/>
        </w:rPr>
        <w:t xml:space="preserve">olleges and </w:t>
      </w:r>
      <w:r>
        <w:rPr>
          <w:rStyle w:val="A0"/>
        </w:rPr>
        <w:t>s</w:t>
      </w:r>
      <w:r w:rsidRPr="00840243">
        <w:rPr>
          <w:rStyle w:val="A0"/>
        </w:rPr>
        <w:t>ocieties listed below</w:t>
      </w:r>
      <w:r>
        <w:rPr>
          <w:rStyle w:val="A0"/>
        </w:rPr>
        <w:t>, a patient blood management consultant</w:t>
      </w:r>
      <w:r w:rsidRPr="00840243">
        <w:rPr>
          <w:rStyle w:val="A0"/>
        </w:rPr>
        <w:t xml:space="preserve"> and an independent consumer advocate (see Appendix</w:t>
      </w:r>
      <w:r>
        <w:rPr>
          <w:rStyle w:val="A0"/>
        </w:rPr>
        <w:t> </w:t>
      </w:r>
      <w:r w:rsidRPr="00840243">
        <w:rPr>
          <w:rStyle w:val="A0"/>
        </w:rPr>
        <w:t>A).</w:t>
      </w:r>
    </w:p>
    <w:p w14:paraId="11FE2598" w14:textId="77777777" w:rsidR="00FE1778" w:rsidRDefault="00FE1778" w:rsidP="00725009">
      <w:pPr>
        <w:spacing w:after="0"/>
        <w:rPr>
          <w:rFonts w:cs="ITC Garamond Std Lt"/>
          <w:b/>
          <w:color w:val="221E1F"/>
        </w:rPr>
      </w:pPr>
    </w:p>
    <w:p w14:paraId="445F6241" w14:textId="11783AE6" w:rsidR="009E764E" w:rsidRDefault="005903B1" w:rsidP="009E764E">
      <w:pPr>
        <w:spacing w:after="0"/>
        <w:rPr>
          <w:rFonts w:cs="ITC Garamond Std Lt"/>
          <w:b/>
          <w:color w:val="221E1F"/>
        </w:rPr>
      </w:pPr>
      <w:r w:rsidRPr="005903B1">
        <w:rPr>
          <w:rFonts w:cs="ITC Garamond Std Lt"/>
          <w:b/>
          <w:color w:val="221E1F"/>
        </w:rPr>
        <w:t xml:space="preserve">Australian and New Zealand Children’s Haematology/Oncology Group </w:t>
      </w:r>
      <w:r>
        <w:rPr>
          <w:rFonts w:cs="ITC Garamond Std Lt"/>
          <w:b/>
          <w:color w:val="221E1F"/>
        </w:rPr>
        <w:br/>
      </w:r>
      <w:r w:rsidR="009E764E">
        <w:rPr>
          <w:rFonts w:cs="ITC Garamond Std Lt"/>
          <w:b/>
          <w:color w:val="221E1F"/>
        </w:rPr>
        <w:t>Australian and New Zealand Intensive Care Society</w:t>
      </w:r>
    </w:p>
    <w:p w14:paraId="1A493B45" w14:textId="77777777" w:rsidR="009E764E" w:rsidRDefault="009E764E" w:rsidP="009E764E">
      <w:pPr>
        <w:spacing w:after="0"/>
        <w:rPr>
          <w:rFonts w:cs="ITC Garamond Std Lt"/>
          <w:b/>
          <w:color w:val="221E1F"/>
        </w:rPr>
      </w:pPr>
      <w:r>
        <w:rPr>
          <w:rFonts w:cs="ITC Garamond Std Lt"/>
          <w:b/>
          <w:color w:val="221E1F"/>
        </w:rPr>
        <w:t>Australian &amp; New Zealand Society of Blood Transfusion</w:t>
      </w:r>
    </w:p>
    <w:p w14:paraId="06738FE0" w14:textId="77777777" w:rsidR="009E764E" w:rsidRDefault="009E764E" w:rsidP="009E764E">
      <w:pPr>
        <w:spacing w:after="0"/>
        <w:rPr>
          <w:rFonts w:cs="ITC Garamond Std Lt"/>
          <w:b/>
          <w:color w:val="221E1F"/>
        </w:rPr>
      </w:pPr>
      <w:r>
        <w:rPr>
          <w:rFonts w:cs="ITC Garamond Std Lt"/>
          <w:b/>
          <w:color w:val="221E1F"/>
        </w:rPr>
        <w:t>Australian College of Children and Young People’s Nurses</w:t>
      </w:r>
    </w:p>
    <w:p w14:paraId="1A6334A2" w14:textId="77777777" w:rsidR="009E764E" w:rsidRDefault="009E764E" w:rsidP="009E764E">
      <w:pPr>
        <w:spacing w:after="0"/>
        <w:rPr>
          <w:rFonts w:cs="ITC Garamond Std Lt"/>
          <w:b/>
          <w:color w:val="221E1F"/>
        </w:rPr>
      </w:pPr>
      <w:r>
        <w:rPr>
          <w:rFonts w:cs="ITC Garamond Std Lt"/>
          <w:b/>
          <w:color w:val="221E1F"/>
        </w:rPr>
        <w:t>College of Intensive Care Medicine of Australia and New Zealand</w:t>
      </w:r>
    </w:p>
    <w:p w14:paraId="6AE6DD6D" w14:textId="77777777" w:rsidR="009E764E" w:rsidRDefault="009E764E" w:rsidP="009E764E">
      <w:pPr>
        <w:spacing w:after="0"/>
        <w:rPr>
          <w:rFonts w:cs="ITC Garamond Std Lt"/>
          <w:b/>
          <w:color w:val="221E1F"/>
        </w:rPr>
      </w:pPr>
      <w:r>
        <w:rPr>
          <w:rFonts w:cs="ITC Garamond Std Lt"/>
          <w:b/>
          <w:color w:val="221E1F"/>
        </w:rPr>
        <w:t>Haematology Society of Australia &amp; New Zealand</w:t>
      </w:r>
    </w:p>
    <w:p w14:paraId="35C98FBE" w14:textId="77777777" w:rsidR="009E764E" w:rsidRDefault="009E764E" w:rsidP="009E764E">
      <w:pPr>
        <w:spacing w:after="0"/>
        <w:rPr>
          <w:rFonts w:cs="ITC Garamond Std Lt"/>
          <w:b/>
          <w:color w:val="221E1F"/>
        </w:rPr>
      </w:pPr>
      <w:r>
        <w:rPr>
          <w:rFonts w:cs="ITC Garamond Std Lt"/>
          <w:b/>
          <w:color w:val="221E1F"/>
        </w:rPr>
        <w:t>Perinatal Society of Australia and New Zealand</w:t>
      </w:r>
    </w:p>
    <w:p w14:paraId="109C2A4B" w14:textId="77777777" w:rsidR="009E764E" w:rsidRDefault="009E764E" w:rsidP="009E764E">
      <w:pPr>
        <w:spacing w:after="0"/>
        <w:rPr>
          <w:rFonts w:cs="ITC Garamond Std Lt"/>
          <w:b/>
          <w:color w:val="221E1F"/>
        </w:rPr>
      </w:pPr>
      <w:r>
        <w:rPr>
          <w:rFonts w:cs="ITC Garamond Std Lt"/>
          <w:b/>
          <w:color w:val="221E1F"/>
        </w:rPr>
        <w:t>Royal Australian and New Zealand College of Obstetricians and Gynaecologists</w:t>
      </w:r>
    </w:p>
    <w:p w14:paraId="520F308C" w14:textId="77777777" w:rsidR="009E764E" w:rsidRDefault="009E764E" w:rsidP="009E764E">
      <w:pPr>
        <w:spacing w:after="0"/>
        <w:rPr>
          <w:rFonts w:cs="ITC Garamond Std Lt"/>
          <w:b/>
          <w:color w:val="221E1F"/>
        </w:rPr>
      </w:pPr>
      <w:r>
        <w:rPr>
          <w:rFonts w:cs="ITC Garamond Std Lt"/>
          <w:b/>
          <w:color w:val="221E1F"/>
        </w:rPr>
        <w:t>Royal Australasian College of Surgeons</w:t>
      </w:r>
    </w:p>
    <w:p w14:paraId="2BC658A2" w14:textId="77777777" w:rsidR="009E764E" w:rsidRDefault="009E764E" w:rsidP="009E764E">
      <w:pPr>
        <w:spacing w:after="0"/>
        <w:rPr>
          <w:rFonts w:cs="ITC Garamond Std Lt"/>
          <w:b/>
          <w:color w:val="221E1F"/>
        </w:rPr>
      </w:pPr>
      <w:r>
        <w:rPr>
          <w:rFonts w:cs="ITC Garamond Std Lt"/>
          <w:b/>
          <w:color w:val="221E1F"/>
        </w:rPr>
        <w:t>Royal College of Pathologists of Australasia</w:t>
      </w:r>
    </w:p>
    <w:p w14:paraId="7342F64C" w14:textId="77777777" w:rsidR="009E764E" w:rsidRDefault="009E764E" w:rsidP="009E764E">
      <w:pPr>
        <w:spacing w:after="0"/>
        <w:rPr>
          <w:rFonts w:cs="ITC Garamond Std Lt"/>
          <w:b/>
          <w:color w:val="221E1F"/>
        </w:rPr>
      </w:pPr>
      <w:r>
        <w:rPr>
          <w:rFonts w:cs="ITC Garamond Std Lt"/>
          <w:b/>
          <w:color w:val="221E1F"/>
        </w:rPr>
        <w:t>Thalassaemia Australia</w:t>
      </w:r>
    </w:p>
    <w:p w14:paraId="6232154F" w14:textId="5AAF4420" w:rsidR="00FE1778" w:rsidRDefault="009E764E" w:rsidP="00725009">
      <w:pPr>
        <w:spacing w:after="0"/>
        <w:rPr>
          <w:rStyle w:val="A0"/>
        </w:rPr>
      </w:pPr>
      <w:r w:rsidRPr="00840243" w:rsidDel="009E764E">
        <w:rPr>
          <w:rFonts w:cs="ITC Garamond Std Lt"/>
          <w:b/>
          <w:color w:val="221E1F"/>
        </w:rPr>
        <w:t xml:space="preserve"> </w:t>
      </w:r>
      <w:bookmarkStart w:id="1" w:name="Editing"/>
      <w:bookmarkEnd w:id="1"/>
    </w:p>
    <w:p w14:paraId="36686BEA" w14:textId="77777777" w:rsidR="00725009" w:rsidRDefault="00725009" w:rsidP="00725009">
      <w:pPr>
        <w:spacing w:after="0"/>
        <w:rPr>
          <w:rStyle w:val="Hyperlink"/>
          <w:rFonts w:cs="ITC Garamond Std Lt"/>
          <w:sz w:val="20"/>
          <w:szCs w:val="20"/>
        </w:rPr>
      </w:pPr>
      <w:r w:rsidRPr="00840243">
        <w:rPr>
          <w:rStyle w:val="A0"/>
        </w:rPr>
        <w:t>The National Blood Authority gratefully acknowledges these contributions.</w:t>
      </w:r>
      <w:r>
        <w:rPr>
          <w:rStyle w:val="A0"/>
        </w:rPr>
        <w:t xml:space="preserve"> College and society endorsement of this module can be found at </w:t>
      </w:r>
      <w:hyperlink r:id="rId15" w:history="1">
        <w:r w:rsidRPr="00A06BB9">
          <w:rPr>
            <w:rStyle w:val="Hyperlink"/>
            <w:rFonts w:cs="ITC Garamond Std Lt"/>
            <w:sz w:val="20"/>
            <w:szCs w:val="20"/>
          </w:rPr>
          <w:t>www.blood.gov.au</w:t>
        </w:r>
      </w:hyperlink>
    </w:p>
    <w:p w14:paraId="5F00BF48" w14:textId="77777777" w:rsidR="00FE1778" w:rsidRDefault="00FE1778" w:rsidP="00725009">
      <w:pPr>
        <w:spacing w:after="0"/>
        <w:rPr>
          <w:rStyle w:val="Hyperlink"/>
          <w:rFonts w:cs="ITC Garamond Std Lt"/>
          <w:sz w:val="20"/>
          <w:szCs w:val="20"/>
        </w:rPr>
      </w:pPr>
    </w:p>
    <w:p w14:paraId="3AB70DBD" w14:textId="77777777" w:rsidR="00FE1778" w:rsidRDefault="00FE1778" w:rsidP="00725009">
      <w:pPr>
        <w:spacing w:after="0"/>
        <w:rPr>
          <w:rStyle w:val="Hyperlink"/>
          <w:rFonts w:cs="ITC Garamond Std Lt"/>
          <w:sz w:val="20"/>
          <w:szCs w:val="20"/>
        </w:rPr>
      </w:pPr>
    </w:p>
    <w:p w14:paraId="1B96EAAC" w14:textId="77777777" w:rsidR="00FE1778" w:rsidRDefault="00FE1778" w:rsidP="00725009">
      <w:pPr>
        <w:spacing w:after="0"/>
        <w:rPr>
          <w:rStyle w:val="Hyperlink"/>
          <w:rFonts w:cs="ITC Garamond Std Lt"/>
          <w:sz w:val="20"/>
          <w:szCs w:val="20"/>
        </w:rPr>
      </w:pPr>
    </w:p>
    <w:p w14:paraId="07B58841" w14:textId="77777777" w:rsidR="00FE1778" w:rsidRDefault="00FE1778" w:rsidP="00725009">
      <w:pPr>
        <w:spacing w:after="0"/>
        <w:rPr>
          <w:rStyle w:val="Hyperlink"/>
          <w:rFonts w:cs="ITC Garamond Std Lt"/>
          <w:sz w:val="20"/>
          <w:szCs w:val="20"/>
        </w:rPr>
      </w:pPr>
    </w:p>
    <w:p w14:paraId="5A38C8D4" w14:textId="77777777" w:rsidR="00FE1778" w:rsidRDefault="00FE1778" w:rsidP="00725009">
      <w:pPr>
        <w:spacing w:after="0"/>
        <w:rPr>
          <w:rStyle w:val="Hyperlink"/>
          <w:rFonts w:cs="ITC Garamond Std Lt"/>
          <w:sz w:val="20"/>
          <w:szCs w:val="20"/>
        </w:rPr>
      </w:pPr>
    </w:p>
    <w:p w14:paraId="4F7D5517" w14:textId="77777777" w:rsidR="00FE1778" w:rsidRDefault="00FE1778" w:rsidP="00725009">
      <w:pPr>
        <w:spacing w:after="0"/>
        <w:rPr>
          <w:rStyle w:val="Hyperlink"/>
          <w:rFonts w:cs="ITC Garamond Std Lt"/>
          <w:sz w:val="20"/>
          <w:szCs w:val="20"/>
        </w:rPr>
      </w:pPr>
    </w:p>
    <w:p w14:paraId="163638A9" w14:textId="77777777" w:rsidR="00FE1778" w:rsidRDefault="00FE1778" w:rsidP="00725009">
      <w:pPr>
        <w:spacing w:after="0"/>
        <w:rPr>
          <w:rStyle w:val="Hyperlink"/>
          <w:rFonts w:cs="ITC Garamond Std Lt"/>
          <w:sz w:val="20"/>
          <w:szCs w:val="20"/>
        </w:rPr>
      </w:pPr>
    </w:p>
    <w:p w14:paraId="3928750D" w14:textId="77777777" w:rsidR="00FE1778" w:rsidRDefault="00FE1778" w:rsidP="00725009">
      <w:pPr>
        <w:spacing w:after="0"/>
        <w:rPr>
          <w:rStyle w:val="Hyperlink"/>
          <w:rFonts w:cs="ITC Garamond Std Lt"/>
          <w:sz w:val="20"/>
          <w:szCs w:val="20"/>
        </w:rPr>
      </w:pPr>
    </w:p>
    <w:p w14:paraId="601F3C67" w14:textId="77777777" w:rsidR="00FE1778" w:rsidRDefault="00FE1778" w:rsidP="00725009">
      <w:pPr>
        <w:spacing w:after="0"/>
        <w:rPr>
          <w:rStyle w:val="Hyperlink"/>
          <w:rFonts w:cs="ITC Garamond Std Lt"/>
          <w:sz w:val="20"/>
          <w:szCs w:val="20"/>
        </w:rPr>
      </w:pPr>
    </w:p>
    <w:p w14:paraId="295D1C9A" w14:textId="77777777" w:rsidR="00FE1778" w:rsidRDefault="00FE1778" w:rsidP="00725009">
      <w:pPr>
        <w:spacing w:after="0"/>
        <w:rPr>
          <w:rStyle w:val="Hyperlink"/>
          <w:rFonts w:cs="ITC Garamond Std Lt"/>
          <w:sz w:val="20"/>
          <w:szCs w:val="20"/>
        </w:rPr>
      </w:pPr>
    </w:p>
    <w:p w14:paraId="741F09F9" w14:textId="77777777" w:rsidR="00FE1778" w:rsidRDefault="00FE1778" w:rsidP="00725009">
      <w:pPr>
        <w:spacing w:after="0"/>
        <w:rPr>
          <w:rStyle w:val="Hyperlink"/>
          <w:rFonts w:cs="ITC Garamond Std Lt"/>
          <w:sz w:val="20"/>
          <w:szCs w:val="20"/>
        </w:rPr>
      </w:pPr>
    </w:p>
    <w:p w14:paraId="65CE80FA" w14:textId="77777777" w:rsidR="00FE1778" w:rsidRDefault="00FE1778" w:rsidP="00725009">
      <w:pPr>
        <w:spacing w:after="0"/>
        <w:rPr>
          <w:rStyle w:val="Hyperlink"/>
          <w:rFonts w:cs="ITC Garamond Std Lt"/>
          <w:sz w:val="20"/>
          <w:szCs w:val="20"/>
        </w:rPr>
      </w:pPr>
    </w:p>
    <w:p w14:paraId="3E36E9D6" w14:textId="77777777" w:rsidR="00FE1778" w:rsidRDefault="00FE1778" w:rsidP="00725009">
      <w:pPr>
        <w:spacing w:after="0"/>
        <w:rPr>
          <w:rStyle w:val="Hyperlink"/>
          <w:rFonts w:cs="ITC Garamond Std Lt"/>
          <w:sz w:val="20"/>
          <w:szCs w:val="20"/>
        </w:rPr>
      </w:pPr>
    </w:p>
    <w:p w14:paraId="5BB5899D" w14:textId="77777777" w:rsidR="00FE1778" w:rsidRDefault="00FE1778" w:rsidP="00725009">
      <w:pPr>
        <w:spacing w:after="0"/>
        <w:rPr>
          <w:rStyle w:val="Hyperlink"/>
          <w:rFonts w:cs="ITC Garamond Std Lt"/>
          <w:sz w:val="20"/>
          <w:szCs w:val="20"/>
        </w:rPr>
      </w:pPr>
    </w:p>
    <w:p w14:paraId="5E6D21D4" w14:textId="77777777" w:rsidR="00FE1778" w:rsidRDefault="00FE1778" w:rsidP="00725009">
      <w:pPr>
        <w:spacing w:after="0"/>
        <w:rPr>
          <w:rStyle w:val="Hyperlink"/>
          <w:rFonts w:cs="ITC Garamond Std Lt"/>
          <w:sz w:val="20"/>
          <w:szCs w:val="20"/>
        </w:rPr>
      </w:pPr>
    </w:p>
    <w:p w14:paraId="1BB79B08" w14:textId="77777777" w:rsidR="00FE1778" w:rsidRDefault="00FE1778" w:rsidP="00725009">
      <w:pPr>
        <w:spacing w:after="0"/>
        <w:rPr>
          <w:rStyle w:val="Hyperlink"/>
          <w:rFonts w:cs="ITC Garamond Std Lt"/>
          <w:sz w:val="20"/>
          <w:szCs w:val="20"/>
        </w:rPr>
      </w:pPr>
    </w:p>
    <w:p w14:paraId="6DC353A7" w14:textId="77777777" w:rsidR="00FE1778" w:rsidRDefault="00FE1778" w:rsidP="00725009">
      <w:pPr>
        <w:spacing w:after="0"/>
        <w:rPr>
          <w:rStyle w:val="Hyperlink"/>
          <w:rFonts w:cs="ITC Garamond Std Lt"/>
          <w:sz w:val="20"/>
          <w:szCs w:val="20"/>
        </w:rPr>
      </w:pPr>
    </w:p>
    <w:p w14:paraId="796D0E06" w14:textId="77777777" w:rsidR="00FE1778" w:rsidRDefault="00FE1778" w:rsidP="00725009">
      <w:pPr>
        <w:spacing w:after="0"/>
        <w:rPr>
          <w:rStyle w:val="Hyperlink"/>
          <w:rFonts w:cs="ITC Garamond Std Lt"/>
          <w:sz w:val="20"/>
          <w:szCs w:val="20"/>
        </w:rPr>
      </w:pPr>
    </w:p>
    <w:p w14:paraId="67BFECCB" w14:textId="77777777" w:rsidR="00725009" w:rsidRDefault="00725009" w:rsidP="00725009">
      <w:pPr>
        <w:spacing w:after="0"/>
        <w:rPr>
          <w:rFonts w:cs="ITC Garamond Std Lt"/>
          <w:b/>
          <w:color w:val="221E1F"/>
        </w:rPr>
      </w:pPr>
      <w:r>
        <w:rPr>
          <w:rFonts w:cs="ITC Garamond Std Lt"/>
          <w:noProof/>
        </w:rPr>
        <w:drawing>
          <wp:inline distT="0" distB="0" distL="0" distR="0" wp14:anchorId="29F14745" wp14:editId="2847ED72">
            <wp:extent cx="2247265" cy="780415"/>
            <wp:effectExtent l="0" t="0" r="635" b="635"/>
            <wp:docPr id="5" name="Picture 2" descr="LOGO - 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N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265" cy="780415"/>
                    </a:xfrm>
                    <a:prstGeom prst="rect">
                      <a:avLst/>
                    </a:prstGeom>
                    <a:noFill/>
                    <a:ln>
                      <a:noFill/>
                    </a:ln>
                  </pic:spPr>
                </pic:pic>
              </a:graphicData>
            </a:graphic>
          </wp:inline>
        </w:drawing>
      </w:r>
    </w:p>
    <w:p w14:paraId="48EC283F" w14:textId="77777777" w:rsidR="00725009" w:rsidRDefault="00725009" w:rsidP="00725009">
      <w:pPr>
        <w:spacing w:after="0"/>
        <w:rPr>
          <w:rFonts w:cs="ITC Garamond Std Lt"/>
        </w:rPr>
      </w:pPr>
      <w:r w:rsidRPr="000E0A20">
        <w:rPr>
          <w:rFonts w:cs="ITC Garamond Std Lt"/>
        </w:rPr>
        <w:t>Funding, secretariat and project management was provided by the National Blood Authority</w:t>
      </w:r>
      <w:r>
        <w:rPr>
          <w:rFonts w:cs="ITC Garamond Std Lt"/>
        </w:rPr>
        <w:t>,</w:t>
      </w:r>
      <w:r w:rsidRPr="000E0A20">
        <w:rPr>
          <w:rFonts w:cs="ITC Garamond Std Lt"/>
        </w:rPr>
        <w:t xml:space="preserve"> Australia. The development of the final recommendations has not been influenced by the views or interests of the funding body.</w:t>
      </w:r>
    </w:p>
    <w:p w14:paraId="26D0E66F" w14:textId="77777777" w:rsidR="00725009" w:rsidRDefault="00725009" w:rsidP="00725009">
      <w:pPr>
        <w:spacing w:after="0"/>
        <w:rPr>
          <w:rFonts w:cs="ITC Garamond Std Lt"/>
        </w:rPr>
      </w:pPr>
      <w:r>
        <w:rPr>
          <w:rFonts w:cs="ITC Garamond Std Lt"/>
        </w:rPr>
        <w:t>Publisher: National Blood Authority, Australia</w:t>
      </w:r>
    </w:p>
    <w:p w14:paraId="3724F93B" w14:textId="77777777" w:rsidR="00040473" w:rsidRDefault="00725009" w:rsidP="00725009">
      <w:pPr>
        <w:spacing w:after="0"/>
        <w:rPr>
          <w:noProof/>
        </w:rPr>
      </w:pPr>
      <w:r>
        <w:rPr>
          <w:rFonts w:cs="ITC Garamond Std Lt"/>
        </w:rPr>
        <w:t xml:space="preserve">Suggested citation: </w:t>
      </w:r>
      <w:r>
        <w:rPr>
          <w:noProof/>
        </w:rPr>
        <w:t>National Blood Authority (</w:t>
      </w:r>
      <w:r w:rsidRPr="00F41C1F">
        <w:rPr>
          <w:noProof/>
        </w:rPr>
        <w:t>NBA) (201</w:t>
      </w:r>
      <w:r w:rsidR="001C7CA7" w:rsidRPr="00F41C1F">
        <w:rPr>
          <w:noProof/>
          <w:highlight w:val="yellow"/>
        </w:rPr>
        <w:t>X</w:t>
      </w:r>
      <w:r w:rsidRPr="00F41C1F">
        <w:rPr>
          <w:noProof/>
        </w:rPr>
        <w:t>).</w:t>
      </w:r>
      <w:r>
        <w:rPr>
          <w:noProof/>
        </w:rPr>
        <w:t xml:space="preserve"> </w:t>
      </w:r>
      <w:r w:rsidRPr="0042261E">
        <w:rPr>
          <w:i/>
          <w:noProof/>
        </w:rPr>
        <w:t xml:space="preserve">Patient Blood Management Guidelines: Module </w:t>
      </w:r>
      <w:r w:rsidR="00CD5998">
        <w:rPr>
          <w:i/>
          <w:noProof/>
        </w:rPr>
        <w:t>6</w:t>
      </w:r>
      <w:r w:rsidRPr="0042261E">
        <w:rPr>
          <w:i/>
          <w:noProof/>
        </w:rPr>
        <w:t xml:space="preserve"> – </w:t>
      </w:r>
      <w:r w:rsidR="00CD5998">
        <w:rPr>
          <w:i/>
          <w:noProof/>
        </w:rPr>
        <w:t xml:space="preserve">Neonatal and </w:t>
      </w:r>
      <w:r w:rsidR="001C7CA7">
        <w:rPr>
          <w:i/>
          <w:noProof/>
        </w:rPr>
        <w:t>Paediatrics</w:t>
      </w:r>
      <w:r>
        <w:rPr>
          <w:noProof/>
        </w:rPr>
        <w:t>. NBA, Canberra, Australia.</w:t>
      </w:r>
    </w:p>
    <w:p w14:paraId="207A1C29" w14:textId="77777777" w:rsidR="00040473" w:rsidRDefault="00040473" w:rsidP="00725009">
      <w:pPr>
        <w:spacing w:after="0"/>
        <w:rPr>
          <w:noProof/>
        </w:rPr>
      </w:pPr>
    </w:p>
    <w:p w14:paraId="07970E90" w14:textId="77777777" w:rsidR="00040473" w:rsidRDefault="00040473" w:rsidP="00725009">
      <w:pPr>
        <w:spacing w:after="0"/>
        <w:rPr>
          <w:noProof/>
        </w:rPr>
        <w:sectPr w:rsidR="00040473" w:rsidSect="00040473">
          <w:headerReference w:type="even" r:id="rId17"/>
          <w:headerReference w:type="default" r:id="rId18"/>
          <w:headerReference w:type="first" r:id="rId19"/>
          <w:footerReference w:type="first" r:id="rId20"/>
          <w:footnotePr>
            <w:numFmt w:val="lowerLetter"/>
          </w:footnotePr>
          <w:pgSz w:w="11906" w:h="16838" w:code="9"/>
          <w:pgMar w:top="1440" w:right="1440" w:bottom="1440" w:left="1440" w:header="578" w:footer="578" w:gutter="0"/>
          <w:pgNumType w:fmt="lowerRoman" w:start="1"/>
          <w:cols w:space="720"/>
          <w:titlePg/>
          <w:docGrid w:linePitch="360"/>
        </w:sectPr>
      </w:pPr>
    </w:p>
    <w:p w14:paraId="6E6B3EB2" w14:textId="73133A95" w:rsidR="00725009" w:rsidRPr="009E38CC" w:rsidRDefault="00725009" w:rsidP="003D2EC8">
      <w:pPr>
        <w:pStyle w:val="Heading1"/>
      </w:pPr>
      <w:bookmarkStart w:id="2" w:name="_Toc265585295"/>
      <w:bookmarkStart w:id="3" w:name="_Toc282672269"/>
      <w:bookmarkStart w:id="4" w:name="_Toc427851291"/>
      <w:r>
        <w:lastRenderedPageBreak/>
        <w:t>Abbreviations and acronyms</w:t>
      </w:r>
      <w:bookmarkEnd w:id="2"/>
      <w:bookmarkEnd w:id="3"/>
      <w:bookmarkEnd w:id="4"/>
    </w:p>
    <w:tbl>
      <w:tblPr>
        <w:tblW w:w="0" w:type="auto"/>
        <w:tblInd w:w="959" w:type="dxa"/>
        <w:tblLook w:val="04A0" w:firstRow="1" w:lastRow="0" w:firstColumn="1" w:lastColumn="0" w:noHBand="0" w:noVBand="1"/>
      </w:tblPr>
      <w:tblGrid>
        <w:gridCol w:w="1752"/>
        <w:gridCol w:w="6315"/>
      </w:tblGrid>
      <w:tr w:rsidR="003D2EC8" w14:paraId="0B1E4B6D" w14:textId="77777777" w:rsidTr="00CE5AC9">
        <w:trPr>
          <w:trHeight w:val="340"/>
        </w:trPr>
        <w:tc>
          <w:tcPr>
            <w:tcW w:w="1752" w:type="dxa"/>
          </w:tcPr>
          <w:p w14:paraId="5F752776" w14:textId="77777777" w:rsidR="003D2EC8" w:rsidRDefault="003D2EC8" w:rsidP="009677F6">
            <w:pPr>
              <w:pStyle w:val="Normal-noindent"/>
              <w:spacing w:after="60"/>
            </w:pPr>
            <w:r w:rsidRPr="00241AE8">
              <w:t>A</w:t>
            </w:r>
            <w:r>
              <w:t>CSQHC</w:t>
            </w:r>
          </w:p>
        </w:tc>
        <w:tc>
          <w:tcPr>
            <w:tcW w:w="6315" w:type="dxa"/>
          </w:tcPr>
          <w:p w14:paraId="2C77CDC8" w14:textId="77777777" w:rsidR="003D2EC8" w:rsidRDefault="003D2EC8" w:rsidP="009677F6">
            <w:pPr>
              <w:pStyle w:val="Normal-noindent"/>
              <w:spacing w:after="60"/>
            </w:pPr>
            <w:r w:rsidRPr="00CB114A">
              <w:t>Australian Commission on Safety and Quality in Health</w:t>
            </w:r>
            <w:r>
              <w:t xml:space="preserve"> C</w:t>
            </w:r>
            <w:r w:rsidRPr="00CB114A">
              <w:t>are</w:t>
            </w:r>
          </w:p>
        </w:tc>
      </w:tr>
      <w:tr w:rsidR="003D2EC8" w:rsidRPr="00027D45" w14:paraId="5105D791" w14:textId="77777777" w:rsidTr="00CE5AC9">
        <w:trPr>
          <w:trHeight w:val="340"/>
        </w:trPr>
        <w:tc>
          <w:tcPr>
            <w:tcW w:w="1752" w:type="dxa"/>
          </w:tcPr>
          <w:p w14:paraId="752F3302" w14:textId="77777777" w:rsidR="003D2EC8" w:rsidRPr="00027D45" w:rsidRDefault="003D2EC8" w:rsidP="009677F6">
            <w:pPr>
              <w:pStyle w:val="Normal-noindent"/>
              <w:spacing w:after="60"/>
            </w:pPr>
            <w:r>
              <w:t>AGREE</w:t>
            </w:r>
          </w:p>
        </w:tc>
        <w:tc>
          <w:tcPr>
            <w:tcW w:w="6315" w:type="dxa"/>
          </w:tcPr>
          <w:p w14:paraId="2EC4DAAC" w14:textId="77777777" w:rsidR="003D2EC8" w:rsidRPr="00027D45" w:rsidRDefault="003D2EC8" w:rsidP="009677F6">
            <w:pPr>
              <w:pStyle w:val="Normal-noindent"/>
              <w:spacing w:after="60"/>
            </w:pPr>
            <w:r w:rsidRPr="000B226B">
              <w:t>Appraisal of Guidelines for R</w:t>
            </w:r>
            <w:r>
              <w:t>e</w:t>
            </w:r>
            <w:r w:rsidRPr="000B226B">
              <w:t>search &amp; Evaluation</w:t>
            </w:r>
          </w:p>
        </w:tc>
      </w:tr>
      <w:tr w:rsidR="00085033" w:rsidRPr="00027D45" w14:paraId="5D1292BB" w14:textId="77777777" w:rsidTr="00CE5AC9">
        <w:trPr>
          <w:trHeight w:val="340"/>
        </w:trPr>
        <w:tc>
          <w:tcPr>
            <w:tcW w:w="1752" w:type="dxa"/>
          </w:tcPr>
          <w:p w14:paraId="60C87337" w14:textId="2C94050C" w:rsidR="00085033" w:rsidRPr="00027D45" w:rsidRDefault="00085033" w:rsidP="009677F6">
            <w:pPr>
              <w:pStyle w:val="Normal-noindent"/>
              <w:spacing w:after="60"/>
            </w:pPr>
            <w:r>
              <w:t>AHCDO</w:t>
            </w:r>
          </w:p>
        </w:tc>
        <w:tc>
          <w:tcPr>
            <w:tcW w:w="6315" w:type="dxa"/>
          </w:tcPr>
          <w:p w14:paraId="04F8EFC2" w14:textId="7A8054A8" w:rsidR="00085033" w:rsidRPr="00027D45" w:rsidRDefault="00085033" w:rsidP="009677F6">
            <w:pPr>
              <w:pStyle w:val="Normal-noindent"/>
              <w:spacing w:after="60"/>
            </w:pPr>
            <w:r>
              <w:t>Australian Haemophilia Centre Directors' Organisation</w:t>
            </w:r>
          </w:p>
        </w:tc>
      </w:tr>
      <w:tr w:rsidR="003D2EC8" w:rsidRPr="00027D45" w14:paraId="1CE21D6B" w14:textId="77777777" w:rsidTr="00CE5AC9">
        <w:trPr>
          <w:trHeight w:val="340"/>
        </w:trPr>
        <w:tc>
          <w:tcPr>
            <w:tcW w:w="1752" w:type="dxa"/>
          </w:tcPr>
          <w:p w14:paraId="682BC2C5" w14:textId="77777777" w:rsidR="003D2EC8" w:rsidRPr="00027D45" w:rsidRDefault="003D2EC8" w:rsidP="009677F6">
            <w:pPr>
              <w:pStyle w:val="Normal-noindent"/>
              <w:spacing w:after="60"/>
            </w:pPr>
            <w:r w:rsidRPr="00027D45">
              <w:t>AHM</w:t>
            </w:r>
            <w:r>
              <w:t>A</w:t>
            </w:r>
            <w:r w:rsidRPr="00027D45">
              <w:t>C</w:t>
            </w:r>
          </w:p>
        </w:tc>
        <w:tc>
          <w:tcPr>
            <w:tcW w:w="6315" w:type="dxa"/>
          </w:tcPr>
          <w:p w14:paraId="71DBEB63" w14:textId="77777777" w:rsidR="003D2EC8" w:rsidRPr="00027D45" w:rsidRDefault="003D2EC8" w:rsidP="009677F6">
            <w:pPr>
              <w:pStyle w:val="Normal-noindent"/>
              <w:spacing w:after="60"/>
            </w:pPr>
            <w:r w:rsidRPr="00027D45">
              <w:t xml:space="preserve">Australian Health Ministers’ </w:t>
            </w:r>
            <w:r>
              <w:t xml:space="preserve">Advisory </w:t>
            </w:r>
            <w:r w:rsidRPr="00027D45">
              <w:t>C</w:t>
            </w:r>
            <w:r>
              <w:t>ommittee</w:t>
            </w:r>
          </w:p>
        </w:tc>
      </w:tr>
      <w:tr w:rsidR="00EB2899" w:rsidRPr="00027D45" w14:paraId="0AB83830" w14:textId="77777777" w:rsidTr="00CE5AC9">
        <w:trPr>
          <w:trHeight w:val="340"/>
        </w:trPr>
        <w:tc>
          <w:tcPr>
            <w:tcW w:w="1752" w:type="dxa"/>
          </w:tcPr>
          <w:p w14:paraId="6B63E50C" w14:textId="585049A6" w:rsidR="00EB2899" w:rsidRDefault="00EB2899" w:rsidP="009677F6">
            <w:pPr>
              <w:pStyle w:val="Normal-noindent"/>
              <w:spacing w:after="60"/>
            </w:pPr>
            <w:r>
              <w:t>AI</w:t>
            </w:r>
          </w:p>
        </w:tc>
        <w:tc>
          <w:tcPr>
            <w:tcW w:w="6315" w:type="dxa"/>
          </w:tcPr>
          <w:p w14:paraId="7256E5BB" w14:textId="5CF3FD17" w:rsidR="00EB2899" w:rsidRDefault="00EB2899" w:rsidP="009677F6">
            <w:pPr>
              <w:pStyle w:val="Normal-noindent"/>
              <w:spacing w:after="60"/>
            </w:pPr>
            <w:r>
              <w:t>adequate intake</w:t>
            </w:r>
          </w:p>
        </w:tc>
      </w:tr>
      <w:tr w:rsidR="00EB2899" w:rsidRPr="00027D45" w14:paraId="1E846404" w14:textId="77777777" w:rsidTr="00CE5AC9">
        <w:trPr>
          <w:trHeight w:val="340"/>
        </w:trPr>
        <w:tc>
          <w:tcPr>
            <w:tcW w:w="1752" w:type="dxa"/>
          </w:tcPr>
          <w:p w14:paraId="210B6C95" w14:textId="57FDC172" w:rsidR="00EB2899" w:rsidRPr="00027D45" w:rsidRDefault="00EB2899" w:rsidP="009677F6">
            <w:pPr>
              <w:pStyle w:val="Normal-noindent"/>
              <w:spacing w:after="60"/>
            </w:pPr>
            <w:r>
              <w:t>ANH</w:t>
            </w:r>
          </w:p>
        </w:tc>
        <w:tc>
          <w:tcPr>
            <w:tcW w:w="6315" w:type="dxa"/>
          </w:tcPr>
          <w:p w14:paraId="4E514301" w14:textId="671FBD4F" w:rsidR="00EB2899" w:rsidRPr="00027D45" w:rsidRDefault="00EB2899" w:rsidP="009677F6">
            <w:pPr>
              <w:pStyle w:val="Normal-noindent"/>
              <w:spacing w:after="60"/>
            </w:pPr>
            <w:r>
              <w:t xml:space="preserve">acute </w:t>
            </w:r>
            <w:r w:rsidRPr="003B72D2">
              <w:t>normovol</w:t>
            </w:r>
            <w:r w:rsidR="00AB5F0E">
              <w:t>a</w:t>
            </w:r>
            <w:r w:rsidRPr="003B72D2">
              <w:t>emic haemodilution</w:t>
            </w:r>
          </w:p>
        </w:tc>
      </w:tr>
      <w:tr w:rsidR="003D2EC8" w:rsidRPr="00027D45" w14:paraId="3DA060F2" w14:textId="77777777" w:rsidTr="00CE5AC9">
        <w:trPr>
          <w:trHeight w:val="340"/>
        </w:trPr>
        <w:tc>
          <w:tcPr>
            <w:tcW w:w="1752" w:type="dxa"/>
          </w:tcPr>
          <w:p w14:paraId="298F4D71" w14:textId="77777777" w:rsidR="003D2EC8" w:rsidRPr="00027D45" w:rsidRDefault="003D2EC8" w:rsidP="009677F6">
            <w:pPr>
              <w:pStyle w:val="Normal-noindent"/>
              <w:spacing w:after="60"/>
            </w:pPr>
            <w:r w:rsidRPr="00027D45">
              <w:t>ANZSBT</w:t>
            </w:r>
          </w:p>
        </w:tc>
        <w:tc>
          <w:tcPr>
            <w:tcW w:w="6315" w:type="dxa"/>
          </w:tcPr>
          <w:p w14:paraId="799AAB09" w14:textId="77777777" w:rsidR="003D2EC8" w:rsidRPr="00027D45" w:rsidRDefault="003D2EC8" w:rsidP="009677F6">
            <w:pPr>
              <w:pStyle w:val="Normal-noindent"/>
              <w:spacing w:after="60"/>
            </w:pPr>
            <w:r w:rsidRPr="00027D45">
              <w:t>Australian &amp; New Zealand Society of Blood Transfusion</w:t>
            </w:r>
            <w:r w:rsidRPr="00027D45">
              <w:tab/>
            </w:r>
          </w:p>
        </w:tc>
      </w:tr>
      <w:tr w:rsidR="003D2EC8" w:rsidRPr="0090459D" w14:paraId="22B8186E" w14:textId="77777777" w:rsidTr="00CE5AC9">
        <w:trPr>
          <w:trHeight w:val="340"/>
        </w:trPr>
        <w:tc>
          <w:tcPr>
            <w:tcW w:w="1752" w:type="dxa"/>
          </w:tcPr>
          <w:p w14:paraId="74A20CA1" w14:textId="77777777" w:rsidR="003D2EC8" w:rsidRPr="00027D45" w:rsidRDefault="003D2EC8" w:rsidP="009677F6">
            <w:pPr>
              <w:pStyle w:val="Normal-noindent"/>
              <w:spacing w:after="60"/>
            </w:pPr>
            <w:r w:rsidRPr="00027D45">
              <w:t xml:space="preserve">ASBT </w:t>
            </w:r>
          </w:p>
        </w:tc>
        <w:tc>
          <w:tcPr>
            <w:tcW w:w="6315" w:type="dxa"/>
          </w:tcPr>
          <w:p w14:paraId="07CB70EE" w14:textId="77777777" w:rsidR="003D2EC8" w:rsidRPr="0090459D" w:rsidRDefault="003D2EC8" w:rsidP="009677F6">
            <w:pPr>
              <w:pStyle w:val="Normal-noindent"/>
              <w:spacing w:after="60"/>
            </w:pPr>
            <w:r w:rsidRPr="00027D45">
              <w:t>Australasian Society of Blood Transfusion</w:t>
            </w:r>
          </w:p>
        </w:tc>
      </w:tr>
      <w:tr w:rsidR="003D2EC8" w:rsidRPr="00027D45" w14:paraId="5934DDAC" w14:textId="77777777" w:rsidTr="00CE5AC9">
        <w:trPr>
          <w:trHeight w:val="340"/>
        </w:trPr>
        <w:tc>
          <w:tcPr>
            <w:tcW w:w="1752" w:type="dxa"/>
          </w:tcPr>
          <w:p w14:paraId="61D6BF5B" w14:textId="77777777" w:rsidR="003D2EC8" w:rsidRDefault="003D2EC8" w:rsidP="009677F6">
            <w:pPr>
              <w:pStyle w:val="Normal-noindent"/>
              <w:spacing w:after="60"/>
            </w:pPr>
            <w:r>
              <w:t>BPD</w:t>
            </w:r>
          </w:p>
          <w:p w14:paraId="0B8DEFC2" w14:textId="0678036B" w:rsidR="00845C74" w:rsidRPr="00027D45" w:rsidRDefault="00845C74" w:rsidP="009677F6">
            <w:pPr>
              <w:pStyle w:val="Normal-noindent"/>
              <w:spacing w:after="60"/>
            </w:pPr>
            <w:r>
              <w:t>CBP</w:t>
            </w:r>
          </w:p>
        </w:tc>
        <w:tc>
          <w:tcPr>
            <w:tcW w:w="6315" w:type="dxa"/>
          </w:tcPr>
          <w:p w14:paraId="23E34B91" w14:textId="77777777" w:rsidR="003D2EC8" w:rsidRDefault="003D2EC8" w:rsidP="009677F6">
            <w:pPr>
              <w:pStyle w:val="Normal-noindent"/>
              <w:spacing w:after="60"/>
            </w:pPr>
            <w:r w:rsidRPr="00A90811">
              <w:t>bronchopulmonary dysplasia</w:t>
            </w:r>
          </w:p>
          <w:p w14:paraId="5F339701" w14:textId="4527CEED" w:rsidR="00845C74" w:rsidRPr="00027D45" w:rsidRDefault="00845C74" w:rsidP="009677F6">
            <w:pPr>
              <w:pStyle w:val="Normal-noindent"/>
              <w:spacing w:after="60"/>
            </w:pPr>
            <w:r>
              <w:t>critical bleeding protocol</w:t>
            </w:r>
          </w:p>
        </w:tc>
      </w:tr>
      <w:tr w:rsidR="003D2EC8" w14:paraId="65CE1C3E" w14:textId="77777777" w:rsidTr="00CE5AC9">
        <w:trPr>
          <w:trHeight w:val="340"/>
        </w:trPr>
        <w:tc>
          <w:tcPr>
            <w:tcW w:w="1752" w:type="dxa"/>
          </w:tcPr>
          <w:p w14:paraId="27F1E8F6" w14:textId="77777777" w:rsidR="003D2EC8" w:rsidRDefault="003D2EC8" w:rsidP="009677F6">
            <w:pPr>
              <w:pStyle w:val="Normal-noindent"/>
              <w:spacing w:after="60"/>
            </w:pPr>
            <w:r>
              <w:t>CKD</w:t>
            </w:r>
          </w:p>
        </w:tc>
        <w:tc>
          <w:tcPr>
            <w:tcW w:w="6315" w:type="dxa"/>
          </w:tcPr>
          <w:p w14:paraId="0682DFBD" w14:textId="77777777" w:rsidR="003D2EC8" w:rsidRDefault="003D2EC8" w:rsidP="009677F6">
            <w:pPr>
              <w:pStyle w:val="Normal-noindent"/>
              <w:spacing w:after="60"/>
            </w:pPr>
            <w:r>
              <w:t>chronic kidney disease</w:t>
            </w:r>
          </w:p>
        </w:tc>
      </w:tr>
      <w:tr w:rsidR="003D2EC8" w14:paraId="3F33A4FD" w14:textId="77777777" w:rsidTr="00CE5AC9">
        <w:trPr>
          <w:trHeight w:val="340"/>
        </w:trPr>
        <w:tc>
          <w:tcPr>
            <w:tcW w:w="1752" w:type="dxa"/>
          </w:tcPr>
          <w:p w14:paraId="2F1E5469" w14:textId="77777777" w:rsidR="003D2EC8" w:rsidRDefault="003D2EC8" w:rsidP="009677F6">
            <w:pPr>
              <w:pStyle w:val="Normal-noindent"/>
              <w:spacing w:after="60"/>
            </w:pPr>
            <w:r>
              <w:t>CMV</w:t>
            </w:r>
          </w:p>
        </w:tc>
        <w:tc>
          <w:tcPr>
            <w:tcW w:w="6315" w:type="dxa"/>
          </w:tcPr>
          <w:p w14:paraId="39990A79" w14:textId="77777777" w:rsidR="003D2EC8" w:rsidRDefault="003D2EC8" w:rsidP="009677F6">
            <w:pPr>
              <w:pStyle w:val="Normal-noindent"/>
              <w:spacing w:after="60"/>
              <w:rPr>
                <w:lang w:val="en-US"/>
              </w:rPr>
            </w:pPr>
            <w:r>
              <w:rPr>
                <w:lang w:val="en-US"/>
              </w:rPr>
              <w:t>cytomegalovirus</w:t>
            </w:r>
          </w:p>
        </w:tc>
      </w:tr>
      <w:tr w:rsidR="003D2EC8" w14:paraId="4138C40D" w14:textId="77777777" w:rsidTr="00CE5AC9">
        <w:trPr>
          <w:trHeight w:val="340"/>
        </w:trPr>
        <w:tc>
          <w:tcPr>
            <w:tcW w:w="1752" w:type="dxa"/>
          </w:tcPr>
          <w:p w14:paraId="3B4D605E" w14:textId="77777777" w:rsidR="003D2EC8" w:rsidRDefault="003D2EC8" w:rsidP="009677F6">
            <w:pPr>
              <w:pStyle w:val="Normal-noindent"/>
              <w:spacing w:after="60"/>
            </w:pPr>
            <w:r>
              <w:t>COAG</w:t>
            </w:r>
          </w:p>
        </w:tc>
        <w:tc>
          <w:tcPr>
            <w:tcW w:w="6315" w:type="dxa"/>
          </w:tcPr>
          <w:p w14:paraId="2276C38D" w14:textId="77777777" w:rsidR="003D2EC8" w:rsidRDefault="003D2EC8" w:rsidP="009677F6">
            <w:pPr>
              <w:pStyle w:val="Normal-noindent"/>
              <w:spacing w:after="60"/>
              <w:rPr>
                <w:lang w:val="en-US"/>
              </w:rPr>
            </w:pPr>
            <w:r>
              <w:t>Council of Australian Governments</w:t>
            </w:r>
          </w:p>
        </w:tc>
      </w:tr>
      <w:tr w:rsidR="003D2EC8" w14:paraId="1D7D78B0" w14:textId="77777777" w:rsidTr="00CE5AC9">
        <w:trPr>
          <w:trHeight w:val="340"/>
        </w:trPr>
        <w:tc>
          <w:tcPr>
            <w:tcW w:w="1752" w:type="dxa"/>
          </w:tcPr>
          <w:p w14:paraId="2EBEEBD6" w14:textId="77777777" w:rsidR="003D2EC8" w:rsidRDefault="003D2EC8" w:rsidP="009677F6">
            <w:pPr>
              <w:pStyle w:val="Normal-noindent"/>
              <w:spacing w:after="60"/>
            </w:pPr>
            <w:r>
              <w:t>CPB</w:t>
            </w:r>
          </w:p>
        </w:tc>
        <w:tc>
          <w:tcPr>
            <w:tcW w:w="6315" w:type="dxa"/>
          </w:tcPr>
          <w:p w14:paraId="6D6A2E42" w14:textId="77777777" w:rsidR="003D2EC8" w:rsidRDefault="003D2EC8" w:rsidP="009677F6">
            <w:pPr>
              <w:pStyle w:val="Normal-noindent"/>
              <w:spacing w:after="60"/>
              <w:rPr>
                <w:lang w:val="en-US"/>
              </w:rPr>
            </w:pPr>
            <w:r>
              <w:t>cardiopulmonary bypass</w:t>
            </w:r>
          </w:p>
        </w:tc>
      </w:tr>
      <w:tr w:rsidR="003D2EC8" w:rsidRPr="00027D45" w14:paraId="799F9219" w14:textId="77777777" w:rsidTr="00CE5AC9">
        <w:trPr>
          <w:trHeight w:val="340"/>
        </w:trPr>
        <w:tc>
          <w:tcPr>
            <w:tcW w:w="1752" w:type="dxa"/>
          </w:tcPr>
          <w:p w14:paraId="56D5620D" w14:textId="77777777" w:rsidR="003D2EC8" w:rsidRPr="00027D45" w:rsidRDefault="003D2EC8" w:rsidP="009677F6">
            <w:pPr>
              <w:pStyle w:val="Normal-noindent"/>
              <w:spacing w:after="60"/>
            </w:pPr>
            <w:r w:rsidRPr="00027D45">
              <w:t>CRG</w:t>
            </w:r>
          </w:p>
        </w:tc>
        <w:tc>
          <w:tcPr>
            <w:tcW w:w="6315" w:type="dxa"/>
          </w:tcPr>
          <w:p w14:paraId="531F7A31" w14:textId="77777777" w:rsidR="003D2EC8" w:rsidRPr="00027D45" w:rsidRDefault="003D2EC8" w:rsidP="009677F6">
            <w:pPr>
              <w:pStyle w:val="Normal-noindent"/>
              <w:spacing w:after="60"/>
            </w:pPr>
            <w:r w:rsidRPr="00027D45">
              <w:t>Clinical/Consumer Reference Group</w:t>
            </w:r>
          </w:p>
        </w:tc>
      </w:tr>
      <w:tr w:rsidR="00EB2899" w:rsidRPr="00027D45" w14:paraId="01D49AAD" w14:textId="77777777" w:rsidTr="00CE5AC9">
        <w:trPr>
          <w:trHeight w:val="340"/>
        </w:trPr>
        <w:tc>
          <w:tcPr>
            <w:tcW w:w="1752" w:type="dxa"/>
          </w:tcPr>
          <w:p w14:paraId="041315A6" w14:textId="543E856F" w:rsidR="00EB2899" w:rsidRDefault="00EB2899" w:rsidP="009677F6">
            <w:pPr>
              <w:pStyle w:val="Normal-noindent"/>
              <w:spacing w:after="60"/>
            </w:pPr>
            <w:r>
              <w:t>EACA</w:t>
            </w:r>
          </w:p>
        </w:tc>
        <w:tc>
          <w:tcPr>
            <w:tcW w:w="6315" w:type="dxa"/>
          </w:tcPr>
          <w:p w14:paraId="6B32402B" w14:textId="65CD0545" w:rsidR="00EB2899" w:rsidRDefault="006A116C" w:rsidP="006A116C">
            <w:pPr>
              <w:pStyle w:val="Normal-noindent"/>
              <w:spacing w:after="60"/>
            </w:pPr>
            <w:r>
              <w:rPr>
                <w:lang w:val="en-US" w:eastAsia="en-US"/>
              </w:rPr>
              <w:t>epsilon-</w:t>
            </w:r>
            <w:r w:rsidR="00EB2899">
              <w:rPr>
                <w:lang w:val="en-US" w:eastAsia="en-US"/>
              </w:rPr>
              <w:t>aminocaproic acid</w:t>
            </w:r>
          </w:p>
        </w:tc>
      </w:tr>
      <w:tr w:rsidR="006A116C" w:rsidRPr="00027D45" w14:paraId="32890BA9" w14:textId="77777777" w:rsidTr="00CE5AC9">
        <w:trPr>
          <w:trHeight w:val="340"/>
        </w:trPr>
        <w:tc>
          <w:tcPr>
            <w:tcW w:w="1752" w:type="dxa"/>
          </w:tcPr>
          <w:p w14:paraId="137E6D81" w14:textId="7A2ED802" w:rsidR="006A116C" w:rsidRDefault="006A116C" w:rsidP="009677F6">
            <w:pPr>
              <w:pStyle w:val="Normal-noindent"/>
              <w:spacing w:after="60"/>
            </w:pPr>
            <w:r>
              <w:t>EBV</w:t>
            </w:r>
          </w:p>
        </w:tc>
        <w:tc>
          <w:tcPr>
            <w:tcW w:w="6315" w:type="dxa"/>
          </w:tcPr>
          <w:p w14:paraId="743BBB30" w14:textId="04B4BC6D" w:rsidR="006A116C" w:rsidRDefault="006A116C" w:rsidP="009677F6">
            <w:pPr>
              <w:pStyle w:val="Normal-noindent"/>
              <w:spacing w:after="60"/>
            </w:pPr>
            <w:r>
              <w:t>estimated blood volume</w:t>
            </w:r>
          </w:p>
        </w:tc>
      </w:tr>
      <w:tr w:rsidR="007077AC" w:rsidRPr="00027D45" w14:paraId="715FC2DD" w14:textId="77777777" w:rsidTr="00CE5AC9">
        <w:trPr>
          <w:trHeight w:val="340"/>
        </w:trPr>
        <w:tc>
          <w:tcPr>
            <w:tcW w:w="1752" w:type="dxa"/>
          </w:tcPr>
          <w:p w14:paraId="537B863D" w14:textId="68409305" w:rsidR="007077AC" w:rsidRPr="00027D45" w:rsidRDefault="007077AC" w:rsidP="009677F6">
            <w:pPr>
              <w:pStyle w:val="Normal-noindent"/>
              <w:spacing w:after="60"/>
            </w:pPr>
            <w:r>
              <w:t>ECLS</w:t>
            </w:r>
          </w:p>
        </w:tc>
        <w:tc>
          <w:tcPr>
            <w:tcW w:w="6315" w:type="dxa"/>
          </w:tcPr>
          <w:p w14:paraId="44D9C4CD" w14:textId="105527EC" w:rsidR="007077AC" w:rsidRPr="00027D45" w:rsidRDefault="007077AC" w:rsidP="009677F6">
            <w:pPr>
              <w:pStyle w:val="Normal-noindent"/>
              <w:spacing w:after="60"/>
            </w:pPr>
            <w:r>
              <w:t>extracorporeal life support</w:t>
            </w:r>
          </w:p>
        </w:tc>
      </w:tr>
      <w:tr w:rsidR="007077AC" w14:paraId="01DA44E3" w14:textId="77777777" w:rsidTr="00CE5AC9">
        <w:trPr>
          <w:trHeight w:val="340"/>
        </w:trPr>
        <w:tc>
          <w:tcPr>
            <w:tcW w:w="1752" w:type="dxa"/>
          </w:tcPr>
          <w:p w14:paraId="79B4C349" w14:textId="77777777" w:rsidR="007077AC" w:rsidRDefault="007077AC" w:rsidP="009677F6">
            <w:pPr>
              <w:pStyle w:val="Normal-noindent"/>
              <w:spacing w:after="60"/>
            </w:pPr>
            <w:r>
              <w:t>ECMO</w:t>
            </w:r>
          </w:p>
        </w:tc>
        <w:tc>
          <w:tcPr>
            <w:tcW w:w="6315" w:type="dxa"/>
          </w:tcPr>
          <w:p w14:paraId="26B4D19D" w14:textId="77777777" w:rsidR="007077AC" w:rsidRDefault="007077AC" w:rsidP="009677F6">
            <w:pPr>
              <w:pStyle w:val="Normal-noindent"/>
              <w:spacing w:after="60"/>
            </w:pPr>
            <w:bookmarkStart w:id="5" w:name="OLE_LINK1"/>
            <w:r>
              <w:t>extracorporeal membrane oxygenation</w:t>
            </w:r>
            <w:bookmarkEnd w:id="5"/>
          </w:p>
        </w:tc>
      </w:tr>
      <w:tr w:rsidR="00AB5F0E" w14:paraId="4A493E88" w14:textId="77777777" w:rsidTr="00CE5AC9">
        <w:trPr>
          <w:trHeight w:val="340"/>
        </w:trPr>
        <w:tc>
          <w:tcPr>
            <w:tcW w:w="1752" w:type="dxa"/>
          </w:tcPr>
          <w:p w14:paraId="2F4111FB" w14:textId="0BB6F0A2" w:rsidR="00AB5F0E" w:rsidRDefault="00AB5F0E" w:rsidP="009677F6">
            <w:pPr>
              <w:pStyle w:val="Normal-noindent"/>
              <w:spacing w:after="60"/>
            </w:pPr>
            <w:r>
              <w:t>ENT</w:t>
            </w:r>
          </w:p>
        </w:tc>
        <w:tc>
          <w:tcPr>
            <w:tcW w:w="6315" w:type="dxa"/>
          </w:tcPr>
          <w:p w14:paraId="6E5B93FD" w14:textId="1129039C" w:rsidR="00AB5F0E" w:rsidRDefault="00AB5F0E" w:rsidP="009677F6">
            <w:pPr>
              <w:pStyle w:val="Normal-noindent"/>
              <w:spacing w:after="60"/>
            </w:pPr>
            <w:r>
              <w:t>ear, nose and throat</w:t>
            </w:r>
          </w:p>
        </w:tc>
      </w:tr>
      <w:tr w:rsidR="007077AC" w14:paraId="10223FA6" w14:textId="77777777" w:rsidTr="00CE5AC9">
        <w:trPr>
          <w:trHeight w:val="340"/>
        </w:trPr>
        <w:tc>
          <w:tcPr>
            <w:tcW w:w="1752" w:type="dxa"/>
          </w:tcPr>
          <w:p w14:paraId="2D916B91" w14:textId="77777777" w:rsidR="007077AC" w:rsidRDefault="007077AC" w:rsidP="009677F6">
            <w:pPr>
              <w:pStyle w:val="Normal-noindent"/>
              <w:spacing w:after="60"/>
            </w:pPr>
            <w:r>
              <w:t>EOP</w:t>
            </w:r>
          </w:p>
        </w:tc>
        <w:tc>
          <w:tcPr>
            <w:tcW w:w="6315" w:type="dxa"/>
          </w:tcPr>
          <w:p w14:paraId="3ED86EDF" w14:textId="77777777" w:rsidR="007077AC" w:rsidRDefault="007077AC" w:rsidP="009677F6">
            <w:pPr>
              <w:pStyle w:val="Normal-noindent"/>
              <w:spacing w:after="60"/>
            </w:pPr>
            <w:r>
              <w:t>expert opinion point</w:t>
            </w:r>
          </w:p>
        </w:tc>
      </w:tr>
      <w:tr w:rsidR="007077AC" w:rsidRPr="00D17B58" w14:paraId="22E069CB" w14:textId="77777777" w:rsidTr="00CE5AC9">
        <w:trPr>
          <w:trHeight w:val="340"/>
        </w:trPr>
        <w:tc>
          <w:tcPr>
            <w:tcW w:w="1752" w:type="dxa"/>
          </w:tcPr>
          <w:p w14:paraId="7269E84A" w14:textId="77777777" w:rsidR="007077AC" w:rsidRPr="00D17B58" w:rsidRDefault="007077AC" w:rsidP="009677F6">
            <w:pPr>
              <w:pStyle w:val="Normal-noindent"/>
              <w:spacing w:after="60"/>
            </w:pPr>
            <w:r>
              <w:t>ES</w:t>
            </w:r>
          </w:p>
        </w:tc>
        <w:tc>
          <w:tcPr>
            <w:tcW w:w="6315" w:type="dxa"/>
          </w:tcPr>
          <w:p w14:paraId="640159D7" w14:textId="77777777" w:rsidR="007077AC" w:rsidRPr="00D17B58" w:rsidRDefault="007077AC" w:rsidP="009677F6">
            <w:pPr>
              <w:pStyle w:val="Normal-noindent"/>
              <w:spacing w:after="60"/>
            </w:pPr>
            <w:r>
              <w:t>evidence statement</w:t>
            </w:r>
          </w:p>
        </w:tc>
      </w:tr>
      <w:tr w:rsidR="007077AC" w:rsidRPr="00027D45" w14:paraId="03C63609" w14:textId="77777777" w:rsidTr="00CE5AC9">
        <w:trPr>
          <w:trHeight w:val="340"/>
        </w:trPr>
        <w:tc>
          <w:tcPr>
            <w:tcW w:w="1752" w:type="dxa"/>
          </w:tcPr>
          <w:p w14:paraId="16475EAD" w14:textId="77777777" w:rsidR="007077AC" w:rsidRPr="00027D45" w:rsidRDefault="007077AC" w:rsidP="009677F6">
            <w:pPr>
              <w:pStyle w:val="Normal-noindent"/>
              <w:spacing w:after="60"/>
            </w:pPr>
            <w:r w:rsidRPr="00D17B58">
              <w:t>ESA</w:t>
            </w:r>
          </w:p>
        </w:tc>
        <w:tc>
          <w:tcPr>
            <w:tcW w:w="6315" w:type="dxa"/>
          </w:tcPr>
          <w:p w14:paraId="4B07C2BA" w14:textId="77777777" w:rsidR="007077AC" w:rsidRPr="00027D45" w:rsidRDefault="007077AC" w:rsidP="009677F6">
            <w:pPr>
              <w:pStyle w:val="Normal-noindent"/>
              <w:spacing w:after="60"/>
            </w:pPr>
            <w:r w:rsidRPr="00D17B58">
              <w:t>erythropoiesis</w:t>
            </w:r>
            <w:r>
              <w:t xml:space="preserve"> </w:t>
            </w:r>
            <w:r w:rsidRPr="00D17B58">
              <w:t>stimulating agent</w:t>
            </w:r>
          </w:p>
        </w:tc>
      </w:tr>
      <w:tr w:rsidR="004F6FBC" w:rsidRPr="00027D45" w14:paraId="387A9AEE" w14:textId="77777777" w:rsidTr="00CE5AC9">
        <w:trPr>
          <w:trHeight w:val="340"/>
        </w:trPr>
        <w:tc>
          <w:tcPr>
            <w:tcW w:w="1752" w:type="dxa"/>
          </w:tcPr>
          <w:p w14:paraId="55C07CAF" w14:textId="6F2C47CC" w:rsidR="004F6FBC" w:rsidRPr="00027D45" w:rsidRDefault="004F6FBC" w:rsidP="009677F6">
            <w:pPr>
              <w:pStyle w:val="Normal-noindent"/>
              <w:spacing w:after="60"/>
            </w:pPr>
            <w:r>
              <w:t>ET</w:t>
            </w:r>
          </w:p>
        </w:tc>
        <w:tc>
          <w:tcPr>
            <w:tcW w:w="6315" w:type="dxa"/>
          </w:tcPr>
          <w:p w14:paraId="547C1D3D" w14:textId="6CD154A4" w:rsidR="004F6FBC" w:rsidRPr="00027D45" w:rsidRDefault="00BD074E" w:rsidP="009677F6">
            <w:pPr>
              <w:pStyle w:val="Normal-noindent"/>
              <w:spacing w:after="60"/>
            </w:pPr>
            <w:r>
              <w:t>exchange transfusion</w:t>
            </w:r>
          </w:p>
        </w:tc>
      </w:tr>
      <w:tr w:rsidR="007077AC" w:rsidRPr="00027D45" w14:paraId="00303BC1" w14:textId="77777777" w:rsidTr="00CE5AC9">
        <w:trPr>
          <w:trHeight w:val="340"/>
        </w:trPr>
        <w:tc>
          <w:tcPr>
            <w:tcW w:w="1752" w:type="dxa"/>
          </w:tcPr>
          <w:p w14:paraId="6613B04A" w14:textId="77777777" w:rsidR="007077AC" w:rsidRPr="00027D45" w:rsidRDefault="007077AC" w:rsidP="009677F6">
            <w:pPr>
              <w:pStyle w:val="Normal-noindent"/>
              <w:spacing w:after="60"/>
            </w:pPr>
            <w:r w:rsidRPr="00027D45">
              <w:t>EWG</w:t>
            </w:r>
          </w:p>
        </w:tc>
        <w:tc>
          <w:tcPr>
            <w:tcW w:w="6315" w:type="dxa"/>
          </w:tcPr>
          <w:p w14:paraId="1C5EE97E" w14:textId="77777777" w:rsidR="007077AC" w:rsidRPr="00027D45" w:rsidRDefault="007077AC" w:rsidP="009677F6">
            <w:pPr>
              <w:pStyle w:val="Normal-noindent"/>
              <w:spacing w:after="60"/>
            </w:pPr>
            <w:r w:rsidRPr="00027D45">
              <w:t>Expert Working Group</w:t>
            </w:r>
          </w:p>
        </w:tc>
      </w:tr>
      <w:tr w:rsidR="007077AC" w:rsidRPr="00027D45" w14:paraId="3409E383" w14:textId="77777777" w:rsidTr="00CE5AC9">
        <w:trPr>
          <w:trHeight w:val="340"/>
        </w:trPr>
        <w:tc>
          <w:tcPr>
            <w:tcW w:w="1752" w:type="dxa"/>
          </w:tcPr>
          <w:p w14:paraId="3B05A922" w14:textId="2037D98E" w:rsidR="007077AC" w:rsidRDefault="007077AC" w:rsidP="009677F6">
            <w:pPr>
              <w:pStyle w:val="Normal-noindent"/>
              <w:spacing w:after="60"/>
            </w:pPr>
            <w:r>
              <w:t>FBS</w:t>
            </w:r>
          </w:p>
        </w:tc>
        <w:tc>
          <w:tcPr>
            <w:tcW w:w="6315" w:type="dxa"/>
          </w:tcPr>
          <w:p w14:paraId="63364535" w14:textId="19A1EBDD" w:rsidR="007077AC" w:rsidRDefault="007077AC" w:rsidP="009677F6">
            <w:pPr>
              <w:pStyle w:val="Normal-noindent"/>
              <w:spacing w:after="60"/>
            </w:pPr>
            <w:r>
              <w:t>fetal blood sampling</w:t>
            </w:r>
          </w:p>
        </w:tc>
      </w:tr>
      <w:tr w:rsidR="007077AC" w:rsidRPr="00027D45" w14:paraId="39F7E284" w14:textId="77777777" w:rsidTr="00CE5AC9">
        <w:trPr>
          <w:trHeight w:val="340"/>
        </w:trPr>
        <w:tc>
          <w:tcPr>
            <w:tcW w:w="1752" w:type="dxa"/>
          </w:tcPr>
          <w:p w14:paraId="1DDC5780" w14:textId="77777777" w:rsidR="007077AC" w:rsidRPr="00027D45" w:rsidRDefault="007077AC" w:rsidP="009677F6">
            <w:pPr>
              <w:pStyle w:val="Normal-noindent"/>
              <w:spacing w:after="60"/>
            </w:pPr>
            <w:r w:rsidRPr="00027D45">
              <w:t xml:space="preserve">FFP </w:t>
            </w:r>
          </w:p>
        </w:tc>
        <w:tc>
          <w:tcPr>
            <w:tcW w:w="6315" w:type="dxa"/>
          </w:tcPr>
          <w:p w14:paraId="29158764" w14:textId="77777777" w:rsidR="007077AC" w:rsidRPr="00027D45" w:rsidRDefault="007077AC" w:rsidP="009677F6">
            <w:pPr>
              <w:pStyle w:val="Normal-noindent"/>
              <w:spacing w:after="60"/>
            </w:pPr>
            <w:r w:rsidRPr="00027D45">
              <w:t>fresh frozen plasma</w:t>
            </w:r>
          </w:p>
        </w:tc>
      </w:tr>
      <w:tr w:rsidR="007077AC" w14:paraId="54084A1B" w14:textId="77777777" w:rsidTr="00CE5AC9">
        <w:trPr>
          <w:trHeight w:val="340"/>
        </w:trPr>
        <w:tc>
          <w:tcPr>
            <w:tcW w:w="1752" w:type="dxa"/>
          </w:tcPr>
          <w:p w14:paraId="45AB0724" w14:textId="24DEF1DD" w:rsidR="007077AC" w:rsidRDefault="007077AC" w:rsidP="009677F6">
            <w:pPr>
              <w:pStyle w:val="Normal-noindent"/>
              <w:spacing w:after="60"/>
            </w:pPr>
            <w:r>
              <w:t>FNAIT</w:t>
            </w:r>
          </w:p>
        </w:tc>
        <w:tc>
          <w:tcPr>
            <w:tcW w:w="6315" w:type="dxa"/>
          </w:tcPr>
          <w:p w14:paraId="4D3DB9A8" w14:textId="488ED6CF" w:rsidR="007077AC" w:rsidRDefault="007077AC" w:rsidP="009677F6">
            <w:pPr>
              <w:pStyle w:val="Normal-noindent"/>
              <w:spacing w:after="60"/>
            </w:pPr>
            <w:r>
              <w:t>fetal and neonatal alloimmune thrombocytopaenia</w:t>
            </w:r>
          </w:p>
        </w:tc>
      </w:tr>
      <w:tr w:rsidR="007077AC" w14:paraId="145D1231" w14:textId="77777777" w:rsidTr="00CE5AC9">
        <w:trPr>
          <w:trHeight w:val="340"/>
        </w:trPr>
        <w:tc>
          <w:tcPr>
            <w:tcW w:w="1752" w:type="dxa"/>
          </w:tcPr>
          <w:p w14:paraId="697D7463" w14:textId="77777777" w:rsidR="007077AC" w:rsidRDefault="007077AC" w:rsidP="009677F6">
            <w:pPr>
              <w:pStyle w:val="Normal-noindent"/>
              <w:spacing w:after="60"/>
            </w:pPr>
            <w:r>
              <w:t>Hb</w:t>
            </w:r>
          </w:p>
        </w:tc>
        <w:tc>
          <w:tcPr>
            <w:tcW w:w="6315" w:type="dxa"/>
          </w:tcPr>
          <w:p w14:paraId="0CE6FBF8" w14:textId="77777777" w:rsidR="007077AC" w:rsidRDefault="007077AC" w:rsidP="009677F6">
            <w:pPr>
              <w:pStyle w:val="Normal-noindent"/>
              <w:spacing w:after="60"/>
            </w:pPr>
            <w:r>
              <w:t>haemoglobin</w:t>
            </w:r>
          </w:p>
        </w:tc>
      </w:tr>
      <w:tr w:rsidR="007077AC" w14:paraId="198209A9" w14:textId="77777777" w:rsidTr="00CE5AC9">
        <w:trPr>
          <w:trHeight w:val="340"/>
        </w:trPr>
        <w:tc>
          <w:tcPr>
            <w:tcW w:w="1752" w:type="dxa"/>
          </w:tcPr>
          <w:p w14:paraId="518FA503" w14:textId="77777777" w:rsidR="007077AC" w:rsidRDefault="007077AC" w:rsidP="009677F6">
            <w:pPr>
              <w:pStyle w:val="Normal-noindent"/>
              <w:spacing w:after="60"/>
            </w:pPr>
            <w:r>
              <w:t>Hct</w:t>
            </w:r>
          </w:p>
        </w:tc>
        <w:tc>
          <w:tcPr>
            <w:tcW w:w="6315" w:type="dxa"/>
          </w:tcPr>
          <w:p w14:paraId="0EBA3B4F" w14:textId="77777777" w:rsidR="007077AC" w:rsidRDefault="007077AC" w:rsidP="009677F6">
            <w:pPr>
              <w:pStyle w:val="Normal-noindent"/>
              <w:spacing w:after="60"/>
            </w:pPr>
            <w:r>
              <w:t>haematocrit</w:t>
            </w:r>
          </w:p>
        </w:tc>
      </w:tr>
      <w:tr w:rsidR="007077AC" w14:paraId="73AD85FD" w14:textId="77777777" w:rsidTr="00CE5AC9">
        <w:trPr>
          <w:trHeight w:val="340"/>
        </w:trPr>
        <w:tc>
          <w:tcPr>
            <w:tcW w:w="1752" w:type="dxa"/>
          </w:tcPr>
          <w:p w14:paraId="0DA5A692" w14:textId="3DA2CD07" w:rsidR="007077AC" w:rsidRDefault="007077AC" w:rsidP="009677F6">
            <w:pPr>
              <w:pStyle w:val="Normal-noindent"/>
              <w:spacing w:after="60"/>
            </w:pPr>
            <w:r>
              <w:t>HDFN</w:t>
            </w:r>
          </w:p>
        </w:tc>
        <w:tc>
          <w:tcPr>
            <w:tcW w:w="6315" w:type="dxa"/>
          </w:tcPr>
          <w:p w14:paraId="26F3D7E0" w14:textId="29A0672D" w:rsidR="007077AC" w:rsidRDefault="007077AC" w:rsidP="009677F6">
            <w:pPr>
              <w:pStyle w:val="Normal-noindent"/>
              <w:spacing w:after="60"/>
            </w:pPr>
            <w:r>
              <w:t>haemolytic disease of the fetus and newborn</w:t>
            </w:r>
          </w:p>
        </w:tc>
      </w:tr>
      <w:tr w:rsidR="006A116C" w14:paraId="296312B0" w14:textId="77777777" w:rsidTr="00CE5AC9">
        <w:trPr>
          <w:trHeight w:val="340"/>
        </w:trPr>
        <w:tc>
          <w:tcPr>
            <w:tcW w:w="1752" w:type="dxa"/>
          </w:tcPr>
          <w:p w14:paraId="282E9484" w14:textId="46F1A81A" w:rsidR="006A116C" w:rsidRDefault="006A116C" w:rsidP="009677F6">
            <w:pPr>
              <w:pStyle w:val="Normal-noindent"/>
              <w:spacing w:after="60"/>
            </w:pPr>
            <w:r>
              <w:t>HIV</w:t>
            </w:r>
          </w:p>
        </w:tc>
        <w:tc>
          <w:tcPr>
            <w:tcW w:w="6315" w:type="dxa"/>
          </w:tcPr>
          <w:p w14:paraId="1E046352" w14:textId="3BFFB1BD" w:rsidR="006A116C" w:rsidRDefault="006A116C" w:rsidP="009677F6">
            <w:pPr>
              <w:pStyle w:val="Normal-noindent"/>
              <w:spacing w:after="60"/>
            </w:pPr>
            <w:r>
              <w:t>human immunodeficiency virus</w:t>
            </w:r>
          </w:p>
        </w:tc>
      </w:tr>
      <w:tr w:rsidR="007077AC" w14:paraId="0ACED232" w14:textId="77777777" w:rsidTr="00CE5AC9">
        <w:trPr>
          <w:trHeight w:val="340"/>
        </w:trPr>
        <w:tc>
          <w:tcPr>
            <w:tcW w:w="1752" w:type="dxa"/>
          </w:tcPr>
          <w:p w14:paraId="1887F65B" w14:textId="3B626DEE" w:rsidR="007077AC" w:rsidRDefault="007077AC" w:rsidP="009677F6">
            <w:pPr>
              <w:pStyle w:val="Normal-noindent"/>
              <w:spacing w:after="60"/>
            </w:pPr>
            <w:r>
              <w:t>HLA</w:t>
            </w:r>
          </w:p>
        </w:tc>
        <w:tc>
          <w:tcPr>
            <w:tcW w:w="6315" w:type="dxa"/>
          </w:tcPr>
          <w:p w14:paraId="3302BB0E" w14:textId="4CE8A1A3" w:rsidR="007077AC" w:rsidRDefault="007077AC" w:rsidP="009677F6">
            <w:pPr>
              <w:pStyle w:val="Normal-noindent"/>
              <w:spacing w:after="60"/>
            </w:pPr>
            <w:r>
              <w:t>human leucocyte antigen</w:t>
            </w:r>
          </w:p>
        </w:tc>
      </w:tr>
      <w:tr w:rsidR="007077AC" w14:paraId="4D076913" w14:textId="77777777" w:rsidTr="00CE5AC9">
        <w:trPr>
          <w:trHeight w:val="340"/>
        </w:trPr>
        <w:tc>
          <w:tcPr>
            <w:tcW w:w="1752" w:type="dxa"/>
          </w:tcPr>
          <w:p w14:paraId="7D9A3D99" w14:textId="381E8706" w:rsidR="007077AC" w:rsidRDefault="007077AC" w:rsidP="009677F6">
            <w:pPr>
              <w:pStyle w:val="Normal-noindent"/>
              <w:spacing w:after="60"/>
            </w:pPr>
            <w:r>
              <w:t>HPA</w:t>
            </w:r>
          </w:p>
        </w:tc>
        <w:tc>
          <w:tcPr>
            <w:tcW w:w="6315" w:type="dxa"/>
          </w:tcPr>
          <w:p w14:paraId="213A1A15" w14:textId="4C68CDE7" w:rsidR="007077AC" w:rsidRDefault="007077AC" w:rsidP="009677F6">
            <w:pPr>
              <w:pStyle w:val="Normal-noindent"/>
              <w:spacing w:after="60"/>
            </w:pPr>
            <w:r>
              <w:t>human platelet antigen</w:t>
            </w:r>
          </w:p>
        </w:tc>
      </w:tr>
      <w:tr w:rsidR="00EB2899" w:rsidRPr="00027D45" w14:paraId="449C3E5E" w14:textId="77777777" w:rsidTr="00CE5AC9">
        <w:trPr>
          <w:trHeight w:val="340"/>
        </w:trPr>
        <w:tc>
          <w:tcPr>
            <w:tcW w:w="1752" w:type="dxa"/>
          </w:tcPr>
          <w:p w14:paraId="78EB85EF" w14:textId="391169B3" w:rsidR="00EB2899" w:rsidRDefault="00EB2899" w:rsidP="009677F6">
            <w:pPr>
              <w:pStyle w:val="Normal-noindent"/>
              <w:spacing w:after="60"/>
            </w:pPr>
            <w:r>
              <w:t>ICH</w:t>
            </w:r>
          </w:p>
        </w:tc>
        <w:tc>
          <w:tcPr>
            <w:tcW w:w="6315" w:type="dxa"/>
          </w:tcPr>
          <w:p w14:paraId="7E7E0BEB" w14:textId="61133839" w:rsidR="00EB2899" w:rsidRDefault="00EB2899" w:rsidP="009677F6">
            <w:pPr>
              <w:pStyle w:val="Normal-noindent"/>
              <w:spacing w:after="60"/>
            </w:pPr>
            <w:r>
              <w:t>intracranial haemorrhage</w:t>
            </w:r>
          </w:p>
        </w:tc>
      </w:tr>
      <w:tr w:rsidR="007077AC" w:rsidRPr="00027D45" w14:paraId="2960DA22" w14:textId="77777777" w:rsidTr="00CE5AC9">
        <w:trPr>
          <w:trHeight w:val="340"/>
        </w:trPr>
        <w:tc>
          <w:tcPr>
            <w:tcW w:w="1752" w:type="dxa"/>
          </w:tcPr>
          <w:p w14:paraId="5A771C41" w14:textId="77777777" w:rsidR="007077AC" w:rsidRPr="00027D45" w:rsidRDefault="007077AC" w:rsidP="009677F6">
            <w:pPr>
              <w:pStyle w:val="Normal-noindent"/>
              <w:spacing w:after="60"/>
            </w:pPr>
            <w:r>
              <w:t>ICU</w:t>
            </w:r>
          </w:p>
        </w:tc>
        <w:tc>
          <w:tcPr>
            <w:tcW w:w="6315" w:type="dxa"/>
          </w:tcPr>
          <w:p w14:paraId="2683CD1F" w14:textId="77777777" w:rsidR="007077AC" w:rsidRPr="00027D45" w:rsidRDefault="007077AC" w:rsidP="009677F6">
            <w:pPr>
              <w:pStyle w:val="Normal-noindent"/>
              <w:spacing w:after="60"/>
            </w:pPr>
            <w:r>
              <w:t>intensive care unit</w:t>
            </w:r>
          </w:p>
        </w:tc>
      </w:tr>
      <w:tr w:rsidR="007077AC" w:rsidRPr="00027D45" w14:paraId="47AEFE4F" w14:textId="77777777" w:rsidTr="00CE5AC9">
        <w:trPr>
          <w:trHeight w:val="340"/>
        </w:trPr>
        <w:tc>
          <w:tcPr>
            <w:tcW w:w="1752" w:type="dxa"/>
          </w:tcPr>
          <w:p w14:paraId="62A567B3" w14:textId="355031FB" w:rsidR="007077AC" w:rsidRDefault="007077AC" w:rsidP="009677F6">
            <w:pPr>
              <w:pStyle w:val="Normal-noindent"/>
              <w:spacing w:after="60"/>
            </w:pPr>
            <w:r>
              <w:t>IDA</w:t>
            </w:r>
          </w:p>
        </w:tc>
        <w:tc>
          <w:tcPr>
            <w:tcW w:w="6315" w:type="dxa"/>
          </w:tcPr>
          <w:p w14:paraId="7E8822E1" w14:textId="609A4CDD" w:rsidR="007077AC" w:rsidRDefault="007077AC" w:rsidP="009677F6">
            <w:pPr>
              <w:pStyle w:val="Normal-noindent"/>
              <w:spacing w:after="60"/>
            </w:pPr>
            <w:r>
              <w:t>iron deficiency anaemia</w:t>
            </w:r>
          </w:p>
        </w:tc>
      </w:tr>
      <w:tr w:rsidR="007077AC" w:rsidRPr="00027D45" w14:paraId="5E90EED2" w14:textId="77777777" w:rsidTr="00CE5AC9">
        <w:trPr>
          <w:trHeight w:val="340"/>
        </w:trPr>
        <w:tc>
          <w:tcPr>
            <w:tcW w:w="1752" w:type="dxa"/>
          </w:tcPr>
          <w:p w14:paraId="5FE7E428" w14:textId="1A839C98" w:rsidR="007077AC" w:rsidRDefault="007077AC" w:rsidP="009677F6">
            <w:pPr>
              <w:pStyle w:val="Normal-noindent"/>
              <w:spacing w:after="60"/>
            </w:pPr>
            <w:r>
              <w:lastRenderedPageBreak/>
              <w:t>IgG</w:t>
            </w:r>
          </w:p>
        </w:tc>
        <w:tc>
          <w:tcPr>
            <w:tcW w:w="6315" w:type="dxa"/>
          </w:tcPr>
          <w:p w14:paraId="5E28CEC3" w14:textId="461B32AF" w:rsidR="007077AC" w:rsidRDefault="007077AC" w:rsidP="009677F6">
            <w:pPr>
              <w:pStyle w:val="Normal-noindent"/>
              <w:spacing w:after="60"/>
            </w:pPr>
            <w:r>
              <w:rPr>
                <w:rStyle w:val="tgc"/>
              </w:rPr>
              <w:t>immunoglobulin G</w:t>
            </w:r>
          </w:p>
        </w:tc>
      </w:tr>
      <w:tr w:rsidR="007077AC" w:rsidRPr="00027D45" w14:paraId="75171300" w14:textId="77777777" w:rsidTr="00CE5AC9">
        <w:trPr>
          <w:trHeight w:val="340"/>
        </w:trPr>
        <w:tc>
          <w:tcPr>
            <w:tcW w:w="1752" w:type="dxa"/>
          </w:tcPr>
          <w:p w14:paraId="039D02DA" w14:textId="77777777" w:rsidR="007077AC" w:rsidRPr="00027D45" w:rsidRDefault="007077AC" w:rsidP="009677F6">
            <w:pPr>
              <w:pStyle w:val="Normal-noindent"/>
              <w:spacing w:after="60"/>
            </w:pPr>
            <w:r>
              <w:t>IM</w:t>
            </w:r>
          </w:p>
        </w:tc>
        <w:tc>
          <w:tcPr>
            <w:tcW w:w="6315" w:type="dxa"/>
          </w:tcPr>
          <w:p w14:paraId="39831706" w14:textId="77777777" w:rsidR="007077AC" w:rsidRPr="00027D45" w:rsidRDefault="007077AC" w:rsidP="009677F6">
            <w:pPr>
              <w:pStyle w:val="Normal-noindent"/>
              <w:spacing w:after="60"/>
            </w:pPr>
            <w:r>
              <w:t>intramuscular</w:t>
            </w:r>
          </w:p>
        </w:tc>
      </w:tr>
      <w:tr w:rsidR="007077AC" w:rsidRPr="00027D45" w14:paraId="4CF904DF" w14:textId="77777777" w:rsidTr="00CE5AC9">
        <w:trPr>
          <w:trHeight w:val="340"/>
        </w:trPr>
        <w:tc>
          <w:tcPr>
            <w:tcW w:w="1752" w:type="dxa"/>
          </w:tcPr>
          <w:p w14:paraId="1140CE54" w14:textId="77777777" w:rsidR="007077AC" w:rsidRPr="00027D45" w:rsidRDefault="007077AC" w:rsidP="009677F6">
            <w:pPr>
              <w:pStyle w:val="Normal-noindent"/>
              <w:spacing w:after="60"/>
            </w:pPr>
            <w:r w:rsidRPr="00027D45">
              <w:t xml:space="preserve">INR </w:t>
            </w:r>
          </w:p>
        </w:tc>
        <w:tc>
          <w:tcPr>
            <w:tcW w:w="6315" w:type="dxa"/>
          </w:tcPr>
          <w:p w14:paraId="7E383292" w14:textId="4FD4736C" w:rsidR="007077AC" w:rsidRPr="00027D45" w:rsidRDefault="007077AC" w:rsidP="00AB5F0E">
            <w:pPr>
              <w:pStyle w:val="Normal-noindent"/>
              <w:spacing w:after="60"/>
            </w:pPr>
            <w:r w:rsidRPr="00027D45">
              <w:t xml:space="preserve">international </w:t>
            </w:r>
            <w:r w:rsidR="00AB5F0E" w:rsidRPr="00027D45">
              <w:t>normalis</w:t>
            </w:r>
            <w:r w:rsidR="00AB5F0E">
              <w:t>ed</w:t>
            </w:r>
            <w:r w:rsidR="00AB5F0E" w:rsidRPr="00027D45">
              <w:t xml:space="preserve"> </w:t>
            </w:r>
            <w:r w:rsidRPr="00027D45">
              <w:t>ratio</w:t>
            </w:r>
          </w:p>
        </w:tc>
      </w:tr>
      <w:tr w:rsidR="00EB2899" w:rsidRPr="00027D45" w14:paraId="549689E6" w14:textId="77777777" w:rsidTr="00CE5AC9">
        <w:trPr>
          <w:trHeight w:val="340"/>
        </w:trPr>
        <w:tc>
          <w:tcPr>
            <w:tcW w:w="1752" w:type="dxa"/>
          </w:tcPr>
          <w:p w14:paraId="5C9ACF9E" w14:textId="2E353185" w:rsidR="00EB2899" w:rsidRDefault="00EB2899" w:rsidP="009677F6">
            <w:pPr>
              <w:pStyle w:val="Normal-noindent"/>
              <w:spacing w:after="60"/>
            </w:pPr>
            <w:r>
              <w:t>IUT</w:t>
            </w:r>
          </w:p>
        </w:tc>
        <w:tc>
          <w:tcPr>
            <w:tcW w:w="6315" w:type="dxa"/>
          </w:tcPr>
          <w:p w14:paraId="3A1BB90A" w14:textId="4D0EB37F" w:rsidR="00EB2899" w:rsidRDefault="00EB2899" w:rsidP="009677F6">
            <w:pPr>
              <w:pStyle w:val="Normal-noindent"/>
              <w:spacing w:after="60"/>
            </w:pPr>
            <w:r>
              <w:t>intrauterine transfusion</w:t>
            </w:r>
          </w:p>
        </w:tc>
      </w:tr>
      <w:tr w:rsidR="007077AC" w:rsidRPr="00027D45" w14:paraId="7B6639FB" w14:textId="77777777" w:rsidTr="00CE5AC9">
        <w:trPr>
          <w:trHeight w:val="340"/>
        </w:trPr>
        <w:tc>
          <w:tcPr>
            <w:tcW w:w="1752" w:type="dxa"/>
          </w:tcPr>
          <w:p w14:paraId="551D8C5B" w14:textId="77777777" w:rsidR="007077AC" w:rsidRPr="00027D45" w:rsidRDefault="007077AC" w:rsidP="009677F6">
            <w:pPr>
              <w:pStyle w:val="Normal-noindent"/>
              <w:spacing w:after="60"/>
            </w:pPr>
            <w:r>
              <w:t>IV</w:t>
            </w:r>
          </w:p>
        </w:tc>
        <w:tc>
          <w:tcPr>
            <w:tcW w:w="6315" w:type="dxa"/>
          </w:tcPr>
          <w:p w14:paraId="699E5D17" w14:textId="77777777" w:rsidR="007077AC" w:rsidRPr="00027D45" w:rsidRDefault="007077AC" w:rsidP="009677F6">
            <w:pPr>
              <w:pStyle w:val="Normal-noindent"/>
              <w:spacing w:after="60"/>
            </w:pPr>
            <w:r>
              <w:t>intravenous</w:t>
            </w:r>
          </w:p>
        </w:tc>
      </w:tr>
      <w:tr w:rsidR="007077AC" w14:paraId="23516902" w14:textId="77777777" w:rsidTr="00CE5AC9">
        <w:trPr>
          <w:trHeight w:val="340"/>
        </w:trPr>
        <w:tc>
          <w:tcPr>
            <w:tcW w:w="1752" w:type="dxa"/>
          </w:tcPr>
          <w:p w14:paraId="1BCB5157" w14:textId="77777777" w:rsidR="007077AC" w:rsidRDefault="007077AC" w:rsidP="009677F6">
            <w:pPr>
              <w:pStyle w:val="Normal-noindent"/>
              <w:spacing w:after="60"/>
            </w:pPr>
            <w:r>
              <w:t>IVH</w:t>
            </w:r>
          </w:p>
        </w:tc>
        <w:tc>
          <w:tcPr>
            <w:tcW w:w="6315" w:type="dxa"/>
          </w:tcPr>
          <w:p w14:paraId="61FC3385" w14:textId="77777777" w:rsidR="007077AC" w:rsidRDefault="007077AC" w:rsidP="009677F6">
            <w:pPr>
              <w:pStyle w:val="Normal-noindent"/>
              <w:spacing w:after="60"/>
            </w:pPr>
            <w:bookmarkStart w:id="6" w:name="OLE_LINK6"/>
            <w:r>
              <w:t>intraventricular haemorrhage</w:t>
            </w:r>
            <w:bookmarkEnd w:id="6"/>
          </w:p>
        </w:tc>
      </w:tr>
      <w:tr w:rsidR="00EB2899" w:rsidRPr="00027D45" w14:paraId="4ADD9AB3" w14:textId="77777777" w:rsidTr="00CE5AC9">
        <w:trPr>
          <w:trHeight w:val="340"/>
        </w:trPr>
        <w:tc>
          <w:tcPr>
            <w:tcW w:w="1752" w:type="dxa"/>
          </w:tcPr>
          <w:p w14:paraId="4F48A4BB" w14:textId="245CE8CD" w:rsidR="00EB2899" w:rsidRPr="00027D45" w:rsidRDefault="00274815" w:rsidP="009677F6">
            <w:pPr>
              <w:pStyle w:val="Normal-noindent"/>
              <w:spacing w:after="60"/>
            </w:pPr>
            <w:r>
              <w:t>IVIg</w:t>
            </w:r>
          </w:p>
        </w:tc>
        <w:tc>
          <w:tcPr>
            <w:tcW w:w="6315" w:type="dxa"/>
          </w:tcPr>
          <w:p w14:paraId="30E48C0D" w14:textId="2C14AF51" w:rsidR="00EB2899" w:rsidRPr="00027D45" w:rsidRDefault="00EB2899" w:rsidP="009677F6">
            <w:pPr>
              <w:pStyle w:val="Normal-noindent"/>
              <w:spacing w:after="60"/>
            </w:pPr>
            <w:r>
              <w:t>intravenous immunoglobulin</w:t>
            </w:r>
          </w:p>
        </w:tc>
      </w:tr>
      <w:tr w:rsidR="007077AC" w:rsidRPr="00027D45" w14:paraId="1C6B1D57" w14:textId="77777777" w:rsidTr="00CE5AC9">
        <w:trPr>
          <w:trHeight w:val="340"/>
        </w:trPr>
        <w:tc>
          <w:tcPr>
            <w:tcW w:w="1752" w:type="dxa"/>
          </w:tcPr>
          <w:p w14:paraId="05363697" w14:textId="77777777" w:rsidR="007077AC" w:rsidRPr="00027D45" w:rsidRDefault="007077AC" w:rsidP="009677F6">
            <w:pPr>
              <w:pStyle w:val="Normal-noindent"/>
              <w:spacing w:after="60"/>
            </w:pPr>
            <w:r w:rsidRPr="00027D45">
              <w:t>JBC</w:t>
            </w:r>
          </w:p>
        </w:tc>
        <w:tc>
          <w:tcPr>
            <w:tcW w:w="6315" w:type="dxa"/>
          </w:tcPr>
          <w:p w14:paraId="0BD8EF90" w14:textId="77777777" w:rsidR="007077AC" w:rsidRPr="00027D45" w:rsidRDefault="007077AC" w:rsidP="009677F6">
            <w:pPr>
              <w:pStyle w:val="Normal-noindent"/>
              <w:spacing w:after="60"/>
            </w:pPr>
            <w:r w:rsidRPr="00027D45">
              <w:t>Jurisdictional Blood Committee</w:t>
            </w:r>
          </w:p>
        </w:tc>
      </w:tr>
      <w:tr w:rsidR="007077AC" w:rsidRPr="00027D45" w14:paraId="0DD33871" w14:textId="77777777" w:rsidTr="00CE5AC9">
        <w:trPr>
          <w:trHeight w:val="340"/>
        </w:trPr>
        <w:tc>
          <w:tcPr>
            <w:tcW w:w="1752" w:type="dxa"/>
          </w:tcPr>
          <w:p w14:paraId="545144A8" w14:textId="77777777" w:rsidR="007077AC" w:rsidRPr="00027D45" w:rsidRDefault="007077AC" w:rsidP="009677F6">
            <w:pPr>
              <w:pStyle w:val="Normal-noindent"/>
              <w:spacing w:after="60"/>
            </w:pPr>
            <w:r>
              <w:t>KDIGO</w:t>
            </w:r>
          </w:p>
        </w:tc>
        <w:tc>
          <w:tcPr>
            <w:tcW w:w="6315" w:type="dxa"/>
          </w:tcPr>
          <w:p w14:paraId="4CC3C7C2" w14:textId="77777777" w:rsidR="007077AC" w:rsidRPr="00027D45" w:rsidRDefault="007077AC" w:rsidP="009677F6">
            <w:pPr>
              <w:pStyle w:val="Normal-noindent"/>
              <w:spacing w:after="60"/>
            </w:pPr>
            <w:r>
              <w:rPr>
                <w:szCs w:val="18"/>
              </w:rPr>
              <w:t>Kidney Disease Improving Global Outcomes</w:t>
            </w:r>
          </w:p>
        </w:tc>
      </w:tr>
      <w:tr w:rsidR="007077AC" w14:paraId="73CF50D2" w14:textId="77777777" w:rsidTr="00CE5AC9">
        <w:trPr>
          <w:trHeight w:val="340"/>
        </w:trPr>
        <w:tc>
          <w:tcPr>
            <w:tcW w:w="1752" w:type="dxa"/>
          </w:tcPr>
          <w:p w14:paraId="37582D85" w14:textId="599F8D26" w:rsidR="007077AC" w:rsidRDefault="007077AC" w:rsidP="009677F6">
            <w:pPr>
              <w:pStyle w:val="Normal-noindent"/>
              <w:spacing w:after="60"/>
            </w:pPr>
            <w:r>
              <w:t>MCA</w:t>
            </w:r>
          </w:p>
        </w:tc>
        <w:tc>
          <w:tcPr>
            <w:tcW w:w="6315" w:type="dxa"/>
          </w:tcPr>
          <w:p w14:paraId="4CD71F0F" w14:textId="58F6C40B" w:rsidR="007077AC" w:rsidRDefault="007077AC" w:rsidP="009677F6">
            <w:pPr>
              <w:pStyle w:val="Normal-noindent"/>
              <w:spacing w:after="60"/>
            </w:pPr>
            <w:r>
              <w:t>middle cerebral artery</w:t>
            </w:r>
          </w:p>
        </w:tc>
      </w:tr>
      <w:tr w:rsidR="007077AC" w14:paraId="0FF7EB84" w14:textId="77777777" w:rsidTr="00CE5AC9">
        <w:trPr>
          <w:trHeight w:val="340"/>
        </w:trPr>
        <w:tc>
          <w:tcPr>
            <w:tcW w:w="1752" w:type="dxa"/>
          </w:tcPr>
          <w:p w14:paraId="7312AD6F" w14:textId="2D547524" w:rsidR="007077AC" w:rsidRDefault="007077AC" w:rsidP="009677F6">
            <w:pPr>
              <w:pStyle w:val="Normal-noindent"/>
              <w:spacing w:after="60"/>
            </w:pPr>
            <w:r>
              <w:t>MOD</w:t>
            </w:r>
            <w:r w:rsidR="00AB5F0E">
              <w:t>S</w:t>
            </w:r>
          </w:p>
        </w:tc>
        <w:tc>
          <w:tcPr>
            <w:tcW w:w="6315" w:type="dxa"/>
          </w:tcPr>
          <w:p w14:paraId="2E947276" w14:textId="624830F5" w:rsidR="007077AC" w:rsidRDefault="007077AC" w:rsidP="009677F6">
            <w:pPr>
              <w:pStyle w:val="Normal-noindent"/>
              <w:spacing w:after="60"/>
            </w:pPr>
            <w:r>
              <w:rPr>
                <w:lang w:val="en-GB" w:eastAsia="en-GB"/>
              </w:rPr>
              <w:t>multiple organ dysfunction</w:t>
            </w:r>
            <w:r w:rsidR="00AB5F0E">
              <w:rPr>
                <w:lang w:val="en-GB" w:eastAsia="en-GB"/>
              </w:rPr>
              <w:t xml:space="preserve"> syndrome</w:t>
            </w:r>
          </w:p>
        </w:tc>
      </w:tr>
      <w:tr w:rsidR="007077AC" w14:paraId="26334DAC" w14:textId="77777777" w:rsidTr="00CE5AC9">
        <w:trPr>
          <w:trHeight w:val="340"/>
        </w:trPr>
        <w:tc>
          <w:tcPr>
            <w:tcW w:w="1752" w:type="dxa"/>
          </w:tcPr>
          <w:p w14:paraId="3512E7D8" w14:textId="77777777" w:rsidR="007077AC" w:rsidRDefault="007077AC" w:rsidP="009677F6">
            <w:pPr>
              <w:pStyle w:val="Normal-noindent"/>
              <w:spacing w:after="60"/>
            </w:pPr>
            <w:r>
              <w:t>MRI</w:t>
            </w:r>
          </w:p>
        </w:tc>
        <w:tc>
          <w:tcPr>
            <w:tcW w:w="6315" w:type="dxa"/>
          </w:tcPr>
          <w:p w14:paraId="3155087C" w14:textId="77777777" w:rsidR="007077AC" w:rsidRDefault="007077AC" w:rsidP="009677F6">
            <w:pPr>
              <w:pStyle w:val="Normal-noindent"/>
              <w:spacing w:after="60"/>
            </w:pPr>
            <w:r>
              <w:rPr>
                <w:lang w:val="en-GB" w:eastAsia="en-GB"/>
              </w:rPr>
              <w:t>magnetic resonance imaging</w:t>
            </w:r>
          </w:p>
        </w:tc>
      </w:tr>
      <w:tr w:rsidR="007077AC" w:rsidRPr="00027D45" w14:paraId="05D819B7" w14:textId="77777777" w:rsidTr="00CE5AC9">
        <w:trPr>
          <w:trHeight w:val="340"/>
        </w:trPr>
        <w:tc>
          <w:tcPr>
            <w:tcW w:w="1752" w:type="dxa"/>
          </w:tcPr>
          <w:p w14:paraId="5ECC18A3" w14:textId="77777777" w:rsidR="007077AC" w:rsidRPr="00027D45" w:rsidRDefault="007077AC" w:rsidP="009677F6">
            <w:pPr>
              <w:pStyle w:val="Normal-noindent"/>
              <w:spacing w:after="60"/>
            </w:pPr>
            <w:r w:rsidRPr="00027D45">
              <w:t>NBA</w:t>
            </w:r>
          </w:p>
        </w:tc>
        <w:tc>
          <w:tcPr>
            <w:tcW w:w="6315" w:type="dxa"/>
          </w:tcPr>
          <w:p w14:paraId="56DA0AAB" w14:textId="77777777" w:rsidR="007077AC" w:rsidRPr="00027D45" w:rsidRDefault="007077AC" w:rsidP="009677F6">
            <w:pPr>
              <w:pStyle w:val="Normal-noindent"/>
              <w:spacing w:after="60"/>
            </w:pPr>
            <w:r w:rsidRPr="00027D45">
              <w:t>National Blood Authority</w:t>
            </w:r>
          </w:p>
        </w:tc>
      </w:tr>
      <w:tr w:rsidR="007077AC" w:rsidRPr="00027D45" w14:paraId="7A0E9152" w14:textId="77777777" w:rsidTr="00CE5AC9">
        <w:trPr>
          <w:trHeight w:val="340"/>
        </w:trPr>
        <w:tc>
          <w:tcPr>
            <w:tcW w:w="1752" w:type="dxa"/>
          </w:tcPr>
          <w:p w14:paraId="4E5F41EB" w14:textId="77777777" w:rsidR="007077AC" w:rsidRPr="00027D45" w:rsidRDefault="007077AC" w:rsidP="009677F6">
            <w:pPr>
              <w:pStyle w:val="Normal-noindent"/>
              <w:spacing w:after="60"/>
            </w:pPr>
            <w:r>
              <w:t>NEC</w:t>
            </w:r>
          </w:p>
        </w:tc>
        <w:tc>
          <w:tcPr>
            <w:tcW w:w="6315" w:type="dxa"/>
          </w:tcPr>
          <w:p w14:paraId="3770B64E" w14:textId="77777777" w:rsidR="007077AC" w:rsidRPr="00027D45" w:rsidRDefault="007077AC" w:rsidP="009677F6">
            <w:pPr>
              <w:pStyle w:val="Normal-noindent"/>
              <w:spacing w:after="60"/>
            </w:pPr>
            <w:r>
              <w:rPr>
                <w:lang w:eastAsia="en-GB"/>
              </w:rPr>
              <w:t>necrotising enterocolitis</w:t>
            </w:r>
          </w:p>
        </w:tc>
      </w:tr>
      <w:tr w:rsidR="007077AC" w:rsidRPr="00027D45" w14:paraId="7707FE81" w14:textId="77777777" w:rsidTr="00CE5AC9">
        <w:trPr>
          <w:trHeight w:val="340"/>
        </w:trPr>
        <w:tc>
          <w:tcPr>
            <w:tcW w:w="1752" w:type="dxa"/>
          </w:tcPr>
          <w:p w14:paraId="1BE9DF77" w14:textId="77777777" w:rsidR="007077AC" w:rsidRPr="00027D45" w:rsidRDefault="007077AC" w:rsidP="009677F6">
            <w:pPr>
              <w:pStyle w:val="Normal-noindent"/>
              <w:spacing w:after="60"/>
            </w:pPr>
            <w:r w:rsidRPr="00027D45">
              <w:t xml:space="preserve">NHMRC </w:t>
            </w:r>
          </w:p>
        </w:tc>
        <w:tc>
          <w:tcPr>
            <w:tcW w:w="6315" w:type="dxa"/>
          </w:tcPr>
          <w:p w14:paraId="762EA8A0" w14:textId="77777777" w:rsidR="007077AC" w:rsidRPr="00027D45" w:rsidRDefault="007077AC" w:rsidP="009677F6">
            <w:pPr>
              <w:pStyle w:val="Normal-noindent"/>
              <w:spacing w:after="60"/>
            </w:pPr>
            <w:r w:rsidRPr="00027D45">
              <w:t>National Health and Medical Research Council</w:t>
            </w:r>
          </w:p>
        </w:tc>
      </w:tr>
      <w:tr w:rsidR="007077AC" w:rsidRPr="00027D45" w14:paraId="1E31CCC6" w14:textId="77777777" w:rsidTr="00CE5AC9">
        <w:trPr>
          <w:trHeight w:val="340"/>
        </w:trPr>
        <w:tc>
          <w:tcPr>
            <w:tcW w:w="1752" w:type="dxa"/>
          </w:tcPr>
          <w:p w14:paraId="08BB88C9" w14:textId="77777777" w:rsidR="007077AC" w:rsidRPr="00027D45" w:rsidRDefault="007077AC" w:rsidP="009677F6">
            <w:pPr>
              <w:pStyle w:val="Normal-noindent"/>
              <w:spacing w:after="60"/>
            </w:pPr>
            <w:r>
              <w:t>NICE</w:t>
            </w:r>
          </w:p>
        </w:tc>
        <w:tc>
          <w:tcPr>
            <w:tcW w:w="6315" w:type="dxa"/>
          </w:tcPr>
          <w:p w14:paraId="1D7B4C7B" w14:textId="77777777" w:rsidR="007077AC" w:rsidRPr="00027D45" w:rsidRDefault="007077AC" w:rsidP="009677F6">
            <w:pPr>
              <w:pStyle w:val="Normal-noindent"/>
              <w:spacing w:after="60"/>
            </w:pPr>
            <w:r>
              <w:rPr>
                <w:szCs w:val="18"/>
              </w:rPr>
              <w:t>National Institute for Health and Care Excellence</w:t>
            </w:r>
          </w:p>
        </w:tc>
      </w:tr>
      <w:tr w:rsidR="007077AC" w:rsidRPr="00027D45" w14:paraId="3C2D1682" w14:textId="77777777" w:rsidTr="00CE5AC9">
        <w:trPr>
          <w:trHeight w:val="340"/>
        </w:trPr>
        <w:tc>
          <w:tcPr>
            <w:tcW w:w="1752" w:type="dxa"/>
          </w:tcPr>
          <w:p w14:paraId="123C7934" w14:textId="69AC338B" w:rsidR="007077AC" w:rsidRDefault="007077AC" w:rsidP="009677F6">
            <w:pPr>
              <w:pStyle w:val="Normal-noindent"/>
              <w:spacing w:after="60"/>
            </w:pPr>
            <w:r>
              <w:t>NICU</w:t>
            </w:r>
          </w:p>
        </w:tc>
        <w:tc>
          <w:tcPr>
            <w:tcW w:w="6315" w:type="dxa"/>
          </w:tcPr>
          <w:p w14:paraId="35028174" w14:textId="0E425196" w:rsidR="007077AC" w:rsidRDefault="007077AC" w:rsidP="009677F6">
            <w:pPr>
              <w:pStyle w:val="Normal-noindent"/>
              <w:spacing w:after="60"/>
            </w:pPr>
            <w:r w:rsidRPr="00F921CD">
              <w:t>neonatal intensive care unit</w:t>
            </w:r>
          </w:p>
        </w:tc>
      </w:tr>
      <w:tr w:rsidR="007077AC" w:rsidRPr="00027D45" w14:paraId="74A211F0" w14:textId="77777777" w:rsidTr="00CE5AC9">
        <w:trPr>
          <w:trHeight w:val="340"/>
        </w:trPr>
        <w:tc>
          <w:tcPr>
            <w:tcW w:w="1752" w:type="dxa"/>
          </w:tcPr>
          <w:p w14:paraId="77898358" w14:textId="77777777" w:rsidR="007077AC" w:rsidRPr="00027D45" w:rsidRDefault="007077AC" w:rsidP="009677F6">
            <w:pPr>
              <w:pStyle w:val="Normal-noindent"/>
              <w:spacing w:after="60"/>
            </w:pPr>
            <w:r>
              <w:t>NIH</w:t>
            </w:r>
          </w:p>
        </w:tc>
        <w:tc>
          <w:tcPr>
            <w:tcW w:w="6315" w:type="dxa"/>
          </w:tcPr>
          <w:p w14:paraId="7180C8BE" w14:textId="77777777" w:rsidR="007077AC" w:rsidRPr="00027D45" w:rsidRDefault="007077AC" w:rsidP="009677F6">
            <w:pPr>
              <w:pStyle w:val="Normal-noindent"/>
              <w:spacing w:after="60"/>
            </w:pPr>
            <w:r>
              <w:t>National Institutes of Health</w:t>
            </w:r>
          </w:p>
        </w:tc>
      </w:tr>
      <w:tr w:rsidR="00FC0FDA" w:rsidRPr="00027D45" w14:paraId="3F0584E1" w14:textId="77777777" w:rsidTr="00CE5AC9">
        <w:trPr>
          <w:trHeight w:val="340"/>
        </w:trPr>
        <w:tc>
          <w:tcPr>
            <w:tcW w:w="1752" w:type="dxa"/>
          </w:tcPr>
          <w:p w14:paraId="2E8B1822" w14:textId="51C772C5" w:rsidR="00FC0FDA" w:rsidRDefault="00FC0FDA" w:rsidP="009677F6">
            <w:pPr>
              <w:pStyle w:val="Normal-noindent"/>
              <w:spacing w:after="60"/>
            </w:pPr>
            <w:r>
              <w:t>NNNI</w:t>
            </w:r>
          </w:p>
        </w:tc>
        <w:tc>
          <w:tcPr>
            <w:tcW w:w="6315" w:type="dxa"/>
          </w:tcPr>
          <w:p w14:paraId="2929AE03" w14:textId="6B8AD0E5" w:rsidR="00FC0FDA" w:rsidRDefault="00FC0FDA" w:rsidP="009677F6">
            <w:pPr>
              <w:pStyle w:val="Normal-noindent"/>
              <w:spacing w:after="60"/>
            </w:pPr>
            <w:r>
              <w:t>Northern Neonatal Nursing Initiative</w:t>
            </w:r>
          </w:p>
        </w:tc>
      </w:tr>
      <w:tr w:rsidR="007077AC" w:rsidRPr="00027D45" w14:paraId="004761AE" w14:textId="77777777" w:rsidTr="00CE5AC9">
        <w:trPr>
          <w:trHeight w:val="340"/>
        </w:trPr>
        <w:tc>
          <w:tcPr>
            <w:tcW w:w="1752" w:type="dxa"/>
          </w:tcPr>
          <w:p w14:paraId="71B6DFDD" w14:textId="77777777" w:rsidR="007077AC" w:rsidRPr="00027D45" w:rsidRDefault="007077AC" w:rsidP="009677F6">
            <w:pPr>
              <w:pStyle w:val="Normal-noindent"/>
              <w:spacing w:after="60"/>
            </w:pPr>
            <w:r>
              <w:t>NZBS</w:t>
            </w:r>
          </w:p>
        </w:tc>
        <w:tc>
          <w:tcPr>
            <w:tcW w:w="6315" w:type="dxa"/>
          </w:tcPr>
          <w:p w14:paraId="0FB7265C" w14:textId="77777777" w:rsidR="007077AC" w:rsidRPr="00027D45" w:rsidRDefault="007077AC" w:rsidP="009677F6">
            <w:pPr>
              <w:pStyle w:val="Normal-noindent"/>
              <w:spacing w:after="60"/>
            </w:pPr>
            <w:r>
              <w:t>New Zealand Blood Service</w:t>
            </w:r>
          </w:p>
        </w:tc>
      </w:tr>
      <w:tr w:rsidR="007077AC" w14:paraId="7846AE1E" w14:textId="77777777" w:rsidTr="00CE5AC9">
        <w:trPr>
          <w:trHeight w:val="340"/>
        </w:trPr>
        <w:tc>
          <w:tcPr>
            <w:tcW w:w="1752" w:type="dxa"/>
          </w:tcPr>
          <w:p w14:paraId="4D7B03E9" w14:textId="77777777" w:rsidR="007077AC" w:rsidRDefault="007077AC" w:rsidP="009677F6">
            <w:pPr>
              <w:pStyle w:val="Normal-noindent"/>
              <w:spacing w:after="60"/>
            </w:pPr>
            <w:r>
              <w:t>PBM</w:t>
            </w:r>
          </w:p>
        </w:tc>
        <w:tc>
          <w:tcPr>
            <w:tcW w:w="6315" w:type="dxa"/>
          </w:tcPr>
          <w:p w14:paraId="0351E83A" w14:textId="77777777" w:rsidR="007077AC" w:rsidRDefault="007077AC" w:rsidP="009677F6">
            <w:pPr>
              <w:pStyle w:val="Normal-noindent"/>
              <w:spacing w:after="60"/>
            </w:pPr>
            <w:r>
              <w:t>patient blood management</w:t>
            </w:r>
          </w:p>
        </w:tc>
      </w:tr>
      <w:tr w:rsidR="007077AC" w14:paraId="64DF0559" w14:textId="77777777" w:rsidTr="00CE5AC9">
        <w:trPr>
          <w:trHeight w:val="340"/>
        </w:trPr>
        <w:tc>
          <w:tcPr>
            <w:tcW w:w="1752" w:type="dxa"/>
          </w:tcPr>
          <w:p w14:paraId="306792B9" w14:textId="0C8EE7AE" w:rsidR="007077AC" w:rsidRDefault="007077AC" w:rsidP="009677F6">
            <w:pPr>
              <w:pStyle w:val="Normal-noindent"/>
              <w:spacing w:after="60"/>
            </w:pPr>
            <w:r>
              <w:t>PCC</w:t>
            </w:r>
          </w:p>
        </w:tc>
        <w:tc>
          <w:tcPr>
            <w:tcW w:w="6315" w:type="dxa"/>
          </w:tcPr>
          <w:p w14:paraId="10749E06" w14:textId="615AA53F" w:rsidR="007077AC" w:rsidRDefault="007077AC" w:rsidP="009677F6">
            <w:pPr>
              <w:pStyle w:val="Normal-noindent"/>
              <w:spacing w:after="60"/>
            </w:pPr>
            <w:r>
              <w:t>prothrombin complex concentrate</w:t>
            </w:r>
          </w:p>
        </w:tc>
      </w:tr>
      <w:tr w:rsidR="007077AC" w14:paraId="17408B52" w14:textId="77777777" w:rsidTr="00CE5AC9">
        <w:trPr>
          <w:trHeight w:val="340"/>
        </w:trPr>
        <w:tc>
          <w:tcPr>
            <w:tcW w:w="1752" w:type="dxa"/>
          </w:tcPr>
          <w:p w14:paraId="0296282E" w14:textId="77777777" w:rsidR="007077AC" w:rsidRDefault="007077AC" w:rsidP="009677F6">
            <w:pPr>
              <w:pStyle w:val="Normal-noindent"/>
              <w:spacing w:after="60"/>
            </w:pPr>
            <w:r>
              <w:t>PICO</w:t>
            </w:r>
          </w:p>
        </w:tc>
        <w:tc>
          <w:tcPr>
            <w:tcW w:w="6315" w:type="dxa"/>
          </w:tcPr>
          <w:p w14:paraId="55902DF9" w14:textId="77777777" w:rsidR="007077AC" w:rsidRDefault="007077AC" w:rsidP="009677F6">
            <w:pPr>
              <w:pStyle w:val="Normal-noindent"/>
              <w:spacing w:after="60"/>
            </w:pPr>
            <w:r>
              <w:t>population, intervention, comparator and outcome</w:t>
            </w:r>
          </w:p>
        </w:tc>
      </w:tr>
      <w:tr w:rsidR="007077AC" w14:paraId="17FDAE38" w14:textId="77777777" w:rsidTr="00CE5AC9">
        <w:trPr>
          <w:trHeight w:val="340"/>
        </w:trPr>
        <w:tc>
          <w:tcPr>
            <w:tcW w:w="1752" w:type="dxa"/>
          </w:tcPr>
          <w:p w14:paraId="222D7573" w14:textId="77777777" w:rsidR="007077AC" w:rsidRDefault="007077AC" w:rsidP="009677F6">
            <w:pPr>
              <w:pStyle w:val="Normal-noindent"/>
              <w:spacing w:after="60"/>
            </w:pPr>
            <w:r>
              <w:t>PICU</w:t>
            </w:r>
          </w:p>
        </w:tc>
        <w:tc>
          <w:tcPr>
            <w:tcW w:w="6315" w:type="dxa"/>
          </w:tcPr>
          <w:p w14:paraId="44FF7A25" w14:textId="77777777" w:rsidR="007077AC" w:rsidRDefault="007077AC" w:rsidP="009677F6">
            <w:pPr>
              <w:pStyle w:val="Normal-noindent"/>
              <w:spacing w:after="60"/>
            </w:pPr>
            <w:r>
              <w:t>paediatric intensive care unit</w:t>
            </w:r>
          </w:p>
        </w:tc>
      </w:tr>
      <w:tr w:rsidR="007077AC" w:rsidRPr="00027D45" w14:paraId="66982778" w14:textId="77777777" w:rsidTr="00CE5AC9">
        <w:trPr>
          <w:trHeight w:val="340"/>
        </w:trPr>
        <w:tc>
          <w:tcPr>
            <w:tcW w:w="1752" w:type="dxa"/>
          </w:tcPr>
          <w:p w14:paraId="7A114679" w14:textId="77777777" w:rsidR="007077AC" w:rsidRPr="00027D45" w:rsidRDefault="007077AC" w:rsidP="009677F6">
            <w:pPr>
              <w:pStyle w:val="Normal-noindent"/>
              <w:spacing w:after="60"/>
            </w:pPr>
            <w:r>
              <w:t>POC</w:t>
            </w:r>
          </w:p>
        </w:tc>
        <w:tc>
          <w:tcPr>
            <w:tcW w:w="6315" w:type="dxa"/>
          </w:tcPr>
          <w:p w14:paraId="03C98FA4" w14:textId="77777777" w:rsidR="007077AC" w:rsidRPr="00027D45" w:rsidRDefault="007077AC" w:rsidP="009677F6">
            <w:pPr>
              <w:pStyle w:val="Normal-noindent"/>
              <w:spacing w:after="60"/>
            </w:pPr>
            <w:r>
              <w:t>point of care</w:t>
            </w:r>
          </w:p>
        </w:tc>
      </w:tr>
      <w:tr w:rsidR="007077AC" w:rsidRPr="00027D45" w14:paraId="141D9BAA" w14:textId="77777777" w:rsidTr="00CE5AC9">
        <w:trPr>
          <w:trHeight w:val="340"/>
        </w:trPr>
        <w:tc>
          <w:tcPr>
            <w:tcW w:w="1752" w:type="dxa"/>
          </w:tcPr>
          <w:p w14:paraId="762F1CD4" w14:textId="77777777" w:rsidR="007077AC" w:rsidRPr="00027D45" w:rsidRDefault="007077AC" w:rsidP="009677F6">
            <w:pPr>
              <w:pStyle w:val="Normal-noindent"/>
              <w:spacing w:after="60"/>
            </w:pPr>
            <w:r w:rsidRPr="00027D45">
              <w:t>PP</w:t>
            </w:r>
          </w:p>
        </w:tc>
        <w:tc>
          <w:tcPr>
            <w:tcW w:w="6315" w:type="dxa"/>
          </w:tcPr>
          <w:p w14:paraId="0871E2FC" w14:textId="77777777" w:rsidR="007077AC" w:rsidRPr="00027D45" w:rsidRDefault="007077AC" w:rsidP="009677F6">
            <w:pPr>
              <w:pStyle w:val="Normal-noindent"/>
              <w:spacing w:after="60"/>
            </w:pPr>
            <w:r w:rsidRPr="00027D45">
              <w:t>practice point</w:t>
            </w:r>
          </w:p>
        </w:tc>
      </w:tr>
      <w:tr w:rsidR="00805048" w14:paraId="3D06F5D0" w14:textId="77777777" w:rsidTr="00CE5AC9">
        <w:trPr>
          <w:trHeight w:val="340"/>
        </w:trPr>
        <w:tc>
          <w:tcPr>
            <w:tcW w:w="1752" w:type="dxa"/>
          </w:tcPr>
          <w:p w14:paraId="7FD3BBD0" w14:textId="12193485" w:rsidR="00805048" w:rsidRDefault="00805048" w:rsidP="009677F6">
            <w:pPr>
              <w:pStyle w:val="Normal-noindent"/>
              <w:spacing w:after="60"/>
            </w:pPr>
            <w:r>
              <w:t>PSV</w:t>
            </w:r>
          </w:p>
        </w:tc>
        <w:tc>
          <w:tcPr>
            <w:tcW w:w="6315" w:type="dxa"/>
          </w:tcPr>
          <w:p w14:paraId="78D92254" w14:textId="6C008916" w:rsidR="00805048" w:rsidRDefault="00805048" w:rsidP="009677F6">
            <w:pPr>
              <w:pStyle w:val="Normal-noindent"/>
              <w:spacing w:after="60"/>
            </w:pPr>
            <w:r w:rsidRPr="00EC0379">
              <w:t>peak systolic velocity</w:t>
            </w:r>
          </w:p>
        </w:tc>
      </w:tr>
      <w:tr w:rsidR="00805048" w:rsidRPr="00027D45" w14:paraId="50413921" w14:textId="77777777" w:rsidTr="00CE5AC9">
        <w:trPr>
          <w:trHeight w:val="340"/>
        </w:trPr>
        <w:tc>
          <w:tcPr>
            <w:tcW w:w="1752" w:type="dxa"/>
          </w:tcPr>
          <w:p w14:paraId="18516383" w14:textId="77777777" w:rsidR="00805048" w:rsidRPr="00027D45" w:rsidRDefault="00805048" w:rsidP="009677F6">
            <w:pPr>
              <w:pStyle w:val="Normal-noindent"/>
              <w:spacing w:after="60"/>
            </w:pPr>
            <w:r w:rsidRPr="00027D45">
              <w:t>R</w:t>
            </w:r>
          </w:p>
        </w:tc>
        <w:tc>
          <w:tcPr>
            <w:tcW w:w="6315" w:type="dxa"/>
          </w:tcPr>
          <w:p w14:paraId="05635F07" w14:textId="77777777" w:rsidR="00805048" w:rsidRPr="00027D45" w:rsidRDefault="00805048" w:rsidP="009677F6">
            <w:pPr>
              <w:pStyle w:val="Normal-noindent"/>
              <w:spacing w:after="60"/>
            </w:pPr>
            <w:r w:rsidRPr="00027D45">
              <w:t>recommendation</w:t>
            </w:r>
          </w:p>
        </w:tc>
      </w:tr>
      <w:tr w:rsidR="00805048" w:rsidRPr="00027D45" w14:paraId="62D8DF8C" w14:textId="77777777" w:rsidTr="00CE5AC9">
        <w:trPr>
          <w:trHeight w:val="340"/>
        </w:trPr>
        <w:tc>
          <w:tcPr>
            <w:tcW w:w="1752" w:type="dxa"/>
          </w:tcPr>
          <w:p w14:paraId="57C6DBF1" w14:textId="77777777" w:rsidR="00805048" w:rsidRPr="00027D45" w:rsidRDefault="00805048" w:rsidP="009677F6">
            <w:pPr>
              <w:pStyle w:val="Normal-noindent"/>
              <w:spacing w:after="60"/>
            </w:pPr>
            <w:r w:rsidRPr="00027D45">
              <w:t xml:space="preserve">RBC </w:t>
            </w:r>
          </w:p>
        </w:tc>
        <w:tc>
          <w:tcPr>
            <w:tcW w:w="6315" w:type="dxa"/>
          </w:tcPr>
          <w:p w14:paraId="02F096E1" w14:textId="77777777" w:rsidR="00805048" w:rsidRPr="00027D45" w:rsidRDefault="00805048" w:rsidP="009677F6">
            <w:pPr>
              <w:pStyle w:val="Normal-noindent"/>
              <w:spacing w:after="60"/>
            </w:pPr>
            <w:r w:rsidRPr="00027D45">
              <w:t>red blood cell</w:t>
            </w:r>
          </w:p>
        </w:tc>
      </w:tr>
      <w:tr w:rsidR="00805048" w:rsidRPr="00027D45" w14:paraId="60EFCFD0" w14:textId="77777777" w:rsidTr="00CE5AC9">
        <w:trPr>
          <w:trHeight w:val="340"/>
        </w:trPr>
        <w:tc>
          <w:tcPr>
            <w:tcW w:w="1752" w:type="dxa"/>
          </w:tcPr>
          <w:p w14:paraId="3504E557" w14:textId="77777777" w:rsidR="00805048" w:rsidRPr="00027D45" w:rsidRDefault="00805048" w:rsidP="009677F6">
            <w:pPr>
              <w:pStyle w:val="Normal-noindent"/>
              <w:spacing w:after="60"/>
            </w:pPr>
            <w:r w:rsidRPr="00027D45">
              <w:t>RCT</w:t>
            </w:r>
          </w:p>
        </w:tc>
        <w:tc>
          <w:tcPr>
            <w:tcW w:w="6315" w:type="dxa"/>
          </w:tcPr>
          <w:p w14:paraId="17DEFF2B" w14:textId="77777777" w:rsidR="00805048" w:rsidRPr="00027D45" w:rsidRDefault="00805048" w:rsidP="009677F6">
            <w:pPr>
              <w:pStyle w:val="Normal-noindent"/>
              <w:spacing w:after="60"/>
            </w:pPr>
            <w:r w:rsidRPr="00027D45">
              <w:t>randomised controlled trial</w:t>
            </w:r>
          </w:p>
        </w:tc>
      </w:tr>
      <w:tr w:rsidR="00CD7C42" w14:paraId="359BC0BE" w14:textId="77777777" w:rsidTr="00CE5AC9">
        <w:trPr>
          <w:trHeight w:val="340"/>
        </w:trPr>
        <w:tc>
          <w:tcPr>
            <w:tcW w:w="1752" w:type="dxa"/>
          </w:tcPr>
          <w:p w14:paraId="3E2F5656" w14:textId="333DFAA9" w:rsidR="00CD7C42" w:rsidRDefault="00CD7C42" w:rsidP="009677F6">
            <w:pPr>
              <w:pStyle w:val="Normal-noindent"/>
              <w:spacing w:after="60"/>
            </w:pPr>
            <w:r>
              <w:t>RDI</w:t>
            </w:r>
          </w:p>
        </w:tc>
        <w:tc>
          <w:tcPr>
            <w:tcW w:w="6315" w:type="dxa"/>
          </w:tcPr>
          <w:p w14:paraId="390FFE4E" w14:textId="2D6AAE87" w:rsidR="00CD7C42" w:rsidRDefault="00CD7C42" w:rsidP="009677F6">
            <w:pPr>
              <w:pStyle w:val="Normal-noindent"/>
              <w:spacing w:after="60"/>
            </w:pPr>
            <w:r>
              <w:t>recommended daily intake</w:t>
            </w:r>
          </w:p>
        </w:tc>
      </w:tr>
      <w:tr w:rsidR="00805048" w14:paraId="1985D497" w14:textId="77777777" w:rsidTr="00CE5AC9">
        <w:trPr>
          <w:trHeight w:val="340"/>
        </w:trPr>
        <w:tc>
          <w:tcPr>
            <w:tcW w:w="1752" w:type="dxa"/>
          </w:tcPr>
          <w:p w14:paraId="69B6B551" w14:textId="77777777" w:rsidR="00805048" w:rsidRDefault="00805048" w:rsidP="009677F6">
            <w:pPr>
              <w:pStyle w:val="Normal-noindent"/>
              <w:spacing w:after="60"/>
            </w:pPr>
            <w:r>
              <w:t>rFVIIa</w:t>
            </w:r>
          </w:p>
        </w:tc>
        <w:tc>
          <w:tcPr>
            <w:tcW w:w="6315" w:type="dxa"/>
          </w:tcPr>
          <w:p w14:paraId="2156C9BB" w14:textId="77777777" w:rsidR="00805048" w:rsidRDefault="00805048" w:rsidP="009677F6">
            <w:pPr>
              <w:pStyle w:val="Normal-noindent"/>
              <w:spacing w:after="60"/>
            </w:pPr>
            <w:r>
              <w:t>recombinant activated factor VII</w:t>
            </w:r>
          </w:p>
        </w:tc>
      </w:tr>
      <w:tr w:rsidR="00EB2899" w:rsidRPr="0090459D" w14:paraId="6FFCE6E1" w14:textId="77777777" w:rsidTr="00CE5AC9">
        <w:trPr>
          <w:trHeight w:val="340"/>
        </w:trPr>
        <w:tc>
          <w:tcPr>
            <w:tcW w:w="1752" w:type="dxa"/>
          </w:tcPr>
          <w:p w14:paraId="7C41B679" w14:textId="696ECAE9" w:rsidR="00EB2899" w:rsidRDefault="00EB2899" w:rsidP="00EB2899">
            <w:pPr>
              <w:pStyle w:val="Normal-noindent"/>
              <w:spacing w:after="60"/>
            </w:pPr>
            <w:r>
              <w:t>rHuEPO</w:t>
            </w:r>
          </w:p>
        </w:tc>
        <w:tc>
          <w:tcPr>
            <w:tcW w:w="6315" w:type="dxa"/>
          </w:tcPr>
          <w:p w14:paraId="000236CC" w14:textId="0482BCB6" w:rsidR="00EB2899" w:rsidRDefault="00EB2899" w:rsidP="009677F6">
            <w:pPr>
              <w:pStyle w:val="Normal-noindent"/>
              <w:spacing w:after="60"/>
              <w:rPr>
                <w:lang w:eastAsia="en-GB"/>
              </w:rPr>
            </w:pPr>
            <w:r>
              <w:rPr>
                <w:lang w:eastAsia="en-GB"/>
              </w:rPr>
              <w:t>recombinant human erythropoietin</w:t>
            </w:r>
          </w:p>
        </w:tc>
      </w:tr>
      <w:tr w:rsidR="006A116C" w:rsidRPr="00027D45" w14:paraId="58C5FC14" w14:textId="77777777" w:rsidTr="006A116C">
        <w:trPr>
          <w:trHeight w:val="340"/>
        </w:trPr>
        <w:tc>
          <w:tcPr>
            <w:tcW w:w="1752" w:type="dxa"/>
          </w:tcPr>
          <w:p w14:paraId="55BD9C67" w14:textId="77777777" w:rsidR="006A116C" w:rsidRDefault="006A116C" w:rsidP="006A116C">
            <w:pPr>
              <w:pStyle w:val="Normal-noindent"/>
              <w:spacing w:after="60"/>
            </w:pPr>
            <w:r>
              <w:t>RNI</w:t>
            </w:r>
          </w:p>
        </w:tc>
        <w:tc>
          <w:tcPr>
            <w:tcW w:w="6315" w:type="dxa"/>
          </w:tcPr>
          <w:p w14:paraId="6625F21C" w14:textId="77777777" w:rsidR="006A116C" w:rsidRDefault="006A116C" w:rsidP="006A116C">
            <w:pPr>
              <w:pStyle w:val="Normal-noindent"/>
              <w:spacing w:after="60"/>
            </w:pPr>
            <w:r w:rsidRPr="00A21FE4">
              <w:t>recommended nutrient intake</w:t>
            </w:r>
          </w:p>
        </w:tc>
      </w:tr>
      <w:tr w:rsidR="00805048" w:rsidRPr="0090459D" w14:paraId="7F53B7AB" w14:textId="77777777" w:rsidTr="00CE5AC9">
        <w:trPr>
          <w:trHeight w:val="340"/>
        </w:trPr>
        <w:tc>
          <w:tcPr>
            <w:tcW w:w="1752" w:type="dxa"/>
          </w:tcPr>
          <w:p w14:paraId="3E396D89" w14:textId="77777777" w:rsidR="00805048" w:rsidRDefault="00805048" w:rsidP="009677F6">
            <w:pPr>
              <w:pStyle w:val="Normal-noindent"/>
              <w:spacing w:after="60"/>
            </w:pPr>
            <w:r>
              <w:t>ROP</w:t>
            </w:r>
          </w:p>
        </w:tc>
        <w:tc>
          <w:tcPr>
            <w:tcW w:w="6315" w:type="dxa"/>
          </w:tcPr>
          <w:p w14:paraId="3C2C01F4" w14:textId="77777777" w:rsidR="00805048" w:rsidRPr="0090459D" w:rsidRDefault="00805048" w:rsidP="009677F6">
            <w:pPr>
              <w:pStyle w:val="Normal-noindent"/>
              <w:spacing w:after="60"/>
              <w:rPr>
                <w:b/>
              </w:rPr>
            </w:pPr>
            <w:r>
              <w:rPr>
                <w:lang w:eastAsia="en-GB"/>
              </w:rPr>
              <w:t>retinopathy of prematurity</w:t>
            </w:r>
          </w:p>
        </w:tc>
      </w:tr>
      <w:tr w:rsidR="00FC0FDA" w:rsidRPr="00027D45" w14:paraId="13108FE0" w14:textId="77777777" w:rsidTr="00CE5AC9">
        <w:trPr>
          <w:trHeight w:val="340"/>
        </w:trPr>
        <w:tc>
          <w:tcPr>
            <w:tcW w:w="1752" w:type="dxa"/>
          </w:tcPr>
          <w:p w14:paraId="0330ABBD" w14:textId="7D6C4FAD" w:rsidR="00FC0FDA" w:rsidRDefault="00FC0FDA" w:rsidP="009677F6">
            <w:pPr>
              <w:pStyle w:val="Normal-noindent"/>
              <w:spacing w:after="60"/>
            </w:pPr>
            <w:r>
              <w:t>ROTEM</w:t>
            </w:r>
          </w:p>
        </w:tc>
        <w:tc>
          <w:tcPr>
            <w:tcW w:w="6315" w:type="dxa"/>
          </w:tcPr>
          <w:p w14:paraId="7D391CBE" w14:textId="32694863" w:rsidR="00FC0FDA" w:rsidRPr="00A21FE4" w:rsidRDefault="00FC0FDA" w:rsidP="009677F6">
            <w:pPr>
              <w:pStyle w:val="Normal-noindent"/>
              <w:spacing w:after="60"/>
            </w:pPr>
            <w:r>
              <w:t>rotational thromboelastometry</w:t>
            </w:r>
          </w:p>
        </w:tc>
      </w:tr>
      <w:tr w:rsidR="00805048" w14:paraId="4E9A59E5" w14:textId="77777777" w:rsidTr="00CE5AC9">
        <w:trPr>
          <w:trHeight w:val="340"/>
        </w:trPr>
        <w:tc>
          <w:tcPr>
            <w:tcW w:w="1752" w:type="dxa"/>
          </w:tcPr>
          <w:p w14:paraId="697164D8" w14:textId="77777777" w:rsidR="00805048" w:rsidRDefault="00805048" w:rsidP="009677F6">
            <w:pPr>
              <w:pStyle w:val="Normal-noindent"/>
              <w:spacing w:after="60"/>
            </w:pPr>
            <w:r>
              <w:t>SCD</w:t>
            </w:r>
          </w:p>
        </w:tc>
        <w:tc>
          <w:tcPr>
            <w:tcW w:w="6315" w:type="dxa"/>
          </w:tcPr>
          <w:p w14:paraId="3E369261" w14:textId="77777777" w:rsidR="00805048" w:rsidRDefault="00805048" w:rsidP="009677F6">
            <w:pPr>
              <w:pStyle w:val="Normal-noindent"/>
              <w:spacing w:after="60"/>
            </w:pPr>
            <w:r>
              <w:t>sickle cell disease</w:t>
            </w:r>
          </w:p>
        </w:tc>
      </w:tr>
      <w:tr w:rsidR="00805048" w14:paraId="1D85701F" w14:textId="77777777" w:rsidTr="00CE5AC9">
        <w:trPr>
          <w:trHeight w:val="340"/>
        </w:trPr>
        <w:tc>
          <w:tcPr>
            <w:tcW w:w="1752" w:type="dxa"/>
          </w:tcPr>
          <w:p w14:paraId="362AF94E" w14:textId="0D636C93" w:rsidR="00805048" w:rsidRDefault="00805048" w:rsidP="009677F6">
            <w:pPr>
              <w:pStyle w:val="Normal-noindent"/>
              <w:spacing w:after="60"/>
            </w:pPr>
            <w:r>
              <w:t>SCID</w:t>
            </w:r>
          </w:p>
        </w:tc>
        <w:tc>
          <w:tcPr>
            <w:tcW w:w="6315" w:type="dxa"/>
          </w:tcPr>
          <w:p w14:paraId="29AAEE51" w14:textId="3A48F77A" w:rsidR="00805048" w:rsidRDefault="00805048" w:rsidP="009677F6">
            <w:pPr>
              <w:pStyle w:val="Normal-noindent"/>
              <w:spacing w:after="60"/>
            </w:pPr>
            <w:r>
              <w:t>severe combined immunodeficiency</w:t>
            </w:r>
          </w:p>
        </w:tc>
      </w:tr>
      <w:tr w:rsidR="00805048" w:rsidRPr="00027D45" w14:paraId="582BC7A8" w14:textId="77777777" w:rsidTr="00CE5AC9">
        <w:trPr>
          <w:trHeight w:val="340"/>
        </w:trPr>
        <w:tc>
          <w:tcPr>
            <w:tcW w:w="1752" w:type="dxa"/>
          </w:tcPr>
          <w:p w14:paraId="59F30990" w14:textId="77777777" w:rsidR="00805048" w:rsidRPr="00027D45" w:rsidRDefault="00805048" w:rsidP="009677F6">
            <w:pPr>
              <w:pStyle w:val="Normal-noindent"/>
              <w:spacing w:after="60"/>
            </w:pPr>
            <w:r>
              <w:t>TACO</w:t>
            </w:r>
          </w:p>
        </w:tc>
        <w:tc>
          <w:tcPr>
            <w:tcW w:w="6315" w:type="dxa"/>
          </w:tcPr>
          <w:p w14:paraId="5BC2B878" w14:textId="7C58ECEC" w:rsidR="00805048" w:rsidRPr="00027D45" w:rsidRDefault="00805048" w:rsidP="00091FD5">
            <w:pPr>
              <w:pStyle w:val="Normal-noindent"/>
              <w:spacing w:after="60"/>
            </w:pPr>
            <w:r>
              <w:t>transfusion-</w:t>
            </w:r>
            <w:r w:rsidR="00FC0FDA">
              <w:t>associated</w:t>
            </w:r>
            <w:r>
              <w:t xml:space="preserve"> circulatory overload </w:t>
            </w:r>
          </w:p>
        </w:tc>
      </w:tr>
      <w:tr w:rsidR="00805048" w:rsidRPr="00381236" w14:paraId="1955E210" w14:textId="77777777" w:rsidTr="00CE5AC9">
        <w:trPr>
          <w:trHeight w:val="340"/>
        </w:trPr>
        <w:tc>
          <w:tcPr>
            <w:tcW w:w="1752" w:type="dxa"/>
          </w:tcPr>
          <w:p w14:paraId="1C4F579F" w14:textId="523AD665" w:rsidR="00805048" w:rsidRDefault="00805048" w:rsidP="009677F6">
            <w:pPr>
              <w:pStyle w:val="Normal-noindent"/>
              <w:spacing w:after="60"/>
            </w:pPr>
            <w:r>
              <w:t>TAGVHD</w:t>
            </w:r>
          </w:p>
        </w:tc>
        <w:tc>
          <w:tcPr>
            <w:tcW w:w="6315" w:type="dxa"/>
          </w:tcPr>
          <w:p w14:paraId="2AE11E58" w14:textId="476AB37D" w:rsidR="00805048" w:rsidRPr="00EB4620" w:rsidRDefault="00805048" w:rsidP="009677F6">
            <w:pPr>
              <w:pStyle w:val="Normal-noindent"/>
              <w:spacing w:after="60"/>
            </w:pPr>
            <w:r>
              <w:t>transfusion-associated graft-versus-host disease</w:t>
            </w:r>
          </w:p>
        </w:tc>
      </w:tr>
      <w:tr w:rsidR="00805048" w:rsidRPr="00381236" w14:paraId="5758FDBC" w14:textId="77777777" w:rsidTr="00CE5AC9">
        <w:trPr>
          <w:trHeight w:val="340"/>
        </w:trPr>
        <w:tc>
          <w:tcPr>
            <w:tcW w:w="1752" w:type="dxa"/>
          </w:tcPr>
          <w:p w14:paraId="22975FBC" w14:textId="77777777" w:rsidR="00805048" w:rsidRDefault="00805048" w:rsidP="009677F6">
            <w:pPr>
              <w:pStyle w:val="Normal-noindent"/>
              <w:spacing w:after="60"/>
            </w:pPr>
            <w:r>
              <w:t>TCD</w:t>
            </w:r>
          </w:p>
        </w:tc>
        <w:tc>
          <w:tcPr>
            <w:tcW w:w="6315" w:type="dxa"/>
          </w:tcPr>
          <w:p w14:paraId="244071C3" w14:textId="77777777" w:rsidR="00805048" w:rsidRPr="00381236" w:rsidRDefault="00805048" w:rsidP="009677F6">
            <w:pPr>
              <w:pStyle w:val="Normal-noindent"/>
              <w:spacing w:after="60"/>
              <w:rPr>
                <w:vertAlign w:val="subscript"/>
              </w:rPr>
            </w:pPr>
            <w:r w:rsidRPr="00EB4620">
              <w:t>transcranial Doppler</w:t>
            </w:r>
          </w:p>
        </w:tc>
      </w:tr>
      <w:tr w:rsidR="00FC0FDA" w:rsidRPr="00027D45" w14:paraId="30A099FA" w14:textId="77777777" w:rsidTr="00CE5AC9">
        <w:trPr>
          <w:trHeight w:val="340"/>
        </w:trPr>
        <w:tc>
          <w:tcPr>
            <w:tcW w:w="1752" w:type="dxa"/>
          </w:tcPr>
          <w:p w14:paraId="6DAB02F4" w14:textId="770FD382" w:rsidR="00FC0FDA" w:rsidRPr="00027D45" w:rsidRDefault="00FC0FDA" w:rsidP="009677F6">
            <w:pPr>
              <w:pStyle w:val="Normal-noindent"/>
              <w:spacing w:after="60"/>
            </w:pPr>
            <w:r>
              <w:lastRenderedPageBreak/>
              <w:t>TEG</w:t>
            </w:r>
          </w:p>
        </w:tc>
        <w:tc>
          <w:tcPr>
            <w:tcW w:w="6315" w:type="dxa"/>
          </w:tcPr>
          <w:p w14:paraId="549D4659" w14:textId="35321D1C" w:rsidR="00FC0FDA" w:rsidRPr="00027D45" w:rsidRDefault="00FC0FDA" w:rsidP="009677F6">
            <w:pPr>
              <w:pStyle w:val="Normal-noindent"/>
              <w:spacing w:after="60"/>
            </w:pPr>
            <w:r>
              <w:t>thromboelastography</w:t>
            </w:r>
          </w:p>
        </w:tc>
      </w:tr>
      <w:tr w:rsidR="00805048" w:rsidRPr="00027D45" w14:paraId="1A0ADE26" w14:textId="77777777" w:rsidTr="00CE5AC9">
        <w:trPr>
          <w:trHeight w:val="340"/>
        </w:trPr>
        <w:tc>
          <w:tcPr>
            <w:tcW w:w="1752" w:type="dxa"/>
          </w:tcPr>
          <w:p w14:paraId="0C0B0279" w14:textId="77777777" w:rsidR="00805048" w:rsidRPr="00027D45" w:rsidRDefault="00805048" w:rsidP="009677F6">
            <w:pPr>
              <w:pStyle w:val="Normal-noindent"/>
              <w:spacing w:after="60"/>
            </w:pPr>
            <w:r w:rsidRPr="00027D45">
              <w:t>TGA</w:t>
            </w:r>
          </w:p>
        </w:tc>
        <w:tc>
          <w:tcPr>
            <w:tcW w:w="6315" w:type="dxa"/>
          </w:tcPr>
          <w:p w14:paraId="1D6A8206" w14:textId="77777777" w:rsidR="00805048" w:rsidRPr="00027D45" w:rsidRDefault="00805048" w:rsidP="009677F6">
            <w:pPr>
              <w:pStyle w:val="Normal-noindent"/>
              <w:spacing w:after="60"/>
            </w:pPr>
            <w:r w:rsidRPr="00027D45">
              <w:t>Therapeutic Goods Administration</w:t>
            </w:r>
          </w:p>
        </w:tc>
      </w:tr>
      <w:tr w:rsidR="009677F6" w:rsidRPr="00027D45" w14:paraId="306FDC06" w14:textId="77777777" w:rsidTr="00CE5AC9">
        <w:trPr>
          <w:trHeight w:val="340"/>
        </w:trPr>
        <w:tc>
          <w:tcPr>
            <w:tcW w:w="1752" w:type="dxa"/>
          </w:tcPr>
          <w:p w14:paraId="3EC9B47F" w14:textId="3D71690C" w:rsidR="009677F6" w:rsidRDefault="009677F6" w:rsidP="009677F6">
            <w:pPr>
              <w:pStyle w:val="Normal-noindent"/>
              <w:spacing w:after="60"/>
            </w:pPr>
            <w:r>
              <w:t>THA</w:t>
            </w:r>
          </w:p>
        </w:tc>
        <w:tc>
          <w:tcPr>
            <w:tcW w:w="6315" w:type="dxa"/>
          </w:tcPr>
          <w:p w14:paraId="5B1E31F8" w14:textId="42D7D8E9" w:rsidR="009677F6" w:rsidRDefault="009677F6" w:rsidP="009677F6">
            <w:pPr>
              <w:pStyle w:val="Normal-noindent"/>
              <w:spacing w:after="60"/>
            </w:pPr>
            <w:r>
              <w:rPr>
                <w:rFonts w:cs="Calibri"/>
              </w:rPr>
              <w:t>t</w:t>
            </w:r>
            <w:r w:rsidRPr="002D03DF">
              <w:rPr>
                <w:rFonts w:cs="Calibri"/>
              </w:rPr>
              <w:t>opical haemostatic agent</w:t>
            </w:r>
          </w:p>
        </w:tc>
      </w:tr>
      <w:tr w:rsidR="009677F6" w:rsidRPr="00027D45" w14:paraId="6EF27A44" w14:textId="77777777" w:rsidTr="00CE5AC9">
        <w:trPr>
          <w:trHeight w:val="340"/>
        </w:trPr>
        <w:tc>
          <w:tcPr>
            <w:tcW w:w="1752" w:type="dxa"/>
          </w:tcPr>
          <w:p w14:paraId="2DF91399" w14:textId="77777777" w:rsidR="009677F6" w:rsidRPr="00027D45" w:rsidRDefault="009677F6" w:rsidP="009677F6">
            <w:pPr>
              <w:pStyle w:val="Normal-noindent"/>
              <w:spacing w:after="60"/>
            </w:pPr>
            <w:r>
              <w:t>TRALI</w:t>
            </w:r>
          </w:p>
        </w:tc>
        <w:tc>
          <w:tcPr>
            <w:tcW w:w="6315" w:type="dxa"/>
          </w:tcPr>
          <w:p w14:paraId="4771AC79" w14:textId="77777777" w:rsidR="009677F6" w:rsidRPr="00027D45" w:rsidRDefault="009677F6" w:rsidP="009677F6">
            <w:pPr>
              <w:pStyle w:val="Normal-noindent"/>
              <w:spacing w:after="60"/>
            </w:pPr>
            <w:r>
              <w:t xml:space="preserve">transfusion-related acute lung injury </w:t>
            </w:r>
          </w:p>
        </w:tc>
      </w:tr>
      <w:tr w:rsidR="00EB2899" w14:paraId="500631A3" w14:textId="77777777" w:rsidTr="00CE5AC9">
        <w:trPr>
          <w:trHeight w:val="340"/>
        </w:trPr>
        <w:tc>
          <w:tcPr>
            <w:tcW w:w="1752" w:type="dxa"/>
          </w:tcPr>
          <w:p w14:paraId="0061B24F" w14:textId="18AB12A2" w:rsidR="00EB2899" w:rsidRDefault="00EB2899" w:rsidP="009677F6">
            <w:pPr>
              <w:pStyle w:val="Normal-noindent"/>
              <w:spacing w:after="60"/>
            </w:pPr>
            <w:r>
              <w:t>TWiTCH</w:t>
            </w:r>
          </w:p>
        </w:tc>
        <w:tc>
          <w:tcPr>
            <w:tcW w:w="6315" w:type="dxa"/>
          </w:tcPr>
          <w:p w14:paraId="3F022304" w14:textId="02F1AA87" w:rsidR="00EB2899" w:rsidRDefault="00EB2899" w:rsidP="009677F6">
            <w:pPr>
              <w:pStyle w:val="Normal-noindent"/>
              <w:spacing w:after="60"/>
            </w:pPr>
            <w:r w:rsidRPr="00EB2899">
              <w:t>TCD With Transfusions Changing to Hydroxyurea</w:t>
            </w:r>
            <w:r>
              <w:rPr>
                <w:rFonts w:ascii="Segoe UI" w:eastAsia="MS Mincho" w:hAnsi="Segoe UI" w:cs="Segoe UI"/>
                <w:color w:val="auto"/>
                <w:sz w:val="18"/>
                <w:szCs w:val="18"/>
              </w:rPr>
              <w:t xml:space="preserve"> </w:t>
            </w:r>
          </w:p>
        </w:tc>
      </w:tr>
      <w:tr w:rsidR="006A116C" w14:paraId="2876969E" w14:textId="77777777" w:rsidTr="00CE5AC9">
        <w:trPr>
          <w:trHeight w:val="340"/>
        </w:trPr>
        <w:tc>
          <w:tcPr>
            <w:tcW w:w="1752" w:type="dxa"/>
          </w:tcPr>
          <w:p w14:paraId="25EB9FB1" w14:textId="129125DB" w:rsidR="006A116C" w:rsidRDefault="006A116C" w:rsidP="009677F6">
            <w:pPr>
              <w:pStyle w:val="Normal-noindent"/>
              <w:spacing w:after="60"/>
            </w:pPr>
            <w:r>
              <w:t>TXA</w:t>
            </w:r>
          </w:p>
        </w:tc>
        <w:tc>
          <w:tcPr>
            <w:tcW w:w="6315" w:type="dxa"/>
          </w:tcPr>
          <w:p w14:paraId="5B5A0B76" w14:textId="6244543F" w:rsidR="006A116C" w:rsidRDefault="006A116C" w:rsidP="009677F6">
            <w:pPr>
              <w:pStyle w:val="Normal-noindent"/>
              <w:spacing w:after="60"/>
            </w:pPr>
            <w:r>
              <w:t>tranexamic acid</w:t>
            </w:r>
          </w:p>
        </w:tc>
      </w:tr>
      <w:tr w:rsidR="009677F6" w14:paraId="09205B40" w14:textId="77777777" w:rsidTr="00CE5AC9">
        <w:trPr>
          <w:trHeight w:val="340"/>
        </w:trPr>
        <w:tc>
          <w:tcPr>
            <w:tcW w:w="1752" w:type="dxa"/>
          </w:tcPr>
          <w:p w14:paraId="75BA60B3" w14:textId="5BE1F081" w:rsidR="009677F6" w:rsidRDefault="009677F6" w:rsidP="009677F6">
            <w:pPr>
              <w:pStyle w:val="Normal-noindent"/>
              <w:spacing w:after="60"/>
            </w:pPr>
            <w:r>
              <w:t>UK</w:t>
            </w:r>
          </w:p>
        </w:tc>
        <w:tc>
          <w:tcPr>
            <w:tcW w:w="6315" w:type="dxa"/>
          </w:tcPr>
          <w:p w14:paraId="0A1CACDD" w14:textId="05D47CE7" w:rsidR="009677F6" w:rsidRDefault="009677F6" w:rsidP="009677F6">
            <w:pPr>
              <w:pStyle w:val="Normal-noindent"/>
              <w:spacing w:after="60"/>
            </w:pPr>
            <w:r>
              <w:t xml:space="preserve">United Kingdom </w:t>
            </w:r>
          </w:p>
        </w:tc>
      </w:tr>
      <w:tr w:rsidR="009677F6" w14:paraId="4ED031B1" w14:textId="77777777" w:rsidTr="00CE5AC9">
        <w:trPr>
          <w:trHeight w:val="340"/>
        </w:trPr>
        <w:tc>
          <w:tcPr>
            <w:tcW w:w="1752" w:type="dxa"/>
          </w:tcPr>
          <w:p w14:paraId="4DF07CE8" w14:textId="43C85CF2" w:rsidR="009677F6" w:rsidRDefault="009677F6" w:rsidP="009677F6">
            <w:pPr>
              <w:pStyle w:val="Normal-noindent"/>
              <w:spacing w:after="60"/>
            </w:pPr>
            <w:r>
              <w:t>USA</w:t>
            </w:r>
          </w:p>
        </w:tc>
        <w:tc>
          <w:tcPr>
            <w:tcW w:w="6315" w:type="dxa"/>
          </w:tcPr>
          <w:p w14:paraId="1DF4AE52" w14:textId="78A27E23" w:rsidR="009677F6" w:rsidRDefault="009677F6" w:rsidP="009677F6">
            <w:pPr>
              <w:pStyle w:val="Normal-noindent"/>
              <w:spacing w:after="60"/>
            </w:pPr>
            <w:r>
              <w:t>United States of America</w:t>
            </w:r>
          </w:p>
        </w:tc>
      </w:tr>
      <w:tr w:rsidR="009677F6" w14:paraId="6598BDCB" w14:textId="77777777" w:rsidTr="00CE5AC9">
        <w:trPr>
          <w:trHeight w:val="340"/>
        </w:trPr>
        <w:tc>
          <w:tcPr>
            <w:tcW w:w="1752" w:type="dxa"/>
          </w:tcPr>
          <w:p w14:paraId="3414C7AC" w14:textId="0CCDF6D6" w:rsidR="009677F6" w:rsidRDefault="009677F6" w:rsidP="009677F6">
            <w:pPr>
              <w:pStyle w:val="Normal-noindent"/>
              <w:spacing w:after="60"/>
            </w:pPr>
            <w:r>
              <w:t>VKA</w:t>
            </w:r>
          </w:p>
        </w:tc>
        <w:tc>
          <w:tcPr>
            <w:tcW w:w="6315" w:type="dxa"/>
          </w:tcPr>
          <w:p w14:paraId="1C3CDA8B" w14:textId="5483156E" w:rsidR="009677F6" w:rsidRDefault="009677F6" w:rsidP="009677F6">
            <w:pPr>
              <w:pStyle w:val="Normal-noindent"/>
              <w:spacing w:after="60"/>
            </w:pPr>
            <w:r>
              <w:t>vitamin K antagonist</w:t>
            </w:r>
          </w:p>
        </w:tc>
      </w:tr>
    </w:tbl>
    <w:p w14:paraId="23511FC3" w14:textId="77777777" w:rsidR="00725009" w:rsidRDefault="00725009" w:rsidP="00464555">
      <w:pPr>
        <w:pStyle w:val="Heading1a"/>
        <w:sectPr w:rsidR="00725009" w:rsidSect="00040473">
          <w:headerReference w:type="even" r:id="rId21"/>
          <w:headerReference w:type="default" r:id="rId22"/>
          <w:footerReference w:type="default" r:id="rId23"/>
          <w:headerReference w:type="first" r:id="rId24"/>
          <w:footerReference w:type="first" r:id="rId25"/>
          <w:footnotePr>
            <w:numFmt w:val="lowerLetter"/>
          </w:footnotePr>
          <w:pgSz w:w="11906" w:h="16838" w:code="9"/>
          <w:pgMar w:top="1440" w:right="1440" w:bottom="1440" w:left="1440" w:header="578" w:footer="578" w:gutter="0"/>
          <w:pgNumType w:fmt="lowerRoman" w:start="1"/>
          <w:cols w:space="720"/>
          <w:docGrid w:linePitch="360"/>
        </w:sectPr>
      </w:pPr>
    </w:p>
    <w:p w14:paraId="7A3C414C" w14:textId="77777777" w:rsidR="00464555" w:rsidRDefault="00464555" w:rsidP="00464555">
      <w:pPr>
        <w:pStyle w:val="Heading1a"/>
      </w:pPr>
      <w:r>
        <w:lastRenderedPageBreak/>
        <w:t>Contents</w:t>
      </w:r>
    </w:p>
    <w:p w14:paraId="0C7D4B9F" w14:textId="77777777" w:rsidR="003F176A" w:rsidRDefault="00BA2CE4">
      <w:pPr>
        <w:pStyle w:val="TOC1"/>
        <w:rPr>
          <w:rFonts w:asciiTheme="minorHAnsi" w:eastAsiaTheme="minorEastAsia" w:hAnsiTheme="minorHAnsi" w:cstheme="minorBidi"/>
          <w:b w:val="0"/>
          <w:bCs w:val="0"/>
          <w:color w:val="auto"/>
        </w:rPr>
      </w:pPr>
      <w:r>
        <w:fldChar w:fldCharType="begin"/>
      </w:r>
      <w:r w:rsidR="00464555">
        <w:instrText xml:space="preserve"> TOC \o "1-3" \t "PartTitle,1" </w:instrText>
      </w:r>
      <w:r>
        <w:fldChar w:fldCharType="separate"/>
      </w:r>
      <w:r w:rsidR="003F176A">
        <w:t>Abbreviations and acronyms</w:t>
      </w:r>
      <w:r w:rsidR="003F176A">
        <w:tab/>
      </w:r>
      <w:r w:rsidR="003F176A">
        <w:fldChar w:fldCharType="begin"/>
      </w:r>
      <w:r w:rsidR="003F176A">
        <w:instrText xml:space="preserve"> PAGEREF _Toc427851291 \h </w:instrText>
      </w:r>
      <w:r w:rsidR="003F176A">
        <w:fldChar w:fldCharType="separate"/>
      </w:r>
      <w:r w:rsidR="003F176A">
        <w:t>i</w:t>
      </w:r>
      <w:r w:rsidR="003F176A">
        <w:fldChar w:fldCharType="end"/>
      </w:r>
    </w:p>
    <w:p w14:paraId="3DCAC3D7" w14:textId="77777777" w:rsidR="003F176A" w:rsidRDefault="003F176A">
      <w:pPr>
        <w:pStyle w:val="TOC1"/>
        <w:rPr>
          <w:rFonts w:asciiTheme="minorHAnsi" w:eastAsiaTheme="minorEastAsia" w:hAnsiTheme="minorHAnsi" w:cstheme="minorBidi"/>
          <w:b w:val="0"/>
          <w:bCs w:val="0"/>
          <w:color w:val="auto"/>
        </w:rPr>
      </w:pPr>
      <w:r>
        <w:t>Plain English summary</w:t>
      </w:r>
      <w:r>
        <w:tab/>
      </w:r>
      <w:r>
        <w:fldChar w:fldCharType="begin"/>
      </w:r>
      <w:r>
        <w:instrText xml:space="preserve"> PAGEREF _Toc427851292 \h </w:instrText>
      </w:r>
      <w:r>
        <w:fldChar w:fldCharType="separate"/>
      </w:r>
      <w:r>
        <w:t>1</w:t>
      </w:r>
      <w:r>
        <w:fldChar w:fldCharType="end"/>
      </w:r>
    </w:p>
    <w:p w14:paraId="26C7E7F9" w14:textId="77777777" w:rsidR="003F176A" w:rsidRDefault="003F176A">
      <w:pPr>
        <w:pStyle w:val="TOC2"/>
        <w:rPr>
          <w:rFonts w:asciiTheme="minorHAnsi" w:eastAsiaTheme="minorEastAsia" w:hAnsiTheme="minorHAnsi" w:cstheme="minorBidi"/>
          <w:noProof/>
          <w:color w:val="auto"/>
        </w:rPr>
      </w:pPr>
      <w:r>
        <w:rPr>
          <w:noProof/>
        </w:rPr>
        <w:t>Summary of recommendations, practice points and expert opinion points</w:t>
      </w:r>
      <w:r>
        <w:rPr>
          <w:noProof/>
        </w:rPr>
        <w:tab/>
      </w:r>
      <w:r>
        <w:rPr>
          <w:noProof/>
        </w:rPr>
        <w:fldChar w:fldCharType="begin"/>
      </w:r>
      <w:r>
        <w:rPr>
          <w:noProof/>
        </w:rPr>
        <w:instrText xml:space="preserve"> PAGEREF _Toc427851293 \h </w:instrText>
      </w:r>
      <w:r>
        <w:rPr>
          <w:noProof/>
        </w:rPr>
      </w:r>
      <w:r>
        <w:rPr>
          <w:noProof/>
        </w:rPr>
        <w:fldChar w:fldCharType="separate"/>
      </w:r>
      <w:r>
        <w:rPr>
          <w:noProof/>
        </w:rPr>
        <w:t>2</w:t>
      </w:r>
      <w:r>
        <w:rPr>
          <w:noProof/>
        </w:rPr>
        <w:fldChar w:fldCharType="end"/>
      </w:r>
    </w:p>
    <w:p w14:paraId="5E1AFF44" w14:textId="77777777" w:rsidR="003F176A" w:rsidRDefault="003F176A">
      <w:pPr>
        <w:pStyle w:val="TOC1"/>
        <w:rPr>
          <w:rFonts w:asciiTheme="minorHAnsi" w:eastAsiaTheme="minorEastAsia" w:hAnsiTheme="minorHAnsi" w:cstheme="minorBidi"/>
          <w:b w:val="0"/>
          <w:bCs w:val="0"/>
          <w:color w:val="auto"/>
        </w:rPr>
      </w:pPr>
      <w:r>
        <w:t>1</w:t>
      </w:r>
      <w:r>
        <w:rPr>
          <w:rFonts w:asciiTheme="minorHAnsi" w:eastAsiaTheme="minorEastAsia" w:hAnsiTheme="minorHAnsi" w:cstheme="minorBidi"/>
          <w:b w:val="0"/>
          <w:bCs w:val="0"/>
          <w:color w:val="auto"/>
        </w:rPr>
        <w:tab/>
      </w:r>
      <w:r>
        <w:t>Introduction</w:t>
      </w:r>
      <w:r>
        <w:tab/>
      </w:r>
      <w:r>
        <w:fldChar w:fldCharType="begin"/>
      </w:r>
      <w:r>
        <w:instrText xml:space="preserve"> PAGEREF _Toc427851294 \h </w:instrText>
      </w:r>
      <w:r>
        <w:fldChar w:fldCharType="separate"/>
      </w:r>
      <w:r>
        <w:t>15</w:t>
      </w:r>
      <w:r>
        <w:fldChar w:fldCharType="end"/>
      </w:r>
    </w:p>
    <w:p w14:paraId="4CBFBC4D" w14:textId="77777777" w:rsidR="003F176A" w:rsidRDefault="003F176A">
      <w:pPr>
        <w:pStyle w:val="TOC2"/>
        <w:rPr>
          <w:rFonts w:asciiTheme="minorHAnsi" w:eastAsiaTheme="minorEastAsia" w:hAnsiTheme="minorHAnsi" w:cstheme="minorBidi"/>
          <w:noProof/>
          <w:color w:val="auto"/>
        </w:rPr>
      </w:pPr>
      <w:r>
        <w:rPr>
          <w:noProof/>
        </w:rPr>
        <w:t>1.1</w:t>
      </w:r>
      <w:r>
        <w:rPr>
          <w:rFonts w:asciiTheme="minorHAnsi" w:eastAsiaTheme="minorEastAsia" w:hAnsiTheme="minorHAnsi" w:cstheme="minorBidi"/>
          <w:noProof/>
          <w:color w:val="auto"/>
        </w:rPr>
        <w:tab/>
      </w:r>
      <w:r>
        <w:rPr>
          <w:noProof/>
        </w:rPr>
        <w:t>Development of the guidelines</w:t>
      </w:r>
      <w:r>
        <w:rPr>
          <w:noProof/>
        </w:rPr>
        <w:tab/>
      </w:r>
      <w:r>
        <w:rPr>
          <w:noProof/>
        </w:rPr>
        <w:fldChar w:fldCharType="begin"/>
      </w:r>
      <w:r>
        <w:rPr>
          <w:noProof/>
        </w:rPr>
        <w:instrText xml:space="preserve"> PAGEREF _Toc427851295 \h </w:instrText>
      </w:r>
      <w:r>
        <w:rPr>
          <w:noProof/>
        </w:rPr>
      </w:r>
      <w:r>
        <w:rPr>
          <w:noProof/>
        </w:rPr>
        <w:fldChar w:fldCharType="separate"/>
      </w:r>
      <w:r>
        <w:rPr>
          <w:noProof/>
        </w:rPr>
        <w:t>15</w:t>
      </w:r>
      <w:r>
        <w:rPr>
          <w:noProof/>
        </w:rPr>
        <w:fldChar w:fldCharType="end"/>
      </w:r>
    </w:p>
    <w:p w14:paraId="72A7C5B0" w14:textId="77777777" w:rsidR="003F176A" w:rsidRDefault="003F176A">
      <w:pPr>
        <w:pStyle w:val="TOC3"/>
        <w:rPr>
          <w:rFonts w:asciiTheme="minorHAnsi" w:eastAsiaTheme="minorEastAsia" w:hAnsiTheme="minorHAnsi" w:cstheme="minorBidi"/>
          <w:noProof/>
          <w:color w:val="auto"/>
        </w:rPr>
      </w:pPr>
      <w:r w:rsidRPr="008363E8">
        <w:rPr>
          <w:noProof/>
          <w:lang w:val="en-US"/>
        </w:rPr>
        <w:t>1.1.1</w:t>
      </w:r>
      <w:r>
        <w:rPr>
          <w:rFonts w:asciiTheme="minorHAnsi" w:eastAsiaTheme="minorEastAsia" w:hAnsiTheme="minorHAnsi" w:cstheme="minorBidi"/>
          <w:noProof/>
          <w:color w:val="auto"/>
        </w:rPr>
        <w:tab/>
      </w:r>
      <w:r>
        <w:rPr>
          <w:noProof/>
        </w:rPr>
        <w:t>Clinical need for these guidelines</w:t>
      </w:r>
      <w:r>
        <w:rPr>
          <w:noProof/>
        </w:rPr>
        <w:tab/>
      </w:r>
      <w:r>
        <w:rPr>
          <w:noProof/>
        </w:rPr>
        <w:fldChar w:fldCharType="begin"/>
      </w:r>
      <w:r>
        <w:rPr>
          <w:noProof/>
        </w:rPr>
        <w:instrText xml:space="preserve"> PAGEREF _Toc427851296 \h </w:instrText>
      </w:r>
      <w:r>
        <w:rPr>
          <w:noProof/>
        </w:rPr>
      </w:r>
      <w:r>
        <w:rPr>
          <w:noProof/>
        </w:rPr>
        <w:fldChar w:fldCharType="separate"/>
      </w:r>
      <w:r>
        <w:rPr>
          <w:noProof/>
        </w:rPr>
        <w:t>15</w:t>
      </w:r>
      <w:r>
        <w:rPr>
          <w:noProof/>
        </w:rPr>
        <w:fldChar w:fldCharType="end"/>
      </w:r>
    </w:p>
    <w:p w14:paraId="2957EA79" w14:textId="77777777" w:rsidR="003F176A" w:rsidRDefault="003F176A">
      <w:pPr>
        <w:pStyle w:val="TOC2"/>
        <w:rPr>
          <w:rFonts w:asciiTheme="minorHAnsi" w:eastAsiaTheme="minorEastAsia" w:hAnsiTheme="minorHAnsi" w:cstheme="minorBidi"/>
          <w:noProof/>
          <w:color w:val="auto"/>
        </w:rPr>
      </w:pPr>
      <w:r>
        <w:rPr>
          <w:noProof/>
        </w:rPr>
        <w:t>1.</w:t>
      </w:r>
      <w:r w:rsidRPr="008363E8">
        <w:rPr>
          <w:noProof/>
          <w:lang w:val="en-US"/>
        </w:rPr>
        <w:t>2</w:t>
      </w:r>
      <w:r>
        <w:rPr>
          <w:rFonts w:asciiTheme="minorHAnsi" w:eastAsiaTheme="minorEastAsia" w:hAnsiTheme="minorHAnsi" w:cstheme="minorBidi"/>
          <w:noProof/>
          <w:color w:val="auto"/>
        </w:rPr>
        <w:tab/>
      </w:r>
      <w:r>
        <w:rPr>
          <w:noProof/>
        </w:rPr>
        <w:t>Structure of the document and related materials</w:t>
      </w:r>
      <w:r>
        <w:rPr>
          <w:noProof/>
        </w:rPr>
        <w:tab/>
      </w:r>
      <w:r>
        <w:rPr>
          <w:noProof/>
        </w:rPr>
        <w:fldChar w:fldCharType="begin"/>
      </w:r>
      <w:r>
        <w:rPr>
          <w:noProof/>
        </w:rPr>
        <w:instrText xml:space="preserve"> PAGEREF _Toc427851297 \h </w:instrText>
      </w:r>
      <w:r>
        <w:rPr>
          <w:noProof/>
        </w:rPr>
      </w:r>
      <w:r>
        <w:rPr>
          <w:noProof/>
        </w:rPr>
        <w:fldChar w:fldCharType="separate"/>
      </w:r>
      <w:r>
        <w:rPr>
          <w:noProof/>
        </w:rPr>
        <w:t>16</w:t>
      </w:r>
      <w:r>
        <w:rPr>
          <w:noProof/>
        </w:rPr>
        <w:fldChar w:fldCharType="end"/>
      </w:r>
    </w:p>
    <w:p w14:paraId="2CCAEF69" w14:textId="77777777" w:rsidR="003F176A" w:rsidRDefault="003F176A">
      <w:pPr>
        <w:pStyle w:val="TOC3"/>
        <w:rPr>
          <w:rFonts w:asciiTheme="minorHAnsi" w:eastAsiaTheme="minorEastAsia" w:hAnsiTheme="minorHAnsi" w:cstheme="minorBidi"/>
          <w:noProof/>
          <w:color w:val="auto"/>
        </w:rPr>
      </w:pPr>
      <w:r>
        <w:rPr>
          <w:noProof/>
        </w:rPr>
        <w:t>1.</w:t>
      </w:r>
      <w:r w:rsidRPr="008363E8">
        <w:rPr>
          <w:noProof/>
          <w:lang w:val="en-US"/>
        </w:rPr>
        <w:t>2</w:t>
      </w:r>
      <w:r>
        <w:rPr>
          <w:noProof/>
        </w:rPr>
        <w:t>.1</w:t>
      </w:r>
      <w:r>
        <w:rPr>
          <w:rFonts w:asciiTheme="minorHAnsi" w:eastAsiaTheme="minorEastAsia" w:hAnsiTheme="minorHAnsi" w:cstheme="minorBidi"/>
          <w:noProof/>
          <w:color w:val="auto"/>
        </w:rPr>
        <w:tab/>
      </w:r>
      <w:r>
        <w:rPr>
          <w:noProof/>
        </w:rPr>
        <w:t>The document</w:t>
      </w:r>
      <w:r>
        <w:rPr>
          <w:noProof/>
        </w:rPr>
        <w:tab/>
      </w:r>
      <w:r>
        <w:rPr>
          <w:noProof/>
        </w:rPr>
        <w:fldChar w:fldCharType="begin"/>
      </w:r>
      <w:r>
        <w:rPr>
          <w:noProof/>
        </w:rPr>
        <w:instrText xml:space="preserve"> PAGEREF _Toc427851298 \h </w:instrText>
      </w:r>
      <w:r>
        <w:rPr>
          <w:noProof/>
        </w:rPr>
      </w:r>
      <w:r>
        <w:rPr>
          <w:noProof/>
        </w:rPr>
        <w:fldChar w:fldCharType="separate"/>
      </w:r>
      <w:r>
        <w:rPr>
          <w:noProof/>
        </w:rPr>
        <w:t>16</w:t>
      </w:r>
      <w:r>
        <w:rPr>
          <w:noProof/>
        </w:rPr>
        <w:fldChar w:fldCharType="end"/>
      </w:r>
    </w:p>
    <w:p w14:paraId="004F659E" w14:textId="77777777" w:rsidR="003F176A" w:rsidRDefault="003F176A">
      <w:pPr>
        <w:pStyle w:val="TOC3"/>
        <w:rPr>
          <w:rFonts w:asciiTheme="minorHAnsi" w:eastAsiaTheme="minorEastAsia" w:hAnsiTheme="minorHAnsi" w:cstheme="minorBidi"/>
          <w:noProof/>
          <w:color w:val="auto"/>
        </w:rPr>
      </w:pPr>
      <w:r>
        <w:rPr>
          <w:noProof/>
        </w:rPr>
        <w:t>1.</w:t>
      </w:r>
      <w:r w:rsidRPr="008363E8">
        <w:rPr>
          <w:noProof/>
          <w:lang w:val="en-US"/>
        </w:rPr>
        <w:t>2</w:t>
      </w:r>
      <w:r>
        <w:rPr>
          <w:noProof/>
        </w:rPr>
        <w:t>.2</w:t>
      </w:r>
      <w:r>
        <w:rPr>
          <w:rFonts w:asciiTheme="minorHAnsi" w:eastAsiaTheme="minorEastAsia" w:hAnsiTheme="minorHAnsi" w:cstheme="minorBidi"/>
          <w:noProof/>
          <w:color w:val="auto"/>
        </w:rPr>
        <w:tab/>
      </w:r>
      <w:r>
        <w:rPr>
          <w:noProof/>
        </w:rPr>
        <w:t>Related materials</w:t>
      </w:r>
      <w:r>
        <w:rPr>
          <w:noProof/>
        </w:rPr>
        <w:tab/>
      </w:r>
      <w:r>
        <w:rPr>
          <w:noProof/>
        </w:rPr>
        <w:fldChar w:fldCharType="begin"/>
      </w:r>
      <w:r>
        <w:rPr>
          <w:noProof/>
        </w:rPr>
        <w:instrText xml:space="preserve"> PAGEREF _Toc427851299 \h </w:instrText>
      </w:r>
      <w:r>
        <w:rPr>
          <w:noProof/>
        </w:rPr>
      </w:r>
      <w:r>
        <w:rPr>
          <w:noProof/>
        </w:rPr>
        <w:fldChar w:fldCharType="separate"/>
      </w:r>
      <w:r>
        <w:rPr>
          <w:noProof/>
        </w:rPr>
        <w:t>17</w:t>
      </w:r>
      <w:r>
        <w:rPr>
          <w:noProof/>
        </w:rPr>
        <w:fldChar w:fldCharType="end"/>
      </w:r>
    </w:p>
    <w:p w14:paraId="00FA030B" w14:textId="77777777" w:rsidR="003F176A" w:rsidRDefault="003F176A">
      <w:pPr>
        <w:pStyle w:val="TOC1"/>
        <w:rPr>
          <w:rFonts w:asciiTheme="minorHAnsi" w:eastAsiaTheme="minorEastAsia" w:hAnsiTheme="minorHAnsi" w:cstheme="minorBidi"/>
          <w:b w:val="0"/>
          <w:bCs w:val="0"/>
          <w:color w:val="auto"/>
        </w:rPr>
      </w:pPr>
      <w:r>
        <w:t>2</w:t>
      </w:r>
      <w:r>
        <w:rPr>
          <w:rFonts w:asciiTheme="minorHAnsi" w:eastAsiaTheme="minorEastAsia" w:hAnsiTheme="minorHAnsi" w:cstheme="minorBidi"/>
          <w:b w:val="0"/>
          <w:bCs w:val="0"/>
          <w:color w:val="auto"/>
        </w:rPr>
        <w:tab/>
      </w:r>
      <w:r>
        <w:t>Methods</w:t>
      </w:r>
      <w:r>
        <w:tab/>
      </w:r>
      <w:r>
        <w:fldChar w:fldCharType="begin"/>
      </w:r>
      <w:r>
        <w:instrText xml:space="preserve"> PAGEREF _Toc427851300 \h </w:instrText>
      </w:r>
      <w:r>
        <w:fldChar w:fldCharType="separate"/>
      </w:r>
      <w:r>
        <w:t>19</w:t>
      </w:r>
      <w:r>
        <w:fldChar w:fldCharType="end"/>
      </w:r>
    </w:p>
    <w:p w14:paraId="125369A8" w14:textId="77777777" w:rsidR="003F176A" w:rsidRDefault="003F176A">
      <w:pPr>
        <w:pStyle w:val="TOC2"/>
        <w:rPr>
          <w:rFonts w:asciiTheme="minorHAnsi" w:eastAsiaTheme="minorEastAsia" w:hAnsiTheme="minorHAnsi" w:cstheme="minorBidi"/>
          <w:noProof/>
          <w:color w:val="auto"/>
        </w:rPr>
      </w:pPr>
      <w:r>
        <w:rPr>
          <w:noProof/>
        </w:rPr>
        <w:t>2.1</w:t>
      </w:r>
      <w:r>
        <w:rPr>
          <w:rFonts w:asciiTheme="minorHAnsi" w:eastAsiaTheme="minorEastAsia" w:hAnsiTheme="minorHAnsi" w:cstheme="minorBidi"/>
          <w:noProof/>
          <w:color w:val="auto"/>
        </w:rPr>
        <w:tab/>
      </w:r>
      <w:r>
        <w:rPr>
          <w:noProof/>
        </w:rPr>
        <w:t>Clinical research questions</w:t>
      </w:r>
      <w:r>
        <w:rPr>
          <w:noProof/>
        </w:rPr>
        <w:tab/>
      </w:r>
      <w:r>
        <w:rPr>
          <w:noProof/>
        </w:rPr>
        <w:fldChar w:fldCharType="begin"/>
      </w:r>
      <w:r>
        <w:rPr>
          <w:noProof/>
        </w:rPr>
        <w:instrText xml:space="preserve"> PAGEREF _Toc427851301 \h </w:instrText>
      </w:r>
      <w:r>
        <w:rPr>
          <w:noProof/>
        </w:rPr>
      </w:r>
      <w:r>
        <w:rPr>
          <w:noProof/>
        </w:rPr>
        <w:fldChar w:fldCharType="separate"/>
      </w:r>
      <w:r>
        <w:rPr>
          <w:noProof/>
        </w:rPr>
        <w:t>19</w:t>
      </w:r>
      <w:r>
        <w:rPr>
          <w:noProof/>
        </w:rPr>
        <w:fldChar w:fldCharType="end"/>
      </w:r>
    </w:p>
    <w:p w14:paraId="25091DC6" w14:textId="77777777" w:rsidR="003F176A" w:rsidRDefault="003F176A">
      <w:pPr>
        <w:pStyle w:val="TOC3"/>
        <w:rPr>
          <w:rFonts w:asciiTheme="minorHAnsi" w:eastAsiaTheme="minorEastAsia" w:hAnsiTheme="minorHAnsi" w:cstheme="minorBidi"/>
          <w:noProof/>
          <w:color w:val="auto"/>
        </w:rPr>
      </w:pPr>
      <w:r>
        <w:rPr>
          <w:noProof/>
        </w:rPr>
        <w:t>2.1.1</w:t>
      </w:r>
      <w:r>
        <w:rPr>
          <w:rFonts w:asciiTheme="minorHAnsi" w:eastAsiaTheme="minorEastAsia" w:hAnsiTheme="minorHAnsi" w:cstheme="minorBidi"/>
          <w:noProof/>
          <w:color w:val="auto"/>
        </w:rPr>
        <w:tab/>
      </w:r>
      <w:r>
        <w:rPr>
          <w:noProof/>
        </w:rPr>
        <w:t>Question development summary</w:t>
      </w:r>
      <w:r>
        <w:rPr>
          <w:noProof/>
        </w:rPr>
        <w:tab/>
      </w:r>
      <w:r>
        <w:rPr>
          <w:noProof/>
        </w:rPr>
        <w:fldChar w:fldCharType="begin"/>
      </w:r>
      <w:r>
        <w:rPr>
          <w:noProof/>
        </w:rPr>
        <w:instrText xml:space="preserve"> PAGEREF _Toc427851302 \h </w:instrText>
      </w:r>
      <w:r>
        <w:rPr>
          <w:noProof/>
        </w:rPr>
      </w:r>
      <w:r>
        <w:rPr>
          <w:noProof/>
        </w:rPr>
        <w:fldChar w:fldCharType="separate"/>
      </w:r>
      <w:r>
        <w:rPr>
          <w:noProof/>
        </w:rPr>
        <w:t>19</w:t>
      </w:r>
      <w:r>
        <w:rPr>
          <w:noProof/>
        </w:rPr>
        <w:fldChar w:fldCharType="end"/>
      </w:r>
    </w:p>
    <w:p w14:paraId="69C7F584" w14:textId="77777777" w:rsidR="003F176A" w:rsidRDefault="003F176A">
      <w:pPr>
        <w:pStyle w:val="TOC3"/>
        <w:rPr>
          <w:rFonts w:asciiTheme="minorHAnsi" w:eastAsiaTheme="minorEastAsia" w:hAnsiTheme="minorHAnsi" w:cstheme="minorBidi"/>
          <w:noProof/>
          <w:color w:val="auto"/>
        </w:rPr>
      </w:pPr>
      <w:r>
        <w:rPr>
          <w:noProof/>
        </w:rPr>
        <w:t>2.1.2</w:t>
      </w:r>
      <w:r>
        <w:rPr>
          <w:rFonts w:asciiTheme="minorHAnsi" w:eastAsiaTheme="minorEastAsia" w:hAnsiTheme="minorHAnsi" w:cstheme="minorBidi"/>
          <w:noProof/>
          <w:color w:val="auto"/>
        </w:rPr>
        <w:tab/>
      </w:r>
      <w:r>
        <w:rPr>
          <w:noProof/>
        </w:rPr>
        <w:t>Background material</w:t>
      </w:r>
      <w:r>
        <w:rPr>
          <w:noProof/>
        </w:rPr>
        <w:tab/>
      </w:r>
      <w:r>
        <w:rPr>
          <w:noProof/>
        </w:rPr>
        <w:fldChar w:fldCharType="begin"/>
      </w:r>
      <w:r>
        <w:rPr>
          <w:noProof/>
        </w:rPr>
        <w:instrText xml:space="preserve"> PAGEREF _Toc427851303 \h </w:instrText>
      </w:r>
      <w:r>
        <w:rPr>
          <w:noProof/>
        </w:rPr>
      </w:r>
      <w:r>
        <w:rPr>
          <w:noProof/>
        </w:rPr>
        <w:fldChar w:fldCharType="separate"/>
      </w:r>
      <w:r>
        <w:rPr>
          <w:noProof/>
        </w:rPr>
        <w:t>19</w:t>
      </w:r>
      <w:r>
        <w:rPr>
          <w:noProof/>
        </w:rPr>
        <w:fldChar w:fldCharType="end"/>
      </w:r>
    </w:p>
    <w:p w14:paraId="3722B8D2" w14:textId="77777777" w:rsidR="003F176A" w:rsidRDefault="003F176A">
      <w:pPr>
        <w:pStyle w:val="TOC2"/>
        <w:rPr>
          <w:rFonts w:asciiTheme="minorHAnsi" w:eastAsiaTheme="minorEastAsia" w:hAnsiTheme="minorHAnsi" w:cstheme="minorBidi"/>
          <w:noProof/>
          <w:color w:val="auto"/>
        </w:rPr>
      </w:pPr>
      <w:r>
        <w:rPr>
          <w:noProof/>
        </w:rPr>
        <w:t>2.2</w:t>
      </w:r>
      <w:r>
        <w:rPr>
          <w:rFonts w:asciiTheme="minorHAnsi" w:eastAsiaTheme="minorEastAsia" w:hAnsiTheme="minorHAnsi" w:cstheme="minorBidi"/>
          <w:noProof/>
          <w:color w:val="auto"/>
        </w:rPr>
        <w:tab/>
      </w:r>
      <w:r>
        <w:rPr>
          <w:noProof/>
        </w:rPr>
        <w:t>Review and research</w:t>
      </w:r>
      <w:r>
        <w:rPr>
          <w:noProof/>
        </w:rPr>
        <w:tab/>
      </w:r>
      <w:r>
        <w:rPr>
          <w:noProof/>
        </w:rPr>
        <w:fldChar w:fldCharType="begin"/>
      </w:r>
      <w:r>
        <w:rPr>
          <w:noProof/>
        </w:rPr>
        <w:instrText xml:space="preserve"> PAGEREF _Toc427851304 \h </w:instrText>
      </w:r>
      <w:r>
        <w:rPr>
          <w:noProof/>
        </w:rPr>
      </w:r>
      <w:r>
        <w:rPr>
          <w:noProof/>
        </w:rPr>
        <w:fldChar w:fldCharType="separate"/>
      </w:r>
      <w:r>
        <w:rPr>
          <w:noProof/>
        </w:rPr>
        <w:t>20</w:t>
      </w:r>
      <w:r>
        <w:rPr>
          <w:noProof/>
        </w:rPr>
        <w:fldChar w:fldCharType="end"/>
      </w:r>
    </w:p>
    <w:p w14:paraId="4A193165" w14:textId="77777777" w:rsidR="003F176A" w:rsidRDefault="003F176A">
      <w:pPr>
        <w:pStyle w:val="TOC3"/>
        <w:rPr>
          <w:rFonts w:asciiTheme="minorHAnsi" w:eastAsiaTheme="minorEastAsia" w:hAnsiTheme="minorHAnsi" w:cstheme="minorBidi"/>
          <w:noProof/>
          <w:color w:val="auto"/>
        </w:rPr>
      </w:pPr>
      <w:r>
        <w:rPr>
          <w:noProof/>
        </w:rPr>
        <w:t>2.2.1</w:t>
      </w:r>
      <w:r>
        <w:rPr>
          <w:rFonts w:asciiTheme="minorHAnsi" w:eastAsiaTheme="minorEastAsia" w:hAnsiTheme="minorHAnsi" w:cstheme="minorBidi"/>
          <w:noProof/>
          <w:color w:val="auto"/>
        </w:rPr>
        <w:tab/>
      </w:r>
      <w:r>
        <w:rPr>
          <w:noProof/>
        </w:rPr>
        <w:t>Systematic review process</w:t>
      </w:r>
      <w:r>
        <w:rPr>
          <w:noProof/>
        </w:rPr>
        <w:tab/>
      </w:r>
      <w:r>
        <w:rPr>
          <w:noProof/>
        </w:rPr>
        <w:fldChar w:fldCharType="begin"/>
      </w:r>
      <w:r>
        <w:rPr>
          <w:noProof/>
        </w:rPr>
        <w:instrText xml:space="preserve"> PAGEREF _Toc427851305 \h </w:instrText>
      </w:r>
      <w:r>
        <w:rPr>
          <w:noProof/>
        </w:rPr>
      </w:r>
      <w:r>
        <w:rPr>
          <w:noProof/>
        </w:rPr>
        <w:fldChar w:fldCharType="separate"/>
      </w:r>
      <w:r>
        <w:rPr>
          <w:noProof/>
        </w:rPr>
        <w:t>20</w:t>
      </w:r>
      <w:r>
        <w:rPr>
          <w:noProof/>
        </w:rPr>
        <w:fldChar w:fldCharType="end"/>
      </w:r>
    </w:p>
    <w:p w14:paraId="4388D91E" w14:textId="77777777" w:rsidR="003F176A" w:rsidRDefault="003F176A">
      <w:pPr>
        <w:pStyle w:val="TOC3"/>
        <w:rPr>
          <w:rFonts w:asciiTheme="minorHAnsi" w:eastAsiaTheme="minorEastAsia" w:hAnsiTheme="minorHAnsi" w:cstheme="minorBidi"/>
          <w:noProof/>
          <w:color w:val="auto"/>
        </w:rPr>
      </w:pPr>
      <w:r>
        <w:rPr>
          <w:noProof/>
        </w:rPr>
        <w:t>2.2.2</w:t>
      </w:r>
      <w:r>
        <w:rPr>
          <w:rFonts w:asciiTheme="minorHAnsi" w:eastAsiaTheme="minorEastAsia" w:hAnsiTheme="minorHAnsi" w:cstheme="minorBidi"/>
          <w:noProof/>
          <w:color w:val="auto"/>
        </w:rPr>
        <w:tab/>
      </w:r>
      <w:r>
        <w:rPr>
          <w:noProof/>
        </w:rPr>
        <w:t>Literature search dates</w:t>
      </w:r>
      <w:r>
        <w:rPr>
          <w:noProof/>
        </w:rPr>
        <w:tab/>
      </w:r>
      <w:r>
        <w:rPr>
          <w:noProof/>
        </w:rPr>
        <w:fldChar w:fldCharType="begin"/>
      </w:r>
      <w:r>
        <w:rPr>
          <w:noProof/>
        </w:rPr>
        <w:instrText xml:space="preserve"> PAGEREF _Toc427851306 \h </w:instrText>
      </w:r>
      <w:r>
        <w:rPr>
          <w:noProof/>
        </w:rPr>
      </w:r>
      <w:r>
        <w:rPr>
          <w:noProof/>
        </w:rPr>
        <w:fldChar w:fldCharType="separate"/>
      </w:r>
      <w:r>
        <w:rPr>
          <w:noProof/>
        </w:rPr>
        <w:t>20</w:t>
      </w:r>
      <w:r>
        <w:rPr>
          <w:noProof/>
        </w:rPr>
        <w:fldChar w:fldCharType="end"/>
      </w:r>
    </w:p>
    <w:p w14:paraId="73FE1D2D" w14:textId="77777777" w:rsidR="003F176A" w:rsidRDefault="003F176A">
      <w:pPr>
        <w:pStyle w:val="TOC3"/>
        <w:rPr>
          <w:rFonts w:asciiTheme="minorHAnsi" w:eastAsiaTheme="minorEastAsia" w:hAnsiTheme="minorHAnsi" w:cstheme="minorBidi"/>
          <w:noProof/>
          <w:color w:val="auto"/>
        </w:rPr>
      </w:pPr>
      <w:r>
        <w:rPr>
          <w:noProof/>
        </w:rPr>
        <w:t>2.2.3</w:t>
      </w:r>
      <w:r>
        <w:rPr>
          <w:rFonts w:asciiTheme="minorHAnsi" w:eastAsiaTheme="minorEastAsia" w:hAnsiTheme="minorHAnsi" w:cstheme="minorBidi"/>
          <w:noProof/>
          <w:color w:val="auto"/>
        </w:rPr>
        <w:tab/>
      </w:r>
      <w:r>
        <w:rPr>
          <w:noProof/>
        </w:rPr>
        <w:t>Inclusion and exclusion criteria</w:t>
      </w:r>
      <w:r>
        <w:rPr>
          <w:noProof/>
        </w:rPr>
        <w:tab/>
      </w:r>
      <w:r>
        <w:rPr>
          <w:noProof/>
        </w:rPr>
        <w:fldChar w:fldCharType="begin"/>
      </w:r>
      <w:r>
        <w:rPr>
          <w:noProof/>
        </w:rPr>
        <w:instrText xml:space="preserve"> PAGEREF _Toc427851307 \h </w:instrText>
      </w:r>
      <w:r>
        <w:rPr>
          <w:noProof/>
        </w:rPr>
      </w:r>
      <w:r>
        <w:rPr>
          <w:noProof/>
        </w:rPr>
        <w:fldChar w:fldCharType="separate"/>
      </w:r>
      <w:r>
        <w:rPr>
          <w:noProof/>
        </w:rPr>
        <w:t>21</w:t>
      </w:r>
      <w:r>
        <w:rPr>
          <w:noProof/>
        </w:rPr>
        <w:fldChar w:fldCharType="end"/>
      </w:r>
    </w:p>
    <w:p w14:paraId="76B239E9" w14:textId="77777777" w:rsidR="003F176A" w:rsidRDefault="003F176A">
      <w:pPr>
        <w:pStyle w:val="TOC2"/>
        <w:rPr>
          <w:rFonts w:asciiTheme="minorHAnsi" w:eastAsiaTheme="minorEastAsia" w:hAnsiTheme="minorHAnsi" w:cstheme="minorBidi"/>
          <w:noProof/>
          <w:color w:val="auto"/>
        </w:rPr>
      </w:pPr>
      <w:r>
        <w:rPr>
          <w:noProof/>
        </w:rPr>
        <w:t>2.3</w:t>
      </w:r>
      <w:r>
        <w:rPr>
          <w:rFonts w:asciiTheme="minorHAnsi" w:eastAsiaTheme="minorEastAsia" w:hAnsiTheme="minorHAnsi" w:cstheme="minorBidi"/>
          <w:noProof/>
          <w:color w:val="auto"/>
        </w:rPr>
        <w:tab/>
      </w:r>
      <w:r>
        <w:rPr>
          <w:noProof/>
        </w:rPr>
        <w:t>Development of evidence statements, recommendations and practice points</w:t>
      </w:r>
      <w:r>
        <w:rPr>
          <w:noProof/>
        </w:rPr>
        <w:tab/>
      </w:r>
      <w:r>
        <w:rPr>
          <w:noProof/>
        </w:rPr>
        <w:fldChar w:fldCharType="begin"/>
      </w:r>
      <w:r>
        <w:rPr>
          <w:noProof/>
        </w:rPr>
        <w:instrText xml:space="preserve"> PAGEREF _Toc427851308 \h </w:instrText>
      </w:r>
      <w:r>
        <w:rPr>
          <w:noProof/>
        </w:rPr>
      </w:r>
      <w:r>
        <w:rPr>
          <w:noProof/>
        </w:rPr>
        <w:fldChar w:fldCharType="separate"/>
      </w:r>
      <w:r>
        <w:rPr>
          <w:noProof/>
        </w:rPr>
        <w:t>21</w:t>
      </w:r>
      <w:r>
        <w:rPr>
          <w:noProof/>
        </w:rPr>
        <w:fldChar w:fldCharType="end"/>
      </w:r>
    </w:p>
    <w:p w14:paraId="2E649582" w14:textId="77777777" w:rsidR="003F176A" w:rsidRDefault="003F176A">
      <w:pPr>
        <w:pStyle w:val="TOC1"/>
        <w:rPr>
          <w:rFonts w:asciiTheme="minorHAnsi" w:eastAsiaTheme="minorEastAsia" w:hAnsiTheme="minorHAnsi" w:cstheme="minorBidi"/>
          <w:b w:val="0"/>
          <w:bCs w:val="0"/>
          <w:color w:val="auto"/>
        </w:rPr>
      </w:pPr>
      <w:r>
        <w:t>3</w:t>
      </w:r>
      <w:r>
        <w:rPr>
          <w:rFonts w:asciiTheme="minorHAnsi" w:eastAsiaTheme="minorEastAsia" w:hAnsiTheme="minorHAnsi" w:cstheme="minorBidi"/>
          <w:b w:val="0"/>
          <w:bCs w:val="0"/>
          <w:color w:val="auto"/>
        </w:rPr>
        <w:tab/>
      </w:r>
      <w:r>
        <w:t>Clinical guidance</w:t>
      </w:r>
      <w:r>
        <w:tab/>
      </w:r>
      <w:r>
        <w:fldChar w:fldCharType="begin"/>
      </w:r>
      <w:r>
        <w:instrText xml:space="preserve"> PAGEREF _Toc427851309 \h </w:instrText>
      </w:r>
      <w:r>
        <w:fldChar w:fldCharType="separate"/>
      </w:r>
      <w:r>
        <w:t>23</w:t>
      </w:r>
      <w:r>
        <w:fldChar w:fldCharType="end"/>
      </w:r>
    </w:p>
    <w:p w14:paraId="63C86B6D" w14:textId="77777777" w:rsidR="003F176A" w:rsidRDefault="003F176A">
      <w:pPr>
        <w:pStyle w:val="TOC2"/>
        <w:rPr>
          <w:rFonts w:asciiTheme="minorHAnsi" w:eastAsiaTheme="minorEastAsia" w:hAnsiTheme="minorHAnsi" w:cstheme="minorBidi"/>
          <w:noProof/>
          <w:color w:val="auto"/>
        </w:rPr>
      </w:pPr>
      <w:r w:rsidRPr="008363E8">
        <w:rPr>
          <w:noProof/>
        </w:rPr>
        <w:t>3.1</w:t>
      </w:r>
      <w:r>
        <w:rPr>
          <w:rFonts w:asciiTheme="minorHAnsi" w:eastAsiaTheme="minorEastAsia" w:hAnsiTheme="minorHAnsi" w:cstheme="minorBidi"/>
          <w:noProof/>
          <w:color w:val="auto"/>
        </w:rPr>
        <w:tab/>
      </w:r>
      <w:r w:rsidRPr="008363E8">
        <w:rPr>
          <w:noProof/>
        </w:rPr>
        <w:t>Introduction</w:t>
      </w:r>
      <w:r>
        <w:rPr>
          <w:noProof/>
        </w:rPr>
        <w:tab/>
      </w:r>
      <w:r>
        <w:rPr>
          <w:noProof/>
        </w:rPr>
        <w:fldChar w:fldCharType="begin"/>
      </w:r>
      <w:r>
        <w:rPr>
          <w:noProof/>
        </w:rPr>
        <w:instrText xml:space="preserve"> PAGEREF _Toc427851310 \h </w:instrText>
      </w:r>
      <w:r>
        <w:rPr>
          <w:noProof/>
        </w:rPr>
      </w:r>
      <w:r>
        <w:rPr>
          <w:noProof/>
        </w:rPr>
        <w:fldChar w:fldCharType="separate"/>
      </w:r>
      <w:r>
        <w:rPr>
          <w:noProof/>
        </w:rPr>
        <w:t>23</w:t>
      </w:r>
      <w:r>
        <w:rPr>
          <w:noProof/>
        </w:rPr>
        <w:fldChar w:fldCharType="end"/>
      </w:r>
    </w:p>
    <w:p w14:paraId="1ACE0E37" w14:textId="77777777" w:rsidR="003F176A" w:rsidRDefault="003F176A">
      <w:pPr>
        <w:pStyle w:val="TOC3"/>
        <w:rPr>
          <w:rFonts w:asciiTheme="minorHAnsi" w:eastAsiaTheme="minorEastAsia" w:hAnsiTheme="minorHAnsi" w:cstheme="minorBidi"/>
          <w:noProof/>
          <w:color w:val="auto"/>
        </w:rPr>
      </w:pPr>
      <w:r>
        <w:rPr>
          <w:noProof/>
        </w:rPr>
        <w:t>3.1.1</w:t>
      </w:r>
      <w:r>
        <w:rPr>
          <w:rFonts w:asciiTheme="minorHAnsi" w:eastAsiaTheme="minorEastAsia" w:hAnsiTheme="minorHAnsi" w:cstheme="minorBidi"/>
          <w:noProof/>
          <w:color w:val="auto"/>
        </w:rPr>
        <w:tab/>
      </w:r>
      <w:r>
        <w:rPr>
          <w:noProof/>
        </w:rPr>
        <w:t>Purpose and audience</w:t>
      </w:r>
      <w:r>
        <w:rPr>
          <w:noProof/>
        </w:rPr>
        <w:tab/>
      </w:r>
      <w:r>
        <w:rPr>
          <w:noProof/>
        </w:rPr>
        <w:fldChar w:fldCharType="begin"/>
      </w:r>
      <w:r>
        <w:rPr>
          <w:noProof/>
        </w:rPr>
        <w:instrText xml:space="preserve"> PAGEREF _Toc427851311 \h </w:instrText>
      </w:r>
      <w:r>
        <w:rPr>
          <w:noProof/>
        </w:rPr>
      </w:r>
      <w:r>
        <w:rPr>
          <w:noProof/>
        </w:rPr>
        <w:fldChar w:fldCharType="separate"/>
      </w:r>
      <w:r>
        <w:rPr>
          <w:noProof/>
        </w:rPr>
        <w:t>23</w:t>
      </w:r>
      <w:r>
        <w:rPr>
          <w:noProof/>
        </w:rPr>
        <w:fldChar w:fldCharType="end"/>
      </w:r>
    </w:p>
    <w:p w14:paraId="6E0410BF" w14:textId="77777777" w:rsidR="003F176A" w:rsidRDefault="003F176A">
      <w:pPr>
        <w:pStyle w:val="TOC3"/>
        <w:rPr>
          <w:rFonts w:asciiTheme="minorHAnsi" w:eastAsiaTheme="minorEastAsia" w:hAnsiTheme="minorHAnsi" w:cstheme="minorBidi"/>
          <w:noProof/>
          <w:color w:val="auto"/>
        </w:rPr>
      </w:pPr>
      <w:r>
        <w:rPr>
          <w:noProof/>
        </w:rPr>
        <w:t>3.1.2</w:t>
      </w:r>
      <w:r>
        <w:rPr>
          <w:rFonts w:asciiTheme="minorHAnsi" w:eastAsiaTheme="minorEastAsia" w:hAnsiTheme="minorHAnsi" w:cstheme="minorBidi"/>
          <w:noProof/>
          <w:color w:val="auto"/>
        </w:rPr>
        <w:tab/>
      </w:r>
      <w:r>
        <w:rPr>
          <w:noProof/>
        </w:rPr>
        <w:t>Scope</w:t>
      </w:r>
      <w:r>
        <w:rPr>
          <w:noProof/>
        </w:rPr>
        <w:tab/>
      </w:r>
      <w:r>
        <w:rPr>
          <w:noProof/>
        </w:rPr>
        <w:fldChar w:fldCharType="begin"/>
      </w:r>
      <w:r>
        <w:rPr>
          <w:noProof/>
        </w:rPr>
        <w:instrText xml:space="preserve"> PAGEREF _Toc427851312 \h </w:instrText>
      </w:r>
      <w:r>
        <w:rPr>
          <w:noProof/>
        </w:rPr>
      </w:r>
      <w:r>
        <w:rPr>
          <w:noProof/>
        </w:rPr>
        <w:fldChar w:fldCharType="separate"/>
      </w:r>
      <w:r>
        <w:rPr>
          <w:noProof/>
        </w:rPr>
        <w:t>23</w:t>
      </w:r>
      <w:r>
        <w:rPr>
          <w:noProof/>
        </w:rPr>
        <w:fldChar w:fldCharType="end"/>
      </w:r>
    </w:p>
    <w:p w14:paraId="2D035524" w14:textId="77777777" w:rsidR="003F176A" w:rsidRDefault="003F176A">
      <w:pPr>
        <w:pStyle w:val="TOC3"/>
        <w:rPr>
          <w:rFonts w:asciiTheme="minorHAnsi" w:eastAsiaTheme="minorEastAsia" w:hAnsiTheme="minorHAnsi" w:cstheme="minorBidi"/>
          <w:noProof/>
          <w:color w:val="auto"/>
        </w:rPr>
      </w:pPr>
      <w:r>
        <w:rPr>
          <w:noProof/>
        </w:rPr>
        <w:t>3.1.3</w:t>
      </w:r>
      <w:r>
        <w:rPr>
          <w:rFonts w:asciiTheme="minorHAnsi" w:eastAsiaTheme="minorEastAsia" w:hAnsiTheme="minorHAnsi" w:cstheme="minorBidi"/>
          <w:noProof/>
          <w:color w:val="auto"/>
        </w:rPr>
        <w:tab/>
      </w:r>
      <w:r>
        <w:rPr>
          <w:noProof/>
        </w:rPr>
        <w:t>Patient population and setting</w:t>
      </w:r>
      <w:r>
        <w:rPr>
          <w:noProof/>
        </w:rPr>
        <w:tab/>
      </w:r>
      <w:r>
        <w:rPr>
          <w:noProof/>
        </w:rPr>
        <w:fldChar w:fldCharType="begin"/>
      </w:r>
      <w:r>
        <w:rPr>
          <w:noProof/>
        </w:rPr>
        <w:instrText xml:space="preserve"> PAGEREF _Toc427851313 \h </w:instrText>
      </w:r>
      <w:r>
        <w:rPr>
          <w:noProof/>
        </w:rPr>
      </w:r>
      <w:r>
        <w:rPr>
          <w:noProof/>
        </w:rPr>
        <w:fldChar w:fldCharType="separate"/>
      </w:r>
      <w:r>
        <w:rPr>
          <w:noProof/>
        </w:rPr>
        <w:t>23</w:t>
      </w:r>
      <w:r>
        <w:rPr>
          <w:noProof/>
        </w:rPr>
        <w:fldChar w:fldCharType="end"/>
      </w:r>
    </w:p>
    <w:p w14:paraId="73E61354" w14:textId="77777777" w:rsidR="003F176A" w:rsidRDefault="003F176A">
      <w:pPr>
        <w:pStyle w:val="TOC3"/>
        <w:rPr>
          <w:rFonts w:asciiTheme="minorHAnsi" w:eastAsiaTheme="minorEastAsia" w:hAnsiTheme="minorHAnsi" w:cstheme="minorBidi"/>
          <w:noProof/>
          <w:color w:val="auto"/>
        </w:rPr>
      </w:pPr>
      <w:r>
        <w:rPr>
          <w:noProof/>
        </w:rPr>
        <w:t>3.1.4</w:t>
      </w:r>
      <w:r>
        <w:rPr>
          <w:rFonts w:asciiTheme="minorHAnsi" w:eastAsiaTheme="minorEastAsia" w:hAnsiTheme="minorHAnsi" w:cstheme="minorBidi"/>
          <w:noProof/>
          <w:color w:val="auto"/>
        </w:rPr>
        <w:tab/>
      </w:r>
      <w:r>
        <w:rPr>
          <w:noProof/>
        </w:rPr>
        <w:t>Formation of evidence statements</w:t>
      </w:r>
      <w:r>
        <w:rPr>
          <w:noProof/>
        </w:rPr>
        <w:tab/>
      </w:r>
      <w:r>
        <w:rPr>
          <w:noProof/>
        </w:rPr>
        <w:fldChar w:fldCharType="begin"/>
      </w:r>
      <w:r>
        <w:rPr>
          <w:noProof/>
        </w:rPr>
        <w:instrText xml:space="preserve"> PAGEREF _Toc427851314 \h </w:instrText>
      </w:r>
      <w:r>
        <w:rPr>
          <w:noProof/>
        </w:rPr>
      </w:r>
      <w:r>
        <w:rPr>
          <w:noProof/>
        </w:rPr>
        <w:fldChar w:fldCharType="separate"/>
      </w:r>
      <w:r>
        <w:rPr>
          <w:noProof/>
        </w:rPr>
        <w:t>24</w:t>
      </w:r>
      <w:r>
        <w:rPr>
          <w:noProof/>
        </w:rPr>
        <w:fldChar w:fldCharType="end"/>
      </w:r>
    </w:p>
    <w:p w14:paraId="5C8061C5" w14:textId="77777777" w:rsidR="003F176A" w:rsidRDefault="003F176A">
      <w:pPr>
        <w:pStyle w:val="TOC2"/>
        <w:rPr>
          <w:rFonts w:asciiTheme="minorHAnsi" w:eastAsiaTheme="minorEastAsia" w:hAnsiTheme="minorHAnsi" w:cstheme="minorBidi"/>
          <w:noProof/>
          <w:color w:val="auto"/>
        </w:rPr>
      </w:pPr>
      <w:r>
        <w:rPr>
          <w:noProof/>
        </w:rPr>
        <w:t>3.2</w:t>
      </w:r>
      <w:r>
        <w:rPr>
          <w:rFonts w:asciiTheme="minorHAnsi" w:eastAsiaTheme="minorEastAsia" w:hAnsiTheme="minorHAnsi" w:cstheme="minorBidi"/>
          <w:noProof/>
          <w:color w:val="auto"/>
        </w:rPr>
        <w:tab/>
      </w:r>
      <w:r>
        <w:rPr>
          <w:noProof/>
        </w:rPr>
        <w:t xml:space="preserve">Effect of </w:t>
      </w:r>
      <w:r w:rsidRPr="008363E8">
        <w:rPr>
          <w:noProof/>
        </w:rPr>
        <w:t>RBC</w:t>
      </w:r>
      <w:r>
        <w:rPr>
          <w:noProof/>
        </w:rPr>
        <w:t xml:space="preserve"> transfusion on outcomes</w:t>
      </w:r>
      <w:r>
        <w:rPr>
          <w:noProof/>
        </w:rPr>
        <w:tab/>
      </w:r>
      <w:r>
        <w:rPr>
          <w:noProof/>
        </w:rPr>
        <w:fldChar w:fldCharType="begin"/>
      </w:r>
      <w:r>
        <w:rPr>
          <w:noProof/>
        </w:rPr>
        <w:instrText xml:space="preserve"> PAGEREF _Toc427851315 \h </w:instrText>
      </w:r>
      <w:r>
        <w:rPr>
          <w:noProof/>
        </w:rPr>
      </w:r>
      <w:r>
        <w:rPr>
          <w:noProof/>
        </w:rPr>
        <w:fldChar w:fldCharType="separate"/>
      </w:r>
      <w:r>
        <w:rPr>
          <w:noProof/>
        </w:rPr>
        <w:t>25</w:t>
      </w:r>
      <w:r>
        <w:rPr>
          <w:noProof/>
        </w:rPr>
        <w:fldChar w:fldCharType="end"/>
      </w:r>
    </w:p>
    <w:p w14:paraId="44339DE7" w14:textId="77777777" w:rsidR="003F176A" w:rsidRDefault="003F176A">
      <w:pPr>
        <w:pStyle w:val="TOC3"/>
        <w:rPr>
          <w:rFonts w:asciiTheme="minorHAnsi" w:eastAsiaTheme="minorEastAsia" w:hAnsiTheme="minorHAnsi" w:cstheme="minorBidi"/>
          <w:noProof/>
          <w:color w:val="auto"/>
        </w:rPr>
      </w:pPr>
      <w:r>
        <w:rPr>
          <w:noProof/>
        </w:rPr>
        <w:t>3.2.1</w:t>
      </w:r>
      <w:r>
        <w:rPr>
          <w:rFonts w:asciiTheme="minorHAnsi" w:eastAsiaTheme="minorEastAsia" w:hAnsiTheme="minorHAnsi" w:cstheme="minorBidi"/>
          <w:noProof/>
          <w:color w:val="auto"/>
        </w:rPr>
        <w:tab/>
      </w:r>
      <w:r>
        <w:rPr>
          <w:noProof/>
        </w:rPr>
        <w:t>Neonatal patients – effect of RBC transfusion on patient outcomes</w:t>
      </w:r>
      <w:r>
        <w:rPr>
          <w:noProof/>
        </w:rPr>
        <w:tab/>
      </w:r>
      <w:r>
        <w:rPr>
          <w:noProof/>
        </w:rPr>
        <w:fldChar w:fldCharType="begin"/>
      </w:r>
      <w:r>
        <w:rPr>
          <w:noProof/>
        </w:rPr>
        <w:instrText xml:space="preserve"> PAGEREF _Toc427851316 \h </w:instrText>
      </w:r>
      <w:r>
        <w:rPr>
          <w:noProof/>
        </w:rPr>
      </w:r>
      <w:r>
        <w:rPr>
          <w:noProof/>
        </w:rPr>
        <w:fldChar w:fldCharType="separate"/>
      </w:r>
      <w:r>
        <w:rPr>
          <w:noProof/>
        </w:rPr>
        <w:t>25</w:t>
      </w:r>
      <w:r>
        <w:rPr>
          <w:noProof/>
        </w:rPr>
        <w:fldChar w:fldCharType="end"/>
      </w:r>
    </w:p>
    <w:p w14:paraId="0B3D90DF" w14:textId="77777777" w:rsidR="003F176A" w:rsidRDefault="003F176A">
      <w:pPr>
        <w:pStyle w:val="TOC3"/>
        <w:rPr>
          <w:rFonts w:asciiTheme="minorHAnsi" w:eastAsiaTheme="minorEastAsia" w:hAnsiTheme="minorHAnsi" w:cstheme="minorBidi"/>
          <w:noProof/>
          <w:color w:val="auto"/>
        </w:rPr>
      </w:pPr>
      <w:r>
        <w:rPr>
          <w:noProof/>
          <w:lang w:eastAsia="en-GB"/>
        </w:rPr>
        <w:t>3.2.2</w:t>
      </w:r>
      <w:r>
        <w:rPr>
          <w:rFonts w:asciiTheme="minorHAnsi" w:eastAsiaTheme="minorEastAsia" w:hAnsiTheme="minorHAnsi" w:cstheme="minorBidi"/>
          <w:noProof/>
          <w:color w:val="auto"/>
        </w:rPr>
        <w:tab/>
      </w:r>
      <w:r>
        <w:rPr>
          <w:noProof/>
          <w:lang w:eastAsia="en-GB"/>
        </w:rPr>
        <w:t xml:space="preserve">Infants, children and adolescents </w:t>
      </w:r>
      <w:r>
        <w:rPr>
          <w:noProof/>
        </w:rPr>
        <w:t>– effect of RBC transfusion on patient outcomes</w:t>
      </w:r>
      <w:r>
        <w:rPr>
          <w:noProof/>
        </w:rPr>
        <w:tab/>
      </w:r>
      <w:r>
        <w:rPr>
          <w:noProof/>
        </w:rPr>
        <w:fldChar w:fldCharType="begin"/>
      </w:r>
      <w:r>
        <w:rPr>
          <w:noProof/>
        </w:rPr>
        <w:instrText xml:space="preserve"> PAGEREF _Toc427851317 \h </w:instrText>
      </w:r>
      <w:r>
        <w:rPr>
          <w:noProof/>
        </w:rPr>
      </w:r>
      <w:r>
        <w:rPr>
          <w:noProof/>
        </w:rPr>
        <w:fldChar w:fldCharType="separate"/>
      </w:r>
      <w:r>
        <w:rPr>
          <w:noProof/>
        </w:rPr>
        <w:t>31</w:t>
      </w:r>
      <w:r>
        <w:rPr>
          <w:noProof/>
        </w:rPr>
        <w:fldChar w:fldCharType="end"/>
      </w:r>
    </w:p>
    <w:p w14:paraId="53EB6858" w14:textId="77777777" w:rsidR="003F176A" w:rsidRDefault="003F176A">
      <w:pPr>
        <w:pStyle w:val="TOC3"/>
        <w:rPr>
          <w:rFonts w:asciiTheme="minorHAnsi" w:eastAsiaTheme="minorEastAsia" w:hAnsiTheme="minorHAnsi" w:cstheme="minorBidi"/>
          <w:noProof/>
          <w:color w:val="auto"/>
        </w:rPr>
      </w:pPr>
      <w:r>
        <w:rPr>
          <w:noProof/>
          <w:lang w:eastAsia="en-GB"/>
        </w:rPr>
        <w:t>3.2.3</w:t>
      </w:r>
      <w:r>
        <w:rPr>
          <w:rFonts w:asciiTheme="minorHAnsi" w:eastAsiaTheme="minorEastAsia" w:hAnsiTheme="minorHAnsi" w:cstheme="minorBidi"/>
          <w:noProof/>
          <w:color w:val="auto"/>
        </w:rPr>
        <w:tab/>
      </w:r>
      <w:r>
        <w:rPr>
          <w:noProof/>
          <w:lang w:eastAsia="en-GB"/>
        </w:rPr>
        <w:t xml:space="preserve">Medical: neonatal and paediatric patients with </w:t>
      </w:r>
      <w:r w:rsidRPr="008363E8">
        <w:rPr>
          <w:noProof/>
          <w:lang w:eastAsia="en-GB"/>
        </w:rPr>
        <w:t>SCD</w:t>
      </w:r>
      <w:r>
        <w:rPr>
          <w:noProof/>
          <w:lang w:eastAsia="en-GB"/>
        </w:rPr>
        <w:t xml:space="preserve"> – effect of RBC transfusion on patient outcomes</w:t>
      </w:r>
      <w:r>
        <w:rPr>
          <w:noProof/>
        </w:rPr>
        <w:tab/>
      </w:r>
      <w:r>
        <w:rPr>
          <w:noProof/>
        </w:rPr>
        <w:fldChar w:fldCharType="begin"/>
      </w:r>
      <w:r>
        <w:rPr>
          <w:noProof/>
        </w:rPr>
        <w:instrText xml:space="preserve"> PAGEREF _Toc427851318 \h </w:instrText>
      </w:r>
      <w:r>
        <w:rPr>
          <w:noProof/>
        </w:rPr>
      </w:r>
      <w:r>
        <w:rPr>
          <w:noProof/>
        </w:rPr>
        <w:fldChar w:fldCharType="separate"/>
      </w:r>
      <w:r>
        <w:rPr>
          <w:noProof/>
        </w:rPr>
        <w:t>34</w:t>
      </w:r>
      <w:r>
        <w:rPr>
          <w:noProof/>
        </w:rPr>
        <w:fldChar w:fldCharType="end"/>
      </w:r>
    </w:p>
    <w:p w14:paraId="090ECDB1" w14:textId="77777777" w:rsidR="003F176A" w:rsidRDefault="003F176A">
      <w:pPr>
        <w:pStyle w:val="TOC3"/>
        <w:rPr>
          <w:rFonts w:asciiTheme="minorHAnsi" w:eastAsiaTheme="minorEastAsia" w:hAnsiTheme="minorHAnsi" w:cstheme="minorBidi"/>
          <w:noProof/>
          <w:color w:val="auto"/>
        </w:rPr>
      </w:pPr>
      <w:r>
        <w:rPr>
          <w:noProof/>
        </w:rPr>
        <w:t>3.2.4</w:t>
      </w:r>
      <w:r>
        <w:rPr>
          <w:rFonts w:asciiTheme="minorHAnsi" w:eastAsiaTheme="minorEastAsia" w:hAnsiTheme="minorHAnsi" w:cstheme="minorBidi"/>
          <w:noProof/>
          <w:color w:val="auto"/>
        </w:rPr>
        <w:tab/>
      </w:r>
      <w:r>
        <w:rPr>
          <w:noProof/>
        </w:rPr>
        <w:t>Medical: neonatal and paediatric patients with beta thalassaemia – effect of RBC transfusion on patient outcomes</w:t>
      </w:r>
      <w:r>
        <w:rPr>
          <w:noProof/>
        </w:rPr>
        <w:tab/>
      </w:r>
      <w:r>
        <w:rPr>
          <w:noProof/>
        </w:rPr>
        <w:fldChar w:fldCharType="begin"/>
      </w:r>
      <w:r>
        <w:rPr>
          <w:noProof/>
        </w:rPr>
        <w:instrText xml:space="preserve"> PAGEREF _Toc427851319 \h </w:instrText>
      </w:r>
      <w:r>
        <w:rPr>
          <w:noProof/>
        </w:rPr>
      </w:r>
      <w:r>
        <w:rPr>
          <w:noProof/>
        </w:rPr>
        <w:fldChar w:fldCharType="separate"/>
      </w:r>
      <w:r>
        <w:rPr>
          <w:noProof/>
        </w:rPr>
        <w:t>37</w:t>
      </w:r>
      <w:r>
        <w:rPr>
          <w:noProof/>
        </w:rPr>
        <w:fldChar w:fldCharType="end"/>
      </w:r>
    </w:p>
    <w:p w14:paraId="17F5AAFD" w14:textId="77777777" w:rsidR="003F176A" w:rsidRDefault="003F176A">
      <w:pPr>
        <w:pStyle w:val="TOC3"/>
        <w:rPr>
          <w:rFonts w:asciiTheme="minorHAnsi" w:eastAsiaTheme="minorEastAsia" w:hAnsiTheme="minorHAnsi" w:cstheme="minorBidi"/>
          <w:noProof/>
          <w:color w:val="auto"/>
        </w:rPr>
      </w:pPr>
      <w:r>
        <w:rPr>
          <w:noProof/>
          <w:lang w:eastAsia="en-GB"/>
        </w:rPr>
        <w:lastRenderedPageBreak/>
        <w:t>3.2.5</w:t>
      </w:r>
      <w:r>
        <w:rPr>
          <w:rFonts w:asciiTheme="minorHAnsi" w:eastAsiaTheme="minorEastAsia" w:hAnsiTheme="minorHAnsi" w:cstheme="minorBidi"/>
          <w:noProof/>
          <w:color w:val="auto"/>
        </w:rPr>
        <w:tab/>
      </w:r>
      <w:r>
        <w:rPr>
          <w:noProof/>
          <w:lang w:eastAsia="en-GB"/>
        </w:rPr>
        <w:t xml:space="preserve">Medical: paediatric patients with cancer </w:t>
      </w:r>
      <w:r>
        <w:rPr>
          <w:noProof/>
        </w:rPr>
        <w:t>– effect of RBC transfusion on patient outcomes</w:t>
      </w:r>
      <w:r>
        <w:rPr>
          <w:noProof/>
        </w:rPr>
        <w:tab/>
      </w:r>
      <w:r>
        <w:rPr>
          <w:noProof/>
        </w:rPr>
        <w:fldChar w:fldCharType="begin"/>
      </w:r>
      <w:r>
        <w:rPr>
          <w:noProof/>
        </w:rPr>
        <w:instrText xml:space="preserve"> PAGEREF _Toc427851320 \h </w:instrText>
      </w:r>
      <w:r>
        <w:rPr>
          <w:noProof/>
        </w:rPr>
      </w:r>
      <w:r>
        <w:rPr>
          <w:noProof/>
        </w:rPr>
        <w:fldChar w:fldCharType="separate"/>
      </w:r>
      <w:r>
        <w:rPr>
          <w:noProof/>
        </w:rPr>
        <w:t>38</w:t>
      </w:r>
      <w:r>
        <w:rPr>
          <w:noProof/>
        </w:rPr>
        <w:fldChar w:fldCharType="end"/>
      </w:r>
    </w:p>
    <w:p w14:paraId="46AD5B6A" w14:textId="77777777" w:rsidR="003F176A" w:rsidRDefault="003F176A">
      <w:pPr>
        <w:pStyle w:val="TOC3"/>
        <w:rPr>
          <w:rFonts w:asciiTheme="minorHAnsi" w:eastAsiaTheme="minorEastAsia" w:hAnsiTheme="minorHAnsi" w:cstheme="minorBidi"/>
          <w:noProof/>
          <w:color w:val="auto"/>
        </w:rPr>
      </w:pPr>
      <w:r>
        <w:rPr>
          <w:noProof/>
          <w:lang w:eastAsia="en-GB"/>
        </w:rPr>
        <w:t>3.2.6</w:t>
      </w:r>
      <w:r>
        <w:rPr>
          <w:rFonts w:asciiTheme="minorHAnsi" w:eastAsiaTheme="minorEastAsia" w:hAnsiTheme="minorHAnsi" w:cstheme="minorBidi"/>
          <w:noProof/>
          <w:color w:val="auto"/>
        </w:rPr>
        <w:tab/>
      </w:r>
      <w:r w:rsidRPr="008363E8">
        <w:rPr>
          <w:noProof/>
          <w:lang w:eastAsia="en-GB"/>
        </w:rPr>
        <w:t>Neonatal and paediatric</w:t>
      </w:r>
      <w:r>
        <w:rPr>
          <w:noProof/>
          <w:lang w:eastAsia="en-GB"/>
        </w:rPr>
        <w:t xml:space="preserve"> patients undergoing surgery </w:t>
      </w:r>
      <w:r>
        <w:rPr>
          <w:noProof/>
        </w:rPr>
        <w:t>– effect of RBC transfusion on patient outcomes</w:t>
      </w:r>
      <w:r>
        <w:rPr>
          <w:noProof/>
        </w:rPr>
        <w:tab/>
      </w:r>
      <w:r>
        <w:rPr>
          <w:noProof/>
        </w:rPr>
        <w:fldChar w:fldCharType="begin"/>
      </w:r>
      <w:r>
        <w:rPr>
          <w:noProof/>
        </w:rPr>
        <w:instrText xml:space="preserve"> PAGEREF _Toc427851321 \h </w:instrText>
      </w:r>
      <w:r>
        <w:rPr>
          <w:noProof/>
        </w:rPr>
      </w:r>
      <w:r>
        <w:rPr>
          <w:noProof/>
        </w:rPr>
        <w:fldChar w:fldCharType="separate"/>
      </w:r>
      <w:r>
        <w:rPr>
          <w:noProof/>
        </w:rPr>
        <w:t>40</w:t>
      </w:r>
      <w:r>
        <w:rPr>
          <w:noProof/>
        </w:rPr>
        <w:fldChar w:fldCharType="end"/>
      </w:r>
    </w:p>
    <w:p w14:paraId="0398D17F" w14:textId="77777777" w:rsidR="003F176A" w:rsidRDefault="003F176A">
      <w:pPr>
        <w:pStyle w:val="TOC3"/>
        <w:rPr>
          <w:rFonts w:asciiTheme="minorHAnsi" w:eastAsiaTheme="minorEastAsia" w:hAnsiTheme="minorHAnsi" w:cstheme="minorBidi"/>
          <w:noProof/>
          <w:color w:val="auto"/>
        </w:rPr>
      </w:pPr>
      <w:r>
        <w:rPr>
          <w:noProof/>
          <w:lang w:eastAsia="en-GB"/>
        </w:rPr>
        <w:t>3.2.7</w:t>
      </w:r>
      <w:r>
        <w:rPr>
          <w:rFonts w:asciiTheme="minorHAnsi" w:eastAsiaTheme="minorEastAsia" w:hAnsiTheme="minorHAnsi" w:cstheme="minorBidi"/>
          <w:noProof/>
          <w:color w:val="auto"/>
        </w:rPr>
        <w:tab/>
      </w:r>
      <w:r>
        <w:rPr>
          <w:noProof/>
          <w:lang w:eastAsia="en-GB"/>
        </w:rPr>
        <w:t xml:space="preserve">Critically ill </w:t>
      </w:r>
      <w:r w:rsidRPr="008363E8">
        <w:rPr>
          <w:noProof/>
          <w:lang w:eastAsia="en-GB"/>
        </w:rPr>
        <w:t>neonatal and p</w:t>
      </w:r>
      <w:r>
        <w:rPr>
          <w:noProof/>
          <w:lang w:eastAsia="en-GB"/>
        </w:rPr>
        <w:t>aediatric patients – effect of RBC transfusion on patient outcomes</w:t>
      </w:r>
      <w:r>
        <w:rPr>
          <w:noProof/>
        </w:rPr>
        <w:tab/>
      </w:r>
      <w:r>
        <w:rPr>
          <w:noProof/>
        </w:rPr>
        <w:fldChar w:fldCharType="begin"/>
      </w:r>
      <w:r>
        <w:rPr>
          <w:noProof/>
        </w:rPr>
        <w:instrText xml:space="preserve"> PAGEREF _Toc427851322 \h </w:instrText>
      </w:r>
      <w:r>
        <w:rPr>
          <w:noProof/>
        </w:rPr>
      </w:r>
      <w:r>
        <w:rPr>
          <w:noProof/>
        </w:rPr>
        <w:fldChar w:fldCharType="separate"/>
      </w:r>
      <w:r>
        <w:rPr>
          <w:noProof/>
        </w:rPr>
        <w:t>44</w:t>
      </w:r>
      <w:r>
        <w:rPr>
          <w:noProof/>
        </w:rPr>
        <w:fldChar w:fldCharType="end"/>
      </w:r>
    </w:p>
    <w:p w14:paraId="18A99C67" w14:textId="77777777" w:rsidR="003F176A" w:rsidRDefault="003F176A">
      <w:pPr>
        <w:pStyle w:val="TOC3"/>
        <w:rPr>
          <w:rFonts w:asciiTheme="minorHAnsi" w:eastAsiaTheme="minorEastAsia" w:hAnsiTheme="minorHAnsi" w:cstheme="minorBidi"/>
          <w:noProof/>
          <w:color w:val="auto"/>
        </w:rPr>
      </w:pPr>
      <w:r>
        <w:rPr>
          <w:noProof/>
        </w:rPr>
        <w:t>3.3</w:t>
      </w:r>
      <w:r>
        <w:rPr>
          <w:rFonts w:asciiTheme="minorHAnsi" w:eastAsiaTheme="minorEastAsia" w:hAnsiTheme="minorHAnsi" w:cstheme="minorBidi"/>
          <w:noProof/>
          <w:color w:val="auto"/>
        </w:rPr>
        <w:tab/>
      </w:r>
      <w:r>
        <w:rPr>
          <w:noProof/>
        </w:rPr>
        <w:t xml:space="preserve">Effect of non-transfusion interventions to increase </w:t>
      </w:r>
      <w:r w:rsidRPr="008363E8">
        <w:rPr>
          <w:noProof/>
        </w:rPr>
        <w:t>Hb</w:t>
      </w:r>
      <w:r>
        <w:rPr>
          <w:noProof/>
        </w:rPr>
        <w:t xml:space="preserve"> concentration on outcomes</w:t>
      </w:r>
      <w:r>
        <w:rPr>
          <w:noProof/>
        </w:rPr>
        <w:tab/>
      </w:r>
      <w:r>
        <w:rPr>
          <w:noProof/>
        </w:rPr>
        <w:fldChar w:fldCharType="begin"/>
      </w:r>
      <w:r>
        <w:rPr>
          <w:noProof/>
        </w:rPr>
        <w:instrText xml:space="preserve"> PAGEREF _Toc427851323 \h </w:instrText>
      </w:r>
      <w:r>
        <w:rPr>
          <w:noProof/>
        </w:rPr>
      </w:r>
      <w:r>
        <w:rPr>
          <w:noProof/>
        </w:rPr>
        <w:fldChar w:fldCharType="separate"/>
      </w:r>
      <w:r>
        <w:rPr>
          <w:noProof/>
        </w:rPr>
        <w:t>46</w:t>
      </w:r>
      <w:r>
        <w:rPr>
          <w:noProof/>
        </w:rPr>
        <w:fldChar w:fldCharType="end"/>
      </w:r>
    </w:p>
    <w:p w14:paraId="3DE1D5CA" w14:textId="77777777" w:rsidR="003F176A" w:rsidRDefault="003F176A">
      <w:pPr>
        <w:pStyle w:val="TOC3"/>
        <w:rPr>
          <w:rFonts w:asciiTheme="minorHAnsi" w:eastAsiaTheme="minorEastAsia" w:hAnsiTheme="minorHAnsi" w:cstheme="minorBidi"/>
          <w:noProof/>
          <w:color w:val="auto"/>
        </w:rPr>
      </w:pPr>
      <w:r w:rsidRPr="008363E8">
        <w:rPr>
          <w:noProof/>
        </w:rPr>
        <w:t>3.3.1</w:t>
      </w:r>
      <w:r>
        <w:rPr>
          <w:rFonts w:asciiTheme="minorHAnsi" w:eastAsiaTheme="minorEastAsia" w:hAnsiTheme="minorHAnsi" w:cstheme="minorBidi"/>
          <w:noProof/>
          <w:color w:val="auto"/>
        </w:rPr>
        <w:tab/>
      </w:r>
      <w:r>
        <w:rPr>
          <w:noProof/>
        </w:rPr>
        <w:t xml:space="preserve">Preterm and low birth weight infants </w:t>
      </w:r>
      <w:r w:rsidRPr="008363E8">
        <w:rPr>
          <w:noProof/>
        </w:rPr>
        <w:t xml:space="preserve">– effect of </w:t>
      </w:r>
      <w:r>
        <w:rPr>
          <w:noProof/>
        </w:rPr>
        <w:t xml:space="preserve">ESAs </w:t>
      </w:r>
      <w:r w:rsidRPr="008363E8">
        <w:rPr>
          <w:noProof/>
        </w:rPr>
        <w:t>(</w:t>
      </w:r>
      <w:r>
        <w:rPr>
          <w:noProof/>
        </w:rPr>
        <w:t>with or without iron</w:t>
      </w:r>
      <w:r w:rsidRPr="008363E8">
        <w:rPr>
          <w:noProof/>
        </w:rPr>
        <w:t>) on outcomes</w:t>
      </w:r>
      <w:r>
        <w:rPr>
          <w:noProof/>
        </w:rPr>
        <w:tab/>
      </w:r>
      <w:r>
        <w:rPr>
          <w:noProof/>
        </w:rPr>
        <w:fldChar w:fldCharType="begin"/>
      </w:r>
      <w:r>
        <w:rPr>
          <w:noProof/>
        </w:rPr>
        <w:instrText xml:space="preserve"> PAGEREF _Toc427851324 \h </w:instrText>
      </w:r>
      <w:r>
        <w:rPr>
          <w:noProof/>
        </w:rPr>
      </w:r>
      <w:r>
        <w:rPr>
          <w:noProof/>
        </w:rPr>
        <w:fldChar w:fldCharType="separate"/>
      </w:r>
      <w:r>
        <w:rPr>
          <w:noProof/>
        </w:rPr>
        <w:t>47</w:t>
      </w:r>
      <w:r>
        <w:rPr>
          <w:noProof/>
        </w:rPr>
        <w:fldChar w:fldCharType="end"/>
      </w:r>
    </w:p>
    <w:p w14:paraId="1BD36CF8" w14:textId="77777777" w:rsidR="003F176A" w:rsidRDefault="003F176A">
      <w:pPr>
        <w:pStyle w:val="TOC3"/>
        <w:rPr>
          <w:rFonts w:asciiTheme="minorHAnsi" w:eastAsiaTheme="minorEastAsia" w:hAnsiTheme="minorHAnsi" w:cstheme="minorBidi"/>
          <w:noProof/>
          <w:color w:val="auto"/>
        </w:rPr>
      </w:pPr>
      <w:r w:rsidRPr="008363E8">
        <w:rPr>
          <w:noProof/>
        </w:rPr>
        <w:t>3.3.2</w:t>
      </w:r>
      <w:r>
        <w:rPr>
          <w:rFonts w:asciiTheme="minorHAnsi" w:eastAsiaTheme="minorEastAsia" w:hAnsiTheme="minorHAnsi" w:cstheme="minorBidi"/>
          <w:noProof/>
          <w:color w:val="auto"/>
        </w:rPr>
        <w:tab/>
      </w:r>
      <w:r>
        <w:rPr>
          <w:noProof/>
        </w:rPr>
        <w:t xml:space="preserve">Preterm and low birth weight infants </w:t>
      </w:r>
      <w:r w:rsidRPr="008363E8">
        <w:rPr>
          <w:noProof/>
        </w:rPr>
        <w:t>– effect of oral and/or parenteral iron on outcomes</w:t>
      </w:r>
      <w:r>
        <w:rPr>
          <w:noProof/>
        </w:rPr>
        <w:tab/>
      </w:r>
      <w:r>
        <w:rPr>
          <w:noProof/>
        </w:rPr>
        <w:fldChar w:fldCharType="begin"/>
      </w:r>
      <w:r>
        <w:rPr>
          <w:noProof/>
        </w:rPr>
        <w:instrText xml:space="preserve"> PAGEREF _Toc427851325 \h </w:instrText>
      </w:r>
      <w:r>
        <w:rPr>
          <w:noProof/>
        </w:rPr>
      </w:r>
      <w:r>
        <w:rPr>
          <w:noProof/>
        </w:rPr>
        <w:fldChar w:fldCharType="separate"/>
      </w:r>
      <w:r>
        <w:rPr>
          <w:noProof/>
        </w:rPr>
        <w:t>50</w:t>
      </w:r>
      <w:r>
        <w:rPr>
          <w:noProof/>
        </w:rPr>
        <w:fldChar w:fldCharType="end"/>
      </w:r>
    </w:p>
    <w:p w14:paraId="19081D9E" w14:textId="77777777" w:rsidR="003F176A" w:rsidRDefault="003F176A">
      <w:pPr>
        <w:pStyle w:val="TOC3"/>
        <w:rPr>
          <w:rFonts w:asciiTheme="minorHAnsi" w:eastAsiaTheme="minorEastAsia" w:hAnsiTheme="minorHAnsi" w:cstheme="minorBidi"/>
          <w:noProof/>
          <w:color w:val="auto"/>
        </w:rPr>
      </w:pPr>
      <w:r w:rsidRPr="008363E8">
        <w:rPr>
          <w:noProof/>
        </w:rPr>
        <w:t>3.3.3</w:t>
      </w:r>
      <w:r>
        <w:rPr>
          <w:rFonts w:asciiTheme="minorHAnsi" w:eastAsiaTheme="minorEastAsia" w:hAnsiTheme="minorHAnsi" w:cstheme="minorBidi"/>
          <w:noProof/>
          <w:color w:val="auto"/>
        </w:rPr>
        <w:tab/>
      </w:r>
      <w:r>
        <w:rPr>
          <w:noProof/>
        </w:rPr>
        <w:t xml:space="preserve">Infants, children and adolescents at risk of anaemia </w:t>
      </w:r>
      <w:r w:rsidRPr="008363E8">
        <w:rPr>
          <w:noProof/>
        </w:rPr>
        <w:t xml:space="preserve">– effect of </w:t>
      </w:r>
      <w:r>
        <w:rPr>
          <w:noProof/>
        </w:rPr>
        <w:t xml:space="preserve">ESAs </w:t>
      </w:r>
      <w:r w:rsidRPr="008363E8">
        <w:rPr>
          <w:noProof/>
        </w:rPr>
        <w:t>(</w:t>
      </w:r>
      <w:r>
        <w:rPr>
          <w:noProof/>
        </w:rPr>
        <w:t>with or without iron</w:t>
      </w:r>
      <w:r w:rsidRPr="008363E8">
        <w:rPr>
          <w:noProof/>
        </w:rPr>
        <w:t>) on outcomes</w:t>
      </w:r>
      <w:r>
        <w:rPr>
          <w:noProof/>
        </w:rPr>
        <w:tab/>
      </w:r>
      <w:r>
        <w:rPr>
          <w:noProof/>
        </w:rPr>
        <w:fldChar w:fldCharType="begin"/>
      </w:r>
      <w:r>
        <w:rPr>
          <w:noProof/>
        </w:rPr>
        <w:instrText xml:space="preserve"> PAGEREF _Toc427851326 \h </w:instrText>
      </w:r>
      <w:r>
        <w:rPr>
          <w:noProof/>
        </w:rPr>
      </w:r>
      <w:r>
        <w:rPr>
          <w:noProof/>
        </w:rPr>
        <w:fldChar w:fldCharType="separate"/>
      </w:r>
      <w:r>
        <w:rPr>
          <w:noProof/>
        </w:rPr>
        <w:t>52</w:t>
      </w:r>
      <w:r>
        <w:rPr>
          <w:noProof/>
        </w:rPr>
        <w:fldChar w:fldCharType="end"/>
      </w:r>
    </w:p>
    <w:p w14:paraId="676500BA" w14:textId="77777777" w:rsidR="003F176A" w:rsidRDefault="003F176A">
      <w:pPr>
        <w:pStyle w:val="TOC3"/>
        <w:rPr>
          <w:rFonts w:asciiTheme="minorHAnsi" w:eastAsiaTheme="minorEastAsia" w:hAnsiTheme="minorHAnsi" w:cstheme="minorBidi"/>
          <w:noProof/>
          <w:color w:val="auto"/>
        </w:rPr>
      </w:pPr>
      <w:r w:rsidRPr="008363E8">
        <w:rPr>
          <w:noProof/>
        </w:rPr>
        <w:t>3.3.4</w:t>
      </w:r>
      <w:r>
        <w:rPr>
          <w:rFonts w:asciiTheme="minorHAnsi" w:eastAsiaTheme="minorEastAsia" w:hAnsiTheme="minorHAnsi" w:cstheme="minorBidi"/>
          <w:noProof/>
          <w:color w:val="auto"/>
        </w:rPr>
        <w:tab/>
      </w:r>
      <w:r>
        <w:rPr>
          <w:noProof/>
        </w:rPr>
        <w:t xml:space="preserve">Infants, children and adolescents at risk of anaemia </w:t>
      </w:r>
      <w:r w:rsidRPr="008363E8">
        <w:rPr>
          <w:noProof/>
        </w:rPr>
        <w:t>– effect of oral and/or parenteral iron on outcomes</w:t>
      </w:r>
      <w:r>
        <w:rPr>
          <w:noProof/>
        </w:rPr>
        <w:tab/>
      </w:r>
      <w:r>
        <w:rPr>
          <w:noProof/>
        </w:rPr>
        <w:fldChar w:fldCharType="begin"/>
      </w:r>
      <w:r>
        <w:rPr>
          <w:noProof/>
        </w:rPr>
        <w:instrText xml:space="preserve"> PAGEREF _Toc427851327 \h </w:instrText>
      </w:r>
      <w:r>
        <w:rPr>
          <w:noProof/>
        </w:rPr>
      </w:r>
      <w:r>
        <w:rPr>
          <w:noProof/>
        </w:rPr>
        <w:fldChar w:fldCharType="separate"/>
      </w:r>
      <w:r>
        <w:rPr>
          <w:noProof/>
        </w:rPr>
        <w:t>53</w:t>
      </w:r>
      <w:r>
        <w:rPr>
          <w:noProof/>
        </w:rPr>
        <w:fldChar w:fldCharType="end"/>
      </w:r>
    </w:p>
    <w:p w14:paraId="28D9C09B" w14:textId="77777777" w:rsidR="003F176A" w:rsidRDefault="003F176A">
      <w:pPr>
        <w:pStyle w:val="TOC3"/>
        <w:rPr>
          <w:rFonts w:asciiTheme="minorHAnsi" w:eastAsiaTheme="minorEastAsia" w:hAnsiTheme="minorHAnsi" w:cstheme="minorBidi"/>
          <w:noProof/>
          <w:color w:val="auto"/>
        </w:rPr>
      </w:pPr>
      <w:r w:rsidRPr="008363E8">
        <w:rPr>
          <w:noProof/>
        </w:rPr>
        <w:t>3.3.5</w:t>
      </w:r>
      <w:r>
        <w:rPr>
          <w:rFonts w:asciiTheme="minorHAnsi" w:eastAsiaTheme="minorEastAsia" w:hAnsiTheme="minorHAnsi" w:cstheme="minorBidi"/>
          <w:noProof/>
          <w:color w:val="auto"/>
        </w:rPr>
        <w:tab/>
      </w:r>
      <w:r>
        <w:rPr>
          <w:noProof/>
        </w:rPr>
        <w:t xml:space="preserve">Medical: </w:t>
      </w:r>
      <w:r w:rsidRPr="008363E8">
        <w:rPr>
          <w:noProof/>
        </w:rPr>
        <w:t xml:space="preserve">neonatal and </w:t>
      </w:r>
      <w:r>
        <w:rPr>
          <w:noProof/>
        </w:rPr>
        <w:t>paediatric patients with cancer</w:t>
      </w:r>
      <w:r w:rsidRPr="008363E8">
        <w:rPr>
          <w:noProof/>
        </w:rPr>
        <w:t xml:space="preserve"> – effect of </w:t>
      </w:r>
      <w:r>
        <w:rPr>
          <w:noProof/>
        </w:rPr>
        <w:t xml:space="preserve">ESAs </w:t>
      </w:r>
      <w:r w:rsidRPr="008363E8">
        <w:rPr>
          <w:noProof/>
        </w:rPr>
        <w:t>(</w:t>
      </w:r>
      <w:r>
        <w:rPr>
          <w:noProof/>
        </w:rPr>
        <w:t>with or without iron</w:t>
      </w:r>
      <w:r w:rsidRPr="008363E8">
        <w:rPr>
          <w:noProof/>
        </w:rPr>
        <w:t>) on outcomes</w:t>
      </w:r>
      <w:r>
        <w:rPr>
          <w:noProof/>
        </w:rPr>
        <w:tab/>
      </w:r>
      <w:r>
        <w:rPr>
          <w:noProof/>
        </w:rPr>
        <w:fldChar w:fldCharType="begin"/>
      </w:r>
      <w:r>
        <w:rPr>
          <w:noProof/>
        </w:rPr>
        <w:instrText xml:space="preserve"> PAGEREF _Toc427851328 \h </w:instrText>
      </w:r>
      <w:r>
        <w:rPr>
          <w:noProof/>
        </w:rPr>
      </w:r>
      <w:r>
        <w:rPr>
          <w:noProof/>
        </w:rPr>
        <w:fldChar w:fldCharType="separate"/>
      </w:r>
      <w:r>
        <w:rPr>
          <w:noProof/>
        </w:rPr>
        <w:t>55</w:t>
      </w:r>
      <w:r>
        <w:rPr>
          <w:noProof/>
        </w:rPr>
        <w:fldChar w:fldCharType="end"/>
      </w:r>
    </w:p>
    <w:p w14:paraId="44BEB667" w14:textId="77777777" w:rsidR="003F176A" w:rsidRDefault="003F176A">
      <w:pPr>
        <w:pStyle w:val="TOC3"/>
        <w:rPr>
          <w:rFonts w:asciiTheme="minorHAnsi" w:eastAsiaTheme="minorEastAsia" w:hAnsiTheme="minorHAnsi" w:cstheme="minorBidi"/>
          <w:noProof/>
          <w:color w:val="auto"/>
        </w:rPr>
      </w:pPr>
      <w:r w:rsidRPr="008363E8">
        <w:rPr>
          <w:noProof/>
        </w:rPr>
        <w:t>3.3.7</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paediatric patients with kidney disease</w:t>
      </w:r>
      <w:r w:rsidRPr="008363E8">
        <w:rPr>
          <w:noProof/>
        </w:rPr>
        <w:t xml:space="preserve"> – effects of </w:t>
      </w:r>
      <w:r>
        <w:rPr>
          <w:noProof/>
        </w:rPr>
        <w:t xml:space="preserve">ESAs </w:t>
      </w:r>
      <w:r w:rsidRPr="008363E8">
        <w:rPr>
          <w:noProof/>
        </w:rPr>
        <w:t>(</w:t>
      </w:r>
      <w:r>
        <w:rPr>
          <w:noProof/>
        </w:rPr>
        <w:t>with or without iron</w:t>
      </w:r>
      <w:r w:rsidRPr="008363E8">
        <w:rPr>
          <w:noProof/>
        </w:rPr>
        <w:t>) on outcomes</w:t>
      </w:r>
      <w:r>
        <w:rPr>
          <w:noProof/>
        </w:rPr>
        <w:tab/>
      </w:r>
      <w:r>
        <w:rPr>
          <w:noProof/>
        </w:rPr>
        <w:fldChar w:fldCharType="begin"/>
      </w:r>
      <w:r>
        <w:rPr>
          <w:noProof/>
        </w:rPr>
        <w:instrText xml:space="preserve"> PAGEREF _Toc427851329 \h </w:instrText>
      </w:r>
      <w:r>
        <w:rPr>
          <w:noProof/>
        </w:rPr>
      </w:r>
      <w:r>
        <w:rPr>
          <w:noProof/>
        </w:rPr>
        <w:fldChar w:fldCharType="separate"/>
      </w:r>
      <w:r>
        <w:rPr>
          <w:noProof/>
        </w:rPr>
        <w:t>58</w:t>
      </w:r>
      <w:r>
        <w:rPr>
          <w:noProof/>
        </w:rPr>
        <w:fldChar w:fldCharType="end"/>
      </w:r>
    </w:p>
    <w:p w14:paraId="63685AD1" w14:textId="77777777" w:rsidR="003F176A" w:rsidRDefault="003F176A">
      <w:pPr>
        <w:pStyle w:val="TOC3"/>
        <w:rPr>
          <w:rFonts w:asciiTheme="minorHAnsi" w:eastAsiaTheme="minorEastAsia" w:hAnsiTheme="minorHAnsi" w:cstheme="minorBidi"/>
          <w:noProof/>
          <w:color w:val="auto"/>
        </w:rPr>
      </w:pPr>
      <w:r w:rsidRPr="008363E8">
        <w:rPr>
          <w:noProof/>
        </w:rPr>
        <w:t>3.3.8</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paediatric patients with kidney disease</w:t>
      </w:r>
      <w:r w:rsidRPr="008363E8">
        <w:rPr>
          <w:noProof/>
        </w:rPr>
        <w:t xml:space="preserve"> – effect of oral and/or parenteral iron on outcomes</w:t>
      </w:r>
      <w:r>
        <w:rPr>
          <w:noProof/>
        </w:rPr>
        <w:tab/>
      </w:r>
      <w:r>
        <w:rPr>
          <w:noProof/>
        </w:rPr>
        <w:fldChar w:fldCharType="begin"/>
      </w:r>
      <w:r>
        <w:rPr>
          <w:noProof/>
        </w:rPr>
        <w:instrText xml:space="preserve"> PAGEREF _Toc427851330 \h </w:instrText>
      </w:r>
      <w:r>
        <w:rPr>
          <w:noProof/>
        </w:rPr>
      </w:r>
      <w:r>
        <w:rPr>
          <w:noProof/>
        </w:rPr>
        <w:fldChar w:fldCharType="separate"/>
      </w:r>
      <w:r>
        <w:rPr>
          <w:noProof/>
        </w:rPr>
        <w:t>61</w:t>
      </w:r>
      <w:r>
        <w:rPr>
          <w:noProof/>
        </w:rPr>
        <w:fldChar w:fldCharType="end"/>
      </w:r>
    </w:p>
    <w:p w14:paraId="3570F61E" w14:textId="77777777" w:rsidR="003F176A" w:rsidRDefault="003F176A">
      <w:pPr>
        <w:pStyle w:val="TOC3"/>
        <w:rPr>
          <w:rFonts w:asciiTheme="minorHAnsi" w:eastAsiaTheme="minorEastAsia" w:hAnsiTheme="minorHAnsi" w:cstheme="minorBidi"/>
          <w:noProof/>
          <w:color w:val="auto"/>
        </w:rPr>
      </w:pPr>
      <w:r w:rsidRPr="008363E8">
        <w:rPr>
          <w:noProof/>
        </w:rPr>
        <w:t>3.3.9</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 xml:space="preserve">paediatric patients with </w:t>
      </w:r>
      <w:r w:rsidRPr="008363E8">
        <w:rPr>
          <w:noProof/>
        </w:rPr>
        <w:t>SCD – effect of hydroxyurea</w:t>
      </w:r>
      <w:r>
        <w:rPr>
          <w:noProof/>
        </w:rPr>
        <w:tab/>
      </w:r>
      <w:r>
        <w:rPr>
          <w:noProof/>
        </w:rPr>
        <w:fldChar w:fldCharType="begin"/>
      </w:r>
      <w:r>
        <w:rPr>
          <w:noProof/>
        </w:rPr>
        <w:instrText xml:space="preserve"> PAGEREF _Toc427851331 \h </w:instrText>
      </w:r>
      <w:r>
        <w:rPr>
          <w:noProof/>
        </w:rPr>
      </w:r>
      <w:r>
        <w:rPr>
          <w:noProof/>
        </w:rPr>
        <w:fldChar w:fldCharType="separate"/>
      </w:r>
      <w:r>
        <w:rPr>
          <w:noProof/>
        </w:rPr>
        <w:t>63</w:t>
      </w:r>
      <w:r>
        <w:rPr>
          <w:noProof/>
        </w:rPr>
        <w:fldChar w:fldCharType="end"/>
      </w:r>
    </w:p>
    <w:p w14:paraId="499EAFD8" w14:textId="77777777" w:rsidR="003F176A" w:rsidRDefault="003F176A">
      <w:pPr>
        <w:pStyle w:val="TOC3"/>
        <w:rPr>
          <w:rFonts w:asciiTheme="minorHAnsi" w:eastAsiaTheme="minorEastAsia" w:hAnsiTheme="minorHAnsi" w:cstheme="minorBidi"/>
          <w:noProof/>
          <w:color w:val="auto"/>
        </w:rPr>
      </w:pPr>
      <w:r w:rsidRPr="008363E8">
        <w:rPr>
          <w:noProof/>
        </w:rPr>
        <w:t>3.3.10</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 xml:space="preserve">paediatric patients </w:t>
      </w:r>
      <w:r w:rsidRPr="008363E8">
        <w:rPr>
          <w:noProof/>
        </w:rPr>
        <w:t>undergoing surgery – general</w:t>
      </w:r>
      <w:r>
        <w:rPr>
          <w:noProof/>
        </w:rPr>
        <w:tab/>
      </w:r>
      <w:r>
        <w:rPr>
          <w:noProof/>
        </w:rPr>
        <w:fldChar w:fldCharType="begin"/>
      </w:r>
      <w:r>
        <w:rPr>
          <w:noProof/>
        </w:rPr>
        <w:instrText xml:space="preserve"> PAGEREF _Toc427851332 \h </w:instrText>
      </w:r>
      <w:r>
        <w:rPr>
          <w:noProof/>
        </w:rPr>
      </w:r>
      <w:r>
        <w:rPr>
          <w:noProof/>
        </w:rPr>
        <w:fldChar w:fldCharType="separate"/>
      </w:r>
      <w:r>
        <w:rPr>
          <w:noProof/>
        </w:rPr>
        <w:t>65</w:t>
      </w:r>
      <w:r>
        <w:rPr>
          <w:noProof/>
        </w:rPr>
        <w:fldChar w:fldCharType="end"/>
      </w:r>
    </w:p>
    <w:p w14:paraId="67CCCE3A" w14:textId="77777777" w:rsidR="003F176A" w:rsidRDefault="003F176A">
      <w:pPr>
        <w:pStyle w:val="TOC3"/>
        <w:rPr>
          <w:rFonts w:asciiTheme="minorHAnsi" w:eastAsiaTheme="minorEastAsia" w:hAnsiTheme="minorHAnsi" w:cstheme="minorBidi"/>
          <w:noProof/>
          <w:color w:val="auto"/>
        </w:rPr>
      </w:pPr>
      <w:r w:rsidRPr="008363E8">
        <w:rPr>
          <w:noProof/>
        </w:rPr>
        <w:t>3.3.11</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 xml:space="preserve">paediatric patients </w:t>
      </w:r>
      <w:r w:rsidRPr="008363E8">
        <w:rPr>
          <w:noProof/>
        </w:rPr>
        <w:t>undergoing surgery – effect of ESAs (without or without iron) on outcomes</w:t>
      </w:r>
      <w:r>
        <w:rPr>
          <w:noProof/>
        </w:rPr>
        <w:tab/>
      </w:r>
      <w:r>
        <w:rPr>
          <w:noProof/>
        </w:rPr>
        <w:fldChar w:fldCharType="begin"/>
      </w:r>
      <w:r>
        <w:rPr>
          <w:noProof/>
        </w:rPr>
        <w:instrText xml:space="preserve"> PAGEREF _Toc427851333 \h </w:instrText>
      </w:r>
      <w:r>
        <w:rPr>
          <w:noProof/>
        </w:rPr>
      </w:r>
      <w:r>
        <w:rPr>
          <w:noProof/>
        </w:rPr>
        <w:fldChar w:fldCharType="separate"/>
      </w:r>
      <w:r>
        <w:rPr>
          <w:noProof/>
        </w:rPr>
        <w:t>66</w:t>
      </w:r>
      <w:r>
        <w:rPr>
          <w:noProof/>
        </w:rPr>
        <w:fldChar w:fldCharType="end"/>
      </w:r>
    </w:p>
    <w:p w14:paraId="37108254" w14:textId="77777777" w:rsidR="003F176A" w:rsidRDefault="003F176A">
      <w:pPr>
        <w:pStyle w:val="TOC3"/>
        <w:rPr>
          <w:rFonts w:asciiTheme="minorHAnsi" w:eastAsiaTheme="minorEastAsia" w:hAnsiTheme="minorHAnsi" w:cstheme="minorBidi"/>
          <w:noProof/>
          <w:color w:val="auto"/>
        </w:rPr>
      </w:pPr>
      <w:r w:rsidRPr="008363E8">
        <w:rPr>
          <w:noProof/>
        </w:rPr>
        <w:t>3.3.12</w:t>
      </w:r>
      <w:r>
        <w:rPr>
          <w:rFonts w:asciiTheme="minorHAnsi" w:eastAsiaTheme="minorEastAsia" w:hAnsiTheme="minorHAnsi" w:cstheme="minorBidi"/>
          <w:noProof/>
          <w:color w:val="auto"/>
        </w:rPr>
        <w:tab/>
      </w:r>
      <w:r>
        <w:rPr>
          <w:noProof/>
        </w:rPr>
        <w:t xml:space="preserve">Medical: neonatal </w:t>
      </w:r>
      <w:r w:rsidRPr="008363E8">
        <w:rPr>
          <w:noProof/>
        </w:rPr>
        <w:t xml:space="preserve">and </w:t>
      </w:r>
      <w:r>
        <w:rPr>
          <w:noProof/>
        </w:rPr>
        <w:t xml:space="preserve">paediatric patients </w:t>
      </w:r>
      <w:r w:rsidRPr="008363E8">
        <w:rPr>
          <w:noProof/>
        </w:rPr>
        <w:t>undergoing surgery – effect of oral and/or parenteral iron on outcomes</w:t>
      </w:r>
      <w:r>
        <w:rPr>
          <w:noProof/>
        </w:rPr>
        <w:tab/>
      </w:r>
      <w:r>
        <w:rPr>
          <w:noProof/>
        </w:rPr>
        <w:fldChar w:fldCharType="begin"/>
      </w:r>
      <w:r>
        <w:rPr>
          <w:noProof/>
        </w:rPr>
        <w:instrText xml:space="preserve"> PAGEREF _Toc427851334 \h </w:instrText>
      </w:r>
      <w:r>
        <w:rPr>
          <w:noProof/>
        </w:rPr>
      </w:r>
      <w:r>
        <w:rPr>
          <w:noProof/>
        </w:rPr>
        <w:fldChar w:fldCharType="separate"/>
      </w:r>
      <w:r>
        <w:rPr>
          <w:noProof/>
        </w:rPr>
        <w:t>68</w:t>
      </w:r>
      <w:r>
        <w:rPr>
          <w:noProof/>
        </w:rPr>
        <w:fldChar w:fldCharType="end"/>
      </w:r>
    </w:p>
    <w:p w14:paraId="0F64A2A4" w14:textId="77777777" w:rsidR="003F176A" w:rsidRDefault="003F176A">
      <w:pPr>
        <w:pStyle w:val="TOC3"/>
        <w:rPr>
          <w:rFonts w:asciiTheme="minorHAnsi" w:eastAsiaTheme="minorEastAsia" w:hAnsiTheme="minorHAnsi" w:cstheme="minorBidi"/>
          <w:noProof/>
          <w:color w:val="auto"/>
        </w:rPr>
      </w:pPr>
      <w:r w:rsidRPr="008363E8">
        <w:rPr>
          <w:noProof/>
        </w:rPr>
        <w:t>3.3.12</w:t>
      </w:r>
      <w:r>
        <w:rPr>
          <w:rFonts w:asciiTheme="minorHAnsi" w:eastAsiaTheme="minorEastAsia" w:hAnsiTheme="minorHAnsi" w:cstheme="minorBidi"/>
          <w:noProof/>
          <w:color w:val="auto"/>
        </w:rPr>
        <w:tab/>
      </w:r>
      <w:r>
        <w:rPr>
          <w:noProof/>
        </w:rPr>
        <w:t xml:space="preserve">Critically ill </w:t>
      </w:r>
      <w:r w:rsidRPr="008363E8">
        <w:rPr>
          <w:noProof/>
        </w:rPr>
        <w:t xml:space="preserve">term and near term neonatal patients and </w:t>
      </w:r>
      <w:r>
        <w:rPr>
          <w:noProof/>
        </w:rPr>
        <w:t>paediatric patients</w:t>
      </w:r>
      <w:r w:rsidRPr="008363E8">
        <w:rPr>
          <w:noProof/>
        </w:rPr>
        <w:t xml:space="preserve"> – general</w:t>
      </w:r>
      <w:r>
        <w:rPr>
          <w:noProof/>
        </w:rPr>
        <w:tab/>
      </w:r>
      <w:r>
        <w:rPr>
          <w:noProof/>
        </w:rPr>
        <w:fldChar w:fldCharType="begin"/>
      </w:r>
      <w:r>
        <w:rPr>
          <w:noProof/>
        </w:rPr>
        <w:instrText xml:space="preserve"> PAGEREF _Toc427851335 \h </w:instrText>
      </w:r>
      <w:r>
        <w:rPr>
          <w:noProof/>
        </w:rPr>
      </w:r>
      <w:r>
        <w:rPr>
          <w:noProof/>
        </w:rPr>
        <w:fldChar w:fldCharType="separate"/>
      </w:r>
      <w:r>
        <w:rPr>
          <w:noProof/>
        </w:rPr>
        <w:t>69</w:t>
      </w:r>
      <w:r>
        <w:rPr>
          <w:noProof/>
        </w:rPr>
        <w:fldChar w:fldCharType="end"/>
      </w:r>
    </w:p>
    <w:p w14:paraId="22C0240E" w14:textId="77777777" w:rsidR="003F176A" w:rsidRDefault="003F176A">
      <w:pPr>
        <w:pStyle w:val="TOC3"/>
        <w:rPr>
          <w:rFonts w:asciiTheme="minorHAnsi" w:eastAsiaTheme="minorEastAsia" w:hAnsiTheme="minorHAnsi" w:cstheme="minorBidi"/>
          <w:noProof/>
          <w:color w:val="auto"/>
        </w:rPr>
      </w:pPr>
      <w:r w:rsidRPr="008363E8">
        <w:rPr>
          <w:noProof/>
        </w:rPr>
        <w:t>3.3.13</w:t>
      </w:r>
      <w:r>
        <w:rPr>
          <w:rFonts w:asciiTheme="minorHAnsi" w:eastAsiaTheme="minorEastAsia" w:hAnsiTheme="minorHAnsi" w:cstheme="minorBidi"/>
          <w:noProof/>
          <w:color w:val="auto"/>
        </w:rPr>
        <w:tab/>
      </w:r>
      <w:r>
        <w:rPr>
          <w:noProof/>
        </w:rPr>
        <w:t xml:space="preserve">Critically ill </w:t>
      </w:r>
      <w:r w:rsidRPr="008363E8">
        <w:rPr>
          <w:noProof/>
        </w:rPr>
        <w:t xml:space="preserve">term and near term neonatal patients and </w:t>
      </w:r>
      <w:r>
        <w:rPr>
          <w:noProof/>
        </w:rPr>
        <w:t>paediatric and patients</w:t>
      </w:r>
      <w:r w:rsidRPr="008363E8">
        <w:rPr>
          <w:noProof/>
        </w:rPr>
        <w:t xml:space="preserve"> – effect of ESAs, with or without iron, on outcomes</w:t>
      </w:r>
      <w:r>
        <w:rPr>
          <w:noProof/>
        </w:rPr>
        <w:tab/>
      </w:r>
      <w:r>
        <w:rPr>
          <w:noProof/>
        </w:rPr>
        <w:fldChar w:fldCharType="begin"/>
      </w:r>
      <w:r>
        <w:rPr>
          <w:noProof/>
        </w:rPr>
        <w:instrText xml:space="preserve"> PAGEREF _Toc427851336 \h </w:instrText>
      </w:r>
      <w:r>
        <w:rPr>
          <w:noProof/>
        </w:rPr>
      </w:r>
      <w:r>
        <w:rPr>
          <w:noProof/>
        </w:rPr>
        <w:fldChar w:fldCharType="separate"/>
      </w:r>
      <w:r>
        <w:rPr>
          <w:noProof/>
        </w:rPr>
        <w:t>69</w:t>
      </w:r>
      <w:r>
        <w:rPr>
          <w:noProof/>
        </w:rPr>
        <w:fldChar w:fldCharType="end"/>
      </w:r>
    </w:p>
    <w:p w14:paraId="4033E296" w14:textId="77777777" w:rsidR="003F176A" w:rsidRDefault="003F176A">
      <w:pPr>
        <w:pStyle w:val="TOC3"/>
        <w:rPr>
          <w:rFonts w:asciiTheme="minorHAnsi" w:eastAsiaTheme="minorEastAsia" w:hAnsiTheme="minorHAnsi" w:cstheme="minorBidi"/>
          <w:noProof/>
          <w:color w:val="auto"/>
        </w:rPr>
      </w:pPr>
      <w:r w:rsidRPr="008363E8">
        <w:rPr>
          <w:noProof/>
        </w:rPr>
        <w:t>3.3.14</w:t>
      </w:r>
      <w:r>
        <w:rPr>
          <w:rFonts w:asciiTheme="minorHAnsi" w:eastAsiaTheme="minorEastAsia" w:hAnsiTheme="minorHAnsi" w:cstheme="minorBidi"/>
          <w:noProof/>
          <w:color w:val="auto"/>
        </w:rPr>
        <w:tab/>
      </w:r>
      <w:r>
        <w:rPr>
          <w:noProof/>
        </w:rPr>
        <w:t xml:space="preserve">Critically ill </w:t>
      </w:r>
      <w:r w:rsidRPr="008363E8">
        <w:rPr>
          <w:noProof/>
        </w:rPr>
        <w:t xml:space="preserve">term and near term neonatal patients and </w:t>
      </w:r>
      <w:r>
        <w:rPr>
          <w:noProof/>
        </w:rPr>
        <w:t>paediatric patients</w:t>
      </w:r>
      <w:r w:rsidRPr="008363E8">
        <w:rPr>
          <w:noProof/>
        </w:rPr>
        <w:t xml:space="preserve"> – effect of oral and/or parenteral iron, on outcomes</w:t>
      </w:r>
      <w:r>
        <w:rPr>
          <w:noProof/>
        </w:rPr>
        <w:tab/>
      </w:r>
      <w:r>
        <w:rPr>
          <w:noProof/>
        </w:rPr>
        <w:fldChar w:fldCharType="begin"/>
      </w:r>
      <w:r>
        <w:rPr>
          <w:noProof/>
        </w:rPr>
        <w:instrText xml:space="preserve"> PAGEREF _Toc427851337 \h </w:instrText>
      </w:r>
      <w:r>
        <w:rPr>
          <w:noProof/>
        </w:rPr>
      </w:r>
      <w:r>
        <w:rPr>
          <w:noProof/>
        </w:rPr>
        <w:fldChar w:fldCharType="separate"/>
      </w:r>
      <w:r>
        <w:rPr>
          <w:noProof/>
        </w:rPr>
        <w:t>71</w:t>
      </w:r>
      <w:r>
        <w:rPr>
          <w:noProof/>
        </w:rPr>
        <w:fldChar w:fldCharType="end"/>
      </w:r>
    </w:p>
    <w:p w14:paraId="2188627F" w14:textId="77777777" w:rsidR="003F176A" w:rsidRDefault="003F176A">
      <w:pPr>
        <w:pStyle w:val="TOC2"/>
        <w:rPr>
          <w:rFonts w:asciiTheme="minorHAnsi" w:eastAsiaTheme="minorEastAsia" w:hAnsiTheme="minorHAnsi" w:cstheme="minorBidi"/>
          <w:noProof/>
          <w:color w:val="auto"/>
        </w:rPr>
      </w:pPr>
      <w:r>
        <w:rPr>
          <w:noProof/>
        </w:rPr>
        <w:t>3.</w:t>
      </w:r>
      <w:r w:rsidRPr="008363E8">
        <w:rPr>
          <w:noProof/>
        </w:rPr>
        <w:t>4</w:t>
      </w:r>
      <w:r>
        <w:rPr>
          <w:noProof/>
        </w:rPr>
        <w:t xml:space="preserve"> </w:t>
      </w:r>
      <w:r>
        <w:rPr>
          <w:rFonts w:asciiTheme="minorHAnsi" w:eastAsiaTheme="minorEastAsia" w:hAnsiTheme="minorHAnsi" w:cstheme="minorBidi"/>
          <w:noProof/>
          <w:color w:val="auto"/>
        </w:rPr>
        <w:tab/>
      </w:r>
      <w:r w:rsidRPr="008363E8">
        <w:rPr>
          <w:noProof/>
        </w:rPr>
        <w:t>Effect of blood components on outcomes</w:t>
      </w:r>
      <w:r>
        <w:rPr>
          <w:noProof/>
        </w:rPr>
        <w:tab/>
      </w:r>
      <w:r>
        <w:rPr>
          <w:noProof/>
        </w:rPr>
        <w:fldChar w:fldCharType="begin"/>
      </w:r>
      <w:r>
        <w:rPr>
          <w:noProof/>
        </w:rPr>
        <w:instrText xml:space="preserve"> PAGEREF _Toc427851338 \h </w:instrText>
      </w:r>
      <w:r>
        <w:rPr>
          <w:noProof/>
        </w:rPr>
      </w:r>
      <w:r>
        <w:rPr>
          <w:noProof/>
        </w:rPr>
        <w:fldChar w:fldCharType="separate"/>
      </w:r>
      <w:r>
        <w:rPr>
          <w:noProof/>
        </w:rPr>
        <w:t>71</w:t>
      </w:r>
      <w:r>
        <w:rPr>
          <w:noProof/>
        </w:rPr>
        <w:fldChar w:fldCharType="end"/>
      </w:r>
    </w:p>
    <w:p w14:paraId="083758FD" w14:textId="77777777" w:rsidR="003F176A" w:rsidRDefault="003F176A">
      <w:pPr>
        <w:pStyle w:val="TOC3"/>
        <w:rPr>
          <w:rFonts w:asciiTheme="minorHAnsi" w:eastAsiaTheme="minorEastAsia" w:hAnsiTheme="minorHAnsi" w:cstheme="minorBidi"/>
          <w:noProof/>
          <w:color w:val="auto"/>
        </w:rPr>
      </w:pPr>
      <w:r w:rsidRPr="008363E8">
        <w:rPr>
          <w:noProof/>
        </w:rPr>
        <w:t>3.4.1</w:t>
      </w:r>
      <w:r>
        <w:rPr>
          <w:rFonts w:asciiTheme="minorHAnsi" w:eastAsiaTheme="minorEastAsia" w:hAnsiTheme="minorHAnsi" w:cstheme="minorBidi"/>
          <w:noProof/>
          <w:color w:val="auto"/>
        </w:rPr>
        <w:tab/>
      </w:r>
      <w:r w:rsidRPr="008363E8">
        <w:rPr>
          <w:noProof/>
        </w:rPr>
        <w:t>Preterm</w:t>
      </w:r>
      <w:r>
        <w:rPr>
          <w:noProof/>
        </w:rPr>
        <w:t xml:space="preserve"> and low birth weight infants</w:t>
      </w:r>
      <w:r w:rsidRPr="008363E8">
        <w:rPr>
          <w:noProof/>
        </w:rPr>
        <w:t xml:space="preserve"> – effects of FFP on outcomes</w:t>
      </w:r>
      <w:r>
        <w:rPr>
          <w:noProof/>
        </w:rPr>
        <w:tab/>
      </w:r>
      <w:r>
        <w:rPr>
          <w:noProof/>
        </w:rPr>
        <w:fldChar w:fldCharType="begin"/>
      </w:r>
      <w:r>
        <w:rPr>
          <w:noProof/>
        </w:rPr>
        <w:instrText xml:space="preserve"> PAGEREF _Toc427851339 \h </w:instrText>
      </w:r>
      <w:r>
        <w:rPr>
          <w:noProof/>
        </w:rPr>
      </w:r>
      <w:r>
        <w:rPr>
          <w:noProof/>
        </w:rPr>
        <w:fldChar w:fldCharType="separate"/>
      </w:r>
      <w:r>
        <w:rPr>
          <w:noProof/>
        </w:rPr>
        <w:t>73</w:t>
      </w:r>
      <w:r>
        <w:rPr>
          <w:noProof/>
        </w:rPr>
        <w:fldChar w:fldCharType="end"/>
      </w:r>
    </w:p>
    <w:p w14:paraId="4E5D93E3" w14:textId="77777777" w:rsidR="003F176A" w:rsidRDefault="003F176A">
      <w:pPr>
        <w:pStyle w:val="TOC3"/>
        <w:rPr>
          <w:rFonts w:asciiTheme="minorHAnsi" w:eastAsiaTheme="minorEastAsia" w:hAnsiTheme="minorHAnsi" w:cstheme="minorBidi"/>
          <w:noProof/>
          <w:color w:val="auto"/>
        </w:rPr>
      </w:pPr>
      <w:r w:rsidRPr="008363E8">
        <w:rPr>
          <w:noProof/>
        </w:rPr>
        <w:t>3.4.2</w:t>
      </w:r>
      <w:r>
        <w:rPr>
          <w:rFonts w:asciiTheme="minorHAnsi" w:eastAsiaTheme="minorEastAsia" w:hAnsiTheme="minorHAnsi" w:cstheme="minorBidi"/>
          <w:noProof/>
          <w:color w:val="auto"/>
        </w:rPr>
        <w:tab/>
      </w:r>
      <w:r w:rsidRPr="008363E8">
        <w:rPr>
          <w:noProof/>
        </w:rPr>
        <w:t>Preterm</w:t>
      </w:r>
      <w:r>
        <w:rPr>
          <w:noProof/>
        </w:rPr>
        <w:t xml:space="preserve"> and low birth weight infants</w:t>
      </w:r>
      <w:r w:rsidRPr="008363E8">
        <w:rPr>
          <w:noProof/>
        </w:rPr>
        <w:t xml:space="preserve"> – effects of platelet transfusion on outcomes</w:t>
      </w:r>
      <w:r>
        <w:rPr>
          <w:noProof/>
        </w:rPr>
        <w:tab/>
      </w:r>
      <w:r>
        <w:rPr>
          <w:noProof/>
        </w:rPr>
        <w:fldChar w:fldCharType="begin"/>
      </w:r>
      <w:r>
        <w:rPr>
          <w:noProof/>
        </w:rPr>
        <w:instrText xml:space="preserve"> PAGEREF _Toc427851340 \h </w:instrText>
      </w:r>
      <w:r>
        <w:rPr>
          <w:noProof/>
        </w:rPr>
      </w:r>
      <w:r>
        <w:rPr>
          <w:noProof/>
        </w:rPr>
        <w:fldChar w:fldCharType="separate"/>
      </w:r>
      <w:r>
        <w:rPr>
          <w:noProof/>
        </w:rPr>
        <w:t>75</w:t>
      </w:r>
      <w:r>
        <w:rPr>
          <w:noProof/>
        </w:rPr>
        <w:fldChar w:fldCharType="end"/>
      </w:r>
    </w:p>
    <w:p w14:paraId="76FF4B38" w14:textId="77777777" w:rsidR="003F176A" w:rsidRDefault="003F176A">
      <w:pPr>
        <w:pStyle w:val="TOC3"/>
        <w:rPr>
          <w:rFonts w:asciiTheme="minorHAnsi" w:eastAsiaTheme="minorEastAsia" w:hAnsiTheme="minorHAnsi" w:cstheme="minorBidi"/>
          <w:noProof/>
          <w:color w:val="auto"/>
        </w:rPr>
      </w:pPr>
      <w:r w:rsidRPr="008363E8">
        <w:rPr>
          <w:noProof/>
        </w:rPr>
        <w:t>3.4.3</w:t>
      </w:r>
      <w:r>
        <w:rPr>
          <w:rFonts w:asciiTheme="minorHAnsi" w:eastAsiaTheme="minorEastAsia" w:hAnsiTheme="minorHAnsi" w:cstheme="minorBidi"/>
          <w:noProof/>
          <w:color w:val="auto"/>
        </w:rPr>
        <w:tab/>
      </w:r>
      <w:r w:rsidRPr="008363E8">
        <w:rPr>
          <w:noProof/>
        </w:rPr>
        <w:t>Preterm</w:t>
      </w:r>
      <w:r>
        <w:rPr>
          <w:noProof/>
        </w:rPr>
        <w:t xml:space="preserve"> and low birth weight infants</w:t>
      </w:r>
      <w:r w:rsidRPr="008363E8">
        <w:rPr>
          <w:noProof/>
        </w:rPr>
        <w:t xml:space="preserve"> – effects of </w:t>
      </w:r>
      <w:r>
        <w:rPr>
          <w:noProof/>
        </w:rPr>
        <w:t xml:space="preserve">platelet transfusion using a different transfusion </w:t>
      </w:r>
      <w:r w:rsidRPr="008363E8">
        <w:rPr>
          <w:noProof/>
          <w:lang w:val="en-US"/>
        </w:rPr>
        <w:t>strategy</w:t>
      </w:r>
      <w:r w:rsidRPr="008363E8">
        <w:rPr>
          <w:noProof/>
        </w:rPr>
        <w:t xml:space="preserve"> on outcomes</w:t>
      </w:r>
      <w:r>
        <w:rPr>
          <w:noProof/>
        </w:rPr>
        <w:tab/>
      </w:r>
      <w:r>
        <w:rPr>
          <w:noProof/>
        </w:rPr>
        <w:fldChar w:fldCharType="begin"/>
      </w:r>
      <w:r>
        <w:rPr>
          <w:noProof/>
        </w:rPr>
        <w:instrText xml:space="preserve"> PAGEREF _Toc427851341 \h </w:instrText>
      </w:r>
      <w:r>
        <w:rPr>
          <w:noProof/>
        </w:rPr>
      </w:r>
      <w:r>
        <w:rPr>
          <w:noProof/>
        </w:rPr>
        <w:fldChar w:fldCharType="separate"/>
      </w:r>
      <w:r>
        <w:rPr>
          <w:noProof/>
        </w:rPr>
        <w:t>77</w:t>
      </w:r>
      <w:r>
        <w:rPr>
          <w:noProof/>
        </w:rPr>
        <w:fldChar w:fldCharType="end"/>
      </w:r>
    </w:p>
    <w:p w14:paraId="3AF5A8CB" w14:textId="77777777" w:rsidR="003F176A" w:rsidRDefault="003F176A">
      <w:pPr>
        <w:pStyle w:val="TOC3"/>
        <w:rPr>
          <w:rFonts w:asciiTheme="minorHAnsi" w:eastAsiaTheme="minorEastAsia" w:hAnsiTheme="minorHAnsi" w:cstheme="minorBidi"/>
          <w:noProof/>
          <w:color w:val="auto"/>
        </w:rPr>
      </w:pPr>
      <w:r>
        <w:rPr>
          <w:noProof/>
        </w:rPr>
        <w:t>3.4.</w:t>
      </w:r>
      <w:r w:rsidRPr="008363E8">
        <w:rPr>
          <w:noProof/>
        </w:rPr>
        <w:t>4</w:t>
      </w:r>
      <w:r>
        <w:rPr>
          <w:rFonts w:asciiTheme="minorHAnsi" w:eastAsiaTheme="minorEastAsia" w:hAnsiTheme="minorHAnsi" w:cstheme="minorBidi"/>
          <w:noProof/>
          <w:color w:val="auto"/>
        </w:rPr>
        <w:tab/>
      </w:r>
      <w:r w:rsidRPr="008363E8">
        <w:rPr>
          <w:iCs/>
          <w:noProof/>
          <w:lang w:val="en-GB"/>
        </w:rPr>
        <w:t>Paediatric patients with cancer</w:t>
      </w:r>
      <w:r>
        <w:rPr>
          <w:noProof/>
        </w:rPr>
        <w:t xml:space="preserve"> – effects of platelet transfusion on outcomes</w:t>
      </w:r>
      <w:r>
        <w:rPr>
          <w:noProof/>
        </w:rPr>
        <w:tab/>
      </w:r>
      <w:r>
        <w:rPr>
          <w:noProof/>
        </w:rPr>
        <w:fldChar w:fldCharType="begin"/>
      </w:r>
      <w:r>
        <w:rPr>
          <w:noProof/>
        </w:rPr>
        <w:instrText xml:space="preserve"> PAGEREF _Toc427851342 \h </w:instrText>
      </w:r>
      <w:r>
        <w:rPr>
          <w:noProof/>
        </w:rPr>
      </w:r>
      <w:r>
        <w:rPr>
          <w:noProof/>
        </w:rPr>
        <w:fldChar w:fldCharType="separate"/>
      </w:r>
      <w:r>
        <w:rPr>
          <w:noProof/>
        </w:rPr>
        <w:t>78</w:t>
      </w:r>
      <w:r>
        <w:rPr>
          <w:noProof/>
        </w:rPr>
        <w:fldChar w:fldCharType="end"/>
      </w:r>
    </w:p>
    <w:p w14:paraId="7D593A8D" w14:textId="77777777" w:rsidR="003F176A" w:rsidRDefault="003F176A">
      <w:pPr>
        <w:pStyle w:val="TOC3"/>
        <w:rPr>
          <w:rFonts w:asciiTheme="minorHAnsi" w:eastAsiaTheme="minorEastAsia" w:hAnsiTheme="minorHAnsi" w:cstheme="minorBidi"/>
          <w:noProof/>
          <w:color w:val="auto"/>
        </w:rPr>
      </w:pPr>
      <w:r>
        <w:rPr>
          <w:noProof/>
        </w:rPr>
        <w:lastRenderedPageBreak/>
        <w:t>3.4.5</w:t>
      </w:r>
      <w:r>
        <w:rPr>
          <w:rFonts w:asciiTheme="minorHAnsi" w:eastAsiaTheme="minorEastAsia" w:hAnsiTheme="minorHAnsi" w:cstheme="minorBidi"/>
          <w:noProof/>
          <w:color w:val="auto"/>
        </w:rPr>
        <w:tab/>
      </w:r>
      <w:r w:rsidRPr="008363E8">
        <w:rPr>
          <w:noProof/>
        </w:rPr>
        <w:t>Neonatal and paediatric patients undergoing surgery – effects of FFP on outcomes</w:t>
      </w:r>
      <w:r>
        <w:rPr>
          <w:noProof/>
        </w:rPr>
        <w:tab/>
      </w:r>
      <w:r>
        <w:rPr>
          <w:noProof/>
        </w:rPr>
        <w:fldChar w:fldCharType="begin"/>
      </w:r>
      <w:r>
        <w:rPr>
          <w:noProof/>
        </w:rPr>
        <w:instrText xml:space="preserve"> PAGEREF _Toc427851343 \h </w:instrText>
      </w:r>
      <w:r>
        <w:rPr>
          <w:noProof/>
        </w:rPr>
      </w:r>
      <w:r>
        <w:rPr>
          <w:noProof/>
        </w:rPr>
        <w:fldChar w:fldCharType="separate"/>
      </w:r>
      <w:r>
        <w:rPr>
          <w:noProof/>
        </w:rPr>
        <w:t>81</w:t>
      </w:r>
      <w:r>
        <w:rPr>
          <w:noProof/>
        </w:rPr>
        <w:fldChar w:fldCharType="end"/>
      </w:r>
    </w:p>
    <w:p w14:paraId="63282603" w14:textId="77777777" w:rsidR="003F176A" w:rsidRDefault="003F176A">
      <w:pPr>
        <w:pStyle w:val="TOC3"/>
        <w:rPr>
          <w:rFonts w:asciiTheme="minorHAnsi" w:eastAsiaTheme="minorEastAsia" w:hAnsiTheme="minorHAnsi" w:cstheme="minorBidi"/>
          <w:noProof/>
          <w:color w:val="auto"/>
        </w:rPr>
      </w:pPr>
      <w:r w:rsidRPr="008363E8">
        <w:rPr>
          <w:noProof/>
        </w:rPr>
        <w:t>3.4.6</w:t>
      </w:r>
      <w:r>
        <w:rPr>
          <w:rFonts w:asciiTheme="minorHAnsi" w:eastAsiaTheme="minorEastAsia" w:hAnsiTheme="minorHAnsi" w:cstheme="minorBidi"/>
          <w:noProof/>
          <w:color w:val="auto"/>
        </w:rPr>
        <w:tab/>
      </w:r>
      <w:r w:rsidRPr="008363E8">
        <w:rPr>
          <w:noProof/>
        </w:rPr>
        <w:t>Neonatal and paediatric patients undergoing surgery – effects of cryoprecipitate on outcomes</w:t>
      </w:r>
      <w:r>
        <w:rPr>
          <w:noProof/>
        </w:rPr>
        <w:tab/>
      </w:r>
      <w:r>
        <w:rPr>
          <w:noProof/>
        </w:rPr>
        <w:fldChar w:fldCharType="begin"/>
      </w:r>
      <w:r>
        <w:rPr>
          <w:noProof/>
        </w:rPr>
        <w:instrText xml:space="preserve"> PAGEREF _Toc427851344 \h </w:instrText>
      </w:r>
      <w:r>
        <w:rPr>
          <w:noProof/>
        </w:rPr>
      </w:r>
      <w:r>
        <w:rPr>
          <w:noProof/>
        </w:rPr>
        <w:fldChar w:fldCharType="separate"/>
      </w:r>
      <w:r>
        <w:rPr>
          <w:noProof/>
        </w:rPr>
        <w:t>84</w:t>
      </w:r>
      <w:r>
        <w:rPr>
          <w:noProof/>
        </w:rPr>
        <w:fldChar w:fldCharType="end"/>
      </w:r>
    </w:p>
    <w:p w14:paraId="1647256C" w14:textId="77777777" w:rsidR="003F176A" w:rsidRDefault="003F176A">
      <w:pPr>
        <w:pStyle w:val="TOC3"/>
        <w:rPr>
          <w:rFonts w:asciiTheme="minorHAnsi" w:eastAsiaTheme="minorEastAsia" w:hAnsiTheme="minorHAnsi" w:cstheme="minorBidi"/>
          <w:noProof/>
          <w:color w:val="auto"/>
        </w:rPr>
      </w:pPr>
      <w:r w:rsidRPr="008363E8">
        <w:rPr>
          <w:noProof/>
        </w:rPr>
        <w:t>3.4.7</w:t>
      </w:r>
      <w:r>
        <w:rPr>
          <w:rFonts w:asciiTheme="minorHAnsi" w:eastAsiaTheme="minorEastAsia" w:hAnsiTheme="minorHAnsi" w:cstheme="minorBidi"/>
          <w:noProof/>
          <w:color w:val="auto"/>
        </w:rPr>
        <w:tab/>
      </w:r>
      <w:r w:rsidRPr="008363E8">
        <w:rPr>
          <w:noProof/>
        </w:rPr>
        <w:t>Neonatal and paediatric patients undergoing surgery – effects of platelets on outcomes</w:t>
      </w:r>
      <w:r>
        <w:rPr>
          <w:noProof/>
        </w:rPr>
        <w:tab/>
      </w:r>
      <w:r>
        <w:rPr>
          <w:noProof/>
        </w:rPr>
        <w:fldChar w:fldCharType="begin"/>
      </w:r>
      <w:r>
        <w:rPr>
          <w:noProof/>
        </w:rPr>
        <w:instrText xml:space="preserve"> PAGEREF _Toc427851345 \h </w:instrText>
      </w:r>
      <w:r>
        <w:rPr>
          <w:noProof/>
        </w:rPr>
      </w:r>
      <w:r>
        <w:rPr>
          <w:noProof/>
        </w:rPr>
        <w:fldChar w:fldCharType="separate"/>
      </w:r>
      <w:r>
        <w:rPr>
          <w:noProof/>
        </w:rPr>
        <w:t>86</w:t>
      </w:r>
      <w:r>
        <w:rPr>
          <w:noProof/>
        </w:rPr>
        <w:fldChar w:fldCharType="end"/>
      </w:r>
    </w:p>
    <w:p w14:paraId="42735C07" w14:textId="77777777" w:rsidR="003F176A" w:rsidRDefault="003F176A">
      <w:pPr>
        <w:pStyle w:val="TOC3"/>
        <w:rPr>
          <w:rFonts w:asciiTheme="minorHAnsi" w:eastAsiaTheme="minorEastAsia" w:hAnsiTheme="minorHAnsi" w:cstheme="minorBidi"/>
          <w:noProof/>
          <w:color w:val="auto"/>
        </w:rPr>
      </w:pPr>
      <w:r>
        <w:rPr>
          <w:noProof/>
        </w:rPr>
        <w:t>3.4.8</w:t>
      </w:r>
      <w:r>
        <w:rPr>
          <w:rFonts w:asciiTheme="minorHAnsi" w:eastAsiaTheme="minorEastAsia" w:hAnsiTheme="minorHAnsi" w:cstheme="minorBidi"/>
          <w:noProof/>
          <w:color w:val="auto"/>
        </w:rPr>
        <w:tab/>
      </w:r>
      <w:r w:rsidRPr="008363E8">
        <w:rPr>
          <w:noProof/>
        </w:rPr>
        <w:t>Neonatal and paediatric patients undergoing surgery – effects of fibrinogen concentrate on outcomes</w:t>
      </w:r>
      <w:r>
        <w:rPr>
          <w:noProof/>
        </w:rPr>
        <w:tab/>
      </w:r>
      <w:r>
        <w:rPr>
          <w:noProof/>
        </w:rPr>
        <w:fldChar w:fldCharType="begin"/>
      </w:r>
      <w:r>
        <w:rPr>
          <w:noProof/>
        </w:rPr>
        <w:instrText xml:space="preserve"> PAGEREF _Toc427851346 \h </w:instrText>
      </w:r>
      <w:r>
        <w:rPr>
          <w:noProof/>
        </w:rPr>
      </w:r>
      <w:r>
        <w:rPr>
          <w:noProof/>
        </w:rPr>
        <w:fldChar w:fldCharType="separate"/>
      </w:r>
      <w:r>
        <w:rPr>
          <w:noProof/>
        </w:rPr>
        <w:t>88</w:t>
      </w:r>
      <w:r>
        <w:rPr>
          <w:noProof/>
        </w:rPr>
        <w:fldChar w:fldCharType="end"/>
      </w:r>
    </w:p>
    <w:p w14:paraId="5E9E506F" w14:textId="77777777" w:rsidR="003F176A" w:rsidRDefault="003F176A">
      <w:pPr>
        <w:pStyle w:val="TOC3"/>
        <w:rPr>
          <w:rFonts w:asciiTheme="minorHAnsi" w:eastAsiaTheme="minorEastAsia" w:hAnsiTheme="minorHAnsi" w:cstheme="minorBidi"/>
          <w:noProof/>
          <w:color w:val="auto"/>
        </w:rPr>
      </w:pPr>
      <w:r>
        <w:rPr>
          <w:noProof/>
        </w:rPr>
        <w:t>3.4.9</w:t>
      </w:r>
      <w:r>
        <w:rPr>
          <w:rFonts w:asciiTheme="minorHAnsi" w:eastAsiaTheme="minorEastAsia" w:hAnsiTheme="minorHAnsi" w:cstheme="minorBidi"/>
          <w:noProof/>
          <w:color w:val="auto"/>
        </w:rPr>
        <w:tab/>
      </w:r>
      <w:r w:rsidRPr="008363E8">
        <w:rPr>
          <w:noProof/>
        </w:rPr>
        <w:t>Neonatal and paediatric patients undergoing surgery – effects of use of a different fibrinogen strategy on outcomes</w:t>
      </w:r>
      <w:r>
        <w:rPr>
          <w:noProof/>
        </w:rPr>
        <w:tab/>
      </w:r>
      <w:r>
        <w:rPr>
          <w:noProof/>
        </w:rPr>
        <w:fldChar w:fldCharType="begin"/>
      </w:r>
      <w:r>
        <w:rPr>
          <w:noProof/>
        </w:rPr>
        <w:instrText xml:space="preserve"> PAGEREF _Toc427851347 \h </w:instrText>
      </w:r>
      <w:r>
        <w:rPr>
          <w:noProof/>
        </w:rPr>
      </w:r>
      <w:r>
        <w:rPr>
          <w:noProof/>
        </w:rPr>
        <w:fldChar w:fldCharType="separate"/>
      </w:r>
      <w:r>
        <w:rPr>
          <w:noProof/>
        </w:rPr>
        <w:t>90</w:t>
      </w:r>
      <w:r>
        <w:rPr>
          <w:noProof/>
        </w:rPr>
        <w:fldChar w:fldCharType="end"/>
      </w:r>
    </w:p>
    <w:p w14:paraId="7A808EA2" w14:textId="77777777" w:rsidR="003F176A" w:rsidRDefault="003F176A">
      <w:pPr>
        <w:pStyle w:val="TOC3"/>
        <w:rPr>
          <w:rFonts w:asciiTheme="minorHAnsi" w:eastAsiaTheme="minorEastAsia" w:hAnsiTheme="minorHAnsi" w:cstheme="minorBidi"/>
          <w:noProof/>
          <w:color w:val="auto"/>
        </w:rPr>
      </w:pPr>
      <w:r>
        <w:rPr>
          <w:noProof/>
        </w:rPr>
        <w:t>3.4.10</w:t>
      </w:r>
      <w:r>
        <w:rPr>
          <w:rFonts w:asciiTheme="minorHAnsi" w:eastAsiaTheme="minorEastAsia" w:hAnsiTheme="minorHAnsi" w:cstheme="minorBidi"/>
          <w:noProof/>
          <w:color w:val="auto"/>
        </w:rPr>
        <w:tab/>
      </w:r>
      <w:r w:rsidRPr="008363E8">
        <w:rPr>
          <w:noProof/>
        </w:rPr>
        <w:t>Neonatal and paediatric patients undergoing surgery – effects of combination therapy on outcomes</w:t>
      </w:r>
      <w:r>
        <w:rPr>
          <w:noProof/>
        </w:rPr>
        <w:tab/>
      </w:r>
      <w:r>
        <w:rPr>
          <w:noProof/>
        </w:rPr>
        <w:fldChar w:fldCharType="begin"/>
      </w:r>
      <w:r>
        <w:rPr>
          <w:noProof/>
        </w:rPr>
        <w:instrText xml:space="preserve"> PAGEREF _Toc427851348 \h </w:instrText>
      </w:r>
      <w:r>
        <w:rPr>
          <w:noProof/>
        </w:rPr>
      </w:r>
      <w:r>
        <w:rPr>
          <w:noProof/>
        </w:rPr>
        <w:fldChar w:fldCharType="separate"/>
      </w:r>
      <w:r>
        <w:rPr>
          <w:noProof/>
        </w:rPr>
        <w:t>92</w:t>
      </w:r>
      <w:r>
        <w:rPr>
          <w:noProof/>
        </w:rPr>
        <w:fldChar w:fldCharType="end"/>
      </w:r>
    </w:p>
    <w:p w14:paraId="30ECD4AA" w14:textId="77777777" w:rsidR="003F176A" w:rsidRDefault="003F176A">
      <w:pPr>
        <w:pStyle w:val="TOC3"/>
        <w:rPr>
          <w:rFonts w:asciiTheme="minorHAnsi" w:eastAsiaTheme="minorEastAsia" w:hAnsiTheme="minorHAnsi" w:cstheme="minorBidi"/>
          <w:noProof/>
          <w:color w:val="auto"/>
        </w:rPr>
      </w:pPr>
      <w:r>
        <w:rPr>
          <w:noProof/>
        </w:rPr>
        <w:t>3.4.11</w:t>
      </w:r>
      <w:r>
        <w:rPr>
          <w:rFonts w:asciiTheme="minorHAnsi" w:eastAsiaTheme="minorEastAsia" w:hAnsiTheme="minorHAnsi" w:cstheme="minorBidi"/>
          <w:noProof/>
          <w:color w:val="auto"/>
        </w:rPr>
        <w:tab/>
      </w:r>
      <w:r w:rsidRPr="008363E8">
        <w:rPr>
          <w:noProof/>
        </w:rPr>
        <w:t>Critically ill neonatal and paediatric patients – effects of FFP on outcomes</w:t>
      </w:r>
      <w:r>
        <w:rPr>
          <w:noProof/>
        </w:rPr>
        <w:tab/>
      </w:r>
      <w:r>
        <w:rPr>
          <w:noProof/>
        </w:rPr>
        <w:fldChar w:fldCharType="begin"/>
      </w:r>
      <w:r>
        <w:rPr>
          <w:noProof/>
        </w:rPr>
        <w:instrText xml:space="preserve"> PAGEREF _Toc427851349 \h </w:instrText>
      </w:r>
      <w:r>
        <w:rPr>
          <w:noProof/>
        </w:rPr>
      </w:r>
      <w:r>
        <w:rPr>
          <w:noProof/>
        </w:rPr>
        <w:fldChar w:fldCharType="separate"/>
      </w:r>
      <w:r>
        <w:rPr>
          <w:noProof/>
        </w:rPr>
        <w:t>93</w:t>
      </w:r>
      <w:r>
        <w:rPr>
          <w:noProof/>
        </w:rPr>
        <w:fldChar w:fldCharType="end"/>
      </w:r>
    </w:p>
    <w:p w14:paraId="08A74252" w14:textId="77777777" w:rsidR="003F176A" w:rsidRDefault="003F176A">
      <w:pPr>
        <w:pStyle w:val="TOC3"/>
        <w:rPr>
          <w:rFonts w:asciiTheme="minorHAnsi" w:eastAsiaTheme="minorEastAsia" w:hAnsiTheme="minorHAnsi" w:cstheme="minorBidi"/>
          <w:noProof/>
          <w:color w:val="auto"/>
        </w:rPr>
      </w:pPr>
      <w:r w:rsidRPr="008363E8">
        <w:rPr>
          <w:noProof/>
        </w:rPr>
        <w:t>3.4.12</w:t>
      </w:r>
      <w:r>
        <w:rPr>
          <w:rFonts w:asciiTheme="minorHAnsi" w:eastAsiaTheme="minorEastAsia" w:hAnsiTheme="minorHAnsi" w:cstheme="minorBidi"/>
          <w:noProof/>
          <w:color w:val="auto"/>
        </w:rPr>
        <w:tab/>
      </w:r>
      <w:r w:rsidRPr="008363E8">
        <w:rPr>
          <w:noProof/>
        </w:rPr>
        <w:t>Critically ill neonatal and paediatric patients – effects of cryoprecipitate on outcomes</w:t>
      </w:r>
      <w:r>
        <w:rPr>
          <w:noProof/>
        </w:rPr>
        <w:tab/>
      </w:r>
      <w:r>
        <w:rPr>
          <w:noProof/>
        </w:rPr>
        <w:fldChar w:fldCharType="begin"/>
      </w:r>
      <w:r>
        <w:rPr>
          <w:noProof/>
        </w:rPr>
        <w:instrText xml:space="preserve"> PAGEREF _Toc427851350 \h </w:instrText>
      </w:r>
      <w:r>
        <w:rPr>
          <w:noProof/>
        </w:rPr>
      </w:r>
      <w:r>
        <w:rPr>
          <w:noProof/>
        </w:rPr>
        <w:fldChar w:fldCharType="separate"/>
      </w:r>
      <w:r>
        <w:rPr>
          <w:noProof/>
        </w:rPr>
        <w:t>95</w:t>
      </w:r>
      <w:r>
        <w:rPr>
          <w:noProof/>
        </w:rPr>
        <w:fldChar w:fldCharType="end"/>
      </w:r>
    </w:p>
    <w:p w14:paraId="13A7FEFC" w14:textId="77777777" w:rsidR="003F176A" w:rsidRDefault="003F176A">
      <w:pPr>
        <w:pStyle w:val="TOC3"/>
        <w:rPr>
          <w:rFonts w:asciiTheme="minorHAnsi" w:eastAsiaTheme="minorEastAsia" w:hAnsiTheme="minorHAnsi" w:cstheme="minorBidi"/>
          <w:noProof/>
          <w:color w:val="auto"/>
        </w:rPr>
      </w:pPr>
      <w:r>
        <w:rPr>
          <w:noProof/>
        </w:rPr>
        <w:t>3.4.13</w:t>
      </w:r>
      <w:r>
        <w:rPr>
          <w:rFonts w:asciiTheme="minorHAnsi" w:eastAsiaTheme="minorEastAsia" w:hAnsiTheme="minorHAnsi" w:cstheme="minorBidi"/>
          <w:noProof/>
          <w:color w:val="auto"/>
        </w:rPr>
        <w:tab/>
      </w:r>
      <w:r w:rsidRPr="008363E8">
        <w:rPr>
          <w:noProof/>
        </w:rPr>
        <w:t>Critically ill neonatal and paediatric patients – effects of platelets on outcomes</w:t>
      </w:r>
      <w:r>
        <w:rPr>
          <w:noProof/>
        </w:rPr>
        <w:tab/>
      </w:r>
      <w:r>
        <w:rPr>
          <w:noProof/>
        </w:rPr>
        <w:fldChar w:fldCharType="begin"/>
      </w:r>
      <w:r>
        <w:rPr>
          <w:noProof/>
        </w:rPr>
        <w:instrText xml:space="preserve"> PAGEREF _Toc427851351 \h </w:instrText>
      </w:r>
      <w:r>
        <w:rPr>
          <w:noProof/>
        </w:rPr>
      </w:r>
      <w:r>
        <w:rPr>
          <w:noProof/>
        </w:rPr>
        <w:fldChar w:fldCharType="separate"/>
      </w:r>
      <w:r>
        <w:rPr>
          <w:noProof/>
        </w:rPr>
        <w:t>97</w:t>
      </w:r>
      <w:r>
        <w:rPr>
          <w:noProof/>
        </w:rPr>
        <w:fldChar w:fldCharType="end"/>
      </w:r>
    </w:p>
    <w:p w14:paraId="2EEDD00E" w14:textId="77777777" w:rsidR="003F176A" w:rsidRDefault="003F176A">
      <w:pPr>
        <w:pStyle w:val="TOC3"/>
        <w:rPr>
          <w:rFonts w:asciiTheme="minorHAnsi" w:eastAsiaTheme="minorEastAsia" w:hAnsiTheme="minorHAnsi" w:cstheme="minorBidi"/>
          <w:noProof/>
          <w:color w:val="auto"/>
        </w:rPr>
      </w:pPr>
      <w:r>
        <w:rPr>
          <w:noProof/>
        </w:rPr>
        <w:t>3.4.14</w:t>
      </w:r>
      <w:r>
        <w:rPr>
          <w:rFonts w:asciiTheme="minorHAnsi" w:eastAsiaTheme="minorEastAsia" w:hAnsiTheme="minorHAnsi" w:cstheme="minorBidi"/>
          <w:noProof/>
          <w:color w:val="auto"/>
        </w:rPr>
        <w:tab/>
      </w:r>
      <w:r w:rsidRPr="008363E8">
        <w:rPr>
          <w:noProof/>
        </w:rPr>
        <w:t>Critically ill neonatal and paediatric patients – effects of fibrinogen concentrate on outcomes</w:t>
      </w:r>
      <w:r>
        <w:rPr>
          <w:noProof/>
        </w:rPr>
        <w:tab/>
      </w:r>
      <w:r>
        <w:rPr>
          <w:noProof/>
        </w:rPr>
        <w:fldChar w:fldCharType="begin"/>
      </w:r>
      <w:r>
        <w:rPr>
          <w:noProof/>
        </w:rPr>
        <w:instrText xml:space="preserve"> PAGEREF _Toc427851352 \h </w:instrText>
      </w:r>
      <w:r>
        <w:rPr>
          <w:noProof/>
        </w:rPr>
      </w:r>
      <w:r>
        <w:rPr>
          <w:noProof/>
        </w:rPr>
        <w:fldChar w:fldCharType="separate"/>
      </w:r>
      <w:r>
        <w:rPr>
          <w:noProof/>
        </w:rPr>
        <w:t>99</w:t>
      </w:r>
      <w:r>
        <w:rPr>
          <w:noProof/>
        </w:rPr>
        <w:fldChar w:fldCharType="end"/>
      </w:r>
    </w:p>
    <w:p w14:paraId="74538000" w14:textId="77777777" w:rsidR="003F176A" w:rsidRDefault="003F176A">
      <w:pPr>
        <w:pStyle w:val="TOC3"/>
        <w:rPr>
          <w:rFonts w:asciiTheme="minorHAnsi" w:eastAsiaTheme="minorEastAsia" w:hAnsiTheme="minorHAnsi" w:cstheme="minorBidi"/>
          <w:noProof/>
          <w:color w:val="auto"/>
        </w:rPr>
      </w:pPr>
      <w:r>
        <w:rPr>
          <w:noProof/>
        </w:rPr>
        <w:t>3.4.15</w:t>
      </w:r>
      <w:r>
        <w:rPr>
          <w:rFonts w:asciiTheme="minorHAnsi" w:eastAsiaTheme="minorEastAsia" w:hAnsiTheme="minorHAnsi" w:cstheme="minorBidi"/>
          <w:noProof/>
          <w:color w:val="auto"/>
        </w:rPr>
        <w:tab/>
      </w:r>
      <w:r w:rsidRPr="008363E8">
        <w:rPr>
          <w:noProof/>
        </w:rPr>
        <w:t>Critically ill neonatal and paediatric patients – effects of combination therapy on outcomes</w:t>
      </w:r>
      <w:r>
        <w:rPr>
          <w:noProof/>
        </w:rPr>
        <w:tab/>
      </w:r>
      <w:r>
        <w:rPr>
          <w:noProof/>
        </w:rPr>
        <w:fldChar w:fldCharType="begin"/>
      </w:r>
      <w:r>
        <w:rPr>
          <w:noProof/>
        </w:rPr>
        <w:instrText xml:space="preserve"> PAGEREF _Toc427851353 \h </w:instrText>
      </w:r>
      <w:r>
        <w:rPr>
          <w:noProof/>
        </w:rPr>
      </w:r>
      <w:r>
        <w:rPr>
          <w:noProof/>
        </w:rPr>
        <w:fldChar w:fldCharType="separate"/>
      </w:r>
      <w:r>
        <w:rPr>
          <w:noProof/>
        </w:rPr>
        <w:t>101</w:t>
      </w:r>
      <w:r>
        <w:rPr>
          <w:noProof/>
        </w:rPr>
        <w:fldChar w:fldCharType="end"/>
      </w:r>
    </w:p>
    <w:p w14:paraId="426274D0" w14:textId="77777777" w:rsidR="003F176A" w:rsidRDefault="003F176A">
      <w:pPr>
        <w:pStyle w:val="TOC2"/>
        <w:rPr>
          <w:rFonts w:asciiTheme="minorHAnsi" w:eastAsiaTheme="minorEastAsia" w:hAnsiTheme="minorHAnsi" w:cstheme="minorBidi"/>
          <w:noProof/>
          <w:color w:val="auto"/>
        </w:rPr>
      </w:pPr>
      <w:r>
        <w:rPr>
          <w:noProof/>
        </w:rPr>
        <w:t>3.5</w:t>
      </w:r>
      <w:r>
        <w:rPr>
          <w:rFonts w:asciiTheme="minorHAnsi" w:eastAsiaTheme="minorEastAsia" w:hAnsiTheme="minorHAnsi" w:cstheme="minorBidi"/>
          <w:noProof/>
          <w:color w:val="auto"/>
        </w:rPr>
        <w:tab/>
      </w:r>
      <w:r>
        <w:rPr>
          <w:noProof/>
        </w:rPr>
        <w:t>Use of blood conservation strategies</w:t>
      </w:r>
      <w:r>
        <w:rPr>
          <w:noProof/>
        </w:rPr>
        <w:tab/>
      </w:r>
      <w:r>
        <w:rPr>
          <w:noProof/>
        </w:rPr>
        <w:fldChar w:fldCharType="begin"/>
      </w:r>
      <w:r>
        <w:rPr>
          <w:noProof/>
        </w:rPr>
        <w:instrText xml:space="preserve"> PAGEREF _Toc427851354 \h </w:instrText>
      </w:r>
      <w:r>
        <w:rPr>
          <w:noProof/>
        </w:rPr>
      </w:r>
      <w:r>
        <w:rPr>
          <w:noProof/>
        </w:rPr>
        <w:fldChar w:fldCharType="separate"/>
      </w:r>
      <w:r>
        <w:rPr>
          <w:noProof/>
        </w:rPr>
        <w:t>102</w:t>
      </w:r>
      <w:r>
        <w:rPr>
          <w:noProof/>
        </w:rPr>
        <w:fldChar w:fldCharType="end"/>
      </w:r>
    </w:p>
    <w:p w14:paraId="5628304B" w14:textId="77777777" w:rsidR="003F176A" w:rsidRDefault="003F176A">
      <w:pPr>
        <w:pStyle w:val="TOC3"/>
        <w:rPr>
          <w:rFonts w:asciiTheme="minorHAnsi" w:eastAsiaTheme="minorEastAsia" w:hAnsiTheme="minorHAnsi" w:cstheme="minorBidi"/>
          <w:noProof/>
          <w:color w:val="auto"/>
        </w:rPr>
      </w:pPr>
      <w:r w:rsidRPr="008363E8">
        <w:rPr>
          <w:noProof/>
        </w:rPr>
        <w:t>3.5.1</w:t>
      </w:r>
      <w:r>
        <w:rPr>
          <w:rFonts w:asciiTheme="minorHAnsi" w:eastAsiaTheme="minorEastAsia" w:hAnsiTheme="minorHAnsi" w:cstheme="minorBidi"/>
          <w:noProof/>
          <w:color w:val="auto"/>
        </w:rPr>
        <w:tab/>
      </w:r>
      <w:r>
        <w:rPr>
          <w:noProof/>
        </w:rPr>
        <w:t>Preterm</w:t>
      </w:r>
      <w:r>
        <w:rPr>
          <w:noProof/>
          <w:lang w:eastAsia="en-GB"/>
        </w:rPr>
        <w:t xml:space="preserve"> and term infants</w:t>
      </w:r>
      <w:r w:rsidRPr="008363E8">
        <w:rPr>
          <w:noProof/>
          <w:lang w:eastAsia="en-GB"/>
        </w:rPr>
        <w:t xml:space="preserve"> – effects of placental transfusion on outcomes</w:t>
      </w:r>
      <w:r>
        <w:rPr>
          <w:noProof/>
        </w:rPr>
        <w:tab/>
      </w:r>
      <w:r>
        <w:rPr>
          <w:noProof/>
        </w:rPr>
        <w:fldChar w:fldCharType="begin"/>
      </w:r>
      <w:r>
        <w:rPr>
          <w:noProof/>
        </w:rPr>
        <w:instrText xml:space="preserve"> PAGEREF _Toc427851355 \h </w:instrText>
      </w:r>
      <w:r>
        <w:rPr>
          <w:noProof/>
        </w:rPr>
      </w:r>
      <w:r>
        <w:rPr>
          <w:noProof/>
        </w:rPr>
        <w:fldChar w:fldCharType="separate"/>
      </w:r>
      <w:r>
        <w:rPr>
          <w:noProof/>
        </w:rPr>
        <w:t>104</w:t>
      </w:r>
      <w:r>
        <w:rPr>
          <w:noProof/>
        </w:rPr>
        <w:fldChar w:fldCharType="end"/>
      </w:r>
    </w:p>
    <w:p w14:paraId="5ED19A31" w14:textId="77777777" w:rsidR="003F176A" w:rsidRDefault="003F176A">
      <w:pPr>
        <w:pStyle w:val="TOC3"/>
        <w:rPr>
          <w:rFonts w:asciiTheme="minorHAnsi" w:eastAsiaTheme="minorEastAsia" w:hAnsiTheme="minorHAnsi" w:cstheme="minorBidi"/>
          <w:noProof/>
          <w:color w:val="auto"/>
        </w:rPr>
      </w:pPr>
      <w:r w:rsidRPr="008363E8">
        <w:rPr>
          <w:noProof/>
        </w:rPr>
        <w:t>3.5.2</w:t>
      </w:r>
      <w:r>
        <w:rPr>
          <w:rFonts w:asciiTheme="minorHAnsi" w:eastAsiaTheme="minorEastAsia" w:hAnsiTheme="minorHAnsi" w:cstheme="minorBidi"/>
          <w:noProof/>
          <w:color w:val="auto"/>
        </w:rPr>
        <w:tab/>
      </w:r>
      <w:r>
        <w:rPr>
          <w:noProof/>
        </w:rPr>
        <w:t>Preterm</w:t>
      </w:r>
      <w:r>
        <w:rPr>
          <w:noProof/>
          <w:lang w:eastAsia="en-GB"/>
        </w:rPr>
        <w:t xml:space="preserve"> and term infants</w:t>
      </w:r>
      <w:r w:rsidRPr="008363E8">
        <w:rPr>
          <w:noProof/>
          <w:lang w:eastAsia="en-GB"/>
        </w:rPr>
        <w:t xml:space="preserve"> – effects of IVIg for haemolytic disease on outcomes</w:t>
      </w:r>
      <w:r>
        <w:rPr>
          <w:noProof/>
        </w:rPr>
        <w:tab/>
      </w:r>
      <w:r>
        <w:rPr>
          <w:noProof/>
        </w:rPr>
        <w:fldChar w:fldCharType="begin"/>
      </w:r>
      <w:r>
        <w:rPr>
          <w:noProof/>
        </w:rPr>
        <w:instrText xml:space="preserve"> PAGEREF _Toc427851356 \h </w:instrText>
      </w:r>
      <w:r>
        <w:rPr>
          <w:noProof/>
        </w:rPr>
      </w:r>
      <w:r>
        <w:rPr>
          <w:noProof/>
        </w:rPr>
        <w:fldChar w:fldCharType="separate"/>
      </w:r>
      <w:r>
        <w:rPr>
          <w:noProof/>
        </w:rPr>
        <w:t>106</w:t>
      </w:r>
      <w:r>
        <w:rPr>
          <w:noProof/>
        </w:rPr>
        <w:fldChar w:fldCharType="end"/>
      </w:r>
    </w:p>
    <w:p w14:paraId="2A1527B0" w14:textId="77777777" w:rsidR="003F176A" w:rsidRDefault="003F176A">
      <w:pPr>
        <w:pStyle w:val="TOC3"/>
        <w:rPr>
          <w:rFonts w:asciiTheme="minorHAnsi" w:eastAsiaTheme="minorEastAsia" w:hAnsiTheme="minorHAnsi" w:cstheme="minorBidi"/>
          <w:noProof/>
          <w:color w:val="auto"/>
        </w:rPr>
      </w:pPr>
      <w:r>
        <w:rPr>
          <w:noProof/>
        </w:rPr>
        <w:t>3.5.</w:t>
      </w:r>
      <w:r w:rsidRPr="008363E8">
        <w:rPr>
          <w:noProof/>
        </w:rPr>
        <w:t>3</w:t>
      </w:r>
      <w:r>
        <w:rPr>
          <w:rFonts w:asciiTheme="minorHAnsi" w:eastAsiaTheme="minorEastAsia" w:hAnsiTheme="minorHAnsi" w:cstheme="minorBidi"/>
          <w:noProof/>
          <w:color w:val="auto"/>
        </w:rPr>
        <w:tab/>
      </w:r>
      <w:r w:rsidRPr="008363E8">
        <w:rPr>
          <w:noProof/>
          <w:lang w:val="en-GB" w:eastAsia="en-GB"/>
        </w:rPr>
        <w:t xml:space="preserve">Neonatal and paediatric patients undergoing surgery – </w:t>
      </w:r>
      <w:r>
        <w:rPr>
          <w:noProof/>
        </w:rPr>
        <w:t xml:space="preserve">effects of </w:t>
      </w:r>
      <w:r w:rsidRPr="008363E8">
        <w:rPr>
          <w:noProof/>
        </w:rPr>
        <w:t>prevention of hypothermia</w:t>
      </w:r>
      <w:r>
        <w:rPr>
          <w:noProof/>
        </w:rPr>
        <w:t xml:space="preserve"> on outcomes</w:t>
      </w:r>
      <w:r>
        <w:rPr>
          <w:noProof/>
        </w:rPr>
        <w:tab/>
      </w:r>
      <w:r>
        <w:rPr>
          <w:noProof/>
        </w:rPr>
        <w:fldChar w:fldCharType="begin"/>
      </w:r>
      <w:r>
        <w:rPr>
          <w:noProof/>
        </w:rPr>
        <w:instrText xml:space="preserve"> PAGEREF _Toc427851357 \h </w:instrText>
      </w:r>
      <w:r>
        <w:rPr>
          <w:noProof/>
        </w:rPr>
      </w:r>
      <w:r>
        <w:rPr>
          <w:noProof/>
        </w:rPr>
        <w:fldChar w:fldCharType="separate"/>
      </w:r>
      <w:r>
        <w:rPr>
          <w:noProof/>
        </w:rPr>
        <w:t>108</w:t>
      </w:r>
      <w:r>
        <w:rPr>
          <w:noProof/>
        </w:rPr>
        <w:fldChar w:fldCharType="end"/>
      </w:r>
    </w:p>
    <w:p w14:paraId="08A05545" w14:textId="77777777" w:rsidR="003F176A" w:rsidRDefault="003F176A">
      <w:pPr>
        <w:pStyle w:val="TOC3"/>
        <w:rPr>
          <w:rFonts w:asciiTheme="minorHAnsi" w:eastAsiaTheme="minorEastAsia" w:hAnsiTheme="minorHAnsi" w:cstheme="minorBidi"/>
          <w:noProof/>
          <w:color w:val="auto"/>
        </w:rPr>
      </w:pPr>
      <w:r w:rsidRPr="008363E8">
        <w:rPr>
          <w:noProof/>
          <w:lang w:val="en-GB" w:eastAsia="en-GB"/>
        </w:rPr>
        <w:t>3.5.4</w:t>
      </w:r>
      <w:r>
        <w:rPr>
          <w:rFonts w:asciiTheme="minorHAnsi" w:eastAsiaTheme="minorEastAsia" w:hAnsiTheme="minorHAnsi" w:cstheme="minorBidi"/>
          <w:noProof/>
          <w:color w:val="auto"/>
        </w:rPr>
        <w:tab/>
      </w:r>
      <w:r w:rsidRPr="008363E8">
        <w:rPr>
          <w:noProof/>
          <w:lang w:val="en-GB" w:eastAsia="en-GB"/>
        </w:rPr>
        <w:t xml:space="preserve">Neonatal and paediatric patients undergoing surgery – </w:t>
      </w:r>
      <w:r>
        <w:rPr>
          <w:noProof/>
        </w:rPr>
        <w:t xml:space="preserve">effects of </w:t>
      </w:r>
      <w:r w:rsidRPr="008363E8">
        <w:rPr>
          <w:noProof/>
        </w:rPr>
        <w:t>prevention of controlled</w:t>
      </w:r>
      <w:r>
        <w:rPr>
          <w:noProof/>
        </w:rPr>
        <w:t xml:space="preserve"> induced hypotension</w:t>
      </w:r>
      <w:r w:rsidRPr="008363E8">
        <w:rPr>
          <w:noProof/>
        </w:rPr>
        <w:t xml:space="preserve"> on outcomes</w:t>
      </w:r>
      <w:r>
        <w:rPr>
          <w:noProof/>
        </w:rPr>
        <w:tab/>
      </w:r>
      <w:r>
        <w:rPr>
          <w:noProof/>
        </w:rPr>
        <w:fldChar w:fldCharType="begin"/>
      </w:r>
      <w:r>
        <w:rPr>
          <w:noProof/>
        </w:rPr>
        <w:instrText xml:space="preserve"> PAGEREF _Toc427851358 \h </w:instrText>
      </w:r>
      <w:r>
        <w:rPr>
          <w:noProof/>
        </w:rPr>
      </w:r>
      <w:r>
        <w:rPr>
          <w:noProof/>
        </w:rPr>
        <w:fldChar w:fldCharType="separate"/>
      </w:r>
      <w:r>
        <w:rPr>
          <w:noProof/>
        </w:rPr>
        <w:t>110</w:t>
      </w:r>
      <w:r>
        <w:rPr>
          <w:noProof/>
        </w:rPr>
        <w:fldChar w:fldCharType="end"/>
      </w:r>
    </w:p>
    <w:p w14:paraId="09F3F2BD" w14:textId="77777777" w:rsidR="003F176A" w:rsidRDefault="003F176A">
      <w:pPr>
        <w:pStyle w:val="TOC3"/>
        <w:rPr>
          <w:rFonts w:asciiTheme="minorHAnsi" w:eastAsiaTheme="minorEastAsia" w:hAnsiTheme="minorHAnsi" w:cstheme="minorBidi"/>
          <w:noProof/>
          <w:color w:val="auto"/>
        </w:rPr>
      </w:pPr>
      <w:r w:rsidRPr="008363E8">
        <w:rPr>
          <w:noProof/>
        </w:rPr>
        <w:t>3.5.5</w:t>
      </w:r>
      <w:r>
        <w:rPr>
          <w:rFonts w:asciiTheme="minorHAnsi" w:eastAsiaTheme="minorEastAsia" w:hAnsiTheme="minorHAnsi" w:cstheme="minorBidi"/>
          <w:noProof/>
          <w:color w:val="auto"/>
        </w:rPr>
        <w:tab/>
      </w:r>
      <w:r w:rsidRPr="008363E8">
        <w:rPr>
          <w:noProof/>
          <w:lang w:val="en-GB" w:eastAsia="en-GB"/>
        </w:rPr>
        <w:t>Neonatal and paediatric patients undergoing surgery</w:t>
      </w:r>
      <w:r>
        <w:rPr>
          <w:noProof/>
        </w:rPr>
        <w:t xml:space="preserve"> </w:t>
      </w:r>
      <w:r w:rsidRPr="008363E8">
        <w:rPr>
          <w:noProof/>
        </w:rPr>
        <w:t>– effects of ANH on outcomes</w:t>
      </w:r>
      <w:r>
        <w:rPr>
          <w:noProof/>
        </w:rPr>
        <w:tab/>
      </w:r>
      <w:r>
        <w:rPr>
          <w:noProof/>
        </w:rPr>
        <w:fldChar w:fldCharType="begin"/>
      </w:r>
      <w:r>
        <w:rPr>
          <w:noProof/>
        </w:rPr>
        <w:instrText xml:space="preserve"> PAGEREF _Toc427851359 \h </w:instrText>
      </w:r>
      <w:r>
        <w:rPr>
          <w:noProof/>
        </w:rPr>
      </w:r>
      <w:r>
        <w:rPr>
          <w:noProof/>
        </w:rPr>
        <w:fldChar w:fldCharType="separate"/>
      </w:r>
      <w:r>
        <w:rPr>
          <w:noProof/>
        </w:rPr>
        <w:t>112</w:t>
      </w:r>
      <w:r>
        <w:rPr>
          <w:noProof/>
        </w:rPr>
        <w:fldChar w:fldCharType="end"/>
      </w:r>
    </w:p>
    <w:p w14:paraId="6EB3F8C0" w14:textId="77777777" w:rsidR="003F176A" w:rsidRDefault="003F176A">
      <w:pPr>
        <w:pStyle w:val="TOC3"/>
        <w:rPr>
          <w:rFonts w:asciiTheme="minorHAnsi" w:eastAsiaTheme="minorEastAsia" w:hAnsiTheme="minorHAnsi" w:cstheme="minorBidi"/>
          <w:noProof/>
          <w:color w:val="auto"/>
        </w:rPr>
      </w:pPr>
      <w:r w:rsidRPr="008363E8">
        <w:rPr>
          <w:noProof/>
        </w:rPr>
        <w:t>3.5.6</w:t>
      </w:r>
      <w:r>
        <w:rPr>
          <w:rFonts w:asciiTheme="minorHAnsi" w:eastAsiaTheme="minorEastAsia" w:hAnsiTheme="minorHAnsi" w:cstheme="minorBidi"/>
          <w:noProof/>
          <w:color w:val="auto"/>
        </w:rPr>
        <w:tab/>
      </w:r>
      <w:r w:rsidRPr="008363E8">
        <w:rPr>
          <w:noProof/>
          <w:lang w:val="en-GB" w:eastAsia="en-GB"/>
        </w:rPr>
        <w:t>Neonatal and paediatric patients undergoing surgery</w:t>
      </w:r>
      <w:r>
        <w:rPr>
          <w:noProof/>
        </w:rPr>
        <w:t xml:space="preserve"> </w:t>
      </w:r>
      <w:r w:rsidRPr="008363E8">
        <w:rPr>
          <w:noProof/>
        </w:rPr>
        <w:t>– effects of intraoperative cell salvage on outcomes</w:t>
      </w:r>
      <w:r>
        <w:rPr>
          <w:noProof/>
        </w:rPr>
        <w:tab/>
      </w:r>
      <w:r>
        <w:rPr>
          <w:noProof/>
        </w:rPr>
        <w:fldChar w:fldCharType="begin"/>
      </w:r>
      <w:r>
        <w:rPr>
          <w:noProof/>
        </w:rPr>
        <w:instrText xml:space="preserve"> PAGEREF _Toc427851360 \h </w:instrText>
      </w:r>
      <w:r>
        <w:rPr>
          <w:noProof/>
        </w:rPr>
      </w:r>
      <w:r>
        <w:rPr>
          <w:noProof/>
        </w:rPr>
        <w:fldChar w:fldCharType="separate"/>
      </w:r>
      <w:r>
        <w:rPr>
          <w:noProof/>
        </w:rPr>
        <w:t>113</w:t>
      </w:r>
      <w:r>
        <w:rPr>
          <w:noProof/>
        </w:rPr>
        <w:fldChar w:fldCharType="end"/>
      </w:r>
    </w:p>
    <w:p w14:paraId="095AD185" w14:textId="77777777" w:rsidR="003F176A" w:rsidRDefault="003F176A">
      <w:pPr>
        <w:pStyle w:val="TOC3"/>
        <w:rPr>
          <w:rFonts w:asciiTheme="minorHAnsi" w:eastAsiaTheme="minorEastAsia" w:hAnsiTheme="minorHAnsi" w:cstheme="minorBidi"/>
          <w:noProof/>
          <w:color w:val="auto"/>
        </w:rPr>
      </w:pPr>
      <w:r w:rsidRPr="008363E8">
        <w:rPr>
          <w:noProof/>
        </w:rPr>
        <w:t>3.5.7</w:t>
      </w:r>
      <w:r>
        <w:rPr>
          <w:rFonts w:asciiTheme="minorHAnsi" w:eastAsiaTheme="minorEastAsia" w:hAnsiTheme="minorHAnsi" w:cstheme="minorBidi"/>
          <w:noProof/>
          <w:color w:val="auto"/>
        </w:rPr>
        <w:tab/>
      </w:r>
      <w:r w:rsidRPr="008363E8">
        <w:rPr>
          <w:noProof/>
        </w:rPr>
        <w:t>N</w:t>
      </w:r>
      <w:r w:rsidRPr="008363E8">
        <w:rPr>
          <w:noProof/>
          <w:lang w:val="en-GB" w:eastAsia="en-GB"/>
        </w:rPr>
        <w:t>eonatal and paediatric patients undergoing surgery</w:t>
      </w:r>
      <w:r>
        <w:rPr>
          <w:noProof/>
        </w:rPr>
        <w:t xml:space="preserve"> </w:t>
      </w:r>
      <w:r w:rsidRPr="008363E8">
        <w:rPr>
          <w:noProof/>
        </w:rPr>
        <w:t xml:space="preserve">– effects of </w:t>
      </w:r>
      <w:r>
        <w:rPr>
          <w:noProof/>
        </w:rPr>
        <w:t xml:space="preserve">viscoelastometric </w:t>
      </w:r>
      <w:r w:rsidRPr="008363E8">
        <w:rPr>
          <w:noProof/>
        </w:rPr>
        <w:t>POC</w:t>
      </w:r>
      <w:r>
        <w:rPr>
          <w:noProof/>
        </w:rPr>
        <w:t xml:space="preserve"> testing</w:t>
      </w:r>
      <w:r w:rsidRPr="008363E8">
        <w:rPr>
          <w:noProof/>
        </w:rPr>
        <w:t xml:space="preserve"> on outcomes</w:t>
      </w:r>
      <w:r>
        <w:rPr>
          <w:noProof/>
        </w:rPr>
        <w:tab/>
      </w:r>
      <w:r>
        <w:rPr>
          <w:noProof/>
        </w:rPr>
        <w:fldChar w:fldCharType="begin"/>
      </w:r>
      <w:r>
        <w:rPr>
          <w:noProof/>
        </w:rPr>
        <w:instrText xml:space="preserve"> PAGEREF _Toc427851361 \h </w:instrText>
      </w:r>
      <w:r>
        <w:rPr>
          <w:noProof/>
        </w:rPr>
      </w:r>
      <w:r>
        <w:rPr>
          <w:noProof/>
        </w:rPr>
        <w:fldChar w:fldCharType="separate"/>
      </w:r>
      <w:r>
        <w:rPr>
          <w:noProof/>
        </w:rPr>
        <w:t>115</w:t>
      </w:r>
      <w:r>
        <w:rPr>
          <w:noProof/>
        </w:rPr>
        <w:fldChar w:fldCharType="end"/>
      </w:r>
    </w:p>
    <w:p w14:paraId="7C2480DA" w14:textId="77777777" w:rsidR="003F176A" w:rsidRDefault="003F176A">
      <w:pPr>
        <w:pStyle w:val="TOC3"/>
        <w:rPr>
          <w:rFonts w:asciiTheme="minorHAnsi" w:eastAsiaTheme="minorEastAsia" w:hAnsiTheme="minorHAnsi" w:cstheme="minorBidi"/>
          <w:noProof/>
          <w:color w:val="auto"/>
        </w:rPr>
      </w:pPr>
      <w:r w:rsidRPr="008363E8">
        <w:rPr>
          <w:noProof/>
        </w:rPr>
        <w:t>3.5.8</w:t>
      </w:r>
      <w:r>
        <w:rPr>
          <w:rFonts w:asciiTheme="minorHAnsi" w:eastAsiaTheme="minorEastAsia" w:hAnsiTheme="minorHAnsi" w:cstheme="minorBidi"/>
          <w:noProof/>
          <w:color w:val="auto"/>
        </w:rPr>
        <w:tab/>
      </w:r>
      <w:r w:rsidRPr="008363E8">
        <w:rPr>
          <w:noProof/>
        </w:rPr>
        <w:t>N</w:t>
      </w:r>
      <w:r w:rsidRPr="008363E8">
        <w:rPr>
          <w:noProof/>
          <w:lang w:val="en-GB" w:eastAsia="en-GB"/>
        </w:rPr>
        <w:t>eonatal and paediatric patients undergoing surgery</w:t>
      </w:r>
      <w:r>
        <w:rPr>
          <w:noProof/>
        </w:rPr>
        <w:t xml:space="preserve"> </w:t>
      </w:r>
      <w:r w:rsidRPr="008363E8">
        <w:rPr>
          <w:noProof/>
        </w:rPr>
        <w:t xml:space="preserve">– effects of </w:t>
      </w:r>
      <w:r>
        <w:rPr>
          <w:noProof/>
        </w:rPr>
        <w:t>antifibrinolytics on outcomes</w:t>
      </w:r>
      <w:r>
        <w:rPr>
          <w:noProof/>
        </w:rPr>
        <w:tab/>
      </w:r>
      <w:r>
        <w:rPr>
          <w:noProof/>
        </w:rPr>
        <w:fldChar w:fldCharType="begin"/>
      </w:r>
      <w:r>
        <w:rPr>
          <w:noProof/>
        </w:rPr>
        <w:instrText xml:space="preserve"> PAGEREF _Toc427851362 \h </w:instrText>
      </w:r>
      <w:r>
        <w:rPr>
          <w:noProof/>
        </w:rPr>
      </w:r>
      <w:r>
        <w:rPr>
          <w:noProof/>
        </w:rPr>
        <w:fldChar w:fldCharType="separate"/>
      </w:r>
      <w:r>
        <w:rPr>
          <w:noProof/>
        </w:rPr>
        <w:t>116</w:t>
      </w:r>
      <w:r>
        <w:rPr>
          <w:noProof/>
        </w:rPr>
        <w:fldChar w:fldCharType="end"/>
      </w:r>
    </w:p>
    <w:p w14:paraId="1F702B7A" w14:textId="77777777" w:rsidR="003F176A" w:rsidRDefault="003F176A">
      <w:pPr>
        <w:pStyle w:val="TOC3"/>
        <w:rPr>
          <w:rFonts w:asciiTheme="minorHAnsi" w:eastAsiaTheme="minorEastAsia" w:hAnsiTheme="minorHAnsi" w:cstheme="minorBidi"/>
          <w:noProof/>
          <w:color w:val="auto"/>
        </w:rPr>
      </w:pPr>
      <w:r w:rsidRPr="008363E8">
        <w:rPr>
          <w:noProof/>
        </w:rPr>
        <w:t>3.5.9</w:t>
      </w:r>
      <w:r>
        <w:rPr>
          <w:rFonts w:asciiTheme="minorHAnsi" w:eastAsiaTheme="minorEastAsia" w:hAnsiTheme="minorHAnsi" w:cstheme="minorBidi"/>
          <w:noProof/>
          <w:color w:val="auto"/>
        </w:rPr>
        <w:tab/>
      </w:r>
      <w:r w:rsidRPr="008363E8">
        <w:rPr>
          <w:noProof/>
        </w:rPr>
        <w:t>N</w:t>
      </w:r>
      <w:r w:rsidRPr="008363E8">
        <w:rPr>
          <w:noProof/>
          <w:lang w:val="en-GB" w:eastAsia="en-GB"/>
        </w:rPr>
        <w:t>eonatal and paediatric patients undergoing surgery</w:t>
      </w:r>
      <w:r>
        <w:rPr>
          <w:noProof/>
        </w:rPr>
        <w:t xml:space="preserve"> </w:t>
      </w:r>
      <w:r w:rsidRPr="008363E8">
        <w:rPr>
          <w:noProof/>
        </w:rPr>
        <w:t>– effects of rF</w:t>
      </w:r>
      <w:r>
        <w:rPr>
          <w:noProof/>
        </w:rPr>
        <w:t>VII</w:t>
      </w:r>
      <w:r w:rsidRPr="008363E8">
        <w:rPr>
          <w:noProof/>
        </w:rPr>
        <w:t>a on outcomes</w:t>
      </w:r>
      <w:r>
        <w:rPr>
          <w:noProof/>
        </w:rPr>
        <w:tab/>
      </w:r>
      <w:r>
        <w:rPr>
          <w:noProof/>
        </w:rPr>
        <w:fldChar w:fldCharType="begin"/>
      </w:r>
      <w:r>
        <w:rPr>
          <w:noProof/>
        </w:rPr>
        <w:instrText xml:space="preserve"> PAGEREF _Toc427851363 \h </w:instrText>
      </w:r>
      <w:r>
        <w:rPr>
          <w:noProof/>
        </w:rPr>
      </w:r>
      <w:r>
        <w:rPr>
          <w:noProof/>
        </w:rPr>
        <w:fldChar w:fldCharType="separate"/>
      </w:r>
      <w:r>
        <w:rPr>
          <w:noProof/>
        </w:rPr>
        <w:t>126</w:t>
      </w:r>
      <w:r>
        <w:rPr>
          <w:noProof/>
        </w:rPr>
        <w:fldChar w:fldCharType="end"/>
      </w:r>
    </w:p>
    <w:p w14:paraId="2D409999" w14:textId="77777777" w:rsidR="003F176A" w:rsidRDefault="003F176A">
      <w:pPr>
        <w:pStyle w:val="TOC3"/>
        <w:rPr>
          <w:rFonts w:asciiTheme="minorHAnsi" w:eastAsiaTheme="minorEastAsia" w:hAnsiTheme="minorHAnsi" w:cstheme="minorBidi"/>
          <w:noProof/>
          <w:color w:val="auto"/>
        </w:rPr>
      </w:pPr>
      <w:r w:rsidRPr="008363E8">
        <w:rPr>
          <w:noProof/>
        </w:rPr>
        <w:t>3.5.10</w:t>
      </w:r>
      <w:r>
        <w:rPr>
          <w:rFonts w:asciiTheme="minorHAnsi" w:eastAsiaTheme="minorEastAsia" w:hAnsiTheme="minorHAnsi" w:cstheme="minorBidi"/>
          <w:noProof/>
          <w:color w:val="auto"/>
        </w:rPr>
        <w:tab/>
      </w:r>
      <w:r w:rsidRPr="008363E8">
        <w:rPr>
          <w:noProof/>
        </w:rPr>
        <w:t>N</w:t>
      </w:r>
      <w:r w:rsidRPr="008363E8">
        <w:rPr>
          <w:noProof/>
          <w:lang w:val="en-GB" w:eastAsia="en-GB"/>
        </w:rPr>
        <w:t>eonatal and paediatric patients undergoing surgery</w:t>
      </w:r>
      <w:r>
        <w:rPr>
          <w:noProof/>
        </w:rPr>
        <w:t xml:space="preserve"> </w:t>
      </w:r>
      <w:r w:rsidRPr="008363E8">
        <w:rPr>
          <w:noProof/>
        </w:rPr>
        <w:t xml:space="preserve">– effects of </w:t>
      </w:r>
      <w:r>
        <w:rPr>
          <w:noProof/>
        </w:rPr>
        <w:t xml:space="preserve">miniaturised </w:t>
      </w:r>
      <w:r w:rsidRPr="008363E8">
        <w:rPr>
          <w:noProof/>
        </w:rPr>
        <w:t>CPB</w:t>
      </w:r>
      <w:r>
        <w:rPr>
          <w:noProof/>
        </w:rPr>
        <w:t xml:space="preserve"> systems</w:t>
      </w:r>
      <w:r w:rsidRPr="008363E8">
        <w:rPr>
          <w:noProof/>
        </w:rPr>
        <w:t xml:space="preserve"> on outcomes</w:t>
      </w:r>
      <w:r>
        <w:rPr>
          <w:noProof/>
        </w:rPr>
        <w:tab/>
      </w:r>
      <w:r>
        <w:rPr>
          <w:noProof/>
        </w:rPr>
        <w:fldChar w:fldCharType="begin"/>
      </w:r>
      <w:r>
        <w:rPr>
          <w:noProof/>
        </w:rPr>
        <w:instrText xml:space="preserve"> PAGEREF _Toc427851364 \h </w:instrText>
      </w:r>
      <w:r>
        <w:rPr>
          <w:noProof/>
        </w:rPr>
      </w:r>
      <w:r>
        <w:rPr>
          <w:noProof/>
        </w:rPr>
        <w:fldChar w:fldCharType="separate"/>
      </w:r>
      <w:r>
        <w:rPr>
          <w:noProof/>
        </w:rPr>
        <w:t>128</w:t>
      </w:r>
      <w:r>
        <w:rPr>
          <w:noProof/>
        </w:rPr>
        <w:fldChar w:fldCharType="end"/>
      </w:r>
    </w:p>
    <w:p w14:paraId="225157DA" w14:textId="77777777" w:rsidR="003F176A" w:rsidRDefault="003F176A">
      <w:pPr>
        <w:pStyle w:val="TOC3"/>
        <w:rPr>
          <w:rFonts w:asciiTheme="minorHAnsi" w:eastAsiaTheme="minorEastAsia" w:hAnsiTheme="minorHAnsi" w:cstheme="minorBidi"/>
          <w:noProof/>
          <w:color w:val="auto"/>
        </w:rPr>
      </w:pPr>
      <w:r w:rsidRPr="008363E8">
        <w:rPr>
          <w:noProof/>
        </w:rPr>
        <w:t>3.5.11</w:t>
      </w:r>
      <w:r>
        <w:rPr>
          <w:rFonts w:asciiTheme="minorHAnsi" w:eastAsiaTheme="minorEastAsia" w:hAnsiTheme="minorHAnsi" w:cstheme="minorBidi"/>
          <w:noProof/>
          <w:color w:val="auto"/>
        </w:rPr>
        <w:tab/>
      </w:r>
      <w:r w:rsidRPr="008363E8">
        <w:rPr>
          <w:noProof/>
        </w:rPr>
        <w:t>Critically ill neonatal and p</w:t>
      </w:r>
      <w:r w:rsidRPr="008363E8">
        <w:rPr>
          <w:noProof/>
          <w:lang w:val="en-GB" w:eastAsia="en-GB"/>
        </w:rPr>
        <w:t xml:space="preserve">aediatric patients </w:t>
      </w:r>
      <w:r w:rsidRPr="008363E8">
        <w:rPr>
          <w:noProof/>
        </w:rPr>
        <w:t xml:space="preserve">– effects of </w:t>
      </w:r>
      <w:r w:rsidRPr="008363E8">
        <w:rPr>
          <w:noProof/>
          <w:lang w:val="en-GB" w:eastAsia="en-GB"/>
        </w:rPr>
        <w:t>rFVIIa on outcomes</w:t>
      </w:r>
      <w:r>
        <w:rPr>
          <w:noProof/>
        </w:rPr>
        <w:tab/>
      </w:r>
      <w:r>
        <w:rPr>
          <w:noProof/>
        </w:rPr>
        <w:fldChar w:fldCharType="begin"/>
      </w:r>
      <w:r>
        <w:rPr>
          <w:noProof/>
        </w:rPr>
        <w:instrText xml:space="preserve"> PAGEREF _Toc427851365 \h </w:instrText>
      </w:r>
      <w:r>
        <w:rPr>
          <w:noProof/>
        </w:rPr>
      </w:r>
      <w:r>
        <w:rPr>
          <w:noProof/>
        </w:rPr>
        <w:fldChar w:fldCharType="separate"/>
      </w:r>
      <w:r>
        <w:rPr>
          <w:noProof/>
        </w:rPr>
        <w:t>129</w:t>
      </w:r>
      <w:r>
        <w:rPr>
          <w:noProof/>
        </w:rPr>
        <w:fldChar w:fldCharType="end"/>
      </w:r>
    </w:p>
    <w:p w14:paraId="25A414CC" w14:textId="77777777" w:rsidR="003F176A" w:rsidRDefault="003F176A">
      <w:pPr>
        <w:pStyle w:val="TOC3"/>
        <w:rPr>
          <w:rFonts w:asciiTheme="minorHAnsi" w:eastAsiaTheme="minorEastAsia" w:hAnsiTheme="minorHAnsi" w:cstheme="minorBidi"/>
          <w:noProof/>
          <w:color w:val="auto"/>
        </w:rPr>
      </w:pPr>
      <w:r>
        <w:rPr>
          <w:noProof/>
        </w:rPr>
        <w:t>3.5.1</w:t>
      </w:r>
      <w:r w:rsidRPr="008363E8">
        <w:rPr>
          <w:noProof/>
        </w:rPr>
        <w:t>2</w:t>
      </w:r>
      <w:r>
        <w:rPr>
          <w:rFonts w:asciiTheme="minorHAnsi" w:eastAsiaTheme="minorEastAsia" w:hAnsiTheme="minorHAnsi" w:cstheme="minorBidi"/>
          <w:noProof/>
          <w:color w:val="auto"/>
        </w:rPr>
        <w:tab/>
      </w:r>
      <w:r w:rsidRPr="008363E8">
        <w:rPr>
          <w:noProof/>
          <w:lang w:val="en-US" w:eastAsia="en-US"/>
        </w:rPr>
        <w:t>Critically ill neonatal and paediatric patients – effects of v</w:t>
      </w:r>
      <w:r>
        <w:rPr>
          <w:noProof/>
        </w:rPr>
        <w:t xml:space="preserve">iscoelastometric </w:t>
      </w:r>
      <w:r w:rsidRPr="008363E8">
        <w:rPr>
          <w:noProof/>
        </w:rPr>
        <w:t>POC</w:t>
      </w:r>
      <w:r>
        <w:rPr>
          <w:noProof/>
        </w:rPr>
        <w:t xml:space="preserve"> testing</w:t>
      </w:r>
      <w:r w:rsidRPr="008363E8">
        <w:rPr>
          <w:noProof/>
        </w:rPr>
        <w:t xml:space="preserve"> on outcomes</w:t>
      </w:r>
      <w:r>
        <w:rPr>
          <w:noProof/>
        </w:rPr>
        <w:tab/>
      </w:r>
      <w:r>
        <w:rPr>
          <w:noProof/>
        </w:rPr>
        <w:fldChar w:fldCharType="begin"/>
      </w:r>
      <w:r>
        <w:rPr>
          <w:noProof/>
        </w:rPr>
        <w:instrText xml:space="preserve"> PAGEREF _Toc427851366 \h </w:instrText>
      </w:r>
      <w:r>
        <w:rPr>
          <w:noProof/>
        </w:rPr>
      </w:r>
      <w:r>
        <w:rPr>
          <w:noProof/>
        </w:rPr>
        <w:fldChar w:fldCharType="separate"/>
      </w:r>
      <w:r>
        <w:rPr>
          <w:noProof/>
        </w:rPr>
        <w:t>130</w:t>
      </w:r>
      <w:r>
        <w:rPr>
          <w:noProof/>
        </w:rPr>
        <w:fldChar w:fldCharType="end"/>
      </w:r>
    </w:p>
    <w:p w14:paraId="22BE9E58" w14:textId="77777777" w:rsidR="003F176A" w:rsidRDefault="003F176A">
      <w:pPr>
        <w:pStyle w:val="TOC2"/>
        <w:rPr>
          <w:rFonts w:asciiTheme="minorHAnsi" w:eastAsiaTheme="minorEastAsia" w:hAnsiTheme="minorHAnsi" w:cstheme="minorBidi"/>
          <w:noProof/>
          <w:color w:val="auto"/>
        </w:rPr>
      </w:pPr>
      <w:r>
        <w:rPr>
          <w:noProof/>
        </w:rPr>
        <w:lastRenderedPageBreak/>
        <w:t>3.</w:t>
      </w:r>
      <w:r w:rsidRPr="008363E8">
        <w:rPr>
          <w:noProof/>
        </w:rPr>
        <w:t>6</w:t>
      </w:r>
      <w:r>
        <w:rPr>
          <w:rFonts w:asciiTheme="minorHAnsi" w:eastAsiaTheme="minorEastAsia" w:hAnsiTheme="minorHAnsi" w:cstheme="minorBidi"/>
          <w:noProof/>
          <w:color w:val="auto"/>
        </w:rPr>
        <w:tab/>
      </w:r>
      <w:r w:rsidRPr="008363E8">
        <w:rPr>
          <w:noProof/>
        </w:rPr>
        <w:t>Considerations for Aboriginal and Torres Strait Islander neonates and children</w:t>
      </w:r>
      <w:r>
        <w:rPr>
          <w:noProof/>
        </w:rPr>
        <w:tab/>
      </w:r>
      <w:r>
        <w:rPr>
          <w:noProof/>
        </w:rPr>
        <w:fldChar w:fldCharType="begin"/>
      </w:r>
      <w:r>
        <w:rPr>
          <w:noProof/>
        </w:rPr>
        <w:instrText xml:space="preserve"> PAGEREF _Toc427851367 \h </w:instrText>
      </w:r>
      <w:r>
        <w:rPr>
          <w:noProof/>
        </w:rPr>
      </w:r>
      <w:r>
        <w:rPr>
          <w:noProof/>
        </w:rPr>
        <w:fldChar w:fldCharType="separate"/>
      </w:r>
      <w:r>
        <w:rPr>
          <w:noProof/>
        </w:rPr>
        <w:t>131</w:t>
      </w:r>
      <w:r>
        <w:rPr>
          <w:noProof/>
        </w:rPr>
        <w:fldChar w:fldCharType="end"/>
      </w:r>
    </w:p>
    <w:p w14:paraId="05CD4D58" w14:textId="77777777" w:rsidR="003F176A" w:rsidRDefault="003F176A">
      <w:pPr>
        <w:pStyle w:val="TOC3"/>
        <w:rPr>
          <w:rFonts w:asciiTheme="minorHAnsi" w:eastAsiaTheme="minorEastAsia" w:hAnsiTheme="minorHAnsi" w:cstheme="minorBidi"/>
          <w:noProof/>
          <w:color w:val="auto"/>
        </w:rPr>
      </w:pPr>
      <w:r w:rsidRPr="008363E8">
        <w:rPr>
          <w:noProof/>
        </w:rPr>
        <w:t>3.6.1</w:t>
      </w:r>
      <w:r>
        <w:rPr>
          <w:rFonts w:asciiTheme="minorHAnsi" w:eastAsiaTheme="minorEastAsia" w:hAnsiTheme="minorHAnsi" w:cstheme="minorBidi"/>
          <w:noProof/>
          <w:color w:val="auto"/>
        </w:rPr>
        <w:tab/>
      </w:r>
      <w:r>
        <w:rPr>
          <w:noProof/>
        </w:rPr>
        <w:t>Key points</w:t>
      </w:r>
      <w:r>
        <w:rPr>
          <w:noProof/>
        </w:rPr>
        <w:tab/>
      </w:r>
      <w:r>
        <w:rPr>
          <w:noProof/>
        </w:rPr>
        <w:fldChar w:fldCharType="begin"/>
      </w:r>
      <w:r>
        <w:rPr>
          <w:noProof/>
        </w:rPr>
        <w:instrText xml:space="preserve"> PAGEREF _Toc427851368 \h </w:instrText>
      </w:r>
      <w:r>
        <w:rPr>
          <w:noProof/>
        </w:rPr>
      </w:r>
      <w:r>
        <w:rPr>
          <w:noProof/>
        </w:rPr>
        <w:fldChar w:fldCharType="separate"/>
      </w:r>
      <w:r>
        <w:rPr>
          <w:noProof/>
        </w:rPr>
        <w:t>131</w:t>
      </w:r>
      <w:r>
        <w:rPr>
          <w:noProof/>
        </w:rPr>
        <w:fldChar w:fldCharType="end"/>
      </w:r>
    </w:p>
    <w:p w14:paraId="301CE55D" w14:textId="77777777" w:rsidR="003F176A" w:rsidRDefault="003F176A">
      <w:pPr>
        <w:pStyle w:val="TOC1"/>
        <w:rPr>
          <w:rFonts w:asciiTheme="minorHAnsi" w:eastAsiaTheme="minorEastAsia" w:hAnsiTheme="minorHAnsi" w:cstheme="minorBidi"/>
          <w:b w:val="0"/>
          <w:bCs w:val="0"/>
          <w:color w:val="auto"/>
        </w:rPr>
      </w:pPr>
      <w:r>
        <w:t>4</w:t>
      </w:r>
      <w:r>
        <w:rPr>
          <w:rFonts w:asciiTheme="minorHAnsi" w:eastAsiaTheme="minorEastAsia" w:hAnsiTheme="minorHAnsi" w:cstheme="minorBidi"/>
          <w:b w:val="0"/>
          <w:bCs w:val="0"/>
          <w:color w:val="auto"/>
        </w:rPr>
        <w:tab/>
      </w:r>
      <w:r w:rsidRPr="008363E8">
        <w:rPr>
          <w:lang w:val="en-US"/>
        </w:rPr>
        <w:t>Background questions</w:t>
      </w:r>
      <w:r>
        <w:tab/>
      </w:r>
      <w:r>
        <w:fldChar w:fldCharType="begin"/>
      </w:r>
      <w:r>
        <w:instrText xml:space="preserve"> PAGEREF _Toc427851369 \h </w:instrText>
      </w:r>
      <w:r>
        <w:fldChar w:fldCharType="separate"/>
      </w:r>
      <w:r>
        <w:t>133</w:t>
      </w:r>
      <w:r>
        <w:fldChar w:fldCharType="end"/>
      </w:r>
    </w:p>
    <w:p w14:paraId="5F97E3B2" w14:textId="77777777" w:rsidR="003F176A" w:rsidRDefault="003F176A">
      <w:pPr>
        <w:pStyle w:val="TOC2"/>
        <w:rPr>
          <w:rFonts w:asciiTheme="minorHAnsi" w:eastAsiaTheme="minorEastAsia" w:hAnsiTheme="minorHAnsi" w:cstheme="minorBidi"/>
          <w:noProof/>
          <w:color w:val="auto"/>
        </w:rPr>
      </w:pPr>
      <w:r>
        <w:rPr>
          <w:noProof/>
        </w:rPr>
        <w:t>4.1</w:t>
      </w:r>
      <w:r>
        <w:rPr>
          <w:rFonts w:asciiTheme="minorHAnsi" w:eastAsiaTheme="minorEastAsia" w:hAnsiTheme="minorHAnsi" w:cstheme="minorBidi"/>
          <w:noProof/>
          <w:color w:val="auto"/>
        </w:rPr>
        <w:tab/>
      </w:r>
      <w:r w:rsidRPr="008363E8">
        <w:rPr>
          <w:noProof/>
        </w:rPr>
        <w:t>Selection of blood products</w:t>
      </w:r>
      <w:r>
        <w:rPr>
          <w:noProof/>
        </w:rPr>
        <w:tab/>
      </w:r>
      <w:r>
        <w:rPr>
          <w:noProof/>
        </w:rPr>
        <w:fldChar w:fldCharType="begin"/>
      </w:r>
      <w:r>
        <w:rPr>
          <w:noProof/>
        </w:rPr>
        <w:instrText xml:space="preserve"> PAGEREF _Toc427851370 \h </w:instrText>
      </w:r>
      <w:r>
        <w:rPr>
          <w:noProof/>
        </w:rPr>
      </w:r>
      <w:r>
        <w:rPr>
          <w:noProof/>
        </w:rPr>
        <w:fldChar w:fldCharType="separate"/>
      </w:r>
      <w:r>
        <w:rPr>
          <w:noProof/>
        </w:rPr>
        <w:t>134</w:t>
      </w:r>
      <w:r>
        <w:rPr>
          <w:noProof/>
        </w:rPr>
        <w:fldChar w:fldCharType="end"/>
      </w:r>
    </w:p>
    <w:p w14:paraId="6107055E" w14:textId="77777777" w:rsidR="003F176A" w:rsidRDefault="003F176A">
      <w:pPr>
        <w:pStyle w:val="TOC3"/>
        <w:rPr>
          <w:rFonts w:asciiTheme="minorHAnsi" w:eastAsiaTheme="minorEastAsia" w:hAnsiTheme="minorHAnsi" w:cstheme="minorBidi"/>
          <w:noProof/>
          <w:color w:val="auto"/>
        </w:rPr>
      </w:pPr>
      <w:r w:rsidRPr="008363E8">
        <w:rPr>
          <w:rFonts w:eastAsia="Calibri"/>
          <w:noProof/>
        </w:rPr>
        <w:t>4.1.1</w:t>
      </w:r>
      <w:r>
        <w:rPr>
          <w:rFonts w:asciiTheme="minorHAnsi" w:eastAsiaTheme="minorEastAsia" w:hAnsiTheme="minorHAnsi" w:cstheme="minorBidi"/>
          <w:noProof/>
          <w:color w:val="auto"/>
        </w:rPr>
        <w:tab/>
      </w:r>
      <w:r w:rsidRPr="008363E8">
        <w:rPr>
          <w:rFonts w:eastAsia="Calibri"/>
          <w:noProof/>
        </w:rPr>
        <w:t>Use of ‘fresh’ RBCs in fetal, neonatal or paediatric patients</w:t>
      </w:r>
      <w:r>
        <w:rPr>
          <w:noProof/>
        </w:rPr>
        <w:tab/>
      </w:r>
      <w:r>
        <w:rPr>
          <w:noProof/>
        </w:rPr>
        <w:fldChar w:fldCharType="begin"/>
      </w:r>
      <w:r>
        <w:rPr>
          <w:noProof/>
        </w:rPr>
        <w:instrText xml:space="preserve"> PAGEREF _Toc427851371 \h </w:instrText>
      </w:r>
      <w:r>
        <w:rPr>
          <w:noProof/>
        </w:rPr>
      </w:r>
      <w:r>
        <w:rPr>
          <w:noProof/>
        </w:rPr>
        <w:fldChar w:fldCharType="separate"/>
      </w:r>
      <w:r>
        <w:rPr>
          <w:noProof/>
        </w:rPr>
        <w:t>134</w:t>
      </w:r>
      <w:r>
        <w:rPr>
          <w:noProof/>
        </w:rPr>
        <w:fldChar w:fldCharType="end"/>
      </w:r>
    </w:p>
    <w:p w14:paraId="6565E1F4" w14:textId="77777777" w:rsidR="003F176A" w:rsidRDefault="003F176A">
      <w:pPr>
        <w:pStyle w:val="TOC3"/>
        <w:rPr>
          <w:rFonts w:asciiTheme="minorHAnsi" w:eastAsiaTheme="minorEastAsia" w:hAnsiTheme="minorHAnsi" w:cstheme="minorBidi"/>
          <w:noProof/>
          <w:color w:val="auto"/>
        </w:rPr>
      </w:pPr>
      <w:r>
        <w:rPr>
          <w:noProof/>
        </w:rPr>
        <w:t>4.1.2</w:t>
      </w:r>
      <w:r>
        <w:rPr>
          <w:rFonts w:asciiTheme="minorHAnsi" w:eastAsiaTheme="minorEastAsia" w:hAnsiTheme="minorHAnsi" w:cstheme="minorBidi"/>
          <w:noProof/>
          <w:color w:val="auto"/>
        </w:rPr>
        <w:tab/>
      </w:r>
      <w:r>
        <w:rPr>
          <w:noProof/>
        </w:rPr>
        <w:t>Kell antigen system</w:t>
      </w:r>
      <w:r>
        <w:rPr>
          <w:noProof/>
        </w:rPr>
        <w:tab/>
      </w:r>
      <w:r>
        <w:rPr>
          <w:noProof/>
        </w:rPr>
        <w:fldChar w:fldCharType="begin"/>
      </w:r>
      <w:r>
        <w:rPr>
          <w:noProof/>
        </w:rPr>
        <w:instrText xml:space="preserve"> PAGEREF _Toc427851372 \h </w:instrText>
      </w:r>
      <w:r>
        <w:rPr>
          <w:noProof/>
        </w:rPr>
      </w:r>
      <w:r>
        <w:rPr>
          <w:noProof/>
        </w:rPr>
        <w:fldChar w:fldCharType="separate"/>
      </w:r>
      <w:r>
        <w:rPr>
          <w:noProof/>
        </w:rPr>
        <w:t>135</w:t>
      </w:r>
      <w:r>
        <w:rPr>
          <w:noProof/>
        </w:rPr>
        <w:fldChar w:fldCharType="end"/>
      </w:r>
    </w:p>
    <w:p w14:paraId="109A42AF" w14:textId="77777777" w:rsidR="003F176A" w:rsidRDefault="003F176A">
      <w:pPr>
        <w:pStyle w:val="TOC3"/>
        <w:rPr>
          <w:rFonts w:asciiTheme="minorHAnsi" w:eastAsiaTheme="minorEastAsia" w:hAnsiTheme="minorHAnsi" w:cstheme="minorBidi"/>
          <w:noProof/>
          <w:color w:val="auto"/>
        </w:rPr>
      </w:pPr>
      <w:r w:rsidRPr="008363E8">
        <w:rPr>
          <w:rFonts w:eastAsia="Calibri"/>
          <w:noProof/>
        </w:rPr>
        <w:t>4.1.3</w:t>
      </w:r>
      <w:r>
        <w:rPr>
          <w:rFonts w:asciiTheme="minorHAnsi" w:eastAsiaTheme="minorEastAsia" w:hAnsiTheme="minorHAnsi" w:cstheme="minorBidi"/>
          <w:noProof/>
          <w:color w:val="auto"/>
        </w:rPr>
        <w:tab/>
      </w:r>
      <w:r>
        <w:rPr>
          <w:noProof/>
        </w:rPr>
        <w:t>Use of irradiated cellular blood products in neonates and children</w:t>
      </w:r>
      <w:r>
        <w:rPr>
          <w:noProof/>
        </w:rPr>
        <w:tab/>
      </w:r>
      <w:r>
        <w:rPr>
          <w:noProof/>
        </w:rPr>
        <w:fldChar w:fldCharType="begin"/>
      </w:r>
      <w:r>
        <w:rPr>
          <w:noProof/>
        </w:rPr>
        <w:instrText xml:space="preserve"> PAGEREF _Toc427851373 \h </w:instrText>
      </w:r>
      <w:r>
        <w:rPr>
          <w:noProof/>
        </w:rPr>
      </w:r>
      <w:r>
        <w:rPr>
          <w:noProof/>
        </w:rPr>
        <w:fldChar w:fldCharType="separate"/>
      </w:r>
      <w:r>
        <w:rPr>
          <w:noProof/>
        </w:rPr>
        <w:t>135</w:t>
      </w:r>
      <w:r>
        <w:rPr>
          <w:noProof/>
        </w:rPr>
        <w:fldChar w:fldCharType="end"/>
      </w:r>
    </w:p>
    <w:p w14:paraId="08FCDC6A" w14:textId="77777777" w:rsidR="003F176A" w:rsidRDefault="003F176A">
      <w:pPr>
        <w:pStyle w:val="TOC3"/>
        <w:rPr>
          <w:rFonts w:asciiTheme="minorHAnsi" w:eastAsiaTheme="minorEastAsia" w:hAnsiTheme="minorHAnsi" w:cstheme="minorBidi"/>
          <w:noProof/>
          <w:color w:val="auto"/>
        </w:rPr>
      </w:pPr>
      <w:r>
        <w:rPr>
          <w:noProof/>
        </w:rPr>
        <w:t>4.1.4</w:t>
      </w:r>
      <w:r>
        <w:rPr>
          <w:rFonts w:asciiTheme="minorHAnsi" w:eastAsiaTheme="minorEastAsia" w:hAnsiTheme="minorHAnsi" w:cstheme="minorBidi"/>
          <w:noProof/>
          <w:color w:val="auto"/>
        </w:rPr>
        <w:tab/>
      </w:r>
      <w:r>
        <w:rPr>
          <w:noProof/>
        </w:rPr>
        <w:t>Use of CMV-negative blood products</w:t>
      </w:r>
      <w:r>
        <w:rPr>
          <w:noProof/>
        </w:rPr>
        <w:tab/>
      </w:r>
      <w:r>
        <w:rPr>
          <w:noProof/>
        </w:rPr>
        <w:fldChar w:fldCharType="begin"/>
      </w:r>
      <w:r>
        <w:rPr>
          <w:noProof/>
        </w:rPr>
        <w:instrText xml:space="preserve"> PAGEREF _Toc427851374 \h </w:instrText>
      </w:r>
      <w:r>
        <w:rPr>
          <w:noProof/>
        </w:rPr>
      </w:r>
      <w:r>
        <w:rPr>
          <w:noProof/>
        </w:rPr>
        <w:fldChar w:fldCharType="separate"/>
      </w:r>
      <w:r>
        <w:rPr>
          <w:noProof/>
        </w:rPr>
        <w:t>137</w:t>
      </w:r>
      <w:r>
        <w:rPr>
          <w:noProof/>
        </w:rPr>
        <w:fldChar w:fldCharType="end"/>
      </w:r>
    </w:p>
    <w:p w14:paraId="67A081C2" w14:textId="77777777" w:rsidR="003F176A" w:rsidRDefault="003F176A">
      <w:pPr>
        <w:pStyle w:val="TOC3"/>
        <w:rPr>
          <w:rFonts w:asciiTheme="minorHAnsi" w:eastAsiaTheme="minorEastAsia" w:hAnsiTheme="minorHAnsi" w:cstheme="minorBidi"/>
          <w:noProof/>
          <w:color w:val="auto"/>
        </w:rPr>
      </w:pPr>
      <w:r>
        <w:rPr>
          <w:noProof/>
        </w:rPr>
        <w:t xml:space="preserve">4.1.5 </w:t>
      </w:r>
      <w:r>
        <w:rPr>
          <w:rFonts w:asciiTheme="minorHAnsi" w:eastAsiaTheme="minorEastAsia" w:hAnsiTheme="minorHAnsi" w:cstheme="minorBidi"/>
          <w:noProof/>
          <w:color w:val="auto"/>
        </w:rPr>
        <w:tab/>
      </w:r>
      <w:r>
        <w:rPr>
          <w:noProof/>
        </w:rPr>
        <w:t>Use of human platelet antigen-matched platelets</w:t>
      </w:r>
      <w:r>
        <w:rPr>
          <w:noProof/>
        </w:rPr>
        <w:tab/>
      </w:r>
      <w:r>
        <w:rPr>
          <w:noProof/>
        </w:rPr>
        <w:fldChar w:fldCharType="begin"/>
      </w:r>
      <w:r>
        <w:rPr>
          <w:noProof/>
        </w:rPr>
        <w:instrText xml:space="preserve"> PAGEREF _Toc427851375 \h </w:instrText>
      </w:r>
      <w:r>
        <w:rPr>
          <w:noProof/>
        </w:rPr>
      </w:r>
      <w:r>
        <w:rPr>
          <w:noProof/>
        </w:rPr>
        <w:fldChar w:fldCharType="separate"/>
      </w:r>
      <w:r>
        <w:rPr>
          <w:noProof/>
        </w:rPr>
        <w:t>139</w:t>
      </w:r>
      <w:r>
        <w:rPr>
          <w:noProof/>
        </w:rPr>
        <w:fldChar w:fldCharType="end"/>
      </w:r>
    </w:p>
    <w:p w14:paraId="139ED29C" w14:textId="77777777" w:rsidR="003F176A" w:rsidRDefault="003F176A">
      <w:pPr>
        <w:pStyle w:val="TOC3"/>
        <w:rPr>
          <w:rFonts w:asciiTheme="minorHAnsi" w:eastAsiaTheme="minorEastAsia" w:hAnsiTheme="minorHAnsi" w:cstheme="minorBidi"/>
          <w:noProof/>
          <w:color w:val="auto"/>
        </w:rPr>
      </w:pPr>
      <w:r>
        <w:rPr>
          <w:noProof/>
        </w:rPr>
        <w:t xml:space="preserve">4.1.6 </w:t>
      </w:r>
      <w:r>
        <w:rPr>
          <w:rFonts w:asciiTheme="minorHAnsi" w:eastAsiaTheme="minorEastAsia" w:hAnsiTheme="minorHAnsi" w:cstheme="minorBidi"/>
          <w:noProof/>
          <w:color w:val="auto"/>
        </w:rPr>
        <w:tab/>
      </w:r>
      <w:r>
        <w:rPr>
          <w:noProof/>
        </w:rPr>
        <w:t xml:space="preserve">Use of </w:t>
      </w:r>
      <w:r w:rsidRPr="008363E8">
        <w:rPr>
          <w:noProof/>
        </w:rPr>
        <w:t>HLA</w:t>
      </w:r>
      <w:r>
        <w:rPr>
          <w:noProof/>
        </w:rPr>
        <w:t>-matched platelets</w:t>
      </w:r>
      <w:r>
        <w:rPr>
          <w:noProof/>
        </w:rPr>
        <w:tab/>
      </w:r>
      <w:r>
        <w:rPr>
          <w:noProof/>
        </w:rPr>
        <w:fldChar w:fldCharType="begin"/>
      </w:r>
      <w:r>
        <w:rPr>
          <w:noProof/>
        </w:rPr>
        <w:instrText xml:space="preserve"> PAGEREF _Toc427851376 \h </w:instrText>
      </w:r>
      <w:r>
        <w:rPr>
          <w:noProof/>
        </w:rPr>
      </w:r>
      <w:r>
        <w:rPr>
          <w:noProof/>
        </w:rPr>
        <w:fldChar w:fldCharType="separate"/>
      </w:r>
      <w:r>
        <w:rPr>
          <w:noProof/>
        </w:rPr>
        <w:t>140</w:t>
      </w:r>
      <w:r>
        <w:rPr>
          <w:noProof/>
        </w:rPr>
        <w:fldChar w:fldCharType="end"/>
      </w:r>
    </w:p>
    <w:p w14:paraId="4F026A10" w14:textId="77777777" w:rsidR="003F176A" w:rsidRDefault="003F176A">
      <w:pPr>
        <w:pStyle w:val="TOC3"/>
        <w:rPr>
          <w:rFonts w:asciiTheme="minorHAnsi" w:eastAsiaTheme="minorEastAsia" w:hAnsiTheme="minorHAnsi" w:cstheme="minorBidi"/>
          <w:noProof/>
          <w:color w:val="auto"/>
        </w:rPr>
      </w:pPr>
      <w:r>
        <w:rPr>
          <w:noProof/>
        </w:rPr>
        <w:t xml:space="preserve">4.1.7 </w:t>
      </w:r>
      <w:r>
        <w:rPr>
          <w:rFonts w:asciiTheme="minorHAnsi" w:eastAsiaTheme="minorEastAsia" w:hAnsiTheme="minorHAnsi" w:cstheme="minorBidi"/>
          <w:noProof/>
          <w:color w:val="auto"/>
        </w:rPr>
        <w:tab/>
      </w:r>
      <w:r w:rsidRPr="008363E8">
        <w:rPr>
          <w:rFonts w:eastAsia="Calibri"/>
          <w:noProof/>
        </w:rPr>
        <w:t>Washed RBCs</w:t>
      </w:r>
      <w:r>
        <w:rPr>
          <w:noProof/>
        </w:rPr>
        <w:tab/>
      </w:r>
      <w:r>
        <w:rPr>
          <w:noProof/>
        </w:rPr>
        <w:fldChar w:fldCharType="begin"/>
      </w:r>
      <w:r>
        <w:rPr>
          <w:noProof/>
        </w:rPr>
        <w:instrText xml:space="preserve"> PAGEREF _Toc427851377 \h </w:instrText>
      </w:r>
      <w:r>
        <w:rPr>
          <w:noProof/>
        </w:rPr>
      </w:r>
      <w:r>
        <w:rPr>
          <w:noProof/>
        </w:rPr>
        <w:fldChar w:fldCharType="separate"/>
      </w:r>
      <w:r>
        <w:rPr>
          <w:noProof/>
        </w:rPr>
        <w:t>141</w:t>
      </w:r>
      <w:r>
        <w:rPr>
          <w:noProof/>
        </w:rPr>
        <w:fldChar w:fldCharType="end"/>
      </w:r>
    </w:p>
    <w:p w14:paraId="2AABB4EA" w14:textId="77777777" w:rsidR="003F176A" w:rsidRDefault="003F176A">
      <w:pPr>
        <w:pStyle w:val="TOC2"/>
        <w:rPr>
          <w:rFonts w:asciiTheme="minorHAnsi" w:eastAsiaTheme="minorEastAsia" w:hAnsiTheme="minorHAnsi" w:cstheme="minorBidi"/>
          <w:noProof/>
          <w:color w:val="auto"/>
        </w:rPr>
      </w:pPr>
      <w:r>
        <w:rPr>
          <w:noProof/>
        </w:rPr>
        <w:t>4.2</w:t>
      </w:r>
      <w:r>
        <w:rPr>
          <w:rFonts w:asciiTheme="minorHAnsi" w:eastAsiaTheme="minorEastAsia" w:hAnsiTheme="minorHAnsi" w:cstheme="minorBidi"/>
          <w:noProof/>
          <w:color w:val="auto"/>
        </w:rPr>
        <w:tab/>
      </w:r>
      <w:r w:rsidRPr="008363E8">
        <w:rPr>
          <w:noProof/>
        </w:rPr>
        <w:t>The need for neonatal transfusion</w:t>
      </w:r>
      <w:r>
        <w:rPr>
          <w:noProof/>
        </w:rPr>
        <w:tab/>
      </w:r>
      <w:r>
        <w:rPr>
          <w:noProof/>
        </w:rPr>
        <w:fldChar w:fldCharType="begin"/>
      </w:r>
      <w:r>
        <w:rPr>
          <w:noProof/>
        </w:rPr>
        <w:instrText xml:space="preserve"> PAGEREF _Toc427851378 \h </w:instrText>
      </w:r>
      <w:r>
        <w:rPr>
          <w:noProof/>
        </w:rPr>
      </w:r>
      <w:r>
        <w:rPr>
          <w:noProof/>
        </w:rPr>
        <w:fldChar w:fldCharType="separate"/>
      </w:r>
      <w:r>
        <w:rPr>
          <w:noProof/>
        </w:rPr>
        <w:t>142</w:t>
      </w:r>
      <w:r>
        <w:rPr>
          <w:noProof/>
        </w:rPr>
        <w:fldChar w:fldCharType="end"/>
      </w:r>
    </w:p>
    <w:p w14:paraId="18484B54" w14:textId="77777777" w:rsidR="003F176A" w:rsidRDefault="003F176A">
      <w:pPr>
        <w:pStyle w:val="TOC3"/>
        <w:rPr>
          <w:rFonts w:asciiTheme="minorHAnsi" w:eastAsiaTheme="minorEastAsia" w:hAnsiTheme="minorHAnsi" w:cstheme="minorBidi"/>
          <w:noProof/>
          <w:color w:val="auto"/>
        </w:rPr>
      </w:pPr>
      <w:r>
        <w:rPr>
          <w:noProof/>
        </w:rPr>
        <w:t>4.2.1</w:t>
      </w:r>
      <w:r>
        <w:rPr>
          <w:rFonts w:asciiTheme="minorHAnsi" w:eastAsiaTheme="minorEastAsia" w:hAnsiTheme="minorHAnsi" w:cstheme="minorBidi"/>
          <w:noProof/>
          <w:color w:val="auto"/>
        </w:rPr>
        <w:tab/>
      </w:r>
      <w:r>
        <w:rPr>
          <w:noProof/>
        </w:rPr>
        <w:t>Intrauterine fetal blood component transfusion</w:t>
      </w:r>
      <w:r>
        <w:rPr>
          <w:noProof/>
        </w:rPr>
        <w:tab/>
      </w:r>
      <w:r>
        <w:rPr>
          <w:noProof/>
        </w:rPr>
        <w:fldChar w:fldCharType="begin"/>
      </w:r>
      <w:r>
        <w:rPr>
          <w:noProof/>
        </w:rPr>
        <w:instrText xml:space="preserve"> PAGEREF _Toc427851379 \h </w:instrText>
      </w:r>
      <w:r>
        <w:rPr>
          <w:noProof/>
        </w:rPr>
      </w:r>
      <w:r>
        <w:rPr>
          <w:noProof/>
        </w:rPr>
        <w:fldChar w:fldCharType="separate"/>
      </w:r>
      <w:r>
        <w:rPr>
          <w:noProof/>
        </w:rPr>
        <w:t>142</w:t>
      </w:r>
      <w:r>
        <w:rPr>
          <w:noProof/>
        </w:rPr>
        <w:fldChar w:fldCharType="end"/>
      </w:r>
    </w:p>
    <w:p w14:paraId="287E9295" w14:textId="77777777" w:rsidR="003F176A" w:rsidRDefault="003F176A">
      <w:pPr>
        <w:pStyle w:val="TOC2"/>
        <w:rPr>
          <w:rFonts w:asciiTheme="minorHAnsi" w:eastAsiaTheme="minorEastAsia" w:hAnsiTheme="minorHAnsi" w:cstheme="minorBidi"/>
          <w:noProof/>
          <w:color w:val="auto"/>
        </w:rPr>
      </w:pPr>
      <w:r>
        <w:rPr>
          <w:noProof/>
        </w:rPr>
        <w:t>4.3</w:t>
      </w:r>
      <w:r>
        <w:rPr>
          <w:rFonts w:asciiTheme="minorHAnsi" w:eastAsiaTheme="minorEastAsia" w:hAnsiTheme="minorHAnsi" w:cstheme="minorBidi"/>
          <w:noProof/>
          <w:color w:val="auto"/>
        </w:rPr>
        <w:tab/>
      </w:r>
      <w:r>
        <w:rPr>
          <w:noProof/>
        </w:rPr>
        <w:t>Non-pharmacologic blood conservation strategies</w:t>
      </w:r>
      <w:r>
        <w:rPr>
          <w:noProof/>
        </w:rPr>
        <w:tab/>
      </w:r>
      <w:r>
        <w:rPr>
          <w:noProof/>
        </w:rPr>
        <w:fldChar w:fldCharType="begin"/>
      </w:r>
      <w:r>
        <w:rPr>
          <w:noProof/>
        </w:rPr>
        <w:instrText xml:space="preserve"> PAGEREF _Toc427851380 \h </w:instrText>
      </w:r>
      <w:r>
        <w:rPr>
          <w:noProof/>
        </w:rPr>
      </w:r>
      <w:r>
        <w:rPr>
          <w:noProof/>
        </w:rPr>
        <w:fldChar w:fldCharType="separate"/>
      </w:r>
      <w:r>
        <w:rPr>
          <w:noProof/>
        </w:rPr>
        <w:t>144</w:t>
      </w:r>
      <w:r>
        <w:rPr>
          <w:noProof/>
        </w:rPr>
        <w:fldChar w:fldCharType="end"/>
      </w:r>
    </w:p>
    <w:p w14:paraId="1ACA3965" w14:textId="77777777" w:rsidR="003F176A" w:rsidRDefault="003F176A">
      <w:pPr>
        <w:pStyle w:val="TOC3"/>
        <w:rPr>
          <w:rFonts w:asciiTheme="minorHAnsi" w:eastAsiaTheme="minorEastAsia" w:hAnsiTheme="minorHAnsi" w:cstheme="minorBidi"/>
          <w:noProof/>
          <w:color w:val="auto"/>
        </w:rPr>
      </w:pPr>
      <w:r>
        <w:rPr>
          <w:noProof/>
        </w:rPr>
        <w:t>4.3.1</w:t>
      </w:r>
      <w:r>
        <w:rPr>
          <w:rFonts w:asciiTheme="minorHAnsi" w:eastAsiaTheme="minorEastAsia" w:hAnsiTheme="minorHAnsi" w:cstheme="minorBidi"/>
          <w:noProof/>
          <w:color w:val="auto"/>
        </w:rPr>
        <w:tab/>
      </w:r>
      <w:r>
        <w:rPr>
          <w:noProof/>
        </w:rPr>
        <w:t xml:space="preserve"> Introduction</w:t>
      </w:r>
      <w:r>
        <w:rPr>
          <w:noProof/>
        </w:rPr>
        <w:tab/>
      </w:r>
      <w:r>
        <w:rPr>
          <w:noProof/>
        </w:rPr>
        <w:fldChar w:fldCharType="begin"/>
      </w:r>
      <w:r>
        <w:rPr>
          <w:noProof/>
        </w:rPr>
        <w:instrText xml:space="preserve"> PAGEREF _Toc427851381 \h </w:instrText>
      </w:r>
      <w:r>
        <w:rPr>
          <w:noProof/>
        </w:rPr>
      </w:r>
      <w:r>
        <w:rPr>
          <w:noProof/>
        </w:rPr>
        <w:fldChar w:fldCharType="separate"/>
      </w:r>
      <w:r>
        <w:rPr>
          <w:noProof/>
        </w:rPr>
        <w:t>144</w:t>
      </w:r>
      <w:r>
        <w:rPr>
          <w:noProof/>
        </w:rPr>
        <w:fldChar w:fldCharType="end"/>
      </w:r>
    </w:p>
    <w:p w14:paraId="5B08944F" w14:textId="77777777" w:rsidR="003F176A" w:rsidRDefault="003F176A">
      <w:pPr>
        <w:pStyle w:val="TOC3"/>
        <w:rPr>
          <w:rFonts w:asciiTheme="minorHAnsi" w:eastAsiaTheme="minorEastAsia" w:hAnsiTheme="minorHAnsi" w:cstheme="minorBidi"/>
          <w:noProof/>
          <w:color w:val="auto"/>
        </w:rPr>
      </w:pPr>
      <w:r>
        <w:rPr>
          <w:noProof/>
        </w:rPr>
        <w:t xml:space="preserve">4.3.2 </w:t>
      </w:r>
      <w:r>
        <w:rPr>
          <w:rFonts w:asciiTheme="minorHAnsi" w:eastAsiaTheme="minorEastAsia" w:hAnsiTheme="minorHAnsi" w:cstheme="minorBidi"/>
          <w:noProof/>
          <w:color w:val="auto"/>
        </w:rPr>
        <w:tab/>
      </w:r>
      <w:r>
        <w:rPr>
          <w:noProof/>
        </w:rPr>
        <w:t>Early removal of sampling lines</w:t>
      </w:r>
      <w:r>
        <w:rPr>
          <w:noProof/>
        </w:rPr>
        <w:tab/>
      </w:r>
      <w:r>
        <w:rPr>
          <w:noProof/>
        </w:rPr>
        <w:fldChar w:fldCharType="begin"/>
      </w:r>
      <w:r>
        <w:rPr>
          <w:noProof/>
        </w:rPr>
        <w:instrText xml:space="preserve"> PAGEREF _Toc427851382 \h </w:instrText>
      </w:r>
      <w:r>
        <w:rPr>
          <w:noProof/>
        </w:rPr>
      </w:r>
      <w:r>
        <w:rPr>
          <w:noProof/>
        </w:rPr>
        <w:fldChar w:fldCharType="separate"/>
      </w:r>
      <w:r>
        <w:rPr>
          <w:noProof/>
        </w:rPr>
        <w:t>144</w:t>
      </w:r>
      <w:r>
        <w:rPr>
          <w:noProof/>
        </w:rPr>
        <w:fldChar w:fldCharType="end"/>
      </w:r>
    </w:p>
    <w:p w14:paraId="732E7283" w14:textId="77777777" w:rsidR="003F176A" w:rsidRDefault="003F176A">
      <w:pPr>
        <w:pStyle w:val="TOC3"/>
        <w:rPr>
          <w:rFonts w:asciiTheme="minorHAnsi" w:eastAsiaTheme="minorEastAsia" w:hAnsiTheme="minorHAnsi" w:cstheme="minorBidi"/>
          <w:noProof/>
          <w:color w:val="auto"/>
        </w:rPr>
      </w:pPr>
      <w:r>
        <w:rPr>
          <w:noProof/>
        </w:rPr>
        <w:t xml:space="preserve">4.3.3 </w:t>
      </w:r>
      <w:r>
        <w:rPr>
          <w:rFonts w:asciiTheme="minorHAnsi" w:eastAsiaTheme="minorEastAsia" w:hAnsiTheme="minorHAnsi" w:cstheme="minorBidi"/>
          <w:noProof/>
          <w:color w:val="auto"/>
        </w:rPr>
        <w:tab/>
      </w:r>
      <w:r>
        <w:rPr>
          <w:noProof/>
        </w:rPr>
        <w:t>Avoiding excess phlebotomy volumes</w:t>
      </w:r>
      <w:r>
        <w:rPr>
          <w:noProof/>
        </w:rPr>
        <w:tab/>
      </w:r>
      <w:r>
        <w:rPr>
          <w:noProof/>
        </w:rPr>
        <w:fldChar w:fldCharType="begin"/>
      </w:r>
      <w:r>
        <w:rPr>
          <w:noProof/>
        </w:rPr>
        <w:instrText xml:space="preserve"> PAGEREF _Toc427851383 \h </w:instrText>
      </w:r>
      <w:r>
        <w:rPr>
          <w:noProof/>
        </w:rPr>
      </w:r>
      <w:r>
        <w:rPr>
          <w:noProof/>
        </w:rPr>
        <w:fldChar w:fldCharType="separate"/>
      </w:r>
      <w:r>
        <w:rPr>
          <w:noProof/>
        </w:rPr>
        <w:t>144</w:t>
      </w:r>
      <w:r>
        <w:rPr>
          <w:noProof/>
        </w:rPr>
        <w:fldChar w:fldCharType="end"/>
      </w:r>
    </w:p>
    <w:p w14:paraId="57EC074C" w14:textId="77777777" w:rsidR="003F176A" w:rsidRDefault="003F176A">
      <w:pPr>
        <w:pStyle w:val="TOC3"/>
        <w:rPr>
          <w:rFonts w:asciiTheme="minorHAnsi" w:eastAsiaTheme="minorEastAsia" w:hAnsiTheme="minorHAnsi" w:cstheme="minorBidi"/>
          <w:noProof/>
          <w:color w:val="auto"/>
        </w:rPr>
      </w:pPr>
      <w:r>
        <w:rPr>
          <w:noProof/>
        </w:rPr>
        <w:t xml:space="preserve">4.3.4 </w:t>
      </w:r>
      <w:r>
        <w:rPr>
          <w:rFonts w:asciiTheme="minorHAnsi" w:eastAsiaTheme="minorEastAsia" w:hAnsiTheme="minorHAnsi" w:cstheme="minorBidi"/>
          <w:noProof/>
          <w:color w:val="auto"/>
        </w:rPr>
        <w:tab/>
      </w:r>
      <w:r>
        <w:rPr>
          <w:noProof/>
        </w:rPr>
        <w:t>As-needed or rationalisation of blood sampling</w:t>
      </w:r>
      <w:r>
        <w:rPr>
          <w:noProof/>
        </w:rPr>
        <w:tab/>
      </w:r>
      <w:r>
        <w:rPr>
          <w:noProof/>
        </w:rPr>
        <w:fldChar w:fldCharType="begin"/>
      </w:r>
      <w:r>
        <w:rPr>
          <w:noProof/>
        </w:rPr>
        <w:instrText xml:space="preserve"> PAGEREF _Toc427851384 \h </w:instrText>
      </w:r>
      <w:r>
        <w:rPr>
          <w:noProof/>
        </w:rPr>
      </w:r>
      <w:r>
        <w:rPr>
          <w:noProof/>
        </w:rPr>
        <w:fldChar w:fldCharType="separate"/>
      </w:r>
      <w:r>
        <w:rPr>
          <w:noProof/>
        </w:rPr>
        <w:t>144</w:t>
      </w:r>
      <w:r>
        <w:rPr>
          <w:noProof/>
        </w:rPr>
        <w:fldChar w:fldCharType="end"/>
      </w:r>
    </w:p>
    <w:p w14:paraId="14E0C441" w14:textId="77777777" w:rsidR="003F176A" w:rsidRDefault="003F176A">
      <w:pPr>
        <w:pStyle w:val="TOC3"/>
        <w:rPr>
          <w:rFonts w:asciiTheme="minorHAnsi" w:eastAsiaTheme="minorEastAsia" w:hAnsiTheme="minorHAnsi" w:cstheme="minorBidi"/>
          <w:noProof/>
          <w:color w:val="auto"/>
        </w:rPr>
      </w:pPr>
      <w:r>
        <w:rPr>
          <w:noProof/>
        </w:rPr>
        <w:t xml:space="preserve">4.3.5 </w:t>
      </w:r>
      <w:r>
        <w:rPr>
          <w:rFonts w:asciiTheme="minorHAnsi" w:eastAsiaTheme="minorEastAsia" w:hAnsiTheme="minorHAnsi" w:cstheme="minorBidi"/>
          <w:noProof/>
          <w:color w:val="auto"/>
        </w:rPr>
        <w:tab/>
      </w:r>
      <w:r>
        <w:rPr>
          <w:noProof/>
        </w:rPr>
        <w:t>Replacement or avoidance of discard or void volumes in sampling lines</w:t>
      </w:r>
      <w:r>
        <w:rPr>
          <w:noProof/>
        </w:rPr>
        <w:tab/>
      </w:r>
      <w:r>
        <w:rPr>
          <w:noProof/>
        </w:rPr>
        <w:fldChar w:fldCharType="begin"/>
      </w:r>
      <w:r>
        <w:rPr>
          <w:noProof/>
        </w:rPr>
        <w:instrText xml:space="preserve"> PAGEREF _Toc427851385 \h </w:instrText>
      </w:r>
      <w:r>
        <w:rPr>
          <w:noProof/>
        </w:rPr>
      </w:r>
      <w:r>
        <w:rPr>
          <w:noProof/>
        </w:rPr>
        <w:fldChar w:fldCharType="separate"/>
      </w:r>
      <w:r>
        <w:rPr>
          <w:noProof/>
        </w:rPr>
        <w:t>145</w:t>
      </w:r>
      <w:r>
        <w:rPr>
          <w:noProof/>
        </w:rPr>
        <w:fldChar w:fldCharType="end"/>
      </w:r>
    </w:p>
    <w:p w14:paraId="0DD5BCB2" w14:textId="77777777" w:rsidR="003F176A" w:rsidRDefault="003F176A">
      <w:pPr>
        <w:pStyle w:val="TOC3"/>
        <w:rPr>
          <w:rFonts w:asciiTheme="minorHAnsi" w:eastAsiaTheme="minorEastAsia" w:hAnsiTheme="minorHAnsi" w:cstheme="minorBidi"/>
          <w:noProof/>
          <w:color w:val="auto"/>
        </w:rPr>
      </w:pPr>
      <w:r>
        <w:rPr>
          <w:noProof/>
        </w:rPr>
        <w:t xml:space="preserve">4.3.6 </w:t>
      </w:r>
      <w:r>
        <w:rPr>
          <w:rFonts w:asciiTheme="minorHAnsi" w:eastAsiaTheme="minorEastAsia" w:hAnsiTheme="minorHAnsi" w:cstheme="minorBidi"/>
          <w:noProof/>
          <w:color w:val="auto"/>
        </w:rPr>
        <w:tab/>
      </w:r>
      <w:r>
        <w:rPr>
          <w:noProof/>
        </w:rPr>
        <w:t>Non</w:t>
      </w:r>
      <w:r w:rsidRPr="008363E8">
        <w:rPr>
          <w:noProof/>
        </w:rPr>
        <w:t>-</w:t>
      </w:r>
      <w:r>
        <w:rPr>
          <w:noProof/>
        </w:rPr>
        <w:t xml:space="preserve">invasive techniques for testing of </w:t>
      </w:r>
      <w:r w:rsidRPr="008363E8">
        <w:rPr>
          <w:noProof/>
        </w:rPr>
        <w:t>Hb</w:t>
      </w:r>
      <w:r>
        <w:rPr>
          <w:noProof/>
        </w:rPr>
        <w:t>, blood gases and other analytes</w:t>
      </w:r>
      <w:r>
        <w:rPr>
          <w:noProof/>
        </w:rPr>
        <w:tab/>
      </w:r>
      <w:r>
        <w:rPr>
          <w:noProof/>
        </w:rPr>
        <w:fldChar w:fldCharType="begin"/>
      </w:r>
      <w:r>
        <w:rPr>
          <w:noProof/>
        </w:rPr>
        <w:instrText xml:space="preserve"> PAGEREF _Toc427851386 \h </w:instrText>
      </w:r>
      <w:r>
        <w:rPr>
          <w:noProof/>
        </w:rPr>
      </w:r>
      <w:r>
        <w:rPr>
          <w:noProof/>
        </w:rPr>
        <w:fldChar w:fldCharType="separate"/>
      </w:r>
      <w:r>
        <w:rPr>
          <w:noProof/>
        </w:rPr>
        <w:t>145</w:t>
      </w:r>
      <w:r>
        <w:rPr>
          <w:noProof/>
        </w:rPr>
        <w:fldChar w:fldCharType="end"/>
      </w:r>
    </w:p>
    <w:p w14:paraId="5BB4AC4A" w14:textId="77777777" w:rsidR="003F176A" w:rsidRDefault="003F176A">
      <w:pPr>
        <w:pStyle w:val="TOC2"/>
        <w:rPr>
          <w:rFonts w:asciiTheme="minorHAnsi" w:eastAsiaTheme="minorEastAsia" w:hAnsiTheme="minorHAnsi" w:cstheme="minorBidi"/>
          <w:noProof/>
          <w:color w:val="auto"/>
        </w:rPr>
      </w:pPr>
      <w:r>
        <w:rPr>
          <w:noProof/>
        </w:rPr>
        <w:t>4.4</w:t>
      </w:r>
      <w:r>
        <w:rPr>
          <w:rFonts w:asciiTheme="minorHAnsi" w:eastAsiaTheme="minorEastAsia" w:hAnsiTheme="minorHAnsi" w:cstheme="minorBidi"/>
          <w:noProof/>
          <w:color w:val="auto"/>
        </w:rPr>
        <w:tab/>
      </w:r>
      <w:r w:rsidRPr="008363E8">
        <w:rPr>
          <w:noProof/>
        </w:rPr>
        <w:t>Strategies to minimise blood loss in cardiac surgery</w:t>
      </w:r>
      <w:r>
        <w:rPr>
          <w:noProof/>
        </w:rPr>
        <w:tab/>
      </w:r>
      <w:r>
        <w:rPr>
          <w:noProof/>
        </w:rPr>
        <w:fldChar w:fldCharType="begin"/>
      </w:r>
      <w:r>
        <w:rPr>
          <w:noProof/>
        </w:rPr>
        <w:instrText xml:space="preserve"> PAGEREF _Toc427851387 \h </w:instrText>
      </w:r>
      <w:r>
        <w:rPr>
          <w:noProof/>
        </w:rPr>
      </w:r>
      <w:r>
        <w:rPr>
          <w:noProof/>
        </w:rPr>
        <w:fldChar w:fldCharType="separate"/>
      </w:r>
      <w:r>
        <w:rPr>
          <w:noProof/>
        </w:rPr>
        <w:t>145</w:t>
      </w:r>
      <w:r>
        <w:rPr>
          <w:noProof/>
        </w:rPr>
        <w:fldChar w:fldCharType="end"/>
      </w:r>
    </w:p>
    <w:p w14:paraId="3D42727E" w14:textId="77777777" w:rsidR="003F176A" w:rsidRDefault="003F176A">
      <w:pPr>
        <w:pStyle w:val="TOC3"/>
        <w:rPr>
          <w:rFonts w:asciiTheme="minorHAnsi" w:eastAsiaTheme="minorEastAsia" w:hAnsiTheme="minorHAnsi" w:cstheme="minorBidi"/>
          <w:noProof/>
          <w:color w:val="auto"/>
        </w:rPr>
      </w:pPr>
      <w:r>
        <w:rPr>
          <w:noProof/>
        </w:rPr>
        <w:t xml:space="preserve">4.4.1 </w:t>
      </w:r>
      <w:r>
        <w:rPr>
          <w:rFonts w:asciiTheme="minorHAnsi" w:eastAsiaTheme="minorEastAsia" w:hAnsiTheme="minorHAnsi" w:cstheme="minorBidi"/>
          <w:noProof/>
          <w:color w:val="auto"/>
        </w:rPr>
        <w:tab/>
      </w:r>
      <w:r>
        <w:rPr>
          <w:noProof/>
        </w:rPr>
        <w:t>Prothrombin complex concentrate</w:t>
      </w:r>
      <w:r>
        <w:rPr>
          <w:noProof/>
        </w:rPr>
        <w:tab/>
      </w:r>
      <w:r>
        <w:rPr>
          <w:noProof/>
        </w:rPr>
        <w:fldChar w:fldCharType="begin"/>
      </w:r>
      <w:r>
        <w:rPr>
          <w:noProof/>
        </w:rPr>
        <w:instrText xml:space="preserve"> PAGEREF _Toc427851388 \h </w:instrText>
      </w:r>
      <w:r>
        <w:rPr>
          <w:noProof/>
        </w:rPr>
      </w:r>
      <w:r>
        <w:rPr>
          <w:noProof/>
        </w:rPr>
        <w:fldChar w:fldCharType="separate"/>
      </w:r>
      <w:r>
        <w:rPr>
          <w:noProof/>
        </w:rPr>
        <w:t>146</w:t>
      </w:r>
      <w:r>
        <w:rPr>
          <w:noProof/>
        </w:rPr>
        <w:fldChar w:fldCharType="end"/>
      </w:r>
    </w:p>
    <w:p w14:paraId="392F1CEC" w14:textId="77777777" w:rsidR="003F176A" w:rsidRDefault="003F176A">
      <w:pPr>
        <w:pStyle w:val="TOC3"/>
        <w:rPr>
          <w:rFonts w:asciiTheme="minorHAnsi" w:eastAsiaTheme="minorEastAsia" w:hAnsiTheme="minorHAnsi" w:cstheme="minorBidi"/>
          <w:noProof/>
          <w:color w:val="auto"/>
        </w:rPr>
      </w:pPr>
      <w:r>
        <w:rPr>
          <w:noProof/>
        </w:rPr>
        <w:t xml:space="preserve">4.4.2 </w:t>
      </w:r>
      <w:r>
        <w:rPr>
          <w:rFonts w:asciiTheme="minorHAnsi" w:eastAsiaTheme="minorEastAsia" w:hAnsiTheme="minorHAnsi" w:cstheme="minorBidi"/>
          <w:noProof/>
          <w:color w:val="auto"/>
        </w:rPr>
        <w:tab/>
      </w:r>
      <w:r>
        <w:rPr>
          <w:noProof/>
        </w:rPr>
        <w:t>Topical haemostatic agents</w:t>
      </w:r>
      <w:r>
        <w:rPr>
          <w:noProof/>
        </w:rPr>
        <w:tab/>
      </w:r>
      <w:r>
        <w:rPr>
          <w:noProof/>
        </w:rPr>
        <w:fldChar w:fldCharType="begin"/>
      </w:r>
      <w:r>
        <w:rPr>
          <w:noProof/>
        </w:rPr>
        <w:instrText xml:space="preserve"> PAGEREF _Toc427851389 \h </w:instrText>
      </w:r>
      <w:r>
        <w:rPr>
          <w:noProof/>
        </w:rPr>
      </w:r>
      <w:r>
        <w:rPr>
          <w:noProof/>
        </w:rPr>
        <w:fldChar w:fldCharType="separate"/>
      </w:r>
      <w:r>
        <w:rPr>
          <w:noProof/>
        </w:rPr>
        <w:t>146</w:t>
      </w:r>
      <w:r>
        <w:rPr>
          <w:noProof/>
        </w:rPr>
        <w:fldChar w:fldCharType="end"/>
      </w:r>
    </w:p>
    <w:p w14:paraId="5F7558B5" w14:textId="77777777" w:rsidR="003F176A" w:rsidRDefault="003F176A">
      <w:pPr>
        <w:pStyle w:val="TOC2"/>
        <w:rPr>
          <w:rFonts w:asciiTheme="minorHAnsi" w:eastAsiaTheme="minorEastAsia" w:hAnsiTheme="minorHAnsi" w:cstheme="minorBidi"/>
          <w:noProof/>
          <w:color w:val="auto"/>
        </w:rPr>
      </w:pPr>
      <w:r>
        <w:rPr>
          <w:noProof/>
        </w:rPr>
        <w:t>4.5</w:t>
      </w:r>
      <w:r>
        <w:rPr>
          <w:rFonts w:asciiTheme="minorHAnsi" w:eastAsiaTheme="minorEastAsia" w:hAnsiTheme="minorHAnsi" w:cstheme="minorBidi"/>
          <w:noProof/>
          <w:color w:val="auto"/>
        </w:rPr>
        <w:tab/>
      </w:r>
      <w:r w:rsidRPr="008363E8">
        <w:rPr>
          <w:noProof/>
        </w:rPr>
        <w:t>Iron Deficiency Anaemia</w:t>
      </w:r>
      <w:r>
        <w:rPr>
          <w:noProof/>
        </w:rPr>
        <w:tab/>
      </w:r>
      <w:r>
        <w:rPr>
          <w:noProof/>
        </w:rPr>
        <w:fldChar w:fldCharType="begin"/>
      </w:r>
      <w:r>
        <w:rPr>
          <w:noProof/>
        </w:rPr>
        <w:instrText xml:space="preserve"> PAGEREF _Toc427851390 \h </w:instrText>
      </w:r>
      <w:r>
        <w:rPr>
          <w:noProof/>
        </w:rPr>
      </w:r>
      <w:r>
        <w:rPr>
          <w:noProof/>
        </w:rPr>
        <w:fldChar w:fldCharType="separate"/>
      </w:r>
      <w:r>
        <w:rPr>
          <w:noProof/>
        </w:rPr>
        <w:t>147</w:t>
      </w:r>
      <w:r>
        <w:rPr>
          <w:noProof/>
        </w:rPr>
        <w:fldChar w:fldCharType="end"/>
      </w:r>
    </w:p>
    <w:p w14:paraId="33D902D4" w14:textId="77777777" w:rsidR="003F176A" w:rsidRDefault="003F176A">
      <w:pPr>
        <w:pStyle w:val="TOC3"/>
        <w:rPr>
          <w:rFonts w:asciiTheme="minorHAnsi" w:eastAsiaTheme="minorEastAsia" w:hAnsiTheme="minorHAnsi" w:cstheme="minorBidi"/>
          <w:noProof/>
          <w:color w:val="auto"/>
        </w:rPr>
      </w:pPr>
      <w:r>
        <w:rPr>
          <w:noProof/>
        </w:rPr>
        <w:t>4.5.1</w:t>
      </w:r>
      <w:r>
        <w:rPr>
          <w:rFonts w:asciiTheme="minorHAnsi" w:eastAsiaTheme="minorEastAsia" w:hAnsiTheme="minorHAnsi" w:cstheme="minorBidi"/>
          <w:noProof/>
          <w:color w:val="auto"/>
        </w:rPr>
        <w:tab/>
      </w:r>
      <w:r>
        <w:rPr>
          <w:noProof/>
        </w:rPr>
        <w:t>Iron requirements in infants and children</w:t>
      </w:r>
      <w:r>
        <w:rPr>
          <w:noProof/>
        </w:rPr>
        <w:tab/>
      </w:r>
      <w:r>
        <w:rPr>
          <w:noProof/>
        </w:rPr>
        <w:fldChar w:fldCharType="begin"/>
      </w:r>
      <w:r>
        <w:rPr>
          <w:noProof/>
        </w:rPr>
        <w:instrText xml:space="preserve"> PAGEREF _Toc427851391 \h </w:instrText>
      </w:r>
      <w:r>
        <w:rPr>
          <w:noProof/>
        </w:rPr>
      </w:r>
      <w:r>
        <w:rPr>
          <w:noProof/>
        </w:rPr>
        <w:fldChar w:fldCharType="separate"/>
      </w:r>
      <w:r>
        <w:rPr>
          <w:noProof/>
        </w:rPr>
        <w:t>148</w:t>
      </w:r>
      <w:r>
        <w:rPr>
          <w:noProof/>
        </w:rPr>
        <w:fldChar w:fldCharType="end"/>
      </w:r>
    </w:p>
    <w:p w14:paraId="274E4826" w14:textId="77777777" w:rsidR="003F176A" w:rsidRDefault="003F176A">
      <w:pPr>
        <w:pStyle w:val="TOC3"/>
        <w:rPr>
          <w:rFonts w:asciiTheme="minorHAnsi" w:eastAsiaTheme="minorEastAsia" w:hAnsiTheme="minorHAnsi" w:cstheme="minorBidi"/>
          <w:noProof/>
          <w:color w:val="auto"/>
        </w:rPr>
      </w:pPr>
      <w:r>
        <w:rPr>
          <w:noProof/>
        </w:rPr>
        <w:t>4.5.2</w:t>
      </w:r>
      <w:r>
        <w:rPr>
          <w:rFonts w:asciiTheme="minorHAnsi" w:eastAsiaTheme="minorEastAsia" w:hAnsiTheme="minorHAnsi" w:cstheme="minorBidi"/>
          <w:noProof/>
          <w:color w:val="auto"/>
        </w:rPr>
        <w:tab/>
      </w:r>
      <w:r>
        <w:rPr>
          <w:noProof/>
        </w:rPr>
        <w:t>Iron deficiency in infants and children</w:t>
      </w:r>
      <w:r>
        <w:rPr>
          <w:noProof/>
        </w:rPr>
        <w:tab/>
      </w:r>
      <w:r>
        <w:rPr>
          <w:noProof/>
        </w:rPr>
        <w:fldChar w:fldCharType="begin"/>
      </w:r>
      <w:r>
        <w:rPr>
          <w:noProof/>
        </w:rPr>
        <w:instrText xml:space="preserve"> PAGEREF _Toc427851392 \h </w:instrText>
      </w:r>
      <w:r>
        <w:rPr>
          <w:noProof/>
        </w:rPr>
      </w:r>
      <w:r>
        <w:rPr>
          <w:noProof/>
        </w:rPr>
        <w:fldChar w:fldCharType="separate"/>
      </w:r>
      <w:r>
        <w:rPr>
          <w:noProof/>
        </w:rPr>
        <w:t>149</w:t>
      </w:r>
      <w:r>
        <w:rPr>
          <w:noProof/>
        </w:rPr>
        <w:fldChar w:fldCharType="end"/>
      </w:r>
    </w:p>
    <w:p w14:paraId="01329813" w14:textId="77777777" w:rsidR="003F176A" w:rsidRDefault="003F176A">
      <w:pPr>
        <w:pStyle w:val="TOC3"/>
        <w:rPr>
          <w:rFonts w:asciiTheme="minorHAnsi" w:eastAsiaTheme="minorEastAsia" w:hAnsiTheme="minorHAnsi" w:cstheme="minorBidi"/>
          <w:noProof/>
          <w:color w:val="auto"/>
        </w:rPr>
      </w:pPr>
      <w:r>
        <w:rPr>
          <w:noProof/>
        </w:rPr>
        <w:t>4.5.3</w:t>
      </w:r>
      <w:r>
        <w:rPr>
          <w:rFonts w:asciiTheme="minorHAnsi" w:eastAsiaTheme="minorEastAsia" w:hAnsiTheme="minorHAnsi" w:cstheme="minorBidi"/>
          <w:noProof/>
          <w:color w:val="auto"/>
        </w:rPr>
        <w:tab/>
      </w:r>
      <w:r>
        <w:rPr>
          <w:noProof/>
        </w:rPr>
        <w:t xml:space="preserve">Diagnosis of </w:t>
      </w:r>
      <w:r w:rsidRPr="008363E8">
        <w:rPr>
          <w:noProof/>
        </w:rPr>
        <w:t>IDA</w:t>
      </w:r>
      <w:r>
        <w:rPr>
          <w:noProof/>
        </w:rPr>
        <w:tab/>
      </w:r>
      <w:r>
        <w:rPr>
          <w:noProof/>
        </w:rPr>
        <w:fldChar w:fldCharType="begin"/>
      </w:r>
      <w:r>
        <w:rPr>
          <w:noProof/>
        </w:rPr>
        <w:instrText xml:space="preserve"> PAGEREF _Toc427851393 \h </w:instrText>
      </w:r>
      <w:r>
        <w:rPr>
          <w:noProof/>
        </w:rPr>
      </w:r>
      <w:r>
        <w:rPr>
          <w:noProof/>
        </w:rPr>
        <w:fldChar w:fldCharType="separate"/>
      </w:r>
      <w:r>
        <w:rPr>
          <w:noProof/>
        </w:rPr>
        <w:t>149</w:t>
      </w:r>
      <w:r>
        <w:rPr>
          <w:noProof/>
        </w:rPr>
        <w:fldChar w:fldCharType="end"/>
      </w:r>
    </w:p>
    <w:p w14:paraId="0D00C235" w14:textId="77777777" w:rsidR="003F176A" w:rsidRDefault="003F176A">
      <w:pPr>
        <w:pStyle w:val="TOC3"/>
        <w:rPr>
          <w:rFonts w:asciiTheme="minorHAnsi" w:eastAsiaTheme="minorEastAsia" w:hAnsiTheme="minorHAnsi" w:cstheme="minorBidi"/>
          <w:noProof/>
          <w:color w:val="auto"/>
        </w:rPr>
      </w:pPr>
      <w:r>
        <w:rPr>
          <w:noProof/>
        </w:rPr>
        <w:t>4.5.4</w:t>
      </w:r>
      <w:r>
        <w:rPr>
          <w:rFonts w:asciiTheme="minorHAnsi" w:eastAsiaTheme="minorEastAsia" w:hAnsiTheme="minorHAnsi" w:cstheme="minorBidi"/>
          <w:noProof/>
          <w:color w:val="auto"/>
        </w:rPr>
        <w:tab/>
      </w:r>
      <w:r>
        <w:rPr>
          <w:noProof/>
        </w:rPr>
        <w:t>Iron therapy in infants, children and adolescents</w:t>
      </w:r>
      <w:r>
        <w:rPr>
          <w:noProof/>
        </w:rPr>
        <w:tab/>
      </w:r>
      <w:r>
        <w:rPr>
          <w:noProof/>
        </w:rPr>
        <w:fldChar w:fldCharType="begin"/>
      </w:r>
      <w:r>
        <w:rPr>
          <w:noProof/>
        </w:rPr>
        <w:instrText xml:space="preserve"> PAGEREF _Toc427851394 \h </w:instrText>
      </w:r>
      <w:r>
        <w:rPr>
          <w:noProof/>
        </w:rPr>
      </w:r>
      <w:r>
        <w:rPr>
          <w:noProof/>
        </w:rPr>
        <w:fldChar w:fldCharType="separate"/>
      </w:r>
      <w:r>
        <w:rPr>
          <w:noProof/>
        </w:rPr>
        <w:t>149</w:t>
      </w:r>
      <w:r>
        <w:rPr>
          <w:noProof/>
        </w:rPr>
        <w:fldChar w:fldCharType="end"/>
      </w:r>
    </w:p>
    <w:p w14:paraId="712732A9" w14:textId="77777777" w:rsidR="003F176A" w:rsidRDefault="003F176A">
      <w:pPr>
        <w:pStyle w:val="TOC3"/>
        <w:rPr>
          <w:rFonts w:asciiTheme="minorHAnsi" w:eastAsiaTheme="minorEastAsia" w:hAnsiTheme="minorHAnsi" w:cstheme="minorBidi"/>
          <w:noProof/>
          <w:color w:val="auto"/>
        </w:rPr>
      </w:pPr>
      <w:r>
        <w:rPr>
          <w:noProof/>
        </w:rPr>
        <w:t>4.5.5</w:t>
      </w:r>
      <w:r>
        <w:rPr>
          <w:rFonts w:asciiTheme="minorHAnsi" w:eastAsiaTheme="minorEastAsia" w:hAnsiTheme="minorHAnsi" w:cstheme="minorBidi"/>
          <w:noProof/>
          <w:color w:val="auto"/>
        </w:rPr>
        <w:tab/>
      </w:r>
      <w:r>
        <w:rPr>
          <w:noProof/>
        </w:rPr>
        <w:t>Iron toxicity</w:t>
      </w:r>
      <w:r>
        <w:rPr>
          <w:noProof/>
        </w:rPr>
        <w:tab/>
      </w:r>
      <w:r>
        <w:rPr>
          <w:noProof/>
        </w:rPr>
        <w:fldChar w:fldCharType="begin"/>
      </w:r>
      <w:r>
        <w:rPr>
          <w:noProof/>
        </w:rPr>
        <w:instrText xml:space="preserve"> PAGEREF _Toc427851395 \h </w:instrText>
      </w:r>
      <w:r>
        <w:rPr>
          <w:noProof/>
        </w:rPr>
      </w:r>
      <w:r>
        <w:rPr>
          <w:noProof/>
        </w:rPr>
        <w:fldChar w:fldCharType="separate"/>
      </w:r>
      <w:r>
        <w:rPr>
          <w:noProof/>
        </w:rPr>
        <w:t>152</w:t>
      </w:r>
      <w:r>
        <w:rPr>
          <w:noProof/>
        </w:rPr>
        <w:fldChar w:fldCharType="end"/>
      </w:r>
    </w:p>
    <w:p w14:paraId="07CF66B6" w14:textId="77777777" w:rsidR="003F176A" w:rsidRDefault="003F176A">
      <w:pPr>
        <w:pStyle w:val="TOC2"/>
        <w:rPr>
          <w:rFonts w:asciiTheme="minorHAnsi" w:eastAsiaTheme="minorEastAsia" w:hAnsiTheme="minorHAnsi" w:cstheme="minorBidi"/>
          <w:noProof/>
          <w:color w:val="auto"/>
        </w:rPr>
      </w:pPr>
      <w:r>
        <w:rPr>
          <w:noProof/>
        </w:rPr>
        <w:t>4.6</w:t>
      </w:r>
      <w:r>
        <w:rPr>
          <w:rFonts w:asciiTheme="minorHAnsi" w:eastAsiaTheme="minorEastAsia" w:hAnsiTheme="minorHAnsi" w:cstheme="minorBidi"/>
          <w:noProof/>
          <w:color w:val="auto"/>
        </w:rPr>
        <w:tab/>
      </w:r>
      <w:r w:rsidRPr="008363E8">
        <w:rPr>
          <w:noProof/>
        </w:rPr>
        <w:t>C</w:t>
      </w:r>
      <w:r>
        <w:rPr>
          <w:noProof/>
        </w:rPr>
        <w:t>ritical bleeding</w:t>
      </w:r>
      <w:r>
        <w:rPr>
          <w:noProof/>
        </w:rPr>
        <w:tab/>
      </w:r>
      <w:r>
        <w:rPr>
          <w:noProof/>
        </w:rPr>
        <w:fldChar w:fldCharType="begin"/>
      </w:r>
      <w:r>
        <w:rPr>
          <w:noProof/>
        </w:rPr>
        <w:instrText xml:space="preserve"> PAGEREF _Toc427851396 \h </w:instrText>
      </w:r>
      <w:r>
        <w:rPr>
          <w:noProof/>
        </w:rPr>
      </w:r>
      <w:r>
        <w:rPr>
          <w:noProof/>
        </w:rPr>
        <w:fldChar w:fldCharType="separate"/>
      </w:r>
      <w:r>
        <w:rPr>
          <w:noProof/>
        </w:rPr>
        <w:t>152</w:t>
      </w:r>
      <w:r>
        <w:rPr>
          <w:noProof/>
        </w:rPr>
        <w:fldChar w:fldCharType="end"/>
      </w:r>
    </w:p>
    <w:p w14:paraId="3AA3FFCD" w14:textId="77777777" w:rsidR="003F176A" w:rsidRDefault="003F176A">
      <w:pPr>
        <w:pStyle w:val="TOC1"/>
        <w:rPr>
          <w:rFonts w:asciiTheme="minorHAnsi" w:eastAsiaTheme="minorEastAsia" w:hAnsiTheme="minorHAnsi" w:cstheme="minorBidi"/>
          <w:b w:val="0"/>
          <w:bCs w:val="0"/>
          <w:color w:val="auto"/>
        </w:rPr>
      </w:pPr>
      <w:r w:rsidRPr="008363E8">
        <w:rPr>
          <w:lang w:val="en-US"/>
        </w:rPr>
        <w:t>5</w:t>
      </w:r>
      <w:r>
        <w:rPr>
          <w:rFonts w:asciiTheme="minorHAnsi" w:eastAsiaTheme="minorEastAsia" w:hAnsiTheme="minorHAnsi" w:cstheme="minorBidi"/>
          <w:b w:val="0"/>
          <w:bCs w:val="0"/>
          <w:color w:val="auto"/>
        </w:rPr>
        <w:tab/>
      </w:r>
      <w:r>
        <w:t>Future directions</w:t>
      </w:r>
      <w:r>
        <w:tab/>
      </w:r>
      <w:r>
        <w:fldChar w:fldCharType="begin"/>
      </w:r>
      <w:r>
        <w:instrText xml:space="preserve"> PAGEREF _Toc427851397 \h </w:instrText>
      </w:r>
      <w:r>
        <w:fldChar w:fldCharType="separate"/>
      </w:r>
      <w:r>
        <w:t>155</w:t>
      </w:r>
      <w:r>
        <w:fldChar w:fldCharType="end"/>
      </w:r>
    </w:p>
    <w:p w14:paraId="40993157" w14:textId="77777777" w:rsidR="003F176A" w:rsidRDefault="003F176A">
      <w:pPr>
        <w:pStyle w:val="TOC2"/>
        <w:rPr>
          <w:rFonts w:asciiTheme="minorHAnsi" w:eastAsiaTheme="minorEastAsia" w:hAnsiTheme="minorHAnsi" w:cstheme="minorBidi"/>
          <w:noProof/>
          <w:color w:val="auto"/>
        </w:rPr>
      </w:pPr>
      <w:r w:rsidRPr="008363E8">
        <w:rPr>
          <w:noProof/>
          <w:lang w:val="en-US"/>
        </w:rPr>
        <w:t>5</w:t>
      </w:r>
      <w:r>
        <w:rPr>
          <w:noProof/>
        </w:rPr>
        <w:t>.1</w:t>
      </w:r>
      <w:r>
        <w:rPr>
          <w:rFonts w:asciiTheme="minorHAnsi" w:eastAsiaTheme="minorEastAsia" w:hAnsiTheme="minorHAnsi" w:cstheme="minorBidi"/>
          <w:noProof/>
          <w:color w:val="auto"/>
        </w:rPr>
        <w:tab/>
      </w:r>
      <w:r>
        <w:rPr>
          <w:noProof/>
        </w:rPr>
        <w:t xml:space="preserve">Evidence gaps and areas </w:t>
      </w:r>
      <w:r w:rsidRPr="008363E8">
        <w:rPr>
          <w:noProof/>
        </w:rPr>
        <w:t>for</w:t>
      </w:r>
      <w:r>
        <w:rPr>
          <w:noProof/>
        </w:rPr>
        <w:t xml:space="preserve"> future research</w:t>
      </w:r>
      <w:r>
        <w:rPr>
          <w:noProof/>
        </w:rPr>
        <w:tab/>
      </w:r>
      <w:r>
        <w:rPr>
          <w:noProof/>
        </w:rPr>
        <w:fldChar w:fldCharType="begin"/>
      </w:r>
      <w:r>
        <w:rPr>
          <w:noProof/>
        </w:rPr>
        <w:instrText xml:space="preserve"> PAGEREF _Toc427851398 \h </w:instrText>
      </w:r>
      <w:r>
        <w:rPr>
          <w:noProof/>
        </w:rPr>
      </w:r>
      <w:r>
        <w:rPr>
          <w:noProof/>
        </w:rPr>
        <w:fldChar w:fldCharType="separate"/>
      </w:r>
      <w:r>
        <w:rPr>
          <w:noProof/>
        </w:rPr>
        <w:t>155</w:t>
      </w:r>
      <w:r>
        <w:rPr>
          <w:noProof/>
        </w:rPr>
        <w:fldChar w:fldCharType="end"/>
      </w:r>
    </w:p>
    <w:p w14:paraId="5006B697" w14:textId="77777777" w:rsidR="003F176A" w:rsidRDefault="003F176A">
      <w:pPr>
        <w:pStyle w:val="TOC1"/>
        <w:rPr>
          <w:rFonts w:asciiTheme="minorHAnsi" w:eastAsiaTheme="minorEastAsia" w:hAnsiTheme="minorHAnsi" w:cstheme="minorBidi"/>
          <w:b w:val="0"/>
          <w:bCs w:val="0"/>
          <w:color w:val="auto"/>
        </w:rPr>
      </w:pPr>
      <w:r w:rsidRPr="008363E8">
        <w:rPr>
          <w:lang w:val="en-US"/>
        </w:rPr>
        <w:t>6</w:t>
      </w:r>
      <w:r>
        <w:rPr>
          <w:rFonts w:asciiTheme="minorHAnsi" w:eastAsiaTheme="minorEastAsia" w:hAnsiTheme="minorHAnsi" w:cstheme="minorBidi"/>
          <w:b w:val="0"/>
          <w:bCs w:val="0"/>
          <w:color w:val="auto"/>
        </w:rPr>
        <w:tab/>
      </w:r>
      <w:r>
        <w:t>Implementing, evaluating and maintaining the guidelines</w:t>
      </w:r>
      <w:r>
        <w:tab/>
      </w:r>
      <w:r>
        <w:fldChar w:fldCharType="begin"/>
      </w:r>
      <w:r>
        <w:instrText xml:space="preserve"> PAGEREF _Toc427851399 \h </w:instrText>
      </w:r>
      <w:r>
        <w:fldChar w:fldCharType="separate"/>
      </w:r>
      <w:r>
        <w:t>158</w:t>
      </w:r>
      <w:r>
        <w:fldChar w:fldCharType="end"/>
      </w:r>
    </w:p>
    <w:p w14:paraId="2C978C7C" w14:textId="77777777" w:rsidR="003F176A" w:rsidRDefault="003F176A">
      <w:pPr>
        <w:pStyle w:val="TOC2"/>
        <w:rPr>
          <w:rFonts w:asciiTheme="minorHAnsi" w:eastAsiaTheme="minorEastAsia" w:hAnsiTheme="minorHAnsi" w:cstheme="minorBidi"/>
          <w:noProof/>
          <w:color w:val="auto"/>
        </w:rPr>
      </w:pPr>
      <w:r>
        <w:rPr>
          <w:noProof/>
        </w:rPr>
        <w:t>6.1</w:t>
      </w:r>
      <w:r>
        <w:rPr>
          <w:rFonts w:asciiTheme="minorHAnsi" w:eastAsiaTheme="minorEastAsia" w:hAnsiTheme="minorHAnsi" w:cstheme="minorBidi"/>
          <w:noProof/>
          <w:color w:val="auto"/>
        </w:rPr>
        <w:tab/>
      </w:r>
      <w:r>
        <w:rPr>
          <w:noProof/>
        </w:rPr>
        <w:t>Implementation strategies</w:t>
      </w:r>
      <w:r>
        <w:rPr>
          <w:noProof/>
        </w:rPr>
        <w:tab/>
      </w:r>
      <w:r>
        <w:rPr>
          <w:noProof/>
        </w:rPr>
        <w:fldChar w:fldCharType="begin"/>
      </w:r>
      <w:r>
        <w:rPr>
          <w:noProof/>
        </w:rPr>
        <w:instrText xml:space="preserve"> PAGEREF _Toc427851400 \h </w:instrText>
      </w:r>
      <w:r>
        <w:rPr>
          <w:noProof/>
        </w:rPr>
      </w:r>
      <w:r>
        <w:rPr>
          <w:noProof/>
        </w:rPr>
        <w:fldChar w:fldCharType="separate"/>
      </w:r>
      <w:r>
        <w:rPr>
          <w:noProof/>
        </w:rPr>
        <w:t>158</w:t>
      </w:r>
      <w:r>
        <w:rPr>
          <w:noProof/>
        </w:rPr>
        <w:fldChar w:fldCharType="end"/>
      </w:r>
    </w:p>
    <w:p w14:paraId="4CF52B6A" w14:textId="77777777" w:rsidR="003F176A" w:rsidRDefault="003F176A">
      <w:pPr>
        <w:pStyle w:val="TOC2"/>
        <w:rPr>
          <w:rFonts w:asciiTheme="minorHAnsi" w:eastAsiaTheme="minorEastAsia" w:hAnsiTheme="minorHAnsi" w:cstheme="minorBidi"/>
          <w:noProof/>
          <w:color w:val="auto"/>
        </w:rPr>
      </w:pPr>
      <w:r>
        <w:rPr>
          <w:noProof/>
        </w:rPr>
        <w:t>6.2</w:t>
      </w:r>
      <w:r>
        <w:rPr>
          <w:rFonts w:asciiTheme="minorHAnsi" w:eastAsiaTheme="minorEastAsia" w:hAnsiTheme="minorHAnsi" w:cstheme="minorBidi"/>
          <w:noProof/>
          <w:color w:val="auto"/>
        </w:rPr>
        <w:tab/>
      </w:r>
      <w:r>
        <w:rPr>
          <w:noProof/>
        </w:rPr>
        <w:t>Endorsement</w:t>
      </w:r>
      <w:r>
        <w:rPr>
          <w:noProof/>
        </w:rPr>
        <w:tab/>
      </w:r>
      <w:r>
        <w:rPr>
          <w:noProof/>
        </w:rPr>
        <w:fldChar w:fldCharType="begin"/>
      </w:r>
      <w:r>
        <w:rPr>
          <w:noProof/>
        </w:rPr>
        <w:instrText xml:space="preserve"> PAGEREF _Toc427851401 \h </w:instrText>
      </w:r>
      <w:r>
        <w:rPr>
          <w:noProof/>
        </w:rPr>
      </w:r>
      <w:r>
        <w:rPr>
          <w:noProof/>
        </w:rPr>
        <w:fldChar w:fldCharType="separate"/>
      </w:r>
      <w:r>
        <w:rPr>
          <w:noProof/>
        </w:rPr>
        <w:t>159</w:t>
      </w:r>
      <w:r>
        <w:rPr>
          <w:noProof/>
        </w:rPr>
        <w:fldChar w:fldCharType="end"/>
      </w:r>
    </w:p>
    <w:p w14:paraId="748F6E73" w14:textId="77777777" w:rsidR="003F176A" w:rsidRDefault="003F176A">
      <w:pPr>
        <w:pStyle w:val="TOC2"/>
        <w:rPr>
          <w:rFonts w:asciiTheme="minorHAnsi" w:eastAsiaTheme="minorEastAsia" w:hAnsiTheme="minorHAnsi" w:cstheme="minorBidi"/>
          <w:noProof/>
          <w:color w:val="auto"/>
        </w:rPr>
      </w:pPr>
      <w:r>
        <w:rPr>
          <w:noProof/>
        </w:rPr>
        <w:lastRenderedPageBreak/>
        <w:t>6.3</w:t>
      </w:r>
      <w:r>
        <w:rPr>
          <w:rFonts w:asciiTheme="minorHAnsi" w:eastAsiaTheme="minorEastAsia" w:hAnsiTheme="minorHAnsi" w:cstheme="minorBidi"/>
          <w:noProof/>
          <w:color w:val="auto"/>
        </w:rPr>
        <w:tab/>
      </w:r>
      <w:r>
        <w:rPr>
          <w:noProof/>
        </w:rPr>
        <w:t>Scheduled review and update</w:t>
      </w:r>
      <w:r>
        <w:rPr>
          <w:noProof/>
        </w:rPr>
        <w:tab/>
      </w:r>
      <w:r>
        <w:rPr>
          <w:noProof/>
        </w:rPr>
        <w:fldChar w:fldCharType="begin"/>
      </w:r>
      <w:r>
        <w:rPr>
          <w:noProof/>
        </w:rPr>
        <w:instrText xml:space="preserve"> PAGEREF _Toc427851402 \h </w:instrText>
      </w:r>
      <w:r>
        <w:rPr>
          <w:noProof/>
        </w:rPr>
      </w:r>
      <w:r>
        <w:rPr>
          <w:noProof/>
        </w:rPr>
        <w:fldChar w:fldCharType="separate"/>
      </w:r>
      <w:r>
        <w:rPr>
          <w:noProof/>
        </w:rPr>
        <w:t>159</w:t>
      </w:r>
      <w:r>
        <w:rPr>
          <w:noProof/>
        </w:rPr>
        <w:fldChar w:fldCharType="end"/>
      </w:r>
    </w:p>
    <w:p w14:paraId="3D8D3607" w14:textId="77777777" w:rsidR="003F176A" w:rsidRDefault="003F176A">
      <w:pPr>
        <w:pStyle w:val="TOC1"/>
        <w:tabs>
          <w:tab w:val="left" w:pos="2160"/>
        </w:tabs>
        <w:rPr>
          <w:rFonts w:asciiTheme="minorHAnsi" w:eastAsiaTheme="minorEastAsia" w:hAnsiTheme="minorHAnsi" w:cstheme="minorBidi"/>
          <w:b w:val="0"/>
          <w:bCs w:val="0"/>
          <w:color w:val="auto"/>
        </w:rPr>
      </w:pPr>
      <w:r>
        <w:t>Appendix A</w:t>
      </w:r>
      <w:r>
        <w:rPr>
          <w:rFonts w:asciiTheme="minorHAnsi" w:eastAsiaTheme="minorEastAsia" w:hAnsiTheme="minorHAnsi" w:cstheme="minorBidi"/>
          <w:b w:val="0"/>
          <w:bCs w:val="0"/>
          <w:color w:val="auto"/>
        </w:rPr>
        <w:tab/>
      </w:r>
      <w:r>
        <w:t>Governance</w:t>
      </w:r>
      <w:r>
        <w:tab/>
      </w:r>
      <w:r>
        <w:fldChar w:fldCharType="begin"/>
      </w:r>
      <w:r>
        <w:instrText xml:space="preserve"> PAGEREF _Toc427851403 \h </w:instrText>
      </w:r>
      <w:r>
        <w:fldChar w:fldCharType="separate"/>
      </w:r>
      <w:r>
        <w:t>161</w:t>
      </w:r>
      <w:r>
        <w:fldChar w:fldCharType="end"/>
      </w:r>
    </w:p>
    <w:p w14:paraId="6D5E74F2" w14:textId="77777777" w:rsidR="003F176A" w:rsidRDefault="003F176A">
      <w:pPr>
        <w:pStyle w:val="TOC1"/>
        <w:tabs>
          <w:tab w:val="left" w:pos="2160"/>
        </w:tabs>
        <w:rPr>
          <w:rFonts w:asciiTheme="minorHAnsi" w:eastAsiaTheme="minorEastAsia" w:hAnsiTheme="minorHAnsi" w:cstheme="minorBidi"/>
          <w:b w:val="0"/>
          <w:bCs w:val="0"/>
          <w:color w:val="auto"/>
        </w:rPr>
      </w:pPr>
      <w:r>
        <w:t xml:space="preserve">Appendix </w:t>
      </w:r>
      <w:r w:rsidRPr="008363E8">
        <w:rPr>
          <w:lang w:val="en-US" w:eastAsia="ja-JP"/>
        </w:rPr>
        <w:t>B</w:t>
      </w:r>
      <w:r>
        <w:rPr>
          <w:rFonts w:asciiTheme="minorHAnsi" w:eastAsiaTheme="minorEastAsia" w:hAnsiTheme="minorHAnsi" w:cstheme="minorBidi"/>
          <w:b w:val="0"/>
          <w:bCs w:val="0"/>
          <w:color w:val="auto"/>
        </w:rPr>
        <w:tab/>
      </w:r>
      <w:r>
        <w:t>Process report</w:t>
      </w:r>
      <w:r>
        <w:tab/>
      </w:r>
      <w:r>
        <w:fldChar w:fldCharType="begin"/>
      </w:r>
      <w:r>
        <w:instrText xml:space="preserve"> PAGEREF _Toc427851404 \h </w:instrText>
      </w:r>
      <w:r>
        <w:fldChar w:fldCharType="separate"/>
      </w:r>
      <w:r>
        <w:t>169</w:t>
      </w:r>
      <w:r>
        <w:fldChar w:fldCharType="end"/>
      </w:r>
    </w:p>
    <w:p w14:paraId="5BB94FEA" w14:textId="77777777" w:rsidR="003F176A" w:rsidRDefault="003F176A">
      <w:pPr>
        <w:pStyle w:val="TOC1"/>
        <w:tabs>
          <w:tab w:val="left" w:pos="2160"/>
        </w:tabs>
        <w:rPr>
          <w:rFonts w:asciiTheme="minorHAnsi" w:eastAsiaTheme="minorEastAsia" w:hAnsiTheme="minorHAnsi" w:cstheme="minorBidi"/>
          <w:b w:val="0"/>
          <w:bCs w:val="0"/>
          <w:color w:val="auto"/>
        </w:rPr>
      </w:pPr>
      <w:r>
        <w:t xml:space="preserve">Appendix </w:t>
      </w:r>
      <w:r w:rsidRPr="008363E8">
        <w:rPr>
          <w:lang w:val="en-US"/>
        </w:rPr>
        <w:t>C</w:t>
      </w:r>
      <w:r>
        <w:rPr>
          <w:rFonts w:asciiTheme="minorHAnsi" w:eastAsiaTheme="minorEastAsia" w:hAnsiTheme="minorHAnsi" w:cstheme="minorBidi"/>
          <w:b w:val="0"/>
          <w:bCs w:val="0"/>
          <w:color w:val="auto"/>
        </w:rPr>
        <w:tab/>
      </w:r>
      <w:r>
        <w:t>Transfusion risks in the context of patient blood management</w:t>
      </w:r>
      <w:r>
        <w:tab/>
      </w:r>
      <w:r>
        <w:fldChar w:fldCharType="begin"/>
      </w:r>
      <w:r>
        <w:instrText xml:space="preserve"> PAGEREF _Toc427851405 \h </w:instrText>
      </w:r>
      <w:r>
        <w:fldChar w:fldCharType="separate"/>
      </w:r>
      <w:r>
        <w:t>175</w:t>
      </w:r>
      <w:r>
        <w:fldChar w:fldCharType="end"/>
      </w:r>
    </w:p>
    <w:p w14:paraId="6F3BA257" w14:textId="77777777" w:rsidR="003F176A" w:rsidRDefault="003F176A">
      <w:pPr>
        <w:pStyle w:val="TOC1"/>
        <w:tabs>
          <w:tab w:val="left" w:pos="2160"/>
        </w:tabs>
        <w:rPr>
          <w:rFonts w:asciiTheme="minorHAnsi" w:eastAsiaTheme="minorEastAsia" w:hAnsiTheme="minorHAnsi" w:cstheme="minorBidi"/>
          <w:b w:val="0"/>
          <w:bCs w:val="0"/>
          <w:color w:val="auto"/>
        </w:rPr>
      </w:pPr>
      <w:r>
        <w:t xml:space="preserve">Appendix </w:t>
      </w:r>
      <w:r w:rsidRPr="008363E8">
        <w:rPr>
          <w:lang w:val="en-US"/>
        </w:rPr>
        <w:t>D</w:t>
      </w:r>
      <w:r>
        <w:rPr>
          <w:rFonts w:asciiTheme="minorHAnsi" w:eastAsiaTheme="minorEastAsia" w:hAnsiTheme="minorHAnsi" w:cstheme="minorBidi"/>
          <w:b w:val="0"/>
          <w:bCs w:val="0"/>
          <w:color w:val="auto"/>
        </w:rPr>
        <w:tab/>
      </w:r>
      <w:r>
        <w:t>Blood sectors</w:t>
      </w:r>
      <w:r>
        <w:tab/>
      </w:r>
      <w:r>
        <w:fldChar w:fldCharType="begin"/>
      </w:r>
      <w:r>
        <w:instrText xml:space="preserve"> PAGEREF _Toc427851406 \h </w:instrText>
      </w:r>
      <w:r>
        <w:fldChar w:fldCharType="separate"/>
      </w:r>
      <w:r>
        <w:t>177</w:t>
      </w:r>
      <w:r>
        <w:fldChar w:fldCharType="end"/>
      </w:r>
    </w:p>
    <w:p w14:paraId="5DCFD7BE" w14:textId="77777777" w:rsidR="003F176A" w:rsidRDefault="003F176A">
      <w:pPr>
        <w:pStyle w:val="TOC1"/>
        <w:tabs>
          <w:tab w:val="left" w:pos="2160"/>
        </w:tabs>
        <w:rPr>
          <w:rFonts w:asciiTheme="minorHAnsi" w:eastAsiaTheme="minorEastAsia" w:hAnsiTheme="minorHAnsi" w:cstheme="minorBidi"/>
          <w:b w:val="0"/>
          <w:bCs w:val="0"/>
          <w:color w:val="auto"/>
        </w:rPr>
      </w:pPr>
      <w:r>
        <w:t>Appendix E</w:t>
      </w:r>
      <w:r>
        <w:rPr>
          <w:rFonts w:asciiTheme="minorHAnsi" w:eastAsiaTheme="minorEastAsia" w:hAnsiTheme="minorHAnsi" w:cstheme="minorBidi"/>
          <w:b w:val="0"/>
          <w:bCs w:val="0"/>
          <w:color w:val="auto"/>
        </w:rPr>
        <w:tab/>
      </w:r>
      <w:r w:rsidRPr="008363E8">
        <w:rPr>
          <w:lang w:val="en-US"/>
        </w:rPr>
        <w:t>P</w:t>
      </w:r>
      <w:r>
        <w:t>roduct information</w:t>
      </w:r>
      <w:r>
        <w:tab/>
      </w:r>
      <w:r>
        <w:fldChar w:fldCharType="begin"/>
      </w:r>
      <w:r>
        <w:instrText xml:space="preserve"> PAGEREF _Toc427851407 \h </w:instrText>
      </w:r>
      <w:r>
        <w:fldChar w:fldCharType="separate"/>
      </w:r>
      <w:r>
        <w:t>181</w:t>
      </w:r>
      <w:r>
        <w:fldChar w:fldCharType="end"/>
      </w:r>
    </w:p>
    <w:p w14:paraId="099482D9"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Appendix F</w:t>
      </w:r>
      <w:r>
        <w:rPr>
          <w:rFonts w:asciiTheme="minorHAnsi" w:eastAsiaTheme="minorEastAsia" w:hAnsiTheme="minorHAnsi" w:cstheme="minorBidi"/>
          <w:b w:val="0"/>
          <w:bCs w:val="0"/>
          <w:color w:val="auto"/>
        </w:rPr>
        <w:tab/>
      </w:r>
      <w:r>
        <w:t>RBC transfusions in preterm infants</w:t>
      </w:r>
      <w:r>
        <w:tab/>
      </w:r>
      <w:r>
        <w:fldChar w:fldCharType="begin"/>
      </w:r>
      <w:r>
        <w:instrText xml:space="preserve"> PAGEREF _Toc427851408 \h </w:instrText>
      </w:r>
      <w:r>
        <w:fldChar w:fldCharType="separate"/>
      </w:r>
      <w:r>
        <w:t>182</w:t>
      </w:r>
      <w:r>
        <w:fldChar w:fldCharType="end"/>
      </w:r>
    </w:p>
    <w:p w14:paraId="216C64BF"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Appendix G</w:t>
      </w:r>
      <w:r>
        <w:rPr>
          <w:rFonts w:asciiTheme="minorHAnsi" w:eastAsiaTheme="minorEastAsia" w:hAnsiTheme="minorHAnsi" w:cstheme="minorBidi"/>
          <w:b w:val="0"/>
          <w:bCs w:val="0"/>
          <w:color w:val="auto"/>
        </w:rPr>
        <w:tab/>
      </w:r>
      <w:r w:rsidRPr="008363E8">
        <w:t>Paediatric haemoglobin assessment and optimisation template</w:t>
      </w:r>
      <w:r>
        <w:tab/>
      </w:r>
      <w:r>
        <w:fldChar w:fldCharType="begin"/>
      </w:r>
      <w:r>
        <w:instrText xml:space="preserve"> PAGEREF _Toc427851409 \h </w:instrText>
      </w:r>
      <w:r>
        <w:fldChar w:fldCharType="separate"/>
      </w:r>
      <w:r>
        <w:t>183</w:t>
      </w:r>
      <w:r>
        <w:fldChar w:fldCharType="end"/>
      </w:r>
    </w:p>
    <w:p w14:paraId="5661C9C7"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 xml:space="preserve">Appendix H </w:t>
      </w:r>
      <w:r>
        <w:rPr>
          <w:rFonts w:asciiTheme="minorHAnsi" w:eastAsiaTheme="minorEastAsia" w:hAnsiTheme="minorHAnsi" w:cstheme="minorBidi"/>
          <w:b w:val="0"/>
          <w:bCs w:val="0"/>
          <w:color w:val="auto"/>
        </w:rPr>
        <w:tab/>
      </w:r>
      <w:r w:rsidRPr="008363E8">
        <w:t>Tranexamic acid dosing guidance</w:t>
      </w:r>
      <w:r>
        <w:tab/>
      </w:r>
      <w:r>
        <w:fldChar w:fldCharType="begin"/>
      </w:r>
      <w:r>
        <w:instrText xml:space="preserve"> PAGEREF _Toc427851410 \h </w:instrText>
      </w:r>
      <w:r>
        <w:fldChar w:fldCharType="separate"/>
      </w:r>
      <w:r>
        <w:t>186</w:t>
      </w:r>
      <w:r>
        <w:fldChar w:fldCharType="end"/>
      </w:r>
    </w:p>
    <w:p w14:paraId="0086C1B2"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Appendix I</w:t>
      </w:r>
      <w:r>
        <w:rPr>
          <w:rFonts w:asciiTheme="minorHAnsi" w:eastAsiaTheme="minorEastAsia" w:hAnsiTheme="minorHAnsi" w:cstheme="minorBidi"/>
          <w:b w:val="0"/>
          <w:bCs w:val="0"/>
          <w:color w:val="auto"/>
        </w:rPr>
        <w:tab/>
      </w:r>
      <w:r w:rsidRPr="008363E8">
        <w:t>Intravenous Iron</w:t>
      </w:r>
      <w:r>
        <w:tab/>
      </w:r>
      <w:r>
        <w:fldChar w:fldCharType="begin"/>
      </w:r>
      <w:r>
        <w:instrText xml:space="preserve"> PAGEREF _Toc427851411 \h </w:instrText>
      </w:r>
      <w:r>
        <w:fldChar w:fldCharType="separate"/>
      </w:r>
      <w:r>
        <w:t>187</w:t>
      </w:r>
      <w:r>
        <w:fldChar w:fldCharType="end"/>
      </w:r>
    </w:p>
    <w:p w14:paraId="4CC17A71"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Appendix J</w:t>
      </w:r>
      <w:r>
        <w:rPr>
          <w:rFonts w:asciiTheme="minorHAnsi" w:eastAsiaTheme="minorEastAsia" w:hAnsiTheme="minorHAnsi" w:cstheme="minorBidi"/>
          <w:b w:val="0"/>
          <w:bCs w:val="0"/>
          <w:color w:val="auto"/>
        </w:rPr>
        <w:tab/>
      </w:r>
      <w:r w:rsidRPr="008363E8">
        <w:t>Transfusion volume calculation for neonates, infants and small children</w:t>
      </w:r>
      <w:r>
        <w:tab/>
      </w:r>
      <w:r>
        <w:fldChar w:fldCharType="begin"/>
      </w:r>
      <w:r>
        <w:instrText xml:space="preserve"> PAGEREF _Toc427851412 \h </w:instrText>
      </w:r>
      <w:r>
        <w:fldChar w:fldCharType="separate"/>
      </w:r>
      <w:r>
        <w:t>191</w:t>
      </w:r>
      <w:r>
        <w:fldChar w:fldCharType="end"/>
      </w:r>
    </w:p>
    <w:p w14:paraId="35832468" w14:textId="77777777" w:rsidR="003F176A" w:rsidRDefault="003F176A">
      <w:pPr>
        <w:pStyle w:val="TOC1"/>
        <w:tabs>
          <w:tab w:val="left" w:pos="2160"/>
        </w:tabs>
        <w:rPr>
          <w:rFonts w:asciiTheme="minorHAnsi" w:eastAsiaTheme="minorEastAsia" w:hAnsiTheme="minorHAnsi" w:cstheme="minorBidi"/>
          <w:b w:val="0"/>
          <w:bCs w:val="0"/>
          <w:color w:val="auto"/>
        </w:rPr>
      </w:pPr>
      <w:r w:rsidRPr="008363E8">
        <w:t>Appendix K</w:t>
      </w:r>
      <w:r>
        <w:rPr>
          <w:rFonts w:asciiTheme="minorHAnsi" w:eastAsiaTheme="minorEastAsia" w:hAnsiTheme="minorHAnsi" w:cstheme="minorBidi"/>
          <w:b w:val="0"/>
          <w:bCs w:val="0"/>
          <w:color w:val="auto"/>
        </w:rPr>
        <w:tab/>
      </w:r>
      <w:r w:rsidRPr="008363E8">
        <w:t>Critical bleeding protocol</w:t>
      </w:r>
      <w:r>
        <w:tab/>
      </w:r>
      <w:r>
        <w:fldChar w:fldCharType="begin"/>
      </w:r>
      <w:r>
        <w:instrText xml:space="preserve"> PAGEREF _Toc427851413 \h </w:instrText>
      </w:r>
      <w:r>
        <w:fldChar w:fldCharType="separate"/>
      </w:r>
      <w:r>
        <w:t>193</w:t>
      </w:r>
      <w:r>
        <w:fldChar w:fldCharType="end"/>
      </w:r>
    </w:p>
    <w:p w14:paraId="0318898B" w14:textId="77777777" w:rsidR="003F176A" w:rsidRDefault="003F176A">
      <w:pPr>
        <w:pStyle w:val="TOC1"/>
        <w:rPr>
          <w:rFonts w:asciiTheme="minorHAnsi" w:eastAsiaTheme="minorEastAsia" w:hAnsiTheme="minorHAnsi" w:cstheme="minorBidi"/>
          <w:b w:val="0"/>
          <w:bCs w:val="0"/>
          <w:color w:val="auto"/>
        </w:rPr>
      </w:pPr>
      <w:r>
        <w:t>References</w:t>
      </w:r>
      <w:r>
        <w:tab/>
      </w:r>
      <w:r>
        <w:fldChar w:fldCharType="begin"/>
      </w:r>
      <w:r>
        <w:instrText xml:space="preserve"> PAGEREF _Toc427851414 \h </w:instrText>
      </w:r>
      <w:r>
        <w:fldChar w:fldCharType="separate"/>
      </w:r>
      <w:r>
        <w:t>196</w:t>
      </w:r>
      <w:r>
        <w:fldChar w:fldCharType="end"/>
      </w:r>
    </w:p>
    <w:p w14:paraId="41F5BF74" w14:textId="34D35802" w:rsidR="00F80A13" w:rsidRDefault="00BA2CE4" w:rsidP="00882A1D">
      <w:pPr>
        <w:pStyle w:val="Heading3a"/>
      </w:pPr>
      <w:r>
        <w:fldChar w:fldCharType="end"/>
      </w:r>
    </w:p>
    <w:p w14:paraId="4CA30F2B" w14:textId="77777777" w:rsidR="002B3AF4" w:rsidRDefault="002B3AF4">
      <w:pPr>
        <w:spacing w:after="0"/>
        <w:ind w:left="0"/>
        <w:rPr>
          <w:rFonts w:ascii="Arial" w:hAnsi="Arial" w:cs="Times New Roman"/>
          <w:b/>
          <w:bCs/>
          <w:szCs w:val="26"/>
          <w:lang w:val="x-none" w:eastAsia="x-none"/>
        </w:rPr>
      </w:pPr>
      <w:r>
        <w:br w:type="page"/>
      </w:r>
    </w:p>
    <w:p w14:paraId="0BBE9F5C" w14:textId="5335A90C" w:rsidR="00464555" w:rsidRDefault="00464555" w:rsidP="00882A1D">
      <w:pPr>
        <w:pStyle w:val="Heading3a"/>
      </w:pPr>
      <w:r>
        <w:lastRenderedPageBreak/>
        <w:t>Tables</w:t>
      </w:r>
    </w:p>
    <w:p w14:paraId="250D32F5" w14:textId="77777777" w:rsidR="00E62798" w:rsidRDefault="00BA2CE4">
      <w:pPr>
        <w:pStyle w:val="TableofFigures"/>
        <w:rPr>
          <w:rFonts w:asciiTheme="minorHAnsi" w:eastAsiaTheme="minorEastAsia" w:hAnsiTheme="minorHAnsi" w:cstheme="minorBidi"/>
          <w:noProof/>
          <w:color w:val="auto"/>
        </w:rPr>
      </w:pPr>
      <w:r>
        <w:fldChar w:fldCharType="begin"/>
      </w:r>
      <w:r w:rsidR="00464555">
        <w:instrText xml:space="preserve"> TOC \t "TableName" \c </w:instrText>
      </w:r>
      <w:r>
        <w:fldChar w:fldCharType="separate"/>
      </w:r>
      <w:r w:rsidR="00E62798">
        <w:rPr>
          <w:noProof/>
        </w:rPr>
        <w:t>Table 1.1</w:t>
      </w:r>
      <w:r w:rsidR="00E62798">
        <w:rPr>
          <w:rFonts w:asciiTheme="minorHAnsi" w:eastAsiaTheme="minorEastAsia" w:hAnsiTheme="minorHAnsi" w:cstheme="minorBidi"/>
          <w:noProof/>
          <w:color w:val="auto"/>
        </w:rPr>
        <w:tab/>
      </w:r>
      <w:r w:rsidR="00E62798">
        <w:rPr>
          <w:noProof/>
        </w:rPr>
        <w:t>Phases of development of guideline modules</w:t>
      </w:r>
      <w:r w:rsidR="00E62798">
        <w:rPr>
          <w:noProof/>
        </w:rPr>
        <w:tab/>
      </w:r>
      <w:r w:rsidR="00E62798">
        <w:rPr>
          <w:noProof/>
        </w:rPr>
        <w:fldChar w:fldCharType="begin"/>
      </w:r>
      <w:r w:rsidR="00E62798">
        <w:rPr>
          <w:noProof/>
        </w:rPr>
        <w:instrText xml:space="preserve"> PAGEREF _Toc427758388 \h </w:instrText>
      </w:r>
      <w:r w:rsidR="00E62798">
        <w:rPr>
          <w:noProof/>
        </w:rPr>
      </w:r>
      <w:r w:rsidR="00E62798">
        <w:rPr>
          <w:noProof/>
        </w:rPr>
        <w:fldChar w:fldCharType="separate"/>
      </w:r>
      <w:r w:rsidR="00E62798">
        <w:rPr>
          <w:noProof/>
        </w:rPr>
        <w:t>16</w:t>
      </w:r>
      <w:r w:rsidR="00E62798">
        <w:rPr>
          <w:noProof/>
        </w:rPr>
        <w:fldChar w:fldCharType="end"/>
      </w:r>
    </w:p>
    <w:p w14:paraId="0668AC50" w14:textId="77777777" w:rsidR="00E62798" w:rsidRDefault="00E62798">
      <w:pPr>
        <w:pStyle w:val="TableofFigures"/>
        <w:rPr>
          <w:rFonts w:asciiTheme="minorHAnsi" w:eastAsiaTheme="minorEastAsia" w:hAnsiTheme="minorHAnsi" w:cstheme="minorBidi"/>
          <w:noProof/>
          <w:color w:val="auto"/>
        </w:rPr>
      </w:pPr>
      <w:r>
        <w:rPr>
          <w:noProof/>
        </w:rPr>
        <w:t>Table 2.1</w:t>
      </w:r>
      <w:r>
        <w:rPr>
          <w:rFonts w:asciiTheme="minorHAnsi" w:eastAsiaTheme="minorEastAsia" w:hAnsiTheme="minorHAnsi" w:cstheme="minorBidi"/>
          <w:noProof/>
          <w:color w:val="auto"/>
        </w:rPr>
        <w:tab/>
      </w:r>
      <w:r>
        <w:rPr>
          <w:noProof/>
        </w:rPr>
        <w:t>Body of evidence matrix</w:t>
      </w:r>
      <w:r>
        <w:rPr>
          <w:noProof/>
        </w:rPr>
        <w:tab/>
      </w:r>
      <w:r>
        <w:rPr>
          <w:noProof/>
        </w:rPr>
        <w:fldChar w:fldCharType="begin"/>
      </w:r>
      <w:r>
        <w:rPr>
          <w:noProof/>
        </w:rPr>
        <w:instrText xml:space="preserve"> PAGEREF _Toc427758389 \h </w:instrText>
      </w:r>
      <w:r>
        <w:rPr>
          <w:noProof/>
        </w:rPr>
      </w:r>
      <w:r>
        <w:rPr>
          <w:noProof/>
        </w:rPr>
        <w:fldChar w:fldCharType="separate"/>
      </w:r>
      <w:r>
        <w:rPr>
          <w:noProof/>
        </w:rPr>
        <w:t>22</w:t>
      </w:r>
      <w:r>
        <w:rPr>
          <w:noProof/>
        </w:rPr>
        <w:fldChar w:fldCharType="end"/>
      </w:r>
    </w:p>
    <w:p w14:paraId="78A71B3A" w14:textId="77777777" w:rsidR="00E62798" w:rsidRDefault="00E62798">
      <w:pPr>
        <w:pStyle w:val="TableofFigures"/>
        <w:rPr>
          <w:rFonts w:asciiTheme="minorHAnsi" w:eastAsiaTheme="minorEastAsia" w:hAnsiTheme="minorHAnsi" w:cstheme="minorBidi"/>
          <w:noProof/>
          <w:color w:val="auto"/>
        </w:rPr>
      </w:pPr>
      <w:r>
        <w:rPr>
          <w:noProof/>
        </w:rPr>
        <w:t>Table 2.2</w:t>
      </w:r>
      <w:r>
        <w:rPr>
          <w:rFonts w:asciiTheme="minorHAnsi" w:eastAsiaTheme="minorEastAsia" w:hAnsiTheme="minorHAnsi" w:cstheme="minorBidi"/>
          <w:noProof/>
          <w:color w:val="auto"/>
        </w:rPr>
        <w:tab/>
      </w:r>
      <w:r>
        <w:rPr>
          <w:noProof/>
        </w:rPr>
        <w:t>Definitions of NHMRC grades for recommendations</w:t>
      </w:r>
      <w:r>
        <w:rPr>
          <w:noProof/>
        </w:rPr>
        <w:tab/>
      </w:r>
      <w:r>
        <w:rPr>
          <w:noProof/>
        </w:rPr>
        <w:fldChar w:fldCharType="begin"/>
      </w:r>
      <w:r>
        <w:rPr>
          <w:noProof/>
        </w:rPr>
        <w:instrText xml:space="preserve"> PAGEREF _Toc427758390 \h </w:instrText>
      </w:r>
      <w:r>
        <w:rPr>
          <w:noProof/>
        </w:rPr>
      </w:r>
      <w:r>
        <w:rPr>
          <w:noProof/>
        </w:rPr>
        <w:fldChar w:fldCharType="separate"/>
      </w:r>
      <w:r>
        <w:rPr>
          <w:noProof/>
        </w:rPr>
        <w:t>22</w:t>
      </w:r>
      <w:r>
        <w:rPr>
          <w:noProof/>
        </w:rPr>
        <w:fldChar w:fldCharType="end"/>
      </w:r>
    </w:p>
    <w:p w14:paraId="3DCC79AE" w14:textId="77777777" w:rsidR="00E62798" w:rsidRDefault="00E62798">
      <w:pPr>
        <w:pStyle w:val="TableofFigures"/>
        <w:rPr>
          <w:rFonts w:asciiTheme="minorHAnsi" w:eastAsiaTheme="minorEastAsia" w:hAnsiTheme="minorHAnsi" w:cstheme="minorBidi"/>
          <w:noProof/>
          <w:color w:val="auto"/>
        </w:rPr>
      </w:pPr>
      <w:r>
        <w:rPr>
          <w:noProof/>
        </w:rPr>
        <w:t>Table 3.1</w:t>
      </w:r>
      <w:r>
        <w:rPr>
          <w:rFonts w:asciiTheme="minorHAnsi" w:eastAsiaTheme="minorEastAsia" w:hAnsiTheme="minorHAnsi" w:cstheme="minorBidi"/>
          <w:noProof/>
          <w:color w:val="auto"/>
        </w:rPr>
        <w:tab/>
      </w:r>
      <w:r>
        <w:rPr>
          <w:noProof/>
        </w:rPr>
        <w:t>Structure of evidence statements</w:t>
      </w:r>
      <w:r>
        <w:rPr>
          <w:noProof/>
        </w:rPr>
        <w:tab/>
      </w:r>
      <w:r>
        <w:rPr>
          <w:noProof/>
        </w:rPr>
        <w:fldChar w:fldCharType="begin"/>
      </w:r>
      <w:r>
        <w:rPr>
          <w:noProof/>
        </w:rPr>
        <w:instrText xml:space="preserve"> PAGEREF _Toc427758391 \h </w:instrText>
      </w:r>
      <w:r>
        <w:rPr>
          <w:noProof/>
        </w:rPr>
      </w:r>
      <w:r>
        <w:rPr>
          <w:noProof/>
        </w:rPr>
        <w:fldChar w:fldCharType="separate"/>
      </w:r>
      <w:r>
        <w:rPr>
          <w:noProof/>
        </w:rPr>
        <w:t>24</w:t>
      </w:r>
      <w:r>
        <w:rPr>
          <w:noProof/>
        </w:rPr>
        <w:fldChar w:fldCharType="end"/>
      </w:r>
    </w:p>
    <w:p w14:paraId="6864DA8E" w14:textId="77777777" w:rsidR="00E62798" w:rsidRDefault="00E62798">
      <w:pPr>
        <w:pStyle w:val="TableofFigures"/>
        <w:rPr>
          <w:rFonts w:asciiTheme="minorHAnsi" w:eastAsiaTheme="minorEastAsia" w:hAnsiTheme="minorHAnsi" w:cstheme="minorBidi"/>
          <w:noProof/>
          <w:color w:val="auto"/>
        </w:rPr>
      </w:pPr>
      <w:r>
        <w:rPr>
          <w:noProof/>
        </w:rPr>
        <w:t>Table 3.2</w:t>
      </w:r>
      <w:r>
        <w:rPr>
          <w:rFonts w:asciiTheme="minorHAnsi" w:eastAsiaTheme="minorEastAsia" w:hAnsiTheme="minorHAnsi" w:cstheme="minorBidi"/>
          <w:noProof/>
          <w:color w:val="auto"/>
        </w:rPr>
        <w:tab/>
      </w:r>
      <w:r>
        <w:rPr>
          <w:noProof/>
        </w:rPr>
        <w:t>Description of interventions</w:t>
      </w:r>
      <w:r>
        <w:rPr>
          <w:noProof/>
        </w:rPr>
        <w:tab/>
      </w:r>
      <w:r>
        <w:rPr>
          <w:noProof/>
        </w:rPr>
        <w:fldChar w:fldCharType="begin"/>
      </w:r>
      <w:r>
        <w:rPr>
          <w:noProof/>
        </w:rPr>
        <w:instrText xml:space="preserve"> PAGEREF _Toc427758392 \h </w:instrText>
      </w:r>
      <w:r>
        <w:rPr>
          <w:noProof/>
        </w:rPr>
      </w:r>
      <w:r>
        <w:rPr>
          <w:noProof/>
        </w:rPr>
        <w:fldChar w:fldCharType="separate"/>
      </w:r>
      <w:r>
        <w:rPr>
          <w:noProof/>
        </w:rPr>
        <w:t>24</w:t>
      </w:r>
      <w:r>
        <w:rPr>
          <w:noProof/>
        </w:rPr>
        <w:fldChar w:fldCharType="end"/>
      </w:r>
    </w:p>
    <w:p w14:paraId="00216B55" w14:textId="77777777" w:rsidR="00E62798" w:rsidRDefault="00E62798">
      <w:pPr>
        <w:pStyle w:val="TableofFigures"/>
        <w:rPr>
          <w:rFonts w:asciiTheme="minorHAnsi" w:eastAsiaTheme="minorEastAsia" w:hAnsiTheme="minorHAnsi" w:cstheme="minorBidi"/>
          <w:noProof/>
          <w:color w:val="auto"/>
        </w:rPr>
      </w:pPr>
      <w:r>
        <w:rPr>
          <w:noProof/>
        </w:rPr>
        <w:t>Table 4.1</w:t>
      </w:r>
      <w:r>
        <w:rPr>
          <w:rFonts w:asciiTheme="minorHAnsi" w:eastAsiaTheme="minorEastAsia" w:hAnsiTheme="minorHAnsi" w:cstheme="minorBidi"/>
          <w:noProof/>
          <w:color w:val="auto"/>
        </w:rPr>
        <w:tab/>
      </w:r>
      <w:r>
        <w:rPr>
          <w:noProof/>
        </w:rPr>
        <w:t>Indications for irradiation of cellular products</w:t>
      </w:r>
      <w:r>
        <w:rPr>
          <w:noProof/>
        </w:rPr>
        <w:tab/>
      </w:r>
      <w:r>
        <w:rPr>
          <w:noProof/>
        </w:rPr>
        <w:fldChar w:fldCharType="begin"/>
      </w:r>
      <w:r>
        <w:rPr>
          <w:noProof/>
        </w:rPr>
        <w:instrText xml:space="preserve"> PAGEREF _Toc427758393 \h </w:instrText>
      </w:r>
      <w:r>
        <w:rPr>
          <w:noProof/>
        </w:rPr>
      </w:r>
      <w:r>
        <w:rPr>
          <w:noProof/>
        </w:rPr>
        <w:fldChar w:fldCharType="separate"/>
      </w:r>
      <w:r>
        <w:rPr>
          <w:noProof/>
        </w:rPr>
        <w:t>136</w:t>
      </w:r>
      <w:r>
        <w:rPr>
          <w:noProof/>
        </w:rPr>
        <w:fldChar w:fldCharType="end"/>
      </w:r>
    </w:p>
    <w:p w14:paraId="1D1F4504" w14:textId="77777777" w:rsidR="00E62798" w:rsidRDefault="00E62798">
      <w:pPr>
        <w:pStyle w:val="TableofFigures"/>
        <w:rPr>
          <w:rFonts w:asciiTheme="minorHAnsi" w:eastAsiaTheme="minorEastAsia" w:hAnsiTheme="minorHAnsi" w:cstheme="minorBidi"/>
          <w:noProof/>
          <w:color w:val="auto"/>
        </w:rPr>
      </w:pPr>
      <w:r>
        <w:rPr>
          <w:noProof/>
        </w:rPr>
        <w:t>Table 4.2</w:t>
      </w:r>
      <w:r>
        <w:rPr>
          <w:rFonts w:asciiTheme="minorHAnsi" w:eastAsiaTheme="minorEastAsia" w:hAnsiTheme="minorHAnsi" w:cstheme="minorBidi"/>
          <w:noProof/>
          <w:color w:val="auto"/>
        </w:rPr>
        <w:tab/>
      </w:r>
      <w:r>
        <w:rPr>
          <w:noProof/>
        </w:rPr>
        <w:t>Products for IUT</w:t>
      </w:r>
      <w:r>
        <w:rPr>
          <w:noProof/>
        </w:rPr>
        <w:tab/>
      </w:r>
      <w:r>
        <w:rPr>
          <w:noProof/>
        </w:rPr>
        <w:fldChar w:fldCharType="begin"/>
      </w:r>
      <w:r>
        <w:rPr>
          <w:noProof/>
        </w:rPr>
        <w:instrText xml:space="preserve"> PAGEREF _Toc427758394 \h </w:instrText>
      </w:r>
      <w:r>
        <w:rPr>
          <w:noProof/>
        </w:rPr>
      </w:r>
      <w:r>
        <w:rPr>
          <w:noProof/>
        </w:rPr>
        <w:fldChar w:fldCharType="separate"/>
      </w:r>
      <w:r>
        <w:rPr>
          <w:noProof/>
        </w:rPr>
        <w:t>143</w:t>
      </w:r>
      <w:r>
        <w:rPr>
          <w:noProof/>
        </w:rPr>
        <w:fldChar w:fldCharType="end"/>
      </w:r>
    </w:p>
    <w:p w14:paraId="53A77994" w14:textId="77777777" w:rsidR="00E62798" w:rsidRDefault="00E62798">
      <w:pPr>
        <w:pStyle w:val="TableofFigures"/>
        <w:rPr>
          <w:rFonts w:asciiTheme="minorHAnsi" w:eastAsiaTheme="minorEastAsia" w:hAnsiTheme="minorHAnsi" w:cstheme="minorBidi"/>
          <w:noProof/>
          <w:color w:val="auto"/>
        </w:rPr>
      </w:pPr>
      <w:r>
        <w:rPr>
          <w:noProof/>
        </w:rPr>
        <w:t xml:space="preserve">Table 4.3 </w:t>
      </w:r>
      <w:r>
        <w:rPr>
          <w:rFonts w:asciiTheme="minorHAnsi" w:eastAsiaTheme="minorEastAsia" w:hAnsiTheme="minorHAnsi" w:cstheme="minorBidi"/>
          <w:noProof/>
          <w:color w:val="auto"/>
        </w:rPr>
        <w:tab/>
      </w:r>
      <w:r>
        <w:rPr>
          <w:noProof/>
        </w:rPr>
        <w:t>Iron requirements in neonates and infants</w:t>
      </w:r>
      <w:r>
        <w:rPr>
          <w:noProof/>
        </w:rPr>
        <w:tab/>
      </w:r>
      <w:r>
        <w:rPr>
          <w:noProof/>
        </w:rPr>
        <w:fldChar w:fldCharType="begin"/>
      </w:r>
      <w:r>
        <w:rPr>
          <w:noProof/>
        </w:rPr>
        <w:instrText xml:space="preserve"> PAGEREF _Toc427758395 \h </w:instrText>
      </w:r>
      <w:r>
        <w:rPr>
          <w:noProof/>
        </w:rPr>
      </w:r>
      <w:r>
        <w:rPr>
          <w:noProof/>
        </w:rPr>
        <w:fldChar w:fldCharType="separate"/>
      </w:r>
      <w:r>
        <w:rPr>
          <w:noProof/>
        </w:rPr>
        <w:t>149</w:t>
      </w:r>
      <w:r>
        <w:rPr>
          <w:noProof/>
        </w:rPr>
        <w:fldChar w:fldCharType="end"/>
      </w:r>
    </w:p>
    <w:p w14:paraId="5AF003CC" w14:textId="77777777" w:rsidR="00E62798" w:rsidRDefault="00E62798">
      <w:pPr>
        <w:pStyle w:val="TableofFigures"/>
        <w:rPr>
          <w:rFonts w:asciiTheme="minorHAnsi" w:eastAsiaTheme="minorEastAsia" w:hAnsiTheme="minorHAnsi" w:cstheme="minorBidi"/>
          <w:noProof/>
          <w:color w:val="auto"/>
        </w:rPr>
      </w:pPr>
      <w:r>
        <w:rPr>
          <w:noProof/>
        </w:rPr>
        <w:t>Table 4.4</w:t>
      </w:r>
      <w:r>
        <w:rPr>
          <w:rFonts w:asciiTheme="minorHAnsi" w:eastAsiaTheme="minorEastAsia" w:hAnsiTheme="minorHAnsi" w:cstheme="minorBidi"/>
          <w:noProof/>
          <w:color w:val="auto"/>
        </w:rPr>
        <w:tab/>
      </w:r>
      <w:r>
        <w:rPr>
          <w:noProof/>
        </w:rPr>
        <w:t>Quick dose reference to provide 3 mg/kg/day (for severe IDA, consider 6 mg/kg/day)</w:t>
      </w:r>
      <w:r>
        <w:rPr>
          <w:noProof/>
        </w:rPr>
        <w:tab/>
      </w:r>
      <w:r>
        <w:rPr>
          <w:noProof/>
        </w:rPr>
        <w:fldChar w:fldCharType="begin"/>
      </w:r>
      <w:r>
        <w:rPr>
          <w:noProof/>
        </w:rPr>
        <w:instrText xml:space="preserve"> PAGEREF _Toc427758396 \h </w:instrText>
      </w:r>
      <w:r>
        <w:rPr>
          <w:noProof/>
        </w:rPr>
      </w:r>
      <w:r>
        <w:rPr>
          <w:noProof/>
        </w:rPr>
        <w:fldChar w:fldCharType="separate"/>
      </w:r>
      <w:r>
        <w:rPr>
          <w:noProof/>
        </w:rPr>
        <w:t>150</w:t>
      </w:r>
      <w:r>
        <w:rPr>
          <w:noProof/>
        </w:rPr>
        <w:fldChar w:fldCharType="end"/>
      </w:r>
    </w:p>
    <w:p w14:paraId="44CE8B91" w14:textId="77777777" w:rsidR="00E62798" w:rsidRDefault="00E62798">
      <w:pPr>
        <w:pStyle w:val="TableofFigures"/>
        <w:rPr>
          <w:rFonts w:asciiTheme="minorHAnsi" w:eastAsiaTheme="minorEastAsia" w:hAnsiTheme="minorHAnsi" w:cstheme="minorBidi"/>
          <w:noProof/>
          <w:color w:val="auto"/>
        </w:rPr>
      </w:pPr>
      <w:r>
        <w:rPr>
          <w:noProof/>
        </w:rPr>
        <w:t>Table 4.5</w:t>
      </w:r>
      <w:r>
        <w:rPr>
          <w:rFonts w:asciiTheme="minorHAnsi" w:eastAsiaTheme="minorEastAsia" w:hAnsiTheme="minorHAnsi" w:cstheme="minorBidi"/>
          <w:noProof/>
          <w:color w:val="auto"/>
        </w:rPr>
        <w:tab/>
      </w:r>
      <w:r>
        <w:rPr>
          <w:noProof/>
        </w:rPr>
        <w:t>Paediatric appropriate iron formulations in Australia</w:t>
      </w:r>
      <w:r>
        <w:rPr>
          <w:noProof/>
        </w:rPr>
        <w:tab/>
      </w:r>
      <w:r>
        <w:rPr>
          <w:noProof/>
        </w:rPr>
        <w:fldChar w:fldCharType="begin"/>
      </w:r>
      <w:r>
        <w:rPr>
          <w:noProof/>
        </w:rPr>
        <w:instrText xml:space="preserve"> PAGEREF _Toc427758397 \h </w:instrText>
      </w:r>
      <w:r>
        <w:rPr>
          <w:noProof/>
        </w:rPr>
      </w:r>
      <w:r>
        <w:rPr>
          <w:noProof/>
        </w:rPr>
        <w:fldChar w:fldCharType="separate"/>
      </w:r>
      <w:r>
        <w:rPr>
          <w:noProof/>
        </w:rPr>
        <w:t>150</w:t>
      </w:r>
      <w:r>
        <w:rPr>
          <w:noProof/>
        </w:rPr>
        <w:fldChar w:fldCharType="end"/>
      </w:r>
    </w:p>
    <w:p w14:paraId="42CD0714" w14:textId="77777777" w:rsidR="00E62798" w:rsidRDefault="00E62798">
      <w:pPr>
        <w:pStyle w:val="TableofFigures"/>
        <w:rPr>
          <w:rFonts w:asciiTheme="minorHAnsi" w:eastAsiaTheme="minorEastAsia" w:hAnsiTheme="minorHAnsi" w:cstheme="minorBidi"/>
          <w:noProof/>
          <w:color w:val="auto"/>
        </w:rPr>
      </w:pPr>
      <w:r>
        <w:rPr>
          <w:noProof/>
        </w:rPr>
        <w:t>Table C.1</w:t>
      </w:r>
      <w:r>
        <w:rPr>
          <w:rFonts w:asciiTheme="minorHAnsi" w:eastAsiaTheme="minorEastAsia" w:hAnsiTheme="minorHAnsi" w:cstheme="minorBidi"/>
          <w:noProof/>
          <w:color w:val="auto"/>
        </w:rPr>
        <w:tab/>
      </w:r>
      <w:r>
        <w:rPr>
          <w:noProof/>
        </w:rPr>
        <w:t>Transfusion risks</w:t>
      </w:r>
      <w:r>
        <w:rPr>
          <w:noProof/>
        </w:rPr>
        <w:tab/>
      </w:r>
      <w:r>
        <w:rPr>
          <w:noProof/>
        </w:rPr>
        <w:fldChar w:fldCharType="begin"/>
      </w:r>
      <w:r>
        <w:rPr>
          <w:noProof/>
        </w:rPr>
        <w:instrText xml:space="preserve"> PAGEREF _Toc427758398 \h </w:instrText>
      </w:r>
      <w:r>
        <w:rPr>
          <w:noProof/>
        </w:rPr>
      </w:r>
      <w:r>
        <w:rPr>
          <w:noProof/>
        </w:rPr>
        <w:fldChar w:fldCharType="separate"/>
      </w:r>
      <w:r>
        <w:rPr>
          <w:noProof/>
        </w:rPr>
        <w:t>176</w:t>
      </w:r>
      <w:r>
        <w:rPr>
          <w:noProof/>
        </w:rPr>
        <w:fldChar w:fldCharType="end"/>
      </w:r>
    </w:p>
    <w:p w14:paraId="4E955618" w14:textId="77777777" w:rsidR="00E62798" w:rsidRDefault="00E62798">
      <w:pPr>
        <w:pStyle w:val="TableofFigures"/>
        <w:rPr>
          <w:rFonts w:asciiTheme="minorHAnsi" w:eastAsiaTheme="minorEastAsia" w:hAnsiTheme="minorHAnsi" w:cstheme="minorBidi"/>
          <w:noProof/>
          <w:color w:val="auto"/>
        </w:rPr>
      </w:pPr>
      <w:r>
        <w:rPr>
          <w:noProof/>
        </w:rPr>
        <w:t>Table C.2</w:t>
      </w:r>
      <w:r>
        <w:rPr>
          <w:rFonts w:asciiTheme="minorHAnsi" w:eastAsiaTheme="minorEastAsia" w:hAnsiTheme="minorHAnsi" w:cstheme="minorBidi"/>
          <w:noProof/>
          <w:color w:val="auto"/>
        </w:rPr>
        <w:tab/>
      </w:r>
      <w:r>
        <w:rPr>
          <w:noProof/>
        </w:rPr>
        <w:t>Calman Chart</w:t>
      </w:r>
      <w:r w:rsidRPr="00FA5300">
        <w:rPr>
          <w:noProof/>
          <w:vertAlign w:val="superscript"/>
        </w:rPr>
        <w:t>a</w:t>
      </w:r>
      <w:r>
        <w:rPr>
          <w:noProof/>
        </w:rPr>
        <w:t xml:space="preserve"> (United Kingdom risk per 1 year)</w:t>
      </w:r>
      <w:r>
        <w:rPr>
          <w:noProof/>
        </w:rPr>
        <w:tab/>
      </w:r>
      <w:r>
        <w:rPr>
          <w:noProof/>
        </w:rPr>
        <w:fldChar w:fldCharType="begin"/>
      </w:r>
      <w:r>
        <w:rPr>
          <w:noProof/>
        </w:rPr>
        <w:instrText xml:space="preserve"> PAGEREF _Toc427758399 \h </w:instrText>
      </w:r>
      <w:r>
        <w:rPr>
          <w:noProof/>
        </w:rPr>
      </w:r>
      <w:r>
        <w:rPr>
          <w:noProof/>
        </w:rPr>
        <w:fldChar w:fldCharType="separate"/>
      </w:r>
      <w:r>
        <w:rPr>
          <w:noProof/>
        </w:rPr>
        <w:t>176</w:t>
      </w:r>
      <w:r>
        <w:rPr>
          <w:noProof/>
        </w:rPr>
        <w:fldChar w:fldCharType="end"/>
      </w:r>
    </w:p>
    <w:p w14:paraId="5214A9AA" w14:textId="77777777" w:rsidR="00E62798" w:rsidRDefault="00E62798">
      <w:pPr>
        <w:pStyle w:val="TableofFigures"/>
        <w:rPr>
          <w:rFonts w:asciiTheme="minorHAnsi" w:eastAsiaTheme="minorEastAsia" w:hAnsiTheme="minorHAnsi" w:cstheme="minorBidi"/>
          <w:noProof/>
          <w:color w:val="auto"/>
        </w:rPr>
      </w:pPr>
      <w:r>
        <w:rPr>
          <w:noProof/>
        </w:rPr>
        <w:t>Table F.1</w:t>
      </w:r>
      <w:r>
        <w:rPr>
          <w:rFonts w:asciiTheme="minorHAnsi" w:eastAsiaTheme="minorEastAsia" w:hAnsiTheme="minorHAnsi" w:cstheme="minorBidi"/>
          <w:noProof/>
          <w:color w:val="auto"/>
        </w:rPr>
        <w:tab/>
      </w:r>
      <w:r>
        <w:rPr>
          <w:noProof/>
        </w:rPr>
        <w:t>Haemoglobin threshold for preterm infants</w:t>
      </w:r>
      <w:r>
        <w:rPr>
          <w:noProof/>
        </w:rPr>
        <w:tab/>
      </w:r>
      <w:r>
        <w:rPr>
          <w:noProof/>
        </w:rPr>
        <w:fldChar w:fldCharType="begin"/>
      </w:r>
      <w:r>
        <w:rPr>
          <w:noProof/>
        </w:rPr>
        <w:instrText xml:space="preserve"> PAGEREF _Toc427758400 \h </w:instrText>
      </w:r>
      <w:r>
        <w:rPr>
          <w:noProof/>
        </w:rPr>
      </w:r>
      <w:r>
        <w:rPr>
          <w:noProof/>
        </w:rPr>
        <w:fldChar w:fldCharType="separate"/>
      </w:r>
      <w:r>
        <w:rPr>
          <w:noProof/>
        </w:rPr>
        <w:t>182</w:t>
      </w:r>
      <w:r>
        <w:rPr>
          <w:noProof/>
        </w:rPr>
        <w:fldChar w:fldCharType="end"/>
      </w:r>
    </w:p>
    <w:p w14:paraId="7DBDBB84" w14:textId="77777777" w:rsidR="00E62798" w:rsidRDefault="00E62798">
      <w:pPr>
        <w:pStyle w:val="TableofFigures"/>
        <w:rPr>
          <w:rFonts w:asciiTheme="minorHAnsi" w:eastAsiaTheme="minorEastAsia" w:hAnsiTheme="minorHAnsi" w:cstheme="minorBidi"/>
          <w:noProof/>
          <w:color w:val="auto"/>
        </w:rPr>
      </w:pPr>
      <w:r>
        <w:rPr>
          <w:noProof/>
        </w:rPr>
        <w:t>Table H1</w:t>
      </w:r>
      <w:r>
        <w:rPr>
          <w:rFonts w:asciiTheme="minorHAnsi" w:eastAsiaTheme="minorEastAsia" w:hAnsiTheme="minorHAnsi" w:cstheme="minorBidi"/>
          <w:noProof/>
          <w:color w:val="auto"/>
        </w:rPr>
        <w:tab/>
      </w:r>
      <w:r>
        <w:rPr>
          <w:noProof/>
        </w:rPr>
        <w:t>Guidance on tranexamic dosing in surgical paediatric patients other than cardiac</w:t>
      </w:r>
      <w:r>
        <w:rPr>
          <w:noProof/>
        </w:rPr>
        <w:tab/>
      </w:r>
      <w:r>
        <w:rPr>
          <w:noProof/>
        </w:rPr>
        <w:fldChar w:fldCharType="begin"/>
      </w:r>
      <w:r>
        <w:rPr>
          <w:noProof/>
        </w:rPr>
        <w:instrText xml:space="preserve"> PAGEREF _Toc427758401 \h </w:instrText>
      </w:r>
      <w:r>
        <w:rPr>
          <w:noProof/>
        </w:rPr>
      </w:r>
      <w:r>
        <w:rPr>
          <w:noProof/>
        </w:rPr>
        <w:fldChar w:fldCharType="separate"/>
      </w:r>
      <w:r>
        <w:rPr>
          <w:noProof/>
        </w:rPr>
        <w:t>186</w:t>
      </w:r>
      <w:r>
        <w:rPr>
          <w:noProof/>
        </w:rPr>
        <w:fldChar w:fldCharType="end"/>
      </w:r>
    </w:p>
    <w:p w14:paraId="72CFB235" w14:textId="77777777" w:rsidR="00E62798" w:rsidRDefault="00E62798">
      <w:pPr>
        <w:pStyle w:val="TableofFigures"/>
        <w:rPr>
          <w:rFonts w:asciiTheme="minorHAnsi" w:eastAsiaTheme="minorEastAsia" w:hAnsiTheme="minorHAnsi" w:cstheme="minorBidi"/>
          <w:noProof/>
          <w:color w:val="auto"/>
        </w:rPr>
      </w:pPr>
      <w:r>
        <w:rPr>
          <w:noProof/>
        </w:rPr>
        <w:t>Table I-1</w:t>
      </w:r>
      <w:r>
        <w:rPr>
          <w:rFonts w:asciiTheme="minorHAnsi" w:eastAsiaTheme="minorEastAsia" w:hAnsiTheme="minorHAnsi" w:cstheme="minorBidi"/>
          <w:noProof/>
          <w:color w:val="auto"/>
        </w:rPr>
        <w:tab/>
      </w:r>
      <w:r>
        <w:rPr>
          <w:noProof/>
        </w:rPr>
        <w:t>Total dose (mg of IV iron carboxymaltose) based on Hb concentration and body weight</w:t>
      </w:r>
      <w:r>
        <w:rPr>
          <w:noProof/>
        </w:rPr>
        <w:tab/>
      </w:r>
      <w:r>
        <w:rPr>
          <w:noProof/>
        </w:rPr>
        <w:fldChar w:fldCharType="begin"/>
      </w:r>
      <w:r>
        <w:rPr>
          <w:noProof/>
        </w:rPr>
        <w:instrText xml:space="preserve"> PAGEREF _Toc427758402 \h </w:instrText>
      </w:r>
      <w:r>
        <w:rPr>
          <w:noProof/>
        </w:rPr>
      </w:r>
      <w:r>
        <w:rPr>
          <w:noProof/>
        </w:rPr>
        <w:fldChar w:fldCharType="separate"/>
      </w:r>
      <w:r>
        <w:rPr>
          <w:noProof/>
        </w:rPr>
        <w:t>189</w:t>
      </w:r>
      <w:r>
        <w:rPr>
          <w:noProof/>
        </w:rPr>
        <w:fldChar w:fldCharType="end"/>
      </w:r>
    </w:p>
    <w:p w14:paraId="24F493D1" w14:textId="77777777" w:rsidR="00E62798" w:rsidRDefault="00E62798">
      <w:pPr>
        <w:pStyle w:val="TableofFigures"/>
        <w:rPr>
          <w:rFonts w:asciiTheme="minorHAnsi" w:eastAsiaTheme="minorEastAsia" w:hAnsiTheme="minorHAnsi" w:cstheme="minorBidi"/>
          <w:noProof/>
          <w:color w:val="auto"/>
        </w:rPr>
      </w:pPr>
      <w:r>
        <w:rPr>
          <w:noProof/>
        </w:rPr>
        <w:t>Table I-2</w:t>
      </w:r>
      <w:r>
        <w:rPr>
          <w:rFonts w:asciiTheme="minorHAnsi" w:eastAsiaTheme="minorEastAsia" w:hAnsiTheme="minorHAnsi" w:cstheme="minorBidi"/>
          <w:noProof/>
          <w:color w:val="auto"/>
        </w:rPr>
        <w:tab/>
      </w:r>
      <w:r>
        <w:rPr>
          <w:noProof/>
        </w:rPr>
        <w:t>Dose (ml of IV iron sucrose) based on Hb concentration and body weight</w:t>
      </w:r>
      <w:r>
        <w:rPr>
          <w:noProof/>
        </w:rPr>
        <w:tab/>
      </w:r>
      <w:r>
        <w:rPr>
          <w:noProof/>
        </w:rPr>
        <w:fldChar w:fldCharType="begin"/>
      </w:r>
      <w:r>
        <w:rPr>
          <w:noProof/>
        </w:rPr>
        <w:instrText xml:space="preserve"> PAGEREF _Toc427758403 \h </w:instrText>
      </w:r>
      <w:r>
        <w:rPr>
          <w:noProof/>
        </w:rPr>
      </w:r>
      <w:r>
        <w:rPr>
          <w:noProof/>
        </w:rPr>
        <w:fldChar w:fldCharType="separate"/>
      </w:r>
      <w:r>
        <w:rPr>
          <w:noProof/>
        </w:rPr>
        <w:t>189</w:t>
      </w:r>
      <w:r>
        <w:rPr>
          <w:noProof/>
        </w:rPr>
        <w:fldChar w:fldCharType="end"/>
      </w:r>
    </w:p>
    <w:p w14:paraId="55D77671" w14:textId="77777777" w:rsidR="00E62798" w:rsidRDefault="00E62798">
      <w:pPr>
        <w:pStyle w:val="TableofFigures"/>
        <w:rPr>
          <w:rFonts w:asciiTheme="minorHAnsi" w:eastAsiaTheme="minorEastAsia" w:hAnsiTheme="minorHAnsi" w:cstheme="minorBidi"/>
          <w:noProof/>
          <w:color w:val="auto"/>
        </w:rPr>
      </w:pPr>
      <w:r>
        <w:rPr>
          <w:noProof/>
        </w:rPr>
        <w:t>Table I-3</w:t>
      </w:r>
      <w:r>
        <w:rPr>
          <w:rFonts w:asciiTheme="minorHAnsi" w:eastAsiaTheme="minorEastAsia" w:hAnsiTheme="minorHAnsi" w:cstheme="minorBidi"/>
          <w:noProof/>
          <w:color w:val="auto"/>
        </w:rPr>
        <w:tab/>
      </w:r>
      <w:r>
        <w:rPr>
          <w:noProof/>
        </w:rPr>
        <w:t>Dose (ml of IV iron polymaltose) based on Hb concentration and body weight</w:t>
      </w:r>
      <w:r>
        <w:rPr>
          <w:noProof/>
        </w:rPr>
        <w:tab/>
      </w:r>
      <w:r>
        <w:rPr>
          <w:noProof/>
        </w:rPr>
        <w:fldChar w:fldCharType="begin"/>
      </w:r>
      <w:r>
        <w:rPr>
          <w:noProof/>
        </w:rPr>
        <w:instrText xml:space="preserve"> PAGEREF _Toc427758404 \h </w:instrText>
      </w:r>
      <w:r>
        <w:rPr>
          <w:noProof/>
        </w:rPr>
      </w:r>
      <w:r>
        <w:rPr>
          <w:noProof/>
        </w:rPr>
        <w:fldChar w:fldCharType="separate"/>
      </w:r>
      <w:r>
        <w:rPr>
          <w:noProof/>
        </w:rPr>
        <w:t>190</w:t>
      </w:r>
      <w:r>
        <w:rPr>
          <w:noProof/>
        </w:rPr>
        <w:fldChar w:fldCharType="end"/>
      </w:r>
    </w:p>
    <w:p w14:paraId="45E7ABC3" w14:textId="77777777" w:rsidR="00E62798" w:rsidRDefault="00E62798">
      <w:pPr>
        <w:pStyle w:val="TableofFigures"/>
        <w:rPr>
          <w:rFonts w:asciiTheme="minorHAnsi" w:eastAsiaTheme="minorEastAsia" w:hAnsiTheme="minorHAnsi" w:cstheme="minorBidi"/>
          <w:noProof/>
          <w:color w:val="auto"/>
        </w:rPr>
      </w:pPr>
      <w:r>
        <w:rPr>
          <w:noProof/>
        </w:rPr>
        <w:t>Table J.1</w:t>
      </w:r>
      <w:r>
        <w:rPr>
          <w:rFonts w:asciiTheme="minorHAnsi" w:eastAsiaTheme="minorEastAsia" w:hAnsiTheme="minorHAnsi" w:cstheme="minorBidi"/>
          <w:noProof/>
          <w:color w:val="auto"/>
        </w:rPr>
        <w:tab/>
      </w:r>
      <w:r>
        <w:rPr>
          <w:noProof/>
        </w:rPr>
        <w:t>Hct values</w:t>
      </w:r>
      <w:r>
        <w:rPr>
          <w:noProof/>
        </w:rPr>
        <w:tab/>
      </w:r>
      <w:r>
        <w:rPr>
          <w:noProof/>
        </w:rPr>
        <w:fldChar w:fldCharType="begin"/>
      </w:r>
      <w:r>
        <w:rPr>
          <w:noProof/>
        </w:rPr>
        <w:instrText xml:space="preserve"> PAGEREF _Toc427758405 \h </w:instrText>
      </w:r>
      <w:r>
        <w:rPr>
          <w:noProof/>
        </w:rPr>
      </w:r>
      <w:r>
        <w:rPr>
          <w:noProof/>
        </w:rPr>
        <w:fldChar w:fldCharType="separate"/>
      </w:r>
      <w:r>
        <w:rPr>
          <w:noProof/>
        </w:rPr>
        <w:t>191</w:t>
      </w:r>
      <w:r>
        <w:rPr>
          <w:noProof/>
        </w:rPr>
        <w:fldChar w:fldCharType="end"/>
      </w:r>
    </w:p>
    <w:p w14:paraId="63B52218" w14:textId="77777777" w:rsidR="00E62798" w:rsidRDefault="00E62798">
      <w:pPr>
        <w:pStyle w:val="TableofFigures"/>
        <w:rPr>
          <w:rFonts w:asciiTheme="minorHAnsi" w:eastAsiaTheme="minorEastAsia" w:hAnsiTheme="minorHAnsi" w:cstheme="minorBidi"/>
          <w:noProof/>
          <w:color w:val="auto"/>
        </w:rPr>
      </w:pPr>
      <w:r>
        <w:rPr>
          <w:noProof/>
        </w:rPr>
        <w:t>Table J.2</w:t>
      </w:r>
      <w:r>
        <w:rPr>
          <w:rFonts w:asciiTheme="minorHAnsi" w:eastAsiaTheme="minorEastAsia" w:hAnsiTheme="minorHAnsi" w:cstheme="minorBidi"/>
          <w:noProof/>
          <w:color w:val="auto"/>
        </w:rPr>
        <w:tab/>
      </w:r>
      <w:r>
        <w:rPr>
          <w:noProof/>
        </w:rPr>
        <w:t>Approximate Hb increments that can be expected for transfusion</w:t>
      </w:r>
      <w:r>
        <w:rPr>
          <w:noProof/>
        </w:rPr>
        <w:tab/>
      </w:r>
      <w:r>
        <w:rPr>
          <w:noProof/>
        </w:rPr>
        <w:fldChar w:fldCharType="begin"/>
      </w:r>
      <w:r>
        <w:rPr>
          <w:noProof/>
        </w:rPr>
        <w:instrText xml:space="preserve"> PAGEREF _Toc427758406 \h </w:instrText>
      </w:r>
      <w:r>
        <w:rPr>
          <w:noProof/>
        </w:rPr>
      </w:r>
      <w:r>
        <w:rPr>
          <w:noProof/>
        </w:rPr>
        <w:fldChar w:fldCharType="separate"/>
      </w:r>
      <w:r>
        <w:rPr>
          <w:noProof/>
        </w:rPr>
        <w:t>192</w:t>
      </w:r>
      <w:r>
        <w:rPr>
          <w:noProof/>
        </w:rPr>
        <w:fldChar w:fldCharType="end"/>
      </w:r>
    </w:p>
    <w:p w14:paraId="51C7BC82" w14:textId="77777777" w:rsidR="00464555" w:rsidRDefault="00BA2CE4" w:rsidP="00882A1D">
      <w:pPr>
        <w:pStyle w:val="Heading3a"/>
      </w:pPr>
      <w:r>
        <w:fldChar w:fldCharType="end"/>
      </w:r>
      <w:r w:rsidR="006C1D53">
        <w:t>Figure</w:t>
      </w:r>
    </w:p>
    <w:p w14:paraId="61277D23" w14:textId="77777777" w:rsidR="00E62798" w:rsidRDefault="00BA2CE4">
      <w:pPr>
        <w:pStyle w:val="TableofFigures"/>
        <w:rPr>
          <w:rFonts w:asciiTheme="minorHAnsi" w:eastAsiaTheme="minorEastAsia" w:hAnsiTheme="minorHAnsi" w:cstheme="minorBidi"/>
          <w:noProof/>
          <w:color w:val="auto"/>
        </w:rPr>
      </w:pPr>
      <w:r>
        <w:fldChar w:fldCharType="begin"/>
      </w:r>
      <w:r w:rsidR="00464555">
        <w:instrText xml:space="preserve"> TOC \h \z \t "FigureNameBF" \c </w:instrText>
      </w:r>
      <w:r>
        <w:fldChar w:fldCharType="separate"/>
      </w:r>
      <w:hyperlink w:anchor="_Toc427758407" w:history="1">
        <w:r w:rsidR="00E62798" w:rsidRPr="00EF684F">
          <w:rPr>
            <w:rStyle w:val="Hyperlink"/>
            <w:noProof/>
          </w:rPr>
          <w:t>Figure A1</w:t>
        </w:r>
        <w:r w:rsidR="00E62798">
          <w:rPr>
            <w:rFonts w:asciiTheme="minorHAnsi" w:eastAsiaTheme="minorEastAsia" w:hAnsiTheme="minorHAnsi" w:cstheme="minorBidi"/>
            <w:noProof/>
            <w:color w:val="auto"/>
          </w:rPr>
          <w:tab/>
        </w:r>
        <w:r w:rsidR="00E62798" w:rsidRPr="00EF684F">
          <w:rPr>
            <w:rStyle w:val="Hyperlink"/>
            <w:noProof/>
          </w:rPr>
          <w:t>Management framework for development of the guidelines</w:t>
        </w:r>
        <w:r w:rsidR="00E62798">
          <w:rPr>
            <w:noProof/>
            <w:webHidden/>
          </w:rPr>
          <w:tab/>
        </w:r>
        <w:r w:rsidR="00E62798">
          <w:rPr>
            <w:noProof/>
            <w:webHidden/>
          </w:rPr>
          <w:fldChar w:fldCharType="begin"/>
        </w:r>
        <w:r w:rsidR="00E62798">
          <w:rPr>
            <w:noProof/>
            <w:webHidden/>
          </w:rPr>
          <w:instrText xml:space="preserve"> PAGEREF _Toc427758407 \h </w:instrText>
        </w:r>
        <w:r w:rsidR="00E62798">
          <w:rPr>
            <w:noProof/>
            <w:webHidden/>
          </w:rPr>
        </w:r>
        <w:r w:rsidR="00E62798">
          <w:rPr>
            <w:noProof/>
            <w:webHidden/>
          </w:rPr>
          <w:fldChar w:fldCharType="separate"/>
        </w:r>
        <w:r w:rsidR="00E62798">
          <w:rPr>
            <w:noProof/>
            <w:webHidden/>
          </w:rPr>
          <w:t>162</w:t>
        </w:r>
        <w:r w:rsidR="00E62798">
          <w:rPr>
            <w:noProof/>
            <w:webHidden/>
          </w:rPr>
          <w:fldChar w:fldCharType="end"/>
        </w:r>
      </w:hyperlink>
    </w:p>
    <w:p w14:paraId="33248E2D" w14:textId="77777777" w:rsidR="00725009" w:rsidRDefault="00BA2CE4" w:rsidP="00725009">
      <w:pPr>
        <w:sectPr w:rsidR="00725009" w:rsidSect="00040473">
          <w:headerReference w:type="even" r:id="rId26"/>
          <w:headerReference w:type="default" r:id="rId27"/>
          <w:footerReference w:type="default" r:id="rId28"/>
          <w:headerReference w:type="first" r:id="rId29"/>
          <w:footerReference w:type="first" r:id="rId30"/>
          <w:footnotePr>
            <w:numFmt w:val="lowerLetter"/>
          </w:footnotePr>
          <w:pgSz w:w="11906" w:h="16838" w:code="9"/>
          <w:pgMar w:top="1440" w:right="1440" w:bottom="1440" w:left="1440" w:header="578" w:footer="578" w:gutter="0"/>
          <w:pgNumType w:fmt="lowerRoman" w:start="1"/>
          <w:cols w:space="720"/>
          <w:docGrid w:linePitch="360"/>
        </w:sectPr>
      </w:pPr>
      <w:r>
        <w:fldChar w:fldCharType="end"/>
      </w:r>
      <w:bookmarkStart w:id="7" w:name="_Toc265585296"/>
      <w:bookmarkStart w:id="8" w:name="_Toc282672270"/>
    </w:p>
    <w:p w14:paraId="1C6F1982" w14:textId="77777777" w:rsidR="00464555" w:rsidRDefault="00937236" w:rsidP="00690B43">
      <w:pPr>
        <w:pStyle w:val="Heading1"/>
      </w:pPr>
      <w:bookmarkStart w:id="9" w:name="_Toc427851292"/>
      <w:r>
        <w:lastRenderedPageBreak/>
        <w:t xml:space="preserve">Plain English </w:t>
      </w:r>
      <w:r w:rsidR="00464555">
        <w:t>summary</w:t>
      </w:r>
      <w:bookmarkEnd w:id="7"/>
      <w:bookmarkEnd w:id="8"/>
      <w:bookmarkEnd w:id="9"/>
    </w:p>
    <w:p w14:paraId="6D325CCD" w14:textId="265545A7" w:rsidR="00240583" w:rsidRPr="000C42B8" w:rsidRDefault="00464555" w:rsidP="001C7CA7">
      <w:pPr>
        <w:rPr>
          <w:lang w:eastAsia="zh-TW"/>
        </w:rPr>
      </w:pPr>
      <w:r>
        <w:t>T</w:t>
      </w:r>
      <w:r w:rsidRPr="00151726">
        <w:t>h</w:t>
      </w:r>
      <w:r w:rsidR="00F174C7">
        <w:t xml:space="preserve">is document, </w:t>
      </w:r>
      <w:r w:rsidRPr="004000F2">
        <w:rPr>
          <w:i/>
        </w:rPr>
        <w:t xml:space="preserve">Patient </w:t>
      </w:r>
      <w:r w:rsidR="00B7171F" w:rsidRPr="004000F2">
        <w:rPr>
          <w:i/>
        </w:rPr>
        <w:t>Blood Management Guidelines</w:t>
      </w:r>
      <w:r w:rsidRPr="004000F2">
        <w:rPr>
          <w:i/>
        </w:rPr>
        <w:t xml:space="preserve">: </w:t>
      </w:r>
      <w:r w:rsidR="009205D8" w:rsidRPr="009205D8">
        <w:rPr>
          <w:i/>
        </w:rPr>
        <w:t xml:space="preserve">Module </w:t>
      </w:r>
      <w:r w:rsidR="001C7CA7">
        <w:rPr>
          <w:i/>
        </w:rPr>
        <w:t>6</w:t>
      </w:r>
      <w:r w:rsidR="009205D8" w:rsidRPr="009205D8">
        <w:rPr>
          <w:i/>
        </w:rPr>
        <w:t xml:space="preserve"> – </w:t>
      </w:r>
      <w:r w:rsidR="001D57AB">
        <w:rPr>
          <w:i/>
        </w:rPr>
        <w:t xml:space="preserve">Neonatal and </w:t>
      </w:r>
      <w:r w:rsidR="001C7CA7">
        <w:rPr>
          <w:i/>
        </w:rPr>
        <w:t>Paediatrics</w:t>
      </w:r>
      <w:r w:rsidR="00F174C7">
        <w:t>,</w:t>
      </w:r>
      <w:r w:rsidRPr="004000F2">
        <w:rPr>
          <w:i/>
        </w:rPr>
        <w:t xml:space="preserve"> </w:t>
      </w:r>
      <w:r w:rsidRPr="00151726">
        <w:t>is the</w:t>
      </w:r>
      <w:r w:rsidR="0047405D">
        <w:t xml:space="preserve"> </w:t>
      </w:r>
      <w:r w:rsidR="001C7CA7">
        <w:t>sixt</w:t>
      </w:r>
      <w:r w:rsidR="009205D8">
        <w:t>h</w:t>
      </w:r>
      <w:r w:rsidR="00027D45">
        <w:t xml:space="preserve"> </w:t>
      </w:r>
      <w:r>
        <w:t>in</w:t>
      </w:r>
      <w:r w:rsidRPr="00151726">
        <w:t xml:space="preserve"> a series of six </w:t>
      </w:r>
      <w:r>
        <w:t xml:space="preserve">modules that focus on evidence-based </w:t>
      </w:r>
      <w:r w:rsidRPr="00151726">
        <w:t>patient blood management</w:t>
      </w:r>
      <w:r>
        <w:t xml:space="preserve">. The other </w:t>
      </w:r>
      <w:r w:rsidR="00366498">
        <w:t xml:space="preserve">five </w:t>
      </w:r>
      <w:r>
        <w:t xml:space="preserve">modules are </w:t>
      </w:r>
      <w:r w:rsidR="003D2EC8" w:rsidRPr="003D2EC8">
        <w:rPr>
          <w:i/>
        </w:rPr>
        <w:t xml:space="preserve">Critical </w:t>
      </w:r>
      <w:r w:rsidR="006A116C" w:rsidRPr="003D2EC8">
        <w:rPr>
          <w:i/>
        </w:rPr>
        <w:t>Bleeding/Massive Transfusion</w:t>
      </w:r>
      <w:r>
        <w:t>,</w:t>
      </w:r>
      <w:hyperlink w:anchor="_ENREF_1" w:tooltip="National Blood Authority (NBA), 2011 #199" w:history="1">
        <w:r w:rsidR="00E62798">
          <w:fldChar w:fldCharType="begin"/>
        </w:r>
        <w:r w:rsidR="00E62798">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fldChar w:fldCharType="separate"/>
        </w:r>
        <w:r w:rsidR="00E62798" w:rsidRPr="00E62798">
          <w:rPr>
            <w:noProof/>
            <w:vertAlign w:val="superscript"/>
          </w:rPr>
          <w:t>1</w:t>
        </w:r>
        <w:r w:rsidR="00E62798">
          <w:fldChar w:fldCharType="end"/>
        </w:r>
      </w:hyperlink>
      <w:r>
        <w:t xml:space="preserve"> </w:t>
      </w:r>
      <w:r w:rsidR="003D2EC8" w:rsidRPr="003D2EC8">
        <w:rPr>
          <w:i/>
        </w:rPr>
        <w:t>Perioperative</w:t>
      </w:r>
      <w:r>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t xml:space="preserve"> </w:t>
      </w:r>
      <w:r w:rsidR="003D2EC8" w:rsidRPr="003D2EC8">
        <w:rPr>
          <w:i/>
        </w:rPr>
        <w:t>Medical</w:t>
      </w:r>
      <w:r w:rsidRPr="003D2EC8">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t xml:space="preserve"> </w:t>
      </w:r>
      <w:r w:rsidR="003D2EC8" w:rsidRPr="003D2EC8">
        <w:rPr>
          <w:i/>
        </w:rPr>
        <w:t xml:space="preserve">Critical </w:t>
      </w:r>
      <w:r w:rsidR="006A116C" w:rsidRPr="003D2EC8">
        <w:rPr>
          <w:i/>
        </w:rPr>
        <w:t>Care</w:t>
      </w:r>
      <w:hyperlink w:anchor="_ENREF_4" w:tooltip="National Blood Authority (NBA), 2013 #196" w:history="1">
        <w:r w:rsidR="00E62798">
          <w:rPr>
            <w:i/>
          </w:rPr>
          <w:fldChar w:fldCharType="begin"/>
        </w:r>
        <w:r w:rsidR="00E62798">
          <w:rPr>
            <w:i/>
          </w:rPr>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rPr>
            <w:i/>
          </w:rPr>
          <w:fldChar w:fldCharType="separate"/>
        </w:r>
        <w:r w:rsidR="00E62798" w:rsidRPr="00E62798">
          <w:rPr>
            <w:i/>
            <w:noProof/>
            <w:vertAlign w:val="superscript"/>
          </w:rPr>
          <w:t>4</w:t>
        </w:r>
        <w:r w:rsidR="00E62798">
          <w:rPr>
            <w:i/>
          </w:rPr>
          <w:fldChar w:fldCharType="end"/>
        </w:r>
      </w:hyperlink>
      <w:r w:rsidR="006A116C" w:rsidRPr="003D2EC8">
        <w:rPr>
          <w:i/>
        </w:rPr>
        <w:t xml:space="preserve"> </w:t>
      </w:r>
      <w:r>
        <w:t>and</w:t>
      </w:r>
      <w:r w:rsidR="001D57AB">
        <w:t xml:space="preserve"> </w:t>
      </w:r>
      <w:r w:rsidR="003D2EC8" w:rsidRPr="003D2EC8">
        <w:rPr>
          <w:i/>
        </w:rPr>
        <w:t xml:space="preserve">Obstetrics </w:t>
      </w:r>
      <w:r w:rsidR="001D57AB" w:rsidRPr="003D2EC8">
        <w:rPr>
          <w:i/>
        </w:rPr>
        <w:t xml:space="preserve">and </w:t>
      </w:r>
      <w:r w:rsidR="006A116C" w:rsidRPr="003D2EC8">
        <w:rPr>
          <w:i/>
        </w:rPr>
        <w:t>Maternity</w:t>
      </w:r>
      <w:r w:rsidRPr="003D2EC8">
        <w:t>.</w:t>
      </w:r>
      <w:hyperlink w:anchor="_ENREF_5" w:tooltip="National Blood Authority (NBA), 2015 #764" w:history="1">
        <w:r w:rsidR="00E62798">
          <w:fldChar w:fldCharType="begin"/>
        </w:r>
        <w:r w:rsidR="00E62798">
          <w:instrText xml:space="preserve"> ADDIN EN.CITE &lt;EndNote&gt;&lt;Cite&gt;&lt;Author&gt;National Blood Authority (NBA)&lt;/Author&gt;&lt;Year&gt;2015&lt;/Year&gt;&lt;RecNum&gt;764&lt;/RecNum&gt;&lt;DisplayText&gt;&lt;style face="superscript"&gt;5&lt;/style&gt;&lt;/DisplayText&gt;&lt;record&gt;&lt;rec-number&gt;764&lt;/rec-number&gt;&lt;foreign-keys&gt;&lt;key app="EN" db-id="9edve2wadsavt5ewavaxtda4f2tavzvts9ee" timestamp="1432801664"&gt;764&lt;/key&gt;&lt;/foreign-keys&gt;&lt;ref-type name="Government Document"&gt;46&lt;/ref-type&gt;&lt;contributors&gt;&lt;authors&gt;&lt;author&gt;National Blood Authority (NBA),&lt;/author&gt;&lt;/authors&gt;&lt;/contributors&gt;&lt;titles&gt;&lt;title&gt;Patient Blood Management Guidelines: Module 5 – Obstetrics and Maternity&lt;/title&gt;&lt;/titles&gt;&lt;dates&gt;&lt;year&gt;2015&lt;/year&gt;&lt;/dates&gt;&lt;pub-location&gt;Canberra, Australia&lt;/pub-location&gt;&lt;publisher&gt;NBA&lt;/publisher&gt;&lt;urls&gt;&lt;related-urls&gt;&lt;url&gt;http://www.blood.gov.au/pbm-module-5&lt;/url&gt;&lt;/related-urls&gt;&lt;/urls&gt;&lt;access-date&gt;1 February 2014&lt;/access-date&gt;&lt;/record&gt;&lt;/Cite&gt;&lt;/EndNote&gt;</w:instrText>
        </w:r>
        <w:r w:rsidR="00E62798">
          <w:fldChar w:fldCharType="separate"/>
        </w:r>
        <w:r w:rsidR="00E62798" w:rsidRPr="00E62798">
          <w:rPr>
            <w:noProof/>
            <w:vertAlign w:val="superscript"/>
          </w:rPr>
          <w:t>5</w:t>
        </w:r>
        <w:r w:rsidR="00E62798">
          <w:fldChar w:fldCharType="end"/>
        </w:r>
      </w:hyperlink>
      <w:r>
        <w:t xml:space="preserve"> </w:t>
      </w:r>
      <w:r w:rsidR="00240583">
        <w:t>Together, Module 2 (</w:t>
      </w:r>
      <w:r w:rsidR="00240583" w:rsidRPr="003D2EC8">
        <w:rPr>
          <w:i/>
        </w:rPr>
        <w:t>Perioperative</w:t>
      </w:r>
      <w:r w:rsidR="00240583" w:rsidRPr="003D2EC8">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rsidR="006F131E">
        <w:t xml:space="preserve"> </w:t>
      </w:r>
      <w:r w:rsidR="00240583">
        <w:t>and Module 3 (</w:t>
      </w:r>
      <w:r w:rsidR="00240583" w:rsidRPr="003D2EC8">
        <w:rPr>
          <w:i/>
        </w:rPr>
        <w:t>Medical</w:t>
      </w:r>
      <w:r w:rsidR="00240583" w:rsidRPr="003D2EC8">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240583">
        <w:t xml:space="preserve"> cover all the patient groups addressed by the 2001 document </w:t>
      </w:r>
      <w:r w:rsidR="00240583" w:rsidRPr="004000F2">
        <w:rPr>
          <w:i/>
        </w:rPr>
        <w:t>Clinical Practice Guidelines on the Use of Blood Components</w:t>
      </w:r>
      <w:hyperlink w:anchor="_ENREF_6" w:tooltip="National Health and Medical Research Council (NHMRC), 2001 #997" w:history="1">
        <w:r w:rsidR="00E62798">
          <w:fldChar w:fldCharType="begin"/>
        </w:r>
        <w:r w:rsidR="00E62798">
          <w:instrText xml:space="preserve"> ADDIN EN.CITE &lt;EndNote&gt;&lt;Cite&gt;&lt;Author&gt;National Health and Medical Research Council (NHMRC)&lt;/Author&gt;&lt;Year&gt;2001&lt;/Year&gt;&lt;RecNum&gt;997&lt;/RecNum&gt;&lt;DisplayText&gt;&lt;style face="superscript"&gt;6&lt;/style&gt;&lt;/DisplayText&gt;&lt;record&gt;&lt;rec-number&gt;997&lt;/rec-number&gt;&lt;foreign-keys&gt;&lt;key app="EN" db-id="9edve2wadsavt5ewavaxtda4f2tavzvts9ee" timestamp="1437457804"&gt;997&lt;/key&gt;&lt;/foreign-keys&gt;&lt;ref-type name="Report"&gt;27&lt;/ref-type&gt;&lt;contributors&gt;&lt;authors&gt;&lt;author&gt;National Health and Medical Research Council (NHMRC),&lt;/author&gt;&lt;author&gt;Australasian Society of Blood Transfusion (ASBT),&lt;/author&gt;&lt;/authors&gt;&lt;/contributors&gt;&lt;titles&gt;&lt;title&gt;Clinical practice guidelines on the use of blood components&lt;/title&gt;&lt;/titles&gt;&lt;dates&gt;&lt;year&gt;2001&lt;/year&gt;&lt;/dates&gt;&lt;pub-location&gt;Canberra, Australia&lt;/pub-location&gt;&lt;publisher&gt;NHMRC&lt;/publisher&gt;&lt;urls&gt;&lt;related-urls&gt;&lt;url&gt;http://www.nhmrc.gov.au/_files_nhmrc/file/publications/synopses/cp78.pdf&lt;/url&gt;&lt;/related-urls&gt;&lt;/urls&gt;&lt;/record&gt;&lt;/Cite&gt;&lt;/EndNote&gt;</w:instrText>
        </w:r>
        <w:r w:rsidR="00E62798">
          <w:fldChar w:fldCharType="separate"/>
        </w:r>
        <w:r w:rsidR="00E62798" w:rsidRPr="00E62798">
          <w:rPr>
            <w:noProof/>
            <w:vertAlign w:val="superscript"/>
          </w:rPr>
          <w:t>6</w:t>
        </w:r>
        <w:r w:rsidR="00E62798">
          <w:fldChar w:fldCharType="end"/>
        </w:r>
      </w:hyperlink>
      <w:r w:rsidR="00240583" w:rsidRPr="006601FE">
        <w:t xml:space="preserve"> </w:t>
      </w:r>
      <w:r w:rsidR="00240583">
        <w:t xml:space="preserve">(National Health and Medical Research Council/Australasian Society of Blood Transfusion, </w:t>
      </w:r>
      <w:r w:rsidR="00240583" w:rsidRPr="00151726">
        <w:t>NHMRC</w:t>
      </w:r>
      <w:r w:rsidR="00240583">
        <w:t>/ASBT). Thus, the 2001 guidelines have now been replaced.</w:t>
      </w:r>
    </w:p>
    <w:p w14:paraId="401F16BD" w14:textId="77777777" w:rsidR="00464555" w:rsidRDefault="00464555" w:rsidP="00464555">
      <w:r>
        <w:t>Th</w:t>
      </w:r>
      <w:r w:rsidR="00135BAA">
        <w:t>is</w:t>
      </w:r>
      <w:r>
        <w:t xml:space="preserve"> document was developed by a</w:t>
      </w:r>
      <w:r w:rsidR="00873449">
        <w:t xml:space="preserve"> Clinical/Consumer Reference Group (CRG)</w:t>
      </w:r>
      <w:r w:rsidR="00B27BA1">
        <w:t xml:space="preserve"> </w:t>
      </w:r>
      <w:r w:rsidR="007B5AA1">
        <w:t>representing</w:t>
      </w:r>
      <w:r w:rsidR="00B27BA1">
        <w:t xml:space="preserve"> specialist colleges</w:t>
      </w:r>
      <w:r w:rsidR="002C5564">
        <w:t>, organisations</w:t>
      </w:r>
      <w:r w:rsidR="00B27BA1">
        <w:t xml:space="preserve"> and societies, with the active participation of the clinical community.</w:t>
      </w:r>
    </w:p>
    <w:p w14:paraId="03B82AA7" w14:textId="4771A750" w:rsidR="00924FB7" w:rsidRDefault="00924FB7" w:rsidP="00FF2787">
      <w:pPr>
        <w:pStyle w:val="Normalbeforebullet"/>
      </w:pPr>
      <w:r>
        <w:t xml:space="preserve">This </w:t>
      </w:r>
      <w:r w:rsidR="00A12236">
        <w:t xml:space="preserve">plain English </w:t>
      </w:r>
      <w:r>
        <w:t>summary includes</w:t>
      </w:r>
      <w:r w:rsidR="00707009">
        <w:t xml:space="preserve"> a summary of</w:t>
      </w:r>
      <w:r>
        <w:t>:</w:t>
      </w:r>
    </w:p>
    <w:p w14:paraId="4B4901EA" w14:textId="6E2C8FB0" w:rsidR="00CB2B79" w:rsidRPr="00C837EB" w:rsidRDefault="00CB2B79" w:rsidP="00DC2D96">
      <w:pPr>
        <w:pStyle w:val="Bullet6"/>
      </w:pPr>
      <w:r w:rsidRPr="00C837EB">
        <w:t xml:space="preserve">the </w:t>
      </w:r>
      <w:r w:rsidRPr="00C837EB">
        <w:rPr>
          <w:i/>
        </w:rPr>
        <w:t>recommendations</w:t>
      </w:r>
      <w:r w:rsidRPr="00C837EB">
        <w:t xml:space="preserve"> that were developed by the CRG, based on evidence from a systematic review</w:t>
      </w:r>
    </w:p>
    <w:p w14:paraId="4ADB3F28" w14:textId="3E9134CB" w:rsidR="00CB2B79" w:rsidRDefault="00CB2B79" w:rsidP="000302D1">
      <w:pPr>
        <w:pStyle w:val="Bullet6"/>
      </w:pPr>
      <w:r w:rsidRPr="00CB2B79">
        <w:t>the</w:t>
      </w:r>
      <w:r w:rsidRPr="00CB2B79">
        <w:rPr>
          <w:i/>
        </w:rPr>
        <w:t xml:space="preserve"> practice points</w:t>
      </w:r>
      <w:r w:rsidRPr="00CB2B79">
        <w:t xml:space="preserve"> that were developed by the CRG through consensus decision</w:t>
      </w:r>
      <w:r w:rsidR="00D41F5B">
        <w:t xml:space="preserve"> </w:t>
      </w:r>
      <w:r w:rsidRPr="00CB2B79">
        <w:t>making</w:t>
      </w:r>
    </w:p>
    <w:p w14:paraId="5812B081" w14:textId="63A33246" w:rsidR="006A6E85" w:rsidRPr="00C837EB" w:rsidRDefault="0058489E" w:rsidP="00027D45">
      <w:pPr>
        <w:pStyle w:val="Bullet12"/>
      </w:pPr>
      <w:r w:rsidRPr="00C837EB">
        <w:t xml:space="preserve">the </w:t>
      </w:r>
      <w:r w:rsidRPr="00C837EB">
        <w:rPr>
          <w:i/>
        </w:rPr>
        <w:t>expert opinion points</w:t>
      </w:r>
      <w:r w:rsidRPr="00C837EB">
        <w:t xml:space="preserve"> that were developed by the CRG through consensus decision making.</w:t>
      </w:r>
    </w:p>
    <w:p w14:paraId="600A2FEF" w14:textId="0BFEE1F2" w:rsidR="006A6E85" w:rsidRDefault="00C2549C" w:rsidP="00464555">
      <w:r>
        <w:t>Details of the systematic review</w:t>
      </w:r>
      <w:r w:rsidR="00EB29CB">
        <w:t>s</w:t>
      </w:r>
      <w:r>
        <w:t xml:space="preserve"> used in the development of th</w:t>
      </w:r>
      <w:r w:rsidR="000E47E8">
        <w:t>is module</w:t>
      </w:r>
      <w:r>
        <w:t xml:space="preserve"> are given in the </w:t>
      </w:r>
      <w:r w:rsidR="00B26225">
        <w:t xml:space="preserve">two-volume </w:t>
      </w:r>
      <w:r>
        <w:t xml:space="preserve">technical report that </w:t>
      </w:r>
      <w:r w:rsidR="00B26225">
        <w:t xml:space="preserve">accompanies </w:t>
      </w:r>
      <w:r>
        <w:t>this document.</w:t>
      </w:r>
      <w:hyperlink w:anchor="_ENREF_7" w:tooltip="National Blood Authority (NBA), In preparation #1002" w:history="1">
        <w:r w:rsidR="00E62798">
          <w:fldChar w:fldCharType="begin"/>
        </w:r>
        <w:r w:rsidR="00E62798">
          <w:instrText xml:space="preserve"> ADDIN EN.CITE &lt;EndNote&gt;&lt;Cite&gt;&lt;Author&gt;National Blood Authority (NBA)&lt;/Author&gt;&lt;Year&gt;In preparation&lt;/Year&gt;&lt;RecNum&gt;1002&lt;/RecNum&gt;&lt;DisplayText&gt;&lt;style face="superscript"&gt;7-8&lt;/style&gt;&lt;/DisplayText&gt;&lt;record&gt;&lt;rec-number&gt;1002&lt;/rec-number&gt;&lt;foreign-keys&gt;&lt;key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Australia&lt;/pub-location&gt;&lt;publisher&gt;NBA&lt;/publisher&gt;&lt;urls&gt;&lt;/urls&gt;&lt;/record&gt;&lt;/Cite&gt;&lt;Cite&gt;&lt;Author&gt;National Blood Authority (NBA)&lt;/Author&gt;&lt;Year&gt;In preparation&lt;/Year&gt;&lt;RecNum&gt;1001&lt;/RecNum&gt;&lt;record&gt;&lt;rec-number&gt;1001&lt;/rec-number&gt;&lt;foreign-keys&gt;&lt;key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7-8</w:t>
        </w:r>
        <w:r w:rsidR="00E62798">
          <w:fldChar w:fldCharType="end"/>
        </w:r>
      </w:hyperlink>
    </w:p>
    <w:p w14:paraId="01DDD352" w14:textId="5755822B" w:rsidR="00924FB7" w:rsidRDefault="00A126CB" w:rsidP="00924FB7">
      <w:r w:rsidRPr="00666D3D">
        <w:t>M</w:t>
      </w:r>
      <w:r w:rsidR="00924FB7" w:rsidRPr="00666D3D">
        <w:t xml:space="preserve">aterials relevant to </w:t>
      </w:r>
      <w:r w:rsidR="00027D45">
        <w:t xml:space="preserve">consumers and </w:t>
      </w:r>
      <w:r w:rsidR="003348B8">
        <w:t xml:space="preserve">to </w:t>
      </w:r>
      <w:r w:rsidR="00A62D92">
        <w:t>clinicians</w:t>
      </w:r>
      <w:r w:rsidR="00924FB7" w:rsidRPr="00666D3D">
        <w:t xml:space="preserve"> </w:t>
      </w:r>
      <w:r w:rsidR="002546FA">
        <w:t xml:space="preserve">working in </w:t>
      </w:r>
      <w:r w:rsidR="004520DB">
        <w:t>neonatal and paediatric</w:t>
      </w:r>
      <w:r w:rsidR="00137E31">
        <w:t xml:space="preserve"> services</w:t>
      </w:r>
      <w:r w:rsidR="003348B8">
        <w:t xml:space="preserve"> </w:t>
      </w:r>
      <w:r w:rsidR="00924FB7" w:rsidRPr="00666D3D">
        <w:t>will be developed to accompany th</w:t>
      </w:r>
      <w:r w:rsidR="00A62D92">
        <w:t>is module</w:t>
      </w:r>
      <w:r w:rsidR="00924FB7" w:rsidRPr="00666D3D">
        <w:t>; these materials will be available online and in print.</w:t>
      </w:r>
    </w:p>
    <w:p w14:paraId="3600AF0E" w14:textId="77777777" w:rsidR="009630E5" w:rsidRDefault="00444F64" w:rsidP="009630E5">
      <w:r>
        <w:rPr>
          <w:noProof/>
        </w:rPr>
        <mc:AlternateContent>
          <mc:Choice Requires="wpc">
            <w:drawing>
              <wp:inline distT="0" distB="0" distL="0" distR="0" wp14:anchorId="28D46695" wp14:editId="77702EC7">
                <wp:extent cx="5202912" cy="2887980"/>
                <wp:effectExtent l="0" t="0" r="0" b="7620"/>
                <wp:docPr id="67"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 name="Rectangle 4"/>
                        <wps:cNvSpPr>
                          <a:spLocks noChangeArrowheads="1"/>
                        </wps:cNvSpPr>
                        <wps:spPr bwMode="auto">
                          <a:xfrm>
                            <a:off x="3650002" y="209482"/>
                            <a:ext cx="1514228" cy="348649"/>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64C4301A"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RECOMMENDATION</w:t>
                              </w:r>
                            </w:p>
                          </w:txbxContent>
                        </wps:txbx>
                        <wps:bodyPr rot="0" vert="horz" wrap="square" lIns="91440" tIns="45720" rIns="91440" bIns="45720" anchor="t" anchorCtr="0" upright="1">
                          <a:noAutofit/>
                        </wps:bodyPr>
                      </wps:wsp>
                      <wps:wsp>
                        <wps:cNvPr id="48" name="Rectangle 7"/>
                        <wps:cNvSpPr>
                          <a:spLocks noChangeArrowheads="1"/>
                        </wps:cNvSpPr>
                        <wps:spPr bwMode="auto">
                          <a:xfrm>
                            <a:off x="0" y="0"/>
                            <a:ext cx="1272540" cy="1015743"/>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5637E3D"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BASED ON EVIDENCE </w:t>
                              </w:r>
                            </w:p>
                            <w:p w14:paraId="44EEB829"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FROM THE </w:t>
                              </w:r>
                            </w:p>
                            <w:p w14:paraId="151BDA1C"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SYSTEMATIC REVIEW</w:t>
                              </w:r>
                            </w:p>
                          </w:txbxContent>
                        </wps:txbx>
                        <wps:bodyPr rot="0" vert="horz" wrap="square" lIns="91440" tIns="45720" rIns="91440" bIns="45720" anchor="t" anchorCtr="0" upright="1">
                          <a:noAutofit/>
                        </wps:bodyPr>
                      </wps:wsp>
                      <wps:wsp>
                        <wps:cNvPr id="49" name="Rounded Rectangle 24"/>
                        <wps:cNvSpPr>
                          <a:spLocks noChangeArrowheads="1"/>
                        </wps:cNvSpPr>
                        <wps:spPr bwMode="auto">
                          <a:xfrm>
                            <a:off x="3650585" y="1714500"/>
                            <a:ext cx="1516328" cy="348649"/>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ADD8F90"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EXPERT OPINION POINT</w:t>
                              </w:r>
                            </w:p>
                            <w:p w14:paraId="60D96665" w14:textId="77777777" w:rsidR="005C0634" w:rsidRDefault="005C0634" w:rsidP="00444F64">
                              <w:pPr>
                                <w:pStyle w:val="NormalWeb"/>
                                <w:spacing w:after="0"/>
                                <w:jc w:val="center"/>
                              </w:pPr>
                            </w:p>
                          </w:txbxContent>
                        </wps:txbx>
                        <wps:bodyPr rot="0" vert="horz" wrap="square" lIns="91440" tIns="45720" rIns="91440" bIns="45720" anchor="t" anchorCtr="0" upright="1">
                          <a:noAutofit/>
                        </wps:bodyPr>
                      </wps:wsp>
                      <wps:wsp>
                        <wps:cNvPr id="50" name="Rounded Rectangle 26"/>
                        <wps:cNvSpPr>
                          <a:spLocks noChangeArrowheads="1"/>
                        </wps:cNvSpPr>
                        <wps:spPr bwMode="auto">
                          <a:xfrm>
                            <a:off x="1272540" y="0"/>
                            <a:ext cx="511553" cy="293922"/>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439593D7" w14:textId="77777777" w:rsidR="005C0634" w:rsidRPr="00645DFE" w:rsidRDefault="005C0634" w:rsidP="00444F64">
                              <w:pPr>
                                <w:pStyle w:val="Subtitle"/>
                              </w:pPr>
                              <w:r w:rsidRPr="00645DFE">
                                <w:t>YES</w:t>
                              </w:r>
                            </w:p>
                            <w:p w14:paraId="5C55878E" w14:textId="77777777" w:rsidR="005C0634" w:rsidRPr="00645DFE" w:rsidRDefault="005C0634" w:rsidP="00444F64">
                              <w:pPr>
                                <w:pStyle w:val="NormalWeb"/>
                                <w:spacing w:after="0"/>
                                <w:rPr>
                                  <w:rFonts w:ascii="Calibri" w:hAnsi="Calibri" w:cs="Calibri"/>
                                </w:rPr>
                              </w:pPr>
                              <w:r w:rsidRPr="00645DFE">
                                <w:rPr>
                                  <w:rFonts w:ascii="Calibri" w:hAnsi="Calibri" w:cs="Calibri"/>
                                </w:rPr>
                                <w:t> </w:t>
                              </w:r>
                            </w:p>
                          </w:txbxContent>
                        </wps:txbx>
                        <wps:bodyPr rot="0" vert="horz" wrap="square" lIns="91440" tIns="45720" rIns="91440" bIns="45720" anchor="t" anchorCtr="0" upright="1">
                          <a:noAutofit/>
                        </wps:bodyPr>
                      </wps:wsp>
                      <wps:wsp>
                        <wps:cNvPr id="51" name="Rounded Rectangle 51"/>
                        <wps:cNvSpPr>
                          <a:spLocks noChangeArrowheads="1"/>
                        </wps:cNvSpPr>
                        <wps:spPr bwMode="auto">
                          <a:xfrm>
                            <a:off x="3650585" y="901995"/>
                            <a:ext cx="1515745" cy="348615"/>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656BD58F" w14:textId="77777777" w:rsidR="005C0634" w:rsidRDefault="005C0634" w:rsidP="00444F64">
                              <w:pPr>
                                <w:pStyle w:val="NormalWeb"/>
                                <w:spacing w:after="0"/>
                                <w:jc w:val="center"/>
                              </w:pPr>
                              <w:r>
                                <w:rPr>
                                  <w:rFonts w:ascii="Calibri" w:hAnsi="Calibri" w:cs="Calibri"/>
                                  <w:b/>
                                  <w:bCs/>
                                  <w:sz w:val="20"/>
                                  <w:szCs w:val="20"/>
                                </w:rPr>
                                <w:t>PRACTICE POINT</w:t>
                              </w:r>
                            </w:p>
                            <w:p w14:paraId="74ECBFDD" w14:textId="77777777" w:rsidR="005C0634" w:rsidRDefault="005C0634" w:rsidP="00444F64">
                              <w:pPr>
                                <w:pStyle w:val="NormalWeb"/>
                                <w:spacing w:after="0"/>
                                <w:jc w:val="center"/>
                              </w:pPr>
                              <w:r>
                                <w:t> </w:t>
                              </w:r>
                            </w:p>
                          </w:txbxContent>
                        </wps:txbx>
                        <wps:bodyPr rot="0" vert="horz" wrap="square" lIns="91440" tIns="45720" rIns="91440" bIns="45720" anchor="t" anchorCtr="0" upright="1">
                          <a:noAutofit/>
                        </wps:bodyPr>
                      </wps:wsp>
                      <wps:wsp>
                        <wps:cNvPr id="52" name="Right Arrow 52"/>
                        <wps:cNvSpPr/>
                        <wps:spPr>
                          <a:xfrm>
                            <a:off x="1325880" y="300438"/>
                            <a:ext cx="3270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7"/>
                        <wps:cNvSpPr>
                          <a:spLocks noChangeArrowheads="1"/>
                        </wps:cNvSpPr>
                        <wps:spPr bwMode="auto">
                          <a:xfrm>
                            <a:off x="0" y="1305303"/>
                            <a:ext cx="1325880" cy="658786"/>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69AF9BF3" w14:textId="77777777" w:rsidR="005C0634" w:rsidRDefault="005C0634" w:rsidP="00444F64">
                              <w:pPr>
                                <w:pStyle w:val="NormalWeb"/>
                                <w:spacing w:after="0"/>
                                <w:jc w:val="center"/>
                              </w:pPr>
                              <w:r>
                                <w:rPr>
                                  <w:rFonts w:ascii="Calibri" w:hAnsi="Calibri" w:cs="Calibri"/>
                                  <w:b/>
                                  <w:bCs/>
                                  <w:color w:val="00B050"/>
                                  <w:sz w:val="20"/>
                                  <w:szCs w:val="20"/>
                                </w:rPr>
                                <w:t>BASED ON CONSENSUS OF THE CRG</w:t>
                              </w:r>
                            </w:p>
                          </w:txbxContent>
                        </wps:txbx>
                        <wps:bodyPr rot="0" vert="horz" wrap="square" lIns="91440" tIns="45720" rIns="91440" bIns="45720" anchor="t" anchorCtr="0" upright="1">
                          <a:noAutofit/>
                        </wps:bodyPr>
                      </wps:wsp>
                      <wps:wsp>
                        <wps:cNvPr id="54" name="Rectangle 7"/>
                        <wps:cNvSpPr>
                          <a:spLocks noChangeArrowheads="1"/>
                        </wps:cNvSpPr>
                        <wps:spPr bwMode="auto">
                          <a:xfrm>
                            <a:off x="1734928" y="0"/>
                            <a:ext cx="1272540" cy="558131"/>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11C3530C" w14:textId="1F0D3073" w:rsidR="005C0634" w:rsidRDefault="005C0634" w:rsidP="00444F64">
                              <w:pPr>
                                <w:pStyle w:val="NormalWeb"/>
                                <w:spacing w:after="0"/>
                                <w:jc w:val="center"/>
                              </w:pPr>
                              <w:r>
                                <w:rPr>
                                  <w:rFonts w:ascii="Calibri" w:hAnsi="Calibri" w:cs="Calibri"/>
                                  <w:b/>
                                  <w:bCs/>
                                  <w:color w:val="00B050"/>
                                  <w:sz w:val="20"/>
                                  <w:szCs w:val="20"/>
                                </w:rPr>
                                <w:t>SUFFICIENT HIGH- QUALITY DATA</w:t>
                              </w:r>
                            </w:p>
                          </w:txbxContent>
                        </wps:txbx>
                        <wps:bodyPr rot="0" vert="horz" wrap="square" lIns="91440" tIns="45720" rIns="91440" bIns="45720" anchor="t" anchorCtr="0" upright="1">
                          <a:noAutofit/>
                        </wps:bodyPr>
                      </wps:wsp>
                      <wps:wsp>
                        <wps:cNvPr id="55" name="Right Arrow 55"/>
                        <wps:cNvSpPr/>
                        <wps:spPr>
                          <a:xfrm>
                            <a:off x="3075600" y="283422"/>
                            <a:ext cx="399120" cy="190500"/>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3E8249"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a:spLocks noChangeArrowheads="1"/>
                        </wps:cNvSpPr>
                        <wps:spPr bwMode="auto">
                          <a:xfrm>
                            <a:off x="3007468" y="0"/>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0F735582" w14:textId="77777777" w:rsidR="005C0634" w:rsidRDefault="005C0634" w:rsidP="00444F64">
                              <w:pPr>
                                <w:pStyle w:val="NormalWeb"/>
                                <w:spacing w:after="200"/>
                              </w:pPr>
                              <w:r>
                                <w:rPr>
                                  <w:rFonts w:ascii="Cambria" w:hAnsi="Cambria"/>
                                  <w:i/>
                                  <w:iCs/>
                                  <w:color w:val="C60C30"/>
                                  <w:spacing w:val="15"/>
                                </w:rPr>
                                <w:t>YES</w:t>
                              </w:r>
                            </w:p>
                            <w:p w14:paraId="56A40B95"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57" name="Rounded Rectangle 57"/>
                        <wps:cNvSpPr>
                          <a:spLocks noChangeArrowheads="1"/>
                        </wps:cNvSpPr>
                        <wps:spPr bwMode="auto">
                          <a:xfrm>
                            <a:off x="761365" y="1015743"/>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06680538" w14:textId="77777777" w:rsidR="005C0634" w:rsidRDefault="005C0634" w:rsidP="00444F64">
                              <w:pPr>
                                <w:pStyle w:val="NormalWeb"/>
                                <w:spacing w:after="200"/>
                              </w:pPr>
                              <w:r>
                                <w:rPr>
                                  <w:rFonts w:ascii="Cambria" w:hAnsi="Cambria"/>
                                  <w:i/>
                                  <w:iCs/>
                                  <w:color w:val="C60C30"/>
                                  <w:spacing w:val="15"/>
                                </w:rPr>
                                <w:t>NO</w:t>
                              </w:r>
                            </w:p>
                            <w:p w14:paraId="5F9CEF1D"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58" name="Rounded Rectangle 58"/>
                        <wps:cNvSpPr>
                          <a:spLocks noChangeArrowheads="1"/>
                        </wps:cNvSpPr>
                        <wps:spPr bwMode="auto">
                          <a:xfrm>
                            <a:off x="1391393" y="1436748"/>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3DB32293" w14:textId="77777777" w:rsidR="005C0634" w:rsidRDefault="005C0634" w:rsidP="00444F64">
                              <w:pPr>
                                <w:pStyle w:val="NormalWeb"/>
                                <w:spacing w:after="200"/>
                              </w:pPr>
                              <w:r>
                                <w:rPr>
                                  <w:rFonts w:ascii="Cambria" w:hAnsi="Cambria"/>
                                  <w:i/>
                                  <w:iCs/>
                                  <w:color w:val="C60C30"/>
                                  <w:spacing w:val="15"/>
                                </w:rPr>
                                <w:t>YES</w:t>
                              </w:r>
                            </w:p>
                            <w:p w14:paraId="1C4228BD"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59" name="Right Arrow 59"/>
                        <wps:cNvSpPr/>
                        <wps:spPr>
                          <a:xfrm>
                            <a:off x="1407903" y="1714500"/>
                            <a:ext cx="2110740" cy="249589"/>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E3AB8F"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Down Arrow 60"/>
                        <wps:cNvSpPr/>
                        <wps:spPr>
                          <a:xfrm>
                            <a:off x="545760" y="1056640"/>
                            <a:ext cx="213360" cy="2537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a:spLocks noChangeArrowheads="1"/>
                        </wps:cNvSpPr>
                        <wps:spPr bwMode="auto">
                          <a:xfrm>
                            <a:off x="2435520" y="674370"/>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49CCD23F" w14:textId="77777777" w:rsidR="005C0634" w:rsidRDefault="005C0634" w:rsidP="00444F64">
                              <w:pPr>
                                <w:pStyle w:val="NormalWeb"/>
                                <w:spacing w:after="200"/>
                              </w:pPr>
                              <w:r>
                                <w:rPr>
                                  <w:rFonts w:ascii="Cambria" w:hAnsi="Cambria"/>
                                  <w:i/>
                                  <w:iCs/>
                                  <w:color w:val="C60C30"/>
                                  <w:spacing w:val="15"/>
                                </w:rPr>
                                <w:t>NO</w:t>
                              </w:r>
                            </w:p>
                            <w:p w14:paraId="51AAA762"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62" name="Rectangle 62"/>
                        <wps:cNvSpPr/>
                        <wps:spPr>
                          <a:xfrm>
                            <a:off x="2263775" y="600710"/>
                            <a:ext cx="106680" cy="480060"/>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D3A3B0"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ight Arrow 63"/>
                        <wps:cNvSpPr/>
                        <wps:spPr>
                          <a:xfrm>
                            <a:off x="2263775" y="967740"/>
                            <a:ext cx="1210945" cy="199390"/>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200B6E" w14:textId="77777777" w:rsidR="005C0634" w:rsidRDefault="005C0634" w:rsidP="00444F64">
                              <w:pPr>
                                <w:pStyle w:val="NormalWeb"/>
                                <w:spacing w:after="240"/>
                                <w:ind w:left="720"/>
                              </w:pPr>
                              <w:r>
                                <w:rPr>
                                  <w:rFonts w:cs="Tahoma"/>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Down Arrow 64"/>
                        <wps:cNvSpPr/>
                        <wps:spPr>
                          <a:xfrm>
                            <a:off x="545760" y="2035470"/>
                            <a:ext cx="213360" cy="285750"/>
                          </a:xfrm>
                          <a:prstGeom prst="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2394DE"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ounded Rectangle 65"/>
                        <wps:cNvSpPr>
                          <a:spLocks noChangeArrowheads="1"/>
                        </wps:cNvSpPr>
                        <wps:spPr bwMode="auto">
                          <a:xfrm>
                            <a:off x="759120" y="2035471"/>
                            <a:ext cx="45783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24DA80E1" w14:textId="77777777" w:rsidR="005C0634" w:rsidRDefault="005C0634" w:rsidP="00444F64">
                              <w:pPr>
                                <w:pStyle w:val="NormalWeb"/>
                                <w:spacing w:after="200"/>
                              </w:pPr>
                              <w:r>
                                <w:rPr>
                                  <w:rFonts w:ascii="Cambria" w:hAnsi="Cambria"/>
                                  <w:i/>
                                  <w:iCs/>
                                  <w:color w:val="C60C30"/>
                                  <w:spacing w:val="15"/>
                                </w:rPr>
                                <w:t>NO</w:t>
                              </w:r>
                            </w:p>
                            <w:p w14:paraId="6D8EF986"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66" name="Rectangle 7"/>
                        <wps:cNvSpPr>
                          <a:spLocks noChangeArrowheads="1"/>
                        </wps:cNvSpPr>
                        <wps:spPr bwMode="auto">
                          <a:xfrm>
                            <a:off x="0" y="2348821"/>
                            <a:ext cx="1325880" cy="462960"/>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644D740" w14:textId="77777777" w:rsidR="005C0634" w:rsidRDefault="005C0634" w:rsidP="00444F64">
                              <w:pPr>
                                <w:pStyle w:val="NormalWeb"/>
                                <w:spacing w:after="0"/>
                                <w:jc w:val="center"/>
                              </w:pPr>
                              <w:r>
                                <w:rPr>
                                  <w:rFonts w:ascii="Calibri" w:hAnsi="Calibri" w:cs="Calibri"/>
                                  <w:b/>
                                  <w:bCs/>
                                  <w:color w:val="00B050"/>
                                  <w:sz w:val="20"/>
                                  <w:szCs w:val="20"/>
                                </w:rPr>
                                <w:t>NO STATEMENT MADE</w:t>
                              </w:r>
                            </w:p>
                          </w:txbxContent>
                        </wps:txbx>
                        <wps:bodyPr rot="0" vert="horz" wrap="square" lIns="91440" tIns="45720" rIns="91440" bIns="45720" anchor="t" anchorCtr="0" upright="1">
                          <a:noAutofit/>
                        </wps:bodyPr>
                      </wps:wsp>
                    </wpc:wpc>
                  </a:graphicData>
                </a:graphic>
              </wp:inline>
            </w:drawing>
          </mc:Choice>
          <mc:Fallback>
            <w:pict>
              <v:group id="Canvas 35" o:spid="_x0000_s1026" editas="canvas" style="width:409.7pt;height:227.4pt;mso-position-horizontal-relative:char;mso-position-vertical-relative:line" coordsize="52025,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025;height:28879;visibility:visible;mso-wrap-style:square">
                  <v:fill o:detectmouseclick="t"/>
                  <v:path o:connecttype="none"/>
                </v:shape>
                <v:roundrect id="Rectangle 4" o:spid="_x0000_s1028" style="position:absolute;left:36500;top:2094;width:15142;height:3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iO8QA&#10;AADbAAAADwAAAGRycy9kb3ducmV2LnhtbESP32rCMBTG74W9QzgD72Y6cdZ1RtHBoAwRrHuAQ3PW&#10;dDYnXRNtfXszGHj58f358S3Xg23EhTpfO1bwPElAEJdO11wp+Dp+PC1A+ICssXFMCq7kYb16GC0x&#10;067nA12KUIk4wj5DBSaENpPSl4Ys+olriaP37TqLIcqukrrDPo7bRk6TZC4t1hwJBlt6N1SeirON&#10;EPvz8rroT7N8t9l+7tN0m09/jVLjx2HzBiLQEO7h/3auFcxS+Ps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jv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64C4301A"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RECOMMENDATION</w:t>
                        </w:r>
                      </w:p>
                    </w:txbxContent>
                  </v:textbox>
                </v:roundrect>
                <v:roundrect id="Rectangle 7" o:spid="_x0000_s1029" style="position:absolute;width:12725;height:101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2ScEA&#10;AADbAAAADwAAAGRycy9kb3ducmV2LnhtbERP20rDQBB9F/yHZQTf2o2l19htaQUhiAi2/YAhO83G&#10;Zmdjdm3Sv3ceBB8P577eDr5RV+piHdjA0zgDRVwGW3Nl4HR8HS1BxYRssQlMBm4UYbu5v1tjbkPP&#10;n3Q9pEpJCMccDbiU2lzrWDryGMehJRbuHDqPSWBXadthL+G+0ZMsm2uPNUuDw5ZeHJWXw4+XEv81&#10;Wy37y7R43+3fPhaLfTH5dsY8Pgy7Z1CJhvQv/nMX1sBUxsoX+QF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hdknBAAAA2wAAAA8AAAAAAAAAAAAAAAAAmAIAAGRycy9kb3du&#10;cmV2LnhtbFBLBQYAAAAABAAEAPUAAACGAwAAAAA=&#10;" fillcolor="#ffbe86" strokecolor="#f69240" strokeweight="1pt">
                  <v:fill color2="#ffebdb" rotate="t" angle="180" colors="0 #ffbe86;22938f #ffd0aa;1 #ffebdb" focus="100%" type="gradient"/>
                  <v:shadow on="t" color="black" opacity="24903f" origin=",.5" offset="0,.55556mm"/>
                  <v:textbox>
                    <w:txbxContent>
                      <w:p w14:paraId="35637E3D"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BASED ON EVIDENCE </w:t>
                        </w:r>
                      </w:p>
                      <w:p w14:paraId="44EEB829"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FROM THE </w:t>
                        </w:r>
                      </w:p>
                      <w:p w14:paraId="151BDA1C"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SYSTEMATIC REVIEW</w:t>
                        </w:r>
                      </w:p>
                    </w:txbxContent>
                  </v:textbox>
                </v:roundrect>
                <v:roundrect id="Rounded Rectangle 24" o:spid="_x0000_s1030" style="position:absolute;left:36505;top:17145;width:15164;height:3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T0sMA&#10;AADbAAAADwAAAGRycy9kb3ducmV2LnhtbESP32rCMBTG7we+QzjC7jRVdGo1ig6EMsZg6gMcmmNT&#10;bU66JrP17c1A2OXH9+fHt9p0thI3anzpWMFomIAgzp0uuVBwOu4HcxA+IGusHJOCO3nYrHsvK0y1&#10;a/mbbodQiDjCPkUFJoQ6ldLnhiz6oauJo3d2jcUQZVNI3WAbx20lx0nyJi2WHAkGa3o3lF8PvzZC&#10;7GW6mLfXSfa53X18zWa7bPxjlHrtd9sliEBd+A8/25lWMFnA3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3T0sMAAADbAAAADwAAAAAAAAAAAAAAAACYAgAAZHJzL2Rv&#10;d25yZXYueG1sUEsFBgAAAAAEAAQA9QAAAIgDAAAAAA==&#10;" fillcolor="#ffbe86" strokecolor="#f69240" strokeweight="1pt">
                  <v:fill color2="#ffebdb" rotate="t" angle="180" colors="0 #ffbe86;22938f #ffd0aa;1 #ffebdb" focus="100%" type="gradient"/>
                  <v:shadow on="t" color="black" opacity="24903f" origin=",.5" offset="0,.55556mm"/>
                  <v:textbox>
                    <w:txbxContent>
                      <w:p w14:paraId="3ADD8F90"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EXPERT OPINION POINT</w:t>
                        </w:r>
                      </w:p>
                      <w:p w14:paraId="60D96665" w14:textId="77777777" w:rsidR="005C0634" w:rsidRDefault="005C0634" w:rsidP="00444F64">
                        <w:pPr>
                          <w:pStyle w:val="NormalWeb"/>
                          <w:spacing w:after="0"/>
                          <w:jc w:val="center"/>
                        </w:pPr>
                      </w:p>
                    </w:txbxContent>
                  </v:textbox>
                </v:roundrect>
                <v:roundrect id="Rounded Rectangle 26" o:spid="_x0000_s1031" style="position:absolute;left:12725;width:5115;height:29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jGMEA&#10;AADbAAAADwAAAGRycy9kb3ducmV2LnhtbERPyWrDMBC9B/oPYgq9hFp2IaF1ophSKPRgAll6n1hT&#10;y9QaGUmJ3X59dAjk+Hj7uppsLy7kQ+dYQZHlIIgbpztuFRwPn8+vIEJE1tg7JgV/FKDaPMzWWGo3&#10;8o4u+9iKFMKhRAUmxqGUMjSGLIbMDcSJ+3HeYkzQt1J7HFO47eVLni+lxY5Tg8GBPgw1v/uzVdD+&#10;b99qU5y8P3/r+WjmdT11Qamnx+l9BSLSFO/im/tLK1ik9elL+gF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oxjBAAAA2wAAAA8AAAAAAAAAAAAAAAAAmAIAAGRycy9kb3du&#10;cmV2LnhtbFBLBQYAAAAABAAEAPUAAACGAwAAAAA=&#10;" filled="f" stroked="f" strokeweight="1pt">
                  <v:shadow on="t" color="black" opacity="24903f" origin=",.5" offset="0,.55556mm"/>
                  <v:textbox>
                    <w:txbxContent>
                      <w:p w14:paraId="439593D7" w14:textId="77777777" w:rsidR="005C0634" w:rsidRPr="00645DFE" w:rsidRDefault="005C0634" w:rsidP="00444F64">
                        <w:pPr>
                          <w:pStyle w:val="Subtitle"/>
                        </w:pPr>
                        <w:r w:rsidRPr="00645DFE">
                          <w:t>YES</w:t>
                        </w:r>
                      </w:p>
                      <w:p w14:paraId="5C55878E" w14:textId="77777777" w:rsidR="005C0634" w:rsidRPr="00645DFE" w:rsidRDefault="005C0634" w:rsidP="00444F64">
                        <w:pPr>
                          <w:pStyle w:val="NormalWeb"/>
                          <w:spacing w:after="0"/>
                          <w:rPr>
                            <w:rFonts w:ascii="Calibri" w:hAnsi="Calibri" w:cs="Calibri"/>
                          </w:rPr>
                        </w:pPr>
                        <w:r w:rsidRPr="00645DFE">
                          <w:rPr>
                            <w:rFonts w:ascii="Calibri" w:hAnsi="Calibri" w:cs="Calibri"/>
                          </w:rPr>
                          <w:t> </w:t>
                        </w:r>
                      </w:p>
                    </w:txbxContent>
                  </v:textbox>
                </v:roundrect>
                <v:roundrect id="Rounded Rectangle 51" o:spid="_x0000_s1032" style="position:absolute;left:36505;top:9019;width:15158;height:3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JCcMA&#10;AADbAAAADwAAAGRycy9kb3ducmV2LnhtbESP3WrCQBCF7wt9h2UKvdONUv+iq2hBCEUKVR9gyI7Z&#10;aHY2za4mvr1bEHp5OD8fZ7HqbCVu1PjSsYJBPwFBnDtdcqHgeNj2piB8QNZYOSYFd/KwWr6+LDDV&#10;ruUfuu1DIeII+xQVmBDqVEqfG7Lo+64mjt7JNRZDlE0hdYNtHLeVHCbJWFosORIM1vRpKL/srzZC&#10;7Hk0m7aXj2y33nx9TyabbPhrlHp/69ZzEIG68B9+tjOtYDSAv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JCcMAAADbAAAADwAAAAAAAAAAAAAAAACYAgAAZHJzL2Rv&#10;d25yZXYueG1sUEsFBgAAAAAEAAQA9QAAAIgDAAAAAA==&#10;" fillcolor="#ffbe86" strokecolor="#f69240" strokeweight="1pt">
                  <v:fill color2="#ffebdb" rotate="t" angle="180" colors="0 #ffbe86;22938f #ffd0aa;1 #ffebdb" focus="100%" type="gradient"/>
                  <v:shadow on="t" color="black" opacity="24903f" origin=",.5" offset="0,.55556mm"/>
                  <v:textbox>
                    <w:txbxContent>
                      <w:p w14:paraId="656BD58F" w14:textId="77777777" w:rsidR="005C0634" w:rsidRDefault="005C0634" w:rsidP="00444F64">
                        <w:pPr>
                          <w:pStyle w:val="NormalWeb"/>
                          <w:spacing w:after="0"/>
                          <w:jc w:val="center"/>
                        </w:pPr>
                        <w:r>
                          <w:rPr>
                            <w:rFonts w:ascii="Calibri" w:hAnsi="Calibri" w:cs="Calibri"/>
                            <w:b/>
                            <w:bCs/>
                            <w:sz w:val="20"/>
                            <w:szCs w:val="20"/>
                          </w:rPr>
                          <w:t>PRACTICE POINT</w:t>
                        </w:r>
                      </w:p>
                      <w:p w14:paraId="74ECBFDD" w14:textId="77777777" w:rsidR="005C0634" w:rsidRDefault="005C0634" w:rsidP="00444F64">
                        <w:pPr>
                          <w:pStyle w:val="NormalWeb"/>
                          <w:spacing w:after="0"/>
                          <w:jc w:val="center"/>
                        </w:pPr>
                        <w:r>
                          <w:t>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 o:spid="_x0000_s1033" type="#_x0000_t13" style="position:absolute;left:13258;top:3004;width:327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vP8QA&#10;AADbAAAADwAAAGRycy9kb3ducmV2LnhtbESPQWvCQBSE7wX/w/IEb3WjYCmpq6QBqVAKVi14fGZf&#10;k2D2bbq7avLvu4LgcZiZb5j5sjONuJDztWUFk3ECgriwuuZSwX63en4F4QOyxsYyKejJw3IxeJpj&#10;qu2Vv+myDaWIEPYpKqhCaFMpfVGRQT+2LXH0fq0zGKJ0pdQOrxFuGjlNkhdpsOa4UGFLeUXFaXs2&#10;CrLT7v3w8de5z/wr2+THnnv9w0qNhl32BiJQFx7he3utFcymcPs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rz/EAAAA2wAAAA8AAAAAAAAAAAAAAAAAmAIAAGRycy9k&#10;b3ducmV2LnhtbFBLBQYAAAAABAAEAPUAAACJAwAAAAA=&#10;" adj="15309" fillcolor="#4f81bd [3204]" strokecolor="#243f60 [1604]" strokeweight="2pt"/>
                <v:roundrect id="Rectangle 7" o:spid="_x0000_s1034" style="position:absolute;top:13053;width:13258;height:6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y5cQA&#10;AADbAAAADwAAAGRycy9kb3ducmV2LnhtbESP3WrCQBCF7wt9h2WE3ulG62/qKloQgpSCtg8wZMds&#10;anY2zW5NfHtXEHp5OD8fZ7nubCUu1PjSsYLhIAFBnDtdcqHg+2vXn4PwAVlj5ZgUXMnDevX8tMRU&#10;u5YPdDmGQsQR9ikqMCHUqZQ+N2TRD1xNHL2TayyGKJtC6gbbOG4rOUqSqbRYciQYrOndUH4+/tkI&#10;sT+Txbw9j7OPzXb/OZtts9GvUeql123eQATqwn/40c60gsk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cuX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69AF9BF3" w14:textId="77777777" w:rsidR="005C0634" w:rsidRDefault="005C0634" w:rsidP="00444F64">
                        <w:pPr>
                          <w:pStyle w:val="NormalWeb"/>
                          <w:spacing w:after="0"/>
                          <w:jc w:val="center"/>
                        </w:pPr>
                        <w:r>
                          <w:rPr>
                            <w:rFonts w:ascii="Calibri" w:hAnsi="Calibri" w:cs="Calibri"/>
                            <w:b/>
                            <w:bCs/>
                            <w:color w:val="00B050"/>
                            <w:sz w:val="20"/>
                            <w:szCs w:val="20"/>
                          </w:rPr>
                          <w:t>BASED ON CONSENSUS OF THE CRG</w:t>
                        </w:r>
                      </w:p>
                    </w:txbxContent>
                  </v:textbox>
                </v:roundrect>
                <v:roundrect id="Rectangle 7" o:spid="_x0000_s1035" style="position:absolute;left:17349;width:12725;height:55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qkcMA&#10;AADbAAAADwAAAGRycy9kb3ducmV2LnhtbESP3WrCQBCF7wt9h2UK3tVNxd/oKioIoUih6gMM2TEb&#10;zc6m2dXEt3cLhV4ezs/HWaw6W4k7Nb50rOCjn4Agzp0uuVBwOu7epyB8QNZYOSYFD/KwWr6+LDDV&#10;ruVvuh9CIeII+xQVmBDqVEqfG7Lo+64mjt7ZNRZDlE0hdYNtHLeVHCTJWFosORIM1rQ1lF8PNxsh&#10;9jKaTdvrMNuvN59fk8kmG/wYpXpv3XoOIlAX/sN/7UwrGA3h9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qkcMAAADbAAAADwAAAAAAAAAAAAAAAACYAgAAZHJzL2Rv&#10;d25yZXYueG1sUEsFBgAAAAAEAAQA9QAAAIgDAAAAAA==&#10;" fillcolor="#ffbe86" strokecolor="#f69240" strokeweight="1pt">
                  <v:fill color2="#ffebdb" rotate="t" angle="180" colors="0 #ffbe86;22938f #ffd0aa;1 #ffebdb" focus="100%" type="gradient"/>
                  <v:shadow on="t" color="black" opacity="24903f" origin=",.5" offset="0,.55556mm"/>
                  <v:textbox>
                    <w:txbxContent>
                      <w:p w14:paraId="11C3530C" w14:textId="1F0D3073" w:rsidR="005C0634" w:rsidRDefault="005C0634" w:rsidP="00444F64">
                        <w:pPr>
                          <w:pStyle w:val="NormalWeb"/>
                          <w:spacing w:after="0"/>
                          <w:jc w:val="center"/>
                        </w:pPr>
                        <w:r>
                          <w:rPr>
                            <w:rFonts w:ascii="Calibri" w:hAnsi="Calibri" w:cs="Calibri"/>
                            <w:b/>
                            <w:bCs/>
                            <w:color w:val="00B050"/>
                            <w:sz w:val="20"/>
                            <w:szCs w:val="20"/>
                          </w:rPr>
                          <w:t>SUFFICIENT HIGH- QUALITY DATA</w:t>
                        </w:r>
                      </w:p>
                    </w:txbxContent>
                  </v:textbox>
                </v:roundrect>
                <v:shape id="Right Arrow 55" o:spid="_x0000_s1036" type="#_x0000_t13" style="position:absolute;left:30756;top:2834;width:399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ohMUA&#10;AADbAAAADwAAAGRycy9kb3ducmV2LnhtbESPS2vDMBCE74X8B7GB3mo5DSmJGyWEQJvHLY+Dj4u1&#10;td1aK2MpfvTXV4FCjsPMfMMs172pREuNKy0rmEQxCOLM6pJzBdfLx8schPPIGivLpGAgB+vV6GmJ&#10;ibYdn6g9+1wECLsEFRTe14mULivIoItsTRy8L9sY9EE2udQNdgFuKvkax2/SYMlhocCatgVlP+eb&#10;UZBOjtP02/yW09vi0A30Oe92h0yp53G/eQfhqfeP8H97rxXMZnD/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qiExQAAANsAAAAPAAAAAAAAAAAAAAAAAJgCAABkcnMv&#10;ZG93bnJldi54bWxQSwUGAAAAAAQABAD1AAAAigMAAAAA&#10;" adj="16445" fillcolor="#4f81bd" strokecolor="#385d8a" strokeweight="2pt">
                  <v:textbox>
                    <w:txbxContent>
                      <w:p w14:paraId="2B3E8249" w14:textId="77777777" w:rsidR="005C0634" w:rsidRDefault="005C0634" w:rsidP="00444F64"/>
                    </w:txbxContent>
                  </v:textbox>
                </v:shape>
                <v:roundrect id="Rounded Rectangle 56" o:spid="_x0000_s1037" style="position:absolute;left:30074;width:5112;height:2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98MA&#10;AADbAAAADwAAAGRycy9kb3ducmV2LnhtbESPT2sCMRTE7wW/Q3iCF9GsQkVXo4hQ6GER6p/7c/O6&#10;Wbp5WZLobvvpTaHQ4zAzv2E2u9424kE+1I4VzKYZCOLS6ZorBZfz22QJIkRkjY1jUvBNAXbbwcsG&#10;c+06/qDHKVYiQTjkqMDE2OZShtKQxTB1LXHyPp23GJP0ldQeuwS3jZxn2UJarDktGGzpYKj8Ot2t&#10;gurnuCrM7Ob9/arHnRkXRV8HpUbDfr8GEamP/+G/9rtW8LqA3y/p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e98MAAADbAAAADwAAAAAAAAAAAAAAAACYAgAAZHJzL2Rv&#10;d25yZXYueG1sUEsFBgAAAAAEAAQA9QAAAIgDAAAAAA==&#10;" filled="f" stroked="f" strokeweight="1pt">
                  <v:shadow on="t" color="black" opacity="24903f" origin=",.5" offset="0,.55556mm"/>
                  <v:textbox>
                    <w:txbxContent>
                      <w:p w14:paraId="0F735582" w14:textId="77777777" w:rsidR="005C0634" w:rsidRDefault="005C0634" w:rsidP="00444F64">
                        <w:pPr>
                          <w:pStyle w:val="NormalWeb"/>
                          <w:spacing w:after="200"/>
                        </w:pPr>
                        <w:r>
                          <w:rPr>
                            <w:rFonts w:ascii="Cambria" w:hAnsi="Cambria"/>
                            <w:i/>
                            <w:iCs/>
                            <w:color w:val="C60C30"/>
                            <w:spacing w:val="15"/>
                          </w:rPr>
                          <w:t>YES</w:t>
                        </w:r>
                      </w:p>
                      <w:p w14:paraId="56A40B95" w14:textId="77777777" w:rsidR="005C0634" w:rsidRDefault="005C0634" w:rsidP="00444F64">
                        <w:pPr>
                          <w:pStyle w:val="NormalWeb"/>
                          <w:spacing w:after="0"/>
                        </w:pPr>
                        <w:r>
                          <w:rPr>
                            <w:rFonts w:ascii="Calibri" w:hAnsi="Calibri" w:cs="Calibri"/>
                          </w:rPr>
                          <w:t> </w:t>
                        </w:r>
                      </w:p>
                    </w:txbxContent>
                  </v:textbox>
                </v:roundrect>
                <v:roundrect id="Rounded Rectangle 57" o:spid="_x0000_s1038" style="position:absolute;left:7613;top:10157;width:5112;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7bMMA&#10;AADbAAAADwAAAGRycy9kb3ducmV2LnhtbESPQWsCMRSE70L/Q3gFL6JZhVrdGqUUBA9LQVvvz81z&#10;s3TzsiTRXf31TUHocZiZb5jVpreNuJIPtWMF00kGgrh0uuZKwffXdrwAESKyxsYxKbhRgM36abDC&#10;XLuO93Q9xEokCIccFZgY21zKUBqyGCauJU7e2XmLMUlfSe2xS3DbyFmWzaXFmtOCwZY+DJU/h4tV&#10;UN0/l4WZnry/HPWoM6Oi6Oug1PC5f38DEamP/+FHe6cVvLzC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7bMMAAADbAAAADwAAAAAAAAAAAAAAAACYAgAAZHJzL2Rv&#10;d25yZXYueG1sUEsFBgAAAAAEAAQA9QAAAIgDAAAAAA==&#10;" filled="f" stroked="f" strokeweight="1pt">
                  <v:shadow on="t" color="black" opacity="24903f" origin=",.5" offset="0,.55556mm"/>
                  <v:textbox>
                    <w:txbxContent>
                      <w:p w14:paraId="06680538" w14:textId="77777777" w:rsidR="005C0634" w:rsidRDefault="005C0634" w:rsidP="00444F64">
                        <w:pPr>
                          <w:pStyle w:val="NormalWeb"/>
                          <w:spacing w:after="200"/>
                        </w:pPr>
                        <w:r>
                          <w:rPr>
                            <w:rFonts w:ascii="Cambria" w:hAnsi="Cambria"/>
                            <w:i/>
                            <w:iCs/>
                            <w:color w:val="C60C30"/>
                            <w:spacing w:val="15"/>
                          </w:rPr>
                          <w:t>NO</w:t>
                        </w:r>
                      </w:p>
                      <w:p w14:paraId="5F9CEF1D" w14:textId="77777777" w:rsidR="005C0634" w:rsidRDefault="005C0634" w:rsidP="00444F64">
                        <w:pPr>
                          <w:pStyle w:val="NormalWeb"/>
                          <w:spacing w:after="0"/>
                        </w:pPr>
                        <w:r>
                          <w:rPr>
                            <w:rFonts w:ascii="Calibri" w:hAnsi="Calibri" w:cs="Calibri"/>
                          </w:rPr>
                          <w:t> </w:t>
                        </w:r>
                      </w:p>
                    </w:txbxContent>
                  </v:textbox>
                </v:roundrect>
                <v:roundrect id="Rounded Rectangle 58" o:spid="_x0000_s1039" style="position:absolute;left:13913;top:14367;width:5112;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vHsEA&#10;AADbAAAADwAAAGRycy9kb3ducmV2LnhtbERPyWrDMBC9B/oPYgq9hFp2IaF1ophSKPRgAll6n1hT&#10;y9QaGUmJ3X59dAjk+Hj7uppsLy7kQ+dYQZHlIIgbpztuFRwPn8+vIEJE1tg7JgV/FKDaPMzWWGo3&#10;8o4u+9iKFMKhRAUmxqGUMjSGLIbMDcSJ+3HeYkzQt1J7HFO47eVLni+lxY5Tg8GBPgw1v/uzVdD+&#10;b99qU5y8P3/r+WjmdT11Qamnx+l9BSLSFO/im/tLK1ikselL+gF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srx7BAAAA2wAAAA8AAAAAAAAAAAAAAAAAmAIAAGRycy9kb3du&#10;cmV2LnhtbFBLBQYAAAAABAAEAPUAAACGAwAAAAA=&#10;" filled="f" stroked="f" strokeweight="1pt">
                  <v:shadow on="t" color="black" opacity="24903f" origin=",.5" offset="0,.55556mm"/>
                  <v:textbox>
                    <w:txbxContent>
                      <w:p w14:paraId="3DB32293" w14:textId="77777777" w:rsidR="005C0634" w:rsidRDefault="005C0634" w:rsidP="00444F64">
                        <w:pPr>
                          <w:pStyle w:val="NormalWeb"/>
                          <w:spacing w:after="200"/>
                        </w:pPr>
                        <w:r>
                          <w:rPr>
                            <w:rFonts w:ascii="Cambria" w:hAnsi="Cambria"/>
                            <w:i/>
                            <w:iCs/>
                            <w:color w:val="C60C30"/>
                            <w:spacing w:val="15"/>
                          </w:rPr>
                          <w:t>YES</w:t>
                        </w:r>
                      </w:p>
                      <w:p w14:paraId="1C4228BD" w14:textId="77777777" w:rsidR="005C0634" w:rsidRDefault="005C0634" w:rsidP="00444F64">
                        <w:pPr>
                          <w:pStyle w:val="NormalWeb"/>
                          <w:spacing w:after="0"/>
                        </w:pPr>
                        <w:r>
                          <w:rPr>
                            <w:rFonts w:ascii="Calibri" w:hAnsi="Calibri" w:cs="Calibri"/>
                          </w:rPr>
                          <w:t> </w:t>
                        </w:r>
                      </w:p>
                    </w:txbxContent>
                  </v:textbox>
                </v:roundrect>
                <v:shape id="Right Arrow 59" o:spid="_x0000_s1040" type="#_x0000_t13" style="position:absolute;left:14079;top:17145;width:21107;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WScQA&#10;AADbAAAADwAAAGRycy9kb3ducmV2LnhtbESP3WrCQBSE7wXfYTmCN1I3CikxdRURpd6U+tMHOGSP&#10;SWj2bNhdTerTdwsFL4eZ+YZZrnvTiDs5X1tWMJsmIIgLq2suFXxd9i8ZCB+QNTaWScEPeVivhoMl&#10;5tp2fKL7OZQiQtjnqKAKoc2l9EVFBv3UtsTRu1pnMETpSqkddhFuGjlPkldpsOa4UGFL24qK7/PN&#10;KDh16Sdz2nwcjXt/7Mpj1l4nmVLjUb95AxGoD8/wf/ugFaQL+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VknEAAAA2wAAAA8AAAAAAAAAAAAAAAAAmAIAAGRycy9k&#10;b3ducmV2LnhtbFBLBQYAAAAABAAEAPUAAACJAwAAAAA=&#10;" adj="20323" fillcolor="#4f81bd" strokecolor="#385d8a" strokeweight="2pt">
                  <v:textbox>
                    <w:txbxContent>
                      <w:p w14:paraId="6EE3AB8F" w14:textId="77777777" w:rsidR="005C0634" w:rsidRDefault="005C0634" w:rsidP="00444F64"/>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41" type="#_x0000_t67" style="position:absolute;left:5457;top:10566;width:2134;height:2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8574A&#10;AADbAAAADwAAAGRycy9kb3ducmV2LnhtbERPTYvCMBC9C/6HMMLeNFWhajWKiLJ7WlgVz0MztsVm&#10;Upqxdv/95rDg8fG+N7ve1aqjNlSeDUwnCSji3NuKCwPXy2m8BBUE2WLtmQz8UoDddjjYYGb9i3+o&#10;O0uhYgiHDA2UIk2mdchLchgmviGO3N23DiXCttC2xVcMd7WeJUmqHVYcG0ps6FBS/jg/nQF9yBup&#10;v49JN6eO0s9UrovbypiPUb9fgxLq5S3+d39ZA2lcH7/EH6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3fOe+AAAA2wAAAA8AAAAAAAAAAAAAAAAAmAIAAGRycy9kb3ducmV2&#10;LnhtbFBLBQYAAAAABAAEAPUAAACDAwAAAAA=&#10;" adj="12519" fillcolor="#4f81bd [3204]" strokecolor="#243f60 [1604]" strokeweight="2pt"/>
                <v:roundrect id="Rounded Rectangle 61" o:spid="_x0000_s1042" style="position:absolute;left:24355;top:6743;width:5111;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MPsMA&#10;AADbAAAADwAAAGRycy9kb3ducmV2LnhtbESPQWsCMRSE7wX/Q3hCL6LZ7UHa1SgiCD0sBa29PzfP&#10;zeLmZUmiu+2vN4LQ4zAz3zDL9WBbcSMfGscK8lkGgrhyuuFawfF7N30HESKyxtYxKfilAOvV6GWJ&#10;hXY97+l2iLVIEA4FKjAxdoWUoTJkMcxcR5y8s/MWY5K+ltpjn+C2lW9ZNpcWG04LBjvaGqouh6tV&#10;UP99fZQmP3l//dGT3kzKcmiCUq/jYbMAEWmI/+Fn+1MrmOf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rMPsMAAADbAAAADwAAAAAAAAAAAAAAAACYAgAAZHJzL2Rv&#10;d25yZXYueG1sUEsFBgAAAAAEAAQA9QAAAIgDAAAAAA==&#10;" filled="f" stroked="f" strokeweight="1pt">
                  <v:shadow on="t" color="black" opacity="24903f" origin=",.5" offset="0,.55556mm"/>
                  <v:textbox>
                    <w:txbxContent>
                      <w:p w14:paraId="49CCD23F" w14:textId="77777777" w:rsidR="005C0634" w:rsidRDefault="005C0634" w:rsidP="00444F64">
                        <w:pPr>
                          <w:pStyle w:val="NormalWeb"/>
                          <w:spacing w:after="200"/>
                        </w:pPr>
                        <w:r>
                          <w:rPr>
                            <w:rFonts w:ascii="Cambria" w:hAnsi="Cambria"/>
                            <w:i/>
                            <w:iCs/>
                            <w:color w:val="C60C30"/>
                            <w:spacing w:val="15"/>
                          </w:rPr>
                          <w:t>NO</w:t>
                        </w:r>
                      </w:p>
                      <w:p w14:paraId="51AAA762" w14:textId="77777777" w:rsidR="005C0634" w:rsidRDefault="005C0634" w:rsidP="00444F64">
                        <w:pPr>
                          <w:pStyle w:val="NormalWeb"/>
                          <w:spacing w:after="0"/>
                        </w:pPr>
                        <w:r>
                          <w:rPr>
                            <w:rFonts w:ascii="Calibri" w:hAnsi="Calibri" w:cs="Calibri"/>
                          </w:rPr>
                          <w:t> </w:t>
                        </w:r>
                      </w:p>
                    </w:txbxContent>
                  </v:textbox>
                </v:roundrect>
                <v:rect id="Rectangle 62" o:spid="_x0000_s1043" style="position:absolute;left:22637;top:6007;width:1067;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xbMQA&#10;AADbAAAADwAAAGRycy9kb3ducmV2LnhtbESPT2sCMRTE7wW/Q3iCt5rtHrRujVJEUShF/HPp7bl5&#10;bhY3L0sSdfvtTaHgcZiZ3zDTeWcbcSMfascK3oYZCOLS6ZorBcfD6vUdRIjIGhvHpOCXAsxnvZcp&#10;FtrdeUe3faxEgnAoUIGJsS2kDKUhi2HoWuLknZ23GJP0ldQe7wluG5ln2UharDktGGxpYai87K9W&#10;weVnuf3eTo75yur1KavjeGL8l1KDfvf5ASJSF5/h//ZGKxjl8Pcl/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8WzEAAAA2wAAAA8AAAAAAAAAAAAAAAAAmAIAAGRycy9k&#10;b3ducmV2LnhtbFBLBQYAAAAABAAEAPUAAACJAwAAAAA=&#10;" fillcolor="#4f81bd" strokecolor="#385d8a" strokeweight="2pt">
                  <v:textbox>
                    <w:txbxContent>
                      <w:p w14:paraId="3FD3A3B0" w14:textId="77777777" w:rsidR="005C0634" w:rsidRDefault="005C0634" w:rsidP="00444F64"/>
                    </w:txbxContent>
                  </v:textbox>
                </v:rect>
                <v:shape id="Right Arrow 63" o:spid="_x0000_s1044" type="#_x0000_t13" style="position:absolute;left:22637;top:9677;width:12110;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Bw8IA&#10;AADbAAAADwAAAGRycy9kb3ducmV2LnhtbESPT4vCMBTE74LfITzBm6YqFKlGKesfvMmq6PVt87Yt&#10;27zUJmr99mZB8DjMzG+Y+bI1lbhT40rLCkbDCARxZnXJuYLTcTOYgnAeWWNlmRQ8ycFy0e3MMdH2&#10;wd90P/hcBAi7BBUU3teJlC4ryKAb2po4eL+2MeiDbHKpG3wEuKnkOIpiabDksFBgTV8FZX+Hm1Fw&#10;3pvdymwv6zj94dN1HY/3qTwr1e+16QyEp9Z/wu/2TiuIJ/D/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gHDwgAAANsAAAAPAAAAAAAAAAAAAAAAAJgCAABkcnMvZG93&#10;bnJldi54bWxQSwUGAAAAAAQABAD1AAAAhwMAAAAA&#10;" adj="19822" fillcolor="#4f81bd" strokecolor="#385d8a" strokeweight="2pt">
                  <v:textbox>
                    <w:txbxContent>
                      <w:p w14:paraId="45200B6E" w14:textId="77777777" w:rsidR="005C0634" w:rsidRDefault="005C0634" w:rsidP="00444F64">
                        <w:pPr>
                          <w:pStyle w:val="NormalWeb"/>
                          <w:spacing w:after="240"/>
                          <w:ind w:left="720"/>
                        </w:pPr>
                        <w:r>
                          <w:rPr>
                            <w:rFonts w:cs="Tahoma"/>
                            <w:color w:val="000000"/>
                            <w:sz w:val="22"/>
                            <w:szCs w:val="22"/>
                          </w:rPr>
                          <w:t> </w:t>
                        </w:r>
                      </w:p>
                    </w:txbxContent>
                  </v:textbox>
                </v:shape>
                <v:shape id="Down Arrow 64" o:spid="_x0000_s1045" type="#_x0000_t67" style="position:absolute;left:5457;top:20354;width:213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Ih8QA&#10;AADbAAAADwAAAGRycy9kb3ducmV2LnhtbESPQWvCQBSE7wX/w/KEXopuKkUkuooIgiAVTAT19th9&#10;JsHs25Ddxvjvu0Khx2FmvmEWq97WoqPWV44VfI4TEMTamYoLBad8O5qB8AHZYO2YFDzJw2o5eFtg&#10;atyDj9RloRARwj5FBWUITSql1yVZ9GPXEEfv5lqLIcq2kKbFR4TbWk6SZCotVhwXSmxoU5K+Zz9W&#10;wTq/fO+1vJrDuTt83HaUbXT+VOp92K/nIAL14T/8194ZBdMve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iIfEAAAA2wAAAA8AAAAAAAAAAAAAAAAAmAIAAGRycy9k&#10;b3ducmV2LnhtbFBLBQYAAAAABAAEAPUAAACJAwAAAAA=&#10;" adj="13536" fillcolor="#4f81bd" strokecolor="#385d8a" strokeweight="2pt">
                  <v:textbox>
                    <w:txbxContent>
                      <w:p w14:paraId="722394DE" w14:textId="77777777" w:rsidR="005C0634" w:rsidRDefault="005C0634" w:rsidP="00444F64"/>
                    </w:txbxContent>
                  </v:textbox>
                </v:shape>
                <v:roundrect id="Rounded Rectangle 65" o:spid="_x0000_s1046" style="position:absolute;left:7591;top:20354;width:4578;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KPcMA&#10;AADbAAAADwAAAGRycy9kb3ducmV2LnhtbESPT2sCMRTE7wW/Q3iCF9GsQkVXo4hQ6GER6p/7c/O6&#10;Wbp5WZLobvvpTaHQ4zAzv2E2u9424kE+1I4VzKYZCOLS6ZorBZfz22QJIkRkjY1jUvBNAXbbwcsG&#10;c+06/qDHKVYiQTjkqMDE2OZShtKQxTB1LXHyPp23GJP0ldQeuwS3jZxn2UJarDktGGzpYKj8Ot2t&#10;gurnuCrM7Ob9/arHnRkXRV8HpUbDfr8GEamP/+G/9rtWsHiF3y/p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KPcMAAADbAAAADwAAAAAAAAAAAAAAAACYAgAAZHJzL2Rv&#10;d25yZXYueG1sUEsFBgAAAAAEAAQA9QAAAIgDAAAAAA==&#10;" filled="f" stroked="f" strokeweight="1pt">
                  <v:shadow on="t" color="black" opacity="24903f" origin=",.5" offset="0,.55556mm"/>
                  <v:textbox>
                    <w:txbxContent>
                      <w:p w14:paraId="24DA80E1" w14:textId="77777777" w:rsidR="005C0634" w:rsidRDefault="005C0634" w:rsidP="00444F64">
                        <w:pPr>
                          <w:pStyle w:val="NormalWeb"/>
                          <w:spacing w:after="200"/>
                        </w:pPr>
                        <w:r>
                          <w:rPr>
                            <w:rFonts w:ascii="Cambria" w:hAnsi="Cambria"/>
                            <w:i/>
                            <w:iCs/>
                            <w:color w:val="C60C30"/>
                            <w:spacing w:val="15"/>
                          </w:rPr>
                          <w:t>NO</w:t>
                        </w:r>
                      </w:p>
                      <w:p w14:paraId="6D8EF986" w14:textId="77777777" w:rsidR="005C0634" w:rsidRDefault="005C0634" w:rsidP="00444F64">
                        <w:pPr>
                          <w:pStyle w:val="NormalWeb"/>
                          <w:spacing w:after="0"/>
                        </w:pPr>
                        <w:r>
                          <w:rPr>
                            <w:rFonts w:ascii="Calibri" w:hAnsi="Calibri" w:cs="Calibri"/>
                          </w:rPr>
                          <w:t> </w:t>
                        </w:r>
                      </w:p>
                    </w:txbxContent>
                  </v:textbox>
                </v:roundrect>
                <v:roundrect id="Rectangle 7" o:spid="_x0000_s1047" style="position:absolute;top:23488;width:13258;height:4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bwMQA&#10;AADbAAAADwAAAGRycy9kb3ducmV2LnhtbESP32rCMBTG7we+QzjC7jRVtuo6o6gglDEEdQ9waM6a&#10;anNSm2i7t18Gwi4/vj8/vsWqt7W4U+srxwom4wQEceF0xaWCr9NuNAfhA7LG2jEp+CEPq+XgaYGZ&#10;dh0f6H4MpYgj7DNUYEJoMil9YciiH7uGOHrfrrUYomxLqVvs4rit5TRJUmmx4kgw2NDWUHE53myE&#10;2PPr27y7vOSf683Hfjbb5NOrUep52K/fQQTqw3/40c61gj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8D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3644D740" w14:textId="77777777" w:rsidR="005C0634" w:rsidRDefault="005C0634" w:rsidP="00444F64">
                        <w:pPr>
                          <w:pStyle w:val="NormalWeb"/>
                          <w:spacing w:after="0"/>
                          <w:jc w:val="center"/>
                        </w:pPr>
                        <w:r>
                          <w:rPr>
                            <w:rFonts w:ascii="Calibri" w:hAnsi="Calibri" w:cs="Calibri"/>
                            <w:b/>
                            <w:bCs/>
                            <w:color w:val="00B050"/>
                            <w:sz w:val="20"/>
                            <w:szCs w:val="20"/>
                          </w:rPr>
                          <w:t>NO STATEMENT MADE</w:t>
                        </w:r>
                      </w:p>
                    </w:txbxContent>
                  </v:textbox>
                </v:roundrect>
                <w10:anchorlock/>
              </v:group>
            </w:pict>
          </mc:Fallback>
        </mc:AlternateContent>
      </w:r>
    </w:p>
    <w:p w14:paraId="534883C1" w14:textId="77777777" w:rsidR="009630E5" w:rsidRPr="005E4F17" w:rsidRDefault="009630E5" w:rsidP="009630E5"/>
    <w:p w14:paraId="1FF36186" w14:textId="77777777" w:rsidR="00C171B9" w:rsidRPr="00EF6D07" w:rsidRDefault="00764A94" w:rsidP="00EF6D07">
      <w:pPr>
        <w:pStyle w:val="Heading2"/>
        <w:ind w:left="0" w:firstLine="0"/>
      </w:pPr>
      <w:r>
        <w:br w:type="page"/>
      </w:r>
      <w:bookmarkStart w:id="10" w:name="_Toc265585297"/>
      <w:bookmarkStart w:id="11" w:name="_Toc282672271"/>
      <w:bookmarkStart w:id="12" w:name="_Toc427851293"/>
      <w:r w:rsidR="00C171B9">
        <w:lastRenderedPageBreak/>
        <w:t>Summary of recommendations</w:t>
      </w:r>
      <w:bookmarkEnd w:id="10"/>
      <w:bookmarkEnd w:id="11"/>
      <w:r w:rsidR="00EF6D07">
        <w:t>,</w:t>
      </w:r>
      <w:r w:rsidR="0006057C">
        <w:t xml:space="preserve"> practice points</w:t>
      </w:r>
      <w:r w:rsidR="00EF6D07">
        <w:t xml:space="preserve"> and expert opinion points</w:t>
      </w:r>
      <w:bookmarkEnd w:id="12"/>
    </w:p>
    <w:p w14:paraId="56F1266C" w14:textId="77777777" w:rsidR="001508FE" w:rsidRPr="001508FE" w:rsidRDefault="002204AD" w:rsidP="00FF2787">
      <w:pPr>
        <w:pStyle w:val="StyleNormalbeforebulletLeft0cm"/>
      </w:pPr>
      <w:r>
        <w:t>T</w:t>
      </w:r>
      <w:r w:rsidRPr="001508FE">
        <w:t>he CRG</w:t>
      </w:r>
      <w:r>
        <w:t xml:space="preserve"> developed r</w:t>
      </w:r>
      <w:r w:rsidR="001508FE" w:rsidRPr="001508FE">
        <w:t>ecommendations where sufficient evidence was available from the systematic review of the literature. The recommendations have been carefully worded to reflect the strength of the body of evidence. Each recommendation has been given a grade, using the following definitions, set by the NHMRC:</w:t>
      </w:r>
    </w:p>
    <w:p w14:paraId="7C5BE7C7" w14:textId="77777777" w:rsidR="001508FE" w:rsidRPr="001508FE" w:rsidRDefault="000E4F57" w:rsidP="001508FE">
      <w:pPr>
        <w:pStyle w:val="Bullet6"/>
      </w:pPr>
      <w:r>
        <w:rPr>
          <w:i/>
        </w:rPr>
        <w:t>Grade </w:t>
      </w:r>
      <w:r w:rsidR="001508FE" w:rsidRPr="001508FE">
        <w:rPr>
          <w:i/>
        </w:rPr>
        <w:t>A</w:t>
      </w:r>
      <w:r w:rsidR="001508FE" w:rsidRPr="001508FE">
        <w:t xml:space="preserve"> – Body of evidence can be trusted to guide practice</w:t>
      </w:r>
    </w:p>
    <w:p w14:paraId="6CD7C8BB" w14:textId="77777777" w:rsidR="001508FE" w:rsidRPr="001508FE" w:rsidRDefault="000E4F57" w:rsidP="001508FE">
      <w:pPr>
        <w:pStyle w:val="Bullet6"/>
      </w:pPr>
      <w:r>
        <w:rPr>
          <w:i/>
        </w:rPr>
        <w:t>Grade </w:t>
      </w:r>
      <w:r w:rsidR="001508FE" w:rsidRPr="001508FE">
        <w:rPr>
          <w:i/>
        </w:rPr>
        <w:t>B</w:t>
      </w:r>
      <w:r w:rsidR="001508FE" w:rsidRPr="001508FE">
        <w:t xml:space="preserve"> – Body of evidence can be trusted to guide practice in most situations</w:t>
      </w:r>
    </w:p>
    <w:p w14:paraId="2D3CAF7C" w14:textId="77777777" w:rsidR="001508FE" w:rsidRPr="001508FE" w:rsidRDefault="000E4F57" w:rsidP="001508FE">
      <w:pPr>
        <w:pStyle w:val="Bullet6"/>
      </w:pPr>
      <w:r>
        <w:rPr>
          <w:i/>
        </w:rPr>
        <w:t>Grade </w:t>
      </w:r>
      <w:r w:rsidR="001508FE" w:rsidRPr="001508FE">
        <w:rPr>
          <w:i/>
        </w:rPr>
        <w:t xml:space="preserve">C </w:t>
      </w:r>
      <w:r w:rsidR="001508FE" w:rsidRPr="001508FE">
        <w:t>– Body of evidence provides some support for recommendation(s) but care should be taken in its application</w:t>
      </w:r>
    </w:p>
    <w:p w14:paraId="0C250423" w14:textId="77777777" w:rsidR="006A6E85" w:rsidRDefault="000E4F57" w:rsidP="001508FE">
      <w:pPr>
        <w:pStyle w:val="Bullet12"/>
      </w:pPr>
      <w:r>
        <w:rPr>
          <w:i/>
        </w:rPr>
        <w:t>Grade </w:t>
      </w:r>
      <w:r w:rsidR="001508FE" w:rsidRPr="007D57E9">
        <w:rPr>
          <w:i/>
        </w:rPr>
        <w:t xml:space="preserve">D </w:t>
      </w:r>
      <w:r w:rsidR="001508FE" w:rsidRPr="001508FE">
        <w:t>– Body of evidence is weak and recommendations must be applied with caution.</w:t>
      </w:r>
    </w:p>
    <w:p w14:paraId="031C6F43" w14:textId="581003CE" w:rsidR="006528DB" w:rsidRDefault="00DC2D96" w:rsidP="00FF2787">
      <w:pPr>
        <w:pStyle w:val="StyleNormalbeforebulletLeft0cm"/>
      </w:pPr>
      <w:r>
        <w:t>T</w:t>
      </w:r>
      <w:r w:rsidRPr="00E25125">
        <w:t xml:space="preserve">he CRG developed practice points </w:t>
      </w:r>
      <w:r>
        <w:t>w</w:t>
      </w:r>
      <w:r w:rsidRPr="00E25125">
        <w:t>here</w:t>
      </w:r>
      <w:r>
        <w:t xml:space="preserve"> </w:t>
      </w:r>
      <w:r w:rsidRPr="00E25125">
        <w:t xml:space="preserve">the systematic review found insufficient high-quality data to produce evidence-based </w:t>
      </w:r>
      <w:r w:rsidRPr="00A92CDE">
        <w:t xml:space="preserve">recommendations, but the CRG felt that clinicians require guidance to ensure good clinical practice. </w:t>
      </w:r>
      <w:r w:rsidR="00010A25" w:rsidRPr="00A92CDE">
        <w:t>The CRG also developed expert opinion points related to the material covered in the background questions. Both the practice</w:t>
      </w:r>
      <w:r w:rsidRPr="00A92CDE">
        <w:t xml:space="preserve"> points </w:t>
      </w:r>
      <w:r w:rsidR="00010A25" w:rsidRPr="00A92CDE">
        <w:t xml:space="preserve">and the expert opinion points </w:t>
      </w:r>
      <w:r w:rsidRPr="00A92CDE">
        <w:t xml:space="preserve">are based on consensus among the members of the </w:t>
      </w:r>
      <w:r w:rsidR="00A92CDE" w:rsidRPr="00A92CDE">
        <w:t>CRG.</w:t>
      </w:r>
    </w:p>
    <w:p w14:paraId="796EE207" w14:textId="77777777" w:rsidR="006528DB" w:rsidRDefault="006528DB">
      <w:pPr>
        <w:spacing w:after="0"/>
        <w:ind w:left="0"/>
        <w:rPr>
          <w:rFonts w:cs="Times New Roman"/>
          <w:szCs w:val="20"/>
          <w:lang w:val="en-GB" w:eastAsia="en-GB"/>
        </w:rPr>
      </w:pPr>
      <w:r>
        <w:br w:type="page"/>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6095"/>
        <w:gridCol w:w="1083"/>
      </w:tblGrid>
      <w:tr w:rsidR="006528DB" w:rsidRPr="002044BB" w14:paraId="23AEFD3C" w14:textId="77777777" w:rsidTr="00A074FC">
        <w:trPr>
          <w:cantSplit/>
          <w:tblHeader/>
        </w:trPr>
        <w:tc>
          <w:tcPr>
            <w:tcW w:w="1118" w:type="dxa"/>
          </w:tcPr>
          <w:p w14:paraId="2DE231D6" w14:textId="77777777" w:rsidR="006528DB" w:rsidRPr="002044BB" w:rsidRDefault="006528DB" w:rsidP="00A074FC">
            <w:pPr>
              <w:pStyle w:val="PP-small"/>
              <w:rPr>
                <w:b/>
              </w:rPr>
            </w:pPr>
            <w:r w:rsidRPr="002044BB">
              <w:rPr>
                <w:b/>
              </w:rPr>
              <w:lastRenderedPageBreak/>
              <w:t>Identifier and grade</w:t>
            </w:r>
          </w:p>
        </w:tc>
        <w:tc>
          <w:tcPr>
            <w:tcW w:w="6095" w:type="dxa"/>
          </w:tcPr>
          <w:p w14:paraId="599EABFE" w14:textId="77777777" w:rsidR="006528DB" w:rsidRPr="002044BB" w:rsidRDefault="006528DB" w:rsidP="00A074FC">
            <w:pPr>
              <w:pStyle w:val="PP-small"/>
              <w:rPr>
                <w:b/>
              </w:rPr>
            </w:pPr>
            <w:r w:rsidRPr="002044BB">
              <w:rPr>
                <w:b/>
              </w:rPr>
              <w:t>Guidance – recommendations, practice points and expert opinion points</w:t>
            </w:r>
          </w:p>
        </w:tc>
        <w:tc>
          <w:tcPr>
            <w:tcW w:w="1083" w:type="dxa"/>
          </w:tcPr>
          <w:p w14:paraId="37391387" w14:textId="77777777" w:rsidR="006528DB" w:rsidRPr="002044BB" w:rsidRDefault="006528DB" w:rsidP="00A074FC">
            <w:pPr>
              <w:pStyle w:val="PP-small"/>
              <w:rPr>
                <w:b/>
              </w:rPr>
            </w:pPr>
            <w:r w:rsidRPr="002044BB">
              <w:rPr>
                <w:b/>
              </w:rPr>
              <w:t>Relevant section of document</w:t>
            </w:r>
          </w:p>
        </w:tc>
      </w:tr>
      <w:tr w:rsidR="006528DB" w:rsidRPr="002044BB" w14:paraId="22BF9D5A" w14:textId="77777777" w:rsidTr="009A3D3A">
        <w:trPr>
          <w:cantSplit/>
          <w:tblHeader/>
        </w:trPr>
        <w:tc>
          <w:tcPr>
            <w:tcW w:w="8296" w:type="dxa"/>
            <w:gridSpan w:val="3"/>
            <w:shd w:val="clear" w:color="auto" w:fill="D9D9D9" w:themeFill="background1" w:themeFillShade="D9"/>
          </w:tcPr>
          <w:p w14:paraId="0B359C73" w14:textId="77777777" w:rsidR="006528DB" w:rsidRPr="002044BB" w:rsidRDefault="006528DB" w:rsidP="00A074FC">
            <w:pPr>
              <w:pStyle w:val="PP-small"/>
              <w:rPr>
                <w:b/>
              </w:rPr>
            </w:pPr>
            <w:r w:rsidRPr="002044BB">
              <w:rPr>
                <w:b/>
              </w:rPr>
              <w:t>RBC transfusion</w:t>
            </w:r>
          </w:p>
        </w:tc>
      </w:tr>
      <w:tr w:rsidR="006528DB" w:rsidRPr="00937236" w14:paraId="311FBD90" w14:textId="77777777" w:rsidTr="00A074FC">
        <w:trPr>
          <w:cantSplit/>
          <w:tblHeader/>
        </w:trPr>
        <w:tc>
          <w:tcPr>
            <w:tcW w:w="1118" w:type="dxa"/>
          </w:tcPr>
          <w:p w14:paraId="2C045AAA" w14:textId="77777777" w:rsidR="006528DB" w:rsidRPr="003C56A8" w:rsidRDefault="006528DB" w:rsidP="00A074FC">
            <w:pPr>
              <w:pStyle w:val="PP"/>
              <w:rPr>
                <w:lang w:val="en-AU"/>
              </w:rPr>
            </w:pPr>
            <w:r w:rsidRPr="00A21FE4">
              <w:t>R</w:t>
            </w:r>
            <w:r>
              <w:t>1</w:t>
            </w:r>
            <w:r w:rsidRPr="00A21FE4">
              <w:br/>
              <w:t>(Grade C)</w:t>
            </w:r>
          </w:p>
        </w:tc>
        <w:tc>
          <w:tcPr>
            <w:tcW w:w="6095" w:type="dxa"/>
          </w:tcPr>
          <w:p w14:paraId="3E1704D9" w14:textId="77777777" w:rsidR="006528DB" w:rsidRPr="00A21FE4" w:rsidRDefault="006528DB" w:rsidP="00A074FC">
            <w:pPr>
              <w:pStyle w:val="PP-small"/>
            </w:pPr>
            <w:r w:rsidRPr="00A21FE4">
              <w:t>In paediatric patients, including those who are critically ill, a restrictive transfusion strategy should be employed.</w:t>
            </w:r>
            <w:r w:rsidRPr="00A21FE4">
              <w:rPr>
                <w:vertAlign w:val="superscript"/>
              </w:rPr>
              <w:t>a</w:t>
            </w:r>
            <w:r w:rsidRPr="00A21FE4">
              <w:t xml:space="preserve"> Higher Hb thresholds are appropriate in very low birth weight neonates.</w:t>
            </w:r>
            <w:r w:rsidRPr="00A21FE4">
              <w:rPr>
                <w:vertAlign w:val="superscript"/>
              </w:rPr>
              <w:t xml:space="preserve">b </w:t>
            </w:r>
          </w:p>
          <w:p w14:paraId="1421D18D" w14:textId="06F3EEA0" w:rsidR="006528DB" w:rsidRPr="00C505B5" w:rsidRDefault="006528DB" w:rsidP="00091FD5">
            <w:pPr>
              <w:pStyle w:val="PP-note"/>
              <w:rPr>
                <w:sz w:val="18"/>
                <w:szCs w:val="18"/>
              </w:rPr>
            </w:pPr>
            <w:r w:rsidRPr="00A21FE4">
              <w:rPr>
                <w:vertAlign w:val="superscript"/>
              </w:rPr>
              <w:t xml:space="preserve">a </w:t>
            </w:r>
            <w:r w:rsidRPr="00A21FE4">
              <w:t>See PP6 for guidance on a restrictive transfusion strategy.</w:t>
            </w:r>
            <w:r w:rsidRPr="00A21FE4">
              <w:br/>
            </w:r>
            <w:r w:rsidRPr="00A21FE4">
              <w:rPr>
                <w:vertAlign w:val="superscript"/>
              </w:rPr>
              <w:t xml:space="preserve">b </w:t>
            </w:r>
            <w:r w:rsidRPr="00A21FE4">
              <w:t>See PP2</w:t>
            </w:r>
            <w:r w:rsidR="00091FD5">
              <w:t xml:space="preserve"> and PP3</w:t>
            </w:r>
            <w:r w:rsidRPr="00A21FE4">
              <w:t xml:space="preserve"> for guidance for </w:t>
            </w:r>
            <w:r w:rsidR="00091FD5">
              <w:t>preterm</w:t>
            </w:r>
            <w:r w:rsidRPr="00A21FE4">
              <w:t xml:space="preserve"> neonates.</w:t>
            </w:r>
          </w:p>
        </w:tc>
        <w:tc>
          <w:tcPr>
            <w:tcW w:w="1083" w:type="dxa"/>
          </w:tcPr>
          <w:p w14:paraId="7070C418" w14:textId="77777777" w:rsidR="006528DB" w:rsidRPr="00937236" w:rsidRDefault="006528DB" w:rsidP="00A074FC">
            <w:pPr>
              <w:pStyle w:val="PP-small"/>
            </w:pPr>
            <w:r>
              <w:t>3.2.1, 3.2.2, 3.2.6, 3.2.7</w:t>
            </w:r>
          </w:p>
        </w:tc>
      </w:tr>
      <w:tr w:rsidR="006528DB" w:rsidRPr="00A7139D" w14:paraId="7A101667" w14:textId="77777777" w:rsidTr="00A074FC">
        <w:trPr>
          <w:cantSplit/>
          <w:tblHeader/>
        </w:trPr>
        <w:tc>
          <w:tcPr>
            <w:tcW w:w="1118" w:type="dxa"/>
          </w:tcPr>
          <w:p w14:paraId="29B80612" w14:textId="77777777" w:rsidR="006528DB" w:rsidRPr="003C56A8" w:rsidRDefault="006528DB" w:rsidP="00A074FC">
            <w:pPr>
              <w:pStyle w:val="PP-small"/>
            </w:pPr>
            <w:r w:rsidRPr="00A21FE4">
              <w:t>PP1</w:t>
            </w:r>
          </w:p>
        </w:tc>
        <w:tc>
          <w:tcPr>
            <w:tcW w:w="6095" w:type="dxa"/>
          </w:tcPr>
          <w:p w14:paraId="13CDA254" w14:textId="77777777" w:rsidR="006528DB" w:rsidRPr="00A21FE4" w:rsidRDefault="006528DB" w:rsidP="00A074FC">
            <w:pPr>
              <w:pStyle w:val="PP-small"/>
            </w:pPr>
            <w:r w:rsidRPr="00A21FE4">
              <w:t>In neonatal and paediatric patients, the decision to give a RBC transfusion should not be dictated by a Hb concentration alone.</w:t>
            </w:r>
            <w:r w:rsidRPr="00A21FE4">
              <w:rPr>
                <w:vertAlign w:val="superscript"/>
              </w:rPr>
              <w:t>a</w:t>
            </w:r>
            <w:r w:rsidRPr="00A21FE4">
              <w:t xml:space="preserve"> The decision should also be based on assessment of the patient’s underlying condition, anaemia-related signs and symptoms, and response to previous transfusions. Underlying conditions that may influence the decision to transfuse include acquired or congenital cardiac disease, and severe respiratory disease.</w:t>
            </w:r>
          </w:p>
          <w:p w14:paraId="52D9366C" w14:textId="5B55E611" w:rsidR="006528DB" w:rsidRPr="00E64DA3" w:rsidRDefault="006528DB" w:rsidP="00E62798">
            <w:pPr>
              <w:pStyle w:val="PP-note"/>
            </w:pPr>
            <w:r w:rsidRPr="00A21FE4">
              <w:rPr>
                <w:vertAlign w:val="superscript"/>
              </w:rPr>
              <w:t xml:space="preserve">a </w:t>
            </w:r>
            <w:r>
              <w:t>See</w:t>
            </w:r>
            <w:r w:rsidRPr="00A21FE4">
              <w:t xml:space="preserve"> PP1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p>
        </w:tc>
        <w:tc>
          <w:tcPr>
            <w:tcW w:w="1083" w:type="dxa"/>
          </w:tcPr>
          <w:p w14:paraId="7209B921" w14:textId="77777777" w:rsidR="006528DB" w:rsidRPr="00A7139D" w:rsidRDefault="006528DB" w:rsidP="00A074FC">
            <w:pPr>
              <w:pStyle w:val="PP-small"/>
              <w:rPr>
                <w:lang w:val="en-AU"/>
              </w:rPr>
            </w:pPr>
            <w:r>
              <w:rPr>
                <w:lang w:val="en-AU"/>
              </w:rPr>
              <w:t>3.2.1, 3.2.6</w:t>
            </w:r>
          </w:p>
        </w:tc>
      </w:tr>
      <w:tr w:rsidR="006528DB" w:rsidRPr="00A7139D" w14:paraId="3E107331" w14:textId="77777777" w:rsidTr="00A074FC">
        <w:trPr>
          <w:cantSplit/>
          <w:tblHeader/>
        </w:trPr>
        <w:tc>
          <w:tcPr>
            <w:tcW w:w="1118" w:type="dxa"/>
          </w:tcPr>
          <w:p w14:paraId="56387184" w14:textId="77777777" w:rsidR="006528DB" w:rsidRPr="003C56A8" w:rsidRDefault="006528DB" w:rsidP="00A074FC">
            <w:pPr>
              <w:pStyle w:val="PP-small"/>
            </w:pPr>
            <w:r w:rsidRPr="00A21FE4">
              <w:t>PP2</w:t>
            </w:r>
          </w:p>
        </w:tc>
        <w:tc>
          <w:tcPr>
            <w:tcW w:w="6095" w:type="dxa"/>
          </w:tcPr>
          <w:p w14:paraId="4E67B7C8" w14:textId="77777777" w:rsidR="006528DB" w:rsidRPr="00A21FE4" w:rsidRDefault="006528DB" w:rsidP="00A074FC">
            <w:pPr>
              <w:pStyle w:val="PP-small"/>
            </w:pPr>
            <w:r w:rsidRPr="00A21FE4">
              <w:t>Neonatal units should use a procedural guideline</w:t>
            </w:r>
            <w:r w:rsidRPr="00A21FE4">
              <w:rPr>
                <w:vertAlign w:val="superscript"/>
              </w:rPr>
              <w:t>a</w:t>
            </w:r>
            <w:r w:rsidRPr="00A21FE4">
              <w:t xml:space="preserve"> for RBC transfusion in preterm infants that includes the following:</w:t>
            </w:r>
          </w:p>
          <w:p w14:paraId="7C0263E5" w14:textId="77777777" w:rsidR="006528DB" w:rsidRPr="00A21FE4" w:rsidRDefault="006528DB" w:rsidP="006528DB">
            <w:pPr>
              <w:pStyle w:val="PPbullsmall"/>
              <w:numPr>
                <w:ilvl w:val="0"/>
                <w:numId w:val="3"/>
              </w:numPr>
            </w:pPr>
            <w:r w:rsidRPr="00A21FE4">
              <w:t>age of infant</w:t>
            </w:r>
          </w:p>
          <w:p w14:paraId="02BF4C25" w14:textId="77777777" w:rsidR="006528DB" w:rsidRPr="00A21FE4" w:rsidRDefault="006528DB" w:rsidP="006528DB">
            <w:pPr>
              <w:pStyle w:val="PPbullsmall"/>
              <w:numPr>
                <w:ilvl w:val="0"/>
                <w:numId w:val="3"/>
              </w:numPr>
            </w:pPr>
            <w:r w:rsidRPr="00A21FE4">
              <w:t xml:space="preserve">Hb or </w:t>
            </w:r>
            <w:r>
              <w:rPr>
                <w:lang w:val="en-AU"/>
              </w:rPr>
              <w:t>Hct</w:t>
            </w:r>
          </w:p>
          <w:p w14:paraId="7FD8D5F8" w14:textId="77777777" w:rsidR="006528DB" w:rsidRPr="00A21FE4" w:rsidRDefault="006528DB" w:rsidP="006528DB">
            <w:pPr>
              <w:pStyle w:val="PPbullsmall"/>
              <w:numPr>
                <w:ilvl w:val="0"/>
                <w:numId w:val="3"/>
              </w:numPr>
            </w:pPr>
            <w:r w:rsidRPr="00A21FE4">
              <w:t>level of respiratory support</w:t>
            </w:r>
          </w:p>
          <w:p w14:paraId="3C958395" w14:textId="77777777" w:rsidR="006528DB" w:rsidRPr="00A21FE4" w:rsidRDefault="006528DB" w:rsidP="006528DB">
            <w:pPr>
              <w:pStyle w:val="PPbullsmall"/>
              <w:numPr>
                <w:ilvl w:val="0"/>
                <w:numId w:val="3"/>
              </w:numPr>
            </w:pPr>
            <w:r w:rsidRPr="00A21FE4">
              <w:t>ongoing or anticipated red cell loss</w:t>
            </w:r>
          </w:p>
          <w:p w14:paraId="4EE5B8AE" w14:textId="77777777" w:rsidR="006528DB" w:rsidRPr="00A21FE4" w:rsidRDefault="006528DB" w:rsidP="006528DB">
            <w:pPr>
              <w:pStyle w:val="PPbullsmall"/>
              <w:numPr>
                <w:ilvl w:val="0"/>
                <w:numId w:val="3"/>
              </w:numPr>
            </w:pPr>
            <w:r w:rsidRPr="00A21FE4">
              <w:t>nutritional status.</w:t>
            </w:r>
          </w:p>
          <w:p w14:paraId="5DEAC4F9" w14:textId="005EF9F7" w:rsidR="006528DB" w:rsidRPr="00A84969" w:rsidRDefault="006528DB" w:rsidP="00A074FC">
            <w:pPr>
              <w:pStyle w:val="PP-note"/>
            </w:pPr>
            <w:r w:rsidRPr="00201AFA">
              <w:rPr>
                <w:vertAlign w:val="superscript"/>
              </w:rPr>
              <w:t xml:space="preserve">a </w:t>
            </w:r>
            <w:r w:rsidRPr="00201AFA">
              <w:t>See Appendix F (</w:t>
            </w:r>
            <w:r w:rsidRPr="009A3D3A">
              <w:rPr>
                <w:i/>
              </w:rPr>
              <w:t>RBC transfusions in preterm infants</w:t>
            </w:r>
            <w:r w:rsidRPr="00201AFA">
              <w:t>)</w:t>
            </w:r>
            <w:r w:rsidR="009A3D3A">
              <w:t>.</w:t>
            </w:r>
          </w:p>
        </w:tc>
        <w:tc>
          <w:tcPr>
            <w:tcW w:w="1083" w:type="dxa"/>
          </w:tcPr>
          <w:p w14:paraId="12937587" w14:textId="77777777" w:rsidR="006528DB" w:rsidRPr="00A7139D" w:rsidRDefault="006528DB" w:rsidP="00A074FC">
            <w:pPr>
              <w:pStyle w:val="PP-small"/>
              <w:rPr>
                <w:lang w:val="en-AU"/>
              </w:rPr>
            </w:pPr>
            <w:r>
              <w:rPr>
                <w:lang w:val="en-AU"/>
              </w:rPr>
              <w:t>3.2.1</w:t>
            </w:r>
          </w:p>
        </w:tc>
      </w:tr>
      <w:tr w:rsidR="006528DB" w:rsidRPr="00E64DA3" w14:paraId="5887165C" w14:textId="77777777" w:rsidTr="00A074FC">
        <w:trPr>
          <w:cantSplit/>
          <w:tblHeader/>
        </w:trPr>
        <w:tc>
          <w:tcPr>
            <w:tcW w:w="1118" w:type="dxa"/>
          </w:tcPr>
          <w:p w14:paraId="181FECA7" w14:textId="77777777" w:rsidR="006528DB" w:rsidRPr="00E64DA3" w:rsidRDefault="006528DB" w:rsidP="00A074FC">
            <w:pPr>
              <w:pStyle w:val="PP-small"/>
            </w:pPr>
            <w:r w:rsidRPr="00A21FE4">
              <w:t>PP3</w:t>
            </w:r>
          </w:p>
        </w:tc>
        <w:tc>
          <w:tcPr>
            <w:tcW w:w="6095" w:type="dxa"/>
          </w:tcPr>
          <w:p w14:paraId="1BC691F2" w14:textId="77777777" w:rsidR="006528DB" w:rsidRPr="00E64DA3" w:rsidRDefault="006528DB" w:rsidP="00A074FC">
            <w:pPr>
              <w:pStyle w:val="PP-small"/>
            </w:pPr>
            <w:r w:rsidRPr="00A21FE4">
              <w:t>In preterm infants requiring transfusion, there is insufficient evidence to support or refute the use of either a restrictive or liberal RBC transfusion strategy.</w:t>
            </w:r>
          </w:p>
        </w:tc>
        <w:tc>
          <w:tcPr>
            <w:tcW w:w="1083" w:type="dxa"/>
          </w:tcPr>
          <w:p w14:paraId="2BD9AB23" w14:textId="77777777" w:rsidR="006528DB" w:rsidRPr="00E64DA3" w:rsidRDefault="006528DB" w:rsidP="00A074FC">
            <w:pPr>
              <w:pStyle w:val="PP-small"/>
              <w:rPr>
                <w:lang w:val="en-AU"/>
              </w:rPr>
            </w:pPr>
            <w:r>
              <w:rPr>
                <w:lang w:val="en-AU"/>
              </w:rPr>
              <w:t>3.2.1</w:t>
            </w:r>
          </w:p>
        </w:tc>
      </w:tr>
      <w:tr w:rsidR="006528DB" w:rsidRPr="00E64DA3" w14:paraId="26E4E3EA" w14:textId="77777777" w:rsidTr="00A074FC">
        <w:trPr>
          <w:cantSplit/>
          <w:tblHeader/>
        </w:trPr>
        <w:tc>
          <w:tcPr>
            <w:tcW w:w="1118" w:type="dxa"/>
          </w:tcPr>
          <w:p w14:paraId="5171AD8C" w14:textId="77777777" w:rsidR="006528DB" w:rsidRPr="00E64DA3" w:rsidRDefault="006528DB" w:rsidP="00A074FC">
            <w:pPr>
              <w:pStyle w:val="PP-small"/>
            </w:pPr>
            <w:r w:rsidRPr="00F81EA2">
              <w:t>PP</w:t>
            </w:r>
            <w:r w:rsidRPr="00A21FE4">
              <w:t>4</w:t>
            </w:r>
          </w:p>
        </w:tc>
        <w:tc>
          <w:tcPr>
            <w:tcW w:w="6095" w:type="dxa"/>
          </w:tcPr>
          <w:p w14:paraId="6FA2DA81" w14:textId="484CFF2B" w:rsidR="00E62798" w:rsidRPr="002F5DEF" w:rsidRDefault="006528DB" w:rsidP="00E62798">
            <w:pPr>
              <w:pStyle w:val="PP-small"/>
            </w:pPr>
            <w:r w:rsidRPr="00A21FE4">
              <w:t>In neonatal patients, calculate transfusion volume (mL) based on weight and desired Hb increment.</w:t>
            </w:r>
            <w:r w:rsidR="00E62798" w:rsidRPr="002F5DEF">
              <w:rPr>
                <w:vertAlign w:val="superscript"/>
              </w:rPr>
              <w:t xml:space="preserve"> a</w:t>
            </w:r>
            <w:r w:rsidR="00E62798">
              <w:rPr>
                <w:vertAlign w:val="superscript"/>
                <w:lang w:val="en-AU"/>
              </w:rPr>
              <w:t>, b</w:t>
            </w:r>
          </w:p>
          <w:p w14:paraId="7133778C" w14:textId="2C7FFC1F" w:rsidR="006528DB" w:rsidRPr="00E64DA3" w:rsidRDefault="00E62798" w:rsidP="00A074FC">
            <w:pPr>
              <w:pStyle w:val="PP-note"/>
            </w:pPr>
            <w:r w:rsidRPr="002F5DEF">
              <w:rPr>
                <w:vertAlign w:val="superscript"/>
              </w:rPr>
              <w:t xml:space="preserve">a </w:t>
            </w:r>
            <w:r w:rsidRPr="002F5DEF">
              <w:t>See Appendix F (</w:t>
            </w:r>
            <w:r w:rsidRPr="00C60A91">
              <w:rPr>
                <w:i/>
              </w:rPr>
              <w:t>RBC transfusions in preterm infants</w:t>
            </w:r>
            <w:r w:rsidRPr="002F5DEF">
              <w:t>)</w:t>
            </w:r>
            <w:r>
              <w:t>.</w:t>
            </w:r>
            <w:r>
              <w:rPr>
                <w:vertAlign w:val="superscript"/>
              </w:rPr>
              <w:br/>
              <w:t>b</w:t>
            </w:r>
            <w:r w:rsidRPr="00293BBE">
              <w:t xml:space="preserve"> See Appendix </w:t>
            </w:r>
            <w:r>
              <w:t>J (</w:t>
            </w:r>
            <w:r w:rsidRPr="00341155">
              <w:rPr>
                <w:i/>
              </w:rPr>
              <w:t>Transfusion volume calculation for neonates, infants and small children</w:t>
            </w:r>
            <w:r>
              <w:t>).</w:t>
            </w:r>
          </w:p>
        </w:tc>
        <w:tc>
          <w:tcPr>
            <w:tcW w:w="1083" w:type="dxa"/>
          </w:tcPr>
          <w:p w14:paraId="5E7E1B29" w14:textId="77777777" w:rsidR="006528DB" w:rsidRPr="00E64DA3" w:rsidRDefault="006528DB" w:rsidP="00A074FC">
            <w:pPr>
              <w:pStyle w:val="PP-small"/>
              <w:rPr>
                <w:lang w:val="en-AU"/>
              </w:rPr>
            </w:pPr>
            <w:r>
              <w:rPr>
                <w:lang w:val="en-AU"/>
              </w:rPr>
              <w:t>3.2.1</w:t>
            </w:r>
          </w:p>
        </w:tc>
      </w:tr>
      <w:tr w:rsidR="006528DB" w:rsidRPr="00E64DA3" w14:paraId="674C7BD0" w14:textId="77777777" w:rsidTr="00A074FC">
        <w:trPr>
          <w:cantSplit/>
          <w:tblHeader/>
        </w:trPr>
        <w:tc>
          <w:tcPr>
            <w:tcW w:w="1118" w:type="dxa"/>
          </w:tcPr>
          <w:p w14:paraId="360850B0" w14:textId="77777777" w:rsidR="006528DB" w:rsidRPr="00E64DA3" w:rsidRDefault="006528DB" w:rsidP="00A074FC">
            <w:pPr>
              <w:pStyle w:val="PP-small"/>
            </w:pPr>
            <w:r w:rsidRPr="00A21FE4">
              <w:t>PP5</w:t>
            </w:r>
          </w:p>
        </w:tc>
        <w:tc>
          <w:tcPr>
            <w:tcW w:w="6095" w:type="dxa"/>
          </w:tcPr>
          <w:p w14:paraId="780C511E" w14:textId="04E83913" w:rsidR="006528DB" w:rsidRPr="00A21FE4" w:rsidRDefault="00091FD5" w:rsidP="00A074FC">
            <w:pPr>
              <w:pStyle w:val="PP-small"/>
            </w:pPr>
            <w:r>
              <w:rPr>
                <w:lang w:val="en-AU"/>
              </w:rPr>
              <w:t>For neonatal and</w:t>
            </w:r>
            <w:r w:rsidRPr="00A21FE4">
              <w:t xml:space="preserve"> </w:t>
            </w:r>
            <w:r w:rsidR="006528DB" w:rsidRPr="00A21FE4">
              <w:t>paediatric</w:t>
            </w:r>
            <w:r>
              <w:rPr>
                <w:lang w:val="en-AU"/>
              </w:rPr>
              <w:t xml:space="preserve"> patients, a </w:t>
            </w:r>
            <w:r w:rsidR="006528DB" w:rsidRPr="00A21FE4">
              <w:t>specific procedural guideline for RBC transfusion should be used that includes the following:</w:t>
            </w:r>
          </w:p>
          <w:p w14:paraId="0B90DC4B" w14:textId="77777777" w:rsidR="006528DB" w:rsidRPr="00A21FE4" w:rsidRDefault="006528DB" w:rsidP="006528DB">
            <w:pPr>
              <w:pStyle w:val="PPbullsmall"/>
              <w:numPr>
                <w:ilvl w:val="0"/>
                <w:numId w:val="3"/>
              </w:numPr>
            </w:pPr>
            <w:r w:rsidRPr="00A21FE4">
              <w:t>volume of transfusion and rate of administration</w:t>
            </w:r>
          </w:p>
          <w:p w14:paraId="4F5FEE68" w14:textId="77777777" w:rsidR="006528DB" w:rsidRPr="00A21FE4" w:rsidRDefault="006528DB" w:rsidP="006528DB">
            <w:pPr>
              <w:pStyle w:val="PPbullsmall"/>
              <w:numPr>
                <w:ilvl w:val="0"/>
                <w:numId w:val="3"/>
              </w:numPr>
            </w:pPr>
            <w:r w:rsidRPr="00A21FE4">
              <w:t>patient monitoring during and after transfusion</w:t>
            </w:r>
          </w:p>
          <w:p w14:paraId="2E49D85C" w14:textId="77777777" w:rsidR="006528DB" w:rsidRPr="00A21FE4" w:rsidRDefault="006528DB" w:rsidP="006528DB">
            <w:pPr>
              <w:pStyle w:val="PPbullsmall"/>
              <w:numPr>
                <w:ilvl w:val="0"/>
                <w:numId w:val="3"/>
              </w:numPr>
            </w:pPr>
            <w:r w:rsidRPr="00A21FE4">
              <w:t>transfusion technique (e.g. use of syringe pumps)</w:t>
            </w:r>
          </w:p>
          <w:p w14:paraId="61FE0D53" w14:textId="77777777" w:rsidR="006528DB" w:rsidRPr="00E64DA3" w:rsidRDefault="006528DB" w:rsidP="006528DB">
            <w:pPr>
              <w:pStyle w:val="PPbullsmall"/>
              <w:numPr>
                <w:ilvl w:val="0"/>
                <w:numId w:val="3"/>
              </w:numPr>
            </w:pPr>
            <w:r w:rsidRPr="00A21FE4">
              <w:t>recognition and reporting of adverse events.</w:t>
            </w:r>
          </w:p>
        </w:tc>
        <w:tc>
          <w:tcPr>
            <w:tcW w:w="1083" w:type="dxa"/>
          </w:tcPr>
          <w:p w14:paraId="6A520310" w14:textId="77777777" w:rsidR="006528DB" w:rsidRPr="00E64DA3" w:rsidRDefault="006528DB" w:rsidP="00A074FC">
            <w:pPr>
              <w:pStyle w:val="PP-small"/>
              <w:rPr>
                <w:lang w:val="en-AU"/>
              </w:rPr>
            </w:pPr>
            <w:r>
              <w:rPr>
                <w:lang w:val="en-AU"/>
              </w:rPr>
              <w:t>3.2.2, 3.2.5, 3.2.6</w:t>
            </w:r>
          </w:p>
        </w:tc>
      </w:tr>
      <w:tr w:rsidR="006528DB" w:rsidRPr="003D6781" w14:paraId="239CAA15" w14:textId="77777777" w:rsidTr="00A074FC">
        <w:trPr>
          <w:cantSplit/>
          <w:tblHeader/>
        </w:trPr>
        <w:tc>
          <w:tcPr>
            <w:tcW w:w="1118" w:type="dxa"/>
          </w:tcPr>
          <w:p w14:paraId="7C36D631" w14:textId="77777777" w:rsidR="006528DB" w:rsidRPr="003C56A8" w:rsidRDefault="006528DB" w:rsidP="00A074FC">
            <w:pPr>
              <w:pStyle w:val="PP-small"/>
              <w:rPr>
                <w:b/>
              </w:rPr>
            </w:pPr>
            <w:r w:rsidRPr="00A21FE4">
              <w:lastRenderedPageBreak/>
              <w:t>PP6</w:t>
            </w:r>
          </w:p>
        </w:tc>
        <w:tc>
          <w:tcPr>
            <w:tcW w:w="6095" w:type="dxa"/>
          </w:tcPr>
          <w:p w14:paraId="5EC40AC3" w14:textId="77777777" w:rsidR="006528DB" w:rsidRPr="00A21FE4" w:rsidRDefault="006528DB" w:rsidP="00A074FC">
            <w:pPr>
              <w:pStyle w:val="PP-small"/>
            </w:pPr>
            <w:r w:rsidRPr="00A21FE4">
              <w:t>In haemodynamically stable paediatric patients (excluding neonates), evidence from other patient groups and CRG consensus</w:t>
            </w:r>
            <w:r w:rsidRPr="00A21FE4">
              <w:rPr>
                <w:vertAlign w:val="superscript"/>
              </w:rPr>
              <w:t>a</w:t>
            </w:r>
            <w:r w:rsidRPr="00A21FE4">
              <w:t xml:space="preserve"> suggests that, with a:</w:t>
            </w:r>
          </w:p>
          <w:p w14:paraId="21DDC983" w14:textId="77777777" w:rsidR="006528DB" w:rsidRPr="00A21FE4" w:rsidRDefault="006528DB" w:rsidP="006528DB">
            <w:pPr>
              <w:pStyle w:val="PPbullsmall"/>
              <w:numPr>
                <w:ilvl w:val="0"/>
                <w:numId w:val="3"/>
              </w:numPr>
            </w:pPr>
            <w:r w:rsidRPr="00A21FE4">
              <w:t>Hb concentration &lt;70 g/L, RBC transfusion is often appropriate. However, transfusion may not be required in well-compensated patients or where other specific therapy is available.</w:t>
            </w:r>
          </w:p>
          <w:p w14:paraId="548864EE" w14:textId="77777777" w:rsidR="006528DB" w:rsidRPr="00A21FE4" w:rsidRDefault="006528DB" w:rsidP="006528DB">
            <w:pPr>
              <w:pStyle w:val="PPbullsmall"/>
              <w:numPr>
                <w:ilvl w:val="0"/>
                <w:numId w:val="3"/>
              </w:numPr>
            </w:pPr>
            <w:r w:rsidRPr="00A21FE4">
              <w:t xml:space="preserve">Hb concentration of 70–90 g/L, RBC transfusion may be appropriate. The decision to transfuse patients should be based on the need to relieve clinical signs and symptoms of anaemia, and the patient’s response to previous transfusions. </w:t>
            </w:r>
          </w:p>
          <w:p w14:paraId="0F94DD19" w14:textId="77777777" w:rsidR="006528DB" w:rsidRPr="00A21FE4" w:rsidRDefault="006528DB" w:rsidP="006528DB">
            <w:pPr>
              <w:pStyle w:val="PPbullsmall"/>
              <w:numPr>
                <w:ilvl w:val="0"/>
                <w:numId w:val="3"/>
              </w:numPr>
            </w:pPr>
            <w:r w:rsidRPr="00A21FE4">
              <w:t>Hb concentration &gt;90 g/L, RBC transfusion is often unnecessary and may be inappropriate.</w:t>
            </w:r>
          </w:p>
          <w:p w14:paraId="5CF2CB5E" w14:textId="7543AE36" w:rsidR="006528DB" w:rsidRPr="00E64DA3" w:rsidRDefault="006528DB" w:rsidP="00E62798">
            <w:pPr>
              <w:pStyle w:val="PP-note"/>
              <w:rPr>
                <w:b/>
              </w:rPr>
            </w:pPr>
            <w:r w:rsidRPr="00A21FE4">
              <w:rPr>
                <w:vertAlign w:val="superscript"/>
              </w:rPr>
              <w:t xml:space="preserve">a </w:t>
            </w:r>
            <w:r>
              <w:t>See</w:t>
            </w:r>
            <w:r w:rsidRPr="00A21FE4">
              <w:t xml:space="preserve"> PP3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r w:rsidRPr="00A21FE4">
              <w:t xml:space="preserve"> </w:t>
            </w:r>
          </w:p>
        </w:tc>
        <w:tc>
          <w:tcPr>
            <w:tcW w:w="1083" w:type="dxa"/>
          </w:tcPr>
          <w:p w14:paraId="6970B355" w14:textId="77777777" w:rsidR="006528DB" w:rsidRPr="003D6781" w:rsidRDefault="006528DB" w:rsidP="00A074FC">
            <w:pPr>
              <w:pStyle w:val="PP-small"/>
            </w:pPr>
            <w:r>
              <w:rPr>
                <w:lang w:val="en-AU"/>
              </w:rPr>
              <w:t>3.2.2, 3.2.5, 3.2.6</w:t>
            </w:r>
          </w:p>
        </w:tc>
      </w:tr>
      <w:tr w:rsidR="006528DB" w:rsidRPr="00C60A91" w14:paraId="6E2637E9" w14:textId="77777777" w:rsidTr="00A074FC">
        <w:trPr>
          <w:cantSplit/>
          <w:tblHeader/>
        </w:trPr>
        <w:tc>
          <w:tcPr>
            <w:tcW w:w="1118" w:type="dxa"/>
          </w:tcPr>
          <w:p w14:paraId="4C35B82D" w14:textId="77777777" w:rsidR="006528DB" w:rsidRPr="003C56A8" w:rsidRDefault="006528DB" w:rsidP="00A074FC">
            <w:pPr>
              <w:pStyle w:val="PP-small"/>
            </w:pPr>
            <w:r w:rsidRPr="002F5DEF">
              <w:t>PP8</w:t>
            </w:r>
          </w:p>
        </w:tc>
        <w:tc>
          <w:tcPr>
            <w:tcW w:w="6095" w:type="dxa"/>
          </w:tcPr>
          <w:p w14:paraId="43E77A4D" w14:textId="0C719173" w:rsidR="006528DB" w:rsidRPr="002F5DEF" w:rsidRDefault="006528DB" w:rsidP="00A074FC">
            <w:pPr>
              <w:pStyle w:val="PP-small"/>
            </w:pPr>
            <w:r w:rsidRPr="002F5DEF">
              <w:t>In paediatric patients less than 20 kg, calculate transfusion volume (mL) based on weight and desired Hb increment.</w:t>
            </w:r>
            <w:r w:rsidRPr="002F5DEF">
              <w:rPr>
                <w:vertAlign w:val="superscript"/>
              </w:rPr>
              <w:t>a</w:t>
            </w:r>
            <w:r w:rsidR="00E62798">
              <w:rPr>
                <w:vertAlign w:val="superscript"/>
                <w:lang w:val="en-AU"/>
              </w:rPr>
              <w:t>, b</w:t>
            </w:r>
          </w:p>
          <w:p w14:paraId="224BC1A7" w14:textId="45BCAE69" w:rsidR="006528DB" w:rsidRPr="00E64DA3" w:rsidRDefault="006528DB" w:rsidP="00A074FC">
            <w:pPr>
              <w:pStyle w:val="PP-note"/>
            </w:pPr>
            <w:r w:rsidRPr="002F5DEF">
              <w:rPr>
                <w:vertAlign w:val="superscript"/>
              </w:rPr>
              <w:t xml:space="preserve">a </w:t>
            </w:r>
            <w:r w:rsidRPr="002F5DEF">
              <w:t>See Appendix F (</w:t>
            </w:r>
            <w:r w:rsidRPr="00C60A91">
              <w:rPr>
                <w:i/>
              </w:rPr>
              <w:t>RBC transfusions in preterm infants</w:t>
            </w:r>
            <w:r w:rsidRPr="002F5DEF">
              <w:t>)</w:t>
            </w:r>
            <w:r w:rsidR="00E62798">
              <w:t>.</w:t>
            </w:r>
            <w:r w:rsidR="00E62798">
              <w:br/>
            </w:r>
            <w:r w:rsidR="00E62798">
              <w:rPr>
                <w:vertAlign w:val="superscript"/>
              </w:rPr>
              <w:t>b</w:t>
            </w:r>
            <w:r w:rsidR="00E62798">
              <w:t xml:space="preserve"> </w:t>
            </w:r>
            <w:r w:rsidR="00E62798" w:rsidRPr="00293BBE">
              <w:t xml:space="preserve">See Appendix </w:t>
            </w:r>
            <w:r w:rsidR="00E62798">
              <w:t>J (</w:t>
            </w:r>
            <w:r w:rsidR="00E62798" w:rsidRPr="0098794A">
              <w:rPr>
                <w:i/>
              </w:rPr>
              <w:t>Transfusion volume calculation for neonates, infants and small children</w:t>
            </w:r>
            <w:r w:rsidR="00E62798">
              <w:t>).</w:t>
            </w:r>
          </w:p>
        </w:tc>
        <w:tc>
          <w:tcPr>
            <w:tcW w:w="1083" w:type="dxa"/>
          </w:tcPr>
          <w:p w14:paraId="4F50E9CD" w14:textId="77777777" w:rsidR="006528DB" w:rsidRPr="00C60A91" w:rsidRDefault="006528DB" w:rsidP="00A074FC">
            <w:pPr>
              <w:pStyle w:val="PP-small"/>
              <w:rPr>
                <w:smallCaps/>
                <w:lang w:val="en-AU"/>
              </w:rPr>
            </w:pPr>
            <w:r w:rsidRPr="00C60A91">
              <w:rPr>
                <w:smallCaps/>
                <w:lang w:val="en-AU"/>
              </w:rPr>
              <w:t>3.2.2, 3.2.5, 3.2.6</w:t>
            </w:r>
          </w:p>
        </w:tc>
      </w:tr>
      <w:tr w:rsidR="006528DB" w:rsidRPr="00C60A91" w14:paraId="1986A1BA" w14:textId="77777777" w:rsidTr="00A074FC">
        <w:trPr>
          <w:cantSplit/>
          <w:tblHeader/>
        </w:trPr>
        <w:tc>
          <w:tcPr>
            <w:tcW w:w="1118" w:type="dxa"/>
          </w:tcPr>
          <w:p w14:paraId="4B3BC8B3" w14:textId="77777777" w:rsidR="006528DB" w:rsidRPr="003C56A8" w:rsidRDefault="006528DB" w:rsidP="00A074FC">
            <w:pPr>
              <w:pStyle w:val="PP-small"/>
            </w:pPr>
            <w:r w:rsidRPr="00A21FE4">
              <w:t>PP9</w:t>
            </w:r>
          </w:p>
        </w:tc>
        <w:tc>
          <w:tcPr>
            <w:tcW w:w="6095" w:type="dxa"/>
          </w:tcPr>
          <w:p w14:paraId="4F8F59F6" w14:textId="77777777" w:rsidR="006528DB" w:rsidRPr="00A21FE4" w:rsidRDefault="006528DB" w:rsidP="00A074FC">
            <w:pPr>
              <w:pStyle w:val="PP-small"/>
            </w:pPr>
            <w:r w:rsidRPr="00A21FE4">
              <w:t>In most paediatric patients over 20 kg, transfusion of a single unit of RBC, followed by clinical reassessment to determine the need for further transfusion, is appropriate. This reassessment will also guide the decision on whether to retest the Hb level.</w:t>
            </w:r>
          </w:p>
          <w:p w14:paraId="497B1187" w14:textId="5BBB7A94" w:rsidR="006528DB" w:rsidRPr="00E64DA3" w:rsidRDefault="006528DB" w:rsidP="00E62798">
            <w:pPr>
              <w:pStyle w:val="PP-note"/>
            </w:pPr>
            <w:r>
              <w:t>See</w:t>
            </w:r>
            <w:r w:rsidRPr="00A21FE4">
              <w:t xml:space="preserve"> PP2 in </w:t>
            </w:r>
            <w:r w:rsidRPr="00A21FE4">
              <w:rPr>
                <w:i/>
              </w:rPr>
              <w:t>Patient Blood Management Guidelines: Module 2</w:t>
            </w:r>
            <w:r>
              <w:rPr>
                <w:i/>
              </w:rPr>
              <w:t xml:space="preserve"> </w:t>
            </w:r>
            <w:r w:rsidRPr="00A21FE4">
              <w:rPr>
                <w:i/>
              </w:rPr>
              <w:t>– Perioperative</w:t>
            </w:r>
            <w:r>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c>
          <w:tcPr>
            <w:tcW w:w="1083" w:type="dxa"/>
          </w:tcPr>
          <w:p w14:paraId="115C35BF" w14:textId="77777777" w:rsidR="006528DB" w:rsidRPr="00C60A91" w:rsidRDefault="006528DB" w:rsidP="00A074FC">
            <w:pPr>
              <w:pStyle w:val="PP-small"/>
              <w:rPr>
                <w:smallCaps/>
              </w:rPr>
            </w:pPr>
            <w:r w:rsidRPr="00C60A91">
              <w:rPr>
                <w:smallCaps/>
                <w:lang w:val="en-AU"/>
              </w:rPr>
              <w:t>3.2.2, 3.2.5, 3.2.6</w:t>
            </w:r>
          </w:p>
        </w:tc>
      </w:tr>
      <w:tr w:rsidR="006528DB" w:rsidRPr="00C60A91" w14:paraId="090C9464" w14:textId="77777777" w:rsidTr="00A074FC">
        <w:trPr>
          <w:cantSplit/>
          <w:tblHeader/>
        </w:trPr>
        <w:tc>
          <w:tcPr>
            <w:tcW w:w="1118" w:type="dxa"/>
          </w:tcPr>
          <w:p w14:paraId="5CF71F08" w14:textId="77777777" w:rsidR="006528DB" w:rsidRPr="003C56A8" w:rsidRDefault="006528DB" w:rsidP="00A074FC">
            <w:pPr>
              <w:pStyle w:val="PP-small"/>
            </w:pPr>
            <w:r w:rsidRPr="00A21FE4">
              <w:t>PP10</w:t>
            </w:r>
          </w:p>
        </w:tc>
        <w:tc>
          <w:tcPr>
            <w:tcW w:w="6095" w:type="dxa"/>
          </w:tcPr>
          <w:p w14:paraId="0F6E542B" w14:textId="77777777" w:rsidR="006528DB" w:rsidRPr="00E64DA3" w:rsidRDefault="006528DB" w:rsidP="00A074FC">
            <w:pPr>
              <w:pStyle w:val="PP-small"/>
            </w:pPr>
            <w:r w:rsidRPr="00A21FE4">
              <w:t>In paediatric patients over 20 kg who are chronically transfused (e.g. haemoglobinopathies or bone</w:t>
            </w:r>
            <w:r>
              <w:t xml:space="preserve"> </w:t>
            </w:r>
            <w:r w:rsidRPr="00A21FE4">
              <w:t xml:space="preserve">marrow failure syndromes) a single-unit approach may not be appropriate. Instead, calculation of the transfusion volume (mL) should be based on weight and desired Hb increment. </w:t>
            </w:r>
          </w:p>
        </w:tc>
        <w:tc>
          <w:tcPr>
            <w:tcW w:w="1083" w:type="dxa"/>
          </w:tcPr>
          <w:p w14:paraId="169FBC6E" w14:textId="77777777" w:rsidR="006528DB" w:rsidRPr="00C60A91" w:rsidRDefault="006528DB" w:rsidP="00A074FC">
            <w:pPr>
              <w:pStyle w:val="PP-small"/>
              <w:rPr>
                <w:smallCaps/>
              </w:rPr>
            </w:pPr>
            <w:r w:rsidRPr="00C60A91">
              <w:rPr>
                <w:smallCaps/>
              </w:rPr>
              <w:t>3.2.2</w:t>
            </w:r>
          </w:p>
        </w:tc>
      </w:tr>
      <w:tr w:rsidR="006528DB" w:rsidRPr="00C60A91" w14:paraId="6BB58389" w14:textId="77777777" w:rsidTr="00A074FC">
        <w:trPr>
          <w:cantSplit/>
          <w:tblHeader/>
        </w:trPr>
        <w:tc>
          <w:tcPr>
            <w:tcW w:w="1118" w:type="dxa"/>
          </w:tcPr>
          <w:p w14:paraId="42A57E4B" w14:textId="77777777" w:rsidR="006528DB" w:rsidRPr="003C56A8" w:rsidRDefault="006528DB" w:rsidP="00A074FC">
            <w:pPr>
              <w:pStyle w:val="PP"/>
            </w:pPr>
            <w:r w:rsidRPr="00A21FE4">
              <w:t>PP12</w:t>
            </w:r>
          </w:p>
        </w:tc>
        <w:tc>
          <w:tcPr>
            <w:tcW w:w="6095" w:type="dxa"/>
          </w:tcPr>
          <w:p w14:paraId="61EAE567" w14:textId="77777777" w:rsidR="006528DB" w:rsidRPr="00A21FE4" w:rsidRDefault="006528DB" w:rsidP="00A074FC">
            <w:pPr>
              <w:pStyle w:val="PP-small"/>
            </w:pPr>
            <w:r w:rsidRPr="00A21FE4">
              <w:t xml:space="preserve">In neonatal and paediatric patients with critical bleeding requiring massive transfusion, use </w:t>
            </w:r>
            <w:r>
              <w:rPr>
                <w:lang w:val="en-AU"/>
              </w:rPr>
              <w:t>a critical bleeding protocol</w:t>
            </w:r>
            <w:r w:rsidRPr="00A21FE4">
              <w:t>.</w:t>
            </w:r>
            <w:r w:rsidRPr="00A21FE4">
              <w:rPr>
                <w:vertAlign w:val="superscript"/>
              </w:rPr>
              <w:t xml:space="preserve">a </w:t>
            </w:r>
            <w:r w:rsidRPr="00A21FE4">
              <w:t xml:space="preserve">A template </w:t>
            </w:r>
            <w:r>
              <w:rPr>
                <w:lang w:val="en-AU"/>
              </w:rPr>
              <w:t>protocol</w:t>
            </w:r>
            <w:r w:rsidRPr="00A21FE4">
              <w:t xml:space="preserve"> is provided within the module.</w:t>
            </w:r>
            <w:r w:rsidRPr="00A21FE4">
              <w:rPr>
                <w:vertAlign w:val="superscript"/>
              </w:rPr>
              <w:t>b</w:t>
            </w:r>
          </w:p>
          <w:p w14:paraId="0B6F7850" w14:textId="77777777" w:rsidR="006528DB" w:rsidRPr="00E64DA3" w:rsidRDefault="006528DB" w:rsidP="00A074FC">
            <w:pPr>
              <w:pStyle w:val="PP-note"/>
            </w:pPr>
            <w:r w:rsidRPr="00A21FE4">
              <w:rPr>
                <w:vertAlign w:val="superscript"/>
              </w:rPr>
              <w:t>a</w:t>
            </w:r>
            <w:r w:rsidRPr="00A21FE4">
              <w:t xml:space="preserve"> The use of the word ‘protocol’ is not strictly prescriptive.</w:t>
            </w:r>
            <w:r w:rsidRPr="00A21FE4">
              <w:br/>
            </w:r>
            <w:r w:rsidRPr="00A21FE4">
              <w:rPr>
                <w:vertAlign w:val="superscript"/>
              </w:rPr>
              <w:t xml:space="preserve"> b</w:t>
            </w:r>
            <w:r w:rsidRPr="00A21FE4">
              <w:t xml:space="preserve"> The template </w:t>
            </w:r>
            <w:r>
              <w:t>given in Appendix K (</w:t>
            </w:r>
            <w:r>
              <w:rPr>
                <w:i/>
              </w:rPr>
              <w:t>Critical bleeding protocol</w:t>
            </w:r>
            <w:r>
              <w:t xml:space="preserve">) </w:t>
            </w:r>
            <w:r w:rsidRPr="00A21FE4">
              <w:t xml:space="preserve">is intended for local adaptation. </w:t>
            </w:r>
          </w:p>
        </w:tc>
        <w:tc>
          <w:tcPr>
            <w:tcW w:w="1083" w:type="dxa"/>
          </w:tcPr>
          <w:p w14:paraId="4E674B03" w14:textId="77777777" w:rsidR="006528DB" w:rsidRPr="00C60A91" w:rsidRDefault="006528DB" w:rsidP="00A074FC">
            <w:pPr>
              <w:pStyle w:val="PP-small"/>
              <w:rPr>
                <w:smallCaps/>
              </w:rPr>
            </w:pPr>
            <w:r w:rsidRPr="00C60A91">
              <w:rPr>
                <w:smallCaps/>
              </w:rPr>
              <w:t>3.2.2, 3.2.6, 3.2.7</w:t>
            </w:r>
          </w:p>
        </w:tc>
      </w:tr>
      <w:tr w:rsidR="006528DB" w:rsidRPr="00C60A91" w14:paraId="1F7F745D" w14:textId="77777777" w:rsidTr="00A074FC">
        <w:trPr>
          <w:cantSplit/>
          <w:tblHeader/>
        </w:trPr>
        <w:tc>
          <w:tcPr>
            <w:tcW w:w="1118" w:type="dxa"/>
          </w:tcPr>
          <w:p w14:paraId="2D84099E" w14:textId="77777777" w:rsidR="006528DB" w:rsidRPr="00A21FE4" w:rsidRDefault="006528DB" w:rsidP="00A074FC">
            <w:pPr>
              <w:pStyle w:val="PP-small"/>
            </w:pPr>
            <w:r>
              <w:t>EOP5</w:t>
            </w:r>
          </w:p>
        </w:tc>
        <w:tc>
          <w:tcPr>
            <w:tcW w:w="6095" w:type="dxa"/>
          </w:tcPr>
          <w:p w14:paraId="3D71CD23" w14:textId="77777777" w:rsidR="006528DB" w:rsidRDefault="006528DB" w:rsidP="00A074FC">
            <w:pPr>
              <w:pStyle w:val="PP-small"/>
            </w:pPr>
            <w:r>
              <w:t>The routine use of ‘fresh’ (&lt;7 days) RBCs is not advocated for routine use, but may be considered in the following clinical situations:</w:t>
            </w:r>
          </w:p>
          <w:p w14:paraId="51D79048" w14:textId="77777777" w:rsidR="006528DB" w:rsidRDefault="006528DB" w:rsidP="006528DB">
            <w:pPr>
              <w:pStyle w:val="PPbullsmall"/>
              <w:numPr>
                <w:ilvl w:val="0"/>
                <w:numId w:val="3"/>
              </w:numPr>
            </w:pPr>
            <w:r>
              <w:t>IUT (&lt;5 days, if available)</w:t>
            </w:r>
          </w:p>
          <w:p w14:paraId="55C6E875" w14:textId="50780496" w:rsidR="006528DB" w:rsidRDefault="009A3D3A" w:rsidP="006528DB">
            <w:pPr>
              <w:pStyle w:val="PPbullsmall"/>
              <w:numPr>
                <w:ilvl w:val="0"/>
                <w:numId w:val="3"/>
              </w:numPr>
            </w:pPr>
            <w:r>
              <w:t>large</w:t>
            </w:r>
            <w:r>
              <w:rPr>
                <w:lang w:val="en-AU"/>
              </w:rPr>
              <w:t>-</w:t>
            </w:r>
            <w:r w:rsidR="006528DB">
              <w:t>volume transfusion (&gt;25 mL/kg)</w:t>
            </w:r>
          </w:p>
          <w:p w14:paraId="4AD0A339" w14:textId="77777777" w:rsidR="006528DB" w:rsidRDefault="006528DB" w:rsidP="006528DB">
            <w:pPr>
              <w:pStyle w:val="PPbullsmall"/>
              <w:numPr>
                <w:ilvl w:val="0"/>
                <w:numId w:val="3"/>
              </w:numPr>
            </w:pPr>
            <w:r>
              <w:t>exchange transfusion</w:t>
            </w:r>
          </w:p>
          <w:p w14:paraId="4112AFED" w14:textId="77777777" w:rsidR="006528DB" w:rsidRDefault="006528DB" w:rsidP="006528DB">
            <w:pPr>
              <w:pStyle w:val="PPbullsmall"/>
              <w:numPr>
                <w:ilvl w:val="0"/>
                <w:numId w:val="3"/>
              </w:numPr>
            </w:pPr>
            <w:r>
              <w:t>cardiac surgery</w:t>
            </w:r>
          </w:p>
          <w:p w14:paraId="04F3F85C" w14:textId="2754E1A9" w:rsidR="006528DB" w:rsidRDefault="006528DB" w:rsidP="006528DB">
            <w:pPr>
              <w:pStyle w:val="PPbullsmall"/>
              <w:numPr>
                <w:ilvl w:val="0"/>
                <w:numId w:val="3"/>
              </w:numPr>
            </w:pPr>
            <w:r>
              <w:t>transfusion-dependent chronic anaemia (RBCs &lt;14 days)</w:t>
            </w:r>
          </w:p>
          <w:p w14:paraId="1E8B8C0F" w14:textId="77777777" w:rsidR="006528DB" w:rsidRPr="00A21FE4" w:rsidRDefault="006528DB" w:rsidP="006528DB">
            <w:pPr>
              <w:pStyle w:val="PPbullsmall"/>
              <w:numPr>
                <w:ilvl w:val="0"/>
                <w:numId w:val="3"/>
              </w:numPr>
            </w:pPr>
            <w:r>
              <w:t>where irradiated blood products are used</w:t>
            </w:r>
            <w:r>
              <w:rPr>
                <w:lang w:val="en-AU"/>
              </w:rPr>
              <w:t>.</w:t>
            </w:r>
          </w:p>
        </w:tc>
        <w:tc>
          <w:tcPr>
            <w:tcW w:w="1083" w:type="dxa"/>
          </w:tcPr>
          <w:p w14:paraId="6A88DC7C" w14:textId="77777777" w:rsidR="006528DB" w:rsidRPr="00C60A91" w:rsidRDefault="006528DB" w:rsidP="00A074FC">
            <w:pPr>
              <w:pStyle w:val="PP-small"/>
              <w:rPr>
                <w:smallCaps/>
              </w:rPr>
            </w:pPr>
            <w:r w:rsidRPr="00C60A91">
              <w:rPr>
                <w:smallCaps/>
              </w:rPr>
              <w:t>4.1.1</w:t>
            </w:r>
          </w:p>
        </w:tc>
      </w:tr>
      <w:tr w:rsidR="006528DB" w14:paraId="785FC059" w14:textId="77777777" w:rsidTr="00A074FC">
        <w:trPr>
          <w:cantSplit/>
          <w:tblHeader/>
        </w:trPr>
        <w:tc>
          <w:tcPr>
            <w:tcW w:w="1118" w:type="dxa"/>
          </w:tcPr>
          <w:p w14:paraId="779FDC2A" w14:textId="77777777" w:rsidR="006528DB" w:rsidRPr="00A21FE4" w:rsidRDefault="006528DB" w:rsidP="00A074FC">
            <w:pPr>
              <w:pStyle w:val="PP-small"/>
            </w:pPr>
            <w:r>
              <w:lastRenderedPageBreak/>
              <w:t>EOP</w:t>
            </w:r>
            <w:r>
              <w:rPr>
                <w:lang w:val="en-AU"/>
              </w:rPr>
              <w:t>6</w:t>
            </w:r>
          </w:p>
        </w:tc>
        <w:tc>
          <w:tcPr>
            <w:tcW w:w="6095" w:type="dxa"/>
          </w:tcPr>
          <w:p w14:paraId="4ACE22EE" w14:textId="77777777" w:rsidR="006528DB" w:rsidRPr="00A21FE4" w:rsidRDefault="006528DB" w:rsidP="00A074FC">
            <w:pPr>
              <w:pStyle w:val="PP-small"/>
            </w:pPr>
            <w:r>
              <w:t>Where possible, K-negative RBC should be selected for transfusion for all females of childbearing potential who are K negative or whose K antigen status is unknown. This includes fetal transfusion.</w:t>
            </w:r>
          </w:p>
        </w:tc>
        <w:tc>
          <w:tcPr>
            <w:tcW w:w="1083" w:type="dxa"/>
          </w:tcPr>
          <w:p w14:paraId="611EDF0C" w14:textId="77777777" w:rsidR="006528DB" w:rsidRDefault="006528DB" w:rsidP="00A074FC">
            <w:pPr>
              <w:pStyle w:val="PP-small"/>
              <w:rPr>
                <w:lang w:val="en-AU"/>
              </w:rPr>
            </w:pPr>
            <w:r>
              <w:rPr>
                <w:lang w:val="en-AU"/>
              </w:rPr>
              <w:t>4.1.2</w:t>
            </w:r>
          </w:p>
        </w:tc>
      </w:tr>
      <w:tr w:rsidR="006528DB" w14:paraId="59CB553E" w14:textId="77777777" w:rsidTr="00A074FC">
        <w:trPr>
          <w:cantSplit/>
          <w:tblHeader/>
        </w:trPr>
        <w:tc>
          <w:tcPr>
            <w:tcW w:w="1118" w:type="dxa"/>
          </w:tcPr>
          <w:p w14:paraId="0C63133E" w14:textId="77777777" w:rsidR="006528DB" w:rsidRPr="00A21FE4" w:rsidRDefault="006528DB" w:rsidP="00A074FC">
            <w:pPr>
              <w:pStyle w:val="PP-small"/>
            </w:pPr>
            <w:r>
              <w:t>EOP</w:t>
            </w:r>
            <w:r>
              <w:rPr>
                <w:lang w:val="en-AU"/>
              </w:rPr>
              <w:t>7</w:t>
            </w:r>
          </w:p>
        </w:tc>
        <w:tc>
          <w:tcPr>
            <w:tcW w:w="6095" w:type="dxa"/>
          </w:tcPr>
          <w:p w14:paraId="4FE5DD35" w14:textId="7E61CAD6" w:rsidR="006528DB" w:rsidRPr="00A21FE4" w:rsidRDefault="006528DB" w:rsidP="00A074FC">
            <w:pPr>
              <w:pStyle w:val="PP-small"/>
            </w:pPr>
            <w:r>
              <w:t>In both male and female chronically transfused patients, RBC should be selected to match RhD, RhC/c, RhE/e and K antigen status.</w:t>
            </w:r>
          </w:p>
        </w:tc>
        <w:tc>
          <w:tcPr>
            <w:tcW w:w="1083" w:type="dxa"/>
          </w:tcPr>
          <w:p w14:paraId="4064101F" w14:textId="77777777" w:rsidR="006528DB" w:rsidRDefault="006528DB" w:rsidP="00A074FC">
            <w:pPr>
              <w:pStyle w:val="PP-small"/>
              <w:rPr>
                <w:lang w:val="en-AU"/>
              </w:rPr>
            </w:pPr>
            <w:r>
              <w:rPr>
                <w:lang w:val="en-AU"/>
              </w:rPr>
              <w:t>4.1.2</w:t>
            </w:r>
          </w:p>
        </w:tc>
      </w:tr>
      <w:tr w:rsidR="00FA6ADE" w:rsidRPr="00FB524C" w14:paraId="0C4B4B67" w14:textId="77777777" w:rsidTr="006528DB">
        <w:trPr>
          <w:cantSplit/>
          <w:tblHeader/>
        </w:trPr>
        <w:tc>
          <w:tcPr>
            <w:tcW w:w="1118" w:type="dxa"/>
            <w:tcBorders>
              <w:top w:val="single" w:sz="4" w:space="0" w:color="000000"/>
              <w:left w:val="single" w:sz="4" w:space="0" w:color="000000"/>
              <w:bottom w:val="single" w:sz="4" w:space="0" w:color="000000"/>
              <w:right w:val="single" w:sz="4" w:space="0" w:color="000000"/>
            </w:tcBorders>
          </w:tcPr>
          <w:p w14:paraId="5F44136D" w14:textId="1ABCCB1E" w:rsidR="00FA6ADE" w:rsidRPr="00FB524C" w:rsidRDefault="00FA6ADE" w:rsidP="00FA6ADE">
            <w:pPr>
              <w:pStyle w:val="PP-small"/>
            </w:pPr>
            <w:r w:rsidRPr="00A21FE4">
              <w:t>R</w:t>
            </w:r>
            <w:r>
              <w:t>2</w:t>
            </w:r>
            <w:r w:rsidRPr="00A21FE4">
              <w:br/>
              <w:t>(Grade A)</w:t>
            </w:r>
          </w:p>
        </w:tc>
        <w:tc>
          <w:tcPr>
            <w:tcW w:w="6095" w:type="dxa"/>
            <w:tcBorders>
              <w:top w:val="single" w:sz="4" w:space="0" w:color="000000"/>
              <w:left w:val="single" w:sz="4" w:space="0" w:color="000000"/>
              <w:bottom w:val="single" w:sz="4" w:space="0" w:color="000000"/>
              <w:right w:val="single" w:sz="4" w:space="0" w:color="000000"/>
            </w:tcBorders>
          </w:tcPr>
          <w:p w14:paraId="55FCFDB9" w14:textId="08AF67A9" w:rsidR="00FA6ADE" w:rsidRPr="00A21FE4" w:rsidRDefault="00FA6ADE" w:rsidP="00FA6ADE">
            <w:pPr>
              <w:pStyle w:val="PP-small"/>
            </w:pPr>
            <w:r w:rsidRPr="00A21FE4">
              <w:t xml:space="preserve">In children and adolescents with </w:t>
            </w:r>
            <w:r w:rsidR="009A3D3A">
              <w:rPr>
                <w:lang w:val="en-AU"/>
              </w:rPr>
              <w:t>SCD</w:t>
            </w:r>
            <w:r w:rsidRPr="00A21FE4">
              <w:t xml:space="preserve"> who have been assessed to be at increased risk of stroke,</w:t>
            </w:r>
            <w:r w:rsidRPr="00A21FE4">
              <w:rPr>
                <w:vertAlign w:val="superscript"/>
              </w:rPr>
              <w:t>a</w:t>
            </w:r>
            <w:r w:rsidRPr="00A21FE4">
              <w:t xml:space="preserve"> ongoing prophylactic RBC transfusions are recommended because they reduce stroke occurrence.</w:t>
            </w:r>
            <w:r w:rsidRPr="00A21FE4">
              <w:rPr>
                <w:vertAlign w:val="superscript"/>
              </w:rPr>
              <w:t>b</w:t>
            </w:r>
          </w:p>
          <w:p w14:paraId="0608EE68" w14:textId="1F9E3A75" w:rsidR="00FA6ADE" w:rsidRPr="00FB524C" w:rsidRDefault="00FA6ADE" w:rsidP="00E62798">
            <w:pPr>
              <w:pStyle w:val="PP-note"/>
            </w:pPr>
            <w:r w:rsidRPr="00A21FE4">
              <w:rPr>
                <w:vertAlign w:val="superscript"/>
              </w:rPr>
              <w:t>a</w:t>
            </w:r>
            <w:r w:rsidRPr="00A21FE4">
              <w:t xml:space="preserve"> Assessed by </w:t>
            </w:r>
            <w:r>
              <w:t>TCD</w:t>
            </w:r>
            <w:r w:rsidRPr="00A21FE4">
              <w:t xml:space="preserve"> ultrasonography</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rsidRPr="00A21FE4">
              <w:t xml:space="preserve"> </w:t>
            </w:r>
            <w:r w:rsidRPr="00F42852">
              <w:t>and</w:t>
            </w:r>
            <w:r w:rsidRPr="00A21FE4">
              <w:t xml:space="preserve"> </w:t>
            </w:r>
            <w:r>
              <w:t>MRI</w:t>
            </w:r>
            <w:r w:rsidRPr="00A21FE4">
              <w:t>.</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r w:rsidRPr="00A21FE4">
              <w:rPr>
                <w:vertAlign w:val="superscript"/>
              </w:rPr>
              <w:br/>
              <w:t xml:space="preserve">b </w:t>
            </w:r>
            <w:r w:rsidRPr="00A21FE4">
              <w:t>See PP11 for methods of assessment.</w:t>
            </w:r>
          </w:p>
        </w:tc>
        <w:tc>
          <w:tcPr>
            <w:tcW w:w="1083" w:type="dxa"/>
            <w:tcBorders>
              <w:top w:val="single" w:sz="4" w:space="0" w:color="000000"/>
              <w:left w:val="single" w:sz="4" w:space="0" w:color="000000"/>
              <w:bottom w:val="single" w:sz="4" w:space="0" w:color="000000"/>
              <w:right w:val="single" w:sz="4" w:space="0" w:color="000000"/>
            </w:tcBorders>
          </w:tcPr>
          <w:p w14:paraId="1FAEB465" w14:textId="77777777" w:rsidR="00FA6ADE" w:rsidRPr="006528DB" w:rsidRDefault="00FA6ADE" w:rsidP="00FA6ADE">
            <w:pPr>
              <w:pStyle w:val="PP-small"/>
              <w:rPr>
                <w:lang w:val="en-AU"/>
              </w:rPr>
            </w:pPr>
            <w:r w:rsidRPr="006528DB">
              <w:rPr>
                <w:lang w:val="en-AU"/>
              </w:rPr>
              <w:t>3.2.3</w:t>
            </w:r>
          </w:p>
        </w:tc>
      </w:tr>
      <w:tr w:rsidR="00B7732A" w:rsidRPr="00FB524C" w14:paraId="0E2FD690" w14:textId="77777777" w:rsidTr="006528DB">
        <w:trPr>
          <w:cantSplit/>
          <w:tblHeader/>
        </w:trPr>
        <w:tc>
          <w:tcPr>
            <w:tcW w:w="1118" w:type="dxa"/>
            <w:tcBorders>
              <w:top w:val="single" w:sz="4" w:space="0" w:color="000000"/>
              <w:left w:val="single" w:sz="4" w:space="0" w:color="000000"/>
              <w:bottom w:val="single" w:sz="4" w:space="0" w:color="000000"/>
              <w:right w:val="single" w:sz="4" w:space="0" w:color="000000"/>
            </w:tcBorders>
          </w:tcPr>
          <w:p w14:paraId="0F6A49F9" w14:textId="16D66619" w:rsidR="00B7732A" w:rsidRPr="00FB524C" w:rsidRDefault="00B7732A" w:rsidP="00B7732A">
            <w:pPr>
              <w:pStyle w:val="PP-small"/>
            </w:pPr>
            <w:r w:rsidRPr="00A21FE4">
              <w:t>PP7</w:t>
            </w:r>
          </w:p>
        </w:tc>
        <w:tc>
          <w:tcPr>
            <w:tcW w:w="6095" w:type="dxa"/>
            <w:tcBorders>
              <w:top w:val="single" w:sz="4" w:space="0" w:color="000000"/>
              <w:left w:val="single" w:sz="4" w:space="0" w:color="000000"/>
              <w:bottom w:val="single" w:sz="4" w:space="0" w:color="000000"/>
              <w:right w:val="single" w:sz="4" w:space="0" w:color="000000"/>
            </w:tcBorders>
          </w:tcPr>
          <w:p w14:paraId="34216ECF" w14:textId="067000F9" w:rsidR="00B7732A" w:rsidRPr="002C3690" w:rsidRDefault="00B7732A" w:rsidP="00B7732A">
            <w:pPr>
              <w:pStyle w:val="PP-small"/>
              <w:rPr>
                <w:vertAlign w:val="superscript"/>
                <w:lang w:val="en-AU"/>
              </w:rPr>
            </w:pPr>
            <w:r w:rsidRPr="00A21FE4">
              <w:t xml:space="preserve">In paediatric patients with </w:t>
            </w:r>
            <w:r>
              <w:t xml:space="preserve">beta </w:t>
            </w:r>
            <w:r w:rsidRPr="00A21FE4">
              <w:t>thalassaemia, the evidence does not support any change to the current practice of maintaining a pretransfusion Hb concentration of 90–100 g/L.</w:t>
            </w:r>
            <w:r w:rsidR="002C3690">
              <w:rPr>
                <w:vertAlign w:val="superscript"/>
                <w:lang w:val="en-AU"/>
              </w:rPr>
              <w:t>a</w:t>
            </w:r>
          </w:p>
          <w:p w14:paraId="73DAF6D6" w14:textId="294DFFC7" w:rsidR="00B7732A" w:rsidRPr="00FB524C" w:rsidRDefault="002C3690" w:rsidP="00E62798">
            <w:pPr>
              <w:pStyle w:val="PP-note"/>
            </w:pPr>
            <w:r>
              <w:rPr>
                <w:vertAlign w:val="superscript"/>
              </w:rPr>
              <w:t>a</w:t>
            </w:r>
            <w:r>
              <w:t xml:space="preserve"> </w:t>
            </w:r>
            <w:r w:rsidR="00B7732A">
              <w:t>See</w:t>
            </w:r>
            <w:r w:rsidR="00B7732A" w:rsidRPr="00A21FE4">
              <w:t xml:space="preserve"> PP23 in </w:t>
            </w:r>
            <w:r w:rsidR="00B7732A" w:rsidRPr="00A21FE4">
              <w:rPr>
                <w:i/>
              </w:rPr>
              <w:t>Patient Blood Management Guidelines: Module 3 – Medical</w:t>
            </w:r>
            <w:r w:rsidR="00B7732A">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B7732A" w:rsidRPr="00A21FE4">
              <w:rPr>
                <w:vertAlign w:val="superscript"/>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323C630F" w14:textId="77777777" w:rsidR="00B7732A" w:rsidRPr="006528DB" w:rsidRDefault="00B7732A" w:rsidP="00B7732A">
            <w:pPr>
              <w:pStyle w:val="PP-small"/>
              <w:rPr>
                <w:lang w:val="en-AU"/>
              </w:rPr>
            </w:pPr>
            <w:r w:rsidRPr="006528DB">
              <w:rPr>
                <w:lang w:val="en-AU"/>
              </w:rPr>
              <w:t>3.2.3</w:t>
            </w:r>
          </w:p>
          <w:p w14:paraId="51B0FEE7" w14:textId="77777777" w:rsidR="00B7732A" w:rsidRPr="006528DB" w:rsidRDefault="00B7732A" w:rsidP="00B7732A">
            <w:pPr>
              <w:pStyle w:val="PP-small"/>
              <w:rPr>
                <w:lang w:val="en-AU"/>
              </w:rPr>
            </w:pPr>
          </w:p>
        </w:tc>
      </w:tr>
      <w:tr w:rsidR="006528DB" w:rsidRPr="00FB524C" w14:paraId="66FD9BA3" w14:textId="77777777" w:rsidTr="006528DB">
        <w:trPr>
          <w:cantSplit/>
          <w:tblHeader/>
        </w:trPr>
        <w:tc>
          <w:tcPr>
            <w:tcW w:w="1118" w:type="dxa"/>
            <w:tcBorders>
              <w:top w:val="single" w:sz="4" w:space="0" w:color="000000"/>
              <w:left w:val="single" w:sz="4" w:space="0" w:color="000000"/>
              <w:bottom w:val="single" w:sz="4" w:space="0" w:color="000000"/>
              <w:right w:val="single" w:sz="4" w:space="0" w:color="000000"/>
            </w:tcBorders>
          </w:tcPr>
          <w:p w14:paraId="5C470257" w14:textId="77777777" w:rsidR="006528DB" w:rsidRPr="00FB524C" w:rsidRDefault="006528DB" w:rsidP="00A074FC">
            <w:pPr>
              <w:pStyle w:val="PP-small"/>
            </w:pPr>
            <w:r w:rsidRPr="00FB524C">
              <w:t>PP11</w:t>
            </w:r>
          </w:p>
        </w:tc>
        <w:tc>
          <w:tcPr>
            <w:tcW w:w="6095" w:type="dxa"/>
            <w:tcBorders>
              <w:top w:val="single" w:sz="4" w:space="0" w:color="000000"/>
              <w:left w:val="single" w:sz="4" w:space="0" w:color="000000"/>
              <w:bottom w:val="single" w:sz="4" w:space="0" w:color="000000"/>
              <w:right w:val="single" w:sz="4" w:space="0" w:color="000000"/>
            </w:tcBorders>
          </w:tcPr>
          <w:p w14:paraId="2B31AE01" w14:textId="14F4F08C" w:rsidR="006528DB" w:rsidRPr="00FB524C" w:rsidRDefault="00B7732A" w:rsidP="00E62798">
            <w:pPr>
              <w:pStyle w:val="PP-small"/>
            </w:pPr>
            <w:r w:rsidRPr="00A21FE4">
              <w:t xml:space="preserve">Children and adolescents with </w:t>
            </w:r>
            <w:r w:rsidR="009A3D3A">
              <w:rPr>
                <w:lang w:val="en-AU"/>
              </w:rPr>
              <w:t>SCD</w:t>
            </w:r>
            <w:r w:rsidRPr="00A21FE4">
              <w:t xml:space="preserve"> should be assessed for stroke </w:t>
            </w:r>
            <w:r w:rsidRPr="00B7732A">
              <w:t>risk</w:t>
            </w:r>
            <w:r w:rsidRPr="00A21FE4">
              <w:t xml:space="preserve"> using both </w:t>
            </w:r>
            <w:r>
              <w:rPr>
                <w:lang w:val="en-AU"/>
              </w:rPr>
              <w:t>TCD</w:t>
            </w:r>
            <w:r w:rsidRPr="00A21FE4">
              <w:t xml:space="preserve"> ultrasonography</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rsidRPr="00A21FE4">
              <w:t xml:space="preserve"> and </w:t>
            </w:r>
            <w:r>
              <w:rPr>
                <w:lang w:val="en-AU"/>
              </w:rPr>
              <w:t>MRI</w:t>
            </w:r>
            <w:r w:rsidRPr="00A21FE4">
              <w:t>.</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p>
        </w:tc>
        <w:tc>
          <w:tcPr>
            <w:tcW w:w="1083" w:type="dxa"/>
            <w:tcBorders>
              <w:top w:val="single" w:sz="4" w:space="0" w:color="000000"/>
              <w:left w:val="single" w:sz="4" w:space="0" w:color="000000"/>
              <w:bottom w:val="single" w:sz="4" w:space="0" w:color="000000"/>
              <w:right w:val="single" w:sz="4" w:space="0" w:color="000000"/>
            </w:tcBorders>
          </w:tcPr>
          <w:p w14:paraId="2BED3382" w14:textId="77777777" w:rsidR="006528DB" w:rsidRPr="006528DB" w:rsidRDefault="006528DB" w:rsidP="00A074FC">
            <w:pPr>
              <w:pStyle w:val="PP-small"/>
              <w:rPr>
                <w:lang w:val="en-AU"/>
              </w:rPr>
            </w:pPr>
            <w:r w:rsidRPr="006528DB">
              <w:rPr>
                <w:lang w:val="en-AU"/>
              </w:rPr>
              <w:t>3.2.3</w:t>
            </w:r>
          </w:p>
          <w:p w14:paraId="45DDBF38" w14:textId="77777777" w:rsidR="006528DB" w:rsidRPr="006528DB" w:rsidRDefault="006528DB" w:rsidP="00A074FC">
            <w:pPr>
              <w:pStyle w:val="PP-small"/>
              <w:rPr>
                <w:lang w:val="en-AU"/>
              </w:rPr>
            </w:pPr>
          </w:p>
        </w:tc>
      </w:tr>
      <w:tr w:rsidR="00274815" w:rsidRPr="00274815" w14:paraId="2E26AE45" w14:textId="77777777" w:rsidTr="009A3D3A">
        <w:trPr>
          <w:cantSplit/>
          <w:tblHeader/>
        </w:trPr>
        <w:tc>
          <w:tcPr>
            <w:tcW w:w="829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EF4494" w14:textId="1A116925" w:rsidR="00274815" w:rsidRPr="00274815" w:rsidRDefault="00274815" w:rsidP="00A074FC">
            <w:pPr>
              <w:pStyle w:val="PP-small"/>
              <w:rPr>
                <w:b/>
                <w:lang w:val="en-AU"/>
              </w:rPr>
            </w:pPr>
            <w:r w:rsidRPr="00274815">
              <w:rPr>
                <w:b/>
                <w:lang w:val="en-AU"/>
              </w:rPr>
              <w:t>Hydroxyurea</w:t>
            </w:r>
          </w:p>
        </w:tc>
      </w:tr>
      <w:tr w:rsidR="00274815" w:rsidRPr="00FB524C" w14:paraId="6C2C64BE" w14:textId="77777777" w:rsidTr="00150802">
        <w:trPr>
          <w:cantSplit/>
          <w:tblHeader/>
        </w:trPr>
        <w:tc>
          <w:tcPr>
            <w:tcW w:w="1118" w:type="dxa"/>
            <w:tcBorders>
              <w:top w:val="single" w:sz="4" w:space="0" w:color="000000"/>
              <w:left w:val="single" w:sz="4" w:space="0" w:color="000000"/>
              <w:bottom w:val="single" w:sz="4" w:space="0" w:color="000000"/>
              <w:right w:val="single" w:sz="4" w:space="0" w:color="000000"/>
            </w:tcBorders>
          </w:tcPr>
          <w:p w14:paraId="2F676BFF" w14:textId="77777777" w:rsidR="00274815" w:rsidRPr="00FB524C" w:rsidRDefault="00274815" w:rsidP="00150802">
            <w:pPr>
              <w:pStyle w:val="PP-small"/>
            </w:pPr>
            <w:r w:rsidRPr="00A21FE4">
              <w:t>R4</w:t>
            </w:r>
            <w:r>
              <w:br/>
            </w:r>
            <w:r w:rsidRPr="00A21FE4">
              <w:t>(Grade B)</w:t>
            </w:r>
          </w:p>
        </w:tc>
        <w:tc>
          <w:tcPr>
            <w:tcW w:w="6095" w:type="dxa"/>
            <w:tcBorders>
              <w:top w:val="single" w:sz="4" w:space="0" w:color="000000"/>
              <w:left w:val="single" w:sz="4" w:space="0" w:color="000000"/>
              <w:bottom w:val="single" w:sz="4" w:space="0" w:color="000000"/>
              <w:right w:val="single" w:sz="4" w:space="0" w:color="000000"/>
            </w:tcBorders>
          </w:tcPr>
          <w:p w14:paraId="2DA6DC25" w14:textId="77777777" w:rsidR="00274815" w:rsidRPr="00A21FE4" w:rsidRDefault="00274815" w:rsidP="00150802">
            <w:pPr>
              <w:pStyle w:val="PP-small"/>
            </w:pPr>
            <w:r w:rsidRPr="00A21FE4">
              <w:t xml:space="preserve">In paediatric patients with </w:t>
            </w:r>
            <w:r>
              <w:rPr>
                <w:lang w:val="en-AU"/>
              </w:rPr>
              <w:t>SCD</w:t>
            </w:r>
            <w:r w:rsidRPr="00A21FE4">
              <w:t>, hydroxyurea should not be given for the primary purpose of reducing transfusion incidence.</w:t>
            </w:r>
            <w:r w:rsidRPr="00A21FE4">
              <w:rPr>
                <w:vertAlign w:val="superscript"/>
              </w:rPr>
              <w:t>a, b</w:t>
            </w:r>
            <w:r w:rsidRPr="00A21FE4">
              <w:t xml:space="preserve"> </w:t>
            </w:r>
          </w:p>
          <w:p w14:paraId="75584E5B" w14:textId="55265706" w:rsidR="00274815" w:rsidRPr="00FB524C" w:rsidRDefault="00274815" w:rsidP="00150802">
            <w:pPr>
              <w:pStyle w:val="PP-note"/>
            </w:pPr>
            <w:r w:rsidRPr="00A21FE4">
              <w:rPr>
                <w:vertAlign w:val="superscript"/>
              </w:rPr>
              <w:t>a</w:t>
            </w:r>
            <w:r w:rsidRPr="00A21FE4">
              <w:t xml:space="preserve"> Although hydroxyurea reduces transfusion incidence, it may not be the optimal treatment for prevention of stroke. </w:t>
            </w:r>
            <w:r w:rsidRPr="00A21FE4">
              <w:br/>
            </w:r>
            <w:r w:rsidRPr="00A21FE4">
              <w:rPr>
                <w:vertAlign w:val="superscript"/>
              </w:rPr>
              <w:t>b</w:t>
            </w:r>
            <w:r w:rsidRPr="00A21FE4">
              <w:t xml:space="preserve"> See R1 and PP21</w:t>
            </w:r>
            <w:r w:rsidR="002C3690">
              <w:t>.</w:t>
            </w:r>
          </w:p>
        </w:tc>
        <w:tc>
          <w:tcPr>
            <w:tcW w:w="1083" w:type="dxa"/>
            <w:tcBorders>
              <w:top w:val="single" w:sz="4" w:space="0" w:color="000000"/>
              <w:left w:val="single" w:sz="4" w:space="0" w:color="000000"/>
              <w:bottom w:val="single" w:sz="4" w:space="0" w:color="000000"/>
              <w:right w:val="single" w:sz="4" w:space="0" w:color="000000"/>
            </w:tcBorders>
          </w:tcPr>
          <w:p w14:paraId="57C2EDDF" w14:textId="77777777" w:rsidR="00274815" w:rsidRPr="006528DB" w:rsidRDefault="00274815" w:rsidP="00150802">
            <w:pPr>
              <w:pStyle w:val="PP-small"/>
              <w:rPr>
                <w:lang w:val="en-AU"/>
              </w:rPr>
            </w:pPr>
            <w:r w:rsidRPr="006528DB">
              <w:rPr>
                <w:lang w:val="en-AU"/>
              </w:rPr>
              <w:t>3.3.9</w:t>
            </w:r>
          </w:p>
        </w:tc>
      </w:tr>
      <w:tr w:rsidR="006528DB" w:rsidRPr="00FB524C" w14:paraId="7C208DC3" w14:textId="77777777" w:rsidTr="006528DB">
        <w:trPr>
          <w:cantSplit/>
          <w:tblHeader/>
        </w:trPr>
        <w:tc>
          <w:tcPr>
            <w:tcW w:w="1118" w:type="dxa"/>
            <w:tcBorders>
              <w:top w:val="single" w:sz="4" w:space="0" w:color="000000"/>
              <w:left w:val="single" w:sz="4" w:space="0" w:color="000000"/>
              <w:bottom w:val="single" w:sz="4" w:space="0" w:color="000000"/>
              <w:right w:val="single" w:sz="4" w:space="0" w:color="000000"/>
            </w:tcBorders>
          </w:tcPr>
          <w:p w14:paraId="2A48A351" w14:textId="77777777" w:rsidR="006528DB" w:rsidRPr="00FB524C" w:rsidRDefault="006528DB" w:rsidP="00A074FC">
            <w:pPr>
              <w:pStyle w:val="PP-small"/>
            </w:pPr>
            <w:r w:rsidRPr="00FB524C">
              <w:t>PP22</w:t>
            </w:r>
          </w:p>
        </w:tc>
        <w:tc>
          <w:tcPr>
            <w:tcW w:w="6095" w:type="dxa"/>
            <w:tcBorders>
              <w:top w:val="single" w:sz="4" w:space="0" w:color="000000"/>
              <w:left w:val="single" w:sz="4" w:space="0" w:color="000000"/>
              <w:bottom w:val="single" w:sz="4" w:space="0" w:color="000000"/>
              <w:right w:val="single" w:sz="4" w:space="0" w:color="000000"/>
            </w:tcBorders>
          </w:tcPr>
          <w:p w14:paraId="3FAE31DE" w14:textId="77777777" w:rsidR="006528DB" w:rsidRPr="00FB524C" w:rsidRDefault="006528DB" w:rsidP="00A074FC">
            <w:pPr>
              <w:pStyle w:val="PP-small"/>
            </w:pPr>
            <w:r w:rsidRPr="00FB524C">
              <w:t>In paediatric patients over 9 months of age with SCD, hydroxyurea may be used to reduce vaso-occlusive pain crises and acute chest syndromes.</w:t>
            </w:r>
          </w:p>
        </w:tc>
        <w:tc>
          <w:tcPr>
            <w:tcW w:w="1083" w:type="dxa"/>
            <w:tcBorders>
              <w:top w:val="single" w:sz="4" w:space="0" w:color="000000"/>
              <w:left w:val="single" w:sz="4" w:space="0" w:color="000000"/>
              <w:bottom w:val="single" w:sz="4" w:space="0" w:color="000000"/>
              <w:right w:val="single" w:sz="4" w:space="0" w:color="000000"/>
            </w:tcBorders>
          </w:tcPr>
          <w:p w14:paraId="18BBEA84" w14:textId="77777777" w:rsidR="006528DB" w:rsidRPr="006528DB" w:rsidRDefault="006528DB" w:rsidP="00A074FC">
            <w:pPr>
              <w:pStyle w:val="PP-small"/>
              <w:rPr>
                <w:lang w:val="en-AU"/>
              </w:rPr>
            </w:pPr>
            <w:r w:rsidRPr="006528DB">
              <w:rPr>
                <w:lang w:val="en-AU"/>
              </w:rPr>
              <w:t>3.3.9</w:t>
            </w:r>
          </w:p>
        </w:tc>
      </w:tr>
      <w:tr w:rsidR="006528DB" w:rsidRPr="00FB524C" w14:paraId="6AF96A67" w14:textId="77777777" w:rsidTr="009A3D3A">
        <w:trPr>
          <w:cantSplit/>
          <w:tblHeader/>
        </w:trPr>
        <w:tc>
          <w:tcPr>
            <w:tcW w:w="8296" w:type="dxa"/>
            <w:gridSpan w:val="3"/>
            <w:shd w:val="clear" w:color="auto" w:fill="D9D9D9" w:themeFill="background1" w:themeFillShade="D9"/>
          </w:tcPr>
          <w:p w14:paraId="07EB5A72" w14:textId="60925647" w:rsidR="006528DB" w:rsidRPr="009A3D3A" w:rsidRDefault="006528DB" w:rsidP="009A3D3A">
            <w:pPr>
              <w:pStyle w:val="PP-small"/>
              <w:rPr>
                <w:b/>
                <w:lang w:val="en-AU"/>
              </w:rPr>
            </w:pPr>
            <w:r w:rsidRPr="00B7732A">
              <w:rPr>
                <w:b/>
              </w:rPr>
              <w:t>E</w:t>
            </w:r>
            <w:r w:rsidR="009A3D3A">
              <w:rPr>
                <w:b/>
                <w:lang w:val="en-AU"/>
              </w:rPr>
              <w:t>SAs</w:t>
            </w:r>
          </w:p>
        </w:tc>
      </w:tr>
      <w:tr w:rsidR="006528DB" w:rsidRPr="00FB524C" w14:paraId="2F49FD50" w14:textId="77777777" w:rsidTr="00A074FC">
        <w:trPr>
          <w:cantSplit/>
          <w:tblHeader/>
        </w:trPr>
        <w:tc>
          <w:tcPr>
            <w:tcW w:w="1118" w:type="dxa"/>
          </w:tcPr>
          <w:p w14:paraId="7D73EAF3" w14:textId="77777777" w:rsidR="006528DB" w:rsidRPr="00FB524C" w:rsidRDefault="006528DB" w:rsidP="00A074FC">
            <w:pPr>
              <w:pStyle w:val="PP-small"/>
            </w:pPr>
            <w:r w:rsidRPr="00FB524C">
              <w:t>R3</w:t>
            </w:r>
            <w:r w:rsidRPr="00FB524C">
              <w:br/>
              <w:t>(Grade C)</w:t>
            </w:r>
          </w:p>
        </w:tc>
        <w:tc>
          <w:tcPr>
            <w:tcW w:w="6095" w:type="dxa"/>
          </w:tcPr>
          <w:p w14:paraId="63095E17" w14:textId="77777777" w:rsidR="006528DB" w:rsidRPr="00FB524C" w:rsidRDefault="006528DB" w:rsidP="00A074FC">
            <w:pPr>
              <w:pStyle w:val="PP-small"/>
            </w:pPr>
            <w:r w:rsidRPr="00FB524C">
              <w:t xml:space="preserve">In preterm infants with low birth weight (&lt;2500 g), the </w:t>
            </w:r>
            <w:r w:rsidRPr="00FB524C">
              <w:rPr>
                <w:i/>
              </w:rPr>
              <w:t xml:space="preserve">routine </w:t>
            </w:r>
            <w:r w:rsidRPr="00FB524C">
              <w:t xml:space="preserve">use of ESAs is not advised. </w:t>
            </w:r>
          </w:p>
        </w:tc>
        <w:tc>
          <w:tcPr>
            <w:tcW w:w="1083" w:type="dxa"/>
          </w:tcPr>
          <w:p w14:paraId="796B9542" w14:textId="77777777" w:rsidR="006528DB" w:rsidRPr="00FB524C" w:rsidRDefault="006528DB" w:rsidP="00A074FC">
            <w:pPr>
              <w:pStyle w:val="PP-small"/>
            </w:pPr>
            <w:r w:rsidRPr="00FB524C">
              <w:t>3.3.1</w:t>
            </w:r>
          </w:p>
        </w:tc>
      </w:tr>
      <w:tr w:rsidR="006528DB" w:rsidRPr="00FB524C" w14:paraId="5C729F55" w14:textId="77777777" w:rsidTr="00A074FC">
        <w:trPr>
          <w:cantSplit/>
          <w:tblHeader/>
        </w:trPr>
        <w:tc>
          <w:tcPr>
            <w:tcW w:w="1118" w:type="dxa"/>
          </w:tcPr>
          <w:p w14:paraId="253BE537" w14:textId="6904C7C3" w:rsidR="006528DB" w:rsidRPr="00FB524C" w:rsidRDefault="006528DB" w:rsidP="009A3D3A">
            <w:pPr>
              <w:pStyle w:val="PP-small"/>
            </w:pPr>
            <w:r w:rsidRPr="00FB524C">
              <w:t>R5</w:t>
            </w:r>
            <w:r w:rsidR="009A3D3A" w:rsidRPr="00FB524C" w:rsidDel="009A3D3A">
              <w:t xml:space="preserve"> </w:t>
            </w:r>
            <w:r w:rsidR="009A3D3A">
              <w:br/>
            </w:r>
            <w:r w:rsidRPr="00FB524C">
              <w:t>(Grade C)</w:t>
            </w:r>
          </w:p>
        </w:tc>
        <w:tc>
          <w:tcPr>
            <w:tcW w:w="6095" w:type="dxa"/>
          </w:tcPr>
          <w:p w14:paraId="05D533FE" w14:textId="77708490" w:rsidR="006528DB" w:rsidRPr="00FB524C" w:rsidRDefault="006528DB" w:rsidP="00A074FC">
            <w:pPr>
              <w:pStyle w:val="PP-small"/>
            </w:pPr>
            <w:r w:rsidRPr="00FB524C">
              <w:t xml:space="preserve">In surgical paediatric patients with or at risk of </w:t>
            </w:r>
            <w:r w:rsidR="009A3D3A">
              <w:rPr>
                <w:lang w:val="en-AU"/>
              </w:rPr>
              <w:t>IDA</w:t>
            </w:r>
            <w:r w:rsidRPr="00FB524C">
              <w:t>, preoperative iron therapy is recommended.</w:t>
            </w:r>
            <w:r w:rsidRPr="00FB524C">
              <w:rPr>
                <w:vertAlign w:val="superscript"/>
              </w:rPr>
              <w:t>a</w:t>
            </w:r>
            <w:r w:rsidRPr="00FB524C">
              <w:t xml:space="preserve"> </w:t>
            </w:r>
          </w:p>
          <w:p w14:paraId="5F3855E9" w14:textId="245F3ABE" w:rsidR="006528DB" w:rsidRPr="00FB524C" w:rsidRDefault="006528DB" w:rsidP="00E62798">
            <w:pPr>
              <w:pStyle w:val="PP-note"/>
            </w:pPr>
            <w:r w:rsidRPr="00FB524C">
              <w:rPr>
                <w:vertAlign w:val="superscript"/>
              </w:rPr>
              <w:t>a</w:t>
            </w:r>
            <w:r w:rsidRPr="00FB524C">
              <w:t xml:space="preserve"> See R4 in </w:t>
            </w:r>
            <w:r w:rsidRPr="00FB524C">
              <w:rPr>
                <w:i/>
              </w:rPr>
              <w:t>Patient Blood Management Guidelines: Module 2 – Perioperative</w:t>
            </w:r>
            <w:r w:rsidR="0008560B">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c>
          <w:tcPr>
            <w:tcW w:w="1083" w:type="dxa"/>
          </w:tcPr>
          <w:p w14:paraId="0F44C628" w14:textId="77777777" w:rsidR="006528DB" w:rsidRPr="00FB524C" w:rsidRDefault="006528DB" w:rsidP="00A074FC">
            <w:pPr>
              <w:pStyle w:val="PP-small"/>
            </w:pPr>
            <w:r w:rsidRPr="00FB524C">
              <w:t>3.3.12</w:t>
            </w:r>
          </w:p>
        </w:tc>
      </w:tr>
      <w:tr w:rsidR="006528DB" w:rsidRPr="00FB524C" w14:paraId="3A55870D" w14:textId="77777777" w:rsidTr="00A074FC">
        <w:trPr>
          <w:cantSplit/>
          <w:tblHeader/>
        </w:trPr>
        <w:tc>
          <w:tcPr>
            <w:tcW w:w="1118" w:type="dxa"/>
          </w:tcPr>
          <w:p w14:paraId="34575F90" w14:textId="77777777" w:rsidR="006528DB" w:rsidRPr="00FB524C" w:rsidRDefault="006528DB" w:rsidP="00A074FC">
            <w:pPr>
              <w:pStyle w:val="PP-small"/>
            </w:pPr>
            <w:r w:rsidRPr="00FB524C">
              <w:t>PP17</w:t>
            </w:r>
          </w:p>
        </w:tc>
        <w:tc>
          <w:tcPr>
            <w:tcW w:w="6095" w:type="dxa"/>
          </w:tcPr>
          <w:p w14:paraId="16F9EF6E" w14:textId="77777777" w:rsidR="006528DB" w:rsidRPr="00FB524C" w:rsidRDefault="006528DB" w:rsidP="00A074FC">
            <w:pPr>
              <w:pStyle w:val="PP-small"/>
            </w:pPr>
            <w:r w:rsidRPr="00FB524C">
              <w:t xml:space="preserve">In paediatric patients receiving chemotherapy, the </w:t>
            </w:r>
            <w:r w:rsidRPr="00FB524C">
              <w:rPr>
                <w:i/>
              </w:rPr>
              <w:t>routine</w:t>
            </w:r>
            <w:r w:rsidRPr="00FB524C">
              <w:t xml:space="preserve"> use of ESAs is not advised. </w:t>
            </w:r>
          </w:p>
          <w:p w14:paraId="0D6319D1" w14:textId="77777777" w:rsidR="006528DB" w:rsidRPr="00FB524C" w:rsidRDefault="006528DB" w:rsidP="00A074FC">
            <w:pPr>
              <w:pStyle w:val="PP-small"/>
            </w:pPr>
            <w:r w:rsidRPr="00FB524C">
              <w:t>The use of ESAs may reduce transfusion incidence; however, the studies are underpowered to determine their effect on mortality and thromboembolic events, which are increased in the adult population.</w:t>
            </w:r>
            <w:r w:rsidRPr="00FB524C">
              <w:rPr>
                <w:vertAlign w:val="superscript"/>
              </w:rPr>
              <w:t>a</w:t>
            </w:r>
            <w:r w:rsidRPr="00FB524C">
              <w:t xml:space="preserve"> </w:t>
            </w:r>
          </w:p>
          <w:p w14:paraId="2DE22C03" w14:textId="19CCAF65" w:rsidR="006528DB" w:rsidRPr="00FB524C" w:rsidRDefault="006528DB" w:rsidP="00E62798">
            <w:pPr>
              <w:pStyle w:val="PP-note"/>
            </w:pPr>
            <w:r w:rsidRPr="00FB524C">
              <w:rPr>
                <w:vertAlign w:val="superscript"/>
              </w:rPr>
              <w:t>a</w:t>
            </w:r>
            <w:r w:rsidRPr="00FB524C">
              <w:t xml:space="preserve"> See R2 in </w:t>
            </w:r>
            <w:r w:rsidRPr="00FB524C">
              <w:rPr>
                <w:i/>
              </w:rPr>
              <w:t>Patient Blood Management Guidelines: Module 3 – Medical</w:t>
            </w:r>
            <w:r w:rsidRPr="00FB524C">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c>
          <w:tcPr>
            <w:tcW w:w="1083" w:type="dxa"/>
          </w:tcPr>
          <w:p w14:paraId="58BF34B2" w14:textId="77777777" w:rsidR="006528DB" w:rsidRPr="00FB524C" w:rsidRDefault="006528DB" w:rsidP="00A074FC">
            <w:pPr>
              <w:pStyle w:val="PP-small"/>
            </w:pPr>
            <w:r w:rsidRPr="00FB524C">
              <w:t>3.3.5</w:t>
            </w:r>
          </w:p>
        </w:tc>
      </w:tr>
      <w:tr w:rsidR="006528DB" w:rsidRPr="00FB524C" w14:paraId="08729737" w14:textId="77777777" w:rsidTr="00A074FC">
        <w:trPr>
          <w:cantSplit/>
          <w:tblHeader/>
        </w:trPr>
        <w:tc>
          <w:tcPr>
            <w:tcW w:w="1118" w:type="dxa"/>
          </w:tcPr>
          <w:p w14:paraId="7E2AD742" w14:textId="77777777" w:rsidR="006528DB" w:rsidRPr="00FB524C" w:rsidRDefault="006528DB" w:rsidP="00A074FC">
            <w:pPr>
              <w:pStyle w:val="PP-small"/>
            </w:pPr>
            <w:r w:rsidRPr="00FB524C">
              <w:lastRenderedPageBreak/>
              <w:t>PP18</w:t>
            </w:r>
          </w:p>
        </w:tc>
        <w:tc>
          <w:tcPr>
            <w:tcW w:w="6095" w:type="dxa"/>
          </w:tcPr>
          <w:p w14:paraId="4C910180" w14:textId="77777777" w:rsidR="006528DB" w:rsidRPr="00FB524C" w:rsidRDefault="006528DB" w:rsidP="00A074FC">
            <w:pPr>
              <w:pStyle w:val="PP-small"/>
            </w:pPr>
            <w:r w:rsidRPr="00FB524C">
              <w:t>In paediatric patients with CKD, ESA therapy to achieve a low to intermediate Hb target may be used to avoid RBC transfusion, after consideration of risks and benefits for the individual patient.</w:t>
            </w:r>
            <w:r w:rsidRPr="00FB524C">
              <w:rPr>
                <w:vertAlign w:val="superscript"/>
              </w:rPr>
              <w:t>a, b, c</w:t>
            </w:r>
          </w:p>
          <w:p w14:paraId="5A12B1B7" w14:textId="527F5BDF" w:rsidR="006528DB" w:rsidRPr="00FB524C" w:rsidRDefault="006528DB" w:rsidP="00E62798">
            <w:pPr>
              <w:pStyle w:val="PP-note"/>
            </w:pPr>
            <w:r w:rsidRPr="00FB524C">
              <w:rPr>
                <w:vertAlign w:val="superscript"/>
              </w:rPr>
              <w:t>a</w:t>
            </w:r>
            <w:r w:rsidRPr="00FB524C">
              <w:t xml:space="preserve"> See R4 in </w:t>
            </w:r>
            <w:r w:rsidRPr="00FB524C">
              <w:rPr>
                <w:i/>
              </w:rPr>
              <w:t>Patient Blood Management Guidelines: Module 3 – Medical</w:t>
            </w:r>
            <w:r w:rsidRPr="00FB524C">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EA18CB">
              <w:br/>
            </w:r>
            <w:r w:rsidRPr="00FB524C">
              <w:rPr>
                <w:vertAlign w:val="superscript"/>
              </w:rPr>
              <w:t>b</w:t>
            </w:r>
            <w:r w:rsidRPr="00FB524C">
              <w:t xml:space="preserve"> The KDIGO guidelines</w:t>
            </w:r>
            <w:hyperlink w:anchor="_ENREF_11" w:tooltip="Kidney Disease: Improving Global Outcomes (KDIGO) Anemia Work Group, 2012 #231" w:history="1">
              <w:r w:rsidR="00E62798">
                <w:fldChar w:fldCharType="begin"/>
              </w:r>
              <w:r w:rsidR="00E62798">
                <w:instrText xml:space="preserve"> ADDIN EN.CITE &lt;EndNote&gt;&lt;Cite&gt;&lt;Author&gt;Group&lt;/Author&gt;&lt;Year&gt;2012&lt;/Year&gt;&lt;RecNum&gt;231&lt;/RecNum&gt;&lt;DisplayText&gt;&lt;style face="superscript"&gt;11&lt;/style&gt;&lt;/DisplayText&gt;&lt;record&gt;&lt;rec-number&gt;231&lt;/rec-number&gt;&lt;foreign-keys&gt;&lt;key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fldChar w:fldCharType="separate"/>
              </w:r>
              <w:r w:rsidR="00E62798" w:rsidRPr="00E62798">
                <w:rPr>
                  <w:noProof/>
                  <w:vertAlign w:val="superscript"/>
                </w:rPr>
                <w:t>11</w:t>
              </w:r>
              <w:r w:rsidR="00E62798">
                <w:fldChar w:fldCharType="end"/>
              </w:r>
            </w:hyperlink>
            <w:r w:rsidRPr="00FB524C">
              <w:t xml:space="preserve"> recommend a Hb target of 110–120 g/L for paediatric patients and state that individualisation of ESA therapy is reasonable because some patients may have improvements in quality of </w:t>
            </w:r>
            <w:r w:rsidR="0008560B">
              <w:t>life at higher Hb concentration.</w:t>
            </w:r>
            <w:r w:rsidR="00EA18CB">
              <w:br/>
            </w:r>
            <w:r w:rsidRPr="00FB524C">
              <w:rPr>
                <w:vertAlign w:val="superscript"/>
              </w:rPr>
              <w:t>c</w:t>
            </w:r>
            <w:r w:rsidRPr="00FB524C">
              <w:t xml:space="preserve"> The NICE guidelines</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rsidRPr="00FB524C">
              <w:t xml:space="preserve"> recommend a Hb target of 100–120 g/L for children aged 2 years and older, and 95–115 g/L for children younger than 2 years of age (reflecting the lower normal range in that age group).</w:t>
            </w:r>
          </w:p>
        </w:tc>
        <w:tc>
          <w:tcPr>
            <w:tcW w:w="1083" w:type="dxa"/>
          </w:tcPr>
          <w:p w14:paraId="1A3899D7" w14:textId="77777777" w:rsidR="006528DB" w:rsidRPr="00FB524C" w:rsidRDefault="006528DB" w:rsidP="00A074FC">
            <w:pPr>
              <w:pStyle w:val="PP-small"/>
            </w:pPr>
            <w:r w:rsidRPr="00FB524C">
              <w:t>3.3.7</w:t>
            </w:r>
          </w:p>
        </w:tc>
      </w:tr>
      <w:tr w:rsidR="006528DB" w:rsidRPr="00FB524C" w14:paraId="68B9186E" w14:textId="77777777" w:rsidTr="00A074FC">
        <w:trPr>
          <w:cantSplit/>
          <w:tblHeader/>
        </w:trPr>
        <w:tc>
          <w:tcPr>
            <w:tcW w:w="1118" w:type="dxa"/>
          </w:tcPr>
          <w:p w14:paraId="2F1FBEBF" w14:textId="77777777" w:rsidR="006528DB" w:rsidRPr="00FB524C" w:rsidRDefault="006528DB" w:rsidP="00A074FC">
            <w:pPr>
              <w:pStyle w:val="PP-small"/>
            </w:pPr>
            <w:r w:rsidRPr="00FB524C">
              <w:t>PP19</w:t>
            </w:r>
          </w:p>
        </w:tc>
        <w:tc>
          <w:tcPr>
            <w:tcW w:w="6095" w:type="dxa"/>
          </w:tcPr>
          <w:p w14:paraId="6FE56DD7" w14:textId="329A8AC4" w:rsidR="006528DB" w:rsidRPr="00FB524C" w:rsidRDefault="006528DB" w:rsidP="00A074FC">
            <w:pPr>
              <w:pStyle w:val="PP-small"/>
            </w:pPr>
            <w:r w:rsidRPr="00FB524C">
              <w:t>In adult patients with CKD, ESA therapy to achieve a Hb target of &gt;</w:t>
            </w:r>
            <w:r w:rsidR="009A3D3A" w:rsidRPr="00FB524C">
              <w:t>130</w:t>
            </w:r>
            <w:r w:rsidR="00365CF4">
              <w:rPr>
                <w:lang w:val="en-AU"/>
              </w:rPr>
              <w:t> </w:t>
            </w:r>
            <w:r w:rsidRPr="00FB524C">
              <w:t>g/L is not recommended because of increased morbidity; therefore, it is sensible to apply this limit to paediatric patients.</w:t>
            </w:r>
            <w:r w:rsidRPr="00FB524C">
              <w:rPr>
                <w:vertAlign w:val="superscript"/>
              </w:rPr>
              <w:t>a</w:t>
            </w:r>
          </w:p>
          <w:p w14:paraId="4FB3C3BF" w14:textId="34E1F388" w:rsidR="006528DB" w:rsidRPr="00FB524C" w:rsidRDefault="006528DB" w:rsidP="00E62798">
            <w:pPr>
              <w:pStyle w:val="PP-note"/>
            </w:pPr>
            <w:r w:rsidRPr="00FB524C">
              <w:rPr>
                <w:vertAlign w:val="superscript"/>
              </w:rPr>
              <w:t xml:space="preserve">a </w:t>
            </w:r>
            <w:r w:rsidRPr="00FB524C">
              <w:t xml:space="preserve">See R6 in </w:t>
            </w:r>
            <w:r w:rsidRPr="00FB524C">
              <w:rPr>
                <w:i/>
              </w:rPr>
              <w:t>Patient Blood Management Guidelines: Module 3 – Medical</w:t>
            </w:r>
            <w:r w:rsidRPr="00FB524C">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Pr="00FB524C">
              <w:tab/>
            </w:r>
          </w:p>
        </w:tc>
        <w:tc>
          <w:tcPr>
            <w:tcW w:w="1083" w:type="dxa"/>
          </w:tcPr>
          <w:p w14:paraId="3E694CEE" w14:textId="77777777" w:rsidR="006528DB" w:rsidRPr="00FB524C" w:rsidRDefault="006528DB" w:rsidP="00A074FC">
            <w:pPr>
              <w:pStyle w:val="PP-small"/>
            </w:pPr>
            <w:r w:rsidRPr="00FB524C">
              <w:t>3.3.7</w:t>
            </w:r>
          </w:p>
        </w:tc>
      </w:tr>
      <w:tr w:rsidR="006528DB" w:rsidRPr="00FB524C" w14:paraId="13DBF71E" w14:textId="77777777" w:rsidTr="00A074FC">
        <w:trPr>
          <w:cantSplit/>
          <w:tblHeader/>
        </w:trPr>
        <w:tc>
          <w:tcPr>
            <w:tcW w:w="1118" w:type="dxa"/>
          </w:tcPr>
          <w:p w14:paraId="1FEB293A" w14:textId="77777777" w:rsidR="006528DB" w:rsidRPr="00FB524C" w:rsidRDefault="006528DB" w:rsidP="00A074FC">
            <w:pPr>
              <w:pStyle w:val="PP-small"/>
            </w:pPr>
            <w:r w:rsidRPr="00FB524C">
              <w:t>PP20</w:t>
            </w:r>
          </w:p>
        </w:tc>
        <w:tc>
          <w:tcPr>
            <w:tcW w:w="6095" w:type="dxa"/>
          </w:tcPr>
          <w:p w14:paraId="1B9953D0" w14:textId="77777777" w:rsidR="006528DB" w:rsidRPr="00FB524C" w:rsidRDefault="006528DB" w:rsidP="00A074FC">
            <w:pPr>
              <w:pStyle w:val="PP-small"/>
            </w:pPr>
            <w:r w:rsidRPr="00FB524C">
              <w:t>ESA use is less effective in patients with CKD who have absolute or functional iron deficiency.</w:t>
            </w:r>
            <w:r w:rsidRPr="00FB524C">
              <w:rPr>
                <w:vertAlign w:val="superscript"/>
              </w:rPr>
              <w:t>a</w:t>
            </w:r>
          </w:p>
          <w:p w14:paraId="64311FD0" w14:textId="2FDA1A09" w:rsidR="006528DB" w:rsidRPr="00FB524C" w:rsidRDefault="006528DB" w:rsidP="00E62798">
            <w:pPr>
              <w:pStyle w:val="PP-note"/>
            </w:pPr>
            <w:r w:rsidRPr="00FB524C">
              <w:rPr>
                <w:vertAlign w:val="superscript"/>
              </w:rPr>
              <w:t>a</w:t>
            </w:r>
            <w:r w:rsidRPr="00FB524C">
              <w:t xml:space="preserve"> See PP13 in </w:t>
            </w:r>
            <w:r w:rsidRPr="00FB524C">
              <w:rPr>
                <w:i/>
              </w:rPr>
              <w:t>Patient Blood Management Guidelines: Module 3 – Medical</w:t>
            </w:r>
            <w:r w:rsidRPr="00FB524C">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c>
          <w:tcPr>
            <w:tcW w:w="1083" w:type="dxa"/>
          </w:tcPr>
          <w:p w14:paraId="4B9E52D1" w14:textId="77777777" w:rsidR="006528DB" w:rsidRPr="00FB524C" w:rsidRDefault="006528DB" w:rsidP="00A074FC">
            <w:pPr>
              <w:pStyle w:val="PP-small"/>
            </w:pPr>
            <w:r w:rsidRPr="00FB524C">
              <w:t>3.3.7</w:t>
            </w:r>
          </w:p>
        </w:tc>
      </w:tr>
      <w:tr w:rsidR="006528DB" w:rsidRPr="00FB524C" w14:paraId="489BD43A" w14:textId="77777777" w:rsidTr="00A074FC">
        <w:trPr>
          <w:cantSplit/>
          <w:tblHeader/>
        </w:trPr>
        <w:tc>
          <w:tcPr>
            <w:tcW w:w="1118" w:type="dxa"/>
          </w:tcPr>
          <w:p w14:paraId="78A3EF8B" w14:textId="77777777" w:rsidR="006528DB" w:rsidRPr="00FB524C" w:rsidRDefault="006528DB" w:rsidP="00A074FC">
            <w:pPr>
              <w:pStyle w:val="PP-small"/>
            </w:pPr>
            <w:r w:rsidRPr="00FB524C">
              <w:t>PP21</w:t>
            </w:r>
          </w:p>
        </w:tc>
        <w:tc>
          <w:tcPr>
            <w:tcW w:w="6095" w:type="dxa"/>
          </w:tcPr>
          <w:p w14:paraId="4429A9CC" w14:textId="5BCA1D7A" w:rsidR="006528DB" w:rsidRPr="00FB524C" w:rsidRDefault="006528DB" w:rsidP="00A074FC">
            <w:pPr>
              <w:pStyle w:val="PP-small"/>
            </w:pPr>
            <w:r w:rsidRPr="00FB524C">
              <w:t>Where ESAs are indicated for the treatment or prevention of anaemia in</w:t>
            </w:r>
            <w:r w:rsidR="00091FD5">
              <w:rPr>
                <w:lang w:val="en-AU"/>
              </w:rPr>
              <w:t xml:space="preserve"> neonatal and</w:t>
            </w:r>
            <w:r w:rsidRPr="00FB524C">
              <w:t xml:space="preserve"> paediatric patients, they should be combined with iron therapy.</w:t>
            </w:r>
          </w:p>
        </w:tc>
        <w:tc>
          <w:tcPr>
            <w:tcW w:w="1083" w:type="dxa"/>
          </w:tcPr>
          <w:p w14:paraId="0D63CC28" w14:textId="77777777" w:rsidR="006528DB" w:rsidRPr="00FB524C" w:rsidRDefault="006528DB" w:rsidP="00A074FC">
            <w:pPr>
              <w:pStyle w:val="PP-small"/>
            </w:pPr>
            <w:r w:rsidRPr="00FB524C">
              <w:t>3.3.7</w:t>
            </w:r>
          </w:p>
        </w:tc>
      </w:tr>
      <w:tr w:rsidR="006528DB" w:rsidRPr="00FB524C" w14:paraId="2ED01FF5" w14:textId="77777777" w:rsidTr="00A074FC">
        <w:trPr>
          <w:cantSplit/>
          <w:tblHeader/>
        </w:trPr>
        <w:tc>
          <w:tcPr>
            <w:tcW w:w="1118" w:type="dxa"/>
          </w:tcPr>
          <w:p w14:paraId="1D2989AB" w14:textId="77777777" w:rsidR="006528DB" w:rsidRPr="00FB524C" w:rsidRDefault="006528DB" w:rsidP="00A074FC">
            <w:pPr>
              <w:pStyle w:val="PP-small"/>
            </w:pPr>
            <w:r w:rsidRPr="00FB524C">
              <w:t>PP25</w:t>
            </w:r>
          </w:p>
        </w:tc>
        <w:tc>
          <w:tcPr>
            <w:tcW w:w="6095" w:type="dxa"/>
          </w:tcPr>
          <w:p w14:paraId="5D931B5E" w14:textId="77777777" w:rsidR="006528DB" w:rsidRPr="00FB524C" w:rsidRDefault="006528DB" w:rsidP="00A074FC">
            <w:pPr>
              <w:pStyle w:val="PP-small"/>
            </w:pPr>
            <w:r w:rsidRPr="00FB524C">
              <w:t>In neonatal and paediatric surgical patients, an ESA should only be prescribed in consultation with a paediatric haematologist, and should be combined with iron therapy.</w:t>
            </w:r>
          </w:p>
        </w:tc>
        <w:tc>
          <w:tcPr>
            <w:tcW w:w="1083" w:type="dxa"/>
          </w:tcPr>
          <w:p w14:paraId="6F8DD277" w14:textId="77777777" w:rsidR="006528DB" w:rsidRPr="00FB524C" w:rsidRDefault="006528DB" w:rsidP="00A074FC">
            <w:pPr>
              <w:pStyle w:val="PP-small"/>
            </w:pPr>
            <w:r w:rsidRPr="00FB524C">
              <w:t>3.3.11</w:t>
            </w:r>
          </w:p>
        </w:tc>
      </w:tr>
      <w:tr w:rsidR="006528DB" w:rsidRPr="00FB524C" w14:paraId="2155E211" w14:textId="77777777" w:rsidTr="00A074FC">
        <w:trPr>
          <w:cantSplit/>
          <w:tblHeader/>
        </w:trPr>
        <w:tc>
          <w:tcPr>
            <w:tcW w:w="1118" w:type="dxa"/>
          </w:tcPr>
          <w:p w14:paraId="0166D63F" w14:textId="77777777" w:rsidR="006528DB" w:rsidRPr="00FF2EFF" w:rsidRDefault="006528DB" w:rsidP="00A074FC">
            <w:pPr>
              <w:pStyle w:val="PP-small"/>
            </w:pPr>
            <w:r w:rsidRPr="00FF2EFF">
              <w:t>PP26</w:t>
            </w:r>
          </w:p>
        </w:tc>
        <w:tc>
          <w:tcPr>
            <w:tcW w:w="6095" w:type="dxa"/>
          </w:tcPr>
          <w:p w14:paraId="6135D300" w14:textId="77777777" w:rsidR="006528DB" w:rsidRPr="00FB524C" w:rsidRDefault="006528DB" w:rsidP="00A074FC">
            <w:pPr>
              <w:pStyle w:val="PP-small"/>
            </w:pPr>
            <w:r w:rsidRPr="00FB524C">
              <w:t xml:space="preserve">In critically ill paediatric patients with anaemia, ESAs should not be </w:t>
            </w:r>
            <w:r w:rsidRPr="00FB524C">
              <w:rPr>
                <w:i/>
              </w:rPr>
              <w:t xml:space="preserve">routinely </w:t>
            </w:r>
            <w:r w:rsidRPr="00FB524C">
              <w:t>used.</w:t>
            </w:r>
            <w:r w:rsidRPr="00FB524C">
              <w:rPr>
                <w:vertAlign w:val="superscript"/>
              </w:rPr>
              <w:t>a</w:t>
            </w:r>
          </w:p>
          <w:p w14:paraId="68EC95F8" w14:textId="20159869" w:rsidR="006528DB" w:rsidRPr="00FB524C" w:rsidRDefault="006528DB" w:rsidP="00E62798">
            <w:pPr>
              <w:pStyle w:val="PP-note"/>
            </w:pPr>
            <w:r w:rsidRPr="00FB524C">
              <w:rPr>
                <w:vertAlign w:val="superscript"/>
              </w:rPr>
              <w:t>a</w:t>
            </w:r>
            <w:r w:rsidRPr="00FB524C">
              <w:t xml:space="preserve"> This point is based on the lack of effect of ESAs on mortality in critically ill adult patients. See R2 in </w:t>
            </w:r>
            <w:r w:rsidRPr="00FB524C">
              <w:rPr>
                <w:i/>
              </w:rPr>
              <w:t>Patient Blood Management Guidelines: Module 4 – Critical Care</w:t>
            </w:r>
            <w:r w:rsidRPr="00FB524C">
              <w:t>.</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p>
        </w:tc>
        <w:tc>
          <w:tcPr>
            <w:tcW w:w="1083" w:type="dxa"/>
          </w:tcPr>
          <w:p w14:paraId="574230C5" w14:textId="77777777" w:rsidR="006528DB" w:rsidRPr="00FB524C" w:rsidRDefault="006528DB" w:rsidP="00A074FC">
            <w:pPr>
              <w:pStyle w:val="PP-small"/>
            </w:pPr>
            <w:r w:rsidRPr="00FB524C">
              <w:t>3.3.13</w:t>
            </w:r>
          </w:p>
        </w:tc>
      </w:tr>
      <w:tr w:rsidR="006528DB" w:rsidRPr="00FB524C" w14:paraId="19DADE3F" w14:textId="77777777" w:rsidTr="009A3D3A">
        <w:trPr>
          <w:cantSplit/>
          <w:tblHeader/>
        </w:trPr>
        <w:tc>
          <w:tcPr>
            <w:tcW w:w="8296" w:type="dxa"/>
            <w:gridSpan w:val="3"/>
            <w:shd w:val="clear" w:color="auto" w:fill="D9D9D9" w:themeFill="background1" w:themeFillShade="D9"/>
          </w:tcPr>
          <w:p w14:paraId="6D315D72" w14:textId="77777777" w:rsidR="006528DB" w:rsidRPr="00EA18CB" w:rsidRDefault="006528DB" w:rsidP="00A074FC">
            <w:pPr>
              <w:pStyle w:val="PP-small"/>
              <w:rPr>
                <w:b/>
              </w:rPr>
            </w:pPr>
            <w:r w:rsidRPr="00EA18CB">
              <w:rPr>
                <w:b/>
              </w:rPr>
              <w:t>Oral and/or parenteral iron</w:t>
            </w:r>
          </w:p>
        </w:tc>
      </w:tr>
      <w:tr w:rsidR="006528DB" w:rsidRPr="00FB524C" w14:paraId="23CFCAFE" w14:textId="77777777" w:rsidTr="00A074FC">
        <w:trPr>
          <w:cantSplit/>
          <w:tblHeader/>
        </w:trPr>
        <w:tc>
          <w:tcPr>
            <w:tcW w:w="1118" w:type="dxa"/>
          </w:tcPr>
          <w:p w14:paraId="7C8CC5DD" w14:textId="77777777" w:rsidR="006528DB" w:rsidRPr="00FB524C" w:rsidRDefault="006528DB" w:rsidP="00A074FC">
            <w:pPr>
              <w:pStyle w:val="PP-small"/>
            </w:pPr>
            <w:r w:rsidRPr="00FB524C">
              <w:t>PP13</w:t>
            </w:r>
          </w:p>
        </w:tc>
        <w:tc>
          <w:tcPr>
            <w:tcW w:w="6095" w:type="dxa"/>
          </w:tcPr>
          <w:p w14:paraId="3F8FAB38" w14:textId="77777777" w:rsidR="006528DB" w:rsidRPr="00FB524C" w:rsidRDefault="006528DB" w:rsidP="00A074FC">
            <w:pPr>
              <w:pStyle w:val="PP-small"/>
            </w:pPr>
            <w:r w:rsidRPr="00FB524C">
              <w:t>Preterm and low birth weight infants should receive iron supplementation as necessary to achieve the RNI. However, routine supplementation in excess of the RNI, to reduce transfusion incidence, is not supported.</w:t>
            </w:r>
          </w:p>
        </w:tc>
        <w:tc>
          <w:tcPr>
            <w:tcW w:w="1083" w:type="dxa"/>
          </w:tcPr>
          <w:p w14:paraId="05A8479B" w14:textId="77777777" w:rsidR="006528DB" w:rsidRPr="00FB524C" w:rsidRDefault="006528DB" w:rsidP="00A074FC">
            <w:pPr>
              <w:pStyle w:val="PP-small"/>
            </w:pPr>
            <w:r w:rsidRPr="00FB524C">
              <w:t>3.3.2</w:t>
            </w:r>
          </w:p>
        </w:tc>
      </w:tr>
      <w:tr w:rsidR="006528DB" w:rsidRPr="00FB524C" w14:paraId="108F7877" w14:textId="77777777" w:rsidTr="00A074FC">
        <w:trPr>
          <w:cantSplit/>
          <w:tblHeader/>
        </w:trPr>
        <w:tc>
          <w:tcPr>
            <w:tcW w:w="1118" w:type="dxa"/>
          </w:tcPr>
          <w:p w14:paraId="75AB4943" w14:textId="77777777" w:rsidR="006528DB" w:rsidRPr="00FB524C" w:rsidRDefault="006528DB" w:rsidP="00A074FC">
            <w:pPr>
              <w:pStyle w:val="PP-small"/>
            </w:pPr>
            <w:r w:rsidRPr="00FB524C">
              <w:t>PP14</w:t>
            </w:r>
          </w:p>
        </w:tc>
        <w:tc>
          <w:tcPr>
            <w:tcW w:w="6095" w:type="dxa"/>
          </w:tcPr>
          <w:p w14:paraId="47268B1F" w14:textId="77777777" w:rsidR="006528DB" w:rsidRPr="00FB524C" w:rsidRDefault="006528DB" w:rsidP="00A074FC">
            <w:pPr>
              <w:pStyle w:val="PP-small"/>
            </w:pPr>
            <w:r w:rsidRPr="00FB524C">
              <w:t>Infants and children should receive sufficient dietary iron to achieve the AI or RDI. If the AI or RDI cannot be met by dietary means, iron supplementation is advised.</w:t>
            </w:r>
          </w:p>
        </w:tc>
        <w:tc>
          <w:tcPr>
            <w:tcW w:w="1083" w:type="dxa"/>
          </w:tcPr>
          <w:p w14:paraId="2CB400CD" w14:textId="77777777" w:rsidR="006528DB" w:rsidRPr="00FB524C" w:rsidRDefault="006528DB" w:rsidP="00A074FC">
            <w:pPr>
              <w:pStyle w:val="PP-small"/>
            </w:pPr>
            <w:r w:rsidRPr="00FB524C">
              <w:t>3.3.4</w:t>
            </w:r>
          </w:p>
        </w:tc>
      </w:tr>
      <w:tr w:rsidR="006528DB" w:rsidRPr="00FB524C" w14:paraId="4398C6D0" w14:textId="77777777" w:rsidTr="00A074FC">
        <w:trPr>
          <w:cantSplit/>
          <w:tblHeader/>
        </w:trPr>
        <w:tc>
          <w:tcPr>
            <w:tcW w:w="1118" w:type="dxa"/>
          </w:tcPr>
          <w:p w14:paraId="6B0D2559" w14:textId="77777777" w:rsidR="006528DB" w:rsidRPr="00FB524C" w:rsidRDefault="006528DB" w:rsidP="00A074FC">
            <w:pPr>
              <w:pStyle w:val="PP-small"/>
            </w:pPr>
            <w:r w:rsidRPr="00FB524C">
              <w:t>PP15</w:t>
            </w:r>
          </w:p>
        </w:tc>
        <w:tc>
          <w:tcPr>
            <w:tcW w:w="6095" w:type="dxa"/>
          </w:tcPr>
          <w:p w14:paraId="725EC968" w14:textId="77777777" w:rsidR="006528DB" w:rsidRPr="00FB524C" w:rsidRDefault="006528DB" w:rsidP="00A074FC">
            <w:pPr>
              <w:pStyle w:val="PP-small"/>
            </w:pPr>
            <w:r w:rsidRPr="00FB524C">
              <w:t>Infants and children in populations at high risk</w:t>
            </w:r>
            <w:r w:rsidRPr="00FB524C">
              <w:rPr>
                <w:vertAlign w:val="superscript"/>
              </w:rPr>
              <w:t>a</w:t>
            </w:r>
            <w:r w:rsidRPr="00FB524C">
              <w:t xml:space="preserve"> of iron deficiency should be screened for this condition.</w:t>
            </w:r>
            <w:r w:rsidRPr="00FB524C">
              <w:rPr>
                <w:vertAlign w:val="superscript"/>
              </w:rPr>
              <w:t>b</w:t>
            </w:r>
          </w:p>
          <w:p w14:paraId="6CA6B3C8" w14:textId="490D3357" w:rsidR="006528DB" w:rsidRPr="00FB524C" w:rsidRDefault="006528DB" w:rsidP="00E62798">
            <w:pPr>
              <w:pStyle w:val="PP-note"/>
            </w:pPr>
            <w:r w:rsidRPr="00FB524C">
              <w:rPr>
                <w:vertAlign w:val="superscript"/>
              </w:rPr>
              <w:t>a</w:t>
            </w:r>
            <w:r w:rsidRPr="00FB524C">
              <w:t xml:space="preserve"> See Domellof et al (2014)</w:t>
            </w:r>
            <w:hyperlink w:anchor="_ENREF_13" w:tooltip="Domellof, 2014 #21" w:history="1">
              <w:r w:rsidR="00E62798">
                <w:fldChar w:fldCharType="begin">
                  <w:fldData xml:space="preserve">PEVuZE5vdGU+PENpdGU+PEF1dGhvcj5Eb21lbGxvZjwvQXV0aG9yPjxZZWFyPjIwMTQ8L1llYXI+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dHJvZW50ZXJvbG9neSBhbmQgbnV0cml0aW9uPC9hYmJyLTE+PC9hbHQtcGVyaW9kaWNhbD48cGFn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</w:fldData>
                </w:fldChar>
              </w:r>
              <w:r w:rsidR="00E62798">
                <w:instrText xml:space="preserve"> ADDIN EN.CITE </w:instrText>
              </w:r>
              <w:r w:rsidR="00E62798">
                <w:fldChar w:fldCharType="begin">
                  <w:fldData xml:space="preserve">PEVuZE5vdGU+PENpdGU+PEF1dGhvcj5Eb21lbGxvZjwvQXV0aG9yPjxZZWFyPjIwMTQ8L1llYXI+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dHJvZW50ZXJvbG9neSBhbmQgbnV0cml0aW9uPC9hYmJyLTE+PC9hbHQtcGVyaW9kaWNhbD48cGFn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w:t>
              </w:r>
              <w:r w:rsidR="00E62798">
                <w:fldChar w:fldCharType="end"/>
              </w:r>
            </w:hyperlink>
            <w:r w:rsidRPr="00FB524C">
              <w:t xml:space="preserve"> and Pottie et al (2011)</w:t>
            </w:r>
            <w:hyperlink w:anchor="_ENREF_14" w:tooltip="Pottie, 2011 #202" w:history="1">
              <w:r w:rsidR="00E62798">
                <w:fldChar w:fldCharType="begin">
                  <w:fldData xml:space="preserve">PEVuZE5vdGU+PENpdGU+PEF1dGhvcj5Qb3R0aWU8L0F1dGhvcj48WWVhcj4yMDExPC9ZZWFyPjxS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b24gbWVkaWNhbGUgY2FuYWRpZW5uZTwvYWJici0xPjwvYWx0LXBlcmlvZGljYWw+PHBhZ2VzPkU4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</w:fldData>
                </w:fldChar>
              </w:r>
              <w:r w:rsidR="00E62798">
                <w:instrText xml:space="preserve"> ADDIN EN.CITE </w:instrText>
              </w:r>
              <w:r w:rsidR="00E62798">
                <w:fldChar w:fldCharType="begin">
                  <w:fldData xml:space="preserve">PEVuZE5vdGU+PENpdGU+PEF1dGhvcj5Qb3R0aWU8L0F1dGhvcj48WWVhcj4yMDExPC9ZZWFyPjxS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b24gbWVkaWNhbGUgY2FuYWRpZW5uZTwvYWJici0xPjwvYWx0LXBlcmlvZGljYWw+PHBhZ2VzPkU4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w:t>
              </w:r>
              <w:r w:rsidR="00E62798">
                <w:fldChar w:fldCharType="end"/>
              </w:r>
            </w:hyperlink>
            <w:r w:rsidR="00EA18CB">
              <w:br/>
            </w:r>
            <w:r w:rsidRPr="00FB524C">
              <w:rPr>
                <w:vertAlign w:val="superscript"/>
              </w:rPr>
              <w:t>b</w:t>
            </w:r>
            <w:r w:rsidRPr="00FB524C">
              <w:t xml:space="preserve"> See Section 3.6</w:t>
            </w:r>
            <w:r w:rsidR="009A3D3A">
              <w:t>.</w:t>
            </w:r>
          </w:p>
        </w:tc>
        <w:tc>
          <w:tcPr>
            <w:tcW w:w="1083" w:type="dxa"/>
          </w:tcPr>
          <w:p w14:paraId="524BDE37" w14:textId="77777777" w:rsidR="006528DB" w:rsidRPr="00FB524C" w:rsidRDefault="006528DB" w:rsidP="00A074FC">
            <w:pPr>
              <w:pStyle w:val="PP-small"/>
            </w:pPr>
            <w:r w:rsidRPr="00FB524C">
              <w:t>3.3.4</w:t>
            </w:r>
          </w:p>
        </w:tc>
      </w:tr>
      <w:tr w:rsidR="006528DB" w:rsidRPr="00FB524C" w14:paraId="330BB96C" w14:textId="77777777" w:rsidTr="00A074FC">
        <w:trPr>
          <w:cantSplit/>
          <w:tblHeader/>
        </w:trPr>
        <w:tc>
          <w:tcPr>
            <w:tcW w:w="1118" w:type="dxa"/>
          </w:tcPr>
          <w:p w14:paraId="570FE371" w14:textId="77777777" w:rsidR="006528DB" w:rsidRPr="00FB524C" w:rsidRDefault="006528DB" w:rsidP="00A074FC">
            <w:pPr>
              <w:pStyle w:val="PP-small"/>
            </w:pPr>
            <w:r w:rsidRPr="00FB524C">
              <w:t>PP16</w:t>
            </w:r>
          </w:p>
        </w:tc>
        <w:tc>
          <w:tcPr>
            <w:tcW w:w="6095" w:type="dxa"/>
          </w:tcPr>
          <w:p w14:paraId="179543A4" w14:textId="77777777" w:rsidR="006528DB" w:rsidRPr="00FB524C" w:rsidRDefault="006528DB" w:rsidP="00A074FC">
            <w:pPr>
              <w:pStyle w:val="PP-small"/>
            </w:pPr>
            <w:r w:rsidRPr="00FB524C">
              <w:t>Infants and children with iron deficiency should be treated with iron supplements and dietary modifications.</w:t>
            </w:r>
          </w:p>
        </w:tc>
        <w:tc>
          <w:tcPr>
            <w:tcW w:w="1083" w:type="dxa"/>
          </w:tcPr>
          <w:p w14:paraId="54509908" w14:textId="77777777" w:rsidR="006528DB" w:rsidRPr="00FB524C" w:rsidRDefault="006528DB" w:rsidP="00A074FC">
            <w:pPr>
              <w:pStyle w:val="PP-small"/>
            </w:pPr>
            <w:r w:rsidRPr="00FB524C">
              <w:t>3.3.4</w:t>
            </w:r>
          </w:p>
        </w:tc>
      </w:tr>
      <w:tr w:rsidR="006528DB" w:rsidRPr="00FB524C" w14:paraId="76F58D43" w14:textId="77777777" w:rsidTr="00A074FC">
        <w:trPr>
          <w:cantSplit/>
          <w:tblHeader/>
        </w:trPr>
        <w:tc>
          <w:tcPr>
            <w:tcW w:w="1118" w:type="dxa"/>
          </w:tcPr>
          <w:p w14:paraId="63D54531" w14:textId="77777777" w:rsidR="006528DB" w:rsidRPr="00FB524C" w:rsidRDefault="006528DB" w:rsidP="00A074FC">
            <w:pPr>
              <w:pStyle w:val="PP-small"/>
            </w:pPr>
            <w:r w:rsidRPr="00FB524C">
              <w:lastRenderedPageBreak/>
              <w:t>PP23</w:t>
            </w:r>
          </w:p>
        </w:tc>
        <w:tc>
          <w:tcPr>
            <w:tcW w:w="6095" w:type="dxa"/>
          </w:tcPr>
          <w:p w14:paraId="07CC444B" w14:textId="77777777" w:rsidR="006528DB" w:rsidRPr="00FB524C" w:rsidRDefault="006528DB" w:rsidP="00A074FC">
            <w:pPr>
              <w:pStyle w:val="PP-small"/>
            </w:pPr>
            <w:r w:rsidRPr="00FB524C">
              <w:t>In neonatal and paediatric surgical patients in whom substantial blood loss is anticipated, preoperative anaemia and iron deficiency</w:t>
            </w:r>
            <w:r w:rsidRPr="00FB524C">
              <w:rPr>
                <w:vertAlign w:val="superscript"/>
              </w:rPr>
              <w:t>a</w:t>
            </w:r>
            <w:r w:rsidRPr="00FB524C">
              <w:t xml:space="preserve"> should be identified, evaluated and managed to minimise RBC transfusion.</w:t>
            </w:r>
            <w:r w:rsidRPr="00FB524C">
              <w:rPr>
                <w:vertAlign w:val="superscript"/>
              </w:rPr>
              <w:t>b</w:t>
            </w:r>
          </w:p>
          <w:p w14:paraId="42649C68" w14:textId="6DCA3DD1" w:rsidR="006528DB" w:rsidRPr="00FB524C" w:rsidRDefault="006528DB" w:rsidP="0026291E">
            <w:pPr>
              <w:pStyle w:val="PP-note"/>
            </w:pPr>
            <w:r w:rsidRPr="00FB524C">
              <w:rPr>
                <w:vertAlign w:val="superscript"/>
              </w:rPr>
              <w:t>a</w:t>
            </w:r>
            <w:r w:rsidRPr="00FB524C">
              <w:t xml:space="preserve"> Iron deficiency can be present with a normal </w:t>
            </w:r>
            <w:r w:rsidR="0026291E">
              <w:t>Hb.</w:t>
            </w:r>
            <w:r w:rsidR="0026291E" w:rsidRPr="00FB524C">
              <w:t xml:space="preserve"> </w:t>
            </w:r>
            <w:r w:rsidRPr="00FB524C">
              <w:br/>
            </w:r>
            <w:r w:rsidRPr="00FB524C">
              <w:rPr>
                <w:vertAlign w:val="superscript"/>
              </w:rPr>
              <w:t xml:space="preserve">b </w:t>
            </w:r>
            <w:r w:rsidRPr="00FB524C">
              <w:t>See Appendix G (</w:t>
            </w:r>
            <w:r w:rsidRPr="00FB524C">
              <w:rPr>
                <w:i/>
              </w:rPr>
              <w:t>Paediatric haemoglobin assessment and optimisation template</w:t>
            </w:r>
            <w:r w:rsidRPr="00FB524C">
              <w:t>) for further information on the optimal dosing strategy.</w:t>
            </w:r>
          </w:p>
        </w:tc>
        <w:tc>
          <w:tcPr>
            <w:tcW w:w="1083" w:type="dxa"/>
          </w:tcPr>
          <w:p w14:paraId="28D10D3C" w14:textId="77777777" w:rsidR="006528DB" w:rsidRPr="00FB524C" w:rsidRDefault="006528DB" w:rsidP="00A074FC">
            <w:pPr>
              <w:pStyle w:val="PP-small"/>
            </w:pPr>
            <w:r w:rsidRPr="00FB524C">
              <w:t>3.3.12</w:t>
            </w:r>
          </w:p>
        </w:tc>
      </w:tr>
      <w:tr w:rsidR="006528DB" w:rsidRPr="00FB524C" w14:paraId="7DE1870E" w14:textId="77777777" w:rsidTr="00A074FC">
        <w:trPr>
          <w:cantSplit/>
          <w:tblHeader/>
        </w:trPr>
        <w:tc>
          <w:tcPr>
            <w:tcW w:w="1118" w:type="dxa"/>
          </w:tcPr>
          <w:p w14:paraId="453934B5" w14:textId="77777777" w:rsidR="006528DB" w:rsidRPr="00FB524C" w:rsidRDefault="006528DB" w:rsidP="00A074FC">
            <w:pPr>
              <w:pStyle w:val="PP-small"/>
            </w:pPr>
            <w:r w:rsidRPr="00FB524C">
              <w:t>PP24</w:t>
            </w:r>
          </w:p>
        </w:tc>
        <w:tc>
          <w:tcPr>
            <w:tcW w:w="6095" w:type="dxa"/>
          </w:tcPr>
          <w:p w14:paraId="3EA7D6DA" w14:textId="77777777" w:rsidR="006528DB" w:rsidRPr="00FB524C" w:rsidRDefault="006528DB" w:rsidP="00A074FC">
            <w:pPr>
              <w:pStyle w:val="PP-small"/>
            </w:pPr>
            <w:r w:rsidRPr="00FB524C">
              <w:t>To implement PP23, patients should be evaluated as early as possible so that scheduling of surgery can be coordinated with optimisation of the patient’s Hb and iron stores.</w:t>
            </w:r>
          </w:p>
        </w:tc>
        <w:tc>
          <w:tcPr>
            <w:tcW w:w="1083" w:type="dxa"/>
          </w:tcPr>
          <w:p w14:paraId="47EA2D88" w14:textId="77777777" w:rsidR="006528DB" w:rsidRPr="00FB524C" w:rsidRDefault="006528DB" w:rsidP="00A074FC">
            <w:pPr>
              <w:pStyle w:val="PP-small"/>
            </w:pPr>
            <w:r w:rsidRPr="00FB524C">
              <w:t>3.3.12</w:t>
            </w:r>
          </w:p>
        </w:tc>
      </w:tr>
      <w:tr w:rsidR="006528DB" w:rsidRPr="00FB524C" w14:paraId="057C71F9" w14:textId="77777777" w:rsidTr="00A074FC">
        <w:trPr>
          <w:cantSplit/>
          <w:tblHeader/>
        </w:trPr>
        <w:tc>
          <w:tcPr>
            <w:tcW w:w="1118" w:type="dxa"/>
          </w:tcPr>
          <w:p w14:paraId="50071D52" w14:textId="77777777" w:rsidR="006528DB" w:rsidRPr="00FB524C" w:rsidRDefault="006528DB" w:rsidP="00A074FC">
            <w:pPr>
              <w:pStyle w:val="PP-small"/>
            </w:pPr>
            <w:r w:rsidRPr="00FB524C">
              <w:t>PP27</w:t>
            </w:r>
          </w:p>
        </w:tc>
        <w:tc>
          <w:tcPr>
            <w:tcW w:w="6095" w:type="dxa"/>
          </w:tcPr>
          <w:p w14:paraId="3BFCA8BB" w14:textId="77777777" w:rsidR="006528DB" w:rsidRPr="00FB524C" w:rsidRDefault="006528DB" w:rsidP="00A074FC">
            <w:pPr>
              <w:pStyle w:val="PP-small"/>
            </w:pPr>
            <w:r w:rsidRPr="00FB524C">
              <w:t xml:space="preserve">Critically ill paediatric patients should receive iron supplementation as necessary to achieve the RNI. </w:t>
            </w:r>
          </w:p>
        </w:tc>
        <w:tc>
          <w:tcPr>
            <w:tcW w:w="1083" w:type="dxa"/>
          </w:tcPr>
          <w:p w14:paraId="66E1F4E2" w14:textId="77777777" w:rsidR="006528DB" w:rsidRPr="00FB524C" w:rsidRDefault="006528DB" w:rsidP="00A074FC">
            <w:pPr>
              <w:pStyle w:val="PP-small"/>
            </w:pPr>
            <w:r w:rsidRPr="00FB524C">
              <w:t>3.3.14</w:t>
            </w:r>
          </w:p>
        </w:tc>
      </w:tr>
      <w:tr w:rsidR="006528DB" w:rsidRPr="00FB524C" w14:paraId="4F30ABF0" w14:textId="77777777" w:rsidTr="00A074FC">
        <w:trPr>
          <w:cantSplit/>
          <w:tblHeader/>
        </w:trPr>
        <w:tc>
          <w:tcPr>
            <w:tcW w:w="1118" w:type="dxa"/>
          </w:tcPr>
          <w:p w14:paraId="122D1834" w14:textId="77777777" w:rsidR="006528DB" w:rsidRPr="00FB524C" w:rsidRDefault="006528DB" w:rsidP="00A074FC">
            <w:pPr>
              <w:pStyle w:val="PP-small"/>
            </w:pPr>
            <w:r w:rsidRPr="00FB524C">
              <w:t>EOP30</w:t>
            </w:r>
          </w:p>
        </w:tc>
        <w:tc>
          <w:tcPr>
            <w:tcW w:w="6095" w:type="dxa"/>
          </w:tcPr>
          <w:p w14:paraId="670645F3" w14:textId="77777777" w:rsidR="006528DB" w:rsidRPr="00FB524C" w:rsidRDefault="006528DB" w:rsidP="00A074FC">
            <w:pPr>
              <w:pStyle w:val="PP-small"/>
            </w:pPr>
            <w:r w:rsidRPr="00FB524C">
              <w:t>From 6 months of age, all infants and children should receive iron-rich foods.</w:t>
            </w:r>
          </w:p>
        </w:tc>
        <w:tc>
          <w:tcPr>
            <w:tcW w:w="1083" w:type="dxa"/>
          </w:tcPr>
          <w:p w14:paraId="76B66AEB" w14:textId="77777777" w:rsidR="006528DB" w:rsidRPr="00FB524C" w:rsidRDefault="006528DB" w:rsidP="00A074FC">
            <w:pPr>
              <w:pStyle w:val="PP-small"/>
            </w:pPr>
            <w:r w:rsidRPr="00FB524C">
              <w:t>4.5.5</w:t>
            </w:r>
          </w:p>
        </w:tc>
      </w:tr>
      <w:tr w:rsidR="006528DB" w:rsidRPr="00FB524C" w14:paraId="729927C1" w14:textId="77777777" w:rsidTr="00A074FC">
        <w:trPr>
          <w:cantSplit/>
          <w:tblHeader/>
        </w:trPr>
        <w:tc>
          <w:tcPr>
            <w:tcW w:w="1118" w:type="dxa"/>
          </w:tcPr>
          <w:p w14:paraId="1940E5B0" w14:textId="77777777" w:rsidR="006528DB" w:rsidRPr="00FB524C" w:rsidRDefault="006528DB" w:rsidP="00A074FC">
            <w:pPr>
              <w:pStyle w:val="PP-small"/>
            </w:pPr>
            <w:r w:rsidRPr="00FB524C">
              <w:t>EOP31</w:t>
            </w:r>
          </w:p>
        </w:tc>
        <w:tc>
          <w:tcPr>
            <w:tcW w:w="6095" w:type="dxa"/>
          </w:tcPr>
          <w:p w14:paraId="69B8600F" w14:textId="77777777" w:rsidR="006528DB" w:rsidRPr="00FB524C" w:rsidRDefault="006528DB" w:rsidP="00A074FC">
            <w:pPr>
              <w:pStyle w:val="PP-small"/>
            </w:pPr>
            <w:r w:rsidRPr="00FB524C">
              <w:t>Cow’s milk should not be given to infants before 12 months of age; from 12 months of age, cow’s milk intake should not exceed 500 mL per day.</w:t>
            </w:r>
          </w:p>
        </w:tc>
        <w:tc>
          <w:tcPr>
            <w:tcW w:w="1083" w:type="dxa"/>
          </w:tcPr>
          <w:p w14:paraId="614A1875" w14:textId="77777777" w:rsidR="006528DB" w:rsidRPr="00FB524C" w:rsidRDefault="006528DB" w:rsidP="00A074FC">
            <w:pPr>
              <w:pStyle w:val="PP-small"/>
            </w:pPr>
            <w:r w:rsidRPr="00FB524C">
              <w:t>4.5.5</w:t>
            </w:r>
          </w:p>
        </w:tc>
      </w:tr>
      <w:tr w:rsidR="006528DB" w:rsidRPr="00FB524C" w14:paraId="2B559E0F" w14:textId="77777777" w:rsidTr="00A074FC">
        <w:trPr>
          <w:cantSplit/>
          <w:tblHeader/>
        </w:trPr>
        <w:tc>
          <w:tcPr>
            <w:tcW w:w="1118" w:type="dxa"/>
          </w:tcPr>
          <w:p w14:paraId="7896FC7D" w14:textId="77777777" w:rsidR="006528DB" w:rsidRPr="00FB524C" w:rsidRDefault="006528DB" w:rsidP="00A074FC">
            <w:pPr>
              <w:pStyle w:val="PP-small"/>
            </w:pPr>
            <w:r w:rsidRPr="00FB524C">
              <w:t>EOP32</w:t>
            </w:r>
          </w:p>
        </w:tc>
        <w:tc>
          <w:tcPr>
            <w:tcW w:w="6095" w:type="dxa"/>
          </w:tcPr>
          <w:p w14:paraId="53613E78" w14:textId="77777777" w:rsidR="006528DB" w:rsidRPr="00FB524C" w:rsidRDefault="006528DB" w:rsidP="00A074FC">
            <w:pPr>
              <w:pStyle w:val="PP-small"/>
            </w:pPr>
            <w:r w:rsidRPr="00FB524C">
              <w:t>IV iron should be administered according to a protocol relevant to the specific product being used:</w:t>
            </w:r>
          </w:p>
          <w:p w14:paraId="54A6738F" w14:textId="77777777" w:rsidR="006528DB" w:rsidRPr="00FB524C" w:rsidRDefault="006528DB" w:rsidP="00FF2EFF">
            <w:pPr>
              <w:pStyle w:val="PPbullsmall"/>
            </w:pPr>
            <w:r w:rsidRPr="00FB524C">
              <w:t>IV iron formulations have different iron concentrations, maximum doses, dilutions and rates of administration; they are not interchangeable with regard to dose, dilution and rates of administration</w:t>
            </w:r>
          </w:p>
          <w:p w14:paraId="10AC195B" w14:textId="77777777" w:rsidR="006528DB" w:rsidRPr="00FB524C" w:rsidRDefault="006528DB" w:rsidP="00FF2EFF">
            <w:pPr>
              <w:pStyle w:val="PPbullsmall"/>
            </w:pPr>
            <w:r w:rsidRPr="00FB524C">
              <w:t>IV iron formulations should only ever be administered in an appropriate health-care setting with medical personnel and resuscitation facilities on site.</w:t>
            </w:r>
          </w:p>
        </w:tc>
        <w:tc>
          <w:tcPr>
            <w:tcW w:w="1083" w:type="dxa"/>
          </w:tcPr>
          <w:p w14:paraId="35557AD2" w14:textId="77777777" w:rsidR="006528DB" w:rsidRPr="00FB524C" w:rsidRDefault="006528DB" w:rsidP="00A074FC">
            <w:pPr>
              <w:pStyle w:val="PP-small"/>
            </w:pPr>
            <w:r w:rsidRPr="00FB524C">
              <w:t>4.5.5</w:t>
            </w:r>
          </w:p>
        </w:tc>
      </w:tr>
      <w:tr w:rsidR="006528DB" w:rsidRPr="00FB524C" w14:paraId="235EE935" w14:textId="77777777" w:rsidTr="0026291E">
        <w:trPr>
          <w:cantSplit/>
          <w:tblHeader/>
        </w:trPr>
        <w:tc>
          <w:tcPr>
            <w:tcW w:w="8296" w:type="dxa"/>
            <w:gridSpan w:val="3"/>
            <w:shd w:val="clear" w:color="auto" w:fill="D9D9D9" w:themeFill="background1" w:themeFillShade="D9"/>
          </w:tcPr>
          <w:p w14:paraId="738A800A" w14:textId="13DCD628" w:rsidR="006528DB" w:rsidRPr="00FF2EFF" w:rsidRDefault="0026291E" w:rsidP="00A074FC">
            <w:pPr>
              <w:pStyle w:val="PP-small"/>
              <w:rPr>
                <w:b/>
              </w:rPr>
            </w:pPr>
            <w:r>
              <w:rPr>
                <w:b/>
                <w:lang w:val="en-AU"/>
              </w:rPr>
              <w:t>FFP</w:t>
            </w:r>
            <w:r w:rsidR="006528DB" w:rsidRPr="00FF2EFF">
              <w:rPr>
                <w:b/>
              </w:rPr>
              <w:t xml:space="preserve">, </w:t>
            </w:r>
            <w:r w:rsidR="00274815" w:rsidRPr="00FF2EFF">
              <w:rPr>
                <w:b/>
              </w:rPr>
              <w:t>cryoprecipi</w:t>
            </w:r>
            <w:r w:rsidR="00274815">
              <w:rPr>
                <w:b/>
                <w:lang w:val="en-AU"/>
              </w:rPr>
              <w:t>t</w:t>
            </w:r>
            <w:r w:rsidR="00274815" w:rsidRPr="00FF2EFF">
              <w:rPr>
                <w:b/>
              </w:rPr>
              <w:t>ate</w:t>
            </w:r>
            <w:r w:rsidR="006528DB" w:rsidRPr="00FF2EFF">
              <w:rPr>
                <w:b/>
              </w:rPr>
              <w:t>, fibrinogen concentrate and platelets</w:t>
            </w:r>
          </w:p>
        </w:tc>
      </w:tr>
      <w:tr w:rsidR="006528DB" w:rsidRPr="00FB524C" w14:paraId="6120852C" w14:textId="77777777" w:rsidTr="00A074FC">
        <w:trPr>
          <w:cantSplit/>
          <w:tblHeader/>
        </w:trPr>
        <w:tc>
          <w:tcPr>
            <w:tcW w:w="1118" w:type="dxa"/>
          </w:tcPr>
          <w:p w14:paraId="0B256D8D" w14:textId="77777777" w:rsidR="006528DB" w:rsidRPr="00FB524C" w:rsidRDefault="006528DB" w:rsidP="00A074FC">
            <w:pPr>
              <w:pStyle w:val="PP-small"/>
            </w:pPr>
            <w:r w:rsidRPr="00FB524C">
              <w:t>R6</w:t>
            </w:r>
            <w:r w:rsidRPr="00FB524C">
              <w:br/>
              <w:t>(Grade C)</w:t>
            </w:r>
          </w:p>
        </w:tc>
        <w:tc>
          <w:tcPr>
            <w:tcW w:w="6095" w:type="dxa"/>
          </w:tcPr>
          <w:p w14:paraId="35E85ECA" w14:textId="77777777" w:rsidR="006528DB" w:rsidRPr="00FB524C" w:rsidRDefault="006528DB" w:rsidP="00A074FC">
            <w:pPr>
              <w:pStyle w:val="PP-small"/>
            </w:pPr>
            <w:r w:rsidRPr="00FB524C">
              <w:t xml:space="preserve">In neonatal and paediatric patients undergoing cardiac surgery, the </w:t>
            </w:r>
            <w:r w:rsidRPr="00FB524C">
              <w:rPr>
                <w:i/>
              </w:rPr>
              <w:t xml:space="preserve">routine </w:t>
            </w:r>
            <w:r w:rsidRPr="00FB524C">
              <w:t xml:space="preserve">use of an FFP-based pump prime solution is not recommended, because it offers no advantages over an albumin-based solution in relation to postoperative blood loss, or perioperative transfusion requirements. </w:t>
            </w:r>
          </w:p>
        </w:tc>
        <w:tc>
          <w:tcPr>
            <w:tcW w:w="1083" w:type="dxa"/>
          </w:tcPr>
          <w:p w14:paraId="2E893770" w14:textId="38A0FD70" w:rsidR="006528DB" w:rsidRPr="00FF2EFF" w:rsidRDefault="00FF2EFF" w:rsidP="00A074FC">
            <w:pPr>
              <w:pStyle w:val="PP-small"/>
              <w:rPr>
                <w:lang w:val="en-AU"/>
              </w:rPr>
            </w:pPr>
            <w:r>
              <w:rPr>
                <w:lang w:val="en-AU"/>
              </w:rPr>
              <w:t>3.4.5</w:t>
            </w:r>
          </w:p>
        </w:tc>
      </w:tr>
      <w:tr w:rsidR="006528DB" w:rsidRPr="00FB524C" w14:paraId="3D84CFFD" w14:textId="77777777" w:rsidTr="00A074FC">
        <w:trPr>
          <w:cantSplit/>
          <w:tblHeader/>
        </w:trPr>
        <w:tc>
          <w:tcPr>
            <w:tcW w:w="1118" w:type="dxa"/>
          </w:tcPr>
          <w:p w14:paraId="37A1DFBF" w14:textId="77777777" w:rsidR="006528DB" w:rsidRPr="00FB524C" w:rsidRDefault="006528DB" w:rsidP="00A074FC">
            <w:pPr>
              <w:pStyle w:val="PP-small"/>
            </w:pPr>
            <w:r w:rsidRPr="00FB524C">
              <w:t>PP28</w:t>
            </w:r>
          </w:p>
        </w:tc>
        <w:tc>
          <w:tcPr>
            <w:tcW w:w="6095" w:type="dxa"/>
          </w:tcPr>
          <w:p w14:paraId="58117867" w14:textId="77777777" w:rsidR="006528DB" w:rsidRPr="00FB524C" w:rsidRDefault="006528DB" w:rsidP="00A074FC">
            <w:pPr>
              <w:pStyle w:val="PP-small"/>
            </w:pPr>
            <w:r w:rsidRPr="00FB524C">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c>
          <w:tcPr>
            <w:tcW w:w="1083" w:type="dxa"/>
          </w:tcPr>
          <w:p w14:paraId="3144F557" w14:textId="77777777" w:rsidR="006528DB" w:rsidRPr="00FB524C" w:rsidRDefault="006528DB" w:rsidP="00A074FC">
            <w:pPr>
              <w:pStyle w:val="PP-small"/>
            </w:pPr>
            <w:r w:rsidRPr="00FB524C">
              <w:t>3.4.1–3.4.15</w:t>
            </w:r>
          </w:p>
        </w:tc>
      </w:tr>
      <w:tr w:rsidR="006528DB" w:rsidRPr="00FB524C" w14:paraId="1696D908" w14:textId="77777777" w:rsidTr="00A074FC">
        <w:trPr>
          <w:cantSplit/>
          <w:tblHeader/>
        </w:trPr>
        <w:tc>
          <w:tcPr>
            <w:tcW w:w="1118" w:type="dxa"/>
          </w:tcPr>
          <w:p w14:paraId="2B2BFE65" w14:textId="77777777" w:rsidR="006528DB" w:rsidRPr="00FB524C" w:rsidRDefault="006528DB" w:rsidP="00A074FC">
            <w:pPr>
              <w:pStyle w:val="PP-small"/>
            </w:pPr>
            <w:r w:rsidRPr="00FB524C">
              <w:lastRenderedPageBreak/>
              <w:t>PP29</w:t>
            </w:r>
          </w:p>
        </w:tc>
        <w:tc>
          <w:tcPr>
            <w:tcW w:w="6095" w:type="dxa"/>
          </w:tcPr>
          <w:p w14:paraId="51CB283B" w14:textId="41DB9506" w:rsidR="006528DB" w:rsidRPr="00FB524C" w:rsidRDefault="006528DB" w:rsidP="00A074FC">
            <w:pPr>
              <w:pStyle w:val="PP-small"/>
              <w:rPr>
                <w:vertAlign w:val="superscript"/>
              </w:rPr>
            </w:pPr>
            <w:r w:rsidRPr="00FB524C">
              <w:t>For guidance on the use of FFP in specific patient groups, refer to</w:t>
            </w:r>
            <w:r w:rsidR="00863DEC">
              <w:rPr>
                <w:lang w:val="en-AU"/>
              </w:rPr>
              <w:t>:</w:t>
            </w:r>
            <w:r w:rsidRPr="00FB524C">
              <w:rPr>
                <w:vertAlign w:val="superscript"/>
              </w:rPr>
              <w:t>a</w:t>
            </w:r>
          </w:p>
          <w:p w14:paraId="79D33A78" w14:textId="1E64D9D7" w:rsidR="006528DB" w:rsidRPr="00FB524C" w:rsidRDefault="006528DB" w:rsidP="00556A3E">
            <w:pPr>
              <w:pStyle w:val="PPbullsmall"/>
              <w:rPr>
                <w:i/>
              </w:rPr>
            </w:pPr>
            <w:r w:rsidRPr="00FB524C">
              <w:rPr>
                <w:i/>
              </w:rPr>
              <w:t>Patient Blood Management Guidelines: Module 1 – Critical Bleeding/Massive Transfusion (2011)</w:t>
            </w:r>
            <w:hyperlink w:anchor="_ENREF_1" w:tooltip="National Blood Authority (NBA), 2011 #199" w:history="1">
              <w:r w:rsidR="00E62798">
                <w:fldChar w:fldCharType="begin"/>
              </w:r>
              <w:r w:rsidR="00E62798">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fldChar w:fldCharType="separate"/>
              </w:r>
              <w:r w:rsidR="00E62798" w:rsidRPr="00E62798">
                <w:rPr>
                  <w:noProof/>
                  <w:vertAlign w:val="superscript"/>
                </w:rPr>
                <w:t>1</w:t>
              </w:r>
              <w:r w:rsidR="00E62798">
                <w:fldChar w:fldCharType="end"/>
              </w:r>
            </w:hyperlink>
          </w:p>
          <w:p w14:paraId="37770208" w14:textId="459298E7" w:rsidR="006528DB" w:rsidRPr="00FB524C" w:rsidRDefault="006528DB" w:rsidP="00556A3E">
            <w:pPr>
              <w:pStyle w:val="PPbullsmall"/>
              <w:rPr>
                <w:i/>
              </w:rPr>
            </w:pPr>
            <w:r w:rsidRPr="00FB524C">
              <w:rPr>
                <w:i/>
              </w:rPr>
              <w:t>Patient Blood Management Guidelines: Module 2 – Perioperative (2012)</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6B95D13C" w14:textId="28DC246D" w:rsidR="006528DB" w:rsidRPr="00FB524C" w:rsidRDefault="006528DB" w:rsidP="00556A3E">
            <w:pPr>
              <w:pStyle w:val="PPbullsmall"/>
              <w:rPr>
                <w:i/>
              </w:rPr>
            </w:pPr>
            <w:r w:rsidRPr="00FB524C">
              <w:rPr>
                <w:i/>
              </w:rPr>
              <w:t>Warfarin Reversal: Consensus Guidelines, on behalf of the Australasian Society of Thrombosis and Haemostasis (2004)</w:t>
            </w:r>
            <w:hyperlink w:anchor="_ENREF_15" w:tooltip="Baker, 2004 #551" w:history="1">
              <w:r w:rsidR="00E62798">
                <w:fldChar w:fldCharType="begin"/>
              </w:r>
              <w:r w:rsidR="00E62798">
                <w:instrText xml:space="preserve"> ADDIN EN.CITE &lt;EndNote&gt;&lt;Cite&gt;&lt;Author&gt;Baker&lt;/Author&gt;&lt;Year&gt;2004&lt;/Year&gt;&lt;RecNum&gt;551&lt;/RecNum&gt;&lt;DisplayText&gt;&lt;style face="superscript"&gt;15&lt;/style&gt;&lt;/DisplayText&gt;&lt;record&gt;&lt;rec-number&gt;551&lt;/rec-number&gt;&lt;foreign-keys&gt;&lt;key app="EN" db-id="9edve2wadsavt5ewavaxtda4f2tavzvts9ee" timestamp="1429939807"&gt;551&lt;/key&gt;&lt;/foreign-keys&gt;&lt;ref-type name="Journal Article"&gt;17&lt;/ref-type&gt;&lt;contributors&gt;&lt;authors&gt;&lt;author&gt;Baker, R. I.&lt;/author&gt;&lt;author&gt;Coughlin, P. B.&lt;/author&gt;&lt;author&gt;Gallus, A. S.&lt;/author&gt;&lt;author&gt;Harper, P. L.&lt;/author&gt;&lt;author&gt;Salem, H. H.&lt;/author&gt;&lt;author&gt;Wood, E. M.&lt;/author&gt;&lt;author&gt;Warfarin Reversal Consensus, Group&lt;/author&gt;&lt;/authors&gt;&lt;/contributors&gt;&lt;titles&gt;&lt;title&gt;Warfarin reversal: consensus guidelines, on behalf of the Australasian Society of Thrombosis and Haemostasis&lt;/title&gt;&lt;secondary-title&gt;The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492–497&lt;/pages&gt;&lt;volume&gt;181&lt;/volume&gt;&lt;number&gt;9&lt;/number&gt;&lt;dates&gt;&lt;year&gt;2004&lt;/year&gt;&lt;/dates&gt;&lt;isbn&gt;0025-729X&lt;/isbn&gt;&lt;urls&gt;&lt;related-urls&gt;&lt;url&gt;https://www.mja.com.au/system/files/issues/181_09_011104/bak10441_fm.pdf&lt;/url&gt;&lt;/related-urls&gt;&lt;/urls&gt;&lt;/record&gt;&lt;/Cite&gt;&lt;/EndNote&gt;</w:instrText>
              </w:r>
              <w:r w:rsidR="00E62798">
                <w:fldChar w:fldCharType="separate"/>
              </w:r>
              <w:r w:rsidR="00E62798" w:rsidRPr="00E62798">
                <w:rPr>
                  <w:noProof/>
                  <w:vertAlign w:val="superscript"/>
                </w:rPr>
                <w:t>15</w:t>
              </w:r>
              <w:r w:rsidR="00E62798">
                <w:fldChar w:fldCharType="end"/>
              </w:r>
            </w:hyperlink>
          </w:p>
          <w:p w14:paraId="6D88CCF3" w14:textId="77777777" w:rsidR="006528DB" w:rsidRPr="00FB524C" w:rsidRDefault="006528DB" w:rsidP="00556A3E">
            <w:pPr>
              <w:pStyle w:val="PPbullsmall"/>
            </w:pPr>
            <w:r w:rsidRPr="00FB524C">
              <w:t>AHCDO guidelines for patients with specific factor deficiencies (www.ahcdo.org.au)</w:t>
            </w:r>
          </w:p>
          <w:p w14:paraId="342B84AF" w14:textId="2AF8547C" w:rsidR="006528DB" w:rsidRPr="00FB524C" w:rsidRDefault="006528DB" w:rsidP="00556A3E">
            <w:pPr>
              <w:pStyle w:val="PPbullsmall"/>
              <w:rPr>
                <w:i/>
              </w:rPr>
            </w:pPr>
            <w:r w:rsidRPr="00FB524C">
              <w:rPr>
                <w:i/>
              </w:rPr>
              <w:t>Guidelines for the Use of Fresh-Frozen Plasma, Cryoprecipitate and Cryosupernatant (2004)</w:t>
            </w:r>
            <w:r w:rsidR="00863DEC">
              <w:rPr>
                <w:lang w:val="en-AU"/>
              </w:rPr>
              <w:t>.</w:t>
            </w:r>
            <w:hyperlink w:anchor="_ENREF_16" w:tooltip="O'Shaughnessy, 2004 #1046" w:history="1">
              <w:r w:rsidR="00E62798">
                <w:fldChar w:fldCharType="begin"/>
              </w:r>
              <w:r w:rsidR="00E62798">
                <w:instrText xml:space="preserve"> ADDIN EN.CITE &lt;EndNote&gt;&lt;Cite&gt;&lt;Author&gt;O&amp;apos;Shaughnessy&lt;/Author&gt;&lt;Year&gt;2004&lt;/Year&gt;&lt;RecNum&gt;1046&lt;/RecNum&gt;&lt;DisplayText&gt;&lt;style face="superscript"&gt;16&lt;/style&gt;&lt;/DisplayText&gt;&lt;record&gt;&lt;rec-number&gt;1046&lt;/rec-number&gt;&lt;foreign-keys&gt;&lt;key app="EN" db-id="9edve2wadsavt5ewavaxtda4f2tavzvts9ee" timestamp="1438836074"&gt;1046&lt;/key&gt;&lt;/foreign-keys&gt;&lt;ref-type name="Journal Article"&gt;17&lt;/ref-type&gt;&lt;contributors&gt;&lt;authors&gt;&lt;author&gt;O&amp;apos;Shaughnessy, D. F.&lt;/author&gt;&lt;author&gt;Atterbury, C.&lt;/author&gt;&lt;author&gt;Bolton Maggs, P.&lt;/author&gt;&lt;author&gt;Murphy, M.&lt;/author&gt;&lt;author&gt;Thomas, D.&lt;/author&gt;&lt;author&gt;Yates, S.&lt;/author&gt;&lt;author&gt;Williamson, L. M.&lt;/author&gt;&lt;author&gt;British Committee for Standards in Haematology, Blood Transfusion Task Force&lt;/author&gt;&lt;/authors&gt;&lt;/contributors&gt;&lt;auth-address&gt;Southampton University Hospitals, Southampton, UK.&lt;/auth-address&gt;&lt;titles&gt;&lt;title&gt;Guidelines for the use of fresh-frozen plasma, cryoprecipitate and cryosupernatant&lt;/title&gt;&lt;secondary-title&gt;Br J Haematol&lt;/secondary-title&gt;&lt;/titles&gt;&lt;periodical&gt;&lt;full-title&gt;Br J Haematol&lt;/full-title&gt;&lt;abbr-1&gt;British journal of haematology&lt;/abbr-1&gt;&lt;/periodical&gt;&lt;pages&gt;11-28&lt;/pages&gt;&lt;volume&gt;126&lt;/volume&gt;&lt;number&gt;1&lt;/number&gt;&lt;keywords&gt;&lt;keyword&gt;Adult&lt;/keyword&gt;&lt;keyword&gt;Blood Coagulation Disorders/*therapy&lt;/keyword&gt;&lt;keyword&gt;Blood Component Transfusion/*methods&lt;/keyword&gt;&lt;keyword&gt;Child&lt;/keyword&gt;&lt;keyword&gt;Humans&lt;/keyword&gt;&lt;keyword&gt;*Patient Selection&lt;/keyword&gt;&lt;keyword&gt;*Plasma&lt;/keyword&gt;&lt;/keywords&gt;&lt;dates&gt;&lt;year&gt;2004&lt;/year&gt;&lt;pub-dates&gt;&lt;date&gt;Jul&lt;/date&gt;&lt;/pub-dates&gt;&lt;/dates&gt;&lt;isbn&gt;0007-1048 (Print)&amp;#xD;0007-1048 (Linking)&lt;/isbn&gt;&lt;accession-num&gt;15198728&lt;/accession-num&gt;&lt;urls&gt;&lt;related-urls&gt;&lt;url&gt;http://www.ncbi.nlm.nih.gov/pubmed/15198728&lt;/url&gt;&lt;/related-urls&gt;&lt;/urls&gt;&lt;electronic-resource-num&gt;10.1111/j.1365-2141.2004.04972.x&lt;/electronic-resource-num&gt;&lt;/record&gt;&lt;/Cite&gt;&lt;/EndNote&gt;</w:instrText>
              </w:r>
              <w:r w:rsidR="00E62798">
                <w:fldChar w:fldCharType="separate"/>
              </w:r>
              <w:r w:rsidR="00E62798" w:rsidRPr="00E62798">
                <w:rPr>
                  <w:noProof/>
                  <w:vertAlign w:val="superscript"/>
                </w:rPr>
                <w:t>16</w:t>
              </w:r>
              <w:r w:rsidR="00E62798">
                <w:fldChar w:fldCharType="end"/>
              </w:r>
            </w:hyperlink>
          </w:p>
          <w:p w14:paraId="048DF18A" w14:textId="6D7D5B2D" w:rsidR="006528DB" w:rsidRPr="00FB524C" w:rsidRDefault="006528DB" w:rsidP="00E62798">
            <w:pPr>
              <w:pStyle w:val="PP-note"/>
            </w:pPr>
            <w:r w:rsidRPr="00FB524C">
              <w:t xml:space="preserve">a See PP17 from </w:t>
            </w:r>
            <w:r w:rsidRPr="00FB524C">
              <w:rPr>
                <w:i/>
              </w:rPr>
              <w:t>Patient Blood Management Guidelines: Module 3 – Medical</w:t>
            </w:r>
            <w:r w:rsidR="00556A3E" w:rsidRPr="00556A3E">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c>
          <w:tcPr>
            <w:tcW w:w="1083" w:type="dxa"/>
          </w:tcPr>
          <w:p w14:paraId="5477E4F1" w14:textId="77777777" w:rsidR="006528DB" w:rsidRPr="00FB524C" w:rsidRDefault="006528DB" w:rsidP="00A074FC">
            <w:pPr>
              <w:pStyle w:val="PP-small"/>
            </w:pPr>
            <w:r w:rsidRPr="00FB524C">
              <w:t>3.4.4, 3.4.5, 3.4.11</w:t>
            </w:r>
          </w:p>
        </w:tc>
      </w:tr>
      <w:tr w:rsidR="006528DB" w:rsidRPr="00FB524C" w14:paraId="438DE9BC" w14:textId="77777777" w:rsidTr="00A074FC">
        <w:trPr>
          <w:cantSplit/>
          <w:tblHeader/>
        </w:trPr>
        <w:tc>
          <w:tcPr>
            <w:tcW w:w="1118" w:type="dxa"/>
          </w:tcPr>
          <w:p w14:paraId="3410B577" w14:textId="77777777" w:rsidR="006528DB" w:rsidRPr="00FB524C" w:rsidRDefault="006528DB" w:rsidP="00A074FC">
            <w:pPr>
              <w:pStyle w:val="PP-small"/>
            </w:pPr>
            <w:r w:rsidRPr="00FB524C">
              <w:t>PP30</w:t>
            </w:r>
          </w:p>
          <w:p w14:paraId="000E5A7F" w14:textId="77777777" w:rsidR="006528DB" w:rsidRPr="00FB524C" w:rsidRDefault="006528DB" w:rsidP="00A074FC">
            <w:pPr>
              <w:pStyle w:val="PP-small"/>
            </w:pPr>
          </w:p>
        </w:tc>
        <w:tc>
          <w:tcPr>
            <w:tcW w:w="6095" w:type="dxa"/>
          </w:tcPr>
          <w:p w14:paraId="41B25975" w14:textId="1A106BBE" w:rsidR="006528DB" w:rsidRPr="0075152F" w:rsidRDefault="006528DB" w:rsidP="00A074FC">
            <w:pPr>
              <w:pStyle w:val="PP-small"/>
              <w:rPr>
                <w:lang w:val="en-AU"/>
              </w:rPr>
            </w:pPr>
            <w:r w:rsidRPr="00FB524C">
              <w:t>In patients undergoing chemotherapy and haematopoietic stem cell transplantation, the recommended strategy for prophylactic use of platelets is transfusion at a platelet count of &lt;10 × 10</w:t>
            </w:r>
            <w:r w:rsidRPr="00FB524C">
              <w:rPr>
                <w:vertAlign w:val="superscript"/>
              </w:rPr>
              <w:t>9</w:t>
            </w:r>
            <w:r w:rsidRPr="00FB524C">
              <w:t>/L in the absence of risk factors, and at &lt;20 × 10</w:t>
            </w:r>
            <w:r w:rsidRPr="00FB524C">
              <w:rPr>
                <w:vertAlign w:val="superscript"/>
              </w:rPr>
              <w:t>9</w:t>
            </w:r>
            <w:r w:rsidRPr="00FB524C">
              <w:t>/L in the presence of risk factors (e.g. fever, minor bleeding)</w:t>
            </w:r>
            <w:r w:rsidR="0075152F">
              <w:rPr>
                <w:lang w:val="en-AU"/>
              </w:rPr>
              <w:t>.</w:t>
            </w:r>
          </w:p>
          <w:p w14:paraId="721EB47F" w14:textId="27732C5A" w:rsidR="006528DB" w:rsidRPr="00FB524C" w:rsidRDefault="006528DB" w:rsidP="00E62798">
            <w:pPr>
              <w:pStyle w:val="PP-note"/>
            </w:pPr>
            <w:r w:rsidRPr="0075152F">
              <w:rPr>
                <w:vertAlign w:val="superscript"/>
              </w:rPr>
              <w:t xml:space="preserve">a </w:t>
            </w:r>
            <w:r w:rsidRPr="00FB524C">
              <w:t xml:space="preserve">See R8 from </w:t>
            </w:r>
            <w:r w:rsidRPr="00FB524C">
              <w:rPr>
                <w:i/>
              </w:rPr>
              <w:t>Patient Blood Management Guidelines: Module 3 – Medical</w:t>
            </w:r>
            <w:r w:rsidR="00863DEC">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c>
          <w:tcPr>
            <w:tcW w:w="1083" w:type="dxa"/>
          </w:tcPr>
          <w:p w14:paraId="1EFF4F32" w14:textId="77777777" w:rsidR="006528DB" w:rsidRPr="00FB524C" w:rsidRDefault="006528DB" w:rsidP="00A074FC">
            <w:pPr>
              <w:pStyle w:val="PP-small"/>
            </w:pPr>
            <w:r w:rsidRPr="00FB524C">
              <w:t>3.4.4</w:t>
            </w:r>
          </w:p>
        </w:tc>
      </w:tr>
      <w:tr w:rsidR="006528DB" w:rsidRPr="00FB524C" w14:paraId="676329AE" w14:textId="77777777" w:rsidTr="00A074FC">
        <w:trPr>
          <w:cantSplit/>
          <w:tblHeader/>
        </w:trPr>
        <w:tc>
          <w:tcPr>
            <w:tcW w:w="1118" w:type="dxa"/>
          </w:tcPr>
          <w:p w14:paraId="364CB075" w14:textId="77777777" w:rsidR="006528DB" w:rsidRPr="00FB524C" w:rsidRDefault="006528DB" w:rsidP="00A074FC">
            <w:pPr>
              <w:pStyle w:val="PP-small"/>
            </w:pPr>
            <w:r w:rsidRPr="00FB524C">
              <w:t>EOP1</w:t>
            </w:r>
          </w:p>
        </w:tc>
        <w:tc>
          <w:tcPr>
            <w:tcW w:w="6095" w:type="dxa"/>
          </w:tcPr>
          <w:p w14:paraId="371A4635" w14:textId="03020CC7" w:rsidR="006528DB" w:rsidRPr="00FB524C" w:rsidRDefault="006528DB" w:rsidP="0026291E">
            <w:pPr>
              <w:pStyle w:val="PP-small"/>
            </w:pPr>
            <w:r w:rsidRPr="00FB524C">
              <w:t xml:space="preserve">In neonatal and paediatric patients undergoing surgery, FFP is only indicated for treatment of </w:t>
            </w:r>
            <w:r w:rsidRPr="00FB524C">
              <w:rPr>
                <w:lang w:val="en-US"/>
              </w:rPr>
              <w:t xml:space="preserve">active </w:t>
            </w:r>
            <w:r w:rsidRPr="00FB524C">
              <w:t xml:space="preserve">bleeding </w:t>
            </w:r>
            <w:r w:rsidRPr="00FB524C">
              <w:rPr>
                <w:lang w:val="en-US"/>
              </w:rPr>
              <w:t xml:space="preserve">where </w:t>
            </w:r>
            <w:r w:rsidRPr="00FB524C">
              <w:t>coagulopathy</w:t>
            </w:r>
            <w:r w:rsidRPr="00FB524C">
              <w:rPr>
                <w:lang w:val="en-US"/>
              </w:rPr>
              <w:t xml:space="preserve"> is a contributing factor</w:t>
            </w:r>
            <w:r w:rsidRPr="00FB524C">
              <w:t xml:space="preserve">. Its use should be guided by clinical assessment, supplemented by </w:t>
            </w:r>
            <w:r w:rsidR="0026291E">
              <w:rPr>
                <w:lang w:val="en-AU"/>
              </w:rPr>
              <w:t>POC</w:t>
            </w:r>
            <w:r w:rsidRPr="00FB524C">
              <w:t xml:space="preserve"> or laboratory testing.</w:t>
            </w:r>
          </w:p>
        </w:tc>
        <w:tc>
          <w:tcPr>
            <w:tcW w:w="1083" w:type="dxa"/>
          </w:tcPr>
          <w:p w14:paraId="06042098" w14:textId="77777777" w:rsidR="006528DB" w:rsidRPr="00FB524C" w:rsidRDefault="006528DB" w:rsidP="00A074FC">
            <w:pPr>
              <w:pStyle w:val="PP-small"/>
            </w:pPr>
            <w:r w:rsidRPr="00FB524C">
              <w:t>3.4.5</w:t>
            </w:r>
          </w:p>
        </w:tc>
      </w:tr>
      <w:tr w:rsidR="006528DB" w:rsidRPr="00FB524C" w14:paraId="4296A915" w14:textId="77777777" w:rsidTr="00A074FC">
        <w:trPr>
          <w:cantSplit/>
          <w:tblHeader/>
        </w:trPr>
        <w:tc>
          <w:tcPr>
            <w:tcW w:w="1118" w:type="dxa"/>
          </w:tcPr>
          <w:p w14:paraId="6242D678" w14:textId="77777777" w:rsidR="006528DB" w:rsidRPr="00FB524C" w:rsidRDefault="006528DB" w:rsidP="00A074FC">
            <w:pPr>
              <w:pStyle w:val="PP-small"/>
            </w:pPr>
            <w:r w:rsidRPr="00FB524C">
              <w:t>EOP2</w:t>
            </w:r>
          </w:p>
        </w:tc>
        <w:tc>
          <w:tcPr>
            <w:tcW w:w="6095" w:type="dxa"/>
          </w:tcPr>
          <w:p w14:paraId="392AA6C4" w14:textId="77777777" w:rsidR="006528DB" w:rsidRPr="00FB524C" w:rsidRDefault="006528DB" w:rsidP="00A074FC">
            <w:pPr>
              <w:pStyle w:val="PP-small"/>
              <w:rPr>
                <w:vertAlign w:val="superscript"/>
              </w:rPr>
            </w:pPr>
            <w:r w:rsidRPr="00FB524C">
              <w:t>Cryoprecipitate should be used to treat active bleeding when the fibrinogen level is &lt;1.5 g/L. A target level of 2 g/L may be appropriate in certain groups.</w:t>
            </w:r>
            <w:r w:rsidRPr="00FB524C">
              <w:rPr>
                <w:vertAlign w:val="superscript"/>
              </w:rPr>
              <w:t>a</w:t>
            </w:r>
          </w:p>
          <w:p w14:paraId="344C79A2" w14:textId="77777777" w:rsidR="006528DB" w:rsidRPr="00FB524C" w:rsidRDefault="006528DB" w:rsidP="0075152F">
            <w:pPr>
              <w:pStyle w:val="PP-note"/>
            </w:pPr>
            <w:r w:rsidRPr="00FB524C">
              <w:rPr>
                <w:vertAlign w:val="superscript"/>
              </w:rPr>
              <w:t>a</w:t>
            </w:r>
            <w:r w:rsidRPr="00FB524C">
              <w:t xml:space="preserve"> The template given in Appendix K (</w:t>
            </w:r>
            <w:r w:rsidRPr="00FB524C">
              <w:rPr>
                <w:i/>
              </w:rPr>
              <w:t>Critical bleeding protocol</w:t>
            </w:r>
            <w:r w:rsidRPr="00FB524C">
              <w:t>) is intended for local adaptation.</w:t>
            </w:r>
          </w:p>
        </w:tc>
        <w:tc>
          <w:tcPr>
            <w:tcW w:w="1083" w:type="dxa"/>
          </w:tcPr>
          <w:p w14:paraId="74E2F9D0" w14:textId="77777777" w:rsidR="006528DB" w:rsidRPr="00FB524C" w:rsidRDefault="006528DB" w:rsidP="00A074FC">
            <w:pPr>
              <w:pStyle w:val="PP-small"/>
            </w:pPr>
            <w:r w:rsidRPr="00FB524C">
              <w:t>3.4.6</w:t>
            </w:r>
          </w:p>
        </w:tc>
      </w:tr>
      <w:tr w:rsidR="00274815" w:rsidRPr="00FB524C" w14:paraId="74ADECA3" w14:textId="77777777" w:rsidTr="00A074FC">
        <w:trPr>
          <w:cantSplit/>
          <w:tblHeader/>
        </w:trPr>
        <w:tc>
          <w:tcPr>
            <w:tcW w:w="1118" w:type="dxa"/>
          </w:tcPr>
          <w:p w14:paraId="55E5F899" w14:textId="546A1B7A" w:rsidR="00274815" w:rsidRPr="00FB524C" w:rsidRDefault="00274815" w:rsidP="00274815">
            <w:pPr>
              <w:pStyle w:val="PP-small"/>
            </w:pPr>
            <w:r w:rsidRPr="00FB524C">
              <w:t>EOP3</w:t>
            </w:r>
          </w:p>
        </w:tc>
        <w:tc>
          <w:tcPr>
            <w:tcW w:w="6095" w:type="dxa"/>
          </w:tcPr>
          <w:p w14:paraId="05ACEA0C" w14:textId="77777777" w:rsidR="00274815" w:rsidRPr="00FB524C" w:rsidRDefault="00274815" w:rsidP="00274815">
            <w:pPr>
              <w:pStyle w:val="PP-small"/>
            </w:pPr>
            <w:r w:rsidRPr="00FB524C">
              <w:t xml:space="preserve">In general, neonatal and paediatric patients with a platelet count </w:t>
            </w:r>
            <w:r w:rsidRPr="00FB524C">
              <w:rPr>
                <w:rFonts w:cs="Calibri"/>
              </w:rPr>
              <w:t>≥</w:t>
            </w:r>
            <w:r w:rsidRPr="00FB524C">
              <w:t xml:space="preserve"> 50 × 10</w:t>
            </w:r>
            <w:r w:rsidRPr="00FB524C">
              <w:rPr>
                <w:vertAlign w:val="superscript"/>
              </w:rPr>
              <w:t>9</w:t>
            </w:r>
            <w:r w:rsidRPr="00FB524C">
              <w:t xml:space="preserve">/L </w:t>
            </w:r>
            <w:r w:rsidRPr="00FB524C">
              <w:rPr>
                <w:i/>
              </w:rPr>
              <w:t xml:space="preserve">or </w:t>
            </w:r>
            <w:r w:rsidRPr="00FB524C">
              <w:t xml:space="preserve">an INR </w:t>
            </w:r>
            <w:r w:rsidRPr="00FB524C">
              <w:rPr>
                <w:rFonts w:cs="Calibri"/>
              </w:rPr>
              <w:t>≤</w:t>
            </w:r>
            <w:r w:rsidRPr="00FB524C">
              <w:t>2 can undergo invasive procedures without any serious bleeding; however, lower platelet counts and higher INRs may be tolerated.</w:t>
            </w:r>
            <w:r w:rsidRPr="00FB524C">
              <w:rPr>
                <w:vertAlign w:val="superscript"/>
              </w:rPr>
              <w:t>a</w:t>
            </w:r>
          </w:p>
          <w:p w14:paraId="727EEA82" w14:textId="138CCB6F" w:rsidR="00274815" w:rsidRPr="00FB524C" w:rsidRDefault="00274815" w:rsidP="00E62798">
            <w:pPr>
              <w:pStyle w:val="PP-small"/>
            </w:pPr>
            <w:r w:rsidRPr="0075152F">
              <w:rPr>
                <w:vertAlign w:val="superscript"/>
              </w:rPr>
              <w:t>a</w:t>
            </w:r>
            <w:r w:rsidRPr="00FB524C">
              <w:t xml:space="preserve"> See PP17 in </w:t>
            </w:r>
            <w:r w:rsidRPr="00FB524C">
              <w:rPr>
                <w:i/>
              </w:rPr>
              <w:t>Patient Blood Management Guidelines: Module 2 – Perioperative</w:t>
            </w:r>
            <w:r>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c>
          <w:tcPr>
            <w:tcW w:w="1083" w:type="dxa"/>
          </w:tcPr>
          <w:p w14:paraId="09F770C5" w14:textId="471EDF74" w:rsidR="00274815" w:rsidRPr="00FB524C" w:rsidRDefault="00274815" w:rsidP="00274815">
            <w:pPr>
              <w:pStyle w:val="PP-small"/>
            </w:pPr>
            <w:r w:rsidRPr="00FB524C">
              <w:t>3.4.7</w:t>
            </w:r>
          </w:p>
        </w:tc>
      </w:tr>
      <w:tr w:rsidR="006528DB" w:rsidRPr="00FB524C" w14:paraId="6993245E" w14:textId="77777777" w:rsidTr="00863DEC">
        <w:trPr>
          <w:cantSplit/>
          <w:tblHeader/>
        </w:trPr>
        <w:tc>
          <w:tcPr>
            <w:tcW w:w="8296" w:type="dxa"/>
            <w:gridSpan w:val="3"/>
            <w:shd w:val="clear" w:color="auto" w:fill="D9D9D9" w:themeFill="background1" w:themeFillShade="D9"/>
          </w:tcPr>
          <w:p w14:paraId="28E162AC" w14:textId="77777777" w:rsidR="006528DB" w:rsidRPr="0075152F" w:rsidRDefault="006528DB" w:rsidP="0075152F">
            <w:pPr>
              <w:pStyle w:val="PP-small"/>
              <w:keepNext/>
              <w:keepLines/>
              <w:rPr>
                <w:b/>
              </w:rPr>
            </w:pPr>
            <w:r w:rsidRPr="0075152F">
              <w:rPr>
                <w:b/>
              </w:rPr>
              <w:lastRenderedPageBreak/>
              <w:t>Irradiated blood products</w:t>
            </w:r>
          </w:p>
        </w:tc>
      </w:tr>
      <w:tr w:rsidR="006528DB" w:rsidRPr="00FB524C" w14:paraId="0DB2063A" w14:textId="77777777" w:rsidTr="00A074FC">
        <w:trPr>
          <w:cantSplit/>
          <w:tblHeader/>
        </w:trPr>
        <w:tc>
          <w:tcPr>
            <w:tcW w:w="1118" w:type="dxa"/>
          </w:tcPr>
          <w:p w14:paraId="4CE719B7" w14:textId="77777777" w:rsidR="006528DB" w:rsidRPr="00FB524C" w:rsidRDefault="006528DB" w:rsidP="00A074FC">
            <w:pPr>
              <w:pStyle w:val="PP-small"/>
            </w:pPr>
            <w:r w:rsidRPr="00FB524C">
              <w:t>EOP8</w:t>
            </w:r>
          </w:p>
        </w:tc>
        <w:tc>
          <w:tcPr>
            <w:tcW w:w="6095" w:type="dxa"/>
          </w:tcPr>
          <w:p w14:paraId="5D3AE5F7" w14:textId="77777777" w:rsidR="0075152F" w:rsidRDefault="0075152F" w:rsidP="0075152F">
            <w:pPr>
              <w:pStyle w:val="PP-small"/>
              <w:rPr>
                <w:rStyle w:val="cit"/>
              </w:rPr>
            </w:pPr>
            <w:r>
              <w:rPr>
                <w:rStyle w:val="cit"/>
              </w:rPr>
              <w:t>Irradiated cellular blood products (RBCs and platelets) are used to prevent TAGVHD, and are indicated for:</w:t>
            </w:r>
          </w:p>
          <w:p w14:paraId="37952918" w14:textId="77777777" w:rsidR="0075152F" w:rsidRDefault="0075152F" w:rsidP="0075152F">
            <w:pPr>
              <w:pStyle w:val="PPbullsmall"/>
              <w:rPr>
                <w:rStyle w:val="cit"/>
              </w:rPr>
            </w:pPr>
            <w:r>
              <w:rPr>
                <w:rStyle w:val="cit"/>
              </w:rPr>
              <w:t xml:space="preserve">IUT, and recipients of prior IUT up to 6 months of age </w:t>
            </w:r>
          </w:p>
          <w:p w14:paraId="70565AED" w14:textId="00B0DCFA" w:rsidR="0075152F" w:rsidRDefault="0075152F" w:rsidP="0075152F">
            <w:pPr>
              <w:pStyle w:val="PPbullsmall"/>
              <w:rPr>
                <w:rStyle w:val="cit"/>
              </w:rPr>
            </w:pPr>
            <w:r>
              <w:rPr>
                <w:rStyle w:val="cit"/>
              </w:rPr>
              <w:t>suspected or known severe congenital T</w:t>
            </w:r>
            <w:r w:rsidR="0026291E">
              <w:rPr>
                <w:rStyle w:val="cit"/>
                <w:lang w:val="en-AU"/>
              </w:rPr>
              <w:t>-</w:t>
            </w:r>
            <w:r>
              <w:rPr>
                <w:rStyle w:val="cit"/>
              </w:rPr>
              <w:t>cell immunodeficiency (e.g.</w:t>
            </w:r>
            <w:r>
              <w:rPr>
                <w:rStyle w:val="cit"/>
                <w:lang w:val="en-AU"/>
              </w:rPr>
              <w:t xml:space="preserve"> SCID</w:t>
            </w:r>
            <w:r>
              <w:rPr>
                <w:rStyle w:val="cit"/>
              </w:rPr>
              <w:t>)</w:t>
            </w:r>
          </w:p>
          <w:p w14:paraId="3BEB34CD" w14:textId="640BDFEB" w:rsidR="0075152F" w:rsidRDefault="0075152F" w:rsidP="0075152F">
            <w:pPr>
              <w:pStyle w:val="PPbullsmall"/>
              <w:rPr>
                <w:rStyle w:val="cit"/>
              </w:rPr>
            </w:pPr>
            <w:r>
              <w:rPr>
                <w:rStyle w:val="cit"/>
              </w:rPr>
              <w:t>severe acquired T-cell dysfunction, related to either disease or drug therapy (see published guidelines</w:t>
            </w:r>
            <w:hyperlink w:anchor="_ENREF_17" w:tooltip="Treleaven, 2011 #70" w:history="1">
              <w:r w:rsidR="00E62798">
                <w:rPr>
                  <w:rStyle w:val="cit"/>
                </w:rPr>
                <w:fldChar w:fldCharType="begin">
                  <w:fldData xml:space="preserve">PEVuZE5vdGU+PENpdGU+PEF1dGhvcj5UcmVsZWF2ZW48L0F1dGhvcj48WWVhcj4yMDExPC9ZZWFy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</w:fldData>
                </w:fldChar>
              </w:r>
              <w:r w:rsidR="00E62798">
                <w:rPr>
                  <w:rStyle w:val="cit"/>
                </w:rPr>
                <w:instrText xml:space="preserve"> ADDIN EN.CITE </w:instrText>
              </w:r>
              <w:r w:rsidR="00E62798">
                <w:rPr>
                  <w:rStyle w:val="cit"/>
                </w:rPr>
                <w:fldChar w:fldCharType="begin">
                  <w:fldData xml:space="preserve">PEVuZE5vdGU+PENpdGU+PEF1dGhvcj5UcmVsZWF2ZW48L0F1dGhvcj48WWVhcj4yMDExPC9ZZWFy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</w:fldData>
                </w:fldChar>
              </w:r>
              <w:r w:rsidR="00E62798">
                <w:rPr>
                  <w:rStyle w:val="cit"/>
                </w:rPr>
                <w:instrText xml:space="preserve"> ADDIN EN.CITE.DATA </w:instrText>
              </w:r>
              <w:r w:rsidR="00E62798">
                <w:rPr>
                  <w:rStyle w:val="cit"/>
                </w:rPr>
              </w:r>
              <w:r w:rsidR="00E62798">
                <w:rPr>
                  <w:rStyle w:val="cit"/>
                </w:rPr>
                <w:fldChar w:fldCharType="end"/>
              </w:r>
              <w:r w:rsidR="00E62798">
                <w:rPr>
                  <w:rStyle w:val="cit"/>
                </w:rPr>
              </w:r>
              <w:r w:rsidR="00E62798">
                <w:rPr>
                  <w:rStyle w:val="cit"/>
                </w:rPr>
                <w:fldChar w:fldCharType="separate"/>
              </w:r>
              <w:r w:rsidR="00E62798" w:rsidRPr="00E62798">
                <w:rPr>
                  <w:rStyle w:val="cit"/>
                  <w:noProof/>
                  <w:vertAlign w:val="superscript"/>
                </w:rPr>
                <w:t>17-18</w:t>
              </w:r>
              <w:r w:rsidR="00E62798">
                <w:rPr>
                  <w:rStyle w:val="cit"/>
                </w:rPr>
                <w:fldChar w:fldCharType="end"/>
              </w:r>
            </w:hyperlink>
            <w:r>
              <w:rPr>
                <w:rStyle w:val="cit"/>
                <w:lang w:val="en-AU"/>
              </w:rPr>
              <w:t>)</w:t>
            </w:r>
          </w:p>
          <w:p w14:paraId="49557C4E" w14:textId="77777777" w:rsidR="0075152F" w:rsidRDefault="0075152F" w:rsidP="0075152F">
            <w:pPr>
              <w:pStyle w:val="PPbullsmall"/>
              <w:rPr>
                <w:rStyle w:val="cit"/>
              </w:rPr>
            </w:pPr>
            <w:r>
              <w:rPr>
                <w:rStyle w:val="cit"/>
              </w:rPr>
              <w:t xml:space="preserve">HLA-matched cellular blood products (RBCs, platelets and granulocytes). </w:t>
            </w:r>
          </w:p>
          <w:p w14:paraId="6F8EA263" w14:textId="77777777" w:rsidR="0075152F" w:rsidRDefault="0075152F" w:rsidP="0075152F">
            <w:pPr>
              <w:pStyle w:val="PP-small"/>
              <w:rPr>
                <w:rStyle w:val="cit"/>
              </w:rPr>
            </w:pPr>
            <w:r>
              <w:rPr>
                <w:rStyle w:val="cit"/>
              </w:rPr>
              <w:t>They may also be considered for:</w:t>
            </w:r>
          </w:p>
          <w:p w14:paraId="4DF898F0" w14:textId="77777777" w:rsidR="0075152F" w:rsidRDefault="0075152F" w:rsidP="0075152F">
            <w:pPr>
              <w:pStyle w:val="PPbullsmall"/>
              <w:rPr>
                <w:rStyle w:val="cit"/>
              </w:rPr>
            </w:pPr>
            <w:r>
              <w:rPr>
                <w:rStyle w:val="cit"/>
              </w:rPr>
              <w:t>neonatal exchange transfusion, provided this does not unduly delay transfusion</w:t>
            </w:r>
          </w:p>
          <w:p w14:paraId="55101B75" w14:textId="30C4DF8C" w:rsidR="0075152F" w:rsidRDefault="0026291E" w:rsidP="0075152F">
            <w:pPr>
              <w:pStyle w:val="PPbullsmall"/>
              <w:rPr>
                <w:rStyle w:val="cit"/>
              </w:rPr>
            </w:pPr>
            <w:r>
              <w:rPr>
                <w:rStyle w:val="cit"/>
                <w:lang w:val="en-AU"/>
              </w:rPr>
              <w:t>very low birth weight</w:t>
            </w:r>
            <w:r>
              <w:rPr>
                <w:rStyle w:val="cit"/>
              </w:rPr>
              <w:t xml:space="preserve"> </w:t>
            </w:r>
            <w:r w:rsidR="0075152F">
              <w:rPr>
                <w:rStyle w:val="cit"/>
              </w:rPr>
              <w:t>neonates, especially extremely preterm (&lt;</w:t>
            </w:r>
            <w:r>
              <w:rPr>
                <w:rStyle w:val="cit"/>
              </w:rPr>
              <w:t>28</w:t>
            </w:r>
            <w:r>
              <w:rPr>
                <w:rStyle w:val="cit"/>
                <w:lang w:val="en-AU"/>
              </w:rPr>
              <w:t> </w:t>
            </w:r>
            <w:r w:rsidR="0075152F">
              <w:rPr>
                <w:rStyle w:val="cit"/>
              </w:rPr>
              <w:t>weeks) or extremely low birth weight infants</w:t>
            </w:r>
          </w:p>
          <w:p w14:paraId="02EBE0E6" w14:textId="65FA4366" w:rsidR="006528DB" w:rsidRPr="00FB524C" w:rsidRDefault="0075152F" w:rsidP="0075152F">
            <w:pPr>
              <w:pStyle w:val="PPbullsmall"/>
            </w:pPr>
            <w:r>
              <w:rPr>
                <w:rStyle w:val="cit"/>
              </w:rPr>
              <w:t>certain patients undergoing chemotherapy (depending on degree of immunosuppression)</w:t>
            </w:r>
            <w:r>
              <w:rPr>
                <w:rStyle w:val="cit"/>
                <w:lang w:val="en-AU"/>
              </w:rPr>
              <w:t>.</w:t>
            </w:r>
          </w:p>
        </w:tc>
        <w:tc>
          <w:tcPr>
            <w:tcW w:w="1083" w:type="dxa"/>
          </w:tcPr>
          <w:p w14:paraId="2E1F9C0A" w14:textId="77777777" w:rsidR="006528DB" w:rsidRPr="00FB524C" w:rsidRDefault="006528DB" w:rsidP="00A074FC">
            <w:pPr>
              <w:pStyle w:val="PP-small"/>
            </w:pPr>
            <w:r w:rsidRPr="00FB524C">
              <w:t>4.1.3</w:t>
            </w:r>
          </w:p>
        </w:tc>
      </w:tr>
      <w:tr w:rsidR="0075152F" w:rsidRPr="00FB524C" w14:paraId="694B18E2" w14:textId="77777777" w:rsidTr="00A074FC">
        <w:trPr>
          <w:cantSplit/>
          <w:tblHeader/>
        </w:trPr>
        <w:tc>
          <w:tcPr>
            <w:tcW w:w="1118" w:type="dxa"/>
          </w:tcPr>
          <w:p w14:paraId="01A59A58" w14:textId="69907EE3" w:rsidR="0075152F" w:rsidRPr="00FB524C" w:rsidRDefault="0075152F" w:rsidP="0075152F">
            <w:pPr>
              <w:pStyle w:val="PP-small"/>
            </w:pPr>
            <w:r>
              <w:t>EOP9</w:t>
            </w:r>
          </w:p>
        </w:tc>
        <w:tc>
          <w:tcPr>
            <w:tcW w:w="6095" w:type="dxa"/>
          </w:tcPr>
          <w:p w14:paraId="491EC915" w14:textId="02720BAA" w:rsidR="0075152F" w:rsidRPr="0075152F" w:rsidRDefault="0075152F" w:rsidP="0075152F">
            <w:pPr>
              <w:pStyle w:val="PP-small"/>
            </w:pPr>
            <w:r>
              <w:rPr>
                <w:rStyle w:val="cit"/>
              </w:rPr>
              <w:t>Stem cells must not be irradiated.</w:t>
            </w:r>
          </w:p>
        </w:tc>
        <w:tc>
          <w:tcPr>
            <w:tcW w:w="1083" w:type="dxa"/>
          </w:tcPr>
          <w:p w14:paraId="3D14FD6D" w14:textId="77777777" w:rsidR="0075152F" w:rsidRPr="00FB524C" w:rsidRDefault="0075152F" w:rsidP="0075152F">
            <w:pPr>
              <w:pStyle w:val="PP-small"/>
            </w:pPr>
            <w:r w:rsidRPr="00FB524C">
              <w:t>4.1.3</w:t>
            </w:r>
          </w:p>
        </w:tc>
      </w:tr>
      <w:tr w:rsidR="0075152F" w:rsidRPr="00FB524C" w14:paraId="3B3D69E4" w14:textId="77777777" w:rsidTr="00A074FC">
        <w:trPr>
          <w:cantSplit/>
          <w:tblHeader/>
        </w:trPr>
        <w:tc>
          <w:tcPr>
            <w:tcW w:w="1118" w:type="dxa"/>
          </w:tcPr>
          <w:p w14:paraId="01069196" w14:textId="77907158" w:rsidR="0075152F" w:rsidRPr="00FB524C" w:rsidRDefault="0075152F" w:rsidP="0075152F">
            <w:pPr>
              <w:pStyle w:val="PP-small"/>
            </w:pPr>
            <w:r>
              <w:t>EOP10</w:t>
            </w:r>
          </w:p>
        </w:tc>
        <w:tc>
          <w:tcPr>
            <w:tcW w:w="6095" w:type="dxa"/>
          </w:tcPr>
          <w:p w14:paraId="740BE827" w14:textId="28EB99FA" w:rsidR="0075152F" w:rsidRPr="00FB524C" w:rsidRDefault="0075152F" w:rsidP="0075152F">
            <w:pPr>
              <w:pStyle w:val="PP-small"/>
            </w:pPr>
            <w:r>
              <w:rPr>
                <w:rStyle w:val="cit"/>
              </w:rPr>
              <w:t xml:space="preserve">Hyperkalaemia may occur when large volumes of irradiated blood are transfused. In patients at risk, irradiated blood should be as fresh as possible (&lt;7 days) and used within 24 hours of irradiation. </w:t>
            </w:r>
          </w:p>
        </w:tc>
        <w:tc>
          <w:tcPr>
            <w:tcW w:w="1083" w:type="dxa"/>
          </w:tcPr>
          <w:p w14:paraId="07D61702" w14:textId="77777777" w:rsidR="0075152F" w:rsidRPr="00FB524C" w:rsidRDefault="0075152F" w:rsidP="0075152F">
            <w:pPr>
              <w:pStyle w:val="PP-small"/>
            </w:pPr>
            <w:r w:rsidRPr="00FB524C">
              <w:t>4.1.3</w:t>
            </w:r>
          </w:p>
        </w:tc>
      </w:tr>
      <w:tr w:rsidR="006528DB" w:rsidRPr="00FB524C" w14:paraId="20C2947A" w14:textId="77777777" w:rsidTr="006810D6">
        <w:trPr>
          <w:cantSplit/>
          <w:tblHeader/>
        </w:trPr>
        <w:tc>
          <w:tcPr>
            <w:tcW w:w="1118" w:type="dxa"/>
            <w:tcBorders>
              <w:bottom w:val="single" w:sz="4" w:space="0" w:color="000000"/>
            </w:tcBorders>
          </w:tcPr>
          <w:p w14:paraId="3E141237" w14:textId="77777777" w:rsidR="006528DB" w:rsidRPr="00FB524C" w:rsidRDefault="006528DB" w:rsidP="00A074FC">
            <w:pPr>
              <w:pStyle w:val="PP-small"/>
            </w:pPr>
            <w:r w:rsidRPr="00FB524C">
              <w:t>EOP11</w:t>
            </w:r>
          </w:p>
        </w:tc>
        <w:tc>
          <w:tcPr>
            <w:tcW w:w="6095" w:type="dxa"/>
            <w:tcBorders>
              <w:bottom w:val="single" w:sz="4" w:space="0" w:color="000000"/>
            </w:tcBorders>
          </w:tcPr>
          <w:p w14:paraId="230B9F46" w14:textId="77777777" w:rsidR="006528DB" w:rsidRPr="00FB524C" w:rsidRDefault="006528DB" w:rsidP="00A074FC">
            <w:pPr>
              <w:pStyle w:val="PP-small"/>
            </w:pPr>
            <w:r w:rsidRPr="00FB524C">
              <w:t>Patients at high risk of TAGVHD (such as those with T-cell immunodeficiency) should be given clear written information (e.g. in the form of patient information leaflets or cards). Alerts should be incorporated in the hospital medical record and the blood bank or pharmacy IT system.</w:t>
            </w:r>
          </w:p>
        </w:tc>
        <w:tc>
          <w:tcPr>
            <w:tcW w:w="1083" w:type="dxa"/>
            <w:tcBorders>
              <w:bottom w:val="single" w:sz="4" w:space="0" w:color="000000"/>
            </w:tcBorders>
          </w:tcPr>
          <w:p w14:paraId="0FEA0B5C" w14:textId="77777777" w:rsidR="006528DB" w:rsidRPr="00FB524C" w:rsidRDefault="006528DB" w:rsidP="00A074FC">
            <w:pPr>
              <w:pStyle w:val="PP-small"/>
            </w:pPr>
            <w:r w:rsidRPr="00FB524C">
              <w:t>4.13</w:t>
            </w:r>
          </w:p>
        </w:tc>
      </w:tr>
      <w:tr w:rsidR="006528DB" w:rsidRPr="006810D6" w14:paraId="5CD24E99" w14:textId="77777777" w:rsidTr="006810D6">
        <w:trPr>
          <w:cantSplit/>
          <w:tblHeader/>
        </w:trPr>
        <w:tc>
          <w:tcPr>
            <w:tcW w:w="8296" w:type="dxa"/>
            <w:gridSpan w:val="3"/>
            <w:shd w:val="clear" w:color="auto" w:fill="D9D9D9" w:themeFill="background1" w:themeFillShade="D9"/>
          </w:tcPr>
          <w:p w14:paraId="63C6CDCE" w14:textId="77777777" w:rsidR="006528DB" w:rsidRPr="0075152F" w:rsidRDefault="006528DB" w:rsidP="00A074FC">
            <w:pPr>
              <w:pStyle w:val="PP-small"/>
              <w:rPr>
                <w:b/>
              </w:rPr>
            </w:pPr>
            <w:r w:rsidRPr="0075152F">
              <w:rPr>
                <w:b/>
              </w:rPr>
              <w:t>Placental transfusion</w:t>
            </w:r>
          </w:p>
        </w:tc>
      </w:tr>
      <w:tr w:rsidR="006528DB" w:rsidRPr="00FB524C" w14:paraId="3C90345E" w14:textId="77777777" w:rsidTr="00A074FC">
        <w:trPr>
          <w:cantSplit/>
          <w:tblHeader/>
        </w:trPr>
        <w:tc>
          <w:tcPr>
            <w:tcW w:w="1118" w:type="dxa"/>
          </w:tcPr>
          <w:p w14:paraId="0B1E199A" w14:textId="77777777" w:rsidR="006528DB" w:rsidRPr="00FB524C" w:rsidRDefault="006528DB" w:rsidP="00A074FC">
            <w:pPr>
              <w:pStyle w:val="PP-small"/>
            </w:pPr>
            <w:r w:rsidRPr="00FB524C">
              <w:t>PP31</w:t>
            </w:r>
          </w:p>
        </w:tc>
        <w:tc>
          <w:tcPr>
            <w:tcW w:w="6095" w:type="dxa"/>
          </w:tcPr>
          <w:p w14:paraId="1CC8F081" w14:textId="77777777" w:rsidR="006528DB" w:rsidRPr="00FB524C" w:rsidRDefault="006528DB" w:rsidP="00A074FC">
            <w:pPr>
              <w:pStyle w:val="PP-small"/>
            </w:pPr>
            <w:r w:rsidRPr="00FB524C">
              <w:t xml:space="preserve">In preterm infants, deferring cord clamping for between 30 seconds and 3 minutes may reduce transfusion volume and incidence, and incidence of IVH. However, the effect of this practice on other outcomes (death, major morbidity and neurodevelopmental outcomes) is uncertain or unknown, particularly in extremely preterm infants (e.g. &lt;28 weeks) and in those who require active resuscitation. </w:t>
            </w:r>
          </w:p>
        </w:tc>
        <w:tc>
          <w:tcPr>
            <w:tcW w:w="1083" w:type="dxa"/>
          </w:tcPr>
          <w:p w14:paraId="63BF4A3F" w14:textId="77777777" w:rsidR="006528DB" w:rsidRPr="00FB524C" w:rsidRDefault="006528DB" w:rsidP="00A074FC">
            <w:pPr>
              <w:pStyle w:val="PP-small"/>
            </w:pPr>
            <w:r w:rsidRPr="00FB524C">
              <w:t>3.5.1</w:t>
            </w:r>
          </w:p>
        </w:tc>
      </w:tr>
      <w:tr w:rsidR="006528DB" w:rsidRPr="00FB524C" w14:paraId="4C4B15F4" w14:textId="77777777" w:rsidTr="006810D6">
        <w:trPr>
          <w:cantSplit/>
          <w:tblHeader/>
        </w:trPr>
        <w:tc>
          <w:tcPr>
            <w:tcW w:w="1118" w:type="dxa"/>
            <w:tcBorders>
              <w:bottom w:val="single" w:sz="4" w:space="0" w:color="000000"/>
            </w:tcBorders>
          </w:tcPr>
          <w:p w14:paraId="0335E00E" w14:textId="77777777" w:rsidR="006528DB" w:rsidRPr="00FB524C" w:rsidRDefault="006528DB" w:rsidP="00A074FC">
            <w:pPr>
              <w:pStyle w:val="PP-small"/>
            </w:pPr>
            <w:r w:rsidRPr="00FB524C">
              <w:t>PP32</w:t>
            </w:r>
          </w:p>
        </w:tc>
        <w:tc>
          <w:tcPr>
            <w:tcW w:w="6095" w:type="dxa"/>
            <w:tcBorders>
              <w:bottom w:val="single" w:sz="4" w:space="0" w:color="000000"/>
            </w:tcBorders>
          </w:tcPr>
          <w:p w14:paraId="44E12DC3" w14:textId="77777777" w:rsidR="006528DB" w:rsidRPr="00FB524C" w:rsidRDefault="006528DB" w:rsidP="00A074FC">
            <w:pPr>
              <w:pStyle w:val="PP-small"/>
            </w:pPr>
            <w:r w:rsidRPr="00FB524C">
              <w:t>In term infants, deferring cord clamping for at least 1 minute is likely to reduce the risk of iron deficiency at 3–6 months. This intervention should be considered in infants who do not require active resuscitation, provided that access to phototherapy for jaundice is available.</w:t>
            </w:r>
            <w:r w:rsidRPr="00FB524C">
              <w:rPr>
                <w:vertAlign w:val="superscript"/>
              </w:rPr>
              <w:t>a</w:t>
            </w:r>
          </w:p>
          <w:p w14:paraId="0DA55FEC" w14:textId="5446FC04" w:rsidR="006528DB" w:rsidRPr="00FB524C" w:rsidRDefault="006528DB" w:rsidP="00E62798">
            <w:pPr>
              <w:pStyle w:val="PP-note"/>
            </w:pPr>
            <w:r w:rsidRPr="00FB524C">
              <w:rPr>
                <w:vertAlign w:val="superscript"/>
                <w:lang w:eastAsia="en-US"/>
              </w:rPr>
              <w:t xml:space="preserve">a </w:t>
            </w:r>
            <w:r w:rsidRPr="00FB524C">
              <w:rPr>
                <w:lang w:eastAsia="en-US"/>
              </w:rPr>
              <w:t xml:space="preserve">See </w:t>
            </w:r>
            <w:r w:rsidRPr="0075152F">
              <w:t>McDonald</w:t>
            </w:r>
            <w:r w:rsidRPr="00FB524C">
              <w:rPr>
                <w:lang w:eastAsia="en-US"/>
              </w:rPr>
              <w:t xml:space="preserve"> et al (2013)</w:t>
            </w:r>
            <w:r w:rsidR="00863DEC">
              <w:rPr>
                <w:lang w:eastAsia="en-US"/>
              </w:rPr>
              <w:t>.</w:t>
            </w:r>
            <w:hyperlink w:anchor="_ENREF_19" w:tooltip="McDonald, 2013 #732" w:history="1">
              <w:r w:rsidR="00E62798">
                <w:rPr>
                  <w:lang w:eastAsia="en-US"/>
                </w:rPr>
                <w:fldChar w:fldCharType="begin"/>
              </w:r>
              <w:r w:rsidR="00E62798">
                <w:rPr>
                  <w:lang w:eastAsia="en-US"/>
                </w:rPr>
                <w:instrText xml:space="preserve"> ADDIN EN.CITE &lt;EndNote&gt;&lt;Cite&gt;&lt;Author&gt;McDonald&lt;/Author&gt;&lt;Year&gt;2013&lt;/Year&gt;&lt;RecNum&gt;732&lt;/RecNum&gt;&lt;DisplayText&gt;&lt;style face="superscript"&gt;19&lt;/style&gt;&lt;/DisplayText&gt;&lt;record&gt;&lt;rec-number&gt;732&lt;/rec-number&gt;&lt;foreign-keys&gt;&lt;key app="EN" db-id="9edve2wadsavt5ewavaxtda4f2tavzvts9ee" timestamp="1431561770"&gt;732&lt;/key&gt;&lt;/foreign-keys&gt;&lt;ref-type name="Journal Article"&gt;17&lt;/ref-type&gt;&lt;contributors&gt;&lt;authors&gt;&lt;author&gt;McDonald, S. J.&lt;/author&gt;&lt;author&gt;Middleton, P.&lt;/author&gt;&lt;author&gt;Dowswell, T.&lt;/author&gt;&lt;author&gt;Morris, P. S.&lt;/author&gt;&lt;/authors&gt;&lt;/contributors&gt;&lt;auth-address&gt;Midwifery Professorial Unit, La Trobe University/Mercy Hospital for Women, Melbourne, Australia. s.mcdonald@latrobe.edu.au&lt;/auth-address&gt;&lt;titles&gt;&lt;title&gt;Effect of timing of umbilical cord clamping of term infants on maternal and neonatal outcomes&lt;/title&gt;&lt;secondary-title&gt;Cochrane Database Syst Rev&lt;/secondary-title&gt;&lt;/titles&gt;&lt;periodical&gt;&lt;full-title&gt;Cochrane Database Syst Rev&lt;/full-title&gt;&lt;abbr-1&gt;The Cochrane database of systematic reviews&lt;/abbr-1&gt;&lt;/periodical&gt;&lt;pages&gt;CD004074&lt;/pages&gt;&lt;volume&gt;7&lt;/volume&gt;&lt;keywords&gt;&lt;keyword&gt;Constriction&lt;/keyword&gt;&lt;keyword&gt;Female&lt;/keyword&gt;&lt;keyword&gt;Humans&lt;/keyword&gt;&lt;keyword&gt;Infant, Newborn&lt;/keyword&gt;&lt;keyword&gt;Iron/blood&lt;/keyword&gt;&lt;keyword&gt;Jaundice, Neonatal/*etiology/therapy&lt;/keyword&gt;&lt;keyword&gt;Labor Stage, Third&lt;/keyword&gt;&lt;keyword&gt;Phototherapy&lt;/keyword&gt;&lt;keyword&gt;Placental Circulation/physiology&lt;/keyword&gt;&lt;keyword&gt;Postpartum Hemorrhage/*prevention &amp;amp; control&lt;/keyword&gt;&lt;keyword&gt;Pregnancy&lt;/keyword&gt;&lt;keyword&gt;Randomized Controlled Trials as Topic&lt;/keyword&gt;&lt;keyword&gt;Time Factors&lt;/keyword&gt;&lt;keyword&gt;*Umbilical Cord&lt;/keyword&gt;&lt;/keywords&gt;&lt;dates&gt;&lt;year&gt;2013&lt;/year&gt;&lt;/dates&gt;&lt;isbn&gt;1469-493X (Electronic)&amp;#xD;1361-6137 (Linking)&lt;/isbn&gt;&lt;accession-num&gt;23843134&lt;/accession-num&gt;&lt;urls&gt;&lt;related-urls&gt;&lt;url&gt;http://www.ncbi.nlm.nih.gov/pubmed/23843134&lt;/url&gt;&lt;/related-urls&gt;&lt;/urls&gt;&lt;electronic-resource-num&gt;10.1002/14651858.CD004074.pub3&lt;/electronic-resource-num&gt;&lt;/record&gt;&lt;/Cite&gt;&lt;/EndNote&gt;</w:instrText>
              </w:r>
              <w:r w:rsidR="00E62798">
                <w:rPr>
                  <w:lang w:eastAsia="en-US"/>
                </w:rPr>
                <w:fldChar w:fldCharType="separate"/>
              </w:r>
              <w:r w:rsidR="00E62798" w:rsidRPr="00E62798">
                <w:rPr>
                  <w:noProof/>
                  <w:vertAlign w:val="superscript"/>
                  <w:lang w:eastAsia="en-US"/>
                </w:rPr>
                <w:t>19</w:t>
              </w:r>
              <w:r w:rsidR="00E62798">
                <w:rPr>
                  <w:lang w:eastAsia="en-US"/>
                </w:rPr>
                <w:fldChar w:fldCharType="end"/>
              </w:r>
            </w:hyperlink>
          </w:p>
        </w:tc>
        <w:tc>
          <w:tcPr>
            <w:tcW w:w="1083" w:type="dxa"/>
            <w:tcBorders>
              <w:bottom w:val="single" w:sz="4" w:space="0" w:color="000000"/>
            </w:tcBorders>
          </w:tcPr>
          <w:p w14:paraId="1C5D8F31" w14:textId="77777777" w:rsidR="006528DB" w:rsidRPr="00FB524C" w:rsidRDefault="006528DB" w:rsidP="00A074FC">
            <w:pPr>
              <w:pStyle w:val="PP-small"/>
            </w:pPr>
            <w:r w:rsidRPr="00FB524C">
              <w:t>3.5.1</w:t>
            </w:r>
          </w:p>
        </w:tc>
      </w:tr>
      <w:tr w:rsidR="006528DB" w:rsidRPr="0075152F" w14:paraId="71093D4C" w14:textId="77777777" w:rsidTr="0026291E">
        <w:trPr>
          <w:cantSplit/>
          <w:tblHeader/>
        </w:trPr>
        <w:tc>
          <w:tcPr>
            <w:tcW w:w="8296" w:type="dxa"/>
            <w:gridSpan w:val="3"/>
            <w:shd w:val="clear" w:color="auto" w:fill="D9D9D9" w:themeFill="background1" w:themeFillShade="D9"/>
          </w:tcPr>
          <w:p w14:paraId="2D8C0E31" w14:textId="0BC0BE44" w:rsidR="006528DB" w:rsidRPr="0075152F" w:rsidRDefault="00274815" w:rsidP="00A074FC">
            <w:pPr>
              <w:pStyle w:val="PP-small"/>
              <w:rPr>
                <w:b/>
              </w:rPr>
            </w:pPr>
            <w:r>
              <w:rPr>
                <w:b/>
              </w:rPr>
              <w:t>IVIg</w:t>
            </w:r>
          </w:p>
        </w:tc>
      </w:tr>
      <w:tr w:rsidR="006528DB" w:rsidRPr="00FB524C" w14:paraId="21E7A6BF" w14:textId="77777777" w:rsidTr="00A074FC">
        <w:trPr>
          <w:cantSplit/>
          <w:tblHeader/>
        </w:trPr>
        <w:tc>
          <w:tcPr>
            <w:tcW w:w="1118" w:type="dxa"/>
          </w:tcPr>
          <w:p w14:paraId="2568CBBB" w14:textId="7C4FDB9A" w:rsidR="006528DB" w:rsidRPr="00FB524C" w:rsidRDefault="006528DB" w:rsidP="00863DEC">
            <w:pPr>
              <w:pStyle w:val="PP-small"/>
            </w:pPr>
            <w:r w:rsidRPr="00FB524C">
              <w:t>R7</w:t>
            </w:r>
            <w:r w:rsidR="00863DEC" w:rsidRPr="00FB524C" w:rsidDel="00863DEC">
              <w:t xml:space="preserve"> </w:t>
            </w:r>
            <w:r w:rsidR="00863DEC">
              <w:br/>
            </w:r>
            <w:r w:rsidRPr="00FB524C">
              <w:t>(Grade B)</w:t>
            </w:r>
          </w:p>
        </w:tc>
        <w:tc>
          <w:tcPr>
            <w:tcW w:w="6095" w:type="dxa"/>
          </w:tcPr>
          <w:p w14:paraId="405C85D2" w14:textId="1EA8A18A" w:rsidR="006528DB" w:rsidRPr="00FB524C" w:rsidRDefault="006528DB" w:rsidP="00A074FC">
            <w:pPr>
              <w:pStyle w:val="PP-small"/>
            </w:pPr>
            <w:r w:rsidRPr="00FB524C">
              <w:t xml:space="preserve">In infants with HDFN, the </w:t>
            </w:r>
            <w:r w:rsidRPr="00FB524C">
              <w:rPr>
                <w:i/>
              </w:rPr>
              <w:t xml:space="preserve">routine </w:t>
            </w:r>
            <w:r w:rsidRPr="00FB524C">
              <w:t xml:space="preserve">use of </w:t>
            </w:r>
            <w:r w:rsidR="00274815">
              <w:t>IVIg</w:t>
            </w:r>
            <w:r w:rsidRPr="00FB524C">
              <w:t xml:space="preserve"> is not recommended. </w:t>
            </w:r>
          </w:p>
        </w:tc>
        <w:tc>
          <w:tcPr>
            <w:tcW w:w="1083" w:type="dxa"/>
          </w:tcPr>
          <w:p w14:paraId="3886AEAB" w14:textId="77777777" w:rsidR="006528DB" w:rsidRPr="00FB524C" w:rsidRDefault="006528DB" w:rsidP="00A074FC">
            <w:pPr>
              <w:pStyle w:val="PP-small"/>
            </w:pPr>
            <w:r w:rsidRPr="00FB524C">
              <w:t>3.5.2</w:t>
            </w:r>
          </w:p>
        </w:tc>
      </w:tr>
      <w:tr w:rsidR="00274815" w:rsidRPr="00FB524C" w14:paraId="6BC51CFA" w14:textId="77777777" w:rsidTr="00A074FC">
        <w:trPr>
          <w:cantSplit/>
          <w:tblHeader/>
        </w:trPr>
        <w:tc>
          <w:tcPr>
            <w:tcW w:w="1118" w:type="dxa"/>
          </w:tcPr>
          <w:p w14:paraId="1D0B9652" w14:textId="4888205E" w:rsidR="00274815" w:rsidRPr="00FB524C" w:rsidRDefault="00274815" w:rsidP="00274815">
            <w:pPr>
              <w:pStyle w:val="PP-small"/>
            </w:pPr>
            <w:r w:rsidRPr="00FB524C">
              <w:t>PP33</w:t>
            </w:r>
          </w:p>
        </w:tc>
        <w:tc>
          <w:tcPr>
            <w:tcW w:w="6095" w:type="dxa"/>
          </w:tcPr>
          <w:p w14:paraId="60929005" w14:textId="294E814E" w:rsidR="00274815" w:rsidRPr="00FB524C" w:rsidRDefault="00274815" w:rsidP="00274815">
            <w:pPr>
              <w:pStyle w:val="PP-small"/>
            </w:pPr>
            <w:r w:rsidRPr="00FB524C">
              <w:t xml:space="preserve">Infants at risk of HDFN should be promptly assessed after birth. Those at high risk of severe jaundice should receive intensive phototherapy. </w:t>
            </w:r>
          </w:p>
        </w:tc>
        <w:tc>
          <w:tcPr>
            <w:tcW w:w="1083" w:type="dxa"/>
          </w:tcPr>
          <w:p w14:paraId="71ABED8D" w14:textId="43C347EE" w:rsidR="00274815" w:rsidRDefault="00274815" w:rsidP="00274815">
            <w:pPr>
              <w:pStyle w:val="PP-small"/>
              <w:rPr>
                <w:lang w:val="en-AU"/>
              </w:rPr>
            </w:pPr>
            <w:r>
              <w:rPr>
                <w:lang w:val="en-AU"/>
              </w:rPr>
              <w:t>3.5.2</w:t>
            </w:r>
          </w:p>
        </w:tc>
      </w:tr>
      <w:tr w:rsidR="006528DB" w:rsidRPr="00FB524C" w14:paraId="60BF7625" w14:textId="77777777" w:rsidTr="00A074FC">
        <w:trPr>
          <w:cantSplit/>
          <w:tblHeader/>
        </w:trPr>
        <w:tc>
          <w:tcPr>
            <w:tcW w:w="1118" w:type="dxa"/>
          </w:tcPr>
          <w:p w14:paraId="4EF4B1F2" w14:textId="77777777" w:rsidR="006528DB" w:rsidRPr="00FB524C" w:rsidRDefault="006528DB" w:rsidP="00A074FC">
            <w:pPr>
              <w:pStyle w:val="PP-small"/>
            </w:pPr>
            <w:r w:rsidRPr="00FB524C">
              <w:lastRenderedPageBreak/>
              <w:t>EOP4</w:t>
            </w:r>
          </w:p>
        </w:tc>
        <w:tc>
          <w:tcPr>
            <w:tcW w:w="6095" w:type="dxa"/>
          </w:tcPr>
          <w:p w14:paraId="1C5B7279" w14:textId="4649ED4B" w:rsidR="006528DB" w:rsidRPr="00FB524C" w:rsidRDefault="006528DB" w:rsidP="00A074FC">
            <w:pPr>
              <w:pStyle w:val="PP-small"/>
            </w:pPr>
            <w:r w:rsidRPr="00FB524C">
              <w:t xml:space="preserve">In maternity patients with a fetus affected by HDFN who is at high risk of early fetal hydrops or death, a course of weekly </w:t>
            </w:r>
            <w:r w:rsidR="00274815">
              <w:t>IVIg</w:t>
            </w:r>
            <w:r w:rsidRPr="00FB524C">
              <w:t xml:space="preserve"> should be considered. </w:t>
            </w:r>
          </w:p>
        </w:tc>
        <w:tc>
          <w:tcPr>
            <w:tcW w:w="1083" w:type="dxa"/>
          </w:tcPr>
          <w:p w14:paraId="7B435276" w14:textId="63729251" w:rsidR="006528DB" w:rsidRPr="0075152F" w:rsidRDefault="0075152F" w:rsidP="00A074FC">
            <w:pPr>
              <w:pStyle w:val="PP-small"/>
              <w:rPr>
                <w:lang w:val="en-AU"/>
              </w:rPr>
            </w:pPr>
            <w:r>
              <w:rPr>
                <w:lang w:val="en-AU"/>
              </w:rPr>
              <w:t>3.5.2</w:t>
            </w:r>
          </w:p>
        </w:tc>
      </w:tr>
      <w:tr w:rsidR="006528DB" w:rsidRPr="00FB524C" w14:paraId="51FE8085" w14:textId="77777777" w:rsidTr="0026291E">
        <w:trPr>
          <w:cantSplit/>
          <w:tblHeader/>
        </w:trPr>
        <w:tc>
          <w:tcPr>
            <w:tcW w:w="8296" w:type="dxa"/>
            <w:gridSpan w:val="3"/>
            <w:shd w:val="clear" w:color="auto" w:fill="D9D9D9" w:themeFill="background1" w:themeFillShade="D9"/>
          </w:tcPr>
          <w:p w14:paraId="5BA131C0" w14:textId="77777777" w:rsidR="006528DB" w:rsidRPr="0075152F" w:rsidRDefault="006528DB" w:rsidP="00A074FC">
            <w:pPr>
              <w:pStyle w:val="PP-small"/>
              <w:rPr>
                <w:b/>
              </w:rPr>
            </w:pPr>
            <w:r w:rsidRPr="0075152F">
              <w:rPr>
                <w:b/>
              </w:rPr>
              <w:t>Measures to prevent hypothermia</w:t>
            </w:r>
          </w:p>
        </w:tc>
      </w:tr>
      <w:tr w:rsidR="006528DB" w:rsidRPr="00FB524C" w14:paraId="07E8FC15" w14:textId="77777777" w:rsidTr="00A074FC">
        <w:trPr>
          <w:cantSplit/>
          <w:tblHeader/>
        </w:trPr>
        <w:tc>
          <w:tcPr>
            <w:tcW w:w="1118" w:type="dxa"/>
          </w:tcPr>
          <w:p w14:paraId="1996515A" w14:textId="1D213F00" w:rsidR="006528DB" w:rsidRPr="00FB524C" w:rsidRDefault="006528DB" w:rsidP="00863DEC">
            <w:pPr>
              <w:pStyle w:val="PP-small"/>
            </w:pPr>
            <w:r w:rsidRPr="00FB524C">
              <w:t>R8</w:t>
            </w:r>
            <w:r w:rsidR="00863DEC" w:rsidRPr="00FB524C" w:rsidDel="00863DEC">
              <w:t xml:space="preserve"> </w:t>
            </w:r>
            <w:r w:rsidR="00863DEC">
              <w:br/>
            </w:r>
            <w:r w:rsidRPr="00FB524C">
              <w:t>(Grade B)</w:t>
            </w:r>
          </w:p>
        </w:tc>
        <w:tc>
          <w:tcPr>
            <w:tcW w:w="6095" w:type="dxa"/>
          </w:tcPr>
          <w:p w14:paraId="36BBA87C" w14:textId="77777777" w:rsidR="006528DB" w:rsidRPr="00FB524C" w:rsidRDefault="006528DB" w:rsidP="00A074FC">
            <w:pPr>
              <w:pStyle w:val="PP-small"/>
            </w:pPr>
            <w:r w:rsidRPr="00FB524C">
              <w:t>In paediatric patients undergoing surgery, measures to prevent hypothermia should be used.</w:t>
            </w:r>
            <w:r w:rsidRPr="00FB524C">
              <w:rPr>
                <w:vertAlign w:val="superscript"/>
              </w:rPr>
              <w:t>a</w:t>
            </w:r>
            <w:r w:rsidRPr="00FB524C">
              <w:t xml:space="preserve"> </w:t>
            </w:r>
          </w:p>
          <w:p w14:paraId="583B7F20" w14:textId="1A6E1B6E" w:rsidR="006528DB" w:rsidRPr="00FB524C" w:rsidRDefault="006528DB" w:rsidP="00E62798">
            <w:pPr>
              <w:pStyle w:val="PP-note"/>
            </w:pPr>
            <w:r w:rsidRPr="00FB524C">
              <w:rPr>
                <w:vertAlign w:val="superscript"/>
                <w:lang w:eastAsia="en-US"/>
              </w:rPr>
              <w:t>a</w:t>
            </w:r>
            <w:r w:rsidRPr="00FB524C">
              <w:rPr>
                <w:lang w:eastAsia="en-US"/>
              </w:rPr>
              <w:t xml:space="preserve"> See R12 in </w:t>
            </w:r>
            <w:r w:rsidRPr="00FB524C">
              <w:rPr>
                <w:i/>
                <w:lang w:eastAsia="en-US"/>
              </w:rPr>
              <w:t>Patient Blood Management Guidelines: Module 2 – Perioperative</w:t>
            </w:r>
            <w:r w:rsidR="00863DEC">
              <w:rPr>
                <w:lang w:eastAsia="en-US"/>
              </w:rPr>
              <w:t>.</w:t>
            </w:r>
            <w:hyperlink w:anchor="_ENREF_2" w:tooltip="National Blood Authority (NBA), 2012 #198" w:history="1">
              <w:r w:rsidR="00E62798">
                <w:rPr>
                  <w:lang w:eastAsia="en-US"/>
                </w:rPr>
                <w:fldChar w:fldCharType="begin"/>
              </w:r>
              <w:r w:rsidR="00E62798">
                <w:rPr>
                  <w:lang w:eastAsia="en-US"/>
                </w:rPr>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rPr>
                  <w:lang w:eastAsia="en-US"/>
                </w:rPr>
                <w:fldChar w:fldCharType="separate"/>
              </w:r>
              <w:r w:rsidR="00E62798" w:rsidRPr="00E62798">
                <w:rPr>
                  <w:noProof/>
                  <w:vertAlign w:val="superscript"/>
                  <w:lang w:eastAsia="en-US"/>
                </w:rPr>
                <w:t>2</w:t>
              </w:r>
              <w:r w:rsidR="00E62798">
                <w:rPr>
                  <w:lang w:eastAsia="en-US"/>
                </w:rPr>
                <w:fldChar w:fldCharType="end"/>
              </w:r>
            </w:hyperlink>
          </w:p>
        </w:tc>
        <w:tc>
          <w:tcPr>
            <w:tcW w:w="1083" w:type="dxa"/>
          </w:tcPr>
          <w:p w14:paraId="7D88E5E8" w14:textId="77777777" w:rsidR="006528DB" w:rsidRPr="00FB524C" w:rsidRDefault="006528DB" w:rsidP="00A074FC">
            <w:pPr>
              <w:pStyle w:val="PP-small"/>
            </w:pPr>
            <w:r w:rsidRPr="00FB524C">
              <w:t>3.5.3</w:t>
            </w:r>
          </w:p>
        </w:tc>
      </w:tr>
      <w:tr w:rsidR="006528DB" w:rsidRPr="00FB524C" w14:paraId="1A031410" w14:textId="77777777" w:rsidTr="0026291E">
        <w:trPr>
          <w:cantSplit/>
          <w:tblHeader/>
        </w:trPr>
        <w:tc>
          <w:tcPr>
            <w:tcW w:w="8296" w:type="dxa"/>
            <w:gridSpan w:val="3"/>
            <w:shd w:val="clear" w:color="auto" w:fill="D9D9D9" w:themeFill="background1" w:themeFillShade="D9"/>
          </w:tcPr>
          <w:p w14:paraId="3AD1B46A" w14:textId="77777777" w:rsidR="006528DB" w:rsidRPr="0075152F" w:rsidRDefault="006528DB" w:rsidP="00A074FC">
            <w:pPr>
              <w:pStyle w:val="PP-small"/>
              <w:rPr>
                <w:b/>
              </w:rPr>
            </w:pPr>
            <w:r w:rsidRPr="0075152F">
              <w:rPr>
                <w:b/>
              </w:rPr>
              <w:t>Antifibrinolytics</w:t>
            </w:r>
          </w:p>
        </w:tc>
      </w:tr>
      <w:tr w:rsidR="006528DB" w:rsidRPr="00FB524C" w14:paraId="5FCC7B0A" w14:textId="77777777" w:rsidTr="00A074FC">
        <w:trPr>
          <w:cantSplit/>
          <w:tblHeader/>
        </w:trPr>
        <w:tc>
          <w:tcPr>
            <w:tcW w:w="1118" w:type="dxa"/>
          </w:tcPr>
          <w:p w14:paraId="4B75D1AF" w14:textId="1F7A93EE" w:rsidR="006528DB" w:rsidRPr="00FB524C" w:rsidRDefault="006528DB" w:rsidP="00863DEC">
            <w:pPr>
              <w:pStyle w:val="PP-small"/>
            </w:pPr>
            <w:r w:rsidRPr="00FB524C">
              <w:t>R9</w:t>
            </w:r>
            <w:r w:rsidR="00863DEC" w:rsidRPr="00FB524C" w:rsidDel="00863DEC">
              <w:t xml:space="preserve"> </w:t>
            </w:r>
            <w:r w:rsidR="00863DEC">
              <w:br/>
            </w:r>
            <w:r w:rsidRPr="00FB524C">
              <w:t>(Grade B)</w:t>
            </w:r>
          </w:p>
        </w:tc>
        <w:tc>
          <w:tcPr>
            <w:tcW w:w="6095" w:type="dxa"/>
          </w:tcPr>
          <w:p w14:paraId="01FA0417" w14:textId="3C89DC64" w:rsidR="006528DB" w:rsidRPr="00FB524C" w:rsidRDefault="006528DB" w:rsidP="00A074FC">
            <w:pPr>
              <w:pStyle w:val="PP-small"/>
            </w:pPr>
            <w:r w:rsidRPr="00FB524C">
              <w:t xml:space="preserve">In paediatric patients undergoing cardiac surgery with </w:t>
            </w:r>
            <w:r w:rsidR="0026291E">
              <w:rPr>
                <w:lang w:val="en-AU"/>
              </w:rPr>
              <w:t>CPB</w:t>
            </w:r>
            <w:r w:rsidRPr="00FB524C">
              <w:t>, the routine use of antifibrinolytics is recommended.</w:t>
            </w:r>
            <w:r w:rsidRPr="00FB524C">
              <w:rPr>
                <w:vertAlign w:val="superscript"/>
              </w:rPr>
              <w:t>a</w:t>
            </w:r>
            <w:r w:rsidRPr="00FB524C">
              <w:t xml:space="preserve"> </w:t>
            </w:r>
          </w:p>
          <w:p w14:paraId="6F7BA4D8" w14:textId="0FD8B462" w:rsidR="006528DB" w:rsidRPr="00FB524C" w:rsidRDefault="006528DB" w:rsidP="0026291E">
            <w:pPr>
              <w:pStyle w:val="PP-note"/>
            </w:pPr>
            <w:r w:rsidRPr="00FB524C">
              <w:rPr>
                <w:vertAlign w:val="superscript"/>
                <w:lang w:eastAsia="en-US"/>
              </w:rPr>
              <w:t>a</w:t>
            </w:r>
            <w:r w:rsidR="004E2E70">
              <w:rPr>
                <w:vertAlign w:val="superscript"/>
                <w:lang w:eastAsia="en-US"/>
              </w:rPr>
              <w:t xml:space="preserve"> </w:t>
            </w:r>
            <w:r w:rsidR="0026291E">
              <w:rPr>
                <w:lang w:eastAsia="en-US"/>
              </w:rPr>
              <w:t>TXA</w:t>
            </w:r>
            <w:r w:rsidRPr="00FB524C">
              <w:rPr>
                <w:lang w:eastAsia="en-US"/>
              </w:rPr>
              <w:t xml:space="preserve"> in this context is approved in Australia. The use of aprotinin in this context is considered off label in Australia. EACA is not licensed for use in Australia.</w:t>
            </w:r>
          </w:p>
        </w:tc>
        <w:tc>
          <w:tcPr>
            <w:tcW w:w="1083" w:type="dxa"/>
          </w:tcPr>
          <w:p w14:paraId="756FDF0A" w14:textId="77777777" w:rsidR="006528DB" w:rsidRPr="00FB524C" w:rsidRDefault="006528DB" w:rsidP="00A074FC">
            <w:pPr>
              <w:pStyle w:val="PP-small"/>
            </w:pPr>
            <w:r w:rsidRPr="00FB524C">
              <w:t>3.5.8</w:t>
            </w:r>
          </w:p>
        </w:tc>
      </w:tr>
      <w:tr w:rsidR="006528DB" w:rsidRPr="00FB524C" w14:paraId="7A3FE1FC" w14:textId="77777777" w:rsidTr="00A074FC">
        <w:trPr>
          <w:cantSplit/>
          <w:tblHeader/>
        </w:trPr>
        <w:tc>
          <w:tcPr>
            <w:tcW w:w="1118" w:type="dxa"/>
          </w:tcPr>
          <w:p w14:paraId="09112025" w14:textId="078CD518" w:rsidR="006528DB" w:rsidRPr="00FB524C" w:rsidRDefault="006528DB" w:rsidP="00863DEC">
            <w:pPr>
              <w:pStyle w:val="PP-small"/>
            </w:pPr>
            <w:r w:rsidRPr="00FB524C">
              <w:t>R10</w:t>
            </w:r>
            <w:r w:rsidR="00863DEC" w:rsidRPr="00FB524C" w:rsidDel="00863DEC">
              <w:t xml:space="preserve"> </w:t>
            </w:r>
            <w:r w:rsidR="00863DEC">
              <w:br/>
            </w:r>
            <w:r w:rsidRPr="00FB524C">
              <w:t>(Grade C)</w:t>
            </w:r>
          </w:p>
        </w:tc>
        <w:tc>
          <w:tcPr>
            <w:tcW w:w="6095" w:type="dxa"/>
          </w:tcPr>
          <w:p w14:paraId="710ACE95" w14:textId="77777777" w:rsidR="006528DB" w:rsidRPr="00FB524C" w:rsidRDefault="006528DB" w:rsidP="00A074FC">
            <w:pPr>
              <w:pStyle w:val="PP-small"/>
            </w:pPr>
            <w:r w:rsidRPr="00FB524C">
              <w:t xml:space="preserve">In paediatric patients undergoing surgery for scoliosis in whom substantial blood loss is anticipated, the use of antifibrinolytics should be considered. </w:t>
            </w:r>
          </w:p>
          <w:p w14:paraId="46A40B3C" w14:textId="2BB1F922" w:rsidR="006528DB" w:rsidRPr="00FB524C" w:rsidRDefault="006528DB" w:rsidP="0026291E">
            <w:pPr>
              <w:pStyle w:val="PP-note"/>
            </w:pPr>
            <w:r w:rsidRPr="00FB524C">
              <w:rPr>
                <w:vertAlign w:val="superscript"/>
                <w:lang w:eastAsia="en-US"/>
              </w:rPr>
              <w:t>a</w:t>
            </w:r>
            <w:r w:rsidR="004E2E70">
              <w:rPr>
                <w:vertAlign w:val="superscript"/>
                <w:lang w:eastAsia="en-US"/>
              </w:rPr>
              <w:t xml:space="preserve"> </w:t>
            </w:r>
            <w:r w:rsidR="0026291E">
              <w:rPr>
                <w:lang w:eastAsia="en-US"/>
              </w:rPr>
              <w:t>TXA</w:t>
            </w:r>
            <w:r w:rsidRPr="00FB524C">
              <w:rPr>
                <w:lang w:eastAsia="en-US"/>
              </w:rPr>
              <w:t xml:space="preserve"> in this context is approved in Australia. The use of aprotinin in this context is considered off label in Australia. EACA is not licensed for use in Australia.</w:t>
            </w:r>
          </w:p>
        </w:tc>
        <w:tc>
          <w:tcPr>
            <w:tcW w:w="1083" w:type="dxa"/>
          </w:tcPr>
          <w:p w14:paraId="1E4FE639" w14:textId="77777777" w:rsidR="006528DB" w:rsidRPr="00FB524C" w:rsidRDefault="006528DB" w:rsidP="00A074FC">
            <w:pPr>
              <w:pStyle w:val="PP-small"/>
            </w:pPr>
            <w:r w:rsidRPr="00FB524C">
              <w:t>3.5.8</w:t>
            </w:r>
          </w:p>
        </w:tc>
      </w:tr>
      <w:tr w:rsidR="006528DB" w:rsidRPr="00FB524C" w14:paraId="6CE2BD5A" w14:textId="77777777" w:rsidTr="00A074FC">
        <w:trPr>
          <w:cantSplit/>
          <w:tblHeader/>
        </w:trPr>
        <w:tc>
          <w:tcPr>
            <w:tcW w:w="1118" w:type="dxa"/>
          </w:tcPr>
          <w:p w14:paraId="07C5EF0A" w14:textId="65AF54E8" w:rsidR="006528DB" w:rsidRPr="00FB524C" w:rsidRDefault="006528DB" w:rsidP="00863DEC">
            <w:pPr>
              <w:pStyle w:val="PP-small"/>
            </w:pPr>
            <w:r w:rsidRPr="00FB524C">
              <w:t>R11</w:t>
            </w:r>
            <w:r w:rsidR="00863DEC" w:rsidRPr="00FB524C" w:rsidDel="00863DEC">
              <w:t xml:space="preserve"> </w:t>
            </w:r>
            <w:r w:rsidR="00863DEC">
              <w:br/>
            </w:r>
            <w:r w:rsidRPr="00FB524C">
              <w:t>(Grade C)</w:t>
            </w:r>
          </w:p>
        </w:tc>
        <w:tc>
          <w:tcPr>
            <w:tcW w:w="6095" w:type="dxa"/>
          </w:tcPr>
          <w:p w14:paraId="4F6FFB78" w14:textId="77777777" w:rsidR="006528DB" w:rsidRPr="00FB524C" w:rsidRDefault="006528DB" w:rsidP="00A074FC">
            <w:pPr>
              <w:pStyle w:val="PP-small"/>
            </w:pPr>
            <w:r w:rsidRPr="00FB524C">
              <w:t xml:space="preserve">In paediatric patients undergoing craniofacial surgery in whom substantial blood loss is anticipated, the use of antifibrinolytics should be considered. </w:t>
            </w:r>
          </w:p>
          <w:p w14:paraId="160F0436" w14:textId="12593408" w:rsidR="006528DB" w:rsidRPr="00FB524C" w:rsidRDefault="006528DB" w:rsidP="0026291E">
            <w:pPr>
              <w:pStyle w:val="PP-note"/>
            </w:pPr>
            <w:r w:rsidRPr="00FB524C">
              <w:rPr>
                <w:vertAlign w:val="superscript"/>
                <w:lang w:eastAsia="en-US"/>
              </w:rPr>
              <w:t>a</w:t>
            </w:r>
            <w:r w:rsidR="004E2E70">
              <w:rPr>
                <w:vertAlign w:val="superscript"/>
                <w:lang w:eastAsia="en-US"/>
              </w:rPr>
              <w:t xml:space="preserve"> </w:t>
            </w:r>
            <w:r w:rsidR="0026291E">
              <w:rPr>
                <w:lang w:eastAsia="en-US"/>
              </w:rPr>
              <w:t xml:space="preserve">TXA </w:t>
            </w:r>
            <w:r w:rsidRPr="00FB524C">
              <w:rPr>
                <w:lang w:eastAsia="en-US"/>
              </w:rPr>
              <w:t>in this context is approved in Australia. The use of aprotinin in this context is considered off label in Australia. EACA is not licensed for use in Australia.</w:t>
            </w:r>
          </w:p>
        </w:tc>
        <w:tc>
          <w:tcPr>
            <w:tcW w:w="1083" w:type="dxa"/>
          </w:tcPr>
          <w:p w14:paraId="59214862" w14:textId="77777777" w:rsidR="006528DB" w:rsidRPr="00FB524C" w:rsidRDefault="006528DB" w:rsidP="00A074FC">
            <w:pPr>
              <w:pStyle w:val="PP-small"/>
            </w:pPr>
            <w:r w:rsidRPr="00FB524C">
              <w:t>3.5.8</w:t>
            </w:r>
          </w:p>
        </w:tc>
      </w:tr>
      <w:tr w:rsidR="006528DB" w:rsidRPr="00FB524C" w14:paraId="6C2714F1" w14:textId="77777777" w:rsidTr="00A074FC">
        <w:trPr>
          <w:cantSplit/>
          <w:tblHeader/>
        </w:trPr>
        <w:tc>
          <w:tcPr>
            <w:tcW w:w="1118" w:type="dxa"/>
          </w:tcPr>
          <w:p w14:paraId="51871929" w14:textId="77777777" w:rsidR="006528DB" w:rsidRPr="00FB524C" w:rsidRDefault="006528DB" w:rsidP="00A074FC">
            <w:pPr>
              <w:pStyle w:val="PP-small"/>
            </w:pPr>
            <w:r w:rsidRPr="00FB524C">
              <w:t>PP37</w:t>
            </w:r>
          </w:p>
        </w:tc>
        <w:tc>
          <w:tcPr>
            <w:tcW w:w="6095" w:type="dxa"/>
          </w:tcPr>
          <w:p w14:paraId="46DD1049" w14:textId="0FDF1616" w:rsidR="006528DB" w:rsidRPr="00FB524C" w:rsidRDefault="006528DB" w:rsidP="00A074FC">
            <w:pPr>
              <w:pStyle w:val="PP-small"/>
              <w:rPr>
                <w:vertAlign w:val="superscript"/>
              </w:rPr>
            </w:pPr>
            <w:r w:rsidRPr="00FB524C">
              <w:t xml:space="preserve">In acutely bleeding critically ill paediatric trauma patients, </w:t>
            </w:r>
            <w:r w:rsidR="00863DEC">
              <w:rPr>
                <w:lang w:val="en-AU"/>
              </w:rPr>
              <w:t>TXA</w:t>
            </w:r>
            <w:r w:rsidRPr="00FB524C">
              <w:t xml:space="preserve"> should be administered within 3 hours of injury.</w:t>
            </w:r>
            <w:r w:rsidRPr="00FB524C">
              <w:rPr>
                <w:vertAlign w:val="superscript"/>
              </w:rPr>
              <w:t>a</w:t>
            </w:r>
            <w:r w:rsidRPr="00FB524C">
              <w:t xml:space="preserve"> </w:t>
            </w:r>
          </w:p>
          <w:p w14:paraId="29C6AAEB" w14:textId="4DBAA25A" w:rsidR="006528DB" w:rsidRPr="00FB524C" w:rsidRDefault="006A116C" w:rsidP="00E62798">
            <w:pPr>
              <w:pStyle w:val="PP-note"/>
            </w:pPr>
            <w:r>
              <w:rPr>
                <w:vertAlign w:val="superscript"/>
              </w:rPr>
              <w:t>a</w:t>
            </w:r>
            <w:r w:rsidRPr="006A116C">
              <w:t xml:space="preserve"> </w:t>
            </w:r>
            <w:r w:rsidR="006528DB" w:rsidRPr="00FB524C">
              <w:t xml:space="preserve">See R3 in </w:t>
            </w:r>
            <w:r w:rsidR="006528DB" w:rsidRPr="00FB524C">
              <w:rPr>
                <w:i/>
              </w:rPr>
              <w:t>Patient Blood Management Guidelines: Module 4 – Critical Care</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r w:rsidR="006528DB" w:rsidRPr="00FB524C">
              <w:t xml:space="preserve"> </w:t>
            </w:r>
          </w:p>
        </w:tc>
        <w:tc>
          <w:tcPr>
            <w:tcW w:w="1083" w:type="dxa"/>
          </w:tcPr>
          <w:p w14:paraId="4597D083" w14:textId="77777777" w:rsidR="006528DB" w:rsidRPr="00FB524C" w:rsidRDefault="006528DB" w:rsidP="00A074FC">
            <w:pPr>
              <w:pStyle w:val="PP-small"/>
            </w:pPr>
            <w:r w:rsidRPr="00FB524C">
              <w:t>3.5.8</w:t>
            </w:r>
          </w:p>
        </w:tc>
      </w:tr>
      <w:tr w:rsidR="006528DB" w:rsidRPr="00FB524C" w14:paraId="4AB1D329" w14:textId="77777777" w:rsidTr="00A074FC">
        <w:trPr>
          <w:cantSplit/>
          <w:tblHeader/>
        </w:trPr>
        <w:tc>
          <w:tcPr>
            <w:tcW w:w="1118" w:type="dxa"/>
          </w:tcPr>
          <w:p w14:paraId="325B5C36" w14:textId="77777777" w:rsidR="006528DB" w:rsidRPr="00FB524C" w:rsidRDefault="006528DB" w:rsidP="00A074FC">
            <w:pPr>
              <w:pStyle w:val="PP-small"/>
            </w:pPr>
            <w:r w:rsidRPr="00FB524C">
              <w:t>PP38</w:t>
            </w:r>
          </w:p>
        </w:tc>
        <w:tc>
          <w:tcPr>
            <w:tcW w:w="6095" w:type="dxa"/>
          </w:tcPr>
          <w:p w14:paraId="75ED446D" w14:textId="09A847AF" w:rsidR="006528DB" w:rsidRPr="00FB524C" w:rsidRDefault="006528DB" w:rsidP="00A074FC">
            <w:pPr>
              <w:pStyle w:val="PP-small"/>
            </w:pPr>
            <w:r w:rsidRPr="00FB524C">
              <w:t xml:space="preserve">In paediatric trauma patients </w:t>
            </w:r>
            <w:r w:rsidR="00FD519F">
              <w:rPr>
                <w:lang w:val="en-AU"/>
              </w:rPr>
              <w:t xml:space="preserve">aged </w:t>
            </w:r>
            <w:r w:rsidRPr="00FB524C">
              <w:t>under 12 years, a</w:t>
            </w:r>
            <w:r w:rsidR="00091FD5">
              <w:rPr>
                <w:lang w:val="en-AU"/>
              </w:rPr>
              <w:t xml:space="preserve"> tranexemic acid</w:t>
            </w:r>
            <w:r w:rsidRPr="00FB524C">
              <w:t xml:space="preserve"> dose of 15 mg/kg (maximum 1000 mg) infused intravenously over 10 minutes, followed by 2 mg/kg/hour (maximum 125 mg/hour) until bleeding is controlled or for up to 8 hours is suggested.</w:t>
            </w:r>
            <w:r w:rsidR="006A116C">
              <w:rPr>
                <w:vertAlign w:val="superscript"/>
                <w:lang w:val="en-AU"/>
              </w:rPr>
              <w:t>a</w:t>
            </w:r>
            <w:r w:rsidRPr="00FB524C">
              <w:t xml:space="preserve"> </w:t>
            </w:r>
          </w:p>
          <w:p w14:paraId="2A670E5F" w14:textId="0093AD82" w:rsidR="006528DB" w:rsidRPr="00FB524C" w:rsidRDefault="006A116C" w:rsidP="0075152F">
            <w:pPr>
              <w:pStyle w:val="PP-note"/>
            </w:pPr>
            <w:r>
              <w:rPr>
                <w:vertAlign w:val="superscript"/>
                <w:lang w:eastAsia="en-US"/>
              </w:rPr>
              <w:t>a</w:t>
            </w:r>
            <w:r>
              <w:rPr>
                <w:lang w:eastAsia="en-US"/>
              </w:rPr>
              <w:t xml:space="preserve"> </w:t>
            </w:r>
            <w:r w:rsidR="006528DB" w:rsidRPr="00FB524C">
              <w:rPr>
                <w:lang w:eastAsia="en-US"/>
              </w:rPr>
              <w:t xml:space="preserve">See </w:t>
            </w:r>
            <w:r w:rsidR="006528DB" w:rsidRPr="00FB524C">
              <w:t>the template given in Appendix K (</w:t>
            </w:r>
            <w:r w:rsidR="006528DB" w:rsidRPr="00FB524C">
              <w:rPr>
                <w:i/>
              </w:rPr>
              <w:t>Critical bleeding protocol</w:t>
            </w:r>
            <w:r w:rsidR="006528DB" w:rsidRPr="00FB524C">
              <w:t xml:space="preserve">), which is intended for local adaptation. </w:t>
            </w:r>
          </w:p>
        </w:tc>
        <w:tc>
          <w:tcPr>
            <w:tcW w:w="1083" w:type="dxa"/>
          </w:tcPr>
          <w:p w14:paraId="4E9F2741" w14:textId="77777777" w:rsidR="006528DB" w:rsidRPr="00FB524C" w:rsidRDefault="006528DB" w:rsidP="00A074FC">
            <w:pPr>
              <w:pStyle w:val="PP-small"/>
            </w:pPr>
            <w:r w:rsidRPr="00FB524C">
              <w:t>3.5.8</w:t>
            </w:r>
          </w:p>
        </w:tc>
      </w:tr>
      <w:tr w:rsidR="006528DB" w:rsidRPr="00FB524C" w14:paraId="1FD81B92" w14:textId="77777777" w:rsidTr="00FD519F">
        <w:trPr>
          <w:cantSplit/>
          <w:tblHeader/>
        </w:trPr>
        <w:tc>
          <w:tcPr>
            <w:tcW w:w="8296" w:type="dxa"/>
            <w:gridSpan w:val="3"/>
            <w:shd w:val="clear" w:color="auto" w:fill="D9D9D9" w:themeFill="background1" w:themeFillShade="D9"/>
          </w:tcPr>
          <w:p w14:paraId="22FEB0FA" w14:textId="635CCB33" w:rsidR="006528DB" w:rsidRPr="00FD519F" w:rsidRDefault="00FD519F" w:rsidP="00A074FC">
            <w:pPr>
              <w:pStyle w:val="PP-small"/>
              <w:rPr>
                <w:b/>
                <w:lang w:val="en-AU"/>
              </w:rPr>
            </w:pPr>
            <w:r>
              <w:rPr>
                <w:b/>
                <w:lang w:val="en-AU"/>
              </w:rPr>
              <w:t>rFVIIa</w:t>
            </w:r>
          </w:p>
        </w:tc>
      </w:tr>
      <w:tr w:rsidR="006528DB" w:rsidRPr="00FB524C" w14:paraId="062E8EC7" w14:textId="77777777" w:rsidTr="00A074FC">
        <w:trPr>
          <w:cantSplit/>
          <w:tblHeader/>
        </w:trPr>
        <w:tc>
          <w:tcPr>
            <w:tcW w:w="1118" w:type="dxa"/>
          </w:tcPr>
          <w:p w14:paraId="4F4C56B0" w14:textId="79EC3EB6" w:rsidR="006528DB" w:rsidRPr="00FB524C" w:rsidRDefault="006528DB" w:rsidP="00863DEC">
            <w:pPr>
              <w:pStyle w:val="PP-small"/>
            </w:pPr>
            <w:r w:rsidRPr="00FB524C">
              <w:t>R12</w:t>
            </w:r>
            <w:r w:rsidR="00863DEC" w:rsidRPr="00FB524C" w:rsidDel="00863DEC">
              <w:t xml:space="preserve"> </w:t>
            </w:r>
            <w:r w:rsidR="00863DEC">
              <w:br/>
            </w:r>
            <w:r w:rsidRPr="00FB524C">
              <w:t>(Grade C)</w:t>
            </w:r>
          </w:p>
        </w:tc>
        <w:tc>
          <w:tcPr>
            <w:tcW w:w="6095" w:type="dxa"/>
          </w:tcPr>
          <w:p w14:paraId="3EA67288" w14:textId="772ECE7D" w:rsidR="006528DB" w:rsidRPr="00FB524C" w:rsidRDefault="006528DB" w:rsidP="00FD519F">
            <w:pPr>
              <w:pStyle w:val="PP-small"/>
            </w:pPr>
            <w:r w:rsidRPr="00FB524C">
              <w:t xml:space="preserve">In paediatric patients undergoing cardiac surgery with </w:t>
            </w:r>
            <w:r w:rsidR="00FD519F">
              <w:rPr>
                <w:lang w:val="en-AU"/>
              </w:rPr>
              <w:t>CPB,</w:t>
            </w:r>
            <w:r w:rsidRPr="00FB524C">
              <w:t xml:space="preserve"> the </w:t>
            </w:r>
            <w:r w:rsidRPr="00FB524C">
              <w:rPr>
                <w:i/>
              </w:rPr>
              <w:t xml:space="preserve">routine </w:t>
            </w:r>
            <w:r w:rsidRPr="00FB524C">
              <w:t xml:space="preserve">use of rFVIIa is not recommended. </w:t>
            </w:r>
          </w:p>
        </w:tc>
        <w:tc>
          <w:tcPr>
            <w:tcW w:w="1083" w:type="dxa"/>
          </w:tcPr>
          <w:p w14:paraId="1284A805" w14:textId="77777777" w:rsidR="006528DB" w:rsidRPr="00FB524C" w:rsidRDefault="006528DB" w:rsidP="00A074FC">
            <w:pPr>
              <w:pStyle w:val="PP-small"/>
            </w:pPr>
            <w:r w:rsidRPr="00FB524C">
              <w:t>3.5.9</w:t>
            </w:r>
          </w:p>
        </w:tc>
      </w:tr>
      <w:tr w:rsidR="006528DB" w:rsidRPr="00FB524C" w14:paraId="5D942ABA" w14:textId="77777777" w:rsidTr="00FD519F">
        <w:trPr>
          <w:cantSplit/>
          <w:tblHeader/>
        </w:trPr>
        <w:tc>
          <w:tcPr>
            <w:tcW w:w="8296" w:type="dxa"/>
            <w:gridSpan w:val="3"/>
            <w:shd w:val="clear" w:color="auto" w:fill="D9D9D9" w:themeFill="background1" w:themeFillShade="D9"/>
          </w:tcPr>
          <w:p w14:paraId="18C5211E" w14:textId="59B493B6" w:rsidR="006528DB" w:rsidRPr="00FD519F" w:rsidRDefault="00FD519F" w:rsidP="00A074FC">
            <w:pPr>
              <w:pStyle w:val="PP-small"/>
              <w:rPr>
                <w:b/>
                <w:lang w:val="en-AU"/>
              </w:rPr>
            </w:pPr>
            <w:r>
              <w:rPr>
                <w:b/>
                <w:lang w:val="en-AU"/>
              </w:rPr>
              <w:t>ANH</w:t>
            </w:r>
          </w:p>
        </w:tc>
      </w:tr>
      <w:tr w:rsidR="006528DB" w:rsidRPr="00FB524C" w14:paraId="266A7332" w14:textId="77777777" w:rsidTr="00A074FC">
        <w:trPr>
          <w:cantSplit/>
          <w:tblHeader/>
        </w:trPr>
        <w:tc>
          <w:tcPr>
            <w:tcW w:w="1118" w:type="dxa"/>
          </w:tcPr>
          <w:p w14:paraId="18380F91" w14:textId="77777777" w:rsidR="006528DB" w:rsidRPr="00FB524C" w:rsidRDefault="006528DB" w:rsidP="00A074FC">
            <w:pPr>
              <w:pStyle w:val="PP-small"/>
            </w:pPr>
            <w:r w:rsidRPr="00FB524C">
              <w:t>PP34</w:t>
            </w:r>
          </w:p>
        </w:tc>
        <w:tc>
          <w:tcPr>
            <w:tcW w:w="6095" w:type="dxa"/>
          </w:tcPr>
          <w:p w14:paraId="39B9FA07" w14:textId="77777777" w:rsidR="006528DB" w:rsidRPr="00FB524C" w:rsidRDefault="006528DB" w:rsidP="00A074FC">
            <w:pPr>
              <w:pStyle w:val="PP-small"/>
            </w:pPr>
            <w:r w:rsidRPr="00FB524C">
              <w:t>In paediatric patients, ANH has not been shown to reduce transfusion or improve clinical outcomes. However, if ANH is used, it requires a local procedural guideline that addresses patient selection, vascular access, volume of blood withdrawn, choice of replacement fluid, blood storage and handling, and timing of reinfusion.</w:t>
            </w:r>
          </w:p>
        </w:tc>
        <w:tc>
          <w:tcPr>
            <w:tcW w:w="1083" w:type="dxa"/>
          </w:tcPr>
          <w:p w14:paraId="2EB9BBE8" w14:textId="77777777" w:rsidR="006528DB" w:rsidRPr="00FB524C" w:rsidRDefault="006528DB" w:rsidP="00A074FC">
            <w:pPr>
              <w:pStyle w:val="PP-small"/>
            </w:pPr>
            <w:r w:rsidRPr="00FB524C">
              <w:t>3.3.5</w:t>
            </w:r>
          </w:p>
        </w:tc>
      </w:tr>
      <w:tr w:rsidR="006528DB" w:rsidRPr="00FB524C" w14:paraId="29F34AD6" w14:textId="77777777" w:rsidTr="00FD519F">
        <w:trPr>
          <w:cantSplit/>
          <w:tblHeader/>
        </w:trPr>
        <w:tc>
          <w:tcPr>
            <w:tcW w:w="8296" w:type="dxa"/>
            <w:gridSpan w:val="3"/>
            <w:shd w:val="clear" w:color="auto" w:fill="D9D9D9" w:themeFill="background1" w:themeFillShade="D9"/>
          </w:tcPr>
          <w:p w14:paraId="1D7EF114" w14:textId="7F938228" w:rsidR="006528DB" w:rsidRPr="00274815" w:rsidRDefault="00274815" w:rsidP="00A074FC">
            <w:pPr>
              <w:pStyle w:val="PP-small"/>
              <w:rPr>
                <w:b/>
                <w:lang w:val="en-AU"/>
              </w:rPr>
            </w:pPr>
            <w:r>
              <w:rPr>
                <w:b/>
                <w:lang w:val="en-AU"/>
              </w:rPr>
              <w:lastRenderedPageBreak/>
              <w:t>Intraoperative cell salvage</w:t>
            </w:r>
          </w:p>
        </w:tc>
      </w:tr>
      <w:tr w:rsidR="006528DB" w:rsidRPr="00FB524C" w14:paraId="2ED17BAD" w14:textId="77777777" w:rsidTr="00A074FC">
        <w:trPr>
          <w:cantSplit/>
          <w:tblHeader/>
        </w:trPr>
        <w:tc>
          <w:tcPr>
            <w:tcW w:w="1118" w:type="dxa"/>
          </w:tcPr>
          <w:p w14:paraId="758AB18E" w14:textId="77777777" w:rsidR="006528DB" w:rsidRPr="00FB524C" w:rsidRDefault="006528DB" w:rsidP="00A074FC">
            <w:pPr>
              <w:pStyle w:val="PP-small"/>
            </w:pPr>
            <w:r w:rsidRPr="00FB524C">
              <w:t>PP35</w:t>
            </w:r>
          </w:p>
        </w:tc>
        <w:tc>
          <w:tcPr>
            <w:tcW w:w="6095" w:type="dxa"/>
          </w:tcPr>
          <w:p w14:paraId="64CA8F2B" w14:textId="537CEB62" w:rsidR="006528DB" w:rsidRPr="00FB524C" w:rsidRDefault="006528DB" w:rsidP="00720A6B">
            <w:pPr>
              <w:pStyle w:val="PP-small"/>
            </w:pPr>
            <w:r w:rsidRPr="00FB524C">
              <w:t xml:space="preserve">In paediatric patients undergoing cardiac surgery with </w:t>
            </w:r>
            <w:r w:rsidR="00720A6B">
              <w:rPr>
                <w:lang w:val="en-AU"/>
              </w:rPr>
              <w:t>CPB</w:t>
            </w:r>
            <w:r w:rsidRPr="00FB524C">
              <w:t>, intraoperative cell salvage may be considered. If intraoperative cell salvage is used, it requires a local procedural guideline that should include patient selection, use of equipment and reinfusion. All staff operating cell salvage devices should receive appropriate training, to ensure knowledge of the technique and proficiency in using it.</w:t>
            </w:r>
          </w:p>
        </w:tc>
        <w:tc>
          <w:tcPr>
            <w:tcW w:w="1083" w:type="dxa"/>
          </w:tcPr>
          <w:p w14:paraId="49E344C1" w14:textId="77777777" w:rsidR="006528DB" w:rsidRPr="00FB524C" w:rsidRDefault="006528DB" w:rsidP="00A074FC">
            <w:pPr>
              <w:pStyle w:val="PP-small"/>
            </w:pPr>
            <w:r w:rsidRPr="00FB524C">
              <w:t>3.5.6</w:t>
            </w:r>
          </w:p>
        </w:tc>
      </w:tr>
      <w:tr w:rsidR="006528DB" w:rsidRPr="00FB524C" w14:paraId="41CDEB0E" w14:textId="77777777" w:rsidTr="00FD519F">
        <w:trPr>
          <w:cantSplit/>
          <w:tblHeader/>
        </w:trPr>
        <w:tc>
          <w:tcPr>
            <w:tcW w:w="8296" w:type="dxa"/>
            <w:gridSpan w:val="3"/>
            <w:shd w:val="clear" w:color="auto" w:fill="D9D9D9" w:themeFill="background1" w:themeFillShade="D9"/>
          </w:tcPr>
          <w:p w14:paraId="2C0B1FC1" w14:textId="7A5EF925" w:rsidR="006528DB" w:rsidRPr="0075152F" w:rsidRDefault="006528DB" w:rsidP="00FD519F">
            <w:pPr>
              <w:pStyle w:val="PP-small"/>
              <w:rPr>
                <w:b/>
              </w:rPr>
            </w:pPr>
            <w:r w:rsidRPr="0075152F">
              <w:rPr>
                <w:b/>
              </w:rPr>
              <w:t xml:space="preserve">Viscoelastometric </w:t>
            </w:r>
            <w:r w:rsidR="00FD519F">
              <w:rPr>
                <w:b/>
                <w:lang w:val="en-AU"/>
              </w:rPr>
              <w:t>POC</w:t>
            </w:r>
            <w:r w:rsidRPr="0075152F">
              <w:rPr>
                <w:b/>
              </w:rPr>
              <w:t xml:space="preserve"> testing</w:t>
            </w:r>
          </w:p>
        </w:tc>
      </w:tr>
      <w:tr w:rsidR="006528DB" w:rsidRPr="00FB524C" w14:paraId="62F41DAB" w14:textId="77777777" w:rsidTr="00A074FC">
        <w:trPr>
          <w:cantSplit/>
          <w:tblHeader/>
        </w:trPr>
        <w:tc>
          <w:tcPr>
            <w:tcW w:w="1118" w:type="dxa"/>
          </w:tcPr>
          <w:p w14:paraId="13BF5DEB" w14:textId="77777777" w:rsidR="006528DB" w:rsidRPr="00FB524C" w:rsidRDefault="006528DB" w:rsidP="00A074FC">
            <w:pPr>
              <w:pStyle w:val="PP-small"/>
            </w:pPr>
            <w:r w:rsidRPr="00FB524C">
              <w:t>PP36</w:t>
            </w:r>
          </w:p>
        </w:tc>
        <w:tc>
          <w:tcPr>
            <w:tcW w:w="6095" w:type="dxa"/>
          </w:tcPr>
          <w:p w14:paraId="2F82AE14" w14:textId="28890BE2" w:rsidR="006528DB" w:rsidRPr="00FB524C" w:rsidRDefault="006528DB" w:rsidP="00FD519F">
            <w:pPr>
              <w:pStyle w:val="PP-small"/>
            </w:pPr>
            <w:r w:rsidRPr="00FB524C">
              <w:t xml:space="preserve">In paediatric patients undergoing cardiac surgery with </w:t>
            </w:r>
            <w:r w:rsidR="00FD519F">
              <w:rPr>
                <w:lang w:val="en-AU"/>
              </w:rPr>
              <w:t>CPB</w:t>
            </w:r>
            <w:r w:rsidRPr="00FB524C">
              <w:t>, viscoelastometric POC testing may be considered.</w:t>
            </w:r>
          </w:p>
        </w:tc>
        <w:tc>
          <w:tcPr>
            <w:tcW w:w="1083" w:type="dxa"/>
          </w:tcPr>
          <w:p w14:paraId="435D0776" w14:textId="77777777" w:rsidR="006528DB" w:rsidRPr="00FB524C" w:rsidRDefault="006528DB" w:rsidP="00A074FC">
            <w:pPr>
              <w:pStyle w:val="PP-small"/>
            </w:pPr>
            <w:r w:rsidRPr="00FB524C">
              <w:t>3.5.7</w:t>
            </w:r>
          </w:p>
        </w:tc>
      </w:tr>
      <w:tr w:rsidR="006528DB" w:rsidRPr="00FB524C" w14:paraId="107CD978" w14:textId="77777777" w:rsidTr="00FD519F">
        <w:trPr>
          <w:cantSplit/>
          <w:tblHeader/>
        </w:trPr>
        <w:tc>
          <w:tcPr>
            <w:tcW w:w="8296" w:type="dxa"/>
            <w:gridSpan w:val="3"/>
            <w:shd w:val="clear" w:color="auto" w:fill="D9D9D9" w:themeFill="background1" w:themeFillShade="D9"/>
          </w:tcPr>
          <w:p w14:paraId="2EF1E221" w14:textId="77777777" w:rsidR="006528DB" w:rsidRPr="0075152F" w:rsidRDefault="006528DB" w:rsidP="00A074FC">
            <w:pPr>
              <w:pStyle w:val="PP-small"/>
              <w:rPr>
                <w:b/>
              </w:rPr>
            </w:pPr>
            <w:r w:rsidRPr="0075152F">
              <w:rPr>
                <w:b/>
              </w:rPr>
              <w:t>CMV-negative cellular products</w:t>
            </w:r>
          </w:p>
        </w:tc>
      </w:tr>
      <w:tr w:rsidR="006528DB" w:rsidRPr="00FB524C" w14:paraId="7C99F296" w14:textId="77777777" w:rsidTr="00A074FC">
        <w:trPr>
          <w:cantSplit/>
          <w:tblHeader/>
        </w:trPr>
        <w:tc>
          <w:tcPr>
            <w:tcW w:w="1118" w:type="dxa"/>
          </w:tcPr>
          <w:p w14:paraId="20AF7D07" w14:textId="77777777" w:rsidR="006528DB" w:rsidRPr="00FB524C" w:rsidRDefault="006528DB" w:rsidP="00A074FC">
            <w:pPr>
              <w:pStyle w:val="PP-small"/>
            </w:pPr>
            <w:r w:rsidRPr="00FB524C">
              <w:t>EOP12</w:t>
            </w:r>
          </w:p>
        </w:tc>
        <w:tc>
          <w:tcPr>
            <w:tcW w:w="6095" w:type="dxa"/>
          </w:tcPr>
          <w:p w14:paraId="075C445F" w14:textId="77777777" w:rsidR="006528DB" w:rsidRPr="00FB524C" w:rsidRDefault="006528DB" w:rsidP="00A074FC">
            <w:pPr>
              <w:pStyle w:val="PP-small"/>
            </w:pPr>
            <w:r w:rsidRPr="00FB524C">
              <w:t>CMV-negative products may be considered in the following situations:</w:t>
            </w:r>
          </w:p>
          <w:p w14:paraId="79B7A748" w14:textId="77777777" w:rsidR="006528DB" w:rsidRPr="00FB524C" w:rsidRDefault="006528DB" w:rsidP="0075152F">
            <w:pPr>
              <w:pStyle w:val="PPbullsmall"/>
            </w:pPr>
            <w:r w:rsidRPr="00FB524C">
              <w:t>IUT</w:t>
            </w:r>
          </w:p>
          <w:p w14:paraId="15996CE5" w14:textId="77777777" w:rsidR="006528DB" w:rsidRPr="00FB524C" w:rsidRDefault="006528DB" w:rsidP="0075152F">
            <w:pPr>
              <w:pStyle w:val="PPbullsmall"/>
            </w:pPr>
            <w:r w:rsidRPr="00FB524C">
              <w:t>preterm neonates (up to 28 days after expected date of delivery)</w:t>
            </w:r>
          </w:p>
          <w:p w14:paraId="39F34ADC" w14:textId="77777777" w:rsidR="006528DB" w:rsidRPr="00FB524C" w:rsidRDefault="006528DB" w:rsidP="0075152F">
            <w:pPr>
              <w:pStyle w:val="PPbullsmall"/>
            </w:pPr>
            <w:r w:rsidRPr="00FB524C">
              <w:t>patients with SCID who are CMV negative</w:t>
            </w:r>
            <w:r w:rsidRPr="00FB524C" w:rsidDel="002450FB">
              <w:t xml:space="preserve"> </w:t>
            </w:r>
          </w:p>
          <w:p w14:paraId="458BA034" w14:textId="77777777" w:rsidR="006528DB" w:rsidRPr="00FB524C" w:rsidRDefault="006528DB" w:rsidP="0075152F">
            <w:pPr>
              <w:pStyle w:val="PPbullsmall"/>
            </w:pPr>
            <w:r w:rsidRPr="00FB524C">
              <w:t>stem cell transplantation where both donor and recipient are known to be CMV negative</w:t>
            </w:r>
          </w:p>
          <w:p w14:paraId="188DD345" w14:textId="2C99B84A" w:rsidR="006528DB" w:rsidRPr="00FB524C" w:rsidRDefault="006528DB" w:rsidP="0075152F">
            <w:pPr>
              <w:pStyle w:val="PPbullsmall"/>
            </w:pPr>
            <w:r w:rsidRPr="00FB524C">
              <w:t>granulocyte transfusions for recipients who are CMV seronegative, or whose status is unknown</w:t>
            </w:r>
            <w:r w:rsidR="006A116C">
              <w:rPr>
                <w:lang w:val="en-AU"/>
              </w:rPr>
              <w:t>.</w:t>
            </w:r>
          </w:p>
          <w:p w14:paraId="13EEB285" w14:textId="77777777" w:rsidR="006528DB" w:rsidRPr="00FB524C" w:rsidRDefault="006528DB" w:rsidP="006A116C">
            <w:pPr>
              <w:pStyle w:val="PP-small"/>
            </w:pPr>
            <w:r w:rsidRPr="00FB524C">
              <w:t>CMV-negative products are generally not required in other clinical settings.</w:t>
            </w:r>
            <w:r w:rsidRPr="00FB524C" w:rsidDel="002450FB">
              <w:t xml:space="preserve"> </w:t>
            </w:r>
          </w:p>
        </w:tc>
        <w:tc>
          <w:tcPr>
            <w:tcW w:w="1083" w:type="dxa"/>
          </w:tcPr>
          <w:p w14:paraId="4743517D" w14:textId="77777777" w:rsidR="006528DB" w:rsidRPr="00FB524C" w:rsidRDefault="006528DB" w:rsidP="00A074FC">
            <w:pPr>
              <w:pStyle w:val="PP-small"/>
            </w:pPr>
            <w:r w:rsidRPr="00FB524C">
              <w:t>4.1.4</w:t>
            </w:r>
          </w:p>
        </w:tc>
      </w:tr>
      <w:tr w:rsidR="006528DB" w:rsidRPr="00FB524C" w14:paraId="3DEE7AB8" w14:textId="77777777" w:rsidTr="00A074FC">
        <w:trPr>
          <w:cantSplit/>
          <w:tblHeader/>
        </w:trPr>
        <w:tc>
          <w:tcPr>
            <w:tcW w:w="1118" w:type="dxa"/>
          </w:tcPr>
          <w:p w14:paraId="38FC5DF4" w14:textId="77777777" w:rsidR="006528DB" w:rsidRPr="00FB524C" w:rsidRDefault="006528DB" w:rsidP="00A074FC">
            <w:pPr>
              <w:pStyle w:val="PP-small"/>
            </w:pPr>
            <w:r w:rsidRPr="00FB524C">
              <w:t>EOP13</w:t>
            </w:r>
          </w:p>
        </w:tc>
        <w:tc>
          <w:tcPr>
            <w:tcW w:w="6095" w:type="dxa"/>
          </w:tcPr>
          <w:p w14:paraId="44AD1E0D" w14:textId="77777777" w:rsidR="006528DB" w:rsidRPr="00FB524C" w:rsidRDefault="006528DB" w:rsidP="00A074FC">
            <w:pPr>
              <w:pStyle w:val="PP-small"/>
            </w:pPr>
            <w:r w:rsidRPr="00FB524C">
              <w:t>In urgent situations, if CMV-seronegative blood components are not available, CMV-unscreened leucodepleted components should be used to avoid delays.</w:t>
            </w:r>
          </w:p>
        </w:tc>
        <w:tc>
          <w:tcPr>
            <w:tcW w:w="1083" w:type="dxa"/>
          </w:tcPr>
          <w:p w14:paraId="4066AC58" w14:textId="77777777" w:rsidR="006528DB" w:rsidRPr="00FB524C" w:rsidRDefault="006528DB" w:rsidP="00A074FC">
            <w:pPr>
              <w:pStyle w:val="PP-small"/>
            </w:pPr>
            <w:r w:rsidRPr="00FB524C">
              <w:t>4.1.4</w:t>
            </w:r>
          </w:p>
        </w:tc>
      </w:tr>
      <w:tr w:rsidR="006528DB" w:rsidRPr="00FB524C" w14:paraId="2EA13796" w14:textId="77777777" w:rsidTr="00FD519F">
        <w:trPr>
          <w:cantSplit/>
          <w:tblHeader/>
        </w:trPr>
        <w:tc>
          <w:tcPr>
            <w:tcW w:w="8296" w:type="dxa"/>
            <w:gridSpan w:val="3"/>
            <w:shd w:val="clear" w:color="auto" w:fill="D9D9D9" w:themeFill="background1" w:themeFillShade="D9"/>
          </w:tcPr>
          <w:p w14:paraId="00E6BB04" w14:textId="77777777" w:rsidR="006528DB" w:rsidRPr="0075152F" w:rsidRDefault="006528DB" w:rsidP="00A074FC">
            <w:pPr>
              <w:pStyle w:val="PP-small"/>
              <w:rPr>
                <w:b/>
              </w:rPr>
            </w:pPr>
            <w:r w:rsidRPr="0075152F">
              <w:rPr>
                <w:b/>
              </w:rPr>
              <w:t>HPA-matched platelets</w:t>
            </w:r>
          </w:p>
        </w:tc>
      </w:tr>
      <w:tr w:rsidR="006528DB" w:rsidRPr="00FB524C" w14:paraId="6099550C" w14:textId="77777777" w:rsidTr="00A074FC">
        <w:trPr>
          <w:cantSplit/>
          <w:tblHeader/>
        </w:trPr>
        <w:tc>
          <w:tcPr>
            <w:tcW w:w="1118" w:type="dxa"/>
          </w:tcPr>
          <w:p w14:paraId="79DE32A2" w14:textId="77777777" w:rsidR="006528DB" w:rsidRPr="00FB524C" w:rsidRDefault="006528DB" w:rsidP="00A074FC">
            <w:pPr>
              <w:pStyle w:val="PP-small"/>
            </w:pPr>
            <w:r w:rsidRPr="00FB524C">
              <w:t>EOP14</w:t>
            </w:r>
          </w:p>
        </w:tc>
        <w:tc>
          <w:tcPr>
            <w:tcW w:w="6095" w:type="dxa"/>
          </w:tcPr>
          <w:p w14:paraId="5C495E95" w14:textId="77777777" w:rsidR="006528DB" w:rsidRPr="00FB524C" w:rsidRDefault="006528DB" w:rsidP="00A074FC">
            <w:pPr>
              <w:pStyle w:val="PP-small"/>
            </w:pPr>
            <w:r w:rsidRPr="00FB524C">
              <w:t>For neonates with known or suspected FNAIT, urgent platelet transfusion should be given if platelets are below 30 × 10</w:t>
            </w:r>
            <w:r w:rsidRPr="00FB524C">
              <w:rPr>
                <w:vertAlign w:val="superscript"/>
              </w:rPr>
              <w:t>9</w:t>
            </w:r>
            <w:r w:rsidRPr="00FB524C">
              <w:t>/L</w:t>
            </w:r>
            <w:r w:rsidRPr="00FB524C" w:rsidDel="006826FC">
              <w:t xml:space="preserve"> </w:t>
            </w:r>
            <w:r w:rsidRPr="00FB524C">
              <w:t>in a term infant or below 50 × 10</w:t>
            </w:r>
            <w:r w:rsidRPr="00FB524C">
              <w:rPr>
                <w:vertAlign w:val="superscript"/>
              </w:rPr>
              <w:t>9</w:t>
            </w:r>
            <w:r w:rsidRPr="00FB524C">
              <w:t xml:space="preserve">/L in a preterm infant, even in the absence of clinically significant bleeding. </w:t>
            </w:r>
          </w:p>
          <w:p w14:paraId="05BE67C1" w14:textId="77777777" w:rsidR="006528DB" w:rsidRPr="00FB524C" w:rsidRDefault="006528DB" w:rsidP="00A074FC">
            <w:pPr>
              <w:pStyle w:val="PP-small"/>
            </w:pPr>
            <w:r w:rsidRPr="00FB524C">
              <w:t>If there is active bleeding, a higher threshold should be considered (100 × 10</w:t>
            </w:r>
            <w:r w:rsidRPr="00FB524C">
              <w:rPr>
                <w:vertAlign w:val="superscript"/>
              </w:rPr>
              <w:t>9</w:t>
            </w:r>
            <w:r w:rsidRPr="00FB524C">
              <w:t>/L for intracranial bleeding, and 50 × 10</w:t>
            </w:r>
            <w:r w:rsidRPr="00FB524C">
              <w:rPr>
                <w:vertAlign w:val="superscript"/>
              </w:rPr>
              <w:t>9</w:t>
            </w:r>
            <w:r w:rsidRPr="00FB524C">
              <w:t xml:space="preserve">/L for other sites of bleeding). </w:t>
            </w:r>
          </w:p>
          <w:p w14:paraId="749F009F" w14:textId="77777777" w:rsidR="006528DB" w:rsidRPr="00FB524C" w:rsidRDefault="006528DB" w:rsidP="00A074FC">
            <w:pPr>
              <w:pStyle w:val="PP-small"/>
            </w:pPr>
            <w:r w:rsidRPr="00FB524C">
              <w:t xml:space="preserve">For neonates with known or suspected FNAIT, a paediatric haematologist should be consulted. </w:t>
            </w:r>
          </w:p>
        </w:tc>
        <w:tc>
          <w:tcPr>
            <w:tcW w:w="1083" w:type="dxa"/>
          </w:tcPr>
          <w:p w14:paraId="12E7C5BB" w14:textId="77777777" w:rsidR="006528DB" w:rsidRPr="00FB524C" w:rsidRDefault="006528DB" w:rsidP="00A074FC">
            <w:pPr>
              <w:pStyle w:val="PP-small"/>
            </w:pPr>
            <w:r w:rsidRPr="00FB524C">
              <w:t>4.1.5</w:t>
            </w:r>
          </w:p>
        </w:tc>
      </w:tr>
      <w:tr w:rsidR="006528DB" w:rsidRPr="00FB524C" w14:paraId="3144A3B1" w14:textId="77777777" w:rsidTr="00A074FC">
        <w:trPr>
          <w:cantSplit/>
          <w:tblHeader/>
        </w:trPr>
        <w:tc>
          <w:tcPr>
            <w:tcW w:w="1118" w:type="dxa"/>
          </w:tcPr>
          <w:p w14:paraId="75609D73" w14:textId="77777777" w:rsidR="006528DB" w:rsidRPr="00FB524C" w:rsidRDefault="006528DB" w:rsidP="00A074FC">
            <w:pPr>
              <w:pStyle w:val="PP-small"/>
            </w:pPr>
            <w:r w:rsidRPr="00FB524C">
              <w:t>EOP15</w:t>
            </w:r>
          </w:p>
        </w:tc>
        <w:tc>
          <w:tcPr>
            <w:tcW w:w="6095" w:type="dxa"/>
          </w:tcPr>
          <w:p w14:paraId="16853ACB" w14:textId="77777777" w:rsidR="006528DB" w:rsidRPr="00FB524C" w:rsidRDefault="006528DB" w:rsidP="00A074FC">
            <w:pPr>
              <w:pStyle w:val="PP-small"/>
            </w:pPr>
            <w:r w:rsidRPr="00FB524C">
              <w:t>For neonates with known or suspected FNAIT, platelet count response to transfusion should be checked within 12 hours.</w:t>
            </w:r>
          </w:p>
        </w:tc>
        <w:tc>
          <w:tcPr>
            <w:tcW w:w="1083" w:type="dxa"/>
          </w:tcPr>
          <w:p w14:paraId="102D3486" w14:textId="77777777" w:rsidR="006528DB" w:rsidRPr="00FB524C" w:rsidRDefault="006528DB" w:rsidP="00A074FC">
            <w:pPr>
              <w:pStyle w:val="PP-small"/>
            </w:pPr>
            <w:r w:rsidRPr="00FB524C">
              <w:t>4.1.5</w:t>
            </w:r>
          </w:p>
        </w:tc>
      </w:tr>
      <w:tr w:rsidR="006528DB" w:rsidRPr="00FB524C" w14:paraId="66A9E2A8" w14:textId="77777777" w:rsidTr="00A074FC">
        <w:trPr>
          <w:cantSplit/>
          <w:tblHeader/>
        </w:trPr>
        <w:tc>
          <w:tcPr>
            <w:tcW w:w="1118" w:type="dxa"/>
          </w:tcPr>
          <w:p w14:paraId="31487AD1" w14:textId="77777777" w:rsidR="006528DB" w:rsidRPr="00FB524C" w:rsidRDefault="006528DB" w:rsidP="00A074FC">
            <w:pPr>
              <w:pStyle w:val="PP-small"/>
            </w:pPr>
            <w:r w:rsidRPr="00FB524C">
              <w:t>EOP16</w:t>
            </w:r>
          </w:p>
        </w:tc>
        <w:tc>
          <w:tcPr>
            <w:tcW w:w="6095" w:type="dxa"/>
          </w:tcPr>
          <w:p w14:paraId="449C82A3" w14:textId="35F77ADE" w:rsidR="006528DB" w:rsidRPr="00FB524C" w:rsidRDefault="006528DB" w:rsidP="00A074FC">
            <w:pPr>
              <w:pStyle w:val="PP-small"/>
            </w:pPr>
            <w:r w:rsidRPr="00FB524C">
              <w:t xml:space="preserve">For infants with </w:t>
            </w:r>
            <w:r w:rsidR="000730DD">
              <w:rPr>
                <w:lang w:val="en-AU"/>
              </w:rPr>
              <w:t xml:space="preserve">known or suspected </w:t>
            </w:r>
            <w:r w:rsidRPr="00FB524C">
              <w:t xml:space="preserve">FNAIT, random donor platelets should be used if antigen-matched platelets are not immediately available. Continued use of random donor platelets is acceptable if antigen-matched platelets cannot be obtained. Because of short survival of random donor platelets, repeated transfusion is likely to be needed. </w:t>
            </w:r>
          </w:p>
        </w:tc>
        <w:tc>
          <w:tcPr>
            <w:tcW w:w="1083" w:type="dxa"/>
          </w:tcPr>
          <w:p w14:paraId="434C7178" w14:textId="77777777" w:rsidR="006528DB" w:rsidRPr="00FB524C" w:rsidRDefault="006528DB" w:rsidP="00A074FC">
            <w:pPr>
              <w:pStyle w:val="PP-small"/>
            </w:pPr>
            <w:r w:rsidRPr="00FB524C">
              <w:t>4.1.5</w:t>
            </w:r>
          </w:p>
        </w:tc>
      </w:tr>
      <w:tr w:rsidR="006528DB" w:rsidRPr="00FB524C" w14:paraId="4C635A6D" w14:textId="77777777" w:rsidTr="00A074FC">
        <w:trPr>
          <w:cantSplit/>
          <w:tblHeader/>
        </w:trPr>
        <w:tc>
          <w:tcPr>
            <w:tcW w:w="1118" w:type="dxa"/>
          </w:tcPr>
          <w:p w14:paraId="1E692D9C" w14:textId="77777777" w:rsidR="006528DB" w:rsidRPr="00FB524C" w:rsidRDefault="006528DB" w:rsidP="00A074FC">
            <w:pPr>
              <w:pStyle w:val="PP-small"/>
            </w:pPr>
            <w:r w:rsidRPr="00FB524C">
              <w:t>EOP17</w:t>
            </w:r>
          </w:p>
        </w:tc>
        <w:tc>
          <w:tcPr>
            <w:tcW w:w="6095" w:type="dxa"/>
          </w:tcPr>
          <w:p w14:paraId="440786B3" w14:textId="485C8C19" w:rsidR="006528DB" w:rsidRPr="00FB524C" w:rsidRDefault="006528DB" w:rsidP="00E62798">
            <w:pPr>
              <w:pStyle w:val="PP-small"/>
            </w:pPr>
            <w:r w:rsidRPr="00FB524C">
              <w:t xml:space="preserve">For infants with FNAIT, </w:t>
            </w:r>
            <w:r w:rsidR="00274815">
              <w:t>IVIg</w:t>
            </w:r>
            <w:r w:rsidRPr="00FB524C">
              <w:t xml:space="preserve"> may be considered.</w:t>
            </w:r>
            <w:hyperlink w:anchor="_ENREF_20" w:tooltip=", 2012 #1104" w:history="1">
              <w:r w:rsidR="00E62798">
                <w:fldChar w:fldCharType="begin"/>
              </w:r>
              <w:r w:rsidR="00E62798">
                <w:instrText xml:space="preserve"> ADDIN EN.CITE &lt;EndNote&gt;&lt;Cite ExcludeAuth="1"&gt;&lt;Year&gt;2012&lt;/Year&gt;&lt;RecNum&gt;1104&lt;/RecNum&gt;&lt;DisplayText&gt;&lt;style face="superscript"&gt;20&lt;/style&gt;&lt;/DisplayText&gt;&lt;record&gt;&lt;rec-number&gt;1104&lt;/rec-number&gt;&lt;foreign-keys&gt;&lt;key app="EN" db-id="9edve2wadsavt5ewavaxtda4f2tavzvts9ee" timestamp="1439350872"&gt;1104&lt;/key&gt;&lt;/foreign-keys&gt;&lt;ref-type name="Report"&gt;27&lt;/ref-type&gt;&lt;contributors&gt;&lt;/contributors&gt;&lt;titles&gt;&lt;title&gt;Criteria for the clinical use of intravenous immunoglobulin in Australia, Second edition&lt;/title&gt;&lt;/titles&gt;&lt;dates&gt;&lt;year&gt;2012&lt;/year&gt;&lt;/dates&gt;&lt;publisher&gt;Standing Council on Health&lt;/publisher&gt;&lt;urls&gt;&lt;related-urls&gt;&lt;url&gt;http://www.blood.gov.au/pubs/ivig/conditions-for-which-IVIg-has-an-emerging-therapeutic-role.html#cdn-09&lt;/url&gt;&lt;/related-urls&gt;&lt;/urls&gt;&lt;/record&gt;&lt;/Cite&gt;&lt;/EndNote&gt;</w:instrText>
              </w:r>
              <w:r w:rsidR="00E62798">
                <w:fldChar w:fldCharType="separate"/>
              </w:r>
              <w:r w:rsidR="00E62798" w:rsidRPr="00E62798">
                <w:rPr>
                  <w:noProof/>
                  <w:vertAlign w:val="superscript"/>
                </w:rPr>
                <w:t>20</w:t>
              </w:r>
              <w:r w:rsidR="00E62798">
                <w:fldChar w:fldCharType="end"/>
              </w:r>
            </w:hyperlink>
            <w:r w:rsidRPr="00FB524C">
              <w:t xml:space="preserve"> </w:t>
            </w:r>
          </w:p>
        </w:tc>
        <w:tc>
          <w:tcPr>
            <w:tcW w:w="1083" w:type="dxa"/>
          </w:tcPr>
          <w:p w14:paraId="6FC75060" w14:textId="77777777" w:rsidR="006528DB" w:rsidRPr="00FB524C" w:rsidRDefault="006528DB" w:rsidP="00A074FC">
            <w:pPr>
              <w:pStyle w:val="PP-small"/>
            </w:pPr>
            <w:r w:rsidRPr="00FB524C">
              <w:t>4.1.5</w:t>
            </w:r>
          </w:p>
        </w:tc>
      </w:tr>
    </w:tbl>
    <w:p w14:paraId="2E793437" w14:textId="77777777" w:rsidR="0075152F" w:rsidRDefault="0075152F"/>
    <w:p w14:paraId="11311414" w14:textId="77777777" w:rsidR="006810D6" w:rsidRDefault="006810D6"/>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6095"/>
        <w:gridCol w:w="1083"/>
      </w:tblGrid>
      <w:tr w:rsidR="006810D6" w:rsidRPr="00FB524C" w14:paraId="61063338" w14:textId="77777777" w:rsidTr="006810D6">
        <w:trPr>
          <w:cantSplit/>
          <w:tblHeader/>
        </w:trPr>
        <w:tc>
          <w:tcPr>
            <w:tcW w:w="829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04439" w14:textId="77777777" w:rsidR="006810D6" w:rsidRPr="0075152F" w:rsidRDefault="006810D6" w:rsidP="005C0634">
            <w:pPr>
              <w:pStyle w:val="PP-small"/>
              <w:rPr>
                <w:b/>
              </w:rPr>
            </w:pPr>
            <w:r w:rsidRPr="0075152F">
              <w:rPr>
                <w:b/>
              </w:rPr>
              <w:lastRenderedPageBreak/>
              <w:t>HLA-matched platelets</w:t>
            </w:r>
          </w:p>
        </w:tc>
      </w:tr>
      <w:tr w:rsidR="006810D6" w:rsidRPr="00FB524C" w14:paraId="1A0560AE" w14:textId="77777777" w:rsidTr="005C0634">
        <w:trPr>
          <w:cantSplit/>
          <w:tblHeader/>
        </w:trPr>
        <w:tc>
          <w:tcPr>
            <w:tcW w:w="1118" w:type="dxa"/>
          </w:tcPr>
          <w:p w14:paraId="45E7D691" w14:textId="77777777" w:rsidR="006810D6" w:rsidRPr="00FB524C" w:rsidRDefault="006810D6" w:rsidP="005C0634">
            <w:pPr>
              <w:pStyle w:val="PP-small"/>
            </w:pPr>
            <w:r w:rsidRPr="00FB524C">
              <w:t>EOP18</w:t>
            </w:r>
          </w:p>
          <w:p w14:paraId="6A1F4FBD" w14:textId="77777777" w:rsidR="006810D6" w:rsidRPr="00FB524C" w:rsidRDefault="006810D6" w:rsidP="005C0634">
            <w:pPr>
              <w:pStyle w:val="PP-small"/>
            </w:pPr>
          </w:p>
        </w:tc>
        <w:tc>
          <w:tcPr>
            <w:tcW w:w="6095" w:type="dxa"/>
          </w:tcPr>
          <w:p w14:paraId="4E430869" w14:textId="77777777" w:rsidR="006810D6" w:rsidRPr="00FB524C" w:rsidRDefault="006810D6" w:rsidP="005C0634">
            <w:pPr>
              <w:pStyle w:val="PP-small"/>
            </w:pPr>
            <w:r w:rsidRPr="00FB524C">
              <w:t>For platelet refractoriness attributable to non-immune causes such as splenomegaly or infection, fresh, ABO-compatible, single-donor apheresis platelets may improve platelet increment.</w:t>
            </w:r>
          </w:p>
        </w:tc>
        <w:tc>
          <w:tcPr>
            <w:tcW w:w="1083" w:type="dxa"/>
          </w:tcPr>
          <w:p w14:paraId="7CA67C8E" w14:textId="77777777" w:rsidR="006810D6" w:rsidRPr="00FB524C" w:rsidRDefault="006810D6" w:rsidP="005C0634">
            <w:pPr>
              <w:pStyle w:val="PP-small"/>
            </w:pPr>
            <w:r w:rsidRPr="00FB524C">
              <w:t>4.1.6</w:t>
            </w:r>
          </w:p>
        </w:tc>
      </w:tr>
      <w:tr w:rsidR="006810D6" w:rsidRPr="00FB524C" w14:paraId="4674AA4A" w14:textId="77777777" w:rsidTr="005C0634">
        <w:trPr>
          <w:cantSplit/>
          <w:tblHeader/>
        </w:trPr>
        <w:tc>
          <w:tcPr>
            <w:tcW w:w="1118" w:type="dxa"/>
          </w:tcPr>
          <w:p w14:paraId="5B5AA7E2" w14:textId="77777777" w:rsidR="006810D6" w:rsidRPr="00FB524C" w:rsidRDefault="006810D6" w:rsidP="005C0634">
            <w:pPr>
              <w:pStyle w:val="PP-small"/>
            </w:pPr>
            <w:r w:rsidRPr="00FB524C">
              <w:t>EOP19</w:t>
            </w:r>
          </w:p>
        </w:tc>
        <w:tc>
          <w:tcPr>
            <w:tcW w:w="6095" w:type="dxa"/>
          </w:tcPr>
          <w:p w14:paraId="3FE77D8A" w14:textId="77777777" w:rsidR="006810D6" w:rsidRPr="00FB524C" w:rsidRDefault="006810D6" w:rsidP="005C0634">
            <w:pPr>
              <w:pStyle w:val="PP-small"/>
            </w:pPr>
            <w:r w:rsidRPr="00FB524C">
              <w:t xml:space="preserve">If the cause of platelet refractoriness is not obvious, investigation should include screening for HLA antibodies. HLA-matched platelets should be used if an HLA antibody is detected. </w:t>
            </w:r>
          </w:p>
          <w:p w14:paraId="2EC7FB50" w14:textId="77777777" w:rsidR="006810D6" w:rsidRPr="00FB524C" w:rsidRDefault="006810D6" w:rsidP="005C0634">
            <w:pPr>
              <w:pStyle w:val="PP-small"/>
            </w:pPr>
            <w:r w:rsidRPr="00FB524C">
              <w:t xml:space="preserve">If the HLA antibody screen is negative or there is a poor response to HLA-matched platelets, screening for HPA antibodies should be undertaken, followed by use of HPA-matched platelets if positive. </w:t>
            </w:r>
          </w:p>
        </w:tc>
        <w:tc>
          <w:tcPr>
            <w:tcW w:w="1083" w:type="dxa"/>
          </w:tcPr>
          <w:p w14:paraId="49010048" w14:textId="77777777" w:rsidR="006810D6" w:rsidRPr="00FB524C" w:rsidRDefault="006810D6" w:rsidP="005C0634">
            <w:pPr>
              <w:pStyle w:val="PP-small"/>
            </w:pPr>
            <w:r w:rsidRPr="00FB524C">
              <w:t>4.1.6</w:t>
            </w:r>
          </w:p>
        </w:tc>
      </w:tr>
      <w:tr w:rsidR="006810D6" w:rsidRPr="00FB524C" w14:paraId="27B075E1" w14:textId="77777777" w:rsidTr="005C0634">
        <w:trPr>
          <w:cantSplit/>
          <w:tblHeader/>
        </w:trPr>
        <w:tc>
          <w:tcPr>
            <w:tcW w:w="1118" w:type="dxa"/>
          </w:tcPr>
          <w:p w14:paraId="04B5B473" w14:textId="77777777" w:rsidR="006810D6" w:rsidRPr="00FB524C" w:rsidRDefault="006810D6" w:rsidP="005C0634">
            <w:pPr>
              <w:pStyle w:val="PP-small"/>
            </w:pPr>
            <w:r w:rsidRPr="00FB524C">
              <w:t>EOP20</w:t>
            </w:r>
          </w:p>
        </w:tc>
        <w:tc>
          <w:tcPr>
            <w:tcW w:w="6095" w:type="dxa"/>
          </w:tcPr>
          <w:p w14:paraId="49D851E7" w14:textId="77777777" w:rsidR="006810D6" w:rsidRPr="00FB524C" w:rsidRDefault="006810D6" w:rsidP="005C0634">
            <w:pPr>
              <w:pStyle w:val="PP-small"/>
            </w:pPr>
            <w:r w:rsidRPr="00FB524C">
              <w:t>In patients with inherited platelet disorders such as Bernard Soulier Syndrome and Glanzmann’s thrombasthenia, platelet transfusions should be avoided if possible, to reduce the patient’s risk of alloimmunisation. If platelet transfusion is unavoidable the patient should receive HLA-matched platelets.</w:t>
            </w:r>
          </w:p>
        </w:tc>
        <w:tc>
          <w:tcPr>
            <w:tcW w:w="1083" w:type="dxa"/>
          </w:tcPr>
          <w:p w14:paraId="0ACAF89E" w14:textId="77777777" w:rsidR="006810D6" w:rsidRPr="00FB524C" w:rsidRDefault="006810D6" w:rsidP="005C0634">
            <w:pPr>
              <w:pStyle w:val="PP-small"/>
            </w:pPr>
            <w:r w:rsidRPr="00FB524C">
              <w:t>4.1.6</w:t>
            </w:r>
          </w:p>
        </w:tc>
      </w:tr>
      <w:tr w:rsidR="006810D6" w:rsidRPr="00FB524C" w14:paraId="1CC04920" w14:textId="77777777" w:rsidTr="005C0634">
        <w:trPr>
          <w:cantSplit/>
          <w:tblHeader/>
        </w:trPr>
        <w:tc>
          <w:tcPr>
            <w:tcW w:w="8296" w:type="dxa"/>
            <w:gridSpan w:val="3"/>
            <w:shd w:val="clear" w:color="auto" w:fill="D9D9D9" w:themeFill="background1" w:themeFillShade="D9"/>
          </w:tcPr>
          <w:p w14:paraId="37A70039" w14:textId="77777777" w:rsidR="006810D6" w:rsidRPr="0075152F" w:rsidRDefault="006810D6" w:rsidP="005C0634">
            <w:pPr>
              <w:pStyle w:val="PP-small"/>
              <w:rPr>
                <w:b/>
              </w:rPr>
            </w:pPr>
            <w:r w:rsidRPr="0075152F">
              <w:rPr>
                <w:b/>
              </w:rPr>
              <w:t>Intrauterine fetal blood component transfusion</w:t>
            </w:r>
          </w:p>
        </w:tc>
      </w:tr>
      <w:tr w:rsidR="006810D6" w:rsidRPr="00FB524C" w14:paraId="7F66CFF0" w14:textId="77777777" w:rsidTr="005C0634">
        <w:trPr>
          <w:cantSplit/>
          <w:tblHeader/>
        </w:trPr>
        <w:tc>
          <w:tcPr>
            <w:tcW w:w="1118" w:type="dxa"/>
          </w:tcPr>
          <w:p w14:paraId="17C20FDE" w14:textId="77777777" w:rsidR="006810D6" w:rsidRPr="00FB524C" w:rsidRDefault="006810D6" w:rsidP="005C0634">
            <w:pPr>
              <w:pStyle w:val="PP-small"/>
            </w:pPr>
            <w:r w:rsidRPr="00FB524C">
              <w:t>EOP21</w:t>
            </w:r>
          </w:p>
        </w:tc>
        <w:tc>
          <w:tcPr>
            <w:tcW w:w="6095" w:type="dxa"/>
          </w:tcPr>
          <w:p w14:paraId="0AE776D1" w14:textId="77777777" w:rsidR="006810D6" w:rsidRPr="00FB524C" w:rsidRDefault="006810D6" w:rsidP="005C0634">
            <w:pPr>
              <w:pStyle w:val="PP-small"/>
            </w:pPr>
            <w:r w:rsidRPr="00FB524C">
              <w:t xml:space="preserve">Management of pregnancies at risk of fetal anaemia or thrombocytopaenia should be undertaken in facilities with appropriate expertise in ultrasound imaging and invasive fetal interventions, and </w:t>
            </w:r>
            <w:r>
              <w:rPr>
                <w:lang w:val="en-AU"/>
              </w:rPr>
              <w:t>that</w:t>
            </w:r>
            <w:r w:rsidRPr="00FB524C">
              <w:t xml:space="preserve"> have access to specific blood products and neonatal intensive care.</w:t>
            </w:r>
          </w:p>
        </w:tc>
        <w:tc>
          <w:tcPr>
            <w:tcW w:w="1083" w:type="dxa"/>
          </w:tcPr>
          <w:p w14:paraId="6CC5E81F" w14:textId="77777777" w:rsidR="006810D6" w:rsidRPr="00FB524C" w:rsidRDefault="006810D6" w:rsidP="005C0634">
            <w:pPr>
              <w:pStyle w:val="PP-small"/>
            </w:pPr>
            <w:r w:rsidRPr="00FB524C">
              <w:t>4.2.1</w:t>
            </w:r>
          </w:p>
        </w:tc>
      </w:tr>
      <w:tr w:rsidR="006810D6" w:rsidRPr="00FB524C" w14:paraId="5D4E508F" w14:textId="77777777" w:rsidTr="005C0634">
        <w:trPr>
          <w:cantSplit/>
          <w:tblHeader/>
        </w:trPr>
        <w:tc>
          <w:tcPr>
            <w:tcW w:w="1118" w:type="dxa"/>
          </w:tcPr>
          <w:p w14:paraId="264432EF" w14:textId="77777777" w:rsidR="006810D6" w:rsidRPr="00FB524C" w:rsidRDefault="006810D6" w:rsidP="005C0634">
            <w:pPr>
              <w:pStyle w:val="PP-small"/>
            </w:pPr>
            <w:r w:rsidRPr="00FB524C">
              <w:t>EOP22</w:t>
            </w:r>
          </w:p>
        </w:tc>
        <w:tc>
          <w:tcPr>
            <w:tcW w:w="6095" w:type="dxa"/>
          </w:tcPr>
          <w:p w14:paraId="2162C155" w14:textId="77777777" w:rsidR="006810D6" w:rsidRPr="00FB524C" w:rsidRDefault="006810D6" w:rsidP="005C0634">
            <w:pPr>
              <w:pStyle w:val="PP-small"/>
            </w:pPr>
            <w:r w:rsidRPr="00FB524C">
              <w:t xml:space="preserve">Pregnancies at risk of fetal anaemia should be assessed by Doppler ultrasound of the fetal MCA PSV, to determine whether FBS and IUT are necessary. </w:t>
            </w:r>
          </w:p>
        </w:tc>
        <w:tc>
          <w:tcPr>
            <w:tcW w:w="1083" w:type="dxa"/>
          </w:tcPr>
          <w:p w14:paraId="649FB0CB" w14:textId="77777777" w:rsidR="006810D6" w:rsidRPr="00FB524C" w:rsidRDefault="006810D6" w:rsidP="005C0634">
            <w:pPr>
              <w:pStyle w:val="PP-small"/>
            </w:pPr>
            <w:r w:rsidRPr="00FB524C">
              <w:t>4.2.1</w:t>
            </w:r>
          </w:p>
        </w:tc>
      </w:tr>
      <w:tr w:rsidR="006810D6" w:rsidRPr="00FB524C" w14:paraId="24AC4500" w14:textId="77777777" w:rsidTr="005C0634">
        <w:trPr>
          <w:cantSplit/>
          <w:tblHeader/>
        </w:trPr>
        <w:tc>
          <w:tcPr>
            <w:tcW w:w="1118" w:type="dxa"/>
          </w:tcPr>
          <w:p w14:paraId="20755E9C" w14:textId="77777777" w:rsidR="006810D6" w:rsidRPr="00FB524C" w:rsidRDefault="006810D6" w:rsidP="005C0634">
            <w:pPr>
              <w:pStyle w:val="PP-small"/>
            </w:pPr>
            <w:r w:rsidRPr="00FB524C">
              <w:t>EOP23</w:t>
            </w:r>
          </w:p>
        </w:tc>
        <w:tc>
          <w:tcPr>
            <w:tcW w:w="6095" w:type="dxa"/>
          </w:tcPr>
          <w:p w14:paraId="51BB4649" w14:textId="77777777" w:rsidR="006810D6" w:rsidRPr="00FB524C" w:rsidRDefault="006810D6" w:rsidP="005C0634">
            <w:pPr>
              <w:pStyle w:val="PP-small"/>
            </w:pPr>
            <w:r w:rsidRPr="00FB524C">
              <w:t xml:space="preserve">Pregnant women who have had a prior pregnancy with fetal or neonatal ICH or thrombocytopaenia due to FNAIT should be managed with </w:t>
            </w:r>
            <w:r>
              <w:t>IVIg</w:t>
            </w:r>
            <w:r w:rsidRPr="00FB524C">
              <w:t>.</w:t>
            </w:r>
            <w:hyperlink w:anchor="_ENREF_20" w:tooltip=", 2012 #1104" w:history="1">
              <w:r>
                <w:fldChar w:fldCharType="begin"/>
              </w:r>
              <w:r>
                <w:instrText xml:space="preserve"> ADDIN EN.CITE &lt;EndNote&gt;&lt;Cite ExcludeAuth="1"&gt;&lt;Year&gt;2012&lt;/Year&gt;&lt;RecNum&gt;1104&lt;/RecNum&gt;&lt;DisplayText&gt;&lt;style face="superscript"&gt;20&lt;/style&gt;&lt;/DisplayText&gt;&lt;record&gt;&lt;rec-number&gt;1104&lt;/rec-number&gt;&lt;foreign-keys&gt;&lt;key app="EN" db-id="9edve2wadsavt5ewavaxtda4f2tavzvts9ee" timestamp="1439350872"&gt;1104&lt;/key&gt;&lt;/foreign-keys&gt;&lt;ref-type name="Report"&gt;27&lt;/ref-type&gt;&lt;contributors&gt;&lt;/contributors&gt;&lt;titles&gt;&lt;title&gt;Criteria for the clinical use of intravenous immunoglobulin in Australia, Second edition&lt;/title&gt;&lt;/titles&gt;&lt;dates&gt;&lt;year&gt;2012&lt;/year&gt;&lt;/dates&gt;&lt;publisher&gt;Standing Council on Health&lt;/publisher&gt;&lt;urls&gt;&lt;related-urls&gt;&lt;url&gt;http://www.blood.gov.au/pubs/ivig/conditions-for-which-IVIg-has-an-emerging-therapeutic-role.html#cdn-09&lt;/url&gt;&lt;/related-urls&gt;&lt;/urls&gt;&lt;/record&gt;&lt;/Cite&gt;&lt;/EndNote&gt;</w:instrText>
              </w:r>
              <w:r>
                <w:fldChar w:fldCharType="separate"/>
              </w:r>
              <w:r w:rsidRPr="00E62798">
                <w:rPr>
                  <w:noProof/>
                  <w:vertAlign w:val="superscript"/>
                </w:rPr>
                <w:t>20</w:t>
              </w:r>
              <w:r>
                <w:fldChar w:fldCharType="end"/>
              </w:r>
            </w:hyperlink>
            <w:r w:rsidRPr="00FB524C">
              <w:t xml:space="preserve"> </w:t>
            </w:r>
          </w:p>
        </w:tc>
        <w:tc>
          <w:tcPr>
            <w:tcW w:w="1083" w:type="dxa"/>
          </w:tcPr>
          <w:p w14:paraId="18844087" w14:textId="77777777" w:rsidR="006810D6" w:rsidRPr="00FB524C" w:rsidRDefault="006810D6" w:rsidP="005C0634">
            <w:pPr>
              <w:pStyle w:val="PP-small"/>
            </w:pPr>
            <w:r w:rsidRPr="00FB524C">
              <w:t>4.2.1</w:t>
            </w:r>
          </w:p>
        </w:tc>
      </w:tr>
      <w:tr w:rsidR="006810D6" w:rsidRPr="00FB524C" w14:paraId="273D0EDA" w14:textId="77777777" w:rsidTr="005C0634">
        <w:trPr>
          <w:cantSplit/>
          <w:tblHeader/>
        </w:trPr>
        <w:tc>
          <w:tcPr>
            <w:tcW w:w="1118" w:type="dxa"/>
          </w:tcPr>
          <w:p w14:paraId="7FDFCF30" w14:textId="77777777" w:rsidR="006810D6" w:rsidRPr="00FB524C" w:rsidRDefault="006810D6" w:rsidP="005C0634">
            <w:pPr>
              <w:pStyle w:val="PP-small"/>
            </w:pPr>
            <w:r w:rsidRPr="00FB524C">
              <w:t>EOP24</w:t>
            </w:r>
          </w:p>
        </w:tc>
        <w:tc>
          <w:tcPr>
            <w:tcW w:w="6095" w:type="dxa"/>
          </w:tcPr>
          <w:p w14:paraId="481C5B80" w14:textId="77777777" w:rsidR="006810D6" w:rsidRPr="006A116C" w:rsidRDefault="006810D6" w:rsidP="005C0634">
            <w:pPr>
              <w:pStyle w:val="PP-small"/>
              <w:rPr>
                <w:lang w:val="en-AU"/>
              </w:rPr>
            </w:pPr>
            <w:r w:rsidRPr="00FB524C">
              <w:t xml:space="preserve">FBS should be considered to assess response to </w:t>
            </w:r>
            <w:r>
              <w:t>IVIg</w:t>
            </w:r>
            <w:r w:rsidRPr="00FB524C">
              <w:t xml:space="preserve"> in those who have had a previous child with ICH due to FNAIT</w:t>
            </w:r>
            <w:r>
              <w:rPr>
                <w:lang w:val="en-AU"/>
              </w:rPr>
              <w:t>.</w:t>
            </w:r>
          </w:p>
        </w:tc>
        <w:tc>
          <w:tcPr>
            <w:tcW w:w="1083" w:type="dxa"/>
          </w:tcPr>
          <w:p w14:paraId="02EF091B" w14:textId="77777777" w:rsidR="006810D6" w:rsidRPr="00FB524C" w:rsidRDefault="006810D6" w:rsidP="005C0634">
            <w:pPr>
              <w:pStyle w:val="PP-small"/>
            </w:pPr>
            <w:r w:rsidRPr="00FB524C">
              <w:t>4.2.1</w:t>
            </w:r>
          </w:p>
        </w:tc>
      </w:tr>
      <w:tr w:rsidR="006528DB" w:rsidRPr="00FB524C" w14:paraId="1D69850A" w14:textId="77777777" w:rsidTr="00FD519F">
        <w:trPr>
          <w:cantSplit/>
          <w:tblHeader/>
        </w:trPr>
        <w:tc>
          <w:tcPr>
            <w:tcW w:w="8296" w:type="dxa"/>
            <w:gridSpan w:val="3"/>
            <w:shd w:val="clear" w:color="auto" w:fill="D9D9D9" w:themeFill="background1" w:themeFillShade="D9"/>
          </w:tcPr>
          <w:p w14:paraId="52DA57DC" w14:textId="77777777" w:rsidR="006528DB" w:rsidRPr="0075152F" w:rsidRDefault="006528DB" w:rsidP="00A074FC">
            <w:pPr>
              <w:pStyle w:val="PP-small"/>
              <w:rPr>
                <w:b/>
              </w:rPr>
            </w:pPr>
            <w:r w:rsidRPr="0075152F">
              <w:rPr>
                <w:b/>
              </w:rPr>
              <w:t>Minimisation of blood loss</w:t>
            </w:r>
          </w:p>
        </w:tc>
      </w:tr>
      <w:tr w:rsidR="006528DB" w:rsidRPr="00FB524C" w14:paraId="1628C5F7" w14:textId="77777777" w:rsidTr="00A074FC">
        <w:trPr>
          <w:cantSplit/>
          <w:tblHeader/>
        </w:trPr>
        <w:tc>
          <w:tcPr>
            <w:tcW w:w="1118" w:type="dxa"/>
          </w:tcPr>
          <w:p w14:paraId="74219C9B" w14:textId="77777777" w:rsidR="006528DB" w:rsidRPr="00FB524C" w:rsidRDefault="006528DB" w:rsidP="00A074FC">
            <w:pPr>
              <w:pStyle w:val="PP-small"/>
            </w:pPr>
            <w:r w:rsidRPr="00FB524C">
              <w:t>EOP25</w:t>
            </w:r>
          </w:p>
        </w:tc>
        <w:tc>
          <w:tcPr>
            <w:tcW w:w="6095" w:type="dxa"/>
          </w:tcPr>
          <w:p w14:paraId="4881ED8E" w14:textId="77777777" w:rsidR="006528DB" w:rsidRPr="00FB524C" w:rsidRDefault="006528DB" w:rsidP="00A074FC">
            <w:pPr>
              <w:pStyle w:val="PP-small"/>
            </w:pPr>
            <w:r w:rsidRPr="00FB524C">
              <w:t>Strategies to safely minimise phlebotomy losses should be used for all neonatal and paediatric patients. Such strategies may include (where safe and feasible):</w:t>
            </w:r>
          </w:p>
          <w:p w14:paraId="3B83352E" w14:textId="2A02026F" w:rsidR="006528DB" w:rsidRPr="00FB524C" w:rsidRDefault="006528DB" w:rsidP="0075152F">
            <w:pPr>
              <w:pStyle w:val="PPbullsmall"/>
            </w:pPr>
            <w:r w:rsidRPr="00FB524C">
              <w:t>use of ‘</w:t>
            </w:r>
            <w:r w:rsidR="006A116C" w:rsidRPr="00FB524C">
              <w:t>as</w:t>
            </w:r>
            <w:r w:rsidR="006A116C">
              <w:rPr>
                <w:lang w:val="en-AU"/>
              </w:rPr>
              <w:t>-</w:t>
            </w:r>
            <w:r w:rsidRPr="00FB524C">
              <w:t>needed’ rather than routine sampling</w:t>
            </w:r>
          </w:p>
          <w:p w14:paraId="339C0253" w14:textId="77777777" w:rsidR="006528DB" w:rsidRPr="00FB524C" w:rsidRDefault="006528DB" w:rsidP="0075152F">
            <w:pPr>
              <w:pStyle w:val="PPbullsmall"/>
            </w:pPr>
            <w:r w:rsidRPr="00FB524C">
              <w:t>meticulous avoidance of blood overdraw</w:t>
            </w:r>
          </w:p>
          <w:p w14:paraId="0311F11D" w14:textId="77777777" w:rsidR="006528DB" w:rsidRPr="00FB524C" w:rsidRDefault="006528DB" w:rsidP="0075152F">
            <w:pPr>
              <w:pStyle w:val="PPbullsmall"/>
            </w:pPr>
            <w:r w:rsidRPr="00FB524C">
              <w:t>return of void volumes to sampling lines</w:t>
            </w:r>
          </w:p>
          <w:p w14:paraId="625B9989" w14:textId="77777777" w:rsidR="006528DB" w:rsidRPr="00FB524C" w:rsidRDefault="006528DB" w:rsidP="0075152F">
            <w:pPr>
              <w:pStyle w:val="PPbullsmall"/>
            </w:pPr>
            <w:r w:rsidRPr="00FB524C">
              <w:t>use of closed inline sampling devices</w:t>
            </w:r>
          </w:p>
          <w:p w14:paraId="6F1DF8DB" w14:textId="77777777" w:rsidR="006528DB" w:rsidRPr="00FB524C" w:rsidRDefault="006528DB" w:rsidP="0075152F">
            <w:pPr>
              <w:pStyle w:val="PPbullsmall"/>
            </w:pPr>
            <w:r w:rsidRPr="00FB524C">
              <w:t>judicious use and ‘on-time’ removal of sampling lines</w:t>
            </w:r>
          </w:p>
          <w:p w14:paraId="6BE0E377" w14:textId="77777777" w:rsidR="006528DB" w:rsidRPr="00FB524C" w:rsidRDefault="006528DB" w:rsidP="0075152F">
            <w:pPr>
              <w:pStyle w:val="PPbullsmall"/>
            </w:pPr>
            <w:r w:rsidRPr="00FB524C">
              <w:t>optimal sampling technique and sample handling to minimise rejection of samples by laboratory</w:t>
            </w:r>
          </w:p>
          <w:p w14:paraId="2D833A74" w14:textId="77777777" w:rsidR="006528DB" w:rsidRPr="00FB524C" w:rsidRDefault="006528DB" w:rsidP="0075152F">
            <w:pPr>
              <w:pStyle w:val="PPbullsmall"/>
            </w:pPr>
            <w:r w:rsidRPr="00FB524C">
              <w:t>laboratory equipment that uses the smallest possible sample volumes</w:t>
            </w:r>
          </w:p>
          <w:p w14:paraId="1E662F1D" w14:textId="2A243890" w:rsidR="006528DB" w:rsidRPr="00FB524C" w:rsidRDefault="006528DB" w:rsidP="0075152F">
            <w:pPr>
              <w:pStyle w:val="PPbullsmall"/>
            </w:pPr>
            <w:r w:rsidRPr="00FB524C">
              <w:t xml:space="preserve">use of non-invasive techniques and </w:t>
            </w:r>
            <w:r w:rsidR="00FD519F">
              <w:rPr>
                <w:lang w:val="en-AU"/>
              </w:rPr>
              <w:t>POC</w:t>
            </w:r>
            <w:r w:rsidRPr="00FB524C">
              <w:t xml:space="preserve"> devices</w:t>
            </w:r>
          </w:p>
          <w:p w14:paraId="512A1D23" w14:textId="77777777" w:rsidR="006528DB" w:rsidRPr="00FB524C" w:rsidRDefault="006528DB" w:rsidP="0075152F">
            <w:pPr>
              <w:pStyle w:val="PPbullsmall"/>
            </w:pPr>
            <w:r w:rsidRPr="00FB524C">
              <w:t>audit compliance and cumulative phlebotomy losses in selected groups of patients at regular intervals.</w:t>
            </w:r>
          </w:p>
        </w:tc>
        <w:tc>
          <w:tcPr>
            <w:tcW w:w="1083" w:type="dxa"/>
          </w:tcPr>
          <w:p w14:paraId="57ACAAFE" w14:textId="77777777" w:rsidR="006528DB" w:rsidRPr="00FB524C" w:rsidRDefault="006528DB" w:rsidP="00A074FC">
            <w:pPr>
              <w:pStyle w:val="PP-small"/>
            </w:pPr>
            <w:r w:rsidRPr="00FB524C">
              <w:t>4.3.6</w:t>
            </w:r>
          </w:p>
        </w:tc>
      </w:tr>
      <w:tr w:rsidR="006528DB" w:rsidRPr="00FB524C" w14:paraId="4DAABBAD" w14:textId="77777777" w:rsidTr="00A074FC">
        <w:trPr>
          <w:cantSplit/>
          <w:tblHeader/>
        </w:trPr>
        <w:tc>
          <w:tcPr>
            <w:tcW w:w="1118" w:type="dxa"/>
          </w:tcPr>
          <w:p w14:paraId="353F5997" w14:textId="77777777" w:rsidR="006528DB" w:rsidRPr="00FB524C" w:rsidRDefault="006528DB" w:rsidP="00A074FC">
            <w:pPr>
              <w:pStyle w:val="PP-small"/>
            </w:pPr>
            <w:r w:rsidRPr="00FB524C">
              <w:t>EOP26</w:t>
            </w:r>
          </w:p>
        </w:tc>
        <w:tc>
          <w:tcPr>
            <w:tcW w:w="6095" w:type="dxa"/>
          </w:tcPr>
          <w:p w14:paraId="5A5CCCEC" w14:textId="211C3581" w:rsidR="006528DB" w:rsidRPr="00FB524C" w:rsidRDefault="006528DB" w:rsidP="00E62798">
            <w:pPr>
              <w:pStyle w:val="PP-small"/>
            </w:pPr>
            <w:r w:rsidRPr="00FB524C">
              <w:t>PCCs may be considered in neonatal and paediatric patients undergoing urgent surgery who are receiving VKAs.</w:t>
            </w:r>
            <w:hyperlink w:anchor="_ENREF_21" w:tooltip="Tran, 2013 #550" w:history="1">
              <w:r w:rsidR="00E62798">
                <w:fldChar w:fldCharType="begin"/>
              </w:r>
              <w:r w:rsidR="00E62798">
                <w:instrText xml:space="preserve"> ADDIN EN.CITE &lt;EndNote&gt;&lt;Cite&gt;&lt;Author&gt;Tran&lt;/Author&gt;&lt;Year&gt;2013&lt;/Year&gt;&lt;RecNum&gt;550&lt;/RecNum&gt;&lt;DisplayText&gt;&lt;style face="superscript"&gt;21&lt;/style&gt;&lt;/DisplayText&gt;&lt;record&gt;&lt;rec-number&gt;550&lt;/rec-number&gt;&lt;foreign-keys&gt;&lt;key app="EN" db-id="9edve2wadsavt5ewavaxtda4f2tavzvts9ee" timestamp="1429939807"&gt;550&lt;/key&gt;&lt;/foreign-keys&gt;&lt;ref-type name="Journal Article"&gt;17&lt;/ref-type&gt;&lt;contributors&gt;&lt;authors&gt;&lt;author&gt;Tran, H. A.&lt;/author&gt;&lt;author&gt;Chunilal, S. D.&lt;/author&gt;&lt;author&gt;Harper, P. L.&lt;/author&gt;&lt;author&gt;Tran, H.&lt;/author&gt;&lt;author&gt;Wood, E. M.&lt;/author&gt;&lt;author&gt;Gallus, A. S.&lt;/author&gt;&lt;author&gt;Australasian Society of, Thrombosis&lt;/author&gt;&lt;author&gt;Haemostasis,&lt;/author&gt;&lt;/authors&gt;&lt;/contributors&gt;&lt;titles&gt;&lt;title&gt;An update of consensus guidelines for warfarin reversal&lt;/title&gt;&lt;secondary-title&gt;The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198–199&lt;/pages&gt;&lt;volume&gt;198&lt;/volume&gt;&lt;number&gt;4&lt;/number&gt;&lt;dates&gt;&lt;year&gt;2013&lt;/year&gt;&lt;/dates&gt;&lt;isbn&gt;0025-729X&lt;/isbn&gt;&lt;urls&gt;&lt;related-urls&gt;&lt;url&gt;https://www.mja.com.au/system/files/issues/tra10614_web_fm_0.pdf&lt;/url&gt;&lt;/related-urls&gt;&lt;/urls&gt;&lt;electronic-resource-num&gt;DOI:10.5694/mja12.10614&lt;/electronic-resource-num&gt;&lt;/record&gt;&lt;/Cite&gt;&lt;/EndNote&gt;</w:instrText>
              </w:r>
              <w:r w:rsidR="00E62798">
                <w:fldChar w:fldCharType="separate"/>
              </w:r>
              <w:r w:rsidR="00E62798" w:rsidRPr="00E62798">
                <w:rPr>
                  <w:noProof/>
                  <w:vertAlign w:val="superscript"/>
                </w:rPr>
                <w:t>21</w:t>
              </w:r>
              <w:r w:rsidR="00E62798">
                <w:fldChar w:fldCharType="end"/>
              </w:r>
            </w:hyperlink>
          </w:p>
        </w:tc>
        <w:tc>
          <w:tcPr>
            <w:tcW w:w="1083" w:type="dxa"/>
          </w:tcPr>
          <w:p w14:paraId="352E561F" w14:textId="77777777" w:rsidR="006528DB" w:rsidRPr="00FB524C" w:rsidRDefault="006528DB" w:rsidP="00A074FC">
            <w:pPr>
              <w:pStyle w:val="PP-small"/>
            </w:pPr>
            <w:r w:rsidRPr="00FB524C">
              <w:t>4.4.1</w:t>
            </w:r>
          </w:p>
        </w:tc>
      </w:tr>
      <w:tr w:rsidR="006528DB" w:rsidRPr="00FB524C" w14:paraId="5D1E2AE9" w14:textId="77777777" w:rsidTr="00A074FC">
        <w:trPr>
          <w:cantSplit/>
          <w:tblHeader/>
        </w:trPr>
        <w:tc>
          <w:tcPr>
            <w:tcW w:w="1118" w:type="dxa"/>
          </w:tcPr>
          <w:p w14:paraId="29EEC293" w14:textId="77777777" w:rsidR="006528DB" w:rsidRPr="00FB524C" w:rsidRDefault="006528DB" w:rsidP="00A074FC">
            <w:pPr>
              <w:pStyle w:val="PP-small"/>
            </w:pPr>
            <w:r w:rsidRPr="00FB524C">
              <w:lastRenderedPageBreak/>
              <w:t>EOP27</w:t>
            </w:r>
          </w:p>
        </w:tc>
        <w:tc>
          <w:tcPr>
            <w:tcW w:w="6095" w:type="dxa"/>
          </w:tcPr>
          <w:p w14:paraId="47AB5C5D" w14:textId="77777777" w:rsidR="006528DB" w:rsidRPr="00FB524C" w:rsidRDefault="006528DB" w:rsidP="00A074FC">
            <w:pPr>
              <w:pStyle w:val="PP-small"/>
            </w:pPr>
            <w:r w:rsidRPr="00FB524C">
              <w:t>PCCs may be considered to treat bleeding in paediatric patients at high risk of volume overload (e.g. those who have undergone cardiac surgery on CPB).</w:t>
            </w:r>
          </w:p>
        </w:tc>
        <w:tc>
          <w:tcPr>
            <w:tcW w:w="1083" w:type="dxa"/>
          </w:tcPr>
          <w:p w14:paraId="14034942" w14:textId="77777777" w:rsidR="006528DB" w:rsidRPr="00FB524C" w:rsidRDefault="006528DB" w:rsidP="00A074FC">
            <w:pPr>
              <w:pStyle w:val="PP-small"/>
            </w:pPr>
            <w:r w:rsidRPr="00FB524C">
              <w:t>4.4.1</w:t>
            </w:r>
          </w:p>
        </w:tc>
      </w:tr>
      <w:tr w:rsidR="006528DB" w:rsidRPr="00FB524C" w14:paraId="6B1E939D" w14:textId="77777777" w:rsidTr="00A074FC">
        <w:trPr>
          <w:cantSplit/>
          <w:tblHeader/>
        </w:trPr>
        <w:tc>
          <w:tcPr>
            <w:tcW w:w="1118" w:type="dxa"/>
          </w:tcPr>
          <w:p w14:paraId="696126DA" w14:textId="77777777" w:rsidR="006528DB" w:rsidRPr="00FB524C" w:rsidRDefault="006528DB" w:rsidP="00A074FC">
            <w:pPr>
              <w:pStyle w:val="PP-small"/>
            </w:pPr>
            <w:r w:rsidRPr="00FB524C">
              <w:t>EOP28</w:t>
            </w:r>
          </w:p>
        </w:tc>
        <w:tc>
          <w:tcPr>
            <w:tcW w:w="6095" w:type="dxa"/>
          </w:tcPr>
          <w:p w14:paraId="4F1C5CD9" w14:textId="77777777" w:rsidR="006528DB" w:rsidRPr="00FB524C" w:rsidRDefault="006528DB" w:rsidP="00A074FC">
            <w:pPr>
              <w:pStyle w:val="PP-small"/>
            </w:pPr>
            <w:r w:rsidRPr="00FB524C">
              <w:t>THAs may be considered in neonatal and paediatric surgical patients as an adjuvant to control bleeding.</w:t>
            </w:r>
          </w:p>
        </w:tc>
        <w:tc>
          <w:tcPr>
            <w:tcW w:w="1083" w:type="dxa"/>
          </w:tcPr>
          <w:p w14:paraId="0E22E101" w14:textId="77777777" w:rsidR="006528DB" w:rsidRPr="00FB524C" w:rsidRDefault="006528DB" w:rsidP="00A074FC">
            <w:pPr>
              <w:pStyle w:val="PP-small"/>
            </w:pPr>
            <w:r w:rsidRPr="00FB524C">
              <w:t>4.4.2</w:t>
            </w:r>
          </w:p>
        </w:tc>
      </w:tr>
      <w:tr w:rsidR="006528DB" w:rsidRPr="00FB524C" w14:paraId="22A03240" w14:textId="77777777" w:rsidTr="00A074FC">
        <w:trPr>
          <w:cantSplit/>
          <w:tblHeader/>
        </w:trPr>
        <w:tc>
          <w:tcPr>
            <w:tcW w:w="1118" w:type="dxa"/>
          </w:tcPr>
          <w:p w14:paraId="0F11ED57" w14:textId="77777777" w:rsidR="006528DB" w:rsidRPr="00FB524C" w:rsidRDefault="006528DB" w:rsidP="00A074FC">
            <w:pPr>
              <w:pStyle w:val="PP-small"/>
            </w:pPr>
            <w:r w:rsidRPr="00FB524C">
              <w:t>EOP29</w:t>
            </w:r>
          </w:p>
        </w:tc>
        <w:tc>
          <w:tcPr>
            <w:tcW w:w="6095" w:type="dxa"/>
          </w:tcPr>
          <w:p w14:paraId="3DCAED76" w14:textId="77777777" w:rsidR="006528DB" w:rsidRPr="00FB524C" w:rsidRDefault="006528DB" w:rsidP="00A074FC">
            <w:pPr>
              <w:pStyle w:val="PP-small"/>
            </w:pPr>
            <w:r w:rsidRPr="00FB524C">
              <w:t>The use of THAs should adhere to the manufacturer’s instructions and safety information.</w:t>
            </w:r>
          </w:p>
        </w:tc>
        <w:tc>
          <w:tcPr>
            <w:tcW w:w="1083" w:type="dxa"/>
          </w:tcPr>
          <w:p w14:paraId="2D048CF4" w14:textId="77777777" w:rsidR="006528DB" w:rsidRPr="00FB524C" w:rsidRDefault="006528DB" w:rsidP="00A074FC">
            <w:pPr>
              <w:pStyle w:val="PP-small"/>
            </w:pPr>
            <w:r w:rsidRPr="00FB524C">
              <w:t>4.4.2</w:t>
            </w:r>
          </w:p>
        </w:tc>
      </w:tr>
      <w:tr w:rsidR="006528DB" w:rsidRPr="00FB524C" w14:paraId="083603F9" w14:textId="77777777" w:rsidTr="00091FD5">
        <w:trPr>
          <w:cantSplit/>
          <w:tblHeader/>
        </w:trPr>
        <w:tc>
          <w:tcPr>
            <w:tcW w:w="8296" w:type="dxa"/>
            <w:gridSpan w:val="3"/>
            <w:shd w:val="clear" w:color="auto" w:fill="BFBFBF" w:themeFill="background1" w:themeFillShade="BF"/>
          </w:tcPr>
          <w:p w14:paraId="76B49145" w14:textId="77777777" w:rsidR="006528DB" w:rsidRPr="0075152F" w:rsidRDefault="006528DB" w:rsidP="00A074FC">
            <w:pPr>
              <w:pStyle w:val="PP-small"/>
              <w:rPr>
                <w:b/>
              </w:rPr>
            </w:pPr>
            <w:r w:rsidRPr="0075152F">
              <w:rPr>
                <w:b/>
              </w:rPr>
              <w:t>Critical bleeding</w:t>
            </w:r>
          </w:p>
        </w:tc>
      </w:tr>
      <w:tr w:rsidR="006528DB" w:rsidRPr="00FB524C" w14:paraId="1C0E80D6" w14:textId="77777777" w:rsidTr="00A074FC">
        <w:trPr>
          <w:cantSplit/>
          <w:tblHeader/>
        </w:trPr>
        <w:tc>
          <w:tcPr>
            <w:tcW w:w="1118" w:type="dxa"/>
          </w:tcPr>
          <w:p w14:paraId="1B431D55" w14:textId="77777777" w:rsidR="006528DB" w:rsidRPr="00FB524C" w:rsidRDefault="006528DB" w:rsidP="00A074FC">
            <w:pPr>
              <w:pStyle w:val="PP-small"/>
            </w:pPr>
            <w:r w:rsidRPr="00FB524C">
              <w:t>EOP33</w:t>
            </w:r>
          </w:p>
        </w:tc>
        <w:tc>
          <w:tcPr>
            <w:tcW w:w="6095" w:type="dxa"/>
          </w:tcPr>
          <w:p w14:paraId="78C9105B" w14:textId="77777777" w:rsidR="006528DB" w:rsidRPr="00FB524C" w:rsidRDefault="006528DB" w:rsidP="00A074FC">
            <w:pPr>
              <w:pStyle w:val="PP-small"/>
            </w:pPr>
            <w:r w:rsidRPr="00FB524C">
              <w:t xml:space="preserve">Institutions that provide care for neonates and paediatric patients should have a critical bleeding protocol specific to such patients. </w:t>
            </w:r>
          </w:p>
        </w:tc>
        <w:tc>
          <w:tcPr>
            <w:tcW w:w="1083" w:type="dxa"/>
          </w:tcPr>
          <w:p w14:paraId="54856207" w14:textId="77777777" w:rsidR="006528DB" w:rsidRPr="00FB524C" w:rsidRDefault="006528DB" w:rsidP="00A074FC">
            <w:pPr>
              <w:pStyle w:val="PP-small"/>
            </w:pPr>
            <w:r w:rsidRPr="00FB524C">
              <w:t>4.6</w:t>
            </w:r>
          </w:p>
        </w:tc>
      </w:tr>
      <w:tr w:rsidR="006528DB" w:rsidRPr="00FB524C" w14:paraId="72DA78CA" w14:textId="77777777" w:rsidTr="00A074FC">
        <w:trPr>
          <w:cantSplit/>
          <w:tblHeader/>
        </w:trPr>
        <w:tc>
          <w:tcPr>
            <w:tcW w:w="1118" w:type="dxa"/>
          </w:tcPr>
          <w:p w14:paraId="7371407F" w14:textId="77777777" w:rsidR="006528DB" w:rsidRPr="00FB524C" w:rsidRDefault="006528DB" w:rsidP="00A074FC">
            <w:pPr>
              <w:pStyle w:val="PP-small"/>
            </w:pPr>
            <w:r w:rsidRPr="00FB524C">
              <w:t>EOP34</w:t>
            </w:r>
          </w:p>
        </w:tc>
        <w:tc>
          <w:tcPr>
            <w:tcW w:w="6095" w:type="dxa"/>
          </w:tcPr>
          <w:p w14:paraId="5AC42F29" w14:textId="77777777" w:rsidR="006528DB" w:rsidRPr="00FB524C" w:rsidRDefault="006528DB" w:rsidP="00A074FC">
            <w:pPr>
              <w:pStyle w:val="PP-small"/>
            </w:pPr>
            <w:r w:rsidRPr="00FB524C">
              <w:t xml:space="preserve">The critical bleeding protocol should outline the essential steps (including coordination and communication) to rapidly and effectively manage a patient who is at risk of or undergoing critical bleeding. </w:t>
            </w:r>
          </w:p>
        </w:tc>
        <w:tc>
          <w:tcPr>
            <w:tcW w:w="1083" w:type="dxa"/>
          </w:tcPr>
          <w:p w14:paraId="33522ECF" w14:textId="77777777" w:rsidR="006528DB" w:rsidRPr="00FB524C" w:rsidRDefault="006528DB" w:rsidP="00A074FC">
            <w:pPr>
              <w:pStyle w:val="PP-small"/>
            </w:pPr>
            <w:r w:rsidRPr="00FB524C">
              <w:t>4.6</w:t>
            </w:r>
          </w:p>
        </w:tc>
      </w:tr>
      <w:tr w:rsidR="006528DB" w:rsidRPr="00FB524C" w14:paraId="186841A5" w14:textId="77777777" w:rsidTr="00A074FC">
        <w:trPr>
          <w:cantSplit/>
          <w:tblHeader/>
        </w:trPr>
        <w:tc>
          <w:tcPr>
            <w:tcW w:w="1118" w:type="dxa"/>
          </w:tcPr>
          <w:p w14:paraId="4258C310" w14:textId="77777777" w:rsidR="006528DB" w:rsidRPr="00FB524C" w:rsidRDefault="006528DB" w:rsidP="00A074FC">
            <w:pPr>
              <w:pStyle w:val="PP-small"/>
            </w:pPr>
            <w:r w:rsidRPr="00FB524C">
              <w:t>EOP35</w:t>
            </w:r>
          </w:p>
        </w:tc>
        <w:tc>
          <w:tcPr>
            <w:tcW w:w="6095" w:type="dxa"/>
          </w:tcPr>
          <w:p w14:paraId="62400305" w14:textId="77777777" w:rsidR="006528DB" w:rsidRPr="00FB524C" w:rsidRDefault="006528DB" w:rsidP="00A074FC">
            <w:pPr>
              <w:pStyle w:val="PP-small"/>
            </w:pPr>
            <w:r w:rsidRPr="00FB524C">
              <w:t>The critical bleeding protocol should include weight adjustments to guide blood product supply and administration. The clinician, in consultation with the haematologist or transfusion specialist, should tailor the type, volume and order of products given to the clinical circumstances.</w:t>
            </w:r>
          </w:p>
        </w:tc>
        <w:tc>
          <w:tcPr>
            <w:tcW w:w="1083" w:type="dxa"/>
          </w:tcPr>
          <w:p w14:paraId="4CC0B839" w14:textId="77777777" w:rsidR="006528DB" w:rsidRPr="00FB524C" w:rsidRDefault="006528DB" w:rsidP="00A074FC">
            <w:pPr>
              <w:pStyle w:val="PP-small"/>
            </w:pPr>
            <w:r w:rsidRPr="00FB524C">
              <w:t>4.6</w:t>
            </w:r>
          </w:p>
        </w:tc>
      </w:tr>
      <w:tr w:rsidR="00BE2010" w:rsidRPr="008C2954" w14:paraId="3FEFCF9C" w14:textId="77777777" w:rsidTr="000302D1">
        <w:trPr>
          <w:cantSplit/>
          <w:trHeight w:val="575"/>
          <w:tblHeader/>
        </w:trPr>
        <w:tc>
          <w:tcPr>
            <w:tcW w:w="8296" w:type="dxa"/>
            <w:gridSpan w:val="3"/>
            <w:tcBorders>
              <w:bottom w:val="single" w:sz="4" w:space="0" w:color="000000"/>
            </w:tcBorders>
          </w:tcPr>
          <w:p w14:paraId="24A74431" w14:textId="27578B43" w:rsidR="00BE2010" w:rsidRPr="0075152F" w:rsidRDefault="00085033" w:rsidP="00FD519F">
            <w:pPr>
              <w:pStyle w:val="PP-note"/>
            </w:pPr>
            <w:r>
              <w:rPr>
                <w:rStyle w:val="TablefootnoteChar"/>
                <w:rFonts w:ascii="Calibri" w:hAnsi="Calibri"/>
                <w:sz w:val="19"/>
                <w:szCs w:val="19"/>
                <w:lang w:eastAsia="en-AU"/>
              </w:rPr>
              <w:t xml:space="preserve">AHCDO, </w:t>
            </w:r>
            <w:r>
              <w:t>Australian Haemophilia Centre Directors' Organisation</w:t>
            </w:r>
            <w:r>
              <w:rPr>
                <w:rStyle w:val="TablefootnoteChar"/>
                <w:rFonts w:ascii="Calibri" w:hAnsi="Calibri"/>
                <w:sz w:val="19"/>
                <w:szCs w:val="19"/>
                <w:lang w:eastAsia="en-AU"/>
              </w:rPr>
              <w:t xml:space="preserve">; AI, adequate intake; </w:t>
            </w:r>
            <w:r w:rsidR="00FD519F">
              <w:rPr>
                <w:rStyle w:val="TablefootnoteChar"/>
                <w:rFonts w:ascii="Calibri" w:hAnsi="Calibri"/>
                <w:sz w:val="19"/>
                <w:szCs w:val="19"/>
                <w:lang w:eastAsia="en-AU"/>
              </w:rPr>
              <w:t xml:space="preserve">ANH, acute normovolaemic haemodilution; </w:t>
            </w:r>
            <w:r w:rsidR="00CD7C42">
              <w:rPr>
                <w:rStyle w:val="TablefootnoteChar"/>
                <w:rFonts w:ascii="Calibri" w:hAnsi="Calibri"/>
                <w:sz w:val="19"/>
                <w:szCs w:val="19"/>
                <w:lang w:eastAsia="en-AU"/>
              </w:rPr>
              <w:t xml:space="preserve">CKD, chronic kidney disease; </w:t>
            </w:r>
            <w:r w:rsidR="00BE2010" w:rsidRPr="0075152F">
              <w:rPr>
                <w:rStyle w:val="TablefootnoteChar"/>
                <w:rFonts w:ascii="Calibri" w:hAnsi="Calibri"/>
                <w:sz w:val="19"/>
                <w:szCs w:val="19"/>
                <w:lang w:eastAsia="en-AU"/>
              </w:rPr>
              <w:t xml:space="preserve">CMV, cytomegalovirus; </w:t>
            </w:r>
            <w:r>
              <w:rPr>
                <w:rStyle w:val="TablefootnoteChar"/>
                <w:rFonts w:ascii="Calibri" w:hAnsi="Calibri"/>
                <w:sz w:val="19"/>
                <w:szCs w:val="19"/>
                <w:lang w:eastAsia="en-AU"/>
              </w:rPr>
              <w:t xml:space="preserve">CPB, </w:t>
            </w:r>
            <w:r>
              <w:t>cardiopulmonary bypass</w:t>
            </w:r>
            <w:r>
              <w:rPr>
                <w:rStyle w:val="TablefootnoteChar"/>
                <w:rFonts w:ascii="Calibri" w:hAnsi="Calibri"/>
                <w:sz w:val="19"/>
                <w:szCs w:val="19"/>
                <w:lang w:eastAsia="en-AU"/>
              </w:rPr>
              <w:t xml:space="preserve">; </w:t>
            </w:r>
            <w:r w:rsidR="00BE2010" w:rsidRPr="0075152F">
              <w:rPr>
                <w:rStyle w:val="TablefootnoteChar"/>
                <w:rFonts w:ascii="Calibri" w:hAnsi="Calibri"/>
                <w:sz w:val="19"/>
                <w:szCs w:val="19"/>
                <w:lang w:eastAsia="en-AU"/>
              </w:rPr>
              <w:t xml:space="preserve">CRG, Clinical/Consumer Reference Group; </w:t>
            </w:r>
            <w:r w:rsidR="00CD7C42">
              <w:rPr>
                <w:rStyle w:val="TablefootnoteChar"/>
                <w:rFonts w:ascii="Calibri" w:hAnsi="Calibri"/>
                <w:sz w:val="19"/>
                <w:szCs w:val="19"/>
                <w:lang w:eastAsia="en-AU"/>
              </w:rPr>
              <w:t xml:space="preserve">EACA, </w:t>
            </w:r>
            <w:r w:rsidR="00CD7C42">
              <w:rPr>
                <w:lang w:val="en-US" w:eastAsia="en-US"/>
              </w:rPr>
              <w:t>epsilon amino-caproic acid</w:t>
            </w:r>
            <w:r w:rsidR="00CD7C42">
              <w:rPr>
                <w:rStyle w:val="TablefootnoteChar"/>
                <w:rFonts w:ascii="Calibri" w:hAnsi="Calibri"/>
                <w:sz w:val="19"/>
                <w:szCs w:val="19"/>
                <w:lang w:eastAsia="en-AU"/>
              </w:rPr>
              <w:t xml:space="preserve">; </w:t>
            </w:r>
            <w:r w:rsidR="00BE2010" w:rsidRPr="0075152F">
              <w:rPr>
                <w:rStyle w:val="TablefootnoteChar"/>
                <w:rFonts w:ascii="Calibri" w:hAnsi="Calibri"/>
                <w:sz w:val="19"/>
                <w:szCs w:val="19"/>
                <w:lang w:eastAsia="en-AU"/>
              </w:rPr>
              <w:t xml:space="preserve">EOP, expert opinion point; ESA, erythropoiesis stimulating agent; </w:t>
            </w:r>
            <w:r>
              <w:rPr>
                <w:rStyle w:val="TablefootnoteChar"/>
                <w:rFonts w:ascii="Calibri" w:hAnsi="Calibri"/>
                <w:sz w:val="19"/>
                <w:szCs w:val="19"/>
                <w:lang w:eastAsia="en-AU"/>
              </w:rPr>
              <w:t xml:space="preserve">FBS, fetal blood sampling; </w:t>
            </w:r>
            <w:r w:rsidR="00BE2010" w:rsidRPr="0075152F">
              <w:rPr>
                <w:rStyle w:val="TablefootnoteChar"/>
                <w:rFonts w:ascii="Calibri" w:hAnsi="Calibri"/>
                <w:sz w:val="19"/>
                <w:szCs w:val="19"/>
                <w:lang w:eastAsia="en-AU"/>
              </w:rPr>
              <w:t xml:space="preserve">FFP, fresh frozen plasma; </w:t>
            </w:r>
            <w:r>
              <w:rPr>
                <w:rStyle w:val="TablefootnoteChar"/>
                <w:rFonts w:ascii="Calibri" w:hAnsi="Calibri"/>
                <w:sz w:val="19"/>
                <w:szCs w:val="19"/>
                <w:lang w:eastAsia="en-AU"/>
              </w:rPr>
              <w:t xml:space="preserve">FNAIT, </w:t>
            </w:r>
            <w:r>
              <w:t>fetal and neonatal alloimmune thrombocytopaenia</w:t>
            </w:r>
            <w:r>
              <w:rPr>
                <w:rStyle w:val="TablefootnoteChar"/>
                <w:rFonts w:ascii="Calibri" w:hAnsi="Calibri"/>
                <w:sz w:val="19"/>
                <w:szCs w:val="19"/>
                <w:lang w:eastAsia="en-AU"/>
              </w:rPr>
              <w:t xml:space="preserve">; </w:t>
            </w:r>
            <w:r w:rsidR="00BE2010" w:rsidRPr="0075152F">
              <w:rPr>
                <w:rStyle w:val="TablefootnoteChar"/>
                <w:rFonts w:ascii="Calibri" w:hAnsi="Calibri"/>
                <w:sz w:val="19"/>
                <w:szCs w:val="19"/>
                <w:lang w:eastAsia="en-AU"/>
              </w:rPr>
              <w:t xml:space="preserve">Hb, haemoglobin; </w:t>
            </w:r>
            <w:r w:rsidR="00CD7C42">
              <w:rPr>
                <w:rStyle w:val="TablefootnoteChar"/>
                <w:rFonts w:ascii="Calibri" w:hAnsi="Calibri"/>
                <w:sz w:val="19"/>
                <w:szCs w:val="19"/>
                <w:lang w:eastAsia="en-AU"/>
              </w:rPr>
              <w:t xml:space="preserve">Hct, haematocrit; HDFN, </w:t>
            </w:r>
            <w:r w:rsidR="00CD7C42">
              <w:t>haemolytic disease of the fetus and newborn</w:t>
            </w:r>
            <w:r w:rsidR="00CD7C42">
              <w:rPr>
                <w:rStyle w:val="TablefootnoteChar"/>
                <w:rFonts w:ascii="Calibri" w:hAnsi="Calibri"/>
                <w:sz w:val="19"/>
                <w:szCs w:val="19"/>
                <w:lang w:eastAsia="en-AU"/>
              </w:rPr>
              <w:t xml:space="preserve">; HLA, human leucocyte antigen; HPA, human platelet antigen; </w:t>
            </w:r>
            <w:r w:rsidR="00FD519F" w:rsidRPr="00FD519F">
              <w:rPr>
                <w:rStyle w:val="TablefootnoteChar"/>
                <w:rFonts w:ascii="Calibri" w:hAnsi="Calibri"/>
                <w:sz w:val="19"/>
                <w:szCs w:val="19"/>
                <w:lang w:eastAsia="en-AU"/>
              </w:rPr>
              <w:t xml:space="preserve">ICH, intracranial haemorrhage; IDA, iron deficiency anaemia; INR, international normalised ratio; </w:t>
            </w:r>
            <w:r w:rsidR="006A116C">
              <w:rPr>
                <w:rStyle w:val="TablefootnoteChar"/>
                <w:rFonts w:ascii="Calibri" w:hAnsi="Calibri"/>
                <w:sz w:val="19"/>
                <w:szCs w:val="19"/>
                <w:lang w:eastAsia="en-AU"/>
              </w:rPr>
              <w:t xml:space="preserve">IT, information technology; </w:t>
            </w:r>
            <w:r w:rsidR="00CD7C42">
              <w:rPr>
                <w:rStyle w:val="TablefootnoteChar"/>
                <w:rFonts w:ascii="Calibri" w:hAnsi="Calibri"/>
                <w:sz w:val="19"/>
                <w:szCs w:val="19"/>
                <w:lang w:eastAsia="en-AU"/>
              </w:rPr>
              <w:t xml:space="preserve">IUT, </w:t>
            </w:r>
            <w:r w:rsidR="00CD7C42">
              <w:t>intrauterine transfusion</w:t>
            </w:r>
            <w:r w:rsidR="00CD7C42">
              <w:rPr>
                <w:rStyle w:val="TablefootnoteChar"/>
                <w:rFonts w:ascii="Calibri" w:hAnsi="Calibri"/>
                <w:sz w:val="19"/>
                <w:szCs w:val="19"/>
                <w:lang w:eastAsia="en-AU"/>
              </w:rPr>
              <w:t xml:space="preserve">; </w:t>
            </w:r>
            <w:r w:rsidR="00BE2010" w:rsidRPr="0075152F">
              <w:rPr>
                <w:rStyle w:val="TablefootnoteChar"/>
                <w:rFonts w:ascii="Calibri" w:hAnsi="Calibri"/>
                <w:sz w:val="19"/>
                <w:szCs w:val="19"/>
                <w:lang w:eastAsia="en-AU"/>
              </w:rPr>
              <w:t xml:space="preserve">IV, intravenous; </w:t>
            </w:r>
            <w:r w:rsidR="00FD519F" w:rsidRPr="00FD519F">
              <w:rPr>
                <w:rStyle w:val="TablefootnoteChar"/>
                <w:rFonts w:ascii="Calibri" w:hAnsi="Calibri"/>
                <w:sz w:val="19"/>
                <w:szCs w:val="19"/>
                <w:lang w:eastAsia="en-AU"/>
              </w:rPr>
              <w:t xml:space="preserve">IVH, intraventricular haemorrhage; </w:t>
            </w:r>
            <w:r w:rsidR="00274815">
              <w:rPr>
                <w:rStyle w:val="TablefootnoteChar"/>
                <w:rFonts w:ascii="Calibri" w:hAnsi="Calibri"/>
                <w:sz w:val="19"/>
                <w:szCs w:val="19"/>
                <w:lang w:eastAsia="en-AU"/>
              </w:rPr>
              <w:t>IVIg</w:t>
            </w:r>
            <w:r>
              <w:rPr>
                <w:rStyle w:val="TablefootnoteChar"/>
                <w:rFonts w:ascii="Calibri" w:hAnsi="Calibri"/>
                <w:sz w:val="19"/>
                <w:szCs w:val="19"/>
                <w:lang w:eastAsia="en-AU"/>
              </w:rPr>
              <w:t xml:space="preserve">, intravenous immunoglobulin; </w:t>
            </w:r>
            <w:r w:rsidR="00FD519F">
              <w:rPr>
                <w:rStyle w:val="TablefootnoteChar"/>
                <w:rFonts w:ascii="Calibri" w:hAnsi="Calibri"/>
                <w:sz w:val="19"/>
                <w:szCs w:val="19"/>
                <w:lang w:eastAsia="en-AU"/>
              </w:rPr>
              <w:t xml:space="preserve">K, Kell; </w:t>
            </w:r>
            <w:r w:rsidR="00A074FC">
              <w:rPr>
                <w:rStyle w:val="TablefootnoteChar"/>
                <w:rFonts w:ascii="Calibri" w:hAnsi="Calibri"/>
                <w:sz w:val="19"/>
                <w:szCs w:val="19"/>
                <w:lang w:eastAsia="en-AU"/>
              </w:rPr>
              <w:t xml:space="preserve">KDIGO, </w:t>
            </w:r>
            <w:r w:rsidR="00A074FC">
              <w:rPr>
                <w:szCs w:val="18"/>
              </w:rPr>
              <w:t>Kidney Disease Improving Global Outcomes</w:t>
            </w:r>
            <w:r w:rsidR="00A074FC">
              <w:rPr>
                <w:rStyle w:val="TablefootnoteChar"/>
                <w:rFonts w:ascii="Calibri" w:hAnsi="Calibri"/>
                <w:sz w:val="19"/>
                <w:szCs w:val="19"/>
                <w:lang w:eastAsia="en-AU"/>
              </w:rPr>
              <w:t xml:space="preserve">; </w:t>
            </w:r>
            <w:r w:rsidR="00FD519F">
              <w:rPr>
                <w:rStyle w:val="TablefootnoteChar"/>
                <w:rFonts w:ascii="Calibri" w:hAnsi="Calibri"/>
                <w:sz w:val="19"/>
                <w:szCs w:val="19"/>
                <w:lang w:eastAsia="en-AU"/>
              </w:rPr>
              <w:t xml:space="preserve">MCA, middle cerebral artery; </w:t>
            </w:r>
            <w:r w:rsidR="00CD7C42">
              <w:rPr>
                <w:rStyle w:val="TablefootnoteChar"/>
                <w:rFonts w:ascii="Calibri" w:hAnsi="Calibri"/>
                <w:sz w:val="19"/>
                <w:szCs w:val="19"/>
                <w:lang w:eastAsia="en-AU"/>
              </w:rPr>
              <w:t xml:space="preserve">MRI, </w:t>
            </w:r>
            <w:r w:rsidR="00CD7C42">
              <w:rPr>
                <w:lang w:val="en-GB" w:eastAsia="en-GB"/>
              </w:rPr>
              <w:t>magnetic resonance imaging</w:t>
            </w:r>
            <w:r w:rsidR="00CD7C42">
              <w:rPr>
                <w:rStyle w:val="TablefootnoteChar"/>
                <w:rFonts w:ascii="Calibri" w:hAnsi="Calibri"/>
                <w:sz w:val="19"/>
                <w:szCs w:val="19"/>
                <w:lang w:eastAsia="en-AU"/>
              </w:rPr>
              <w:t xml:space="preserve">; </w:t>
            </w:r>
            <w:r>
              <w:rPr>
                <w:rStyle w:val="TablefootnoteChar"/>
                <w:rFonts w:ascii="Calibri" w:hAnsi="Calibri"/>
                <w:sz w:val="19"/>
                <w:szCs w:val="19"/>
                <w:lang w:eastAsia="en-AU"/>
              </w:rPr>
              <w:t xml:space="preserve">NICE, </w:t>
            </w:r>
            <w:r>
              <w:rPr>
                <w:szCs w:val="18"/>
              </w:rPr>
              <w:t>National Institute for Health and Care Excellence</w:t>
            </w:r>
            <w:r w:rsidR="00FD519F">
              <w:rPr>
                <w:rStyle w:val="TablefootnoteChar"/>
                <w:rFonts w:ascii="Calibri" w:hAnsi="Calibri"/>
                <w:sz w:val="19"/>
                <w:szCs w:val="19"/>
                <w:lang w:eastAsia="en-AU"/>
              </w:rPr>
              <w:t xml:space="preserve">; </w:t>
            </w:r>
            <w:r w:rsidR="00FD519F" w:rsidRPr="00FD519F">
              <w:rPr>
                <w:rStyle w:val="TablefootnoteChar"/>
                <w:rFonts w:ascii="Calibri" w:hAnsi="Calibri"/>
                <w:sz w:val="19"/>
                <w:szCs w:val="19"/>
                <w:lang w:eastAsia="en-AU"/>
              </w:rPr>
              <w:t>PCC, prothrombin c</w:t>
            </w:r>
            <w:r w:rsidR="00FD519F">
              <w:rPr>
                <w:rStyle w:val="TablefootnoteChar"/>
                <w:rFonts w:ascii="Calibri" w:hAnsi="Calibri"/>
                <w:sz w:val="19"/>
                <w:szCs w:val="19"/>
                <w:lang w:eastAsia="en-AU"/>
              </w:rPr>
              <w:t>omplex concentrate; POC, point-of-</w:t>
            </w:r>
            <w:r w:rsidR="00FD519F" w:rsidRPr="00FD519F">
              <w:rPr>
                <w:rStyle w:val="TablefootnoteChar"/>
                <w:rFonts w:ascii="Calibri" w:hAnsi="Calibri"/>
                <w:sz w:val="19"/>
                <w:szCs w:val="19"/>
                <w:lang w:eastAsia="en-AU"/>
              </w:rPr>
              <w:t xml:space="preserve">care; </w:t>
            </w:r>
            <w:r w:rsidR="00BE2010" w:rsidRPr="0075152F">
              <w:rPr>
                <w:rStyle w:val="TablefootnoteChar"/>
                <w:rFonts w:ascii="Calibri" w:hAnsi="Calibri"/>
                <w:sz w:val="19"/>
                <w:szCs w:val="19"/>
                <w:lang w:eastAsia="en-AU"/>
              </w:rPr>
              <w:t xml:space="preserve">PP, practice point; </w:t>
            </w:r>
            <w:r w:rsidR="001B6BA6" w:rsidRPr="001B6BA6">
              <w:rPr>
                <w:rStyle w:val="TablefootnoteChar"/>
                <w:rFonts w:ascii="Calibri" w:hAnsi="Calibri"/>
                <w:sz w:val="19"/>
                <w:szCs w:val="19"/>
                <w:lang w:eastAsia="en-AU"/>
              </w:rPr>
              <w:t>PSV, peak systolic velocity; R, recommendation; RBC, red blood cell; RDI, recommended daily intake; rFVIIa, recombinant activated factor VII; RNI, recommended nutrient intake; SCD, sickle cell disease; SCID, severe combined immunodeficiency; TAGVHD, transfusion-associated graft-versus-host disease; TCD, transcranial Doppler; THA, topical haemostatic agent; TXA, tranexamic acid; VKA, vitamin K antagonist</w:t>
            </w:r>
          </w:p>
        </w:tc>
      </w:tr>
    </w:tbl>
    <w:p w14:paraId="6DFC7C45" w14:textId="77777777" w:rsidR="006A6E85" w:rsidRDefault="006A6E85" w:rsidP="00FF69F1"/>
    <w:p w14:paraId="0A3852CA" w14:textId="77777777" w:rsidR="002539C8" w:rsidRDefault="002539C8" w:rsidP="00B43B28">
      <w:pPr>
        <w:sectPr w:rsidR="002539C8" w:rsidSect="00725009">
          <w:footnotePr>
            <w:numFmt w:val="lowerLetter"/>
          </w:footnotePr>
          <w:pgSz w:w="11906" w:h="16838" w:code="9"/>
          <w:pgMar w:top="1440" w:right="1440" w:bottom="1440" w:left="1440" w:header="578" w:footer="578" w:gutter="0"/>
          <w:pgNumType w:start="1"/>
          <w:cols w:space="720"/>
          <w:titlePg/>
          <w:docGrid w:linePitch="360"/>
        </w:sectPr>
      </w:pPr>
      <w:bookmarkStart w:id="13" w:name="_Toc265585301"/>
    </w:p>
    <w:p w14:paraId="2DCCBC44" w14:textId="77777777" w:rsidR="00071D9D" w:rsidRDefault="00071D9D" w:rsidP="001144A9">
      <w:pPr>
        <w:pStyle w:val="Heading1"/>
      </w:pPr>
      <w:bookmarkStart w:id="14" w:name="_Toc427851294"/>
      <w:r>
        <w:lastRenderedPageBreak/>
        <w:t>1</w:t>
      </w:r>
      <w:r>
        <w:tab/>
        <w:t>Introduction</w:t>
      </w:r>
      <w:bookmarkEnd w:id="14"/>
    </w:p>
    <w:bookmarkEnd w:id="13"/>
    <w:p w14:paraId="225F4EFA" w14:textId="77777777" w:rsidR="00440145" w:rsidRPr="00440145" w:rsidRDefault="00440145" w:rsidP="00FF2787">
      <w:pPr>
        <w:pStyle w:val="Normalbeforebullet"/>
      </w:pPr>
      <w:r w:rsidRPr="00440145">
        <w:t xml:space="preserve">Patient blood management </w:t>
      </w:r>
      <w:r w:rsidR="00AA5985">
        <w:t xml:space="preserve">(PBM) </w:t>
      </w:r>
      <w:r w:rsidRPr="00440145">
        <w:t>aims to improve clinical outcome</w:t>
      </w:r>
      <w:r w:rsidR="00410C24">
        <w:t>s</w:t>
      </w:r>
      <w:r w:rsidRPr="00440145">
        <w:t xml:space="preserve"> by avoiding unnecessary exposure to blood components. I</w:t>
      </w:r>
      <w:r>
        <w:t>t includes the three pillars of</w:t>
      </w:r>
      <w:r w:rsidRPr="00440145">
        <w:t>:</w:t>
      </w:r>
    </w:p>
    <w:p w14:paraId="3D65913B" w14:textId="77777777" w:rsidR="00440145" w:rsidRPr="00440145" w:rsidRDefault="00440145" w:rsidP="00440145">
      <w:pPr>
        <w:pStyle w:val="Bullet6"/>
      </w:pPr>
      <w:r w:rsidRPr="00440145">
        <w:t>optimisation of blood volume and red cell mass</w:t>
      </w:r>
    </w:p>
    <w:p w14:paraId="7C81580D" w14:textId="77777777" w:rsidR="00440145" w:rsidRPr="00440145" w:rsidRDefault="00440145" w:rsidP="00440145">
      <w:pPr>
        <w:pStyle w:val="Bullet6"/>
      </w:pPr>
      <w:r w:rsidRPr="00440145">
        <w:t>minimisation of blood loss</w:t>
      </w:r>
    </w:p>
    <w:p w14:paraId="091BDFD7" w14:textId="77777777" w:rsidR="00440145" w:rsidRPr="00440145" w:rsidRDefault="00440145" w:rsidP="00440145">
      <w:pPr>
        <w:pStyle w:val="Bullet12"/>
      </w:pPr>
      <w:r w:rsidRPr="00440145">
        <w:t>optimisation of the patient's tolerance of anaemia.</w:t>
      </w:r>
    </w:p>
    <w:p w14:paraId="0D66EAFD" w14:textId="77777777" w:rsidR="00A779E8" w:rsidRDefault="00AA5985" w:rsidP="005A52F9">
      <w:r>
        <w:t>PBM</w:t>
      </w:r>
      <w:r w:rsidR="003B3B8C">
        <w:t xml:space="preserve"> improves patient </w:t>
      </w:r>
      <w:r w:rsidR="003B3B8C" w:rsidRPr="003B3B8C">
        <w:t xml:space="preserve">outcomes by </w:t>
      </w:r>
      <w:r w:rsidR="003B3B8C" w:rsidRPr="003B3B8C">
        <w:rPr>
          <w:bCs/>
        </w:rPr>
        <w:t>ensuring that the focus of the patient’s medical and surgical management is on improving and conserving</w:t>
      </w:r>
      <w:r w:rsidR="003B3B8C" w:rsidRPr="003B3B8C">
        <w:t xml:space="preserve"> the patient’s own blood. As a consequence of </w:t>
      </w:r>
      <w:r w:rsidR="003B3B8C" w:rsidRPr="003B3B8C">
        <w:rPr>
          <w:bCs/>
        </w:rPr>
        <w:t xml:space="preserve">the </w:t>
      </w:r>
      <w:r w:rsidR="003B3B8C" w:rsidRPr="003B3B8C">
        <w:t>better management, patients usually require fewer transfusions of donated blood components, thus avoiding transfusion-associated complications.</w:t>
      </w:r>
      <w:r w:rsidR="003B3B8C" w:rsidRPr="003B3B8C" w:rsidDel="00447F12">
        <w:t xml:space="preserve"> </w:t>
      </w:r>
    </w:p>
    <w:p w14:paraId="4051A202" w14:textId="723CB22E" w:rsidR="006A6E85" w:rsidRDefault="00C01044" w:rsidP="005A52F9">
      <w:r>
        <w:t>I</w:t>
      </w:r>
      <w:r w:rsidR="00EF1BB4">
        <w:t xml:space="preserve">f blood </w:t>
      </w:r>
      <w:r w:rsidR="00D67047">
        <w:t>component</w:t>
      </w:r>
      <w:r w:rsidR="00EF1BB4">
        <w:t>s are likely to be indicated, transfusion should not be a default decision</w:t>
      </w:r>
      <w:r>
        <w:t xml:space="preserve">. </w:t>
      </w:r>
      <w:r w:rsidR="005A52F9">
        <w:t>Instead, the decision on whether to transfuse should be carefully considered, taking into account the full range of available therapies, and balancing the evidence for efficacy and improved clinical outcome against the potential risks (Appendix </w:t>
      </w:r>
      <w:r w:rsidR="00707009">
        <w:t>C</w:t>
      </w:r>
      <w:r w:rsidR="005A52F9">
        <w:t xml:space="preserve">). In the process of obtaining informed consent, </w:t>
      </w:r>
      <w:r w:rsidR="006F3C86">
        <w:t xml:space="preserve">wherever possible </w:t>
      </w:r>
      <w:r w:rsidR="005A52F9">
        <w:t>a</w:t>
      </w:r>
      <w:r w:rsidR="005A52F9" w:rsidRPr="00FA25FD">
        <w:t xml:space="preserve"> clinician should allow </w:t>
      </w:r>
      <w:r w:rsidR="005A52F9">
        <w:t>the</w:t>
      </w:r>
      <w:r w:rsidR="005A52F9" w:rsidRPr="00FA25FD">
        <w:t xml:space="preserve"> patient</w:t>
      </w:r>
      <w:r w:rsidR="006F3C86">
        <w:t xml:space="preserve"> or parent</w:t>
      </w:r>
      <w:r w:rsidR="005A52F9" w:rsidRPr="00FA25FD">
        <w:t xml:space="preserve"> </w:t>
      </w:r>
      <w:r w:rsidR="005A52F9">
        <w:t>sufficient</w:t>
      </w:r>
      <w:r w:rsidR="005A52F9" w:rsidRPr="00FA25FD">
        <w:t xml:space="preserve"> time to ask questions</w:t>
      </w:r>
      <w:r w:rsidR="005A52F9">
        <w:t>,</w:t>
      </w:r>
      <w:r w:rsidR="005A52F9" w:rsidRPr="00FA25FD">
        <w:t xml:space="preserve"> and </w:t>
      </w:r>
      <w:r w:rsidR="005A52F9">
        <w:t xml:space="preserve">should </w:t>
      </w:r>
      <w:r w:rsidR="005A52F9" w:rsidRPr="00FA25FD">
        <w:t>answer those questions.</w:t>
      </w:r>
    </w:p>
    <w:p w14:paraId="16C1061D" w14:textId="33C88139" w:rsidR="006A6E85" w:rsidRDefault="00071D9D" w:rsidP="0024784E">
      <w:pPr>
        <w:rPr>
          <w:lang w:eastAsia="zh-TW"/>
        </w:rPr>
      </w:pPr>
      <w:r>
        <w:t>This document</w:t>
      </w:r>
      <w:r w:rsidR="00410C24">
        <w:t xml:space="preserve">, </w:t>
      </w:r>
      <w:r w:rsidRPr="004000F2">
        <w:rPr>
          <w:i/>
        </w:rPr>
        <w:t xml:space="preserve">Patient </w:t>
      </w:r>
      <w:r w:rsidR="00B7171F" w:rsidRPr="004000F2">
        <w:rPr>
          <w:i/>
        </w:rPr>
        <w:t>Blood Management Guidelines</w:t>
      </w:r>
      <w:r w:rsidRPr="004000F2">
        <w:rPr>
          <w:i/>
        </w:rPr>
        <w:t xml:space="preserve">: </w:t>
      </w:r>
      <w:r w:rsidR="009205D8" w:rsidRPr="009205D8">
        <w:rPr>
          <w:i/>
        </w:rPr>
        <w:t xml:space="preserve">Module </w:t>
      </w:r>
      <w:r w:rsidR="00334654">
        <w:rPr>
          <w:i/>
        </w:rPr>
        <w:t>6</w:t>
      </w:r>
      <w:r w:rsidR="009205D8" w:rsidRPr="009205D8">
        <w:rPr>
          <w:i/>
        </w:rPr>
        <w:t xml:space="preserve"> – </w:t>
      </w:r>
      <w:r w:rsidR="00383563">
        <w:rPr>
          <w:i/>
        </w:rPr>
        <w:t xml:space="preserve">Neonatal and </w:t>
      </w:r>
      <w:r w:rsidR="00334654">
        <w:rPr>
          <w:i/>
        </w:rPr>
        <w:t>Paediatrics</w:t>
      </w:r>
      <w:r w:rsidR="009F5BE9">
        <w:t xml:space="preserve">, is the </w:t>
      </w:r>
      <w:r w:rsidR="00334654">
        <w:t>six</w:t>
      </w:r>
      <w:r w:rsidR="009205D8">
        <w:t>th</w:t>
      </w:r>
      <w:r w:rsidRPr="00151726">
        <w:t xml:space="preserve"> </w:t>
      </w:r>
      <w:r>
        <w:t>in</w:t>
      </w:r>
      <w:r w:rsidRPr="00151726">
        <w:t xml:space="preserve"> a series of six </w:t>
      </w:r>
      <w:r>
        <w:t xml:space="preserve">modules that focus on evidence-based </w:t>
      </w:r>
      <w:r w:rsidR="003B3B8C">
        <w:t>PBM</w:t>
      </w:r>
      <w:r>
        <w:t xml:space="preserve">. The other </w:t>
      </w:r>
      <w:r w:rsidR="00715634">
        <w:t xml:space="preserve">five </w:t>
      </w:r>
      <w:r>
        <w:t xml:space="preserve">modules are </w:t>
      </w:r>
      <w:r w:rsidR="007F2CD6">
        <w:t xml:space="preserve">listed in </w:t>
      </w:r>
      <w:r w:rsidR="000E4F57">
        <w:t>Table </w:t>
      </w:r>
      <w:r w:rsidR="007F2CD6">
        <w:t>1.1, below</w:t>
      </w:r>
      <w:r>
        <w:t xml:space="preserve">. </w:t>
      </w:r>
      <w:r w:rsidR="00AA5FAC">
        <w:t>Together, Module 2 (</w:t>
      </w:r>
      <w:r w:rsidR="00AA5FAC" w:rsidRPr="00707009">
        <w:rPr>
          <w:i/>
        </w:rPr>
        <w:t>Perioperative</w:t>
      </w:r>
      <w:r w:rsidR="008E1178">
        <w:t>)</w:t>
      </w:r>
      <w:hyperlink w:anchor="_ENREF_2" w:tooltip="National Blood Authority (NBA), 2012 #198" w:history="1">
        <w:r w:rsidR="00E62798">
          <w:rPr>
            <w:i/>
          </w:rPr>
          <w:fldChar w:fldCharType="begin"/>
        </w:r>
        <w:r w:rsidR="00E62798">
          <w:rPr>
            <w:i/>
          </w:rPr>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rPr>
            <w:i/>
          </w:rPr>
          <w:fldChar w:fldCharType="separate"/>
        </w:r>
        <w:r w:rsidR="00E62798" w:rsidRPr="00E62798">
          <w:rPr>
            <w:i/>
            <w:noProof/>
            <w:vertAlign w:val="superscript"/>
          </w:rPr>
          <w:t>2</w:t>
        </w:r>
        <w:r w:rsidR="00E62798">
          <w:rPr>
            <w:i/>
          </w:rPr>
          <w:fldChar w:fldCharType="end"/>
        </w:r>
      </w:hyperlink>
      <w:r w:rsidR="00AA5FAC" w:rsidRPr="00707009">
        <w:rPr>
          <w:i/>
        </w:rPr>
        <w:t xml:space="preserve"> </w:t>
      </w:r>
      <w:r w:rsidR="00AA5FAC">
        <w:t>and Module 3 (</w:t>
      </w:r>
      <w:r w:rsidR="00AA5FAC" w:rsidRPr="00707009">
        <w:rPr>
          <w:i/>
        </w:rPr>
        <w:t>Medical</w:t>
      </w:r>
      <w:r w:rsidR="008E1178">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AA5FAC" w:rsidRPr="00707009">
        <w:rPr>
          <w:i/>
        </w:rPr>
        <w:t xml:space="preserve"> </w:t>
      </w:r>
      <w:r w:rsidR="00AA5FAC">
        <w:t xml:space="preserve">cover all the patient groups addressed by the 2001 document </w:t>
      </w:r>
      <w:r w:rsidR="00AA5FAC" w:rsidRPr="004000F2">
        <w:rPr>
          <w:i/>
        </w:rPr>
        <w:t>Clinical Practice Guidelines on the Use of Blood Components</w:t>
      </w:r>
      <w:hyperlink w:anchor="_ENREF_6" w:tooltip="National Health and Medical Research Council (NHMRC), 2001 #997" w:history="1">
        <w:r w:rsidR="00E62798">
          <w:fldChar w:fldCharType="begin"/>
        </w:r>
        <w:r w:rsidR="00E62798">
          <w:instrText xml:space="preserve"> ADDIN EN.CITE &lt;EndNote&gt;&lt;Cite&gt;&lt;Author&gt;National Health and Medical Research Council (NHMRC)&lt;/Author&gt;&lt;Year&gt;2001&lt;/Year&gt;&lt;RecNum&gt;997&lt;/RecNum&gt;&lt;DisplayText&gt;&lt;style face="superscript"&gt;6&lt;/style&gt;&lt;/DisplayText&gt;&lt;record&gt;&lt;rec-number&gt;997&lt;/rec-number&gt;&lt;foreign-keys&gt;&lt;key app="EN" db-id="9edve2wadsavt5ewavaxtda4f2tavzvts9ee" timestamp="1437457804"&gt;997&lt;/key&gt;&lt;/foreign-keys&gt;&lt;ref-type name="Report"&gt;27&lt;/ref-type&gt;&lt;contributors&gt;&lt;authors&gt;&lt;author&gt;National Health and Medical Research Council (NHMRC),&lt;/author&gt;&lt;author&gt;Australasian Society of Blood Transfusion (ASBT),&lt;/author&gt;&lt;/authors&gt;&lt;/contributors&gt;&lt;titles&gt;&lt;title&gt;Clinical practice guidelines on the use of blood components&lt;/title&gt;&lt;/titles&gt;&lt;dates&gt;&lt;year&gt;2001&lt;/year&gt;&lt;/dates&gt;&lt;pub-location&gt;Canberra, Australia&lt;/pub-location&gt;&lt;publisher&gt;NHMRC&lt;/publisher&gt;&lt;urls&gt;&lt;related-urls&gt;&lt;url&gt;http://www.nhmrc.gov.au/_files_nhmrc/file/publications/synopses/cp78.pdf&lt;/url&gt;&lt;/related-urls&gt;&lt;/urls&gt;&lt;/record&gt;&lt;/Cite&gt;&lt;/EndNote&gt;</w:instrText>
        </w:r>
        <w:r w:rsidR="00E62798">
          <w:fldChar w:fldCharType="separate"/>
        </w:r>
        <w:r w:rsidR="00E62798" w:rsidRPr="00E62798">
          <w:rPr>
            <w:noProof/>
            <w:vertAlign w:val="superscript"/>
          </w:rPr>
          <w:t>6</w:t>
        </w:r>
        <w:r w:rsidR="00E62798">
          <w:fldChar w:fldCharType="end"/>
        </w:r>
      </w:hyperlink>
      <w:r w:rsidR="00AA5FAC" w:rsidRPr="002571CD">
        <w:t xml:space="preserve"> </w:t>
      </w:r>
      <w:r w:rsidR="00AA5FAC">
        <w:t xml:space="preserve">(National Health and Medical Research Council/Australasian Society of Blood Transfusion, </w:t>
      </w:r>
      <w:r w:rsidR="00AA5FAC" w:rsidRPr="00151726">
        <w:t>NHMRC</w:t>
      </w:r>
      <w:r w:rsidR="00AA5FAC">
        <w:t>/ASBT).</w:t>
      </w:r>
      <w:hyperlink w:anchor="_ENREF_1" w:tooltip="National Health and Medical Research Council (NHMRC), 2001 #4" w:history="1"/>
    </w:p>
    <w:p w14:paraId="061442C8" w14:textId="77777777" w:rsidR="006A6E85" w:rsidRDefault="003D6781" w:rsidP="003D6781">
      <w:pPr>
        <w:pStyle w:val="Heading2"/>
        <w:numPr>
          <w:ilvl w:val="1"/>
          <w:numId w:val="12"/>
        </w:numPr>
      </w:pPr>
      <w:bookmarkStart w:id="15" w:name="_Toc427851295"/>
      <w:r>
        <w:t>Development of the guidelines</w:t>
      </w:r>
      <w:bookmarkEnd w:id="15"/>
    </w:p>
    <w:p w14:paraId="5252A7A1" w14:textId="77777777" w:rsidR="003D6781" w:rsidRDefault="003D6781" w:rsidP="00882A1D">
      <w:pPr>
        <w:pStyle w:val="Heading3"/>
      </w:pPr>
      <w:bookmarkStart w:id="16" w:name="_Toc427851296"/>
      <w:r>
        <w:rPr>
          <w:lang w:val="en-US"/>
        </w:rPr>
        <w:t>1.1.1</w:t>
      </w:r>
      <w:r>
        <w:rPr>
          <w:lang w:val="en-US"/>
        </w:rPr>
        <w:tab/>
      </w:r>
      <w:r>
        <w:t>Clinical need for these guidelines</w:t>
      </w:r>
      <w:bookmarkEnd w:id="16"/>
    </w:p>
    <w:p w14:paraId="47F5B570" w14:textId="7B13AA60" w:rsidR="00C045C6" w:rsidRDefault="00C045C6" w:rsidP="00FF2787">
      <w:pPr>
        <w:pStyle w:val="Normalbeforebullet"/>
      </w:pPr>
      <w:r>
        <w:t>Revision of the 2001 guidelines</w:t>
      </w:r>
      <w:hyperlink w:anchor="_ENREF_6" w:tooltip="National Health and Medical Research Council (NHMRC), 2001 #997" w:history="1">
        <w:r w:rsidR="00E62798">
          <w:fldChar w:fldCharType="begin"/>
        </w:r>
        <w:r w:rsidR="00E62798">
          <w:instrText xml:space="preserve"> ADDIN EN.CITE &lt;EndNote&gt;&lt;Cite&gt;&lt;Author&gt;National Health and Medical Research Council (NHMRC)&lt;/Author&gt;&lt;Year&gt;2001&lt;/Year&gt;&lt;RecNum&gt;997&lt;/RecNum&gt;&lt;DisplayText&gt;&lt;style face="superscript"&gt;6&lt;/style&gt;&lt;/DisplayText&gt;&lt;record&gt;&lt;rec-number&gt;997&lt;/rec-number&gt;&lt;foreign-keys&gt;&lt;key app="EN" db-id="9edve2wadsavt5ewavaxtda4f2tavzvts9ee" timestamp="1437457804"&gt;997&lt;/key&gt;&lt;/foreign-keys&gt;&lt;ref-type name="Report"&gt;27&lt;/ref-type&gt;&lt;contributors&gt;&lt;authors&gt;&lt;author&gt;National Health and Medical Research Council (NHMRC),&lt;/author&gt;&lt;author&gt;Australasian Society of Blood Transfusion (ASBT),&lt;/author&gt;&lt;/authors&gt;&lt;/contributors&gt;&lt;titles&gt;&lt;title&gt;Clinical practice guidelines on the use of blood components&lt;/title&gt;&lt;/titles&gt;&lt;dates&gt;&lt;year&gt;2001&lt;/year&gt;&lt;/dates&gt;&lt;pub-location&gt;Canberra, Australia&lt;/pub-location&gt;&lt;publisher&gt;NHMRC&lt;/publisher&gt;&lt;urls&gt;&lt;related-urls&gt;&lt;url&gt;http://www.nhmrc.gov.au/_files_nhmrc/file/publications/synopses/cp78.pdf&lt;/url&gt;&lt;/related-urls&gt;&lt;/urls&gt;&lt;/record&gt;&lt;/Cite&gt;&lt;/EndNote&gt;</w:instrText>
        </w:r>
        <w:r w:rsidR="00E62798">
          <w:fldChar w:fldCharType="separate"/>
        </w:r>
        <w:r w:rsidR="00E62798" w:rsidRPr="00E62798">
          <w:rPr>
            <w:noProof/>
            <w:vertAlign w:val="superscript"/>
          </w:rPr>
          <w:t>6</w:t>
        </w:r>
        <w:r w:rsidR="00E62798">
          <w:fldChar w:fldCharType="end"/>
        </w:r>
      </w:hyperlink>
      <w:r>
        <w:t xml:space="preserve"> was needed because of:</w:t>
      </w:r>
    </w:p>
    <w:p w14:paraId="383E5D62" w14:textId="77777777" w:rsidR="00200517" w:rsidRDefault="00200517" w:rsidP="000F3E9C">
      <w:pPr>
        <w:pStyle w:val="Bullet6"/>
      </w:pPr>
      <w:r>
        <w:t>increasing evidence of transfusion</w:t>
      </w:r>
      <w:r w:rsidR="000F3E9C">
        <w:t>-</w:t>
      </w:r>
      <w:r>
        <w:t>related adverse outcomes, leading to the emergence of</w:t>
      </w:r>
      <w:r w:rsidRPr="00F374B8">
        <w:t xml:space="preserve"> new practices, including restrictive transfusion strategies </w:t>
      </w:r>
      <w:r w:rsidR="001A44AE" w:rsidRPr="00F374B8">
        <w:t xml:space="preserve">and </w:t>
      </w:r>
      <w:r w:rsidR="001A44AE">
        <w:t xml:space="preserve">the increased use of alternatives to transfusion in the </w:t>
      </w:r>
      <w:r w:rsidR="001A44AE" w:rsidRPr="00F374B8">
        <w:t>management of anaemia</w:t>
      </w:r>
    </w:p>
    <w:p w14:paraId="4B914E52" w14:textId="77777777" w:rsidR="006A6E85" w:rsidRDefault="00200517" w:rsidP="000F3E9C">
      <w:pPr>
        <w:pStyle w:val="Bullet6"/>
      </w:pPr>
      <w:r>
        <w:t xml:space="preserve">variable </w:t>
      </w:r>
      <w:r w:rsidR="000F3E9C">
        <w:t>(</w:t>
      </w:r>
      <w:r>
        <w:t>and frequently poor</w:t>
      </w:r>
      <w:r w:rsidR="000F3E9C">
        <w:t>)</w:t>
      </w:r>
      <w:r>
        <w:t xml:space="preserve"> </w:t>
      </w:r>
      <w:r w:rsidRPr="00B463CF">
        <w:t xml:space="preserve">compliance with </w:t>
      </w:r>
      <w:r>
        <w:t xml:space="preserve">the </w:t>
      </w:r>
      <w:r w:rsidRPr="00B463CF">
        <w:t>recommendations</w:t>
      </w:r>
      <w:r>
        <w:t xml:space="preserve"> of the 2001 guidelines</w:t>
      </w:r>
      <w:r w:rsidR="00982EEE">
        <w:t>,</w:t>
      </w:r>
      <w:r>
        <w:t xml:space="preserve"> indicated by a </w:t>
      </w:r>
      <w:r w:rsidRPr="00B463CF">
        <w:t xml:space="preserve">high degree of variation in </w:t>
      </w:r>
      <w:r>
        <w:t>transfusion practices</w:t>
      </w:r>
    </w:p>
    <w:p w14:paraId="207671D6" w14:textId="77777777" w:rsidR="00200517" w:rsidRPr="00C045C6" w:rsidRDefault="00200517" w:rsidP="004D6EA2">
      <w:pPr>
        <w:pStyle w:val="Bullet12"/>
        <w:ind w:left="1077" w:hanging="357"/>
      </w:pPr>
      <w:r>
        <w:t xml:space="preserve">failure of the 2001 </w:t>
      </w:r>
      <w:r w:rsidRPr="002E529D">
        <w:t>guidelines</w:t>
      </w:r>
      <w:r>
        <w:t xml:space="preserve"> to</w:t>
      </w:r>
      <w:r w:rsidRPr="002E529D">
        <w:t xml:space="preserve"> address </w:t>
      </w:r>
      <w:r>
        <w:t xml:space="preserve">a range of </w:t>
      </w:r>
      <w:r w:rsidR="008A6972">
        <w:t>clinical settings</w:t>
      </w:r>
      <w:r w:rsidR="008A6972" w:rsidRPr="00091AE5">
        <w:t xml:space="preserve"> </w:t>
      </w:r>
      <w:r w:rsidR="008A6972">
        <w:t xml:space="preserve">where blood management is commonly </w:t>
      </w:r>
      <w:r w:rsidR="008A6972" w:rsidRPr="002E529D">
        <w:t>requir</w:t>
      </w:r>
      <w:r w:rsidR="008A6972">
        <w:t xml:space="preserve">ed, including </w:t>
      </w:r>
      <w:r w:rsidR="00262584" w:rsidRPr="002E529D">
        <w:t>critical bleeding</w:t>
      </w:r>
      <w:r w:rsidR="00262584">
        <w:t xml:space="preserve"> and massive transfusion,</w:t>
      </w:r>
      <w:r w:rsidR="00262584" w:rsidRPr="002E529D">
        <w:t xml:space="preserve"> </w:t>
      </w:r>
      <w:r w:rsidR="008A6972" w:rsidRPr="002E529D">
        <w:t xml:space="preserve">chronic </w:t>
      </w:r>
      <w:r w:rsidR="008A6972">
        <w:t xml:space="preserve">medical </w:t>
      </w:r>
      <w:r w:rsidR="008A6972" w:rsidRPr="002E529D">
        <w:t>conditions</w:t>
      </w:r>
      <w:r w:rsidR="008A6972">
        <w:t xml:space="preserve">, </w:t>
      </w:r>
      <w:r w:rsidR="008A6972" w:rsidRPr="002E529D">
        <w:t>obstetrics</w:t>
      </w:r>
      <w:r w:rsidR="00262584">
        <w:t xml:space="preserve"> and</w:t>
      </w:r>
      <w:r w:rsidR="008A6972" w:rsidRPr="002E529D">
        <w:t xml:space="preserve"> paediatrics</w:t>
      </w:r>
      <w:r w:rsidR="00982EEE">
        <w:t>.</w:t>
      </w:r>
    </w:p>
    <w:p w14:paraId="7AF9F49B" w14:textId="77777777" w:rsidR="006A6E85" w:rsidRDefault="00C045C6" w:rsidP="00AD0B2E">
      <w:bookmarkStart w:id="17" w:name="_Toc256019934"/>
      <w:bookmarkStart w:id="18" w:name="_Toc256066466"/>
      <w:bookmarkStart w:id="19" w:name="_Toc256069083"/>
      <w:bookmarkStart w:id="20" w:name="_Toc256069140"/>
      <w:bookmarkStart w:id="21" w:name="_Toc256019936"/>
      <w:bookmarkStart w:id="22" w:name="_Toc256066468"/>
      <w:bookmarkStart w:id="23" w:name="_Toc256069085"/>
      <w:bookmarkStart w:id="24" w:name="_Toc256069142"/>
      <w:bookmarkEnd w:id="17"/>
      <w:bookmarkEnd w:id="18"/>
      <w:bookmarkEnd w:id="19"/>
      <w:bookmarkEnd w:id="20"/>
      <w:bookmarkEnd w:id="21"/>
      <w:bookmarkEnd w:id="22"/>
      <w:bookmarkEnd w:id="23"/>
      <w:bookmarkEnd w:id="24"/>
      <w:r w:rsidRPr="00270490">
        <w:t xml:space="preserve">In </w:t>
      </w:r>
      <w:r w:rsidR="00EC207A">
        <w:t>response</w:t>
      </w:r>
      <w:r w:rsidR="00180960" w:rsidRPr="00270490">
        <w:t xml:space="preserve"> </w:t>
      </w:r>
      <w:r w:rsidRPr="00270490">
        <w:t xml:space="preserve">to the situation outlined above, the </w:t>
      </w:r>
      <w:r w:rsidR="00423E62">
        <w:t>NHMRC</w:t>
      </w:r>
      <w:r w:rsidRPr="00270490">
        <w:t>, the Australia</w:t>
      </w:r>
      <w:r w:rsidR="00701AF3">
        <w:t>n</w:t>
      </w:r>
      <w:r w:rsidRPr="00270490">
        <w:t xml:space="preserve"> &amp; New Zealand Society of Blood Transfusion (ANZSBT) and the National Blood Authority (NBA)</w:t>
      </w:r>
      <w:r w:rsidR="004D6E23">
        <w:rPr>
          <w:rStyle w:val="FootnoteReference"/>
        </w:rPr>
        <w:footnoteReference w:id="1"/>
      </w:r>
      <w:r w:rsidRPr="00270490">
        <w:t xml:space="preserve"> agreed to develop </w:t>
      </w:r>
      <w:r w:rsidR="00423E62">
        <w:t xml:space="preserve">a </w:t>
      </w:r>
      <w:r w:rsidRPr="00270490">
        <w:t xml:space="preserve">series of six </w:t>
      </w:r>
      <w:r w:rsidR="004D6E23">
        <w:t>patient-focused,</w:t>
      </w:r>
      <w:r w:rsidR="004D6E23" w:rsidRPr="00270490">
        <w:t xml:space="preserve"> evidence</w:t>
      </w:r>
      <w:r w:rsidR="004D6E23">
        <w:t>-</w:t>
      </w:r>
      <w:r w:rsidR="004D6E23" w:rsidRPr="00270490">
        <w:t xml:space="preserve">based </w:t>
      </w:r>
      <w:r w:rsidR="004D6E23">
        <w:t>modules</w:t>
      </w:r>
      <w:r w:rsidR="004D6E23" w:rsidRPr="00270490">
        <w:t xml:space="preserve"> </w:t>
      </w:r>
      <w:r w:rsidR="004D6E23">
        <w:t xml:space="preserve">that </w:t>
      </w:r>
      <w:r w:rsidR="007F2CD6">
        <w:t xml:space="preserve">together </w:t>
      </w:r>
      <w:r w:rsidR="004D6E23">
        <w:t xml:space="preserve">will comprise new </w:t>
      </w:r>
      <w:r w:rsidR="003B3B8C">
        <w:t>PBM</w:t>
      </w:r>
      <w:r w:rsidR="004D6E23" w:rsidRPr="00270490">
        <w:t xml:space="preserve"> </w:t>
      </w:r>
      <w:r w:rsidR="004D6E23">
        <w:t>guideline</w:t>
      </w:r>
      <w:r w:rsidR="007F2CD6">
        <w:t>s</w:t>
      </w:r>
      <w:r w:rsidR="004D6E23">
        <w:t>.</w:t>
      </w:r>
    </w:p>
    <w:p w14:paraId="6229E4A7" w14:textId="77777777" w:rsidR="00C045C6" w:rsidRDefault="00C045C6" w:rsidP="00C045C6">
      <w:r>
        <w:lastRenderedPageBreak/>
        <w:t xml:space="preserve">The six </w:t>
      </w:r>
      <w:r w:rsidR="00C40061">
        <w:t xml:space="preserve">modules of the </w:t>
      </w:r>
      <w:r>
        <w:t xml:space="preserve">guidelines are being developed in three phases, as shown in </w:t>
      </w:r>
      <w:r w:rsidR="000E4F57">
        <w:t>Table </w:t>
      </w:r>
      <w:r>
        <w:t>1.1.</w:t>
      </w:r>
    </w:p>
    <w:p w14:paraId="7C35CEBB" w14:textId="77777777" w:rsidR="00743882" w:rsidRDefault="000E4F57" w:rsidP="00C045C6">
      <w:pPr>
        <w:pStyle w:val="TableName"/>
      </w:pPr>
      <w:bookmarkStart w:id="25" w:name="_Toc263867910"/>
      <w:bookmarkStart w:id="26" w:name="_Toc282674495"/>
      <w:bookmarkStart w:id="27" w:name="_Toc427758388"/>
      <w:r>
        <w:t>Table </w:t>
      </w:r>
      <w:r w:rsidR="00C045C6">
        <w:t>1.1</w:t>
      </w:r>
      <w:r w:rsidR="00C045C6">
        <w:tab/>
        <w:t>Phases of development of guideline modules</w:t>
      </w:r>
      <w:bookmarkEnd w:id="25"/>
      <w:bookmarkEnd w:id="26"/>
      <w:bookmarkEnd w:id="27"/>
    </w:p>
    <w:tbl>
      <w:tblPr>
        <w:tblW w:w="0" w:type="auto"/>
        <w:tblInd w:w="817" w:type="dxa"/>
        <w:tblBorders>
          <w:top w:val="single" w:sz="4" w:space="0" w:color="000000"/>
          <w:bottom w:val="single" w:sz="4" w:space="0" w:color="000000"/>
        </w:tblBorders>
        <w:tblLook w:val="04A0" w:firstRow="1" w:lastRow="0" w:firstColumn="1" w:lastColumn="0" w:noHBand="0" w:noVBand="1"/>
      </w:tblPr>
      <w:tblGrid>
        <w:gridCol w:w="851"/>
        <w:gridCol w:w="3402"/>
      </w:tblGrid>
      <w:tr w:rsidR="00C045C6" w:rsidRPr="002069E8" w14:paraId="19BAF91C" w14:textId="77777777" w:rsidTr="0064394F">
        <w:tc>
          <w:tcPr>
            <w:tcW w:w="851" w:type="dxa"/>
            <w:tcBorders>
              <w:top w:val="single" w:sz="4" w:space="0" w:color="000000"/>
              <w:bottom w:val="single" w:sz="4" w:space="0" w:color="000000"/>
            </w:tcBorders>
          </w:tcPr>
          <w:p w14:paraId="3748C3A3" w14:textId="77777777" w:rsidR="00C045C6" w:rsidRDefault="00C045C6" w:rsidP="0064394F">
            <w:pPr>
              <w:pStyle w:val="TableHeading"/>
            </w:pPr>
            <w:r>
              <w:t>Phase</w:t>
            </w:r>
          </w:p>
        </w:tc>
        <w:tc>
          <w:tcPr>
            <w:tcW w:w="3402" w:type="dxa"/>
            <w:tcBorders>
              <w:top w:val="single" w:sz="4" w:space="0" w:color="000000"/>
              <w:bottom w:val="single" w:sz="4" w:space="0" w:color="000000"/>
            </w:tcBorders>
          </w:tcPr>
          <w:p w14:paraId="7D8606AC" w14:textId="77777777" w:rsidR="00C045C6" w:rsidRDefault="00C045C6" w:rsidP="0064394F">
            <w:pPr>
              <w:pStyle w:val="TableHeading"/>
            </w:pPr>
            <w:r>
              <w:t>Modules</w:t>
            </w:r>
          </w:p>
        </w:tc>
      </w:tr>
      <w:tr w:rsidR="00C045C6" w:rsidRPr="002069E8" w14:paraId="7230D2C8" w14:textId="77777777" w:rsidTr="0064394F">
        <w:tc>
          <w:tcPr>
            <w:tcW w:w="851" w:type="dxa"/>
            <w:tcBorders>
              <w:top w:val="single" w:sz="4" w:space="0" w:color="000000"/>
              <w:bottom w:val="nil"/>
            </w:tcBorders>
          </w:tcPr>
          <w:p w14:paraId="34F36E21" w14:textId="77777777" w:rsidR="00C045C6" w:rsidRDefault="00C045C6" w:rsidP="0064394F">
            <w:pPr>
              <w:pStyle w:val="TableText"/>
            </w:pPr>
            <w:r>
              <w:t>I</w:t>
            </w:r>
          </w:p>
        </w:tc>
        <w:tc>
          <w:tcPr>
            <w:tcW w:w="3402" w:type="dxa"/>
            <w:tcBorders>
              <w:top w:val="single" w:sz="4" w:space="0" w:color="000000"/>
              <w:bottom w:val="nil"/>
            </w:tcBorders>
          </w:tcPr>
          <w:p w14:paraId="79D4C259" w14:textId="0FD1CC8D" w:rsidR="00C045C6" w:rsidRDefault="00743882" w:rsidP="00E62798">
            <w:pPr>
              <w:pStyle w:val="TableText"/>
            </w:pPr>
            <w:r>
              <w:t xml:space="preserve">1 – </w:t>
            </w:r>
            <w:r w:rsidR="00C045C6">
              <w:t>Critical bleeding/massive transfusion</w:t>
            </w:r>
            <w:hyperlink w:anchor="_ENREF_1" w:tooltip="National Blood Authority (NBA), 2011 #199" w:history="1">
              <w:r w:rsidR="00E62798">
                <w:fldChar w:fldCharType="begin"/>
              </w:r>
              <w:r w:rsidR="00E62798">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fldChar w:fldCharType="separate"/>
              </w:r>
              <w:r w:rsidR="00E62798" w:rsidRPr="00E62798">
                <w:rPr>
                  <w:noProof/>
                  <w:vertAlign w:val="superscript"/>
                </w:rPr>
                <w:t>1</w:t>
              </w:r>
              <w:r w:rsidR="00E62798">
                <w:fldChar w:fldCharType="end"/>
              </w:r>
            </w:hyperlink>
          </w:p>
        </w:tc>
      </w:tr>
      <w:tr w:rsidR="00C045C6" w:rsidRPr="002069E8" w14:paraId="5232061F" w14:textId="77777777" w:rsidTr="0064394F">
        <w:trPr>
          <w:trHeight w:val="66"/>
        </w:trPr>
        <w:tc>
          <w:tcPr>
            <w:tcW w:w="851" w:type="dxa"/>
            <w:tcBorders>
              <w:top w:val="nil"/>
              <w:bottom w:val="single" w:sz="4" w:space="0" w:color="000000"/>
            </w:tcBorders>
          </w:tcPr>
          <w:p w14:paraId="561325A3" w14:textId="77777777" w:rsidR="00C045C6" w:rsidRDefault="00C045C6" w:rsidP="0064394F">
            <w:pPr>
              <w:pStyle w:val="TableText"/>
            </w:pPr>
          </w:p>
        </w:tc>
        <w:tc>
          <w:tcPr>
            <w:tcW w:w="3402" w:type="dxa"/>
            <w:tcBorders>
              <w:top w:val="nil"/>
              <w:bottom w:val="single" w:sz="4" w:space="0" w:color="000000"/>
            </w:tcBorders>
          </w:tcPr>
          <w:p w14:paraId="3797B61B" w14:textId="250D1955" w:rsidR="00C045C6" w:rsidRDefault="00743882" w:rsidP="00E62798">
            <w:pPr>
              <w:pStyle w:val="TableText"/>
            </w:pPr>
            <w:r>
              <w:t xml:space="preserve">2 – </w:t>
            </w:r>
            <w:r w:rsidR="00C045C6" w:rsidRPr="002E529D">
              <w:t>Perioperative</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C045C6" w:rsidRPr="002069E8" w14:paraId="3AA95489" w14:textId="77777777" w:rsidTr="0064394F">
        <w:tc>
          <w:tcPr>
            <w:tcW w:w="851" w:type="dxa"/>
            <w:tcBorders>
              <w:top w:val="single" w:sz="4" w:space="0" w:color="000000"/>
              <w:bottom w:val="nil"/>
            </w:tcBorders>
          </w:tcPr>
          <w:p w14:paraId="6421A4B5" w14:textId="77777777" w:rsidR="00C045C6" w:rsidRDefault="00C045C6" w:rsidP="0064394F">
            <w:pPr>
              <w:pStyle w:val="TableText"/>
            </w:pPr>
            <w:r>
              <w:t>II</w:t>
            </w:r>
          </w:p>
        </w:tc>
        <w:tc>
          <w:tcPr>
            <w:tcW w:w="3402" w:type="dxa"/>
            <w:tcBorders>
              <w:top w:val="single" w:sz="4" w:space="0" w:color="000000"/>
              <w:bottom w:val="nil"/>
            </w:tcBorders>
          </w:tcPr>
          <w:p w14:paraId="79B89E99" w14:textId="3A0BD931" w:rsidR="00C045C6" w:rsidRDefault="00743882" w:rsidP="00E62798">
            <w:pPr>
              <w:pStyle w:val="TableText"/>
            </w:pPr>
            <w:r>
              <w:t xml:space="preserve">3 – </w:t>
            </w:r>
            <w:r w:rsidR="00C045C6">
              <w:t>Medical</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C045C6" w:rsidRPr="002069E8" w14:paraId="4EDD7272" w14:textId="77777777" w:rsidTr="0064394F">
        <w:tc>
          <w:tcPr>
            <w:tcW w:w="851" w:type="dxa"/>
            <w:tcBorders>
              <w:top w:val="nil"/>
              <w:bottom w:val="single" w:sz="4" w:space="0" w:color="000000"/>
            </w:tcBorders>
          </w:tcPr>
          <w:p w14:paraId="0D1CD67A" w14:textId="77777777" w:rsidR="00C045C6" w:rsidRDefault="00C045C6" w:rsidP="0064394F">
            <w:pPr>
              <w:pStyle w:val="TableText"/>
            </w:pPr>
          </w:p>
        </w:tc>
        <w:tc>
          <w:tcPr>
            <w:tcW w:w="3402" w:type="dxa"/>
            <w:tcBorders>
              <w:top w:val="nil"/>
              <w:bottom w:val="single" w:sz="4" w:space="0" w:color="000000"/>
            </w:tcBorders>
          </w:tcPr>
          <w:p w14:paraId="265CBD78" w14:textId="4BBCB1E0" w:rsidR="00C045C6" w:rsidRDefault="00743882" w:rsidP="00E62798">
            <w:pPr>
              <w:pStyle w:val="TableText"/>
            </w:pPr>
            <w:r>
              <w:t xml:space="preserve">4 – </w:t>
            </w:r>
            <w:r w:rsidR="007869A4">
              <w:t xml:space="preserve">Critical </w:t>
            </w:r>
            <w:r w:rsidR="00C045C6">
              <w:t>care</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p>
        </w:tc>
      </w:tr>
      <w:tr w:rsidR="00C045C6" w:rsidRPr="002069E8" w14:paraId="45124B53" w14:textId="77777777" w:rsidTr="0064394F">
        <w:tc>
          <w:tcPr>
            <w:tcW w:w="851" w:type="dxa"/>
            <w:tcBorders>
              <w:top w:val="single" w:sz="4" w:space="0" w:color="000000"/>
            </w:tcBorders>
          </w:tcPr>
          <w:p w14:paraId="207C4EB1" w14:textId="77777777" w:rsidR="00C045C6" w:rsidRDefault="00C045C6" w:rsidP="0064394F">
            <w:pPr>
              <w:pStyle w:val="TableText"/>
            </w:pPr>
            <w:r>
              <w:t>III</w:t>
            </w:r>
          </w:p>
        </w:tc>
        <w:tc>
          <w:tcPr>
            <w:tcW w:w="3402" w:type="dxa"/>
            <w:tcBorders>
              <w:top w:val="single" w:sz="4" w:space="0" w:color="000000"/>
            </w:tcBorders>
          </w:tcPr>
          <w:p w14:paraId="5BE39685" w14:textId="4F051AE4" w:rsidR="00C045C6" w:rsidRDefault="00743882" w:rsidP="00E62798">
            <w:pPr>
              <w:pStyle w:val="TableText"/>
            </w:pPr>
            <w:r>
              <w:t xml:space="preserve">5 – </w:t>
            </w:r>
            <w:r w:rsidR="00C045C6">
              <w:t>Obstetrics</w:t>
            </w:r>
            <w:r w:rsidR="00041047">
              <w:t xml:space="preserve"> and maternity</w:t>
            </w:r>
            <w:hyperlink w:anchor="_ENREF_5" w:tooltip="National Blood Authority (NBA), 2015 #764" w:history="1">
              <w:r w:rsidR="00E62798">
                <w:fldChar w:fldCharType="begin"/>
              </w:r>
              <w:r w:rsidR="00E62798">
                <w:instrText xml:space="preserve"> ADDIN EN.CITE &lt;EndNote&gt;&lt;Cite&gt;&lt;Author&gt;National Blood Authority (NBA)&lt;/Author&gt;&lt;Year&gt;2015&lt;/Year&gt;&lt;RecNum&gt;764&lt;/RecNum&gt;&lt;DisplayText&gt;&lt;style face="superscript"&gt;5&lt;/style&gt;&lt;/DisplayText&gt;&lt;record&gt;&lt;rec-number&gt;764&lt;/rec-number&gt;&lt;foreign-keys&gt;&lt;key app="EN" db-id="9edve2wadsavt5ewavaxtda4f2tavzvts9ee" timestamp="1432801664"&gt;764&lt;/key&gt;&lt;/foreign-keys&gt;&lt;ref-type name="Government Document"&gt;46&lt;/ref-type&gt;&lt;contributors&gt;&lt;authors&gt;&lt;author&gt;National Blood Authority (NBA),&lt;/author&gt;&lt;/authors&gt;&lt;/contributors&gt;&lt;titles&gt;&lt;title&gt;Patient Blood Management Guidelines: Module 5 – Obstetrics and Maternity&lt;/title&gt;&lt;/titles&gt;&lt;dates&gt;&lt;year&gt;2015&lt;/year&gt;&lt;/dates&gt;&lt;pub-location&gt;Canberra, Australia&lt;/pub-location&gt;&lt;publisher&gt;NBA&lt;/publisher&gt;&lt;urls&gt;&lt;related-urls&gt;&lt;url&gt;http://www.blood.gov.au/pbm-module-5&lt;/url&gt;&lt;/related-urls&gt;&lt;/urls&gt;&lt;access-date&gt;1 February 2014&lt;/access-date&gt;&lt;/record&gt;&lt;/Cite&gt;&lt;/EndNote&gt;</w:instrText>
              </w:r>
              <w:r w:rsidR="00E62798">
                <w:fldChar w:fldCharType="separate"/>
              </w:r>
              <w:r w:rsidR="00E62798" w:rsidRPr="00E62798">
                <w:rPr>
                  <w:noProof/>
                  <w:vertAlign w:val="superscript"/>
                </w:rPr>
                <w:t>5</w:t>
              </w:r>
              <w:r w:rsidR="00E62798">
                <w:fldChar w:fldCharType="end"/>
              </w:r>
            </w:hyperlink>
          </w:p>
        </w:tc>
      </w:tr>
      <w:tr w:rsidR="00C045C6" w:rsidRPr="002069E8" w14:paraId="0CE17860" w14:textId="77777777" w:rsidTr="0064394F">
        <w:tc>
          <w:tcPr>
            <w:tcW w:w="851" w:type="dxa"/>
          </w:tcPr>
          <w:p w14:paraId="69E09547" w14:textId="77777777" w:rsidR="00C045C6" w:rsidRDefault="00C045C6" w:rsidP="0064394F">
            <w:pPr>
              <w:pStyle w:val="TableText"/>
              <w:keepNext w:val="0"/>
            </w:pPr>
          </w:p>
        </w:tc>
        <w:tc>
          <w:tcPr>
            <w:tcW w:w="3402" w:type="dxa"/>
          </w:tcPr>
          <w:p w14:paraId="67CBB4BC" w14:textId="77777777" w:rsidR="00C045C6" w:rsidRDefault="00743882" w:rsidP="009B4D3B">
            <w:pPr>
              <w:pStyle w:val="TableText"/>
              <w:keepNext w:val="0"/>
            </w:pPr>
            <w:r>
              <w:t xml:space="preserve">6 – </w:t>
            </w:r>
            <w:r w:rsidR="009B4D3B">
              <w:t>Neonatal and paediatrics</w:t>
            </w:r>
          </w:p>
        </w:tc>
      </w:tr>
    </w:tbl>
    <w:p w14:paraId="40D3B9D1" w14:textId="77777777" w:rsidR="00914BEB" w:rsidRDefault="00914BEB" w:rsidP="00FF2787">
      <w:pPr>
        <w:pStyle w:val="Normalbeforebullet"/>
      </w:pPr>
      <w:bookmarkStart w:id="28" w:name="_Toc265585303"/>
      <w:bookmarkStart w:id="29" w:name="_Toc282672276"/>
    </w:p>
    <w:p w14:paraId="158C5095" w14:textId="77777777" w:rsidR="00074C45" w:rsidRDefault="00074C45" w:rsidP="00074C45">
      <w:pPr>
        <w:pStyle w:val="Heading2"/>
      </w:pPr>
      <w:bookmarkStart w:id="30" w:name="_Toc265585304"/>
      <w:bookmarkStart w:id="31" w:name="_Toc282672277"/>
      <w:bookmarkStart w:id="32" w:name="_Toc427851297"/>
      <w:bookmarkEnd w:id="28"/>
      <w:bookmarkEnd w:id="29"/>
      <w:r>
        <w:t>1.</w:t>
      </w:r>
      <w:r w:rsidR="00914BEB">
        <w:rPr>
          <w:lang w:val="en-US"/>
        </w:rPr>
        <w:t>2</w:t>
      </w:r>
      <w:r>
        <w:tab/>
        <w:t>Structure of the document and related materials</w:t>
      </w:r>
      <w:bookmarkEnd w:id="30"/>
      <w:bookmarkEnd w:id="31"/>
      <w:bookmarkEnd w:id="32"/>
    </w:p>
    <w:p w14:paraId="42FC2CCF" w14:textId="77777777" w:rsidR="00074C45" w:rsidRDefault="00074C45" w:rsidP="00882A1D">
      <w:pPr>
        <w:pStyle w:val="Heading3"/>
      </w:pPr>
      <w:bookmarkStart w:id="33" w:name="_Toc265585305"/>
      <w:bookmarkStart w:id="34" w:name="_Toc282672278"/>
      <w:bookmarkStart w:id="35" w:name="_Toc427851298"/>
      <w:r>
        <w:t>1.</w:t>
      </w:r>
      <w:r w:rsidR="00914BEB">
        <w:rPr>
          <w:lang w:val="en-US"/>
        </w:rPr>
        <w:t>2</w:t>
      </w:r>
      <w:r>
        <w:t>.1</w:t>
      </w:r>
      <w:r>
        <w:tab/>
      </w:r>
      <w:r w:rsidR="00090056">
        <w:t>T</w:t>
      </w:r>
      <w:r>
        <w:t>he document</w:t>
      </w:r>
      <w:bookmarkEnd w:id="33"/>
      <w:bookmarkEnd w:id="34"/>
      <w:bookmarkEnd w:id="35"/>
    </w:p>
    <w:p w14:paraId="5F4FE261" w14:textId="77777777" w:rsidR="00074C45" w:rsidRDefault="003C6485" w:rsidP="00FF2787">
      <w:pPr>
        <w:pStyle w:val="Normalbeforebullet"/>
      </w:pPr>
      <w:r>
        <w:t>This module includes</w:t>
      </w:r>
      <w:r w:rsidR="00074C45">
        <w:t>:</w:t>
      </w:r>
    </w:p>
    <w:p w14:paraId="16AC93A2" w14:textId="77777777" w:rsidR="00074C45" w:rsidRDefault="00074C45" w:rsidP="00074C45">
      <w:pPr>
        <w:pStyle w:val="Bullet6"/>
      </w:pPr>
      <w:r w:rsidRPr="004000F2">
        <w:rPr>
          <w:i/>
        </w:rPr>
        <w:t>recommendations</w:t>
      </w:r>
      <w:r w:rsidR="001E15BA">
        <w:t xml:space="preserve"> </w:t>
      </w:r>
      <w:r>
        <w:t>– based on evidence from the systematic review</w:t>
      </w:r>
    </w:p>
    <w:p w14:paraId="75A87302" w14:textId="5570A547" w:rsidR="00041047" w:rsidRDefault="0020578B" w:rsidP="00EC207A">
      <w:pPr>
        <w:pStyle w:val="Bullet6"/>
      </w:pPr>
      <w:r>
        <w:rPr>
          <w:i/>
        </w:rPr>
        <w:t>practice point</w:t>
      </w:r>
      <w:r w:rsidR="00074C45" w:rsidRPr="004000F2">
        <w:rPr>
          <w:i/>
        </w:rPr>
        <w:t>s</w:t>
      </w:r>
      <w:r w:rsidR="001E15BA">
        <w:t xml:space="preserve"> </w:t>
      </w:r>
      <w:r w:rsidR="00074C45">
        <w:t>– based on consensus decision</w:t>
      </w:r>
      <w:r w:rsidR="00D41F5B">
        <w:t xml:space="preserve"> </w:t>
      </w:r>
      <w:r w:rsidR="00074C45">
        <w:t>making, where the systematic review found</w:t>
      </w:r>
      <w:r w:rsidR="00074C45" w:rsidRPr="003E549D">
        <w:t xml:space="preserve"> insufficient high-quality data to produce</w:t>
      </w:r>
      <w:r w:rsidR="00074C45">
        <w:t xml:space="preserve"> evidence</w:t>
      </w:r>
      <w:r w:rsidR="00074C45" w:rsidRPr="0075053D">
        <w:t>-based</w:t>
      </w:r>
      <w:r w:rsidR="00074C45">
        <w:t xml:space="preserve"> recommendations, but</w:t>
      </w:r>
      <w:r w:rsidR="00074C45" w:rsidRPr="002E529D">
        <w:t xml:space="preserve"> </w:t>
      </w:r>
      <w:r w:rsidR="00707009">
        <w:rPr>
          <w:lang w:val="en-AU"/>
        </w:rPr>
        <w:t xml:space="preserve">where </w:t>
      </w:r>
      <w:r w:rsidR="00074C45">
        <w:t xml:space="preserve">clinicians require </w:t>
      </w:r>
      <w:r w:rsidR="00074C45" w:rsidRPr="002E529D">
        <w:t>guidance to ensure good clinical practice</w:t>
      </w:r>
    </w:p>
    <w:p w14:paraId="5A5106AA" w14:textId="77777777" w:rsidR="003348B8" w:rsidRDefault="00041047" w:rsidP="00983878">
      <w:pPr>
        <w:pStyle w:val="Bullet12"/>
      </w:pPr>
      <w:r>
        <w:rPr>
          <w:i/>
        </w:rPr>
        <w:t xml:space="preserve">expert opinion points </w:t>
      </w:r>
      <w:r>
        <w:t>–</w:t>
      </w:r>
      <w:r w:rsidR="00EC207A">
        <w:t xml:space="preserve"> </w:t>
      </w:r>
      <w:r w:rsidR="00A075B1">
        <w:t>based on consensus decision making, w</w:t>
      </w:r>
      <w:r w:rsidR="00A075B1" w:rsidRPr="00E477BB">
        <w:t>here relevant guidance that is outside of the scope of the systematic review is required</w:t>
      </w:r>
      <w:r w:rsidR="00A075B1">
        <w:t>.</w:t>
      </w:r>
    </w:p>
    <w:p w14:paraId="71799A2C" w14:textId="77777777" w:rsidR="00444F64" w:rsidRDefault="00444F64" w:rsidP="00444F64">
      <w:r>
        <w:t xml:space="preserve">The recommendations, practice points and expert opinion points are </w:t>
      </w:r>
      <w:r w:rsidRPr="007077F8">
        <w:t xml:space="preserve">summarised in the </w:t>
      </w:r>
      <w:r>
        <w:t>plain English s</w:t>
      </w:r>
      <w:r w:rsidRPr="007077F8">
        <w:t>ummary</w:t>
      </w:r>
      <w:r>
        <w:t>.</w:t>
      </w:r>
    </w:p>
    <w:p w14:paraId="611C71D5" w14:textId="77777777" w:rsidR="00444F64" w:rsidRDefault="00444F64" w:rsidP="00444F64"/>
    <w:p w14:paraId="1B47EF4B" w14:textId="77777777" w:rsidR="00444F64" w:rsidRPr="005E4F17" w:rsidRDefault="00444F64" w:rsidP="00444F64">
      <w:r>
        <w:rPr>
          <w:noProof/>
        </w:rPr>
        <mc:AlternateContent>
          <mc:Choice Requires="wpc">
            <w:drawing>
              <wp:inline distT="0" distB="0" distL="0" distR="0" wp14:anchorId="25BF8187" wp14:editId="3ED8EDFC">
                <wp:extent cx="5202912" cy="2887980"/>
                <wp:effectExtent l="0" t="0" r="0" b="7620"/>
                <wp:docPr id="109"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 name="Rectangle 4"/>
                        <wps:cNvSpPr>
                          <a:spLocks noChangeArrowheads="1"/>
                        </wps:cNvSpPr>
                        <wps:spPr bwMode="auto">
                          <a:xfrm>
                            <a:off x="3650002" y="209482"/>
                            <a:ext cx="1514228" cy="348649"/>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1D4C90F9"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RECOMMENDATION</w:t>
                              </w:r>
                            </w:p>
                          </w:txbxContent>
                        </wps:txbx>
                        <wps:bodyPr rot="0" vert="horz" wrap="square" lIns="91440" tIns="45720" rIns="91440" bIns="45720" anchor="t" anchorCtr="0" upright="1">
                          <a:noAutofit/>
                        </wps:bodyPr>
                      </wps:wsp>
                      <wps:wsp>
                        <wps:cNvPr id="90" name="Rectangle 7"/>
                        <wps:cNvSpPr>
                          <a:spLocks noChangeArrowheads="1"/>
                        </wps:cNvSpPr>
                        <wps:spPr bwMode="auto">
                          <a:xfrm>
                            <a:off x="0" y="0"/>
                            <a:ext cx="1272540" cy="1015743"/>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6093E57C"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BASED ON EVIDENCE </w:t>
                              </w:r>
                            </w:p>
                            <w:p w14:paraId="24D7B924"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FROM THE </w:t>
                              </w:r>
                            </w:p>
                            <w:p w14:paraId="02E64D8F"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SYSTEMATIC REVIEW</w:t>
                              </w:r>
                            </w:p>
                          </w:txbxContent>
                        </wps:txbx>
                        <wps:bodyPr rot="0" vert="horz" wrap="square" lIns="91440" tIns="45720" rIns="91440" bIns="45720" anchor="t" anchorCtr="0" upright="1">
                          <a:noAutofit/>
                        </wps:bodyPr>
                      </wps:wsp>
                      <wps:wsp>
                        <wps:cNvPr id="91" name="Rounded Rectangle 24"/>
                        <wps:cNvSpPr>
                          <a:spLocks noChangeArrowheads="1"/>
                        </wps:cNvSpPr>
                        <wps:spPr bwMode="auto">
                          <a:xfrm>
                            <a:off x="3650585" y="1714500"/>
                            <a:ext cx="1516328" cy="348649"/>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46DB475E"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EXPERT OPINION POINT</w:t>
                              </w:r>
                            </w:p>
                            <w:p w14:paraId="654DC660" w14:textId="77777777" w:rsidR="005C0634" w:rsidRDefault="005C0634" w:rsidP="00444F64">
                              <w:pPr>
                                <w:pStyle w:val="NormalWeb"/>
                                <w:spacing w:after="0"/>
                                <w:jc w:val="center"/>
                              </w:pPr>
                            </w:p>
                          </w:txbxContent>
                        </wps:txbx>
                        <wps:bodyPr rot="0" vert="horz" wrap="square" lIns="91440" tIns="45720" rIns="91440" bIns="45720" anchor="t" anchorCtr="0" upright="1">
                          <a:noAutofit/>
                        </wps:bodyPr>
                      </wps:wsp>
                      <wps:wsp>
                        <wps:cNvPr id="92" name="Rounded Rectangle 26"/>
                        <wps:cNvSpPr>
                          <a:spLocks noChangeArrowheads="1"/>
                        </wps:cNvSpPr>
                        <wps:spPr bwMode="auto">
                          <a:xfrm>
                            <a:off x="1272540" y="0"/>
                            <a:ext cx="511553" cy="293922"/>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307B05E7" w14:textId="77777777" w:rsidR="005C0634" w:rsidRPr="00645DFE" w:rsidRDefault="005C0634" w:rsidP="00444F64">
                              <w:pPr>
                                <w:pStyle w:val="Subtitle"/>
                              </w:pPr>
                              <w:r w:rsidRPr="00645DFE">
                                <w:t>YES</w:t>
                              </w:r>
                            </w:p>
                            <w:p w14:paraId="7A9E296F" w14:textId="77777777" w:rsidR="005C0634" w:rsidRPr="00645DFE" w:rsidRDefault="005C0634" w:rsidP="00444F64">
                              <w:pPr>
                                <w:pStyle w:val="NormalWeb"/>
                                <w:spacing w:after="0"/>
                                <w:rPr>
                                  <w:rFonts w:ascii="Calibri" w:hAnsi="Calibri" w:cs="Calibri"/>
                                </w:rPr>
                              </w:pPr>
                              <w:r w:rsidRPr="00645DFE">
                                <w:rPr>
                                  <w:rFonts w:ascii="Calibri" w:hAnsi="Calibri" w:cs="Calibri"/>
                                </w:rPr>
                                <w:t> </w:t>
                              </w:r>
                            </w:p>
                          </w:txbxContent>
                        </wps:txbx>
                        <wps:bodyPr rot="0" vert="horz" wrap="square" lIns="91440" tIns="45720" rIns="91440" bIns="45720" anchor="t" anchorCtr="0" upright="1">
                          <a:noAutofit/>
                        </wps:bodyPr>
                      </wps:wsp>
                      <wps:wsp>
                        <wps:cNvPr id="93" name="Rounded Rectangle 93"/>
                        <wps:cNvSpPr>
                          <a:spLocks noChangeArrowheads="1"/>
                        </wps:cNvSpPr>
                        <wps:spPr bwMode="auto">
                          <a:xfrm>
                            <a:off x="3650585" y="901995"/>
                            <a:ext cx="1515745" cy="348615"/>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7B9800E5" w14:textId="77777777" w:rsidR="005C0634" w:rsidRDefault="005C0634" w:rsidP="00444F64">
                              <w:pPr>
                                <w:pStyle w:val="NormalWeb"/>
                                <w:spacing w:after="0"/>
                                <w:jc w:val="center"/>
                              </w:pPr>
                              <w:r>
                                <w:rPr>
                                  <w:rFonts w:ascii="Calibri" w:hAnsi="Calibri" w:cs="Calibri"/>
                                  <w:b/>
                                  <w:bCs/>
                                  <w:sz w:val="20"/>
                                  <w:szCs w:val="20"/>
                                </w:rPr>
                                <w:t>PRACTICE POINT</w:t>
                              </w:r>
                            </w:p>
                            <w:p w14:paraId="116742A3" w14:textId="77777777" w:rsidR="005C0634" w:rsidRDefault="005C0634" w:rsidP="00444F64">
                              <w:pPr>
                                <w:pStyle w:val="NormalWeb"/>
                                <w:spacing w:after="0"/>
                                <w:jc w:val="center"/>
                              </w:pPr>
                              <w:r>
                                <w:t> </w:t>
                              </w:r>
                            </w:p>
                          </w:txbxContent>
                        </wps:txbx>
                        <wps:bodyPr rot="0" vert="horz" wrap="square" lIns="91440" tIns="45720" rIns="91440" bIns="45720" anchor="t" anchorCtr="0" upright="1">
                          <a:noAutofit/>
                        </wps:bodyPr>
                      </wps:wsp>
                      <wps:wsp>
                        <wps:cNvPr id="94" name="Right Arrow 94"/>
                        <wps:cNvSpPr/>
                        <wps:spPr>
                          <a:xfrm>
                            <a:off x="1325880" y="300438"/>
                            <a:ext cx="3270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7"/>
                        <wps:cNvSpPr>
                          <a:spLocks noChangeArrowheads="1"/>
                        </wps:cNvSpPr>
                        <wps:spPr bwMode="auto">
                          <a:xfrm>
                            <a:off x="0" y="1305303"/>
                            <a:ext cx="1325880" cy="658786"/>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1E3C4975" w14:textId="77777777" w:rsidR="005C0634" w:rsidRDefault="005C0634" w:rsidP="00444F64">
                              <w:pPr>
                                <w:pStyle w:val="NormalWeb"/>
                                <w:spacing w:after="0"/>
                                <w:jc w:val="center"/>
                              </w:pPr>
                              <w:r>
                                <w:rPr>
                                  <w:rFonts w:ascii="Calibri" w:hAnsi="Calibri" w:cs="Calibri"/>
                                  <w:b/>
                                  <w:bCs/>
                                  <w:color w:val="00B050"/>
                                  <w:sz w:val="20"/>
                                  <w:szCs w:val="20"/>
                                </w:rPr>
                                <w:t>BASED ON CONSENSUS OF THE CRG</w:t>
                              </w:r>
                            </w:p>
                          </w:txbxContent>
                        </wps:txbx>
                        <wps:bodyPr rot="0" vert="horz" wrap="square" lIns="91440" tIns="45720" rIns="91440" bIns="45720" anchor="t" anchorCtr="0" upright="1">
                          <a:noAutofit/>
                        </wps:bodyPr>
                      </wps:wsp>
                      <wps:wsp>
                        <wps:cNvPr id="96" name="Rectangle 7"/>
                        <wps:cNvSpPr>
                          <a:spLocks noChangeArrowheads="1"/>
                        </wps:cNvSpPr>
                        <wps:spPr bwMode="auto">
                          <a:xfrm>
                            <a:off x="1734928" y="0"/>
                            <a:ext cx="1272540" cy="558131"/>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2B6049DF" w14:textId="1D9C34E3" w:rsidR="005C0634" w:rsidRDefault="005C0634" w:rsidP="00444F64">
                              <w:pPr>
                                <w:pStyle w:val="NormalWeb"/>
                                <w:spacing w:after="0"/>
                                <w:jc w:val="center"/>
                              </w:pPr>
                              <w:r>
                                <w:rPr>
                                  <w:rFonts w:ascii="Calibri" w:hAnsi="Calibri" w:cs="Calibri"/>
                                  <w:b/>
                                  <w:bCs/>
                                  <w:color w:val="00B050"/>
                                  <w:sz w:val="20"/>
                                  <w:szCs w:val="20"/>
                                </w:rPr>
                                <w:t>SUFFICIENT HIGH- QUALITY DATA</w:t>
                              </w:r>
                            </w:p>
                          </w:txbxContent>
                        </wps:txbx>
                        <wps:bodyPr rot="0" vert="horz" wrap="square" lIns="91440" tIns="45720" rIns="91440" bIns="45720" anchor="t" anchorCtr="0" upright="1">
                          <a:noAutofit/>
                        </wps:bodyPr>
                      </wps:wsp>
                      <wps:wsp>
                        <wps:cNvPr id="97" name="Right Arrow 97"/>
                        <wps:cNvSpPr/>
                        <wps:spPr>
                          <a:xfrm>
                            <a:off x="3075600" y="283422"/>
                            <a:ext cx="399120" cy="190500"/>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59B27E"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a:spLocks noChangeArrowheads="1"/>
                        </wps:cNvSpPr>
                        <wps:spPr bwMode="auto">
                          <a:xfrm>
                            <a:off x="3007468" y="0"/>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6A71B0B1" w14:textId="77777777" w:rsidR="005C0634" w:rsidRDefault="005C0634" w:rsidP="00444F64">
                              <w:pPr>
                                <w:pStyle w:val="NormalWeb"/>
                                <w:spacing w:after="200"/>
                              </w:pPr>
                              <w:r>
                                <w:rPr>
                                  <w:rFonts w:ascii="Cambria" w:hAnsi="Cambria"/>
                                  <w:i/>
                                  <w:iCs/>
                                  <w:color w:val="C60C30"/>
                                  <w:spacing w:val="15"/>
                                </w:rPr>
                                <w:t>YES</w:t>
                              </w:r>
                            </w:p>
                            <w:p w14:paraId="26945CCE"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99" name="Rounded Rectangle 99"/>
                        <wps:cNvSpPr>
                          <a:spLocks noChangeArrowheads="1"/>
                        </wps:cNvSpPr>
                        <wps:spPr bwMode="auto">
                          <a:xfrm>
                            <a:off x="761365" y="1015743"/>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6AC9F4A9" w14:textId="77777777" w:rsidR="005C0634" w:rsidRDefault="005C0634" w:rsidP="00444F64">
                              <w:pPr>
                                <w:pStyle w:val="NormalWeb"/>
                                <w:spacing w:after="200"/>
                              </w:pPr>
                              <w:r>
                                <w:rPr>
                                  <w:rFonts w:ascii="Cambria" w:hAnsi="Cambria"/>
                                  <w:i/>
                                  <w:iCs/>
                                  <w:color w:val="C60C30"/>
                                  <w:spacing w:val="15"/>
                                </w:rPr>
                                <w:t>NO</w:t>
                              </w:r>
                            </w:p>
                            <w:p w14:paraId="60BBDE92"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100" name="Rounded Rectangle 100"/>
                        <wps:cNvSpPr>
                          <a:spLocks noChangeArrowheads="1"/>
                        </wps:cNvSpPr>
                        <wps:spPr bwMode="auto">
                          <a:xfrm>
                            <a:off x="1391393" y="1436748"/>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6781A164" w14:textId="77777777" w:rsidR="005C0634" w:rsidRDefault="005C0634" w:rsidP="00444F64">
                              <w:pPr>
                                <w:pStyle w:val="NormalWeb"/>
                                <w:spacing w:after="200"/>
                              </w:pPr>
                              <w:r>
                                <w:rPr>
                                  <w:rFonts w:ascii="Cambria" w:hAnsi="Cambria"/>
                                  <w:i/>
                                  <w:iCs/>
                                  <w:color w:val="C60C30"/>
                                  <w:spacing w:val="15"/>
                                </w:rPr>
                                <w:t>YES</w:t>
                              </w:r>
                            </w:p>
                            <w:p w14:paraId="73195FC1"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101" name="Right Arrow 101"/>
                        <wps:cNvSpPr/>
                        <wps:spPr>
                          <a:xfrm>
                            <a:off x="1407903" y="1714500"/>
                            <a:ext cx="2110740" cy="249589"/>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68166B"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Down Arrow 102"/>
                        <wps:cNvSpPr/>
                        <wps:spPr>
                          <a:xfrm>
                            <a:off x="545760" y="1056640"/>
                            <a:ext cx="213360" cy="2537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a:spLocks noChangeArrowheads="1"/>
                        </wps:cNvSpPr>
                        <wps:spPr bwMode="auto">
                          <a:xfrm>
                            <a:off x="2435520" y="674370"/>
                            <a:ext cx="51117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0171AB94" w14:textId="77777777" w:rsidR="005C0634" w:rsidRDefault="005C0634" w:rsidP="00444F64">
                              <w:pPr>
                                <w:pStyle w:val="NormalWeb"/>
                                <w:spacing w:after="200"/>
                              </w:pPr>
                              <w:r>
                                <w:rPr>
                                  <w:rFonts w:ascii="Cambria" w:hAnsi="Cambria"/>
                                  <w:i/>
                                  <w:iCs/>
                                  <w:color w:val="C60C30"/>
                                  <w:spacing w:val="15"/>
                                </w:rPr>
                                <w:t>NO</w:t>
                              </w:r>
                            </w:p>
                            <w:p w14:paraId="00D01081"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104" name="Rectangle 104"/>
                        <wps:cNvSpPr/>
                        <wps:spPr>
                          <a:xfrm>
                            <a:off x="2263775" y="600710"/>
                            <a:ext cx="106680" cy="480060"/>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445153"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2263775" y="967740"/>
                            <a:ext cx="1210945" cy="199390"/>
                          </a:xfrm>
                          <a:prstGeom prst="right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1B783E" w14:textId="77777777" w:rsidR="005C0634" w:rsidRDefault="005C0634" w:rsidP="00444F64">
                              <w:pPr>
                                <w:pStyle w:val="NormalWeb"/>
                                <w:spacing w:after="240"/>
                                <w:ind w:left="720"/>
                              </w:pPr>
                              <w:r>
                                <w:rPr>
                                  <w:rFonts w:cs="Tahoma"/>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Down Arrow 106"/>
                        <wps:cNvSpPr/>
                        <wps:spPr>
                          <a:xfrm>
                            <a:off x="545760" y="2035470"/>
                            <a:ext cx="213360" cy="285750"/>
                          </a:xfrm>
                          <a:prstGeom prst="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B56CCF" w14:textId="77777777" w:rsidR="005C0634" w:rsidRDefault="005C0634" w:rsidP="00444F6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Rounded Rectangle 107"/>
                        <wps:cNvSpPr>
                          <a:spLocks noChangeArrowheads="1"/>
                        </wps:cNvSpPr>
                        <wps:spPr bwMode="auto">
                          <a:xfrm>
                            <a:off x="759120" y="2035471"/>
                            <a:ext cx="457835" cy="293370"/>
                          </a:xfrm>
                          <a:prstGeom prst="roundRect">
                            <a:avLst>
                              <a:gd name="adj" fmla="val 16667"/>
                            </a:avLst>
                          </a:prstGeom>
                          <a:noFill/>
                          <a:ln w="12700">
                            <a:noFill/>
                            <a:round/>
                            <a:headEnd/>
                            <a:tailEnd/>
                          </a:ln>
                          <a:effectLst>
                            <a:outerShdw dist="20000" dir="5400000" rotWithShape="0">
                              <a:srgbClr val="000000">
                                <a:alpha val="37999"/>
                              </a:srgbClr>
                            </a:outerShdw>
                          </a:effectLst>
                        </wps:spPr>
                        <wps:txbx>
                          <w:txbxContent>
                            <w:p w14:paraId="4DDE226E" w14:textId="77777777" w:rsidR="005C0634" w:rsidRDefault="005C0634" w:rsidP="00444F64">
                              <w:pPr>
                                <w:pStyle w:val="NormalWeb"/>
                                <w:spacing w:after="200"/>
                              </w:pPr>
                              <w:r>
                                <w:rPr>
                                  <w:rFonts w:ascii="Cambria" w:hAnsi="Cambria"/>
                                  <w:i/>
                                  <w:iCs/>
                                  <w:color w:val="C60C30"/>
                                  <w:spacing w:val="15"/>
                                </w:rPr>
                                <w:t>NO</w:t>
                              </w:r>
                            </w:p>
                            <w:p w14:paraId="5DDBB678" w14:textId="77777777" w:rsidR="005C0634" w:rsidRDefault="005C0634" w:rsidP="00444F64">
                              <w:pPr>
                                <w:pStyle w:val="NormalWeb"/>
                                <w:spacing w:after="0"/>
                              </w:pPr>
                              <w:r>
                                <w:rPr>
                                  <w:rFonts w:ascii="Calibri" w:hAnsi="Calibri" w:cs="Calibri"/>
                                </w:rPr>
                                <w:t> </w:t>
                              </w:r>
                            </w:p>
                          </w:txbxContent>
                        </wps:txbx>
                        <wps:bodyPr rot="0" vert="horz" wrap="square" lIns="91440" tIns="45720" rIns="91440" bIns="45720" anchor="t" anchorCtr="0" upright="1">
                          <a:noAutofit/>
                        </wps:bodyPr>
                      </wps:wsp>
                      <wps:wsp>
                        <wps:cNvPr id="108" name="Rectangle 7"/>
                        <wps:cNvSpPr>
                          <a:spLocks noChangeArrowheads="1"/>
                        </wps:cNvSpPr>
                        <wps:spPr bwMode="auto">
                          <a:xfrm>
                            <a:off x="0" y="2348821"/>
                            <a:ext cx="1325880" cy="462960"/>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989BE1A" w14:textId="77777777" w:rsidR="005C0634" w:rsidRDefault="005C0634" w:rsidP="00444F64">
                              <w:pPr>
                                <w:pStyle w:val="NormalWeb"/>
                                <w:spacing w:after="0"/>
                                <w:jc w:val="center"/>
                              </w:pPr>
                              <w:r>
                                <w:rPr>
                                  <w:rFonts w:ascii="Calibri" w:hAnsi="Calibri" w:cs="Calibri"/>
                                  <w:b/>
                                  <w:bCs/>
                                  <w:color w:val="00B050"/>
                                  <w:sz w:val="20"/>
                                  <w:szCs w:val="20"/>
                                </w:rPr>
                                <w:t>NO STATEMENT MADE</w:t>
                              </w:r>
                            </w:p>
                          </w:txbxContent>
                        </wps:txbx>
                        <wps:bodyPr rot="0" vert="horz" wrap="square" lIns="91440" tIns="45720" rIns="91440" bIns="45720" anchor="t" anchorCtr="0" upright="1">
                          <a:noAutofit/>
                        </wps:bodyPr>
                      </wps:wsp>
                    </wpc:wpc>
                  </a:graphicData>
                </a:graphic>
              </wp:inline>
            </w:drawing>
          </mc:Choice>
          <mc:Fallback>
            <w:pict>
              <v:group id="_x0000_s1048" editas="canvas" style="width:409.7pt;height:227.4pt;mso-position-horizontal-relative:char;mso-position-vertical-relative:line" coordsize="52025,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">
                <v:shape id="_x0000_s1049" type="#_x0000_t75" style="position:absolute;width:52025;height:28879;visibility:visible;mso-wrap-style:square">
                  <v:fill o:detectmouseclick="t"/>
                  <v:path o:connecttype="none"/>
                </v:shape>
                <v:roundrect id="Rectangle 4" o:spid="_x0000_s1050" style="position:absolute;left:36500;top:2094;width:15142;height:3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pSMQA&#10;AADbAAAADwAAAGRycy9kb3ducmV2LnhtbESP3WrCQBCF7wu+wzIF7+qmUmuMrqIFIZQi+PMAQ3bM&#10;RrOzMbua9O27hUIvD+fn4yxWva3Fg1pfOVbwOkpAEBdOV1wqOB23LykIH5A11o5JwTd5WC0HTwvM&#10;tOt4T49DKEUcYZ+hAhNCk0npC0MW/cg1xNE7u9ZiiLItpW6xi+O2luMkeZcWK44Egw19GCquh7uN&#10;EHuZzNLu+pZ/rTefu+l0k49vRqnhc7+egwjUh//wXzvXCtIZ/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aUj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1D4C90F9"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RECOMMENDATION</w:t>
                        </w:r>
                      </w:p>
                    </w:txbxContent>
                  </v:textbox>
                </v:roundrect>
                <v:roundrect id="Rectangle 7" o:spid="_x0000_s1051" style="position:absolute;width:12725;height:101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WCMIA&#10;AADbAAAADwAAAGRycy9kb3ducmV2LnhtbERPzWrCQBC+F/oOyxR6q5tKrRpdRQuFIKVQ9QGG7JhN&#10;zc6m2a2Jb+8cCj1+fP/L9eAbdaEu1oENPI8yUMRlsDVXBo6H96cZqJiQLTaBycCVIqxX93dLzG3o&#10;+Ysu+1QpCeGYowGXUptrHUtHHuMotMTCnULnMQnsKm077CXcN3qcZa/aY83S4LClN0flef/rpcR/&#10;T+az/vxSfGy2u8/pdFuMf5wxjw/DZgEq0ZD+xX/uwhqYy3r5Ij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1YIwgAAANsAAAAPAAAAAAAAAAAAAAAAAJgCAABkcnMvZG93&#10;bnJldi54bWxQSwUGAAAAAAQABAD1AAAAhwMAAAAA&#10;" fillcolor="#ffbe86" strokecolor="#f69240" strokeweight="1pt">
                  <v:fill color2="#ffebdb" rotate="t" angle="180" colors="0 #ffbe86;22938f #ffd0aa;1 #ffebdb" focus="100%" type="gradient"/>
                  <v:shadow on="t" color="black" opacity="24903f" origin=",.5" offset="0,.55556mm"/>
                  <v:textbox>
                    <w:txbxContent>
                      <w:p w14:paraId="6093E57C"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BASED ON EVIDENCE </w:t>
                        </w:r>
                      </w:p>
                      <w:p w14:paraId="24D7B924"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 xml:space="preserve">FROM THE </w:t>
                        </w:r>
                      </w:p>
                      <w:p w14:paraId="02E64D8F" w14:textId="77777777" w:rsidR="005C0634" w:rsidRDefault="005C0634" w:rsidP="00444F64">
                        <w:pPr>
                          <w:pStyle w:val="NormalWeb"/>
                          <w:spacing w:after="0"/>
                          <w:jc w:val="center"/>
                          <w:rPr>
                            <w:rFonts w:ascii="Calibri" w:hAnsi="Calibri" w:cs="Calibri"/>
                            <w:b/>
                            <w:bCs/>
                            <w:color w:val="00B050"/>
                            <w:sz w:val="20"/>
                            <w:szCs w:val="20"/>
                          </w:rPr>
                        </w:pPr>
                        <w:r>
                          <w:rPr>
                            <w:rFonts w:ascii="Calibri" w:hAnsi="Calibri" w:cs="Calibri"/>
                            <w:b/>
                            <w:bCs/>
                            <w:color w:val="00B050"/>
                            <w:sz w:val="20"/>
                            <w:szCs w:val="20"/>
                          </w:rPr>
                          <w:t>SYSTEMATIC REVIEW</w:t>
                        </w:r>
                      </w:p>
                    </w:txbxContent>
                  </v:textbox>
                </v:roundrect>
                <v:roundrect id="Rounded Rectangle 24" o:spid="_x0000_s1052" style="position:absolute;left:36505;top:17145;width:15164;height:3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zk8QA&#10;AADbAAAADwAAAGRycy9kb3ducmV2LnhtbESP32rCMBTG74W9QzjC7maquGlro6gwKDIGc3uAQ3Ns&#10;qs1J12S2e/tFGHj58f358eWbwTbiSp2vHSuYThIQxKXTNVcKvj5fn5YgfEDW2DgmBb/kYbN+GOWY&#10;adfzB12PoRJxhH2GCkwIbSalLw1Z9BPXEkfv5DqLIcqukrrDPo7bRs6S5EVarDkSDLa0N1Rejj82&#10;Quz5OV32l3nxtt0d3heLXTH7Nko9joftCkSgIdzD/+1CK0in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785P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46DB475E" w14:textId="77777777" w:rsidR="005C0634" w:rsidRPr="004F5174" w:rsidRDefault="005C0634" w:rsidP="00444F64">
                        <w:pPr>
                          <w:pStyle w:val="NormalWeb"/>
                          <w:spacing w:after="0"/>
                          <w:jc w:val="center"/>
                          <w:rPr>
                            <w:rFonts w:ascii="Calibri" w:hAnsi="Calibri" w:cs="Calibri"/>
                            <w:b/>
                            <w:bCs/>
                            <w:sz w:val="20"/>
                            <w:szCs w:val="20"/>
                          </w:rPr>
                        </w:pPr>
                        <w:r>
                          <w:rPr>
                            <w:rFonts w:ascii="Calibri" w:hAnsi="Calibri" w:cs="Calibri"/>
                            <w:b/>
                            <w:bCs/>
                            <w:sz w:val="20"/>
                            <w:szCs w:val="20"/>
                          </w:rPr>
                          <w:t>EXPERT OPINION POINT</w:t>
                        </w:r>
                      </w:p>
                      <w:p w14:paraId="654DC660" w14:textId="77777777" w:rsidR="005C0634" w:rsidRDefault="005C0634" w:rsidP="00444F64">
                        <w:pPr>
                          <w:pStyle w:val="NormalWeb"/>
                          <w:spacing w:after="0"/>
                          <w:jc w:val="center"/>
                        </w:pPr>
                      </w:p>
                    </w:txbxContent>
                  </v:textbox>
                </v:roundrect>
                <v:roundrect id="Rounded Rectangle 26" o:spid="_x0000_s1053" style="position:absolute;left:12725;width:5115;height:29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ibsMA&#10;AADbAAAADwAAAGRycy9kb3ducmV2LnhtbESPQWvCQBSE70L/w/IKvUjd6EE0dROkUOghCGp7f82+&#10;ZoPZt2F3NWl/vSsIHoeZ+YbZlKPtxIV8aB0rmM8yEMS10y03Cr6OH68rECEia+wck4I/ClAWT5MN&#10;5toNvKfLITYiQTjkqMDE2OdShtqQxTBzPXHyfp23GJP0jdQehwS3nVxk2VJabDktGOzp3VB9Opyt&#10;guZ/t67M/Mf787eeDmZaVWMblHp5HrdvICKN8RG+tz+1gvU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0ibsMAAADbAAAADwAAAAAAAAAAAAAAAACYAgAAZHJzL2Rv&#10;d25yZXYueG1sUEsFBgAAAAAEAAQA9QAAAIgDAAAAAA==&#10;" filled="f" stroked="f" strokeweight="1pt">
                  <v:shadow on="t" color="black" opacity="24903f" origin=",.5" offset="0,.55556mm"/>
                  <v:textbox>
                    <w:txbxContent>
                      <w:p w14:paraId="307B05E7" w14:textId="77777777" w:rsidR="005C0634" w:rsidRPr="00645DFE" w:rsidRDefault="005C0634" w:rsidP="00444F64">
                        <w:pPr>
                          <w:pStyle w:val="Subtitle"/>
                        </w:pPr>
                        <w:r w:rsidRPr="00645DFE">
                          <w:t>YES</w:t>
                        </w:r>
                      </w:p>
                      <w:p w14:paraId="7A9E296F" w14:textId="77777777" w:rsidR="005C0634" w:rsidRPr="00645DFE" w:rsidRDefault="005C0634" w:rsidP="00444F64">
                        <w:pPr>
                          <w:pStyle w:val="NormalWeb"/>
                          <w:spacing w:after="0"/>
                          <w:rPr>
                            <w:rFonts w:ascii="Calibri" w:hAnsi="Calibri" w:cs="Calibri"/>
                          </w:rPr>
                        </w:pPr>
                        <w:r w:rsidRPr="00645DFE">
                          <w:rPr>
                            <w:rFonts w:ascii="Calibri" w:hAnsi="Calibri" w:cs="Calibri"/>
                          </w:rPr>
                          <w:t> </w:t>
                        </w:r>
                      </w:p>
                    </w:txbxContent>
                  </v:textbox>
                </v:roundrect>
                <v:roundrect id="Rounded Rectangle 93" o:spid="_x0000_s1054" style="position:absolute;left:36505;top:9019;width:15158;height:3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If8QA&#10;AADbAAAADwAAAGRycy9kb3ducmV2LnhtbESP22rCQBRF3wv+w3AE3+pE23qJjqKFQigiePmAQ+aY&#10;iWbOpJnRpH/fKRT6uNmXxV6uO1uJBzW+dKxgNExAEOdOl1woOJ8+nmcgfEDWWDkmBd/kYb3qPS0x&#10;1a7lAz2OoRBxhH2KCkwIdSqlzw1Z9ENXE0fv4hqLIcqmkLrBNo7bSo6TZCItlhwJBmt6N5Tfjncb&#10;Ifb6Np+1t9dst9l+7qfTbTb+MkoN+t1mASJQF/7Df+1MK5i/wO+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yH/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7B9800E5" w14:textId="77777777" w:rsidR="005C0634" w:rsidRDefault="005C0634" w:rsidP="00444F64">
                        <w:pPr>
                          <w:pStyle w:val="NormalWeb"/>
                          <w:spacing w:after="0"/>
                          <w:jc w:val="center"/>
                        </w:pPr>
                        <w:r>
                          <w:rPr>
                            <w:rFonts w:ascii="Calibri" w:hAnsi="Calibri" w:cs="Calibri"/>
                            <w:b/>
                            <w:bCs/>
                            <w:sz w:val="20"/>
                            <w:szCs w:val="20"/>
                          </w:rPr>
                          <w:t>PRACTICE POINT</w:t>
                        </w:r>
                      </w:p>
                      <w:p w14:paraId="116742A3" w14:textId="77777777" w:rsidR="005C0634" w:rsidRDefault="005C0634" w:rsidP="00444F64">
                        <w:pPr>
                          <w:pStyle w:val="NormalWeb"/>
                          <w:spacing w:after="0"/>
                          <w:jc w:val="center"/>
                        </w:pPr>
                        <w:r>
                          <w:t> </w:t>
                        </w:r>
                      </w:p>
                    </w:txbxContent>
                  </v:textbox>
                </v:roundrect>
                <v:shape id="Right Arrow 94" o:spid="_x0000_s1055" type="#_x0000_t13" style="position:absolute;left:13258;top:3004;width:327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oSsUA&#10;AADbAAAADwAAAGRycy9kb3ducmV2LnhtbESPQWvCQBSE74L/YXkFb7qpSGmjq8RAaaEIVVvw+Mw+&#10;k2D2bdzdavLv3UKhx2FmvmEWq8404krO15YVPE4SEMSF1TWXCr72r+NnED4ga2wsk4KePKyWw8EC&#10;U21vvKXrLpQiQtinqKAKoU2l9EVFBv3EtsTRO1lnMETpSqkd3iLcNHKaJE/SYM1xocKW8oqK8+7H&#10;KMjO+/Xh7dK5j3yTfebHnnv9zUqNHrpsDiJQF/7Df+13reBlB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ShKxQAAANsAAAAPAAAAAAAAAAAAAAAAAJgCAABkcnMv&#10;ZG93bnJldi54bWxQSwUGAAAAAAQABAD1AAAAigMAAAAA&#10;" adj="15309" fillcolor="#4f81bd [3204]" strokecolor="#243f60 [1604]" strokeweight="2pt"/>
                <v:roundrect id="Rectangle 7" o:spid="_x0000_s1056" style="position:absolute;top:13053;width:13258;height:6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1kMMA&#10;AADbAAAADwAAAGRycy9kb3ducmV2LnhtbESP3WrCQBCF7wu+wzJC7+pGqX/RVbQghCKFqg8wZMds&#10;NDubZlcT394tFHp5OD8fZ7nubCXu1PjSsYLhIAFBnDtdcqHgdNy9zUD4gKyxckwKHuRhveq9LDHV&#10;ruVvuh9CIeII+xQVmBDqVEqfG7LoB64mjt7ZNRZDlE0hdYNtHLeVHCXJRFosORIM1vRhKL8ebjZC&#10;7GU8n7XX92y/2X5+TafbbPRjlHrtd5sFiEBd+A//tTOtYD6G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1kMMAAADbAAAADwAAAAAAAAAAAAAAAACYAgAAZHJzL2Rv&#10;d25yZXYueG1sUEsFBgAAAAAEAAQA9QAAAIgDAAAAAA==&#10;" fillcolor="#ffbe86" strokecolor="#f69240" strokeweight="1pt">
                  <v:fill color2="#ffebdb" rotate="t" angle="180" colors="0 #ffbe86;22938f #ffd0aa;1 #ffebdb" focus="100%" type="gradient"/>
                  <v:shadow on="t" color="black" opacity="24903f" origin=",.5" offset="0,.55556mm"/>
                  <v:textbox>
                    <w:txbxContent>
                      <w:p w14:paraId="1E3C4975" w14:textId="77777777" w:rsidR="005C0634" w:rsidRDefault="005C0634" w:rsidP="00444F64">
                        <w:pPr>
                          <w:pStyle w:val="NormalWeb"/>
                          <w:spacing w:after="0"/>
                          <w:jc w:val="center"/>
                        </w:pPr>
                        <w:r>
                          <w:rPr>
                            <w:rFonts w:ascii="Calibri" w:hAnsi="Calibri" w:cs="Calibri"/>
                            <w:b/>
                            <w:bCs/>
                            <w:color w:val="00B050"/>
                            <w:sz w:val="20"/>
                            <w:szCs w:val="20"/>
                          </w:rPr>
                          <w:t>BASED ON CONSENSUS OF THE CRG</w:t>
                        </w:r>
                      </w:p>
                    </w:txbxContent>
                  </v:textbox>
                </v:roundrect>
                <v:roundrect id="Rectangle 7" o:spid="_x0000_s1057" style="position:absolute;left:17349;width:12725;height:55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r58QA&#10;AADbAAAADwAAAGRycy9kb3ducmV2LnhtbESP3WrCQBCF7wu+wzKCd7qpWH+iq2hBCFIKVR9gyI7Z&#10;1Oxsml1N+vZuQejl4fx8nNWms5W4U+NLxwpeRwkI4tzpkgsF59N+OAfhA7LGyjEp+CUPm3XvZYWp&#10;di1/0f0YChFH2KeowIRQp1L63JBFP3I1cfQurrEYomwKqRts47it5DhJptJiyZFgsKZ3Q/n1eLMR&#10;Yr/fFvP2Osk+trvD52y2y8Y/RqlBv9suQQTqwn/42c60gsUU/r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a+f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2B6049DF" w14:textId="1D9C34E3" w:rsidR="005C0634" w:rsidRDefault="005C0634" w:rsidP="00444F64">
                        <w:pPr>
                          <w:pStyle w:val="NormalWeb"/>
                          <w:spacing w:after="0"/>
                          <w:jc w:val="center"/>
                        </w:pPr>
                        <w:r>
                          <w:rPr>
                            <w:rFonts w:ascii="Calibri" w:hAnsi="Calibri" w:cs="Calibri"/>
                            <w:b/>
                            <w:bCs/>
                            <w:color w:val="00B050"/>
                            <w:sz w:val="20"/>
                            <w:szCs w:val="20"/>
                          </w:rPr>
                          <w:t>SUFFICIENT HIGH- QUALITY DATA</w:t>
                        </w:r>
                      </w:p>
                    </w:txbxContent>
                  </v:textbox>
                </v:roundrect>
                <v:shape id="Right Arrow 97" o:spid="_x0000_s1058" type="#_x0000_t13" style="position:absolute;left:30756;top:2834;width:399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p8sUA&#10;AADbAAAADwAAAGRycy9kb3ducmV2LnhtbESPQWvCQBSE7wX/w/IK3uomFaqmriIFtelN7cHjI/ua&#10;pM2+DdmNSfz1bkHwOMzMN8xy3ZtKXKhxpWUF8SQCQZxZXXKu4Pu0fZmDcB5ZY2WZFAzkYL0aPS0x&#10;0bbjA12OPhcBwi5BBYX3dSKlywoy6Ca2Jg7ej20M+iCbXOoGuwA3lXyNojdpsOSwUGBNHwVlf8fW&#10;KDjHX9Pzr7mW03aRdgPt5t0+zZQaP/ebdxCeev8I39ufWsFiBv9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SnyxQAAANsAAAAPAAAAAAAAAAAAAAAAAJgCAABkcnMv&#10;ZG93bnJldi54bWxQSwUGAAAAAAQABAD1AAAAigMAAAAA&#10;" adj="16445" fillcolor="#4f81bd" strokecolor="#385d8a" strokeweight="2pt">
                  <v:textbox>
                    <w:txbxContent>
                      <w:p w14:paraId="7059B27E" w14:textId="77777777" w:rsidR="005C0634" w:rsidRDefault="005C0634" w:rsidP="00444F64"/>
                    </w:txbxContent>
                  </v:textbox>
                </v:shape>
                <v:roundrect id="Rounded Rectangle 98" o:spid="_x0000_s1059" style="position:absolute;left:30074;width:5112;height:2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VhL8A&#10;AADbAAAADwAAAGRycy9kb3ducmV2LnhtbERPy4rCMBTdC/MP4Q7MRjTVhWg1igwMuCgDvvbX5toU&#10;m5uSRNuZrzcLweXhvFeb3jbiQT7UjhVMxhkI4tLpmisFp+PPaA4iRGSNjWNS8EcBNuuPwQpz7Tre&#10;0+MQK5FCOOSowMTY5lKG0pDFMHYtceKuzluMCfpKao9dCreNnGbZTFqsOTUYbOnbUHk73K2C6v93&#10;UZjJxfv7WQ87MyyKvg5KfX322yWISH18i1/unVawSGP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1RWEvwAAANsAAAAPAAAAAAAAAAAAAAAAAJgCAABkcnMvZG93bnJl&#10;di54bWxQSwUGAAAAAAQABAD1AAAAhAMAAAAA&#10;" filled="f" stroked="f" strokeweight="1pt">
                  <v:shadow on="t" color="black" opacity="24903f" origin=",.5" offset="0,.55556mm"/>
                  <v:textbox>
                    <w:txbxContent>
                      <w:p w14:paraId="6A71B0B1" w14:textId="77777777" w:rsidR="005C0634" w:rsidRDefault="005C0634" w:rsidP="00444F64">
                        <w:pPr>
                          <w:pStyle w:val="NormalWeb"/>
                          <w:spacing w:after="200"/>
                        </w:pPr>
                        <w:r>
                          <w:rPr>
                            <w:rFonts w:ascii="Cambria" w:hAnsi="Cambria"/>
                            <w:i/>
                            <w:iCs/>
                            <w:color w:val="C60C30"/>
                            <w:spacing w:val="15"/>
                          </w:rPr>
                          <w:t>YES</w:t>
                        </w:r>
                      </w:p>
                      <w:p w14:paraId="26945CCE" w14:textId="77777777" w:rsidR="005C0634" w:rsidRDefault="005C0634" w:rsidP="00444F64">
                        <w:pPr>
                          <w:pStyle w:val="NormalWeb"/>
                          <w:spacing w:after="0"/>
                        </w:pPr>
                        <w:r>
                          <w:rPr>
                            <w:rFonts w:ascii="Calibri" w:hAnsi="Calibri" w:cs="Calibri"/>
                          </w:rPr>
                          <w:t> </w:t>
                        </w:r>
                      </w:p>
                    </w:txbxContent>
                  </v:textbox>
                </v:roundrect>
                <v:roundrect id="Rounded Rectangle 99" o:spid="_x0000_s1060" style="position:absolute;left:7613;top:10157;width:5112;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wH8MA&#10;AADbAAAADwAAAGRycy9kb3ducmV2LnhtbESPT2sCMRTE70K/Q3gFL1Kzeiju1iilIHhYhPrn/tw8&#10;N4ublyWJ7raf3hQKHoeZ+Q2zXA+2FXfyoXGsYDbNQBBXTjdcKzgeNm8LECEia2wdk4IfCrBevYyW&#10;WGjX8zfd97EWCcKhQAUmxq6QMlSGLIap64iTd3HeYkzS11J77BPctnKeZe/SYsNpwWBHX4aq6/5m&#10;FdS/u7w0s7P3t5Oe9GZSlkMTlBq/Dp8fICIN8Rn+b2+1gjyHv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mwH8MAAADbAAAADwAAAAAAAAAAAAAAAACYAgAAZHJzL2Rv&#10;d25yZXYueG1sUEsFBgAAAAAEAAQA9QAAAIgDAAAAAA==&#10;" filled="f" stroked="f" strokeweight="1pt">
                  <v:shadow on="t" color="black" opacity="24903f" origin=",.5" offset="0,.55556mm"/>
                  <v:textbox>
                    <w:txbxContent>
                      <w:p w14:paraId="6AC9F4A9" w14:textId="77777777" w:rsidR="005C0634" w:rsidRDefault="005C0634" w:rsidP="00444F64">
                        <w:pPr>
                          <w:pStyle w:val="NormalWeb"/>
                          <w:spacing w:after="200"/>
                        </w:pPr>
                        <w:r>
                          <w:rPr>
                            <w:rFonts w:ascii="Cambria" w:hAnsi="Cambria"/>
                            <w:i/>
                            <w:iCs/>
                            <w:color w:val="C60C30"/>
                            <w:spacing w:val="15"/>
                          </w:rPr>
                          <w:t>NO</w:t>
                        </w:r>
                      </w:p>
                      <w:p w14:paraId="60BBDE92" w14:textId="77777777" w:rsidR="005C0634" w:rsidRDefault="005C0634" w:rsidP="00444F64">
                        <w:pPr>
                          <w:pStyle w:val="NormalWeb"/>
                          <w:spacing w:after="0"/>
                        </w:pPr>
                        <w:r>
                          <w:rPr>
                            <w:rFonts w:ascii="Calibri" w:hAnsi="Calibri" w:cs="Calibri"/>
                          </w:rPr>
                          <w:t> </w:t>
                        </w:r>
                      </w:p>
                    </w:txbxContent>
                  </v:textbox>
                </v:roundrect>
                <v:roundrect id="Rounded Rectangle 100" o:spid="_x0000_s1061" style="position:absolute;left:13913;top:14367;width:5112;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nycUA&#10;AADcAAAADwAAAGRycy9kb3ducmV2LnhtbESPQWsCMRCF7wX/QxihF9GsPZR2NYoIQg9Lodbex824&#10;WdxMliS62/76zqHQ2wzvzXvfrLej79SdYmoDG1guClDEdbAtNwZOn4f5C6iUkS12gcnANyXYbiYP&#10;ayxtGPiD7sfcKAnhVKIBl3Nfap1qRx7TIvTEol1C9JhljY22EQcJ951+Kopn7bFlaXDY095RfT3e&#10;vIHm5/21cstzjLcvOxvcrKrGNhnzOB13K1CZxvxv/rt+s4JfCL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ufJxQAAANwAAAAPAAAAAAAAAAAAAAAAAJgCAABkcnMv&#10;ZG93bnJldi54bWxQSwUGAAAAAAQABAD1AAAAigMAAAAA&#10;" filled="f" stroked="f" strokeweight="1pt">
                  <v:shadow on="t" color="black" opacity="24903f" origin=",.5" offset="0,.55556mm"/>
                  <v:textbox>
                    <w:txbxContent>
                      <w:p w14:paraId="6781A164" w14:textId="77777777" w:rsidR="005C0634" w:rsidRDefault="005C0634" w:rsidP="00444F64">
                        <w:pPr>
                          <w:pStyle w:val="NormalWeb"/>
                          <w:spacing w:after="200"/>
                        </w:pPr>
                        <w:r>
                          <w:rPr>
                            <w:rFonts w:ascii="Cambria" w:hAnsi="Cambria"/>
                            <w:i/>
                            <w:iCs/>
                            <w:color w:val="C60C30"/>
                            <w:spacing w:val="15"/>
                          </w:rPr>
                          <w:t>YES</w:t>
                        </w:r>
                      </w:p>
                      <w:p w14:paraId="73195FC1" w14:textId="77777777" w:rsidR="005C0634" w:rsidRDefault="005C0634" w:rsidP="00444F64">
                        <w:pPr>
                          <w:pStyle w:val="NormalWeb"/>
                          <w:spacing w:after="0"/>
                        </w:pPr>
                        <w:r>
                          <w:rPr>
                            <w:rFonts w:ascii="Calibri" w:hAnsi="Calibri" w:cs="Calibri"/>
                          </w:rPr>
                          <w:t> </w:t>
                        </w:r>
                      </w:p>
                    </w:txbxContent>
                  </v:textbox>
                </v:roundrect>
                <v:shape id="Right Arrow 101" o:spid="_x0000_s1062" type="#_x0000_t13" style="position:absolute;left:14079;top:17145;width:21107;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nHsEA&#10;AADcAAAADwAAAGRycy9kb3ducmV2LnhtbERP24rCMBB9F/Yfwiz4ImuqoJRqlGVxWV/E237A0Ixt&#10;sZmUJNrq1xtB8G0O5zrzZWdqcSXnK8sKRsMEBHFudcWFgv/j71cKwgdkjbVlUnAjD8vFR2+OmbYt&#10;7+l6CIWIIewzVFCG0GRS+rwkg35oG+LInawzGCJ0hdQO2xhuajlOkqk0WHFsKLGhn5Ly8+FiFOzb&#10;yZZ5Um92xv3dV8UubU6DVKn+Z/c9AxGoC2/xy73WcX4yg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5x7BAAAA3AAAAA8AAAAAAAAAAAAAAAAAmAIAAGRycy9kb3du&#10;cmV2LnhtbFBLBQYAAAAABAAEAPUAAACGAwAAAAA=&#10;" adj="20323" fillcolor="#4f81bd" strokecolor="#385d8a" strokeweight="2pt">
                  <v:textbox>
                    <w:txbxContent>
                      <w:p w14:paraId="2968166B" w14:textId="77777777" w:rsidR="005C0634" w:rsidRDefault="005C0634" w:rsidP="00444F64"/>
                    </w:txbxContent>
                  </v:textbox>
                </v:shape>
                <v:shape id="Down Arrow 102" o:spid="_x0000_s1063" type="#_x0000_t67" style="position:absolute;left:5457;top:10566;width:2134;height:2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sAA&#10;AADcAAAADwAAAGRycy9kb3ducmV2LnhtbERPTWvCQBC9F/wPywi91V0tpBpdRaTFngpV8TxkxySY&#10;nQ3ZMcZ/3y0UepvH+5zVZvCN6qmLdWAL04kBRVwEV3Np4XT8eJmDioLssAlMFh4UYbMePa0wd+HO&#10;39QfpFQphGOOFiqRNtc6FhV5jJPQEifuEjqPkmBXatfhPYX7Rs+MybTHmlNDhS3tKiquh5u3oHdF&#10;K83Xu+lfqadsn8np7byw9nk8bJeghAb5F/+5P12ab2bw+0y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L++sAAAADcAAAADwAAAAAAAAAAAAAAAACYAgAAZHJzL2Rvd25y&#10;ZXYueG1sUEsFBgAAAAAEAAQA9QAAAIUDAAAAAA==&#10;" adj="12519" fillcolor="#4f81bd [3204]" strokecolor="#243f60 [1604]" strokeweight="2pt"/>
                <v:roundrect id="Rounded Rectangle 103" o:spid="_x0000_s1064" style="position:absolute;left:24355;top:6743;width:5111;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5vsIA&#10;AADcAAAADwAAAGRycy9kb3ducmV2LnhtbERP32vCMBB+H/g/hBN8kZm6wZidaZHBYA9loM73W3Nr&#10;is2lJNFW/3ojDPZ2H9/PW5ej7cSZfGgdK1guMhDEtdMtNwq+9x+PryBCRNbYOSYFFwpQFpOHNeba&#10;Dbyl8y42IoVwyFGBibHPpQy1IYth4XrixP06bzEm6BupPQ4p3HbyKctepMWWU4PBnt4N1cfdySpo&#10;rl+ryix/vD8d9Hww86oa26DUbDpu3kBEGuO/+M/9qdP87Bnu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Hm+wgAAANwAAAAPAAAAAAAAAAAAAAAAAJgCAABkcnMvZG93&#10;bnJldi54bWxQSwUGAAAAAAQABAD1AAAAhwMAAAAA&#10;" filled="f" stroked="f" strokeweight="1pt">
                  <v:shadow on="t" color="black" opacity="24903f" origin=",.5" offset="0,.55556mm"/>
                  <v:textbox>
                    <w:txbxContent>
                      <w:p w14:paraId="0171AB94" w14:textId="77777777" w:rsidR="005C0634" w:rsidRDefault="005C0634" w:rsidP="00444F64">
                        <w:pPr>
                          <w:pStyle w:val="NormalWeb"/>
                          <w:spacing w:after="200"/>
                        </w:pPr>
                        <w:r>
                          <w:rPr>
                            <w:rFonts w:ascii="Cambria" w:hAnsi="Cambria"/>
                            <w:i/>
                            <w:iCs/>
                            <w:color w:val="C60C30"/>
                            <w:spacing w:val="15"/>
                          </w:rPr>
                          <w:t>NO</w:t>
                        </w:r>
                      </w:p>
                      <w:p w14:paraId="00D01081" w14:textId="77777777" w:rsidR="005C0634" w:rsidRDefault="005C0634" w:rsidP="00444F64">
                        <w:pPr>
                          <w:pStyle w:val="NormalWeb"/>
                          <w:spacing w:after="0"/>
                        </w:pPr>
                        <w:r>
                          <w:rPr>
                            <w:rFonts w:ascii="Calibri" w:hAnsi="Calibri" w:cs="Calibri"/>
                          </w:rPr>
                          <w:t> </w:t>
                        </w:r>
                      </w:p>
                    </w:txbxContent>
                  </v:textbox>
                </v:roundrect>
                <v:rect id="Rectangle 104" o:spid="_x0000_s1065" style="position:absolute;left:22637;top:6007;width:1067;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VYcIA&#10;AADcAAAADwAAAGRycy9kb3ducmV2LnhtbERPTWsCMRC9C/6HMEJvmlSKratRRCotlCJVL97GzXSz&#10;uJksSarrv28KBW/zeJ8zX3auERcKsfas4XGkQBCX3tRcaTjsN8MXEDEhG2w8k4YbRVgu+r05FsZf&#10;+Ysuu1SJHMKxQA02pbaQMpaWHMaRb4kz9+2Dw5RhqKQJeM3hrpFjpSbSYc25wWJLa0vleffjNJyP&#10;r9vP7fQw3jjzdlJ1ep7a8KH1w6BbzUAk6tJd/O9+N3m+eoK/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xVhwgAAANwAAAAPAAAAAAAAAAAAAAAAAJgCAABkcnMvZG93&#10;bnJldi54bWxQSwUGAAAAAAQABAD1AAAAhwMAAAAA&#10;" fillcolor="#4f81bd" strokecolor="#385d8a" strokeweight="2pt">
                  <v:textbox>
                    <w:txbxContent>
                      <w:p w14:paraId="67445153" w14:textId="77777777" w:rsidR="005C0634" w:rsidRDefault="005C0634" w:rsidP="00444F64"/>
                    </w:txbxContent>
                  </v:textbox>
                </v:rect>
                <v:shape id="Right Arrow 105" o:spid="_x0000_s1066" type="#_x0000_t13" style="position:absolute;left:22637;top:9677;width:12110;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vnsAA&#10;AADcAAAADwAAAGRycy9kb3ducmV2LnhtbERPS4vCMBC+C/6HMII3TRUsUo1S1gfeZFX0OtvMtmWb&#10;SW2i1n9vFgRv8/E9Z75sTSXu1LjSsoLRMAJBnFldcq7gdNwMpiCcR9ZYWSYFT3KwXHQ7c0y0ffA3&#10;3Q8+FyGEXYIKCu/rREqXFWTQDW1NHLhf2xj0ATa51A0+Qrip5DiKYmmw5NBQYE1fBWV/h5tRcN6b&#10;3cpsL+s4/eHTdR2P96k8K9XvtekMhKfWf8Rv906H+dEE/p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LvnsAAAADcAAAADwAAAAAAAAAAAAAAAACYAgAAZHJzL2Rvd25y&#10;ZXYueG1sUEsFBgAAAAAEAAQA9QAAAIUDAAAAAA==&#10;" adj="19822" fillcolor="#4f81bd" strokecolor="#385d8a" strokeweight="2pt">
                  <v:textbox>
                    <w:txbxContent>
                      <w:p w14:paraId="2B1B783E" w14:textId="77777777" w:rsidR="005C0634" w:rsidRDefault="005C0634" w:rsidP="00444F64">
                        <w:pPr>
                          <w:pStyle w:val="NormalWeb"/>
                          <w:spacing w:after="240"/>
                          <w:ind w:left="720"/>
                        </w:pPr>
                        <w:r>
                          <w:rPr>
                            <w:rFonts w:cs="Tahoma"/>
                            <w:color w:val="000000"/>
                            <w:sz w:val="22"/>
                            <w:szCs w:val="22"/>
                          </w:rPr>
                          <w:t> </w:t>
                        </w:r>
                      </w:p>
                    </w:txbxContent>
                  </v:textbox>
                </v:shape>
                <v:shape id="Down Arrow 106" o:spid="_x0000_s1067" type="#_x0000_t67" style="position:absolute;left:5457;top:20354;width:213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uzMIA&#10;AADcAAAADwAAAGRycy9kb3ducmV2LnhtbERPTYvCMBC9C/sfwgheRFM9iFSjiLAgLCvYCu7ehmRs&#10;i82kNLHWf28WFrzN433OetvbWnTU+sqxgtk0AUGsnam4UHDOPydLED4gG6wdk4InedhuPgZrTI17&#10;8Im6LBQihrBPUUEZQpNK6XVJFv3UNcSRu7rWYoiwLaRp8RHDbS3nSbKQFiuODSU2tC9J37K7VbDL&#10;f76/tPw1x0t3HF8PlO11/lRqNOx3KxCB+vAW/7sPJs5PFvD3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7MwgAAANwAAAAPAAAAAAAAAAAAAAAAAJgCAABkcnMvZG93&#10;bnJldi54bWxQSwUGAAAAAAQABAD1AAAAhwMAAAAA&#10;" adj="13536" fillcolor="#4f81bd" strokecolor="#385d8a" strokeweight="2pt">
                  <v:textbox>
                    <w:txbxContent>
                      <w:p w14:paraId="63B56CCF" w14:textId="77777777" w:rsidR="005C0634" w:rsidRDefault="005C0634" w:rsidP="00444F64"/>
                    </w:txbxContent>
                  </v:textbox>
                </v:shape>
                <v:roundrect id="Rounded Rectangle 107" o:spid="_x0000_s1068" style="position:absolute;left:7591;top:20354;width:4578;height:29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vcIA&#10;AADcAAAADwAAAGRycy9kb3ducmV2LnhtbERPTWvCQBC9F/wPywhepG7soa2pmyCFQg+hoNb7NDvN&#10;BrOzYXc10V/vCoXe5vE+Z12OthNn8qF1rGC5yEAQ10633Cj43n88voIIEVlj55gUXChAWUwe1phr&#10;N/CWzrvYiBTCIUcFJsY+lzLUhiyGheuJE/frvMWYoG+k9jikcNvJpyx7lhZbTg0Ge3o3VB93J6ug&#10;uX6tKrP88f500PPBzKtqbINSs+m4eQMRaYz/4j/3p07zsxe4P5Mu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3+9wgAAANwAAAAPAAAAAAAAAAAAAAAAAJgCAABkcnMvZG93&#10;bnJldi54bWxQSwUGAAAAAAQABAD1AAAAhwMAAAAA&#10;" filled="f" stroked="f" strokeweight="1pt">
                  <v:shadow on="t" color="black" opacity="24903f" origin=",.5" offset="0,.55556mm"/>
                  <v:textbox>
                    <w:txbxContent>
                      <w:p w14:paraId="4DDE226E" w14:textId="77777777" w:rsidR="005C0634" w:rsidRDefault="005C0634" w:rsidP="00444F64">
                        <w:pPr>
                          <w:pStyle w:val="NormalWeb"/>
                          <w:spacing w:after="200"/>
                        </w:pPr>
                        <w:r>
                          <w:rPr>
                            <w:rFonts w:ascii="Cambria" w:hAnsi="Cambria"/>
                            <w:i/>
                            <w:iCs/>
                            <w:color w:val="C60C30"/>
                            <w:spacing w:val="15"/>
                          </w:rPr>
                          <w:t>NO</w:t>
                        </w:r>
                      </w:p>
                      <w:p w14:paraId="5DDBB678" w14:textId="77777777" w:rsidR="005C0634" w:rsidRDefault="005C0634" w:rsidP="00444F64">
                        <w:pPr>
                          <w:pStyle w:val="NormalWeb"/>
                          <w:spacing w:after="0"/>
                        </w:pPr>
                        <w:r>
                          <w:rPr>
                            <w:rFonts w:ascii="Calibri" w:hAnsi="Calibri" w:cs="Calibri"/>
                          </w:rPr>
                          <w:t> </w:t>
                        </w:r>
                      </w:p>
                    </w:txbxContent>
                  </v:textbox>
                </v:roundrect>
                <v:roundrect id="Rectangle 7" o:spid="_x0000_s1069" style="position:absolute;top:23488;width:13258;height:4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N3MUA&#10;AADcAAAADwAAAGRycy9kb3ducmV2LnhtbESPzWrCQBDH74W+wzIFb3VTsVWjq2hBCKUItT7AkB2z&#10;qdnZNLua9O07h0JvM8z/4zerzeAbdaMu1oENPI0zUMRlsDVXBk6f+8c5qJiQLTaBycAPRdis7+9W&#10;mNvQ8wfdjqlSEsIxRwMupTbXOpaOPMZxaInldg6dxyRrV2nbYS/hvtGTLHvRHmuWBoctvToqL8er&#10;lxL/9byY95dp8b7dvR1ms10x+XbGjB6G7RJUoiH9i//chRX8T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w3cxQAAANwAAAAPAAAAAAAAAAAAAAAAAJgCAABkcnMv&#10;ZG93bnJldi54bWxQSwUGAAAAAAQABAD1AAAAigMAAAAA&#10;" fillcolor="#ffbe86" strokecolor="#f69240" strokeweight="1pt">
                  <v:fill color2="#ffebdb" rotate="t" angle="180" colors="0 #ffbe86;22938f #ffd0aa;1 #ffebdb" focus="100%" type="gradient"/>
                  <v:shadow on="t" color="black" opacity="24903f" origin=",.5" offset="0,.55556mm"/>
                  <v:textbox>
                    <w:txbxContent>
                      <w:p w14:paraId="3989BE1A" w14:textId="77777777" w:rsidR="005C0634" w:rsidRDefault="005C0634" w:rsidP="00444F64">
                        <w:pPr>
                          <w:pStyle w:val="NormalWeb"/>
                          <w:spacing w:after="0"/>
                          <w:jc w:val="center"/>
                        </w:pPr>
                        <w:r>
                          <w:rPr>
                            <w:rFonts w:ascii="Calibri" w:hAnsi="Calibri" w:cs="Calibri"/>
                            <w:b/>
                            <w:bCs/>
                            <w:color w:val="00B050"/>
                            <w:sz w:val="20"/>
                            <w:szCs w:val="20"/>
                          </w:rPr>
                          <w:t>NO STATEMENT MADE</w:t>
                        </w:r>
                      </w:p>
                    </w:txbxContent>
                  </v:textbox>
                </v:roundrect>
                <w10:anchorlock/>
              </v:group>
            </w:pict>
          </mc:Fallback>
        </mc:AlternateContent>
      </w:r>
    </w:p>
    <w:p w14:paraId="31B3CDD7" w14:textId="77777777" w:rsidR="00074C45" w:rsidRDefault="00074C45" w:rsidP="00FF2787">
      <w:pPr>
        <w:pStyle w:val="Normalbeforebullet"/>
      </w:pPr>
      <w:r>
        <w:lastRenderedPageBreak/>
        <w:t>The remainder of th</w:t>
      </w:r>
      <w:r w:rsidR="00411DB4">
        <w:t>is</w:t>
      </w:r>
      <w:r>
        <w:t xml:space="preserve"> document includes:</w:t>
      </w:r>
    </w:p>
    <w:p w14:paraId="59EC706B" w14:textId="77777777" w:rsidR="00074C45" w:rsidRDefault="00074C45" w:rsidP="00074C45">
      <w:pPr>
        <w:pStyle w:val="Bullet6"/>
      </w:pPr>
      <w:r>
        <w:t>an outline of the methods used to develop the clinical research questions, undertake a systematic review of the literature, and develop recommendations</w:t>
      </w:r>
      <w:r w:rsidR="00F4786F">
        <w:t xml:space="preserve"> and </w:t>
      </w:r>
      <w:r w:rsidR="0020578B">
        <w:t>practice point</w:t>
      </w:r>
      <w:r>
        <w:t>s (</w:t>
      </w:r>
      <w:r w:rsidR="000E4F57">
        <w:t>Chapter </w:t>
      </w:r>
      <w:r>
        <w:t>2)</w:t>
      </w:r>
    </w:p>
    <w:p w14:paraId="5EA1A55E" w14:textId="77777777" w:rsidR="00074C45" w:rsidRDefault="00074C45" w:rsidP="002F59ED">
      <w:pPr>
        <w:pStyle w:val="Bullet6"/>
      </w:pPr>
      <w:r>
        <w:t>clinical practice guidance, setting out the main findings of the systematic review and other considerations documented by the CRG</w:t>
      </w:r>
      <w:r w:rsidR="002F59ED">
        <w:t>,</w:t>
      </w:r>
      <w:r>
        <w:t xml:space="preserve"> </w:t>
      </w:r>
      <w:r w:rsidR="002F59ED">
        <w:t xml:space="preserve">and </w:t>
      </w:r>
      <w:r>
        <w:t>recommendations</w:t>
      </w:r>
      <w:r w:rsidR="009052A7">
        <w:rPr>
          <w:rFonts w:hint="eastAsia"/>
          <w:lang w:eastAsia="ja-JP"/>
        </w:rPr>
        <w:t xml:space="preserve"> and</w:t>
      </w:r>
      <w:r w:rsidR="00B5599B">
        <w:t xml:space="preserve"> </w:t>
      </w:r>
      <w:r w:rsidR="0020578B">
        <w:t>practice point</w:t>
      </w:r>
      <w:r w:rsidR="00687561">
        <w:t>s</w:t>
      </w:r>
      <w:r>
        <w:t>, as appropriate (</w:t>
      </w:r>
      <w:r w:rsidR="000E4F57">
        <w:t>Chapter </w:t>
      </w:r>
      <w:r w:rsidR="003348B8">
        <w:rPr>
          <w:lang w:eastAsia="ja-JP"/>
        </w:rPr>
        <w:t>3</w:t>
      </w:r>
      <w:r>
        <w:t>)</w:t>
      </w:r>
    </w:p>
    <w:p w14:paraId="7A51E195" w14:textId="77777777" w:rsidR="00041047" w:rsidRDefault="00041047" w:rsidP="002F59ED">
      <w:pPr>
        <w:pStyle w:val="Bullet6"/>
      </w:pPr>
      <w:r>
        <w:t>background questions (Chapter 4)</w:t>
      </w:r>
    </w:p>
    <w:p w14:paraId="32481A8C" w14:textId="77777777" w:rsidR="00074C45" w:rsidRDefault="00074C45" w:rsidP="009052A7">
      <w:pPr>
        <w:pStyle w:val="Bullet6"/>
      </w:pPr>
      <w:r>
        <w:t>recommendations f</w:t>
      </w:r>
      <w:r w:rsidR="009052A7">
        <w:t>or fu</w:t>
      </w:r>
      <w:r w:rsidR="003451D7">
        <w:t>ture directions</w:t>
      </w:r>
      <w:r w:rsidR="009052A7">
        <w:t xml:space="preserve"> (</w:t>
      </w:r>
      <w:r w:rsidR="000E4F57">
        <w:t>Chapter </w:t>
      </w:r>
      <w:r w:rsidR="00041047">
        <w:t>5</w:t>
      </w:r>
      <w:r w:rsidR="009052A7">
        <w:t>)</w:t>
      </w:r>
    </w:p>
    <w:p w14:paraId="132F4BCC" w14:textId="77777777" w:rsidR="009052A7" w:rsidRDefault="009052A7" w:rsidP="001C5F2E">
      <w:pPr>
        <w:pStyle w:val="Bullet12"/>
      </w:pPr>
      <w:r>
        <w:rPr>
          <w:rFonts w:hint="eastAsia"/>
          <w:lang w:eastAsia="ja-JP"/>
        </w:rPr>
        <w:t>informa</w:t>
      </w:r>
      <w:r w:rsidR="001C5F2E">
        <w:rPr>
          <w:rFonts w:hint="eastAsia"/>
          <w:lang w:eastAsia="ja-JP"/>
        </w:rPr>
        <w:t>tion on</w:t>
      </w:r>
      <w:r w:rsidR="001C5F2E" w:rsidRPr="001C5F2E">
        <w:t xml:space="preserve"> </w:t>
      </w:r>
      <w:r w:rsidR="001C5F2E">
        <w:t>implementing, evaluating and maintaining the guidelines (</w:t>
      </w:r>
      <w:r w:rsidR="000E4F57">
        <w:t>Chapter </w:t>
      </w:r>
      <w:r w:rsidR="00041047">
        <w:t>6</w:t>
      </w:r>
      <w:r w:rsidR="001C5F2E">
        <w:t>).</w:t>
      </w:r>
    </w:p>
    <w:p w14:paraId="187B89E8" w14:textId="77777777" w:rsidR="00074C45" w:rsidRDefault="00074C45" w:rsidP="009947A7">
      <w:r>
        <w:t xml:space="preserve">The document also includes appendixes that provide </w:t>
      </w:r>
      <w:r w:rsidR="00FE34B5">
        <w:t xml:space="preserve">information on </w:t>
      </w:r>
      <w:r>
        <w:t>membership of the governance bodies for guideline development</w:t>
      </w:r>
      <w:r w:rsidR="00FE34B5">
        <w:t xml:space="preserve"> and </w:t>
      </w:r>
      <w:r>
        <w:t>transfusion risks</w:t>
      </w:r>
      <w:r w:rsidR="00FE34B5">
        <w:t xml:space="preserve">; an overview of the blood sectors in Australia and New Zealand; </w:t>
      </w:r>
      <w:r>
        <w:t xml:space="preserve">a </w:t>
      </w:r>
      <w:r w:rsidRPr="00A92484">
        <w:t>process report</w:t>
      </w:r>
      <w:r w:rsidR="00FE34B5">
        <w:t>;</w:t>
      </w:r>
      <w:r w:rsidR="008F5D52">
        <w:t xml:space="preserve"> </w:t>
      </w:r>
      <w:r w:rsidR="00FE34B5">
        <w:t xml:space="preserve">information on </w:t>
      </w:r>
      <w:r w:rsidR="00F3590E" w:rsidRPr="00A92484">
        <w:t xml:space="preserve">blood </w:t>
      </w:r>
      <w:r w:rsidR="00127E7F" w:rsidRPr="00A92484">
        <w:t>component</w:t>
      </w:r>
      <w:r w:rsidR="00D3289E">
        <w:t xml:space="preserve"> product</w:t>
      </w:r>
      <w:r w:rsidR="00FE34B5">
        <w:t>s</w:t>
      </w:r>
      <w:r w:rsidR="009947A7">
        <w:t>; and guidance on dosing, assessment and optimisation of various products and situations in the neonatal and paediatric population. Finally</w:t>
      </w:r>
      <w:r>
        <w:t>, the document contains a list of references.</w:t>
      </w:r>
    </w:p>
    <w:p w14:paraId="566656FB" w14:textId="77777777" w:rsidR="00074C45" w:rsidRDefault="00074C45" w:rsidP="00882A1D">
      <w:pPr>
        <w:pStyle w:val="Heading3"/>
      </w:pPr>
      <w:bookmarkStart w:id="36" w:name="_Toc265585306"/>
      <w:bookmarkStart w:id="37" w:name="_Toc282672279"/>
      <w:bookmarkStart w:id="38" w:name="_Toc427851299"/>
      <w:r>
        <w:t>1.</w:t>
      </w:r>
      <w:r w:rsidR="00914BEB">
        <w:rPr>
          <w:lang w:val="en-US"/>
        </w:rPr>
        <w:t>2</w:t>
      </w:r>
      <w:r>
        <w:t>.2</w:t>
      </w:r>
      <w:r>
        <w:tab/>
        <w:t>Related materials</w:t>
      </w:r>
      <w:bookmarkEnd w:id="36"/>
      <w:bookmarkEnd w:id="37"/>
      <w:bookmarkEnd w:id="38"/>
    </w:p>
    <w:p w14:paraId="2F23C2E3" w14:textId="77777777" w:rsidR="009C7EFC" w:rsidRPr="002869CA" w:rsidRDefault="003C6485" w:rsidP="009C7EFC">
      <w:r w:rsidRPr="003C6485">
        <w:t>Materials relevant to clinicians will be developed to accompany this module; these materials will b</w:t>
      </w:r>
      <w:r>
        <w:t>e available online and in print</w:t>
      </w:r>
      <w:r w:rsidR="004F4B22">
        <w:t xml:space="preserve"> from the NBA</w:t>
      </w:r>
      <w:r w:rsidR="009C7EFC">
        <w:t>.</w:t>
      </w:r>
    </w:p>
    <w:p w14:paraId="09F840EE" w14:textId="77777777" w:rsidR="00074C45" w:rsidRPr="002869CA" w:rsidRDefault="00074C45" w:rsidP="00FF2787">
      <w:pPr>
        <w:pStyle w:val="Normalbeforebullet"/>
      </w:pPr>
      <w:r>
        <w:t>The technical report</w:t>
      </w:r>
      <w:r w:rsidR="002F59ED">
        <w:t xml:space="preserve"> that underpin</w:t>
      </w:r>
      <w:r w:rsidR="0027670A">
        <w:t>s</w:t>
      </w:r>
      <w:r>
        <w:t xml:space="preserve"> this document </w:t>
      </w:r>
      <w:r w:rsidR="0027670A">
        <w:t>is</w:t>
      </w:r>
      <w:r>
        <w:t xml:space="preserve"> also available online</w:t>
      </w:r>
      <w:r w:rsidR="003348B8">
        <w:t xml:space="preserve">, in </w:t>
      </w:r>
      <w:r w:rsidR="00983878">
        <w:t>two</w:t>
      </w:r>
      <w:r w:rsidR="003348B8">
        <w:t xml:space="preserve"> volumes:</w:t>
      </w:r>
    </w:p>
    <w:p w14:paraId="13DFA25C" w14:textId="1E2DEE51" w:rsidR="00074C45" w:rsidRDefault="00903EDD" w:rsidP="00074C45">
      <w:pPr>
        <w:pStyle w:val="Bullet6"/>
      </w:pPr>
      <w:r>
        <w:rPr>
          <w:i/>
        </w:rPr>
        <w:t>Volume </w:t>
      </w:r>
      <w:r w:rsidR="003348B8" w:rsidRPr="00167225">
        <w:rPr>
          <w:i/>
        </w:rPr>
        <w:t>1</w:t>
      </w:r>
      <w:hyperlink w:anchor="_ENREF_7" w:tooltip="National Blood Authority (NBA), In preparation #1002" w:history="1">
        <w:r w:rsidR="00E62798">
          <w:rPr>
            <w:lang w:val="en-AU"/>
          </w:rPr>
          <w:fldChar w:fldCharType="begin"/>
        </w:r>
        <w:r w:rsidR="00E62798">
          <w:rPr>
            <w:lang w:val="en-AU"/>
          </w:rPr>
          <w:instrText xml:space="preserve"> ADDIN EN.CITE &lt;EndNote&gt;&lt;Cite&gt;&lt;Author&gt;National Blood Authority (NBA)&lt;/Author&gt;&lt;Year&gt;In preparation&lt;/Year&gt;&lt;RecNum&gt;1002&lt;/RecNum&gt;&lt;DisplayText&gt;&lt;style face="superscript"&gt;7&lt;/style&gt;&lt;/DisplayText&gt;&lt;record&gt;&lt;rec-number&gt;1002&lt;/rec-number&gt;&lt;foreign-keys&gt;&lt;key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Australia&lt;/pub-location&gt;&lt;publisher&gt;NBA&lt;/publisher&gt;&lt;urls&gt;&lt;/urls&gt;&lt;/record&gt;&lt;/Cite&gt;&lt;/EndNote&gt;</w:instrText>
        </w:r>
        <w:r w:rsidR="00E62798">
          <w:rPr>
            <w:lang w:val="en-AU"/>
          </w:rPr>
          <w:fldChar w:fldCharType="separate"/>
        </w:r>
        <w:r w:rsidR="00E62798" w:rsidRPr="00E62798">
          <w:rPr>
            <w:noProof/>
            <w:vertAlign w:val="superscript"/>
            <w:lang w:val="en-AU"/>
          </w:rPr>
          <w:t>7</w:t>
        </w:r>
        <w:r w:rsidR="00E62798">
          <w:rPr>
            <w:lang w:val="en-AU"/>
          </w:rPr>
          <w:fldChar w:fldCharType="end"/>
        </w:r>
      </w:hyperlink>
      <w:r w:rsidR="003348B8" w:rsidRPr="00077E97">
        <w:br/>
      </w:r>
      <w:r w:rsidR="00983878">
        <w:t>This volume contains</w:t>
      </w:r>
      <w:r w:rsidR="003348B8" w:rsidRPr="003348B8">
        <w:t xml:space="preserve"> background information and the results of the systematic review</w:t>
      </w:r>
      <w:r w:rsidR="003348B8">
        <w:t>s</w:t>
      </w:r>
      <w:r w:rsidR="003348B8" w:rsidRPr="003348B8">
        <w:t xml:space="preserve"> pertaining to the clinical questions posed within this guideline</w:t>
      </w:r>
      <w:r w:rsidR="00983878">
        <w:t>.</w:t>
      </w:r>
    </w:p>
    <w:p w14:paraId="05646A3C" w14:textId="154771BC" w:rsidR="00690B43" w:rsidRDefault="00903EDD" w:rsidP="003451D7">
      <w:pPr>
        <w:pStyle w:val="Bullet12"/>
        <w:sectPr w:rsidR="00690B43" w:rsidSect="00CD29C9">
          <w:footnotePr>
            <w:numFmt w:val="lowerLetter"/>
          </w:footnotePr>
          <w:type w:val="oddPage"/>
          <w:pgSz w:w="11906" w:h="16838" w:code="9"/>
          <w:pgMar w:top="1440" w:right="1440" w:bottom="1440" w:left="1440" w:header="578" w:footer="578" w:gutter="0"/>
          <w:cols w:space="720"/>
          <w:titlePg/>
          <w:docGrid w:linePitch="360"/>
        </w:sectPr>
      </w:pPr>
      <w:r>
        <w:rPr>
          <w:i/>
        </w:rPr>
        <w:t>Volume </w:t>
      </w:r>
      <w:r w:rsidR="003348B8" w:rsidRPr="00167225">
        <w:rPr>
          <w:i/>
        </w:rPr>
        <w:t>2</w:t>
      </w:r>
      <w:hyperlink w:anchor="_ENREF_8" w:tooltip="National Blood Authority (NBA), In preparation #1001" w:history="1">
        <w:r w:rsidR="00E62798">
          <w:fldChar w:fldCharType="begin"/>
        </w:r>
        <w:r w:rsidR="00E62798">
          <w:instrText xml:space="preserve"> ADDIN EN.CITE &lt;EndNote&gt;&lt;Cite&gt;&lt;Author&gt;National Blood Authority (NBA)&lt;/Author&gt;&lt;Year&gt;In preparation&lt;/Year&gt;&lt;RecNum&gt;1001&lt;/RecNum&gt;&lt;DisplayText&gt;&lt;style face="superscript"&gt;8&lt;/style&gt;&lt;/DisplayText&gt;&lt;record&gt;&lt;rec-number&gt;1001&lt;/rec-number&gt;&lt;foreign-keys&gt;&lt;key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8</w:t>
        </w:r>
        <w:r w:rsidR="00E62798">
          <w:fldChar w:fldCharType="end"/>
        </w:r>
      </w:hyperlink>
      <w:r w:rsidR="00077E97" w:rsidRPr="00167225">
        <w:rPr>
          <w:i/>
        </w:rPr>
        <w:t xml:space="preserve"> </w:t>
      </w:r>
      <w:r w:rsidR="003348B8" w:rsidRPr="00167225">
        <w:rPr>
          <w:i/>
        </w:rPr>
        <w:br/>
      </w:r>
      <w:r w:rsidR="00983878">
        <w:t>This volume contains</w:t>
      </w:r>
      <w:r w:rsidR="00983878" w:rsidRPr="003348B8">
        <w:t xml:space="preserve"> </w:t>
      </w:r>
      <w:r w:rsidR="003348B8" w:rsidRPr="003348B8">
        <w:t xml:space="preserve">appendixes that document the literature searches, </w:t>
      </w:r>
      <w:r w:rsidR="00B7171F" w:rsidRPr="003348B8">
        <w:t>study</w:t>
      </w:r>
      <w:r w:rsidR="00B7171F">
        <w:t>-</w:t>
      </w:r>
      <w:r w:rsidR="003348B8" w:rsidRPr="003348B8">
        <w:t>quality appraisal, NHMRC evidence statement forms and evidence summaries for the individual studies</w:t>
      </w:r>
      <w:r w:rsidR="003348B8">
        <w:t>.</w:t>
      </w:r>
      <w:r w:rsidR="003348B8">
        <w:br/>
      </w:r>
    </w:p>
    <w:p w14:paraId="784C25DB" w14:textId="77777777" w:rsidR="00C64C3D" w:rsidRDefault="00C64C3D" w:rsidP="00C64C3D">
      <w:pPr>
        <w:pStyle w:val="Heading1"/>
      </w:pPr>
      <w:bookmarkStart w:id="39" w:name="_Toc265585307"/>
      <w:bookmarkStart w:id="40" w:name="_Toc282672280"/>
      <w:bookmarkStart w:id="41" w:name="_Toc427851300"/>
      <w:r>
        <w:lastRenderedPageBreak/>
        <w:t>2</w:t>
      </w:r>
      <w:r>
        <w:tab/>
        <w:t>Method</w:t>
      </w:r>
      <w:r w:rsidR="00CD1B51">
        <w:t>s</w:t>
      </w:r>
      <w:bookmarkEnd w:id="39"/>
      <w:bookmarkEnd w:id="40"/>
      <w:bookmarkEnd w:id="41"/>
    </w:p>
    <w:p w14:paraId="1C554D41" w14:textId="05B68BB8" w:rsidR="00C64C3D" w:rsidRDefault="00C64C3D" w:rsidP="00C64C3D">
      <w:r>
        <w:t>The development of evidence-based clinical practice guidelines that meet NHMRC standards involves developing a set of clinical research questions, systematically reviewing the scientific literature for evidence related to those questions, and then developing and grading recommendations based on a structured assessment of the evidence.</w:t>
      </w:r>
      <w:hyperlink w:anchor="_ENREF_22" w:tooltip="National Health and Medical Research Council (NHMRC), 2000 #1000" w:history="1">
        <w:r w:rsidR="00E62798">
          <w:fldChar w:fldCharType="begin"/>
        </w:r>
        <w:r w:rsidR="00E62798">
          <w:instrText xml:space="preserve"> ADDIN EN.CITE &lt;EndNote&gt;&lt;Cite&gt;&lt;Author&gt;National Health and Medical Research Council (NHMRC)&lt;/Author&gt;&lt;Year&gt;2000&lt;/Year&gt;&lt;RecNum&gt;1000&lt;/RecNum&gt;&lt;DisplayText&gt;&lt;style face="superscript"&gt;22&lt;/style&gt;&lt;/DisplayText&gt;&lt;record&gt;&lt;rec-number&gt;1000&lt;/rec-number&gt;&lt;foreign-keys&gt;&lt;key app="EN" db-id="9edve2wadsavt5ewavaxtda4f2tavzvts9ee" timestamp="1437464297"&gt;1000&lt;/key&gt;&lt;/foreign-keys&gt;&lt;ref-type name="Report"&gt;27&lt;/ref-type&gt;&lt;contributors&gt;&lt;authors&gt;&lt;author&gt;National Health and Medical Research Council (NHMRC),&lt;/author&gt;&lt;/authors&gt;&lt;/contributors&gt;&lt;titles&gt;&lt;title&gt;How to use the evidence: assessment and application of scientific evidence&lt;/title&gt;&lt;secondary-title&gt;NHMRC handbook series&lt;/secondary-title&gt;&lt;/titles&gt;&lt;dates&gt;&lt;year&gt;2000&lt;/year&gt;&lt;/dates&gt;&lt;pub-location&gt;Canberra, Australia&lt;/pub-location&gt;&lt;publisher&gt;NHMRC&lt;/publisher&gt;&lt;urls&gt;&lt;related-urls&gt;&lt;url&gt;http://www.nhmrc.gov.au/publications/synopses/cp69syn.htm&lt;/url&gt;&lt;/related-urls&gt;&lt;/urls&gt;&lt;/record&gt;&lt;/Cite&gt;&lt;/EndNote&gt;</w:instrText>
        </w:r>
        <w:r w:rsidR="00E62798">
          <w:fldChar w:fldCharType="separate"/>
        </w:r>
        <w:r w:rsidR="00E62798" w:rsidRPr="00E62798">
          <w:rPr>
            <w:noProof/>
            <w:vertAlign w:val="superscript"/>
          </w:rPr>
          <w:t>22</w:t>
        </w:r>
        <w:r w:rsidR="00E62798">
          <w:fldChar w:fldCharType="end"/>
        </w:r>
      </w:hyperlink>
      <w:r>
        <w:t xml:space="preserve"> The methods used in applying this process to the development of th</w:t>
      </w:r>
      <w:r w:rsidR="00A541BE">
        <w:t>is module</w:t>
      </w:r>
      <w:r>
        <w:t xml:space="preserve"> are outlined below, and are given in full in the accompanying</w:t>
      </w:r>
      <w:r w:rsidR="004A77AD">
        <w:t xml:space="preserve"> </w:t>
      </w:r>
      <w:r w:rsidR="00E46B41">
        <w:t>technical report.</w:t>
      </w:r>
      <w:r>
        <w:t xml:space="preserve"> A summary of the overall process </w:t>
      </w:r>
      <w:r w:rsidR="00A541BE">
        <w:t xml:space="preserve">for </w:t>
      </w:r>
      <w:r>
        <w:t xml:space="preserve">development </w:t>
      </w:r>
      <w:r w:rsidR="00A541BE">
        <w:t xml:space="preserve">of this module </w:t>
      </w:r>
      <w:r>
        <w:t>is given in Appendix </w:t>
      </w:r>
      <w:r w:rsidR="00707009">
        <w:t>B</w:t>
      </w:r>
      <w:r>
        <w:t>.</w:t>
      </w:r>
    </w:p>
    <w:p w14:paraId="0F81727C" w14:textId="77777777" w:rsidR="005F0FFB" w:rsidRDefault="00C64C3D" w:rsidP="005F0FFB">
      <w:pPr>
        <w:pStyle w:val="Heading2"/>
      </w:pPr>
      <w:bookmarkStart w:id="42" w:name="_Toc265585308"/>
      <w:bookmarkStart w:id="43" w:name="_Toc282672281"/>
      <w:bookmarkStart w:id="44" w:name="_Toc427851301"/>
      <w:r>
        <w:t>2.1</w:t>
      </w:r>
      <w:r>
        <w:tab/>
      </w:r>
      <w:r w:rsidR="005F0FFB">
        <w:t>Clinical research questions</w:t>
      </w:r>
      <w:bookmarkEnd w:id="42"/>
      <w:bookmarkEnd w:id="43"/>
      <w:bookmarkEnd w:id="44"/>
    </w:p>
    <w:p w14:paraId="7411B78A" w14:textId="77777777" w:rsidR="008C2954" w:rsidRPr="008C2954" w:rsidRDefault="008C2954" w:rsidP="00882A1D">
      <w:pPr>
        <w:pStyle w:val="Heading3"/>
      </w:pPr>
      <w:bookmarkStart w:id="45" w:name="_Toc427851302"/>
      <w:r>
        <w:t>2.1.1</w:t>
      </w:r>
      <w:r>
        <w:tab/>
        <w:t>Question development summary</w:t>
      </w:r>
      <w:bookmarkEnd w:id="45"/>
    </w:p>
    <w:p w14:paraId="66BB27AF" w14:textId="4A99AEDC" w:rsidR="00B44EF4" w:rsidRDefault="00C64C3D" w:rsidP="00230C00">
      <w:r>
        <w:t>Between</w:t>
      </w:r>
      <w:r w:rsidR="00690AB5">
        <w:t xml:space="preserve"> </w:t>
      </w:r>
      <w:r w:rsidR="005D1C7C">
        <w:t xml:space="preserve">February and November 2013, </w:t>
      </w:r>
      <w:r>
        <w:t xml:space="preserve">the relevant clinical research questions </w:t>
      </w:r>
      <w:r w:rsidR="00B273CE">
        <w:t xml:space="preserve">for this module </w:t>
      </w:r>
      <w:r>
        <w:t xml:space="preserve">were developed, </w:t>
      </w:r>
      <w:r w:rsidRPr="002E529D">
        <w:t>prioritised, combined and refined</w:t>
      </w:r>
      <w:r>
        <w:t xml:space="preserve"> by the </w:t>
      </w:r>
      <w:r w:rsidR="00707009">
        <w:t>Expert Working Group (</w:t>
      </w:r>
      <w:r>
        <w:t>EWG</w:t>
      </w:r>
      <w:r w:rsidR="00707009">
        <w:t>)</w:t>
      </w:r>
      <w:r>
        <w:t xml:space="preserve">, the </w:t>
      </w:r>
      <w:r w:rsidR="00A003F5">
        <w:t>independent systematic review expert</w:t>
      </w:r>
      <w:r>
        <w:t xml:space="preserve"> and the CRG</w:t>
      </w:r>
      <w:r w:rsidRPr="002E529D">
        <w:t xml:space="preserve"> </w:t>
      </w:r>
      <w:r>
        <w:t>(</w:t>
      </w:r>
      <w:r w:rsidRPr="008E2995">
        <w:t>Appendix</w:t>
      </w:r>
      <w:r>
        <w:t> A)</w:t>
      </w:r>
      <w:r w:rsidRPr="001A50F3">
        <w:t xml:space="preserve">. </w:t>
      </w:r>
      <w:r w:rsidR="00230C00">
        <w:t>The process is described in g</w:t>
      </w:r>
      <w:r w:rsidR="00B44EF4">
        <w:t xml:space="preserve">reater detail </w:t>
      </w:r>
      <w:r w:rsidR="00230C00">
        <w:t>in the technical reports</w:t>
      </w:r>
      <w:r w:rsidR="006537D0">
        <w:t>.</w:t>
      </w:r>
      <w:hyperlink w:anchor="_ENREF_7" w:tooltip="National Blood Authority (NBA), In preparation #1002" w:history="1">
        <w:r w:rsidR="00E62798">
          <w:fldChar w:fldCharType="begin"/>
        </w:r>
        <w:r w:rsidR="00E62798">
          <w:instrText xml:space="preserve"> ADDIN EN.CITE &lt;EndNote&gt;&lt;Cite&gt;&lt;Author&gt;National Blood Authority (NBA)&lt;/Author&gt;&lt;Year&gt;In preparation&lt;/Year&gt;&lt;RecNum&gt;1002&lt;/RecNum&gt;&lt;DisplayText&gt;&lt;style face="superscript"&gt;7-8&lt;/style&gt;&lt;/DisplayText&gt;&lt;record&gt;&lt;rec-number&gt;1002&lt;/rec-number&gt;&lt;foreign-keys&gt;&lt;key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Australia&lt;/pub-location&gt;&lt;publisher&gt;NBA&lt;/publisher&gt;&lt;urls&gt;&lt;/urls&gt;&lt;/record&gt;&lt;/Cite&gt;&lt;Cite&gt;&lt;Author&gt;National Blood Authority (NBA)&lt;/Author&gt;&lt;Year&gt;In preparation&lt;/Year&gt;&lt;RecNum&gt;1001&lt;/RecNum&gt;&lt;record&gt;&lt;rec-number&gt;1001&lt;/rec-number&gt;&lt;foreign-keys&gt;&lt;key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7-8</w:t>
        </w:r>
        <w:r w:rsidR="00E62798">
          <w:fldChar w:fldCharType="end"/>
        </w:r>
      </w:hyperlink>
      <w:r w:rsidR="00B44EF4">
        <w:t xml:space="preserve"> </w:t>
      </w:r>
      <w:hyperlink w:anchor="_ENREF_4" w:tooltip="National Blood Authority (NBA), In preparation #3" w:history="1"/>
      <w:hyperlink w:anchor="_ENREF_3" w:tooltip="National Blood Authority (NBA), 2011 #2" w:history="1"/>
      <w:hyperlink w:anchor="_ENREF_2" w:tooltip="National Blood Authority (NBA), 2012 #1" w:history="1"/>
      <w:r w:rsidR="00FA34F9">
        <w:t>T</w:t>
      </w:r>
      <w:r w:rsidR="00B44EF4">
        <w:t xml:space="preserve">he clinical research questions for systematic review </w:t>
      </w:r>
      <w:r w:rsidR="00FA34F9">
        <w:t xml:space="preserve">(Box 2.1) </w:t>
      </w:r>
      <w:r w:rsidR="00B44EF4">
        <w:t xml:space="preserve">were </w:t>
      </w:r>
      <w:r w:rsidR="00FA34F9">
        <w:t xml:space="preserve">all intervention questions </w:t>
      </w:r>
      <w:r w:rsidR="00B44EF4">
        <w:t>structured acco</w:t>
      </w:r>
      <w:r w:rsidR="00230C00">
        <w:t>rding to PICO (</w:t>
      </w:r>
      <w:r w:rsidR="00B44EF4">
        <w:t>population, inter</w:t>
      </w:r>
      <w:r w:rsidR="00230C00">
        <w:t>vention, comparator and outcome</w:t>
      </w:r>
      <w:r w:rsidR="00B44EF4">
        <w:t>)</w:t>
      </w:r>
      <w:r w:rsidR="00FA34F9">
        <w:t xml:space="preserve"> criteria.</w:t>
      </w:r>
      <w:r w:rsidR="00B44EF4">
        <w:t xml:space="preserve"> Three main strategies were used to identify potentially relevant literature: electronic database searching, manual searching and use of literature recommended by expert members of the CRG. The primary databases searched were EMBASE, Medline</w:t>
      </w:r>
      <w:r w:rsidR="00A71EDE">
        <w:t xml:space="preserve"> and </w:t>
      </w:r>
      <w:r w:rsidR="00B44EF4">
        <w:t>the Cochran</w:t>
      </w:r>
      <w:r w:rsidR="00A71EDE">
        <w:t>e Library Database</w:t>
      </w:r>
      <w:r w:rsidR="00B44EF4">
        <w:t xml:space="preserve">. Additional searches were conducted </w:t>
      </w:r>
      <w:r w:rsidR="00D21037">
        <w:t>on Health Technology Assessment and guideline websites (e.g., NICE</w:t>
      </w:r>
      <w:r w:rsidR="00E655B7">
        <w:t xml:space="preserve"> and</w:t>
      </w:r>
      <w:r w:rsidR="008D7BE3">
        <w:t xml:space="preserve"> CADTH), </w:t>
      </w:r>
      <w:r w:rsidR="00D21037">
        <w:t>clinical trial registrie</w:t>
      </w:r>
      <w:r w:rsidR="008D7BE3">
        <w:t>s and PreMedline.</w:t>
      </w:r>
      <w:r w:rsidR="00B44EF4">
        <w:t xml:space="preserve"> </w:t>
      </w:r>
    </w:p>
    <w:p w14:paraId="34EE5CD6" w14:textId="77777777" w:rsidR="008C2954" w:rsidRPr="00AA6D5B" w:rsidRDefault="008C2954" w:rsidP="008C2954">
      <w:pPr>
        <w:pStyle w:val="BoxName"/>
      </w:pPr>
      <w:r w:rsidRPr="00AA6D5B">
        <w:t>Box 2.1</w:t>
      </w:r>
      <w:r w:rsidRPr="00AA6D5B">
        <w:tab/>
        <w:t>Systematic review questions</w:t>
      </w:r>
    </w:p>
    <w:p w14:paraId="376C45AD" w14:textId="7F3FE64F" w:rsidR="008C2954" w:rsidRPr="00AA6D5B" w:rsidRDefault="008C2954" w:rsidP="008C2954">
      <w:pPr>
        <w:pStyle w:val="BoxText"/>
      </w:pPr>
      <w:r w:rsidRPr="00AA6D5B">
        <w:t>Question</w:t>
      </w:r>
      <w:r>
        <w:t>s</w:t>
      </w:r>
      <w:r w:rsidRPr="00AA6D5B">
        <w:t xml:space="preserve"> </w:t>
      </w:r>
      <w:r>
        <w:t>1</w:t>
      </w:r>
      <w:r w:rsidRPr="00AA6D5B">
        <w:t>–</w:t>
      </w:r>
      <w:r>
        <w:t>3</w:t>
      </w:r>
      <w:r w:rsidRPr="00AA6D5B">
        <w:t xml:space="preserve"> are relevant to all six modules of these guidelines</w:t>
      </w:r>
      <w:r>
        <w:t>; question 4</w:t>
      </w:r>
      <w:r w:rsidRPr="00AA6D5B">
        <w:t xml:space="preserve"> is specific t</w:t>
      </w:r>
      <w:r>
        <w:t>o</w:t>
      </w:r>
      <w:r w:rsidRPr="00AA6D5B">
        <w:t xml:space="preserve"> transfusion</w:t>
      </w:r>
      <w:r>
        <w:t xml:space="preserve"> in </w:t>
      </w:r>
      <w:r>
        <w:rPr>
          <w:lang w:val="en-US"/>
        </w:rPr>
        <w:t xml:space="preserve">a </w:t>
      </w:r>
      <w:r w:rsidR="00707009">
        <w:rPr>
          <w:lang w:val="en-US"/>
        </w:rPr>
        <w:t>neonatal and paediatric</w:t>
      </w:r>
      <w:r w:rsidR="0075053D">
        <w:rPr>
          <w:lang w:val="en-US"/>
        </w:rPr>
        <w:t xml:space="preserve"> </w:t>
      </w:r>
      <w:r>
        <w:t>setting</w:t>
      </w:r>
      <w:r w:rsidRPr="00AA6D5B">
        <w:t xml:space="preserve"> (i.e. to this module</w:t>
      </w:r>
      <w:r>
        <w:t>).</w:t>
      </w:r>
    </w:p>
    <w:p w14:paraId="4FB9BFB6" w14:textId="2F64219B" w:rsidR="008C2954" w:rsidRDefault="008C2954" w:rsidP="00584682">
      <w:pPr>
        <w:pStyle w:val="BoxBullet"/>
      </w:pPr>
      <w:r w:rsidRPr="0027670A">
        <w:rPr>
          <w:i/>
        </w:rPr>
        <w:t xml:space="preserve">Question </w:t>
      </w:r>
      <w:r>
        <w:rPr>
          <w:i/>
        </w:rPr>
        <w:t>1</w:t>
      </w:r>
      <w:r>
        <w:t xml:space="preserve"> – </w:t>
      </w:r>
      <w:r w:rsidR="00584682" w:rsidRPr="00584682">
        <w:t xml:space="preserve">In </w:t>
      </w:r>
      <w:r w:rsidR="0086731F" w:rsidRPr="00E62B86">
        <w:t xml:space="preserve">neonates/paediatric </w:t>
      </w:r>
      <w:r w:rsidR="00584682" w:rsidRPr="00584682">
        <w:t xml:space="preserve">patients, what is the effect of RBC (allogeneic) transfusion on patient outcomes? </w:t>
      </w:r>
      <w:r>
        <w:t>(Interventional question)</w:t>
      </w:r>
    </w:p>
    <w:p w14:paraId="23FC75FF" w14:textId="640AB4BF" w:rsidR="008C2954" w:rsidRPr="00E77F3F" w:rsidRDefault="008C2954" w:rsidP="00E62B86">
      <w:pPr>
        <w:pStyle w:val="BoxBullet"/>
      </w:pPr>
      <w:r w:rsidRPr="0027670A">
        <w:rPr>
          <w:i/>
        </w:rPr>
        <w:t xml:space="preserve">Question </w:t>
      </w:r>
      <w:r>
        <w:rPr>
          <w:i/>
        </w:rPr>
        <w:t>2</w:t>
      </w:r>
      <w:r w:rsidR="00E62B86">
        <w:t xml:space="preserve"> – </w:t>
      </w:r>
      <w:r w:rsidR="00E62B86" w:rsidRPr="00E62B86">
        <w:t xml:space="preserve">In neonates/paediatric patients, what is the effect of non-transfusion interventions to increase the </w:t>
      </w:r>
      <w:r w:rsidR="00707009">
        <w:rPr>
          <w:lang w:val="en-AU"/>
        </w:rPr>
        <w:t>Hb</w:t>
      </w:r>
      <w:r w:rsidR="00E62B86" w:rsidRPr="00E62B86">
        <w:t xml:space="preserve"> concentration on morbidity, mortalit</w:t>
      </w:r>
      <w:r w:rsidR="00E62B86">
        <w:t>y, and need for RBC transfusion</w:t>
      </w:r>
      <w:r w:rsidRPr="00E77F3F">
        <w:t>? (Interventional question)</w:t>
      </w:r>
    </w:p>
    <w:p w14:paraId="2747790D" w14:textId="77777777" w:rsidR="008C2954" w:rsidRDefault="008C2954" w:rsidP="008C2954">
      <w:pPr>
        <w:pStyle w:val="BoxBullet"/>
      </w:pPr>
      <w:r w:rsidRPr="00E77F3F">
        <w:rPr>
          <w:i/>
        </w:rPr>
        <w:t xml:space="preserve">Question 3 </w:t>
      </w:r>
      <w:r w:rsidRPr="00E77F3F">
        <w:t xml:space="preserve">– </w:t>
      </w:r>
      <w:r w:rsidR="00E62B86" w:rsidRPr="00E62B86">
        <w:t>In neonates/paediatric patients</w:t>
      </w:r>
      <w:r w:rsidR="00E62B86">
        <w:t xml:space="preserve">, </w:t>
      </w:r>
      <w:r w:rsidRPr="00E77F3F">
        <w:t>what is the effect of FFP, cryoprecipitate, fibrinogen concentrate, and/or platelet transfusion on patient outcomes? (Interventional question)</w:t>
      </w:r>
    </w:p>
    <w:p w14:paraId="7BFBB126" w14:textId="77777777" w:rsidR="0079028D" w:rsidRPr="00E77F3F" w:rsidRDefault="0079028D" w:rsidP="008C2954">
      <w:pPr>
        <w:pStyle w:val="BoxBullet"/>
      </w:pPr>
      <w:r>
        <w:rPr>
          <w:i/>
          <w:lang w:val="en-AU"/>
        </w:rPr>
        <w:t xml:space="preserve">Question 4 </w:t>
      </w:r>
      <w:r w:rsidRPr="0079028D">
        <w:t>–</w:t>
      </w:r>
      <w:r>
        <w:rPr>
          <w:lang w:val="en-AU"/>
        </w:rPr>
        <w:t xml:space="preserve"> </w:t>
      </w:r>
      <w:r w:rsidRPr="00E62B86">
        <w:t>In neonates/paediatric patients</w:t>
      </w:r>
      <w:r>
        <w:t>,</w:t>
      </w:r>
      <w:r>
        <w:rPr>
          <w:lang w:val="en-AU"/>
        </w:rPr>
        <w:t xml:space="preserve"> what is the effect of strategies that minimise blood loss and/or reduce the need for RBC transfusion? (Interventional question)</w:t>
      </w:r>
    </w:p>
    <w:p w14:paraId="01C7FF50" w14:textId="77777777" w:rsidR="006A6E85" w:rsidRDefault="008C2954" w:rsidP="008C2954">
      <w:pPr>
        <w:pStyle w:val="BoxNotes"/>
      </w:pPr>
      <w:r w:rsidRPr="00E076CF">
        <w:t xml:space="preserve">FFP, fresh frozen plasma; </w:t>
      </w:r>
      <w:r>
        <w:rPr>
          <w:lang w:val="en-US"/>
        </w:rPr>
        <w:t>Hb, haemoglobin;</w:t>
      </w:r>
      <w:r w:rsidR="0027790E">
        <w:rPr>
          <w:lang w:val="en-US"/>
        </w:rPr>
        <w:t xml:space="preserve"> </w:t>
      </w:r>
      <w:r w:rsidRPr="00E076CF">
        <w:t>RBC, red blood cell</w:t>
      </w:r>
    </w:p>
    <w:p w14:paraId="709A40F4" w14:textId="77777777" w:rsidR="007B117C" w:rsidRDefault="007B117C" w:rsidP="00386AAB">
      <w:pPr>
        <w:pStyle w:val="Heading3"/>
      </w:pPr>
      <w:bookmarkStart w:id="46" w:name="_Toc427851303"/>
      <w:r>
        <w:t>2.1.2</w:t>
      </w:r>
      <w:r w:rsidRPr="007B117C">
        <w:tab/>
        <w:t>Background material</w:t>
      </w:r>
      <w:bookmarkEnd w:id="46"/>
    </w:p>
    <w:p w14:paraId="68BAC6E1" w14:textId="53CA8328" w:rsidR="007B117C" w:rsidRPr="008B5C5B" w:rsidRDefault="007B117C" w:rsidP="007B117C">
      <w:r>
        <w:t xml:space="preserve">Material relevant to background questions was gathered by </w:t>
      </w:r>
      <w:r w:rsidR="00086D2F">
        <w:t>consultants</w:t>
      </w:r>
      <w:r w:rsidR="006F3C86">
        <w:t xml:space="preserve">, </w:t>
      </w:r>
      <w:r>
        <w:t>registrars</w:t>
      </w:r>
      <w:r w:rsidR="006F3C86">
        <w:t xml:space="preserve"> or nurses</w:t>
      </w:r>
      <w:r>
        <w:t xml:space="preserve"> under the supervision of CRG members. Sources included medical textbooks, grey literature, published scientific and review articles, series yearbooks and other relevant medical </w:t>
      </w:r>
      <w:r>
        <w:lastRenderedPageBreak/>
        <w:t>literature; however, systematic review processes were not applied. The questions researched are listed in Box 2.2.</w:t>
      </w:r>
    </w:p>
    <w:p w14:paraId="606C886B" w14:textId="77777777" w:rsidR="007B117C" w:rsidRPr="00AA6D5B" w:rsidRDefault="007B117C" w:rsidP="007B117C">
      <w:pPr>
        <w:pStyle w:val="BoxName"/>
      </w:pPr>
      <w:r>
        <w:t>Box 2.2</w:t>
      </w:r>
      <w:r w:rsidRPr="00AA6D5B">
        <w:tab/>
      </w:r>
      <w:r>
        <w:t>Background research</w:t>
      </w:r>
      <w:r w:rsidRPr="00AA6D5B">
        <w:t xml:space="preserve"> questions</w:t>
      </w:r>
    </w:p>
    <w:p w14:paraId="3EBA532D" w14:textId="3D189626" w:rsidR="007B117C" w:rsidRDefault="007B117C" w:rsidP="004646CD">
      <w:pPr>
        <w:pStyle w:val="BoxBullet"/>
      </w:pPr>
      <w:r>
        <w:rPr>
          <w:i/>
        </w:rPr>
        <w:t xml:space="preserve">Background </w:t>
      </w:r>
      <w:r w:rsidR="00707009" w:rsidRPr="0027670A">
        <w:rPr>
          <w:i/>
        </w:rPr>
        <w:t xml:space="preserve">question </w:t>
      </w:r>
      <w:r>
        <w:rPr>
          <w:i/>
        </w:rPr>
        <w:t>1</w:t>
      </w:r>
      <w:r>
        <w:t xml:space="preserve"> – </w:t>
      </w:r>
      <w:r w:rsidR="004646CD" w:rsidRPr="004646CD">
        <w:t xml:space="preserve">For </w:t>
      </w:r>
      <w:r w:rsidR="0086731F">
        <w:rPr>
          <w:rFonts w:eastAsia="Calibri"/>
          <w:lang w:val="en-AU"/>
        </w:rPr>
        <w:t xml:space="preserve">fetal, neonatal or </w:t>
      </w:r>
      <w:r w:rsidR="0086731F" w:rsidRPr="00B838CB">
        <w:rPr>
          <w:rFonts w:eastAsia="Calibri"/>
        </w:rPr>
        <w:t>paediatric</w:t>
      </w:r>
      <w:r w:rsidR="0086731F">
        <w:rPr>
          <w:rFonts w:eastAsia="Calibri"/>
        </w:rPr>
        <w:t xml:space="preserve"> </w:t>
      </w:r>
      <w:r w:rsidR="004646CD" w:rsidRPr="004646CD">
        <w:t>patients, does selection of specific blood products, when compared with routine blood products improve outcomes?</w:t>
      </w:r>
    </w:p>
    <w:p w14:paraId="0D15CB2E" w14:textId="5C96A9BD" w:rsidR="006A6E85" w:rsidRDefault="007B117C" w:rsidP="00BF7AD6">
      <w:pPr>
        <w:pStyle w:val="BoxBullet"/>
      </w:pPr>
      <w:r>
        <w:rPr>
          <w:i/>
        </w:rPr>
        <w:t xml:space="preserve">Background </w:t>
      </w:r>
      <w:r w:rsidR="00707009" w:rsidRPr="0027670A">
        <w:rPr>
          <w:i/>
        </w:rPr>
        <w:t xml:space="preserve">question </w:t>
      </w:r>
      <w:r>
        <w:rPr>
          <w:i/>
        </w:rPr>
        <w:t>2</w:t>
      </w:r>
      <w:r>
        <w:t xml:space="preserve"> – </w:t>
      </w:r>
      <w:r w:rsidR="00B51C88">
        <w:rPr>
          <w:bCs/>
        </w:rPr>
        <w:t>In fetuses at risk for thrombocytop</w:t>
      </w:r>
      <w:r w:rsidR="00840600">
        <w:rPr>
          <w:bCs/>
          <w:lang w:val="en-AU"/>
        </w:rPr>
        <w:t>a</w:t>
      </w:r>
      <w:r w:rsidR="00B51C88">
        <w:rPr>
          <w:bCs/>
        </w:rPr>
        <w:t>enia or anaemia, do particular strategies for detection, intrauterine transfusion and other management improve outcomes and/or reduce the need for neonatal transfusion?</w:t>
      </w:r>
      <w:r w:rsidR="00F848F2">
        <w:rPr>
          <w:bCs/>
        </w:rPr>
        <w:t xml:space="preserve"> </w:t>
      </w:r>
    </w:p>
    <w:p w14:paraId="1820516C" w14:textId="566778A6" w:rsidR="006537D0" w:rsidRPr="0086731F" w:rsidRDefault="007B117C" w:rsidP="0086731F">
      <w:pPr>
        <w:pStyle w:val="BoxBullet"/>
        <w:rPr>
          <w:rFonts w:eastAsia="Calibri"/>
        </w:rPr>
      </w:pPr>
      <w:r>
        <w:rPr>
          <w:i/>
        </w:rPr>
        <w:t xml:space="preserve">Background </w:t>
      </w:r>
      <w:r w:rsidR="00707009" w:rsidRPr="00E77F3F">
        <w:rPr>
          <w:i/>
        </w:rPr>
        <w:t xml:space="preserve">question </w:t>
      </w:r>
      <w:r w:rsidRPr="00E77F3F">
        <w:rPr>
          <w:i/>
        </w:rPr>
        <w:t xml:space="preserve">3 </w:t>
      </w:r>
      <w:r w:rsidRPr="00E77F3F">
        <w:t>–</w:t>
      </w:r>
      <w:r w:rsidR="004646CD">
        <w:rPr>
          <w:lang w:val="en-AU"/>
        </w:rPr>
        <w:t xml:space="preserve"> </w:t>
      </w:r>
      <w:r w:rsidR="0086731F">
        <w:t>In neonatal and paediatric patients, d</w:t>
      </w:r>
      <w:r w:rsidR="0086731F" w:rsidRPr="00CB365F">
        <w:t xml:space="preserve">o </w:t>
      </w:r>
      <w:r w:rsidR="0086731F">
        <w:t xml:space="preserve">non-pharmacologic blood conservation </w:t>
      </w:r>
      <w:r w:rsidR="0086731F" w:rsidRPr="00CB365F">
        <w:t xml:space="preserve">strategies </w:t>
      </w:r>
      <w:r w:rsidR="0086731F">
        <w:t>aimed at</w:t>
      </w:r>
      <w:r w:rsidR="0086731F" w:rsidRPr="00CB365F">
        <w:t xml:space="preserve"> minimisation of blood loss from sampling reduce the </w:t>
      </w:r>
      <w:r w:rsidR="0086731F">
        <w:t>incidence of red cell transfusion</w:t>
      </w:r>
      <w:r w:rsidR="004646CD" w:rsidRPr="004646CD">
        <w:rPr>
          <w:lang w:val="en-AU"/>
        </w:rPr>
        <w:t>?</w:t>
      </w:r>
    </w:p>
    <w:p w14:paraId="2AE04812" w14:textId="3A04C597" w:rsidR="006A6E85" w:rsidRDefault="007B117C" w:rsidP="004646CD">
      <w:pPr>
        <w:pStyle w:val="BoxBullet"/>
      </w:pPr>
      <w:r>
        <w:rPr>
          <w:i/>
        </w:rPr>
        <w:t xml:space="preserve">Background </w:t>
      </w:r>
      <w:r w:rsidR="00707009" w:rsidRPr="00E77F3F">
        <w:rPr>
          <w:i/>
        </w:rPr>
        <w:t xml:space="preserve">question </w:t>
      </w:r>
      <w:r w:rsidRPr="00E77F3F">
        <w:rPr>
          <w:i/>
        </w:rPr>
        <w:t xml:space="preserve">4 </w:t>
      </w:r>
      <w:r w:rsidRPr="00E77F3F">
        <w:t xml:space="preserve">– </w:t>
      </w:r>
      <w:r w:rsidR="004646CD" w:rsidRPr="004646CD">
        <w:t xml:space="preserve">In perioperative neonatal and paediatric patients </w:t>
      </w:r>
      <w:r w:rsidR="0086731F">
        <w:rPr>
          <w:lang w:val="en-AU"/>
        </w:rPr>
        <w:t>undergoing</w:t>
      </w:r>
      <w:r w:rsidR="004646CD" w:rsidRPr="004646CD">
        <w:t xml:space="preserve"> cardiac surgery, do strategies to minimise blood loss reduce the need</w:t>
      </w:r>
      <w:r w:rsidR="004646CD">
        <w:t xml:space="preserve"> for</w:t>
      </w:r>
      <w:r w:rsidR="004646CD" w:rsidRPr="004646CD">
        <w:t xml:space="preserve"> transfusion?</w:t>
      </w:r>
    </w:p>
    <w:p w14:paraId="756D9958" w14:textId="5FFE1755" w:rsidR="008D321F" w:rsidRPr="00952D8F" w:rsidRDefault="008D321F" w:rsidP="004646CD">
      <w:pPr>
        <w:pStyle w:val="BoxBullet"/>
      </w:pPr>
      <w:r>
        <w:rPr>
          <w:i/>
          <w:lang w:val="en-AU"/>
        </w:rPr>
        <w:t xml:space="preserve">Background </w:t>
      </w:r>
      <w:r w:rsidR="00707009">
        <w:rPr>
          <w:i/>
          <w:lang w:val="en-AU"/>
        </w:rPr>
        <w:t xml:space="preserve">question </w:t>
      </w:r>
      <w:r>
        <w:rPr>
          <w:i/>
          <w:lang w:val="en-AU"/>
        </w:rPr>
        <w:t xml:space="preserve">5 </w:t>
      </w:r>
      <w:r w:rsidRPr="008D321F">
        <w:t>–</w:t>
      </w:r>
      <w:r>
        <w:rPr>
          <w:lang w:val="en-AU"/>
        </w:rPr>
        <w:t xml:space="preserve"> </w:t>
      </w:r>
      <w:r w:rsidR="006718D6">
        <w:rPr>
          <w:lang w:val="en-AU"/>
        </w:rPr>
        <w:t>In neonates and children, w</w:t>
      </w:r>
      <w:r w:rsidR="00E374A9">
        <w:rPr>
          <w:lang w:val="en-AU"/>
        </w:rPr>
        <w:t>hat recommendations should be made for the detection, diagnosis and management of iron deficiency anaemia?</w:t>
      </w:r>
    </w:p>
    <w:p w14:paraId="73833BF8" w14:textId="425728B3" w:rsidR="00952D8F" w:rsidRDefault="00952D8F" w:rsidP="004646CD">
      <w:pPr>
        <w:pStyle w:val="BoxBullet"/>
      </w:pPr>
      <w:r>
        <w:rPr>
          <w:i/>
          <w:lang w:val="en-AU"/>
        </w:rPr>
        <w:t xml:space="preserve">Background question 6 </w:t>
      </w:r>
      <w:r w:rsidRPr="00952D8F">
        <w:t>–</w:t>
      </w:r>
      <w:r>
        <w:rPr>
          <w:lang w:val="en-AU"/>
        </w:rPr>
        <w:t xml:space="preserve"> </w:t>
      </w:r>
      <w:r w:rsidR="006718D6">
        <w:rPr>
          <w:lang w:val="en-AU"/>
        </w:rPr>
        <w:t>In neonates and children, w</w:t>
      </w:r>
      <w:r>
        <w:rPr>
          <w:lang w:val="en-AU"/>
        </w:rPr>
        <w:t>hat recommendations should be made for</w:t>
      </w:r>
      <w:r w:rsidR="006718D6">
        <w:rPr>
          <w:lang w:val="en-AU"/>
        </w:rPr>
        <w:t xml:space="preserve"> dealing with critical bleeding?</w:t>
      </w:r>
    </w:p>
    <w:p w14:paraId="793997FA" w14:textId="77777777" w:rsidR="00C64C3D" w:rsidRDefault="00C64C3D" w:rsidP="00C64C3D">
      <w:pPr>
        <w:pStyle w:val="Heading2"/>
      </w:pPr>
      <w:bookmarkStart w:id="47" w:name="_Toc265585309"/>
      <w:bookmarkStart w:id="48" w:name="_Toc282672282"/>
      <w:bookmarkStart w:id="49" w:name="_Toc427851304"/>
      <w:r>
        <w:t>2.2</w:t>
      </w:r>
      <w:r>
        <w:tab/>
        <w:t>Review and research</w:t>
      </w:r>
      <w:bookmarkEnd w:id="47"/>
      <w:bookmarkEnd w:id="48"/>
      <w:bookmarkEnd w:id="49"/>
    </w:p>
    <w:p w14:paraId="31884FED" w14:textId="77777777" w:rsidR="00C64C3D" w:rsidRDefault="00C64C3D" w:rsidP="00882A1D">
      <w:pPr>
        <w:pStyle w:val="Heading3"/>
      </w:pPr>
      <w:bookmarkStart w:id="50" w:name="_Toc265585310"/>
      <w:bookmarkStart w:id="51" w:name="_Toc282672283"/>
      <w:bookmarkStart w:id="52" w:name="_Toc427851305"/>
      <w:r>
        <w:t>2.2.1</w:t>
      </w:r>
      <w:r>
        <w:tab/>
        <w:t>Systematic review process</w:t>
      </w:r>
      <w:bookmarkEnd w:id="50"/>
      <w:bookmarkEnd w:id="51"/>
      <w:bookmarkEnd w:id="52"/>
    </w:p>
    <w:p w14:paraId="556F058C" w14:textId="2D3AD453" w:rsidR="00D9449A" w:rsidRDefault="00D9449A" w:rsidP="00FF2787">
      <w:pPr>
        <w:pStyle w:val="Normalbeforebullet"/>
      </w:pPr>
      <w:r>
        <w:t xml:space="preserve">Systematic reviews were undertaken to </w:t>
      </w:r>
      <w:r w:rsidR="002E1E5F">
        <w:t xml:space="preserve">attempt to </w:t>
      </w:r>
      <w:r w:rsidR="00032E84">
        <w:t>answer the</w:t>
      </w:r>
      <w:r w:rsidR="00D268E0">
        <w:t xml:space="preserve"> single</w:t>
      </w:r>
      <w:r w:rsidR="00032E84">
        <w:t xml:space="preserve"> question</w:t>
      </w:r>
      <w:r>
        <w:t xml:space="preserve"> specific to </w:t>
      </w:r>
      <w:r w:rsidR="003B3B8C">
        <w:t>PBM</w:t>
      </w:r>
      <w:r w:rsidR="008D57A6">
        <w:t xml:space="preserve"> in </w:t>
      </w:r>
      <w:r w:rsidR="0086731F">
        <w:t>the neonatal and paediatric setting</w:t>
      </w:r>
      <w:r>
        <w:t xml:space="preserve">, and the </w:t>
      </w:r>
      <w:r w:rsidR="00A741FF">
        <w:t xml:space="preserve">three </w:t>
      </w:r>
      <w:r>
        <w:t xml:space="preserve">generic questions </w:t>
      </w:r>
      <w:r w:rsidR="00A741FF">
        <w:t xml:space="preserve">considered </w:t>
      </w:r>
      <w:r>
        <w:t xml:space="preserve">relevant to </w:t>
      </w:r>
      <w:r w:rsidR="00A741FF">
        <w:t>this module</w:t>
      </w:r>
      <w:r>
        <w:t xml:space="preserve">. The systematic review questions are listed in </w:t>
      </w:r>
      <w:r w:rsidR="00B404AD">
        <w:t>Box</w:t>
      </w:r>
      <w:r w:rsidR="00D268E0">
        <w:t> </w:t>
      </w:r>
      <w:r>
        <w:t>2.1.</w:t>
      </w:r>
    </w:p>
    <w:p w14:paraId="1F34AC85" w14:textId="3121D3EE" w:rsidR="00D9449A" w:rsidRDefault="00104266" w:rsidP="00D9449A">
      <w:r>
        <w:t xml:space="preserve">To answer these questions, </w:t>
      </w:r>
      <w:r w:rsidR="00EC71D0">
        <w:t>comprehensive</w:t>
      </w:r>
      <w:r w:rsidR="00D9449A">
        <w:t xml:space="preserve"> search strateg</w:t>
      </w:r>
      <w:r w:rsidR="009F24F4">
        <w:t xml:space="preserve">ies were </w:t>
      </w:r>
      <w:r w:rsidR="00D9449A">
        <w:t xml:space="preserve">designed, as detailed in </w:t>
      </w:r>
      <w:r w:rsidR="00903EDD">
        <w:t>Volume </w:t>
      </w:r>
      <w:r w:rsidR="00A63C12">
        <w:t>2</w:t>
      </w:r>
      <w:r w:rsidR="00A87AED">
        <w:t xml:space="preserve"> of </w:t>
      </w:r>
      <w:r w:rsidR="004A77AD">
        <w:t>the</w:t>
      </w:r>
      <w:r w:rsidR="00D9449A">
        <w:t xml:space="preserve"> technical report.</w:t>
      </w:r>
      <w:hyperlink w:anchor="_ENREF_8" w:tooltip="National Blood Authority (NBA), In preparation #1001" w:history="1">
        <w:r w:rsidR="00E62798">
          <w:fldChar w:fldCharType="begin"/>
        </w:r>
        <w:r w:rsidR="00E62798">
          <w:instrText xml:space="preserve"> ADDIN EN.CITE &lt;EndNote&gt;&lt;Cite&gt;&lt;Author&gt;National Blood Authority (NBA)&lt;/Author&gt;&lt;Year&gt;In preparation&lt;/Year&gt;&lt;RecNum&gt;1001&lt;/RecNum&gt;&lt;DisplayText&gt;&lt;style face="superscript"&gt;8&lt;/style&gt;&lt;/DisplayText&gt;&lt;record&gt;&lt;rec-number&gt;1001&lt;/rec-number&gt;&lt;foreign-keys&gt;&lt;key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8</w:t>
        </w:r>
        <w:r w:rsidR="00E62798">
          <w:fldChar w:fldCharType="end"/>
        </w:r>
      </w:hyperlink>
      <w:r w:rsidR="00D9449A">
        <w:t xml:space="preserve"> Searches were conducted in relevant electronic databases, bibliographies of studies identified as relevant</w:t>
      </w:r>
      <w:r w:rsidR="00D9449A" w:rsidRPr="000201FC">
        <w:t xml:space="preserve"> </w:t>
      </w:r>
      <w:r w:rsidR="00D9449A">
        <w:t>and literature recommended by expert members of the CRG.</w:t>
      </w:r>
      <w:r w:rsidR="00496E9E">
        <w:t xml:space="preserve"> The search terms did not specifically search for or limit retrieval of articles to studies that addressed socioeconomic, Aboriginal or Torres Strait Islander subgroups. However, the reviewers were required to isolate any papers addressing</w:t>
      </w:r>
      <w:r w:rsidR="006601FE">
        <w:t xml:space="preserve"> </w:t>
      </w:r>
      <w:r w:rsidR="00496E9E">
        <w:t>these populations for specific consideration by the CRG. No papers were identified that addressed these populations specifically.</w:t>
      </w:r>
      <w:r w:rsidR="00D344C5">
        <w:t xml:space="preserve"> However, implications for rural and remote areas, and the Indigenous population</w:t>
      </w:r>
      <w:r w:rsidR="00122F89">
        <w:t>,</w:t>
      </w:r>
      <w:r w:rsidR="00D344C5">
        <w:t xml:space="preserve"> have been considered and documented in the clinical guidance (Chapter 3).</w:t>
      </w:r>
    </w:p>
    <w:p w14:paraId="42CB29EE" w14:textId="77777777" w:rsidR="008C2954" w:rsidRDefault="008C2954" w:rsidP="00882A1D">
      <w:pPr>
        <w:pStyle w:val="Heading3"/>
      </w:pPr>
      <w:bookmarkStart w:id="53" w:name="_Toc427851306"/>
      <w:r>
        <w:t>2.2.2</w:t>
      </w:r>
      <w:r>
        <w:tab/>
        <w:t>Literature search dates</w:t>
      </w:r>
      <w:bookmarkEnd w:id="53"/>
    </w:p>
    <w:p w14:paraId="07147179" w14:textId="22C869B6" w:rsidR="006A6E85" w:rsidRDefault="00D9449A" w:rsidP="00045810">
      <w:r>
        <w:t>The systematic review</w:t>
      </w:r>
      <w:r w:rsidR="001C5155">
        <w:t>s</w:t>
      </w:r>
      <w:r w:rsidR="00D70DD5">
        <w:t xml:space="preserve"> </w:t>
      </w:r>
      <w:r w:rsidR="001C5155">
        <w:t xml:space="preserve">for this module </w:t>
      </w:r>
      <w:r>
        <w:t>included only data from studies</w:t>
      </w:r>
      <w:r w:rsidRPr="00575DC7">
        <w:t xml:space="preserve"> </w:t>
      </w:r>
      <w:r w:rsidRPr="002B1244">
        <w:t xml:space="preserve">that </w:t>
      </w:r>
      <w:r>
        <w:t xml:space="preserve">met the relevant inclusion criteria, were of adequate quality and were </w:t>
      </w:r>
      <w:r w:rsidRPr="0028013A">
        <w:t xml:space="preserve">published before </w:t>
      </w:r>
      <w:r w:rsidR="00A71EDE">
        <w:t>the literature search date for each question.</w:t>
      </w:r>
      <w:hyperlink w:anchor="_ENREF_8" w:tooltip="National Blood Authority (NBA), In preparation #1001" w:history="1">
        <w:r w:rsidR="00E62798">
          <w:fldChar w:fldCharType="begin"/>
        </w:r>
        <w:r w:rsidR="00E62798">
          <w:instrText xml:space="preserve"> ADDIN EN.CITE &lt;EndNote&gt;&lt;Cite&gt;&lt;Author&gt;National Blood Authority (NBA)&lt;/Author&gt;&lt;Year&gt;In preparation&lt;/Year&gt;&lt;RecNum&gt;1001&lt;/RecNum&gt;&lt;DisplayText&gt;&lt;style face="superscript"&gt;8&lt;/style&gt;&lt;/DisplayText&gt;&lt;record&gt;&lt;rec-number&gt;1001&lt;/rec-number&gt;&lt;foreign-keys&gt;&lt;key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8</w:t>
        </w:r>
        <w:r w:rsidR="00E62798">
          <w:fldChar w:fldCharType="end"/>
        </w:r>
      </w:hyperlink>
      <w:r w:rsidR="00A71EDE">
        <w:t xml:space="preserve"> </w:t>
      </w:r>
      <w:r w:rsidR="00A71EDE" w:rsidRPr="00D7274D">
        <w:t xml:space="preserve">Studies were excluded if they were published </w:t>
      </w:r>
      <w:r w:rsidR="00A71EDE">
        <w:t>before</w:t>
      </w:r>
      <w:r w:rsidR="00A71EDE" w:rsidRPr="00D7274D">
        <w:t xml:space="preserve"> 1995 (except primary studies if they were included as part of a systematic review). The rationale from the CRG was that papers published </w:t>
      </w:r>
      <w:r w:rsidR="00A71EDE">
        <w:t>before</w:t>
      </w:r>
      <w:r w:rsidR="00A71EDE" w:rsidRPr="00D7274D">
        <w:t xml:space="preserve"> 1995 were unlikely to reflect the current context of care, due to advances in neonatal and paediatric care</w:t>
      </w:r>
      <w:r w:rsidR="00075C5F">
        <w:t>.</w:t>
      </w:r>
      <w:r w:rsidR="00A87AED">
        <w:t xml:space="preserve"> </w:t>
      </w:r>
      <w:r>
        <w:t xml:space="preserve">Identification of relevant evidence and assessment of evidence was conducted in accordance with </w:t>
      </w:r>
      <w:r w:rsidR="00FA34F9">
        <w:t xml:space="preserve">the </w:t>
      </w:r>
      <w:r w:rsidR="00FA34F9" w:rsidRPr="00A65ECE">
        <w:rPr>
          <w:i/>
        </w:rPr>
        <w:t>Procedure</w:t>
      </w:r>
      <w:r w:rsidR="00A65ECE">
        <w:rPr>
          <w:i/>
        </w:rPr>
        <w:t>s</w:t>
      </w:r>
      <w:r w:rsidR="00FA34F9" w:rsidRPr="00A65ECE">
        <w:rPr>
          <w:i/>
        </w:rPr>
        <w:t xml:space="preserve"> and requirements for meeting the 2011 </w:t>
      </w:r>
      <w:r w:rsidR="00A65ECE">
        <w:rPr>
          <w:i/>
        </w:rPr>
        <w:t>s</w:t>
      </w:r>
      <w:r w:rsidR="00FA34F9" w:rsidRPr="00A65ECE">
        <w:rPr>
          <w:i/>
        </w:rPr>
        <w:t>tandard for clinical practice guidelines</w:t>
      </w:r>
      <w:r w:rsidR="006601FE">
        <w:t>.</w:t>
      </w:r>
      <w:hyperlink w:anchor="_ENREF_23" w:tooltip="National Health and Medical Research Council (NHMRC), 2011 #1058" w:history="1">
        <w:r w:rsidR="00E62798">
          <w:fldChar w:fldCharType="begin"/>
        </w:r>
        <w:r w:rsidR="00E62798">
          <w:instrText xml:space="preserve"> ADDIN EN.CITE &lt;EndNote&gt;&lt;Cite&gt;&lt;Author&gt;National Health and Medical Research Council (NHMRC)&lt;/Author&gt;&lt;Year&gt;2011&lt;/Year&gt;&lt;RecNum&gt;1058&lt;/RecNum&gt;&lt;DisplayText&gt;&lt;style face="superscript"&gt;23&lt;/style&gt;&lt;/DisplayText&gt;&lt;record&gt;&lt;rec-number&gt;1058&lt;/rec-number&gt;&lt;foreign-keys&gt;&lt;key app="EN" db-id="9edve2wadsavt5ewavaxtda4f2tavzvts9ee" timestamp="1439243315"&gt;1058&lt;/key&gt;&lt;/foreign-keys&gt;&lt;ref-type name="Report"&gt;27&lt;/ref-type&gt;&lt;contributors&gt;&lt;authors&gt;&lt;author&gt;National Health and Medical Research Council (NHMRC),&lt;/author&gt;&lt;/authors&gt;&lt;/contributors&gt;&lt;titles&gt;&lt;title&gt;Procedures and requirements for meeting the 2011 NHMRC standard for clinical practice guidelines&lt;/title&gt;&lt;/titles&gt;&lt;dates&gt;&lt;year&gt;2011&lt;/year&gt;&lt;/dates&gt;&lt;pub-location&gt;Canberra, Australia&lt;/pub-location&gt;&lt;publisher&gt;NHMRC&lt;/publisher&gt;&lt;urls&gt;&lt;related-urls&gt;&lt;url&gt;http://www.nhmrc.gov.au/guidelines/publications/cp133-and-cp133a&lt;/url&gt;&lt;/related-urls&gt;&lt;/urls&gt;&lt;access-date&gt;7 May 2014&lt;/access-date&gt;&lt;/record&gt;&lt;/Cite&gt;&lt;/EndNote&gt;</w:instrText>
        </w:r>
        <w:r w:rsidR="00E62798">
          <w:fldChar w:fldCharType="separate"/>
        </w:r>
        <w:r w:rsidR="00E62798" w:rsidRPr="00E62798">
          <w:rPr>
            <w:noProof/>
            <w:vertAlign w:val="superscript"/>
          </w:rPr>
          <w:t>23</w:t>
        </w:r>
        <w:r w:rsidR="00E62798">
          <w:fldChar w:fldCharType="end"/>
        </w:r>
      </w:hyperlink>
      <w:r w:rsidR="00FA34F9" w:rsidDel="00FA34F9">
        <w:t xml:space="preserve"> </w:t>
      </w:r>
    </w:p>
    <w:p w14:paraId="3651D28D" w14:textId="77777777" w:rsidR="006A6E85" w:rsidRDefault="00824F7B" w:rsidP="00882A1D">
      <w:pPr>
        <w:pStyle w:val="Heading3"/>
      </w:pPr>
      <w:bookmarkStart w:id="54" w:name="_Toc427851307"/>
      <w:r>
        <w:lastRenderedPageBreak/>
        <w:t>2.2.3</w:t>
      </w:r>
      <w:r>
        <w:tab/>
        <w:t>Inclusion and exclusion criteria</w:t>
      </w:r>
      <w:bookmarkEnd w:id="54"/>
    </w:p>
    <w:p w14:paraId="7C072969" w14:textId="46B56E56" w:rsidR="00824F7B" w:rsidRDefault="00824F7B" w:rsidP="00824F7B">
      <w:r>
        <w:t xml:space="preserve">The </w:t>
      </w:r>
      <w:r w:rsidRPr="002E529D">
        <w:t xml:space="preserve">questions </w:t>
      </w:r>
      <w:r>
        <w:t xml:space="preserve">included in this module </w:t>
      </w:r>
      <w:r w:rsidRPr="002E529D">
        <w:t xml:space="preserve">were </w:t>
      </w:r>
      <w:r>
        <w:t xml:space="preserve">crafted in such a way that they attempted to provide answers in clinically relevant areas of uncertainty. They were </w:t>
      </w:r>
      <w:r w:rsidRPr="002E529D">
        <w:t>further refined through consultation among the systematic reviewer, CRG, N</w:t>
      </w:r>
      <w:r>
        <w:t>BA and the independent systematic review expert.</w:t>
      </w:r>
      <w:r w:rsidRPr="00FE4A9E">
        <w:t xml:space="preserve"> </w:t>
      </w:r>
      <w:r>
        <w:t>D</w:t>
      </w:r>
      <w:r w:rsidRPr="00FE4A9E">
        <w:t xml:space="preserve">etails of research question criteria are presented in </w:t>
      </w:r>
      <w:r>
        <w:t>Volume </w:t>
      </w:r>
      <w:r w:rsidRPr="002B7C3C">
        <w:t>1</w:t>
      </w:r>
      <w:r>
        <w:t xml:space="preserve"> of the technical report</w:t>
      </w:r>
      <w:r w:rsidRPr="00FE4A9E">
        <w:t>.</w:t>
      </w:r>
      <w:hyperlink w:anchor="_ENREF_7" w:tooltip="National Blood Authority (NBA), In preparation #1002" w:history="1">
        <w:r w:rsidR="00E62798">
          <w:fldChar w:fldCharType="begin"/>
        </w:r>
        <w:r w:rsidR="00E62798">
          <w:instrText xml:space="preserve"> ADDIN EN.CITE &lt;EndNote&gt;&lt;Cite&gt;&lt;Author&gt;National Blood Authority (NBA)&lt;/Author&gt;&lt;Year&gt;In preparation&lt;/Year&gt;&lt;RecNum&gt;1002&lt;/RecNum&gt;&lt;DisplayText&gt;&lt;style face="superscript"&gt;7&lt;/style&gt;&lt;/DisplayText&gt;&lt;record&gt;&lt;rec-number&gt;1002&lt;/rec-number&gt;&lt;foreign-keys&gt;&lt;key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7</w:t>
        </w:r>
        <w:r w:rsidR="00E62798">
          <w:fldChar w:fldCharType="end"/>
        </w:r>
      </w:hyperlink>
    </w:p>
    <w:p w14:paraId="39CC9835" w14:textId="77777777" w:rsidR="00230C00" w:rsidRDefault="00230C00" w:rsidP="00230C00">
      <w:r>
        <w:t xml:space="preserve">Briefly, inclusion criteria were determined from the PICO criteria that formed the basis of the systematically reviewed research questions. Non-English publications were excluded. </w:t>
      </w:r>
    </w:p>
    <w:p w14:paraId="78F7F4DA" w14:textId="77777777" w:rsidR="006A6E85" w:rsidRDefault="00824F7B" w:rsidP="00824F7B">
      <w:pPr>
        <w:pStyle w:val="Heading2"/>
      </w:pPr>
      <w:bookmarkStart w:id="55" w:name="_Toc265585311"/>
      <w:bookmarkStart w:id="56" w:name="_Toc282672284"/>
      <w:bookmarkStart w:id="57" w:name="_Toc427851308"/>
      <w:r>
        <w:t>2.3</w:t>
      </w:r>
      <w:r>
        <w:tab/>
      </w:r>
      <w:r w:rsidR="006234F1">
        <w:t>Development of evidence statements, recommendations</w:t>
      </w:r>
      <w:r w:rsidR="003858A9">
        <w:t xml:space="preserve"> and</w:t>
      </w:r>
      <w:r w:rsidR="006234F1">
        <w:t xml:space="preserve"> </w:t>
      </w:r>
      <w:r w:rsidR="0020578B">
        <w:t>practice point</w:t>
      </w:r>
      <w:r w:rsidR="006234F1">
        <w:t>s</w:t>
      </w:r>
      <w:bookmarkEnd w:id="55"/>
      <w:bookmarkEnd w:id="56"/>
      <w:bookmarkEnd w:id="57"/>
    </w:p>
    <w:p w14:paraId="5B7959F6" w14:textId="3F48CC73" w:rsidR="00CB4AD7" w:rsidRDefault="00E64B12" w:rsidP="00FF2787">
      <w:pPr>
        <w:pStyle w:val="Normalbeforebullet"/>
      </w:pPr>
      <w:r w:rsidRPr="00E64B12">
        <w:t>For each research question</w:t>
      </w:r>
      <w:r w:rsidR="002F26BB">
        <w:t xml:space="preserve"> addressed by the systematic review</w:t>
      </w:r>
      <w:r w:rsidRPr="00E64B12">
        <w:t xml:space="preserve">, the body of evidence was consolidated into evidence statements and rated according to the matrix shown in </w:t>
      </w:r>
      <w:r w:rsidR="001A0D26">
        <w:t>Table 2.1</w:t>
      </w:r>
      <w:r w:rsidRPr="00E64B12">
        <w:t>, which considers five domains: evidence base, consistency, cl</w:t>
      </w:r>
      <w:r>
        <w:t>inical impact, generalisability</w:t>
      </w:r>
      <w:r w:rsidRPr="00E64B12">
        <w:t xml:space="preserve"> and applicability. </w:t>
      </w:r>
      <w:r>
        <w:t xml:space="preserve">For included studies, </w:t>
      </w:r>
      <w:r w:rsidR="00CC50F3">
        <w:t>evidence base and consistency</w:t>
      </w:r>
      <w:r w:rsidRPr="00E64B12">
        <w:t xml:space="preserve"> were derived directly from the literature ident</w:t>
      </w:r>
      <w:r w:rsidR="00CC50F3">
        <w:t>ified for each research question, whereas</w:t>
      </w:r>
      <w:r>
        <w:t xml:space="preserve"> </w:t>
      </w:r>
      <w:r w:rsidRPr="00E64B12">
        <w:t>clinical impact, generalisability and applicability</w:t>
      </w:r>
      <w:r>
        <w:t xml:space="preserve"> </w:t>
      </w:r>
      <w:r w:rsidR="00CC50F3">
        <w:t xml:space="preserve">were assessed </w:t>
      </w:r>
      <w:r w:rsidR="00AF1421">
        <w:t>with</w:t>
      </w:r>
      <w:r w:rsidR="00CC50F3">
        <w:t xml:space="preserve"> guidance</w:t>
      </w:r>
      <w:r>
        <w:t xml:space="preserve"> </w:t>
      </w:r>
      <w:r w:rsidR="00AF1421">
        <w:t>from</w:t>
      </w:r>
      <w:r>
        <w:t xml:space="preserve"> the</w:t>
      </w:r>
      <w:r w:rsidRPr="00E64B12">
        <w:t xml:space="preserve"> CRG</w:t>
      </w:r>
      <w:r w:rsidR="00C120BF">
        <w:t>.</w:t>
      </w:r>
      <w:r w:rsidR="00AA60F2">
        <w:t xml:space="preserve"> </w:t>
      </w:r>
      <w:r w:rsidR="00001D36">
        <w:t>To ensure that the best available evidence</w:t>
      </w:r>
      <w:r w:rsidR="0072358D">
        <w:t xml:space="preserve"> was used</w:t>
      </w:r>
      <w:r w:rsidR="00001D36">
        <w:t xml:space="preserve">, studies of higher levels of evidence (i.e. </w:t>
      </w:r>
      <w:r w:rsidR="0086432D">
        <w:t>Levels </w:t>
      </w:r>
      <w:r w:rsidR="00001D36">
        <w:t>I or II) were included in preference to those presenting lower levels (</w:t>
      </w:r>
      <w:r w:rsidR="005C7968">
        <w:t xml:space="preserve">i.e. </w:t>
      </w:r>
      <w:r w:rsidR="0086432D">
        <w:t>Levels </w:t>
      </w:r>
      <w:r w:rsidR="00001D36">
        <w:t>III or IV) of evidence</w:t>
      </w:r>
      <w:r w:rsidR="004B635D">
        <w:t>. This minimise</w:t>
      </w:r>
      <w:r w:rsidR="00694D76">
        <w:t>d</w:t>
      </w:r>
      <w:r w:rsidR="004B635D">
        <w:t xml:space="preserve"> the potential for bias in the evidence base for each systematically reviewed question. However, lower level studies were reviewed where evidence was not available in higher level studies for any of the primary outcomes.</w:t>
      </w:r>
    </w:p>
    <w:p w14:paraId="597D1B7E" w14:textId="77777777" w:rsidR="004F797E" w:rsidRDefault="004F797E" w:rsidP="00FF2787">
      <w:pPr>
        <w:pStyle w:val="Normalbeforebullet"/>
      </w:pPr>
      <w:r>
        <w:t>Evidence statements were only transformed into ‘action-oriented’ recommendations where:</w:t>
      </w:r>
    </w:p>
    <w:p w14:paraId="2F94848B" w14:textId="7C12C9A2" w:rsidR="006A6E85" w:rsidRDefault="004F797E" w:rsidP="004F797E">
      <w:pPr>
        <w:pStyle w:val="Bullet6"/>
      </w:pPr>
      <w:r>
        <w:t xml:space="preserve">the body of evidence was sufficient – that is, wherever the evidence yielded support for recommendations of at least NHMRC </w:t>
      </w:r>
      <w:r w:rsidR="00B32D30">
        <w:t xml:space="preserve">Grade </w:t>
      </w:r>
      <w:r>
        <w:t xml:space="preserve">C (see </w:t>
      </w:r>
      <w:r w:rsidR="001A0D26">
        <w:t>Table 2.2</w:t>
      </w:r>
      <w:r>
        <w:t>)</w:t>
      </w:r>
    </w:p>
    <w:p w14:paraId="6FADA52E" w14:textId="77777777" w:rsidR="004F797E" w:rsidRDefault="004F797E" w:rsidP="004F797E">
      <w:pPr>
        <w:pStyle w:val="Bullet12"/>
      </w:pPr>
      <w:r>
        <w:t>the question type was interventional – that is, it evaluated the e</w:t>
      </w:r>
      <w:r w:rsidR="00175FD4">
        <w:t>ffectiveness of an intervention.</w:t>
      </w:r>
    </w:p>
    <w:p w14:paraId="73A6C9FF" w14:textId="77777777" w:rsidR="006A6E85" w:rsidRDefault="004F797E" w:rsidP="004F797E">
      <w:r>
        <w:t xml:space="preserve">The recommendations were carefully worded to </w:t>
      </w:r>
      <w:r w:rsidRPr="002E529D">
        <w:t xml:space="preserve">reflect the strength of the body </w:t>
      </w:r>
      <w:r>
        <w:t xml:space="preserve">of </w:t>
      </w:r>
      <w:r w:rsidRPr="002E529D">
        <w:t>evidence</w:t>
      </w:r>
      <w:r>
        <w:t>.</w:t>
      </w:r>
    </w:p>
    <w:p w14:paraId="60A0383E" w14:textId="4128BCBF" w:rsidR="006A6E85" w:rsidRDefault="004F797E" w:rsidP="004F797E">
      <w:r>
        <w:t>Where there was insufficient quality or quantity of evidence, it was not possible to develop evidence-based recommendations. In this situation, the CRG developed practice points through a consensus-based process, to guide clinical practice.</w:t>
      </w:r>
      <w:r w:rsidR="00105663">
        <w:t xml:space="preserve"> For all</w:t>
      </w:r>
      <w:r w:rsidR="003F5B32">
        <w:t xml:space="preserve"> recommendations, practice points and expert opinion points</w:t>
      </w:r>
      <w:r w:rsidR="00B32D30">
        <w:t>, consensus was achieved;</w:t>
      </w:r>
      <w:r w:rsidR="00105663">
        <w:t xml:space="preserve"> there were no dissenting views.</w:t>
      </w:r>
    </w:p>
    <w:p w14:paraId="7D9A7F0E" w14:textId="77777777" w:rsidR="00CB4AD7" w:rsidRDefault="00EC59A4" w:rsidP="00CB4AD7">
      <w:pPr>
        <w:pStyle w:val="TableName"/>
      </w:pPr>
      <w:bookmarkStart w:id="58" w:name="_Toc263867912"/>
      <w:bookmarkStart w:id="59" w:name="_Toc282674496"/>
      <w:r>
        <w:br w:type="page"/>
      </w:r>
      <w:bookmarkStart w:id="60" w:name="_Toc427758389"/>
      <w:r w:rsidR="001A0D26">
        <w:lastRenderedPageBreak/>
        <w:t>Table 2.1</w:t>
      </w:r>
      <w:r w:rsidR="00CB4AD7" w:rsidRPr="002E529D">
        <w:tab/>
      </w:r>
      <w:r w:rsidR="00CB4AD7">
        <w:t>Body of evidence matrix</w:t>
      </w:r>
      <w:bookmarkEnd w:id="58"/>
      <w:bookmarkEnd w:id="59"/>
      <w:bookmarkEnd w:id="60"/>
    </w:p>
    <w:tbl>
      <w:tblPr>
        <w:tblW w:w="5487" w:type="pct"/>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51"/>
        <w:gridCol w:w="1739"/>
        <w:gridCol w:w="1738"/>
        <w:gridCol w:w="1738"/>
        <w:gridCol w:w="1738"/>
        <w:gridCol w:w="1738"/>
      </w:tblGrid>
      <w:tr w:rsidR="00EC59A4" w:rsidRPr="002069E8" w14:paraId="067DEB28" w14:textId="77777777" w:rsidTr="001F161F">
        <w:trPr>
          <w:tblHeader/>
        </w:trPr>
        <w:tc>
          <w:tcPr>
            <w:tcW w:w="715" w:type="pct"/>
            <w:tcBorders>
              <w:top w:val="single" w:sz="4" w:space="0" w:color="auto"/>
              <w:bottom w:val="nil"/>
            </w:tcBorders>
          </w:tcPr>
          <w:p w14:paraId="2B0948CE" w14:textId="77777777" w:rsidR="00EC59A4" w:rsidRPr="00A30C54" w:rsidRDefault="00EC59A4" w:rsidP="00BD69C9">
            <w:pPr>
              <w:pStyle w:val="TableHeading"/>
            </w:pPr>
            <w:r w:rsidRPr="00A30C54">
              <w:t>Component</w:t>
            </w:r>
          </w:p>
        </w:tc>
        <w:tc>
          <w:tcPr>
            <w:tcW w:w="857" w:type="pct"/>
            <w:shd w:val="clear" w:color="auto" w:fill="auto"/>
          </w:tcPr>
          <w:p w14:paraId="1E3ABF1C" w14:textId="77777777" w:rsidR="00EC59A4" w:rsidRPr="00A30C54" w:rsidRDefault="00EC59A4" w:rsidP="00BD69C9">
            <w:pPr>
              <w:pStyle w:val="TableHeading"/>
            </w:pPr>
            <w:r w:rsidRPr="00A30C54">
              <w:t>A</w:t>
            </w:r>
            <w:r>
              <w:t xml:space="preserve"> (</w:t>
            </w:r>
            <w:r>
              <w:sym w:font="Wingdings" w:char="F0FC"/>
            </w:r>
            <w:r>
              <w:sym w:font="Wingdings" w:char="F0FC"/>
            </w:r>
            <w:r>
              <w:sym w:font="Wingdings" w:char="F0FC"/>
            </w:r>
            <w:r>
              <w:t>)</w:t>
            </w:r>
          </w:p>
        </w:tc>
        <w:tc>
          <w:tcPr>
            <w:tcW w:w="857" w:type="pct"/>
            <w:shd w:val="clear" w:color="auto" w:fill="auto"/>
          </w:tcPr>
          <w:p w14:paraId="4EC25875" w14:textId="77777777" w:rsidR="00EC59A4" w:rsidRPr="00A30C54" w:rsidRDefault="00EC59A4" w:rsidP="00BD69C9">
            <w:pPr>
              <w:pStyle w:val="TableHeading"/>
            </w:pPr>
            <w:r w:rsidRPr="00A30C54">
              <w:t>B</w:t>
            </w:r>
            <w:r>
              <w:t xml:space="preserve"> (</w:t>
            </w:r>
            <w:r>
              <w:sym w:font="Wingdings" w:char="F0FC"/>
            </w:r>
            <w:r>
              <w:sym w:font="Wingdings" w:char="F0FC"/>
            </w:r>
            <w:r>
              <w:t>)</w:t>
            </w:r>
          </w:p>
        </w:tc>
        <w:tc>
          <w:tcPr>
            <w:tcW w:w="857" w:type="pct"/>
            <w:shd w:val="clear" w:color="auto" w:fill="auto"/>
          </w:tcPr>
          <w:p w14:paraId="10C85EB1" w14:textId="77777777" w:rsidR="00EC59A4" w:rsidRPr="00A30C54" w:rsidRDefault="00EC59A4" w:rsidP="00BD69C9">
            <w:pPr>
              <w:pStyle w:val="TableHeading"/>
            </w:pPr>
            <w:r w:rsidRPr="00A30C54">
              <w:t>C</w:t>
            </w:r>
            <w:r>
              <w:t xml:space="preserve"> (</w:t>
            </w:r>
            <w:r>
              <w:sym w:font="Wingdings" w:char="F0FC"/>
            </w:r>
            <w:r>
              <w:t>)</w:t>
            </w:r>
          </w:p>
        </w:tc>
        <w:tc>
          <w:tcPr>
            <w:tcW w:w="857" w:type="pct"/>
            <w:shd w:val="clear" w:color="auto" w:fill="auto"/>
          </w:tcPr>
          <w:p w14:paraId="71E56C23" w14:textId="77777777" w:rsidR="00EC59A4" w:rsidRPr="00A30C54" w:rsidRDefault="00EC59A4" w:rsidP="00BD69C9">
            <w:pPr>
              <w:pStyle w:val="TableHeading"/>
            </w:pPr>
            <w:r w:rsidRPr="00A30C54">
              <w:t>D</w:t>
            </w:r>
            <w:r>
              <w:t xml:space="preserve"> (X)</w:t>
            </w:r>
          </w:p>
        </w:tc>
        <w:tc>
          <w:tcPr>
            <w:tcW w:w="857" w:type="pct"/>
          </w:tcPr>
          <w:p w14:paraId="097271A1" w14:textId="77777777" w:rsidR="00EC59A4" w:rsidRPr="00A30C54" w:rsidRDefault="00EC59A4" w:rsidP="00BD69C9">
            <w:pPr>
              <w:pStyle w:val="TableHeading"/>
            </w:pPr>
            <w:r>
              <w:t>NA</w:t>
            </w:r>
          </w:p>
        </w:tc>
      </w:tr>
      <w:tr w:rsidR="00EC59A4" w:rsidRPr="002069E8" w14:paraId="2583B836" w14:textId="77777777" w:rsidTr="001F161F">
        <w:trPr>
          <w:tblHeader/>
        </w:trPr>
        <w:tc>
          <w:tcPr>
            <w:tcW w:w="715" w:type="pct"/>
            <w:tcBorders>
              <w:top w:val="nil"/>
              <w:bottom w:val="single" w:sz="6" w:space="0" w:color="auto"/>
            </w:tcBorders>
          </w:tcPr>
          <w:p w14:paraId="27B323D1" w14:textId="77777777" w:rsidR="00EC59A4" w:rsidRPr="00A30C54" w:rsidRDefault="00EC59A4" w:rsidP="00BD69C9">
            <w:pPr>
              <w:pStyle w:val="TableHeading"/>
            </w:pPr>
          </w:p>
        </w:tc>
        <w:tc>
          <w:tcPr>
            <w:tcW w:w="857" w:type="pct"/>
            <w:shd w:val="clear" w:color="auto" w:fill="auto"/>
          </w:tcPr>
          <w:p w14:paraId="1E71CAF1" w14:textId="77777777" w:rsidR="00EC59A4" w:rsidRPr="00A30C54" w:rsidRDefault="00EC59A4" w:rsidP="00BD69C9">
            <w:pPr>
              <w:pStyle w:val="TableHeading"/>
            </w:pPr>
            <w:r w:rsidRPr="00A30C54">
              <w:t>Excellent</w:t>
            </w:r>
          </w:p>
        </w:tc>
        <w:tc>
          <w:tcPr>
            <w:tcW w:w="857" w:type="pct"/>
            <w:shd w:val="clear" w:color="auto" w:fill="auto"/>
          </w:tcPr>
          <w:p w14:paraId="0E833401" w14:textId="77777777" w:rsidR="00EC59A4" w:rsidRPr="00A30C54" w:rsidRDefault="00EC59A4" w:rsidP="00BD69C9">
            <w:pPr>
              <w:pStyle w:val="TableHeading"/>
            </w:pPr>
            <w:r w:rsidRPr="00A30C54">
              <w:t>Good</w:t>
            </w:r>
          </w:p>
        </w:tc>
        <w:tc>
          <w:tcPr>
            <w:tcW w:w="857" w:type="pct"/>
            <w:shd w:val="clear" w:color="auto" w:fill="auto"/>
          </w:tcPr>
          <w:p w14:paraId="5A6EC388" w14:textId="77777777" w:rsidR="00EC59A4" w:rsidRPr="00A30C54" w:rsidRDefault="00EC59A4" w:rsidP="00BD69C9">
            <w:pPr>
              <w:pStyle w:val="TableHeading"/>
            </w:pPr>
            <w:r w:rsidRPr="00A30C54">
              <w:t>Satisfactory</w:t>
            </w:r>
          </w:p>
        </w:tc>
        <w:tc>
          <w:tcPr>
            <w:tcW w:w="857" w:type="pct"/>
            <w:shd w:val="clear" w:color="auto" w:fill="auto"/>
          </w:tcPr>
          <w:p w14:paraId="665028F2" w14:textId="77777777" w:rsidR="00EC59A4" w:rsidRPr="00A30C54" w:rsidRDefault="00EC59A4" w:rsidP="00BD69C9">
            <w:pPr>
              <w:pStyle w:val="TableHeading"/>
            </w:pPr>
            <w:r w:rsidRPr="00A30C54">
              <w:t>Poor</w:t>
            </w:r>
          </w:p>
        </w:tc>
        <w:tc>
          <w:tcPr>
            <w:tcW w:w="857" w:type="pct"/>
          </w:tcPr>
          <w:p w14:paraId="2C3FC560" w14:textId="77777777" w:rsidR="00EC59A4" w:rsidRPr="00A30C54" w:rsidRDefault="00EC59A4" w:rsidP="00BD69C9">
            <w:pPr>
              <w:pStyle w:val="TableHeading"/>
            </w:pPr>
            <w:r>
              <w:t>Not applicable</w:t>
            </w:r>
          </w:p>
        </w:tc>
      </w:tr>
      <w:tr w:rsidR="00EC59A4" w:rsidRPr="002069E8" w14:paraId="1E28A97E" w14:textId="77777777" w:rsidTr="001F161F">
        <w:tc>
          <w:tcPr>
            <w:tcW w:w="715" w:type="pct"/>
            <w:tcBorders>
              <w:top w:val="single" w:sz="6" w:space="0" w:color="auto"/>
            </w:tcBorders>
          </w:tcPr>
          <w:p w14:paraId="493EBC45" w14:textId="77777777" w:rsidR="00EC59A4" w:rsidRPr="00E64DA3" w:rsidRDefault="00EC59A4" w:rsidP="00BD69C9">
            <w:pPr>
              <w:pStyle w:val="Tabletext0"/>
              <w:rPr>
                <w:rFonts w:cs="Arial"/>
                <w:lang w:val="en-AU"/>
              </w:rPr>
            </w:pPr>
            <w:r w:rsidRPr="00E64DA3">
              <w:rPr>
                <w:rFonts w:cs="Arial"/>
                <w:lang w:val="en-AU"/>
              </w:rPr>
              <w:t>Evidence base</w:t>
            </w:r>
          </w:p>
        </w:tc>
        <w:tc>
          <w:tcPr>
            <w:tcW w:w="857" w:type="pct"/>
            <w:shd w:val="clear" w:color="auto" w:fill="auto"/>
          </w:tcPr>
          <w:p w14:paraId="06C975F1" w14:textId="77777777" w:rsidR="00EC59A4" w:rsidRPr="00E64DA3" w:rsidRDefault="00EC59A4" w:rsidP="00BD69C9">
            <w:pPr>
              <w:pStyle w:val="Tabletext0"/>
              <w:rPr>
                <w:rFonts w:cs="Arial"/>
                <w:lang w:val="en-AU"/>
              </w:rPr>
            </w:pPr>
            <w:r w:rsidRPr="00E64DA3">
              <w:rPr>
                <w:rFonts w:cs="Arial"/>
                <w:lang w:val="en-AU"/>
              </w:rPr>
              <w:t>Several Level I or II studies with low risk of bias</w:t>
            </w:r>
          </w:p>
        </w:tc>
        <w:tc>
          <w:tcPr>
            <w:tcW w:w="857" w:type="pct"/>
            <w:shd w:val="clear" w:color="auto" w:fill="auto"/>
          </w:tcPr>
          <w:p w14:paraId="79BE4DFA" w14:textId="77777777" w:rsidR="00EC59A4" w:rsidRPr="00E64DA3" w:rsidRDefault="00EC59A4" w:rsidP="000B59CA">
            <w:pPr>
              <w:pStyle w:val="Tabletext0"/>
              <w:rPr>
                <w:rFonts w:cs="Arial"/>
                <w:lang w:val="en-AU"/>
              </w:rPr>
            </w:pPr>
            <w:r w:rsidRPr="00E64DA3">
              <w:rPr>
                <w:rFonts w:cs="Arial"/>
                <w:lang w:val="en-AU"/>
              </w:rPr>
              <w:t>One or two Level II studies with low risk of bias or a systematic review, or multiple Level III studies with low risk of bias</w:t>
            </w:r>
          </w:p>
        </w:tc>
        <w:tc>
          <w:tcPr>
            <w:tcW w:w="857" w:type="pct"/>
            <w:shd w:val="clear" w:color="auto" w:fill="auto"/>
          </w:tcPr>
          <w:p w14:paraId="14C26F34" w14:textId="77777777" w:rsidR="00EC59A4" w:rsidRPr="00E64DA3" w:rsidRDefault="00EC59A4" w:rsidP="00BD69C9">
            <w:pPr>
              <w:pStyle w:val="Tabletext0"/>
              <w:rPr>
                <w:rFonts w:cs="Arial"/>
                <w:lang w:val="en-AU"/>
              </w:rPr>
            </w:pPr>
            <w:r w:rsidRPr="00E64DA3">
              <w:rPr>
                <w:rFonts w:cs="Arial"/>
                <w:lang w:val="en-AU"/>
              </w:rPr>
              <w:t>Level III studies with low risk of bias, or Level I or II studies with moderate risk of bias</w:t>
            </w:r>
          </w:p>
        </w:tc>
        <w:tc>
          <w:tcPr>
            <w:tcW w:w="857" w:type="pct"/>
            <w:shd w:val="clear" w:color="auto" w:fill="auto"/>
          </w:tcPr>
          <w:p w14:paraId="0230C947" w14:textId="77777777" w:rsidR="00EC59A4" w:rsidRPr="00E64DA3" w:rsidRDefault="00EC59A4" w:rsidP="000B59CA">
            <w:pPr>
              <w:pStyle w:val="Tabletext0"/>
              <w:rPr>
                <w:rFonts w:cs="Arial"/>
                <w:lang w:val="en-AU"/>
              </w:rPr>
            </w:pPr>
            <w:r w:rsidRPr="00E64DA3">
              <w:rPr>
                <w:rFonts w:cs="Arial"/>
                <w:lang w:val="en-AU"/>
              </w:rPr>
              <w:t>Level IV studies, or Level I–III studies with high risk of bias</w:t>
            </w:r>
          </w:p>
        </w:tc>
        <w:tc>
          <w:tcPr>
            <w:tcW w:w="857" w:type="pct"/>
          </w:tcPr>
          <w:p w14:paraId="24A662CA" w14:textId="77777777" w:rsidR="00EC59A4" w:rsidRPr="00E64DA3" w:rsidRDefault="00EC59A4" w:rsidP="000B59CA">
            <w:pPr>
              <w:pStyle w:val="Tabletext0"/>
              <w:rPr>
                <w:rFonts w:cs="Arial"/>
                <w:lang w:val="en-AU"/>
              </w:rPr>
            </w:pPr>
          </w:p>
        </w:tc>
      </w:tr>
      <w:tr w:rsidR="00EC59A4" w:rsidRPr="002069E8" w14:paraId="2C42DBDA" w14:textId="77777777" w:rsidTr="001F161F">
        <w:tc>
          <w:tcPr>
            <w:tcW w:w="715" w:type="pct"/>
          </w:tcPr>
          <w:p w14:paraId="18FB038B" w14:textId="77777777" w:rsidR="00EC59A4" w:rsidRPr="00E64DA3" w:rsidRDefault="00EC59A4" w:rsidP="00BD69C9">
            <w:pPr>
              <w:pStyle w:val="Tabletext0"/>
              <w:rPr>
                <w:rFonts w:cs="Arial"/>
                <w:lang w:val="en-AU"/>
              </w:rPr>
            </w:pPr>
            <w:r w:rsidRPr="00E64DA3">
              <w:rPr>
                <w:rFonts w:cs="Arial"/>
                <w:lang w:val="en-AU"/>
              </w:rPr>
              <w:t>Consistency</w:t>
            </w:r>
          </w:p>
        </w:tc>
        <w:tc>
          <w:tcPr>
            <w:tcW w:w="857" w:type="pct"/>
            <w:shd w:val="clear" w:color="auto" w:fill="auto"/>
          </w:tcPr>
          <w:p w14:paraId="70C3AAE2" w14:textId="77777777" w:rsidR="00EC59A4" w:rsidRPr="00E64DA3" w:rsidRDefault="00EC59A4" w:rsidP="00BD69C9">
            <w:pPr>
              <w:pStyle w:val="Tabletext0"/>
              <w:rPr>
                <w:rFonts w:cs="Arial"/>
                <w:lang w:val="en-AU"/>
              </w:rPr>
            </w:pPr>
            <w:r w:rsidRPr="00E64DA3">
              <w:rPr>
                <w:rFonts w:cs="Arial"/>
                <w:lang w:val="en-AU"/>
              </w:rPr>
              <w:t>All studies consistent</w:t>
            </w:r>
          </w:p>
        </w:tc>
        <w:tc>
          <w:tcPr>
            <w:tcW w:w="857" w:type="pct"/>
            <w:shd w:val="clear" w:color="auto" w:fill="auto"/>
          </w:tcPr>
          <w:p w14:paraId="1D7F9392" w14:textId="77777777" w:rsidR="00EC59A4" w:rsidRPr="00E64DA3" w:rsidRDefault="00EC59A4" w:rsidP="00BD69C9">
            <w:pPr>
              <w:pStyle w:val="Tabletext0"/>
              <w:rPr>
                <w:rFonts w:cs="Arial"/>
                <w:lang w:val="en-AU"/>
              </w:rPr>
            </w:pPr>
            <w:r w:rsidRPr="00E64DA3">
              <w:rPr>
                <w:rFonts w:cs="Arial"/>
                <w:lang w:val="en-AU"/>
              </w:rPr>
              <w:t>Most studies consistent and inconsistency can be explained</w:t>
            </w:r>
          </w:p>
        </w:tc>
        <w:tc>
          <w:tcPr>
            <w:tcW w:w="857" w:type="pct"/>
            <w:shd w:val="clear" w:color="auto" w:fill="auto"/>
          </w:tcPr>
          <w:p w14:paraId="424CF811" w14:textId="77777777" w:rsidR="00EC59A4" w:rsidRPr="00E64DA3" w:rsidRDefault="00EC59A4" w:rsidP="00BD69C9">
            <w:pPr>
              <w:pStyle w:val="Tabletext0"/>
              <w:rPr>
                <w:rFonts w:cs="Arial"/>
                <w:lang w:val="en-AU"/>
              </w:rPr>
            </w:pPr>
            <w:r w:rsidRPr="00E64DA3">
              <w:rPr>
                <w:rFonts w:cs="Arial"/>
                <w:lang w:val="en-AU"/>
              </w:rPr>
              <w:t>Some inconsistency reflecting genuine uncertainty around clinical question</w:t>
            </w:r>
          </w:p>
        </w:tc>
        <w:tc>
          <w:tcPr>
            <w:tcW w:w="857" w:type="pct"/>
            <w:shd w:val="clear" w:color="auto" w:fill="auto"/>
          </w:tcPr>
          <w:p w14:paraId="1DD58E94" w14:textId="77777777" w:rsidR="00EC59A4" w:rsidRPr="00E64DA3" w:rsidRDefault="00EC59A4" w:rsidP="00BD69C9">
            <w:pPr>
              <w:pStyle w:val="Tabletext0"/>
              <w:rPr>
                <w:rFonts w:cs="Arial"/>
                <w:lang w:val="en-AU"/>
              </w:rPr>
            </w:pPr>
            <w:r w:rsidRPr="00E64DA3">
              <w:rPr>
                <w:rFonts w:cs="Arial"/>
                <w:lang w:val="en-AU"/>
              </w:rPr>
              <w:t>Evidence is inconsistent</w:t>
            </w:r>
          </w:p>
        </w:tc>
        <w:tc>
          <w:tcPr>
            <w:tcW w:w="857" w:type="pct"/>
          </w:tcPr>
          <w:p w14:paraId="24CB748C" w14:textId="77777777" w:rsidR="00EC59A4" w:rsidRPr="00E64DA3" w:rsidRDefault="00EC59A4" w:rsidP="00BD69C9">
            <w:pPr>
              <w:pStyle w:val="Tabletext0"/>
              <w:rPr>
                <w:rFonts w:cs="Arial"/>
                <w:lang w:val="en-AU"/>
              </w:rPr>
            </w:pPr>
            <w:r w:rsidRPr="00E64DA3">
              <w:rPr>
                <w:rFonts w:cs="Arial"/>
                <w:lang w:val="en-AU"/>
              </w:rPr>
              <w:t>One study only</w:t>
            </w:r>
          </w:p>
        </w:tc>
      </w:tr>
      <w:tr w:rsidR="00EC59A4" w:rsidRPr="002069E8" w14:paraId="24AA7559" w14:textId="77777777" w:rsidTr="001F161F">
        <w:tc>
          <w:tcPr>
            <w:tcW w:w="715" w:type="pct"/>
          </w:tcPr>
          <w:p w14:paraId="1BF90E7E" w14:textId="77777777" w:rsidR="00EC59A4" w:rsidRPr="00E64DA3" w:rsidRDefault="00EC59A4" w:rsidP="00BD69C9">
            <w:pPr>
              <w:pStyle w:val="Tabletext0"/>
              <w:rPr>
                <w:rFonts w:cs="Arial"/>
                <w:lang w:val="en-AU"/>
              </w:rPr>
            </w:pPr>
            <w:r w:rsidRPr="00E64DA3">
              <w:rPr>
                <w:rFonts w:cs="Arial"/>
                <w:lang w:val="en-AU"/>
              </w:rPr>
              <w:t>Clinical impact</w:t>
            </w:r>
          </w:p>
        </w:tc>
        <w:tc>
          <w:tcPr>
            <w:tcW w:w="857" w:type="pct"/>
            <w:shd w:val="clear" w:color="auto" w:fill="auto"/>
          </w:tcPr>
          <w:p w14:paraId="3CADB883" w14:textId="77777777" w:rsidR="00EC59A4" w:rsidRPr="00E64DA3" w:rsidRDefault="00EC59A4" w:rsidP="00BD69C9">
            <w:pPr>
              <w:pStyle w:val="Tabletext0"/>
              <w:rPr>
                <w:rFonts w:cs="Arial"/>
                <w:lang w:val="en-AU"/>
              </w:rPr>
            </w:pPr>
            <w:r w:rsidRPr="00E64DA3">
              <w:rPr>
                <w:rFonts w:cs="Arial"/>
                <w:lang w:val="en-AU"/>
              </w:rPr>
              <w:t>Very large</w:t>
            </w:r>
          </w:p>
        </w:tc>
        <w:tc>
          <w:tcPr>
            <w:tcW w:w="857" w:type="pct"/>
            <w:shd w:val="clear" w:color="auto" w:fill="auto"/>
          </w:tcPr>
          <w:p w14:paraId="6F8C5107" w14:textId="77777777" w:rsidR="00EC59A4" w:rsidRPr="00E64DA3" w:rsidRDefault="00EC59A4" w:rsidP="00BD69C9">
            <w:pPr>
              <w:pStyle w:val="Tabletext0"/>
              <w:rPr>
                <w:rFonts w:cs="Arial"/>
                <w:lang w:val="en-AU"/>
              </w:rPr>
            </w:pPr>
            <w:r w:rsidRPr="00E64DA3">
              <w:rPr>
                <w:rFonts w:cs="Arial"/>
                <w:lang w:val="en-AU"/>
              </w:rPr>
              <w:t>Substantial</w:t>
            </w:r>
          </w:p>
        </w:tc>
        <w:tc>
          <w:tcPr>
            <w:tcW w:w="857" w:type="pct"/>
            <w:shd w:val="clear" w:color="auto" w:fill="auto"/>
          </w:tcPr>
          <w:p w14:paraId="750D78C5" w14:textId="77777777" w:rsidR="00EC59A4" w:rsidRPr="00E64DA3" w:rsidRDefault="00EC59A4" w:rsidP="00BD69C9">
            <w:pPr>
              <w:pStyle w:val="Tabletext0"/>
              <w:rPr>
                <w:rFonts w:cs="Arial"/>
                <w:lang w:val="en-AU"/>
              </w:rPr>
            </w:pPr>
            <w:r w:rsidRPr="00E64DA3">
              <w:rPr>
                <w:rFonts w:cs="Arial"/>
                <w:lang w:val="en-AU"/>
              </w:rPr>
              <w:t>Moderate</w:t>
            </w:r>
          </w:p>
        </w:tc>
        <w:tc>
          <w:tcPr>
            <w:tcW w:w="857" w:type="pct"/>
            <w:shd w:val="clear" w:color="auto" w:fill="auto"/>
          </w:tcPr>
          <w:p w14:paraId="20DF07E4" w14:textId="77777777" w:rsidR="00EC59A4" w:rsidRPr="00E64DA3" w:rsidRDefault="00EC59A4" w:rsidP="00BD69C9">
            <w:pPr>
              <w:pStyle w:val="Tabletext0"/>
              <w:rPr>
                <w:rFonts w:cs="Arial"/>
                <w:lang w:val="en-AU"/>
              </w:rPr>
            </w:pPr>
            <w:r w:rsidRPr="00E64DA3">
              <w:rPr>
                <w:rFonts w:cs="Arial"/>
                <w:lang w:val="en-AU"/>
              </w:rPr>
              <w:t>Slight or restricted</w:t>
            </w:r>
          </w:p>
        </w:tc>
        <w:tc>
          <w:tcPr>
            <w:tcW w:w="857" w:type="pct"/>
          </w:tcPr>
          <w:p w14:paraId="273E8614" w14:textId="77777777" w:rsidR="00EC59A4" w:rsidRPr="00E64DA3" w:rsidRDefault="00EC59A4" w:rsidP="00BD69C9">
            <w:pPr>
              <w:pStyle w:val="Tabletext0"/>
              <w:rPr>
                <w:rFonts w:cs="Arial"/>
                <w:lang w:val="en-AU"/>
              </w:rPr>
            </w:pPr>
          </w:p>
        </w:tc>
      </w:tr>
      <w:tr w:rsidR="00EC59A4" w:rsidRPr="002069E8" w14:paraId="5E9B97D9" w14:textId="77777777" w:rsidTr="001F161F">
        <w:trPr>
          <w:cantSplit/>
        </w:trPr>
        <w:tc>
          <w:tcPr>
            <w:tcW w:w="715" w:type="pct"/>
          </w:tcPr>
          <w:p w14:paraId="3A64A722" w14:textId="77777777" w:rsidR="00EC59A4" w:rsidRPr="00E64DA3" w:rsidRDefault="00EC59A4" w:rsidP="00BD69C9">
            <w:pPr>
              <w:pStyle w:val="Tabletext0"/>
              <w:rPr>
                <w:rFonts w:cs="Arial"/>
                <w:lang w:val="en-AU"/>
              </w:rPr>
            </w:pPr>
            <w:r w:rsidRPr="00E64DA3">
              <w:rPr>
                <w:rFonts w:cs="Arial"/>
                <w:lang w:val="en-AU"/>
              </w:rPr>
              <w:t>Generalisability</w:t>
            </w:r>
          </w:p>
        </w:tc>
        <w:tc>
          <w:tcPr>
            <w:tcW w:w="857" w:type="pct"/>
            <w:shd w:val="clear" w:color="auto" w:fill="auto"/>
          </w:tcPr>
          <w:p w14:paraId="426C87FC" w14:textId="77777777" w:rsidR="00EC59A4" w:rsidRPr="00E64DA3" w:rsidRDefault="00EC59A4" w:rsidP="00C516CE">
            <w:pPr>
              <w:pStyle w:val="Tabletext0"/>
              <w:rPr>
                <w:rFonts w:cs="Arial"/>
                <w:lang w:val="en-AU"/>
              </w:rPr>
            </w:pPr>
            <w:r w:rsidRPr="00E64DA3">
              <w:rPr>
                <w:rFonts w:cs="Arial"/>
                <w:lang w:val="en-AU"/>
              </w:rPr>
              <w:t>Population/s studied in the body of evidence are the same as the target population for the guideline</w:t>
            </w:r>
          </w:p>
        </w:tc>
        <w:tc>
          <w:tcPr>
            <w:tcW w:w="857" w:type="pct"/>
            <w:shd w:val="clear" w:color="auto" w:fill="auto"/>
          </w:tcPr>
          <w:p w14:paraId="58A9B712" w14:textId="77777777" w:rsidR="00EC59A4" w:rsidRPr="00E64DA3" w:rsidRDefault="00EC59A4" w:rsidP="00BD69C9">
            <w:pPr>
              <w:pStyle w:val="Tabletext0"/>
              <w:rPr>
                <w:rFonts w:cs="Arial"/>
                <w:lang w:val="en-AU"/>
              </w:rPr>
            </w:pPr>
            <w:r w:rsidRPr="00E64DA3">
              <w:rPr>
                <w:rFonts w:cs="Arial"/>
                <w:lang w:val="en-AU"/>
              </w:rPr>
              <w:t>Population/s studied in the body of evidence are similar to the target population for the guideline</w:t>
            </w:r>
          </w:p>
        </w:tc>
        <w:tc>
          <w:tcPr>
            <w:tcW w:w="857" w:type="pct"/>
            <w:shd w:val="clear" w:color="auto" w:fill="auto"/>
          </w:tcPr>
          <w:p w14:paraId="01E1164B" w14:textId="77777777" w:rsidR="00EC59A4" w:rsidRPr="00E64DA3" w:rsidRDefault="00EC59A4" w:rsidP="000B59CA">
            <w:pPr>
              <w:pStyle w:val="Tabletext0"/>
              <w:rPr>
                <w:rFonts w:cs="Arial"/>
                <w:lang w:val="en-AU"/>
              </w:rPr>
            </w:pPr>
            <w:r w:rsidRPr="00E64DA3">
              <w:rPr>
                <w:rFonts w:cs="Arial"/>
                <w:lang w:val="en-AU"/>
              </w:rPr>
              <w:t>Population/s studied in the body of evidence are different to the target population, but it is clinically sensible to apply this evidence to the target population for the guideline</w:t>
            </w:r>
          </w:p>
        </w:tc>
        <w:tc>
          <w:tcPr>
            <w:tcW w:w="857" w:type="pct"/>
            <w:shd w:val="clear" w:color="auto" w:fill="auto"/>
          </w:tcPr>
          <w:p w14:paraId="3320EC2D" w14:textId="77777777" w:rsidR="00EC59A4" w:rsidRPr="00E64DA3" w:rsidRDefault="00EC59A4" w:rsidP="000B59CA">
            <w:pPr>
              <w:pStyle w:val="Tabletext0"/>
              <w:rPr>
                <w:rFonts w:cs="Arial"/>
                <w:lang w:val="en-AU"/>
              </w:rPr>
            </w:pPr>
            <w:r w:rsidRPr="00E64DA3">
              <w:rPr>
                <w:rFonts w:cs="Arial"/>
                <w:lang w:val="en-AU"/>
              </w:rPr>
              <w:t>Population/s studied in the body of evidence are different to the target population and it is hard to judge whether it is sensible to generalise to the target population for the guideline</w:t>
            </w:r>
          </w:p>
        </w:tc>
        <w:tc>
          <w:tcPr>
            <w:tcW w:w="857" w:type="pct"/>
          </w:tcPr>
          <w:p w14:paraId="11114548" w14:textId="77777777" w:rsidR="00EC59A4" w:rsidRPr="00E64DA3" w:rsidRDefault="00EC59A4" w:rsidP="000B59CA">
            <w:pPr>
              <w:pStyle w:val="Tabletext0"/>
              <w:rPr>
                <w:rFonts w:cs="Arial"/>
                <w:lang w:val="en-AU"/>
              </w:rPr>
            </w:pPr>
          </w:p>
        </w:tc>
      </w:tr>
      <w:tr w:rsidR="00EC59A4" w:rsidRPr="002069E8" w14:paraId="4DCEA7E3" w14:textId="77777777" w:rsidTr="001F161F">
        <w:tc>
          <w:tcPr>
            <w:tcW w:w="715" w:type="pct"/>
          </w:tcPr>
          <w:p w14:paraId="121D3E9F" w14:textId="77777777" w:rsidR="00EC59A4" w:rsidRPr="00E64DA3" w:rsidRDefault="00EC59A4" w:rsidP="00BD69C9">
            <w:pPr>
              <w:pStyle w:val="Tabletext0"/>
              <w:rPr>
                <w:rFonts w:cs="Arial"/>
                <w:lang w:val="en-AU"/>
              </w:rPr>
            </w:pPr>
            <w:r w:rsidRPr="00E64DA3">
              <w:rPr>
                <w:rFonts w:cs="Arial"/>
                <w:lang w:val="en-AU"/>
              </w:rPr>
              <w:t>Applicability</w:t>
            </w:r>
          </w:p>
        </w:tc>
        <w:tc>
          <w:tcPr>
            <w:tcW w:w="857" w:type="pct"/>
            <w:shd w:val="clear" w:color="auto" w:fill="auto"/>
          </w:tcPr>
          <w:p w14:paraId="06F804A0" w14:textId="77777777" w:rsidR="00EC59A4" w:rsidRPr="00E64DA3" w:rsidRDefault="00EC59A4" w:rsidP="00BD69C9">
            <w:pPr>
              <w:pStyle w:val="Tabletext0"/>
              <w:rPr>
                <w:rFonts w:cs="Arial"/>
                <w:lang w:val="en-AU"/>
              </w:rPr>
            </w:pPr>
            <w:r w:rsidRPr="00E64DA3">
              <w:rPr>
                <w:rFonts w:cs="Arial"/>
                <w:lang w:val="en-AU"/>
              </w:rPr>
              <w:t>Directly applicable to the Australian health-care context</w:t>
            </w:r>
          </w:p>
        </w:tc>
        <w:tc>
          <w:tcPr>
            <w:tcW w:w="857" w:type="pct"/>
            <w:shd w:val="clear" w:color="auto" w:fill="auto"/>
          </w:tcPr>
          <w:p w14:paraId="73D61DB4" w14:textId="77777777" w:rsidR="00EC59A4" w:rsidRPr="00E64DA3" w:rsidRDefault="00EC59A4" w:rsidP="00E86D3D">
            <w:pPr>
              <w:pStyle w:val="Tabletext0"/>
              <w:rPr>
                <w:rFonts w:cs="Arial"/>
                <w:lang w:val="en-AU"/>
              </w:rPr>
            </w:pPr>
            <w:r w:rsidRPr="00E64DA3">
              <w:rPr>
                <w:rFonts w:cs="Arial"/>
                <w:lang w:val="en-AU"/>
              </w:rPr>
              <w:t>Applicable to the Australian health-care context, with a few caveats</w:t>
            </w:r>
          </w:p>
        </w:tc>
        <w:tc>
          <w:tcPr>
            <w:tcW w:w="857" w:type="pct"/>
            <w:shd w:val="clear" w:color="auto" w:fill="auto"/>
          </w:tcPr>
          <w:p w14:paraId="783E6957" w14:textId="77777777" w:rsidR="00EC59A4" w:rsidRPr="00E64DA3" w:rsidRDefault="00EC59A4" w:rsidP="00BD69C9">
            <w:pPr>
              <w:pStyle w:val="Tabletext0"/>
              <w:rPr>
                <w:rFonts w:cs="Arial"/>
                <w:lang w:val="en-AU"/>
              </w:rPr>
            </w:pPr>
            <w:r w:rsidRPr="00E64DA3">
              <w:rPr>
                <w:rFonts w:cs="Arial"/>
                <w:lang w:val="en-AU"/>
              </w:rPr>
              <w:t>Probably applicable to the Australian health-care context, with some caveats</w:t>
            </w:r>
          </w:p>
        </w:tc>
        <w:tc>
          <w:tcPr>
            <w:tcW w:w="857" w:type="pct"/>
            <w:shd w:val="clear" w:color="auto" w:fill="auto"/>
          </w:tcPr>
          <w:p w14:paraId="0D5C1EA0" w14:textId="77777777" w:rsidR="00EC59A4" w:rsidRPr="00E64DA3" w:rsidRDefault="00EC59A4" w:rsidP="00BD69C9">
            <w:pPr>
              <w:pStyle w:val="Tabletext0"/>
              <w:rPr>
                <w:rFonts w:cs="Arial"/>
                <w:lang w:val="en-AU"/>
              </w:rPr>
            </w:pPr>
            <w:r w:rsidRPr="00E64DA3">
              <w:rPr>
                <w:rFonts w:cs="Arial"/>
                <w:lang w:val="en-AU"/>
              </w:rPr>
              <w:t>Not applicable to the Australian health-care context</w:t>
            </w:r>
          </w:p>
        </w:tc>
        <w:tc>
          <w:tcPr>
            <w:tcW w:w="857" w:type="pct"/>
          </w:tcPr>
          <w:p w14:paraId="220FA8E2" w14:textId="77777777" w:rsidR="00EC59A4" w:rsidRPr="00E64DA3" w:rsidRDefault="00EC59A4" w:rsidP="00BD69C9">
            <w:pPr>
              <w:pStyle w:val="Tabletext0"/>
              <w:rPr>
                <w:rFonts w:cs="Arial"/>
                <w:lang w:val="en-AU"/>
              </w:rPr>
            </w:pPr>
          </w:p>
        </w:tc>
      </w:tr>
    </w:tbl>
    <w:p w14:paraId="0C0B9BBD" w14:textId="409DBBB3" w:rsidR="00CB4AD7" w:rsidRDefault="00CB4AD7" w:rsidP="00CB4AD7">
      <w:pPr>
        <w:pStyle w:val="TableFigNotes18"/>
      </w:pPr>
      <w:r>
        <w:t>Source: NHMRC 2009</w:t>
      </w:r>
      <w:hyperlink w:anchor="_ENREF_24" w:tooltip="National Health and Medical Research Council (NHMRC), 2009 #999" w:history="1">
        <w:r w:rsidR="00E62798">
          <w:fldChar w:fldCharType="begin"/>
        </w:r>
        <w:r w:rsidR="00E62798">
          <w:instrText xml:space="preserve"> ADDIN EN.CITE &lt;EndNote&gt;&lt;Cite&gt;&lt;Author&gt;National Health and Medical Research Council (NHMRC)&lt;/Author&gt;&lt;Year&gt;2009&lt;/Year&gt;&lt;RecNum&gt;999&lt;/RecNum&gt;&lt;DisplayText&gt;&lt;style face="superscript"&gt;24&lt;/style&gt;&lt;/DisplayText&gt;&lt;record&gt;&lt;rec-number&gt;999&lt;/rec-number&gt;&lt;foreign-keys&gt;&lt;key app="EN" db-id="9edve2wadsavt5ewavaxtda4f2tavzvts9ee" timestamp="1437464011"&gt;999&lt;/key&gt;&lt;/foreign-keys&gt;&lt;ref-type name="Report"&gt;27&lt;/ref-type&gt;&lt;contributors&gt;&lt;authors&gt;&lt;author&gt;National Health and Medical Research Council (NHMRC),&lt;/author&gt;&lt;/authors&gt;&lt;/contributors&gt;&lt;titles&gt;&lt;title&gt;NHMRC additional levels of evidence and grades for recommendations for developers of guidelines&lt;/title&gt;&lt;/titles&gt;&lt;dates&gt;&lt;year&gt;2009&lt;/year&gt;&lt;/dates&gt;&lt;pub-location&gt;Canberra, Australia&lt;/pub-location&gt;&lt;publisher&gt;NHMRC&lt;/publisher&gt;&lt;urls&gt;&lt;related-urls&gt;&lt;url&gt;http://www.nhmrc.gov.au/guidelines/consult/consultations/add_levels_grades_dev_guidelines2.htm&lt;/url&gt;&lt;/related-urls&gt;&lt;/urls&gt;&lt;/record&gt;&lt;/Cite&gt;&lt;/EndNote&gt;</w:instrText>
        </w:r>
        <w:r w:rsidR="00E62798">
          <w:fldChar w:fldCharType="separate"/>
        </w:r>
        <w:r w:rsidR="00E62798" w:rsidRPr="00E62798">
          <w:rPr>
            <w:noProof/>
            <w:vertAlign w:val="superscript"/>
          </w:rPr>
          <w:t>24</w:t>
        </w:r>
        <w:r w:rsidR="00E62798">
          <w:fldChar w:fldCharType="end"/>
        </w:r>
      </w:hyperlink>
    </w:p>
    <w:p w14:paraId="34626732" w14:textId="77777777" w:rsidR="00F000AF" w:rsidRPr="002E529D" w:rsidRDefault="001A0D26" w:rsidP="00F000AF">
      <w:pPr>
        <w:pStyle w:val="TableName"/>
      </w:pPr>
      <w:bookmarkStart w:id="61" w:name="_Toc248294213"/>
      <w:bookmarkStart w:id="62" w:name="_Toc248895673"/>
      <w:bookmarkStart w:id="63" w:name="_Toc252478868"/>
      <w:bookmarkStart w:id="64" w:name="_Toc263867913"/>
      <w:bookmarkStart w:id="65" w:name="_Toc282674497"/>
      <w:bookmarkStart w:id="66" w:name="_Toc427758390"/>
      <w:r>
        <w:t>Table 2.2</w:t>
      </w:r>
      <w:r w:rsidR="00F000AF" w:rsidRPr="002E529D">
        <w:tab/>
        <w:t>Definitions of NHMRC grades for recommendations</w:t>
      </w:r>
      <w:bookmarkEnd w:id="61"/>
      <w:bookmarkEnd w:id="62"/>
      <w:bookmarkEnd w:id="63"/>
      <w:bookmarkEnd w:id="64"/>
      <w:bookmarkEnd w:id="65"/>
      <w:bookmarkEnd w:id="66"/>
    </w:p>
    <w:tbl>
      <w:tblPr>
        <w:tblW w:w="4558" w:type="pct"/>
        <w:tblInd w:w="817" w:type="dxa"/>
        <w:tblBorders>
          <w:top w:val="single" w:sz="4" w:space="0" w:color="auto"/>
          <w:bottom w:val="single" w:sz="4" w:space="0" w:color="auto"/>
          <w:insideH w:val="single" w:sz="4" w:space="0" w:color="auto"/>
        </w:tblBorders>
        <w:tblLook w:val="00A0" w:firstRow="1" w:lastRow="0" w:firstColumn="1" w:lastColumn="0" w:noHBand="0" w:noVBand="0"/>
      </w:tblPr>
      <w:tblGrid>
        <w:gridCol w:w="992"/>
        <w:gridCol w:w="7433"/>
      </w:tblGrid>
      <w:tr w:rsidR="00F000AF" w:rsidRPr="002069E8" w14:paraId="194CBE27" w14:textId="77777777" w:rsidTr="006F5143">
        <w:tc>
          <w:tcPr>
            <w:tcW w:w="589" w:type="pct"/>
          </w:tcPr>
          <w:p w14:paraId="3E1DB238" w14:textId="77777777" w:rsidR="00F000AF" w:rsidRPr="006E71B7" w:rsidRDefault="00F000AF" w:rsidP="006F5143">
            <w:pPr>
              <w:pStyle w:val="TableHeading"/>
            </w:pPr>
            <w:r w:rsidRPr="006E71B7">
              <w:t>Grade</w:t>
            </w:r>
          </w:p>
        </w:tc>
        <w:tc>
          <w:tcPr>
            <w:tcW w:w="4411" w:type="pct"/>
            <w:shd w:val="clear" w:color="auto" w:fill="auto"/>
          </w:tcPr>
          <w:p w14:paraId="144AEC02" w14:textId="77777777" w:rsidR="00F000AF" w:rsidRPr="006E71B7" w:rsidRDefault="00F000AF" w:rsidP="006F5143">
            <w:pPr>
              <w:pStyle w:val="TableHeading"/>
            </w:pPr>
            <w:r w:rsidRPr="006E71B7">
              <w:t>Definition</w:t>
            </w:r>
          </w:p>
        </w:tc>
      </w:tr>
      <w:tr w:rsidR="00F000AF" w:rsidRPr="002069E8" w14:paraId="2C51ADE4" w14:textId="77777777" w:rsidTr="006F5143">
        <w:tc>
          <w:tcPr>
            <w:tcW w:w="589" w:type="pct"/>
            <w:tcBorders>
              <w:bottom w:val="nil"/>
            </w:tcBorders>
          </w:tcPr>
          <w:p w14:paraId="3027A534" w14:textId="77777777" w:rsidR="00F000AF" w:rsidRPr="006E71B7" w:rsidRDefault="00F000AF" w:rsidP="006F5143">
            <w:pPr>
              <w:pStyle w:val="TableHeading"/>
            </w:pPr>
            <w:r w:rsidRPr="006E71B7">
              <w:t>A</w:t>
            </w:r>
          </w:p>
        </w:tc>
        <w:tc>
          <w:tcPr>
            <w:tcW w:w="4411" w:type="pct"/>
            <w:tcBorders>
              <w:bottom w:val="nil"/>
            </w:tcBorders>
            <w:shd w:val="clear" w:color="auto" w:fill="auto"/>
          </w:tcPr>
          <w:p w14:paraId="7BF976DB" w14:textId="77777777" w:rsidR="00F000AF" w:rsidRPr="006E71B7" w:rsidRDefault="00F000AF" w:rsidP="006F5143">
            <w:pPr>
              <w:pStyle w:val="TableText"/>
            </w:pPr>
            <w:r w:rsidRPr="006E71B7">
              <w:t>Body of evidence can be trusted to guide practice</w:t>
            </w:r>
          </w:p>
        </w:tc>
      </w:tr>
      <w:tr w:rsidR="00F000AF" w:rsidRPr="002069E8" w14:paraId="10E80120" w14:textId="77777777" w:rsidTr="006F5143">
        <w:tc>
          <w:tcPr>
            <w:tcW w:w="589" w:type="pct"/>
            <w:tcBorders>
              <w:top w:val="nil"/>
              <w:bottom w:val="nil"/>
            </w:tcBorders>
          </w:tcPr>
          <w:p w14:paraId="5488C0E5" w14:textId="77777777" w:rsidR="00F000AF" w:rsidRPr="006E71B7" w:rsidRDefault="00F000AF" w:rsidP="006F5143">
            <w:pPr>
              <w:pStyle w:val="TableHeading"/>
            </w:pPr>
            <w:r w:rsidRPr="006E71B7">
              <w:t>B</w:t>
            </w:r>
          </w:p>
        </w:tc>
        <w:tc>
          <w:tcPr>
            <w:tcW w:w="4411" w:type="pct"/>
            <w:tcBorders>
              <w:top w:val="nil"/>
              <w:bottom w:val="nil"/>
            </w:tcBorders>
            <w:shd w:val="clear" w:color="auto" w:fill="auto"/>
          </w:tcPr>
          <w:p w14:paraId="1D5CEC75" w14:textId="77777777" w:rsidR="00F000AF" w:rsidRPr="006E71B7" w:rsidRDefault="00F000AF" w:rsidP="006F5143">
            <w:pPr>
              <w:pStyle w:val="TableText"/>
            </w:pPr>
            <w:r w:rsidRPr="006E71B7">
              <w:t>Body of evidence can be trusted to guide practice in most situations</w:t>
            </w:r>
          </w:p>
        </w:tc>
      </w:tr>
      <w:tr w:rsidR="00F000AF" w:rsidRPr="002069E8" w14:paraId="1EB0643E" w14:textId="77777777" w:rsidTr="006F5143">
        <w:tc>
          <w:tcPr>
            <w:tcW w:w="589" w:type="pct"/>
            <w:tcBorders>
              <w:top w:val="nil"/>
              <w:bottom w:val="nil"/>
            </w:tcBorders>
          </w:tcPr>
          <w:p w14:paraId="2F7FDA14" w14:textId="77777777" w:rsidR="00F000AF" w:rsidRPr="006E71B7" w:rsidRDefault="00F000AF" w:rsidP="006F5143">
            <w:pPr>
              <w:pStyle w:val="TableHeading"/>
            </w:pPr>
            <w:r w:rsidRPr="006E71B7">
              <w:t>C</w:t>
            </w:r>
          </w:p>
        </w:tc>
        <w:tc>
          <w:tcPr>
            <w:tcW w:w="4411" w:type="pct"/>
            <w:tcBorders>
              <w:top w:val="nil"/>
              <w:bottom w:val="nil"/>
            </w:tcBorders>
            <w:shd w:val="clear" w:color="auto" w:fill="auto"/>
          </w:tcPr>
          <w:p w14:paraId="56DE069C" w14:textId="77777777" w:rsidR="00F000AF" w:rsidRPr="006E71B7" w:rsidRDefault="00F000AF" w:rsidP="006F5143">
            <w:pPr>
              <w:pStyle w:val="TableText"/>
            </w:pPr>
            <w:r w:rsidRPr="006E71B7">
              <w:t>Body of evidence provides some support for recommendation(s) but care should be taken in its application</w:t>
            </w:r>
          </w:p>
        </w:tc>
      </w:tr>
      <w:tr w:rsidR="00F000AF" w:rsidRPr="002069E8" w14:paraId="4D40C29A" w14:textId="77777777" w:rsidTr="006F5143">
        <w:tc>
          <w:tcPr>
            <w:tcW w:w="589" w:type="pct"/>
            <w:tcBorders>
              <w:top w:val="nil"/>
            </w:tcBorders>
          </w:tcPr>
          <w:p w14:paraId="700262A1" w14:textId="77777777" w:rsidR="00F000AF" w:rsidRPr="006E71B7" w:rsidRDefault="00F000AF" w:rsidP="006F5143">
            <w:pPr>
              <w:pStyle w:val="TableHeading"/>
            </w:pPr>
            <w:r w:rsidRPr="006E71B7">
              <w:t>D</w:t>
            </w:r>
          </w:p>
        </w:tc>
        <w:tc>
          <w:tcPr>
            <w:tcW w:w="4411" w:type="pct"/>
            <w:tcBorders>
              <w:top w:val="nil"/>
            </w:tcBorders>
            <w:shd w:val="clear" w:color="auto" w:fill="auto"/>
          </w:tcPr>
          <w:p w14:paraId="268EBEF7" w14:textId="77777777" w:rsidR="00F000AF" w:rsidRPr="006E71B7" w:rsidRDefault="00F000AF" w:rsidP="006F5143">
            <w:pPr>
              <w:pStyle w:val="TableText"/>
            </w:pPr>
            <w:r w:rsidRPr="006E71B7">
              <w:t>Body of evidence is weak and recommendations must be applied with caution</w:t>
            </w:r>
          </w:p>
        </w:tc>
      </w:tr>
    </w:tbl>
    <w:p w14:paraId="4876629D" w14:textId="69EA37E3" w:rsidR="00690B43" w:rsidRDefault="00F000AF" w:rsidP="00771EFE">
      <w:pPr>
        <w:pStyle w:val="TableFigNotes18"/>
        <w:sectPr w:rsidR="00690B43" w:rsidSect="00CD29C9">
          <w:headerReference w:type="even" r:id="rId31"/>
          <w:headerReference w:type="default" r:id="rId32"/>
          <w:footerReference w:type="even" r:id="rId33"/>
          <w:footerReference w:type="default" r:id="rId34"/>
          <w:headerReference w:type="first" r:id="rId35"/>
          <w:footerReference w:type="first" r:id="rId36"/>
          <w:footnotePr>
            <w:numFmt w:val="lowerLetter"/>
          </w:footnotePr>
          <w:type w:val="oddPage"/>
          <w:pgSz w:w="11906" w:h="16838" w:code="9"/>
          <w:pgMar w:top="1440" w:right="1440" w:bottom="1440" w:left="1440" w:header="578" w:footer="578" w:gutter="0"/>
          <w:cols w:space="720"/>
          <w:titlePg/>
          <w:docGrid w:linePitch="360"/>
        </w:sectPr>
      </w:pPr>
      <w:r>
        <w:t>Source: NHMRC 2009</w:t>
      </w:r>
      <w:hyperlink w:anchor="_ENREF_24" w:tooltip="National Health and Medical Research Council (NHMRC), 2009 #999" w:history="1">
        <w:r w:rsidR="00E62798">
          <w:fldChar w:fldCharType="begin"/>
        </w:r>
        <w:r w:rsidR="00E62798">
          <w:instrText xml:space="preserve"> ADDIN EN.CITE &lt;EndNote&gt;&lt;Cite&gt;&lt;Author&gt;National Health and Medical Research Council (NHMRC)&lt;/Author&gt;&lt;Year&gt;2009&lt;/Year&gt;&lt;RecNum&gt;999&lt;/RecNum&gt;&lt;DisplayText&gt;&lt;style face="superscript"&gt;24&lt;/style&gt;&lt;/DisplayText&gt;&lt;record&gt;&lt;rec-number&gt;999&lt;/rec-number&gt;&lt;foreign-keys&gt;&lt;key app="EN" db-id="9edve2wadsavt5ewavaxtda4f2tavzvts9ee" timestamp="1437464011"&gt;999&lt;/key&gt;&lt;/foreign-keys&gt;&lt;ref-type name="Report"&gt;27&lt;/ref-type&gt;&lt;contributors&gt;&lt;authors&gt;&lt;author&gt;National Health and Medical Research Council (NHMRC),&lt;/author&gt;&lt;/authors&gt;&lt;/contributors&gt;&lt;titles&gt;&lt;title&gt;NHMRC additional levels of evidence and grades for recommendations for developers of guidelines&lt;/title&gt;&lt;/titles&gt;&lt;dates&gt;&lt;year&gt;2009&lt;/year&gt;&lt;/dates&gt;&lt;pub-location&gt;Canberra, Australia&lt;/pub-location&gt;&lt;publisher&gt;NHMRC&lt;/publisher&gt;&lt;urls&gt;&lt;related-urls&gt;&lt;url&gt;http://www.nhmrc.gov.au/guidelines/consult/consultations/add_levels_grades_dev_guidelines2.htm&lt;/url&gt;&lt;/related-urls&gt;&lt;/urls&gt;&lt;/record&gt;&lt;/Cite&gt;&lt;/EndNote&gt;</w:instrText>
        </w:r>
        <w:r w:rsidR="00E62798">
          <w:fldChar w:fldCharType="separate"/>
        </w:r>
        <w:r w:rsidR="00E62798" w:rsidRPr="00E62798">
          <w:rPr>
            <w:noProof/>
            <w:vertAlign w:val="superscript"/>
          </w:rPr>
          <w:t>24</w:t>
        </w:r>
        <w:r w:rsidR="00E62798">
          <w:fldChar w:fldCharType="end"/>
        </w:r>
      </w:hyperlink>
    </w:p>
    <w:p w14:paraId="00B2049E" w14:textId="77777777" w:rsidR="00FF57C7" w:rsidRPr="00A05BF3" w:rsidRDefault="00FF57C7" w:rsidP="00FF57C7">
      <w:pPr>
        <w:pStyle w:val="Heading1"/>
      </w:pPr>
      <w:bookmarkStart w:id="67" w:name="_Toc282672285"/>
      <w:bookmarkStart w:id="68" w:name="_Toc427851309"/>
      <w:r>
        <w:lastRenderedPageBreak/>
        <w:t>3</w:t>
      </w:r>
      <w:r>
        <w:tab/>
        <w:t>Clinical guidance</w:t>
      </w:r>
      <w:bookmarkEnd w:id="67"/>
      <w:bookmarkEnd w:id="68"/>
    </w:p>
    <w:p w14:paraId="4867E43C" w14:textId="77777777" w:rsidR="00041047" w:rsidRPr="00041047" w:rsidRDefault="00041047" w:rsidP="00041047">
      <w:pPr>
        <w:pStyle w:val="Heading2"/>
        <w:ind w:left="0" w:firstLine="0"/>
        <w:rPr>
          <w:iCs w:val="0"/>
        </w:rPr>
      </w:pPr>
      <w:bookmarkStart w:id="69" w:name="_Toc427851310"/>
      <w:r w:rsidRPr="00041047">
        <w:rPr>
          <w:iCs w:val="0"/>
        </w:rPr>
        <w:t>3.1</w:t>
      </w:r>
      <w:r w:rsidRPr="00041047">
        <w:rPr>
          <w:iCs w:val="0"/>
        </w:rPr>
        <w:tab/>
        <w:t>Introduction</w:t>
      </w:r>
      <w:bookmarkEnd w:id="69"/>
    </w:p>
    <w:p w14:paraId="54ABAC89" w14:textId="77777777" w:rsidR="00545C42" w:rsidRPr="008C2954" w:rsidRDefault="00545C42" w:rsidP="00882A1D">
      <w:pPr>
        <w:pStyle w:val="Heading3"/>
      </w:pPr>
      <w:bookmarkStart w:id="70" w:name="_Toc427851311"/>
      <w:r>
        <w:t>3.1.1</w:t>
      </w:r>
      <w:r>
        <w:tab/>
        <w:t>Purpose and audience</w:t>
      </w:r>
      <w:bookmarkEnd w:id="70"/>
    </w:p>
    <w:p w14:paraId="5906E7CC" w14:textId="77777777" w:rsidR="009A7383" w:rsidRDefault="009A7383" w:rsidP="009A7383">
      <w:r w:rsidRPr="00C10A7E">
        <w:t>This document is intended to assist and guide health-care professionals in making clinical decisions</w:t>
      </w:r>
      <w:r>
        <w:t xml:space="preserve"> about blood management in neonatal and paediatric patients. Specific guidelines are needed for these age groups because there are considerable physiological differences between neonates and children at different developmental stages, and between children and adults. Transfusions can be lifesaving and improve health, but can also have adverse consequences. Both the benefits and adverse consequences of transfusions in neonatal and paediatric patients may be lifelong. </w:t>
      </w:r>
    </w:p>
    <w:p w14:paraId="78F769C1" w14:textId="77777777" w:rsidR="009A7383" w:rsidRDefault="009A7383" w:rsidP="009A7383">
      <w:r>
        <w:t>This chapter also outlines the need for guidance on:</w:t>
      </w:r>
    </w:p>
    <w:p w14:paraId="46A0F97D" w14:textId="66584814" w:rsidR="009A7383" w:rsidRPr="007E1685" w:rsidRDefault="008E1178" w:rsidP="009A7383">
      <w:pPr>
        <w:pStyle w:val="Bullet6"/>
      </w:pPr>
      <w:r>
        <w:rPr>
          <w:lang w:val="en-AU"/>
        </w:rPr>
        <w:t>red blood cell (</w:t>
      </w:r>
      <w:r w:rsidR="009A7383" w:rsidRPr="007E1685">
        <w:t>RBC</w:t>
      </w:r>
      <w:r>
        <w:rPr>
          <w:lang w:val="en-AU"/>
        </w:rPr>
        <w:t>)</w:t>
      </w:r>
      <w:r w:rsidR="009A7383" w:rsidRPr="007E1685">
        <w:t xml:space="preserve"> transfusions in preterm infants</w:t>
      </w:r>
      <w:r w:rsidR="009A7383">
        <w:t xml:space="preserve"> (Appendix </w:t>
      </w:r>
      <w:r w:rsidR="009A7383">
        <w:rPr>
          <w:lang w:val="en-AU"/>
        </w:rPr>
        <w:t>F</w:t>
      </w:r>
      <w:r w:rsidR="009A7383">
        <w:t>)</w:t>
      </w:r>
    </w:p>
    <w:p w14:paraId="28900B4D" w14:textId="0913A501" w:rsidR="009A7383" w:rsidRPr="00A966D3" w:rsidRDefault="009A7383" w:rsidP="009A7383">
      <w:pPr>
        <w:pStyle w:val="Bullet6"/>
        <w:rPr>
          <w:rFonts w:eastAsiaTheme="minorHAnsi"/>
        </w:rPr>
      </w:pPr>
      <w:r w:rsidRPr="00A966D3">
        <w:rPr>
          <w:rFonts w:eastAsiaTheme="minorHAnsi"/>
          <w:bCs/>
        </w:rPr>
        <w:t xml:space="preserve">paediatric </w:t>
      </w:r>
      <w:r w:rsidRPr="00A966D3">
        <w:rPr>
          <w:rFonts w:eastAsiaTheme="minorHAnsi"/>
          <w:bCs/>
          <w:lang w:val="en-AU"/>
        </w:rPr>
        <w:t>haemoglobin</w:t>
      </w:r>
      <w:r w:rsidR="00CE5AC9">
        <w:rPr>
          <w:rFonts w:eastAsiaTheme="minorHAnsi"/>
          <w:bCs/>
          <w:lang w:val="en-AU"/>
        </w:rPr>
        <w:t xml:space="preserve"> (Hb)</w:t>
      </w:r>
      <w:r w:rsidRPr="00A966D3">
        <w:rPr>
          <w:rFonts w:eastAsiaTheme="minorHAnsi"/>
          <w:bCs/>
        </w:rPr>
        <w:t xml:space="preserve"> assessment and optimisation (Appendix</w:t>
      </w:r>
      <w:r w:rsidRPr="00A966D3">
        <w:rPr>
          <w:rFonts w:eastAsiaTheme="minorHAnsi"/>
          <w:bCs/>
          <w:lang w:val="en-AU"/>
        </w:rPr>
        <w:t xml:space="preserve"> G</w:t>
      </w:r>
      <w:r w:rsidRPr="00A966D3">
        <w:rPr>
          <w:rFonts w:eastAsiaTheme="minorHAnsi"/>
          <w:bCs/>
        </w:rPr>
        <w:t>)</w:t>
      </w:r>
    </w:p>
    <w:p w14:paraId="390E491D" w14:textId="77777777" w:rsidR="009A7383" w:rsidRPr="00A966D3" w:rsidRDefault="009A7383" w:rsidP="009A7383">
      <w:pPr>
        <w:pStyle w:val="Bullet6"/>
        <w:rPr>
          <w:rFonts w:eastAsiaTheme="minorHAnsi"/>
        </w:rPr>
      </w:pPr>
      <w:r w:rsidRPr="00A966D3">
        <w:rPr>
          <w:rFonts w:eastAsiaTheme="minorHAnsi"/>
          <w:bCs/>
        </w:rPr>
        <w:t xml:space="preserve">tranexamic acid (TXA) dosing (Appendix </w:t>
      </w:r>
      <w:r w:rsidRPr="00A966D3">
        <w:rPr>
          <w:rFonts w:eastAsiaTheme="minorHAnsi"/>
          <w:bCs/>
          <w:lang w:val="en-AU"/>
        </w:rPr>
        <w:t>H</w:t>
      </w:r>
      <w:r w:rsidRPr="00A966D3">
        <w:rPr>
          <w:rFonts w:eastAsiaTheme="minorHAnsi"/>
          <w:bCs/>
        </w:rPr>
        <w:t>)</w:t>
      </w:r>
    </w:p>
    <w:p w14:paraId="7417A397" w14:textId="494503F5" w:rsidR="009A7383" w:rsidRPr="00A966D3" w:rsidRDefault="006F3C86" w:rsidP="009A7383">
      <w:pPr>
        <w:pStyle w:val="Bullet6"/>
        <w:rPr>
          <w:rFonts w:eastAsiaTheme="minorHAnsi"/>
        </w:rPr>
      </w:pPr>
      <w:r>
        <w:rPr>
          <w:rFonts w:eastAsiaTheme="minorHAnsi"/>
          <w:bCs/>
          <w:lang w:val="en-AU"/>
        </w:rPr>
        <w:t>intravenous iron</w:t>
      </w:r>
      <w:r w:rsidR="009A7383" w:rsidRPr="00A966D3">
        <w:rPr>
          <w:rFonts w:eastAsiaTheme="minorHAnsi"/>
          <w:bCs/>
        </w:rPr>
        <w:t xml:space="preserve"> (Appendix </w:t>
      </w:r>
      <w:r w:rsidR="009A7383" w:rsidRPr="00A966D3">
        <w:rPr>
          <w:rFonts w:eastAsiaTheme="minorHAnsi"/>
          <w:bCs/>
          <w:lang w:val="en-AU"/>
        </w:rPr>
        <w:t>I</w:t>
      </w:r>
      <w:r w:rsidR="009A7383" w:rsidRPr="00A966D3">
        <w:rPr>
          <w:rFonts w:eastAsiaTheme="minorHAnsi"/>
          <w:bCs/>
        </w:rPr>
        <w:t>)</w:t>
      </w:r>
    </w:p>
    <w:p w14:paraId="49EBD1B0" w14:textId="77777777" w:rsidR="009A7383" w:rsidRPr="007E1685" w:rsidRDefault="009A7383" w:rsidP="009A7383">
      <w:pPr>
        <w:pStyle w:val="Bullet6"/>
        <w:rPr>
          <w:rFonts w:eastAsiaTheme="minorHAnsi"/>
          <w:sz w:val="20"/>
          <w:szCs w:val="20"/>
        </w:rPr>
      </w:pPr>
      <w:r w:rsidRPr="00A966D3">
        <w:rPr>
          <w:rFonts w:eastAsiaTheme="minorHAnsi"/>
          <w:bCs/>
          <w:lang w:val="en-AU"/>
        </w:rPr>
        <w:t>calculation of</w:t>
      </w:r>
      <w:r w:rsidRPr="00A966D3">
        <w:rPr>
          <w:rFonts w:eastAsiaTheme="minorHAnsi"/>
          <w:bCs/>
        </w:rPr>
        <w:t xml:space="preserve"> transfusion volume (Appendix </w:t>
      </w:r>
      <w:r w:rsidRPr="00A966D3">
        <w:rPr>
          <w:rFonts w:eastAsiaTheme="minorHAnsi"/>
          <w:bCs/>
          <w:lang w:val="en-AU"/>
        </w:rPr>
        <w:t>J</w:t>
      </w:r>
      <w:r w:rsidRPr="00A966D3">
        <w:rPr>
          <w:rFonts w:eastAsiaTheme="minorHAnsi"/>
          <w:bCs/>
        </w:rPr>
        <w:t>)</w:t>
      </w:r>
    </w:p>
    <w:p w14:paraId="76D83443" w14:textId="2E581B56" w:rsidR="009A7383" w:rsidRPr="007E1685" w:rsidRDefault="00CE5AC9" w:rsidP="009A7383">
      <w:pPr>
        <w:pStyle w:val="Bullet12"/>
        <w:rPr>
          <w:rFonts w:eastAsiaTheme="minorHAnsi"/>
        </w:rPr>
      </w:pPr>
      <w:r>
        <w:rPr>
          <w:rFonts w:eastAsiaTheme="minorHAnsi"/>
          <w:lang w:val="en-AU"/>
        </w:rPr>
        <w:t>critical bleeding protocol</w:t>
      </w:r>
      <w:r w:rsidR="009A7383">
        <w:rPr>
          <w:rFonts w:eastAsiaTheme="minorHAnsi"/>
        </w:rPr>
        <w:t xml:space="preserve"> (Appendix </w:t>
      </w:r>
      <w:r w:rsidR="009A7383">
        <w:rPr>
          <w:rFonts w:eastAsiaTheme="minorHAnsi"/>
          <w:lang w:val="en-AU"/>
        </w:rPr>
        <w:t>K</w:t>
      </w:r>
      <w:r w:rsidR="009A7383">
        <w:rPr>
          <w:rFonts w:eastAsiaTheme="minorHAnsi"/>
        </w:rPr>
        <w:t>)</w:t>
      </w:r>
      <w:r w:rsidR="00A966D3">
        <w:rPr>
          <w:rFonts w:eastAsiaTheme="minorHAnsi"/>
          <w:lang w:val="en-AU"/>
        </w:rPr>
        <w:t>.</w:t>
      </w:r>
    </w:p>
    <w:p w14:paraId="5F59DAAF" w14:textId="77777777" w:rsidR="006F172D" w:rsidRDefault="006F172D" w:rsidP="006F172D">
      <w:r>
        <w:t xml:space="preserve">The resources in Appendixes F–K can be adapted to suit the local patient population and health-care setting. </w:t>
      </w:r>
    </w:p>
    <w:p w14:paraId="15275E98" w14:textId="77777777" w:rsidR="006A6E85" w:rsidRDefault="00545C42" w:rsidP="00882A1D">
      <w:pPr>
        <w:pStyle w:val="Heading3"/>
        <w:rPr>
          <w:lang w:val="en-US"/>
        </w:rPr>
      </w:pPr>
      <w:bookmarkStart w:id="71" w:name="_Toc427851312"/>
      <w:r>
        <w:t>3.1.2</w:t>
      </w:r>
      <w:r>
        <w:tab/>
      </w:r>
      <w:r w:rsidRPr="00545C42">
        <w:t>Scope</w:t>
      </w:r>
      <w:bookmarkEnd w:id="71"/>
    </w:p>
    <w:p w14:paraId="226499BA" w14:textId="085A453E" w:rsidR="00D173D6" w:rsidRDefault="00D173D6" w:rsidP="00D173D6">
      <w:r>
        <w:t>This chapter provides clinical guidance in the form of recommendations (based on evidence) and practice points (based on CRG consensus). The guidance is organised around the four questions that formed that basis of the systematic review. Full details of the findings of the systematic review are given in the accompanying technical reports.</w:t>
      </w:r>
      <w:hyperlink w:anchor="_ENREF_7" w:tooltip="National Blood Authority (NBA), In preparation #1002" w:history="1">
        <w:r w:rsidR="00E62798">
          <w:fldChar w:fldCharType="begin"/>
        </w:r>
        <w:r w:rsidR="00E62798">
          <w:instrText xml:space="preserve"> ADDIN EN.CITE &lt;EndNote&gt;&lt;Cite&gt;&lt;Author&gt;National Blood Authority (NBA)&lt;/Author&gt;&lt;Year&gt;In preparation&lt;/Year&gt;&lt;RecNum&gt;1002&lt;/RecNum&gt;&lt;DisplayText&gt;&lt;style face="superscript"&gt;7-8&lt;/style&gt;&lt;/DisplayText&gt;&lt;record&gt;&lt;rec-number&gt;1002&lt;/rec-number&gt;&lt;foreign-keys&gt;&lt;key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Australia&lt;/pub-location&gt;&lt;publisher&gt;NBA&lt;/publisher&gt;&lt;urls&gt;&lt;/urls&gt;&lt;/record&gt;&lt;/Cite&gt;&lt;Cite&gt;&lt;Author&gt;National Blood Authority (NBA)&lt;/Author&gt;&lt;Year&gt;In preparation&lt;/Year&gt;&lt;RecNum&gt;1001&lt;/RecNum&gt;&lt;record&gt;&lt;rec-number&gt;1001&lt;/rec-number&gt;&lt;foreign-keys&gt;&lt;key app="EN" db-id="9edve2wadsavt5ewavaxtda4f2tavzvts9ee" timestamp="1437464677"&gt;1001&lt;/key&gt;&lt;/foreign-keys&gt;&lt;ref-type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7-8</w:t>
        </w:r>
        <w:r w:rsidR="00E62798">
          <w:fldChar w:fldCharType="end"/>
        </w:r>
      </w:hyperlink>
    </w:p>
    <w:p w14:paraId="086A4A5E" w14:textId="498DA337" w:rsidR="00D173D6" w:rsidRDefault="00D173D6" w:rsidP="00D173D6">
      <w:r>
        <w:t>A diagnostic approach to anaemia in neonatal and paediatric patients is outside the scope of these guidelines. Factor replacement specific to patients with haemophilia is covered in other guidelines.</w:t>
      </w:r>
      <w:hyperlink w:anchor="_ENREF_25" w:tooltip="WFH, 2012 #944" w:history="1">
        <w:r w:rsidR="00E62798">
          <w:fldChar w:fldCharType="begin"/>
        </w:r>
        <w:r w:rsidR="00E62798">
          <w:instrText xml:space="preserve"> ADDIN EN.CITE &lt;EndNote&gt;&lt;Cite&gt;&lt;Author&gt;WFH&lt;/Author&gt;&lt;Year&gt;2012&lt;/Year&gt;&lt;RecNum&gt;944&lt;/RecNum&gt;&lt;DisplayText&gt;&lt;style face="superscript"&gt;25&lt;/style&gt;&lt;/DisplayText&gt;&lt;record&gt;&lt;rec-number&gt;944&lt;/rec-number&gt;&lt;foreign-keys&gt;&lt;key app="EN" db-id="9edve2wadsavt5ewavaxtda4f2tavzvts9ee" timestamp="1435895307"&gt;944&lt;/key&gt;&lt;/foreign-keys&gt;&lt;ref-type name="Report"&gt;27&lt;/ref-type&gt;&lt;contributors&gt;&lt;authors&gt;&lt;author&gt;WFH,&lt;/author&gt;&lt;/authors&gt;&lt;/contributors&gt;&lt;titles&gt;&lt;title&gt;Guidelines for the management of hemophilia (2nd edition)&lt;/title&gt;&lt;/titles&gt;&lt;dates&gt;&lt;year&gt;2012&lt;/year&gt;&lt;/dates&gt;&lt;publisher&gt;World Federation of Hemophilia (WFH)&lt;/publisher&gt;&lt;urls&gt;&lt;related-urls&gt;&lt;url&gt; http://www1.wfh.org/publication/files/pdf-1472.pdf&lt;/url&gt;&lt;/related-urls&gt;&lt;/urls&gt;&lt;/record&gt;&lt;/Cite&gt;&lt;/EndNote&gt;</w:instrText>
        </w:r>
        <w:r w:rsidR="00E62798">
          <w:fldChar w:fldCharType="separate"/>
        </w:r>
        <w:r w:rsidR="00E62798" w:rsidRPr="00E62798">
          <w:rPr>
            <w:noProof/>
            <w:vertAlign w:val="superscript"/>
          </w:rPr>
          <w:t>25</w:t>
        </w:r>
        <w:r w:rsidR="00E62798">
          <w:fldChar w:fldCharType="end"/>
        </w:r>
      </w:hyperlink>
      <w:r>
        <w:t xml:space="preserve"> Fetal transfusion is discussed in Chapter 4.</w:t>
      </w:r>
    </w:p>
    <w:p w14:paraId="70B3AACC" w14:textId="77777777" w:rsidR="00D173D6" w:rsidRPr="00025BCA" w:rsidRDefault="00D173D6" w:rsidP="00D173D6">
      <w:r>
        <w:t xml:space="preserve">Relevant questions in Modules 1–4 have been considered specifically for neonatal and paediatric populations, including the following subgroups: medical, surgical and critical illness. </w:t>
      </w:r>
    </w:p>
    <w:p w14:paraId="37AC4C38" w14:textId="77777777" w:rsidR="00545C42" w:rsidRDefault="00545C42" w:rsidP="00882A1D">
      <w:pPr>
        <w:pStyle w:val="Heading3"/>
      </w:pPr>
      <w:bookmarkStart w:id="72" w:name="_Toc427851313"/>
      <w:r>
        <w:t>3.1.3</w:t>
      </w:r>
      <w:r>
        <w:tab/>
        <w:t>Patient population and setting</w:t>
      </w:r>
      <w:bookmarkEnd w:id="72"/>
    </w:p>
    <w:p w14:paraId="67F4E0C6" w14:textId="77777777" w:rsidR="00ED2A6F" w:rsidRPr="00284E1B" w:rsidRDefault="00284E1B" w:rsidP="00ED2A6F">
      <w:pPr>
        <w:pStyle w:val="Heading4"/>
      </w:pPr>
      <w:r>
        <w:t>Patient population</w:t>
      </w:r>
    </w:p>
    <w:p w14:paraId="3860035E" w14:textId="77777777" w:rsidR="00284E1B" w:rsidRDefault="00284E1B" w:rsidP="00284E1B">
      <w:pPr>
        <w:pStyle w:val="Heading5"/>
      </w:pPr>
      <w:r>
        <w:t>Definitions</w:t>
      </w:r>
    </w:p>
    <w:p w14:paraId="566DF527" w14:textId="77777777" w:rsidR="003D4351" w:rsidRDefault="003D4351" w:rsidP="003D4351">
      <w:r>
        <w:t>For the purposes of this guideline:</w:t>
      </w:r>
    </w:p>
    <w:p w14:paraId="5362C85C" w14:textId="77777777" w:rsidR="003D4351" w:rsidRDefault="003D4351" w:rsidP="003D4351">
      <w:pPr>
        <w:pStyle w:val="Bullet6"/>
      </w:pPr>
      <w:r>
        <w:t>neonatal patients (≤28 days of age) are classified as follows:</w:t>
      </w:r>
    </w:p>
    <w:p w14:paraId="0FAD608B" w14:textId="77777777" w:rsidR="003D4351" w:rsidRDefault="003D4351" w:rsidP="003D4351">
      <w:pPr>
        <w:pStyle w:val="Dash6"/>
      </w:pPr>
      <w:r>
        <w:t>preterm (&lt;37 weeks of gestation)</w:t>
      </w:r>
    </w:p>
    <w:p w14:paraId="095D7649" w14:textId="77777777" w:rsidR="003D4351" w:rsidRDefault="003D4351" w:rsidP="003D4351">
      <w:pPr>
        <w:pStyle w:val="Dash6"/>
      </w:pPr>
      <w:r>
        <w:lastRenderedPageBreak/>
        <w:t>extremely low birth weight (&lt;1000 g)</w:t>
      </w:r>
    </w:p>
    <w:p w14:paraId="618F946D" w14:textId="77777777" w:rsidR="003D4351" w:rsidRDefault="003D4351" w:rsidP="003D4351">
      <w:pPr>
        <w:pStyle w:val="Dash6"/>
      </w:pPr>
      <w:r>
        <w:t>very low birth weight (&lt;1500 g)</w:t>
      </w:r>
    </w:p>
    <w:p w14:paraId="5C3E057E" w14:textId="77777777" w:rsidR="003D4351" w:rsidRDefault="003D4351" w:rsidP="003D4351">
      <w:pPr>
        <w:pStyle w:val="Dash6"/>
      </w:pPr>
      <w:r>
        <w:t>low birth weight (&lt;2500 g)</w:t>
      </w:r>
    </w:p>
    <w:p w14:paraId="5265A231" w14:textId="77777777" w:rsidR="003D4351" w:rsidRDefault="003D4351" w:rsidP="003D4351">
      <w:pPr>
        <w:pStyle w:val="Bullet6"/>
      </w:pPr>
      <w:r>
        <w:t>paediatric patients (1 month to 18 years of age) are classified as:</w:t>
      </w:r>
    </w:p>
    <w:p w14:paraId="200C0F77" w14:textId="77777777" w:rsidR="003D4351" w:rsidRDefault="003D4351" w:rsidP="003D4351">
      <w:pPr>
        <w:pStyle w:val="Dash6"/>
      </w:pPr>
      <w:r>
        <w:t>infant (1–23 months of age)</w:t>
      </w:r>
    </w:p>
    <w:p w14:paraId="09B9FDA8" w14:textId="77777777" w:rsidR="003D4351" w:rsidRDefault="003D4351" w:rsidP="003D4351">
      <w:pPr>
        <w:pStyle w:val="Dash6"/>
      </w:pPr>
      <w:r>
        <w:t>child (2–12 years of age)</w:t>
      </w:r>
    </w:p>
    <w:p w14:paraId="3F44DD10" w14:textId="76F96659" w:rsidR="003D4351" w:rsidRDefault="003D4351" w:rsidP="003D4351">
      <w:pPr>
        <w:pStyle w:val="Dash12"/>
      </w:pPr>
      <w:r>
        <w:t>adolescent (13–18 years of age)</w:t>
      </w:r>
      <w:r w:rsidR="00CA18CF">
        <w:t>.</w:t>
      </w:r>
    </w:p>
    <w:p w14:paraId="5AE6800F" w14:textId="77777777" w:rsidR="00545C42" w:rsidRPr="00ED2A6F" w:rsidRDefault="00ED2A6F" w:rsidP="00284E1B">
      <w:pPr>
        <w:pStyle w:val="Heading5"/>
      </w:pPr>
      <w:r>
        <w:t>Aboriginal and Torres Strait Islander populations</w:t>
      </w:r>
    </w:p>
    <w:p w14:paraId="240552F7" w14:textId="1861B067" w:rsidR="0041592A" w:rsidRDefault="0041592A" w:rsidP="0041592A">
      <w:pPr>
        <w:spacing w:after="0"/>
      </w:pPr>
      <w:r>
        <w:t xml:space="preserve">The research protocol required the systematic reviewers to isolate included papers that addressed Aboriginal or Torres Strait Islander subgroups. No </w:t>
      </w:r>
      <w:r w:rsidR="00CE5AC9">
        <w:t>randomised controlled trials (</w:t>
      </w:r>
      <w:r>
        <w:t>RCTs</w:t>
      </w:r>
      <w:r w:rsidR="00CE5AC9">
        <w:t>)</w:t>
      </w:r>
      <w:r>
        <w:t xml:space="preserve"> have been published that addressed the research questions in this population. Observational studies indicate t</w:t>
      </w:r>
      <w:r w:rsidR="00636A85">
        <w:t>hat the rate of anaemia is high.</w:t>
      </w:r>
      <w:hyperlink w:anchor="_ENREF_26" w:tooltip="Aquino, 2013 #786" w:history="1">
        <w:r w:rsidR="00E62798">
          <w:fldChar w:fldCharType="begin">
            <w:fldData xml:space="preserve">PEVuZE5vdGU+PENpdGU+PEF1dGhvcj5BcXVpbm88L0F1dGhvcj48WWVhcj4yMDEzPC9ZZWFyPjxS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</w:fldData>
          </w:fldChar>
        </w:r>
        <w:r w:rsidR="00E62798">
          <w:instrText xml:space="preserve"> ADDIN EN.CITE </w:instrText>
        </w:r>
        <w:r w:rsidR="00E62798">
          <w:fldChar w:fldCharType="begin">
            <w:fldData xml:space="preserve">PEVuZE5vdGU+PENpdGU+PEF1dGhvcj5BcXVpbm88L0F1dGhvcj48WWVhcj4yMDEzPC9ZZWFyPjxS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26-30</w:t>
        </w:r>
        <w:r w:rsidR="00E62798">
          <w:fldChar w:fldCharType="end"/>
        </w:r>
      </w:hyperlink>
      <w:r w:rsidR="00636A85" w:rsidRPr="00F42852">
        <w:t xml:space="preserve"> </w:t>
      </w:r>
      <w:r w:rsidRPr="00F42852">
        <w:t>Research</w:t>
      </w:r>
      <w:r>
        <w:t xml:space="preserve"> is urgently required to inform targeted care. Specific issues relating to the care of Aboriginal or Torres Strait Islander c</w:t>
      </w:r>
      <w:r w:rsidR="00636A85">
        <w:t>hildren are addressed in Section 3.6</w:t>
      </w:r>
      <w:r>
        <w:t>, with expert opinion points provided.</w:t>
      </w:r>
    </w:p>
    <w:p w14:paraId="3CA430F0" w14:textId="77777777" w:rsidR="00ED2A6F" w:rsidRDefault="00ED2A6F" w:rsidP="00ED2A6F">
      <w:pPr>
        <w:pStyle w:val="Heading4"/>
      </w:pPr>
      <w:r>
        <w:t>Settings</w:t>
      </w:r>
    </w:p>
    <w:p w14:paraId="45B16A20" w14:textId="77777777" w:rsidR="0041592A" w:rsidRDefault="0041592A" w:rsidP="0041592A">
      <w:r>
        <w:t>The guidance given here applies to all settings where neonatal and paediatric patients are managed, including metropolitan, rural or remote areas. Where access to a haematologist or transfusion medicine specialist is limited, early consultation or referral is warranted.</w:t>
      </w:r>
    </w:p>
    <w:p w14:paraId="5EBF2000" w14:textId="77777777" w:rsidR="00284E1B" w:rsidRDefault="00014B69" w:rsidP="00882A1D">
      <w:pPr>
        <w:pStyle w:val="Heading3"/>
      </w:pPr>
      <w:bookmarkStart w:id="73" w:name="_Toc427851314"/>
      <w:r>
        <w:t>3</w:t>
      </w:r>
      <w:r w:rsidR="00284E1B">
        <w:t>.</w:t>
      </w:r>
      <w:r>
        <w:t>1.4</w:t>
      </w:r>
      <w:r w:rsidR="00284E1B">
        <w:tab/>
        <w:t>Formation of evidence statements</w:t>
      </w:r>
      <w:bookmarkEnd w:id="73"/>
    </w:p>
    <w:p w14:paraId="653B786A" w14:textId="530E9208" w:rsidR="00014B69" w:rsidRDefault="00284E1B" w:rsidP="009C2EAD">
      <w:r>
        <w:t>The evidence statements given here and in Volume 1 of the technical report</w:t>
      </w:r>
      <w:hyperlink w:anchor="_ENREF_7" w:tooltip="National Blood Authority (NBA), In preparation #1002" w:history="1">
        <w:r w:rsidR="00E62798">
          <w:fldChar w:fldCharType="begin"/>
        </w:r>
        <w:r w:rsidR="00E62798">
          <w:instrText xml:space="preserve"> ADDIN EN.CITE &lt;EndNote&gt;&lt;Cite&gt;&lt;Author&gt;National Blood Authority (NBA)&lt;/Author&gt;&lt;Year&gt;In preparation&lt;/Year&gt;&lt;RecNum&gt;1002&lt;/RecNum&gt;&lt;DisplayText&gt;&lt;style face="superscript"&gt;7&lt;/style&gt;&lt;/DisplayText&gt;&lt;record&gt;&lt;rec-number&gt;1002&lt;/rec-number&gt;&lt;foreign-keys&gt;&lt;key app="EN" db-id="9edve2wadsavt5ewavaxtda4f2tavzvts9ee" timestamp="1437464677"&gt;1002&lt;/key&gt;&lt;/foreign-keys&gt;&lt;ref-type name="Government Document"&gt;46&lt;/ref-type&gt;&lt;contributors&gt;&lt;authors&gt;&lt;author&gt;National Blood Authority (NBA),&lt;/author&gt;&lt;/authors&gt;&lt;/contributors&gt;&lt;titles&gt;&lt;title&gt;Patient Blood Management Guidelines: Module 6 – Neonatal and Paediatrics: Technical Report Volume 1 – Appendixes&lt;/title&gt;&lt;/titles&gt;&lt;dates&gt;&lt;year&gt;In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7</w:t>
        </w:r>
        <w:r w:rsidR="00E62798">
          <w:fldChar w:fldCharType="end"/>
        </w:r>
      </w:hyperlink>
      <w:r>
        <w:t xml:space="preserve"> were created using a standard sentence structure</w:t>
      </w:r>
      <w:r w:rsidR="00014B69">
        <w:t>, as shown in Table 3.1.</w:t>
      </w:r>
      <w:r w:rsidR="009C2EAD" w:rsidRPr="009C2EAD">
        <w:t xml:space="preserve"> </w:t>
      </w:r>
      <w:r w:rsidR="009C2EAD">
        <w:t xml:space="preserve">This sentence structure was used where possible. However, in some cases, the order of the components was changed for clarity and to maintain correct grammar. </w:t>
      </w:r>
    </w:p>
    <w:p w14:paraId="3587783D" w14:textId="77777777" w:rsidR="00014B69" w:rsidRDefault="00014B69" w:rsidP="00014B69">
      <w:pPr>
        <w:pStyle w:val="TableName"/>
      </w:pPr>
      <w:bookmarkStart w:id="74" w:name="_Toc427758391"/>
      <w:r>
        <w:t>Table 3.1</w:t>
      </w:r>
      <w:r>
        <w:tab/>
        <w:t>Structure of evidence statements</w:t>
      </w:r>
      <w:bookmarkEnd w:id="74"/>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5028"/>
      </w:tblGrid>
      <w:tr w:rsidR="00014B69" w14:paraId="78DC7A76" w14:textId="77777777" w:rsidTr="00E64DA3">
        <w:tc>
          <w:tcPr>
            <w:tcW w:w="3279" w:type="dxa"/>
          </w:tcPr>
          <w:p w14:paraId="291C8E0F" w14:textId="77777777" w:rsidR="00014B69" w:rsidRDefault="00014B69" w:rsidP="00014B69">
            <w:pPr>
              <w:pStyle w:val="TableHeading"/>
            </w:pPr>
            <w:r>
              <w:t>Content</w:t>
            </w:r>
          </w:p>
        </w:tc>
        <w:tc>
          <w:tcPr>
            <w:tcW w:w="5028" w:type="dxa"/>
          </w:tcPr>
          <w:p w14:paraId="47829D61" w14:textId="77777777" w:rsidR="00014B69" w:rsidRDefault="00014B69" w:rsidP="00014B69">
            <w:pPr>
              <w:pStyle w:val="TableHeading"/>
            </w:pPr>
            <w:r>
              <w:t>Example</w:t>
            </w:r>
          </w:p>
        </w:tc>
      </w:tr>
      <w:tr w:rsidR="00014B69" w14:paraId="64A8DEA9" w14:textId="77777777" w:rsidTr="00E64DA3">
        <w:tc>
          <w:tcPr>
            <w:tcW w:w="3279" w:type="dxa"/>
          </w:tcPr>
          <w:p w14:paraId="3D52F41B" w14:textId="77777777" w:rsidR="00014B69" w:rsidRPr="00E64DA3" w:rsidRDefault="00014B69" w:rsidP="00014B69">
            <w:pPr>
              <w:pStyle w:val="Tabletext0"/>
              <w:rPr>
                <w:lang w:val="en-AU"/>
              </w:rPr>
            </w:pPr>
            <w:r w:rsidRPr="00E64DA3">
              <w:rPr>
                <w:lang w:val="en-AU"/>
              </w:rPr>
              <w:t>1.</w:t>
            </w:r>
            <w:r w:rsidR="00EC207A">
              <w:rPr>
                <w:lang w:val="en-AU"/>
              </w:rPr>
              <w:t xml:space="preserve"> </w:t>
            </w:r>
            <w:r w:rsidRPr="00E64DA3">
              <w:rPr>
                <w:lang w:val="en-AU"/>
              </w:rPr>
              <w:t>A definition of the relevant population</w:t>
            </w:r>
            <w:r w:rsidR="00E95134" w:rsidRPr="00E64DA3">
              <w:rPr>
                <w:lang w:val="en-AU"/>
              </w:rPr>
              <w:t>.</w:t>
            </w:r>
          </w:p>
        </w:tc>
        <w:tc>
          <w:tcPr>
            <w:tcW w:w="5028" w:type="dxa"/>
          </w:tcPr>
          <w:p w14:paraId="326B97BC" w14:textId="001E6554" w:rsidR="00014B69" w:rsidRPr="00610E44" w:rsidRDefault="00610E44" w:rsidP="00014B69">
            <w:pPr>
              <w:pStyle w:val="Tabletext0"/>
              <w:rPr>
                <w:lang w:val="en-AU"/>
              </w:rPr>
            </w:pPr>
            <w:r>
              <w:t>In very low birth weight infants (</w:t>
            </w:r>
            <w:r>
              <w:rPr>
                <w:i/>
              </w:rPr>
              <w:t>&lt;</w:t>
            </w:r>
            <w:r>
              <w:t xml:space="preserve">1500 g) </w:t>
            </w:r>
            <w:r>
              <w:rPr>
                <w:lang w:val="en-AU"/>
              </w:rPr>
              <w:t>…</w:t>
            </w:r>
          </w:p>
        </w:tc>
      </w:tr>
      <w:tr w:rsidR="00014B69" w14:paraId="045FA299" w14:textId="77777777" w:rsidTr="00E64DA3">
        <w:tc>
          <w:tcPr>
            <w:tcW w:w="3279" w:type="dxa"/>
          </w:tcPr>
          <w:p w14:paraId="3D72F1A8" w14:textId="77777777" w:rsidR="00014B69" w:rsidRPr="00E64DA3" w:rsidRDefault="00014B69" w:rsidP="00014B69">
            <w:pPr>
              <w:pStyle w:val="Tabletext0"/>
              <w:rPr>
                <w:lang w:val="en-AU"/>
              </w:rPr>
            </w:pPr>
            <w:r w:rsidRPr="00E64DA3">
              <w:rPr>
                <w:lang w:val="en-AU"/>
              </w:rPr>
              <w:t>2. A description of the intervention</w:t>
            </w:r>
            <w:r w:rsidR="00E95134" w:rsidRPr="00E64DA3">
              <w:rPr>
                <w:lang w:val="en-AU"/>
              </w:rPr>
              <w:t>.</w:t>
            </w:r>
          </w:p>
        </w:tc>
        <w:tc>
          <w:tcPr>
            <w:tcW w:w="5028" w:type="dxa"/>
          </w:tcPr>
          <w:p w14:paraId="7DAD81F5" w14:textId="219CCD56" w:rsidR="00014B69" w:rsidRPr="00610E44" w:rsidRDefault="00610E44" w:rsidP="00610E44">
            <w:pPr>
              <w:pStyle w:val="Tabletext0"/>
              <w:rPr>
                <w:lang w:val="en-AU"/>
              </w:rPr>
            </w:pPr>
            <w:r>
              <w:t>In very low birth weight infants (</w:t>
            </w:r>
            <w:r>
              <w:rPr>
                <w:i/>
              </w:rPr>
              <w:t>&lt;</w:t>
            </w:r>
            <w:r>
              <w:t>1500 g), liberal RBC transfusion</w:t>
            </w:r>
            <w:r>
              <w:rPr>
                <w:lang w:val="en-AU"/>
              </w:rPr>
              <w:t xml:space="preserve"> </w:t>
            </w:r>
            <w:r w:rsidR="00CE5AC9">
              <w:rPr>
                <w:lang w:val="en-AU"/>
              </w:rPr>
              <w:t>…</w:t>
            </w:r>
          </w:p>
        </w:tc>
      </w:tr>
      <w:tr w:rsidR="00014B69" w14:paraId="23061976" w14:textId="77777777" w:rsidTr="00E64DA3">
        <w:tc>
          <w:tcPr>
            <w:tcW w:w="3279" w:type="dxa"/>
          </w:tcPr>
          <w:p w14:paraId="63ED6E2B" w14:textId="77777777" w:rsidR="00014B69" w:rsidRPr="00E64DA3" w:rsidRDefault="00014B69" w:rsidP="00014B69">
            <w:pPr>
              <w:pStyle w:val="Tabletext0"/>
              <w:rPr>
                <w:lang w:val="en-AU"/>
              </w:rPr>
            </w:pPr>
            <w:r w:rsidRPr="00E64DA3">
              <w:rPr>
                <w:lang w:val="en-AU"/>
              </w:rPr>
              <w:t>3. A description of the effect on the outcome of interest</w:t>
            </w:r>
            <w:r w:rsidR="00E95134" w:rsidRPr="00E64DA3">
              <w:rPr>
                <w:lang w:val="en-AU"/>
              </w:rPr>
              <w:t>.</w:t>
            </w:r>
          </w:p>
        </w:tc>
        <w:tc>
          <w:tcPr>
            <w:tcW w:w="5028" w:type="dxa"/>
          </w:tcPr>
          <w:p w14:paraId="26A8565E" w14:textId="4FCBA3B3" w:rsidR="00014B69" w:rsidRPr="00610E44" w:rsidRDefault="00610E44" w:rsidP="00610E44">
            <w:pPr>
              <w:pStyle w:val="Tabletext0"/>
              <w:rPr>
                <w:lang w:val="en-AU"/>
              </w:rPr>
            </w:pPr>
            <w:r>
              <w:t>In very low birth weight infants (</w:t>
            </w:r>
            <w:r>
              <w:rPr>
                <w:i/>
              </w:rPr>
              <w:t>&lt;</w:t>
            </w:r>
            <w:r>
              <w:t xml:space="preserve">1500 g), liberal RBC transfusion may reduce cognitive delays </w:t>
            </w:r>
            <w:r>
              <w:rPr>
                <w:lang w:val="en-AU"/>
              </w:rPr>
              <w:t>…</w:t>
            </w:r>
          </w:p>
        </w:tc>
      </w:tr>
      <w:tr w:rsidR="00014B69" w14:paraId="1512F1FD" w14:textId="77777777" w:rsidTr="00E64DA3">
        <w:tc>
          <w:tcPr>
            <w:tcW w:w="3279" w:type="dxa"/>
          </w:tcPr>
          <w:p w14:paraId="3C0B7805" w14:textId="77777777" w:rsidR="00014B69" w:rsidRPr="00E64DA3" w:rsidRDefault="00014B69" w:rsidP="00014B69">
            <w:pPr>
              <w:pStyle w:val="Tabletext0"/>
              <w:rPr>
                <w:lang w:val="en-AU"/>
              </w:rPr>
            </w:pPr>
            <w:r w:rsidRPr="00E64DA3">
              <w:rPr>
                <w:lang w:val="en-AU"/>
              </w:rPr>
              <w:t>4. Where appropriate, a description of the comparator</w:t>
            </w:r>
            <w:r w:rsidR="00E95134" w:rsidRPr="00E64DA3">
              <w:rPr>
                <w:lang w:val="en-AU"/>
              </w:rPr>
              <w:t>.</w:t>
            </w:r>
          </w:p>
        </w:tc>
        <w:tc>
          <w:tcPr>
            <w:tcW w:w="5028" w:type="dxa"/>
          </w:tcPr>
          <w:p w14:paraId="1F081B7B" w14:textId="496B484B" w:rsidR="00014B69" w:rsidRPr="00E64DA3" w:rsidRDefault="00610E44" w:rsidP="00014B69">
            <w:pPr>
              <w:pStyle w:val="Tabletext0"/>
              <w:rPr>
                <w:lang w:val="en-AU"/>
              </w:rPr>
            </w:pPr>
            <w:r>
              <w:t>In very low birth weight infants (</w:t>
            </w:r>
            <w:r>
              <w:rPr>
                <w:i/>
              </w:rPr>
              <w:t>&lt;</w:t>
            </w:r>
            <w:r>
              <w:t>1500 g), liberal RBC transfusion may reduce cognitive delays compared with restrictive RBC transfusion.</w:t>
            </w:r>
          </w:p>
        </w:tc>
      </w:tr>
    </w:tbl>
    <w:p w14:paraId="12DA2226" w14:textId="77777777" w:rsidR="00014B69" w:rsidRDefault="00284E1B" w:rsidP="004B136E">
      <w:pPr>
        <w:pStyle w:val="Normal-aftertable"/>
      </w:pPr>
      <w:r>
        <w:t>The description of the effect of the interventio</w:t>
      </w:r>
      <w:r w:rsidR="00B95D05">
        <w:t>n was also standardised</w:t>
      </w:r>
      <w:r w:rsidR="00014B69">
        <w:t>, as shown in Table 3.2.</w:t>
      </w:r>
    </w:p>
    <w:p w14:paraId="555CB7DD" w14:textId="77777777" w:rsidR="00014B69" w:rsidRDefault="00014B69" w:rsidP="00014B69">
      <w:pPr>
        <w:pStyle w:val="TableName"/>
      </w:pPr>
      <w:bookmarkStart w:id="75" w:name="_Toc427758392"/>
      <w:r>
        <w:t>Table 3.2</w:t>
      </w:r>
      <w:r>
        <w:tab/>
        <w:t>Description of interventions</w:t>
      </w:r>
      <w:bookmarkEnd w:id="75"/>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2793"/>
        <w:gridCol w:w="3252"/>
      </w:tblGrid>
      <w:tr w:rsidR="00014B69" w14:paraId="5ECF26F2" w14:textId="77777777" w:rsidTr="00E64DA3">
        <w:trPr>
          <w:cantSplit/>
          <w:tblHeader/>
        </w:trPr>
        <w:tc>
          <w:tcPr>
            <w:tcW w:w="2262" w:type="dxa"/>
          </w:tcPr>
          <w:p w14:paraId="61066BA1" w14:textId="77777777" w:rsidR="00014B69" w:rsidRDefault="00014B69" w:rsidP="00014B69">
            <w:pPr>
              <w:pStyle w:val="TableHeading"/>
            </w:pPr>
            <w:r>
              <w:t xml:space="preserve">Evidence </w:t>
            </w:r>
          </w:p>
        </w:tc>
        <w:tc>
          <w:tcPr>
            <w:tcW w:w="2793" w:type="dxa"/>
          </w:tcPr>
          <w:p w14:paraId="4E5BF13B" w14:textId="77777777" w:rsidR="00014B69" w:rsidRDefault="00014B69" w:rsidP="00F14F24">
            <w:pPr>
              <w:pStyle w:val="TableHeading"/>
            </w:pPr>
            <w:r>
              <w:t>Structure of statement</w:t>
            </w:r>
          </w:p>
        </w:tc>
        <w:tc>
          <w:tcPr>
            <w:tcW w:w="3252" w:type="dxa"/>
          </w:tcPr>
          <w:p w14:paraId="384233EF" w14:textId="77777777" w:rsidR="00014B69" w:rsidRDefault="00014B69" w:rsidP="00F14F24">
            <w:pPr>
              <w:pStyle w:val="TableHeading"/>
            </w:pPr>
            <w:r>
              <w:t>Example</w:t>
            </w:r>
          </w:p>
        </w:tc>
      </w:tr>
      <w:tr w:rsidR="00014B69" w14:paraId="2ADEF2B9" w14:textId="77777777" w:rsidTr="00E64DA3">
        <w:trPr>
          <w:cantSplit/>
        </w:trPr>
        <w:tc>
          <w:tcPr>
            <w:tcW w:w="2262" w:type="dxa"/>
          </w:tcPr>
          <w:p w14:paraId="4C160AEC" w14:textId="77777777" w:rsidR="00014B69" w:rsidRPr="00E64DA3" w:rsidRDefault="00014B69" w:rsidP="00F14F24">
            <w:pPr>
              <w:pStyle w:val="Tabletext0"/>
              <w:rPr>
                <w:lang w:val="en-AU"/>
              </w:rPr>
            </w:pPr>
            <w:r w:rsidRPr="00E64DA3">
              <w:rPr>
                <w:lang w:val="en-AU"/>
              </w:rPr>
              <w:t>Sufficiently powered, consistent evidence of an effect or no effect.</w:t>
            </w:r>
          </w:p>
        </w:tc>
        <w:tc>
          <w:tcPr>
            <w:tcW w:w="2793" w:type="dxa"/>
          </w:tcPr>
          <w:p w14:paraId="04ADE6FD" w14:textId="77777777" w:rsidR="00014B69" w:rsidRPr="00E64DA3" w:rsidRDefault="00E95134" w:rsidP="00F14F24">
            <w:pPr>
              <w:pStyle w:val="Tabletext0"/>
              <w:rPr>
                <w:lang w:val="en-AU"/>
              </w:rPr>
            </w:pPr>
            <w:r w:rsidRPr="00E64DA3">
              <w:rPr>
                <w:lang w:val="en-AU"/>
              </w:rPr>
              <w:t>S</w:t>
            </w:r>
            <w:r w:rsidR="00014B69" w:rsidRPr="00E64DA3">
              <w:rPr>
                <w:lang w:val="en-AU"/>
              </w:rPr>
              <w:t xml:space="preserve">tates strongly that there </w:t>
            </w:r>
            <w:r w:rsidR="00014B69" w:rsidRPr="00E64DA3">
              <w:rPr>
                <w:b/>
                <w:lang w:val="en-AU"/>
              </w:rPr>
              <w:t>is</w:t>
            </w:r>
            <w:r w:rsidR="00014B69" w:rsidRPr="00E64DA3">
              <w:rPr>
                <w:lang w:val="en-AU"/>
              </w:rPr>
              <w:t xml:space="preserve"> an effect or no effect.</w:t>
            </w:r>
          </w:p>
        </w:tc>
        <w:tc>
          <w:tcPr>
            <w:tcW w:w="3252" w:type="dxa"/>
          </w:tcPr>
          <w:p w14:paraId="1E8336ED" w14:textId="699E3759" w:rsidR="00014B69" w:rsidRPr="00E64DA3" w:rsidRDefault="00DB60DA" w:rsidP="00DB60DA">
            <w:pPr>
              <w:pStyle w:val="Tabletext0"/>
              <w:rPr>
                <w:lang w:val="en-AU"/>
              </w:rPr>
            </w:pPr>
            <w:r>
              <w:t>In very low birth weight infants (</w:t>
            </w:r>
            <w:r>
              <w:rPr>
                <w:i/>
              </w:rPr>
              <w:t>&lt;</w:t>
            </w:r>
            <w:r>
              <w:t>1500 g), liberal RBC transfusion reduce</w:t>
            </w:r>
            <w:r>
              <w:rPr>
                <w:lang w:val="en-AU"/>
              </w:rPr>
              <w:t>s (or ‘does not reduce’)</w:t>
            </w:r>
            <w:r>
              <w:t xml:space="preserve"> cognitive delays compared with restrictive RBC transfusion.</w:t>
            </w:r>
          </w:p>
        </w:tc>
      </w:tr>
      <w:tr w:rsidR="00014B69" w14:paraId="1E761340" w14:textId="77777777" w:rsidTr="00E64DA3">
        <w:trPr>
          <w:cantSplit/>
        </w:trPr>
        <w:tc>
          <w:tcPr>
            <w:tcW w:w="2262" w:type="dxa"/>
          </w:tcPr>
          <w:p w14:paraId="461267C4" w14:textId="77777777" w:rsidR="00014B69" w:rsidRPr="00E64DA3" w:rsidRDefault="00014B69" w:rsidP="00F14F24">
            <w:pPr>
              <w:pStyle w:val="Tabletext0"/>
              <w:rPr>
                <w:lang w:val="en-AU"/>
              </w:rPr>
            </w:pPr>
            <w:r w:rsidRPr="00E64DA3">
              <w:rPr>
                <w:lang w:val="en-AU"/>
              </w:rPr>
              <w:lastRenderedPageBreak/>
              <w:t>Evidence of an effect, but a slight concern about underpowering or consistency.</w:t>
            </w:r>
          </w:p>
        </w:tc>
        <w:tc>
          <w:tcPr>
            <w:tcW w:w="2793" w:type="dxa"/>
          </w:tcPr>
          <w:p w14:paraId="4B23ABC2" w14:textId="77777777" w:rsidR="00014B69" w:rsidRPr="00E64DA3" w:rsidRDefault="00E95134" w:rsidP="00F14F24">
            <w:pPr>
              <w:pStyle w:val="Tabletext0"/>
              <w:rPr>
                <w:lang w:val="en-AU"/>
              </w:rPr>
            </w:pPr>
            <w:r w:rsidRPr="00E64DA3">
              <w:rPr>
                <w:lang w:val="en-AU"/>
              </w:rPr>
              <w:t xml:space="preserve">States that there </w:t>
            </w:r>
            <w:r w:rsidRPr="00E64DA3">
              <w:rPr>
                <w:b/>
                <w:lang w:val="en-AU"/>
              </w:rPr>
              <w:t>may be</w:t>
            </w:r>
            <w:r w:rsidRPr="00E64DA3">
              <w:rPr>
                <w:lang w:val="en-AU"/>
              </w:rPr>
              <w:t xml:space="preserve"> an effect.</w:t>
            </w:r>
          </w:p>
        </w:tc>
        <w:tc>
          <w:tcPr>
            <w:tcW w:w="3252" w:type="dxa"/>
          </w:tcPr>
          <w:p w14:paraId="32811E59" w14:textId="335241AB" w:rsidR="00014B69" w:rsidRPr="00E64DA3" w:rsidRDefault="00DB60DA" w:rsidP="00CA18CF">
            <w:pPr>
              <w:pStyle w:val="Tabletext0"/>
              <w:rPr>
                <w:lang w:val="en-AU"/>
              </w:rPr>
            </w:pPr>
            <w:r>
              <w:t>In very low birth weight infants (</w:t>
            </w:r>
            <w:r>
              <w:rPr>
                <w:i/>
              </w:rPr>
              <w:t>&lt;</w:t>
            </w:r>
            <w:r>
              <w:t xml:space="preserve">1500 g), liberal RBC transfusion </w:t>
            </w:r>
            <w:r>
              <w:rPr>
                <w:lang w:val="en-AU"/>
              </w:rPr>
              <w:t>may reduce</w:t>
            </w:r>
            <w:r>
              <w:t xml:space="preserve"> cognitive delays compared with restrictive RBC transfusion.</w:t>
            </w:r>
          </w:p>
        </w:tc>
      </w:tr>
      <w:tr w:rsidR="00014B69" w14:paraId="7AA74D3A" w14:textId="77777777" w:rsidTr="00E64DA3">
        <w:trPr>
          <w:cantSplit/>
        </w:trPr>
        <w:tc>
          <w:tcPr>
            <w:tcW w:w="2262" w:type="dxa"/>
          </w:tcPr>
          <w:p w14:paraId="32CD4CB3" w14:textId="77777777" w:rsidR="00014B69" w:rsidRPr="00E64DA3" w:rsidRDefault="00E95134" w:rsidP="00E95134">
            <w:pPr>
              <w:pStyle w:val="Tabletext0"/>
              <w:rPr>
                <w:lang w:val="en-AU"/>
              </w:rPr>
            </w:pPr>
            <w:r w:rsidRPr="00E64DA3">
              <w:rPr>
                <w:lang w:val="en-AU"/>
              </w:rPr>
              <w:t>Little evidence available, or evidence is conflicting or clearly underpowered.</w:t>
            </w:r>
          </w:p>
        </w:tc>
        <w:tc>
          <w:tcPr>
            <w:tcW w:w="2793" w:type="dxa"/>
          </w:tcPr>
          <w:p w14:paraId="09044FB0" w14:textId="77777777" w:rsidR="00014B69" w:rsidRPr="00E64DA3" w:rsidRDefault="00E95134" w:rsidP="00F14F24">
            <w:pPr>
              <w:pStyle w:val="Tabletext0"/>
              <w:rPr>
                <w:lang w:val="en-AU"/>
              </w:rPr>
            </w:pPr>
            <w:r w:rsidRPr="00E64DA3">
              <w:rPr>
                <w:lang w:val="en-AU"/>
              </w:rPr>
              <w:t xml:space="preserve">States that the effect is </w:t>
            </w:r>
            <w:r w:rsidRPr="00E64DA3">
              <w:rPr>
                <w:b/>
                <w:lang w:val="en-AU"/>
              </w:rPr>
              <w:t>uncertain</w:t>
            </w:r>
            <w:r w:rsidRPr="00E64DA3">
              <w:rPr>
                <w:lang w:val="en-AU"/>
              </w:rPr>
              <w:t>.</w:t>
            </w:r>
          </w:p>
        </w:tc>
        <w:tc>
          <w:tcPr>
            <w:tcW w:w="3252" w:type="dxa"/>
          </w:tcPr>
          <w:p w14:paraId="0571D28E" w14:textId="136CA60D" w:rsidR="00014B69" w:rsidRPr="00DB60DA" w:rsidRDefault="00DB60DA" w:rsidP="00DB60DA">
            <w:pPr>
              <w:pStyle w:val="Tabletext0"/>
              <w:rPr>
                <w:lang w:val="en-AU"/>
              </w:rPr>
            </w:pPr>
            <w:r>
              <w:t>In very low birth weight infants (</w:t>
            </w:r>
            <w:r>
              <w:rPr>
                <w:i/>
              </w:rPr>
              <w:t>&lt;</w:t>
            </w:r>
            <w:r>
              <w:t xml:space="preserve">1500 g), </w:t>
            </w:r>
            <w:r>
              <w:rPr>
                <w:lang w:val="en-AU"/>
              </w:rPr>
              <w:t xml:space="preserve">the effect of </w:t>
            </w:r>
            <w:r>
              <w:t xml:space="preserve">liberal RBC transfusion </w:t>
            </w:r>
            <w:r>
              <w:rPr>
                <w:lang w:val="en-AU"/>
              </w:rPr>
              <w:t>compared with restrictive RBC transfusion on</w:t>
            </w:r>
            <w:r>
              <w:t xml:space="preserve"> cognitive delays </w:t>
            </w:r>
            <w:r>
              <w:rPr>
                <w:lang w:val="en-AU"/>
              </w:rPr>
              <w:t>is uncertain.</w:t>
            </w:r>
          </w:p>
        </w:tc>
      </w:tr>
      <w:tr w:rsidR="00014B69" w14:paraId="7A721DD0" w14:textId="77777777" w:rsidTr="00E64DA3">
        <w:trPr>
          <w:cantSplit/>
        </w:trPr>
        <w:tc>
          <w:tcPr>
            <w:tcW w:w="2262" w:type="dxa"/>
          </w:tcPr>
          <w:p w14:paraId="7F4A9A62" w14:textId="77777777" w:rsidR="00014B69" w:rsidRPr="00E64DA3" w:rsidRDefault="00E95134" w:rsidP="00F14F24">
            <w:pPr>
              <w:pStyle w:val="Tabletext0"/>
              <w:rPr>
                <w:lang w:val="en-AU"/>
              </w:rPr>
            </w:pPr>
            <w:r w:rsidRPr="00E64DA3">
              <w:rPr>
                <w:lang w:val="en-AU"/>
              </w:rPr>
              <w:t>No evidence available for a particular question or outcome.</w:t>
            </w:r>
          </w:p>
        </w:tc>
        <w:tc>
          <w:tcPr>
            <w:tcW w:w="2793" w:type="dxa"/>
          </w:tcPr>
          <w:p w14:paraId="6C11AC97" w14:textId="77777777" w:rsidR="00014B69" w:rsidRPr="00E64DA3" w:rsidRDefault="00E95134" w:rsidP="00F14F24">
            <w:pPr>
              <w:pStyle w:val="Tabletext0"/>
              <w:rPr>
                <w:lang w:val="en-AU"/>
              </w:rPr>
            </w:pPr>
            <w:r w:rsidRPr="00E64DA3">
              <w:rPr>
                <w:lang w:val="en-AU"/>
              </w:rPr>
              <w:t>States that the effect is</w:t>
            </w:r>
            <w:r w:rsidRPr="00E64DA3">
              <w:rPr>
                <w:b/>
                <w:lang w:val="en-AU"/>
              </w:rPr>
              <w:t xml:space="preserve"> unknown</w:t>
            </w:r>
            <w:r w:rsidRPr="00E64DA3">
              <w:rPr>
                <w:lang w:val="en-AU"/>
              </w:rPr>
              <w:t>.</w:t>
            </w:r>
          </w:p>
        </w:tc>
        <w:tc>
          <w:tcPr>
            <w:tcW w:w="3252" w:type="dxa"/>
          </w:tcPr>
          <w:p w14:paraId="7D171AF5" w14:textId="35B44368" w:rsidR="00014B69" w:rsidRPr="00E64DA3" w:rsidRDefault="00DB60DA" w:rsidP="00E95134">
            <w:pPr>
              <w:pStyle w:val="Tabletext0"/>
              <w:rPr>
                <w:lang w:val="en-AU"/>
              </w:rPr>
            </w:pPr>
            <w:r>
              <w:t>In infants, children and adolescents, the effect of RBC transfusion compared with no transfusion on mortality is unknown.</w:t>
            </w:r>
          </w:p>
        </w:tc>
      </w:tr>
    </w:tbl>
    <w:p w14:paraId="06EEBBA9" w14:textId="75ADFB3C" w:rsidR="00F536F4" w:rsidRDefault="00F536F4" w:rsidP="00F536F4">
      <w:pPr>
        <w:pStyle w:val="Heading2"/>
      </w:pPr>
      <w:bookmarkStart w:id="76" w:name="_Toc427851315"/>
      <w:bookmarkStart w:id="77" w:name="_Toc282672291"/>
      <w:bookmarkStart w:id="78" w:name="_Toc282672286"/>
      <w:r>
        <w:t>3.</w:t>
      </w:r>
      <w:r w:rsidR="006A6E85">
        <w:t>2</w:t>
      </w:r>
      <w:r>
        <w:tab/>
        <w:t xml:space="preserve">Effect of </w:t>
      </w:r>
      <w:r w:rsidR="00CA18CF">
        <w:rPr>
          <w:lang w:val="en-AU"/>
        </w:rPr>
        <w:t>RBC</w:t>
      </w:r>
      <w:r>
        <w:t xml:space="preserve"> transfusion on outcomes</w:t>
      </w:r>
      <w:bookmarkEnd w:id="76"/>
    </w:p>
    <w:p w14:paraId="0F86DACA" w14:textId="77777777" w:rsidR="00E66069" w:rsidRPr="00EB4620" w:rsidRDefault="00E66069" w:rsidP="00E66069">
      <w:pPr>
        <w:pStyle w:val="BoxHeading"/>
        <w:rPr>
          <w:lang w:eastAsia="en-GB"/>
        </w:rPr>
      </w:pPr>
      <w:bookmarkStart w:id="79" w:name="_Toc372020855"/>
      <w:bookmarkStart w:id="80" w:name="_Toc287273585"/>
      <w:bookmarkStart w:id="81" w:name="_Toc248630985"/>
      <w:bookmarkStart w:id="82" w:name="_Toc240354033"/>
      <w:bookmarkStart w:id="83" w:name="_Toc237939688"/>
      <w:bookmarkStart w:id="84" w:name="_Toc372020859"/>
      <w:bookmarkStart w:id="85" w:name="_Toc398542769"/>
      <w:bookmarkStart w:id="86" w:name="_Toc398542770"/>
      <w:r w:rsidRPr="00EB4620">
        <w:rPr>
          <w:lang w:eastAsia="en-GB"/>
        </w:rPr>
        <w:t>Question 1 (Interventional)</w:t>
      </w:r>
      <w:bookmarkEnd w:id="79"/>
    </w:p>
    <w:p w14:paraId="4384436F" w14:textId="11C20042" w:rsidR="00E66069" w:rsidRPr="00EB4620" w:rsidRDefault="00E66069" w:rsidP="00E66069">
      <w:pPr>
        <w:pStyle w:val="BoxText"/>
      </w:pPr>
      <w:r w:rsidRPr="00EB4620">
        <w:t xml:space="preserve">In </w:t>
      </w:r>
      <w:r w:rsidR="0086731F" w:rsidRPr="00E62B86">
        <w:t xml:space="preserve">neonates/paediatric </w:t>
      </w:r>
      <w:r w:rsidRPr="00EB4620">
        <w:t>patients, what is the effect of RBC (allogeneic) transfusion on patient outcomes?</w:t>
      </w:r>
    </w:p>
    <w:p w14:paraId="441BE12D" w14:textId="77777777" w:rsidR="00E66069" w:rsidRPr="00EB4620" w:rsidRDefault="00E66069" w:rsidP="00E66069">
      <w:pPr>
        <w:pStyle w:val="BoxText"/>
        <w:rPr>
          <w:sz w:val="18"/>
          <w:szCs w:val="18"/>
        </w:rPr>
      </w:pPr>
      <w:r w:rsidRPr="00EB4620">
        <w:rPr>
          <w:sz w:val="18"/>
          <w:szCs w:val="18"/>
        </w:rPr>
        <w:t>RBC, red blood cell</w:t>
      </w:r>
    </w:p>
    <w:p w14:paraId="7C9A4BBE" w14:textId="503D267A" w:rsidR="00E66069" w:rsidRDefault="00E66069" w:rsidP="00E66069">
      <w:r>
        <w:t xml:space="preserve">Neonatal and paediatric patients are transfused to reduce morbidity and mortality, and improve quality of life. The literature search for this question aimed to establish whether receiving a RBC transfusion affects patient outcomes. The review examined the effect of RBC transfusions in neonates (both term and preterm), infants, children and adolescents. It considered studies that compared RBC transfusion with no transfusion or with a different RBC dose, and that compared liberal and restrictive transfusion strategies. </w:t>
      </w:r>
    </w:p>
    <w:p w14:paraId="4658B468" w14:textId="77777777" w:rsidR="00E66069" w:rsidRPr="00B265A8" w:rsidRDefault="00E66069" w:rsidP="00E66069">
      <w:pPr>
        <w:pStyle w:val="Heading3"/>
      </w:pPr>
      <w:bookmarkStart w:id="87" w:name="_Toc426976824"/>
      <w:bookmarkStart w:id="88" w:name="_Toc427851316"/>
      <w:r>
        <w:t>3.2.1</w:t>
      </w:r>
      <w:r>
        <w:tab/>
        <w:t>Neonatal patients – effect of RBC transfusion on patient outcomes</w:t>
      </w:r>
      <w:bookmarkEnd w:id="87"/>
      <w:bookmarkEnd w:id="88"/>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E66069" w:rsidRPr="00A21FE4" w14:paraId="72F1D416"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540DC156" w14:textId="77777777" w:rsidR="00E66069" w:rsidRPr="00A21FE4" w:rsidRDefault="00E66069" w:rsidP="00AB4C4F">
            <w:pPr>
              <w:pStyle w:val="PP-heading"/>
            </w:pPr>
            <w:r w:rsidRPr="00A21FE4">
              <w:t>Evidence statements – preterm and low birth weight infants (RBC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EBEEBFE"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D702A64"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317243C"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9D5C679" w14:textId="77777777" w:rsidR="00E66069" w:rsidRPr="00A21FE4" w:rsidRDefault="00E66069" w:rsidP="00AB4C4F">
            <w:pPr>
              <w:ind w:left="113" w:right="113"/>
              <w:jc w:val="center"/>
              <w:rPr>
                <w:b/>
              </w:rPr>
            </w:pPr>
            <w:r w:rsidRPr="00A21FE4">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92BDE0A" w14:textId="77777777" w:rsidR="00E66069" w:rsidRPr="00A21FE4" w:rsidRDefault="00E66069" w:rsidP="00AB4C4F">
            <w:pPr>
              <w:ind w:left="113" w:right="113"/>
              <w:jc w:val="center"/>
              <w:rPr>
                <w:b/>
              </w:rPr>
            </w:pPr>
            <w:r w:rsidRPr="00A21FE4">
              <w:rPr>
                <w:b/>
              </w:rPr>
              <w:t>Applicability</w:t>
            </w:r>
          </w:p>
        </w:tc>
      </w:tr>
      <w:tr w:rsidR="00E66069" w:rsidRPr="00A21FE4" w14:paraId="3B7BF7CA" w14:textId="77777777" w:rsidTr="00AB4C4F">
        <w:trPr>
          <w:cantSplit/>
        </w:trPr>
        <w:tc>
          <w:tcPr>
            <w:tcW w:w="851" w:type="dxa"/>
          </w:tcPr>
          <w:p w14:paraId="42624182" w14:textId="77777777" w:rsidR="00E66069" w:rsidRPr="00A21FE4" w:rsidRDefault="00E66069" w:rsidP="00AB4C4F">
            <w:pPr>
              <w:pStyle w:val="Tabletextnoindent"/>
              <w:keepNext w:val="0"/>
              <w:numPr>
                <w:ilvl w:val="0"/>
                <w:numId w:val="0"/>
              </w:numPr>
            </w:pPr>
            <w:r w:rsidRPr="003F1E85">
              <w:t>ES1.1</w:t>
            </w:r>
          </w:p>
        </w:tc>
        <w:tc>
          <w:tcPr>
            <w:tcW w:w="3750" w:type="dxa"/>
          </w:tcPr>
          <w:p w14:paraId="4E77F942" w14:textId="77777777" w:rsidR="00E66069" w:rsidRPr="00A21FE4" w:rsidRDefault="00E66069" w:rsidP="00AB4C4F">
            <w:pPr>
              <w:pStyle w:val="ES-table"/>
              <w:keepNext w:val="0"/>
            </w:pPr>
            <w:r w:rsidRPr="00A21FE4">
              <w:t>In very low birth weight infants (</w:t>
            </w:r>
            <w:r w:rsidRPr="00A21FE4">
              <w:rPr>
                <w:i/>
              </w:rPr>
              <w:t>&lt;</w:t>
            </w:r>
            <w:r w:rsidRPr="00A21FE4">
              <w:t>1500 g), the effect of RBC transfusion compared with no transfusion on mortality is uncertain.</w:t>
            </w:r>
          </w:p>
          <w:p w14:paraId="6BA23B6E" w14:textId="77777777" w:rsidR="00E66069" w:rsidRPr="00A21FE4" w:rsidRDefault="00E66069" w:rsidP="00AB4C4F">
            <w:pPr>
              <w:pStyle w:val="ES-notes"/>
              <w:keepNext w:val="0"/>
            </w:pPr>
            <w:r w:rsidRPr="00A21FE4">
              <w:t>(See evidence matrix D1.A in Volume 2 of the technical report.)</w:t>
            </w:r>
          </w:p>
        </w:tc>
        <w:tc>
          <w:tcPr>
            <w:tcW w:w="809" w:type="dxa"/>
          </w:tcPr>
          <w:p w14:paraId="49CEDEBA" w14:textId="77777777" w:rsidR="00E66069" w:rsidRPr="00A21FE4" w:rsidRDefault="00E66069" w:rsidP="00AB4C4F">
            <w:pPr>
              <w:pStyle w:val="T-ABCD"/>
            </w:pPr>
            <w:r w:rsidRPr="00A21FE4">
              <w:sym w:font="Symbol" w:char="F0D6"/>
            </w:r>
          </w:p>
        </w:tc>
        <w:tc>
          <w:tcPr>
            <w:tcW w:w="809" w:type="dxa"/>
          </w:tcPr>
          <w:p w14:paraId="2043517A" w14:textId="77777777" w:rsidR="00E66069" w:rsidRPr="00A21FE4" w:rsidRDefault="00E66069" w:rsidP="00AB4C4F">
            <w:pPr>
              <w:pStyle w:val="T-ABCD"/>
            </w:pPr>
            <w:r w:rsidRPr="00A21FE4">
              <w:t>NA</w:t>
            </w:r>
          </w:p>
        </w:tc>
        <w:tc>
          <w:tcPr>
            <w:tcW w:w="809" w:type="dxa"/>
          </w:tcPr>
          <w:p w14:paraId="519968DF" w14:textId="77777777" w:rsidR="00E66069" w:rsidRPr="00A21FE4" w:rsidRDefault="00E66069" w:rsidP="00AB4C4F">
            <w:pPr>
              <w:pStyle w:val="T-ABCD"/>
            </w:pPr>
            <w:r w:rsidRPr="00A21FE4">
              <w:sym w:font="Symbol" w:char="F0D6"/>
            </w:r>
          </w:p>
        </w:tc>
        <w:tc>
          <w:tcPr>
            <w:tcW w:w="809" w:type="dxa"/>
          </w:tcPr>
          <w:p w14:paraId="05590BA8"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4420DAF0" w14:textId="77777777" w:rsidR="00E66069" w:rsidRPr="00A21FE4" w:rsidRDefault="00E66069" w:rsidP="00AB4C4F">
            <w:pPr>
              <w:pStyle w:val="T-ABCD"/>
            </w:pPr>
            <w:r w:rsidRPr="00A21FE4">
              <w:sym w:font="Symbol" w:char="F0D6"/>
            </w:r>
          </w:p>
        </w:tc>
      </w:tr>
      <w:tr w:rsidR="00E66069" w:rsidRPr="00A21FE4" w14:paraId="1999CE07" w14:textId="77777777" w:rsidTr="00AB4C4F">
        <w:trPr>
          <w:cantSplit/>
        </w:trPr>
        <w:tc>
          <w:tcPr>
            <w:tcW w:w="851" w:type="dxa"/>
          </w:tcPr>
          <w:p w14:paraId="1DDDC89E" w14:textId="77777777" w:rsidR="00E66069" w:rsidRPr="00A21FE4" w:rsidRDefault="00E66069" w:rsidP="00AB4C4F">
            <w:pPr>
              <w:pStyle w:val="Tabletextnoindent"/>
              <w:keepNext w:val="0"/>
              <w:numPr>
                <w:ilvl w:val="0"/>
                <w:numId w:val="0"/>
              </w:numPr>
            </w:pPr>
            <w:r w:rsidRPr="003F1E85">
              <w:t>ES1.2</w:t>
            </w:r>
          </w:p>
        </w:tc>
        <w:tc>
          <w:tcPr>
            <w:tcW w:w="3750" w:type="dxa"/>
          </w:tcPr>
          <w:p w14:paraId="60660CC5" w14:textId="77777777" w:rsidR="00E66069" w:rsidRPr="00A21FE4" w:rsidRDefault="00E66069" w:rsidP="00AB4C4F">
            <w:pPr>
              <w:pStyle w:val="ES-table"/>
              <w:keepNext w:val="0"/>
            </w:pPr>
            <w:r w:rsidRPr="00A21FE4">
              <w:t>In preterm infants, the effect of RBC transfusion compared with no transfusion on a composite of mortality and severe morbidity is unknown.</w:t>
            </w:r>
          </w:p>
        </w:tc>
        <w:tc>
          <w:tcPr>
            <w:tcW w:w="809" w:type="dxa"/>
          </w:tcPr>
          <w:p w14:paraId="4604C452" w14:textId="77777777" w:rsidR="00E66069" w:rsidRPr="00A21FE4" w:rsidRDefault="00E66069" w:rsidP="00AB4C4F">
            <w:pPr>
              <w:pStyle w:val="T-ABCD"/>
            </w:pPr>
            <w:r w:rsidRPr="00A21FE4">
              <w:t>NA</w:t>
            </w:r>
          </w:p>
        </w:tc>
        <w:tc>
          <w:tcPr>
            <w:tcW w:w="809" w:type="dxa"/>
          </w:tcPr>
          <w:p w14:paraId="3FEC6710" w14:textId="77777777" w:rsidR="00E66069" w:rsidRPr="00A21FE4" w:rsidRDefault="00E66069" w:rsidP="00AB4C4F">
            <w:pPr>
              <w:pStyle w:val="T-ABCD"/>
            </w:pPr>
            <w:r w:rsidRPr="00A21FE4">
              <w:t>NA</w:t>
            </w:r>
          </w:p>
        </w:tc>
        <w:tc>
          <w:tcPr>
            <w:tcW w:w="809" w:type="dxa"/>
          </w:tcPr>
          <w:p w14:paraId="6B3AB284" w14:textId="77777777" w:rsidR="00E66069" w:rsidRPr="00A21FE4" w:rsidRDefault="00E66069" w:rsidP="00AB4C4F">
            <w:pPr>
              <w:pStyle w:val="T-ABCD"/>
            </w:pPr>
            <w:r w:rsidRPr="00A21FE4">
              <w:t>NA</w:t>
            </w:r>
          </w:p>
        </w:tc>
        <w:tc>
          <w:tcPr>
            <w:tcW w:w="809" w:type="dxa"/>
          </w:tcPr>
          <w:p w14:paraId="45DF6CC3" w14:textId="77777777" w:rsidR="00E66069" w:rsidRPr="00A21FE4" w:rsidRDefault="00E66069" w:rsidP="00AB4C4F">
            <w:pPr>
              <w:pStyle w:val="T-ABCD"/>
            </w:pPr>
            <w:r w:rsidRPr="00A21FE4">
              <w:t>NA</w:t>
            </w:r>
          </w:p>
        </w:tc>
        <w:tc>
          <w:tcPr>
            <w:tcW w:w="810" w:type="dxa"/>
          </w:tcPr>
          <w:p w14:paraId="275C4397" w14:textId="77777777" w:rsidR="00E66069" w:rsidRPr="00A21FE4" w:rsidRDefault="00E66069" w:rsidP="00AB4C4F">
            <w:pPr>
              <w:pStyle w:val="T-ABCD"/>
            </w:pPr>
            <w:r w:rsidRPr="00A21FE4">
              <w:t xml:space="preserve">NA </w:t>
            </w:r>
          </w:p>
        </w:tc>
      </w:tr>
      <w:tr w:rsidR="00E66069" w:rsidRPr="00A21FE4" w14:paraId="0FCF454C" w14:textId="77777777" w:rsidTr="00AB4C4F">
        <w:trPr>
          <w:cantSplit/>
        </w:trPr>
        <w:tc>
          <w:tcPr>
            <w:tcW w:w="851" w:type="dxa"/>
          </w:tcPr>
          <w:p w14:paraId="3C8191AC" w14:textId="77777777" w:rsidR="00E66069" w:rsidRPr="00A21FE4" w:rsidRDefault="00E66069" w:rsidP="00AB4C4F">
            <w:pPr>
              <w:pStyle w:val="Tabletextnoindent"/>
              <w:keepNext w:val="0"/>
              <w:numPr>
                <w:ilvl w:val="0"/>
                <w:numId w:val="0"/>
              </w:numPr>
            </w:pPr>
            <w:r w:rsidRPr="003F1E85">
              <w:t>ES1.3</w:t>
            </w:r>
          </w:p>
        </w:tc>
        <w:tc>
          <w:tcPr>
            <w:tcW w:w="3750" w:type="dxa"/>
          </w:tcPr>
          <w:p w14:paraId="51BE56FD" w14:textId="77777777" w:rsidR="00E66069" w:rsidRPr="00A21FE4" w:rsidRDefault="00E66069" w:rsidP="00AB4C4F">
            <w:pPr>
              <w:pStyle w:val="ES-table"/>
              <w:keepNext w:val="0"/>
            </w:pPr>
            <w:r w:rsidRPr="00A21FE4">
              <w:t>In preterm infants, the effect of RBC transfusion compared with no transfusion on NEC is uncertain.</w:t>
            </w:r>
          </w:p>
          <w:p w14:paraId="0E1C0A25" w14:textId="77777777" w:rsidR="00E66069" w:rsidRPr="00A21FE4" w:rsidRDefault="00E66069" w:rsidP="00AB4C4F">
            <w:pPr>
              <w:pStyle w:val="ES-notes"/>
              <w:keepNext w:val="0"/>
            </w:pPr>
            <w:r w:rsidRPr="00A21FE4">
              <w:t>(See evidence matrix D1.B in Volume 2 of the technical report.)</w:t>
            </w:r>
          </w:p>
        </w:tc>
        <w:tc>
          <w:tcPr>
            <w:tcW w:w="809" w:type="dxa"/>
          </w:tcPr>
          <w:p w14:paraId="64BDE5EF" w14:textId="77777777" w:rsidR="00E66069" w:rsidRPr="00A21FE4" w:rsidRDefault="00E66069" w:rsidP="00AB4C4F">
            <w:pPr>
              <w:pStyle w:val="T-ABCD"/>
            </w:pPr>
            <w:r w:rsidRPr="00A21FE4">
              <w:sym w:font="Symbol" w:char="F0D6"/>
            </w:r>
          </w:p>
        </w:tc>
        <w:tc>
          <w:tcPr>
            <w:tcW w:w="809" w:type="dxa"/>
          </w:tcPr>
          <w:p w14:paraId="642B0060" w14:textId="77777777" w:rsidR="00E66069" w:rsidRPr="00A21FE4" w:rsidRDefault="00E66069" w:rsidP="00AB4C4F">
            <w:pPr>
              <w:pStyle w:val="T-ABCD"/>
            </w:pPr>
            <w:r w:rsidRPr="00A21FE4">
              <w:t>X</w:t>
            </w:r>
          </w:p>
        </w:tc>
        <w:tc>
          <w:tcPr>
            <w:tcW w:w="809" w:type="dxa"/>
          </w:tcPr>
          <w:p w14:paraId="60BA5B0F" w14:textId="77777777" w:rsidR="00E66069" w:rsidRPr="00A21FE4" w:rsidRDefault="00E66069" w:rsidP="00AB4C4F">
            <w:pPr>
              <w:pStyle w:val="T-ABCD"/>
            </w:pPr>
            <w:r w:rsidRPr="00A21FE4">
              <w:t>X</w:t>
            </w:r>
          </w:p>
        </w:tc>
        <w:tc>
          <w:tcPr>
            <w:tcW w:w="809" w:type="dxa"/>
          </w:tcPr>
          <w:p w14:paraId="684435C6" w14:textId="77777777" w:rsidR="00E66069" w:rsidRPr="00A21FE4" w:rsidRDefault="00E66069" w:rsidP="00AB4C4F">
            <w:pPr>
              <w:pStyle w:val="T-ABCD"/>
            </w:pPr>
            <w:r w:rsidRPr="00A21FE4">
              <w:sym w:font="Symbol" w:char="F0D6"/>
            </w:r>
            <w:r w:rsidRPr="00A21FE4">
              <w:sym w:font="Symbol" w:char="F0D6"/>
            </w:r>
          </w:p>
        </w:tc>
        <w:tc>
          <w:tcPr>
            <w:tcW w:w="810" w:type="dxa"/>
          </w:tcPr>
          <w:p w14:paraId="1BCFD947" w14:textId="77777777" w:rsidR="00E66069" w:rsidRPr="00A21FE4" w:rsidRDefault="00E66069" w:rsidP="00AB4C4F">
            <w:pPr>
              <w:pStyle w:val="T-ABCD"/>
            </w:pPr>
            <w:r w:rsidRPr="00A21FE4">
              <w:sym w:font="Symbol" w:char="F0D6"/>
            </w:r>
          </w:p>
        </w:tc>
      </w:tr>
      <w:tr w:rsidR="00E66069" w:rsidRPr="00A21FE4" w14:paraId="39D836F8" w14:textId="77777777" w:rsidTr="00AB4C4F">
        <w:trPr>
          <w:cantSplit/>
        </w:trPr>
        <w:tc>
          <w:tcPr>
            <w:tcW w:w="851" w:type="dxa"/>
          </w:tcPr>
          <w:p w14:paraId="1DA2398C" w14:textId="77777777" w:rsidR="00E66069" w:rsidRPr="00A21FE4" w:rsidRDefault="00E66069" w:rsidP="00AB4C4F">
            <w:pPr>
              <w:pStyle w:val="Tabletextnoindent"/>
              <w:keepNext w:val="0"/>
              <w:numPr>
                <w:ilvl w:val="0"/>
                <w:numId w:val="0"/>
              </w:numPr>
            </w:pPr>
            <w:r w:rsidRPr="003F1E85">
              <w:lastRenderedPageBreak/>
              <w:t>ES1.4</w:t>
            </w:r>
          </w:p>
        </w:tc>
        <w:tc>
          <w:tcPr>
            <w:tcW w:w="3750" w:type="dxa"/>
          </w:tcPr>
          <w:p w14:paraId="73866787" w14:textId="77777777" w:rsidR="00E66069" w:rsidRPr="00A21FE4" w:rsidRDefault="00E66069" w:rsidP="00AB4C4F">
            <w:pPr>
              <w:pStyle w:val="ES-table"/>
              <w:keepNext w:val="0"/>
            </w:pPr>
            <w:r w:rsidRPr="00A21FE4">
              <w:t>In preterm infants, the effect of RBC transfusion compared with no transfusion on ROP is uncertain.</w:t>
            </w:r>
          </w:p>
          <w:p w14:paraId="063EA4AD" w14:textId="77777777" w:rsidR="00E66069" w:rsidRPr="00A21FE4" w:rsidRDefault="00E66069" w:rsidP="00AB4C4F">
            <w:pPr>
              <w:pStyle w:val="ES-notes"/>
              <w:keepNext w:val="0"/>
            </w:pPr>
            <w:r w:rsidRPr="00A21FE4">
              <w:t>(See evidence matrix D1.C in Volume 2 of the technical report.)</w:t>
            </w:r>
          </w:p>
        </w:tc>
        <w:tc>
          <w:tcPr>
            <w:tcW w:w="809" w:type="dxa"/>
          </w:tcPr>
          <w:p w14:paraId="2C40336D" w14:textId="77777777" w:rsidR="00E66069" w:rsidRPr="00A21FE4" w:rsidRDefault="00E66069" w:rsidP="00AB4C4F">
            <w:pPr>
              <w:pStyle w:val="T-ABCD"/>
            </w:pPr>
            <w:r w:rsidRPr="00A21FE4">
              <w:t>X</w:t>
            </w:r>
          </w:p>
        </w:tc>
        <w:tc>
          <w:tcPr>
            <w:tcW w:w="809" w:type="dxa"/>
          </w:tcPr>
          <w:p w14:paraId="3601A761" w14:textId="77777777" w:rsidR="00E66069" w:rsidRPr="00A21FE4" w:rsidRDefault="00E66069" w:rsidP="00AB4C4F">
            <w:pPr>
              <w:pStyle w:val="T-ABCD"/>
            </w:pPr>
            <w:r w:rsidRPr="00A21FE4">
              <w:sym w:font="Symbol" w:char="F0D6"/>
            </w:r>
          </w:p>
        </w:tc>
        <w:tc>
          <w:tcPr>
            <w:tcW w:w="809" w:type="dxa"/>
          </w:tcPr>
          <w:p w14:paraId="787EF25A" w14:textId="77777777" w:rsidR="00E66069" w:rsidRPr="00A21FE4" w:rsidRDefault="00E66069" w:rsidP="00AB4C4F">
            <w:pPr>
              <w:pStyle w:val="T-ABCD"/>
            </w:pPr>
            <w:r w:rsidRPr="00A21FE4">
              <w:t>X</w:t>
            </w:r>
          </w:p>
        </w:tc>
        <w:tc>
          <w:tcPr>
            <w:tcW w:w="809" w:type="dxa"/>
          </w:tcPr>
          <w:p w14:paraId="392456CA" w14:textId="77777777" w:rsidR="00E66069" w:rsidRPr="00A21FE4" w:rsidRDefault="00E66069" w:rsidP="00AB4C4F">
            <w:pPr>
              <w:pStyle w:val="T-ABCD"/>
            </w:pPr>
            <w:r w:rsidRPr="00A21FE4">
              <w:sym w:font="Symbol" w:char="F0D6"/>
            </w:r>
            <w:r w:rsidRPr="00A21FE4">
              <w:sym w:font="Symbol" w:char="F0D6"/>
            </w:r>
          </w:p>
        </w:tc>
        <w:tc>
          <w:tcPr>
            <w:tcW w:w="810" w:type="dxa"/>
          </w:tcPr>
          <w:p w14:paraId="42225308" w14:textId="77777777" w:rsidR="00E66069" w:rsidRPr="00A21FE4" w:rsidRDefault="00E66069" w:rsidP="00AB4C4F">
            <w:pPr>
              <w:pStyle w:val="T-ABCD"/>
            </w:pPr>
            <w:r w:rsidRPr="00A21FE4">
              <w:sym w:font="Symbol" w:char="F0D6"/>
            </w:r>
          </w:p>
        </w:tc>
      </w:tr>
      <w:tr w:rsidR="00E66069" w:rsidRPr="00A21FE4" w14:paraId="60C95961" w14:textId="77777777" w:rsidTr="00AB4C4F">
        <w:trPr>
          <w:cantSplit/>
        </w:trPr>
        <w:tc>
          <w:tcPr>
            <w:tcW w:w="851" w:type="dxa"/>
          </w:tcPr>
          <w:p w14:paraId="36C19280" w14:textId="77777777" w:rsidR="00E66069" w:rsidRPr="00A21FE4" w:rsidRDefault="00E66069" w:rsidP="00AB4C4F">
            <w:pPr>
              <w:pStyle w:val="Tabletextnoindent"/>
              <w:keepNext w:val="0"/>
              <w:numPr>
                <w:ilvl w:val="0"/>
                <w:numId w:val="0"/>
              </w:numPr>
            </w:pPr>
            <w:r w:rsidRPr="003F1E85">
              <w:t>ES1.5</w:t>
            </w:r>
          </w:p>
        </w:tc>
        <w:tc>
          <w:tcPr>
            <w:tcW w:w="3750" w:type="dxa"/>
          </w:tcPr>
          <w:p w14:paraId="3B1DFA23" w14:textId="77777777" w:rsidR="00E66069" w:rsidRPr="00A21FE4" w:rsidRDefault="00E66069" w:rsidP="00AB4C4F">
            <w:pPr>
              <w:pStyle w:val="ES-table"/>
              <w:keepNext w:val="0"/>
            </w:pPr>
            <w:r w:rsidRPr="00A21FE4">
              <w:t>In very low birth weight infants (</w:t>
            </w:r>
            <w:r w:rsidRPr="00A21FE4">
              <w:rPr>
                <w:i/>
              </w:rPr>
              <w:t>&lt;</w:t>
            </w:r>
            <w:r w:rsidRPr="00A21FE4">
              <w:t>1500 g), the effect of RBC transfusion compared with no transfusion on IVH is uncertain.</w:t>
            </w:r>
          </w:p>
          <w:p w14:paraId="0811EF0E" w14:textId="77777777" w:rsidR="00E66069" w:rsidRPr="00A21FE4" w:rsidRDefault="00E66069" w:rsidP="00AB4C4F">
            <w:pPr>
              <w:pStyle w:val="ES-notes"/>
              <w:keepNext w:val="0"/>
            </w:pPr>
            <w:r w:rsidRPr="00A21FE4">
              <w:t>(See evidence matrix D1.D in Volume 2 of the technical report.)</w:t>
            </w:r>
          </w:p>
        </w:tc>
        <w:tc>
          <w:tcPr>
            <w:tcW w:w="809" w:type="dxa"/>
          </w:tcPr>
          <w:p w14:paraId="330C9380" w14:textId="77777777" w:rsidR="00E66069" w:rsidRPr="00A21FE4" w:rsidRDefault="00E66069" w:rsidP="00AB4C4F">
            <w:pPr>
              <w:pStyle w:val="T-ABCD"/>
            </w:pPr>
            <w:r w:rsidRPr="00A21FE4">
              <w:sym w:font="Symbol" w:char="F0D6"/>
            </w:r>
          </w:p>
        </w:tc>
        <w:tc>
          <w:tcPr>
            <w:tcW w:w="809" w:type="dxa"/>
          </w:tcPr>
          <w:p w14:paraId="04835DCF" w14:textId="77777777" w:rsidR="00E66069" w:rsidRPr="00A21FE4" w:rsidRDefault="00E66069" w:rsidP="00AB4C4F">
            <w:pPr>
              <w:pStyle w:val="T-ABCD"/>
            </w:pPr>
            <w:r w:rsidRPr="00A21FE4">
              <w:t>NA</w:t>
            </w:r>
          </w:p>
        </w:tc>
        <w:tc>
          <w:tcPr>
            <w:tcW w:w="809" w:type="dxa"/>
          </w:tcPr>
          <w:p w14:paraId="3EB28C8A" w14:textId="77777777" w:rsidR="00E66069" w:rsidRPr="00A21FE4" w:rsidRDefault="00E66069" w:rsidP="00AB4C4F">
            <w:pPr>
              <w:pStyle w:val="T-ABCD"/>
            </w:pPr>
            <w:r w:rsidRPr="00A21FE4">
              <w:sym w:font="Symbol" w:char="F0D6"/>
            </w:r>
          </w:p>
        </w:tc>
        <w:tc>
          <w:tcPr>
            <w:tcW w:w="809" w:type="dxa"/>
          </w:tcPr>
          <w:p w14:paraId="62C668C4"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70AE10D9" w14:textId="77777777" w:rsidR="00E66069" w:rsidRPr="00A21FE4" w:rsidRDefault="00E66069" w:rsidP="00AB4C4F">
            <w:pPr>
              <w:pStyle w:val="T-ABCD"/>
            </w:pPr>
            <w:r w:rsidRPr="00A21FE4">
              <w:sym w:font="Symbol" w:char="F0D6"/>
            </w:r>
          </w:p>
        </w:tc>
      </w:tr>
      <w:tr w:rsidR="00E66069" w:rsidRPr="00A21FE4" w14:paraId="22366B72" w14:textId="77777777" w:rsidTr="00AB4C4F">
        <w:trPr>
          <w:cantSplit/>
        </w:trPr>
        <w:tc>
          <w:tcPr>
            <w:tcW w:w="851" w:type="dxa"/>
          </w:tcPr>
          <w:p w14:paraId="2776C484" w14:textId="77777777" w:rsidR="00E66069" w:rsidRPr="00A21FE4" w:rsidRDefault="00E66069" w:rsidP="00AB4C4F">
            <w:pPr>
              <w:pStyle w:val="Tabletextnoindent"/>
              <w:keepNext w:val="0"/>
              <w:numPr>
                <w:ilvl w:val="0"/>
                <w:numId w:val="0"/>
              </w:numPr>
            </w:pPr>
            <w:r w:rsidRPr="003F1E85">
              <w:t>ES1.6</w:t>
            </w:r>
          </w:p>
        </w:tc>
        <w:tc>
          <w:tcPr>
            <w:tcW w:w="3750" w:type="dxa"/>
          </w:tcPr>
          <w:p w14:paraId="125DD379" w14:textId="77777777" w:rsidR="00E66069" w:rsidRPr="00A21FE4" w:rsidRDefault="00E66069" w:rsidP="00AB4C4F">
            <w:pPr>
              <w:pStyle w:val="ES-table"/>
              <w:keepNext w:val="0"/>
            </w:pPr>
            <w:r w:rsidRPr="00A21FE4">
              <w:t>In very low birth weight infants (</w:t>
            </w:r>
            <w:r w:rsidRPr="00A21FE4">
              <w:rPr>
                <w:i/>
              </w:rPr>
              <w:t>&lt;</w:t>
            </w:r>
            <w:r w:rsidRPr="00A21FE4">
              <w:t>1500 g), the effect of restrictive RBC transfusion compared with liberal RBC transfusion on mortality is uncertain.</w:t>
            </w:r>
          </w:p>
          <w:p w14:paraId="3486826E" w14:textId="77777777" w:rsidR="00E66069" w:rsidRPr="00A21FE4" w:rsidRDefault="00E66069" w:rsidP="00AB4C4F">
            <w:pPr>
              <w:pStyle w:val="ES-notes"/>
              <w:keepNext w:val="0"/>
            </w:pPr>
            <w:r w:rsidRPr="00A21FE4">
              <w:t>(See evidence matrix D1.E in Volume 2 of the technical report.)</w:t>
            </w:r>
          </w:p>
        </w:tc>
        <w:tc>
          <w:tcPr>
            <w:tcW w:w="809" w:type="dxa"/>
          </w:tcPr>
          <w:p w14:paraId="274675A7" w14:textId="77777777" w:rsidR="00E66069" w:rsidRPr="00A21FE4" w:rsidRDefault="00E66069" w:rsidP="00AB4C4F">
            <w:pPr>
              <w:pStyle w:val="T-ABCD"/>
            </w:pPr>
            <w:r w:rsidRPr="00A21FE4">
              <w:sym w:font="Symbol" w:char="F0D6"/>
            </w:r>
            <w:r w:rsidRPr="00A21FE4">
              <w:sym w:font="Symbol" w:char="F0D6"/>
            </w:r>
          </w:p>
        </w:tc>
        <w:tc>
          <w:tcPr>
            <w:tcW w:w="809" w:type="dxa"/>
          </w:tcPr>
          <w:p w14:paraId="551C4A47"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09" w:type="dxa"/>
          </w:tcPr>
          <w:p w14:paraId="395A71FD" w14:textId="77777777" w:rsidR="00E66069" w:rsidRPr="00A21FE4" w:rsidRDefault="00E66069" w:rsidP="00AB4C4F">
            <w:pPr>
              <w:pStyle w:val="T-ABCD"/>
            </w:pPr>
            <w:r w:rsidRPr="00A21FE4">
              <w:t>NA</w:t>
            </w:r>
          </w:p>
        </w:tc>
        <w:tc>
          <w:tcPr>
            <w:tcW w:w="809" w:type="dxa"/>
          </w:tcPr>
          <w:p w14:paraId="5DD3DBD6" w14:textId="77777777" w:rsidR="00E66069" w:rsidRPr="00A21FE4" w:rsidRDefault="00E66069" w:rsidP="00AB4C4F">
            <w:pPr>
              <w:pStyle w:val="T-ABCD"/>
            </w:pPr>
            <w:r w:rsidRPr="00A21FE4">
              <w:sym w:font="Symbol" w:char="F0D6"/>
            </w:r>
            <w:r w:rsidRPr="00A21FE4">
              <w:sym w:font="Symbol" w:char="F0D6"/>
            </w:r>
          </w:p>
        </w:tc>
        <w:tc>
          <w:tcPr>
            <w:tcW w:w="810" w:type="dxa"/>
          </w:tcPr>
          <w:p w14:paraId="23A59449" w14:textId="77777777" w:rsidR="00E66069" w:rsidRPr="00A21FE4" w:rsidRDefault="00E66069" w:rsidP="00AB4C4F">
            <w:pPr>
              <w:pStyle w:val="T-ABCD"/>
            </w:pPr>
            <w:r w:rsidRPr="00A21FE4">
              <w:sym w:font="Symbol" w:char="F0D6"/>
            </w:r>
            <w:r w:rsidRPr="00A21FE4">
              <w:sym w:font="Symbol" w:char="F0D6"/>
            </w:r>
          </w:p>
        </w:tc>
      </w:tr>
      <w:tr w:rsidR="00E66069" w:rsidRPr="00A21FE4" w14:paraId="4E68ABF2" w14:textId="77777777" w:rsidTr="00AB4C4F">
        <w:trPr>
          <w:cantSplit/>
        </w:trPr>
        <w:tc>
          <w:tcPr>
            <w:tcW w:w="851" w:type="dxa"/>
          </w:tcPr>
          <w:p w14:paraId="1CC4AD5D" w14:textId="77777777" w:rsidR="00E66069" w:rsidRPr="00A21FE4" w:rsidRDefault="00E66069" w:rsidP="00AB4C4F">
            <w:pPr>
              <w:pStyle w:val="Tabletextnoindent"/>
              <w:keepNext w:val="0"/>
              <w:numPr>
                <w:ilvl w:val="0"/>
                <w:numId w:val="0"/>
              </w:numPr>
            </w:pPr>
            <w:r w:rsidRPr="003F1E85">
              <w:t>ES1.7</w:t>
            </w:r>
          </w:p>
        </w:tc>
        <w:tc>
          <w:tcPr>
            <w:tcW w:w="3750" w:type="dxa"/>
          </w:tcPr>
          <w:p w14:paraId="403B7E0F" w14:textId="77777777" w:rsidR="00E66069" w:rsidRPr="00A21FE4" w:rsidRDefault="00E66069" w:rsidP="00AB4C4F">
            <w:pPr>
              <w:pStyle w:val="ES-table"/>
              <w:keepNext w:val="0"/>
            </w:pPr>
            <w:r w:rsidRPr="00A21FE4">
              <w:t>In very low birth weight infants (</w:t>
            </w:r>
            <w:r w:rsidRPr="00A21FE4">
              <w:rPr>
                <w:i/>
              </w:rPr>
              <w:t>&lt;</w:t>
            </w:r>
            <w:r w:rsidRPr="00A21FE4">
              <w:t>1500 g), the effect of restrictive RBC transfusion compared with liberal RBC transfusion on a composite outcome of mortality and severe morbidity is uncertain.</w:t>
            </w:r>
          </w:p>
          <w:p w14:paraId="455FE4E8" w14:textId="77777777" w:rsidR="00E66069" w:rsidRPr="00A21FE4" w:rsidRDefault="00E66069" w:rsidP="00AB4C4F">
            <w:pPr>
              <w:pStyle w:val="ES-notes"/>
              <w:keepNext w:val="0"/>
            </w:pPr>
            <w:r w:rsidRPr="00A21FE4">
              <w:t>(See evidence matrix D1.F in Volume 2 of the technical report.)</w:t>
            </w:r>
          </w:p>
        </w:tc>
        <w:tc>
          <w:tcPr>
            <w:tcW w:w="809" w:type="dxa"/>
          </w:tcPr>
          <w:p w14:paraId="0ADD81DC" w14:textId="77777777" w:rsidR="00E66069" w:rsidRPr="00A21FE4" w:rsidRDefault="00E66069" w:rsidP="00AB4C4F">
            <w:pPr>
              <w:pStyle w:val="T-ABCD"/>
            </w:pPr>
            <w:r w:rsidRPr="00A21FE4">
              <w:sym w:font="Symbol" w:char="F0D6"/>
            </w:r>
            <w:r w:rsidRPr="00A21FE4">
              <w:sym w:font="Symbol" w:char="F0D6"/>
            </w:r>
          </w:p>
        </w:tc>
        <w:tc>
          <w:tcPr>
            <w:tcW w:w="809" w:type="dxa"/>
          </w:tcPr>
          <w:p w14:paraId="6ECB85C6" w14:textId="77777777" w:rsidR="00E66069" w:rsidRPr="00A21FE4" w:rsidRDefault="00E66069" w:rsidP="00AB4C4F">
            <w:pPr>
              <w:pStyle w:val="T-ABCD"/>
            </w:pPr>
            <w:r w:rsidRPr="00A21FE4">
              <w:sym w:font="Symbol" w:char="F0D6"/>
            </w:r>
            <w:r w:rsidRPr="00A21FE4">
              <w:sym w:font="Symbol" w:char="F0D6"/>
            </w:r>
          </w:p>
        </w:tc>
        <w:tc>
          <w:tcPr>
            <w:tcW w:w="809" w:type="dxa"/>
          </w:tcPr>
          <w:p w14:paraId="10D7E742" w14:textId="77777777" w:rsidR="00E66069" w:rsidRPr="00A21FE4" w:rsidRDefault="00E66069" w:rsidP="00AB4C4F">
            <w:pPr>
              <w:pStyle w:val="T-ABCD"/>
            </w:pPr>
            <w:r w:rsidRPr="00A21FE4">
              <w:t>X</w:t>
            </w:r>
          </w:p>
        </w:tc>
        <w:tc>
          <w:tcPr>
            <w:tcW w:w="809" w:type="dxa"/>
          </w:tcPr>
          <w:p w14:paraId="45CF78DD" w14:textId="77777777" w:rsidR="00E66069" w:rsidRPr="00A21FE4" w:rsidRDefault="00E66069" w:rsidP="00AB4C4F">
            <w:pPr>
              <w:pStyle w:val="T-ABCD"/>
            </w:pPr>
            <w:r w:rsidRPr="00A21FE4">
              <w:sym w:font="Symbol" w:char="F0D6"/>
            </w:r>
            <w:r w:rsidRPr="00A21FE4">
              <w:sym w:font="Symbol" w:char="F0D6"/>
            </w:r>
          </w:p>
        </w:tc>
        <w:tc>
          <w:tcPr>
            <w:tcW w:w="810" w:type="dxa"/>
          </w:tcPr>
          <w:p w14:paraId="435C7E5E" w14:textId="77777777" w:rsidR="00E66069" w:rsidRPr="00A21FE4" w:rsidRDefault="00E66069" w:rsidP="00AB4C4F">
            <w:pPr>
              <w:pStyle w:val="T-ABCD"/>
            </w:pPr>
            <w:r w:rsidRPr="00A21FE4">
              <w:sym w:font="Symbol" w:char="F0D6"/>
            </w:r>
          </w:p>
        </w:tc>
      </w:tr>
      <w:tr w:rsidR="00E66069" w:rsidRPr="00A21FE4" w14:paraId="02DF6183" w14:textId="77777777" w:rsidTr="00AB4C4F">
        <w:trPr>
          <w:cantSplit/>
        </w:trPr>
        <w:tc>
          <w:tcPr>
            <w:tcW w:w="851" w:type="dxa"/>
          </w:tcPr>
          <w:p w14:paraId="20994DEA" w14:textId="77777777" w:rsidR="00E66069" w:rsidRPr="00A21FE4" w:rsidRDefault="00E66069" w:rsidP="00AB4C4F">
            <w:pPr>
              <w:pStyle w:val="Tabletextnoindent"/>
              <w:numPr>
                <w:ilvl w:val="0"/>
                <w:numId w:val="0"/>
              </w:numPr>
            </w:pPr>
            <w:r w:rsidRPr="003F1E85">
              <w:t>ES1.8</w:t>
            </w:r>
          </w:p>
        </w:tc>
        <w:tc>
          <w:tcPr>
            <w:tcW w:w="3750" w:type="dxa"/>
          </w:tcPr>
          <w:p w14:paraId="344ECC2C" w14:textId="77777777" w:rsidR="00E66069" w:rsidRPr="00A21FE4" w:rsidRDefault="00E66069" w:rsidP="00AB4C4F">
            <w:pPr>
              <w:pStyle w:val="ES-table"/>
            </w:pPr>
            <w:r w:rsidRPr="00A21FE4">
              <w:t>In very low birth weight infants (</w:t>
            </w:r>
            <w:r w:rsidRPr="00A21FE4">
              <w:rPr>
                <w:i/>
              </w:rPr>
              <w:t>&lt;</w:t>
            </w:r>
            <w:r w:rsidRPr="00A21FE4">
              <w:t>1500 g), there is no difference between restrictive RBC transfusion or liberal RBC transfusion on the incidence of NEC, ROP or BPD.</w:t>
            </w:r>
          </w:p>
          <w:p w14:paraId="4DFB765F" w14:textId="77777777" w:rsidR="00E66069" w:rsidRPr="00A21FE4" w:rsidRDefault="00E66069" w:rsidP="00AB4C4F">
            <w:pPr>
              <w:pStyle w:val="ES-notes"/>
            </w:pPr>
            <w:r w:rsidRPr="00A21FE4">
              <w:t>(See evidence matrix D1.G in Volume 2 of the technical report.)</w:t>
            </w:r>
          </w:p>
        </w:tc>
        <w:tc>
          <w:tcPr>
            <w:tcW w:w="809" w:type="dxa"/>
          </w:tcPr>
          <w:p w14:paraId="42F8F1CE" w14:textId="77777777" w:rsidR="00E66069" w:rsidRPr="00A21FE4" w:rsidRDefault="00E66069" w:rsidP="00AB4C4F">
            <w:pPr>
              <w:pStyle w:val="T-ABCD"/>
            </w:pPr>
            <w:r w:rsidRPr="00A21FE4">
              <w:sym w:font="Symbol" w:char="F0D6"/>
            </w:r>
            <w:r w:rsidRPr="00A21FE4">
              <w:sym w:font="Symbol" w:char="F0D6"/>
            </w:r>
          </w:p>
        </w:tc>
        <w:tc>
          <w:tcPr>
            <w:tcW w:w="809" w:type="dxa"/>
          </w:tcPr>
          <w:p w14:paraId="636136C3"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09" w:type="dxa"/>
          </w:tcPr>
          <w:p w14:paraId="237EC942" w14:textId="77777777" w:rsidR="00E66069" w:rsidRPr="00A21FE4" w:rsidRDefault="00E66069" w:rsidP="00AB4C4F">
            <w:pPr>
              <w:pStyle w:val="T-ABCD"/>
            </w:pPr>
            <w:r w:rsidRPr="00A21FE4">
              <w:t>NA</w:t>
            </w:r>
          </w:p>
        </w:tc>
        <w:tc>
          <w:tcPr>
            <w:tcW w:w="809" w:type="dxa"/>
          </w:tcPr>
          <w:p w14:paraId="51FBAA77" w14:textId="77777777" w:rsidR="00E66069" w:rsidRPr="00A21FE4" w:rsidRDefault="00E66069" w:rsidP="00AB4C4F">
            <w:pPr>
              <w:pStyle w:val="T-ABCD"/>
            </w:pPr>
            <w:r w:rsidRPr="00A21FE4">
              <w:sym w:font="Symbol" w:char="F0D6"/>
            </w:r>
            <w:r w:rsidRPr="00A21FE4">
              <w:sym w:font="Symbol" w:char="F0D6"/>
            </w:r>
          </w:p>
        </w:tc>
        <w:tc>
          <w:tcPr>
            <w:tcW w:w="810" w:type="dxa"/>
          </w:tcPr>
          <w:p w14:paraId="3EC767A1" w14:textId="77777777" w:rsidR="00E66069" w:rsidRPr="00A21FE4" w:rsidRDefault="00E66069" w:rsidP="00AB4C4F">
            <w:pPr>
              <w:pStyle w:val="T-ABCD"/>
            </w:pPr>
            <w:r w:rsidRPr="00A21FE4">
              <w:sym w:font="Symbol" w:char="F0D6"/>
            </w:r>
            <w:r w:rsidRPr="00A21FE4">
              <w:sym w:font="Symbol" w:char="F0D6"/>
            </w:r>
          </w:p>
        </w:tc>
      </w:tr>
      <w:tr w:rsidR="00E66069" w:rsidRPr="00A21FE4" w14:paraId="3C1161DD" w14:textId="77777777" w:rsidTr="00AB4C4F">
        <w:trPr>
          <w:cantSplit/>
        </w:trPr>
        <w:tc>
          <w:tcPr>
            <w:tcW w:w="851" w:type="dxa"/>
          </w:tcPr>
          <w:p w14:paraId="4EAC7FC8" w14:textId="77777777" w:rsidR="00E66069" w:rsidRPr="00A21FE4" w:rsidRDefault="00E66069" w:rsidP="00AB4C4F">
            <w:pPr>
              <w:pStyle w:val="Tabletextnoindent"/>
              <w:numPr>
                <w:ilvl w:val="0"/>
                <w:numId w:val="0"/>
              </w:numPr>
            </w:pPr>
            <w:r w:rsidRPr="003F1E85">
              <w:t>ES1.9</w:t>
            </w:r>
          </w:p>
        </w:tc>
        <w:tc>
          <w:tcPr>
            <w:tcW w:w="3750" w:type="dxa"/>
          </w:tcPr>
          <w:p w14:paraId="4AAF0768" w14:textId="77777777" w:rsidR="00E66069" w:rsidRPr="00A21FE4" w:rsidRDefault="00E66069" w:rsidP="00AB4C4F">
            <w:pPr>
              <w:pStyle w:val="ES-table"/>
            </w:pPr>
            <w:r w:rsidRPr="00A21FE4">
              <w:t>In very low birth weight infants (</w:t>
            </w:r>
            <w:r w:rsidRPr="00A21FE4">
              <w:rPr>
                <w:i/>
              </w:rPr>
              <w:t>&lt;</w:t>
            </w:r>
            <w:r w:rsidRPr="00A21FE4">
              <w:t>1500 g), the effect of restrictive RBC transfusion compared with liberal RBC transfusion on brain injury is uncertain.</w:t>
            </w:r>
          </w:p>
          <w:p w14:paraId="37BBF2E7" w14:textId="77777777" w:rsidR="00E66069" w:rsidRPr="00A21FE4" w:rsidRDefault="00E66069" w:rsidP="00AB4C4F">
            <w:pPr>
              <w:pStyle w:val="ES-notes"/>
            </w:pPr>
            <w:r w:rsidRPr="00A21FE4">
              <w:t>(See evidence matrix D1.H in Volume 2 of the technical report.)</w:t>
            </w:r>
          </w:p>
        </w:tc>
        <w:tc>
          <w:tcPr>
            <w:tcW w:w="809" w:type="dxa"/>
          </w:tcPr>
          <w:p w14:paraId="406264C1" w14:textId="77777777" w:rsidR="00E66069" w:rsidRPr="00A21FE4" w:rsidRDefault="00E66069" w:rsidP="00AB4C4F">
            <w:pPr>
              <w:pStyle w:val="T-ABCD"/>
            </w:pPr>
            <w:r w:rsidRPr="00A21FE4">
              <w:sym w:font="Symbol" w:char="F0D6"/>
            </w:r>
            <w:r w:rsidRPr="00A21FE4">
              <w:sym w:font="Symbol" w:char="F0D6"/>
            </w:r>
          </w:p>
        </w:tc>
        <w:tc>
          <w:tcPr>
            <w:tcW w:w="809" w:type="dxa"/>
          </w:tcPr>
          <w:p w14:paraId="19C01BFA" w14:textId="77777777" w:rsidR="00E66069" w:rsidRPr="00A21FE4" w:rsidRDefault="00E66069" w:rsidP="00AB4C4F">
            <w:pPr>
              <w:pStyle w:val="T-ABCD"/>
            </w:pPr>
            <w:r w:rsidRPr="00A21FE4">
              <w:sym w:font="Symbol" w:char="F0D6"/>
            </w:r>
            <w:r w:rsidRPr="00A21FE4">
              <w:sym w:font="Symbol" w:char="F0D6"/>
            </w:r>
          </w:p>
        </w:tc>
        <w:tc>
          <w:tcPr>
            <w:tcW w:w="809" w:type="dxa"/>
          </w:tcPr>
          <w:p w14:paraId="79FE13D1" w14:textId="77777777" w:rsidR="00E66069" w:rsidRPr="00A21FE4" w:rsidRDefault="00E66069" w:rsidP="00AB4C4F">
            <w:pPr>
              <w:pStyle w:val="T-ABCD"/>
            </w:pPr>
            <w:r w:rsidRPr="00A21FE4">
              <w:t>NA</w:t>
            </w:r>
          </w:p>
        </w:tc>
        <w:tc>
          <w:tcPr>
            <w:tcW w:w="809" w:type="dxa"/>
          </w:tcPr>
          <w:p w14:paraId="234B3C80" w14:textId="77777777" w:rsidR="00E66069" w:rsidRPr="00A21FE4" w:rsidRDefault="00E66069" w:rsidP="00AB4C4F">
            <w:pPr>
              <w:pStyle w:val="T-ABCD"/>
            </w:pPr>
            <w:r w:rsidRPr="00A21FE4">
              <w:sym w:font="Symbol" w:char="F0D6"/>
            </w:r>
            <w:r w:rsidRPr="00A21FE4">
              <w:sym w:font="Symbol" w:char="F0D6"/>
            </w:r>
          </w:p>
        </w:tc>
        <w:tc>
          <w:tcPr>
            <w:tcW w:w="810" w:type="dxa"/>
          </w:tcPr>
          <w:p w14:paraId="185CD2D8" w14:textId="77777777" w:rsidR="00E66069" w:rsidRPr="00A21FE4" w:rsidRDefault="00E66069" w:rsidP="00AB4C4F">
            <w:pPr>
              <w:pStyle w:val="T-ABCD"/>
            </w:pPr>
            <w:r w:rsidRPr="00A21FE4">
              <w:sym w:font="Symbol" w:char="F0D6"/>
            </w:r>
            <w:r w:rsidRPr="00A21FE4">
              <w:sym w:font="Symbol" w:char="F0D6"/>
            </w:r>
          </w:p>
        </w:tc>
      </w:tr>
      <w:tr w:rsidR="00E66069" w:rsidRPr="00A21FE4" w14:paraId="7F91FF7D" w14:textId="77777777" w:rsidTr="00AB4C4F">
        <w:trPr>
          <w:cantSplit/>
        </w:trPr>
        <w:tc>
          <w:tcPr>
            <w:tcW w:w="851" w:type="dxa"/>
          </w:tcPr>
          <w:p w14:paraId="01E43A60" w14:textId="77777777" w:rsidR="00E66069" w:rsidRPr="00A21FE4" w:rsidRDefault="00E66069" w:rsidP="00AB4C4F">
            <w:pPr>
              <w:pStyle w:val="Tabletextnoindent"/>
              <w:numPr>
                <w:ilvl w:val="0"/>
                <w:numId w:val="0"/>
              </w:numPr>
            </w:pPr>
            <w:r w:rsidRPr="003F1E85">
              <w:t>ES1.10</w:t>
            </w:r>
          </w:p>
        </w:tc>
        <w:tc>
          <w:tcPr>
            <w:tcW w:w="3750" w:type="dxa"/>
          </w:tcPr>
          <w:p w14:paraId="2BA0153F" w14:textId="77777777" w:rsidR="00E66069" w:rsidRPr="00A21FE4" w:rsidRDefault="00E66069" w:rsidP="00AB4C4F">
            <w:pPr>
              <w:pStyle w:val="ES-table"/>
            </w:pPr>
            <w:r w:rsidRPr="00A21FE4">
              <w:t>In very low birth weight infants (</w:t>
            </w:r>
            <w:r w:rsidRPr="00A21FE4">
              <w:rPr>
                <w:i/>
              </w:rPr>
              <w:t>&lt;</w:t>
            </w:r>
            <w:r w:rsidRPr="00A21FE4">
              <w:t>1500 g), liberal RBC transfusion may reduce cognitive delays compared with restrictive RBC transfusion.</w:t>
            </w:r>
          </w:p>
          <w:p w14:paraId="375BD759" w14:textId="77777777" w:rsidR="00E66069" w:rsidRPr="00A21FE4" w:rsidRDefault="00E66069" w:rsidP="00AB4C4F">
            <w:pPr>
              <w:pStyle w:val="ES-notes"/>
            </w:pPr>
            <w:r w:rsidRPr="00A21FE4">
              <w:t>(See evidence matrix D1.I in Volume 2 of the technical report.)</w:t>
            </w:r>
          </w:p>
        </w:tc>
        <w:tc>
          <w:tcPr>
            <w:tcW w:w="809" w:type="dxa"/>
          </w:tcPr>
          <w:p w14:paraId="59614A6C" w14:textId="77777777" w:rsidR="00E66069" w:rsidRPr="00A21FE4" w:rsidRDefault="00E66069" w:rsidP="00AB4C4F">
            <w:pPr>
              <w:pStyle w:val="T-ABCD"/>
            </w:pPr>
            <w:r w:rsidRPr="00A21FE4">
              <w:sym w:font="Symbol" w:char="F0D6"/>
            </w:r>
            <w:r w:rsidRPr="00A21FE4">
              <w:sym w:font="Symbol" w:char="F0D6"/>
            </w:r>
          </w:p>
        </w:tc>
        <w:tc>
          <w:tcPr>
            <w:tcW w:w="809" w:type="dxa"/>
          </w:tcPr>
          <w:p w14:paraId="0470E9F4" w14:textId="77777777" w:rsidR="00E66069" w:rsidRPr="00A21FE4" w:rsidRDefault="00E66069" w:rsidP="00AB4C4F">
            <w:pPr>
              <w:pStyle w:val="T-ABCD"/>
            </w:pPr>
            <w:r w:rsidRPr="00A21FE4">
              <w:t>NA</w:t>
            </w:r>
          </w:p>
        </w:tc>
        <w:tc>
          <w:tcPr>
            <w:tcW w:w="809" w:type="dxa"/>
          </w:tcPr>
          <w:p w14:paraId="7ACBEB83" w14:textId="77777777" w:rsidR="00E66069" w:rsidRPr="00A21FE4" w:rsidRDefault="00E66069" w:rsidP="00AB4C4F">
            <w:pPr>
              <w:pStyle w:val="T-ABCD"/>
            </w:pPr>
            <w:r w:rsidRPr="00A21FE4">
              <w:sym w:font="Symbol" w:char="F0D6"/>
            </w:r>
          </w:p>
        </w:tc>
        <w:tc>
          <w:tcPr>
            <w:tcW w:w="809" w:type="dxa"/>
          </w:tcPr>
          <w:p w14:paraId="7C16F16E" w14:textId="77777777" w:rsidR="00E66069" w:rsidRPr="00A21FE4" w:rsidRDefault="00E66069" w:rsidP="00AB4C4F">
            <w:pPr>
              <w:pStyle w:val="T-ABCD"/>
            </w:pPr>
            <w:r w:rsidRPr="00A21FE4">
              <w:sym w:font="Symbol" w:char="F0D6"/>
            </w:r>
            <w:r w:rsidRPr="00A21FE4">
              <w:sym w:font="Symbol" w:char="F0D6"/>
            </w:r>
          </w:p>
        </w:tc>
        <w:tc>
          <w:tcPr>
            <w:tcW w:w="810" w:type="dxa"/>
          </w:tcPr>
          <w:p w14:paraId="1738F815" w14:textId="77777777" w:rsidR="00E66069" w:rsidRPr="00A21FE4" w:rsidRDefault="00E66069" w:rsidP="00AB4C4F">
            <w:pPr>
              <w:pStyle w:val="T-ABCD"/>
            </w:pPr>
            <w:r w:rsidRPr="00A21FE4">
              <w:sym w:font="Symbol" w:char="F0D6"/>
            </w:r>
            <w:r w:rsidRPr="00A21FE4">
              <w:sym w:font="Symbol" w:char="F0D6"/>
            </w:r>
          </w:p>
        </w:tc>
      </w:tr>
      <w:tr w:rsidR="00E66069" w:rsidRPr="00A21FE4" w14:paraId="4DEACBFC" w14:textId="77777777" w:rsidTr="00AB4C4F">
        <w:trPr>
          <w:cantSplit/>
        </w:trPr>
        <w:tc>
          <w:tcPr>
            <w:tcW w:w="851" w:type="dxa"/>
          </w:tcPr>
          <w:p w14:paraId="1F0351A7" w14:textId="77777777" w:rsidR="00E66069" w:rsidRPr="00A21FE4" w:rsidRDefault="00E66069" w:rsidP="00AB4C4F">
            <w:pPr>
              <w:pStyle w:val="Tabletextnoindent"/>
              <w:numPr>
                <w:ilvl w:val="0"/>
                <w:numId w:val="0"/>
              </w:numPr>
            </w:pPr>
            <w:r w:rsidRPr="003F1E85">
              <w:t>ES1.11</w:t>
            </w:r>
          </w:p>
        </w:tc>
        <w:tc>
          <w:tcPr>
            <w:tcW w:w="3750" w:type="dxa"/>
          </w:tcPr>
          <w:p w14:paraId="5D60353B" w14:textId="77777777" w:rsidR="00E66069" w:rsidRPr="00A21FE4" w:rsidRDefault="00E66069" w:rsidP="00AB4C4F">
            <w:pPr>
              <w:pStyle w:val="ES-table"/>
            </w:pPr>
            <w:r w:rsidRPr="00A21FE4">
              <w:t>In very low birth weight infants (</w:t>
            </w:r>
            <w:r w:rsidRPr="00A21FE4">
              <w:rPr>
                <w:i/>
              </w:rPr>
              <w:t>&lt;</w:t>
            </w:r>
            <w:r w:rsidRPr="00A21FE4">
              <w:t>1500 g), the effect of restrictive RBC transfusion compared with liberal RBC transfusion on neurosensory impairment, cerebral palsy, and visual and hearing impairments is uncertain.</w:t>
            </w:r>
          </w:p>
          <w:p w14:paraId="4EE6EFCD" w14:textId="77777777" w:rsidR="00E66069" w:rsidRPr="00A21FE4" w:rsidRDefault="00E66069" w:rsidP="00AB4C4F">
            <w:pPr>
              <w:pStyle w:val="ES-notes"/>
            </w:pPr>
            <w:r w:rsidRPr="00A21FE4">
              <w:t>(See evidence matrix D1.I in Volume 2 of the technical report.)</w:t>
            </w:r>
          </w:p>
        </w:tc>
        <w:tc>
          <w:tcPr>
            <w:tcW w:w="809" w:type="dxa"/>
          </w:tcPr>
          <w:p w14:paraId="0C8A5D5F" w14:textId="77777777" w:rsidR="00E66069" w:rsidRPr="00A21FE4" w:rsidRDefault="00E66069" w:rsidP="00AB4C4F">
            <w:pPr>
              <w:pStyle w:val="T-ABCD"/>
            </w:pPr>
            <w:r w:rsidRPr="00A21FE4">
              <w:sym w:font="Symbol" w:char="F0D6"/>
            </w:r>
            <w:r w:rsidRPr="00A21FE4">
              <w:sym w:font="Symbol" w:char="F0D6"/>
            </w:r>
          </w:p>
        </w:tc>
        <w:tc>
          <w:tcPr>
            <w:tcW w:w="809" w:type="dxa"/>
          </w:tcPr>
          <w:p w14:paraId="332CCD72" w14:textId="77777777" w:rsidR="00E66069" w:rsidRPr="00A21FE4" w:rsidRDefault="00E66069" w:rsidP="00AB4C4F">
            <w:pPr>
              <w:pStyle w:val="T-ABCD"/>
            </w:pPr>
            <w:r w:rsidRPr="00A21FE4">
              <w:t>NA</w:t>
            </w:r>
          </w:p>
        </w:tc>
        <w:tc>
          <w:tcPr>
            <w:tcW w:w="809" w:type="dxa"/>
          </w:tcPr>
          <w:p w14:paraId="58D25046" w14:textId="77777777" w:rsidR="00E66069" w:rsidRPr="00A21FE4" w:rsidRDefault="00E66069" w:rsidP="00AB4C4F">
            <w:pPr>
              <w:pStyle w:val="T-ABCD"/>
            </w:pPr>
            <w:r w:rsidRPr="00A21FE4">
              <w:sym w:font="Symbol" w:char="F0D6"/>
            </w:r>
          </w:p>
        </w:tc>
        <w:tc>
          <w:tcPr>
            <w:tcW w:w="809" w:type="dxa"/>
          </w:tcPr>
          <w:p w14:paraId="175E80AC" w14:textId="77777777" w:rsidR="00E66069" w:rsidRPr="00A21FE4" w:rsidRDefault="00E66069" w:rsidP="00AB4C4F">
            <w:pPr>
              <w:pStyle w:val="T-ABCD"/>
            </w:pPr>
            <w:r w:rsidRPr="00A21FE4">
              <w:sym w:font="Symbol" w:char="F0D6"/>
            </w:r>
            <w:r w:rsidRPr="00A21FE4">
              <w:sym w:font="Symbol" w:char="F0D6"/>
            </w:r>
          </w:p>
        </w:tc>
        <w:tc>
          <w:tcPr>
            <w:tcW w:w="810" w:type="dxa"/>
          </w:tcPr>
          <w:p w14:paraId="1F7B07E6" w14:textId="77777777" w:rsidR="00E66069" w:rsidRPr="00A21FE4" w:rsidRDefault="00E66069" w:rsidP="00AB4C4F">
            <w:pPr>
              <w:pStyle w:val="T-ABCD"/>
            </w:pPr>
            <w:r w:rsidRPr="00A21FE4">
              <w:sym w:font="Symbol" w:char="F0D6"/>
            </w:r>
            <w:r w:rsidRPr="00A21FE4">
              <w:sym w:font="Symbol" w:char="F0D6"/>
            </w:r>
          </w:p>
        </w:tc>
      </w:tr>
      <w:tr w:rsidR="00E66069" w:rsidRPr="00A21FE4" w14:paraId="68E8D52A" w14:textId="77777777" w:rsidTr="00AB4C4F">
        <w:trPr>
          <w:cantSplit/>
        </w:trPr>
        <w:tc>
          <w:tcPr>
            <w:tcW w:w="8647" w:type="dxa"/>
            <w:gridSpan w:val="7"/>
          </w:tcPr>
          <w:p w14:paraId="43A05CB0" w14:textId="0784F39C" w:rsidR="00E66069" w:rsidRPr="00A21FE4" w:rsidRDefault="00E66069" w:rsidP="00AB4C4F">
            <w:pPr>
              <w:pStyle w:val="ES-notes"/>
            </w:pPr>
            <w:r w:rsidRPr="00A21FE4">
              <w:t xml:space="preserve">BPD, bronchopulmonary dysplasia; ES, evidence statement; </w:t>
            </w:r>
            <w:r w:rsidR="00CA18CF">
              <w:t xml:space="preserve">IVH, intraventricular haemorrhage; </w:t>
            </w:r>
            <w:r w:rsidRPr="00A21FE4">
              <w:t>NEC, necroti</w:t>
            </w:r>
            <w:r>
              <w:t>s</w:t>
            </w:r>
            <w:r w:rsidRPr="00A21FE4">
              <w:t xml:space="preserve">ing enterocolitis; RBC, red blood cell; ROP, retinopathy of prematurity </w:t>
            </w:r>
          </w:p>
          <w:p w14:paraId="7A10931E"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4746A26B" w14:textId="77777777" w:rsidR="00E66069" w:rsidRDefault="00E66069" w:rsidP="00E66069"/>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7513"/>
      </w:tblGrid>
      <w:tr w:rsidR="00E66069" w:rsidRPr="00A21FE4" w14:paraId="3AD3A62D" w14:textId="77777777" w:rsidTr="000730DD">
        <w:tc>
          <w:tcPr>
            <w:tcW w:w="0" w:type="auto"/>
            <w:gridSpan w:val="2"/>
            <w:tcBorders>
              <w:top w:val="single" w:sz="4" w:space="0" w:color="000000"/>
              <w:left w:val="single" w:sz="4" w:space="0" w:color="000000"/>
              <w:bottom w:val="single" w:sz="4" w:space="0" w:color="000000"/>
              <w:right w:val="single" w:sz="4" w:space="0" w:color="000000"/>
            </w:tcBorders>
            <w:shd w:val="clear" w:color="auto" w:fill="00B0F0"/>
          </w:tcPr>
          <w:p w14:paraId="7BD1CDDE" w14:textId="53552D19" w:rsidR="00E66069" w:rsidRPr="006D11A2" w:rsidRDefault="00E66069" w:rsidP="006D11A2">
            <w:pPr>
              <w:pStyle w:val="PP-heading"/>
              <w:rPr>
                <w:lang w:val="en-AU"/>
              </w:rPr>
            </w:pPr>
            <w:r w:rsidRPr="00A21FE4">
              <w:lastRenderedPageBreak/>
              <w:t xml:space="preserve">Recommendation – </w:t>
            </w:r>
            <w:r w:rsidR="006D11A2" w:rsidRPr="00A21FE4">
              <w:t>preterm and low birth weight infants (RBC transfusion)</w:t>
            </w:r>
          </w:p>
        </w:tc>
      </w:tr>
      <w:tr w:rsidR="00E66069" w:rsidRPr="00A21FE4" w14:paraId="45977B46" w14:textId="77777777" w:rsidTr="00AB4C4F">
        <w:trPr>
          <w:cantSplit/>
        </w:trPr>
        <w:tc>
          <w:tcPr>
            <w:tcW w:w="1135" w:type="dxa"/>
            <w:tcBorders>
              <w:right w:val="single" w:sz="4" w:space="0" w:color="auto"/>
            </w:tcBorders>
            <w:shd w:val="clear" w:color="auto" w:fill="auto"/>
          </w:tcPr>
          <w:p w14:paraId="649ACECF" w14:textId="77777777" w:rsidR="00E66069" w:rsidRPr="00A21FE4" w:rsidRDefault="00E66069" w:rsidP="00AB4C4F">
            <w:pPr>
              <w:pStyle w:val="PP"/>
            </w:pPr>
            <w:r w:rsidRPr="00A21FE4">
              <w:t>R</w:t>
            </w:r>
            <w:r>
              <w:t>1</w:t>
            </w:r>
            <w:r w:rsidRPr="00A21FE4">
              <w:br/>
              <w:t>(Grade C)</w:t>
            </w:r>
          </w:p>
        </w:tc>
        <w:tc>
          <w:tcPr>
            <w:tcW w:w="0" w:type="auto"/>
            <w:tcBorders>
              <w:left w:val="single" w:sz="4" w:space="0" w:color="auto"/>
            </w:tcBorders>
            <w:shd w:val="clear" w:color="auto" w:fill="auto"/>
          </w:tcPr>
          <w:p w14:paraId="21FCB976" w14:textId="77777777" w:rsidR="00E66069" w:rsidRPr="00A21FE4" w:rsidRDefault="00E66069" w:rsidP="00AB4C4F">
            <w:pPr>
              <w:pStyle w:val="PP"/>
            </w:pPr>
            <w:r w:rsidRPr="00A21FE4">
              <w:t>In paediatric patients, including those who are critically ill, a restrictive transfusion strategy should be employed.</w:t>
            </w:r>
            <w:r w:rsidRPr="00A21FE4">
              <w:rPr>
                <w:vertAlign w:val="superscript"/>
              </w:rPr>
              <w:t>a</w:t>
            </w:r>
            <w:r w:rsidRPr="00A21FE4">
              <w:t xml:space="preserve"> Higher Hb thresholds are appropriate in very low birth weight neonates.</w:t>
            </w:r>
            <w:r w:rsidRPr="00A21FE4">
              <w:rPr>
                <w:vertAlign w:val="superscript"/>
              </w:rPr>
              <w:t xml:space="preserve">b </w:t>
            </w:r>
          </w:p>
          <w:p w14:paraId="7763AAAC" w14:textId="77B59CC0" w:rsidR="00E66069" w:rsidRPr="00A21FE4" w:rsidRDefault="00E66069" w:rsidP="00B26915">
            <w:pPr>
              <w:pStyle w:val="PP-note"/>
            </w:pPr>
            <w:r w:rsidRPr="00A21FE4">
              <w:rPr>
                <w:vertAlign w:val="superscript"/>
              </w:rPr>
              <w:t xml:space="preserve">a </w:t>
            </w:r>
            <w:r w:rsidRPr="00A21FE4">
              <w:t>See PP6 for guidance on a restrictive transfusion strategy.</w:t>
            </w:r>
            <w:r w:rsidRPr="00A21FE4">
              <w:br/>
            </w:r>
            <w:r w:rsidRPr="00A21FE4">
              <w:rPr>
                <w:vertAlign w:val="superscript"/>
              </w:rPr>
              <w:t xml:space="preserve">b </w:t>
            </w:r>
            <w:r w:rsidRPr="00A21FE4">
              <w:t>See PP2</w:t>
            </w:r>
            <w:r w:rsidR="00B26915">
              <w:t xml:space="preserve"> and PP3</w:t>
            </w:r>
            <w:r w:rsidRPr="00A21FE4">
              <w:t xml:space="preserve"> for guidance for </w:t>
            </w:r>
            <w:r w:rsidR="00B26915">
              <w:t xml:space="preserve">preterm </w:t>
            </w:r>
            <w:r w:rsidRPr="00A21FE4">
              <w:t xml:space="preserve"> neonates.</w:t>
            </w:r>
          </w:p>
        </w:tc>
      </w:tr>
      <w:tr w:rsidR="00E66069" w:rsidRPr="00A21FE4" w14:paraId="29CCC4A2" w14:textId="77777777" w:rsidTr="000730DD">
        <w:tc>
          <w:tcPr>
            <w:tcW w:w="0" w:type="auto"/>
            <w:gridSpan w:val="2"/>
            <w:tcBorders>
              <w:top w:val="single" w:sz="4" w:space="0" w:color="000000"/>
              <w:left w:val="single" w:sz="4" w:space="0" w:color="000000"/>
              <w:bottom w:val="single" w:sz="4" w:space="0" w:color="000000"/>
              <w:right w:val="single" w:sz="4" w:space="0" w:color="000000"/>
            </w:tcBorders>
            <w:shd w:val="clear" w:color="auto" w:fill="ABE9FF"/>
          </w:tcPr>
          <w:p w14:paraId="5F6110C2" w14:textId="4A033ADB" w:rsidR="00E66069" w:rsidRPr="00A21FE4" w:rsidRDefault="00E66069" w:rsidP="00AB4C4F">
            <w:pPr>
              <w:pStyle w:val="PP-heading"/>
            </w:pPr>
            <w:r w:rsidRPr="00A21FE4">
              <w:t xml:space="preserve">Practice points – </w:t>
            </w:r>
            <w:r w:rsidR="006D11A2" w:rsidRPr="00A21FE4">
              <w:t>preterm and low birth weight infants (RBC transfusion)</w:t>
            </w:r>
          </w:p>
        </w:tc>
      </w:tr>
      <w:tr w:rsidR="00E66069" w:rsidRPr="00A21FE4" w14:paraId="4A9C05C9" w14:textId="77777777" w:rsidTr="00AB4C4F">
        <w:tc>
          <w:tcPr>
            <w:tcW w:w="0" w:type="auto"/>
            <w:tcBorders>
              <w:right w:val="single" w:sz="4" w:space="0" w:color="auto"/>
            </w:tcBorders>
            <w:shd w:val="clear" w:color="auto" w:fill="auto"/>
          </w:tcPr>
          <w:p w14:paraId="2FA052BE" w14:textId="77777777" w:rsidR="00E66069" w:rsidRPr="00A21FE4" w:rsidRDefault="00E66069" w:rsidP="00AB4C4F">
            <w:pPr>
              <w:pStyle w:val="PP"/>
            </w:pPr>
            <w:r w:rsidRPr="00A21FE4">
              <w:t>PP1</w:t>
            </w:r>
          </w:p>
        </w:tc>
        <w:tc>
          <w:tcPr>
            <w:tcW w:w="0" w:type="auto"/>
            <w:tcBorders>
              <w:left w:val="single" w:sz="4" w:space="0" w:color="auto"/>
            </w:tcBorders>
            <w:shd w:val="clear" w:color="auto" w:fill="auto"/>
          </w:tcPr>
          <w:p w14:paraId="34931F56" w14:textId="77777777" w:rsidR="00E66069" w:rsidRPr="00A21FE4" w:rsidRDefault="00E66069" w:rsidP="00AB4C4F">
            <w:pPr>
              <w:pStyle w:val="PP"/>
            </w:pPr>
            <w:r w:rsidRPr="00A21FE4">
              <w:t>In neonatal and paediatric patients, the decision to give a RBC transfusion should not be dictated by a Hb concentration alone.</w:t>
            </w:r>
            <w:r w:rsidRPr="00A21FE4">
              <w:rPr>
                <w:vertAlign w:val="superscript"/>
              </w:rPr>
              <w:t>a</w:t>
            </w:r>
            <w:r w:rsidRPr="00A21FE4">
              <w:t xml:space="preserve"> The decision should also be based on assessment of the patient’s underlying condition, anaemia-related signs and symptoms, and response to previous transfusions. Underlying conditions that may influence the decision to transfuse include acquired or congenital cardiac disease, and severe respiratory disease.</w:t>
            </w:r>
          </w:p>
          <w:p w14:paraId="0B25F7B1" w14:textId="2875B7B4" w:rsidR="00E66069" w:rsidRPr="00A21FE4" w:rsidRDefault="00E66069" w:rsidP="00E62798">
            <w:pPr>
              <w:pStyle w:val="PP-note"/>
            </w:pPr>
            <w:r w:rsidRPr="00A21FE4">
              <w:rPr>
                <w:vertAlign w:val="superscript"/>
              </w:rPr>
              <w:t xml:space="preserve">a </w:t>
            </w:r>
            <w:r w:rsidR="00CE5AC9">
              <w:t>See</w:t>
            </w:r>
            <w:r w:rsidRPr="00A21FE4">
              <w:t xml:space="preserve"> PP1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p>
        </w:tc>
      </w:tr>
      <w:tr w:rsidR="00E66069" w:rsidRPr="00A21FE4" w14:paraId="6A4E51C2" w14:textId="77777777" w:rsidTr="00AB4C4F">
        <w:tc>
          <w:tcPr>
            <w:tcW w:w="0" w:type="auto"/>
            <w:tcBorders>
              <w:right w:val="single" w:sz="4" w:space="0" w:color="auto"/>
            </w:tcBorders>
            <w:shd w:val="clear" w:color="auto" w:fill="auto"/>
          </w:tcPr>
          <w:p w14:paraId="5E96CA9B" w14:textId="77777777" w:rsidR="00E66069" w:rsidRPr="00A21FE4" w:rsidRDefault="00E66069" w:rsidP="00AB4C4F">
            <w:pPr>
              <w:pStyle w:val="PP"/>
            </w:pPr>
            <w:r w:rsidRPr="00A21FE4">
              <w:t>PP2</w:t>
            </w:r>
          </w:p>
        </w:tc>
        <w:tc>
          <w:tcPr>
            <w:tcW w:w="0" w:type="auto"/>
            <w:tcBorders>
              <w:left w:val="single" w:sz="4" w:space="0" w:color="auto"/>
            </w:tcBorders>
            <w:shd w:val="clear" w:color="auto" w:fill="auto"/>
          </w:tcPr>
          <w:p w14:paraId="59E78D4D" w14:textId="77777777" w:rsidR="00E66069" w:rsidRPr="00A21FE4" w:rsidRDefault="00E66069" w:rsidP="00AB4C4F">
            <w:pPr>
              <w:pStyle w:val="PP"/>
            </w:pPr>
            <w:r w:rsidRPr="00A21FE4">
              <w:t>Neonatal units should use a procedural guideline</w:t>
            </w:r>
            <w:r w:rsidRPr="00A21FE4">
              <w:rPr>
                <w:vertAlign w:val="superscript"/>
              </w:rPr>
              <w:t>a</w:t>
            </w:r>
            <w:r w:rsidRPr="00A21FE4">
              <w:t xml:space="preserve"> for RBC transfusion in preterm infants that includes the following:</w:t>
            </w:r>
          </w:p>
          <w:p w14:paraId="23249984" w14:textId="77777777" w:rsidR="00E66069" w:rsidRPr="00A21FE4" w:rsidRDefault="00E66069" w:rsidP="00C115C0">
            <w:pPr>
              <w:pStyle w:val="PP-bullets"/>
            </w:pPr>
            <w:r w:rsidRPr="00A21FE4">
              <w:t>age of infant</w:t>
            </w:r>
          </w:p>
          <w:p w14:paraId="4E222EED" w14:textId="685AF1D1" w:rsidR="00E66069" w:rsidRPr="00A21FE4" w:rsidRDefault="00E66069" w:rsidP="00C115C0">
            <w:pPr>
              <w:pStyle w:val="PP-bullets"/>
            </w:pPr>
            <w:r w:rsidRPr="00A21FE4">
              <w:t xml:space="preserve">Hb or </w:t>
            </w:r>
            <w:r w:rsidR="00CE5AC9">
              <w:rPr>
                <w:lang w:val="en-AU"/>
              </w:rPr>
              <w:t>Hct</w:t>
            </w:r>
          </w:p>
          <w:p w14:paraId="106F0900" w14:textId="77777777" w:rsidR="00E66069" w:rsidRPr="00A21FE4" w:rsidRDefault="00E66069" w:rsidP="00C115C0">
            <w:pPr>
              <w:pStyle w:val="PP-bullets"/>
            </w:pPr>
            <w:r w:rsidRPr="00A21FE4">
              <w:t>level of respiratory support</w:t>
            </w:r>
          </w:p>
          <w:p w14:paraId="0EB902BF" w14:textId="77777777" w:rsidR="00E66069" w:rsidRPr="00A21FE4" w:rsidRDefault="00E66069" w:rsidP="00C115C0">
            <w:pPr>
              <w:pStyle w:val="PP-bullets"/>
            </w:pPr>
            <w:r w:rsidRPr="00A21FE4">
              <w:t>ongoing or anticipated red cell loss</w:t>
            </w:r>
          </w:p>
          <w:p w14:paraId="6AAB0046" w14:textId="77777777" w:rsidR="00E66069" w:rsidRPr="00A21FE4" w:rsidRDefault="00E66069" w:rsidP="00C115C0">
            <w:pPr>
              <w:pStyle w:val="PP-bullets"/>
            </w:pPr>
            <w:r w:rsidRPr="00A21FE4">
              <w:t>nutritional status.</w:t>
            </w:r>
          </w:p>
          <w:p w14:paraId="3D3661AF" w14:textId="54F9F361" w:rsidR="00E66069" w:rsidRPr="00A21FE4" w:rsidRDefault="00E66069" w:rsidP="00AB4C4F">
            <w:pPr>
              <w:pStyle w:val="PP-note"/>
            </w:pPr>
            <w:r w:rsidRPr="00201AFA">
              <w:rPr>
                <w:vertAlign w:val="superscript"/>
              </w:rPr>
              <w:t>a</w:t>
            </w:r>
            <w:r w:rsidR="003F465E">
              <w:t xml:space="preserve"> </w:t>
            </w:r>
            <w:r w:rsidRPr="00201AFA">
              <w:t>See Appendix F (</w:t>
            </w:r>
            <w:r w:rsidRPr="00CE5AC9">
              <w:rPr>
                <w:i/>
              </w:rPr>
              <w:t>RBC transfusions in preterm infants</w:t>
            </w:r>
            <w:r w:rsidRPr="00201AFA">
              <w:t>)</w:t>
            </w:r>
            <w:r w:rsidR="00CA18CF">
              <w:t>.</w:t>
            </w:r>
          </w:p>
        </w:tc>
      </w:tr>
      <w:tr w:rsidR="00E66069" w:rsidRPr="00A21FE4" w14:paraId="13434153" w14:textId="77777777" w:rsidTr="00AB4C4F">
        <w:tc>
          <w:tcPr>
            <w:tcW w:w="0" w:type="auto"/>
            <w:tcBorders>
              <w:right w:val="single" w:sz="4" w:space="0" w:color="auto"/>
            </w:tcBorders>
            <w:shd w:val="clear" w:color="auto" w:fill="auto"/>
          </w:tcPr>
          <w:p w14:paraId="59A381DA" w14:textId="77777777" w:rsidR="00E66069" w:rsidRPr="00A21FE4" w:rsidRDefault="00E66069" w:rsidP="00AB4C4F">
            <w:pPr>
              <w:pStyle w:val="PP"/>
            </w:pPr>
            <w:r w:rsidRPr="00A21FE4">
              <w:t>PP3</w:t>
            </w:r>
          </w:p>
        </w:tc>
        <w:tc>
          <w:tcPr>
            <w:tcW w:w="0" w:type="auto"/>
            <w:tcBorders>
              <w:left w:val="single" w:sz="4" w:space="0" w:color="auto"/>
            </w:tcBorders>
            <w:shd w:val="clear" w:color="auto" w:fill="auto"/>
          </w:tcPr>
          <w:p w14:paraId="70B96421" w14:textId="77777777" w:rsidR="00E66069" w:rsidRPr="00A21FE4" w:rsidRDefault="00E66069" w:rsidP="00AB4C4F">
            <w:pPr>
              <w:pStyle w:val="PP"/>
            </w:pPr>
            <w:r w:rsidRPr="00A21FE4">
              <w:t>In preterm infants requiring transfusion, there is insufficient evidence to support or refute the use of either a restrictive or liberal RBC transfusion strategy.</w:t>
            </w:r>
          </w:p>
        </w:tc>
      </w:tr>
      <w:tr w:rsidR="00E66069" w:rsidRPr="00A21FE4" w14:paraId="39E04533" w14:textId="77777777" w:rsidTr="00AB4C4F">
        <w:trPr>
          <w:cantSplit/>
        </w:trPr>
        <w:tc>
          <w:tcPr>
            <w:tcW w:w="0" w:type="auto"/>
            <w:tcBorders>
              <w:right w:val="single" w:sz="4" w:space="0" w:color="auto"/>
            </w:tcBorders>
            <w:shd w:val="clear" w:color="auto" w:fill="auto"/>
          </w:tcPr>
          <w:p w14:paraId="162DC008" w14:textId="77777777" w:rsidR="00E66069" w:rsidRPr="00A21FE4" w:rsidRDefault="00E66069" w:rsidP="00AB4C4F">
            <w:pPr>
              <w:pStyle w:val="PP"/>
            </w:pPr>
            <w:r w:rsidRPr="00F81EA2">
              <w:t>PP</w:t>
            </w:r>
            <w:r w:rsidRPr="00A21FE4">
              <w:t>4</w:t>
            </w:r>
          </w:p>
        </w:tc>
        <w:tc>
          <w:tcPr>
            <w:tcW w:w="0" w:type="auto"/>
            <w:tcBorders>
              <w:left w:val="single" w:sz="4" w:space="0" w:color="auto"/>
            </w:tcBorders>
            <w:shd w:val="clear" w:color="auto" w:fill="auto"/>
          </w:tcPr>
          <w:p w14:paraId="1CEFDAE1" w14:textId="6FDAE4F5" w:rsidR="00E62798" w:rsidRPr="002F5DEF" w:rsidRDefault="00E66069" w:rsidP="00E62798">
            <w:pPr>
              <w:pStyle w:val="PP-small"/>
            </w:pPr>
            <w:r w:rsidRPr="00A21FE4">
              <w:t>In neonatal patients, calculate transfusion volume (mL) based on weight and desired Hb increment.</w:t>
            </w:r>
            <w:r w:rsidR="00E62798" w:rsidRPr="002F5DEF">
              <w:rPr>
                <w:vertAlign w:val="superscript"/>
              </w:rPr>
              <w:t>a</w:t>
            </w:r>
            <w:r w:rsidR="00E62798">
              <w:rPr>
                <w:vertAlign w:val="superscript"/>
                <w:lang w:val="en-AU"/>
              </w:rPr>
              <w:t>, b</w:t>
            </w:r>
          </w:p>
          <w:p w14:paraId="71E35928" w14:textId="426E96A3" w:rsidR="00E66069" w:rsidRPr="00A21FE4" w:rsidRDefault="00E62798" w:rsidP="00E62798">
            <w:pPr>
              <w:pStyle w:val="PP-note"/>
            </w:pPr>
            <w:r w:rsidRPr="002F5DEF">
              <w:rPr>
                <w:vertAlign w:val="superscript"/>
              </w:rPr>
              <w:t xml:space="preserve">a </w:t>
            </w:r>
            <w:r w:rsidRPr="002F5DEF">
              <w:t>See Appendix F (</w:t>
            </w:r>
            <w:r w:rsidRPr="00C60A91">
              <w:rPr>
                <w:i/>
              </w:rPr>
              <w:t>RBC transfusions in preterm infants</w:t>
            </w:r>
            <w:r w:rsidRPr="002F5DEF">
              <w:t>)</w:t>
            </w:r>
            <w:r>
              <w:t>.</w:t>
            </w:r>
            <w:r>
              <w:rPr>
                <w:vertAlign w:val="superscript"/>
              </w:rPr>
              <w:br/>
              <w:t>b</w:t>
            </w:r>
            <w:r w:rsidRPr="00293BBE">
              <w:t xml:space="preserve"> </w:t>
            </w:r>
            <w:r w:rsidR="00E66069" w:rsidRPr="00293BBE">
              <w:t xml:space="preserve">See Appendix </w:t>
            </w:r>
            <w:r w:rsidR="00CE5AC9">
              <w:t>J (</w:t>
            </w:r>
            <w:r w:rsidR="00341155" w:rsidRPr="00341155">
              <w:rPr>
                <w:i/>
              </w:rPr>
              <w:t>Transfusion volume calculation for neonates, infants and small children</w:t>
            </w:r>
            <w:r w:rsidR="00CE5AC9">
              <w:t>)</w:t>
            </w:r>
            <w:r w:rsidR="003F465E">
              <w:t>.</w:t>
            </w:r>
          </w:p>
        </w:tc>
      </w:tr>
      <w:tr w:rsidR="00E66069" w:rsidRPr="00A21FE4" w14:paraId="78B2B890" w14:textId="77777777" w:rsidTr="00AB4C4F">
        <w:trPr>
          <w:trHeight w:val="321"/>
        </w:trPr>
        <w:tc>
          <w:tcPr>
            <w:tcW w:w="0" w:type="auto"/>
            <w:gridSpan w:val="2"/>
            <w:shd w:val="clear" w:color="auto" w:fill="auto"/>
          </w:tcPr>
          <w:p w14:paraId="6BCB7E21" w14:textId="03FBD3F8" w:rsidR="00E66069" w:rsidRPr="00A21FE4" w:rsidRDefault="00E66069" w:rsidP="00AB4C4F">
            <w:pPr>
              <w:pStyle w:val="PP-note"/>
            </w:pPr>
            <w:r w:rsidRPr="00A21FE4">
              <w:t xml:space="preserve">Hb, haemoglobin; </w:t>
            </w:r>
            <w:r w:rsidR="00CE5AC9">
              <w:t xml:space="preserve">Hct, haematocrit; </w:t>
            </w:r>
            <w:r w:rsidRPr="00A21FE4">
              <w:t>PP, practice point; R, recommendation; RBC, red blood cell</w:t>
            </w:r>
          </w:p>
        </w:tc>
      </w:tr>
    </w:tbl>
    <w:p w14:paraId="7B5F60D3" w14:textId="77777777" w:rsidR="00E66069" w:rsidRPr="00A21FE4" w:rsidRDefault="00E66069" w:rsidP="00E66069"/>
    <w:p w14:paraId="151269E1" w14:textId="77777777" w:rsidR="00E66069" w:rsidRDefault="00E66069" w:rsidP="00E66069">
      <w:pPr>
        <w:pStyle w:val="Heading4"/>
      </w:pPr>
      <w:r>
        <w:t>Background</w:t>
      </w:r>
    </w:p>
    <w:p w14:paraId="7E748D83" w14:textId="77777777" w:rsidR="00E66069" w:rsidRDefault="00E66069" w:rsidP="00E66069">
      <w:r>
        <w:t xml:space="preserve">Most transfusions in neonates and infants born preterm are small-volume transfusions (10–20 mL/kg) given to treat anaemia of prematurity, with the aim of improving tissue oxygenation. However, the effects of this intervention on patient outcomes remain uncertain. There is considerable variability in practice in relation to Hb thresholds and other indications for RBC transfusion. </w:t>
      </w:r>
    </w:p>
    <w:p w14:paraId="5865E44F" w14:textId="77777777" w:rsidR="00E66069" w:rsidRDefault="00E66069" w:rsidP="00E66069">
      <w:r>
        <w:t xml:space="preserve">Neonates may also receive large-volume transfusion; for example, exchange transfusion to prevent kernicterus, or pump priming for cardiac surgery and extracorporeal membrane oxygenation (ECMO). </w:t>
      </w:r>
    </w:p>
    <w:p w14:paraId="57F47F24" w14:textId="77777777" w:rsidR="00E66069" w:rsidRPr="00EB4620" w:rsidRDefault="00E66069" w:rsidP="00E66069">
      <w:pPr>
        <w:pStyle w:val="Heading4"/>
      </w:pPr>
      <w:r w:rsidRPr="00EB4620">
        <w:lastRenderedPageBreak/>
        <w:t xml:space="preserve">RBC transfusion versus no transfusion </w:t>
      </w:r>
      <w:r>
        <w:t>(or different RBC dose) in neonates</w:t>
      </w:r>
    </w:p>
    <w:p w14:paraId="59BE7D1D" w14:textId="7C1DC591" w:rsidR="00E66069" w:rsidRPr="006C2C93" w:rsidRDefault="0084140F" w:rsidP="00E66069">
      <w:r>
        <w:t>This review</w:t>
      </w:r>
      <w:r w:rsidR="00E66069">
        <w:t xml:space="preserve"> did not identify any</w:t>
      </w:r>
      <w:r w:rsidR="00E66069" w:rsidRPr="006C2C93">
        <w:t xml:space="preserve"> </w:t>
      </w:r>
      <w:bookmarkStart w:id="89" w:name="_Ref286753552"/>
      <w:r w:rsidR="00E66069" w:rsidRPr="006C2C93">
        <w:t xml:space="preserve">Level I or II studies that </w:t>
      </w:r>
      <w:r w:rsidR="00E66069">
        <w:t xml:space="preserve">compared </w:t>
      </w:r>
      <w:r w:rsidR="00E66069" w:rsidRPr="006C2C93">
        <w:t>RBC transfusion</w:t>
      </w:r>
      <w:r w:rsidR="00E66069">
        <w:t xml:space="preserve"> with</w:t>
      </w:r>
      <w:r w:rsidR="00E66069" w:rsidRPr="006C2C93">
        <w:t xml:space="preserve"> no transfusion</w:t>
      </w:r>
      <w:r w:rsidR="00E66069">
        <w:t xml:space="preserve"> or different RBC doses</w:t>
      </w:r>
      <w:r w:rsidR="00E66069" w:rsidRPr="006C2C93">
        <w:t xml:space="preserve"> in </w:t>
      </w:r>
      <w:r w:rsidR="00E66069">
        <w:t>neonates and infants born preterm</w:t>
      </w:r>
      <w:r w:rsidR="00E66069" w:rsidRPr="006C2C93">
        <w:t xml:space="preserve">. Therefore, the evidence base comprised two systematic reviews of Level III studies (one </w:t>
      </w:r>
      <w:r w:rsidR="00E66069">
        <w:t xml:space="preserve">of </w:t>
      </w:r>
      <w:r w:rsidR="00E66069" w:rsidRPr="006C2C93">
        <w:t>poor quality</w:t>
      </w:r>
      <w:hyperlink w:anchor="_ENREF_31" w:tooltip="Kirpalani, 2012 #170" w:history="1">
        <w:r w:rsidR="00E62798">
          <w:fldChar w:fldCharType="begin">
            <w:fldData xml:space="preserve">PEVuZE5vdGU+PENpdGU+PEF1dGhvcj5LaXJwYWxhbmk8L0F1dGhvcj48WWVhcj4yMDEyPC9ZZWFy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</w:fldData>
          </w:fldChar>
        </w:r>
        <w:r w:rsidR="00E62798">
          <w:instrText xml:space="preserve"> ADDIN EN.CITE </w:instrText>
        </w:r>
        <w:r w:rsidR="00E62798">
          <w:fldChar w:fldCharType="begin">
            <w:fldData xml:space="preserve">PEVuZE5vdGU+PENpdGU+PEF1dGhvcj5LaXJwYWxhbmk8L0F1dGhvcj48WWVhcj4yMDEyPC9ZZWFy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31</w:t>
        </w:r>
        <w:r w:rsidR="00E62798">
          <w:fldChar w:fldCharType="end"/>
        </w:r>
      </w:hyperlink>
      <w:r w:rsidR="00E66069" w:rsidRPr="006C2C93">
        <w:t xml:space="preserve"> and one </w:t>
      </w:r>
      <w:r w:rsidR="00E66069">
        <w:t xml:space="preserve">of </w:t>
      </w:r>
      <w:r w:rsidR="00E66069" w:rsidRPr="006C2C93">
        <w:t>good quality</w:t>
      </w:r>
      <w:hyperlink w:anchor="_ENREF_32" w:tooltip="Mohamed, 2012 #175" w:history="1">
        <w:r w:rsidR="00E62798">
          <w:fldChar w:fldCharType="begin">
            <w:fldData xml:space="preserve">PEVuZE5vdGU+PENpdGU+PEF1dGhvcj5Nb2hhbWVkPC9BdXRob3I+PFllYXI+MjAxMjwvWWVhcj48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=
</w:fldData>
          </w:fldChar>
        </w:r>
        <w:r w:rsidR="00E62798">
          <w:instrText xml:space="preserve"> ADDIN EN.CITE </w:instrText>
        </w:r>
        <w:r w:rsidR="00E62798">
          <w:fldChar w:fldCharType="begin">
            <w:fldData xml:space="preserve">PEVuZE5vdGU+PENpdGU+PEF1dGhvcj5Nb2hhbWVkPC9BdXRob3I+PFllYXI+MjAxMjwvWWVhcj48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=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32</w:t>
        </w:r>
        <w:r w:rsidR="00E62798">
          <w:fldChar w:fldCharType="end"/>
        </w:r>
      </w:hyperlink>
      <w:r w:rsidR="00E66069" w:rsidRPr="006C2C93">
        <w:t>) and 1</w:t>
      </w:r>
      <w:r w:rsidR="00A71EDE">
        <w:t>4</w:t>
      </w:r>
      <w:r w:rsidR="00E66069" w:rsidRPr="006C2C93">
        <w:t xml:space="preserve"> Level III-2 studies.</w:t>
      </w:r>
      <w:hyperlink w:anchor="_ENREF_33" w:tooltip="AlFaleh, 2014 #724" w:history="1">
        <w:r w:rsidR="00E62798">
          <w:fldChar w:fldCharType="begin">
            <w:fldData xml:space="preserve">bnQtZWRpdGlvbj48a2V5d29yZHM+PGtleXdvcmQ+YWdlPC9rZXl3b3JkPjxrZXl3b3JkPmFydGlj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</w:fldData>
          </w:fldChar>
        </w:r>
        <w:r w:rsidR="00E62798">
          <w:instrText xml:space="preserve"> ADDIN EN.CITE </w:instrText>
        </w:r>
        <w:r w:rsidR="00E62798">
          <w:fldChar w:fldCharType="begin">
            <w:fldData xml:space="preserve">PEVuZE5vdGU+PENpdGU+PEF1dGhvcj5BbEZhbGVoPC9BdXRob3I+PFllYXI+MjAxNDwvWWVhcj48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==
</w:fldData>
          </w:fldChar>
        </w:r>
        <w:r w:rsidR="00E62798">
          <w:instrText xml:space="preserve"> ADDIN EN.CITE.DATA </w:instrText>
        </w:r>
        <w:r w:rsidR="00E62798">
          <w:fldChar w:fldCharType="end"/>
        </w:r>
        <w:r w:rsidR="00E62798">
          <w:fldChar w:fldCharType="begin">
            <w:fldData xml:space="preserve">bnQtZWRpdGlvbj48a2V5d29yZHM+PGtleXdvcmQ+YWdlPC9rZXl3b3JkPjxrZXl3b3JkPmFydGlj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33-46</w:t>
        </w:r>
        <w:r w:rsidR="00E62798">
          <w:fldChar w:fldCharType="end"/>
        </w:r>
      </w:hyperlink>
      <w:r w:rsidR="00E66069" w:rsidRPr="006C2C93">
        <w:t xml:space="preserve"> </w:t>
      </w:r>
    </w:p>
    <w:p w14:paraId="7BD2B718" w14:textId="77777777" w:rsidR="00E66069" w:rsidRPr="001D3DDC" w:rsidRDefault="00E66069" w:rsidP="00E66069">
      <w:pPr>
        <w:pStyle w:val="Heading5"/>
      </w:pPr>
      <w:r w:rsidRPr="00EB4620">
        <w:t>Mortality</w:t>
      </w:r>
    </w:p>
    <w:p w14:paraId="27EFB7F1" w14:textId="5329D9AA" w:rsidR="0084140F" w:rsidRDefault="0084140F" w:rsidP="0084140F">
      <w:pPr>
        <w:rPr>
          <w:lang w:eastAsia="en-GB"/>
        </w:rPr>
      </w:pPr>
      <w:r>
        <w:rPr>
          <w:lang w:eastAsia="en-GB"/>
        </w:rPr>
        <w:t xml:space="preserve">One retrospective cohort study </w:t>
      </w:r>
      <w:r w:rsidRPr="00D7274D">
        <w:rPr>
          <w:lang w:eastAsia="en-GB"/>
        </w:rPr>
        <w:t xml:space="preserve">investigated factors associated with survival among 194 preterm infants with </w:t>
      </w:r>
      <w:r>
        <w:rPr>
          <w:lang w:eastAsia="en-GB"/>
        </w:rPr>
        <w:t xml:space="preserve">very low birth weight admitted to </w:t>
      </w:r>
      <w:r w:rsidR="00840600">
        <w:rPr>
          <w:lang w:eastAsia="en-GB"/>
        </w:rPr>
        <w:t>the neonatal intensive care unit (</w:t>
      </w:r>
      <w:r>
        <w:rPr>
          <w:lang w:eastAsia="en-GB"/>
        </w:rPr>
        <w:t>NICU</w:t>
      </w:r>
      <w:r w:rsidR="00840600">
        <w:rPr>
          <w:lang w:eastAsia="en-GB"/>
        </w:rPr>
        <w:t>)</w:t>
      </w:r>
      <w:r>
        <w:rPr>
          <w:lang w:eastAsia="en-GB"/>
        </w:rPr>
        <w:t>.</w:t>
      </w:r>
      <w:hyperlink w:anchor="_ENREF_43" w:tooltip="Navaei, 2010 #1041" w:history="1">
        <w:r w:rsidR="00E62798">
          <w:rPr>
            <w:lang w:eastAsia="en-GB"/>
          </w:rPr>
          <w:fldChar w:fldCharType="begin"/>
        </w:r>
        <w:r w:rsidR="00E62798">
          <w:rPr>
            <w:lang w:eastAsia="en-GB"/>
          </w:rPr>
          <w:instrText xml:space="preserve"> ADDIN EN.CITE &lt;EndNote&gt;&lt;Cite&gt;&lt;Author&gt;Navaei&lt;/Author&gt;&lt;Year&gt;2010&lt;/Year&gt;&lt;RecNum&gt;1041&lt;/RecNum&gt;&lt;DisplayText&gt;&lt;style face="superscript"&gt;43&lt;/style&gt;&lt;/DisplayText&gt;&lt;record&gt;&lt;rec-number&gt;1041&lt;/rec-number&gt;&lt;foreign-keys&gt;&lt;key app="EN" db-id="9edve2wadsavt5ewavaxtda4f2tavzvts9ee" timestamp="1438748992"&gt;1041&lt;/key&gt;&lt;/foreign-keys&gt;&lt;ref-type name="Journal Article"&gt;17&lt;/ref-type&gt;&lt;contributors&gt;&lt;authors&gt;&lt;author&gt;Navaei, F.&lt;/author&gt;&lt;author&gt;Aliabady, B.&lt;/author&gt;&lt;author&gt;Moghtaderi, J.&lt;/author&gt;&lt;author&gt;Moghtaderi, M.&lt;/author&gt;&lt;author&gt;Kelishadi, R.&lt;/author&gt;&lt;/authors&gt;&lt;/contributors&gt;&lt;auth-address&gt;Pediatrics &amp;amp; Neonatology Department, Isfahan University of Medical Sciences, Isfahan, Iran. navaei@med.mui.ac.ir&lt;/auth-address&gt;&lt;titles&gt;&lt;title&gt;Early outcome of preterm infants with birth weight of 1500 g or less and gestational age of 30 weeks or less in Isfahan city, Iran&lt;/title&gt;&lt;secondary-title&gt;World J Pediatr&lt;/secondary-title&gt;&lt;/titles&gt;&lt;periodical&gt;&lt;full-title&gt;World J Pediatr&lt;/full-title&gt;&lt;/periodical&gt;&lt;pages&gt;228-32&lt;/pages&gt;&lt;volume&gt;6&lt;/volume&gt;&lt;number&gt;3&lt;/number&gt;&lt;keywords&gt;&lt;keyword&gt;Apgar Score&lt;/keyword&gt;&lt;keyword&gt;Birth Weight&lt;/keyword&gt;&lt;keyword&gt;Developing Countries&lt;/keyword&gt;&lt;keyword&gt;Gestational Age&lt;/keyword&gt;&lt;keyword&gt;Humans&lt;/keyword&gt;&lt;keyword&gt;*Infant Mortality&lt;/keyword&gt;&lt;keyword&gt;Infant, Newborn&lt;/keyword&gt;&lt;keyword&gt;*Infant, Premature&lt;/keyword&gt;&lt;keyword&gt;*Infant, Very Low Birth Weight&lt;/keyword&gt;&lt;keyword&gt;Intensive Care Units, Neonatal&lt;/keyword&gt;&lt;keyword&gt;Iran/epidemiology&lt;/keyword&gt;&lt;keyword&gt;Linear Models&lt;/keyword&gt;&lt;keyword&gt;*Morbidity&lt;/keyword&gt;&lt;keyword&gt;Probability&lt;/keyword&gt;&lt;keyword&gt;Retrospective Studies&lt;/keyword&gt;&lt;keyword&gt;Survival Rate&lt;/keyword&gt;&lt;/keywords&gt;&lt;dates&gt;&lt;year&gt;2010&lt;/year&gt;&lt;pub-dates&gt;&lt;date&gt;Aug&lt;/date&gt;&lt;/pub-dates&gt;&lt;/dates&gt;&lt;isbn&gt;1867-0687 (Electronic)&lt;/isbn&gt;&lt;accession-num&gt;20549417&lt;/accession-num&gt;&lt;urls&gt;&lt;related-urls&gt;&lt;url&gt;http://www.ncbi.nlm.nih.gov/pubmed/20549417&lt;/url&gt;&lt;/related-urls&gt;&lt;/urls&gt;&lt;electronic-resource-num&gt;10.1007/s12519-010-0204-1&lt;/electronic-resource-num&gt;&lt;/record&gt;&lt;/Cite&gt;&lt;/EndNote&gt;</w:instrText>
        </w:r>
        <w:r w:rsidR="00E62798">
          <w:rPr>
            <w:lang w:eastAsia="en-GB"/>
          </w:rPr>
          <w:fldChar w:fldCharType="separate"/>
        </w:r>
        <w:r w:rsidR="00E62798" w:rsidRPr="00E62798">
          <w:rPr>
            <w:noProof/>
            <w:vertAlign w:val="superscript"/>
            <w:lang w:eastAsia="en-GB"/>
          </w:rPr>
          <w:t>43</w:t>
        </w:r>
        <w:r w:rsidR="00E62798">
          <w:rPr>
            <w:lang w:eastAsia="en-GB"/>
          </w:rPr>
          <w:fldChar w:fldCharType="end"/>
        </w:r>
      </w:hyperlink>
      <w:r>
        <w:rPr>
          <w:lang w:eastAsia="en-GB"/>
        </w:rPr>
        <w:t xml:space="preserve"> It reported n</w:t>
      </w:r>
      <w:r w:rsidRPr="00E00820">
        <w:rPr>
          <w:lang w:eastAsia="en-GB"/>
        </w:rPr>
        <w:t>o significant difference among those who received a transfusion (63.1%) compared with those not transfused (65.5%)</w:t>
      </w:r>
      <w:r>
        <w:rPr>
          <w:lang w:eastAsia="en-GB"/>
        </w:rPr>
        <w:t>.</w:t>
      </w:r>
    </w:p>
    <w:p w14:paraId="5DC713B2" w14:textId="7650528D" w:rsidR="00E66069" w:rsidRDefault="00E66069" w:rsidP="00FF2787">
      <w:pPr>
        <w:pStyle w:val="Normalbeforebullet"/>
      </w:pPr>
      <w:r w:rsidRPr="00EB4620">
        <w:t xml:space="preserve">One </w:t>
      </w:r>
      <w:r>
        <w:t>retrospective cohort</w:t>
      </w:r>
      <w:r w:rsidRPr="00EB4620">
        <w:t xml:space="preserve"> study</w:t>
      </w:r>
      <w:r w:rsidR="00F42852">
        <w:t xml:space="preserve"> </w:t>
      </w:r>
      <w:r w:rsidRPr="00EB4620">
        <w:t xml:space="preserve">of fair quality assessed the association between RBC transfusion and mortality among </w:t>
      </w:r>
      <w:r>
        <w:t xml:space="preserve">1077 </w:t>
      </w:r>
      <w:r w:rsidRPr="00EB4620">
        <w:t xml:space="preserve">preterm infants with </w:t>
      </w:r>
      <w:r w:rsidR="00CE5AC9">
        <w:t>very low birth weight</w:t>
      </w:r>
      <w:r>
        <w:t xml:space="preserve"> (defined as birth weight &lt;1250 g)</w:t>
      </w:r>
      <w:r w:rsidRPr="00EB4620">
        <w:t>.</w:t>
      </w:r>
      <w:hyperlink w:anchor="_ENREF_36" w:tooltip="Dos Santos, 2011 #159" w:history="1">
        <w:r w:rsidR="00E62798">
          <w:fldChar w:fldCharType="begin">
            <w:fldData xml:space="preserve">PEVuZE5vdGU+PENpdGU+PEF1dGhvcj5Eb3MgU2FudG9zPC9BdXRob3I+PFllYXI+MjAxMTwvWWVh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</w:fldData>
          </w:fldChar>
        </w:r>
        <w:r w:rsidR="00E62798">
          <w:instrText xml:space="preserve"> ADDIN EN.CITE </w:instrText>
        </w:r>
        <w:r w:rsidR="00E62798">
          <w:fldChar w:fldCharType="begin">
            <w:fldData xml:space="preserve">PEVuZE5vdGU+PENpdGU+PEF1dGhvcj5Eb3MgU2FudG9zPC9BdXRob3I+PFllYXI+MjAxMTwvWWVh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36</w:t>
        </w:r>
        <w:r w:rsidR="00E62798">
          <w:fldChar w:fldCharType="end"/>
        </w:r>
      </w:hyperlink>
      <w:r w:rsidRPr="00EB4620">
        <w:t xml:space="preserve"> </w:t>
      </w:r>
      <w:r>
        <w:t xml:space="preserve">After controlling for variables independently associated with higher neonatal morbidity, the </w:t>
      </w:r>
      <w:r w:rsidRPr="00EB4620">
        <w:t>authors concluded that</w:t>
      </w:r>
      <w:r>
        <w:t>:</w:t>
      </w:r>
    </w:p>
    <w:p w14:paraId="394B76CC" w14:textId="77777777" w:rsidR="00E66069" w:rsidRDefault="00E66069" w:rsidP="00E66069">
      <w:pPr>
        <w:pStyle w:val="Bullet6"/>
        <w:numPr>
          <w:ilvl w:val="0"/>
          <w:numId w:val="3"/>
        </w:numPr>
        <w:tabs>
          <w:tab w:val="clear" w:pos="360"/>
        </w:tabs>
        <w:ind w:left="1080"/>
        <w:rPr>
          <w:lang w:eastAsia="en-GB"/>
        </w:rPr>
      </w:pPr>
      <w:r w:rsidRPr="00EB4620">
        <w:rPr>
          <w:lang w:eastAsia="en-GB"/>
        </w:rPr>
        <w:t>t</w:t>
      </w:r>
      <w:r w:rsidRPr="00EB4620">
        <w:t xml:space="preserve">he relative risk of in-hospital mortality remained significantly increased among infants who received at least one RBC transfusion before day </w:t>
      </w:r>
      <w:r>
        <w:t xml:space="preserve">28 </w:t>
      </w:r>
      <w:r w:rsidRPr="00EB4620">
        <w:t>of life</w:t>
      </w:r>
    </w:p>
    <w:p w14:paraId="1F192F80" w14:textId="77777777" w:rsidR="00E66069" w:rsidRDefault="00E66069" w:rsidP="00E66069">
      <w:pPr>
        <w:pStyle w:val="Bullet12"/>
        <w:numPr>
          <w:ilvl w:val="0"/>
          <w:numId w:val="3"/>
        </w:numPr>
        <w:tabs>
          <w:tab w:val="clear" w:pos="360"/>
        </w:tabs>
        <w:ind w:left="1080"/>
        <w:rPr>
          <w:lang w:eastAsia="en-GB"/>
        </w:rPr>
      </w:pPr>
      <w:r w:rsidRPr="00EB4620">
        <w:t xml:space="preserve">the relative risk of death </w:t>
      </w:r>
      <w:r>
        <w:t xml:space="preserve">beyond the neonatal period </w:t>
      </w:r>
      <w:r w:rsidRPr="00EB4620">
        <w:t>remained significant among infants who received more than two RBC transfusions during their hospital stay</w:t>
      </w:r>
      <w:r>
        <w:t>,</w:t>
      </w:r>
      <w:r w:rsidRPr="00EB4620">
        <w:t xml:space="preserve"> compared with infants who received one or two RBC transfusions</w:t>
      </w:r>
      <w:r w:rsidRPr="00EB4620">
        <w:rPr>
          <w:lang w:eastAsia="en-GB"/>
        </w:rPr>
        <w:t>.</w:t>
      </w:r>
      <w:bookmarkStart w:id="90" w:name="_Ref406075226"/>
    </w:p>
    <w:bookmarkEnd w:id="89"/>
    <w:bookmarkEnd w:id="90"/>
    <w:p w14:paraId="24400E9A" w14:textId="77777777" w:rsidR="00E66069" w:rsidRPr="00EB4620" w:rsidRDefault="00E66069" w:rsidP="00E66069">
      <w:pPr>
        <w:pStyle w:val="Heading5"/>
      </w:pPr>
      <w:r w:rsidRPr="00EB4620">
        <w:t>Composite of mortality and severe morbidity</w:t>
      </w:r>
    </w:p>
    <w:p w14:paraId="487D0043" w14:textId="6547F44F" w:rsidR="00E66069" w:rsidRPr="00EB4620" w:rsidRDefault="0084140F" w:rsidP="00E66069">
      <w:pPr>
        <w:rPr>
          <w:lang w:eastAsia="en-GB"/>
        </w:rPr>
      </w:pPr>
      <w:r>
        <w:t xml:space="preserve">No studies </w:t>
      </w:r>
      <w:r w:rsidR="00E66069">
        <w:t>compared</w:t>
      </w:r>
      <w:r w:rsidR="00E66069" w:rsidRPr="00EB4620">
        <w:t xml:space="preserve"> RBC transfusion with no transfusion in preterm infants</w:t>
      </w:r>
      <w:r w:rsidR="00E66069">
        <w:t>, and</w:t>
      </w:r>
      <w:r w:rsidR="00E66069" w:rsidRPr="00EB4620">
        <w:t xml:space="preserve"> reported on a composite of </w:t>
      </w:r>
      <w:r>
        <w:t xml:space="preserve">mortality and severe morbidity </w:t>
      </w:r>
      <w:r w:rsidR="00E66069">
        <w:t>such as</w:t>
      </w:r>
      <w:r w:rsidR="00E66069" w:rsidRPr="00EB4620">
        <w:t xml:space="preserve"> </w:t>
      </w:r>
      <w:bookmarkStart w:id="91" w:name="OLE_LINK2"/>
      <w:r w:rsidR="00E66069" w:rsidRPr="00A90811">
        <w:t>bronchopulmonary dysplasia</w:t>
      </w:r>
      <w:bookmarkEnd w:id="91"/>
      <w:r w:rsidR="00E66069">
        <w:t xml:space="preserve"> (</w:t>
      </w:r>
      <w:r w:rsidR="00E66069" w:rsidRPr="00EB4620">
        <w:rPr>
          <w:lang w:eastAsia="en-GB"/>
        </w:rPr>
        <w:t>BPD</w:t>
      </w:r>
      <w:r w:rsidR="00E66069">
        <w:rPr>
          <w:lang w:eastAsia="en-GB"/>
        </w:rPr>
        <w:t>)</w:t>
      </w:r>
      <w:r w:rsidR="00E66069" w:rsidRPr="00EB4620">
        <w:rPr>
          <w:lang w:eastAsia="en-GB"/>
        </w:rPr>
        <w:t xml:space="preserve">, </w:t>
      </w:r>
      <w:bookmarkStart w:id="92" w:name="OLE_LINK4"/>
      <w:bookmarkStart w:id="93" w:name="OLE_LINK5"/>
      <w:bookmarkStart w:id="94" w:name="OLE_LINK3"/>
      <w:r w:rsidR="00E66069">
        <w:rPr>
          <w:lang w:eastAsia="en-GB"/>
        </w:rPr>
        <w:t>necrotising enterocolitis</w:t>
      </w:r>
      <w:bookmarkEnd w:id="92"/>
      <w:bookmarkEnd w:id="93"/>
      <w:r w:rsidR="00E66069">
        <w:rPr>
          <w:lang w:eastAsia="en-GB"/>
        </w:rPr>
        <w:t xml:space="preserve"> (NEC), retinopathy of prematurity</w:t>
      </w:r>
      <w:bookmarkEnd w:id="94"/>
      <w:r w:rsidR="00E66069">
        <w:rPr>
          <w:lang w:eastAsia="en-GB"/>
        </w:rPr>
        <w:t xml:space="preserve"> (</w:t>
      </w:r>
      <w:r w:rsidR="00E66069" w:rsidRPr="00EB4620">
        <w:rPr>
          <w:lang w:eastAsia="en-GB"/>
        </w:rPr>
        <w:t>ROP</w:t>
      </w:r>
      <w:r w:rsidR="00E66069">
        <w:rPr>
          <w:lang w:eastAsia="en-GB"/>
        </w:rPr>
        <w:t>)</w:t>
      </w:r>
      <w:r w:rsidR="00E66069" w:rsidRPr="00EB4620">
        <w:rPr>
          <w:lang w:eastAsia="en-GB"/>
        </w:rPr>
        <w:t xml:space="preserve"> or brain injury on ultrasound</w:t>
      </w:r>
      <w:r w:rsidR="00E66069">
        <w:rPr>
          <w:lang w:eastAsia="en-GB"/>
        </w:rPr>
        <w:t>.</w:t>
      </w:r>
    </w:p>
    <w:p w14:paraId="7E7FEDC4" w14:textId="77777777" w:rsidR="00E66069" w:rsidRDefault="00E66069" w:rsidP="00E66069">
      <w:pPr>
        <w:pStyle w:val="Heading5"/>
      </w:pPr>
      <w:r w:rsidRPr="00EB4620">
        <w:t>Se</w:t>
      </w:r>
      <w:r>
        <w:t xml:space="preserve">vere morbidity </w:t>
      </w:r>
    </w:p>
    <w:p w14:paraId="0CD179D5" w14:textId="13FAC102" w:rsidR="00E66069" w:rsidRPr="00EB4620" w:rsidRDefault="003F465E" w:rsidP="00F42852">
      <w:pPr>
        <w:pStyle w:val="H6"/>
      </w:pPr>
      <w:r>
        <w:t>BPD</w:t>
      </w:r>
    </w:p>
    <w:p w14:paraId="5B3B9D25" w14:textId="78927801" w:rsidR="00E66069" w:rsidRPr="00EB4620" w:rsidRDefault="0084140F" w:rsidP="00E66069">
      <w:r>
        <w:t>No studies</w:t>
      </w:r>
      <w:r w:rsidR="00E66069" w:rsidRPr="00EB4620">
        <w:t xml:space="preserve"> </w:t>
      </w:r>
      <w:r w:rsidR="00E66069">
        <w:t>compared</w:t>
      </w:r>
      <w:r w:rsidR="00E66069" w:rsidRPr="00EB4620">
        <w:t xml:space="preserve"> RBC transfusion </w:t>
      </w:r>
      <w:r w:rsidR="00E66069">
        <w:t>with</w:t>
      </w:r>
      <w:r w:rsidR="00E66069" w:rsidRPr="00EB4620">
        <w:t xml:space="preserve"> no transfusion in preterm infants</w:t>
      </w:r>
      <w:r w:rsidR="00E66069">
        <w:t>,</w:t>
      </w:r>
      <w:r w:rsidR="00E66069" w:rsidRPr="00EB4620">
        <w:t xml:space="preserve"> </w:t>
      </w:r>
      <w:r w:rsidR="00E66069">
        <w:t xml:space="preserve">and </w:t>
      </w:r>
      <w:r w:rsidR="00E66069" w:rsidRPr="00EB4620">
        <w:t xml:space="preserve">reported on the outcome of </w:t>
      </w:r>
      <w:r w:rsidR="00E66069">
        <w:t>BPD</w:t>
      </w:r>
      <w:r w:rsidR="00A41D9F">
        <w:t>.</w:t>
      </w:r>
    </w:p>
    <w:p w14:paraId="19087A32" w14:textId="15CB2B5E" w:rsidR="00E66069" w:rsidRPr="00EB4620" w:rsidRDefault="003F465E" w:rsidP="00F42852">
      <w:pPr>
        <w:pStyle w:val="H6"/>
      </w:pPr>
      <w:r>
        <w:t>NEC</w:t>
      </w:r>
    </w:p>
    <w:p w14:paraId="75449D43" w14:textId="00465B4A" w:rsidR="00E66069" w:rsidRDefault="00E66069" w:rsidP="00FF2787">
      <w:pPr>
        <w:pStyle w:val="Normalbeforebullet"/>
      </w:pPr>
      <w:r>
        <w:t>T</w:t>
      </w:r>
      <w:r w:rsidRPr="00EB4620">
        <w:t>wo systematic reviews of Level III studies</w:t>
      </w:r>
      <w:hyperlink w:anchor="_ENREF_31" w:tooltip="Kirpalani, 2012 #170" w:history="1">
        <w:r w:rsidR="00E62798">
          <w:fldChar w:fldCharType="begin">
            <w:fldData xml:space="preserve">PEVuZE5vdGU+PENpdGU+PEF1dGhvcj5LaXJwYWxhbmk8L0F1dGhvcj48WWVhcj4yMDEyPC9ZZWFy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</w:fldData>
          </w:fldChar>
        </w:r>
        <w:r w:rsidR="00E62798">
          <w:instrText xml:space="preserve"> ADDIN EN.CITE </w:instrText>
        </w:r>
        <w:r w:rsidR="00E62798">
          <w:fldChar w:fldCharType="begin">
            <w:fldData xml:space="preserve">PEVuZE5vdGU+PENpdGU+PEF1dGhvcj5LaXJwYWxhbmk8L0F1dGhvcj48WWVhcj4yMDEyPC9ZZWFy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31-32</w:t>
        </w:r>
        <w:r w:rsidR="00E62798">
          <w:fldChar w:fldCharType="end"/>
        </w:r>
      </w:hyperlink>
      <w:r w:rsidRPr="00EB4620">
        <w:t xml:space="preserve"> and four additional Level III</w:t>
      </w:r>
      <w:r>
        <w:t>-2 cohort and case–control</w:t>
      </w:r>
      <w:r w:rsidRPr="00EB4620">
        <w:t xml:space="preserve"> studies</w:t>
      </w:r>
      <w:r w:rsidR="00E62798">
        <w:fldChar w:fldCharType="begin">
          <w:fldData xml:space="preserve">PEVuZE5vdGU+PENpdGU+PEF1dGhvcj5EZW1pcmVsPC9BdXRob3I+PFllYXI+MjAxMjwvWWVhcj48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</w:fldData>
        </w:fldChar>
      </w:r>
      <w:r w:rsidR="00E62798">
        <w:instrText xml:space="preserve"> ADDIN EN.CITE </w:instrText>
      </w:r>
      <w:r w:rsidR="00E62798">
        <w:fldChar w:fldCharType="begin">
          <w:fldData xml:space="preserve">PEVuZE5vdGU+PENpdGU+PEF1dGhvcj5EZW1pcmVsPC9BdXRob3I+PFllYXI+MjAxMjwvWWVhcj48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</w:fldData>
        </w:fldChar>
      </w:r>
      <w:r w:rsidR="00E62798">
        <w:instrText xml:space="preserve"> ADDIN EN.CITE.DATA </w:instrText>
      </w:r>
      <w:r w:rsidR="00E62798">
        <w:fldChar w:fldCharType="end"/>
      </w:r>
      <w:r w:rsidR="00E62798">
        <w:fldChar w:fldCharType="separate"/>
      </w:r>
      <w:hyperlink w:anchor="_ENREF_35" w:tooltip="Demirel, 2012 #157" w:history="1">
        <w:r w:rsidR="00E62798" w:rsidRPr="00E62798">
          <w:rPr>
            <w:noProof/>
            <w:vertAlign w:val="superscript"/>
          </w:rPr>
          <w:t>35</w:t>
        </w:r>
      </w:hyperlink>
      <w:r w:rsidR="00E62798" w:rsidRPr="00E62798">
        <w:rPr>
          <w:noProof/>
          <w:vertAlign w:val="superscript"/>
        </w:rPr>
        <w:t xml:space="preserve">; </w:t>
      </w:r>
      <w:hyperlink w:anchor="_ENREF_37" w:tooltip="Elabiad, 2013 #160" w:history="1">
        <w:r w:rsidR="00E62798" w:rsidRPr="00E62798">
          <w:rPr>
            <w:noProof/>
            <w:vertAlign w:val="superscript"/>
          </w:rPr>
          <w:t>37</w:t>
        </w:r>
      </w:hyperlink>
      <w:r w:rsidR="00E62798" w:rsidRPr="00E62798">
        <w:rPr>
          <w:noProof/>
          <w:vertAlign w:val="superscript"/>
        </w:rPr>
        <w:t xml:space="preserve">; </w:t>
      </w:r>
      <w:hyperlink w:anchor="_ENREF_44" w:tooltip="Stritzke, 2013 #185" w:history="1">
        <w:r w:rsidR="00E62798" w:rsidRPr="00E62798">
          <w:rPr>
            <w:noProof/>
            <w:vertAlign w:val="superscript"/>
          </w:rPr>
          <w:t>44-45</w:t>
        </w:r>
      </w:hyperlink>
      <w:r w:rsidR="00E62798">
        <w:fldChar w:fldCharType="end"/>
      </w:r>
      <w:r w:rsidRPr="00EB4620">
        <w:t xml:space="preserve"> </w:t>
      </w:r>
      <w:r>
        <w:t>examined the</w:t>
      </w:r>
      <w:r w:rsidRPr="00EB4620">
        <w:t xml:space="preserve"> association between RBC transfusion and NEC</w:t>
      </w:r>
      <w:r>
        <w:t xml:space="preserve"> in preterm infants</w:t>
      </w:r>
      <w:r w:rsidRPr="00EB4620">
        <w:t xml:space="preserve">. </w:t>
      </w:r>
      <w:r>
        <w:t>Both of the systematic reviews reported a significant association between RBC transfusion and NEC; however, the Level III studies reported conflicting results. The relationship between RBC transfusion and NEC is unclear because:</w:t>
      </w:r>
    </w:p>
    <w:p w14:paraId="64521005" w14:textId="608FA577" w:rsidR="00E66069" w:rsidRDefault="00E66069" w:rsidP="00E66069">
      <w:pPr>
        <w:pStyle w:val="Bullet6"/>
        <w:numPr>
          <w:ilvl w:val="0"/>
          <w:numId w:val="3"/>
        </w:numPr>
        <w:tabs>
          <w:tab w:val="clear" w:pos="360"/>
        </w:tabs>
        <w:ind w:left="1080"/>
      </w:pPr>
      <w:r>
        <w:t>the relationship between the timing of administration of transfusion and development of NEC varied between studies; in some studies, onset of NEC may have occurred before transfusion, and in others, some cases of NEC occurred so long after transfusion that the relationship between the two was unclear</w:t>
      </w:r>
    </w:p>
    <w:p w14:paraId="3B3D733F" w14:textId="0D4B6E49" w:rsidR="00E66069" w:rsidRDefault="00E66069" w:rsidP="00E66069">
      <w:pPr>
        <w:pStyle w:val="Bullet6"/>
        <w:numPr>
          <w:ilvl w:val="0"/>
          <w:numId w:val="3"/>
        </w:numPr>
        <w:tabs>
          <w:tab w:val="clear" w:pos="360"/>
        </w:tabs>
        <w:ind w:left="1080"/>
      </w:pPr>
      <w:r>
        <w:t>in some studies, there was a high risk of bias because of incomplete reporting of outcome data</w:t>
      </w:r>
    </w:p>
    <w:p w14:paraId="3F7B1326" w14:textId="77777777" w:rsidR="00E66069" w:rsidRPr="00EB4620" w:rsidRDefault="00E66069" w:rsidP="00E66069">
      <w:pPr>
        <w:pStyle w:val="Bullet12"/>
        <w:numPr>
          <w:ilvl w:val="0"/>
          <w:numId w:val="3"/>
        </w:numPr>
        <w:tabs>
          <w:tab w:val="clear" w:pos="360"/>
        </w:tabs>
        <w:ind w:left="1080"/>
      </w:pPr>
      <w:r>
        <w:t>observational studies cannot rule out the possibility of common risk factors for transfusion and development of NEC that could result in association without causation.</w:t>
      </w:r>
    </w:p>
    <w:p w14:paraId="6F9A7BC8" w14:textId="2E4B6D1F" w:rsidR="00E66069" w:rsidRPr="00F42852" w:rsidRDefault="003F465E" w:rsidP="00F42852">
      <w:pPr>
        <w:pStyle w:val="H6"/>
      </w:pPr>
      <w:bookmarkStart w:id="95" w:name="_Ref415666459"/>
      <w:r>
        <w:lastRenderedPageBreak/>
        <w:t>ROP</w:t>
      </w:r>
    </w:p>
    <w:p w14:paraId="148BA5D7" w14:textId="565AE1B5" w:rsidR="00E66069" w:rsidRPr="00EB4620" w:rsidRDefault="00E66069" w:rsidP="00E66069">
      <w:r>
        <w:t>S</w:t>
      </w:r>
      <w:r w:rsidRPr="00EB4620">
        <w:t xml:space="preserve">ix Level III studies </w:t>
      </w:r>
      <w:r>
        <w:t>of poor to fair quality e</w:t>
      </w:r>
      <w:r w:rsidRPr="00EB4620">
        <w:t>xamined the association between RBC transfusion and ROP</w:t>
      </w:r>
      <w:r>
        <w:t xml:space="preserve"> in preterm infants.</w:t>
      </w:r>
      <w:r w:rsidR="00E62798">
        <w:fldChar w:fldCharType="begin">
          <w:fldData xml:space="preserve">PEVuZE5vdGU+PENpdGU+PEF1dGhvcj5GZWdoaGk8L0F1dGhvcj48WWVhcj4yMDEyPC9ZZWFyPjxS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</w:fldData>
        </w:fldChar>
      </w:r>
      <w:r w:rsidR="00E62798">
        <w:instrText xml:space="preserve"> ADDIN EN.CITE </w:instrText>
      </w:r>
      <w:r w:rsidR="00E62798">
        <w:fldChar w:fldCharType="begin">
          <w:fldData xml:space="preserve">PEVuZE5vdGU+PENpdGU+PEF1dGhvcj5GZWdoaGk8L0F1dGhvcj48WWVhcj4yMDEyPC9ZZWFyPjxS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</w:fldData>
        </w:fldChar>
      </w:r>
      <w:r w:rsidR="00E62798">
        <w:instrText xml:space="preserve"> ADDIN EN.CITE.DATA </w:instrText>
      </w:r>
      <w:r w:rsidR="00E62798">
        <w:fldChar w:fldCharType="end"/>
      </w:r>
      <w:r w:rsidR="00E62798">
        <w:fldChar w:fldCharType="separate"/>
      </w:r>
      <w:hyperlink w:anchor="_ENREF_38" w:tooltip="Feghhi, 2012 #161" w:history="1">
        <w:r w:rsidR="00E62798" w:rsidRPr="00E62798">
          <w:rPr>
            <w:noProof/>
            <w:vertAlign w:val="superscript"/>
          </w:rPr>
          <w:t>38-42</w:t>
        </w:r>
      </w:hyperlink>
      <w:r w:rsidR="00E62798" w:rsidRPr="00E62798">
        <w:rPr>
          <w:noProof/>
          <w:vertAlign w:val="superscript"/>
        </w:rPr>
        <w:t xml:space="preserve">; </w:t>
      </w:r>
      <w:hyperlink w:anchor="_ENREF_46" w:tooltip="Weintraub, 2011 #189" w:history="1">
        <w:r w:rsidR="00E62798" w:rsidRPr="00E62798">
          <w:rPr>
            <w:noProof/>
            <w:vertAlign w:val="superscript"/>
          </w:rPr>
          <w:t>46</w:t>
        </w:r>
      </w:hyperlink>
      <w:r w:rsidR="00E62798">
        <w:fldChar w:fldCharType="end"/>
      </w:r>
      <w:r w:rsidRPr="00EB4620">
        <w:t xml:space="preserve"> </w:t>
      </w:r>
      <w:r>
        <w:t>After adjusting for potential confounders, three studies</w:t>
      </w:r>
      <w:r w:rsidR="00E62798">
        <w:fldChar w:fldCharType="begin">
          <w:fldData xml:space="preserve">PEVuZE5vdGU+PENpdGU+PEF1dGhvcj5IYWtlZW08L0F1dGhvcj48WWVhcj4yMDEyPC9ZZWFyPjxS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</w:fldData>
        </w:fldChar>
      </w:r>
      <w:r w:rsidR="00E62798">
        <w:instrText xml:space="preserve"> ADDIN EN.CITE </w:instrText>
      </w:r>
      <w:r w:rsidR="00E62798">
        <w:fldChar w:fldCharType="begin">
          <w:fldData xml:space="preserve">PEVuZE5vdGU+PENpdGU+PEF1dGhvcj5IYWtlZW08L0F1dGhvcj48WWVhcj4yMDEyPC9ZZWFyPjxS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</w:fldData>
        </w:fldChar>
      </w:r>
      <w:r w:rsidR="00E62798">
        <w:instrText xml:space="preserve"> ADDIN EN.CITE.DATA </w:instrText>
      </w:r>
      <w:r w:rsidR="00E62798">
        <w:fldChar w:fldCharType="end"/>
      </w:r>
      <w:r w:rsidR="00E62798">
        <w:fldChar w:fldCharType="separate"/>
      </w:r>
      <w:hyperlink w:anchor="_ENREF_40" w:tooltip="Hakeem, 2012 #164" w:history="1">
        <w:r w:rsidR="00E62798" w:rsidRPr="00E62798">
          <w:rPr>
            <w:noProof/>
            <w:vertAlign w:val="superscript"/>
          </w:rPr>
          <w:t>40-41</w:t>
        </w:r>
      </w:hyperlink>
      <w:r w:rsidR="00E62798" w:rsidRPr="00E62798">
        <w:rPr>
          <w:noProof/>
          <w:vertAlign w:val="superscript"/>
        </w:rPr>
        <w:t xml:space="preserve">; </w:t>
      </w:r>
      <w:hyperlink w:anchor="_ENREF_46" w:tooltip="Weintraub, 2011 #189" w:history="1">
        <w:r w:rsidR="00E62798" w:rsidRPr="00E62798">
          <w:rPr>
            <w:noProof/>
            <w:vertAlign w:val="superscript"/>
          </w:rPr>
          <w:t>46</w:t>
        </w:r>
      </w:hyperlink>
      <w:r w:rsidR="00E62798">
        <w:fldChar w:fldCharType="end"/>
      </w:r>
      <w:r>
        <w:t xml:space="preserve"> reported a significant association between RBC transfusion and ROP, but the other three studies</w:t>
      </w:r>
      <w:r w:rsidR="00E62798">
        <w:fldChar w:fldCharType="begin">
          <w:fldData xml:space="preserve">PEVuZE5vdGU+PENpdGU+PEF1dGhvcj5GZWdoaGk8L0F1dGhvcj48WWVhcj4yMDEyPC9ZZWFyPjxS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</w:fldData>
        </w:fldChar>
      </w:r>
      <w:r w:rsidR="00E62798">
        <w:instrText xml:space="preserve"> ADDIN EN.CITE </w:instrText>
      </w:r>
      <w:r w:rsidR="00E62798">
        <w:fldChar w:fldCharType="begin">
          <w:fldData xml:space="preserve">PEVuZE5vdGU+PENpdGU+PEF1dGhvcj5GZWdoaGk8L0F1dGhvcj48WWVhcj4yMDEyPC9ZZWFyPjxS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</w:fldData>
        </w:fldChar>
      </w:r>
      <w:r w:rsidR="00E62798">
        <w:instrText xml:space="preserve"> ADDIN EN.CITE.DATA </w:instrText>
      </w:r>
      <w:r w:rsidR="00E62798">
        <w:fldChar w:fldCharType="end"/>
      </w:r>
      <w:r w:rsidR="00E62798">
        <w:fldChar w:fldCharType="separate"/>
      </w:r>
      <w:hyperlink w:anchor="_ENREF_38" w:tooltip="Feghhi, 2012 #161" w:history="1">
        <w:r w:rsidR="00E62798" w:rsidRPr="00E62798">
          <w:rPr>
            <w:noProof/>
            <w:vertAlign w:val="superscript"/>
          </w:rPr>
          <w:t>38-39</w:t>
        </w:r>
      </w:hyperlink>
      <w:r w:rsidR="00E62798" w:rsidRPr="00E62798">
        <w:rPr>
          <w:noProof/>
          <w:vertAlign w:val="superscript"/>
        </w:rPr>
        <w:t xml:space="preserve">; </w:t>
      </w:r>
      <w:hyperlink w:anchor="_ENREF_42" w:tooltip="Li, 2013 #173" w:history="1">
        <w:r w:rsidR="00E62798" w:rsidRPr="00E62798">
          <w:rPr>
            <w:noProof/>
            <w:vertAlign w:val="superscript"/>
          </w:rPr>
          <w:t>42</w:t>
        </w:r>
      </w:hyperlink>
      <w:r w:rsidR="00E62798">
        <w:fldChar w:fldCharType="end"/>
      </w:r>
      <w:r>
        <w:t xml:space="preserve"> found that the association between RBC transfusion and the incidence of ROP was no longer significant.</w:t>
      </w:r>
    </w:p>
    <w:bookmarkEnd w:id="95"/>
    <w:p w14:paraId="4C65D816" w14:textId="77777777" w:rsidR="00E66069" w:rsidRPr="00EB4620" w:rsidRDefault="00E66069" w:rsidP="00F42852">
      <w:pPr>
        <w:pStyle w:val="H6"/>
      </w:pPr>
      <w:r>
        <w:t xml:space="preserve">Brain injury on ultrasound </w:t>
      </w:r>
    </w:p>
    <w:p w14:paraId="7A1F998F" w14:textId="12E0D3E6" w:rsidR="00E66069" w:rsidRPr="00EB4620" w:rsidRDefault="00E66069" w:rsidP="00E66069">
      <w:r>
        <w:t>O</w:t>
      </w:r>
      <w:r w:rsidRPr="00EB4620">
        <w:t xml:space="preserve">ne Level III study examined the association between RBC transfusion and </w:t>
      </w:r>
      <w:r>
        <w:t>severe intraventricular haemorrhage (</w:t>
      </w:r>
      <w:r w:rsidRPr="00EB4620">
        <w:t>IVH</w:t>
      </w:r>
      <w:r>
        <w:t>) in preterm infants</w:t>
      </w:r>
      <w:r w:rsidRPr="00EB4620">
        <w:t>.</w:t>
      </w:r>
      <w:hyperlink w:anchor="_ENREF_34" w:tooltip="Baer, 2011 #148" w:history="1">
        <w:r w:rsidR="00E62798">
          <w:fldChar w:fldCharType="begin">
            <w:fldData xml:space="preserve">PEVuZE5vdGU+PENpdGU+PEF1dGhvcj5CYWVyPC9BdXRob3I+PFllYXI+MjAxMTwvWWVhcj48UmVj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</w:fldData>
          </w:fldChar>
        </w:r>
        <w:r w:rsidR="00E62798">
          <w:instrText xml:space="preserve"> ADDIN EN.CITE </w:instrText>
        </w:r>
        <w:r w:rsidR="00E62798">
          <w:fldChar w:fldCharType="begin">
            <w:fldData xml:space="preserve">PEVuZE5vdGU+PENpdGU+PEF1dGhvcj5CYWVyPC9BdXRob3I+PFllYXI+MjAxMTwvWWVhcj48UmVj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34</w:t>
        </w:r>
        <w:r w:rsidR="00E62798">
          <w:fldChar w:fldCharType="end"/>
        </w:r>
      </w:hyperlink>
      <w:r>
        <w:t xml:space="preserve"> The study assessed various risk factors associated with the development of severe IVH, and reported a significant association between RBC transfusion and the development of severe IVH by</w:t>
      </w:r>
      <w:r w:rsidRPr="00EB4620">
        <w:t xml:space="preserve"> </w:t>
      </w:r>
      <w:r>
        <w:t xml:space="preserve">1 </w:t>
      </w:r>
      <w:r w:rsidRPr="00EB4620">
        <w:t>month</w:t>
      </w:r>
      <w:r>
        <w:t xml:space="preserve">. However, this association </w:t>
      </w:r>
      <w:r>
        <w:rPr>
          <w:szCs w:val="18"/>
        </w:rPr>
        <w:t xml:space="preserve">is uncertain because </w:t>
      </w:r>
      <w:r>
        <w:t>it is based on a single retrospective case–control study that has not been reproduced.</w:t>
      </w:r>
    </w:p>
    <w:p w14:paraId="2952ED6D" w14:textId="77777777" w:rsidR="00E66069" w:rsidRPr="00EB4620" w:rsidRDefault="00E66069" w:rsidP="00F42852">
      <w:pPr>
        <w:pStyle w:val="H6"/>
      </w:pPr>
      <w:r>
        <w:t>Neurodevelopmental disability</w:t>
      </w:r>
    </w:p>
    <w:p w14:paraId="6D6B266B" w14:textId="19D869CF" w:rsidR="00E66069" w:rsidRDefault="0084140F" w:rsidP="00E66069">
      <w:r>
        <w:t>No studies</w:t>
      </w:r>
      <w:r w:rsidR="00E66069" w:rsidRPr="00EB4620">
        <w:t xml:space="preserve"> </w:t>
      </w:r>
      <w:r w:rsidR="00E66069">
        <w:t>compared</w:t>
      </w:r>
      <w:r w:rsidR="00E66069" w:rsidRPr="00EB4620">
        <w:t xml:space="preserve"> RBC transfusion </w:t>
      </w:r>
      <w:r w:rsidR="00E66069">
        <w:t>to</w:t>
      </w:r>
      <w:r w:rsidR="00E66069" w:rsidRPr="00EB4620">
        <w:t xml:space="preserve"> no transfusion in preterm infants</w:t>
      </w:r>
      <w:r w:rsidR="00E66069">
        <w:t>,</w:t>
      </w:r>
      <w:r w:rsidR="00E66069" w:rsidRPr="00EB4620">
        <w:t xml:space="preserve"> and reported on </w:t>
      </w:r>
      <w:r w:rsidR="00E66069">
        <w:t>neurodevelopmental disability</w:t>
      </w:r>
      <w:r w:rsidR="00E66069" w:rsidRPr="00EB4620">
        <w:t>.</w:t>
      </w:r>
      <w:r w:rsidR="00E66069">
        <w:t xml:space="preserve"> </w:t>
      </w:r>
    </w:p>
    <w:p w14:paraId="42ADBD13" w14:textId="77777777" w:rsidR="00E66069" w:rsidRDefault="00E66069" w:rsidP="00F42852">
      <w:pPr>
        <w:pStyle w:val="H6"/>
      </w:pPr>
      <w:r>
        <w:t>Transfusion-related serious adverse events</w:t>
      </w:r>
    </w:p>
    <w:p w14:paraId="1E3B5274" w14:textId="2A2F4924" w:rsidR="00E66069" w:rsidRDefault="0084140F" w:rsidP="00E66069">
      <w:r>
        <w:t>No studies</w:t>
      </w:r>
      <w:r w:rsidR="00E66069">
        <w:t xml:space="preserve"> compared</w:t>
      </w:r>
      <w:r w:rsidR="00E66069" w:rsidRPr="00EB4620">
        <w:t xml:space="preserve"> RBC transfusion with no transfusion in preterm infants</w:t>
      </w:r>
      <w:r w:rsidR="00E66069">
        <w:t>,</w:t>
      </w:r>
      <w:r w:rsidR="00E66069" w:rsidRPr="00EB4620">
        <w:t xml:space="preserve"> and</w:t>
      </w:r>
      <w:r w:rsidR="00E66069">
        <w:t xml:space="preserve"> </w:t>
      </w:r>
      <w:r w:rsidR="00E66069" w:rsidRPr="00EB4620">
        <w:t xml:space="preserve">reported on </w:t>
      </w:r>
      <w:r w:rsidR="00E66069">
        <w:t>t</w:t>
      </w:r>
      <w:r w:rsidR="00E66069" w:rsidRPr="00D14E0D">
        <w:t>ransfusion-related</w:t>
      </w:r>
      <w:r w:rsidR="00E66069">
        <w:t xml:space="preserve"> serious adverse events such as transfusion</w:t>
      </w:r>
      <w:r w:rsidR="003F465E">
        <w:t>-associated</w:t>
      </w:r>
      <w:r w:rsidR="00E66069">
        <w:t xml:space="preserve"> circulatory overload (TACO), transfusion</w:t>
      </w:r>
      <w:r w:rsidR="003F465E">
        <w:t>-</w:t>
      </w:r>
      <w:r w:rsidR="00E66069">
        <w:t>related acute lung injury (TRALI), haemolytic transfusion reactions, transfusion-transmitted infections, transfusion-</w:t>
      </w:r>
      <w:r w:rsidR="007E5655">
        <w:t>associated</w:t>
      </w:r>
      <w:r w:rsidR="00E66069">
        <w:t xml:space="preserve"> graft-versus-host</w:t>
      </w:r>
      <w:r w:rsidR="00CE5AC9">
        <w:t xml:space="preserve"> </w:t>
      </w:r>
      <w:r w:rsidR="00E66069">
        <w:t xml:space="preserve">disease </w:t>
      </w:r>
      <w:r w:rsidR="007E5655">
        <w:t xml:space="preserve">(TAGVHD) </w:t>
      </w:r>
      <w:r w:rsidR="00E66069">
        <w:t>and anaphylactic reactions</w:t>
      </w:r>
      <w:r w:rsidR="00E66069" w:rsidRPr="00EB4620">
        <w:t>.</w:t>
      </w:r>
    </w:p>
    <w:p w14:paraId="64D6E9BB" w14:textId="77777777" w:rsidR="00E66069" w:rsidRDefault="00E66069" w:rsidP="00E66069">
      <w:pPr>
        <w:pStyle w:val="Heading4"/>
      </w:pPr>
      <w:r w:rsidRPr="00EB4620">
        <w:t>Restrictive RBC transfusion versus liberal RBC transfusion</w:t>
      </w:r>
      <w:r>
        <w:t xml:space="preserve"> in neonates</w:t>
      </w:r>
    </w:p>
    <w:p w14:paraId="23D1909D" w14:textId="1A40230D" w:rsidR="00E66069" w:rsidRPr="00EB4620" w:rsidRDefault="00E66069" w:rsidP="00E66069">
      <w:r>
        <w:t>F</w:t>
      </w:r>
      <w:r w:rsidRPr="00EB4620">
        <w:t>our</w:t>
      </w:r>
      <w:r>
        <w:t xml:space="preserve"> good-quality</w:t>
      </w:r>
      <w:r w:rsidRPr="00EB4620">
        <w:t xml:space="preserve"> </w:t>
      </w:r>
      <w:r w:rsidRPr="00FA603C">
        <w:t>Level</w:t>
      </w:r>
      <w:r w:rsidRPr="00EB4620">
        <w:t xml:space="preserve"> I studies</w:t>
      </w:r>
      <w:r>
        <w:t xml:space="preserve"> compared</w:t>
      </w:r>
      <w:r w:rsidRPr="00EB4620">
        <w:t xml:space="preserve"> </w:t>
      </w:r>
      <w:r>
        <w:t xml:space="preserve">a </w:t>
      </w:r>
      <w:r w:rsidRPr="00EB4620">
        <w:t xml:space="preserve">restrictive RBC transfusion </w:t>
      </w:r>
      <w:r>
        <w:t xml:space="preserve">protocol with a </w:t>
      </w:r>
      <w:r w:rsidRPr="00EB4620">
        <w:t xml:space="preserve">liberal </w:t>
      </w:r>
      <w:r>
        <w:t xml:space="preserve">protocol </w:t>
      </w:r>
      <w:r w:rsidRPr="00EB4620">
        <w:t>in preterm</w:t>
      </w:r>
      <w:r>
        <w:t xml:space="preserve"> or </w:t>
      </w:r>
      <w:r w:rsidR="00CE5AC9">
        <w:t xml:space="preserve">very low birth weight </w:t>
      </w:r>
      <w:r>
        <w:t>infants</w:t>
      </w:r>
      <w:r w:rsidRPr="00EB4620">
        <w:t>.</w:t>
      </w:r>
      <w:hyperlink w:anchor="_ENREF_47" w:tooltip="Bassler, 2008 #149" w:history="1">
        <w:r w:rsidR="00E62798">
          <w:fldChar w:fldCharType="begin">
            <w:fldData xml:space="preserve">PEVuZE5vdGU+PENpdGU+PEF1dGhvcj5CYXNzbGVyPC9BdXRob3I+PFllYXI+MjAwODwvWWVhcj48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==
</w:fldData>
          </w:fldChar>
        </w:r>
        <w:r w:rsidR="00E62798">
          <w:instrText xml:space="preserve"> ADDIN EN.CITE </w:instrText>
        </w:r>
        <w:r w:rsidR="00E62798">
          <w:fldChar w:fldCharType="begin">
            <w:fldData xml:space="preserve">PEVuZE5vdGU+PENpdGU+PEF1dGhvcj5CYXNzbGVyPC9BdXRob3I+PFllYXI+MjAwODwvWWVhcj48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47-50</w:t>
        </w:r>
        <w:r w:rsidR="00E62798">
          <w:fldChar w:fldCharType="end"/>
        </w:r>
      </w:hyperlink>
      <w:r w:rsidRPr="00414A25">
        <w:t xml:space="preserve"> </w:t>
      </w:r>
      <w:r>
        <w:t>All four systematic reviews included data from three RCTs</w:t>
      </w:r>
      <w:r w:rsidR="00F42852">
        <w:t>,</w:t>
      </w:r>
      <w:hyperlink w:anchor="_ENREF_51" w:tooltip="Bell, 2005 #150" w:history="1">
        <w:r w:rsidR="00E62798">
          <w:fldChar w:fldCharType="begin">
            <w:fldData xml:space="preserve">PEVuZE5vdGU+PENpdGU+PEF1dGhvcj5CZWxsPC9BdXRob3I+PFllYXI+MjAwNTwvWWVhcj48UmVj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</w:fldData>
          </w:fldChar>
        </w:r>
        <w:r w:rsidR="00E62798">
          <w:instrText xml:space="preserve"> ADDIN EN.CITE </w:instrText>
        </w:r>
        <w:r w:rsidR="00E62798">
          <w:fldChar w:fldCharType="begin">
            <w:fldData xml:space="preserve">PEVuZE5vdGU+PENpdGU+PEF1dGhvcj5CZWxsPC9BdXRob3I+PFllYXI+MjAwNTwvWWVhcj48UmVj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51-53</w:t>
        </w:r>
        <w:r w:rsidR="00E62798">
          <w:fldChar w:fldCharType="end"/>
        </w:r>
      </w:hyperlink>
      <w:r>
        <w:t xml:space="preserve"> involving a total of 590 </w:t>
      </w:r>
      <w:r w:rsidR="00CE5AC9">
        <w:t>very low birth weight</w:t>
      </w:r>
      <w:r>
        <w:t xml:space="preserve"> infants.</w:t>
      </w:r>
      <w:r w:rsidRPr="00C060B7">
        <w:t xml:space="preserve"> </w:t>
      </w:r>
      <w:r>
        <w:t>No</w:t>
      </w:r>
      <w:r w:rsidRPr="00EB4620">
        <w:t xml:space="preserve"> additional Level II stud</w:t>
      </w:r>
      <w:r>
        <w:t>ies</w:t>
      </w:r>
      <w:r w:rsidRPr="00EB4620">
        <w:t xml:space="preserve"> </w:t>
      </w:r>
      <w:r>
        <w:t>were identified that reported outcomes relevant to the research question.</w:t>
      </w:r>
    </w:p>
    <w:p w14:paraId="39A59D2B" w14:textId="77777777" w:rsidR="00E66069" w:rsidRPr="00EB4620" w:rsidRDefault="00E66069" w:rsidP="00E66069">
      <w:pPr>
        <w:pStyle w:val="Heading5"/>
      </w:pPr>
      <w:r w:rsidRPr="00EB4620">
        <w:t>Mortality</w:t>
      </w:r>
    </w:p>
    <w:p w14:paraId="218B5510" w14:textId="77777777" w:rsidR="00E66069" w:rsidRPr="00EB4620" w:rsidRDefault="00E66069" w:rsidP="00E66069">
      <w:r w:rsidRPr="00EB4620">
        <w:t xml:space="preserve">All studies </w:t>
      </w:r>
      <w:r>
        <w:t>reported</w:t>
      </w:r>
      <w:r w:rsidRPr="00EB4620">
        <w:t xml:space="preserve"> no significant difference between</w:t>
      </w:r>
      <w:r>
        <w:t xml:space="preserve"> a</w:t>
      </w:r>
      <w:r w:rsidRPr="00EB4620">
        <w:t xml:space="preserve"> restrictive and </w:t>
      </w:r>
      <w:r>
        <w:t xml:space="preserve">a </w:t>
      </w:r>
      <w:r w:rsidRPr="00EB4620">
        <w:t>liberal RBC transfusion</w:t>
      </w:r>
      <w:r w:rsidRPr="00CE580C">
        <w:t xml:space="preserve"> </w:t>
      </w:r>
      <w:r>
        <w:t xml:space="preserve">strategy on the outcome of </w:t>
      </w:r>
      <w:r w:rsidRPr="00EB4620">
        <w:t>mortality.</w:t>
      </w:r>
    </w:p>
    <w:p w14:paraId="794B0380" w14:textId="77777777" w:rsidR="00E66069" w:rsidRPr="00EB4620" w:rsidRDefault="00E66069" w:rsidP="00E66069">
      <w:pPr>
        <w:pStyle w:val="Heading5"/>
      </w:pPr>
      <w:r w:rsidRPr="00EB4620">
        <w:t>Composite of mortality and severe morbidity</w:t>
      </w:r>
    </w:p>
    <w:p w14:paraId="4DD24AA6" w14:textId="379E32C7" w:rsidR="00E66069" w:rsidRPr="00EB4620" w:rsidRDefault="00E66069" w:rsidP="00E66069">
      <w:r>
        <w:t xml:space="preserve">The review by </w:t>
      </w:r>
      <w:r w:rsidRPr="00EB4620">
        <w:t>Whyte (2011)</w:t>
      </w:r>
      <w:hyperlink w:anchor="_ENREF_50" w:tooltip="Whyte, 2011 #190" w:history="1">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 </w:instrText>
        </w:r>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50</w:t>
        </w:r>
        <w:r w:rsidR="00E62798">
          <w:fldChar w:fldCharType="end"/>
        </w:r>
      </w:hyperlink>
      <w:r w:rsidRPr="00EB4620">
        <w:t xml:space="preserve"> assess</w:t>
      </w:r>
      <w:r>
        <w:t>ed</w:t>
      </w:r>
      <w:r w:rsidRPr="00EB4620">
        <w:t xml:space="preserve"> </w:t>
      </w:r>
      <w:r>
        <w:t xml:space="preserve">the effect of different transfusion strategies on </w:t>
      </w:r>
      <w:r w:rsidRPr="00EB4620">
        <w:t>a composite of mortality and severe morbidity before first hospital discharge</w:t>
      </w:r>
      <w:r>
        <w:t>. It report</w:t>
      </w:r>
      <w:r w:rsidRPr="00EB4620">
        <w:t xml:space="preserve">ed </w:t>
      </w:r>
      <w:r>
        <w:t>no significant difference in death</w:t>
      </w:r>
      <w:r w:rsidR="007E5655">
        <w:t xml:space="preserve"> or severe morbidity</w:t>
      </w:r>
      <w:r>
        <w:t xml:space="preserve">. </w:t>
      </w:r>
      <w:r w:rsidRPr="00EB4620">
        <w:t>Whyte (2011)</w:t>
      </w:r>
      <w:hyperlink w:anchor="_ENREF_50" w:tooltip="Whyte, 2011 #190" w:history="1">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 </w:instrText>
        </w:r>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50</w:t>
        </w:r>
        <w:r w:rsidR="00E62798">
          <w:fldChar w:fldCharType="end"/>
        </w:r>
      </w:hyperlink>
      <w:r w:rsidRPr="00EB4620">
        <w:t xml:space="preserve"> also </w:t>
      </w:r>
      <w:r>
        <w:t>report</w:t>
      </w:r>
      <w:r w:rsidRPr="00EB4620">
        <w:t xml:space="preserve">ed </w:t>
      </w:r>
      <w:r>
        <w:t xml:space="preserve">data on a </w:t>
      </w:r>
      <w:r w:rsidRPr="00EB4620">
        <w:t>composite of mortality and severe brain injury before first hospital discharge</w:t>
      </w:r>
      <w:r>
        <w:t xml:space="preserve">, and again found no </w:t>
      </w:r>
      <w:r w:rsidRPr="00EB4620">
        <w:t>statistically significant</w:t>
      </w:r>
      <w:r>
        <w:t xml:space="preserve"> difference between restrictive and liberal transfusion strategies</w:t>
      </w:r>
      <w:r w:rsidRPr="00EB4620">
        <w:t>.</w:t>
      </w:r>
    </w:p>
    <w:p w14:paraId="1786939B" w14:textId="07A6321A" w:rsidR="00E66069" w:rsidRDefault="00E66069" w:rsidP="00E66069">
      <w:r>
        <w:t>In a predefined follow-up to the PINT 2006</w:t>
      </w:r>
      <w:hyperlink w:anchor="_ENREF_53" w:tooltip="Kirpalani, 2006 #169" w:history="1">
        <w:r w:rsidR="00E62798">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instrText xml:space="preserve"> ADDIN EN.CITE </w:instrText>
        </w:r>
        <w:r w:rsidR="00E62798">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53</w:t>
        </w:r>
        <w:r w:rsidR="00E62798">
          <w:fldChar w:fldCharType="end"/>
        </w:r>
      </w:hyperlink>
      <w:r>
        <w:t xml:space="preserve"> study, Whyte (2011)</w:t>
      </w:r>
      <w:hyperlink w:anchor="_ENREF_50" w:tooltip="Whyte, 2011 #190" w:history="1">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 </w:instrText>
        </w:r>
        <w:r w:rsidR="00E62798">
          <w:fldChar w:fldCharType="begin">
            <w:fldData xml:space="preserve">PEVuZE5vdGU+PENpdGU+PEF1dGhvcj5XaHl0ZTwvQXV0aG9yPjxZZWFyPjIwMTE8L1llYXI+PFJl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ZGljYWw+PHBhZ2VzPkNEMDAwNTEyPC9wYWdlcz48bnVtYmVyPjExPC9udW1iZXI+PHJlcHJpbnQt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50</w:t>
        </w:r>
        <w:r w:rsidR="00E62798">
          <w:fldChar w:fldCharType="end"/>
        </w:r>
      </w:hyperlink>
      <w:r>
        <w:t xml:space="preserve"> </w:t>
      </w:r>
      <w:r w:rsidRPr="00EB4620">
        <w:t>assess</w:t>
      </w:r>
      <w:r>
        <w:t>ed</w:t>
      </w:r>
      <w:r w:rsidRPr="00EB4620">
        <w:t xml:space="preserve"> a composite of mortality and cognitive delay</w:t>
      </w:r>
      <w:r>
        <w:t>,</w:t>
      </w:r>
      <w:r w:rsidRPr="00EB4620">
        <w:t xml:space="preserve"> defined as </w:t>
      </w:r>
      <w:r>
        <w:t xml:space="preserve">a </w:t>
      </w:r>
      <w:r w:rsidR="00CE5AC9">
        <w:t>m</w:t>
      </w:r>
      <w:r w:rsidR="00CE5AC9" w:rsidRPr="00EB4620">
        <w:t xml:space="preserve">ental development index </w:t>
      </w:r>
      <w:r w:rsidRPr="00EB4620">
        <w:t>(MDI) &lt;70 (&gt;</w:t>
      </w:r>
      <w:r w:rsidR="002C3690" w:rsidRPr="00EB4620">
        <w:t>2</w:t>
      </w:r>
      <w:r w:rsidR="002C3690">
        <w:t> </w:t>
      </w:r>
      <w:r w:rsidR="00CE5AC9">
        <w:t>standard deviations</w:t>
      </w:r>
      <w:r w:rsidRPr="00EB4620">
        <w:t xml:space="preserve"> below age norm)</w:t>
      </w:r>
      <w:r>
        <w:t xml:space="preserve"> at </w:t>
      </w:r>
      <w:r w:rsidRPr="00EB4620">
        <w:t>18</w:t>
      </w:r>
      <w:r>
        <w:t>–</w:t>
      </w:r>
      <w:r w:rsidRPr="00EB4620">
        <w:t>21 months post-transfusion. No significant difference</w:t>
      </w:r>
      <w:r>
        <w:t xml:space="preserve"> was found</w:t>
      </w:r>
      <w:r w:rsidRPr="00EB4620">
        <w:t xml:space="preserve"> between infants </w:t>
      </w:r>
      <w:r>
        <w:t>randomised to</w:t>
      </w:r>
      <w:r w:rsidRPr="00EB4620">
        <w:t xml:space="preserve"> a restrictive </w:t>
      </w:r>
      <w:r>
        <w:t xml:space="preserve">or a liberal </w:t>
      </w:r>
      <w:r w:rsidRPr="00EB4620">
        <w:t>RBC transfusion</w:t>
      </w:r>
      <w:r>
        <w:t xml:space="preserve"> strategy</w:t>
      </w:r>
      <w:r w:rsidRPr="00EB4620">
        <w:t xml:space="preserve"> at birth</w:t>
      </w:r>
      <w:r>
        <w:t>, although</w:t>
      </w:r>
      <w:r w:rsidRPr="00EB4620">
        <w:t xml:space="preserve"> the point estimate lean</w:t>
      </w:r>
      <w:r>
        <w:t>ed</w:t>
      </w:r>
      <w:r w:rsidRPr="00EB4620">
        <w:t xml:space="preserve"> in favour of liberal transfusion. </w:t>
      </w:r>
      <w:r>
        <w:t>A</w:t>
      </w:r>
      <w:r w:rsidRPr="00EB4620">
        <w:t xml:space="preserve"> post</w:t>
      </w:r>
      <w:r>
        <w:t>-hoc</w:t>
      </w:r>
      <w:r w:rsidRPr="00EB4620">
        <w:t xml:space="preserve"> analysis</w:t>
      </w:r>
      <w:r>
        <w:t xml:space="preserve"> that</w:t>
      </w:r>
      <w:r w:rsidRPr="00EB4620">
        <w:t xml:space="preserve"> assessed a composite of mortality and cognitive delay </w:t>
      </w:r>
      <w:r>
        <w:t xml:space="preserve">demonstrated </w:t>
      </w:r>
      <w:r w:rsidRPr="00EB4620">
        <w:t>statistical significance.</w:t>
      </w:r>
      <w:r>
        <w:t xml:space="preserve"> </w:t>
      </w:r>
    </w:p>
    <w:p w14:paraId="20D957DC" w14:textId="77777777" w:rsidR="00E66069" w:rsidRDefault="00E66069" w:rsidP="00E66069">
      <w:pPr>
        <w:pStyle w:val="Heading5"/>
      </w:pPr>
      <w:r w:rsidRPr="00C758EC">
        <w:t xml:space="preserve">Severe morbidity </w:t>
      </w:r>
    </w:p>
    <w:p w14:paraId="4D0C4F63" w14:textId="64D8E6EB" w:rsidR="00E66069" w:rsidRPr="006E4F22" w:rsidRDefault="00E66069" w:rsidP="00E66069">
      <w:r>
        <w:t>Five Level II studies compared restrictive and liberal transfusion strategies among preterm infants, and reported severe morbidity outcomes including ROP, BPD and NEC</w:t>
      </w:r>
      <w:r w:rsidR="00F42852">
        <w:t>.</w:t>
      </w:r>
      <w:hyperlink w:anchor="_ENREF_51" w:tooltip="Bell, 2005 #150" w:history="1">
        <w:r w:rsidR="00E62798">
          <w:fldChar w:fldCharType="begin">
            <w:fldData xml:space="preserve">PEVuZE5vdGU+PENpdGU+PEF1dGhvcj5CZWxsPC9BdXRob3I+PFllYXI+MjAwNTwvWWVhcj48UmVj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</w:fldData>
          </w:fldChar>
        </w:r>
        <w:r w:rsidR="00E62798">
          <w:instrText xml:space="preserve"> ADDIN EN.CITE </w:instrText>
        </w:r>
        <w:r w:rsidR="00E62798">
          <w:fldChar w:fldCharType="begin">
            <w:fldData xml:space="preserve">PEVuZE5vdGU+PENpdGU+PEF1dGhvcj5CZWxsPC9BdXRob3I+PFllYXI+MjAwNTwvWWVhcj48UmVj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51-55</w:t>
        </w:r>
        <w:r w:rsidR="00E62798">
          <w:fldChar w:fldCharType="end"/>
        </w:r>
      </w:hyperlink>
      <w:r>
        <w:t xml:space="preserve"> None of the studies reported significant differences in these outcomes.</w:t>
      </w:r>
    </w:p>
    <w:p w14:paraId="6C4E7934" w14:textId="77777777" w:rsidR="00E66069" w:rsidRPr="00EB4620" w:rsidRDefault="00E66069" w:rsidP="00F42852">
      <w:pPr>
        <w:pStyle w:val="H6"/>
      </w:pPr>
      <w:r>
        <w:t>B</w:t>
      </w:r>
      <w:r w:rsidRPr="00EB4620">
        <w:t>r</w:t>
      </w:r>
      <w:r>
        <w:t>ain injury on ultrasound</w:t>
      </w:r>
    </w:p>
    <w:p w14:paraId="198CC3D8" w14:textId="59202BEA" w:rsidR="00E66069" w:rsidRDefault="00E66069" w:rsidP="00E66069">
      <w:pPr>
        <w:rPr>
          <w:lang w:eastAsia="en-GB"/>
        </w:rPr>
      </w:pPr>
      <w:r>
        <w:t>Two systematic reviews did not demonstrate any significant difference in brain injury between transfusion strategies.</w:t>
      </w:r>
      <w:r w:rsidR="00E62798">
        <w:fldChar w:fldCharType="begin">
          <w:fldData xml:space="preserve">PEVuZE5vdGU+PENpdGU+PEF1dGhvcj5JYnJhaGltPC9BdXRob3I+PFllYXI+MjAxNDwvWWVhcj48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</w:fldData>
        </w:fldChar>
      </w:r>
      <w:r w:rsidR="00E62798">
        <w:instrText xml:space="preserve"> ADDIN EN.CITE </w:instrText>
      </w:r>
      <w:r w:rsidR="00E62798">
        <w:fldChar w:fldCharType="begin">
          <w:fldData xml:space="preserve">PEVuZE5vdGU+PENpdGU+PEF1dGhvcj5JYnJhaGltPC9BdXRob3I+PFllYXI+MjAxNDwvWWVhcj48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</w:fldData>
        </w:fldChar>
      </w:r>
      <w:r w:rsidR="00E62798">
        <w:instrText xml:space="preserve"> ADDIN EN.CITE.DATA </w:instrText>
      </w:r>
      <w:r w:rsidR="00E62798">
        <w:fldChar w:fldCharType="end"/>
      </w:r>
      <w:r w:rsidR="00E62798">
        <w:fldChar w:fldCharType="separate"/>
      </w:r>
      <w:hyperlink w:anchor="_ENREF_48" w:tooltip="Ibrahim, 2014 #166" w:history="1">
        <w:r w:rsidR="00E62798" w:rsidRPr="00E62798">
          <w:rPr>
            <w:noProof/>
            <w:vertAlign w:val="superscript"/>
          </w:rPr>
          <w:t>48</w:t>
        </w:r>
      </w:hyperlink>
      <w:r w:rsidR="00E62798" w:rsidRPr="00E62798">
        <w:rPr>
          <w:noProof/>
          <w:vertAlign w:val="superscript"/>
        </w:rPr>
        <w:t xml:space="preserve">; </w:t>
      </w:r>
      <w:hyperlink w:anchor="_ENREF_50" w:tooltip="Whyte, 2011 #190" w:history="1">
        <w:r w:rsidR="00E62798" w:rsidRPr="00E62798">
          <w:rPr>
            <w:noProof/>
            <w:vertAlign w:val="superscript"/>
          </w:rPr>
          <w:t>50</w:t>
        </w:r>
      </w:hyperlink>
      <w:r w:rsidR="00E62798">
        <w:fldChar w:fldCharType="end"/>
      </w:r>
      <w:r>
        <w:t xml:space="preserve"> </w:t>
      </w:r>
    </w:p>
    <w:p w14:paraId="4841E400" w14:textId="77777777" w:rsidR="00E66069" w:rsidRPr="00EB4620" w:rsidRDefault="00E66069" w:rsidP="00F42852">
      <w:pPr>
        <w:pStyle w:val="H6"/>
      </w:pPr>
      <w:r w:rsidRPr="001D3DDC">
        <w:t>Neurodevelopmental</w:t>
      </w:r>
      <w:r w:rsidRPr="00EB4620">
        <w:t xml:space="preserve"> disability</w:t>
      </w:r>
    </w:p>
    <w:p w14:paraId="22D4A620" w14:textId="3CF8002E" w:rsidR="00E66069" w:rsidRPr="00EB4620" w:rsidRDefault="00E66069" w:rsidP="00E66069">
      <w:pPr>
        <w:rPr>
          <w:lang w:eastAsia="en-GB"/>
        </w:rPr>
      </w:pPr>
      <w:r>
        <w:t xml:space="preserve">One fair-quality </w:t>
      </w:r>
      <w:r w:rsidRPr="00EB4620">
        <w:t>Level II stud</w:t>
      </w:r>
      <w:r>
        <w:t>y</w:t>
      </w:r>
      <w:r w:rsidRPr="00EB4620">
        <w:t xml:space="preserve"> (Whyte 2009)</w:t>
      </w:r>
      <w:hyperlink w:anchor="_ENREF_56" w:tooltip="Whyte, 2009 #191" w:history="1">
        <w:r w:rsidR="00E62798">
          <w:fldChar w:fldCharType="begin">
            <w:fldData xml:space="preserve">PEVuZE5vdGU+PENpdGU+PEF1dGhvcj5XaHl0ZTwvQXV0aG9yPjxZZWFyPjIwMDk8L1llYXI+PFJl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</w:fldData>
          </w:fldChar>
        </w:r>
        <w:r w:rsidR="00E62798">
          <w:instrText xml:space="preserve"> ADDIN EN.CITE </w:instrText>
        </w:r>
        <w:r w:rsidR="00E62798">
          <w:fldChar w:fldCharType="begin">
            <w:fldData xml:space="preserve">PEVuZE5vdGU+PENpdGU+PEF1dGhvcj5XaHl0ZTwvQXV0aG9yPjxZZWFyPjIwMDk8L1llYXI+PFJl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56</w:t>
        </w:r>
        <w:r w:rsidR="00E62798">
          <w:fldChar w:fldCharType="end"/>
        </w:r>
      </w:hyperlink>
      <w:r w:rsidRPr="00EB4620">
        <w:t xml:space="preserve"> </w:t>
      </w:r>
      <w:r>
        <w:t>compared restrictive and liberal transfusion strategies in relation to</w:t>
      </w:r>
      <w:r w:rsidRPr="00EB4620">
        <w:t xml:space="preserve"> neurodevelopmental disability</w:t>
      </w:r>
      <w:r>
        <w:t xml:space="preserve"> in preterm infants</w:t>
      </w:r>
      <w:r w:rsidRPr="00EB4620">
        <w:t xml:space="preserve">. </w:t>
      </w:r>
      <w:r>
        <w:t xml:space="preserve">This study </w:t>
      </w:r>
      <w:r w:rsidRPr="00EB4620">
        <w:t>follo</w:t>
      </w:r>
      <w:r>
        <w:t xml:space="preserve">wed up </w:t>
      </w:r>
      <w:r w:rsidRPr="00EB4620">
        <w:t xml:space="preserve">the </w:t>
      </w:r>
      <w:r>
        <w:t>infants enrolled in the PINT 2006</w:t>
      </w:r>
      <w:hyperlink w:anchor="_ENREF_53" w:tooltip="Kirpalani, 2006 #169" w:history="1">
        <w:r w:rsidR="00E62798">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instrText xml:space="preserve"> ADDIN EN.CITE </w:instrText>
        </w:r>
        <w:r w:rsidR="00E62798">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53</w:t>
        </w:r>
        <w:r w:rsidR="00E62798">
          <w:fldChar w:fldCharType="end"/>
        </w:r>
      </w:hyperlink>
      <w:r>
        <w:t xml:space="preserve"> study at </w:t>
      </w:r>
      <w:r w:rsidRPr="00EB4620">
        <w:t>18</w:t>
      </w:r>
      <w:r>
        <w:t>–</w:t>
      </w:r>
      <w:r w:rsidRPr="00EB4620">
        <w:t xml:space="preserve">21 months post-transfusion. </w:t>
      </w:r>
      <w:r>
        <w:rPr>
          <w:lang w:eastAsia="en-GB"/>
        </w:rPr>
        <w:t>It found n</w:t>
      </w:r>
      <w:r w:rsidRPr="00EB4620">
        <w:rPr>
          <w:lang w:eastAsia="en-GB"/>
        </w:rPr>
        <w:t>o significant difference between restrictive and liberal RBC transfusion</w:t>
      </w:r>
      <w:r>
        <w:rPr>
          <w:lang w:eastAsia="en-GB"/>
        </w:rPr>
        <w:t xml:space="preserve"> strategies</w:t>
      </w:r>
      <w:r w:rsidRPr="00AB387D">
        <w:rPr>
          <w:lang w:eastAsia="en-GB"/>
        </w:rPr>
        <w:t xml:space="preserve"> </w:t>
      </w:r>
      <w:r>
        <w:rPr>
          <w:lang w:eastAsia="en-GB"/>
        </w:rPr>
        <w:t>for cerebral palsy, severe visual and hearing impairment, or any neurosensory impairment.</w:t>
      </w:r>
    </w:p>
    <w:p w14:paraId="52F5D019" w14:textId="77777777" w:rsidR="00E66069" w:rsidRDefault="00E66069" w:rsidP="00F42852">
      <w:pPr>
        <w:pStyle w:val="H6"/>
      </w:pPr>
      <w:r>
        <w:t>Transfusion-related serious adverse events</w:t>
      </w:r>
    </w:p>
    <w:p w14:paraId="3B3D2AF2" w14:textId="43D707B4" w:rsidR="00E66069" w:rsidRPr="00EB4620" w:rsidRDefault="00E66069" w:rsidP="00E66069">
      <w:pPr>
        <w:rPr>
          <w:lang w:eastAsia="en-GB"/>
        </w:rPr>
      </w:pPr>
      <w:r>
        <w:t>One</w:t>
      </w:r>
      <w:r w:rsidRPr="00EB4620">
        <w:t xml:space="preserve"> Level II </w:t>
      </w:r>
      <w:r>
        <w:t>study</w:t>
      </w:r>
      <w:r w:rsidRPr="00EB4620">
        <w:t xml:space="preserve"> </w:t>
      </w:r>
      <w:r>
        <w:t xml:space="preserve">with insufficient power to detect a difference in </w:t>
      </w:r>
      <w:r w:rsidRPr="00EB4620">
        <w:t xml:space="preserve">transfusion-related </w:t>
      </w:r>
      <w:r w:rsidR="003F465E">
        <w:t xml:space="preserve">serious adverse events </w:t>
      </w:r>
      <w:r>
        <w:t xml:space="preserve">reported no cases of TACO, TRALI, </w:t>
      </w:r>
      <w:r w:rsidRPr="003B7473">
        <w:t>haemolytic transfusion reactions, transfusion</w:t>
      </w:r>
      <w:r>
        <w:t>-</w:t>
      </w:r>
      <w:r w:rsidRPr="003B7473">
        <w:t xml:space="preserve">transmitted infections, </w:t>
      </w:r>
      <w:r w:rsidR="007E5655">
        <w:t>TAGVHD</w:t>
      </w:r>
      <w:r>
        <w:t xml:space="preserve"> or</w:t>
      </w:r>
      <w:r w:rsidRPr="003B7473">
        <w:t xml:space="preserve"> anaphylactic reactions</w:t>
      </w:r>
      <w:r>
        <w:rPr>
          <w:lang w:eastAsia="en-GB"/>
        </w:rPr>
        <w:t>.</w:t>
      </w:r>
      <w:hyperlink w:anchor="_ENREF_51" w:tooltip="Bell, 2005 #150" w:history="1">
        <w:r w:rsidR="00E62798">
          <w:fldChar w:fldCharType="begin">
            <w:fldData xml:space="preserve">PEVuZE5vdGU+PENpdGU+PEF1dGhvcj5CZWxsPC9BdXRob3I+PFllYXI+MjAwNTwvWWVhcj48UmVj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</w:fldData>
          </w:fldChar>
        </w:r>
        <w:r w:rsidR="00E62798">
          <w:instrText xml:space="preserve"> ADDIN EN.CITE </w:instrText>
        </w:r>
        <w:r w:rsidR="00E62798">
          <w:fldChar w:fldCharType="begin">
            <w:fldData xml:space="preserve">PEVuZE5vdGU+PENpdGU+PEF1dGhvcj5CZWxsPC9BdXRob3I+PFllYXI+MjAwNTwvWWVhcj48UmVj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51</w:t>
        </w:r>
        <w:r w:rsidR="00E62798">
          <w:fldChar w:fldCharType="end"/>
        </w:r>
      </w:hyperlink>
    </w:p>
    <w:p w14:paraId="34A553EA" w14:textId="77777777" w:rsidR="00E66069" w:rsidRPr="00EB4620" w:rsidRDefault="00E66069" w:rsidP="00B54640">
      <w:pPr>
        <w:pStyle w:val="BoxHeading"/>
      </w:pPr>
      <w:r>
        <w:t>Clinical commentary – effect of RBC transfusion on patient outcomes in neonates</w:t>
      </w:r>
    </w:p>
    <w:p w14:paraId="45911538" w14:textId="3014EA3A" w:rsidR="00E66069" w:rsidRDefault="00E66069" w:rsidP="00B54640">
      <w:pPr>
        <w:pStyle w:val="BoxText"/>
        <w:rPr>
          <w:lang w:eastAsia="en-GB"/>
        </w:rPr>
      </w:pPr>
      <w:r>
        <w:t>In preterm infants, the physiological decline in circulating RBCs is more pronounced than in term infants. Factors contributing to anaemia of prematurity include rapid growth, inadequate erythropoiesis and the phlebotomy blood losses that may occur within the first few weeks of life. The anaemia can be treated with RBC transfusions, which raise Hb levels and help to increase red cell mass. However, concerns have been raised about the use of RBC transfusions in preterm infants, because of a potential association with various adverse events (e.g. ROP, BPD, NEC and IVH) to which preterm infants are particularly vulnerable. Further, the use and dosing of transfusion varies widely, because</w:t>
      </w:r>
      <w:r w:rsidR="006F3C86">
        <w:rPr>
          <w:lang w:val="en-AU"/>
        </w:rPr>
        <w:t xml:space="preserve"> neither</w:t>
      </w:r>
      <w:r>
        <w:t xml:space="preserve"> the appropriate Hb thresholds</w:t>
      </w:r>
      <w:r w:rsidR="006F3C86">
        <w:rPr>
          <w:lang w:val="en-AU"/>
        </w:rPr>
        <w:t xml:space="preserve"> nor</w:t>
      </w:r>
      <w:r w:rsidR="00CE5AC9">
        <w:t xml:space="preserve">, </w:t>
      </w:r>
      <w:r>
        <w:t>the other triggers for RBC transfusion</w:t>
      </w:r>
      <w:r w:rsidR="006F3C86">
        <w:rPr>
          <w:lang w:val="en-AU"/>
        </w:rPr>
        <w:t xml:space="preserve"> have a strong evidence basis</w:t>
      </w:r>
      <w:r>
        <w:t>.</w:t>
      </w:r>
      <w:r w:rsidRPr="00D14E0D">
        <w:rPr>
          <w:lang w:eastAsia="en-GB"/>
        </w:rPr>
        <w:t xml:space="preserve"> </w:t>
      </w:r>
    </w:p>
    <w:p w14:paraId="69E7DDAF" w14:textId="55FA4AA3" w:rsidR="00E66069" w:rsidRDefault="00E66069" w:rsidP="00B54640">
      <w:pPr>
        <w:pStyle w:val="BoxText"/>
      </w:pPr>
      <w:r>
        <w:rPr>
          <w:lang w:eastAsia="en-GB"/>
        </w:rPr>
        <w:t>The current systematic review suggests that transfusion in preterm infants is associated with increased in-hospital mortality. However, the increase in relative risk is modest and could be attributable to unmeasured confounding variables. There is no evidence to support an association between RBC transfusion and BPD, ROP or neurodevelopmental disability. A number of studies have reported a relationship between RBC transfusion and NEC in preterm neonates. In contrast, RCTs comparing restrictive versus liberal transfusion strategies in this population suggest that a more liberal transfusion strategy does not increase the risk of NEC.</w:t>
      </w:r>
      <w:r w:rsidR="004828DA">
        <w:t xml:space="preserve"> </w:t>
      </w:r>
      <w:r>
        <w:t>Therefore, although observational studies of preterm patients suggest an association between RBC transfusion and NEC, causation has not been established.</w:t>
      </w:r>
    </w:p>
    <w:p w14:paraId="26F13ACD" w14:textId="77777777" w:rsidR="00F80972" w:rsidRDefault="00F80972">
      <w:pPr>
        <w:spacing w:after="0"/>
        <w:ind w:left="0"/>
        <w:rPr>
          <w:rFonts w:cs="Times New Roman"/>
          <w:lang w:val="x-none" w:eastAsia="en-GB"/>
        </w:rPr>
      </w:pPr>
      <w:r>
        <w:rPr>
          <w:lang w:eastAsia="en-GB"/>
        </w:rPr>
        <w:br w:type="page"/>
      </w:r>
    </w:p>
    <w:p w14:paraId="7F306254" w14:textId="18B7E018" w:rsidR="00E66069" w:rsidRDefault="00E66069" w:rsidP="00B54640">
      <w:pPr>
        <w:pStyle w:val="BoxText"/>
        <w:rPr>
          <w:lang w:eastAsia="en-GB"/>
        </w:rPr>
      </w:pPr>
      <w:r>
        <w:rPr>
          <w:lang w:eastAsia="en-GB"/>
        </w:rPr>
        <w:t>Overall, it is unclear whether the general use of RBC transfusion should be guided by a restrictive or a liberal transfusion strategy. Recent evidence highlights the contribution to improved clinical outcomes of higher oxygen saturation targets in the neonatal period.</w:t>
      </w:r>
      <w:hyperlink w:anchor="_ENREF_57" w:tooltip="Boost Ii United Kingdom Collaborative Group, 2013 #1004" w:history="1">
        <w:r w:rsidR="00E62798">
          <w:rPr>
            <w:lang w:eastAsia="en-GB"/>
          </w:rPr>
          <w:fldChar w:fldCharType="begin">
            <w:fldData xml:space="preserve">PEVuZE5vdGU+PENpdGU+PEF1dGhvcj5Cb29zdCBJaSBVbml0ZWQgS2luZ2RvbSBDb2xsYWJvcmF0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PEVuZE5vdGU+PENpdGU+PEF1dGhvcj5Cb29zdCBJaSBVbml0ZWQgS2luZ2RvbSBDb2xsYWJvcmF0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57</w:t>
        </w:r>
        <w:r w:rsidR="00E62798">
          <w:rPr>
            <w:lang w:eastAsia="en-GB"/>
          </w:rPr>
          <w:fldChar w:fldCharType="end"/>
        </w:r>
      </w:hyperlink>
      <w:r>
        <w:rPr>
          <w:lang w:eastAsia="en-GB"/>
        </w:rPr>
        <w:t xml:space="preserve"> However, the oxygen saturation targets used in the studies comparing restrictive and liberal strategies were not clearly specified. Hence, in the setting of contemporary oxygen saturation targets of 91–95%, the effect of a restrictive versus liberal transfusion strategy on patient outcomes remains unknown.</w:t>
      </w:r>
    </w:p>
    <w:p w14:paraId="7E3935F6" w14:textId="08CEACA2" w:rsidR="00E66069" w:rsidRDefault="00E66069" w:rsidP="00B54640">
      <w:pPr>
        <w:pStyle w:val="BoxText"/>
        <w:rPr>
          <w:lang w:eastAsia="en-GB"/>
        </w:rPr>
      </w:pPr>
      <w:r>
        <w:rPr>
          <w:lang w:eastAsia="en-GB"/>
        </w:rPr>
        <w:t xml:space="preserve">In the current systematic review, no significant difference between restrictive and liberal RBC transfusion strategies was observed for neonatal mortality. However, post-hoc analysis of the PINT </w:t>
      </w:r>
      <w:r w:rsidR="00CE5AC9">
        <w:rPr>
          <w:lang w:eastAsia="en-GB"/>
        </w:rPr>
        <w:t xml:space="preserve">2006 </w:t>
      </w:r>
      <w:r>
        <w:rPr>
          <w:lang w:eastAsia="en-GB"/>
        </w:rPr>
        <w:t>study</w:t>
      </w:r>
      <w:hyperlink w:anchor="_ENREF_53" w:tooltip="Kirpalani, 2006 #169" w:history="1">
        <w:r w:rsidR="00E62798">
          <w:rPr>
            <w:lang w:eastAsia="en-GB"/>
          </w:rPr>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rPr>
            <w:lang w:eastAsia="en-GB"/>
          </w:rPr>
          <w:instrText xml:space="preserve"> ADDIN EN.CITE </w:instrText>
        </w:r>
        <w:r w:rsidR="00E62798">
          <w:rPr>
            <w:lang w:eastAsia="en-GB"/>
          </w:rPr>
          <w:fldChar w:fldCharType="begin">
            <w:fldData xml:space="preserve">PEVuZE5vdGU+PENpdGU+PEF1dGhvcj5LaXJwYWxhbmk8L0F1dGhvcj48WWVhcj4yMDA2PC9ZZWFy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=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53</w:t>
        </w:r>
        <w:r w:rsidR="00E62798">
          <w:rPr>
            <w:lang w:eastAsia="en-GB"/>
          </w:rPr>
          <w:fldChar w:fldCharType="end"/>
        </w:r>
      </w:hyperlink>
      <w:r>
        <w:rPr>
          <w:lang w:eastAsia="en-GB"/>
        </w:rPr>
        <w:t xml:space="preserve"> suggested that a liberal transfusion threshold led to reductions in both cognitive delay and the composite of mortality and cognitive delay. Further evidence will become available from two large RCTs currently underway. These RCTs, which are using the higher oxygen saturation target band, aim to determine the effect of restrictive versus liberal transfusion thresholds on neonatal morbidity</w:t>
      </w:r>
      <w:r w:rsidR="006F3C86">
        <w:rPr>
          <w:lang w:val="en-AU" w:eastAsia="en-GB"/>
        </w:rPr>
        <w:t>,</w:t>
      </w:r>
      <w:r>
        <w:rPr>
          <w:lang w:eastAsia="en-GB"/>
        </w:rPr>
        <w:t xml:space="preserve"> mortality</w:t>
      </w:r>
      <w:r w:rsidR="006F3C86">
        <w:rPr>
          <w:lang w:val="en-AU" w:eastAsia="en-GB"/>
        </w:rPr>
        <w:t xml:space="preserve"> and developmental outcomes</w:t>
      </w:r>
      <w:r>
        <w:rPr>
          <w:lang w:eastAsia="en-GB"/>
        </w:rPr>
        <w:t>.</w:t>
      </w:r>
    </w:p>
    <w:p w14:paraId="73D80B89" w14:textId="77777777" w:rsidR="00E66069" w:rsidRDefault="00E66069" w:rsidP="00E66069">
      <w:pPr>
        <w:pStyle w:val="Heading3"/>
        <w:ind w:left="720"/>
        <w:rPr>
          <w:lang w:eastAsia="en-GB"/>
        </w:rPr>
      </w:pPr>
      <w:bookmarkStart w:id="96" w:name="_Toc426976825"/>
      <w:bookmarkStart w:id="97" w:name="_Toc427851317"/>
      <w:r>
        <w:rPr>
          <w:lang w:eastAsia="en-GB"/>
        </w:rPr>
        <w:t>3.2.2</w:t>
      </w:r>
      <w:r>
        <w:rPr>
          <w:lang w:eastAsia="en-GB"/>
        </w:rPr>
        <w:tab/>
      </w:r>
      <w:r w:rsidRPr="00EB4620">
        <w:rPr>
          <w:lang w:eastAsia="en-GB"/>
        </w:rPr>
        <w:t>Infants, children and adolescents</w:t>
      </w:r>
      <w:r>
        <w:rPr>
          <w:lang w:eastAsia="en-GB"/>
        </w:rPr>
        <w:t xml:space="preserve"> </w:t>
      </w:r>
      <w:r>
        <w:t>– effect of RBC transfusion on patient outcomes</w:t>
      </w:r>
      <w:bookmarkEnd w:id="96"/>
      <w:bookmarkEnd w:id="97"/>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1"/>
      </w:tblGrid>
      <w:tr w:rsidR="00E66069" w:rsidRPr="00A21FE4" w14:paraId="01072DFB"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423F79A3" w14:textId="004CAFA2" w:rsidR="00E66069" w:rsidRPr="00A21FE4" w:rsidRDefault="00E66069" w:rsidP="00AB4C4F">
            <w:pPr>
              <w:pStyle w:val="PP-heading"/>
            </w:pPr>
            <w:r w:rsidRPr="00A21FE4">
              <w:t xml:space="preserve">Evidence statements – </w:t>
            </w:r>
            <w:r w:rsidRPr="00A21FE4">
              <w:rPr>
                <w:lang w:eastAsia="en-GB"/>
              </w:rPr>
              <w:t>infants, children and adolescents</w:t>
            </w:r>
            <w:r w:rsidR="004828DA">
              <w:t xml:space="preserve"> </w:t>
            </w:r>
            <w:r w:rsidRPr="00A21FE4">
              <w:t>(RBC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82A273A"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42F9AB6"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14F0C43"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0963F81" w14:textId="77777777" w:rsidR="00E66069" w:rsidRPr="00A21FE4" w:rsidRDefault="00E66069" w:rsidP="00AB4C4F">
            <w:pPr>
              <w:ind w:left="113" w:right="113"/>
              <w:jc w:val="center"/>
              <w:rPr>
                <w:b/>
              </w:rPr>
            </w:pPr>
            <w:r w:rsidRPr="00A21FE4">
              <w:rPr>
                <w:b/>
              </w:rPr>
              <w:t>Generalisability</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F0F178B" w14:textId="77777777" w:rsidR="00E66069" w:rsidRPr="00A21FE4" w:rsidRDefault="00E66069" w:rsidP="00AB4C4F">
            <w:pPr>
              <w:ind w:left="113" w:right="113"/>
              <w:jc w:val="center"/>
              <w:rPr>
                <w:b/>
              </w:rPr>
            </w:pPr>
            <w:r w:rsidRPr="00A21FE4">
              <w:rPr>
                <w:b/>
              </w:rPr>
              <w:t>Applicability</w:t>
            </w:r>
          </w:p>
        </w:tc>
      </w:tr>
      <w:tr w:rsidR="00E66069" w:rsidRPr="00A21FE4" w14:paraId="5D5C1CAF" w14:textId="77777777" w:rsidTr="00AB4C4F">
        <w:trPr>
          <w:cantSplit/>
        </w:trPr>
        <w:tc>
          <w:tcPr>
            <w:tcW w:w="851" w:type="dxa"/>
          </w:tcPr>
          <w:p w14:paraId="0B7B9AAD" w14:textId="77777777" w:rsidR="00E66069" w:rsidRPr="00A21FE4" w:rsidRDefault="00E66069" w:rsidP="00AB4C4F">
            <w:pPr>
              <w:pStyle w:val="Tabletextnoindent"/>
              <w:numPr>
                <w:ilvl w:val="0"/>
                <w:numId w:val="0"/>
              </w:numPr>
            </w:pPr>
            <w:r w:rsidRPr="0079185B">
              <w:t>ES1.1</w:t>
            </w:r>
            <w:r>
              <w:t>2</w:t>
            </w:r>
          </w:p>
        </w:tc>
        <w:tc>
          <w:tcPr>
            <w:tcW w:w="3750" w:type="dxa"/>
          </w:tcPr>
          <w:p w14:paraId="1FE9A3EF" w14:textId="77777777" w:rsidR="00E66069" w:rsidRPr="00A21FE4" w:rsidRDefault="00E66069" w:rsidP="00AB4C4F">
            <w:pPr>
              <w:pStyle w:val="ES-table"/>
            </w:pPr>
            <w:r w:rsidRPr="00A21FE4">
              <w:t>In infants, children and adolescents, the effect of RBC transfusion compared with no transfusion on mortality is unknown.</w:t>
            </w:r>
          </w:p>
        </w:tc>
        <w:tc>
          <w:tcPr>
            <w:tcW w:w="809" w:type="dxa"/>
          </w:tcPr>
          <w:p w14:paraId="6142D8EF" w14:textId="77777777" w:rsidR="00E66069" w:rsidRPr="00A21FE4" w:rsidRDefault="00E66069" w:rsidP="00AB4C4F">
            <w:pPr>
              <w:pStyle w:val="T-ABCD"/>
            </w:pPr>
            <w:r w:rsidRPr="00A21FE4">
              <w:t>NA</w:t>
            </w:r>
          </w:p>
        </w:tc>
        <w:tc>
          <w:tcPr>
            <w:tcW w:w="809" w:type="dxa"/>
          </w:tcPr>
          <w:p w14:paraId="5C89277F" w14:textId="77777777" w:rsidR="00E66069" w:rsidRPr="00A21FE4" w:rsidRDefault="00E66069" w:rsidP="00AB4C4F">
            <w:pPr>
              <w:pStyle w:val="T-ABCD"/>
            </w:pPr>
            <w:r w:rsidRPr="00A21FE4">
              <w:t>NA</w:t>
            </w:r>
          </w:p>
        </w:tc>
        <w:tc>
          <w:tcPr>
            <w:tcW w:w="809" w:type="dxa"/>
          </w:tcPr>
          <w:p w14:paraId="14BD0D0E" w14:textId="77777777" w:rsidR="00E66069" w:rsidRPr="00A21FE4" w:rsidRDefault="00E66069" w:rsidP="00AB4C4F">
            <w:pPr>
              <w:pStyle w:val="T-ABCD"/>
            </w:pPr>
            <w:r w:rsidRPr="00A21FE4">
              <w:t>NA</w:t>
            </w:r>
          </w:p>
        </w:tc>
        <w:tc>
          <w:tcPr>
            <w:tcW w:w="809" w:type="dxa"/>
          </w:tcPr>
          <w:p w14:paraId="33AA845D" w14:textId="77777777" w:rsidR="00E66069" w:rsidRPr="00A21FE4" w:rsidRDefault="00E66069" w:rsidP="00AB4C4F">
            <w:pPr>
              <w:pStyle w:val="T-ABCD"/>
            </w:pPr>
            <w:r w:rsidRPr="00A21FE4">
              <w:t>NA</w:t>
            </w:r>
          </w:p>
        </w:tc>
        <w:tc>
          <w:tcPr>
            <w:tcW w:w="811" w:type="dxa"/>
          </w:tcPr>
          <w:p w14:paraId="2FA4B90E" w14:textId="77777777" w:rsidR="00E66069" w:rsidRPr="00A21FE4" w:rsidRDefault="00E66069" w:rsidP="00AB4C4F">
            <w:pPr>
              <w:pStyle w:val="T-ABCD"/>
            </w:pPr>
            <w:r w:rsidRPr="00A21FE4">
              <w:t xml:space="preserve">NA </w:t>
            </w:r>
          </w:p>
        </w:tc>
      </w:tr>
      <w:tr w:rsidR="00E66069" w:rsidRPr="00A21FE4" w14:paraId="41E7E18B" w14:textId="77777777" w:rsidTr="00AB4C4F">
        <w:trPr>
          <w:cantSplit/>
        </w:trPr>
        <w:tc>
          <w:tcPr>
            <w:tcW w:w="851" w:type="dxa"/>
          </w:tcPr>
          <w:p w14:paraId="31C5542B" w14:textId="77777777" w:rsidR="00E66069" w:rsidRPr="00A21FE4" w:rsidRDefault="00E66069" w:rsidP="00AB4C4F">
            <w:pPr>
              <w:pStyle w:val="Tabletextnoindent"/>
              <w:numPr>
                <w:ilvl w:val="0"/>
                <w:numId w:val="0"/>
              </w:numPr>
            </w:pPr>
            <w:r w:rsidRPr="0079185B">
              <w:t>ES1.</w:t>
            </w:r>
            <w:r>
              <w:t>13</w:t>
            </w:r>
          </w:p>
        </w:tc>
        <w:tc>
          <w:tcPr>
            <w:tcW w:w="3750" w:type="dxa"/>
          </w:tcPr>
          <w:p w14:paraId="7A3AD35A" w14:textId="77777777" w:rsidR="00E66069" w:rsidRPr="00A21FE4" w:rsidRDefault="00E66069" w:rsidP="00AB4C4F">
            <w:pPr>
              <w:pStyle w:val="ES-table"/>
            </w:pPr>
            <w:r w:rsidRPr="00A21FE4">
              <w:t>In infants, children and adolescents, the effect of restrictive RBC transfusion compared with liberal RBC transfusion on mortality is unknown.</w:t>
            </w:r>
          </w:p>
        </w:tc>
        <w:tc>
          <w:tcPr>
            <w:tcW w:w="809" w:type="dxa"/>
          </w:tcPr>
          <w:p w14:paraId="3DCB2CD1" w14:textId="77777777" w:rsidR="00E66069" w:rsidRPr="00A21FE4" w:rsidRDefault="00E66069" w:rsidP="00AB4C4F">
            <w:pPr>
              <w:pStyle w:val="T-ABCD"/>
            </w:pPr>
            <w:r w:rsidRPr="00A21FE4">
              <w:t>NA</w:t>
            </w:r>
          </w:p>
        </w:tc>
        <w:tc>
          <w:tcPr>
            <w:tcW w:w="809" w:type="dxa"/>
          </w:tcPr>
          <w:p w14:paraId="368310FD" w14:textId="77777777" w:rsidR="00E66069" w:rsidRPr="00A21FE4" w:rsidRDefault="00E66069" w:rsidP="00AB4C4F">
            <w:pPr>
              <w:pStyle w:val="T-ABCD"/>
            </w:pPr>
            <w:r w:rsidRPr="00A21FE4">
              <w:t>NA</w:t>
            </w:r>
          </w:p>
        </w:tc>
        <w:tc>
          <w:tcPr>
            <w:tcW w:w="809" w:type="dxa"/>
          </w:tcPr>
          <w:p w14:paraId="5D2F8330" w14:textId="77777777" w:rsidR="00E66069" w:rsidRPr="00A21FE4" w:rsidRDefault="00E66069" w:rsidP="00AB4C4F">
            <w:pPr>
              <w:pStyle w:val="T-ABCD"/>
            </w:pPr>
            <w:r w:rsidRPr="00A21FE4">
              <w:t>NA</w:t>
            </w:r>
          </w:p>
        </w:tc>
        <w:tc>
          <w:tcPr>
            <w:tcW w:w="809" w:type="dxa"/>
          </w:tcPr>
          <w:p w14:paraId="02C8BB02" w14:textId="77777777" w:rsidR="00E66069" w:rsidRPr="00A21FE4" w:rsidRDefault="00E66069" w:rsidP="00AB4C4F">
            <w:pPr>
              <w:pStyle w:val="T-ABCD"/>
            </w:pPr>
            <w:r w:rsidRPr="00A21FE4">
              <w:t>NA</w:t>
            </w:r>
          </w:p>
        </w:tc>
        <w:tc>
          <w:tcPr>
            <w:tcW w:w="811" w:type="dxa"/>
          </w:tcPr>
          <w:p w14:paraId="69BAE4C9" w14:textId="77777777" w:rsidR="00E66069" w:rsidRPr="00A21FE4" w:rsidRDefault="00E66069" w:rsidP="00AB4C4F">
            <w:pPr>
              <w:pStyle w:val="T-ABCD"/>
            </w:pPr>
            <w:r w:rsidRPr="00A21FE4">
              <w:t xml:space="preserve">NA </w:t>
            </w:r>
          </w:p>
        </w:tc>
      </w:tr>
      <w:tr w:rsidR="00E66069" w:rsidRPr="00A21FE4" w14:paraId="2DCB904C" w14:textId="77777777" w:rsidTr="00AB4C4F">
        <w:trPr>
          <w:cantSplit/>
        </w:trPr>
        <w:tc>
          <w:tcPr>
            <w:tcW w:w="8648" w:type="dxa"/>
            <w:gridSpan w:val="7"/>
          </w:tcPr>
          <w:p w14:paraId="77C458E6" w14:textId="77777777" w:rsidR="00E66069" w:rsidRPr="00A21FE4" w:rsidRDefault="00E66069" w:rsidP="00AB4C4F">
            <w:pPr>
              <w:pStyle w:val="ES-notes"/>
            </w:pPr>
            <w:r w:rsidRPr="00A21FE4">
              <w:t xml:space="preserve">ES, evidence statement; RBC, red blood cell </w:t>
            </w:r>
          </w:p>
          <w:p w14:paraId="429373BA"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756B7265" w14:textId="77777777" w:rsidR="00E66069" w:rsidRDefault="00E66069" w:rsidP="00E66069"/>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31"/>
      </w:tblGrid>
      <w:tr w:rsidR="00E66069" w:rsidRPr="00A21FE4" w14:paraId="353630B7" w14:textId="77777777" w:rsidTr="00467EEA">
        <w:trPr>
          <w:cantSplit/>
        </w:trPr>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tcPr>
          <w:p w14:paraId="36109523" w14:textId="161B5F5F" w:rsidR="00E66069" w:rsidRPr="006D11A2" w:rsidRDefault="00E66069" w:rsidP="006D11A2">
            <w:pPr>
              <w:pStyle w:val="PP-heading"/>
              <w:rPr>
                <w:lang w:val="en-AU"/>
              </w:rPr>
            </w:pPr>
            <w:r w:rsidRPr="00A21FE4">
              <w:t xml:space="preserve">Recommendation – </w:t>
            </w:r>
            <w:r w:rsidR="006D11A2" w:rsidRPr="00A21FE4">
              <w:rPr>
                <w:lang w:eastAsia="en-GB"/>
              </w:rPr>
              <w:t>infants, children and adolescents</w:t>
            </w:r>
            <w:r w:rsidR="006D11A2">
              <w:t xml:space="preserve"> </w:t>
            </w:r>
            <w:r w:rsidR="006D11A2" w:rsidRPr="00A21FE4">
              <w:t>(RBC transfusion)</w:t>
            </w:r>
          </w:p>
        </w:tc>
      </w:tr>
      <w:tr w:rsidR="00E66069" w:rsidRPr="00A21FE4" w14:paraId="1D6107F6" w14:textId="77777777" w:rsidTr="00F42852">
        <w:trPr>
          <w:cantSplit/>
        </w:trPr>
        <w:tc>
          <w:tcPr>
            <w:tcW w:w="1117" w:type="dxa"/>
            <w:tcBorders>
              <w:right w:val="single" w:sz="4" w:space="0" w:color="auto"/>
            </w:tcBorders>
            <w:shd w:val="clear" w:color="auto" w:fill="auto"/>
          </w:tcPr>
          <w:p w14:paraId="7AF79D84" w14:textId="77777777" w:rsidR="00E66069" w:rsidRPr="00AB4C4F" w:rsidRDefault="00E66069" w:rsidP="00AB4C4F">
            <w:pPr>
              <w:pStyle w:val="PP"/>
            </w:pPr>
            <w:r w:rsidRPr="00AB4C4F">
              <w:t>R1</w:t>
            </w:r>
            <w:r w:rsidRPr="00AB4C4F">
              <w:br/>
              <w:t>(Grade C)</w:t>
            </w:r>
          </w:p>
        </w:tc>
        <w:tc>
          <w:tcPr>
            <w:tcW w:w="7531" w:type="dxa"/>
            <w:tcBorders>
              <w:left w:val="single" w:sz="4" w:space="0" w:color="auto"/>
            </w:tcBorders>
            <w:shd w:val="clear" w:color="auto" w:fill="auto"/>
          </w:tcPr>
          <w:p w14:paraId="0862C446" w14:textId="77777777" w:rsidR="00E66069" w:rsidRPr="00A21FE4" w:rsidRDefault="00E66069" w:rsidP="00AB4C4F">
            <w:pPr>
              <w:pStyle w:val="PP"/>
            </w:pPr>
            <w:r w:rsidRPr="00A21FE4">
              <w:t>In paediatric patients, including those who are critically ill, a restrictive transfusion strategy should be employed.</w:t>
            </w:r>
            <w:r w:rsidRPr="00A21FE4">
              <w:rPr>
                <w:vertAlign w:val="superscript"/>
              </w:rPr>
              <w:t>a</w:t>
            </w:r>
            <w:r w:rsidRPr="00A21FE4">
              <w:t xml:space="preserve"> Higher Hb thresholds are appropriate in very low birth weight neonates.</w:t>
            </w:r>
            <w:r w:rsidRPr="00A21FE4">
              <w:rPr>
                <w:vertAlign w:val="superscript"/>
              </w:rPr>
              <w:t xml:space="preserve">b </w:t>
            </w:r>
          </w:p>
          <w:p w14:paraId="50105385" w14:textId="77777777" w:rsidR="00E66069" w:rsidRPr="00A21FE4" w:rsidRDefault="00E66069" w:rsidP="00AB4C4F">
            <w:pPr>
              <w:pStyle w:val="PP-note"/>
            </w:pPr>
            <w:r w:rsidRPr="00A21FE4">
              <w:rPr>
                <w:vertAlign w:val="superscript"/>
              </w:rPr>
              <w:t xml:space="preserve">a </w:t>
            </w:r>
            <w:r w:rsidRPr="00A21FE4">
              <w:t>See PP6 for guidance on a restrictive transfusion strategy.</w:t>
            </w:r>
            <w:r w:rsidRPr="00A21FE4">
              <w:br/>
            </w:r>
            <w:r w:rsidRPr="00A21FE4">
              <w:rPr>
                <w:vertAlign w:val="superscript"/>
              </w:rPr>
              <w:t xml:space="preserve">b </w:t>
            </w:r>
            <w:r w:rsidRPr="00A21FE4">
              <w:t>See PP2 for guidance for very low birth weight neonates.</w:t>
            </w:r>
          </w:p>
        </w:tc>
      </w:tr>
      <w:tr w:rsidR="00E66069" w:rsidRPr="00A21FE4" w14:paraId="4363C517" w14:textId="77777777" w:rsidTr="00467EEA">
        <w:trPr>
          <w:cantSplit/>
        </w:trPr>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tcPr>
          <w:p w14:paraId="2E7B1866" w14:textId="63C2F4D7" w:rsidR="00E66069" w:rsidRPr="00A21FE4" w:rsidRDefault="00E66069" w:rsidP="00AB4C4F">
            <w:pPr>
              <w:pStyle w:val="PP-heading"/>
            </w:pPr>
            <w:r w:rsidRPr="00A21FE4">
              <w:t xml:space="preserve">Practice points – </w:t>
            </w:r>
            <w:r w:rsidR="006D11A2" w:rsidRPr="00A21FE4">
              <w:rPr>
                <w:lang w:eastAsia="en-GB"/>
              </w:rPr>
              <w:t>infants, children and adolescents</w:t>
            </w:r>
            <w:r w:rsidR="006D11A2">
              <w:t xml:space="preserve"> </w:t>
            </w:r>
            <w:r w:rsidR="006D11A2" w:rsidRPr="00A21FE4">
              <w:t>(RBC transfusion)</w:t>
            </w:r>
          </w:p>
        </w:tc>
      </w:tr>
      <w:tr w:rsidR="00E66069" w:rsidRPr="00A21FE4" w14:paraId="7E5C3C90" w14:textId="77777777" w:rsidTr="00F42852">
        <w:trPr>
          <w:cantSplit/>
        </w:trPr>
        <w:tc>
          <w:tcPr>
            <w:tcW w:w="1117" w:type="dxa"/>
            <w:tcBorders>
              <w:right w:val="single" w:sz="4" w:space="0" w:color="auto"/>
            </w:tcBorders>
            <w:shd w:val="clear" w:color="auto" w:fill="auto"/>
          </w:tcPr>
          <w:p w14:paraId="658CDA7F" w14:textId="77777777" w:rsidR="00E66069" w:rsidRPr="00A21FE4" w:rsidRDefault="00E66069" w:rsidP="00AB4C4F">
            <w:pPr>
              <w:pStyle w:val="PP"/>
            </w:pPr>
            <w:r w:rsidRPr="00A21FE4">
              <w:t>PP5</w:t>
            </w:r>
          </w:p>
        </w:tc>
        <w:tc>
          <w:tcPr>
            <w:tcW w:w="7531" w:type="dxa"/>
            <w:tcBorders>
              <w:left w:val="single" w:sz="4" w:space="0" w:color="auto"/>
            </w:tcBorders>
            <w:shd w:val="clear" w:color="auto" w:fill="auto"/>
          </w:tcPr>
          <w:p w14:paraId="67A71D7D" w14:textId="49833390" w:rsidR="00E66069" w:rsidRPr="00A21FE4" w:rsidRDefault="000730DD" w:rsidP="00AB4C4F">
            <w:pPr>
              <w:pStyle w:val="PT-prebullet"/>
            </w:pPr>
            <w:r>
              <w:t xml:space="preserve">For neonatal and </w:t>
            </w:r>
            <w:r w:rsidR="00E66069" w:rsidRPr="00A21FE4">
              <w:t>paediatric</w:t>
            </w:r>
            <w:r>
              <w:t xml:space="preserve"> patients, a </w:t>
            </w:r>
            <w:r w:rsidR="00E66069" w:rsidRPr="00A21FE4">
              <w:t>specific procedural guideline for RBC transfusion should be used that includes the following:</w:t>
            </w:r>
          </w:p>
          <w:p w14:paraId="11233F12" w14:textId="77777777" w:rsidR="00E66069" w:rsidRPr="00A21FE4" w:rsidRDefault="00E66069" w:rsidP="00C115C0">
            <w:pPr>
              <w:pStyle w:val="PP-bullets"/>
            </w:pPr>
            <w:r w:rsidRPr="00A21FE4">
              <w:t>volume of transfusion and rate of administration</w:t>
            </w:r>
          </w:p>
          <w:p w14:paraId="10375648" w14:textId="77777777" w:rsidR="00E66069" w:rsidRPr="00A21FE4" w:rsidRDefault="00E66069" w:rsidP="00C115C0">
            <w:pPr>
              <w:pStyle w:val="PP-bullets"/>
            </w:pPr>
            <w:r w:rsidRPr="00A21FE4">
              <w:t>patient monitoring during and after transfusion</w:t>
            </w:r>
          </w:p>
          <w:p w14:paraId="35F5B93C" w14:textId="77777777" w:rsidR="00E66069" w:rsidRPr="00A21FE4" w:rsidRDefault="00E66069" w:rsidP="00C115C0">
            <w:pPr>
              <w:pStyle w:val="PP-bullets"/>
            </w:pPr>
            <w:r w:rsidRPr="00A21FE4">
              <w:t>transfusion technique (e.g. use of syringe pumps)</w:t>
            </w:r>
          </w:p>
          <w:p w14:paraId="2ED00BAA" w14:textId="77777777" w:rsidR="00E66069" w:rsidRPr="00A21FE4" w:rsidRDefault="00E66069" w:rsidP="00C115C0">
            <w:pPr>
              <w:pStyle w:val="PP-bullets"/>
            </w:pPr>
            <w:r w:rsidRPr="00A21FE4">
              <w:t>recognition and reporting of adverse events.</w:t>
            </w:r>
          </w:p>
        </w:tc>
      </w:tr>
      <w:tr w:rsidR="00E66069" w:rsidRPr="00A21FE4" w14:paraId="4E7F93A3" w14:textId="77777777" w:rsidTr="00F42852">
        <w:trPr>
          <w:cantSplit/>
        </w:trPr>
        <w:tc>
          <w:tcPr>
            <w:tcW w:w="1117" w:type="dxa"/>
            <w:tcBorders>
              <w:right w:val="single" w:sz="4" w:space="0" w:color="auto"/>
            </w:tcBorders>
            <w:shd w:val="clear" w:color="auto" w:fill="auto"/>
          </w:tcPr>
          <w:p w14:paraId="338C6F47" w14:textId="77777777" w:rsidR="00E66069" w:rsidRPr="00A21FE4" w:rsidRDefault="00E66069" w:rsidP="00AB4C4F">
            <w:pPr>
              <w:pStyle w:val="PP"/>
            </w:pPr>
            <w:r w:rsidRPr="00A21FE4">
              <w:t>PP6</w:t>
            </w:r>
          </w:p>
        </w:tc>
        <w:tc>
          <w:tcPr>
            <w:tcW w:w="7531" w:type="dxa"/>
            <w:tcBorders>
              <w:left w:val="single" w:sz="4" w:space="0" w:color="auto"/>
            </w:tcBorders>
            <w:shd w:val="clear" w:color="auto" w:fill="auto"/>
          </w:tcPr>
          <w:p w14:paraId="2D95C026" w14:textId="77777777" w:rsidR="00E66069" w:rsidRPr="00A21FE4" w:rsidRDefault="00E66069" w:rsidP="00AB4C4F">
            <w:pPr>
              <w:pStyle w:val="PT-prebullet"/>
            </w:pPr>
            <w:r w:rsidRPr="00A21FE4">
              <w:t>In haemodynamically stable paediatric patients (excluding neonates), evidence from other patient groups and CRG consensus</w:t>
            </w:r>
            <w:r w:rsidRPr="00A21FE4">
              <w:rPr>
                <w:vertAlign w:val="superscript"/>
              </w:rPr>
              <w:t>a</w:t>
            </w:r>
            <w:r w:rsidRPr="00A21FE4">
              <w:t xml:space="preserve"> suggests that, with a:</w:t>
            </w:r>
          </w:p>
          <w:p w14:paraId="64F944F9" w14:textId="77777777" w:rsidR="00E66069" w:rsidRPr="00A21FE4" w:rsidRDefault="00E66069" w:rsidP="00C115C0">
            <w:pPr>
              <w:pStyle w:val="PP-bullets"/>
            </w:pPr>
            <w:r w:rsidRPr="00A21FE4">
              <w:t>Hb concentration &lt;70 g/L, RBC transfusion is often appropriate. However, transfusion may not be required in well-compensated patients or where other specific therapy is available.</w:t>
            </w:r>
          </w:p>
          <w:p w14:paraId="49D7F61F" w14:textId="77777777" w:rsidR="00E66069" w:rsidRPr="00A21FE4" w:rsidRDefault="00E66069" w:rsidP="00C115C0">
            <w:pPr>
              <w:pStyle w:val="PP-bullets"/>
            </w:pPr>
            <w:r w:rsidRPr="00A21FE4">
              <w:t xml:space="preserve">Hb concentration of 70–90 g/L, RBC transfusion may be appropriate. The decision to transfuse patients should be based on the need to relieve clinical signs and symptoms of anaemia, and the patient’s response to previous transfusions. </w:t>
            </w:r>
          </w:p>
          <w:p w14:paraId="7D09F227" w14:textId="77777777" w:rsidR="00E66069" w:rsidRPr="00A21FE4" w:rsidRDefault="00E66069" w:rsidP="00C115C0">
            <w:pPr>
              <w:pStyle w:val="PP-bullets"/>
            </w:pPr>
            <w:r w:rsidRPr="00A21FE4">
              <w:t>Hb concentration &gt;90 g/L, RBC transfusion is often unnecessary and may be inappropriate.</w:t>
            </w:r>
          </w:p>
          <w:p w14:paraId="019BBBC8" w14:textId="3D0C09F7" w:rsidR="00E66069" w:rsidRPr="00A21FE4" w:rsidRDefault="00E66069" w:rsidP="00E62798">
            <w:pPr>
              <w:pStyle w:val="PP-note"/>
            </w:pPr>
            <w:r w:rsidRPr="00A21FE4">
              <w:rPr>
                <w:vertAlign w:val="superscript"/>
              </w:rPr>
              <w:t xml:space="preserve">a </w:t>
            </w:r>
            <w:r w:rsidR="00CE5AC9">
              <w:t>See</w:t>
            </w:r>
            <w:r w:rsidRPr="00A21FE4">
              <w:t xml:space="preserve"> PP3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r w:rsidRPr="00A21FE4">
              <w:t xml:space="preserve"> </w:t>
            </w:r>
          </w:p>
        </w:tc>
      </w:tr>
      <w:tr w:rsidR="00E66069" w:rsidRPr="00A21FE4" w14:paraId="046DCBD5" w14:textId="77777777" w:rsidTr="00F42852">
        <w:trPr>
          <w:cantSplit/>
        </w:trPr>
        <w:tc>
          <w:tcPr>
            <w:tcW w:w="1117" w:type="dxa"/>
            <w:tcBorders>
              <w:right w:val="single" w:sz="4" w:space="0" w:color="auto"/>
            </w:tcBorders>
            <w:shd w:val="clear" w:color="auto" w:fill="auto"/>
          </w:tcPr>
          <w:p w14:paraId="0F4FC5F6" w14:textId="77777777" w:rsidR="00E66069" w:rsidRPr="002F5DEF" w:rsidRDefault="00E66069" w:rsidP="00AB4C4F">
            <w:pPr>
              <w:pStyle w:val="PP"/>
            </w:pPr>
            <w:r w:rsidRPr="002F5DEF">
              <w:t>PP8</w:t>
            </w:r>
          </w:p>
        </w:tc>
        <w:tc>
          <w:tcPr>
            <w:tcW w:w="7531" w:type="dxa"/>
            <w:tcBorders>
              <w:left w:val="single" w:sz="4" w:space="0" w:color="auto"/>
            </w:tcBorders>
            <w:shd w:val="clear" w:color="auto" w:fill="auto"/>
          </w:tcPr>
          <w:p w14:paraId="059A3F9D" w14:textId="2155A750" w:rsidR="00E62798" w:rsidRPr="002F5DEF" w:rsidRDefault="00E66069" w:rsidP="00E62798">
            <w:pPr>
              <w:pStyle w:val="PP-small"/>
            </w:pPr>
            <w:r w:rsidRPr="002F5DEF">
              <w:t>In paediatric patients less than 20 kg, calculate transfusion volume (mL) based on weight and desired Hb increment.</w:t>
            </w:r>
            <w:r w:rsidR="00E62798" w:rsidRPr="002F5DEF">
              <w:rPr>
                <w:vertAlign w:val="superscript"/>
              </w:rPr>
              <w:t xml:space="preserve"> a</w:t>
            </w:r>
            <w:r w:rsidR="00E62798">
              <w:rPr>
                <w:vertAlign w:val="superscript"/>
                <w:lang w:val="en-AU"/>
              </w:rPr>
              <w:t>, b</w:t>
            </w:r>
          </w:p>
          <w:p w14:paraId="3CCC4B34" w14:textId="0A72873B" w:rsidR="006255E5" w:rsidRPr="00A21FE4" w:rsidRDefault="006255E5" w:rsidP="00AB4C4F">
            <w:pPr>
              <w:pStyle w:val="PP-note"/>
            </w:pPr>
            <w:r w:rsidRPr="002F5DEF">
              <w:rPr>
                <w:vertAlign w:val="superscript"/>
              </w:rPr>
              <w:t xml:space="preserve">a </w:t>
            </w:r>
            <w:r w:rsidRPr="002F5DEF">
              <w:t>See Appendix F (</w:t>
            </w:r>
            <w:r w:rsidRPr="00C60A91">
              <w:rPr>
                <w:i/>
              </w:rPr>
              <w:t>RBC transfusions in preterm infants</w:t>
            </w:r>
            <w:r w:rsidRPr="002F5DEF">
              <w:t>)</w:t>
            </w:r>
            <w:r>
              <w:t>.</w:t>
            </w:r>
            <w:r>
              <w:rPr>
                <w:vertAlign w:val="superscript"/>
              </w:rPr>
              <w:br/>
              <w:t>b</w:t>
            </w:r>
            <w:r w:rsidRPr="00293BBE">
              <w:t xml:space="preserve"> See Appendix </w:t>
            </w:r>
            <w:r>
              <w:t>J (</w:t>
            </w:r>
            <w:r w:rsidRPr="00341155">
              <w:rPr>
                <w:i/>
              </w:rPr>
              <w:t>Transfusion volume calculation for neonates, infants and small children</w:t>
            </w:r>
            <w:r>
              <w:t>).</w:t>
            </w:r>
          </w:p>
        </w:tc>
      </w:tr>
      <w:tr w:rsidR="00E66069" w:rsidRPr="00A21FE4" w14:paraId="03A35DEA" w14:textId="77777777" w:rsidTr="00F42852">
        <w:trPr>
          <w:cantSplit/>
        </w:trPr>
        <w:tc>
          <w:tcPr>
            <w:tcW w:w="1117" w:type="dxa"/>
            <w:tcBorders>
              <w:right w:val="single" w:sz="4" w:space="0" w:color="auto"/>
            </w:tcBorders>
            <w:shd w:val="clear" w:color="auto" w:fill="auto"/>
          </w:tcPr>
          <w:p w14:paraId="03316EDE" w14:textId="77777777" w:rsidR="00E66069" w:rsidRPr="00A21FE4" w:rsidRDefault="00E66069" w:rsidP="00AB4C4F">
            <w:pPr>
              <w:pStyle w:val="PP"/>
            </w:pPr>
            <w:r w:rsidRPr="00A21FE4">
              <w:t>PP9</w:t>
            </w:r>
          </w:p>
        </w:tc>
        <w:tc>
          <w:tcPr>
            <w:tcW w:w="7531" w:type="dxa"/>
            <w:tcBorders>
              <w:left w:val="single" w:sz="4" w:space="0" w:color="auto"/>
            </w:tcBorders>
            <w:shd w:val="clear" w:color="auto" w:fill="auto"/>
          </w:tcPr>
          <w:p w14:paraId="1A76EEE0" w14:textId="43123418" w:rsidR="00E66069" w:rsidRPr="001919EE" w:rsidRDefault="00E66069" w:rsidP="00AB4C4F">
            <w:pPr>
              <w:pStyle w:val="PP"/>
              <w:rPr>
                <w:vertAlign w:val="superscript"/>
                <w:lang w:val="en-AU"/>
              </w:rPr>
            </w:pPr>
            <w:r w:rsidRPr="00A21FE4">
              <w:t>In most paediatric patients over 20 kg, transfusion of a single unit of RBC, followed by clinical reassessment to determine the need for further transfusion, is appropriate. This reassessment will also guide the decision on whether to retest the Hb level.</w:t>
            </w:r>
            <w:r w:rsidR="001919EE">
              <w:rPr>
                <w:vertAlign w:val="superscript"/>
                <w:lang w:val="en-AU"/>
              </w:rPr>
              <w:t>a</w:t>
            </w:r>
          </w:p>
          <w:p w14:paraId="5FB6D201" w14:textId="43902FF6" w:rsidR="00E66069" w:rsidRPr="00A21FE4" w:rsidRDefault="001919EE" w:rsidP="00E62798">
            <w:pPr>
              <w:pStyle w:val="PP-note"/>
            </w:pPr>
            <w:r w:rsidRPr="001919EE">
              <w:rPr>
                <w:vertAlign w:val="superscript"/>
              </w:rPr>
              <w:t>a</w:t>
            </w:r>
            <w:r>
              <w:t xml:space="preserve"> </w:t>
            </w:r>
            <w:r w:rsidR="00CE5AC9" w:rsidRPr="001919EE">
              <w:t>See</w:t>
            </w:r>
            <w:r w:rsidR="00E66069" w:rsidRPr="00A21FE4">
              <w:t xml:space="preserve"> PP2 in </w:t>
            </w:r>
            <w:r w:rsidR="00E66069" w:rsidRPr="00A21FE4">
              <w:rPr>
                <w:i/>
              </w:rPr>
              <w:t>Patient Blood Management Guidelines: Module 2</w:t>
            </w:r>
            <w:r w:rsidR="004828DA">
              <w:rPr>
                <w:i/>
              </w:rPr>
              <w:t xml:space="preserve"> </w:t>
            </w:r>
            <w:r w:rsidR="00E66069" w:rsidRPr="00A21FE4">
              <w:rPr>
                <w:i/>
              </w:rPr>
              <w:t>– Perioperative</w:t>
            </w:r>
            <w:r w:rsidR="00CE5AC9">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E66069" w:rsidRPr="00A21FE4" w14:paraId="7698B3F1" w14:textId="77777777" w:rsidTr="00F42852">
        <w:trPr>
          <w:cantSplit/>
        </w:trPr>
        <w:tc>
          <w:tcPr>
            <w:tcW w:w="1117" w:type="dxa"/>
            <w:tcBorders>
              <w:right w:val="single" w:sz="4" w:space="0" w:color="auto"/>
            </w:tcBorders>
            <w:shd w:val="clear" w:color="auto" w:fill="auto"/>
          </w:tcPr>
          <w:p w14:paraId="2D567C8D" w14:textId="77777777" w:rsidR="00E66069" w:rsidRPr="00A21FE4" w:rsidRDefault="00E66069" w:rsidP="00AB4C4F">
            <w:pPr>
              <w:pStyle w:val="PP"/>
            </w:pPr>
            <w:r w:rsidRPr="00A21FE4">
              <w:t>PP10</w:t>
            </w:r>
          </w:p>
        </w:tc>
        <w:tc>
          <w:tcPr>
            <w:tcW w:w="7531" w:type="dxa"/>
            <w:tcBorders>
              <w:left w:val="single" w:sz="4" w:space="0" w:color="auto"/>
            </w:tcBorders>
            <w:shd w:val="clear" w:color="auto" w:fill="auto"/>
          </w:tcPr>
          <w:p w14:paraId="69F4FCF2" w14:textId="77777777" w:rsidR="00E66069" w:rsidRPr="00A21FE4" w:rsidRDefault="00E66069" w:rsidP="00AB4C4F">
            <w:pPr>
              <w:pStyle w:val="PP"/>
            </w:pPr>
            <w:r w:rsidRPr="00A21FE4">
              <w:t>In paediatric patients over 20 kg who are chronically transfused (e.g. haemoglobinopathies or bone</w:t>
            </w:r>
            <w:r>
              <w:t xml:space="preserve"> </w:t>
            </w:r>
            <w:r w:rsidRPr="00A21FE4">
              <w:t xml:space="preserve">marrow failure syndromes) a single-unit approach may not be appropriate. Instead, calculation of the transfusion volume (mL) should be based on weight and desired Hb increment. </w:t>
            </w:r>
          </w:p>
        </w:tc>
      </w:tr>
      <w:tr w:rsidR="00E66069" w:rsidRPr="00A21FE4" w14:paraId="71E2CA3A" w14:textId="77777777" w:rsidTr="00F42852">
        <w:trPr>
          <w:cantSplit/>
        </w:trPr>
        <w:tc>
          <w:tcPr>
            <w:tcW w:w="1117" w:type="dxa"/>
            <w:tcBorders>
              <w:right w:val="single" w:sz="4" w:space="0" w:color="auto"/>
            </w:tcBorders>
            <w:shd w:val="clear" w:color="auto" w:fill="auto"/>
          </w:tcPr>
          <w:p w14:paraId="5B3C1132" w14:textId="77777777" w:rsidR="00E66069" w:rsidRPr="00A21FE4" w:rsidRDefault="00E66069" w:rsidP="00AB4C4F">
            <w:pPr>
              <w:pStyle w:val="PP"/>
            </w:pPr>
            <w:r w:rsidRPr="00A21FE4">
              <w:t>PP12</w:t>
            </w:r>
          </w:p>
        </w:tc>
        <w:tc>
          <w:tcPr>
            <w:tcW w:w="7531" w:type="dxa"/>
            <w:tcBorders>
              <w:left w:val="single" w:sz="4" w:space="0" w:color="auto"/>
            </w:tcBorders>
            <w:shd w:val="clear" w:color="auto" w:fill="auto"/>
          </w:tcPr>
          <w:p w14:paraId="2A6C93B1" w14:textId="6290E7FD" w:rsidR="00E66069" w:rsidRPr="00A21FE4" w:rsidRDefault="00E66069" w:rsidP="00AB4C4F">
            <w:pPr>
              <w:pStyle w:val="PP"/>
            </w:pPr>
            <w:r w:rsidRPr="00A21FE4">
              <w:t xml:space="preserve">In neonatal and paediatric patients with critical bleeding requiring massive transfusion, use </w:t>
            </w:r>
            <w:r w:rsidR="0084140F">
              <w:rPr>
                <w:lang w:val="en-AU"/>
              </w:rPr>
              <w:t>a critical bleeding protocol</w:t>
            </w:r>
            <w:r w:rsidRPr="00A21FE4">
              <w:t>.</w:t>
            </w:r>
            <w:r w:rsidRPr="00A21FE4">
              <w:rPr>
                <w:vertAlign w:val="superscript"/>
              </w:rPr>
              <w:t xml:space="preserve">a </w:t>
            </w:r>
            <w:r w:rsidRPr="00A21FE4">
              <w:t xml:space="preserve">A template </w:t>
            </w:r>
            <w:r w:rsidR="0084140F">
              <w:rPr>
                <w:lang w:val="en-AU"/>
              </w:rPr>
              <w:t>protocol</w:t>
            </w:r>
            <w:r w:rsidRPr="00A21FE4">
              <w:t xml:space="preserve"> is provided within the module.</w:t>
            </w:r>
            <w:r w:rsidRPr="00A21FE4">
              <w:rPr>
                <w:vertAlign w:val="superscript"/>
              </w:rPr>
              <w:t>b</w:t>
            </w:r>
          </w:p>
          <w:p w14:paraId="226AAFB0" w14:textId="19CC893C" w:rsidR="00E66069" w:rsidRPr="00A21FE4" w:rsidRDefault="00E66069" w:rsidP="007F01F3">
            <w:pPr>
              <w:pStyle w:val="PP-note"/>
            </w:pPr>
            <w:r w:rsidRPr="00A21FE4">
              <w:rPr>
                <w:vertAlign w:val="superscript"/>
              </w:rPr>
              <w:t>a</w:t>
            </w:r>
            <w:r w:rsidRPr="00A21FE4">
              <w:t xml:space="preserve"> The use of the word ‘protocol’ is not strictly prescriptive.</w:t>
            </w:r>
            <w:r w:rsidRPr="00A21FE4">
              <w:br/>
            </w:r>
            <w:r w:rsidRPr="00A21FE4">
              <w:rPr>
                <w:vertAlign w:val="superscript"/>
              </w:rPr>
              <w:t>b</w:t>
            </w:r>
            <w:r w:rsidRPr="00A21FE4">
              <w:t xml:space="preserve"> The template </w:t>
            </w:r>
            <w:r w:rsidR="00F42852">
              <w:t>given in Appendix K (</w:t>
            </w:r>
            <w:r w:rsidR="007F01F3">
              <w:rPr>
                <w:i/>
              </w:rPr>
              <w:t>Critical bleeding protocol</w:t>
            </w:r>
            <w:r w:rsidR="00F42852">
              <w:t xml:space="preserve">) </w:t>
            </w:r>
            <w:r w:rsidRPr="00A21FE4">
              <w:t xml:space="preserve">is intended for local adaptation. </w:t>
            </w:r>
          </w:p>
        </w:tc>
      </w:tr>
      <w:tr w:rsidR="00E66069" w:rsidRPr="00A21FE4" w14:paraId="38352FD7" w14:textId="77777777" w:rsidTr="00F42852">
        <w:trPr>
          <w:cantSplit/>
          <w:trHeight w:val="397"/>
        </w:trPr>
        <w:tc>
          <w:tcPr>
            <w:tcW w:w="8648" w:type="dxa"/>
            <w:gridSpan w:val="2"/>
            <w:shd w:val="clear" w:color="auto" w:fill="auto"/>
          </w:tcPr>
          <w:p w14:paraId="2475045D" w14:textId="6C20CD05" w:rsidR="00E66069" w:rsidRPr="00AB4C4F" w:rsidRDefault="00E66069" w:rsidP="0084140F">
            <w:pPr>
              <w:pStyle w:val="PP-note"/>
            </w:pPr>
            <w:r w:rsidRPr="00AB4C4F">
              <w:t xml:space="preserve">CRG, Clinical/Consumer Reference Group; Hb, haemoglobin; PP, practice point; </w:t>
            </w:r>
            <w:r w:rsidR="00220D6F">
              <w:t xml:space="preserve">R, recommendation; </w:t>
            </w:r>
            <w:r w:rsidRPr="00AB4C4F">
              <w:t xml:space="preserve">RBC, red blood cell </w:t>
            </w:r>
          </w:p>
        </w:tc>
      </w:tr>
    </w:tbl>
    <w:p w14:paraId="6B790C97" w14:textId="77777777" w:rsidR="00E66069" w:rsidRDefault="00E66069" w:rsidP="00E66069">
      <w:pPr>
        <w:pStyle w:val="Heading4"/>
      </w:pPr>
      <w:r>
        <w:t>Background</w:t>
      </w:r>
    </w:p>
    <w:p w14:paraId="1DE4F39F" w14:textId="77777777" w:rsidR="00E66069" w:rsidRDefault="00E66069" w:rsidP="00FF2787">
      <w:pPr>
        <w:pStyle w:val="Normalbeforebullet"/>
      </w:pPr>
      <w:r>
        <w:t>Paediatric patients – including infants, children and adolescents – do not often receive RBC transfusions. The paediatric groups that most commonly receive RBC transfusions are:</w:t>
      </w:r>
    </w:p>
    <w:p w14:paraId="7362CA7D" w14:textId="0A601A1A" w:rsidR="00E66069" w:rsidRDefault="00E66069" w:rsidP="00E66069">
      <w:pPr>
        <w:pStyle w:val="Bullet6"/>
        <w:numPr>
          <w:ilvl w:val="0"/>
          <w:numId w:val="3"/>
        </w:numPr>
        <w:tabs>
          <w:tab w:val="clear" w:pos="360"/>
        </w:tabs>
        <w:ind w:left="1080"/>
        <w:rPr>
          <w:lang w:eastAsia="en-GB"/>
        </w:rPr>
      </w:pPr>
      <w:r>
        <w:t>haemato-oncology patients receiving myelosuppres</w:t>
      </w:r>
      <w:r w:rsidR="00720A6B">
        <w:rPr>
          <w:lang w:val="en-AU"/>
        </w:rPr>
        <w:t>s</w:t>
      </w:r>
      <w:r>
        <w:t>ive chemotherapy</w:t>
      </w:r>
    </w:p>
    <w:p w14:paraId="2FFF124D" w14:textId="77777777" w:rsidR="00E66069" w:rsidRDefault="00E66069" w:rsidP="00E66069">
      <w:pPr>
        <w:pStyle w:val="Bullet6"/>
        <w:numPr>
          <w:ilvl w:val="0"/>
          <w:numId w:val="3"/>
        </w:numPr>
        <w:tabs>
          <w:tab w:val="clear" w:pos="360"/>
        </w:tabs>
        <w:ind w:left="1080"/>
        <w:rPr>
          <w:lang w:eastAsia="en-GB"/>
        </w:rPr>
      </w:pPr>
      <w:r>
        <w:t>paediatric intensive care unit (PICU) patients, particularly those undergoing cardiac surgery</w:t>
      </w:r>
    </w:p>
    <w:p w14:paraId="676DD53C" w14:textId="77777777" w:rsidR="00E66069" w:rsidRDefault="00E66069" w:rsidP="00E66069">
      <w:pPr>
        <w:pStyle w:val="Bullet12"/>
        <w:numPr>
          <w:ilvl w:val="0"/>
          <w:numId w:val="3"/>
        </w:numPr>
        <w:tabs>
          <w:tab w:val="clear" w:pos="360"/>
        </w:tabs>
        <w:ind w:left="1080"/>
        <w:rPr>
          <w:lang w:eastAsia="en-GB"/>
        </w:rPr>
      </w:pPr>
      <w:r>
        <w:t xml:space="preserve">patients with congenital anaemia or haemoglobinopathies receiving chronic transfusions. </w:t>
      </w:r>
    </w:p>
    <w:p w14:paraId="7B9A40A6" w14:textId="77777777" w:rsidR="00E66069" w:rsidRDefault="00E66069" w:rsidP="00E66069">
      <w:pPr>
        <w:rPr>
          <w:lang w:eastAsia="en-GB"/>
        </w:rPr>
      </w:pPr>
      <w:r>
        <w:t>The systematic review identified no studies that compared</w:t>
      </w:r>
      <w:r w:rsidRPr="00EB4620">
        <w:t xml:space="preserve"> the safety and effectiveness</w:t>
      </w:r>
      <w:r w:rsidRPr="00EB4620">
        <w:rPr>
          <w:lang w:eastAsia="en-GB"/>
        </w:rPr>
        <w:t xml:space="preserve"> of RBC transfusions</w:t>
      </w:r>
      <w:r>
        <w:rPr>
          <w:lang w:eastAsia="en-GB"/>
        </w:rPr>
        <w:t xml:space="preserve"> with transfusion (or with different dose)</w:t>
      </w:r>
      <w:r w:rsidRPr="00EB4620">
        <w:rPr>
          <w:lang w:eastAsia="en-GB"/>
        </w:rPr>
        <w:t xml:space="preserve"> in infants, children or adolescents</w:t>
      </w:r>
      <w:r>
        <w:rPr>
          <w:lang w:eastAsia="en-GB"/>
        </w:rPr>
        <w:t>.</w:t>
      </w:r>
    </w:p>
    <w:p w14:paraId="67AF290C" w14:textId="77777777" w:rsidR="00E66069" w:rsidRDefault="00E66069" w:rsidP="00E66069">
      <w:pPr>
        <w:pStyle w:val="Heading4"/>
      </w:pPr>
      <w:r w:rsidRPr="00EB4620">
        <w:t>Restrictive RBC transfusion versus liberal RBC transfusion</w:t>
      </w:r>
      <w:r>
        <w:t xml:space="preserve"> in </w:t>
      </w:r>
      <w:r w:rsidRPr="00EB4620">
        <w:rPr>
          <w:lang w:eastAsia="en-GB"/>
        </w:rPr>
        <w:t>infants, children and adolescents</w:t>
      </w:r>
    </w:p>
    <w:p w14:paraId="45C69E3B" w14:textId="39FC014C" w:rsidR="00E66069" w:rsidRDefault="00E66069" w:rsidP="00E66069">
      <w:pPr>
        <w:rPr>
          <w:lang w:eastAsia="en-GB"/>
        </w:rPr>
      </w:pPr>
      <w:r>
        <w:t xml:space="preserve">The systematic review identified no studies </w:t>
      </w:r>
      <w:r>
        <w:rPr>
          <w:lang w:eastAsia="en-GB"/>
        </w:rPr>
        <w:t>that compared safety and efficacy of restrictive and liberal transfusion strategies in paediatric medical patients.</w:t>
      </w:r>
      <w:r w:rsidR="004828DA">
        <w:rPr>
          <w:lang w:eastAsia="en-GB"/>
        </w:rPr>
        <w:t xml:space="preserve"> </w:t>
      </w:r>
    </w:p>
    <w:p w14:paraId="6FB11459" w14:textId="6397DC10" w:rsidR="00E66069" w:rsidRDefault="0084140F" w:rsidP="00E66069">
      <w:pPr>
        <w:rPr>
          <w:lang w:eastAsia="en-GB"/>
        </w:rPr>
      </w:pPr>
      <w:r>
        <w:rPr>
          <w:lang w:eastAsia="en-GB"/>
        </w:rPr>
        <w:t>One Level I study</w:t>
      </w:r>
      <w:hyperlink w:anchor="_ENREF_58" w:tooltip="Carson, 2012 #559" w:history="1">
        <w:r w:rsidR="00E62798">
          <w:rPr>
            <w:lang w:eastAsia="en-GB"/>
          </w:rPr>
          <w:fldChar w:fldCharType="begin"/>
        </w:r>
        <w:r w:rsidR="00E62798">
          <w:rPr>
            <w:lang w:eastAsia="en-GB"/>
          </w:rPr>
          <w:instrText xml:space="preserve"> ADDIN EN.CITE &lt;EndNote&gt;&lt;Cite&gt;&lt;Author&gt;Carson&lt;/Author&gt;&lt;Year&gt;2012&lt;/Year&gt;&lt;RecNum&gt;559&lt;/RecNum&gt;&lt;DisplayText&gt;&lt;style face="superscript"&gt;58&lt;/style&gt;&lt;/DisplayText&gt;&lt;record&gt;&lt;rec-number&gt;559&lt;/rec-number&gt;&lt;foreign-keys&gt;&lt;key app="EN" db-id="9edve2wadsavt5ewavaxtda4f2tavzvts9ee" timestamp="1429939807"&gt;559&lt;/key&gt;&lt;/foreign-keys&gt;&lt;ref-type name="Journal Article"&gt;17&lt;/ref-type&gt;&lt;contributors&gt;&lt;authors&gt;&lt;author&gt;Carson, J. L.&lt;/author&gt;&lt;author&gt;Grossman, B. J.&lt;/author&gt;&lt;author&gt;Kleinman, S.&lt;/author&gt;&lt;author&gt;Tinmouth, A. T.&lt;/author&gt;&lt;author&gt;Marques, M. B.&lt;/author&gt;&lt;author&gt;Fung, M. K.&lt;/author&gt;&lt;author&gt;Holcomb, J. B.&lt;/author&gt;&lt;author&gt;Illoh, O.&lt;/author&gt;&lt;author&gt;Kaplan, L. J.&lt;/author&gt;&lt;author&gt;Katz, L. M.&lt;/author&gt;&lt;author&gt;Rao, S. V.&lt;/author&gt;&lt;author&gt;Roback, J. D.&lt;/author&gt;&lt;author&gt;Shander, A.&lt;/author&gt;&lt;author&gt;Tobian, A. A.&lt;/author&gt;&lt;author&gt;Weinstein, R.&lt;/author&gt;&lt;author&gt;Swinton McLaughlin, L. G.&lt;/author&gt;&lt;author&gt;Djulbegovic, B.&lt;/author&gt;&lt;author&gt;Clinical Transfusion Medicine Committee of the, Aabb&lt;/author&gt;&lt;/authors&gt;&lt;/contributors&gt;&lt;titles&gt;&lt;title&gt;Red blood cell transfusion: a clinical practice guideline from the AABB&lt;/title&gt;&lt;secondary-title&gt;Annals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49–58&lt;/pages&gt;&lt;volume&gt;157&lt;/volume&gt;&lt;number&gt;1&lt;/number&gt;&lt;dates&gt;&lt;year&gt;2012&lt;/year&gt;&lt;/dates&gt;&lt;isbn&gt;0003-4819&lt;/isbn&gt;&lt;urls&gt;&lt;related-urls&gt;&lt;url&gt;http://annals.org/data/Journals/AIM/24329/0000605-201207030-00008.pdf&lt;/url&gt;&lt;/related-urls&gt;&lt;/urls&gt;&lt;electronic-resource-num&gt;DOI:10.7326/0003-4819-157-1-201206190-00429&lt;/electronic-resource-num&gt;&lt;/record&gt;&lt;/Cite&gt;&lt;/EndNote&gt;</w:instrText>
        </w:r>
        <w:r w:rsidR="00E62798">
          <w:rPr>
            <w:lang w:eastAsia="en-GB"/>
          </w:rPr>
          <w:fldChar w:fldCharType="separate"/>
        </w:r>
        <w:r w:rsidR="00E62798" w:rsidRPr="00E62798">
          <w:rPr>
            <w:noProof/>
            <w:vertAlign w:val="superscript"/>
            <w:lang w:eastAsia="en-GB"/>
          </w:rPr>
          <w:t>58</w:t>
        </w:r>
        <w:r w:rsidR="00E62798">
          <w:rPr>
            <w:lang w:eastAsia="en-GB"/>
          </w:rPr>
          <w:fldChar w:fldCharType="end"/>
        </w:r>
      </w:hyperlink>
      <w:r w:rsidR="00E66069">
        <w:rPr>
          <w:lang w:eastAsia="en-GB"/>
        </w:rPr>
        <w:t xml:space="preserve"> examined the </w:t>
      </w:r>
      <w:r w:rsidR="00E66069" w:rsidRPr="00EB4620">
        <w:rPr>
          <w:lang w:eastAsia="en-GB"/>
        </w:rPr>
        <w:t>effect of transfusion thresholds on clinical outcomes in surgical and medical patients of any age (excluding neonates).</w:t>
      </w:r>
      <w:r w:rsidR="00E66069">
        <w:rPr>
          <w:lang w:eastAsia="en-GB"/>
        </w:rPr>
        <w:t xml:space="preserve"> The review identified 19 </w:t>
      </w:r>
      <w:r w:rsidR="00E66069" w:rsidRPr="00EB4620" w:rsidDel="00F72A84">
        <w:rPr>
          <w:lang w:eastAsia="en-GB"/>
        </w:rPr>
        <w:t>RCTs, one of which</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sidR="00E66069">
        <w:rPr>
          <w:lang w:eastAsia="en-GB"/>
        </w:rPr>
        <w:t xml:space="preserve"> </w:t>
      </w:r>
      <w:r w:rsidR="00E66069" w:rsidRPr="00EB4620" w:rsidDel="00F72A84">
        <w:rPr>
          <w:lang w:eastAsia="en-GB"/>
        </w:rPr>
        <w:t xml:space="preserve">was in a </w:t>
      </w:r>
      <w:r w:rsidR="00E66069">
        <w:rPr>
          <w:lang w:eastAsia="en-GB"/>
        </w:rPr>
        <w:t xml:space="preserve">critical-care </w:t>
      </w:r>
      <w:r w:rsidR="00E66069" w:rsidRPr="00EB4620" w:rsidDel="00F72A84">
        <w:rPr>
          <w:lang w:eastAsia="en-GB"/>
        </w:rPr>
        <w:t>paediatric population</w:t>
      </w:r>
      <w:r w:rsidR="00E66069">
        <w:rPr>
          <w:lang w:eastAsia="en-GB"/>
        </w:rPr>
        <w:t xml:space="preserve"> and is considered below (see Section </w:t>
      </w:r>
      <w:r w:rsidR="00F42852">
        <w:rPr>
          <w:lang w:eastAsia="en-GB"/>
        </w:rPr>
        <w:t>3.2.7</w:t>
      </w:r>
      <w:r w:rsidR="00E66069">
        <w:rPr>
          <w:lang w:eastAsia="en-GB"/>
        </w:rPr>
        <w:t>).</w:t>
      </w:r>
    </w:p>
    <w:p w14:paraId="77668F24" w14:textId="208D69BB" w:rsidR="00E66069" w:rsidRDefault="00E66069" w:rsidP="00E66069">
      <w:pPr>
        <w:rPr>
          <w:lang w:eastAsia="en-GB"/>
        </w:rPr>
      </w:pPr>
      <w:r>
        <w:rPr>
          <w:lang w:eastAsia="en-GB"/>
        </w:rPr>
        <w:t>The findings of the Carson (2012)</w:t>
      </w:r>
      <w:hyperlink w:anchor="_ENREF_58" w:tooltip="Carson, 2012 #559" w:history="1">
        <w:r w:rsidR="00E62798">
          <w:rPr>
            <w:lang w:eastAsia="en-GB"/>
          </w:rPr>
          <w:fldChar w:fldCharType="begin"/>
        </w:r>
        <w:r w:rsidR="00E62798">
          <w:rPr>
            <w:lang w:eastAsia="en-GB"/>
          </w:rPr>
          <w:instrText xml:space="preserve"> ADDIN EN.CITE &lt;EndNote&gt;&lt;Cite&gt;&lt;Author&gt;Carson&lt;/Author&gt;&lt;Year&gt;2012&lt;/Year&gt;&lt;RecNum&gt;559&lt;/RecNum&gt;&lt;DisplayText&gt;&lt;style face="superscript"&gt;58&lt;/style&gt;&lt;/DisplayText&gt;&lt;record&gt;&lt;rec-number&gt;559&lt;/rec-number&gt;&lt;foreign-keys&gt;&lt;key app="EN" db-id="9edve2wadsavt5ewavaxtda4f2tavzvts9ee" timestamp="1429939807"&gt;559&lt;/key&gt;&lt;/foreign-keys&gt;&lt;ref-type name="Journal Article"&gt;17&lt;/ref-type&gt;&lt;contributors&gt;&lt;authors&gt;&lt;author&gt;Carson, J. L.&lt;/author&gt;&lt;author&gt;Grossman, B. J.&lt;/author&gt;&lt;author&gt;Kleinman, S.&lt;/author&gt;&lt;author&gt;Tinmouth, A. T.&lt;/author&gt;&lt;author&gt;Marques, M. B.&lt;/author&gt;&lt;author&gt;Fung, M. K.&lt;/author&gt;&lt;author&gt;Holcomb, J. B.&lt;/author&gt;&lt;author&gt;Illoh, O.&lt;/author&gt;&lt;author&gt;Kaplan, L. J.&lt;/author&gt;&lt;author&gt;Katz, L. M.&lt;/author&gt;&lt;author&gt;Rao, S. V.&lt;/author&gt;&lt;author&gt;Roback, J. D.&lt;/author&gt;&lt;author&gt;Shander, A.&lt;/author&gt;&lt;author&gt;Tobian, A. A.&lt;/author&gt;&lt;author&gt;Weinstein, R.&lt;/author&gt;&lt;author&gt;Swinton McLaughlin, L. G.&lt;/author&gt;&lt;author&gt;Djulbegovic, B.&lt;/author&gt;&lt;author&gt;Clinical Transfusion Medicine Committee of the, Aabb&lt;/author&gt;&lt;/authors&gt;&lt;/contributors&gt;&lt;titles&gt;&lt;title&gt;Red blood cell transfusion: a clinical practice guideline from the AABB&lt;/title&gt;&lt;secondary-title&gt;Annals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49–58&lt;/pages&gt;&lt;volume&gt;157&lt;/volume&gt;&lt;number&gt;1&lt;/number&gt;&lt;dates&gt;&lt;year&gt;2012&lt;/year&gt;&lt;/dates&gt;&lt;isbn&gt;0003-4819&lt;/isbn&gt;&lt;urls&gt;&lt;related-urls&gt;&lt;url&gt;http://annals.org/data/Journals/AIM/24329/0000605-201207030-00008.pdf&lt;/url&gt;&lt;/related-urls&gt;&lt;/urls&gt;&lt;electronic-resource-num&gt;DOI:10.7326/0003-4819-157-1-201206190-00429&lt;/electronic-resource-num&gt;&lt;/record&gt;&lt;/Cite&gt;&lt;/EndNote&gt;</w:instrText>
        </w:r>
        <w:r w:rsidR="00E62798">
          <w:rPr>
            <w:lang w:eastAsia="en-GB"/>
          </w:rPr>
          <w:fldChar w:fldCharType="separate"/>
        </w:r>
        <w:r w:rsidR="00E62798" w:rsidRPr="00E62798">
          <w:rPr>
            <w:noProof/>
            <w:vertAlign w:val="superscript"/>
            <w:lang w:eastAsia="en-GB"/>
          </w:rPr>
          <w:t>58</w:t>
        </w:r>
        <w:r w:rsidR="00E62798">
          <w:rPr>
            <w:lang w:eastAsia="en-GB"/>
          </w:rPr>
          <w:fldChar w:fldCharType="end"/>
        </w:r>
      </w:hyperlink>
      <w:r>
        <w:rPr>
          <w:lang w:eastAsia="en-GB"/>
        </w:rPr>
        <w:t xml:space="preserve"> review were largely based on adult surgical patients; hence, their generalisability to the paediatric medical population is limited. That review indicated that a restrictive transfusion strategy reduced both the risk of receiving a RBC transfusion and the volume of RBCs transfused. However, the included studies varied in their definition of a restrictive and liberal transfusion policy. No difference between the strategies was detected in relation to rate of adverse events (i.e. mortality, pneumonia and thromboembolism); however, in-hospital mortality was lower with a restrictive than with a liberal transfusion policy. </w:t>
      </w:r>
    </w:p>
    <w:p w14:paraId="348E5F2D" w14:textId="77777777" w:rsidR="00E66069" w:rsidRDefault="00E66069" w:rsidP="00B54640">
      <w:pPr>
        <w:pStyle w:val="BoxHeading"/>
      </w:pPr>
      <w:r>
        <w:t xml:space="preserve">Clinical commentary – effect of RBC transfusion on patient outcomes in </w:t>
      </w:r>
      <w:r w:rsidRPr="00EB4620">
        <w:rPr>
          <w:lang w:eastAsia="en-GB"/>
        </w:rPr>
        <w:t>infants, children and adolescents</w:t>
      </w:r>
    </w:p>
    <w:p w14:paraId="54E60801" w14:textId="05C500D8" w:rsidR="00E66069" w:rsidRPr="00EB4620" w:rsidRDefault="00E66069" w:rsidP="00B54640">
      <w:pPr>
        <w:pStyle w:val="BoxText"/>
        <w:rPr>
          <w:lang w:eastAsia="en-GB"/>
        </w:rPr>
      </w:pPr>
      <w:r w:rsidRPr="00297478">
        <w:rPr>
          <w:lang w:eastAsia="en-GB"/>
        </w:rPr>
        <w:t>In the absence of direct evidence to support recommendations for the medical paediatric population, evidence from other patient groups, expert CRG consensus and other modules in this series (</w:t>
      </w:r>
      <w:r w:rsidRPr="000B7473">
        <w:rPr>
          <w:i/>
          <w:lang w:eastAsia="en-GB"/>
        </w:rPr>
        <w:t>Medical</w:t>
      </w:r>
      <w:r w:rsidRPr="00297478">
        <w:rPr>
          <w:lang w:eastAsia="en-GB"/>
        </w:rPr>
        <w:t>,</w:t>
      </w:r>
      <w:hyperlink w:anchor="_ENREF_3" w:tooltip="National Blood Authority (NBA), 2012 #197" w:history="1">
        <w:r w:rsidR="00E62798">
          <w:rPr>
            <w:lang w:eastAsia="en-GB"/>
          </w:rPr>
          <w:fldChar w:fldCharType="begin"/>
        </w:r>
        <w:r w:rsidR="00E62798">
          <w:rPr>
            <w:lang w:eastAsia="en-GB"/>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lang w:eastAsia="en-GB"/>
          </w:rPr>
          <w:fldChar w:fldCharType="separate"/>
        </w:r>
        <w:r w:rsidR="00E62798" w:rsidRPr="00E62798">
          <w:rPr>
            <w:noProof/>
            <w:vertAlign w:val="superscript"/>
            <w:lang w:eastAsia="en-GB"/>
          </w:rPr>
          <w:t>3</w:t>
        </w:r>
        <w:r w:rsidR="00E62798">
          <w:rPr>
            <w:lang w:eastAsia="en-GB"/>
          </w:rPr>
          <w:fldChar w:fldCharType="end"/>
        </w:r>
      </w:hyperlink>
      <w:r w:rsidRPr="002C2982">
        <w:rPr>
          <w:lang w:eastAsia="en-GB"/>
        </w:rPr>
        <w:t xml:space="preserve"> </w:t>
      </w:r>
      <w:r w:rsidRPr="000B7473">
        <w:rPr>
          <w:i/>
          <w:lang w:eastAsia="en-GB"/>
        </w:rPr>
        <w:t>Perioperative</w:t>
      </w:r>
      <w:hyperlink w:anchor="_ENREF_2" w:tooltip="National Blood Authority (NBA), 2012 #198" w:history="1">
        <w:r w:rsidR="00E62798">
          <w:rPr>
            <w:lang w:eastAsia="en-GB"/>
          </w:rPr>
          <w:fldChar w:fldCharType="begin"/>
        </w:r>
        <w:r w:rsidR="00E62798">
          <w:rPr>
            <w:lang w:eastAsia="en-GB"/>
          </w:rPr>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rPr>
            <w:lang w:eastAsia="en-GB"/>
          </w:rPr>
          <w:fldChar w:fldCharType="separate"/>
        </w:r>
        <w:r w:rsidR="00E62798" w:rsidRPr="00E62798">
          <w:rPr>
            <w:noProof/>
            <w:vertAlign w:val="superscript"/>
            <w:lang w:eastAsia="en-GB"/>
          </w:rPr>
          <w:t>2</w:t>
        </w:r>
        <w:r w:rsidR="00E62798">
          <w:rPr>
            <w:lang w:eastAsia="en-GB"/>
          </w:rPr>
          <w:fldChar w:fldCharType="end"/>
        </w:r>
      </w:hyperlink>
      <w:r w:rsidRPr="00297478">
        <w:rPr>
          <w:lang w:eastAsia="en-GB"/>
        </w:rPr>
        <w:t xml:space="preserve"> </w:t>
      </w:r>
      <w:r>
        <w:rPr>
          <w:lang w:eastAsia="en-GB"/>
        </w:rPr>
        <w:t xml:space="preserve">and </w:t>
      </w:r>
      <w:r w:rsidRPr="000B7473">
        <w:rPr>
          <w:i/>
          <w:lang w:eastAsia="en-GB"/>
        </w:rPr>
        <w:t>Critical Care</w:t>
      </w:r>
      <w:hyperlink w:anchor="_ENREF_4" w:tooltip="National Blood Authority (NBA), 2013 #196" w:history="1">
        <w:r w:rsidR="00E62798">
          <w:rPr>
            <w:lang w:eastAsia="en-GB"/>
          </w:rPr>
          <w:fldChar w:fldCharType="begin"/>
        </w:r>
        <w:r w:rsidR="00E62798">
          <w:rPr>
            <w:lang w:eastAsia="en-GB"/>
          </w:rPr>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rPr>
            <w:lang w:eastAsia="en-GB"/>
          </w:rPr>
          <w:fldChar w:fldCharType="separate"/>
        </w:r>
        <w:r w:rsidR="00E62798" w:rsidRPr="00E62798">
          <w:rPr>
            <w:noProof/>
            <w:vertAlign w:val="superscript"/>
            <w:lang w:eastAsia="en-GB"/>
          </w:rPr>
          <w:t>4</w:t>
        </w:r>
        <w:r w:rsidR="00E62798">
          <w:rPr>
            <w:lang w:eastAsia="en-GB"/>
          </w:rPr>
          <w:fldChar w:fldCharType="end"/>
        </w:r>
      </w:hyperlink>
      <w:r w:rsidRPr="00297478">
        <w:rPr>
          <w:lang w:eastAsia="en-GB"/>
        </w:rPr>
        <w:t>) was applied to derive a series of practice points.</w:t>
      </w:r>
      <w:r w:rsidR="004828DA">
        <w:rPr>
          <w:lang w:eastAsia="en-GB"/>
        </w:rPr>
        <w:t xml:space="preserve"> </w:t>
      </w:r>
    </w:p>
    <w:p w14:paraId="17CDF338" w14:textId="24D5A346" w:rsidR="00E66069" w:rsidRDefault="00E66069" w:rsidP="00E66069">
      <w:pPr>
        <w:pStyle w:val="Heading3"/>
        <w:rPr>
          <w:lang w:eastAsia="en-GB"/>
        </w:rPr>
      </w:pPr>
      <w:bookmarkStart w:id="98" w:name="_Toc426976826"/>
      <w:bookmarkStart w:id="99" w:name="_Toc427851318"/>
      <w:r>
        <w:rPr>
          <w:lang w:eastAsia="en-GB"/>
        </w:rPr>
        <w:t>3.2.3</w:t>
      </w:r>
      <w:r>
        <w:rPr>
          <w:lang w:eastAsia="en-GB"/>
        </w:rPr>
        <w:tab/>
      </w:r>
      <w:r w:rsidRPr="00EB4620">
        <w:rPr>
          <w:lang w:eastAsia="en-GB"/>
        </w:rPr>
        <w:t xml:space="preserve">Medical: </w:t>
      </w:r>
      <w:r>
        <w:rPr>
          <w:lang w:eastAsia="en-GB"/>
        </w:rPr>
        <w:t xml:space="preserve">neonatal and </w:t>
      </w:r>
      <w:r w:rsidRPr="00EB4620">
        <w:rPr>
          <w:lang w:eastAsia="en-GB"/>
        </w:rPr>
        <w:t xml:space="preserve">paediatric patients with </w:t>
      </w:r>
      <w:r w:rsidR="00C05EEF">
        <w:rPr>
          <w:lang w:val="en-AU" w:eastAsia="en-GB"/>
        </w:rPr>
        <w:t>SCD</w:t>
      </w:r>
      <w:r>
        <w:rPr>
          <w:lang w:eastAsia="en-GB"/>
        </w:rPr>
        <w:t xml:space="preserve"> – effect of RBC transfusion on patient outcomes</w:t>
      </w:r>
      <w:bookmarkEnd w:id="98"/>
      <w:bookmarkEnd w:id="99"/>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1"/>
      </w:tblGrid>
      <w:tr w:rsidR="00E66069" w:rsidRPr="00A21FE4" w14:paraId="607C915E"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52F8718D" w14:textId="2A8D0A61" w:rsidR="00E66069" w:rsidRPr="00A21FE4" w:rsidRDefault="00E66069" w:rsidP="00C05EEF">
            <w:pPr>
              <w:pStyle w:val="PP-heading"/>
            </w:pPr>
            <w:r w:rsidRPr="00A21FE4">
              <w:t xml:space="preserve">Evidence statements – </w:t>
            </w:r>
            <w:r w:rsidR="00C05EEF" w:rsidRPr="00C05EEF">
              <w:t>SCD</w:t>
            </w:r>
            <w:r w:rsidRPr="00A21FE4">
              <w:t xml:space="preserve"> (RBC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0290FA2"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249726C"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6B77865"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7928865" w14:textId="77777777" w:rsidR="00E66069" w:rsidRPr="00A21FE4" w:rsidRDefault="00E66069" w:rsidP="00AB4C4F">
            <w:pPr>
              <w:ind w:left="113" w:right="113"/>
              <w:jc w:val="center"/>
              <w:rPr>
                <w:b/>
              </w:rPr>
            </w:pPr>
            <w:r w:rsidRPr="00A21FE4">
              <w:rPr>
                <w:b/>
              </w:rPr>
              <w:t>Generalisability</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B874C08" w14:textId="77777777" w:rsidR="00E66069" w:rsidRPr="00A21FE4" w:rsidRDefault="00E66069" w:rsidP="00AB4C4F">
            <w:pPr>
              <w:ind w:left="113" w:right="113"/>
              <w:jc w:val="center"/>
              <w:rPr>
                <w:b/>
              </w:rPr>
            </w:pPr>
            <w:r w:rsidRPr="00A21FE4">
              <w:rPr>
                <w:b/>
              </w:rPr>
              <w:t>Applicability</w:t>
            </w:r>
          </w:p>
        </w:tc>
      </w:tr>
      <w:tr w:rsidR="00E66069" w:rsidRPr="00A21FE4" w14:paraId="6500FB9F" w14:textId="77777777" w:rsidTr="00220D6F">
        <w:trPr>
          <w:cantSplit/>
        </w:trPr>
        <w:tc>
          <w:tcPr>
            <w:tcW w:w="851" w:type="dxa"/>
          </w:tcPr>
          <w:p w14:paraId="25E1A169" w14:textId="77777777" w:rsidR="00E66069" w:rsidRPr="00A21FE4" w:rsidRDefault="00E66069" w:rsidP="00C115C0">
            <w:pPr>
              <w:pStyle w:val="Tabletextnoindent"/>
              <w:keepNext w:val="0"/>
              <w:numPr>
                <w:ilvl w:val="0"/>
                <w:numId w:val="0"/>
              </w:numPr>
            </w:pPr>
            <w:r w:rsidRPr="00782A0F">
              <w:t>ES1.1</w:t>
            </w:r>
            <w:r>
              <w:t>4</w:t>
            </w:r>
          </w:p>
        </w:tc>
        <w:tc>
          <w:tcPr>
            <w:tcW w:w="3750" w:type="dxa"/>
          </w:tcPr>
          <w:p w14:paraId="5BF9FFF3" w14:textId="7FD3F7E3" w:rsidR="00E66069" w:rsidRPr="00A21FE4" w:rsidRDefault="00E66069" w:rsidP="00C115C0">
            <w:pPr>
              <w:pStyle w:val="ES-table"/>
              <w:keepNext w:val="0"/>
            </w:pPr>
            <w:r w:rsidRPr="00A21FE4">
              <w:t xml:space="preserve">In neonates and infants with </w:t>
            </w:r>
            <w:r w:rsidR="00C05EEF">
              <w:t>SCD</w:t>
            </w:r>
            <w:r w:rsidRPr="00A21FE4">
              <w:t>, the effect of RBC transfusion compared with no transfusion on mortality is unknown.</w:t>
            </w:r>
          </w:p>
        </w:tc>
        <w:tc>
          <w:tcPr>
            <w:tcW w:w="809" w:type="dxa"/>
          </w:tcPr>
          <w:p w14:paraId="20DD0012" w14:textId="77777777" w:rsidR="00E66069" w:rsidRPr="00A21FE4" w:rsidRDefault="00E66069" w:rsidP="00C115C0">
            <w:pPr>
              <w:pStyle w:val="T-ABCD"/>
            </w:pPr>
            <w:r w:rsidRPr="00A21FE4">
              <w:t>NA</w:t>
            </w:r>
          </w:p>
        </w:tc>
        <w:tc>
          <w:tcPr>
            <w:tcW w:w="809" w:type="dxa"/>
          </w:tcPr>
          <w:p w14:paraId="59587081" w14:textId="77777777" w:rsidR="00E66069" w:rsidRPr="00A21FE4" w:rsidRDefault="00E66069" w:rsidP="00C115C0">
            <w:pPr>
              <w:pStyle w:val="T-ABCD"/>
            </w:pPr>
            <w:r w:rsidRPr="00A21FE4">
              <w:t>NA</w:t>
            </w:r>
          </w:p>
        </w:tc>
        <w:tc>
          <w:tcPr>
            <w:tcW w:w="809" w:type="dxa"/>
          </w:tcPr>
          <w:p w14:paraId="30E0E705" w14:textId="77777777" w:rsidR="00E66069" w:rsidRPr="00A21FE4" w:rsidRDefault="00E66069" w:rsidP="00C115C0">
            <w:pPr>
              <w:pStyle w:val="T-ABCD"/>
            </w:pPr>
            <w:r w:rsidRPr="00A21FE4">
              <w:t>NA</w:t>
            </w:r>
          </w:p>
        </w:tc>
        <w:tc>
          <w:tcPr>
            <w:tcW w:w="809" w:type="dxa"/>
          </w:tcPr>
          <w:p w14:paraId="3F0B82B5" w14:textId="77777777" w:rsidR="00E66069" w:rsidRPr="00A21FE4" w:rsidRDefault="00E66069" w:rsidP="00C115C0">
            <w:pPr>
              <w:pStyle w:val="T-ABCD"/>
            </w:pPr>
            <w:r w:rsidRPr="00A21FE4">
              <w:t>NA</w:t>
            </w:r>
          </w:p>
        </w:tc>
        <w:tc>
          <w:tcPr>
            <w:tcW w:w="811" w:type="dxa"/>
          </w:tcPr>
          <w:p w14:paraId="37A23611" w14:textId="77777777" w:rsidR="00E66069" w:rsidRPr="00A21FE4" w:rsidRDefault="00E66069" w:rsidP="00C115C0">
            <w:pPr>
              <w:pStyle w:val="T-ABCD"/>
            </w:pPr>
            <w:r w:rsidRPr="00A21FE4">
              <w:t xml:space="preserve">NA </w:t>
            </w:r>
          </w:p>
        </w:tc>
      </w:tr>
      <w:tr w:rsidR="00E66069" w:rsidRPr="00A21FE4" w14:paraId="7B6345BD" w14:textId="77777777" w:rsidTr="00C115C0">
        <w:trPr>
          <w:cantSplit/>
        </w:trPr>
        <w:tc>
          <w:tcPr>
            <w:tcW w:w="851" w:type="dxa"/>
          </w:tcPr>
          <w:p w14:paraId="71C1ED9B" w14:textId="77777777" w:rsidR="00E66069" w:rsidRPr="00A21FE4" w:rsidRDefault="00E66069" w:rsidP="00C115C0">
            <w:pPr>
              <w:pStyle w:val="Tabletextnoindent"/>
              <w:keepNext w:val="0"/>
              <w:numPr>
                <w:ilvl w:val="0"/>
                <w:numId w:val="0"/>
              </w:numPr>
            </w:pPr>
            <w:r w:rsidRPr="00782A0F">
              <w:t>ES1.</w:t>
            </w:r>
            <w:r>
              <w:t>15</w:t>
            </w:r>
          </w:p>
        </w:tc>
        <w:tc>
          <w:tcPr>
            <w:tcW w:w="3750" w:type="dxa"/>
          </w:tcPr>
          <w:p w14:paraId="37C55443" w14:textId="01D9B8B4" w:rsidR="00E66069" w:rsidRPr="00A21FE4" w:rsidRDefault="00E66069" w:rsidP="00C115C0">
            <w:pPr>
              <w:pStyle w:val="ES-table"/>
              <w:keepNext w:val="0"/>
            </w:pPr>
            <w:r w:rsidRPr="00A21FE4">
              <w:t xml:space="preserve">In children and adolescents with </w:t>
            </w:r>
            <w:r w:rsidR="00C05EEF">
              <w:t>SCD</w:t>
            </w:r>
            <w:r w:rsidRPr="00A21FE4">
              <w:t>, the effect of RBC transfusion compared with no transfusion on mortality is uncertain.</w:t>
            </w:r>
          </w:p>
          <w:p w14:paraId="283E590C" w14:textId="77777777" w:rsidR="00E66069" w:rsidRPr="00A21FE4" w:rsidRDefault="00E66069" w:rsidP="00C115C0">
            <w:pPr>
              <w:pStyle w:val="ES-notes"/>
              <w:keepNext w:val="0"/>
            </w:pPr>
            <w:r w:rsidRPr="00A21FE4">
              <w:t>(See evidence matrix D1.J in Volume 2 of the technical report.)</w:t>
            </w:r>
          </w:p>
        </w:tc>
        <w:tc>
          <w:tcPr>
            <w:tcW w:w="809" w:type="dxa"/>
          </w:tcPr>
          <w:p w14:paraId="7AEAD881" w14:textId="77777777" w:rsidR="00E66069" w:rsidRPr="00A21FE4" w:rsidRDefault="00E66069" w:rsidP="00C115C0">
            <w:pPr>
              <w:pStyle w:val="T-ABCD"/>
            </w:pPr>
            <w:r w:rsidRPr="00A21FE4">
              <w:sym w:font="Symbol" w:char="F0D6"/>
            </w:r>
            <w:r w:rsidRPr="00A21FE4">
              <w:sym w:font="Symbol" w:char="F0D6"/>
            </w:r>
          </w:p>
        </w:tc>
        <w:tc>
          <w:tcPr>
            <w:tcW w:w="809" w:type="dxa"/>
          </w:tcPr>
          <w:p w14:paraId="1E80C114" w14:textId="77777777" w:rsidR="00E66069" w:rsidRPr="00A21FE4" w:rsidRDefault="00E66069" w:rsidP="00C115C0">
            <w:pPr>
              <w:pStyle w:val="T-ABCD"/>
            </w:pPr>
            <w:r w:rsidRPr="00A21FE4">
              <w:sym w:font="Symbol" w:char="F0D6"/>
            </w:r>
            <w:r w:rsidRPr="00A21FE4">
              <w:sym w:font="Symbol" w:char="F0D6"/>
            </w:r>
            <w:r w:rsidRPr="00A21FE4">
              <w:sym w:font="Symbol" w:char="F0D6"/>
            </w:r>
          </w:p>
        </w:tc>
        <w:tc>
          <w:tcPr>
            <w:tcW w:w="809" w:type="dxa"/>
          </w:tcPr>
          <w:p w14:paraId="4C7BEB9D" w14:textId="77777777" w:rsidR="00E66069" w:rsidRPr="00A21FE4" w:rsidRDefault="00E66069" w:rsidP="00C115C0">
            <w:pPr>
              <w:pStyle w:val="T-ABCD"/>
            </w:pPr>
            <w:r w:rsidRPr="00A21FE4">
              <w:t>NA</w:t>
            </w:r>
          </w:p>
        </w:tc>
        <w:tc>
          <w:tcPr>
            <w:tcW w:w="809" w:type="dxa"/>
          </w:tcPr>
          <w:p w14:paraId="490ACD96" w14:textId="77777777" w:rsidR="00E66069" w:rsidRPr="00A21FE4" w:rsidRDefault="00E66069" w:rsidP="00C115C0">
            <w:pPr>
              <w:pStyle w:val="T-ABCD"/>
            </w:pPr>
            <w:r w:rsidRPr="00A21FE4">
              <w:sym w:font="Symbol" w:char="F0D6"/>
            </w:r>
            <w:r w:rsidRPr="00A21FE4">
              <w:sym w:font="Symbol" w:char="F0D6"/>
            </w:r>
          </w:p>
        </w:tc>
        <w:tc>
          <w:tcPr>
            <w:tcW w:w="810" w:type="dxa"/>
          </w:tcPr>
          <w:p w14:paraId="3E7DCE61" w14:textId="77777777" w:rsidR="00E66069" w:rsidRPr="00A21FE4" w:rsidRDefault="00E66069" w:rsidP="00C115C0">
            <w:pPr>
              <w:pStyle w:val="T-ABCD"/>
            </w:pPr>
            <w:r w:rsidRPr="00A21FE4">
              <w:sym w:font="Symbol" w:char="F0D6"/>
            </w:r>
            <w:r w:rsidRPr="00A21FE4">
              <w:sym w:font="Symbol" w:char="F0D6"/>
            </w:r>
          </w:p>
        </w:tc>
      </w:tr>
      <w:tr w:rsidR="00E66069" w:rsidRPr="00A21FE4" w14:paraId="17434E32" w14:textId="77777777" w:rsidTr="00C115C0">
        <w:trPr>
          <w:cantSplit/>
        </w:trPr>
        <w:tc>
          <w:tcPr>
            <w:tcW w:w="851" w:type="dxa"/>
          </w:tcPr>
          <w:p w14:paraId="2A775015" w14:textId="77777777" w:rsidR="00E66069" w:rsidRPr="00A21FE4" w:rsidRDefault="00E66069" w:rsidP="00C115C0">
            <w:pPr>
              <w:pStyle w:val="Tabletextnoindent"/>
              <w:keepNext w:val="0"/>
              <w:numPr>
                <w:ilvl w:val="0"/>
                <w:numId w:val="0"/>
              </w:numPr>
            </w:pPr>
            <w:r w:rsidRPr="00782A0F">
              <w:t>ES1.</w:t>
            </w:r>
            <w:r>
              <w:t>16</w:t>
            </w:r>
          </w:p>
        </w:tc>
        <w:tc>
          <w:tcPr>
            <w:tcW w:w="3750" w:type="dxa"/>
          </w:tcPr>
          <w:p w14:paraId="3E48092D" w14:textId="188F80F9" w:rsidR="00E66069" w:rsidRPr="00A21FE4" w:rsidRDefault="00E66069" w:rsidP="00C115C0">
            <w:pPr>
              <w:pStyle w:val="ES-table"/>
              <w:keepNext w:val="0"/>
            </w:pPr>
            <w:r w:rsidRPr="00A21FE4">
              <w:t xml:space="preserve">In neonates and infants with </w:t>
            </w:r>
            <w:r w:rsidR="00C05EEF">
              <w:t>SCD</w:t>
            </w:r>
            <w:r w:rsidRPr="00A21FE4">
              <w:t>, the effect of RBC transfusion compared with no transfusion on stroke occurrence is unknown.</w:t>
            </w:r>
          </w:p>
        </w:tc>
        <w:tc>
          <w:tcPr>
            <w:tcW w:w="809" w:type="dxa"/>
          </w:tcPr>
          <w:p w14:paraId="6C94CB20" w14:textId="77777777" w:rsidR="00E66069" w:rsidRPr="00A21FE4" w:rsidRDefault="00E66069" w:rsidP="00C115C0">
            <w:pPr>
              <w:pStyle w:val="T-ABCD"/>
            </w:pPr>
            <w:r w:rsidRPr="00A21FE4">
              <w:t>NA</w:t>
            </w:r>
          </w:p>
        </w:tc>
        <w:tc>
          <w:tcPr>
            <w:tcW w:w="809" w:type="dxa"/>
          </w:tcPr>
          <w:p w14:paraId="23418B47" w14:textId="77777777" w:rsidR="00E66069" w:rsidRPr="00A21FE4" w:rsidRDefault="00E66069" w:rsidP="00C115C0">
            <w:pPr>
              <w:pStyle w:val="T-ABCD"/>
            </w:pPr>
            <w:r w:rsidRPr="00A21FE4">
              <w:t>NA</w:t>
            </w:r>
          </w:p>
        </w:tc>
        <w:tc>
          <w:tcPr>
            <w:tcW w:w="809" w:type="dxa"/>
          </w:tcPr>
          <w:p w14:paraId="2488F7FD" w14:textId="77777777" w:rsidR="00E66069" w:rsidRPr="00A21FE4" w:rsidRDefault="00E66069" w:rsidP="00C115C0">
            <w:pPr>
              <w:pStyle w:val="T-ABCD"/>
            </w:pPr>
            <w:r w:rsidRPr="00A21FE4">
              <w:t>NA</w:t>
            </w:r>
          </w:p>
        </w:tc>
        <w:tc>
          <w:tcPr>
            <w:tcW w:w="809" w:type="dxa"/>
          </w:tcPr>
          <w:p w14:paraId="359E6C8B" w14:textId="77777777" w:rsidR="00E66069" w:rsidRPr="00A21FE4" w:rsidRDefault="00E66069" w:rsidP="00C115C0">
            <w:pPr>
              <w:pStyle w:val="T-ABCD"/>
            </w:pPr>
            <w:r w:rsidRPr="00A21FE4">
              <w:t>NA</w:t>
            </w:r>
          </w:p>
        </w:tc>
        <w:tc>
          <w:tcPr>
            <w:tcW w:w="810" w:type="dxa"/>
          </w:tcPr>
          <w:p w14:paraId="19B6DCDA" w14:textId="77777777" w:rsidR="00E66069" w:rsidRPr="00A21FE4" w:rsidRDefault="00E66069" w:rsidP="00C115C0">
            <w:pPr>
              <w:pStyle w:val="T-ABCD"/>
            </w:pPr>
            <w:r w:rsidRPr="00A21FE4">
              <w:t xml:space="preserve">NA </w:t>
            </w:r>
          </w:p>
        </w:tc>
      </w:tr>
      <w:tr w:rsidR="00E66069" w:rsidRPr="00A21FE4" w14:paraId="160E7502" w14:textId="77777777" w:rsidTr="00C115C0">
        <w:trPr>
          <w:cantSplit/>
        </w:trPr>
        <w:tc>
          <w:tcPr>
            <w:tcW w:w="851" w:type="dxa"/>
          </w:tcPr>
          <w:p w14:paraId="0C1B9415" w14:textId="77777777" w:rsidR="00E66069" w:rsidRPr="00A21FE4" w:rsidRDefault="00E66069" w:rsidP="00C115C0">
            <w:pPr>
              <w:pStyle w:val="Tabletextnoindent"/>
              <w:keepNext w:val="0"/>
              <w:numPr>
                <w:ilvl w:val="0"/>
                <w:numId w:val="0"/>
              </w:numPr>
            </w:pPr>
            <w:r w:rsidRPr="00782A0F">
              <w:t>ES1.</w:t>
            </w:r>
            <w:r>
              <w:t>17</w:t>
            </w:r>
          </w:p>
        </w:tc>
        <w:tc>
          <w:tcPr>
            <w:tcW w:w="3750" w:type="dxa"/>
          </w:tcPr>
          <w:p w14:paraId="190C9AC9" w14:textId="77777777" w:rsidR="00E66069" w:rsidRPr="00A21FE4" w:rsidRDefault="00E66069" w:rsidP="00C115C0">
            <w:pPr>
              <w:pStyle w:val="ES-table"/>
              <w:keepNext w:val="0"/>
            </w:pPr>
            <w:r w:rsidRPr="00A21FE4">
              <w:t>In children and adolescents with sickle cell anaemia or sickle beta thalassemia who have been assessed to be at increased risk of stroke,</w:t>
            </w:r>
            <w:r w:rsidRPr="00A21FE4">
              <w:rPr>
                <w:vertAlign w:val="superscript"/>
              </w:rPr>
              <w:t>a</w:t>
            </w:r>
            <w:r w:rsidRPr="00A21FE4">
              <w:t xml:space="preserve"> ongoing prophylactic RBC transfusion compared with no RBC transfusion (or cessation of RBC transfusions) reduces stroke occurrence.</w:t>
            </w:r>
          </w:p>
          <w:p w14:paraId="139ACA7E" w14:textId="77777777" w:rsidR="00E66069" w:rsidRPr="00A21FE4" w:rsidRDefault="00E66069" w:rsidP="00C115C0">
            <w:pPr>
              <w:pStyle w:val="ES-notes"/>
              <w:keepNext w:val="0"/>
            </w:pPr>
            <w:r w:rsidRPr="00A21FE4">
              <w:t>(See evidence matrix D1.K in Volume 2 of the technical report.)</w:t>
            </w:r>
          </w:p>
        </w:tc>
        <w:tc>
          <w:tcPr>
            <w:tcW w:w="809" w:type="dxa"/>
          </w:tcPr>
          <w:p w14:paraId="34570377" w14:textId="77777777" w:rsidR="00E66069" w:rsidRPr="00A21FE4" w:rsidRDefault="00E66069" w:rsidP="00C115C0">
            <w:pPr>
              <w:pStyle w:val="T-ABCD"/>
            </w:pPr>
            <w:r w:rsidRPr="00A21FE4">
              <w:sym w:font="Symbol" w:char="F0D6"/>
            </w:r>
            <w:r w:rsidRPr="00A21FE4">
              <w:sym w:font="Symbol" w:char="F0D6"/>
            </w:r>
          </w:p>
        </w:tc>
        <w:tc>
          <w:tcPr>
            <w:tcW w:w="809" w:type="dxa"/>
          </w:tcPr>
          <w:p w14:paraId="092CAED8" w14:textId="77777777" w:rsidR="00E66069" w:rsidRPr="00A21FE4" w:rsidRDefault="00E66069" w:rsidP="00C115C0">
            <w:pPr>
              <w:pStyle w:val="T-ABCD"/>
            </w:pPr>
            <w:r w:rsidRPr="00A21FE4">
              <w:sym w:font="Symbol" w:char="F0D6"/>
            </w:r>
            <w:r w:rsidRPr="00A21FE4">
              <w:sym w:font="Symbol" w:char="F0D6"/>
            </w:r>
            <w:r w:rsidRPr="00A21FE4">
              <w:sym w:font="Symbol" w:char="F0D6"/>
            </w:r>
          </w:p>
        </w:tc>
        <w:tc>
          <w:tcPr>
            <w:tcW w:w="809" w:type="dxa"/>
          </w:tcPr>
          <w:p w14:paraId="123C5A4E" w14:textId="77777777" w:rsidR="00E66069" w:rsidRPr="00A21FE4" w:rsidRDefault="00E66069" w:rsidP="00C115C0">
            <w:pPr>
              <w:pStyle w:val="T-ABCD"/>
            </w:pPr>
            <w:r w:rsidRPr="00A21FE4">
              <w:sym w:font="Symbol" w:char="F0D6"/>
            </w:r>
            <w:r w:rsidRPr="00A21FE4">
              <w:sym w:font="Symbol" w:char="F0D6"/>
            </w:r>
            <w:r w:rsidRPr="00A21FE4">
              <w:sym w:font="Symbol" w:char="F0D6"/>
            </w:r>
          </w:p>
        </w:tc>
        <w:tc>
          <w:tcPr>
            <w:tcW w:w="809" w:type="dxa"/>
          </w:tcPr>
          <w:p w14:paraId="306120E7" w14:textId="77777777" w:rsidR="00E66069" w:rsidRPr="00A21FE4" w:rsidRDefault="00E66069" w:rsidP="00C115C0">
            <w:pPr>
              <w:pStyle w:val="T-ABCD"/>
            </w:pPr>
            <w:r w:rsidRPr="00A21FE4">
              <w:sym w:font="Symbol" w:char="F0D6"/>
            </w:r>
            <w:r w:rsidRPr="00A21FE4">
              <w:sym w:font="Symbol" w:char="F0D6"/>
            </w:r>
            <w:r w:rsidRPr="00A21FE4">
              <w:sym w:font="Symbol" w:char="F0D6"/>
            </w:r>
          </w:p>
        </w:tc>
        <w:tc>
          <w:tcPr>
            <w:tcW w:w="810" w:type="dxa"/>
          </w:tcPr>
          <w:p w14:paraId="19380B19" w14:textId="77777777" w:rsidR="00E66069" w:rsidRPr="00A21FE4" w:rsidRDefault="00E66069" w:rsidP="00C115C0">
            <w:pPr>
              <w:pStyle w:val="T-ABCD"/>
            </w:pPr>
            <w:r w:rsidRPr="00A21FE4">
              <w:t xml:space="preserve"> </w:t>
            </w:r>
            <w:r w:rsidRPr="00A21FE4">
              <w:sym w:font="Symbol" w:char="F0D6"/>
            </w:r>
            <w:r w:rsidRPr="00A21FE4">
              <w:sym w:font="Symbol" w:char="F0D6"/>
            </w:r>
          </w:p>
        </w:tc>
      </w:tr>
      <w:tr w:rsidR="00E66069" w:rsidRPr="00A21FE4" w14:paraId="2CA57243" w14:textId="77777777" w:rsidTr="00C115C0">
        <w:trPr>
          <w:cantSplit/>
        </w:trPr>
        <w:tc>
          <w:tcPr>
            <w:tcW w:w="851" w:type="dxa"/>
          </w:tcPr>
          <w:p w14:paraId="43AB86AC" w14:textId="77777777" w:rsidR="00E66069" w:rsidRPr="00A21FE4" w:rsidRDefault="00E66069" w:rsidP="00AB4C4F">
            <w:pPr>
              <w:pStyle w:val="Tabletextnoindent"/>
              <w:numPr>
                <w:ilvl w:val="0"/>
                <w:numId w:val="0"/>
              </w:numPr>
            </w:pPr>
            <w:r w:rsidRPr="00782A0F">
              <w:t>ES1.</w:t>
            </w:r>
            <w:r>
              <w:t>18</w:t>
            </w:r>
          </w:p>
        </w:tc>
        <w:tc>
          <w:tcPr>
            <w:tcW w:w="3750" w:type="dxa"/>
          </w:tcPr>
          <w:p w14:paraId="265A5020" w14:textId="5453910C" w:rsidR="00E66069" w:rsidRPr="00A21FE4" w:rsidRDefault="00E66069" w:rsidP="00AB4C4F">
            <w:pPr>
              <w:pStyle w:val="ES-table"/>
            </w:pPr>
            <w:r w:rsidRPr="00A21FE4">
              <w:t xml:space="preserve">In neonatal and paediatric patients with </w:t>
            </w:r>
            <w:r w:rsidR="00C05EEF">
              <w:t>SCD</w:t>
            </w:r>
            <w:r w:rsidRPr="00A21FE4">
              <w:t>, the effect of restrictive RBC transfusion compared with liberal RBC transfusion on mortality is unknown.</w:t>
            </w:r>
          </w:p>
        </w:tc>
        <w:tc>
          <w:tcPr>
            <w:tcW w:w="809" w:type="dxa"/>
          </w:tcPr>
          <w:p w14:paraId="71C094B8" w14:textId="77777777" w:rsidR="00E66069" w:rsidRPr="00A21FE4" w:rsidRDefault="00E66069" w:rsidP="00AB4C4F">
            <w:pPr>
              <w:pStyle w:val="T-ABCD"/>
            </w:pPr>
            <w:r w:rsidRPr="00A21FE4">
              <w:t>NA</w:t>
            </w:r>
          </w:p>
        </w:tc>
        <w:tc>
          <w:tcPr>
            <w:tcW w:w="809" w:type="dxa"/>
          </w:tcPr>
          <w:p w14:paraId="0416406C" w14:textId="77777777" w:rsidR="00E66069" w:rsidRPr="00A21FE4" w:rsidRDefault="00E66069" w:rsidP="00AB4C4F">
            <w:pPr>
              <w:pStyle w:val="T-ABCD"/>
            </w:pPr>
            <w:r w:rsidRPr="00A21FE4">
              <w:t>NA</w:t>
            </w:r>
          </w:p>
        </w:tc>
        <w:tc>
          <w:tcPr>
            <w:tcW w:w="809" w:type="dxa"/>
          </w:tcPr>
          <w:p w14:paraId="64B22029" w14:textId="77777777" w:rsidR="00E66069" w:rsidRPr="00A21FE4" w:rsidRDefault="00E66069" w:rsidP="00AB4C4F">
            <w:pPr>
              <w:pStyle w:val="T-ABCD"/>
            </w:pPr>
            <w:r w:rsidRPr="00A21FE4">
              <w:t>NA</w:t>
            </w:r>
          </w:p>
        </w:tc>
        <w:tc>
          <w:tcPr>
            <w:tcW w:w="809" w:type="dxa"/>
          </w:tcPr>
          <w:p w14:paraId="2088B630" w14:textId="77777777" w:rsidR="00E66069" w:rsidRPr="00A21FE4" w:rsidRDefault="00E66069" w:rsidP="00AB4C4F">
            <w:pPr>
              <w:pStyle w:val="T-ABCD"/>
            </w:pPr>
            <w:r w:rsidRPr="00A21FE4">
              <w:t>NA</w:t>
            </w:r>
          </w:p>
        </w:tc>
        <w:tc>
          <w:tcPr>
            <w:tcW w:w="810" w:type="dxa"/>
          </w:tcPr>
          <w:p w14:paraId="37C21B7E" w14:textId="77777777" w:rsidR="00E66069" w:rsidRPr="00A21FE4" w:rsidRDefault="00E66069" w:rsidP="00AB4C4F">
            <w:pPr>
              <w:pStyle w:val="T-ABCD"/>
            </w:pPr>
            <w:r w:rsidRPr="00A21FE4">
              <w:t xml:space="preserve">NA </w:t>
            </w:r>
          </w:p>
        </w:tc>
      </w:tr>
      <w:tr w:rsidR="00E66069" w:rsidRPr="00A21FE4" w14:paraId="7B5F0D03" w14:textId="77777777" w:rsidTr="00C115C0">
        <w:trPr>
          <w:cantSplit/>
        </w:trPr>
        <w:tc>
          <w:tcPr>
            <w:tcW w:w="851" w:type="dxa"/>
          </w:tcPr>
          <w:p w14:paraId="621D44BC" w14:textId="77777777" w:rsidR="00E66069" w:rsidRPr="00A21FE4" w:rsidRDefault="00E66069" w:rsidP="00AB4C4F">
            <w:pPr>
              <w:pStyle w:val="Tabletextnoindent"/>
              <w:numPr>
                <w:ilvl w:val="0"/>
                <w:numId w:val="0"/>
              </w:numPr>
            </w:pPr>
            <w:r w:rsidRPr="00782A0F">
              <w:t>ES1.</w:t>
            </w:r>
            <w:r>
              <w:t>19</w:t>
            </w:r>
          </w:p>
        </w:tc>
        <w:tc>
          <w:tcPr>
            <w:tcW w:w="3750" w:type="dxa"/>
          </w:tcPr>
          <w:p w14:paraId="17E2DCAE" w14:textId="24F059DE" w:rsidR="00E66069" w:rsidRPr="00A21FE4" w:rsidRDefault="00E66069" w:rsidP="00AB4C4F">
            <w:pPr>
              <w:pStyle w:val="ES-table"/>
            </w:pPr>
            <w:r w:rsidRPr="00A21FE4">
              <w:t xml:space="preserve">In neonatal and paediatric patients with </w:t>
            </w:r>
            <w:r w:rsidR="00C05EEF">
              <w:t>SCD</w:t>
            </w:r>
            <w:r w:rsidRPr="00A21FE4">
              <w:t>, the effect of restrictive RBC transfusion compared with liberal RBC transfusion on stroke is unknown.</w:t>
            </w:r>
          </w:p>
        </w:tc>
        <w:tc>
          <w:tcPr>
            <w:tcW w:w="809" w:type="dxa"/>
          </w:tcPr>
          <w:p w14:paraId="7538C6C4" w14:textId="77777777" w:rsidR="00E66069" w:rsidRPr="00A21FE4" w:rsidRDefault="00E66069" w:rsidP="00AB4C4F">
            <w:pPr>
              <w:pStyle w:val="T-ABCD"/>
            </w:pPr>
            <w:r w:rsidRPr="00A21FE4">
              <w:t>NA</w:t>
            </w:r>
          </w:p>
        </w:tc>
        <w:tc>
          <w:tcPr>
            <w:tcW w:w="809" w:type="dxa"/>
          </w:tcPr>
          <w:p w14:paraId="1E2E38F4" w14:textId="77777777" w:rsidR="00E66069" w:rsidRPr="00A21FE4" w:rsidRDefault="00E66069" w:rsidP="00AB4C4F">
            <w:pPr>
              <w:pStyle w:val="T-ABCD"/>
            </w:pPr>
            <w:r w:rsidRPr="00A21FE4">
              <w:t>NA</w:t>
            </w:r>
          </w:p>
        </w:tc>
        <w:tc>
          <w:tcPr>
            <w:tcW w:w="809" w:type="dxa"/>
          </w:tcPr>
          <w:p w14:paraId="6E4BA3E8" w14:textId="77777777" w:rsidR="00E66069" w:rsidRPr="00A21FE4" w:rsidRDefault="00E66069" w:rsidP="00AB4C4F">
            <w:pPr>
              <w:pStyle w:val="T-ABCD"/>
            </w:pPr>
            <w:r w:rsidRPr="00A21FE4">
              <w:t>NA</w:t>
            </w:r>
          </w:p>
        </w:tc>
        <w:tc>
          <w:tcPr>
            <w:tcW w:w="809" w:type="dxa"/>
          </w:tcPr>
          <w:p w14:paraId="66DBEF1E" w14:textId="77777777" w:rsidR="00E66069" w:rsidRPr="00A21FE4" w:rsidRDefault="00E66069" w:rsidP="00AB4C4F">
            <w:pPr>
              <w:pStyle w:val="T-ABCD"/>
            </w:pPr>
            <w:r w:rsidRPr="00A21FE4">
              <w:t>NA</w:t>
            </w:r>
          </w:p>
        </w:tc>
        <w:tc>
          <w:tcPr>
            <w:tcW w:w="810" w:type="dxa"/>
          </w:tcPr>
          <w:p w14:paraId="1E714B36" w14:textId="77777777" w:rsidR="00E66069" w:rsidRPr="00A21FE4" w:rsidRDefault="00E66069" w:rsidP="00AB4C4F">
            <w:pPr>
              <w:pStyle w:val="T-ABCD"/>
            </w:pPr>
            <w:r w:rsidRPr="00A21FE4">
              <w:t xml:space="preserve">NA </w:t>
            </w:r>
          </w:p>
        </w:tc>
      </w:tr>
      <w:tr w:rsidR="00E66069" w:rsidRPr="00A21FE4" w14:paraId="715645D8" w14:textId="77777777" w:rsidTr="00C115C0">
        <w:trPr>
          <w:cantSplit/>
        </w:trPr>
        <w:tc>
          <w:tcPr>
            <w:tcW w:w="8647" w:type="dxa"/>
            <w:gridSpan w:val="7"/>
            <w:tcBorders>
              <w:bottom w:val="single" w:sz="4" w:space="0" w:color="000000"/>
            </w:tcBorders>
          </w:tcPr>
          <w:p w14:paraId="0883275A" w14:textId="0FCCA02E" w:rsidR="00E66069" w:rsidRPr="00A21FE4" w:rsidRDefault="00E66069" w:rsidP="00AB4C4F">
            <w:pPr>
              <w:pStyle w:val="ES-notes"/>
            </w:pPr>
            <w:r w:rsidRPr="00A21FE4">
              <w:t>ES, evidence statement;</w:t>
            </w:r>
            <w:r w:rsidR="00220D6F">
              <w:t xml:space="preserve"> </w:t>
            </w:r>
            <w:r w:rsidRPr="00A21FE4">
              <w:t>RBC, red blood cell</w:t>
            </w:r>
            <w:r w:rsidR="00220D6F">
              <w:t xml:space="preserve">; </w:t>
            </w:r>
            <w:r w:rsidR="00C05EEF">
              <w:t>SCD, sickle cell disease</w:t>
            </w:r>
          </w:p>
          <w:p w14:paraId="2A895388"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11F56D8B" w14:textId="77777777" w:rsidR="007111D2" w:rsidRDefault="007111D2"/>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31"/>
      </w:tblGrid>
      <w:tr w:rsidR="00E66069" w:rsidRPr="00A21FE4" w14:paraId="54346FFD"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tcPr>
          <w:p w14:paraId="56E96E2C" w14:textId="3829B1E5" w:rsidR="00E66069" w:rsidRPr="00A21FE4" w:rsidRDefault="00E66069" w:rsidP="00C05EEF">
            <w:pPr>
              <w:pStyle w:val="PP-heading"/>
            </w:pPr>
            <w:r w:rsidRPr="00A21FE4">
              <w:t>Recommendation –</w:t>
            </w:r>
            <w:r>
              <w:t xml:space="preserve"> </w:t>
            </w:r>
            <w:r w:rsidR="00C05EEF" w:rsidRPr="00C05EEF">
              <w:t>SCD</w:t>
            </w:r>
            <w:r w:rsidR="006D11A2" w:rsidRPr="00A21FE4">
              <w:t xml:space="preserve"> (RBC transfusion)</w:t>
            </w:r>
          </w:p>
        </w:tc>
      </w:tr>
      <w:tr w:rsidR="00E66069" w:rsidRPr="00A21FE4" w14:paraId="734469EB" w14:textId="77777777" w:rsidTr="00C115C0">
        <w:tc>
          <w:tcPr>
            <w:tcW w:w="1117" w:type="dxa"/>
            <w:tcBorders>
              <w:right w:val="single" w:sz="4" w:space="0" w:color="auto"/>
            </w:tcBorders>
            <w:shd w:val="clear" w:color="auto" w:fill="auto"/>
          </w:tcPr>
          <w:p w14:paraId="7AB92D39" w14:textId="77777777" w:rsidR="00E66069" w:rsidRPr="00A21FE4" w:rsidRDefault="00E66069" w:rsidP="00AB4C4F">
            <w:pPr>
              <w:pStyle w:val="Normal-noindent"/>
            </w:pPr>
            <w:r w:rsidRPr="00A21FE4">
              <w:t>R</w:t>
            </w:r>
            <w:r>
              <w:t>2</w:t>
            </w:r>
            <w:r w:rsidRPr="00A21FE4">
              <w:br/>
              <w:t>(Grade A)</w:t>
            </w:r>
          </w:p>
        </w:tc>
        <w:tc>
          <w:tcPr>
            <w:tcW w:w="7531" w:type="dxa"/>
            <w:tcBorders>
              <w:left w:val="single" w:sz="4" w:space="0" w:color="auto"/>
            </w:tcBorders>
            <w:shd w:val="clear" w:color="auto" w:fill="auto"/>
          </w:tcPr>
          <w:p w14:paraId="2D08EEA0" w14:textId="329A65F9" w:rsidR="00E66069" w:rsidRPr="00A21FE4" w:rsidRDefault="00E66069" w:rsidP="00F42852">
            <w:pPr>
              <w:pStyle w:val="PP"/>
            </w:pPr>
            <w:r w:rsidRPr="00A21FE4">
              <w:t xml:space="preserve">In children and adolescents with </w:t>
            </w:r>
            <w:r w:rsidR="00C05EEF">
              <w:t>SCD</w:t>
            </w:r>
            <w:r w:rsidRPr="00A21FE4">
              <w:t xml:space="preserve"> who have been assessed to be at increased risk of stroke,</w:t>
            </w:r>
            <w:r w:rsidRPr="00A21FE4">
              <w:rPr>
                <w:vertAlign w:val="superscript"/>
              </w:rPr>
              <w:t>a</w:t>
            </w:r>
            <w:r w:rsidRPr="00A21FE4">
              <w:t xml:space="preserve"> ongoing prophylactic RBC transfusions are recommended because they reduce stroke occurrence.</w:t>
            </w:r>
            <w:r w:rsidRPr="00A21FE4">
              <w:rPr>
                <w:vertAlign w:val="superscript"/>
              </w:rPr>
              <w:t>b</w:t>
            </w:r>
          </w:p>
          <w:p w14:paraId="4AB740F9" w14:textId="51C59067" w:rsidR="00E66069" w:rsidRPr="00A21FE4" w:rsidRDefault="00E66069" w:rsidP="00E62798">
            <w:pPr>
              <w:pStyle w:val="PP-note"/>
            </w:pPr>
            <w:r w:rsidRPr="00A21FE4">
              <w:rPr>
                <w:vertAlign w:val="superscript"/>
              </w:rPr>
              <w:t>a</w:t>
            </w:r>
            <w:r w:rsidRPr="00A21FE4">
              <w:t xml:space="preserve"> Assessed by </w:t>
            </w:r>
            <w:r w:rsidR="00220D6F">
              <w:t>TCD</w:t>
            </w:r>
            <w:r w:rsidRPr="00A21FE4">
              <w:t xml:space="preserve"> ultrasonography</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rsidRPr="00A21FE4">
              <w:t xml:space="preserve"> </w:t>
            </w:r>
            <w:r w:rsidRPr="00F42852">
              <w:t>and</w:t>
            </w:r>
            <w:r w:rsidRPr="00A21FE4">
              <w:t xml:space="preserve"> </w:t>
            </w:r>
            <w:r w:rsidR="00220D6F">
              <w:t>MRI</w:t>
            </w:r>
            <w:r w:rsidRPr="00A21FE4">
              <w:t>.</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r w:rsidRPr="00A21FE4">
              <w:rPr>
                <w:vertAlign w:val="superscript"/>
              </w:rPr>
              <w:br/>
              <w:t xml:space="preserve">b </w:t>
            </w:r>
            <w:r w:rsidRPr="00A21FE4">
              <w:t>See PP11 for methods of assessment.</w:t>
            </w:r>
          </w:p>
        </w:tc>
      </w:tr>
      <w:tr w:rsidR="00E66069" w:rsidRPr="00A21FE4" w14:paraId="7C5A0D2A"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tcPr>
          <w:p w14:paraId="22A057EE" w14:textId="6846DBBE" w:rsidR="00E66069" w:rsidRPr="00A21FE4" w:rsidRDefault="00E66069" w:rsidP="00B7732A">
            <w:pPr>
              <w:pStyle w:val="PP-heading"/>
            </w:pPr>
            <w:r w:rsidRPr="00A21FE4">
              <w:t>Practice points –</w:t>
            </w:r>
            <w:r w:rsidR="00045D23">
              <w:rPr>
                <w:lang w:val="en-AU"/>
              </w:rPr>
              <w:t xml:space="preserve"> </w:t>
            </w:r>
            <w:r w:rsidR="00C05EEF">
              <w:rPr>
                <w:lang w:eastAsia="en-GB"/>
              </w:rPr>
              <w:t>SCD</w:t>
            </w:r>
            <w:r w:rsidR="006D11A2" w:rsidRPr="00A21FE4">
              <w:t xml:space="preserve"> (RBC transfusion)</w:t>
            </w:r>
          </w:p>
        </w:tc>
      </w:tr>
      <w:tr w:rsidR="00E66069" w:rsidRPr="00A21FE4" w14:paraId="6C944043" w14:textId="77777777" w:rsidTr="00C115C0">
        <w:tc>
          <w:tcPr>
            <w:tcW w:w="1117" w:type="dxa"/>
            <w:tcBorders>
              <w:right w:val="single" w:sz="4" w:space="0" w:color="auto"/>
            </w:tcBorders>
            <w:shd w:val="clear" w:color="auto" w:fill="auto"/>
          </w:tcPr>
          <w:p w14:paraId="25B7FDF1" w14:textId="77777777" w:rsidR="00E66069" w:rsidRPr="00A21FE4" w:rsidRDefault="00E66069" w:rsidP="00B7732A">
            <w:pPr>
              <w:pStyle w:val="PP"/>
              <w:keepNext/>
            </w:pPr>
            <w:r w:rsidRPr="00A21FE4">
              <w:t>PP7</w:t>
            </w:r>
          </w:p>
        </w:tc>
        <w:tc>
          <w:tcPr>
            <w:tcW w:w="7531" w:type="dxa"/>
            <w:tcBorders>
              <w:left w:val="single" w:sz="4" w:space="0" w:color="auto"/>
            </w:tcBorders>
            <w:shd w:val="clear" w:color="auto" w:fill="auto"/>
          </w:tcPr>
          <w:p w14:paraId="1E95DFCB" w14:textId="3C680947" w:rsidR="00E66069" w:rsidRPr="00C05EEF" w:rsidRDefault="00E66069" w:rsidP="00B7732A">
            <w:pPr>
              <w:pStyle w:val="PP"/>
              <w:keepNext/>
              <w:rPr>
                <w:vertAlign w:val="superscript"/>
                <w:lang w:val="en-AU"/>
              </w:rPr>
            </w:pPr>
            <w:r w:rsidRPr="00A21FE4">
              <w:t xml:space="preserve">In paediatric patients with </w:t>
            </w:r>
            <w:r>
              <w:t xml:space="preserve">beta </w:t>
            </w:r>
            <w:r w:rsidRPr="00A21FE4">
              <w:t>thalassaemia, the evidence does not support any change to the current practice of maintaining a pretransfusion Hb concentration of 90–100 g/L.</w:t>
            </w:r>
            <w:r w:rsidR="00C05EEF">
              <w:rPr>
                <w:vertAlign w:val="superscript"/>
                <w:lang w:val="en-AU"/>
              </w:rPr>
              <w:t>a</w:t>
            </w:r>
          </w:p>
          <w:p w14:paraId="76B72F08" w14:textId="78DB48A3" w:rsidR="00E66069" w:rsidRPr="00A21FE4" w:rsidRDefault="00C05EEF" w:rsidP="00E62798">
            <w:pPr>
              <w:pStyle w:val="PP-note"/>
              <w:keepNext/>
            </w:pPr>
            <w:r>
              <w:rPr>
                <w:vertAlign w:val="superscript"/>
              </w:rPr>
              <w:t>a</w:t>
            </w:r>
            <w:r>
              <w:t xml:space="preserve"> </w:t>
            </w:r>
            <w:r w:rsidR="00CE5AC9">
              <w:t>See</w:t>
            </w:r>
            <w:r w:rsidR="00E66069" w:rsidRPr="00A21FE4">
              <w:t xml:space="preserve"> PP23 in </w:t>
            </w:r>
            <w:r w:rsidR="00E66069" w:rsidRPr="00A21FE4">
              <w:rPr>
                <w:i/>
              </w:rPr>
              <w:t>Patient Blood Management Guidelines: Module 3 – Medical</w:t>
            </w:r>
            <w:r w:rsidR="00B7732A">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E66069" w:rsidRPr="00A21FE4">
              <w:rPr>
                <w:vertAlign w:val="superscript"/>
              </w:rPr>
              <w:t xml:space="preserve"> </w:t>
            </w:r>
          </w:p>
        </w:tc>
      </w:tr>
      <w:tr w:rsidR="00E66069" w:rsidRPr="00A21FE4" w14:paraId="4A852F35" w14:textId="77777777" w:rsidTr="00C115C0">
        <w:tc>
          <w:tcPr>
            <w:tcW w:w="1117" w:type="dxa"/>
            <w:tcBorders>
              <w:right w:val="single" w:sz="4" w:space="0" w:color="auto"/>
            </w:tcBorders>
            <w:shd w:val="clear" w:color="auto" w:fill="auto"/>
          </w:tcPr>
          <w:p w14:paraId="4BA7EADE" w14:textId="4F362E8E" w:rsidR="00E66069" w:rsidRPr="00A21FE4" w:rsidRDefault="00E66069" w:rsidP="00F42852">
            <w:pPr>
              <w:pStyle w:val="PP"/>
            </w:pPr>
            <w:r w:rsidRPr="00A21FE4">
              <w:t>PP11</w:t>
            </w:r>
          </w:p>
        </w:tc>
        <w:tc>
          <w:tcPr>
            <w:tcW w:w="7531" w:type="dxa"/>
            <w:tcBorders>
              <w:left w:val="single" w:sz="4" w:space="0" w:color="auto"/>
            </w:tcBorders>
            <w:shd w:val="clear" w:color="auto" w:fill="auto"/>
          </w:tcPr>
          <w:p w14:paraId="03EA31CD" w14:textId="2B127062" w:rsidR="00E66069" w:rsidRPr="00A21FE4" w:rsidRDefault="00E66069" w:rsidP="00E62798">
            <w:pPr>
              <w:pStyle w:val="PP"/>
            </w:pPr>
            <w:r w:rsidRPr="00A21FE4">
              <w:t xml:space="preserve">Children and adolescents with </w:t>
            </w:r>
            <w:r w:rsidR="00C05EEF">
              <w:t>SCD</w:t>
            </w:r>
            <w:r w:rsidRPr="00A21FE4">
              <w:t xml:space="preserve"> should be assessed for stroke risk using both </w:t>
            </w:r>
            <w:r w:rsidR="00220D6F">
              <w:rPr>
                <w:lang w:val="en-AU"/>
              </w:rPr>
              <w:t>TCD</w:t>
            </w:r>
            <w:r w:rsidRPr="00A21FE4">
              <w:t xml:space="preserve"> ultrasonography</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rsidRPr="00A21FE4">
              <w:t xml:space="preserve"> and </w:t>
            </w:r>
            <w:r w:rsidR="00220D6F">
              <w:rPr>
                <w:lang w:val="en-AU"/>
              </w:rPr>
              <w:t>MRI</w:t>
            </w:r>
            <w:r w:rsidRPr="00A21FE4">
              <w:t>.</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r w:rsidRPr="00A21FE4">
              <w:rPr>
                <w:rStyle w:val="FootnoteReference"/>
              </w:rPr>
              <w:t xml:space="preserve"> </w:t>
            </w:r>
          </w:p>
        </w:tc>
      </w:tr>
      <w:tr w:rsidR="00E66069" w:rsidRPr="00A21FE4" w14:paraId="7004E4E1" w14:textId="77777777" w:rsidTr="00C115C0">
        <w:trPr>
          <w:trHeight w:val="397"/>
        </w:trPr>
        <w:tc>
          <w:tcPr>
            <w:tcW w:w="8648" w:type="dxa"/>
            <w:gridSpan w:val="2"/>
            <w:shd w:val="clear" w:color="auto" w:fill="auto"/>
          </w:tcPr>
          <w:p w14:paraId="33D92D5A" w14:textId="50D5A677" w:rsidR="00E66069" w:rsidRDefault="00E66069" w:rsidP="00220D6F">
            <w:pPr>
              <w:pStyle w:val="PP-note"/>
            </w:pPr>
            <w:r w:rsidRPr="00A21FE4">
              <w:t>Hb, haemoglobin;</w:t>
            </w:r>
            <w:r w:rsidR="00220D6F">
              <w:t xml:space="preserve"> MRI, magnetic resonance imaging;</w:t>
            </w:r>
            <w:r w:rsidRPr="00A21FE4">
              <w:t xml:space="preserve"> PP, practice point; R, reco</w:t>
            </w:r>
            <w:r w:rsidR="00220D6F">
              <w:t xml:space="preserve">mmendation; RBC, red blood cell; </w:t>
            </w:r>
            <w:r w:rsidR="00C05EEF">
              <w:t xml:space="preserve">SCD, sickle cell disease; </w:t>
            </w:r>
            <w:r w:rsidR="00220D6F">
              <w:t>TCD, transcranial Doppler</w:t>
            </w:r>
          </w:p>
          <w:p w14:paraId="7270E4C2" w14:textId="234D49D5" w:rsidR="00D92E23" w:rsidRPr="00A21FE4" w:rsidRDefault="00D92E23" w:rsidP="00E62798">
            <w:pPr>
              <w:pStyle w:val="PP-note"/>
            </w:pPr>
            <w:r w:rsidRPr="00D92E23">
              <w:t xml:space="preserve">Note: The Phase III </w:t>
            </w:r>
            <w:r w:rsidR="00C05EEF">
              <w:t>TCD With Transfusions Changing to Hydroxyurea</w:t>
            </w:r>
            <w:r w:rsidR="00C05EEF">
              <w:rPr>
                <w:rFonts w:ascii="Segoe UI" w:eastAsia="MS Mincho" w:hAnsi="Segoe UI" w:cs="Segoe UI"/>
                <w:color w:val="auto"/>
                <w:sz w:val="18"/>
                <w:szCs w:val="18"/>
              </w:rPr>
              <w:t xml:space="preserve"> (</w:t>
            </w:r>
            <w:r w:rsidRPr="00D92E23">
              <w:t>TWiTCH</w:t>
            </w:r>
            <w:r w:rsidR="00C05EEF">
              <w:t>)</w:t>
            </w:r>
            <w:r w:rsidRPr="00D92E23">
              <w:t xml:space="preserve"> trial</w:t>
            </w:r>
            <w:hyperlink w:anchor="_ENREF_60" w:tooltip=",  #1092" w:history="1">
              <w:r w:rsidR="00E62798">
                <w:fldChar w:fldCharType="begin"/>
              </w:r>
              <w:r w:rsidR="00E62798">
                <w:instrText xml:space="preserve"> ADDIN EN.CITE &lt;EndNote&gt;&lt;Cite ExcludeAuth="1" ExcludeYear="1"&gt;&lt;RecNum&gt;1092&lt;/RecNum&gt;&lt;DisplayText&gt;&lt;style face="superscript"&gt;60&lt;/style&gt;&lt;/DisplayText&gt;&lt;record&gt;&lt;rec-number&gt;1092&lt;/rec-number&gt;&lt;foreign-keys&gt;&lt;key app="EN" db-id="9edve2wadsavt5ewavaxtda4f2tavzvts9ee" timestamp="1439274313"&gt;1092&lt;/key&gt;&lt;/foreign-keys&gt;&lt;ref-type name="Report"&gt;27&lt;/ref-type&gt;&lt;contributors&gt;&lt;/contributors&gt;&lt;titles&gt;&lt;title&gt;TCD With Transfusions Changing to Hydroxyurea (TWiTCH): A Phase III Randomized Clinical Trial to Compare Standard Therapy (Erythrocyte Transfusions) With Alternative Therapy (Hydroxyurea) for the Maintenance of Lowered TCD Velocities in Pediatric Subjects With Sickle Cell Anemia and Abnormal Pre-treatment TCD Velocities&lt;/title&gt;&lt;/titles&gt;&lt;dates&gt;&lt;/dates&gt;&lt;urls&gt;&lt;related-urls&gt;&lt;url&gt;https://clinicaltrials.gov/ct2/show/study/NCT01425307?term=Twitch+sickle+cell&amp;amp;rank=1&lt;/url&gt;&lt;/related-urls&gt;&lt;/urls&gt;&lt;/record&gt;&lt;/Cite&gt;&lt;/EndNote&gt;</w:instrText>
              </w:r>
              <w:r w:rsidR="00E62798">
                <w:fldChar w:fldCharType="separate"/>
              </w:r>
              <w:r w:rsidR="00E62798" w:rsidRPr="00E62798">
                <w:rPr>
                  <w:noProof/>
                  <w:vertAlign w:val="superscript"/>
                </w:rPr>
                <w:t>60</w:t>
              </w:r>
              <w:r w:rsidR="00E62798">
                <w:fldChar w:fldCharType="end"/>
              </w:r>
            </w:hyperlink>
            <w:r w:rsidRPr="00D92E23">
              <w:t xml:space="preserve"> comparing RBC transfusion to hydroxyurea in paediatric sickle cell patients was stopped early, because hydroxyurea was found to be as effective as transfusions in lowering the mean </w:t>
            </w:r>
            <w:r w:rsidR="00C05EEF">
              <w:t>TCD</w:t>
            </w:r>
            <w:r w:rsidRPr="00D92E23">
              <w:t xml:space="preserve"> velocity of blood flow. Complete data, including the secondary outcome of primary stroke</w:t>
            </w:r>
            <w:r w:rsidR="00B855A4">
              <w:t>,</w:t>
            </w:r>
            <w:r w:rsidRPr="00D92E23">
              <w:t xml:space="preserve"> are not yet available. We await publication of the full trial results before changes to </w:t>
            </w:r>
            <w:r w:rsidR="00C05EEF">
              <w:t xml:space="preserve">the </w:t>
            </w:r>
            <w:r w:rsidRPr="00D92E23">
              <w:t>current recommendations (R1 and R4) and practice points (PP11) are made.</w:t>
            </w:r>
          </w:p>
        </w:tc>
      </w:tr>
    </w:tbl>
    <w:p w14:paraId="13371410" w14:textId="77777777" w:rsidR="00E66069" w:rsidRDefault="00E66069" w:rsidP="00E66069">
      <w:pPr>
        <w:pStyle w:val="Heading4"/>
      </w:pPr>
      <w:r w:rsidRPr="00EB4620">
        <w:t>Background</w:t>
      </w:r>
    </w:p>
    <w:p w14:paraId="430971E5" w14:textId="77777777" w:rsidR="00E66069" w:rsidRDefault="00E66069" w:rsidP="00E66069">
      <w:pPr>
        <w:rPr>
          <w:lang w:val="en-GB" w:eastAsia="en-GB"/>
        </w:rPr>
      </w:pPr>
      <w:r>
        <w:rPr>
          <w:lang w:val="en-GB" w:eastAsia="en-GB"/>
        </w:rPr>
        <w:t xml:space="preserve">Sickle cell disease (SCD) is caused by homozygous inheritance of the HbS allele or compound heterozygous inheritance of that allele with another abnormality of the beta globin gene, such as HbC or beta thalassaemia. Important clinical manifestations of SCD in paediatric patients include splenic sequestration, haemolysis, aplastic crises, priapism, infection, stroke and recurrent painful vaso-occlusive episodes such as dactylitis and acute chest syndrome. Most children with SCD in developed countries will survive to adulthood; however, life expectancy may be reduced. </w:t>
      </w:r>
    </w:p>
    <w:p w14:paraId="5C632DFD" w14:textId="183794C5" w:rsidR="00E66069" w:rsidRDefault="00E66069" w:rsidP="00E66069">
      <w:pPr>
        <w:rPr>
          <w:lang w:val="en-GB" w:eastAsia="en-GB"/>
        </w:rPr>
      </w:pPr>
      <w:r>
        <w:t xml:space="preserve">RBC transfusions are an important treatment strategy in the management of acute sickle complications and in the prevention of long-lasting complications such as stroke. </w:t>
      </w:r>
      <w:r>
        <w:rPr>
          <w:lang w:val="en-GB" w:eastAsia="en-GB"/>
        </w:rPr>
        <w:t>During childhood, at least 20% of children with SCD will have silent ischaemic lesions that are visible on magnetic resonance imaging (MRI), and these lesions are associated with an increased incidence of clinical stroke.</w:t>
      </w:r>
      <w:hyperlink w:anchor="_ENREF_61" w:tooltip="Bernaudin, 2000 #1012" w:history="1">
        <w:r w:rsidR="00E62798">
          <w:rPr>
            <w:lang w:val="en-GB" w:eastAsia="en-GB"/>
          </w:rPr>
          <w:fldChar w:fldCharType="begin">
            <w:fldData xml:space="preserve">PEVuZE5vdGU+PENpdGU+PEF1dGhvcj5CZXJuYXVkaW48L0F1dGhvcj48WWVhcj4yMDAwPC9ZZWFy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=
</w:fldData>
          </w:fldChar>
        </w:r>
        <w:r w:rsidR="00E62798">
          <w:rPr>
            <w:lang w:val="en-GB" w:eastAsia="en-GB"/>
          </w:rPr>
          <w:instrText xml:space="preserve"> ADDIN EN.CITE </w:instrText>
        </w:r>
        <w:r w:rsidR="00E62798">
          <w:rPr>
            <w:lang w:val="en-GB" w:eastAsia="en-GB"/>
          </w:rPr>
          <w:fldChar w:fldCharType="begin">
            <w:fldData xml:space="preserve">PEVuZE5vdGU+PENpdGU+PEF1dGhvcj5CZXJuYXVkaW48L0F1dGhvcj48WWVhcj4yMDAwPC9ZZWFy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=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61-62</w:t>
        </w:r>
        <w:r w:rsidR="00E62798">
          <w:rPr>
            <w:lang w:val="en-GB" w:eastAsia="en-GB"/>
          </w:rPr>
          <w:fldChar w:fldCharType="end"/>
        </w:r>
      </w:hyperlink>
    </w:p>
    <w:p w14:paraId="63E82DE8" w14:textId="77777777" w:rsidR="00E66069" w:rsidRDefault="00E66069" w:rsidP="00E66069">
      <w:pPr>
        <w:rPr>
          <w:lang w:val="en-GB" w:eastAsia="en-GB"/>
        </w:rPr>
      </w:pPr>
      <w:r>
        <w:rPr>
          <w:lang w:val="en-GB" w:eastAsia="en-GB"/>
        </w:rPr>
        <w:t xml:space="preserve">Regular RBC transfusion usually leads to iron overload, which is typically treated with iron chelation. SCD patients are also at significant risk of haemolytic transfusion reactions and red cell alloimmunisation. High rates of alloimmunisation are seen in SCD patients receiving chronic transfusions, because of the high transfusion rates in these patients, and antigenic differences between donor and recipient populations. </w:t>
      </w:r>
    </w:p>
    <w:p w14:paraId="5D3605CE" w14:textId="77777777" w:rsidR="00E66069" w:rsidRPr="00EB4620" w:rsidRDefault="00E66069" w:rsidP="00E66069">
      <w:pPr>
        <w:pStyle w:val="Heading4"/>
      </w:pPr>
      <w:r w:rsidRPr="00EB4620">
        <w:t xml:space="preserve">RBC transfusion versus no transfusion </w:t>
      </w:r>
      <w:r>
        <w:t xml:space="preserve">(or different RBC dose) in </w:t>
      </w:r>
      <w:r w:rsidRPr="00EB4620">
        <w:rPr>
          <w:lang w:eastAsia="en-GB"/>
        </w:rPr>
        <w:t xml:space="preserve">paediatric </w:t>
      </w:r>
      <w:r>
        <w:rPr>
          <w:lang w:eastAsia="en-GB"/>
        </w:rPr>
        <w:t xml:space="preserve">patients with SCD </w:t>
      </w:r>
    </w:p>
    <w:p w14:paraId="7C899895" w14:textId="3361ED4D" w:rsidR="00E66069" w:rsidRPr="00EB4620" w:rsidRDefault="00E66069" w:rsidP="00E66069">
      <w:r>
        <w:rPr>
          <w:lang w:val="en-GB" w:eastAsia="en-GB"/>
        </w:rPr>
        <w:t>Two g</w:t>
      </w:r>
      <w:r>
        <w:rPr>
          <w:lang w:eastAsia="en-GB"/>
        </w:rPr>
        <w:t>ood-quality systematic reviews</w:t>
      </w:r>
      <w:r>
        <w:t xml:space="preserve"> </w:t>
      </w:r>
      <w:r w:rsidRPr="00EB4620">
        <w:t>examin</w:t>
      </w:r>
      <w:r>
        <w:t>ed</w:t>
      </w:r>
      <w:r w:rsidRPr="00EB4620">
        <w:t xml:space="preserve"> the effect of RBC transfusion in </w:t>
      </w:r>
      <w:r>
        <w:t>paediatric patients with SCD.</w:t>
      </w:r>
      <w:hyperlink w:anchor="_ENREF_63" w:tooltip="Cherry, 2012 #154" w:history="1">
        <w:r w:rsidR="00E62798">
          <w:rPr>
            <w:lang w:eastAsia="en-GB"/>
          </w:rPr>
          <w:fldChar w:fldCharType="begin">
            <w:fldData xml:space="preserve">PEVuZE5vdGU+PENpdGU+PEF1dGhvcj5DaGVycnk8L0F1dGhvcj48WWVhcj4yMDEyPC9ZZWFyPjxS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PEVuZE5vdGU+PENpdGU+PEF1dGhvcj5DaGVycnk8L0F1dGhvcj48WWVhcj4yMDEyPC9ZZWFyPjxS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63-64</w:t>
        </w:r>
        <w:r w:rsidR="00E62798">
          <w:rPr>
            <w:lang w:eastAsia="en-GB"/>
          </w:rPr>
          <w:fldChar w:fldCharType="end"/>
        </w:r>
      </w:hyperlink>
      <w:r>
        <w:t xml:space="preserve"> These reviews included two good-quality Level II studies: the STOP trial,</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t xml:space="preserve"> which randomised children (</w:t>
      </w:r>
      <w:r w:rsidR="007605AB">
        <w:t xml:space="preserve">aged </w:t>
      </w:r>
      <w:r>
        <w:t xml:space="preserve">2–16 years) at high risk of </w:t>
      </w:r>
      <w:r w:rsidRPr="00EB4620">
        <w:t xml:space="preserve">stroke based on transcranial Doppler (TCD) screening </w:t>
      </w:r>
      <w:r>
        <w:t xml:space="preserve">to either </w:t>
      </w:r>
      <w:r w:rsidRPr="00EB4620">
        <w:t>RBC transfusion or standard care (no transfusion)</w:t>
      </w:r>
      <w:r>
        <w:t>; and</w:t>
      </w:r>
      <w:r w:rsidRPr="00EB4620">
        <w:t xml:space="preserve"> </w:t>
      </w:r>
      <w:r>
        <w:t>the STOP 2 trial,</w:t>
      </w:r>
      <w:hyperlink w:anchor="_ENREF_65" w:tooltip="Adams, 2005 #147" w:history="1">
        <w:r w:rsidR="00E62798">
          <w:fldChar w:fldCharType="begin">
            <w:fldData xml:space="preserve">PEVuZE5vdGU+PENpdGU+PEF1dGhvcj5BZGFtczwvQXV0aG9yPjxZZWFyPjIwMDU8L1llYXI+PFJl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</w:fldData>
          </w:fldChar>
        </w:r>
        <w:r w:rsidR="00E62798">
          <w:instrText xml:space="preserve"> ADDIN EN.CITE </w:instrText>
        </w:r>
        <w:r w:rsidR="00E62798">
          <w:fldChar w:fldCharType="begin">
            <w:fldData xml:space="preserve">PEVuZE5vdGU+PENpdGU+PEF1dGhvcj5BZGFtczwvQXV0aG9yPjxZZWFyPjIwMDU8L1llYXI+PFJl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65</w:t>
        </w:r>
        <w:r w:rsidR="00E62798">
          <w:fldChar w:fldCharType="end"/>
        </w:r>
      </w:hyperlink>
      <w:r>
        <w:t xml:space="preserve"> which randomised children (</w:t>
      </w:r>
      <w:r w:rsidR="007605AB">
        <w:t xml:space="preserve">aged </w:t>
      </w:r>
      <w:r>
        <w:t xml:space="preserve">2–16 years) at high risk of stroke to </w:t>
      </w:r>
      <w:r w:rsidRPr="00EB4620">
        <w:t>continued RBC transfusion</w:t>
      </w:r>
      <w:r>
        <w:t>s</w:t>
      </w:r>
      <w:r w:rsidRPr="00EB4620">
        <w:t xml:space="preserve"> or </w:t>
      </w:r>
      <w:r>
        <w:t xml:space="preserve">cessation of transfusion therapy after 30 months of transfusions (halted transfusion group). </w:t>
      </w:r>
    </w:p>
    <w:p w14:paraId="45AF89C9" w14:textId="17170E7A" w:rsidR="00E66069" w:rsidRDefault="00E66069" w:rsidP="00E66069">
      <w:pPr>
        <w:rPr>
          <w:lang w:eastAsia="en-GB"/>
        </w:rPr>
      </w:pPr>
      <w:r>
        <w:t>Two additional Level II studies of fair</w:t>
      </w:r>
      <w:r w:rsidR="007605AB">
        <w:t xml:space="preserve"> </w:t>
      </w:r>
      <w:r>
        <w:t>to</w:t>
      </w:r>
      <w:r w:rsidR="007605AB">
        <w:t xml:space="preserve"> </w:t>
      </w:r>
      <w:r>
        <w:t>poor quality were identified by the literature review.</w:t>
      </w:r>
      <w:r w:rsidR="00E62798">
        <w:fldChar w:fldCharType="begin">
          <w:fldData xml:space="preserve">PEVuZE5vdGU+PENpdGU+PEF1dGhvcj5EZWJhdW48L0F1dGhvcj48WWVhcj4yMDE0PC9ZZWFyPjxS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==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MTA7IDY2PC9zdHlsZT48L0Rpc3BsYXlUZXh0PjxyZWNvcmQ+PHJlYy1udW1iZXI+MTU2PC9yZWMt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==
</w:fldData>
        </w:fldChar>
      </w:r>
      <w:r w:rsidR="00E62798">
        <w:instrText xml:space="preserve"> ADDIN EN.CITE.DATA </w:instrText>
      </w:r>
      <w:r w:rsidR="00E62798">
        <w:fldChar w:fldCharType="end"/>
      </w:r>
      <w:r w:rsidR="00E62798">
        <w:fldChar w:fldCharType="separate"/>
      </w:r>
      <w:hyperlink w:anchor="_ENREF_10" w:tooltip="Debaun, 2014 #156" w:history="1">
        <w:r w:rsidR="00E62798" w:rsidRPr="00E62798">
          <w:rPr>
            <w:noProof/>
            <w:vertAlign w:val="superscript"/>
          </w:rPr>
          <w:t>10</w:t>
        </w:r>
      </w:hyperlink>
      <w:r w:rsidR="00E62798" w:rsidRPr="00E62798">
        <w:rPr>
          <w:noProof/>
          <w:vertAlign w:val="superscript"/>
        </w:rPr>
        <w:t xml:space="preserve">; </w:t>
      </w:r>
      <w:hyperlink w:anchor="_ENREF_66" w:tooltip="Pegelow, 2001 #179" w:history="1">
        <w:r w:rsidR="00E62798" w:rsidRPr="00E62798">
          <w:rPr>
            <w:noProof/>
            <w:vertAlign w:val="superscript"/>
          </w:rPr>
          <w:t>66</w:t>
        </w:r>
      </w:hyperlink>
      <w:r w:rsidR="00E62798">
        <w:fldChar w:fldCharType="end"/>
      </w:r>
      <w:r>
        <w:t xml:space="preserve"> </w:t>
      </w:r>
      <w:r>
        <w:rPr>
          <w:lang w:eastAsia="en-GB"/>
        </w:rPr>
        <w:t>The SIT trial (Silent Cerebral Infarct Multi-centre Clinical Trial) compared the effect of RBC</w:t>
      </w:r>
      <w:r w:rsidRPr="00EB4620">
        <w:rPr>
          <w:lang w:eastAsia="en-GB"/>
        </w:rPr>
        <w:t xml:space="preserve"> transfusion</w:t>
      </w:r>
      <w:r>
        <w:rPr>
          <w:lang w:eastAsia="en-GB"/>
        </w:rPr>
        <w:t>s</w:t>
      </w:r>
      <w:r w:rsidRPr="00EB4620">
        <w:rPr>
          <w:lang w:eastAsia="en-GB"/>
        </w:rPr>
        <w:t xml:space="preserve"> with no </w:t>
      </w:r>
      <w:r>
        <w:rPr>
          <w:lang w:eastAsia="en-GB"/>
        </w:rPr>
        <w:t>transfusion</w:t>
      </w:r>
      <w:r w:rsidRPr="00EB4620">
        <w:rPr>
          <w:lang w:eastAsia="en-GB"/>
        </w:rPr>
        <w:t xml:space="preserve"> </w:t>
      </w:r>
      <w:r>
        <w:rPr>
          <w:lang w:eastAsia="en-GB"/>
        </w:rPr>
        <w:t>on cerebral infarction</w:t>
      </w:r>
      <w:r w:rsidRPr="00EB4620">
        <w:rPr>
          <w:lang w:eastAsia="en-GB"/>
        </w:rPr>
        <w:t xml:space="preserve"> among </w:t>
      </w:r>
      <w:r>
        <w:rPr>
          <w:lang w:eastAsia="en-GB"/>
        </w:rPr>
        <w:t>paediatric</w:t>
      </w:r>
      <w:r w:rsidRPr="007A6145">
        <w:rPr>
          <w:lang w:eastAsia="en-GB"/>
        </w:rPr>
        <w:t xml:space="preserve"> </w:t>
      </w:r>
      <w:r>
        <w:rPr>
          <w:lang w:eastAsia="en-GB"/>
        </w:rPr>
        <w:t>patients (</w:t>
      </w:r>
      <w:r w:rsidR="007605AB">
        <w:rPr>
          <w:lang w:eastAsia="en-GB"/>
        </w:rPr>
        <w:t xml:space="preserve">aged </w:t>
      </w:r>
      <w:r>
        <w:rPr>
          <w:lang w:eastAsia="en-GB"/>
        </w:rPr>
        <w:t>5–15 years) with SCD and at</w:t>
      </w:r>
      <w:r w:rsidRPr="00EB4620">
        <w:rPr>
          <w:lang w:eastAsia="en-GB"/>
        </w:rPr>
        <w:t xml:space="preserve"> least one infarct-like lesion </w:t>
      </w:r>
      <w:r>
        <w:rPr>
          <w:lang w:eastAsia="en-GB"/>
        </w:rPr>
        <w:t>detected by</w:t>
      </w:r>
      <w:r w:rsidRPr="00EB4620">
        <w:rPr>
          <w:lang w:eastAsia="en-GB"/>
        </w:rPr>
        <w:t xml:space="preserve"> MRI.</w:t>
      </w:r>
      <w:hyperlink w:anchor="_ENREF_10" w:tooltip="Debaun, 2014 #156" w:history="1">
        <w:r w:rsidR="00E62798">
          <w:rPr>
            <w:lang w:eastAsia="en-GB"/>
          </w:rPr>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10</w:t>
        </w:r>
        <w:r w:rsidR="00E62798">
          <w:rPr>
            <w:lang w:eastAsia="en-GB"/>
          </w:rPr>
          <w:fldChar w:fldCharType="end"/>
        </w:r>
      </w:hyperlink>
      <w:r>
        <w:rPr>
          <w:lang w:eastAsia="en-GB"/>
        </w:rPr>
        <w:t xml:space="preserve"> The second trial reported stroke incidence and silent infarct data from the </w:t>
      </w:r>
      <w:r w:rsidRPr="00EB4620">
        <w:rPr>
          <w:lang w:eastAsia="en-GB"/>
        </w:rPr>
        <w:t xml:space="preserve">STOP cohort </w:t>
      </w:r>
      <w:r>
        <w:rPr>
          <w:lang w:eastAsia="en-GB"/>
        </w:rPr>
        <w:t xml:space="preserve">at </w:t>
      </w:r>
      <w:r w:rsidRPr="00EB4620">
        <w:rPr>
          <w:lang w:eastAsia="en-GB"/>
        </w:rPr>
        <w:t>36</w:t>
      </w:r>
      <w:r w:rsidR="007605AB">
        <w:rPr>
          <w:lang w:eastAsia="en-GB"/>
        </w:rPr>
        <w:t> </w:t>
      </w:r>
      <w:r w:rsidRPr="00EB4620">
        <w:rPr>
          <w:lang w:eastAsia="en-GB"/>
        </w:rPr>
        <w:t>months</w:t>
      </w:r>
      <w:r>
        <w:rPr>
          <w:lang w:eastAsia="en-GB"/>
        </w:rPr>
        <w:t>.</w:t>
      </w:r>
      <w:hyperlink w:anchor="_ENREF_66" w:tooltip="Pegelow, 2001 #179" w:history="1">
        <w:r w:rsidR="00E62798">
          <w:rPr>
            <w:lang w:eastAsia="en-GB"/>
          </w:rPr>
          <w:fldChar w:fldCharType="begin">
            <w:fldData xml:space="preserve">PEVuZE5vdGU+PENpdGU+PEF1dGhvcj5QZWdlbG93PC9BdXRob3I+PFllYXI+MjAwMTwvWWVhcj48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PEVuZE5vdGU+PENpdGU+PEF1dGhvcj5QZWdlbG93PC9BdXRob3I+PFllYXI+MjAwMTwvWWVhcj48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66</w:t>
        </w:r>
        <w:r w:rsidR="00E62798">
          <w:rPr>
            <w:lang w:eastAsia="en-GB"/>
          </w:rPr>
          <w:fldChar w:fldCharType="end"/>
        </w:r>
      </w:hyperlink>
      <w:r w:rsidRPr="00EB4620">
        <w:rPr>
          <w:lang w:eastAsia="en-GB"/>
        </w:rPr>
        <w:t xml:space="preserve"> </w:t>
      </w:r>
    </w:p>
    <w:p w14:paraId="7A45AF05" w14:textId="77777777" w:rsidR="00E66069" w:rsidRPr="00EB4620" w:rsidRDefault="00E66069" w:rsidP="00E66069">
      <w:pPr>
        <w:pStyle w:val="Heading5"/>
      </w:pPr>
      <w:r>
        <w:t>Mortality</w:t>
      </w:r>
    </w:p>
    <w:p w14:paraId="5E584C33" w14:textId="2525A693" w:rsidR="00E66069" w:rsidRDefault="00E66069" w:rsidP="00E66069">
      <w:pPr>
        <w:rPr>
          <w:lang w:eastAsia="en-GB"/>
        </w:rPr>
      </w:pPr>
      <w:r>
        <w:rPr>
          <w:lang w:eastAsia="en-GB"/>
        </w:rPr>
        <w:t xml:space="preserve">Three </w:t>
      </w:r>
      <w:r w:rsidR="00695D88">
        <w:rPr>
          <w:lang w:eastAsia="en-GB"/>
        </w:rPr>
        <w:t xml:space="preserve">Level II studies </w:t>
      </w:r>
      <w:r>
        <w:rPr>
          <w:lang w:eastAsia="en-GB"/>
        </w:rPr>
        <w:t>reported mortality</w:t>
      </w:r>
      <w:r w:rsidRPr="00D70EBD">
        <w:rPr>
          <w:lang w:eastAsia="en-GB"/>
        </w:rPr>
        <w:t xml:space="preserve"> </w:t>
      </w:r>
      <w:r>
        <w:rPr>
          <w:lang w:eastAsia="en-GB"/>
        </w:rPr>
        <w:t>and found no</w:t>
      </w:r>
      <w:r w:rsidRPr="001F2F1D">
        <w:rPr>
          <w:lang w:eastAsia="en-GB"/>
        </w:rPr>
        <w:t xml:space="preserve"> significant difference </w:t>
      </w:r>
      <w:r>
        <w:rPr>
          <w:lang w:eastAsia="en-GB"/>
        </w:rPr>
        <w:t>between treatment groups.</w:t>
      </w:r>
      <w:r w:rsidR="00E62798">
        <w:rPr>
          <w:lang w:eastAsia="en-GB"/>
        </w:rPr>
        <w:fldChar w:fldCharType="begin">
          <w:fldData xml:space="preserve">PEVuZE5vdGU+PENpdGU+PEF1dGhvcj5BZGFtczwvQXV0aG9yPjxZZWFyPjIwMDU8L1llYXI+PFJl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bGwsLCBKci48L2F1dGhvcj48YXV0aG9yPkhpcnR6LCBELjwvYXV0aG9yPjxhdXRob3I+Q2FzZWxs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</w:fldData>
        </w:fldChar>
      </w:r>
      <w:r w:rsidR="00E62798">
        <w:rPr>
          <w:lang w:eastAsia="en-GB"/>
        </w:rPr>
        <w:instrText xml:space="preserve"> ADDIN EN.CITE </w:instrText>
      </w:r>
      <w:r w:rsidR="00E62798">
        <w:rPr>
          <w:lang w:eastAsia="en-GB"/>
        </w:rPr>
        <w:fldChar w:fldCharType="begin">
          <w:fldData xml:space="preserve">PEVuZE5vdGU+PENpdGU+PEF1dGhvcj5BZGFtczwvQXV0aG9yPjxZZWFyPjIwMDU8L1llYXI+PFJl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bGwsLCBKci48L2F1dGhvcj48YXV0aG9yPkhpcnR6LCBELjwvYXV0aG9yPjxhdXRob3I+Q2FzZWxs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hyperlink w:anchor="_ENREF_9" w:tooltip="Adams, 1998 #146" w:history="1">
        <w:r w:rsidR="00E62798" w:rsidRPr="00E62798">
          <w:rPr>
            <w:noProof/>
            <w:vertAlign w:val="superscript"/>
            <w:lang w:eastAsia="en-GB"/>
          </w:rPr>
          <w:t>9-10</w:t>
        </w:r>
      </w:hyperlink>
      <w:r w:rsidR="00E62798" w:rsidRPr="00E62798">
        <w:rPr>
          <w:noProof/>
          <w:vertAlign w:val="superscript"/>
          <w:lang w:eastAsia="en-GB"/>
        </w:rPr>
        <w:t xml:space="preserve">; </w:t>
      </w:r>
      <w:hyperlink w:anchor="_ENREF_65" w:tooltip="Adams, 2005 #147" w:history="1">
        <w:r w:rsidR="00E62798" w:rsidRPr="00E62798">
          <w:rPr>
            <w:noProof/>
            <w:vertAlign w:val="superscript"/>
            <w:lang w:eastAsia="en-GB"/>
          </w:rPr>
          <w:t>65</w:t>
        </w:r>
      </w:hyperlink>
      <w:r w:rsidR="00E62798">
        <w:rPr>
          <w:lang w:eastAsia="en-GB"/>
        </w:rPr>
        <w:fldChar w:fldCharType="end"/>
      </w:r>
      <w:r>
        <w:rPr>
          <w:lang w:eastAsia="en-GB"/>
        </w:rPr>
        <w:t xml:space="preserve"> However, the studies were underpowered for this outcome.</w:t>
      </w:r>
      <w:r w:rsidR="004828DA">
        <w:rPr>
          <w:lang w:eastAsia="en-GB"/>
        </w:rPr>
        <w:t xml:space="preserve"> </w:t>
      </w:r>
    </w:p>
    <w:p w14:paraId="7C702441" w14:textId="77777777" w:rsidR="00E66069" w:rsidRDefault="00E66069" w:rsidP="00E66069">
      <w:pPr>
        <w:pStyle w:val="Heading5"/>
      </w:pPr>
      <w:r w:rsidRPr="00EB4620">
        <w:t>Stroke</w:t>
      </w:r>
    </w:p>
    <w:p w14:paraId="752BC8BF" w14:textId="392D3BAF" w:rsidR="00E66069" w:rsidRDefault="00E66069" w:rsidP="00E66069">
      <w:r>
        <w:rPr>
          <w:lang w:eastAsia="en-GB"/>
        </w:rPr>
        <w:t>Two systematic reviews</w:t>
      </w:r>
      <w:hyperlink w:anchor="_ENREF_63" w:tooltip="Cherry, 2012 #154" w:history="1">
        <w:r w:rsidR="00E62798">
          <w:rPr>
            <w:lang w:eastAsia="en-GB"/>
          </w:rPr>
          <w:fldChar w:fldCharType="begin">
            <w:fldData xml:space="preserve">PEVuZE5vdGU+PENpdGU+PEF1dGhvcj5DaGVycnk8L0F1dGhvcj48WWVhcj4yMDEyPC9ZZWFyPjxS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PEVuZE5vdGU+PENpdGU+PEF1dGhvcj5DaGVycnk8L0F1dGhvcj48WWVhcj4yMDEyPC9ZZWFyPjxS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63-64</w:t>
        </w:r>
        <w:r w:rsidR="00E62798">
          <w:rPr>
            <w:lang w:eastAsia="en-GB"/>
          </w:rPr>
          <w:fldChar w:fldCharType="end"/>
        </w:r>
      </w:hyperlink>
      <w:r>
        <w:rPr>
          <w:lang w:eastAsia="en-GB"/>
        </w:rPr>
        <w:t xml:space="preserve"> </w:t>
      </w:r>
      <w:r>
        <w:t>and the two RCTs</w:t>
      </w:r>
      <w:r w:rsidR="00E62798">
        <w:fldChar w:fldCharType="begin">
          <w:fldData xml:space="preserve">PEVuZE5vdGU+PENpdGU+PEF1dGhvcj5EZWJhdW48L0F1dGhvcj48WWVhcj4yMDE0PC9ZZWFyPjxS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==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MTA7IDY2PC9zdHlsZT48L0Rpc3BsYXlUZXh0PjxyZWNvcmQ+PHJlYy1udW1iZXI+MTU2PC9yZWMt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==
</w:fldData>
        </w:fldChar>
      </w:r>
      <w:r w:rsidR="00E62798">
        <w:instrText xml:space="preserve"> ADDIN EN.CITE.DATA </w:instrText>
      </w:r>
      <w:r w:rsidR="00E62798">
        <w:fldChar w:fldCharType="end"/>
      </w:r>
      <w:r w:rsidR="00E62798">
        <w:fldChar w:fldCharType="separate"/>
      </w:r>
      <w:hyperlink w:anchor="_ENREF_10" w:tooltip="Debaun, 2014 #156" w:history="1">
        <w:r w:rsidR="00E62798" w:rsidRPr="00E62798">
          <w:rPr>
            <w:noProof/>
            <w:vertAlign w:val="superscript"/>
          </w:rPr>
          <w:t>10</w:t>
        </w:r>
      </w:hyperlink>
      <w:r w:rsidR="00E62798" w:rsidRPr="00E62798">
        <w:rPr>
          <w:noProof/>
          <w:vertAlign w:val="superscript"/>
        </w:rPr>
        <w:t xml:space="preserve">; </w:t>
      </w:r>
      <w:hyperlink w:anchor="_ENREF_66" w:tooltip="Pegelow, 2001 #179" w:history="1">
        <w:r w:rsidR="00E62798" w:rsidRPr="00E62798">
          <w:rPr>
            <w:noProof/>
            <w:vertAlign w:val="superscript"/>
          </w:rPr>
          <w:t>66</w:t>
        </w:r>
      </w:hyperlink>
      <w:r w:rsidR="00E62798">
        <w:fldChar w:fldCharType="end"/>
      </w:r>
      <w:r w:rsidRPr="00EB4620">
        <w:t xml:space="preserve"> </w:t>
      </w:r>
      <w:r>
        <w:t xml:space="preserve">examined the effect of RBC transfusions on stroke incidence. A meta-analysis for stroke incidence was not performed because of differences in patient populations and study design. </w:t>
      </w:r>
    </w:p>
    <w:p w14:paraId="2BC14066" w14:textId="466D0B30" w:rsidR="00E66069" w:rsidRDefault="00E66069" w:rsidP="00E66069">
      <w:r>
        <w:t>The STOP trial demonstrated a significantly reduced risk of stroke in children with SCD and abnormal TCD velocities who commenced regular blood transfusions, compared with those who received no transfusion.</w:t>
      </w:r>
      <w:hyperlink w:anchor="_ENREF_9" w:tooltip="Adams, 1998 #146" w:history="1">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 </w:instrText>
        </w:r>
        <w:r w:rsidR="00E62798">
          <w:fldChar w:fldCharType="begin">
            <w:fldData xml:space="preserve">PEVuZE5vdGU+PENpdGU+PEF1dGhvcj5BZGFtczwvQXV0aG9yPjxZZWFyPjE5OTg8L1llYXI+PFJl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w:t>
        </w:r>
        <w:r w:rsidR="00E62798">
          <w:fldChar w:fldCharType="end"/>
        </w:r>
      </w:hyperlink>
      <w:r>
        <w:t xml:space="preserve"> </w:t>
      </w:r>
    </w:p>
    <w:p w14:paraId="2FD04A05" w14:textId="1750F582" w:rsidR="00E66069" w:rsidRDefault="00E66069" w:rsidP="00E66069">
      <w:pPr>
        <w:rPr>
          <w:lang w:eastAsia="en-GB"/>
        </w:rPr>
      </w:pPr>
      <w:r>
        <w:rPr>
          <w:lang w:eastAsia="en-GB"/>
        </w:rPr>
        <w:t>The STOP 2 trial was closed early owing to the concerns about the increased risk of stroke in the halted transfusion group.</w:t>
      </w:r>
      <w:hyperlink w:anchor="_ENREF_65" w:tooltip="Adams, 2005 #147" w:history="1">
        <w:r w:rsidR="00E62798">
          <w:rPr>
            <w:lang w:eastAsia="en-GB"/>
          </w:rPr>
          <w:fldChar w:fldCharType="begin">
            <w:fldData xml:space="preserve">PEVuZE5vdGU+PENpdGU+PEF1dGhvcj5BZGFtczwvQXV0aG9yPjxZZWFyPjIwMDU8L1llYXI+PFJl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</w:fldData>
          </w:fldChar>
        </w:r>
        <w:r w:rsidR="00E62798">
          <w:rPr>
            <w:lang w:eastAsia="en-GB"/>
          </w:rPr>
          <w:instrText xml:space="preserve"> ADDIN EN.CITE </w:instrText>
        </w:r>
        <w:r w:rsidR="00E62798">
          <w:rPr>
            <w:lang w:eastAsia="en-GB"/>
          </w:rPr>
          <w:fldChar w:fldCharType="begin">
            <w:fldData xml:space="preserve">PEVuZE5vdGU+PENpdGU+PEF1dGhvcj5BZGFtczwvQXV0aG9yPjxZZWFyPjIwMDU8L1llYXI+PFJl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65</w:t>
        </w:r>
        <w:r w:rsidR="00E62798">
          <w:rPr>
            <w:lang w:eastAsia="en-GB"/>
          </w:rPr>
          <w:fldChar w:fldCharType="end"/>
        </w:r>
      </w:hyperlink>
      <w:r>
        <w:rPr>
          <w:lang w:eastAsia="en-GB"/>
        </w:rPr>
        <w:t xml:space="preserve"> More strokes were reported in the halted transfusion group, although this did not reach statistical significance. However, in the halted transfusion group, the number of patients reverting to abnormal TCD velocities increased, implying increased stroke risk.</w:t>
      </w:r>
    </w:p>
    <w:p w14:paraId="64B467CC" w14:textId="2D8C4047" w:rsidR="00E66069" w:rsidRPr="0031067D" w:rsidRDefault="00E66069" w:rsidP="00E66069">
      <w:pPr>
        <w:rPr>
          <w:lang w:eastAsia="en-GB"/>
        </w:rPr>
      </w:pPr>
      <w:r w:rsidRPr="00A3130F">
        <w:rPr>
          <w:lang w:eastAsia="en-GB"/>
        </w:rPr>
        <w:t xml:space="preserve">The </w:t>
      </w:r>
      <w:r w:rsidR="007605AB">
        <w:t>36-month follow-</w:t>
      </w:r>
      <w:r w:rsidRPr="00A3130F">
        <w:t xml:space="preserve">up study from the original STOP cohort </w:t>
      </w:r>
      <w:r w:rsidRPr="00A3130F">
        <w:rPr>
          <w:lang w:eastAsia="en-GB"/>
        </w:rPr>
        <w:t>found that long-</w:t>
      </w:r>
      <w:r>
        <w:rPr>
          <w:lang w:eastAsia="en-GB"/>
        </w:rPr>
        <w:t>term transfusion therapy continued to reduce the risk of stroke.</w:t>
      </w:r>
      <w:hyperlink w:anchor="_ENREF_66" w:tooltip="Pegelow, 2001 #179" w:history="1">
        <w:r w:rsidR="00E62798">
          <w:rPr>
            <w:lang w:eastAsia="en-GB"/>
          </w:rPr>
          <w:fldChar w:fldCharType="begin">
            <w:fldData xml:space="preserve">PEVuZE5vdGU+PENpdGU+PEF1dGhvcj5QZWdlbG93PC9BdXRob3I+PFllYXI+MjAwMTwvWWVhcj48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PEVuZE5vdGU+PENpdGU+PEF1dGhvcj5QZWdlbG93PC9BdXRob3I+PFllYXI+MjAwMTwvWWVhcj48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66</w:t>
        </w:r>
        <w:r w:rsidR="00E62798">
          <w:rPr>
            <w:lang w:eastAsia="en-GB"/>
          </w:rPr>
          <w:fldChar w:fldCharType="end"/>
        </w:r>
      </w:hyperlink>
    </w:p>
    <w:p w14:paraId="77FEEFF9" w14:textId="574DB48C" w:rsidR="00E66069" w:rsidRDefault="00E66069" w:rsidP="00E66069">
      <w:pPr>
        <w:rPr>
          <w:lang w:eastAsia="en-GB"/>
        </w:rPr>
      </w:pPr>
      <w:r>
        <w:rPr>
          <w:lang w:eastAsia="en-GB"/>
        </w:rPr>
        <w:t xml:space="preserve">In children with SCD and known silent infarcts in the SIT trial, regular RBC transfusion compared with standard care (no transfusion) reduced the rate of neurological events, including cerebral infarction and </w:t>
      </w:r>
      <w:r w:rsidR="007605AB">
        <w:rPr>
          <w:lang w:eastAsia="en-GB"/>
        </w:rPr>
        <w:t>transient ischaemic attacks</w:t>
      </w:r>
      <w:r>
        <w:rPr>
          <w:lang w:eastAsia="en-GB"/>
        </w:rPr>
        <w:t>.</w:t>
      </w:r>
      <w:hyperlink w:anchor="_ENREF_10" w:tooltip="Debaun, 2014 #156" w:history="1">
        <w:r w:rsidR="00E62798">
          <w:rPr>
            <w:lang w:eastAsia="en-GB"/>
          </w:rPr>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10</w:t>
        </w:r>
        <w:r w:rsidR="00E62798">
          <w:rPr>
            <w:lang w:eastAsia="en-GB"/>
          </w:rPr>
          <w:fldChar w:fldCharType="end"/>
        </w:r>
      </w:hyperlink>
      <w:r w:rsidR="004828DA">
        <w:rPr>
          <w:lang w:eastAsia="en-GB"/>
        </w:rPr>
        <w:t xml:space="preserve"> </w:t>
      </w:r>
    </w:p>
    <w:p w14:paraId="0A490EC2" w14:textId="77777777" w:rsidR="00E66069" w:rsidRPr="00EB4620" w:rsidRDefault="00E66069" w:rsidP="00E66069">
      <w:pPr>
        <w:pStyle w:val="Heading5"/>
        <w:rPr>
          <w:lang w:eastAsia="en-GB"/>
        </w:rPr>
      </w:pPr>
      <w:r w:rsidRPr="00EB4620">
        <w:rPr>
          <w:lang w:eastAsia="en-GB"/>
        </w:rPr>
        <w:t>Transfusion-related serious adverse events</w:t>
      </w:r>
    </w:p>
    <w:p w14:paraId="2FC7E026" w14:textId="1B4E6880" w:rsidR="00E66069" w:rsidRDefault="00E66069" w:rsidP="00E66069">
      <w:r>
        <w:rPr>
          <w:lang w:val="en-GB" w:eastAsia="en-GB"/>
        </w:rPr>
        <w:t xml:space="preserve">One </w:t>
      </w:r>
      <w:r w:rsidR="00695D88">
        <w:rPr>
          <w:lang w:eastAsia="en-GB"/>
        </w:rPr>
        <w:t>Level I study</w:t>
      </w:r>
      <w:hyperlink w:anchor="_ENREF_63" w:tooltip="Cherry, 2012 #154" w:history="1">
        <w:r w:rsidR="00E62798">
          <w:rPr>
            <w:lang w:eastAsia="en-GB"/>
          </w:rPr>
          <w:fldChar w:fldCharType="begin">
            <w:fldData xml:space="preserve">PEVuZE5vdGU+PENpdGU+PEF1dGhvcj5DaGVycnk8L0F1dGhvcj48WWVhcj4yMDEyPC9ZZWFyPjxS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PEVuZE5vdGU+PENpdGU+PEF1dGhvcj5DaGVycnk8L0F1dGhvcj48WWVhcj4yMDEyPC9ZZWFyPjxS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63</w:t>
        </w:r>
        <w:r w:rsidR="00E62798">
          <w:rPr>
            <w:lang w:eastAsia="en-GB"/>
          </w:rPr>
          <w:fldChar w:fldCharType="end"/>
        </w:r>
      </w:hyperlink>
      <w:r>
        <w:rPr>
          <w:lang w:eastAsia="en-GB"/>
        </w:rPr>
        <w:t xml:space="preserve"> </w:t>
      </w:r>
      <w:r>
        <w:t>and the SIT trial</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r w:rsidRPr="00EB4620">
        <w:t xml:space="preserve"> </w:t>
      </w:r>
      <w:r>
        <w:t xml:space="preserve">reported the incidence of </w:t>
      </w:r>
      <w:r w:rsidRPr="00EB4620">
        <w:t xml:space="preserve">transfusion-related </w:t>
      </w:r>
      <w:r w:rsidR="00C05EEF">
        <w:t>serious adverse events</w:t>
      </w:r>
      <w:r>
        <w:t>, including RBC alloimmunisation and transfusion reactions. As would be expected, transfusion-related adverse events, including alloimmunisation, and febrile and non-febrile transfusion reactions were much higher in the groups exposed to more transfusions.</w:t>
      </w:r>
    </w:p>
    <w:p w14:paraId="21EEEA13" w14:textId="45B57EE1" w:rsidR="00E66069" w:rsidRDefault="00E66069" w:rsidP="00E66069">
      <w:pPr>
        <w:pStyle w:val="Heading5"/>
      </w:pPr>
      <w:r>
        <w:t xml:space="preserve">Functional </w:t>
      </w:r>
      <w:r w:rsidR="007C1B3E">
        <w:rPr>
          <w:lang w:val="en-AU"/>
        </w:rPr>
        <w:t>or</w:t>
      </w:r>
      <w:r>
        <w:t xml:space="preserve"> performance measures</w:t>
      </w:r>
    </w:p>
    <w:p w14:paraId="65968D54" w14:textId="226B3728" w:rsidR="00E66069" w:rsidRDefault="00FA6791" w:rsidP="00E66069">
      <w:r>
        <w:t>No studies reported</w:t>
      </w:r>
      <w:r w:rsidR="008F7398">
        <w:t xml:space="preserve"> </w:t>
      </w:r>
      <w:r w:rsidR="00E66069">
        <w:t>functional or performance measures</w:t>
      </w:r>
      <w:r w:rsidR="00E66069" w:rsidRPr="00EB4620">
        <w:t>.</w:t>
      </w:r>
    </w:p>
    <w:p w14:paraId="5BB8B2B8" w14:textId="77777777" w:rsidR="00E66069" w:rsidRDefault="00E66069" w:rsidP="00B54640">
      <w:pPr>
        <w:pStyle w:val="BoxHeading"/>
      </w:pPr>
      <w:r>
        <w:t xml:space="preserve">Clinical commentary – effect of RBC transfusion in </w:t>
      </w:r>
      <w:r w:rsidRPr="00EB4620">
        <w:t xml:space="preserve">paediatric patients with </w:t>
      </w:r>
      <w:r>
        <w:t>SCD</w:t>
      </w:r>
    </w:p>
    <w:p w14:paraId="57AD2990" w14:textId="1495DC18" w:rsidR="00E66069" w:rsidRDefault="00E66069" w:rsidP="00B54640">
      <w:pPr>
        <w:pStyle w:val="BoxText"/>
        <w:rPr>
          <w:rFonts w:eastAsia="Calibri"/>
        </w:rPr>
      </w:pPr>
      <w:r>
        <w:rPr>
          <w:rFonts w:eastAsia="Calibri"/>
        </w:rPr>
        <w:t>C</w:t>
      </w:r>
      <w:r w:rsidRPr="008F282E">
        <w:rPr>
          <w:rFonts w:eastAsia="Calibri"/>
        </w:rPr>
        <w:t xml:space="preserve">hildren and adolescents with </w:t>
      </w:r>
      <w:r>
        <w:rPr>
          <w:rFonts w:eastAsia="Calibri"/>
        </w:rPr>
        <w:t>SCD</w:t>
      </w:r>
      <w:r w:rsidRPr="008F282E">
        <w:rPr>
          <w:rFonts w:eastAsia="Calibri"/>
        </w:rPr>
        <w:t xml:space="preserve"> </w:t>
      </w:r>
      <w:r>
        <w:rPr>
          <w:rFonts w:eastAsia="Calibri"/>
        </w:rPr>
        <w:t xml:space="preserve">at high risk of stroke should commence a long-term chronic transfusion program to reduce their risk of stroke occurrence (see R2). </w:t>
      </w:r>
      <w:r>
        <w:t>This recommendation accords with the recent National Institutes of Health (NIH) guidelines on management of SCD,</w:t>
      </w:r>
      <w:hyperlink w:anchor="_ENREF_67" w:tooltip="US Department of Health and Human Services, 2014 #1028" w:history="1">
        <w:r w:rsidR="00E62798">
          <w:fldChar w:fldCharType="begin"/>
        </w:r>
        <w:r w:rsidR="00E62798">
          <w:instrText xml:space="preserve"> ADDIN EN.CITE &lt;EndNote&gt;&lt;Cite&gt;&lt;Author&gt;US Department of Health and Human Services&lt;/Author&gt;&lt;Year&gt;2014&lt;/Year&gt;&lt;RecNum&gt;1028&lt;/RecNum&gt;&lt;DisplayText&gt;&lt;style face="superscript"&gt;67&lt;/style&gt;&lt;/DisplayText&gt;&lt;record&gt;&lt;rec-number&gt;1028&lt;/rec-number&gt;&lt;foreign-keys&gt;&lt;key app="EN" db-id="9edve2wadsavt5ewavaxtda4f2tavzvts9ee" timestamp="1437975865"&gt;1028&lt;/key&gt;&lt;/foreign-keys&gt;&lt;ref-type name="Report"&gt;27&lt;/ref-type&gt;&lt;contributors&gt;&lt;authors&gt;&lt;author&gt;US Department of Health and Human Services,&lt;/author&gt;&lt;author&gt;National Institutes of Health (NIH),&lt;/author&gt;&lt;/authors&gt;&lt;/contributors&gt;&lt;titles&gt;&lt;title&gt;Evidence-based management of sickle cell disease: Expert panel report&lt;/title&gt;&lt;/titles&gt;&lt;dates&gt;&lt;year&gt;2014&lt;/year&gt;&lt;/dates&gt;&lt;pub-location&gt;Bethesda, USA&lt;/pub-location&gt;&lt;urls&gt;&lt;related-urls&gt;&lt;url&gt;https://www.nhlbi.nih.gov/health-pro/guidelines/sickle-cell-disease-guidelines&lt;/url&gt;&lt;/related-urls&gt;&lt;/urls&gt;&lt;/record&gt;&lt;/Cite&gt;&lt;/EndNote&gt;</w:instrText>
        </w:r>
        <w:r w:rsidR="00E62798">
          <w:fldChar w:fldCharType="separate"/>
        </w:r>
        <w:r w:rsidR="00E62798" w:rsidRPr="00E62798">
          <w:rPr>
            <w:noProof/>
            <w:vertAlign w:val="superscript"/>
          </w:rPr>
          <w:t>67</w:t>
        </w:r>
        <w:r w:rsidR="00E62798">
          <w:fldChar w:fldCharType="end"/>
        </w:r>
      </w:hyperlink>
      <w:r>
        <w:t xml:space="preserve"> which recommend that children with HbSS or HbS/B</w:t>
      </w:r>
      <w:r>
        <w:rPr>
          <w:vertAlign w:val="superscript"/>
        </w:rPr>
        <w:t xml:space="preserve">0 </w:t>
      </w:r>
      <w:r>
        <w:t xml:space="preserve">thalassaemia and elevated TCD should be referred for chronic transfusion therapy. </w:t>
      </w:r>
    </w:p>
    <w:p w14:paraId="7B765071" w14:textId="77777777" w:rsidR="00720A6B" w:rsidRDefault="00720A6B">
      <w:pPr>
        <w:spacing w:after="0"/>
        <w:ind w:left="0"/>
        <w:rPr>
          <w:rFonts w:eastAsia="Calibri" w:cs="Times New Roman"/>
          <w:lang w:val="x-none" w:eastAsia="x-none"/>
        </w:rPr>
      </w:pPr>
      <w:r>
        <w:rPr>
          <w:rFonts w:eastAsia="Calibri"/>
        </w:rPr>
        <w:br w:type="page"/>
      </w:r>
    </w:p>
    <w:p w14:paraId="292068A8" w14:textId="68359384" w:rsidR="00E66069" w:rsidRPr="009B2754" w:rsidRDefault="00E66069" w:rsidP="00B54640">
      <w:pPr>
        <w:pStyle w:val="BoxText"/>
      </w:pPr>
      <w:r>
        <w:rPr>
          <w:rFonts w:eastAsia="Calibri"/>
        </w:rPr>
        <w:t>Paediatric patients with SCD should be assessed for their risk of stroke by TCD and MRI (see PP11). MRI is included because of the high number of children with evidence of silent cerebral ischaemia without clinical symptoms enrolled in the SIT trial. That trial screened 1074 eligible participants (aged 5–15 years) with MRI, and found that 379 children and adolescents (35%) had evidence of silent infarction without clinical symptoms.</w:t>
      </w:r>
      <w:r>
        <w:rPr>
          <w:lang w:eastAsia="en-GB"/>
        </w:rPr>
        <w:t xml:space="preserve"> </w:t>
      </w:r>
      <w:r>
        <w:t>The current NIH guidelines do not recommend screening of patients with genotypes HbS/B+</w:t>
      </w:r>
      <w:r w:rsidRPr="0080415B">
        <w:t xml:space="preserve"> </w:t>
      </w:r>
      <w:r w:rsidR="007605AB">
        <w:t>thalassaemia or Hb</w:t>
      </w:r>
      <w:r>
        <w:t>SC, or screening of asymptomatic children with MRI. However, the NIH guidelines were based on a literature review up to July 2014, which did not capture the SIT trial publication.</w:t>
      </w:r>
      <w:hyperlink w:anchor="_ENREF_10" w:tooltip="Debaun, 2014 #156" w:history="1">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 </w:instrText>
        </w:r>
        <w:r w:rsidR="00E62798">
          <w:fldChar w:fldCharType="begin">
            <w:fldData xml:space="preserve">PEVuZE5vdGU+PENpdGU+PEF1dGhvcj5EZWJhdW48L0F1dGhvcj48WWVhcj4yMDE0PC9ZZWFyPjxS
ZWNOdW0+MTU2PC9SZWNOdW0+PERpc3BsYXlUZXh0PjxzdHlsZSBmYWNlPSJzdXBlcnNjcmlwdCI+
MTA8L3N0eWxlPjwvRGlzcGxheVRleHQ+PHJlY29yZD48cmVjLW51bWJlcj4xNTY8L3JlYy1udW1i
ZXI+PGZvcmVpZ24ta2V5cz48a2V5IGFwcD0iRU4iIGRiLWlkPSI5ZWR2ZTJ3YWRzYXZ0NWV3YXZh
eHRkYTRmMnRhdnp2dHM5ZWUiIHRpbWVzdGFtcD0iMTQyNjU1MDQ1OCI+MTU2PC9rZXk+PC9mb3Jl
aWduLWtleXM+PHJlZi10eXBlIG5hbWU9IkpvdXJuYWwgQXJ0aWNsZSI+MTc8L3JlZi10eXBlPjxj
b250cmlidXRvcnM+PGF1dGhvcnM+PGF1dGhvcj5EZWJhdW4sIE0uIFIuPC9hdXRob3I+PGF1dGhv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dGhvcj48YXV0aG9yPkludXNhLCBCLiBQLiBELjwvYXV0aG9yPjxhdXRob3I+VGVsZmVyLCBQLiBU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w:t>
        </w:r>
        <w:r w:rsidR="00E62798">
          <w:fldChar w:fldCharType="end"/>
        </w:r>
      </w:hyperlink>
      <w:r>
        <w:t xml:space="preserve"> </w:t>
      </w:r>
    </w:p>
    <w:p w14:paraId="5B5BCBB9" w14:textId="216A64D6" w:rsidR="00E66069" w:rsidRDefault="00E66069" w:rsidP="00B54640">
      <w:pPr>
        <w:pStyle w:val="BoxText"/>
        <w:rPr>
          <w:lang w:eastAsia="en-GB"/>
        </w:rPr>
      </w:pPr>
      <w:r>
        <w:t xml:space="preserve">In view of increased RBC alloimmunisation in patients with </w:t>
      </w:r>
      <w:r w:rsidR="007605AB">
        <w:t>SCD</w:t>
      </w:r>
      <w:r w:rsidRPr="00B61302">
        <w:t xml:space="preserve"> </w:t>
      </w:r>
      <w:r>
        <w:t xml:space="preserve">undergoing long-term transfusion, patients should have an extended RBC phenotype before their first transfusion. For specific guidance on transfusion support, refer to the ANZSBT </w:t>
      </w:r>
      <w:r>
        <w:rPr>
          <w:i/>
        </w:rPr>
        <w:t>Guidelines for transfusion laboratory practice</w:t>
      </w:r>
      <w:r>
        <w:t xml:space="preserve"> </w:t>
      </w:r>
      <w:r w:rsidRPr="00F63237">
        <w:rPr>
          <w:i/>
        </w:rPr>
        <w:t xml:space="preserve">in the pretransfusion, antenatal and perinatal setting </w:t>
      </w:r>
      <w:r>
        <w:t>[under development] and background question 1 (Section 4.1).</w:t>
      </w:r>
    </w:p>
    <w:p w14:paraId="6BA3581D" w14:textId="77777777" w:rsidR="00E66069" w:rsidRDefault="00E66069" w:rsidP="00E66069">
      <w:pPr>
        <w:pStyle w:val="Heading3"/>
      </w:pPr>
      <w:bookmarkStart w:id="100" w:name="_Toc426976827"/>
      <w:bookmarkStart w:id="101" w:name="_Toc427851319"/>
      <w:r>
        <w:t>3.2.4</w:t>
      </w:r>
      <w:r>
        <w:tab/>
        <w:t>Medical: neonatal and paediatric patients with beta thalassaemia – effect of RBC transfusion on patient outcomes</w:t>
      </w:r>
      <w:bookmarkEnd w:id="100"/>
      <w:bookmarkEnd w:id="101"/>
    </w:p>
    <w:p w14:paraId="74783D8E" w14:textId="77777777" w:rsidR="00E66069" w:rsidRPr="00A24308" w:rsidRDefault="00E66069" w:rsidP="00AB4C4F">
      <w:pPr>
        <w:pStyle w:val="Heading4"/>
      </w:pPr>
      <w:r w:rsidRPr="00A24308">
        <w:t>Background</w:t>
      </w:r>
    </w:p>
    <w:p w14:paraId="43DE5584" w14:textId="77777777" w:rsidR="00E66069" w:rsidRDefault="00E66069" w:rsidP="00E66069">
      <w:r>
        <w:t>Beta thalassaemia major is an inherited disorder of reduced beta globin chain synthesis that causes severe anaemia. The aim of RBC transfusion in this condition is to treat severe anaemia, prevent early mortality, and promote growth, development, wellbeing and quality of life. It includes minimising or preventing bone marrow expansion that leads to bone deformities such as maxillary hyperplasia and extramedullary haematopoiesis causing hepatosplenomegaly.</w:t>
      </w:r>
    </w:p>
    <w:p w14:paraId="43837634" w14:textId="77777777" w:rsidR="00E66069" w:rsidRPr="00A24308" w:rsidRDefault="00E66069" w:rsidP="00E66069">
      <w:pPr>
        <w:pStyle w:val="Heading4"/>
      </w:pPr>
      <w:r w:rsidRPr="00A24308">
        <w:t>RBC transfusion versus no transfusion (or different dose)</w:t>
      </w:r>
      <w:r w:rsidRPr="000E2070">
        <w:t xml:space="preserve"> </w:t>
      </w:r>
      <w:r>
        <w:t>in paediatric patients with beta thalassaemia</w:t>
      </w:r>
    </w:p>
    <w:p w14:paraId="255A8D26" w14:textId="58FE3667" w:rsidR="00E66069" w:rsidRDefault="00E66069" w:rsidP="00E66069">
      <w:r>
        <w:t>This systematic review did not identify any Level I or Level II studies in paediatric patients with beta thalassaemia. Module 3 (</w:t>
      </w:r>
      <w:r w:rsidRPr="00F42852">
        <w:rPr>
          <w:i/>
        </w:rPr>
        <w:t>Medical</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t>) identified two prospective cohort studies</w:t>
      </w:r>
      <w:hyperlink w:anchor="_ENREF_68" w:tooltip="Cazzola, 1997 #977" w:history="1">
        <w:r w:rsidR="00E62798">
          <w:fldChar w:fldCharType="begin">
            <w:fldData xml:space="preserve">PEVuZE5vdGU+PENpdGU+PEF1dGhvcj5DYXp6b2xhPC9BdXRob3I+PFllYXI+MTk5NzwvWWVhcj48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</w:fldData>
          </w:fldChar>
        </w:r>
        <w:r w:rsidR="00E62798">
          <w:instrText xml:space="preserve"> ADDIN EN.CITE </w:instrText>
        </w:r>
        <w:r w:rsidR="00E62798">
          <w:fldChar w:fldCharType="begin">
            <w:fldData xml:space="preserve">PEVuZE5vdGU+PENpdGU+PEF1dGhvcj5DYXp6b2xhPC9BdXRob3I+PFllYXI+MTk5NzwvWWVhcj48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68-69</w:t>
        </w:r>
        <w:r w:rsidR="00E62798">
          <w:fldChar w:fldCharType="end"/>
        </w:r>
      </w:hyperlink>
      <w:r>
        <w:t xml:space="preserve"> and one retrospective cohort study</w:t>
      </w:r>
      <w:hyperlink w:anchor="_ENREF_70" w:tooltip="Torcharus, 1993 #979" w:history="1">
        <w:r w:rsidR="00E62798">
          <w:fldChar w:fldCharType="begin"/>
        </w:r>
        <w:r w:rsidR="00E62798">
          <w:instrText xml:space="preserve"> ADDIN EN.CITE &lt;EndNote&gt;&lt;Cite&gt;&lt;Author&gt;Torcharus&lt;/Author&gt;&lt;Year&gt;1993&lt;/Year&gt;&lt;RecNum&gt;979&lt;/RecNum&gt;&lt;DisplayText&gt;&lt;style face="superscript"&gt;70&lt;/style&gt;&lt;/DisplayText&gt;&lt;record&gt;&lt;rec-number&gt;979&lt;/rec-number&gt;&lt;foreign-keys&gt;&lt;key app="EN" db-id="9edve2wadsavt5ewavaxtda4f2tavzvts9ee" timestamp="1437350176"&gt;979&lt;/key&gt;&lt;/foreign-keys&gt;&lt;ref-type name="Journal Article"&gt;17&lt;/ref-type&gt;&lt;contributors&gt;&lt;authors&gt;&lt;author&gt;Torcharus, K.&lt;/author&gt;&lt;author&gt;Withayathawornwong, W.&lt;/author&gt;&lt;author&gt;Sriphaisal, T.&lt;/author&gt;&lt;author&gt;Krutvacho, T.&lt;/author&gt;&lt;author&gt;Arnutti, P.&lt;/author&gt;&lt;author&gt;Suwanasophorn, C.&lt;/author&gt;&lt;/authors&gt;&lt;/contributors&gt;&lt;auth-address&gt;Division of Pediatric Hematology, Pramongkutklao College of Medicine, Bangkok, Thailand.&lt;/auth-address&gt;&lt;titles&gt;&lt;title&gt;High transfusion in children with beta-thalassemia/Hb E: clinical and laboratory assessment of 18 cases&lt;/title&gt;&lt;secondary-title&gt;Southeast Asian J Trop Med Public Health&lt;/secondary-title&gt;&lt;/titles&gt;&lt;periodical&gt;&lt;full-title&gt;Southeast Asian J Trop Med Public Health&lt;/full-title&gt;&lt;/periodical&gt;&lt;pages&gt;96–9&lt;/pages&gt;&lt;volume&gt;24 Suppl 1&lt;/volume&gt;&lt;keywords&gt;&lt;keyword&gt;Adolescent&lt;/keyword&gt;&lt;keyword&gt;*Blood Transfusion/adverse effects/methods&lt;/keyword&gt;&lt;keyword&gt;Child&lt;/keyword&gt;&lt;keyword&gt;Child, Preschool&lt;/keyword&gt;&lt;keyword&gt;Deferoxamine/therapeutic use&lt;/keyword&gt;&lt;keyword&gt;Female&lt;/keyword&gt;&lt;keyword&gt;Ferritins/blood&lt;/keyword&gt;&lt;keyword&gt;*Hemoglobin E&lt;/keyword&gt;&lt;keyword&gt;Hemoglobinopathies/blood/complications/*therapy&lt;/keyword&gt;&lt;keyword&gt;Hemoglobins/analysis&lt;/keyword&gt;&lt;keyword&gt;Humans&lt;/keyword&gt;&lt;keyword&gt;Male&lt;/keyword&gt;&lt;keyword&gt;Splenectomy&lt;/keyword&gt;&lt;keyword&gt;beta-Thalassemia/blood/complications/*therapy&lt;/keyword&gt;&lt;/keywords&gt;&lt;dates&gt;&lt;year&gt;1993&lt;/year&gt;&lt;/dates&gt;&lt;isbn&gt;0125-1562 (Print)&amp;#xD;0125-1562 (Linking)&lt;/isbn&gt;&lt;accession-num&gt;7886617&lt;/accession-num&gt;&lt;urls&gt;&lt;related-urls&gt;&lt;url&gt;http://www.ncbi.nlm.nih.gov/pubmed/7886617&lt;/url&gt;&lt;/related-urls&gt;&lt;/urls&gt;&lt;/record&gt;&lt;/Cite&gt;&lt;/EndNote&gt;</w:instrText>
        </w:r>
        <w:r w:rsidR="00E62798">
          <w:fldChar w:fldCharType="separate"/>
        </w:r>
        <w:r w:rsidR="00E62798" w:rsidRPr="00E62798">
          <w:rPr>
            <w:noProof/>
            <w:vertAlign w:val="superscript"/>
          </w:rPr>
          <w:t>70</w:t>
        </w:r>
        <w:r w:rsidR="00E62798">
          <w:fldChar w:fldCharType="end"/>
        </w:r>
      </w:hyperlink>
      <w:r>
        <w:t xml:space="preserve"> that investigated the relationship between pretransfusion Hb concentration and transfusion volume in patients with beta thalassaemia. Masera </w:t>
      </w:r>
      <w:r w:rsidR="007605AB">
        <w:t xml:space="preserve">et al </w:t>
      </w:r>
      <w:r>
        <w:t>(1982)</w:t>
      </w:r>
      <w:hyperlink w:anchor="_ENREF_69" w:tooltip="Masera, 1982 #976" w:history="1">
        <w:r w:rsidR="00E62798">
          <w:fldChar w:fldCharType="begin"/>
        </w:r>
        <w:r w:rsidR="00E62798">
          <w:instrText xml:space="preserve"> ADDIN EN.CITE &lt;EndNote&gt;&lt;Cite&gt;&lt;Author&gt;Masera&lt;/Author&gt;&lt;Year&gt;1982&lt;/Year&gt;&lt;RecNum&gt;976&lt;/RecNum&gt;&lt;DisplayText&gt;&lt;style face="superscript"&gt;69&lt;/style&gt;&lt;/DisplayText&gt;&lt;record&gt;&lt;rec-number&gt;976&lt;/rec-number&gt;&lt;foreign-keys&gt;&lt;key app="EN" db-id="9edve2wadsavt5ewavaxtda4f2tavzvts9ee" timestamp="1437349949"&gt;976&lt;/key&gt;&lt;/foreign-keys&gt;&lt;ref-type name="Journal Article"&gt;17&lt;/ref-type&gt;&lt;contributors&gt;&lt;authors&gt;&lt;author&gt;Masera, G.&lt;/author&gt;&lt;author&gt;Terzoli, S.&lt;/author&gt;&lt;author&gt;Avanzini, A.&lt;/author&gt;&lt;author&gt;Fontanelli, G.&lt;/author&gt;&lt;author&gt;Mauri, R. A.&lt;/author&gt;&lt;author&gt;Piacentini, G.&lt;/author&gt;&lt;author&gt;Ferrari, M.&lt;/author&gt;&lt;/authors&gt;&lt;/contributors&gt;&lt;titles&gt;&lt;title&gt;Evaluation of the supertransfusion regimen in homozygous beta-thalassaemia children&lt;/title&gt;&lt;secondary-title&gt;Br J Haematol&lt;/secondary-title&gt;&lt;/titles&gt;&lt;periodical&gt;&lt;full-title&gt;Br J Haematol&lt;/full-title&gt;&lt;abbr-1&gt;British journal of haematology&lt;/abbr-1&gt;&lt;/periodical&gt;&lt;pages&gt;111–3&lt;/pages&gt;&lt;volume&gt;52&lt;/volume&gt;&lt;number&gt;1&lt;/number&gt;&lt;keywords&gt;&lt;keyword&gt;Adolescent&lt;/keyword&gt;&lt;keyword&gt;Blood Transfusion/*methods&lt;/keyword&gt;&lt;keyword&gt;Blood Volume&lt;/keyword&gt;&lt;keyword&gt;Child&lt;/keyword&gt;&lt;keyword&gt;Erythrocyte Count&lt;/keyword&gt;&lt;keyword&gt;Hemoglobins/analysis&lt;/keyword&gt;&lt;keyword&gt;Humans&lt;/keyword&gt;&lt;keyword&gt;Reticulocytes&lt;/keyword&gt;&lt;keyword&gt;Thalassemia/blood/*therapy&lt;/keyword&gt;&lt;/keywords&gt;&lt;dates&gt;&lt;year&gt;1982&lt;/year&gt;&lt;pub-dates&gt;&lt;date&gt;Sep&lt;/date&gt;&lt;/pub-dates&gt;&lt;/dates&gt;&lt;isbn&gt;0007-1048 (Print)&amp;#xD;0007-1048 (Linking)&lt;/isbn&gt;&lt;accession-num&gt;7115620&lt;/accession-num&gt;&lt;urls&gt;&lt;related-urls&gt;&lt;url&gt;http://www.ncbi.nlm.nih.gov/pubmed/7115620&lt;/url&gt;&lt;/related-urls&gt;&lt;/urls&gt;&lt;/record&gt;&lt;/Cite&gt;&lt;/EndNote&gt;</w:instrText>
        </w:r>
        <w:r w:rsidR="00E62798">
          <w:fldChar w:fldCharType="separate"/>
        </w:r>
        <w:r w:rsidR="00E62798" w:rsidRPr="00E62798">
          <w:rPr>
            <w:noProof/>
            <w:vertAlign w:val="superscript"/>
          </w:rPr>
          <w:t>69</w:t>
        </w:r>
        <w:r w:rsidR="00E62798">
          <w:fldChar w:fldCharType="end"/>
        </w:r>
      </w:hyperlink>
      <w:r>
        <w:t xml:space="preserve"> found that patients with a mean pretransfusion Hb concentration of 102 g/L required significantly lower transfusion volumes than those with higher pretransfusion Hb levels. </w:t>
      </w:r>
    </w:p>
    <w:p w14:paraId="1DE59FA2" w14:textId="77777777" w:rsidR="00E66069" w:rsidRPr="006A26E9" w:rsidRDefault="00E66069" w:rsidP="00B54640">
      <w:pPr>
        <w:pStyle w:val="BoxHeading"/>
      </w:pPr>
      <w:r w:rsidRPr="006A26E9">
        <w:t>Clinical commentary</w:t>
      </w:r>
      <w:r>
        <w:t xml:space="preserve"> – effect of RBC transfusion in </w:t>
      </w:r>
      <w:r w:rsidRPr="00EB4620">
        <w:t xml:space="preserve">paediatric patients with </w:t>
      </w:r>
      <w:r>
        <w:t>beta thalassaemia</w:t>
      </w:r>
    </w:p>
    <w:p w14:paraId="0D29BF81" w14:textId="77777777" w:rsidR="00E66069" w:rsidRDefault="00E66069" w:rsidP="00B54640">
      <w:pPr>
        <w:pStyle w:val="BoxText"/>
      </w:pPr>
      <w:r>
        <w:t>In patients</w:t>
      </w:r>
      <w:r w:rsidRPr="00F2036D">
        <w:t xml:space="preserve"> </w:t>
      </w:r>
      <w:r>
        <w:t>with beta thalassaemia, the widely adopted pretransfusion Hb concentration of 90–100 g/L was developed empirically after trials of lower Hb levels were found to lead to complications (e.g. bone marrow expansion)</w:t>
      </w:r>
      <w:r w:rsidRPr="00F2036D">
        <w:t xml:space="preserve"> </w:t>
      </w:r>
      <w:r>
        <w:t>from undertransfusion.</w:t>
      </w:r>
    </w:p>
    <w:p w14:paraId="15A46D71" w14:textId="48B1A508" w:rsidR="00E66069" w:rsidRPr="00F41C1F" w:rsidRDefault="00E66069" w:rsidP="00B54640">
      <w:pPr>
        <w:pStyle w:val="BoxText"/>
        <w:rPr>
          <w:lang w:val="en-AU"/>
        </w:rPr>
      </w:pPr>
      <w:r>
        <w:t>In</w:t>
      </w:r>
      <w:r w:rsidRPr="004745BC">
        <w:t xml:space="preserve"> paediatric patients with</w:t>
      </w:r>
      <w:r>
        <w:t xml:space="preserve"> beta</w:t>
      </w:r>
      <w:r w:rsidRPr="004745BC">
        <w:t xml:space="preserve"> </w:t>
      </w:r>
      <w:r w:rsidRPr="004745BC">
        <w:rPr>
          <w:lang w:val="en-GB"/>
        </w:rPr>
        <w:t>thalassaemia</w:t>
      </w:r>
      <w:r w:rsidRPr="004745BC">
        <w:t xml:space="preserve">, the evidence does not support any change to the current practice of maintaining a pretransfusion Hb concentration of 90–100 g/L. </w:t>
      </w:r>
      <w:r>
        <w:t>In those receiving a chronic transfusion program (e.g. beta thalassaemia or haemoglobin</w:t>
      </w:r>
      <w:r w:rsidR="00AB4C4F">
        <w:softHyphen/>
      </w:r>
      <w:r>
        <w:t>opathies) transfusion volume (mL) should be based on weight and desired Hb increment</w:t>
      </w:r>
      <w:r w:rsidR="007605AB">
        <w:t xml:space="preserve"> (see </w:t>
      </w:r>
      <w:r w:rsidR="00F41C1F">
        <w:rPr>
          <w:lang w:val="en-AU"/>
        </w:rPr>
        <w:t>Appendix J).</w:t>
      </w:r>
    </w:p>
    <w:p w14:paraId="600736A8" w14:textId="77777777" w:rsidR="00E66069" w:rsidRDefault="00E66069" w:rsidP="00E66069">
      <w:pPr>
        <w:pStyle w:val="Heading3"/>
      </w:pPr>
      <w:bookmarkStart w:id="102" w:name="_Toc426976828"/>
      <w:bookmarkStart w:id="103" w:name="_Toc427851320"/>
      <w:r>
        <w:rPr>
          <w:lang w:eastAsia="en-GB"/>
        </w:rPr>
        <w:t>3.2.5</w:t>
      </w:r>
      <w:r>
        <w:rPr>
          <w:lang w:eastAsia="en-GB"/>
        </w:rPr>
        <w:tab/>
      </w:r>
      <w:r w:rsidRPr="00EB4620">
        <w:rPr>
          <w:lang w:eastAsia="en-GB"/>
        </w:rPr>
        <w:t>Medical: paediatric patients with cancer</w:t>
      </w:r>
      <w:r>
        <w:rPr>
          <w:lang w:eastAsia="en-GB"/>
        </w:rPr>
        <w:t xml:space="preserve"> </w:t>
      </w:r>
      <w:r>
        <w:t>– effect of RBC transfusion on patient outcomes</w:t>
      </w:r>
      <w:bookmarkEnd w:id="102"/>
      <w:bookmarkEnd w:id="103"/>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E66069" w:rsidRPr="00A21FE4" w14:paraId="496BD07A"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0FC8A420" w14:textId="021BA732" w:rsidR="00E66069" w:rsidRPr="00A21FE4" w:rsidRDefault="00E66069" w:rsidP="006D11A2">
            <w:pPr>
              <w:pStyle w:val="PP-heading"/>
            </w:pPr>
            <w:r w:rsidRPr="00A21FE4">
              <w:t>Evidence statements – a</w:t>
            </w:r>
            <w:r w:rsidR="006D11A2">
              <w:t>naemia associated with cancer (</w:t>
            </w:r>
            <w:r w:rsidR="006D11A2">
              <w:rPr>
                <w:lang w:val="en-AU"/>
              </w:rPr>
              <w:t>RBC</w:t>
            </w:r>
            <w:r w:rsidRPr="00A21FE4">
              <w:t xml:space="preserve">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F4D11FB"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AB7800E"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CB889EE"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E903810" w14:textId="77777777" w:rsidR="00E66069" w:rsidRPr="00A21FE4" w:rsidRDefault="00E66069" w:rsidP="00AB4C4F">
            <w:pPr>
              <w:ind w:left="113" w:right="113"/>
              <w:jc w:val="center"/>
              <w:rPr>
                <w:b/>
              </w:rPr>
            </w:pPr>
            <w:r w:rsidRPr="00A21FE4">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DC3BE64" w14:textId="77777777" w:rsidR="00E66069" w:rsidRPr="00A21FE4" w:rsidRDefault="00E66069" w:rsidP="00AB4C4F">
            <w:pPr>
              <w:ind w:left="113" w:right="113"/>
              <w:jc w:val="center"/>
              <w:rPr>
                <w:b/>
              </w:rPr>
            </w:pPr>
            <w:r w:rsidRPr="00A21FE4">
              <w:rPr>
                <w:b/>
              </w:rPr>
              <w:t>Applicability</w:t>
            </w:r>
          </w:p>
        </w:tc>
      </w:tr>
      <w:tr w:rsidR="00E66069" w:rsidRPr="00A21FE4" w14:paraId="426C7771" w14:textId="77777777" w:rsidTr="00AB4C4F">
        <w:trPr>
          <w:cantSplit/>
        </w:trPr>
        <w:tc>
          <w:tcPr>
            <w:tcW w:w="851" w:type="dxa"/>
          </w:tcPr>
          <w:p w14:paraId="4829C378" w14:textId="77777777" w:rsidR="00E66069" w:rsidRPr="00A21FE4" w:rsidRDefault="00E66069" w:rsidP="007605AB">
            <w:pPr>
              <w:pStyle w:val="Tabletextnoindent"/>
              <w:keepNext w:val="0"/>
              <w:numPr>
                <w:ilvl w:val="0"/>
                <w:numId w:val="0"/>
              </w:numPr>
            </w:pPr>
            <w:r w:rsidRPr="00052AAA">
              <w:t>ES1.</w:t>
            </w:r>
            <w:r>
              <w:t>20</w:t>
            </w:r>
          </w:p>
        </w:tc>
        <w:tc>
          <w:tcPr>
            <w:tcW w:w="3750" w:type="dxa"/>
          </w:tcPr>
          <w:p w14:paraId="053CA2B2" w14:textId="77777777" w:rsidR="00E66069" w:rsidRPr="00A21FE4" w:rsidRDefault="00E66069" w:rsidP="007605AB">
            <w:pPr>
              <w:pStyle w:val="ES-table"/>
              <w:keepNext w:val="0"/>
            </w:pPr>
            <w:r w:rsidRPr="00A21FE4">
              <w:t>In neonatal patients with anaemia associated with cancer, the effect of RBC transfusion compared with no transfusion on mortality is unknown.</w:t>
            </w:r>
          </w:p>
        </w:tc>
        <w:tc>
          <w:tcPr>
            <w:tcW w:w="809" w:type="dxa"/>
          </w:tcPr>
          <w:p w14:paraId="023A40D0" w14:textId="77777777" w:rsidR="00E66069" w:rsidRPr="00A21FE4" w:rsidRDefault="00E66069" w:rsidP="007605AB">
            <w:pPr>
              <w:pStyle w:val="T-ABCD"/>
            </w:pPr>
            <w:r w:rsidRPr="00A21FE4">
              <w:t>NA</w:t>
            </w:r>
          </w:p>
        </w:tc>
        <w:tc>
          <w:tcPr>
            <w:tcW w:w="809" w:type="dxa"/>
          </w:tcPr>
          <w:p w14:paraId="0FD51D3E" w14:textId="77777777" w:rsidR="00E66069" w:rsidRPr="00A21FE4" w:rsidRDefault="00E66069" w:rsidP="007605AB">
            <w:pPr>
              <w:pStyle w:val="T-ABCD"/>
            </w:pPr>
            <w:r w:rsidRPr="00A21FE4">
              <w:t>NA</w:t>
            </w:r>
          </w:p>
        </w:tc>
        <w:tc>
          <w:tcPr>
            <w:tcW w:w="809" w:type="dxa"/>
          </w:tcPr>
          <w:p w14:paraId="7DCF9768" w14:textId="77777777" w:rsidR="00E66069" w:rsidRPr="00A21FE4" w:rsidRDefault="00E66069" w:rsidP="007605AB">
            <w:pPr>
              <w:pStyle w:val="T-ABCD"/>
            </w:pPr>
            <w:r w:rsidRPr="00A21FE4">
              <w:t>NA</w:t>
            </w:r>
          </w:p>
        </w:tc>
        <w:tc>
          <w:tcPr>
            <w:tcW w:w="809" w:type="dxa"/>
          </w:tcPr>
          <w:p w14:paraId="1FF0775B" w14:textId="77777777" w:rsidR="00E66069" w:rsidRPr="00A21FE4" w:rsidRDefault="00E66069" w:rsidP="007605AB">
            <w:pPr>
              <w:pStyle w:val="T-ABCD"/>
            </w:pPr>
            <w:r w:rsidRPr="00A21FE4">
              <w:t>NA</w:t>
            </w:r>
          </w:p>
        </w:tc>
        <w:tc>
          <w:tcPr>
            <w:tcW w:w="810" w:type="dxa"/>
          </w:tcPr>
          <w:p w14:paraId="671F9A39" w14:textId="77777777" w:rsidR="00E66069" w:rsidRPr="00A21FE4" w:rsidRDefault="00E66069" w:rsidP="007605AB">
            <w:pPr>
              <w:pStyle w:val="T-ABCD"/>
            </w:pPr>
            <w:r w:rsidRPr="00A21FE4">
              <w:t xml:space="preserve">NA </w:t>
            </w:r>
          </w:p>
        </w:tc>
      </w:tr>
      <w:tr w:rsidR="00E66069" w:rsidRPr="00A21FE4" w14:paraId="3B575BBE" w14:textId="77777777" w:rsidTr="00AB4C4F">
        <w:trPr>
          <w:cantSplit/>
        </w:trPr>
        <w:tc>
          <w:tcPr>
            <w:tcW w:w="851" w:type="dxa"/>
          </w:tcPr>
          <w:p w14:paraId="562EF1C2" w14:textId="77777777" w:rsidR="00E66069" w:rsidRPr="00A21FE4" w:rsidRDefault="00E66069" w:rsidP="007605AB">
            <w:pPr>
              <w:pStyle w:val="Tabletextnoindent"/>
              <w:keepNext w:val="0"/>
              <w:numPr>
                <w:ilvl w:val="0"/>
                <w:numId w:val="0"/>
              </w:numPr>
            </w:pPr>
            <w:r w:rsidRPr="00052AAA">
              <w:t>ES1.2</w:t>
            </w:r>
            <w:r>
              <w:t>1</w:t>
            </w:r>
          </w:p>
        </w:tc>
        <w:tc>
          <w:tcPr>
            <w:tcW w:w="3750" w:type="dxa"/>
          </w:tcPr>
          <w:p w14:paraId="61FD72CC" w14:textId="77777777" w:rsidR="00E66069" w:rsidRPr="00A21FE4" w:rsidRDefault="00E66069" w:rsidP="007605AB">
            <w:pPr>
              <w:pStyle w:val="ES-table"/>
              <w:keepNext w:val="0"/>
            </w:pPr>
            <w:r w:rsidRPr="00A21FE4">
              <w:t>In paediatric patients with anaemia associated with cancer, the effect of RBC transfusion compared with no transfusion on mortality is uncertain.</w:t>
            </w:r>
          </w:p>
          <w:p w14:paraId="5329D559" w14:textId="77777777" w:rsidR="00E66069" w:rsidRPr="00A21FE4" w:rsidRDefault="00E66069" w:rsidP="007605AB">
            <w:pPr>
              <w:pStyle w:val="ES-notes"/>
              <w:keepNext w:val="0"/>
            </w:pPr>
            <w:r w:rsidRPr="00A21FE4">
              <w:t>(See evidence matrix D1.L in Volume 2 of the technical report.)</w:t>
            </w:r>
          </w:p>
        </w:tc>
        <w:tc>
          <w:tcPr>
            <w:tcW w:w="809" w:type="dxa"/>
          </w:tcPr>
          <w:p w14:paraId="06EA9DFD" w14:textId="77777777" w:rsidR="00E66069" w:rsidRPr="00A21FE4" w:rsidRDefault="00E66069" w:rsidP="007605AB">
            <w:pPr>
              <w:pStyle w:val="T-ABCD"/>
            </w:pPr>
            <w:r w:rsidRPr="00A21FE4">
              <w:t>X</w:t>
            </w:r>
          </w:p>
        </w:tc>
        <w:tc>
          <w:tcPr>
            <w:tcW w:w="809" w:type="dxa"/>
          </w:tcPr>
          <w:p w14:paraId="71BBA08A" w14:textId="77777777" w:rsidR="00E66069" w:rsidRPr="00A21FE4" w:rsidRDefault="00E66069" w:rsidP="007605AB">
            <w:pPr>
              <w:pStyle w:val="T-ABCD"/>
            </w:pPr>
            <w:r w:rsidRPr="00A21FE4">
              <w:t>NA</w:t>
            </w:r>
          </w:p>
        </w:tc>
        <w:tc>
          <w:tcPr>
            <w:tcW w:w="809" w:type="dxa"/>
          </w:tcPr>
          <w:p w14:paraId="460ABFB9" w14:textId="77777777" w:rsidR="00E66069" w:rsidRPr="00A21FE4" w:rsidRDefault="00E66069" w:rsidP="007605AB">
            <w:pPr>
              <w:pStyle w:val="T-ABCD"/>
            </w:pPr>
            <w:r w:rsidRPr="00A21FE4">
              <w:t>NA</w:t>
            </w:r>
          </w:p>
        </w:tc>
        <w:tc>
          <w:tcPr>
            <w:tcW w:w="809" w:type="dxa"/>
          </w:tcPr>
          <w:p w14:paraId="256A0422" w14:textId="77777777" w:rsidR="00E66069" w:rsidRPr="00A21FE4" w:rsidRDefault="00E66069" w:rsidP="007605AB">
            <w:pPr>
              <w:pStyle w:val="T-ABCD"/>
            </w:pPr>
            <w:r w:rsidRPr="00A21FE4">
              <w:sym w:font="Symbol" w:char="F0D6"/>
            </w:r>
            <w:r w:rsidRPr="00A21FE4">
              <w:sym w:font="Symbol" w:char="F0D6"/>
            </w:r>
          </w:p>
        </w:tc>
        <w:tc>
          <w:tcPr>
            <w:tcW w:w="810" w:type="dxa"/>
          </w:tcPr>
          <w:p w14:paraId="6F2D63B7" w14:textId="77777777" w:rsidR="00E66069" w:rsidRPr="00A21FE4" w:rsidRDefault="00E66069" w:rsidP="007605AB">
            <w:pPr>
              <w:pStyle w:val="T-ABCD"/>
            </w:pPr>
            <w:r w:rsidRPr="00A21FE4">
              <w:t>X</w:t>
            </w:r>
          </w:p>
        </w:tc>
      </w:tr>
      <w:tr w:rsidR="00E66069" w:rsidRPr="00A21FE4" w14:paraId="098BA3D7" w14:textId="77777777" w:rsidTr="00AB4C4F">
        <w:trPr>
          <w:cantSplit/>
        </w:trPr>
        <w:tc>
          <w:tcPr>
            <w:tcW w:w="851" w:type="dxa"/>
          </w:tcPr>
          <w:p w14:paraId="21675008" w14:textId="77777777" w:rsidR="00E66069" w:rsidRPr="00A21FE4" w:rsidRDefault="00E66069" w:rsidP="00AB4C4F">
            <w:pPr>
              <w:pStyle w:val="Tabletextnoindent"/>
              <w:numPr>
                <w:ilvl w:val="0"/>
                <w:numId w:val="0"/>
              </w:numPr>
            </w:pPr>
            <w:r w:rsidRPr="00052AAA">
              <w:t>ES1.</w:t>
            </w:r>
            <w:r>
              <w:t>22</w:t>
            </w:r>
          </w:p>
        </w:tc>
        <w:tc>
          <w:tcPr>
            <w:tcW w:w="3750" w:type="dxa"/>
          </w:tcPr>
          <w:p w14:paraId="13760BBD" w14:textId="77777777" w:rsidR="00E66069" w:rsidRPr="00A21FE4" w:rsidRDefault="00E66069" w:rsidP="00AB4C4F">
            <w:pPr>
              <w:pStyle w:val="ES-table"/>
            </w:pPr>
            <w:r w:rsidRPr="00A21FE4">
              <w:t>In neonatal and paediatric patients with anaemia associated with cancer, the effect of restrictive RBC transfusion compared with liberal RBC transfusion on mortality is unknown.</w:t>
            </w:r>
          </w:p>
        </w:tc>
        <w:tc>
          <w:tcPr>
            <w:tcW w:w="809" w:type="dxa"/>
          </w:tcPr>
          <w:p w14:paraId="32AD1A6B" w14:textId="77777777" w:rsidR="00E66069" w:rsidRPr="00A21FE4" w:rsidRDefault="00E66069" w:rsidP="00AB4C4F">
            <w:pPr>
              <w:pStyle w:val="T-ABCD"/>
            </w:pPr>
            <w:r w:rsidRPr="00A21FE4">
              <w:t>NA</w:t>
            </w:r>
          </w:p>
        </w:tc>
        <w:tc>
          <w:tcPr>
            <w:tcW w:w="809" w:type="dxa"/>
          </w:tcPr>
          <w:p w14:paraId="35DB3CA9" w14:textId="77777777" w:rsidR="00E66069" w:rsidRPr="00A21FE4" w:rsidRDefault="00E66069" w:rsidP="00AB4C4F">
            <w:pPr>
              <w:pStyle w:val="T-ABCD"/>
            </w:pPr>
            <w:r w:rsidRPr="00A21FE4">
              <w:t>NA</w:t>
            </w:r>
          </w:p>
        </w:tc>
        <w:tc>
          <w:tcPr>
            <w:tcW w:w="809" w:type="dxa"/>
          </w:tcPr>
          <w:p w14:paraId="36B2E54E" w14:textId="77777777" w:rsidR="00E66069" w:rsidRPr="00A21FE4" w:rsidRDefault="00E66069" w:rsidP="00AB4C4F">
            <w:pPr>
              <w:pStyle w:val="T-ABCD"/>
            </w:pPr>
            <w:r w:rsidRPr="00A21FE4">
              <w:t>NA</w:t>
            </w:r>
          </w:p>
        </w:tc>
        <w:tc>
          <w:tcPr>
            <w:tcW w:w="809" w:type="dxa"/>
          </w:tcPr>
          <w:p w14:paraId="0813A6E0" w14:textId="77777777" w:rsidR="00E66069" w:rsidRPr="00A21FE4" w:rsidRDefault="00E66069" w:rsidP="00AB4C4F">
            <w:pPr>
              <w:pStyle w:val="T-ABCD"/>
            </w:pPr>
            <w:r w:rsidRPr="00A21FE4">
              <w:t>NA</w:t>
            </w:r>
          </w:p>
        </w:tc>
        <w:tc>
          <w:tcPr>
            <w:tcW w:w="810" w:type="dxa"/>
          </w:tcPr>
          <w:p w14:paraId="74F58210" w14:textId="77777777" w:rsidR="00E66069" w:rsidRPr="00A21FE4" w:rsidRDefault="00E66069" w:rsidP="00AB4C4F">
            <w:pPr>
              <w:pStyle w:val="T-ABCD"/>
            </w:pPr>
            <w:r w:rsidRPr="00A21FE4">
              <w:t xml:space="preserve">NA </w:t>
            </w:r>
          </w:p>
        </w:tc>
      </w:tr>
      <w:tr w:rsidR="00E66069" w:rsidRPr="00A21FE4" w14:paraId="32F749CD" w14:textId="77777777" w:rsidTr="00AB4C4F">
        <w:trPr>
          <w:cantSplit/>
        </w:trPr>
        <w:tc>
          <w:tcPr>
            <w:tcW w:w="8647" w:type="dxa"/>
            <w:gridSpan w:val="7"/>
          </w:tcPr>
          <w:p w14:paraId="4D1924AE" w14:textId="77777777" w:rsidR="00E66069" w:rsidRPr="00A21FE4" w:rsidRDefault="00E66069" w:rsidP="00AB4C4F">
            <w:pPr>
              <w:pStyle w:val="ES-notes"/>
            </w:pPr>
            <w:r w:rsidRPr="00A21FE4">
              <w:t xml:space="preserve">ES, evidence statement; RBC, red blood cell </w:t>
            </w:r>
          </w:p>
          <w:p w14:paraId="58A0FC2E"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53D71630" w14:textId="77777777" w:rsidR="00E66069" w:rsidRDefault="00E66069" w:rsidP="00E66069"/>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31"/>
      </w:tblGrid>
      <w:tr w:rsidR="00E66069" w:rsidRPr="00A21FE4" w14:paraId="747BB653"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tcPr>
          <w:p w14:paraId="7D7B0BAC" w14:textId="5D28C3D0" w:rsidR="00E66069" w:rsidRPr="00A21FE4" w:rsidRDefault="00045D23" w:rsidP="006D11A2">
            <w:pPr>
              <w:pStyle w:val="PP-heading"/>
            </w:pPr>
            <w:r>
              <w:t xml:space="preserve">Practice points </w:t>
            </w:r>
            <w:r w:rsidR="00E66069" w:rsidRPr="00A21FE4">
              <w:t xml:space="preserve">– </w:t>
            </w:r>
            <w:r w:rsidR="006D11A2" w:rsidRPr="00A21FE4">
              <w:t>a</w:t>
            </w:r>
            <w:r w:rsidR="006D11A2">
              <w:t>naemia associated with cancer (</w:t>
            </w:r>
            <w:r w:rsidR="006D11A2">
              <w:rPr>
                <w:lang w:val="en-AU"/>
              </w:rPr>
              <w:t>RBC</w:t>
            </w:r>
            <w:r w:rsidR="006D11A2" w:rsidRPr="00A21FE4">
              <w:t xml:space="preserve"> transfusion)</w:t>
            </w:r>
          </w:p>
        </w:tc>
      </w:tr>
      <w:tr w:rsidR="00E66069" w:rsidRPr="00A21FE4" w14:paraId="451AFED3" w14:textId="77777777" w:rsidTr="00AB4C4F">
        <w:tc>
          <w:tcPr>
            <w:tcW w:w="1117" w:type="dxa"/>
            <w:tcBorders>
              <w:right w:val="single" w:sz="4" w:space="0" w:color="auto"/>
            </w:tcBorders>
            <w:shd w:val="clear" w:color="auto" w:fill="auto"/>
          </w:tcPr>
          <w:p w14:paraId="490E7D45" w14:textId="77777777" w:rsidR="00E66069" w:rsidRPr="00A21FE4" w:rsidRDefault="00E66069" w:rsidP="00AB4C4F">
            <w:pPr>
              <w:pStyle w:val="PP"/>
            </w:pPr>
            <w:r w:rsidRPr="00A21FE4">
              <w:t>PP5</w:t>
            </w:r>
          </w:p>
        </w:tc>
        <w:tc>
          <w:tcPr>
            <w:tcW w:w="7531" w:type="dxa"/>
            <w:tcBorders>
              <w:left w:val="single" w:sz="4" w:space="0" w:color="auto"/>
            </w:tcBorders>
            <w:shd w:val="clear" w:color="auto" w:fill="auto"/>
          </w:tcPr>
          <w:p w14:paraId="4BE8A84B" w14:textId="3795082E" w:rsidR="00E66069" w:rsidRPr="00A21FE4" w:rsidRDefault="000730DD" w:rsidP="004361C8">
            <w:pPr>
              <w:pStyle w:val="PP"/>
            </w:pPr>
            <w:r>
              <w:rPr>
                <w:lang w:val="en-AU"/>
              </w:rPr>
              <w:t>For neonatal and</w:t>
            </w:r>
            <w:r w:rsidRPr="00A21FE4">
              <w:t xml:space="preserve"> </w:t>
            </w:r>
            <w:r w:rsidR="00E66069" w:rsidRPr="00A21FE4">
              <w:t>paediatric</w:t>
            </w:r>
            <w:r>
              <w:rPr>
                <w:lang w:val="en-AU"/>
              </w:rPr>
              <w:t xml:space="preserve"> patients, a </w:t>
            </w:r>
            <w:r w:rsidR="00E66069" w:rsidRPr="00A21FE4">
              <w:t>specific procedural guideline for RBC transfusion should be used that includes the following:</w:t>
            </w:r>
          </w:p>
          <w:p w14:paraId="378D1220" w14:textId="77777777" w:rsidR="00E66069" w:rsidRPr="00A21FE4" w:rsidRDefault="00E66069" w:rsidP="00C115C0">
            <w:pPr>
              <w:pStyle w:val="PP-bullets"/>
            </w:pPr>
            <w:r w:rsidRPr="00A21FE4">
              <w:t>volume of transfusion and rate of administration</w:t>
            </w:r>
          </w:p>
          <w:p w14:paraId="39FD170A" w14:textId="77777777" w:rsidR="00E66069" w:rsidRPr="00A21FE4" w:rsidRDefault="00E66069" w:rsidP="00C115C0">
            <w:pPr>
              <w:pStyle w:val="PP-bullets"/>
            </w:pPr>
            <w:r w:rsidRPr="00A21FE4">
              <w:t>patient monitoring during and after transfusion</w:t>
            </w:r>
          </w:p>
          <w:p w14:paraId="3D69A410" w14:textId="77777777" w:rsidR="00E66069" w:rsidRPr="00A21FE4" w:rsidRDefault="00E66069" w:rsidP="00C115C0">
            <w:pPr>
              <w:pStyle w:val="PP-bullets"/>
            </w:pPr>
            <w:r w:rsidRPr="00A21FE4">
              <w:t>transfusion technique (e.g. use of syringe pumps)</w:t>
            </w:r>
          </w:p>
          <w:p w14:paraId="18C7D3F4" w14:textId="77777777" w:rsidR="00E66069" w:rsidRPr="00A21FE4" w:rsidRDefault="00E66069" w:rsidP="00C115C0">
            <w:pPr>
              <w:pStyle w:val="PP-bullets"/>
            </w:pPr>
            <w:r w:rsidRPr="00A21FE4">
              <w:t>recognition and reporting of adverse events.</w:t>
            </w:r>
          </w:p>
        </w:tc>
      </w:tr>
      <w:tr w:rsidR="00E66069" w:rsidRPr="00A21FE4" w14:paraId="4DD13F83" w14:textId="77777777" w:rsidTr="00AB4C4F">
        <w:tc>
          <w:tcPr>
            <w:tcW w:w="1117" w:type="dxa"/>
            <w:tcBorders>
              <w:right w:val="single" w:sz="4" w:space="0" w:color="auto"/>
            </w:tcBorders>
            <w:shd w:val="clear" w:color="auto" w:fill="auto"/>
          </w:tcPr>
          <w:p w14:paraId="37AEAD8F" w14:textId="77777777" w:rsidR="00E66069" w:rsidRPr="00A21FE4" w:rsidRDefault="00E66069" w:rsidP="00AB4C4F">
            <w:pPr>
              <w:pStyle w:val="PP"/>
            </w:pPr>
            <w:r w:rsidRPr="00A21FE4">
              <w:t>PP6</w:t>
            </w:r>
          </w:p>
        </w:tc>
        <w:tc>
          <w:tcPr>
            <w:tcW w:w="7531" w:type="dxa"/>
            <w:tcBorders>
              <w:left w:val="single" w:sz="4" w:space="0" w:color="auto"/>
            </w:tcBorders>
            <w:shd w:val="clear" w:color="auto" w:fill="auto"/>
          </w:tcPr>
          <w:p w14:paraId="434516AC" w14:textId="77777777" w:rsidR="00E66069" w:rsidRPr="00A21FE4" w:rsidRDefault="00E66069" w:rsidP="004361C8">
            <w:pPr>
              <w:pStyle w:val="PT-prebullet"/>
            </w:pPr>
            <w:r w:rsidRPr="00A21FE4">
              <w:t>In haemodynamically stable paediatric patients (excluding neonates), evidence from other patient groups and CRG consensus</w:t>
            </w:r>
            <w:r w:rsidRPr="00A21FE4">
              <w:rPr>
                <w:vertAlign w:val="superscript"/>
              </w:rPr>
              <w:t>a</w:t>
            </w:r>
            <w:r w:rsidRPr="00A21FE4">
              <w:t xml:space="preserve"> suggests that, with a:</w:t>
            </w:r>
          </w:p>
          <w:p w14:paraId="4C83A883" w14:textId="77777777" w:rsidR="00E66069" w:rsidRPr="00A21FE4" w:rsidRDefault="00E66069" w:rsidP="00C115C0">
            <w:pPr>
              <w:pStyle w:val="PP-bullets"/>
            </w:pPr>
            <w:r w:rsidRPr="00A21FE4">
              <w:t>Hb concentration &lt;70 g/L, RBC transfusion is often appropriate. However, transfusion may not be required in well-compensated patients or where other specific therapy is available.</w:t>
            </w:r>
          </w:p>
          <w:p w14:paraId="71E4963C" w14:textId="77777777" w:rsidR="00E66069" w:rsidRPr="00A21FE4" w:rsidRDefault="00E66069" w:rsidP="00C115C0">
            <w:pPr>
              <w:pStyle w:val="PP-bullets"/>
            </w:pPr>
            <w:r w:rsidRPr="00A21FE4">
              <w:t xml:space="preserve">Hb concentration of 70–90 g/L, RBC transfusion may be appropriate. The decision to transfuse patients should be based on the need to relieve clinical signs and symptoms of anaemia, and the patient’s response to previous transfusions. </w:t>
            </w:r>
          </w:p>
          <w:p w14:paraId="6964642B" w14:textId="77777777" w:rsidR="00E66069" w:rsidRPr="00A21FE4" w:rsidRDefault="00E66069" w:rsidP="00C115C0">
            <w:pPr>
              <w:pStyle w:val="PP-bullets"/>
            </w:pPr>
            <w:r w:rsidRPr="00A21FE4">
              <w:t>Hb concentration &gt;90 g/L, RBC transfusion is often unnecessary and may be inappropriate.</w:t>
            </w:r>
          </w:p>
          <w:p w14:paraId="4B63C6DF" w14:textId="61D1A11E" w:rsidR="00E66069" w:rsidRPr="00A21FE4" w:rsidRDefault="00E66069" w:rsidP="00E62798">
            <w:pPr>
              <w:pStyle w:val="PP-note"/>
            </w:pPr>
            <w:r w:rsidRPr="00A21FE4">
              <w:rPr>
                <w:vertAlign w:val="superscript"/>
              </w:rPr>
              <w:t xml:space="preserve">a </w:t>
            </w:r>
            <w:r w:rsidR="00CE5AC9">
              <w:t>See</w:t>
            </w:r>
            <w:r w:rsidRPr="00A21FE4">
              <w:t xml:space="preserve"> PP3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r w:rsidRPr="00A21FE4">
              <w:t xml:space="preserve"> </w:t>
            </w:r>
          </w:p>
        </w:tc>
      </w:tr>
      <w:tr w:rsidR="00E66069" w:rsidRPr="00A21FE4" w14:paraId="6C0875C6" w14:textId="77777777" w:rsidTr="00AB4C4F">
        <w:tc>
          <w:tcPr>
            <w:tcW w:w="1117" w:type="dxa"/>
            <w:tcBorders>
              <w:right w:val="single" w:sz="4" w:space="0" w:color="auto"/>
            </w:tcBorders>
            <w:shd w:val="clear" w:color="auto" w:fill="auto"/>
          </w:tcPr>
          <w:p w14:paraId="6F7E7102" w14:textId="77777777" w:rsidR="00E66069" w:rsidRPr="00A21FE4" w:rsidRDefault="00E66069" w:rsidP="004361C8">
            <w:pPr>
              <w:pStyle w:val="PP"/>
            </w:pPr>
            <w:r w:rsidRPr="00A21FE4">
              <w:t>PP8</w:t>
            </w:r>
          </w:p>
        </w:tc>
        <w:tc>
          <w:tcPr>
            <w:tcW w:w="7531" w:type="dxa"/>
            <w:tcBorders>
              <w:left w:val="single" w:sz="4" w:space="0" w:color="auto"/>
            </w:tcBorders>
            <w:shd w:val="clear" w:color="auto" w:fill="auto"/>
          </w:tcPr>
          <w:p w14:paraId="758191DE" w14:textId="7282EDE0" w:rsidR="00E62798" w:rsidRPr="002F5DEF" w:rsidRDefault="00E66069" w:rsidP="00E62798">
            <w:pPr>
              <w:pStyle w:val="PP-small"/>
            </w:pPr>
            <w:r w:rsidRPr="00A21FE4">
              <w:t xml:space="preserve">In paediatric patients less than 20 kg, calculate transfusion volume (mL) based on </w:t>
            </w:r>
            <w:r w:rsidRPr="001E5A0D">
              <w:t>weight and desired Hb increment.</w:t>
            </w:r>
            <w:r w:rsidR="00E62798" w:rsidRPr="002F5DEF">
              <w:rPr>
                <w:vertAlign w:val="superscript"/>
              </w:rPr>
              <w:t xml:space="preserve"> a</w:t>
            </w:r>
            <w:r w:rsidR="00E62798">
              <w:rPr>
                <w:vertAlign w:val="superscript"/>
                <w:lang w:val="en-AU"/>
              </w:rPr>
              <w:t>, b</w:t>
            </w:r>
          </w:p>
          <w:p w14:paraId="1A0C7C47" w14:textId="2DC87329" w:rsidR="006255E5" w:rsidRPr="00A21FE4" w:rsidRDefault="006255E5" w:rsidP="00AB4C4F">
            <w:pPr>
              <w:pStyle w:val="PP-note"/>
            </w:pPr>
            <w:r w:rsidRPr="002F5DEF">
              <w:rPr>
                <w:vertAlign w:val="superscript"/>
              </w:rPr>
              <w:t xml:space="preserve">a </w:t>
            </w:r>
            <w:r w:rsidRPr="002F5DEF">
              <w:t>See Appendix F (</w:t>
            </w:r>
            <w:r w:rsidRPr="00C60A91">
              <w:rPr>
                <w:i/>
              </w:rPr>
              <w:t>RBC transfusions in preterm infants</w:t>
            </w:r>
            <w:r w:rsidRPr="002F5DEF">
              <w:t>)</w:t>
            </w:r>
            <w:r>
              <w:t>.</w:t>
            </w:r>
            <w:r>
              <w:rPr>
                <w:vertAlign w:val="superscript"/>
              </w:rPr>
              <w:br/>
              <w:t>b</w:t>
            </w:r>
            <w:r w:rsidRPr="00293BBE">
              <w:t xml:space="preserve"> See Appendix </w:t>
            </w:r>
            <w:r>
              <w:t>J (</w:t>
            </w:r>
            <w:r w:rsidRPr="00341155">
              <w:rPr>
                <w:i/>
              </w:rPr>
              <w:t>Transfusion volume calculation for neonates, infants and small children</w:t>
            </w:r>
            <w:r>
              <w:t>).</w:t>
            </w:r>
          </w:p>
        </w:tc>
      </w:tr>
      <w:tr w:rsidR="00E66069" w:rsidRPr="00A21FE4" w14:paraId="09B45311" w14:textId="77777777" w:rsidTr="00AB4C4F">
        <w:tc>
          <w:tcPr>
            <w:tcW w:w="1117" w:type="dxa"/>
            <w:tcBorders>
              <w:right w:val="single" w:sz="4" w:space="0" w:color="auto"/>
            </w:tcBorders>
            <w:shd w:val="clear" w:color="auto" w:fill="auto"/>
          </w:tcPr>
          <w:p w14:paraId="1B9B1FCC" w14:textId="77777777" w:rsidR="00E66069" w:rsidRPr="00A21FE4" w:rsidRDefault="00E66069" w:rsidP="007605AB">
            <w:pPr>
              <w:pStyle w:val="PP"/>
              <w:keepNext/>
            </w:pPr>
            <w:r w:rsidRPr="00A21FE4">
              <w:t>PP9</w:t>
            </w:r>
          </w:p>
        </w:tc>
        <w:tc>
          <w:tcPr>
            <w:tcW w:w="7531" w:type="dxa"/>
            <w:tcBorders>
              <w:left w:val="single" w:sz="4" w:space="0" w:color="auto"/>
            </w:tcBorders>
            <w:shd w:val="clear" w:color="auto" w:fill="auto"/>
          </w:tcPr>
          <w:p w14:paraId="291F9A1F" w14:textId="6214F07B" w:rsidR="00E66069" w:rsidRPr="00A21FE4" w:rsidRDefault="00E66069" w:rsidP="007605AB">
            <w:pPr>
              <w:pStyle w:val="PP"/>
              <w:keepNext/>
            </w:pPr>
            <w:r w:rsidRPr="00A21FE4">
              <w:t>In most paediatric patients over 20 kg, transfusion of a single unit of RBC, followed by clinical reassessment to determine the need for further transfusion, is appropriate. This reassessment will also guide the decision on whether to retest the Hb level.</w:t>
            </w:r>
            <w:r w:rsidR="00C05EEF">
              <w:rPr>
                <w:vertAlign w:val="superscript"/>
                <w:lang w:val="en-AU"/>
              </w:rPr>
              <w:t>a</w:t>
            </w:r>
          </w:p>
          <w:p w14:paraId="3C6855E7" w14:textId="5D106787" w:rsidR="00E66069" w:rsidRPr="00A21FE4" w:rsidRDefault="00C05EEF" w:rsidP="00E62798">
            <w:pPr>
              <w:pStyle w:val="PP-note"/>
              <w:keepNext/>
            </w:pPr>
            <w:r>
              <w:rPr>
                <w:vertAlign w:val="superscript"/>
              </w:rPr>
              <w:t>a</w:t>
            </w:r>
            <w:r>
              <w:t xml:space="preserve"> </w:t>
            </w:r>
            <w:r w:rsidR="00CE5AC9">
              <w:t>See</w:t>
            </w:r>
            <w:r w:rsidR="00E66069" w:rsidRPr="00A21FE4">
              <w:t xml:space="preserve"> PP2 in </w:t>
            </w:r>
            <w:r w:rsidR="00E66069" w:rsidRPr="00A21FE4">
              <w:rPr>
                <w:i/>
              </w:rPr>
              <w:t>Patient Blood Management Guidelines: Module 2</w:t>
            </w:r>
            <w:r w:rsidR="004828DA">
              <w:rPr>
                <w:i/>
              </w:rPr>
              <w:t xml:space="preserve"> </w:t>
            </w:r>
            <w:r w:rsidR="00E66069" w:rsidRPr="00A21FE4">
              <w:rPr>
                <w:i/>
              </w:rPr>
              <w:t>– Perioperative</w:t>
            </w:r>
            <w:r w:rsidR="007605AB">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E66069" w:rsidRPr="00A21FE4" w14:paraId="5FCC0781" w14:textId="77777777" w:rsidTr="00AB4C4F">
        <w:trPr>
          <w:trHeight w:val="397"/>
        </w:trPr>
        <w:tc>
          <w:tcPr>
            <w:tcW w:w="8648" w:type="dxa"/>
            <w:gridSpan w:val="2"/>
            <w:shd w:val="clear" w:color="auto" w:fill="auto"/>
          </w:tcPr>
          <w:p w14:paraId="65E365FA" w14:textId="0CEA3453" w:rsidR="00E66069" w:rsidRPr="00A21FE4" w:rsidRDefault="00E66069" w:rsidP="007605AB">
            <w:pPr>
              <w:pStyle w:val="PP-note"/>
            </w:pPr>
            <w:r w:rsidRPr="00A21FE4">
              <w:t xml:space="preserve">CRG, Clinical/Consumer Reference Group; Hb, haemoglobin; PP, practice point; RBC, red blood cell </w:t>
            </w:r>
          </w:p>
        </w:tc>
      </w:tr>
    </w:tbl>
    <w:p w14:paraId="3148B7FB" w14:textId="77777777" w:rsidR="00E66069" w:rsidRPr="00F81EA2" w:rsidRDefault="00E66069" w:rsidP="00E66069"/>
    <w:p w14:paraId="4DC6E309" w14:textId="77777777" w:rsidR="00E66069" w:rsidRDefault="00E66069" w:rsidP="00E66069">
      <w:pPr>
        <w:pStyle w:val="Heading4"/>
      </w:pPr>
      <w:r w:rsidRPr="00EB4620">
        <w:t>Background</w:t>
      </w:r>
    </w:p>
    <w:p w14:paraId="6200BBB7" w14:textId="059D2A3A" w:rsidR="00E66069" w:rsidRDefault="00E66069" w:rsidP="00E66069">
      <w:r>
        <w:rPr>
          <w:lang w:val="en-GB" w:eastAsia="en-GB"/>
        </w:rPr>
        <w:t xml:space="preserve">Paediatric patients with cancer often develop </w:t>
      </w:r>
      <w:r>
        <w:t>anaemia as a result of bone</w:t>
      </w:r>
      <w:r w:rsidR="007605AB">
        <w:t xml:space="preserve"> </w:t>
      </w:r>
      <w:r>
        <w:t>marrow infiltration by malignancy, or treatments such as chemotherapy, radiation and haematopoietic stem cell transplantation. Anaemia can increase symptoms of fatigue, and may affect functional status and quality of life.</w:t>
      </w:r>
    </w:p>
    <w:p w14:paraId="512E4774" w14:textId="77777777" w:rsidR="00E66069" w:rsidRDefault="00E66069" w:rsidP="00E66069">
      <w:r>
        <w:t>The most frequent treatment used to treat</w:t>
      </w:r>
      <w:r w:rsidRPr="005F2F7C">
        <w:t xml:space="preserve"> </w:t>
      </w:r>
      <w:r>
        <w:t xml:space="preserve">cancer-induced anaemia or chemotherapy-induced anaemia is RBC transfusion. This treatment can rapidly correct anaemia and the associated symptoms; however, the effect may be temporary, and all patients receiving regular transfusions </w:t>
      </w:r>
      <w:r w:rsidRPr="009D25F5">
        <w:t>are at risk of transfusion reactions, circulatory overload, infection and alloimmunisation.</w:t>
      </w:r>
      <w:r>
        <w:t xml:space="preserve"> </w:t>
      </w:r>
    </w:p>
    <w:p w14:paraId="7777FD29" w14:textId="77777777" w:rsidR="00E66069" w:rsidRPr="00EB4620" w:rsidRDefault="00E66069" w:rsidP="00E66069">
      <w:pPr>
        <w:pStyle w:val="Heading4"/>
      </w:pPr>
      <w:r w:rsidRPr="00EB4620">
        <w:t>RBC transfusion versus no transfusion (or</w:t>
      </w:r>
      <w:r w:rsidRPr="008F27FC">
        <w:t xml:space="preserve"> </w:t>
      </w:r>
      <w:r>
        <w:t xml:space="preserve">different RBC </w:t>
      </w:r>
      <w:r w:rsidRPr="00EB4620">
        <w:t>dose)</w:t>
      </w:r>
      <w:r>
        <w:t xml:space="preserve"> in paediatric patients with cancer</w:t>
      </w:r>
    </w:p>
    <w:p w14:paraId="51380DCC" w14:textId="6E7E3E9D" w:rsidR="00E66069" w:rsidRDefault="00E66069" w:rsidP="00E66069">
      <w:bookmarkStart w:id="104" w:name="_Ref406147549"/>
      <w:r>
        <w:t>One</w:t>
      </w:r>
      <w:r>
        <w:rPr>
          <w:lang w:eastAsia="en-GB"/>
        </w:rPr>
        <w:t xml:space="preserve"> poor-quality retrospective longitudinal study (Level III) compared the effect of cumulative transfusion of more than five </w:t>
      </w:r>
      <w:r w:rsidRPr="00EB4620">
        <w:rPr>
          <w:lang w:eastAsia="en-GB"/>
        </w:rPr>
        <w:t>units</w:t>
      </w:r>
      <w:r>
        <w:rPr>
          <w:lang w:eastAsia="en-GB"/>
        </w:rPr>
        <w:t xml:space="preserve"> of RBC with transfusion of one to five units or </w:t>
      </w:r>
      <w:r w:rsidRPr="00EB4620">
        <w:rPr>
          <w:lang w:eastAsia="en-GB"/>
        </w:rPr>
        <w:t>no transfusion</w:t>
      </w:r>
      <w:r>
        <w:rPr>
          <w:lang w:eastAsia="en-GB"/>
        </w:rPr>
        <w:t xml:space="preserve"> on overall survival in children</w:t>
      </w:r>
      <w:r w:rsidRPr="00EB4620">
        <w:t xml:space="preserve"> </w:t>
      </w:r>
      <w:r>
        <w:t>(</w:t>
      </w:r>
      <w:r w:rsidR="007605AB">
        <w:t xml:space="preserve">aged </w:t>
      </w:r>
      <w:r>
        <w:t>&lt;</w:t>
      </w:r>
      <w:r w:rsidRPr="00EB4620">
        <w:t>15 years</w:t>
      </w:r>
      <w:r>
        <w:rPr>
          <w:lang w:eastAsia="en-GB"/>
        </w:rPr>
        <w:t xml:space="preserve">) </w:t>
      </w:r>
      <w:r w:rsidRPr="00EB4620">
        <w:rPr>
          <w:lang w:eastAsia="en-GB"/>
        </w:rPr>
        <w:t>with acute lymphoblastic leukaemia</w:t>
      </w:r>
      <w:r>
        <w:rPr>
          <w:lang w:eastAsia="en-GB"/>
        </w:rPr>
        <w:t>.</w:t>
      </w:r>
      <w:hyperlink w:anchor="_ENREF_71" w:tooltip="Jaime-Perez, 2011 #167" w:history="1">
        <w:r w:rsidR="00E62798">
          <w:rPr>
            <w:lang w:eastAsia="en-GB"/>
          </w:rPr>
          <w:fldChar w:fldCharType="begin">
            <w:fldData xml:space="preserve">PEVuZE5vdGU+PENpdGU+PEF1dGhvcj5KYWltZS1QZXJlejwvQXV0aG9yPjxZZWFyPjIwMTE8L1ll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=
</w:fldData>
          </w:fldChar>
        </w:r>
        <w:r w:rsidR="00E62798">
          <w:rPr>
            <w:lang w:eastAsia="en-GB"/>
          </w:rPr>
          <w:instrText xml:space="preserve"> ADDIN EN.CITE </w:instrText>
        </w:r>
        <w:r w:rsidR="00E62798">
          <w:rPr>
            <w:lang w:eastAsia="en-GB"/>
          </w:rPr>
          <w:fldChar w:fldCharType="begin">
            <w:fldData xml:space="preserve">PEVuZE5vdGU+PENpdGU+PEF1dGhvcj5KYWltZS1QZXJlejwvQXV0aG9yPjxZZWFyPjIwMTE8L1ll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=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71</w:t>
        </w:r>
        <w:r w:rsidR="00E62798">
          <w:rPr>
            <w:lang w:eastAsia="en-GB"/>
          </w:rPr>
          <w:fldChar w:fldCharType="end"/>
        </w:r>
      </w:hyperlink>
      <w:r w:rsidRPr="00AE3E0C">
        <w:t xml:space="preserve"> </w:t>
      </w:r>
    </w:p>
    <w:p w14:paraId="6E762758" w14:textId="77777777" w:rsidR="00E66069" w:rsidRDefault="00E66069" w:rsidP="00E66069">
      <w:pPr>
        <w:pStyle w:val="Heading5"/>
      </w:pPr>
      <w:r w:rsidRPr="00EB4620">
        <w:t>Mortality</w:t>
      </w:r>
    </w:p>
    <w:p w14:paraId="45D04BD0" w14:textId="097915E2" w:rsidR="00E66069" w:rsidRDefault="00E66069" w:rsidP="00E66069">
      <w:pPr>
        <w:rPr>
          <w:lang w:eastAsia="en-GB"/>
        </w:rPr>
      </w:pPr>
      <w:r>
        <w:t xml:space="preserve">The </w:t>
      </w:r>
      <w:r w:rsidR="00695D88">
        <w:t xml:space="preserve">Level III </w:t>
      </w:r>
      <w:r>
        <w:t xml:space="preserve">study reported an increased risk of mortality in those transfused with more than five units of RBCs; however, the </w:t>
      </w:r>
      <w:r>
        <w:rPr>
          <w:lang w:eastAsia="en-GB"/>
        </w:rPr>
        <w:t xml:space="preserve">study was underpowered. </w:t>
      </w:r>
    </w:p>
    <w:p w14:paraId="62F93351" w14:textId="77777777" w:rsidR="00E66069" w:rsidRPr="002619C0" w:rsidRDefault="00E66069" w:rsidP="00B54640">
      <w:pPr>
        <w:pStyle w:val="BoxHeading"/>
      </w:pPr>
      <w:r w:rsidRPr="002619C0">
        <w:t>Clinical commentary</w:t>
      </w:r>
      <w:r w:rsidRPr="00883945">
        <w:t xml:space="preserve"> </w:t>
      </w:r>
      <w:r>
        <w:t xml:space="preserve">– effect of RBC transfusion in </w:t>
      </w:r>
      <w:r w:rsidRPr="00EB4620">
        <w:t>paediatric patients with</w:t>
      </w:r>
      <w:r>
        <w:t xml:space="preserve"> cancer</w:t>
      </w:r>
    </w:p>
    <w:p w14:paraId="0D329294" w14:textId="77777777" w:rsidR="00E66069" w:rsidRDefault="00E66069" w:rsidP="00B54640">
      <w:pPr>
        <w:pStyle w:val="BoxText"/>
      </w:pPr>
      <w:r>
        <w:t xml:space="preserve">This literature review provided insufficient evidence to formulate recommendations. However, guidance relating to </w:t>
      </w:r>
      <w:r w:rsidRPr="00EB4620">
        <w:t>paediatric patients with</w:t>
      </w:r>
      <w:r>
        <w:t xml:space="preserve"> cancer</w:t>
      </w:r>
      <w:r w:rsidDel="00883945">
        <w:t xml:space="preserve"> </w:t>
      </w:r>
      <w:r>
        <w:t>can be found in several practice points (see PP5, PP6, PP8 and PP9).</w:t>
      </w:r>
    </w:p>
    <w:p w14:paraId="682DFDAC" w14:textId="77777777" w:rsidR="00E66069" w:rsidRDefault="00E66069" w:rsidP="00B54640">
      <w:pPr>
        <w:pStyle w:val="BoxText"/>
      </w:pPr>
      <w:r>
        <w:t>Paediatric patients with cancer are at risk of concurrent nutritional deficiencies</w:t>
      </w:r>
      <w:r w:rsidRPr="00886A6C">
        <w:t xml:space="preserve"> </w:t>
      </w:r>
      <w:r>
        <w:t>such as iron deficiency, which may contribute to their anaemia. These deficiencies should be screened for and treated appropriately.</w:t>
      </w:r>
    </w:p>
    <w:p w14:paraId="47699B62" w14:textId="550B279E" w:rsidR="00E66069" w:rsidRDefault="00E66069" w:rsidP="00E66069">
      <w:pPr>
        <w:pStyle w:val="Heading3"/>
      </w:pPr>
      <w:bookmarkStart w:id="105" w:name="_Toc398542771"/>
      <w:bookmarkStart w:id="106" w:name="_Toc426976829"/>
      <w:bookmarkStart w:id="107" w:name="_Toc427851321"/>
      <w:bookmarkEnd w:id="104"/>
      <w:r>
        <w:rPr>
          <w:lang w:eastAsia="en-GB"/>
        </w:rPr>
        <w:t>3.2.6</w:t>
      </w:r>
      <w:r>
        <w:rPr>
          <w:lang w:eastAsia="en-GB"/>
        </w:rPr>
        <w:tab/>
      </w:r>
      <w:r w:rsidR="00974F6B">
        <w:rPr>
          <w:lang w:val="en-AU" w:eastAsia="en-GB"/>
        </w:rPr>
        <w:t>Neonatal and paediatric</w:t>
      </w:r>
      <w:r w:rsidRPr="00EB4620">
        <w:rPr>
          <w:lang w:eastAsia="en-GB"/>
        </w:rPr>
        <w:t xml:space="preserve"> patients</w:t>
      </w:r>
      <w:bookmarkEnd w:id="105"/>
      <w:r w:rsidRPr="00EB4620">
        <w:rPr>
          <w:lang w:eastAsia="en-GB"/>
        </w:rPr>
        <w:t xml:space="preserve"> </w:t>
      </w:r>
      <w:r w:rsidR="001944D9">
        <w:rPr>
          <w:lang w:eastAsia="en-GB"/>
        </w:rPr>
        <w:t>undergoing</w:t>
      </w:r>
      <w:r w:rsidRPr="00EB4620">
        <w:rPr>
          <w:lang w:eastAsia="en-GB"/>
        </w:rPr>
        <w:t xml:space="preserve"> surgery</w:t>
      </w:r>
      <w:r>
        <w:rPr>
          <w:lang w:eastAsia="en-GB"/>
        </w:rPr>
        <w:t xml:space="preserve"> </w:t>
      </w:r>
      <w:r>
        <w:t>– effect of RBC transfusion on patient outcomes</w:t>
      </w:r>
      <w:bookmarkEnd w:id="106"/>
      <w:bookmarkEnd w:id="107"/>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E66069" w:rsidRPr="00A21FE4" w14:paraId="653AD8AE"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397AC7A8" w14:textId="6B50FE51" w:rsidR="00E66069" w:rsidRPr="00A21FE4" w:rsidRDefault="00E66069" w:rsidP="006D11A2">
            <w:pPr>
              <w:pStyle w:val="PP-heading"/>
            </w:pPr>
            <w:r w:rsidRPr="00A21FE4">
              <w:t>Evidence statements – surgical (</w:t>
            </w:r>
            <w:r w:rsidR="006D11A2">
              <w:rPr>
                <w:lang w:val="en-AU"/>
              </w:rPr>
              <w:t xml:space="preserve">RBC </w:t>
            </w:r>
            <w:r w:rsidRPr="00A21FE4">
              <w:t>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64A55B1"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CC64316"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D089063"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C98074D" w14:textId="77777777" w:rsidR="00E66069" w:rsidRPr="00A21FE4" w:rsidRDefault="00E66069" w:rsidP="00AB4C4F">
            <w:pPr>
              <w:ind w:left="113" w:right="113"/>
              <w:jc w:val="center"/>
              <w:rPr>
                <w:b/>
              </w:rPr>
            </w:pPr>
            <w:r w:rsidRPr="00A21FE4">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F5CC693" w14:textId="77777777" w:rsidR="00E66069" w:rsidRPr="00A21FE4" w:rsidRDefault="00E66069" w:rsidP="00AB4C4F">
            <w:pPr>
              <w:ind w:left="113" w:right="113"/>
              <w:jc w:val="center"/>
              <w:rPr>
                <w:b/>
              </w:rPr>
            </w:pPr>
            <w:r w:rsidRPr="00A21FE4">
              <w:rPr>
                <w:b/>
              </w:rPr>
              <w:t>Applicability</w:t>
            </w:r>
          </w:p>
        </w:tc>
      </w:tr>
      <w:tr w:rsidR="00E66069" w:rsidRPr="00A21FE4" w14:paraId="432A907B" w14:textId="77777777" w:rsidTr="00AB4C4F">
        <w:trPr>
          <w:cantSplit/>
        </w:trPr>
        <w:tc>
          <w:tcPr>
            <w:tcW w:w="851" w:type="dxa"/>
          </w:tcPr>
          <w:p w14:paraId="1D977EE7" w14:textId="77777777" w:rsidR="00E66069" w:rsidRPr="00A21FE4" w:rsidRDefault="00E66069" w:rsidP="00AB4C4F">
            <w:pPr>
              <w:pStyle w:val="Tabletextnoindent"/>
              <w:numPr>
                <w:ilvl w:val="0"/>
                <w:numId w:val="0"/>
              </w:numPr>
            </w:pPr>
            <w:r w:rsidRPr="00016210">
              <w:t>ES1.27</w:t>
            </w:r>
          </w:p>
        </w:tc>
        <w:tc>
          <w:tcPr>
            <w:tcW w:w="3750" w:type="dxa"/>
          </w:tcPr>
          <w:p w14:paraId="57EC28C7" w14:textId="77777777" w:rsidR="00E66069" w:rsidRPr="00A21FE4" w:rsidRDefault="00E66069" w:rsidP="00AB4C4F">
            <w:pPr>
              <w:pStyle w:val="ES-table"/>
            </w:pPr>
            <w:r w:rsidRPr="00A21FE4">
              <w:t>In neonatal patients undergoing surgery, the effect of RBC transfusion compared with no transfusion on mortality is unknown.</w:t>
            </w:r>
          </w:p>
        </w:tc>
        <w:tc>
          <w:tcPr>
            <w:tcW w:w="809" w:type="dxa"/>
          </w:tcPr>
          <w:p w14:paraId="19E5315D" w14:textId="77777777" w:rsidR="00E66069" w:rsidRPr="00A21FE4" w:rsidRDefault="00E66069" w:rsidP="00AB4C4F">
            <w:pPr>
              <w:pStyle w:val="T-ABCD"/>
            </w:pPr>
            <w:r w:rsidRPr="00A21FE4">
              <w:t>NA</w:t>
            </w:r>
          </w:p>
        </w:tc>
        <w:tc>
          <w:tcPr>
            <w:tcW w:w="809" w:type="dxa"/>
          </w:tcPr>
          <w:p w14:paraId="08A372D0" w14:textId="77777777" w:rsidR="00E66069" w:rsidRPr="00A21FE4" w:rsidRDefault="00E66069" w:rsidP="00AB4C4F">
            <w:pPr>
              <w:pStyle w:val="T-ABCD"/>
            </w:pPr>
            <w:r w:rsidRPr="00A21FE4">
              <w:t>NA</w:t>
            </w:r>
          </w:p>
        </w:tc>
        <w:tc>
          <w:tcPr>
            <w:tcW w:w="809" w:type="dxa"/>
          </w:tcPr>
          <w:p w14:paraId="0178479E" w14:textId="77777777" w:rsidR="00E66069" w:rsidRPr="00A21FE4" w:rsidRDefault="00E66069" w:rsidP="00AB4C4F">
            <w:pPr>
              <w:pStyle w:val="T-ABCD"/>
            </w:pPr>
            <w:r w:rsidRPr="00A21FE4">
              <w:t>NA</w:t>
            </w:r>
          </w:p>
        </w:tc>
        <w:tc>
          <w:tcPr>
            <w:tcW w:w="809" w:type="dxa"/>
          </w:tcPr>
          <w:p w14:paraId="7E6038C2" w14:textId="77777777" w:rsidR="00E66069" w:rsidRPr="00A21FE4" w:rsidRDefault="00E66069" w:rsidP="00AB4C4F">
            <w:pPr>
              <w:pStyle w:val="T-ABCD"/>
            </w:pPr>
            <w:r w:rsidRPr="00A21FE4">
              <w:t>NA</w:t>
            </w:r>
          </w:p>
        </w:tc>
        <w:tc>
          <w:tcPr>
            <w:tcW w:w="810" w:type="dxa"/>
          </w:tcPr>
          <w:p w14:paraId="4C6E6BCE" w14:textId="77777777" w:rsidR="00E66069" w:rsidRPr="00A21FE4" w:rsidRDefault="00E66069" w:rsidP="00AB4C4F">
            <w:pPr>
              <w:pStyle w:val="T-ABCD"/>
            </w:pPr>
            <w:r w:rsidRPr="00A21FE4">
              <w:t xml:space="preserve">NA </w:t>
            </w:r>
          </w:p>
        </w:tc>
      </w:tr>
      <w:tr w:rsidR="00E66069" w:rsidRPr="00A21FE4" w14:paraId="1CBB6E83" w14:textId="77777777" w:rsidTr="00AB4C4F">
        <w:trPr>
          <w:cantSplit/>
        </w:trPr>
        <w:tc>
          <w:tcPr>
            <w:tcW w:w="851" w:type="dxa"/>
          </w:tcPr>
          <w:p w14:paraId="52F5A5EF" w14:textId="77777777" w:rsidR="00E66069" w:rsidRPr="00A21FE4" w:rsidRDefault="00E66069" w:rsidP="00AB4C4F">
            <w:pPr>
              <w:pStyle w:val="Tabletextnoindent"/>
              <w:numPr>
                <w:ilvl w:val="0"/>
                <w:numId w:val="0"/>
              </w:numPr>
            </w:pPr>
            <w:r w:rsidRPr="00016210">
              <w:t>ES1.28</w:t>
            </w:r>
          </w:p>
        </w:tc>
        <w:tc>
          <w:tcPr>
            <w:tcW w:w="3750" w:type="dxa"/>
          </w:tcPr>
          <w:p w14:paraId="34EBA734" w14:textId="77777777" w:rsidR="00E66069" w:rsidRPr="00A21FE4" w:rsidRDefault="00E66069" w:rsidP="00AB4C4F">
            <w:pPr>
              <w:pStyle w:val="ES-table"/>
            </w:pPr>
            <w:r w:rsidRPr="00A21FE4">
              <w:t>In paediatric patients (&lt;16 kg) undergoing cardiac surgery, the effect of RBC transfusion compared with no transfusion on mortality is uncertain.</w:t>
            </w:r>
          </w:p>
          <w:p w14:paraId="4F7A4683" w14:textId="77777777" w:rsidR="00E66069" w:rsidRPr="00A21FE4" w:rsidRDefault="00E66069" w:rsidP="00AB4C4F">
            <w:pPr>
              <w:pStyle w:val="ES-notes"/>
            </w:pPr>
            <w:r w:rsidRPr="00A21FE4">
              <w:t>(See evidence matrix D1.N in Volume 2 of the technical report.)</w:t>
            </w:r>
          </w:p>
        </w:tc>
        <w:tc>
          <w:tcPr>
            <w:tcW w:w="809" w:type="dxa"/>
          </w:tcPr>
          <w:p w14:paraId="20EFFA84" w14:textId="77777777" w:rsidR="00E66069" w:rsidRPr="00A21FE4" w:rsidRDefault="00E66069" w:rsidP="00AB4C4F">
            <w:pPr>
              <w:pStyle w:val="T-ABCD"/>
            </w:pPr>
            <w:r w:rsidRPr="00A21FE4">
              <w:sym w:font="Symbol" w:char="F0D6"/>
            </w:r>
          </w:p>
        </w:tc>
        <w:tc>
          <w:tcPr>
            <w:tcW w:w="809" w:type="dxa"/>
          </w:tcPr>
          <w:p w14:paraId="316A5526" w14:textId="77777777" w:rsidR="00E66069" w:rsidRPr="00A21FE4" w:rsidRDefault="00E66069" w:rsidP="00AB4C4F">
            <w:pPr>
              <w:pStyle w:val="T-ABCD"/>
              <w:ind w:left="0"/>
            </w:pPr>
            <w:r w:rsidRPr="00A21FE4">
              <w:t>NA</w:t>
            </w:r>
          </w:p>
        </w:tc>
        <w:tc>
          <w:tcPr>
            <w:tcW w:w="809" w:type="dxa"/>
          </w:tcPr>
          <w:p w14:paraId="57515950" w14:textId="77777777" w:rsidR="00E66069" w:rsidRPr="00A21FE4" w:rsidRDefault="00E66069" w:rsidP="00AB4C4F">
            <w:pPr>
              <w:pStyle w:val="T-ABCD"/>
            </w:pPr>
            <w:r w:rsidRPr="00A21FE4">
              <w:t>NA</w:t>
            </w:r>
          </w:p>
        </w:tc>
        <w:tc>
          <w:tcPr>
            <w:tcW w:w="809" w:type="dxa"/>
          </w:tcPr>
          <w:p w14:paraId="66DC28FA" w14:textId="77777777" w:rsidR="00E66069" w:rsidRPr="00A21FE4" w:rsidRDefault="00E66069" w:rsidP="00AB4C4F">
            <w:pPr>
              <w:pStyle w:val="T-ABCD"/>
            </w:pPr>
            <w:r w:rsidRPr="00A21FE4">
              <w:sym w:font="Symbol" w:char="F0D6"/>
            </w:r>
            <w:r w:rsidRPr="00A21FE4">
              <w:sym w:font="Symbol" w:char="F0D6"/>
            </w:r>
          </w:p>
        </w:tc>
        <w:tc>
          <w:tcPr>
            <w:tcW w:w="810" w:type="dxa"/>
          </w:tcPr>
          <w:p w14:paraId="271CF3A3" w14:textId="77777777" w:rsidR="00E66069" w:rsidRPr="00A21FE4" w:rsidRDefault="00E66069" w:rsidP="00AB4C4F">
            <w:pPr>
              <w:pStyle w:val="T-ABCD"/>
            </w:pPr>
            <w:r w:rsidRPr="00A21FE4">
              <w:sym w:font="Symbol" w:char="F0D6"/>
            </w:r>
          </w:p>
        </w:tc>
      </w:tr>
      <w:tr w:rsidR="00E66069" w:rsidRPr="00A21FE4" w14:paraId="5CADBD5D" w14:textId="77777777" w:rsidTr="00AB4C4F">
        <w:trPr>
          <w:cantSplit/>
        </w:trPr>
        <w:tc>
          <w:tcPr>
            <w:tcW w:w="851" w:type="dxa"/>
          </w:tcPr>
          <w:p w14:paraId="5D8B5734" w14:textId="77777777" w:rsidR="00E66069" w:rsidRPr="00A21FE4" w:rsidRDefault="00E66069" w:rsidP="00AB4C4F">
            <w:pPr>
              <w:pStyle w:val="Tabletextnoindent"/>
              <w:numPr>
                <w:ilvl w:val="0"/>
                <w:numId w:val="0"/>
              </w:numPr>
            </w:pPr>
            <w:r w:rsidRPr="00016210">
              <w:t>ES1.29</w:t>
            </w:r>
          </w:p>
        </w:tc>
        <w:tc>
          <w:tcPr>
            <w:tcW w:w="3750" w:type="dxa"/>
          </w:tcPr>
          <w:p w14:paraId="459D47E6" w14:textId="77777777" w:rsidR="00E66069" w:rsidRPr="00A21FE4" w:rsidRDefault="00E66069" w:rsidP="00AB4C4F">
            <w:pPr>
              <w:pStyle w:val="ES-table"/>
            </w:pPr>
            <w:r w:rsidRPr="00A21FE4">
              <w:t>In paediatric patients who have received a liver transplant, the effect of RBC transfusion compared with no transfusion on mortality is uncertain.</w:t>
            </w:r>
          </w:p>
          <w:p w14:paraId="3DDC0C82" w14:textId="77777777" w:rsidR="00E66069" w:rsidRPr="00A21FE4" w:rsidRDefault="00E66069" w:rsidP="00AB4C4F">
            <w:pPr>
              <w:pStyle w:val="ES-notes"/>
            </w:pPr>
            <w:r w:rsidRPr="00A21FE4">
              <w:t>(See evidence matrix D1.O in Volume 2 of the technical report.)</w:t>
            </w:r>
          </w:p>
        </w:tc>
        <w:tc>
          <w:tcPr>
            <w:tcW w:w="809" w:type="dxa"/>
          </w:tcPr>
          <w:p w14:paraId="3DD8BBC8" w14:textId="77777777" w:rsidR="00E66069" w:rsidRPr="00A21FE4" w:rsidRDefault="00E66069" w:rsidP="00AB4C4F">
            <w:pPr>
              <w:pStyle w:val="T-ABCD"/>
            </w:pPr>
            <w:r w:rsidRPr="00A21FE4">
              <w:sym w:font="Symbol" w:char="F0D6"/>
            </w:r>
          </w:p>
        </w:tc>
        <w:tc>
          <w:tcPr>
            <w:tcW w:w="809" w:type="dxa"/>
          </w:tcPr>
          <w:p w14:paraId="3EA8B85B" w14:textId="77777777" w:rsidR="00E66069" w:rsidRPr="00A21FE4" w:rsidRDefault="00E66069" w:rsidP="00AB4C4F">
            <w:pPr>
              <w:pStyle w:val="T-ABCD"/>
            </w:pPr>
            <w:r w:rsidRPr="00A21FE4">
              <w:t>NA</w:t>
            </w:r>
          </w:p>
        </w:tc>
        <w:tc>
          <w:tcPr>
            <w:tcW w:w="809" w:type="dxa"/>
          </w:tcPr>
          <w:p w14:paraId="69B54696" w14:textId="77777777" w:rsidR="00E66069" w:rsidRPr="00A21FE4" w:rsidRDefault="00E66069" w:rsidP="00AB4C4F">
            <w:pPr>
              <w:pStyle w:val="T-ABCD"/>
            </w:pPr>
            <w:r w:rsidRPr="00A21FE4">
              <w:t>NA</w:t>
            </w:r>
          </w:p>
        </w:tc>
        <w:tc>
          <w:tcPr>
            <w:tcW w:w="809" w:type="dxa"/>
          </w:tcPr>
          <w:p w14:paraId="6A61C5ED" w14:textId="77777777" w:rsidR="00E66069" w:rsidRPr="00A21FE4" w:rsidRDefault="00E66069" w:rsidP="00AB4C4F">
            <w:pPr>
              <w:pStyle w:val="T-ABCD"/>
            </w:pPr>
            <w:r w:rsidRPr="00A21FE4">
              <w:sym w:font="Symbol" w:char="F0D6"/>
            </w:r>
            <w:r w:rsidRPr="00A21FE4">
              <w:sym w:font="Symbol" w:char="F0D6"/>
            </w:r>
          </w:p>
        </w:tc>
        <w:tc>
          <w:tcPr>
            <w:tcW w:w="810" w:type="dxa"/>
          </w:tcPr>
          <w:p w14:paraId="43F30258" w14:textId="77777777" w:rsidR="00E66069" w:rsidRPr="00A21FE4" w:rsidRDefault="00E66069" w:rsidP="00AB4C4F">
            <w:pPr>
              <w:pStyle w:val="T-ABCD"/>
            </w:pPr>
            <w:r w:rsidRPr="00A21FE4">
              <w:sym w:font="Symbol" w:char="F0D6"/>
            </w:r>
          </w:p>
        </w:tc>
      </w:tr>
      <w:tr w:rsidR="00E66069" w:rsidRPr="00A21FE4" w14:paraId="568D0DBB" w14:textId="77777777" w:rsidTr="00AB4C4F">
        <w:trPr>
          <w:cantSplit/>
        </w:trPr>
        <w:tc>
          <w:tcPr>
            <w:tcW w:w="851" w:type="dxa"/>
          </w:tcPr>
          <w:p w14:paraId="104678FF" w14:textId="77777777" w:rsidR="00E66069" w:rsidRPr="00A21FE4" w:rsidRDefault="00E66069" w:rsidP="00AB4C4F">
            <w:pPr>
              <w:pStyle w:val="Tabletextnoindent"/>
              <w:numPr>
                <w:ilvl w:val="0"/>
                <w:numId w:val="0"/>
              </w:numPr>
            </w:pPr>
            <w:r w:rsidRPr="00016210">
              <w:t>ES1.30</w:t>
            </w:r>
          </w:p>
        </w:tc>
        <w:tc>
          <w:tcPr>
            <w:tcW w:w="3750" w:type="dxa"/>
          </w:tcPr>
          <w:p w14:paraId="7A9C8ACD" w14:textId="77777777" w:rsidR="00E66069" w:rsidRPr="00A21FE4" w:rsidRDefault="00E66069" w:rsidP="00AB4C4F">
            <w:pPr>
              <w:pStyle w:val="ES-table"/>
            </w:pPr>
            <w:r w:rsidRPr="00A21FE4">
              <w:t>In neonatal and paediatric patients undergoing surgery, the effect of RBC transfusion compared with no transfusion on new or progressive MODS is unknown.</w:t>
            </w:r>
          </w:p>
        </w:tc>
        <w:tc>
          <w:tcPr>
            <w:tcW w:w="809" w:type="dxa"/>
          </w:tcPr>
          <w:p w14:paraId="6285D534" w14:textId="77777777" w:rsidR="00E66069" w:rsidRPr="00A21FE4" w:rsidRDefault="00E66069" w:rsidP="00AB4C4F">
            <w:pPr>
              <w:pStyle w:val="T-ABCD"/>
            </w:pPr>
            <w:r w:rsidRPr="00A21FE4">
              <w:t>NA</w:t>
            </w:r>
          </w:p>
        </w:tc>
        <w:tc>
          <w:tcPr>
            <w:tcW w:w="809" w:type="dxa"/>
          </w:tcPr>
          <w:p w14:paraId="43511A1C" w14:textId="77777777" w:rsidR="00E66069" w:rsidRPr="00A21FE4" w:rsidRDefault="00E66069" w:rsidP="00AB4C4F">
            <w:pPr>
              <w:pStyle w:val="T-ABCD"/>
            </w:pPr>
            <w:r w:rsidRPr="00A21FE4">
              <w:t>NA</w:t>
            </w:r>
          </w:p>
        </w:tc>
        <w:tc>
          <w:tcPr>
            <w:tcW w:w="809" w:type="dxa"/>
          </w:tcPr>
          <w:p w14:paraId="1963856E" w14:textId="77777777" w:rsidR="00E66069" w:rsidRPr="00A21FE4" w:rsidRDefault="00E66069" w:rsidP="00AB4C4F">
            <w:pPr>
              <w:pStyle w:val="T-ABCD"/>
            </w:pPr>
            <w:r w:rsidRPr="00A21FE4">
              <w:t>NA</w:t>
            </w:r>
          </w:p>
        </w:tc>
        <w:tc>
          <w:tcPr>
            <w:tcW w:w="809" w:type="dxa"/>
          </w:tcPr>
          <w:p w14:paraId="1A029DF6" w14:textId="77777777" w:rsidR="00E66069" w:rsidRPr="00A21FE4" w:rsidRDefault="00E66069" w:rsidP="00AB4C4F">
            <w:pPr>
              <w:pStyle w:val="T-ABCD"/>
            </w:pPr>
            <w:r w:rsidRPr="00A21FE4">
              <w:t>NA</w:t>
            </w:r>
          </w:p>
        </w:tc>
        <w:tc>
          <w:tcPr>
            <w:tcW w:w="810" w:type="dxa"/>
          </w:tcPr>
          <w:p w14:paraId="7172A767" w14:textId="77777777" w:rsidR="00E66069" w:rsidRPr="00A21FE4" w:rsidRDefault="00E66069" w:rsidP="00AB4C4F">
            <w:pPr>
              <w:pStyle w:val="T-ABCD"/>
            </w:pPr>
            <w:r w:rsidRPr="00A21FE4">
              <w:t xml:space="preserve">NA </w:t>
            </w:r>
          </w:p>
        </w:tc>
      </w:tr>
      <w:tr w:rsidR="00E66069" w:rsidRPr="00A21FE4" w14:paraId="32C3A085" w14:textId="77777777" w:rsidTr="00AB4C4F">
        <w:trPr>
          <w:cantSplit/>
        </w:trPr>
        <w:tc>
          <w:tcPr>
            <w:tcW w:w="851" w:type="dxa"/>
          </w:tcPr>
          <w:p w14:paraId="7C54ADC0" w14:textId="77777777" w:rsidR="00E66069" w:rsidRPr="00A21FE4" w:rsidRDefault="00E66069" w:rsidP="00AB4C4F">
            <w:pPr>
              <w:pStyle w:val="Tabletextnoindent"/>
              <w:numPr>
                <w:ilvl w:val="0"/>
                <w:numId w:val="0"/>
              </w:numPr>
            </w:pPr>
            <w:r w:rsidRPr="00016210">
              <w:t>ES1.31</w:t>
            </w:r>
          </w:p>
        </w:tc>
        <w:tc>
          <w:tcPr>
            <w:tcW w:w="3750" w:type="dxa"/>
          </w:tcPr>
          <w:p w14:paraId="579A9164" w14:textId="77777777" w:rsidR="00E66069" w:rsidRPr="00A21FE4" w:rsidRDefault="00E66069" w:rsidP="00AB4C4F">
            <w:pPr>
              <w:pStyle w:val="ES-table"/>
            </w:pPr>
            <w:r w:rsidRPr="00A21FE4">
              <w:t>In neonatal and paediatric patients undergoing surgery, the effect of restrictive RBC transfusion compared with liberal RBC transfusion on mortality is uncertain.</w:t>
            </w:r>
          </w:p>
          <w:p w14:paraId="5FC87FDE" w14:textId="77777777" w:rsidR="00E66069" w:rsidRPr="00A21FE4" w:rsidRDefault="00E66069" w:rsidP="00AB4C4F">
            <w:pPr>
              <w:pStyle w:val="ES-notes"/>
            </w:pPr>
            <w:r w:rsidRPr="00A21FE4">
              <w:t>(See evidence matrix D1.P in Volume 2 of the technical report.)</w:t>
            </w:r>
          </w:p>
        </w:tc>
        <w:tc>
          <w:tcPr>
            <w:tcW w:w="809" w:type="dxa"/>
          </w:tcPr>
          <w:p w14:paraId="29DE5FFC" w14:textId="77777777" w:rsidR="00E66069" w:rsidRPr="00A21FE4" w:rsidRDefault="00E66069" w:rsidP="00AB4C4F">
            <w:pPr>
              <w:pStyle w:val="T-ABCD"/>
            </w:pPr>
            <w:r w:rsidRPr="00A21FE4">
              <w:sym w:font="Symbol" w:char="F0D6"/>
            </w:r>
            <w:r w:rsidRPr="00A21FE4">
              <w:sym w:font="Symbol" w:char="F0D6"/>
            </w:r>
          </w:p>
        </w:tc>
        <w:tc>
          <w:tcPr>
            <w:tcW w:w="809" w:type="dxa"/>
          </w:tcPr>
          <w:p w14:paraId="53151572"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09" w:type="dxa"/>
          </w:tcPr>
          <w:p w14:paraId="6AE49A84" w14:textId="77777777" w:rsidR="00E66069" w:rsidRPr="00A21FE4" w:rsidRDefault="00E66069" w:rsidP="00AB4C4F">
            <w:pPr>
              <w:pStyle w:val="T-ABCD"/>
            </w:pPr>
            <w:r w:rsidRPr="00A21FE4">
              <w:t>NA</w:t>
            </w:r>
          </w:p>
        </w:tc>
        <w:tc>
          <w:tcPr>
            <w:tcW w:w="809" w:type="dxa"/>
          </w:tcPr>
          <w:p w14:paraId="5F08AD91"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6AF77801" w14:textId="77777777" w:rsidR="00E66069" w:rsidRPr="00A21FE4" w:rsidRDefault="00E66069" w:rsidP="00AB4C4F">
            <w:pPr>
              <w:pStyle w:val="T-ABCD"/>
            </w:pPr>
            <w:r w:rsidRPr="00A21FE4">
              <w:sym w:font="Symbol" w:char="F0D6"/>
            </w:r>
            <w:r w:rsidRPr="00A21FE4">
              <w:sym w:font="Symbol" w:char="F0D6"/>
            </w:r>
          </w:p>
        </w:tc>
      </w:tr>
      <w:tr w:rsidR="00E66069" w:rsidRPr="00A21FE4" w14:paraId="64ADFD14" w14:textId="77777777" w:rsidTr="00AB4C4F">
        <w:trPr>
          <w:cantSplit/>
        </w:trPr>
        <w:tc>
          <w:tcPr>
            <w:tcW w:w="851" w:type="dxa"/>
          </w:tcPr>
          <w:p w14:paraId="15F1E65C" w14:textId="77777777" w:rsidR="00E66069" w:rsidRPr="00A21FE4" w:rsidRDefault="00E66069" w:rsidP="00AB4C4F">
            <w:pPr>
              <w:pStyle w:val="Tabletextnoindent"/>
              <w:numPr>
                <w:ilvl w:val="0"/>
                <w:numId w:val="0"/>
              </w:numPr>
            </w:pPr>
            <w:r w:rsidRPr="00016210">
              <w:t>ES1.32</w:t>
            </w:r>
          </w:p>
        </w:tc>
        <w:tc>
          <w:tcPr>
            <w:tcW w:w="3750" w:type="dxa"/>
          </w:tcPr>
          <w:p w14:paraId="7C1F1B4E" w14:textId="77777777" w:rsidR="00E66069" w:rsidRPr="00A21FE4" w:rsidRDefault="00E66069" w:rsidP="00AB4C4F">
            <w:pPr>
              <w:pStyle w:val="ES-table"/>
            </w:pPr>
            <w:r w:rsidRPr="00A21FE4">
              <w:t>In neonatal and paediatric patients undergoing surgery, the effect of restrictive RBC transfusion compared with liberal RBC transfusion on new or progressive MODS is uncertain.</w:t>
            </w:r>
          </w:p>
          <w:p w14:paraId="50676EE7" w14:textId="77777777" w:rsidR="00E66069" w:rsidRPr="00A21FE4" w:rsidRDefault="00E66069" w:rsidP="00AB4C4F">
            <w:pPr>
              <w:pStyle w:val="Tabletext0"/>
            </w:pPr>
            <w:r w:rsidRPr="00A21FE4">
              <w:rPr>
                <w:sz w:val="18"/>
                <w:szCs w:val="18"/>
              </w:rPr>
              <w:t>(See evidence matrix D1.Q in Volume 2 of the technical report.)</w:t>
            </w:r>
          </w:p>
        </w:tc>
        <w:tc>
          <w:tcPr>
            <w:tcW w:w="809" w:type="dxa"/>
          </w:tcPr>
          <w:p w14:paraId="2B167F97" w14:textId="77777777" w:rsidR="00E66069" w:rsidRPr="00A21FE4" w:rsidRDefault="00E66069" w:rsidP="00AB4C4F">
            <w:pPr>
              <w:pStyle w:val="T-ABCD"/>
            </w:pPr>
            <w:r w:rsidRPr="00A21FE4">
              <w:sym w:font="Symbol" w:char="F0D6"/>
            </w:r>
            <w:r w:rsidRPr="00A21FE4">
              <w:sym w:font="Symbol" w:char="F0D6"/>
            </w:r>
          </w:p>
        </w:tc>
        <w:tc>
          <w:tcPr>
            <w:tcW w:w="809" w:type="dxa"/>
          </w:tcPr>
          <w:p w14:paraId="19299E5F" w14:textId="77777777" w:rsidR="00E66069" w:rsidRPr="00A21FE4" w:rsidRDefault="00E66069" w:rsidP="00AB4C4F">
            <w:pPr>
              <w:pStyle w:val="T-ABCD"/>
              <w:ind w:left="0"/>
            </w:pPr>
            <w:r w:rsidRPr="00A21FE4">
              <w:t>NA</w:t>
            </w:r>
          </w:p>
        </w:tc>
        <w:tc>
          <w:tcPr>
            <w:tcW w:w="809" w:type="dxa"/>
          </w:tcPr>
          <w:p w14:paraId="6CAD662B" w14:textId="77777777" w:rsidR="00E66069" w:rsidRPr="00A21FE4" w:rsidRDefault="00E66069" w:rsidP="00AB4C4F">
            <w:pPr>
              <w:pStyle w:val="T-ABCD"/>
            </w:pPr>
            <w:r w:rsidRPr="00A21FE4">
              <w:t>NA</w:t>
            </w:r>
          </w:p>
        </w:tc>
        <w:tc>
          <w:tcPr>
            <w:tcW w:w="809" w:type="dxa"/>
          </w:tcPr>
          <w:p w14:paraId="533580A6"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4695320D" w14:textId="77777777" w:rsidR="00E66069" w:rsidRPr="00A21FE4" w:rsidRDefault="00E66069" w:rsidP="00AB4C4F">
            <w:pPr>
              <w:pStyle w:val="T-ABCD"/>
            </w:pPr>
            <w:r w:rsidRPr="00A21FE4">
              <w:sym w:font="Symbol" w:char="F0D6"/>
            </w:r>
            <w:r w:rsidRPr="00A21FE4">
              <w:sym w:font="Symbol" w:char="F0D6"/>
            </w:r>
          </w:p>
        </w:tc>
      </w:tr>
      <w:tr w:rsidR="00E66069" w:rsidRPr="00A21FE4" w14:paraId="4DD2CE0E" w14:textId="77777777" w:rsidTr="00AB4C4F">
        <w:trPr>
          <w:cantSplit/>
        </w:trPr>
        <w:tc>
          <w:tcPr>
            <w:tcW w:w="8647" w:type="dxa"/>
            <w:gridSpan w:val="7"/>
          </w:tcPr>
          <w:p w14:paraId="01D2D8BD" w14:textId="77777777" w:rsidR="00E66069" w:rsidRPr="00A21FE4" w:rsidRDefault="00E66069" w:rsidP="00AB4C4F">
            <w:pPr>
              <w:pStyle w:val="ES-notes"/>
            </w:pPr>
            <w:r w:rsidRPr="00A21FE4">
              <w:t xml:space="preserve">ES, evidence statement; MODS, multiple organ dysfunction syndrome; RBC, red blood cell </w:t>
            </w:r>
          </w:p>
          <w:p w14:paraId="10D1706D"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2B37D25E" w14:textId="77777777" w:rsidR="00E66069" w:rsidRPr="00A21FE4" w:rsidRDefault="00E66069" w:rsidP="00E66069"/>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08"/>
        <w:gridCol w:w="7540"/>
      </w:tblGrid>
      <w:tr w:rsidR="00E66069" w:rsidRPr="00A21FE4" w14:paraId="4473662E" w14:textId="77777777" w:rsidTr="006E63D2">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tcPr>
          <w:p w14:paraId="178E2D7A" w14:textId="5062537C" w:rsidR="00E66069" w:rsidRPr="00974F6B" w:rsidRDefault="00E66069" w:rsidP="006D11A2">
            <w:pPr>
              <w:pStyle w:val="PP-heading"/>
              <w:rPr>
                <w:lang w:val="en-AU"/>
              </w:rPr>
            </w:pPr>
            <w:r w:rsidRPr="00A21FE4">
              <w:t xml:space="preserve">Recommendation – </w:t>
            </w:r>
            <w:r w:rsidR="006D11A2" w:rsidRPr="00A21FE4">
              <w:t>surgical (</w:t>
            </w:r>
            <w:r w:rsidR="006D11A2">
              <w:rPr>
                <w:lang w:val="en-AU"/>
              </w:rPr>
              <w:t>RBC</w:t>
            </w:r>
            <w:r w:rsidR="006D11A2" w:rsidRPr="00A21FE4">
              <w:t xml:space="preserve"> transfusion)</w:t>
            </w:r>
          </w:p>
        </w:tc>
      </w:tr>
      <w:tr w:rsidR="00E66069" w:rsidRPr="00A21FE4" w14:paraId="0ADDCADB" w14:textId="77777777" w:rsidTr="00AB4C4F">
        <w:tc>
          <w:tcPr>
            <w:tcW w:w="1108" w:type="dxa"/>
            <w:tcBorders>
              <w:right w:val="single" w:sz="4" w:space="0" w:color="auto"/>
            </w:tcBorders>
            <w:shd w:val="clear" w:color="auto" w:fill="auto"/>
          </w:tcPr>
          <w:p w14:paraId="1A23C9C8" w14:textId="77777777" w:rsidR="00E66069" w:rsidRPr="00A21FE4" w:rsidRDefault="00E66069" w:rsidP="004361C8">
            <w:pPr>
              <w:pStyle w:val="PP"/>
            </w:pPr>
            <w:r w:rsidRPr="00A21FE4">
              <w:t>R</w:t>
            </w:r>
            <w:r>
              <w:t>1</w:t>
            </w:r>
            <w:r w:rsidRPr="00A21FE4">
              <w:br/>
              <w:t>(Grade C)</w:t>
            </w:r>
          </w:p>
        </w:tc>
        <w:tc>
          <w:tcPr>
            <w:tcW w:w="7540" w:type="dxa"/>
            <w:tcBorders>
              <w:left w:val="single" w:sz="4" w:space="0" w:color="auto"/>
            </w:tcBorders>
            <w:shd w:val="clear" w:color="auto" w:fill="auto"/>
          </w:tcPr>
          <w:p w14:paraId="6A00B3AD" w14:textId="77777777" w:rsidR="00E66069" w:rsidRPr="00A21FE4" w:rsidRDefault="00E66069" w:rsidP="004361C8">
            <w:pPr>
              <w:pStyle w:val="PP"/>
            </w:pPr>
            <w:r w:rsidRPr="00A21FE4">
              <w:t>In paediatric patients, including those who are critically ill, a restrictive transfusion strategy should be employed.</w:t>
            </w:r>
            <w:r w:rsidRPr="00A21FE4">
              <w:rPr>
                <w:vertAlign w:val="superscript"/>
              </w:rPr>
              <w:t>a</w:t>
            </w:r>
            <w:r w:rsidRPr="00A21FE4">
              <w:t xml:space="preserve"> Higher Hb thresholds are appropriate in very low birth weight neonates.</w:t>
            </w:r>
            <w:r w:rsidRPr="00A21FE4">
              <w:rPr>
                <w:vertAlign w:val="superscript"/>
              </w:rPr>
              <w:t xml:space="preserve">b </w:t>
            </w:r>
          </w:p>
          <w:p w14:paraId="37F9F2A1" w14:textId="6B67AE31" w:rsidR="00E66069" w:rsidRPr="00A21FE4" w:rsidRDefault="00E66069" w:rsidP="00B26915">
            <w:pPr>
              <w:pStyle w:val="PP-note"/>
            </w:pPr>
            <w:r w:rsidRPr="00A21FE4">
              <w:rPr>
                <w:vertAlign w:val="superscript"/>
              </w:rPr>
              <w:t xml:space="preserve">a </w:t>
            </w:r>
            <w:r w:rsidRPr="00A21FE4">
              <w:t>See PP6 for guidance on a restrictive transfusion strategy.</w:t>
            </w:r>
            <w:r w:rsidRPr="00A21FE4">
              <w:br/>
            </w:r>
            <w:r w:rsidRPr="00A21FE4">
              <w:rPr>
                <w:vertAlign w:val="superscript"/>
              </w:rPr>
              <w:t xml:space="preserve">b </w:t>
            </w:r>
            <w:r w:rsidRPr="00A21FE4">
              <w:t>See PP2</w:t>
            </w:r>
            <w:r w:rsidR="00B26915">
              <w:t xml:space="preserve"> and PP3</w:t>
            </w:r>
            <w:r w:rsidRPr="00A21FE4">
              <w:t xml:space="preserve"> for guidance for </w:t>
            </w:r>
            <w:r w:rsidR="00B26915">
              <w:t>preterm</w:t>
            </w:r>
            <w:r w:rsidRPr="00A21FE4">
              <w:t xml:space="preserve"> neonates.</w:t>
            </w:r>
          </w:p>
        </w:tc>
      </w:tr>
      <w:tr w:rsidR="00E66069" w:rsidRPr="00A21FE4" w14:paraId="38C63401"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tcPr>
          <w:p w14:paraId="79BBE828" w14:textId="0B8D6113" w:rsidR="00E66069" w:rsidRPr="00974F6B" w:rsidRDefault="00E66069" w:rsidP="006D11A2">
            <w:pPr>
              <w:pStyle w:val="PP-heading"/>
              <w:rPr>
                <w:lang w:val="en-AU"/>
              </w:rPr>
            </w:pPr>
            <w:r w:rsidRPr="00A21FE4">
              <w:t xml:space="preserve">Practice points – </w:t>
            </w:r>
            <w:r w:rsidR="006D11A2" w:rsidRPr="00A21FE4">
              <w:t>surgical (</w:t>
            </w:r>
            <w:r w:rsidR="006D11A2">
              <w:rPr>
                <w:lang w:val="en-AU"/>
              </w:rPr>
              <w:t>RBC</w:t>
            </w:r>
            <w:r w:rsidR="006D11A2" w:rsidRPr="00A21FE4">
              <w:t xml:space="preserve"> transfusion)</w:t>
            </w:r>
          </w:p>
        </w:tc>
      </w:tr>
      <w:tr w:rsidR="00E66069" w:rsidRPr="00A21FE4" w14:paraId="2063B023" w14:textId="77777777" w:rsidTr="00AB4C4F">
        <w:tc>
          <w:tcPr>
            <w:tcW w:w="1108" w:type="dxa"/>
            <w:tcBorders>
              <w:right w:val="single" w:sz="4" w:space="0" w:color="auto"/>
            </w:tcBorders>
            <w:shd w:val="clear" w:color="auto" w:fill="auto"/>
          </w:tcPr>
          <w:p w14:paraId="26C5CC61" w14:textId="77777777" w:rsidR="00E66069" w:rsidRPr="00A21FE4" w:rsidRDefault="00E66069" w:rsidP="004361C8">
            <w:pPr>
              <w:pStyle w:val="PP"/>
            </w:pPr>
            <w:r w:rsidRPr="00A21FE4">
              <w:t>PP1</w:t>
            </w:r>
          </w:p>
        </w:tc>
        <w:tc>
          <w:tcPr>
            <w:tcW w:w="7540" w:type="dxa"/>
            <w:tcBorders>
              <w:left w:val="single" w:sz="4" w:space="0" w:color="auto"/>
            </w:tcBorders>
            <w:shd w:val="clear" w:color="auto" w:fill="auto"/>
          </w:tcPr>
          <w:p w14:paraId="0D3E59B1" w14:textId="77777777" w:rsidR="00E66069" w:rsidRPr="00A21FE4" w:rsidRDefault="00E66069" w:rsidP="004361C8">
            <w:pPr>
              <w:pStyle w:val="PP"/>
            </w:pPr>
            <w:r w:rsidRPr="00A21FE4">
              <w:t>In neonatal and paediatric patients, the decision to give a RBC transfusion should not be dictated by a Hb concentration alone.</w:t>
            </w:r>
            <w:r w:rsidRPr="00A21FE4">
              <w:rPr>
                <w:vertAlign w:val="superscript"/>
              </w:rPr>
              <w:t>a</w:t>
            </w:r>
            <w:r w:rsidRPr="00A21FE4">
              <w:t xml:space="preserve"> The decision should also be based on assessment of the patient’s underlying condition, anaemia-related signs and symptoms, and response to previous transfusions. Underlying conditions that may influence the decision to transfuse include acquired or congenital cardiac disease, and severe respiratory disease.</w:t>
            </w:r>
          </w:p>
          <w:p w14:paraId="2C039479" w14:textId="058AEB97" w:rsidR="00E66069" w:rsidRPr="00A21FE4" w:rsidRDefault="00E66069" w:rsidP="00E62798">
            <w:pPr>
              <w:pStyle w:val="PP-note"/>
            </w:pPr>
            <w:r w:rsidRPr="00A21FE4">
              <w:rPr>
                <w:vertAlign w:val="superscript"/>
              </w:rPr>
              <w:t xml:space="preserve">a </w:t>
            </w:r>
            <w:r w:rsidR="00CE5AC9">
              <w:t>See</w:t>
            </w:r>
            <w:r w:rsidRPr="00A21FE4">
              <w:t xml:space="preserve"> PP1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p>
        </w:tc>
      </w:tr>
      <w:tr w:rsidR="00E66069" w:rsidRPr="00A21FE4" w14:paraId="59CDE035" w14:textId="77777777" w:rsidTr="00AB4C4F">
        <w:tc>
          <w:tcPr>
            <w:tcW w:w="1108" w:type="dxa"/>
            <w:tcBorders>
              <w:right w:val="single" w:sz="4" w:space="0" w:color="auto"/>
            </w:tcBorders>
            <w:shd w:val="clear" w:color="auto" w:fill="auto"/>
          </w:tcPr>
          <w:p w14:paraId="2B6901D0" w14:textId="77777777" w:rsidR="00E66069" w:rsidRPr="00A21FE4" w:rsidRDefault="00E66069" w:rsidP="004361C8">
            <w:pPr>
              <w:pStyle w:val="PP"/>
            </w:pPr>
            <w:r w:rsidRPr="00A21FE4">
              <w:t>PP3</w:t>
            </w:r>
          </w:p>
        </w:tc>
        <w:tc>
          <w:tcPr>
            <w:tcW w:w="7540" w:type="dxa"/>
            <w:tcBorders>
              <w:left w:val="single" w:sz="4" w:space="0" w:color="auto"/>
            </w:tcBorders>
            <w:shd w:val="clear" w:color="auto" w:fill="auto"/>
          </w:tcPr>
          <w:p w14:paraId="76774CE5" w14:textId="77777777" w:rsidR="00E66069" w:rsidRPr="00A21FE4" w:rsidRDefault="00E66069" w:rsidP="004361C8">
            <w:pPr>
              <w:pStyle w:val="PP"/>
            </w:pPr>
            <w:r w:rsidRPr="00A21FE4">
              <w:t>In preterm infants requiring transfusion, there is insufficient evidence to support or refute the use of either a restrictive or liberal RBC transfusion strategy.</w:t>
            </w:r>
          </w:p>
        </w:tc>
      </w:tr>
      <w:tr w:rsidR="00E66069" w:rsidRPr="00A21FE4" w14:paraId="03E4AF88" w14:textId="77777777" w:rsidTr="00AB4C4F">
        <w:tc>
          <w:tcPr>
            <w:tcW w:w="1108" w:type="dxa"/>
            <w:tcBorders>
              <w:right w:val="single" w:sz="4" w:space="0" w:color="auto"/>
            </w:tcBorders>
            <w:shd w:val="clear" w:color="auto" w:fill="auto"/>
          </w:tcPr>
          <w:p w14:paraId="4A1F2433" w14:textId="77777777" w:rsidR="00E66069" w:rsidRPr="00A21FE4" w:rsidRDefault="00E66069" w:rsidP="004361C8">
            <w:pPr>
              <w:pStyle w:val="PP"/>
            </w:pPr>
            <w:r w:rsidRPr="00A21FE4">
              <w:t>PP5</w:t>
            </w:r>
          </w:p>
        </w:tc>
        <w:tc>
          <w:tcPr>
            <w:tcW w:w="7540" w:type="dxa"/>
            <w:tcBorders>
              <w:left w:val="single" w:sz="4" w:space="0" w:color="auto"/>
            </w:tcBorders>
            <w:shd w:val="clear" w:color="auto" w:fill="auto"/>
          </w:tcPr>
          <w:p w14:paraId="27BC954A" w14:textId="246D9B6E" w:rsidR="00E66069" w:rsidRPr="00A21FE4" w:rsidRDefault="000730DD" w:rsidP="004361C8">
            <w:pPr>
              <w:pStyle w:val="PT-prebullet"/>
            </w:pPr>
            <w:r>
              <w:t>For neonatal and</w:t>
            </w:r>
            <w:r w:rsidRPr="00A21FE4">
              <w:t xml:space="preserve"> </w:t>
            </w:r>
            <w:r w:rsidR="00E66069" w:rsidRPr="00A21FE4">
              <w:t>paediatric</w:t>
            </w:r>
            <w:r>
              <w:t xml:space="preserve"> patients, a </w:t>
            </w:r>
            <w:r w:rsidR="00E66069" w:rsidRPr="00A21FE4">
              <w:t>specific procedural guideline for RBC transfusion should be used that includes the following:</w:t>
            </w:r>
          </w:p>
          <w:p w14:paraId="08B80CC8" w14:textId="77777777" w:rsidR="00E66069" w:rsidRPr="00A21FE4" w:rsidRDefault="00E66069" w:rsidP="00695D88">
            <w:pPr>
              <w:pStyle w:val="PP-bullets"/>
            </w:pPr>
            <w:r w:rsidRPr="00A21FE4">
              <w:t>volume of transfusion and rate of administration</w:t>
            </w:r>
          </w:p>
          <w:p w14:paraId="17CF006B" w14:textId="77777777" w:rsidR="00E66069" w:rsidRPr="00A21FE4" w:rsidRDefault="00E66069" w:rsidP="00695D88">
            <w:pPr>
              <w:pStyle w:val="PP-bullets"/>
            </w:pPr>
            <w:r w:rsidRPr="00A21FE4">
              <w:t>patient monitoring during and after transfusion</w:t>
            </w:r>
          </w:p>
          <w:p w14:paraId="7B4FBF57" w14:textId="77777777" w:rsidR="00E66069" w:rsidRPr="00A21FE4" w:rsidRDefault="00E66069" w:rsidP="00695D88">
            <w:pPr>
              <w:pStyle w:val="PP-bullets"/>
            </w:pPr>
            <w:r w:rsidRPr="00A21FE4">
              <w:t>transfusion technique (e.g. use of syringe pumps)</w:t>
            </w:r>
          </w:p>
          <w:p w14:paraId="3D6C6ED5" w14:textId="77777777" w:rsidR="00E66069" w:rsidRPr="00A21FE4" w:rsidRDefault="00E66069" w:rsidP="00695D88">
            <w:pPr>
              <w:pStyle w:val="PP-bullets"/>
            </w:pPr>
            <w:r w:rsidRPr="00A21FE4">
              <w:t>recognition and reporting of adverse events.</w:t>
            </w:r>
          </w:p>
        </w:tc>
      </w:tr>
      <w:tr w:rsidR="00E66069" w:rsidRPr="00A21FE4" w14:paraId="1E8D485E" w14:textId="77777777" w:rsidTr="00AB4C4F">
        <w:tc>
          <w:tcPr>
            <w:tcW w:w="1108" w:type="dxa"/>
            <w:tcBorders>
              <w:right w:val="single" w:sz="4" w:space="0" w:color="auto"/>
            </w:tcBorders>
            <w:shd w:val="clear" w:color="auto" w:fill="auto"/>
          </w:tcPr>
          <w:p w14:paraId="772EB930" w14:textId="77777777" w:rsidR="00E66069" w:rsidRPr="00A21FE4" w:rsidRDefault="00E66069" w:rsidP="004361C8">
            <w:pPr>
              <w:pStyle w:val="PP"/>
            </w:pPr>
            <w:r w:rsidRPr="00A21FE4">
              <w:t>PP6</w:t>
            </w:r>
          </w:p>
        </w:tc>
        <w:tc>
          <w:tcPr>
            <w:tcW w:w="7540" w:type="dxa"/>
            <w:tcBorders>
              <w:left w:val="single" w:sz="4" w:space="0" w:color="auto"/>
            </w:tcBorders>
            <w:shd w:val="clear" w:color="auto" w:fill="auto"/>
          </w:tcPr>
          <w:p w14:paraId="56835CE6" w14:textId="77777777" w:rsidR="00E66069" w:rsidRPr="00A21FE4" w:rsidRDefault="00E66069" w:rsidP="004361C8">
            <w:pPr>
              <w:pStyle w:val="PT-prebullet"/>
            </w:pPr>
            <w:r w:rsidRPr="00A21FE4">
              <w:t>In haemodynamically stable paediatric patients (excluding neonates), evidence from other patient groups and CRG consensus</w:t>
            </w:r>
            <w:r w:rsidRPr="00A21FE4">
              <w:rPr>
                <w:vertAlign w:val="superscript"/>
              </w:rPr>
              <w:t>a</w:t>
            </w:r>
            <w:r w:rsidRPr="00A21FE4">
              <w:t xml:space="preserve"> suggests that, with a:</w:t>
            </w:r>
          </w:p>
          <w:p w14:paraId="088FC424" w14:textId="77777777" w:rsidR="00E66069" w:rsidRPr="00A21FE4" w:rsidRDefault="00E66069" w:rsidP="00695D88">
            <w:pPr>
              <w:pStyle w:val="PP-bullets"/>
            </w:pPr>
            <w:r w:rsidRPr="00A21FE4">
              <w:t>Hb concentration &lt;70 g/L, RBC transfusion is often appropriate. However, transfusion may not be required in well-compensated patients or where other specific therapy is available.</w:t>
            </w:r>
          </w:p>
          <w:p w14:paraId="0E6451BA" w14:textId="77777777" w:rsidR="00E66069" w:rsidRPr="00A21FE4" w:rsidRDefault="00E66069" w:rsidP="00695D88">
            <w:pPr>
              <w:pStyle w:val="PP-bullets"/>
            </w:pPr>
            <w:r w:rsidRPr="00A21FE4">
              <w:t xml:space="preserve">Hb concentration of 70–90 g/L, RBC transfusion may be appropriate. The decision to transfuse patients should be based on the need to relieve clinical signs and symptoms of anaemia, and the patient’s response to previous transfusions. </w:t>
            </w:r>
          </w:p>
          <w:p w14:paraId="39A00C56" w14:textId="77777777" w:rsidR="00E66069" w:rsidRPr="00A21FE4" w:rsidRDefault="00E66069" w:rsidP="00695D88">
            <w:pPr>
              <w:pStyle w:val="PP-bullets"/>
            </w:pPr>
            <w:r w:rsidRPr="00A21FE4">
              <w:t>Hb concentration &gt;90 g/L, RBC transfusion is often unnecessary and may be inappropriate.</w:t>
            </w:r>
          </w:p>
          <w:p w14:paraId="4C0608D2" w14:textId="1DE331CF" w:rsidR="00E66069" w:rsidRPr="00A21FE4" w:rsidRDefault="00E66069" w:rsidP="00E62798">
            <w:pPr>
              <w:pStyle w:val="PP-note"/>
            </w:pPr>
            <w:r w:rsidRPr="00A21FE4">
              <w:rPr>
                <w:vertAlign w:val="superscript"/>
              </w:rPr>
              <w:t xml:space="preserve">a </w:t>
            </w:r>
            <w:r w:rsidR="00CE5AC9">
              <w:t>See</w:t>
            </w:r>
            <w:r w:rsidRPr="00A21FE4">
              <w:t xml:space="preserve"> PP3 in </w:t>
            </w:r>
            <w:r w:rsidRPr="00A21FE4">
              <w:rPr>
                <w:i/>
              </w:rPr>
              <w:t>Patient Blood Management Guidelines: Module 3 – Medical</w:t>
            </w:r>
            <w:r w:rsidRPr="00A21FE4">
              <w:t>.</w:t>
            </w:r>
            <w:hyperlink w:anchor="_ENREF_3" w:tooltip="National Blood Authority (NBA), 2012 #197" w:history="1">
              <w:r w:rsidR="00E62798">
                <w:rPr>
                  <w:vertAlign w:val="superscript"/>
                </w:rPr>
                <w:fldChar w:fldCharType="begin"/>
              </w:r>
              <w:r w:rsidR="00E62798">
                <w:rPr>
                  <w:vertAlign w:val="superscript"/>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vertAlign w:val="superscript"/>
                </w:rPr>
                <w:fldChar w:fldCharType="separate"/>
              </w:r>
              <w:r w:rsidR="00E62798">
                <w:rPr>
                  <w:noProof/>
                  <w:vertAlign w:val="superscript"/>
                </w:rPr>
                <w:t>3</w:t>
              </w:r>
              <w:r w:rsidR="00E62798">
                <w:rPr>
                  <w:vertAlign w:val="superscript"/>
                </w:rPr>
                <w:fldChar w:fldCharType="end"/>
              </w:r>
            </w:hyperlink>
            <w:r w:rsidRPr="00A21FE4">
              <w:t xml:space="preserve"> </w:t>
            </w:r>
          </w:p>
        </w:tc>
      </w:tr>
      <w:tr w:rsidR="00E66069" w:rsidRPr="00A21FE4" w14:paraId="3C03E2E6" w14:textId="77777777" w:rsidTr="00AB4C4F">
        <w:tc>
          <w:tcPr>
            <w:tcW w:w="1108" w:type="dxa"/>
            <w:tcBorders>
              <w:right w:val="single" w:sz="4" w:space="0" w:color="auto"/>
            </w:tcBorders>
            <w:shd w:val="clear" w:color="auto" w:fill="auto"/>
          </w:tcPr>
          <w:p w14:paraId="2D1DFD17" w14:textId="77777777" w:rsidR="00E66069" w:rsidRPr="00A21FE4" w:rsidRDefault="00E66069" w:rsidP="004361C8">
            <w:pPr>
              <w:pStyle w:val="PP"/>
            </w:pPr>
            <w:r w:rsidRPr="00A21FE4">
              <w:t>PP8</w:t>
            </w:r>
          </w:p>
        </w:tc>
        <w:tc>
          <w:tcPr>
            <w:tcW w:w="7540" w:type="dxa"/>
            <w:tcBorders>
              <w:left w:val="single" w:sz="4" w:space="0" w:color="auto"/>
            </w:tcBorders>
            <w:shd w:val="clear" w:color="auto" w:fill="auto"/>
          </w:tcPr>
          <w:p w14:paraId="74C899B0" w14:textId="4365889E" w:rsidR="00E62798" w:rsidRPr="002F5DEF" w:rsidRDefault="00E66069" w:rsidP="00E62798">
            <w:pPr>
              <w:pStyle w:val="PP-small"/>
            </w:pPr>
            <w:r w:rsidRPr="00A21FE4">
              <w:t xml:space="preserve">In paediatric patients less than 20 kg, calculate transfusion volume (mL) based on </w:t>
            </w:r>
            <w:r w:rsidRPr="001E5A0D">
              <w:t>weight and desired Hb increment.</w:t>
            </w:r>
            <w:r w:rsidR="00E62798" w:rsidRPr="002F5DEF">
              <w:rPr>
                <w:vertAlign w:val="superscript"/>
              </w:rPr>
              <w:t xml:space="preserve"> a</w:t>
            </w:r>
            <w:r w:rsidR="00E62798">
              <w:rPr>
                <w:vertAlign w:val="superscript"/>
                <w:lang w:val="en-AU"/>
              </w:rPr>
              <w:t>, b</w:t>
            </w:r>
          </w:p>
          <w:p w14:paraId="2C2FACC6" w14:textId="45C3A085" w:rsidR="006255E5" w:rsidRPr="00A21FE4" w:rsidRDefault="006255E5" w:rsidP="00AB4C4F">
            <w:pPr>
              <w:pStyle w:val="PP-note"/>
            </w:pPr>
            <w:r w:rsidRPr="002F5DEF">
              <w:rPr>
                <w:vertAlign w:val="superscript"/>
              </w:rPr>
              <w:t xml:space="preserve">a </w:t>
            </w:r>
            <w:r w:rsidRPr="002F5DEF">
              <w:t>See Appendix F (</w:t>
            </w:r>
            <w:r w:rsidRPr="00C60A91">
              <w:rPr>
                <w:i/>
              </w:rPr>
              <w:t>RBC transfusions in preterm infants</w:t>
            </w:r>
            <w:r w:rsidRPr="002F5DEF">
              <w:t>)</w:t>
            </w:r>
            <w:r>
              <w:t>.</w:t>
            </w:r>
            <w:r>
              <w:rPr>
                <w:vertAlign w:val="superscript"/>
              </w:rPr>
              <w:br/>
              <w:t>b</w:t>
            </w:r>
            <w:r w:rsidRPr="00293BBE">
              <w:t xml:space="preserve"> See Appendix </w:t>
            </w:r>
            <w:r>
              <w:t>J (</w:t>
            </w:r>
            <w:r w:rsidRPr="00341155">
              <w:rPr>
                <w:i/>
              </w:rPr>
              <w:t>Transfusion volume calculation for neonates, infants and small children</w:t>
            </w:r>
            <w:r>
              <w:t>).</w:t>
            </w:r>
          </w:p>
        </w:tc>
      </w:tr>
      <w:tr w:rsidR="00E66069" w:rsidRPr="00A21FE4" w14:paraId="24984760" w14:textId="77777777" w:rsidTr="00AB4C4F">
        <w:tc>
          <w:tcPr>
            <w:tcW w:w="1108" w:type="dxa"/>
            <w:tcBorders>
              <w:right w:val="single" w:sz="4" w:space="0" w:color="auto"/>
            </w:tcBorders>
            <w:shd w:val="clear" w:color="auto" w:fill="auto"/>
          </w:tcPr>
          <w:p w14:paraId="7C246984" w14:textId="77777777" w:rsidR="00E66069" w:rsidRPr="00A21FE4" w:rsidRDefault="00E66069" w:rsidP="004361C8">
            <w:pPr>
              <w:pStyle w:val="PP"/>
            </w:pPr>
            <w:r w:rsidRPr="00A21FE4">
              <w:t>PP9</w:t>
            </w:r>
          </w:p>
        </w:tc>
        <w:tc>
          <w:tcPr>
            <w:tcW w:w="7540" w:type="dxa"/>
            <w:tcBorders>
              <w:left w:val="single" w:sz="4" w:space="0" w:color="auto"/>
            </w:tcBorders>
            <w:shd w:val="clear" w:color="auto" w:fill="auto"/>
          </w:tcPr>
          <w:p w14:paraId="1BF0F699" w14:textId="2BFAE7C0" w:rsidR="00E66069" w:rsidRPr="00A21FE4" w:rsidRDefault="00E66069" w:rsidP="004361C8">
            <w:pPr>
              <w:pStyle w:val="PP"/>
            </w:pPr>
            <w:r w:rsidRPr="00A21FE4">
              <w:t>In most paediatric patients over 20 kg, transfusion of a single unit of RBC, followed by clinical reassessment to determine the need for further transfusion, is appropriate. This reassessment will also guide the decision on whether to retest the Hb level.</w:t>
            </w:r>
            <w:r w:rsidR="00C05EEF">
              <w:rPr>
                <w:vertAlign w:val="superscript"/>
                <w:lang w:val="en-AU"/>
              </w:rPr>
              <w:t>a</w:t>
            </w:r>
            <w:r w:rsidRPr="00A21FE4">
              <w:t xml:space="preserve"> </w:t>
            </w:r>
          </w:p>
          <w:p w14:paraId="063118FD" w14:textId="356E2ACD" w:rsidR="00E66069" w:rsidRPr="00A21FE4" w:rsidRDefault="00C05EEF" w:rsidP="00E62798">
            <w:pPr>
              <w:pStyle w:val="PP-note"/>
            </w:pPr>
            <w:r>
              <w:rPr>
                <w:vertAlign w:val="superscript"/>
              </w:rPr>
              <w:t>a</w:t>
            </w:r>
            <w:r>
              <w:t xml:space="preserve"> </w:t>
            </w:r>
            <w:r w:rsidR="00CE5AC9">
              <w:t>See</w:t>
            </w:r>
            <w:r w:rsidR="00E66069" w:rsidRPr="00A21FE4">
              <w:t xml:space="preserve"> PP2 in </w:t>
            </w:r>
            <w:r w:rsidR="00E66069" w:rsidRPr="00A21FE4">
              <w:rPr>
                <w:i/>
              </w:rPr>
              <w:t>Patient Blood Management Guidelines: Module 2</w:t>
            </w:r>
            <w:r w:rsidR="004828DA">
              <w:rPr>
                <w:i/>
              </w:rPr>
              <w:t xml:space="preserve"> </w:t>
            </w:r>
            <w:r w:rsidR="00E66069" w:rsidRPr="00A21FE4">
              <w:rPr>
                <w:i/>
              </w:rPr>
              <w:t>– Perioperative</w:t>
            </w:r>
            <w:r w:rsidR="007605AB">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E66069" w:rsidRPr="00A21FE4" w14:paraId="196F9306" w14:textId="77777777" w:rsidTr="00AB4C4F">
        <w:tc>
          <w:tcPr>
            <w:tcW w:w="1108" w:type="dxa"/>
            <w:tcBorders>
              <w:right w:val="single" w:sz="4" w:space="0" w:color="auto"/>
            </w:tcBorders>
            <w:shd w:val="clear" w:color="auto" w:fill="auto"/>
          </w:tcPr>
          <w:p w14:paraId="00F700D3" w14:textId="77777777" w:rsidR="00E66069" w:rsidRPr="00A21FE4" w:rsidRDefault="00E66069" w:rsidP="004361C8">
            <w:pPr>
              <w:pStyle w:val="PP"/>
              <w:keepNext/>
            </w:pPr>
            <w:r w:rsidRPr="00A21FE4">
              <w:t>PP12</w:t>
            </w:r>
          </w:p>
        </w:tc>
        <w:tc>
          <w:tcPr>
            <w:tcW w:w="7540" w:type="dxa"/>
            <w:tcBorders>
              <w:left w:val="single" w:sz="4" w:space="0" w:color="auto"/>
            </w:tcBorders>
            <w:shd w:val="clear" w:color="auto" w:fill="auto"/>
          </w:tcPr>
          <w:p w14:paraId="1EE7550D" w14:textId="47D6EC47" w:rsidR="00E66069" w:rsidRPr="00A21FE4" w:rsidRDefault="00E66069" w:rsidP="004361C8">
            <w:pPr>
              <w:pStyle w:val="PP"/>
              <w:keepNext/>
            </w:pPr>
            <w:r w:rsidRPr="00A21FE4">
              <w:t>In neonatal and paediatric patients with critical bleeding requiring massive transfusion, use a</w:t>
            </w:r>
            <w:r w:rsidR="00695D88">
              <w:rPr>
                <w:lang w:val="en-AU"/>
              </w:rPr>
              <w:t xml:space="preserve"> critical bleeding protocol</w:t>
            </w:r>
            <w:r w:rsidRPr="00A21FE4">
              <w:t>.</w:t>
            </w:r>
            <w:r w:rsidRPr="00A21FE4">
              <w:rPr>
                <w:vertAlign w:val="superscript"/>
              </w:rPr>
              <w:t xml:space="preserve">a </w:t>
            </w:r>
            <w:r w:rsidRPr="00A21FE4">
              <w:t xml:space="preserve">A template </w:t>
            </w:r>
            <w:r w:rsidR="00695D88">
              <w:rPr>
                <w:lang w:val="en-AU"/>
              </w:rPr>
              <w:t>protocol</w:t>
            </w:r>
            <w:r w:rsidRPr="00A21FE4">
              <w:t xml:space="preserve"> is provided within the module.</w:t>
            </w:r>
            <w:r w:rsidRPr="00A21FE4">
              <w:rPr>
                <w:vertAlign w:val="superscript"/>
              </w:rPr>
              <w:t>b</w:t>
            </w:r>
          </w:p>
          <w:p w14:paraId="2BB6A89F" w14:textId="585A90F3" w:rsidR="00E66069" w:rsidRPr="00A21FE4" w:rsidRDefault="00E66069" w:rsidP="00C05EEF">
            <w:pPr>
              <w:pStyle w:val="PP-note"/>
              <w:keepNext/>
            </w:pPr>
            <w:r w:rsidRPr="00A21FE4">
              <w:rPr>
                <w:vertAlign w:val="superscript"/>
              </w:rPr>
              <w:t>a</w:t>
            </w:r>
            <w:r w:rsidRPr="00A21FE4">
              <w:t xml:space="preserve"> The use of the word ‘protocol’ is not strictly prescriptive.</w:t>
            </w:r>
            <w:r w:rsidRPr="00A21FE4">
              <w:br/>
            </w:r>
            <w:r w:rsidRPr="00A21FE4">
              <w:rPr>
                <w:vertAlign w:val="superscript"/>
              </w:rPr>
              <w:t>b</w:t>
            </w:r>
            <w:r w:rsidRPr="00A21FE4">
              <w:t xml:space="preserve"> The template</w:t>
            </w:r>
            <w:r>
              <w:t xml:space="preserve"> given in Appendix K (</w:t>
            </w:r>
            <w:r w:rsidR="007F01F3">
              <w:rPr>
                <w:i/>
              </w:rPr>
              <w:t>Critical bleeding protocol</w:t>
            </w:r>
            <w:r>
              <w:t>)</w:t>
            </w:r>
            <w:r w:rsidRPr="00A21FE4">
              <w:t xml:space="preserve"> is intended for local adaptation. </w:t>
            </w:r>
          </w:p>
        </w:tc>
      </w:tr>
      <w:tr w:rsidR="00E66069" w:rsidRPr="00A21FE4" w14:paraId="7B92F03E" w14:textId="77777777" w:rsidTr="00AB4C4F">
        <w:trPr>
          <w:trHeight w:val="397"/>
        </w:trPr>
        <w:tc>
          <w:tcPr>
            <w:tcW w:w="8648" w:type="dxa"/>
            <w:gridSpan w:val="2"/>
            <w:shd w:val="clear" w:color="auto" w:fill="auto"/>
          </w:tcPr>
          <w:p w14:paraId="6868124D" w14:textId="1B333EE1" w:rsidR="00E66069" w:rsidRPr="00A21FE4" w:rsidRDefault="00E66069" w:rsidP="00695D88">
            <w:pPr>
              <w:pStyle w:val="PP-note"/>
            </w:pPr>
            <w:r w:rsidRPr="00A21FE4">
              <w:t xml:space="preserve">CRG, Clinical/Consumer Reference Group; Hb, haemoglobin; PP, practice point; </w:t>
            </w:r>
            <w:r w:rsidR="005C1F80">
              <w:t xml:space="preserve">R, recommendation; </w:t>
            </w:r>
            <w:r w:rsidRPr="00A21FE4">
              <w:t xml:space="preserve">RBC, red blood cell </w:t>
            </w:r>
          </w:p>
        </w:tc>
      </w:tr>
    </w:tbl>
    <w:p w14:paraId="4F1781FE" w14:textId="77777777" w:rsidR="00E66069" w:rsidRPr="00A21FE4" w:rsidRDefault="00E66069" w:rsidP="00E66069"/>
    <w:p w14:paraId="53E2D6B2" w14:textId="77777777" w:rsidR="00E66069" w:rsidRDefault="00E66069" w:rsidP="00E66069">
      <w:pPr>
        <w:pStyle w:val="Heading4"/>
      </w:pPr>
      <w:r>
        <w:t>Background</w:t>
      </w:r>
    </w:p>
    <w:p w14:paraId="40535A4F" w14:textId="77777777" w:rsidR="00E66069" w:rsidRDefault="00E66069" w:rsidP="00E66069">
      <w:r>
        <w:t>Paediatric patients undergoing major surgery are at risk of blood loss. Hence, they may require perioperative RBC transfusion to improve tissue oxygenation, and to treat hypovolaemia and anaemia.</w:t>
      </w:r>
    </w:p>
    <w:p w14:paraId="58BC54E6" w14:textId="742B67C3" w:rsidR="00E66069" w:rsidRDefault="00E66069" w:rsidP="00E66069">
      <w:r>
        <w:t>Neonates and paediatric patients undergoing cardiothoracic surgery for congenital cardiac disease are at significant risk of perioperative bleeding. These patients may be hypoxic and polycythaemic, and have altered coagulation profiles. Their surgeries are complex, often necessitating long cardiopulmonary bypass (CPB) times and extended periods of hypothermia.</w:t>
      </w:r>
      <w:r w:rsidR="004828DA">
        <w:t xml:space="preserve"> </w:t>
      </w:r>
    </w:p>
    <w:p w14:paraId="4C11F157" w14:textId="77777777" w:rsidR="00E66069" w:rsidRDefault="00E66069" w:rsidP="00E66069">
      <w:r>
        <w:t xml:space="preserve">CPB often requires </w:t>
      </w:r>
      <w:r w:rsidRPr="00EF2721">
        <w:t>large volumes of</w:t>
      </w:r>
      <w:r>
        <w:t xml:space="preserve"> blood to prime the CPB circuit, to prevent dilutional anaemia at the start of the surgery. CPB causes platelet dysfunction, a dilutional coagulopathy and abnormal fibrinolysis. All of these factors contribute to the higher bleeding tendency and increased transfusion requirements seen in this patient population. </w:t>
      </w:r>
    </w:p>
    <w:p w14:paraId="6764851F" w14:textId="77777777" w:rsidR="00E66069" w:rsidRDefault="00E66069" w:rsidP="00E66069">
      <w:r>
        <w:t xml:space="preserve">Other paediatric surgical procedures associated with significant blood loss that may necessitate RBC transfusion include liver transplantation, and surgery for scoliosis or craniosynostosis. </w:t>
      </w:r>
    </w:p>
    <w:p w14:paraId="1653F365" w14:textId="77777777" w:rsidR="00E66069" w:rsidRPr="00EB4620" w:rsidRDefault="00E66069" w:rsidP="00E66069">
      <w:pPr>
        <w:pStyle w:val="Heading4"/>
      </w:pPr>
      <w:r w:rsidRPr="00EB4620">
        <w:t xml:space="preserve">RBC transfusion versus no transfusion (or </w:t>
      </w:r>
      <w:r>
        <w:t>different RBC</w:t>
      </w:r>
      <w:r w:rsidRPr="00EB4620">
        <w:t xml:space="preserve"> dose)</w:t>
      </w:r>
      <w:r>
        <w:t xml:space="preserve"> in neonatal and paediatric patients undergoing surgery</w:t>
      </w:r>
    </w:p>
    <w:p w14:paraId="2DAD2A35" w14:textId="717322DA" w:rsidR="00E66069" w:rsidRDefault="00D52DD4" w:rsidP="00E66069">
      <w:r>
        <w:t xml:space="preserve">The review identified three </w:t>
      </w:r>
      <w:r w:rsidR="00E66069">
        <w:t>Level</w:t>
      </w:r>
      <w:r w:rsidR="005C1F80">
        <w:t xml:space="preserve"> </w:t>
      </w:r>
      <w:r>
        <w:t>III-2</w:t>
      </w:r>
      <w:r w:rsidR="00E66069">
        <w:t xml:space="preserve"> studies</w:t>
      </w:r>
      <w:r w:rsidR="00E66069" w:rsidRPr="00EB4620">
        <w:t xml:space="preserve"> </w:t>
      </w:r>
      <w:r w:rsidR="00E66069">
        <w:t xml:space="preserve">of fair to good quality </w:t>
      </w:r>
      <w:r w:rsidR="00E66069" w:rsidRPr="00EB4620">
        <w:t xml:space="preserve">that </w:t>
      </w:r>
      <w:r w:rsidR="00E66069">
        <w:t>compared</w:t>
      </w:r>
      <w:r w:rsidR="00E66069" w:rsidRPr="00EB4620">
        <w:t xml:space="preserve"> RBC transfusion with no transfusion </w:t>
      </w:r>
      <w:r w:rsidR="00E66069" w:rsidRPr="001C0C6D">
        <w:t>(or alternate dose)</w:t>
      </w:r>
      <w:r w:rsidR="00E66069">
        <w:t xml:space="preserve"> </w:t>
      </w:r>
      <w:r w:rsidR="00E66069" w:rsidRPr="00EB4620">
        <w:t xml:space="preserve">in neonatal </w:t>
      </w:r>
      <w:r w:rsidR="00A41D9F">
        <w:t xml:space="preserve">and paediatric </w:t>
      </w:r>
      <w:r w:rsidR="00E66069" w:rsidRPr="00EB4620">
        <w:t xml:space="preserve">patients </w:t>
      </w:r>
      <w:r w:rsidR="00E66069">
        <w:t xml:space="preserve">undergoing </w:t>
      </w:r>
      <w:r w:rsidR="00E66069" w:rsidRPr="00EB4620">
        <w:t>surgery</w:t>
      </w:r>
      <w:r w:rsidR="00E66069">
        <w:t>.</w:t>
      </w:r>
      <w:hyperlink w:anchor="_ENREF_72" w:tooltip="Kneyber, 2013 #171" w:history="1">
        <w:r w:rsidR="00E62798">
          <w:fldChar w:fldCharType="begin">
            <w:fldData xml:space="preserve">PEVuZE5vdGU+PENpdGU+PEF1dGhvcj5LbmV5YmVyPC9BdXRob3I+PFllYXI+MjAxMzwvWWVhcj48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</w:fldData>
          </w:fldChar>
        </w:r>
        <w:r w:rsidR="00E62798">
          <w:instrText xml:space="preserve"> ADDIN EN.CITE </w:instrText>
        </w:r>
        <w:r w:rsidR="00E62798">
          <w:fldChar w:fldCharType="begin">
            <w:fldData xml:space="preserve">PEVuZE5vdGU+PENpdGU+PEF1dGhvcj5LbmV5YmVyPC9BdXRob3I+PFllYXI+MjAxMzwvWWVhcj48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72-74</w:t>
        </w:r>
        <w:r w:rsidR="00E62798">
          <w:fldChar w:fldCharType="end"/>
        </w:r>
      </w:hyperlink>
      <w:r w:rsidR="00E66069">
        <w:t xml:space="preserve"> Two studies were conducted in the neonatal and paediatric cardiac surgery setting</w:t>
      </w:r>
      <w:r w:rsidR="00E62798">
        <w:fldChar w:fldCharType="begin">
          <w:fldData xml:space="preserve">PEVuZE5vdGU+PENpdGU+PEF1dGhvcj5LbmV5YmVyPC9BdXRob3I+PFllYXI+MjAxMzwvWWVhcj48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</w:fldData>
        </w:fldChar>
      </w:r>
      <w:r w:rsidR="00E62798">
        <w:instrText xml:space="preserve"> ADDIN EN.CITE </w:instrText>
      </w:r>
      <w:r w:rsidR="00E62798">
        <w:fldChar w:fldCharType="begin">
          <w:fldData xml:space="preserve">PEVuZE5vdGU+PENpdGU+PEF1dGhvcj5LbmV5YmVyPC9BdXRob3I+PFllYXI+MjAxMzwvWWVhcj48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</w:fldData>
        </w:fldChar>
      </w:r>
      <w:r w:rsidR="00E62798">
        <w:instrText xml:space="preserve"> ADDIN EN.CITE.DATA </w:instrText>
      </w:r>
      <w:r w:rsidR="00E62798">
        <w:fldChar w:fldCharType="end"/>
      </w:r>
      <w:r w:rsidR="00E62798">
        <w:fldChar w:fldCharType="separate"/>
      </w:r>
      <w:hyperlink w:anchor="_ENREF_72" w:tooltip="Kneyber, 2013 #171" w:history="1">
        <w:r w:rsidR="00E62798" w:rsidRPr="00E62798">
          <w:rPr>
            <w:noProof/>
            <w:vertAlign w:val="superscript"/>
          </w:rPr>
          <w:t>72</w:t>
        </w:r>
      </w:hyperlink>
      <w:r w:rsidR="00E62798" w:rsidRPr="00E62798">
        <w:rPr>
          <w:noProof/>
          <w:vertAlign w:val="superscript"/>
        </w:rPr>
        <w:t xml:space="preserve">; </w:t>
      </w:r>
      <w:hyperlink w:anchor="_ENREF_74" w:tooltip="Redlin, 2013 #181" w:history="1">
        <w:r w:rsidR="00E62798" w:rsidRPr="00E62798">
          <w:rPr>
            <w:noProof/>
            <w:vertAlign w:val="superscript"/>
          </w:rPr>
          <w:t>74</w:t>
        </w:r>
      </w:hyperlink>
      <w:r w:rsidR="00E62798">
        <w:fldChar w:fldCharType="end"/>
      </w:r>
      <w:r w:rsidR="00E66069">
        <w:t xml:space="preserve"> and one in paediatric liver transplantation patients.</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r w:rsidR="00E66069">
        <w:t xml:space="preserve"> </w:t>
      </w:r>
    </w:p>
    <w:p w14:paraId="6738F5CA" w14:textId="77777777" w:rsidR="00E66069" w:rsidRDefault="00E66069" w:rsidP="00E66069">
      <w:pPr>
        <w:pStyle w:val="Heading5"/>
      </w:pPr>
      <w:r w:rsidRPr="00EB4620">
        <w:t>Mortality</w:t>
      </w:r>
    </w:p>
    <w:p w14:paraId="0F3A2B9D" w14:textId="5EDF638D" w:rsidR="00E66069" w:rsidRDefault="00E66069" w:rsidP="00E66069">
      <w:r>
        <w:rPr>
          <w:lang w:eastAsia="en-GB"/>
        </w:rPr>
        <w:t>Mortality rates were low in the three included studies,</w:t>
      </w:r>
      <w:r w:rsidRPr="00EB4620">
        <w:t xml:space="preserve"> </w:t>
      </w:r>
      <w:r>
        <w:rPr>
          <w:lang w:eastAsia="en-GB"/>
        </w:rPr>
        <w:t>and the studies were underpowered for this outcome.</w:t>
      </w:r>
      <w:hyperlink w:anchor="_ENREF_72" w:tooltip="Kneyber, 2013 #171" w:history="1">
        <w:r w:rsidR="00E62798">
          <w:fldChar w:fldCharType="begin">
            <w:fldData xml:space="preserve">PEVuZE5vdGU+PENpdGU+PEF1dGhvcj5LbmV5YmVyPC9BdXRob3I+PFllYXI+MjAxMzwvWWVhcj48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</w:fldData>
          </w:fldChar>
        </w:r>
        <w:r w:rsidR="00E62798">
          <w:instrText xml:space="preserve"> ADDIN EN.CITE </w:instrText>
        </w:r>
        <w:r w:rsidR="00E62798">
          <w:fldChar w:fldCharType="begin">
            <w:fldData xml:space="preserve">PEVuZE5vdGU+PENpdGU+PEF1dGhvcj5LbmV5YmVyPC9BdXRob3I+PFllYXI+MjAxMzwvWWVhcj48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72-74</w:t>
        </w:r>
        <w:r w:rsidR="00E62798">
          <w:fldChar w:fldCharType="end"/>
        </w:r>
      </w:hyperlink>
      <w:r>
        <w:rPr>
          <w:lang w:eastAsia="en-GB"/>
        </w:rPr>
        <w:t xml:space="preserve"> </w:t>
      </w:r>
      <w:r>
        <w:t>Two studies</w:t>
      </w:r>
      <w:r>
        <w:rPr>
          <w:lang w:eastAsia="en-GB"/>
        </w:rPr>
        <w:t xml:space="preserve"> </w:t>
      </w:r>
      <w:r>
        <w:t>reported mortality in cardiac surgery patients.</w:t>
      </w:r>
      <w:r w:rsidR="00E62798">
        <w:fldChar w:fldCharType="begin">
          <w:fldData xml:space="preserve">PEVuZE5vdGU+PENpdGU+PEF1dGhvcj5LbmV5YmVyPC9BdXRob3I+PFllYXI+MjAxMzwvWWVhcj48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</w:fldData>
        </w:fldChar>
      </w:r>
      <w:r w:rsidR="00E62798">
        <w:instrText xml:space="preserve"> ADDIN EN.CITE </w:instrText>
      </w:r>
      <w:r w:rsidR="00E62798">
        <w:fldChar w:fldCharType="begin">
          <w:fldData xml:space="preserve">PEVuZE5vdGU+PENpdGU+PEF1dGhvcj5LbmV5YmVyPC9BdXRob3I+PFllYXI+MjAxMzwvWWVhcj48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</w:fldData>
        </w:fldChar>
      </w:r>
      <w:r w:rsidR="00E62798">
        <w:instrText xml:space="preserve"> ADDIN EN.CITE.DATA </w:instrText>
      </w:r>
      <w:r w:rsidR="00E62798">
        <w:fldChar w:fldCharType="end"/>
      </w:r>
      <w:r w:rsidR="00E62798">
        <w:fldChar w:fldCharType="separate"/>
      </w:r>
      <w:hyperlink w:anchor="_ENREF_72" w:tooltip="Kneyber, 2013 #171" w:history="1">
        <w:r w:rsidR="00E62798" w:rsidRPr="00E62798">
          <w:rPr>
            <w:noProof/>
            <w:vertAlign w:val="superscript"/>
          </w:rPr>
          <w:t>72</w:t>
        </w:r>
      </w:hyperlink>
      <w:r w:rsidR="00E62798" w:rsidRPr="00E62798">
        <w:rPr>
          <w:noProof/>
          <w:vertAlign w:val="superscript"/>
        </w:rPr>
        <w:t xml:space="preserve">; </w:t>
      </w:r>
      <w:hyperlink w:anchor="_ENREF_74" w:tooltip="Redlin, 2013 #181" w:history="1">
        <w:r w:rsidR="00E62798" w:rsidRPr="00E62798">
          <w:rPr>
            <w:noProof/>
            <w:vertAlign w:val="superscript"/>
          </w:rPr>
          <w:t>74</w:t>
        </w:r>
      </w:hyperlink>
      <w:r w:rsidR="00E62798">
        <w:fldChar w:fldCharType="end"/>
      </w:r>
      <w:r>
        <w:t xml:space="preserve"> Kneyber (2013)</w:t>
      </w:r>
      <w:hyperlink w:anchor="_ENREF_72" w:tooltip="Kneyber, 2013 #171" w:history="1">
        <w:r w:rsidR="00E62798">
          <w:fldChar w:fldCharType="begin">
            <w:fldData xml:space="preserve">PEVuZE5vdGU+PENpdGU+PEF1dGhvcj5LbmV5YmVyPC9BdXRob3I+PFllYXI+MjAxMzwvWWVhcj48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</w:fldData>
          </w:fldChar>
        </w:r>
        <w:r w:rsidR="00E62798">
          <w:instrText xml:space="preserve"> ADDIN EN.CITE </w:instrText>
        </w:r>
        <w:r w:rsidR="00E62798">
          <w:fldChar w:fldCharType="begin">
            <w:fldData xml:space="preserve">PEVuZE5vdGU+PENpdGU+PEF1dGhvcj5LbmV5YmVyPC9BdXRob3I+PFllYXI+MjAxMzwvWWVhcj48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72</w:t>
        </w:r>
        <w:r w:rsidR="00E62798">
          <w:fldChar w:fldCharType="end"/>
        </w:r>
      </w:hyperlink>
      <w:r>
        <w:t xml:space="preserve"> found that RBC transfusion had no effect on mortality, whereas Redlin (2013)</w:t>
      </w:r>
      <w:hyperlink w:anchor="_ENREF_74" w:tooltip="Redlin, 2013 #181" w:history="1">
        <w:r w:rsidR="00E62798">
          <w:fldChar w:fldCharType="begin">
            <w:fldData xml:space="preserve">PEVuZE5vdGU+PENpdGU+PEF1dGhvcj5SZWRsaW48L0F1dGhvcj48WWVhcj4yMDEzPC9ZZWFyPjxS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</w:fldData>
          </w:fldChar>
        </w:r>
        <w:r w:rsidR="00E62798">
          <w:instrText xml:space="preserve"> ADDIN EN.CITE </w:instrText>
        </w:r>
        <w:r w:rsidR="00E62798">
          <w:fldChar w:fldCharType="begin">
            <w:fldData xml:space="preserve">PEVuZE5vdGU+PENpdGU+PEF1dGhvcj5SZWRsaW48L0F1dGhvcj48WWVhcj4yMDEzPC9ZZWFyPjxS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74</w:t>
        </w:r>
        <w:r w:rsidR="00E62798">
          <w:fldChar w:fldCharType="end"/>
        </w:r>
      </w:hyperlink>
      <w:r>
        <w:t xml:space="preserve"> reported </w:t>
      </w:r>
      <w:r>
        <w:rPr>
          <w:lang w:eastAsia="en-GB"/>
        </w:rPr>
        <w:t>higher mortality rates in those patients receiving intraoperative transfusion compared with those receiving postoperative or no transfusion. In paediatric patients undergoing liver transplantation surgery, mortality rates increased in proportion to the number of RBC units received both during and after surgery.</w:t>
      </w:r>
      <w:hyperlink w:anchor="_ENREF_73" w:tooltip="Nacoti, 2012 #139" w:history="1">
        <w:r w:rsidR="00E62798">
          <w:rPr>
            <w:lang w:eastAsia="en-GB"/>
          </w:rPr>
          <w:fldChar w:fldCharType="begin"/>
        </w:r>
        <w:r w:rsidR="00E62798">
          <w:rPr>
            <w:lang w:eastAsia="en-GB"/>
          </w:rPr>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rPr>
            <w:lang w:eastAsia="en-GB"/>
          </w:rPr>
          <w:fldChar w:fldCharType="separate"/>
        </w:r>
        <w:r w:rsidR="00E62798" w:rsidRPr="00E62798">
          <w:rPr>
            <w:noProof/>
            <w:vertAlign w:val="superscript"/>
            <w:lang w:eastAsia="en-GB"/>
          </w:rPr>
          <w:t>73</w:t>
        </w:r>
        <w:r w:rsidR="00E62798">
          <w:rPr>
            <w:lang w:eastAsia="en-GB"/>
          </w:rPr>
          <w:fldChar w:fldCharType="end"/>
        </w:r>
      </w:hyperlink>
      <w:r>
        <w:t xml:space="preserve"> </w:t>
      </w:r>
    </w:p>
    <w:p w14:paraId="45A7E8B9" w14:textId="33AF103D" w:rsidR="00E66069" w:rsidRPr="00C05EEF" w:rsidRDefault="00E66069" w:rsidP="00E66069">
      <w:pPr>
        <w:pStyle w:val="Heading5"/>
        <w:rPr>
          <w:lang w:val="en-AU"/>
        </w:rPr>
      </w:pPr>
      <w:r w:rsidRPr="00EB4620">
        <w:t xml:space="preserve">New or progressive </w:t>
      </w:r>
      <w:r>
        <w:t>multiple organ dysf</w:t>
      </w:r>
      <w:r w:rsidR="007C1B3E">
        <w:t>unction</w:t>
      </w:r>
      <w:r w:rsidR="00C05EEF">
        <w:rPr>
          <w:lang w:val="en-AU"/>
        </w:rPr>
        <w:t xml:space="preserve"> syndrome</w:t>
      </w:r>
    </w:p>
    <w:p w14:paraId="5597CE02" w14:textId="348C7AA9" w:rsidR="00E66069" w:rsidRDefault="007C1B3E" w:rsidP="00E66069">
      <w:pPr>
        <w:rPr>
          <w:lang w:val="en-GB" w:eastAsia="en-GB"/>
        </w:rPr>
      </w:pPr>
      <w:r>
        <w:t xml:space="preserve">No evidence was identified related to </w:t>
      </w:r>
      <w:r>
        <w:rPr>
          <w:lang w:val="en-GB" w:eastAsia="en-GB"/>
        </w:rPr>
        <w:t>multiple organ dysfunction</w:t>
      </w:r>
      <w:r w:rsidR="00C05EEF">
        <w:rPr>
          <w:lang w:val="en-GB" w:eastAsia="en-GB"/>
        </w:rPr>
        <w:t xml:space="preserve"> syndrome</w:t>
      </w:r>
      <w:r>
        <w:rPr>
          <w:lang w:val="en-GB" w:eastAsia="en-GB"/>
        </w:rPr>
        <w:t xml:space="preserve"> (MOD</w:t>
      </w:r>
      <w:r w:rsidR="00C05EEF">
        <w:rPr>
          <w:lang w:val="en-GB" w:eastAsia="en-GB"/>
        </w:rPr>
        <w:t>S</w:t>
      </w:r>
      <w:r>
        <w:rPr>
          <w:lang w:val="en-GB" w:eastAsia="en-GB"/>
        </w:rPr>
        <w:t>)</w:t>
      </w:r>
      <w:r w:rsidR="00E66069">
        <w:rPr>
          <w:lang w:val="en-GB" w:eastAsia="en-GB"/>
        </w:rPr>
        <w:t xml:space="preserve">. </w:t>
      </w:r>
    </w:p>
    <w:p w14:paraId="3BC70389" w14:textId="77777777" w:rsidR="00E66069" w:rsidRPr="00EB4620" w:rsidRDefault="00E66069" w:rsidP="00E66069">
      <w:pPr>
        <w:pStyle w:val="Heading4"/>
      </w:pPr>
      <w:r w:rsidRPr="00EB4620">
        <w:t>Restrictive RBC transfusion versus liberal RBC transfusion</w:t>
      </w:r>
      <w:r>
        <w:t xml:space="preserve"> in neonatal and paediatric patients undergoing surgery</w:t>
      </w:r>
    </w:p>
    <w:p w14:paraId="5CDF6C52" w14:textId="1655C0E4" w:rsidR="00E66069" w:rsidRPr="00393D67" w:rsidRDefault="00E66069" w:rsidP="00E66069">
      <w:pPr>
        <w:rPr>
          <w:lang w:eastAsia="en-GB"/>
        </w:rPr>
      </w:pPr>
      <w:r>
        <w:t xml:space="preserve">One </w:t>
      </w:r>
      <w:r w:rsidR="00D52DD4">
        <w:t>Level I study</w:t>
      </w:r>
      <w:r>
        <w:t xml:space="preserve"> </w:t>
      </w:r>
      <w:r>
        <w:rPr>
          <w:lang w:eastAsia="en-GB"/>
        </w:rPr>
        <w:t>compared</w:t>
      </w:r>
      <w:r w:rsidRPr="00EB4620">
        <w:rPr>
          <w:lang w:eastAsia="en-GB"/>
        </w:rPr>
        <w:t xml:space="preserve"> </w:t>
      </w:r>
      <w:r>
        <w:rPr>
          <w:lang w:eastAsia="en-GB"/>
        </w:rPr>
        <w:t xml:space="preserve">a </w:t>
      </w:r>
      <w:r w:rsidRPr="00EB4620">
        <w:rPr>
          <w:lang w:eastAsia="en-GB"/>
        </w:rPr>
        <w:t xml:space="preserve">restrictive </w:t>
      </w:r>
      <w:r>
        <w:rPr>
          <w:lang w:eastAsia="en-GB"/>
        </w:rPr>
        <w:t xml:space="preserve">and liberal </w:t>
      </w:r>
      <w:r w:rsidRPr="00EB4620">
        <w:rPr>
          <w:lang w:eastAsia="en-GB"/>
        </w:rPr>
        <w:t xml:space="preserve">RBC transfusion </w:t>
      </w:r>
      <w:r>
        <w:rPr>
          <w:lang w:eastAsia="en-GB"/>
        </w:rPr>
        <w:t>strategy</w:t>
      </w:r>
      <w:r w:rsidRPr="00EB4620">
        <w:rPr>
          <w:lang w:eastAsia="en-GB"/>
        </w:rPr>
        <w:t xml:space="preserve"> in </w:t>
      </w:r>
      <w:r>
        <w:rPr>
          <w:lang w:eastAsia="en-GB"/>
        </w:rPr>
        <w:t xml:space="preserve">neonatal or paediatric </w:t>
      </w:r>
      <w:r w:rsidRPr="00EB4620">
        <w:rPr>
          <w:lang w:eastAsia="en-GB"/>
        </w:rPr>
        <w:t>patients undergoing cardiac surgery for congenital heart disease.</w:t>
      </w:r>
      <w:hyperlink w:anchor="_ENREF_75" w:tooltip="Wilkinson, 2014 #192" w:history="1">
        <w:r w:rsidR="00E62798">
          <w:fldChar w:fldCharType="begin">
            <w:fldData xml:space="preserve">PEVuZE5vdGU+PENpdGU+PEF1dGhvcj5XaWxraW5zb248L0F1dGhvcj48WWVhcj4yMDE0PC9ZZWFy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</w:fldData>
          </w:fldChar>
        </w:r>
        <w:r w:rsidR="00E62798">
          <w:instrText xml:space="preserve"> ADDIN EN.CITE </w:instrText>
        </w:r>
        <w:r w:rsidR="00E62798">
          <w:fldChar w:fldCharType="begin">
            <w:fldData xml:space="preserve">PEVuZE5vdGU+PENpdGU+PEF1dGhvcj5XaWxraW5zb248L0F1dGhvcj48WWVhcj4yMDE0PC9ZZWFy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75</w:t>
        </w:r>
        <w:r w:rsidR="00E62798">
          <w:fldChar w:fldCharType="end"/>
        </w:r>
      </w:hyperlink>
      <w:r>
        <w:t xml:space="preserve"> The review identified </w:t>
      </w:r>
      <w:r w:rsidRPr="00EB4620">
        <w:t>two Level II studies</w:t>
      </w:r>
      <w:hyperlink w:anchor="_ENREF_76" w:tooltip="Cholette, 2011 #155" w:history="1">
        <w:r w:rsidR="00E62798">
          <w:fldChar w:fldCharType="begin">
            <w:fldData xml:space="preserve">PEVuZE5vdGU+PENpdGU+PEF1dGhvcj5DaG9sZXR0ZTwvQXV0aG9yPjxZZWFyPjIwMTE8L1llYXI+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==
</w:fldData>
          </w:fldChar>
        </w:r>
        <w:r w:rsidR="00E62798">
          <w:instrText xml:space="preserve"> ADDIN EN.CITE </w:instrText>
        </w:r>
        <w:r w:rsidR="00E62798">
          <w:fldChar w:fldCharType="begin">
            <w:fldData xml:space="preserve">PEVuZE5vdGU+PENpdGU+PEF1dGhvcj5DaG9sZXR0ZTwvQXV0aG9yPjxZZWFyPjIwMTE8L1llYXI+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==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76-77</w:t>
        </w:r>
        <w:r w:rsidR="00E62798">
          <w:fldChar w:fldCharType="end"/>
        </w:r>
      </w:hyperlink>
      <w:r w:rsidRPr="00EB4620">
        <w:rPr>
          <w:lang w:eastAsia="en-GB"/>
        </w:rPr>
        <w:t xml:space="preserve"> </w:t>
      </w:r>
      <w:r>
        <w:rPr>
          <w:lang w:eastAsia="en-GB"/>
        </w:rPr>
        <w:t>of poor to good quality. It al</w:t>
      </w:r>
      <w:r w:rsidR="00D52DD4">
        <w:rPr>
          <w:lang w:eastAsia="en-GB"/>
        </w:rPr>
        <w:t>so identified one good-quality Level II</w:t>
      </w:r>
      <w:r>
        <w:rPr>
          <w:lang w:eastAsia="en-GB"/>
        </w:rPr>
        <w:t xml:space="preserve"> trial</w:t>
      </w:r>
      <w:hyperlink w:anchor="_ENREF_78" w:tooltip="Rouette, 2010 #183" w:history="1">
        <w:r w:rsidR="00E62798">
          <w:rPr>
            <w:lang w:eastAsia="en-GB"/>
          </w:rPr>
          <w:fldChar w:fldCharType="begin">
            <w:fldData xml:space="preserve">PEVuZE5vdGU+PENpdGU+PEF1dGhvcj5Sb3VldHRlPC9BdXRob3I+PFllYXI+MjAxMDwvWWVhcj48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PEVuZE5vdGU+PENpdGU+PEF1dGhvcj5Sb3VldHRlPC9BdXRob3I+PFllYXI+MjAxMDwvWWVhcj48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78</w:t>
        </w:r>
        <w:r w:rsidR="00E62798">
          <w:rPr>
            <w:lang w:eastAsia="en-GB"/>
          </w:rPr>
          <w:fldChar w:fldCharType="end"/>
        </w:r>
      </w:hyperlink>
      <w:r>
        <w:rPr>
          <w:lang w:eastAsia="en-GB"/>
        </w:rPr>
        <w:t xml:space="preserve"> </w:t>
      </w:r>
      <w:r w:rsidR="005C1F80">
        <w:rPr>
          <w:lang w:eastAsia="en-GB"/>
        </w:rPr>
        <w:t>that reviewed post</w:t>
      </w:r>
      <w:r w:rsidRPr="00393D67">
        <w:rPr>
          <w:lang w:eastAsia="en-GB"/>
        </w:rPr>
        <w:t>operative general surgery patients</w:t>
      </w:r>
      <w:r>
        <w:rPr>
          <w:lang w:eastAsia="en-GB"/>
        </w:rPr>
        <w:t xml:space="preserve">, and another </w:t>
      </w:r>
      <w:r w:rsidRPr="00393D67">
        <w:rPr>
          <w:lang w:eastAsia="en-GB"/>
        </w:rPr>
        <w:t>trial</w:t>
      </w:r>
      <w:hyperlink w:anchor="_ENREF_79" w:tooltip="Robitaille, 2013 #182" w:history="1">
        <w:r w:rsidR="00E62798">
          <w:rPr>
            <w:lang w:eastAsia="en-GB"/>
          </w:rPr>
          <w:fldChar w:fldCharType="begin">
            <w:fldData xml:space="preserve">PEVuZE5vdGU+PENpdGU+PEF1dGhvcj5Sb2JpdGFpbGxlPC9BdXRob3I+PFllYXI+MjAxMzwvWWVh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PEVuZE5vdGU+PENpdGU+PEF1dGhvcj5Sb2JpdGFpbGxlPC9BdXRob3I+PFllYXI+MjAxMzwvWWVh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79</w:t>
        </w:r>
        <w:r w:rsidR="00E62798">
          <w:rPr>
            <w:lang w:eastAsia="en-GB"/>
          </w:rPr>
          <w:fldChar w:fldCharType="end"/>
        </w:r>
      </w:hyperlink>
      <w:r w:rsidRPr="00393D67">
        <w:rPr>
          <w:lang w:eastAsia="en-GB"/>
        </w:rPr>
        <w:t xml:space="preserve"> </w:t>
      </w:r>
      <w:r>
        <w:rPr>
          <w:lang w:eastAsia="en-GB"/>
        </w:rPr>
        <w:t xml:space="preserve">that met the </w:t>
      </w:r>
      <w:r w:rsidRPr="00393D67">
        <w:rPr>
          <w:lang w:eastAsia="en-GB"/>
        </w:rPr>
        <w:t>inclusion criteria</w:t>
      </w:r>
      <w:r>
        <w:rPr>
          <w:lang w:eastAsia="en-GB"/>
        </w:rPr>
        <w:t xml:space="preserve"> of this systematic review,</w:t>
      </w:r>
      <w:r w:rsidRPr="00393D67">
        <w:rPr>
          <w:lang w:eastAsia="en-GB"/>
        </w:rPr>
        <w:t xml:space="preserve"> but was stopped early and did not provide usable data.</w:t>
      </w:r>
    </w:p>
    <w:p w14:paraId="024B5F8F" w14:textId="675C989B" w:rsidR="00E66069" w:rsidRDefault="00E66069" w:rsidP="00E66069">
      <w:pPr>
        <w:rPr>
          <w:lang w:eastAsia="en-GB"/>
        </w:rPr>
      </w:pPr>
      <w:r>
        <w:rPr>
          <w:lang w:eastAsia="en-GB"/>
        </w:rPr>
        <w:t>Two of the Level II studies</w:t>
      </w:r>
      <w:hyperlink w:anchor="_ENREF_77" w:tooltip="Willems, 2010 #193" w:history="1">
        <w:r w:rsidR="00E62798">
          <w:rPr>
            <w:lang w:eastAsia="en-GB"/>
          </w:rPr>
          <w:fldChar w:fldCharType="begin">
            <w:fldData xml:space="preserve">PEVuZE5vdGU+PENpdGU+PEF1dGhvcj5Sb3VldHRlPC9BdXRob3I+PFllYXI+MjAxMDwvWWVhcj48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PEVuZE5vdGU+PENpdGU+PEF1dGhvcj5Sb3VldHRlPC9BdXRob3I+PFllYXI+MjAxMDwvWWVhcj48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77-78</w:t>
        </w:r>
        <w:r w:rsidR="00E62798">
          <w:rPr>
            <w:lang w:eastAsia="en-GB"/>
          </w:rPr>
          <w:fldChar w:fldCharType="end"/>
        </w:r>
      </w:hyperlink>
      <w:r>
        <w:rPr>
          <w:lang w:eastAsia="en-GB"/>
        </w:rPr>
        <w:t xml:space="preserve"> reported data from two separate subgroups enrolled in the TRIPICU (</w:t>
      </w:r>
      <w:r w:rsidRPr="00357CD0">
        <w:rPr>
          <w:rFonts w:eastAsiaTheme="minorHAnsi" w:cs="Times New Roman"/>
          <w:color w:val="231F20"/>
          <w:lang w:val="en-US" w:eastAsia="en-US"/>
        </w:rPr>
        <w:t>Transfusion Requirements</w:t>
      </w:r>
      <w:r>
        <w:rPr>
          <w:rFonts w:eastAsiaTheme="minorHAnsi" w:cs="Times New Roman"/>
          <w:color w:val="231F20"/>
          <w:lang w:val="en-US" w:eastAsia="en-US"/>
        </w:rPr>
        <w:t xml:space="preserve"> </w:t>
      </w:r>
      <w:r w:rsidRPr="00357CD0">
        <w:rPr>
          <w:rFonts w:eastAsiaTheme="minorHAnsi" w:cs="Times New Roman"/>
          <w:color w:val="231F20"/>
          <w:lang w:val="en-US" w:eastAsia="en-US"/>
        </w:rPr>
        <w:t>in Pediatric Intensive Care Units</w:t>
      </w:r>
      <w:r>
        <w:rPr>
          <w:lang w:eastAsia="en-GB"/>
        </w:rPr>
        <w:t>) study,</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Pr>
          <w:lang w:eastAsia="en-GB"/>
        </w:rPr>
        <w:t xml:space="preserve"> which is reported in the critical care </w:t>
      </w:r>
      <w:r w:rsidRPr="00F41C1F">
        <w:rPr>
          <w:lang w:eastAsia="en-GB"/>
        </w:rPr>
        <w:t>section</w:t>
      </w:r>
      <w:r w:rsidR="005C1F80" w:rsidRPr="00F41C1F">
        <w:rPr>
          <w:lang w:eastAsia="en-GB"/>
        </w:rPr>
        <w:t xml:space="preserve"> (Section 3.2.7)</w:t>
      </w:r>
      <w:r w:rsidRPr="00F41C1F">
        <w:rPr>
          <w:lang w:eastAsia="en-GB"/>
        </w:rPr>
        <w:t>.</w:t>
      </w:r>
      <w:r>
        <w:rPr>
          <w:lang w:eastAsia="en-GB"/>
        </w:rPr>
        <w:t xml:space="preserve"> </w:t>
      </w:r>
    </w:p>
    <w:p w14:paraId="209D954B" w14:textId="77777777" w:rsidR="00E66069" w:rsidRDefault="00E66069" w:rsidP="00E66069">
      <w:pPr>
        <w:pStyle w:val="Heading5"/>
      </w:pPr>
      <w:r w:rsidRPr="00EB4620">
        <w:t>Mortality</w:t>
      </w:r>
    </w:p>
    <w:p w14:paraId="58751565" w14:textId="64F67FE0" w:rsidR="00E66069" w:rsidRDefault="00E66069" w:rsidP="00E66069">
      <w:pPr>
        <w:rPr>
          <w:lang w:eastAsia="en-GB"/>
        </w:rPr>
      </w:pPr>
      <w:r>
        <w:rPr>
          <w:lang w:eastAsia="en-GB"/>
        </w:rPr>
        <w:t xml:space="preserve">Three </w:t>
      </w:r>
      <w:r w:rsidR="00D52DD4">
        <w:rPr>
          <w:lang w:eastAsia="en-GB"/>
        </w:rPr>
        <w:t xml:space="preserve">Level II </w:t>
      </w:r>
      <w:r>
        <w:rPr>
          <w:lang w:eastAsia="en-GB"/>
        </w:rPr>
        <w:t>studies reported mortality and did not find a significant difference between transfusion strategies.</w:t>
      </w:r>
      <w:hyperlink w:anchor="_ENREF_76" w:tooltip="Cholette, 2011 #155" w:history="1">
        <w:r w:rsidR="00E62798">
          <w:rPr>
            <w:lang w:eastAsia="en-GB"/>
          </w:rPr>
          <w:fldChar w:fldCharType="begin">
            <w:fldData xml:space="preserve">PEVuZE5vdGU+PENpdGU+PEF1dGhvcj5DaG9sZXR0ZTwvQXV0aG9yPjxZZWFyPjIwMTE8L1llYXI+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</w:fldData>
          </w:fldChar>
        </w:r>
        <w:r w:rsidR="00E62798">
          <w:rPr>
            <w:lang w:eastAsia="en-GB"/>
          </w:rPr>
          <w:instrText xml:space="preserve"> ADDIN EN.CITE </w:instrText>
        </w:r>
        <w:r w:rsidR="00E62798">
          <w:rPr>
            <w:lang w:eastAsia="en-GB"/>
          </w:rPr>
          <w:fldChar w:fldCharType="begin">
            <w:fldData xml:space="preserve">PEVuZE5vdGU+PENpdGU+PEF1dGhvcj5DaG9sZXR0ZTwvQXV0aG9yPjxZZWFyPjIwMTE8L1llYXI+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76-78</w:t>
        </w:r>
        <w:r w:rsidR="00E62798">
          <w:rPr>
            <w:lang w:eastAsia="en-GB"/>
          </w:rPr>
          <w:fldChar w:fldCharType="end"/>
        </w:r>
      </w:hyperlink>
    </w:p>
    <w:p w14:paraId="1EC2A88C" w14:textId="25779431" w:rsidR="00E66069" w:rsidRPr="00C05EEF" w:rsidRDefault="00E66069" w:rsidP="004361C8">
      <w:pPr>
        <w:pStyle w:val="Heading5"/>
        <w:rPr>
          <w:lang w:val="en-AU"/>
        </w:rPr>
      </w:pPr>
      <w:r w:rsidRPr="00EB4620">
        <w:t xml:space="preserve">New or progressive </w:t>
      </w:r>
      <w:r w:rsidR="00C05EEF">
        <w:rPr>
          <w:lang w:val="en-AU"/>
        </w:rPr>
        <w:t>MODS</w:t>
      </w:r>
    </w:p>
    <w:p w14:paraId="2CC8C912" w14:textId="709416DA" w:rsidR="00E66069" w:rsidRDefault="00E66069" w:rsidP="00E66069">
      <w:pPr>
        <w:rPr>
          <w:lang w:eastAsia="en-GB"/>
        </w:rPr>
      </w:pPr>
      <w:r>
        <w:rPr>
          <w:lang w:eastAsia="en-GB"/>
        </w:rPr>
        <w:t xml:space="preserve">Two </w:t>
      </w:r>
      <w:r w:rsidR="00D52DD4">
        <w:rPr>
          <w:lang w:eastAsia="en-GB"/>
        </w:rPr>
        <w:t xml:space="preserve">Level II </w:t>
      </w:r>
      <w:r>
        <w:rPr>
          <w:lang w:eastAsia="en-GB"/>
        </w:rPr>
        <w:t>studies reported outcomes for MOD</w:t>
      </w:r>
      <w:r w:rsidR="00C05EEF">
        <w:rPr>
          <w:lang w:eastAsia="en-GB"/>
        </w:rPr>
        <w:t>S</w:t>
      </w:r>
      <w:r>
        <w:rPr>
          <w:lang w:eastAsia="en-GB"/>
        </w:rPr>
        <w:t>.</w:t>
      </w:r>
      <w:hyperlink w:anchor="_ENREF_77" w:tooltip="Willems, 2010 #193" w:history="1">
        <w:r w:rsidR="00E62798">
          <w:rPr>
            <w:lang w:eastAsia="en-GB"/>
          </w:rPr>
          <w:fldChar w:fldCharType="begin">
            <w:fldData xml:space="preserve">PEVuZE5vdGU+PENpdGU+PEF1dGhvcj5Sb3VldHRlPC9BdXRob3I+PFllYXI+MjAxMDwvWWVhcj48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</w:fldData>
          </w:fldChar>
        </w:r>
        <w:r w:rsidR="00E62798">
          <w:rPr>
            <w:lang w:eastAsia="en-GB"/>
          </w:rPr>
          <w:instrText xml:space="preserve"> ADDIN EN.CITE </w:instrText>
        </w:r>
        <w:r w:rsidR="00E62798">
          <w:rPr>
            <w:lang w:eastAsia="en-GB"/>
          </w:rPr>
          <w:fldChar w:fldCharType="begin">
            <w:fldData xml:space="preserve">PEVuZE5vdGU+PENpdGU+PEF1dGhvcj5Sb3VldHRlPC9BdXRob3I+PFllYXI+MjAxMDwvWWVhcj48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77-78</w:t>
        </w:r>
        <w:r w:rsidR="00E62798">
          <w:rPr>
            <w:lang w:eastAsia="en-GB"/>
          </w:rPr>
          <w:fldChar w:fldCharType="end"/>
        </w:r>
      </w:hyperlink>
      <w:r>
        <w:rPr>
          <w:lang w:eastAsia="en-GB"/>
        </w:rPr>
        <w:t xml:space="preserve"> Both found no significant difference in new or progressive </w:t>
      </w:r>
      <w:r w:rsidR="00C05EEF">
        <w:rPr>
          <w:lang w:eastAsia="en-GB"/>
        </w:rPr>
        <w:t xml:space="preserve">MODS </w:t>
      </w:r>
      <w:r>
        <w:rPr>
          <w:lang w:eastAsia="en-GB"/>
        </w:rPr>
        <w:t>between transfusion strategies.</w:t>
      </w:r>
    </w:p>
    <w:p w14:paraId="2DD67296" w14:textId="0759B69F" w:rsidR="00E66069" w:rsidRPr="00EB4620" w:rsidRDefault="00E66069" w:rsidP="005C1F80">
      <w:pPr>
        <w:pStyle w:val="Heading5"/>
      </w:pPr>
      <w:r w:rsidRPr="00EB4620">
        <w:t>Transfusion-related serious adverse events</w:t>
      </w:r>
    </w:p>
    <w:p w14:paraId="16F69D11" w14:textId="12069EDD" w:rsidR="00E66069" w:rsidRDefault="00E66069" w:rsidP="00E66069">
      <w:pPr>
        <w:rPr>
          <w:lang w:eastAsia="en-GB"/>
        </w:rPr>
      </w:pPr>
      <w:r>
        <w:rPr>
          <w:lang w:eastAsia="en-GB"/>
        </w:rPr>
        <w:t xml:space="preserve">One </w:t>
      </w:r>
      <w:r w:rsidR="00D52DD4">
        <w:rPr>
          <w:lang w:eastAsia="en-GB"/>
        </w:rPr>
        <w:t xml:space="preserve">Level II </w:t>
      </w:r>
      <w:r>
        <w:rPr>
          <w:lang w:eastAsia="en-GB"/>
        </w:rPr>
        <w:t xml:space="preserve">study reported transfusion-related </w:t>
      </w:r>
      <w:r w:rsidR="00C05EEF">
        <w:rPr>
          <w:lang w:eastAsia="en-GB"/>
        </w:rPr>
        <w:t>serious adverse event</w:t>
      </w:r>
      <w:r>
        <w:rPr>
          <w:lang w:eastAsia="en-GB"/>
        </w:rPr>
        <w:t>s.</w:t>
      </w:r>
      <w:hyperlink w:anchor="_ENREF_77" w:tooltip="Willems, 2010 #193" w:history="1">
        <w:r w:rsidR="00E62798">
          <w:rPr>
            <w:lang w:eastAsia="en-GB"/>
          </w:rPr>
          <w:fldChar w:fldCharType="begin">
            <w:fldData xml:space="preserve">PEVuZE5vdGU+PENpdGU+PEF1dGhvcj5XaWxsZW1zPC9BdXRob3I+PFllYXI+MjAxMDwvWWVhcj48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</w:fldData>
          </w:fldChar>
        </w:r>
        <w:r w:rsidR="00E62798">
          <w:rPr>
            <w:lang w:eastAsia="en-GB"/>
          </w:rPr>
          <w:instrText xml:space="preserve"> ADDIN EN.CITE </w:instrText>
        </w:r>
        <w:r w:rsidR="00E62798">
          <w:rPr>
            <w:lang w:eastAsia="en-GB"/>
          </w:rPr>
          <w:fldChar w:fldCharType="begin">
            <w:fldData xml:space="preserve">PEVuZE5vdGU+PENpdGU+PEF1dGhvcj5XaWxsZW1zPC9BdXRob3I+PFllYXI+MjAxMDwvWWVhcj48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77</w:t>
        </w:r>
        <w:r w:rsidR="00E62798">
          <w:rPr>
            <w:lang w:eastAsia="en-GB"/>
          </w:rPr>
          <w:fldChar w:fldCharType="end"/>
        </w:r>
      </w:hyperlink>
      <w:r>
        <w:rPr>
          <w:lang w:eastAsia="en-GB"/>
        </w:rPr>
        <w:t xml:space="preserve"> It found no significant difference in the number of transfusion reactions between transfusion groups, but was underpowered for this outcome.</w:t>
      </w:r>
    </w:p>
    <w:p w14:paraId="0DF44DFA" w14:textId="77777777" w:rsidR="00E66069" w:rsidRPr="00E82976" w:rsidRDefault="00E66069" w:rsidP="00B54640">
      <w:pPr>
        <w:pStyle w:val="BoxHeading"/>
      </w:pPr>
      <w:r w:rsidRPr="00E82976">
        <w:t>Clinical commentary</w:t>
      </w:r>
      <w:r>
        <w:t xml:space="preserve"> – effect of RBC transfusion in neonatal and </w:t>
      </w:r>
      <w:r w:rsidRPr="00EB4620">
        <w:t xml:space="preserve">paediatric patients </w:t>
      </w:r>
      <w:r>
        <w:t>undergoing surgery</w:t>
      </w:r>
    </w:p>
    <w:p w14:paraId="70601728" w14:textId="0AFA8775" w:rsidR="00E66069" w:rsidRPr="004A0EF6" w:rsidRDefault="00E66069" w:rsidP="00B54640">
      <w:pPr>
        <w:pStyle w:val="BoxText"/>
      </w:pPr>
      <w:r w:rsidRPr="004A0EF6">
        <w:t xml:space="preserve">In the absence of direct evidence to support recommendations for </w:t>
      </w:r>
      <w:r>
        <w:t xml:space="preserve">RBC transfusion in neonatal and </w:t>
      </w:r>
      <w:r w:rsidRPr="004A0EF6">
        <w:t xml:space="preserve">paediatric </w:t>
      </w:r>
      <w:r>
        <w:t>patients undergoing surgery</w:t>
      </w:r>
      <w:r w:rsidRPr="004A0EF6">
        <w:t>, evidence from other patient groups, expert CRG consensus and other modules in this series (</w:t>
      </w:r>
      <w:r w:rsidRPr="000B7473">
        <w:rPr>
          <w:i/>
        </w:rPr>
        <w:t>Medical</w:t>
      </w:r>
      <w:r w:rsidRPr="00297478">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Pr="002C2982">
        <w:t xml:space="preserve"> </w:t>
      </w:r>
      <w:r w:rsidRPr="000B7473">
        <w:rPr>
          <w:i/>
        </w:rPr>
        <w:t>Perioperative</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rsidRPr="00297478">
        <w:t xml:space="preserve"> </w:t>
      </w:r>
      <w:r>
        <w:t xml:space="preserve">and </w:t>
      </w:r>
      <w:r w:rsidRPr="000B7473">
        <w:rPr>
          <w:i/>
        </w:rPr>
        <w:t>Critical care</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r w:rsidRPr="004A0EF6">
        <w:t>) was applied to derive a series of practice points</w:t>
      </w:r>
      <w:r>
        <w:t xml:space="preserve"> (s</w:t>
      </w:r>
      <w:r w:rsidRPr="004A0EF6">
        <w:t xml:space="preserve">ee </w:t>
      </w:r>
      <w:r>
        <w:t>R1 and PPs 1, 3, 5, 6, 8, 9 and 12).</w:t>
      </w:r>
    </w:p>
    <w:p w14:paraId="3165413C" w14:textId="3795044C" w:rsidR="00E66069" w:rsidRDefault="00E66069" w:rsidP="00B54640">
      <w:pPr>
        <w:pStyle w:val="BoxText"/>
      </w:pPr>
      <w:r w:rsidRPr="006C1C16">
        <w:t>In neonatal</w:t>
      </w:r>
      <w:r w:rsidR="00A41D9F">
        <w:t xml:space="preserve"> and paediatric</w:t>
      </w:r>
      <w:r w:rsidRPr="006C1C16">
        <w:t xml:space="preserve"> surgical patients in whom substantial blood loss is anticipated, preoperative anaemia </w:t>
      </w:r>
      <w:r w:rsidRPr="005108D9">
        <w:t>and iron deficiency should</w:t>
      </w:r>
      <w:r w:rsidRPr="006C1C16">
        <w:t xml:space="preserve"> be identified, evaluated and managed to minimise RBC transfusion.</w:t>
      </w:r>
      <w:r>
        <w:t xml:space="preserve"> </w:t>
      </w:r>
    </w:p>
    <w:p w14:paraId="14845D43" w14:textId="77777777" w:rsidR="00E66069" w:rsidRDefault="00E66069" w:rsidP="00B54640">
      <w:pPr>
        <w:pStyle w:val="BoxText"/>
      </w:pPr>
      <w:r w:rsidRPr="004A0EF6">
        <w:t>RBC transfusions may be administered in the p</w:t>
      </w:r>
      <w:r>
        <w:t>eri</w:t>
      </w:r>
      <w:r w:rsidRPr="004A0EF6">
        <w:t xml:space="preserve">operative period to replace blood loss and treat anaemia. Neonates and paediatric patients have age-dependent normal reference ranges for </w:t>
      </w:r>
      <w:r>
        <w:t>Hb; however,</w:t>
      </w:r>
      <w:r w:rsidRPr="004A0EF6">
        <w:t xml:space="preserve"> the optimal </w:t>
      </w:r>
      <w:r>
        <w:t>Hb</w:t>
      </w:r>
      <w:r w:rsidRPr="004A0EF6">
        <w:t xml:space="preserve"> threshold for transfusion is unknown. </w:t>
      </w:r>
    </w:p>
    <w:p w14:paraId="34FA8B3D" w14:textId="77777777" w:rsidR="00E66069" w:rsidRDefault="00E66069" w:rsidP="00B54640">
      <w:pPr>
        <w:pStyle w:val="BoxText"/>
      </w:pPr>
      <w:r w:rsidRPr="004A0EF6">
        <w:t xml:space="preserve">Any transfusion </w:t>
      </w:r>
      <w:r>
        <w:t>has</w:t>
      </w:r>
      <w:r w:rsidRPr="004A0EF6">
        <w:t xml:space="preserve"> </w:t>
      </w:r>
      <w:r>
        <w:t xml:space="preserve">potential </w:t>
      </w:r>
      <w:r w:rsidRPr="004A0EF6">
        <w:t>risks</w:t>
      </w:r>
      <w:r>
        <w:t xml:space="preserve"> such as</w:t>
      </w:r>
      <w:r w:rsidRPr="004A0EF6">
        <w:t xml:space="preserve"> transfusion reactions, circulatory overload</w:t>
      </w:r>
      <w:r>
        <w:t xml:space="preserve">, </w:t>
      </w:r>
      <w:r w:rsidRPr="004A0EF6">
        <w:t>infection</w:t>
      </w:r>
      <w:r>
        <w:t xml:space="preserve"> and alloimmunisation</w:t>
      </w:r>
      <w:r w:rsidRPr="004A0EF6">
        <w:t>.</w:t>
      </w:r>
      <w:r>
        <w:t xml:space="preserve"> </w:t>
      </w:r>
    </w:p>
    <w:p w14:paraId="0ABC69F9" w14:textId="13790BAE" w:rsidR="00E66069" w:rsidRDefault="00E66069" w:rsidP="00E66069">
      <w:pPr>
        <w:pStyle w:val="Heading3"/>
        <w:rPr>
          <w:lang w:eastAsia="en-GB"/>
        </w:rPr>
      </w:pPr>
      <w:bookmarkStart w:id="108" w:name="_Toc398542772"/>
      <w:bookmarkStart w:id="109" w:name="_Toc426976830"/>
      <w:bookmarkStart w:id="110" w:name="_Toc427851322"/>
      <w:bookmarkEnd w:id="80"/>
      <w:bookmarkEnd w:id="81"/>
      <w:bookmarkEnd w:id="82"/>
      <w:bookmarkEnd w:id="83"/>
      <w:bookmarkEnd w:id="84"/>
      <w:bookmarkEnd w:id="85"/>
      <w:bookmarkEnd w:id="86"/>
      <w:r>
        <w:rPr>
          <w:lang w:eastAsia="en-GB"/>
        </w:rPr>
        <w:t>3.2.7</w:t>
      </w:r>
      <w:r>
        <w:rPr>
          <w:lang w:eastAsia="en-GB"/>
        </w:rPr>
        <w:tab/>
        <w:t>C</w:t>
      </w:r>
      <w:r w:rsidRPr="00EB4620">
        <w:rPr>
          <w:lang w:eastAsia="en-GB"/>
        </w:rPr>
        <w:t xml:space="preserve">ritically ill </w:t>
      </w:r>
      <w:r w:rsidR="00797A43">
        <w:rPr>
          <w:lang w:val="en-AU" w:eastAsia="en-GB"/>
        </w:rPr>
        <w:t>neonatal and p</w:t>
      </w:r>
      <w:r w:rsidRPr="00EB4620">
        <w:rPr>
          <w:lang w:eastAsia="en-GB"/>
        </w:rPr>
        <w:t>aediatric patients</w:t>
      </w:r>
      <w:bookmarkEnd w:id="108"/>
      <w:r>
        <w:rPr>
          <w:lang w:eastAsia="en-GB"/>
        </w:rPr>
        <w:t xml:space="preserve"> – effect of RBC transfusion on patient outcomes</w:t>
      </w:r>
      <w:bookmarkEnd w:id="109"/>
      <w:bookmarkEnd w:id="110"/>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E66069" w:rsidRPr="00A21FE4" w14:paraId="730CB34E"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793A1B84" w14:textId="5507B7D7" w:rsidR="00E66069" w:rsidRPr="00A21FE4" w:rsidRDefault="00E66069" w:rsidP="006D11A2">
            <w:pPr>
              <w:pStyle w:val="PP-heading"/>
            </w:pPr>
            <w:r w:rsidRPr="00A21FE4">
              <w:t>Evidence statements – critically ill (</w:t>
            </w:r>
            <w:r w:rsidR="006D11A2">
              <w:rPr>
                <w:lang w:val="en-AU"/>
              </w:rPr>
              <w:t xml:space="preserve">RBC </w:t>
            </w:r>
            <w:r w:rsidRPr="00A21FE4">
              <w:t>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53EA1A5" w14:textId="77777777" w:rsidR="00E66069" w:rsidRPr="00A21FE4" w:rsidRDefault="00E66069" w:rsidP="00AB4C4F">
            <w:pPr>
              <w:ind w:left="113" w:right="113"/>
              <w:jc w:val="center"/>
              <w:rPr>
                <w:b/>
              </w:rPr>
            </w:pPr>
            <w:r w:rsidRPr="00A21FE4">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ECC192D" w14:textId="77777777" w:rsidR="00E66069" w:rsidRPr="00A21FE4" w:rsidRDefault="00E66069" w:rsidP="00AB4C4F">
            <w:pPr>
              <w:ind w:left="113" w:right="113"/>
              <w:jc w:val="center"/>
              <w:rPr>
                <w:b/>
              </w:rPr>
            </w:pPr>
            <w:r w:rsidRPr="00A21FE4">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6EE8BD8" w14:textId="77777777" w:rsidR="00E66069" w:rsidRPr="00A21FE4" w:rsidRDefault="00E66069" w:rsidP="00AB4C4F">
            <w:pPr>
              <w:ind w:left="113" w:right="113"/>
              <w:jc w:val="center"/>
              <w:rPr>
                <w:b/>
              </w:rPr>
            </w:pPr>
            <w:r w:rsidRPr="00A21FE4">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877B5A9" w14:textId="77777777" w:rsidR="00E66069" w:rsidRPr="00A21FE4" w:rsidRDefault="00E66069" w:rsidP="00AB4C4F">
            <w:pPr>
              <w:ind w:left="113" w:right="113"/>
              <w:jc w:val="center"/>
              <w:rPr>
                <w:b/>
              </w:rPr>
            </w:pPr>
            <w:r w:rsidRPr="00A21FE4">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380E638" w14:textId="77777777" w:rsidR="00E66069" w:rsidRPr="00A21FE4" w:rsidRDefault="00E66069" w:rsidP="00AB4C4F">
            <w:pPr>
              <w:ind w:left="113" w:right="113"/>
              <w:jc w:val="center"/>
              <w:rPr>
                <w:b/>
              </w:rPr>
            </w:pPr>
            <w:r w:rsidRPr="00A21FE4">
              <w:rPr>
                <w:b/>
              </w:rPr>
              <w:t>Applicability</w:t>
            </w:r>
          </w:p>
        </w:tc>
      </w:tr>
      <w:tr w:rsidR="00E66069" w:rsidRPr="00A21FE4" w14:paraId="69F11BA2" w14:textId="77777777" w:rsidTr="00AB4C4F">
        <w:trPr>
          <w:cantSplit/>
        </w:trPr>
        <w:tc>
          <w:tcPr>
            <w:tcW w:w="851" w:type="dxa"/>
          </w:tcPr>
          <w:p w14:paraId="4947A3AF" w14:textId="77777777" w:rsidR="00E66069" w:rsidRPr="00A21FE4" w:rsidRDefault="00E66069" w:rsidP="00AB4C4F">
            <w:pPr>
              <w:pStyle w:val="Tabletextnoindent"/>
              <w:numPr>
                <w:ilvl w:val="0"/>
                <w:numId w:val="0"/>
              </w:numPr>
            </w:pPr>
            <w:r w:rsidRPr="005778A6">
              <w:t>ES1.33</w:t>
            </w:r>
          </w:p>
        </w:tc>
        <w:tc>
          <w:tcPr>
            <w:tcW w:w="3750" w:type="dxa"/>
          </w:tcPr>
          <w:p w14:paraId="5C5F3D39" w14:textId="77777777" w:rsidR="00E66069" w:rsidRPr="00A21FE4" w:rsidRDefault="00E66069" w:rsidP="00AB4C4F">
            <w:pPr>
              <w:pStyle w:val="ES-table"/>
            </w:pPr>
            <w:r w:rsidRPr="00A21FE4">
              <w:t>In critically ill neonatal and paediatric patients, the effect of RBC transfusion compared with no transfusion on mortality is uncertain.</w:t>
            </w:r>
          </w:p>
          <w:p w14:paraId="4CBCACF1" w14:textId="77777777" w:rsidR="00E66069" w:rsidRPr="00A21FE4" w:rsidRDefault="00E66069" w:rsidP="00AB4C4F">
            <w:pPr>
              <w:pStyle w:val="ES-notes"/>
            </w:pPr>
            <w:r w:rsidRPr="00A21FE4">
              <w:t>(See evidence matrix D1.R in Volume 2 of the technical report.)</w:t>
            </w:r>
          </w:p>
        </w:tc>
        <w:tc>
          <w:tcPr>
            <w:tcW w:w="809" w:type="dxa"/>
          </w:tcPr>
          <w:p w14:paraId="7D436F57" w14:textId="77777777" w:rsidR="00E66069" w:rsidRPr="00A21FE4" w:rsidRDefault="00E66069" w:rsidP="00AB4C4F">
            <w:pPr>
              <w:pStyle w:val="T-ABCD"/>
            </w:pPr>
            <w:r w:rsidRPr="00A21FE4">
              <w:sym w:font="Symbol" w:char="F0D6"/>
            </w:r>
          </w:p>
        </w:tc>
        <w:tc>
          <w:tcPr>
            <w:tcW w:w="809" w:type="dxa"/>
          </w:tcPr>
          <w:p w14:paraId="1F135BFC" w14:textId="77777777" w:rsidR="00E66069" w:rsidRPr="00A21FE4" w:rsidRDefault="00E66069" w:rsidP="00AB4C4F">
            <w:pPr>
              <w:pStyle w:val="T-ABCD"/>
            </w:pPr>
            <w:r w:rsidRPr="00A21FE4">
              <w:sym w:font="Symbol" w:char="F0D6"/>
            </w:r>
            <w:r w:rsidRPr="00A21FE4">
              <w:sym w:font="Symbol" w:char="F0D6"/>
            </w:r>
          </w:p>
        </w:tc>
        <w:tc>
          <w:tcPr>
            <w:tcW w:w="809" w:type="dxa"/>
          </w:tcPr>
          <w:p w14:paraId="44BCA44B" w14:textId="77777777" w:rsidR="00E66069" w:rsidRPr="00A21FE4" w:rsidRDefault="00E66069" w:rsidP="00AB4C4F">
            <w:pPr>
              <w:pStyle w:val="T-ABCD"/>
            </w:pPr>
            <w:r w:rsidRPr="00A21FE4">
              <w:t>X</w:t>
            </w:r>
          </w:p>
        </w:tc>
        <w:tc>
          <w:tcPr>
            <w:tcW w:w="809" w:type="dxa"/>
          </w:tcPr>
          <w:p w14:paraId="13F7B19B" w14:textId="77777777" w:rsidR="00E66069" w:rsidRPr="00A21FE4" w:rsidRDefault="00E66069" w:rsidP="00AB4C4F">
            <w:pPr>
              <w:pStyle w:val="T-ABCD"/>
            </w:pPr>
            <w:r w:rsidRPr="00A21FE4">
              <w:sym w:font="Symbol" w:char="F0D6"/>
            </w:r>
            <w:r w:rsidRPr="00A21FE4">
              <w:sym w:font="Symbol" w:char="F0D6"/>
            </w:r>
          </w:p>
        </w:tc>
        <w:tc>
          <w:tcPr>
            <w:tcW w:w="810" w:type="dxa"/>
          </w:tcPr>
          <w:p w14:paraId="2065516A" w14:textId="77777777" w:rsidR="00E66069" w:rsidRPr="00A21FE4" w:rsidRDefault="00E66069" w:rsidP="00AB4C4F">
            <w:pPr>
              <w:pStyle w:val="T-ABCD"/>
            </w:pPr>
            <w:r w:rsidRPr="00A21FE4">
              <w:sym w:font="Symbol" w:char="F0D6"/>
            </w:r>
          </w:p>
        </w:tc>
      </w:tr>
      <w:tr w:rsidR="00E66069" w:rsidRPr="00A21FE4" w14:paraId="46275823" w14:textId="77777777" w:rsidTr="00AB4C4F">
        <w:trPr>
          <w:cantSplit/>
        </w:trPr>
        <w:tc>
          <w:tcPr>
            <w:tcW w:w="851" w:type="dxa"/>
          </w:tcPr>
          <w:p w14:paraId="61BE04AB" w14:textId="77777777" w:rsidR="00E66069" w:rsidRPr="00A21FE4" w:rsidRDefault="00E66069" w:rsidP="00AB4C4F">
            <w:pPr>
              <w:pStyle w:val="Tabletextnoindent"/>
              <w:numPr>
                <w:ilvl w:val="0"/>
                <w:numId w:val="0"/>
              </w:numPr>
            </w:pPr>
            <w:r w:rsidRPr="005778A6">
              <w:t>ES1.34</w:t>
            </w:r>
          </w:p>
        </w:tc>
        <w:tc>
          <w:tcPr>
            <w:tcW w:w="3750" w:type="dxa"/>
          </w:tcPr>
          <w:p w14:paraId="51C606C3" w14:textId="77777777" w:rsidR="00E66069" w:rsidRPr="00A21FE4" w:rsidRDefault="00E66069" w:rsidP="00AB4C4F">
            <w:pPr>
              <w:pStyle w:val="ES-table"/>
            </w:pPr>
            <w:r w:rsidRPr="00A21FE4">
              <w:t>In critically ill neonatal and paediatric patients, the effect of RBC transfusion compared with no transfusion on new or progressive MODS is unknown.</w:t>
            </w:r>
          </w:p>
        </w:tc>
        <w:tc>
          <w:tcPr>
            <w:tcW w:w="809" w:type="dxa"/>
          </w:tcPr>
          <w:p w14:paraId="34FE3D3C" w14:textId="77777777" w:rsidR="00E66069" w:rsidRPr="00A21FE4" w:rsidRDefault="00E66069" w:rsidP="00AB4C4F">
            <w:pPr>
              <w:pStyle w:val="T-ABCD"/>
            </w:pPr>
            <w:r w:rsidRPr="00A21FE4">
              <w:t>NA</w:t>
            </w:r>
          </w:p>
        </w:tc>
        <w:tc>
          <w:tcPr>
            <w:tcW w:w="809" w:type="dxa"/>
          </w:tcPr>
          <w:p w14:paraId="187FEAD6" w14:textId="77777777" w:rsidR="00E66069" w:rsidRPr="00A21FE4" w:rsidRDefault="00E66069" w:rsidP="00AB4C4F">
            <w:pPr>
              <w:pStyle w:val="T-ABCD"/>
            </w:pPr>
            <w:r w:rsidRPr="00A21FE4">
              <w:t>NA</w:t>
            </w:r>
          </w:p>
        </w:tc>
        <w:tc>
          <w:tcPr>
            <w:tcW w:w="809" w:type="dxa"/>
          </w:tcPr>
          <w:p w14:paraId="7E60C484" w14:textId="77777777" w:rsidR="00E66069" w:rsidRPr="00A21FE4" w:rsidRDefault="00E66069" w:rsidP="00AB4C4F">
            <w:pPr>
              <w:pStyle w:val="T-ABCD"/>
            </w:pPr>
            <w:r w:rsidRPr="00A21FE4">
              <w:t>NA</w:t>
            </w:r>
          </w:p>
        </w:tc>
        <w:tc>
          <w:tcPr>
            <w:tcW w:w="809" w:type="dxa"/>
          </w:tcPr>
          <w:p w14:paraId="616005AB" w14:textId="77777777" w:rsidR="00E66069" w:rsidRPr="00A21FE4" w:rsidRDefault="00E66069" w:rsidP="00AB4C4F">
            <w:pPr>
              <w:pStyle w:val="T-ABCD"/>
            </w:pPr>
            <w:r w:rsidRPr="00A21FE4">
              <w:t>NA</w:t>
            </w:r>
          </w:p>
        </w:tc>
        <w:tc>
          <w:tcPr>
            <w:tcW w:w="810" w:type="dxa"/>
          </w:tcPr>
          <w:p w14:paraId="3BC66BEE" w14:textId="77777777" w:rsidR="00E66069" w:rsidRPr="00A21FE4" w:rsidRDefault="00E66069" w:rsidP="00AB4C4F">
            <w:pPr>
              <w:pStyle w:val="T-ABCD"/>
            </w:pPr>
            <w:r w:rsidRPr="00A21FE4">
              <w:t xml:space="preserve">NA </w:t>
            </w:r>
          </w:p>
        </w:tc>
      </w:tr>
      <w:tr w:rsidR="00E66069" w:rsidRPr="00A21FE4" w14:paraId="56708670" w14:textId="77777777" w:rsidTr="00AB4C4F">
        <w:trPr>
          <w:cantSplit/>
        </w:trPr>
        <w:tc>
          <w:tcPr>
            <w:tcW w:w="851" w:type="dxa"/>
          </w:tcPr>
          <w:p w14:paraId="6E6D05E9" w14:textId="77777777" w:rsidR="00E66069" w:rsidRPr="00A21FE4" w:rsidRDefault="00E66069" w:rsidP="00AB4C4F">
            <w:pPr>
              <w:pStyle w:val="Tabletextnoindent"/>
              <w:numPr>
                <w:ilvl w:val="0"/>
                <w:numId w:val="0"/>
              </w:numPr>
            </w:pPr>
            <w:r w:rsidRPr="005778A6">
              <w:t>ES1.35</w:t>
            </w:r>
          </w:p>
        </w:tc>
        <w:tc>
          <w:tcPr>
            <w:tcW w:w="3750" w:type="dxa"/>
          </w:tcPr>
          <w:p w14:paraId="6788BB9F" w14:textId="77777777" w:rsidR="00E66069" w:rsidRPr="00A21FE4" w:rsidRDefault="00E66069" w:rsidP="00AB4C4F">
            <w:pPr>
              <w:pStyle w:val="ES-table"/>
            </w:pPr>
            <w:r w:rsidRPr="00A21FE4">
              <w:t>In critically ill neonatal and paediatric patients, restrictive RBC transfusion compared with liberal RBC transfusion does not appear to have an effect on new or progressive MODS.</w:t>
            </w:r>
          </w:p>
          <w:p w14:paraId="0392A5E5" w14:textId="77777777" w:rsidR="00E66069" w:rsidRPr="00A21FE4" w:rsidRDefault="00E66069" w:rsidP="00AB4C4F">
            <w:pPr>
              <w:pStyle w:val="ES-notes"/>
            </w:pPr>
            <w:r w:rsidRPr="00A21FE4">
              <w:t>(See evidence matrix D1.S in Volume 2 of the technical report.)</w:t>
            </w:r>
          </w:p>
        </w:tc>
        <w:tc>
          <w:tcPr>
            <w:tcW w:w="809" w:type="dxa"/>
          </w:tcPr>
          <w:p w14:paraId="2BF30195" w14:textId="77777777" w:rsidR="00E66069" w:rsidRPr="00A21FE4" w:rsidRDefault="00E66069" w:rsidP="00AB4C4F">
            <w:pPr>
              <w:pStyle w:val="T-ABCD"/>
            </w:pPr>
            <w:r w:rsidRPr="00A21FE4">
              <w:sym w:font="Symbol" w:char="F0D6"/>
            </w:r>
            <w:r w:rsidRPr="00A21FE4">
              <w:sym w:font="Symbol" w:char="F0D6"/>
            </w:r>
          </w:p>
        </w:tc>
        <w:tc>
          <w:tcPr>
            <w:tcW w:w="809" w:type="dxa"/>
          </w:tcPr>
          <w:p w14:paraId="24907E3B" w14:textId="77777777" w:rsidR="00E66069" w:rsidRPr="00A21FE4" w:rsidRDefault="00E66069" w:rsidP="00AB4C4F">
            <w:pPr>
              <w:pStyle w:val="T-ABCD"/>
            </w:pPr>
            <w:r w:rsidRPr="00A21FE4">
              <w:t>NA</w:t>
            </w:r>
          </w:p>
        </w:tc>
        <w:tc>
          <w:tcPr>
            <w:tcW w:w="809" w:type="dxa"/>
          </w:tcPr>
          <w:p w14:paraId="564773C0" w14:textId="77777777" w:rsidR="00E66069" w:rsidRPr="00A21FE4" w:rsidRDefault="00E66069" w:rsidP="00AB4C4F">
            <w:pPr>
              <w:pStyle w:val="T-ABCD"/>
            </w:pPr>
            <w:r w:rsidRPr="00A21FE4">
              <w:t>NA</w:t>
            </w:r>
          </w:p>
        </w:tc>
        <w:tc>
          <w:tcPr>
            <w:tcW w:w="809" w:type="dxa"/>
          </w:tcPr>
          <w:p w14:paraId="0E30702F"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734C6FF9" w14:textId="77777777" w:rsidR="00E66069" w:rsidRPr="00A21FE4" w:rsidRDefault="00E66069" w:rsidP="00AB4C4F">
            <w:pPr>
              <w:pStyle w:val="T-ABCD"/>
            </w:pPr>
            <w:r w:rsidRPr="00A21FE4">
              <w:sym w:font="Symbol" w:char="F0D6"/>
            </w:r>
            <w:r w:rsidRPr="00A21FE4">
              <w:sym w:font="Symbol" w:char="F0D6"/>
            </w:r>
          </w:p>
        </w:tc>
      </w:tr>
      <w:tr w:rsidR="00E66069" w:rsidRPr="00A21FE4" w14:paraId="23D0FA96" w14:textId="77777777" w:rsidTr="00AB4C4F">
        <w:trPr>
          <w:cantSplit/>
        </w:trPr>
        <w:tc>
          <w:tcPr>
            <w:tcW w:w="851" w:type="dxa"/>
          </w:tcPr>
          <w:p w14:paraId="35E24E94" w14:textId="77777777" w:rsidR="00E66069" w:rsidRPr="00A21FE4" w:rsidRDefault="00E66069" w:rsidP="00AB4C4F">
            <w:pPr>
              <w:pStyle w:val="Tabletextnoindent"/>
              <w:numPr>
                <w:ilvl w:val="0"/>
                <w:numId w:val="0"/>
              </w:numPr>
            </w:pPr>
            <w:r w:rsidRPr="005778A6">
              <w:t>ES1.36</w:t>
            </w:r>
          </w:p>
        </w:tc>
        <w:tc>
          <w:tcPr>
            <w:tcW w:w="3750" w:type="dxa"/>
          </w:tcPr>
          <w:p w14:paraId="45ED6014" w14:textId="77777777" w:rsidR="00E66069" w:rsidRPr="00A21FE4" w:rsidRDefault="00E66069" w:rsidP="00AB4C4F">
            <w:pPr>
              <w:pStyle w:val="ES-table"/>
            </w:pPr>
            <w:r w:rsidRPr="00A21FE4">
              <w:t>In critically ill neonatal and paediatric patients, restrictive RBC transfusion compared with liberal RBC transfusion does not appear to have an effect on mortality.</w:t>
            </w:r>
          </w:p>
          <w:p w14:paraId="3E8BB0B7" w14:textId="77777777" w:rsidR="00E66069" w:rsidRPr="00A21FE4" w:rsidRDefault="00E66069" w:rsidP="00AB4C4F">
            <w:pPr>
              <w:pStyle w:val="ES-notes"/>
            </w:pPr>
            <w:r w:rsidRPr="00A21FE4">
              <w:t>(See evidence matrix D1.T in Volume 2 of the technical report.)</w:t>
            </w:r>
          </w:p>
        </w:tc>
        <w:tc>
          <w:tcPr>
            <w:tcW w:w="809" w:type="dxa"/>
          </w:tcPr>
          <w:p w14:paraId="100720F8" w14:textId="77777777" w:rsidR="00E66069" w:rsidRPr="00A21FE4" w:rsidRDefault="00E66069" w:rsidP="00AB4C4F">
            <w:pPr>
              <w:pStyle w:val="T-ABCD"/>
            </w:pPr>
            <w:r w:rsidRPr="00A21FE4">
              <w:sym w:font="Symbol" w:char="F0D6"/>
            </w:r>
            <w:r w:rsidRPr="00A21FE4">
              <w:sym w:font="Symbol" w:char="F0D6"/>
            </w:r>
          </w:p>
        </w:tc>
        <w:tc>
          <w:tcPr>
            <w:tcW w:w="809" w:type="dxa"/>
          </w:tcPr>
          <w:p w14:paraId="7C887E51" w14:textId="77777777" w:rsidR="00E66069" w:rsidRPr="00A21FE4" w:rsidRDefault="00E66069" w:rsidP="00AB4C4F">
            <w:pPr>
              <w:pStyle w:val="T-ABCD"/>
            </w:pPr>
            <w:r w:rsidRPr="00A21FE4">
              <w:t>NA</w:t>
            </w:r>
          </w:p>
        </w:tc>
        <w:tc>
          <w:tcPr>
            <w:tcW w:w="809" w:type="dxa"/>
          </w:tcPr>
          <w:p w14:paraId="1B62DA6C" w14:textId="77777777" w:rsidR="00E66069" w:rsidRPr="00A21FE4" w:rsidRDefault="00E66069" w:rsidP="00AB4C4F">
            <w:pPr>
              <w:pStyle w:val="T-ABCD"/>
            </w:pPr>
            <w:r w:rsidRPr="00A21FE4">
              <w:t>NA</w:t>
            </w:r>
          </w:p>
        </w:tc>
        <w:tc>
          <w:tcPr>
            <w:tcW w:w="809" w:type="dxa"/>
          </w:tcPr>
          <w:p w14:paraId="3A62116A" w14:textId="77777777" w:rsidR="00E66069" w:rsidRPr="00A21FE4" w:rsidRDefault="00E66069" w:rsidP="00AB4C4F">
            <w:pPr>
              <w:pStyle w:val="T-ABCD"/>
            </w:pPr>
            <w:r w:rsidRPr="00A21FE4">
              <w:sym w:font="Symbol" w:char="F0D6"/>
            </w:r>
            <w:r w:rsidRPr="00A21FE4">
              <w:sym w:font="Symbol" w:char="F0D6"/>
            </w:r>
            <w:r w:rsidRPr="00A21FE4">
              <w:sym w:font="Symbol" w:char="F0D6"/>
            </w:r>
          </w:p>
        </w:tc>
        <w:tc>
          <w:tcPr>
            <w:tcW w:w="810" w:type="dxa"/>
          </w:tcPr>
          <w:p w14:paraId="5F42E17A" w14:textId="77777777" w:rsidR="00E66069" w:rsidRPr="00A21FE4" w:rsidRDefault="00E66069" w:rsidP="00AB4C4F">
            <w:pPr>
              <w:pStyle w:val="T-ABCD"/>
            </w:pPr>
            <w:r w:rsidRPr="00A21FE4">
              <w:sym w:font="Symbol" w:char="F0D6"/>
            </w:r>
            <w:r w:rsidRPr="00A21FE4">
              <w:sym w:font="Symbol" w:char="F0D6"/>
            </w:r>
          </w:p>
        </w:tc>
      </w:tr>
      <w:tr w:rsidR="00E66069" w:rsidRPr="00A21FE4" w14:paraId="497F499D" w14:textId="77777777" w:rsidTr="00AB4C4F">
        <w:trPr>
          <w:cantSplit/>
        </w:trPr>
        <w:tc>
          <w:tcPr>
            <w:tcW w:w="8647" w:type="dxa"/>
            <w:gridSpan w:val="7"/>
          </w:tcPr>
          <w:p w14:paraId="232A0A3C" w14:textId="77777777" w:rsidR="00E66069" w:rsidRPr="00A21FE4" w:rsidRDefault="00E66069" w:rsidP="00AB4C4F">
            <w:pPr>
              <w:pStyle w:val="ES-notes"/>
            </w:pPr>
            <w:r w:rsidRPr="00A21FE4">
              <w:t xml:space="preserve">ES, evidence statement; MODS, multiple organ dysfunction syndrome; RBC, red blood cell </w:t>
            </w:r>
          </w:p>
          <w:p w14:paraId="1ED76D0D" w14:textId="77777777" w:rsidR="00E66069" w:rsidRPr="00A21FE4" w:rsidRDefault="00E66069" w:rsidP="00AB4C4F">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337E739" w14:textId="77777777" w:rsidR="00E66069" w:rsidRDefault="00E66069" w:rsidP="00E66069"/>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7513"/>
      </w:tblGrid>
      <w:tr w:rsidR="00E66069" w:rsidRPr="00A21FE4" w14:paraId="7481DBC7"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tcPr>
          <w:p w14:paraId="02AE51B9" w14:textId="480C67D3" w:rsidR="00E66069" w:rsidRPr="00045D23" w:rsidRDefault="00E66069" w:rsidP="006D11A2">
            <w:pPr>
              <w:pStyle w:val="PP-heading"/>
              <w:keepLines/>
              <w:rPr>
                <w:lang w:val="en-AU"/>
              </w:rPr>
            </w:pPr>
            <w:r w:rsidRPr="00A21FE4">
              <w:t xml:space="preserve">Recommendation – </w:t>
            </w:r>
            <w:r w:rsidR="006D11A2" w:rsidRPr="00A21FE4">
              <w:t>critically ill (</w:t>
            </w:r>
            <w:r w:rsidR="006D11A2">
              <w:rPr>
                <w:lang w:val="en-AU"/>
              </w:rPr>
              <w:t>RBC</w:t>
            </w:r>
            <w:r w:rsidR="006D11A2" w:rsidRPr="00A21FE4">
              <w:t xml:space="preserve"> transfusion)</w:t>
            </w:r>
          </w:p>
        </w:tc>
      </w:tr>
      <w:tr w:rsidR="00E66069" w:rsidRPr="00A21FE4" w14:paraId="589B6439" w14:textId="77777777" w:rsidTr="00AB4C4F">
        <w:tc>
          <w:tcPr>
            <w:tcW w:w="1135" w:type="dxa"/>
            <w:tcBorders>
              <w:right w:val="single" w:sz="4" w:space="0" w:color="auto"/>
            </w:tcBorders>
            <w:shd w:val="clear" w:color="auto" w:fill="auto"/>
          </w:tcPr>
          <w:p w14:paraId="34D95CA1" w14:textId="77777777" w:rsidR="00E66069" w:rsidRPr="00A21FE4" w:rsidRDefault="00E66069" w:rsidP="004361C8">
            <w:pPr>
              <w:pStyle w:val="PP"/>
            </w:pPr>
            <w:r w:rsidRPr="00A21FE4">
              <w:t>R</w:t>
            </w:r>
            <w:r>
              <w:t>1</w:t>
            </w:r>
            <w:r w:rsidRPr="00A21FE4">
              <w:br/>
              <w:t>(Grade C)</w:t>
            </w:r>
          </w:p>
        </w:tc>
        <w:tc>
          <w:tcPr>
            <w:tcW w:w="7513" w:type="dxa"/>
            <w:tcBorders>
              <w:left w:val="single" w:sz="4" w:space="0" w:color="auto"/>
            </w:tcBorders>
            <w:shd w:val="clear" w:color="auto" w:fill="auto"/>
          </w:tcPr>
          <w:p w14:paraId="11C3564C" w14:textId="77777777" w:rsidR="00E66069" w:rsidRPr="00A21FE4" w:rsidRDefault="00E66069" w:rsidP="004361C8">
            <w:pPr>
              <w:pStyle w:val="PP"/>
            </w:pPr>
            <w:r w:rsidRPr="00A21FE4">
              <w:t>In paediatric patients, including those who are critically ill, a restrictive transfusion strategy should be employed.</w:t>
            </w:r>
            <w:r w:rsidRPr="00A21FE4">
              <w:rPr>
                <w:vertAlign w:val="superscript"/>
              </w:rPr>
              <w:t>a</w:t>
            </w:r>
            <w:r w:rsidRPr="00A21FE4">
              <w:t xml:space="preserve"> Higher Hb thresholds are appropriate in very low birth weight neonates.</w:t>
            </w:r>
            <w:r w:rsidRPr="00A21FE4">
              <w:rPr>
                <w:vertAlign w:val="superscript"/>
              </w:rPr>
              <w:t xml:space="preserve">b </w:t>
            </w:r>
          </w:p>
          <w:p w14:paraId="0DD251DE" w14:textId="1BF0990A" w:rsidR="00E66069" w:rsidRPr="00A21FE4" w:rsidRDefault="00E66069" w:rsidP="00B26915">
            <w:pPr>
              <w:pStyle w:val="PP-note"/>
            </w:pPr>
            <w:r w:rsidRPr="00A21FE4">
              <w:rPr>
                <w:vertAlign w:val="superscript"/>
              </w:rPr>
              <w:t xml:space="preserve">a </w:t>
            </w:r>
            <w:r w:rsidRPr="00A21FE4">
              <w:t>See PP6 for guidance on a restrictive transfusion strategy.</w:t>
            </w:r>
            <w:r w:rsidRPr="00A21FE4">
              <w:br/>
            </w:r>
            <w:r w:rsidRPr="00A21FE4">
              <w:rPr>
                <w:vertAlign w:val="superscript"/>
              </w:rPr>
              <w:t xml:space="preserve">b </w:t>
            </w:r>
            <w:r w:rsidRPr="00A21FE4">
              <w:t>See PP2</w:t>
            </w:r>
            <w:r w:rsidR="00B26915">
              <w:t xml:space="preserve"> and PP3</w:t>
            </w:r>
            <w:r w:rsidRPr="00A21FE4">
              <w:t xml:space="preserve"> for guidance for </w:t>
            </w:r>
            <w:r w:rsidR="00B26915">
              <w:t>preterm</w:t>
            </w:r>
            <w:r w:rsidRPr="00A21FE4">
              <w:t xml:space="preserve"> neonates.</w:t>
            </w:r>
          </w:p>
        </w:tc>
      </w:tr>
      <w:tr w:rsidR="00E66069" w:rsidRPr="00A21FE4" w14:paraId="09129C51"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tcPr>
          <w:p w14:paraId="5C60CFD9" w14:textId="0780EE74" w:rsidR="00E66069" w:rsidRPr="00045D23" w:rsidRDefault="00045D23" w:rsidP="006D11A2">
            <w:pPr>
              <w:pStyle w:val="PP-heading"/>
              <w:keepLines/>
              <w:rPr>
                <w:lang w:val="en-AU"/>
              </w:rPr>
            </w:pPr>
            <w:r>
              <w:t>Practice point</w:t>
            </w:r>
            <w:r w:rsidR="00E66069" w:rsidRPr="00A21FE4">
              <w:t xml:space="preserve"> – </w:t>
            </w:r>
            <w:r w:rsidR="006D11A2" w:rsidRPr="00A21FE4">
              <w:t>critically ill (</w:t>
            </w:r>
            <w:r w:rsidR="006D11A2">
              <w:rPr>
                <w:lang w:val="en-AU"/>
              </w:rPr>
              <w:t>RBC</w:t>
            </w:r>
            <w:r w:rsidR="006D11A2" w:rsidRPr="00A21FE4">
              <w:t xml:space="preserve"> transfusion)</w:t>
            </w:r>
          </w:p>
        </w:tc>
      </w:tr>
      <w:tr w:rsidR="00E66069" w:rsidRPr="00A21FE4" w14:paraId="59D0E684" w14:textId="77777777" w:rsidTr="00AB4C4F">
        <w:tc>
          <w:tcPr>
            <w:tcW w:w="1135" w:type="dxa"/>
            <w:tcBorders>
              <w:right w:val="single" w:sz="4" w:space="0" w:color="auto"/>
            </w:tcBorders>
            <w:shd w:val="clear" w:color="auto" w:fill="auto"/>
          </w:tcPr>
          <w:p w14:paraId="2A0372CB" w14:textId="77777777" w:rsidR="00E66069" w:rsidRPr="00A21FE4" w:rsidRDefault="00E66069" w:rsidP="004361C8">
            <w:pPr>
              <w:pStyle w:val="PP"/>
            </w:pPr>
            <w:r w:rsidRPr="00A21FE4">
              <w:t>PP12</w:t>
            </w:r>
          </w:p>
        </w:tc>
        <w:tc>
          <w:tcPr>
            <w:tcW w:w="7513" w:type="dxa"/>
            <w:tcBorders>
              <w:left w:val="single" w:sz="4" w:space="0" w:color="auto"/>
            </w:tcBorders>
            <w:shd w:val="clear" w:color="auto" w:fill="auto"/>
          </w:tcPr>
          <w:p w14:paraId="6157A565" w14:textId="4F655BDF" w:rsidR="00E66069" w:rsidRPr="00A21FE4" w:rsidRDefault="00E66069" w:rsidP="004361C8">
            <w:pPr>
              <w:pStyle w:val="PP"/>
            </w:pPr>
            <w:r w:rsidRPr="00A21FE4">
              <w:t xml:space="preserve">In neonatal and paediatric patients with critical bleeding requiring massive transfusion, use </w:t>
            </w:r>
            <w:r w:rsidR="001944D9">
              <w:rPr>
                <w:lang w:val="en-AU"/>
              </w:rPr>
              <w:t>a critical bleeding protocol</w:t>
            </w:r>
            <w:r w:rsidRPr="00A21FE4">
              <w:t>.</w:t>
            </w:r>
            <w:r w:rsidRPr="00A21FE4">
              <w:rPr>
                <w:vertAlign w:val="superscript"/>
              </w:rPr>
              <w:t xml:space="preserve">a </w:t>
            </w:r>
            <w:r w:rsidRPr="00A21FE4">
              <w:t xml:space="preserve">A template </w:t>
            </w:r>
            <w:r w:rsidR="001944D9">
              <w:rPr>
                <w:lang w:val="en-AU"/>
              </w:rPr>
              <w:t>protocol</w:t>
            </w:r>
            <w:r w:rsidRPr="00A21FE4">
              <w:t xml:space="preserve"> is provided within the module.</w:t>
            </w:r>
            <w:r w:rsidRPr="00A21FE4">
              <w:rPr>
                <w:vertAlign w:val="superscript"/>
              </w:rPr>
              <w:t>b</w:t>
            </w:r>
          </w:p>
          <w:p w14:paraId="7A70F0C0" w14:textId="0DAEA813" w:rsidR="00E66069" w:rsidRPr="00A21FE4" w:rsidRDefault="00E66069" w:rsidP="007F01F3">
            <w:pPr>
              <w:pStyle w:val="PP-note"/>
            </w:pPr>
            <w:r w:rsidRPr="00A21FE4">
              <w:rPr>
                <w:vertAlign w:val="superscript"/>
              </w:rPr>
              <w:t>a</w:t>
            </w:r>
            <w:r w:rsidRPr="00A21FE4">
              <w:t xml:space="preserve"> The use of the word ‘protocol’ is not strictly prescriptive.</w:t>
            </w:r>
            <w:r w:rsidRPr="00A21FE4">
              <w:br/>
            </w:r>
            <w:r w:rsidRPr="00A21FE4">
              <w:rPr>
                <w:vertAlign w:val="superscript"/>
              </w:rPr>
              <w:t xml:space="preserve"> b</w:t>
            </w:r>
            <w:r w:rsidRPr="00A21FE4">
              <w:t xml:space="preserve"> The template</w:t>
            </w:r>
            <w:r>
              <w:t xml:space="preserve"> given in Appendix K (</w:t>
            </w:r>
            <w:r w:rsidR="007F01F3">
              <w:rPr>
                <w:i/>
              </w:rPr>
              <w:t>Critical bleeding protocol</w:t>
            </w:r>
            <w:r>
              <w:t>)</w:t>
            </w:r>
            <w:r w:rsidRPr="00A21FE4">
              <w:t xml:space="preserve"> is intended for local adaptation.</w:t>
            </w:r>
          </w:p>
        </w:tc>
      </w:tr>
      <w:tr w:rsidR="00E66069" w:rsidRPr="00A21FE4" w14:paraId="28E077D9" w14:textId="77777777" w:rsidTr="00AB4C4F">
        <w:trPr>
          <w:trHeight w:val="397"/>
        </w:trPr>
        <w:tc>
          <w:tcPr>
            <w:tcW w:w="8648" w:type="dxa"/>
            <w:gridSpan w:val="2"/>
            <w:shd w:val="clear" w:color="auto" w:fill="auto"/>
          </w:tcPr>
          <w:p w14:paraId="3E283E07" w14:textId="08F0B31D" w:rsidR="00E66069" w:rsidRPr="00A21FE4" w:rsidRDefault="00E66069" w:rsidP="00B80488">
            <w:pPr>
              <w:pStyle w:val="PP-note"/>
            </w:pPr>
            <w:r w:rsidRPr="00A21FE4">
              <w:t xml:space="preserve">Hb, haemoglobin; PP, practice point; </w:t>
            </w:r>
            <w:r w:rsidR="004361C8">
              <w:t>R, recommendation</w:t>
            </w:r>
            <w:r w:rsidRPr="00A21FE4">
              <w:t xml:space="preserve"> </w:t>
            </w:r>
          </w:p>
        </w:tc>
      </w:tr>
    </w:tbl>
    <w:p w14:paraId="4662897D" w14:textId="77777777" w:rsidR="00E66069" w:rsidRPr="00A21FE4" w:rsidRDefault="00E66069" w:rsidP="00E66069"/>
    <w:p w14:paraId="4D414917" w14:textId="77777777" w:rsidR="00E66069" w:rsidRDefault="00E66069" w:rsidP="00E66069">
      <w:pPr>
        <w:pStyle w:val="Heading4"/>
      </w:pPr>
      <w:r>
        <w:t>Background</w:t>
      </w:r>
    </w:p>
    <w:p w14:paraId="5C9DD889" w14:textId="77777777" w:rsidR="00E66069" w:rsidRDefault="00E66069" w:rsidP="00E66069">
      <w:r>
        <w:t>Neonatal and paediatric patients are at risk of anaemia in the critical care setting because of factors such as the underlying illness, small circulating blood volume, proportionally high phlebotomy losses, surgical or trauma-related blood loss and malnutrition. In infants, physiological anaemia may also contribute.</w:t>
      </w:r>
    </w:p>
    <w:p w14:paraId="2E88F02A" w14:textId="77777777" w:rsidR="00E66069" w:rsidRDefault="00E66069" w:rsidP="00E66069">
      <w:r>
        <w:t xml:space="preserve">Critically ill neonates and children have high rates of RBC transfusion. Such transfusion may be lifesaving and should not be withheld in the actively bleeding or haemodynamically unstable patient. However, for patients with mild to moderate anaemia without haemodynamic compromise, the benefit of RBC transfusion is uncertain. </w:t>
      </w:r>
    </w:p>
    <w:p w14:paraId="5672406A" w14:textId="77777777" w:rsidR="00E66069" w:rsidRPr="00780E16" w:rsidRDefault="00E66069" w:rsidP="00E66069">
      <w:r>
        <w:t xml:space="preserve">Any </w:t>
      </w:r>
      <w:r w:rsidRPr="004A0EF6">
        <w:t xml:space="preserve">transfusion </w:t>
      </w:r>
      <w:r>
        <w:t>has</w:t>
      </w:r>
      <w:r w:rsidRPr="004A0EF6">
        <w:t xml:space="preserve"> </w:t>
      </w:r>
      <w:r>
        <w:t xml:space="preserve">potential </w:t>
      </w:r>
      <w:r w:rsidRPr="004A0EF6">
        <w:t>risks</w:t>
      </w:r>
      <w:r>
        <w:t xml:space="preserve"> such as transfusion reactions, circulatory overload, infection and alloimmunisation.</w:t>
      </w:r>
    </w:p>
    <w:p w14:paraId="781E1572" w14:textId="77777777" w:rsidR="00E66069" w:rsidRPr="00EB4620" w:rsidRDefault="00E66069" w:rsidP="00E66069">
      <w:pPr>
        <w:pStyle w:val="Heading4"/>
      </w:pPr>
      <w:r w:rsidRPr="00EB4620">
        <w:t xml:space="preserve">RBC transfusion versus no transfusion (or </w:t>
      </w:r>
      <w:r>
        <w:t xml:space="preserve">different RBC </w:t>
      </w:r>
      <w:r w:rsidRPr="00EB4620">
        <w:t>dose)</w:t>
      </w:r>
      <w:r>
        <w:t xml:space="preserve"> in critically ill neonatal and paediatric patients</w:t>
      </w:r>
    </w:p>
    <w:p w14:paraId="3529A8AE" w14:textId="09C13E93" w:rsidR="00E66069" w:rsidRDefault="00D52DD4" w:rsidP="00E66069">
      <w:r>
        <w:t>The review identified three</w:t>
      </w:r>
      <w:r w:rsidR="00E66069">
        <w:t xml:space="preserve"> retrospective cohort studies (Level III-2)</w:t>
      </w:r>
      <w:r w:rsidR="00E66069" w:rsidRPr="001E7004">
        <w:t xml:space="preserve"> </w:t>
      </w:r>
      <w:r w:rsidR="00E66069">
        <w:t xml:space="preserve">of poor to fair quality </w:t>
      </w:r>
      <w:r>
        <w:t xml:space="preserve">that </w:t>
      </w:r>
      <w:r w:rsidR="00E66069">
        <w:t xml:space="preserve">compared the </w:t>
      </w:r>
      <w:r w:rsidR="00E66069" w:rsidRPr="00EB4620">
        <w:t>effect of RBC transfusio</w:t>
      </w:r>
      <w:r w:rsidR="00E66069">
        <w:t>ns with no transfusion</w:t>
      </w:r>
      <w:r w:rsidR="00E66069" w:rsidRPr="00EB4620">
        <w:t xml:space="preserve"> in critically ill </w:t>
      </w:r>
      <w:r w:rsidR="00A41D9F">
        <w:t>neonatal and paediatric</w:t>
      </w:r>
      <w:r w:rsidR="00E66069" w:rsidRPr="00EB4620">
        <w:t xml:space="preserve"> patients</w:t>
      </w:r>
      <w:r w:rsidR="00E66069">
        <w:t>.</w:t>
      </w:r>
      <w:hyperlink w:anchor="_ENREF_80" w:tooltip="Acker, 2014 #145" w:history="1">
        <w:r w:rsidR="00E62798">
          <w:fldChar w:fldCharType="begin">
            <w:fldData xml:space="preserve">PEVuZE5vdGU+PENpdGU+PEF1dGhvcj5BY2tlcjwvQXV0aG9yPjxZZWFyPjIwMTQ8L1llYXI+PFJl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</w:fldData>
          </w:fldChar>
        </w:r>
        <w:r w:rsidR="00E62798">
          <w:instrText xml:space="preserve"> ADDIN EN.CITE </w:instrText>
        </w:r>
        <w:r w:rsidR="00E62798">
          <w:fldChar w:fldCharType="begin">
            <w:fldData xml:space="preserve">PEVuZE5vdGU+PENpdGU+PEF1dGhvcj5BY2tlcjwvQXV0aG9yPjxZZWFyPjIwMTQ8L1llYXI+PFJl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80-82</w:t>
        </w:r>
        <w:r w:rsidR="00E62798">
          <w:fldChar w:fldCharType="end"/>
        </w:r>
      </w:hyperlink>
      <w:r w:rsidR="00E66069">
        <w:t xml:space="preserve"> Of the three studies, one involved paediatric patients with traumatic brain injury,</w:t>
      </w:r>
      <w:hyperlink w:anchor="_ENREF_80" w:tooltip="Acker, 2014 #145" w:history="1">
        <w:r w:rsidR="00E62798">
          <w:fldChar w:fldCharType="begin">
            <w:fldData xml:space="preserve">PEVuZE5vdGU+PENpdGU+PEF1dGhvcj5BY2tlcjwvQXV0aG9yPjxZZWFyPjIwMTQ8L1llYXI+PFJl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</w:fldData>
          </w:fldChar>
        </w:r>
        <w:r w:rsidR="00E62798">
          <w:instrText xml:space="preserve"> ADDIN EN.CITE </w:instrText>
        </w:r>
        <w:r w:rsidR="00E62798">
          <w:fldChar w:fldCharType="begin">
            <w:fldData xml:space="preserve">PEVuZE5vdGU+PENpdGU+PEF1dGhvcj5BY2tlcjwvQXV0aG9yPjxZZWFyPjIwMTQ8L1llYXI+PFJl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80</w:t>
        </w:r>
        <w:r w:rsidR="00E62798">
          <w:fldChar w:fldCharType="end"/>
        </w:r>
      </w:hyperlink>
      <w:r w:rsidR="00E66069">
        <w:t xml:space="preserve"> one infants and children with blunt abdominal trauma and liver laceration,</w:t>
      </w:r>
      <w:hyperlink w:anchor="_ENREF_81" w:tooltip="Fremgen, 2014 #163" w:history="1">
        <w:r w:rsidR="00E62798">
          <w:fldChar w:fldCharType="begin">
            <w:fldData xml:space="preserve">PEVuZE5vdGU+PENpdGU+PEF1dGhvcj5GcmVtZ2VuPC9BdXRob3I+PFllYXI+MjAxNDwvWWVhcj48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</w:fldData>
          </w:fldChar>
        </w:r>
        <w:r w:rsidR="00E62798">
          <w:instrText xml:space="preserve"> ADDIN EN.CITE </w:instrText>
        </w:r>
        <w:r w:rsidR="00E62798">
          <w:fldChar w:fldCharType="begin">
            <w:fldData xml:space="preserve">PEVuZE5vdGU+PENpdGU+PEF1dGhvcj5GcmVtZ2VuPC9BdXRob3I+PFllYXI+MjAxNDwvWWVhcj48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81</w:t>
        </w:r>
        <w:r w:rsidR="00E62798">
          <w:fldChar w:fldCharType="end"/>
        </w:r>
      </w:hyperlink>
      <w:r w:rsidR="00E66069">
        <w:t xml:space="preserve"> and one paediatric trauma patients.</w:t>
      </w:r>
      <w:hyperlink w:anchor="_ENREF_82" w:tooltip="Hassan, 2014 #165" w:history="1">
        <w:r w:rsidR="00E62798">
          <w:fldChar w:fldCharType="begin"/>
        </w:r>
        <w:r w:rsidR="00E62798">
          <w:instrText xml:space="preserve"> ADDIN EN.CITE &lt;EndNote&gt;&lt;Cite&gt;&lt;Author&gt;Hassan&lt;/Author&gt;&lt;Year&gt;2014&lt;/Year&gt;&lt;RecNum&gt;165&lt;/RecNum&gt;&lt;DisplayText&gt;&lt;style face="superscript"&gt;82&lt;/style&gt;&lt;/DisplayText&gt;&lt;record&gt;&lt;rec-number&gt;165&lt;/rec-number&gt;&lt;foreign-keys&gt;&lt;key app="EN" db-id="9edve2wadsavt5ewavaxtda4f2tavzvts9ee" timestamp="1426550458"&gt;165&lt;/key&gt;&lt;/foreign-keys&gt;&lt;ref-type name="Journal Article"&gt;17&lt;/ref-type&gt;&lt;contributors&gt;&lt;authors&gt;&lt;author&gt;Hassan, N. E.&lt;/author&gt;&lt;author&gt;DeCou, J. M.&lt;/author&gt;&lt;author&gt;Reischman, D.&lt;/author&gt;&lt;author&gt;Nickoles, T. A.&lt;/author&gt;&lt;author&gt;Gleason, E.&lt;/author&gt;&lt;author&gt;Ropele, D. L.&lt;/author&gt;&lt;author&gt;Sanfilippo, D.&lt;/author&gt;&lt;author&gt;Davis, A. T.&lt;/author&gt;&lt;author&gt;Alters, D.&lt;/author&gt;&lt;author&gt;Rajasekaran, S.&lt;/author&gt;&lt;/authors&gt;&lt;/contributors&gt;&lt;auth-address&gt;N. E. Hassan&lt;/auth-address&gt;&lt;titles&gt;&lt;title&gt;RBC transfusions in children requiring intensive care admission after traumatic injury&lt;/title&gt;&lt;secondary-title&gt;Pediatric Critical Care Medicine&lt;/secondary-title&gt;&lt;/titles&gt;&lt;periodical&gt;&lt;full-title&gt;Pediatric Critical Care Medicine&lt;/full-title&gt;&lt;/periodical&gt;&lt;reprint-edition&gt;NOT IN FILE&lt;/reprint-edition&gt;&lt;keywords&gt;&lt;keyword&gt;adverse outcome&lt;/keyword&gt;&lt;keyword&gt;age&lt;/keyword&gt;&lt;keyword&gt;artificial ventilation&lt;/keyword&gt;&lt;keyword&gt;blood&lt;/keyword&gt;&lt;keyword&gt;child&lt;/keyword&gt;&lt;keyword&gt;childhood injury&lt;/keyword&gt;&lt;keyword&gt;cohort analysis&lt;/keyword&gt;&lt;keyword&gt;emergency ward&lt;/keyword&gt;&lt;keyword&gt;erythrocyte&lt;/keyword&gt;&lt;keyword&gt;Glasgow coma scale&lt;/keyword&gt;&lt;keyword&gt;hospital&lt;/keyword&gt;&lt;keyword&gt;human&lt;/keyword&gt;&lt;keyword&gt;injury&lt;/keyword&gt;&lt;keyword&gt;injury scale&lt;/keyword&gt;&lt;keyword&gt;injury severity&lt;/keyword&gt;&lt;keyword&gt;intensive care&lt;/keyword&gt;&lt;keyword&gt;measurement&lt;/keyword&gt;&lt;keyword&gt;mortality&lt;/keyword&gt;&lt;keyword&gt;outcome&lt;/keyword&gt;&lt;keyword&gt;patient&lt;/keyword&gt;&lt;keyword&gt;pediatric hospital&lt;/keyword&gt;&lt;keyword&gt;risk&lt;/keyword&gt;&lt;keyword&gt;Studies&lt;/keyword&gt;&lt;keyword&gt;study&lt;/keyword&gt;&lt;keyword&gt;tertiary health care&lt;/keyword&gt;&lt;keyword&gt;time&lt;/keyword&gt;&lt;keyword&gt;transfusion&lt;/keyword&gt;&lt;/keywords&gt;&lt;dates&gt;&lt;year&gt;2014&lt;/year&gt;&lt;/dates&gt;&lt;isbn&gt;1529-7535&lt;/isbn&gt;&lt;urls&gt;&lt;related-urls&gt;&lt;url&gt;http://dx.doi.org/10.1097/PCC.0000000000000192&lt;/url&gt;&lt;/related-urls&gt;&lt;/urls&gt;&lt;/record&gt;&lt;/Cite&gt;&lt;/EndNote&gt;</w:instrText>
        </w:r>
        <w:r w:rsidR="00E62798">
          <w:fldChar w:fldCharType="separate"/>
        </w:r>
        <w:r w:rsidR="00E62798" w:rsidRPr="00E62798">
          <w:rPr>
            <w:noProof/>
            <w:vertAlign w:val="superscript"/>
          </w:rPr>
          <w:t>82</w:t>
        </w:r>
        <w:r w:rsidR="00E62798">
          <w:fldChar w:fldCharType="end"/>
        </w:r>
      </w:hyperlink>
    </w:p>
    <w:p w14:paraId="1A38F534" w14:textId="6DEAFEC0" w:rsidR="00E66069" w:rsidRDefault="00E66069" w:rsidP="00E66069">
      <w:r>
        <w:t>The three studies demonstrated an association between RBC transfusion and mortality.</w:t>
      </w:r>
      <w:hyperlink w:anchor="_ENREF_80" w:tooltip="Acker, 2014 #145" w:history="1">
        <w:r w:rsidR="00E62798">
          <w:fldChar w:fldCharType="begin">
            <w:fldData xml:space="preserve">PEVuZE5vdGU+PENpdGU+PEF1dGhvcj5BY2tlcjwvQXV0aG9yPjxZZWFyPjIwMTQ8L1llYXI+PFJl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</w:fldData>
          </w:fldChar>
        </w:r>
        <w:r w:rsidR="00E62798">
          <w:instrText xml:space="preserve"> ADDIN EN.CITE </w:instrText>
        </w:r>
        <w:r w:rsidR="00E62798">
          <w:fldChar w:fldCharType="begin">
            <w:fldData xml:space="preserve">PEVuZE5vdGU+PENpdGU+PEF1dGhvcj5BY2tlcjwvQXV0aG9yPjxZZWFyPjIwMTQ8L1llYXI+PFJl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80-82</w:t>
        </w:r>
        <w:r w:rsidR="00E62798">
          <w:fldChar w:fldCharType="end"/>
        </w:r>
      </w:hyperlink>
      <w:r>
        <w:t xml:space="preserve"> However, it was not possible to undertake a meta-analysis because of variable study characteristics, patient populations and the presence of confounders in the high mortality groups. </w:t>
      </w:r>
    </w:p>
    <w:p w14:paraId="16238524" w14:textId="3CF2E44D" w:rsidR="00E66069" w:rsidRDefault="00E66069" w:rsidP="00E66069">
      <w:r>
        <w:t>This literature review identified no studies that assessed the safety and efficacy of RBC transfusion compared with no RBC</w:t>
      </w:r>
      <w:r w:rsidR="005C1F80">
        <w:t xml:space="preserve"> transfusion in relation to </w:t>
      </w:r>
      <w:r w:rsidR="00C05EEF">
        <w:t xml:space="preserve">MODS </w:t>
      </w:r>
      <w:r>
        <w:t xml:space="preserve">in critically ill patients. </w:t>
      </w:r>
    </w:p>
    <w:p w14:paraId="6BB760DC" w14:textId="16BA6160" w:rsidR="00E66069" w:rsidRDefault="00E66069" w:rsidP="00E66069">
      <w:r>
        <w:t xml:space="preserve">Only one study reported rates of transfusion-related </w:t>
      </w:r>
      <w:r w:rsidR="00C05EEF">
        <w:t>serious adverse events</w:t>
      </w:r>
      <w:r>
        <w:t>; it reported nine febrile reactions among 81 transfused patients.</w:t>
      </w:r>
      <w:hyperlink w:anchor="_ENREF_82" w:tooltip="Hassan, 2014 #165" w:history="1">
        <w:r w:rsidR="00E62798">
          <w:fldChar w:fldCharType="begin"/>
        </w:r>
        <w:r w:rsidR="00E62798">
          <w:instrText xml:space="preserve"> ADDIN EN.CITE &lt;EndNote&gt;&lt;Cite&gt;&lt;Author&gt;Hassan&lt;/Author&gt;&lt;Year&gt;2014&lt;/Year&gt;&lt;RecNum&gt;165&lt;/RecNum&gt;&lt;DisplayText&gt;&lt;style face="superscript"&gt;82&lt;/style&gt;&lt;/DisplayText&gt;&lt;record&gt;&lt;rec-number&gt;165&lt;/rec-number&gt;&lt;foreign-keys&gt;&lt;key app="EN" db-id="9edve2wadsavt5ewavaxtda4f2tavzvts9ee" timestamp="1426550458"&gt;165&lt;/key&gt;&lt;/foreign-keys&gt;&lt;ref-type name="Journal Article"&gt;17&lt;/ref-type&gt;&lt;contributors&gt;&lt;authors&gt;&lt;author&gt;Hassan, N. E.&lt;/author&gt;&lt;author&gt;DeCou, J. M.&lt;/author&gt;&lt;author&gt;Reischman, D.&lt;/author&gt;&lt;author&gt;Nickoles, T. A.&lt;/author&gt;&lt;author&gt;Gleason, E.&lt;/author&gt;&lt;author&gt;Ropele, D. L.&lt;/author&gt;&lt;author&gt;Sanfilippo, D.&lt;/author&gt;&lt;author&gt;Davis, A. T.&lt;/author&gt;&lt;author&gt;Alters, D.&lt;/author&gt;&lt;author&gt;Rajasekaran, S.&lt;/author&gt;&lt;/authors&gt;&lt;/contributors&gt;&lt;auth-address&gt;N. E. Hassan&lt;/auth-address&gt;&lt;titles&gt;&lt;title&gt;RBC transfusions in children requiring intensive care admission after traumatic injury&lt;/title&gt;&lt;secondary-title&gt;Pediatric Critical Care Medicine&lt;/secondary-title&gt;&lt;/titles&gt;&lt;periodical&gt;&lt;full-title&gt;Pediatric Critical Care Medicine&lt;/full-title&gt;&lt;/periodical&gt;&lt;reprint-edition&gt;NOT IN FILE&lt;/reprint-edition&gt;&lt;keywords&gt;&lt;keyword&gt;adverse outcome&lt;/keyword&gt;&lt;keyword&gt;age&lt;/keyword&gt;&lt;keyword&gt;artificial ventilation&lt;/keyword&gt;&lt;keyword&gt;blood&lt;/keyword&gt;&lt;keyword&gt;child&lt;/keyword&gt;&lt;keyword&gt;childhood injury&lt;/keyword&gt;&lt;keyword&gt;cohort analysis&lt;/keyword&gt;&lt;keyword&gt;emergency ward&lt;/keyword&gt;&lt;keyword&gt;erythrocyte&lt;/keyword&gt;&lt;keyword&gt;Glasgow coma scale&lt;/keyword&gt;&lt;keyword&gt;hospital&lt;/keyword&gt;&lt;keyword&gt;human&lt;/keyword&gt;&lt;keyword&gt;injury&lt;/keyword&gt;&lt;keyword&gt;injury scale&lt;/keyword&gt;&lt;keyword&gt;injury severity&lt;/keyword&gt;&lt;keyword&gt;intensive care&lt;/keyword&gt;&lt;keyword&gt;measurement&lt;/keyword&gt;&lt;keyword&gt;mortality&lt;/keyword&gt;&lt;keyword&gt;outcome&lt;/keyword&gt;&lt;keyword&gt;patient&lt;/keyword&gt;&lt;keyword&gt;pediatric hospital&lt;/keyword&gt;&lt;keyword&gt;risk&lt;/keyword&gt;&lt;keyword&gt;Studies&lt;/keyword&gt;&lt;keyword&gt;study&lt;/keyword&gt;&lt;keyword&gt;tertiary health care&lt;/keyword&gt;&lt;keyword&gt;time&lt;/keyword&gt;&lt;keyword&gt;transfusion&lt;/keyword&gt;&lt;/keywords&gt;&lt;dates&gt;&lt;year&gt;2014&lt;/year&gt;&lt;/dates&gt;&lt;isbn&gt;1529-7535&lt;/isbn&gt;&lt;urls&gt;&lt;related-urls&gt;&lt;url&gt;http://dx.doi.org/10.1097/PCC.0000000000000192&lt;/url&gt;&lt;/related-urls&gt;&lt;/urls&gt;&lt;/record&gt;&lt;/Cite&gt;&lt;/EndNote&gt;</w:instrText>
        </w:r>
        <w:r w:rsidR="00E62798">
          <w:fldChar w:fldCharType="separate"/>
        </w:r>
        <w:r w:rsidR="00E62798" w:rsidRPr="00E62798">
          <w:rPr>
            <w:noProof/>
            <w:vertAlign w:val="superscript"/>
          </w:rPr>
          <w:t>82</w:t>
        </w:r>
        <w:r w:rsidR="00E62798">
          <w:fldChar w:fldCharType="end"/>
        </w:r>
      </w:hyperlink>
    </w:p>
    <w:p w14:paraId="750BCD42" w14:textId="77777777" w:rsidR="00E66069" w:rsidRPr="00EB4620" w:rsidRDefault="00E66069" w:rsidP="00E66069">
      <w:pPr>
        <w:pStyle w:val="Heading4"/>
      </w:pPr>
      <w:bookmarkStart w:id="111" w:name="_Ref417223613"/>
      <w:r w:rsidRPr="00EB4620">
        <w:t>Restrictive RBC transfusion versus liberal RBC transfusion</w:t>
      </w:r>
      <w:bookmarkEnd w:id="111"/>
      <w:r>
        <w:t xml:space="preserve"> in critically ill neonatal and paediatric patients</w:t>
      </w:r>
    </w:p>
    <w:p w14:paraId="60CE4833" w14:textId="2C8F197A" w:rsidR="00E66069" w:rsidRDefault="00E66069" w:rsidP="00E66069">
      <w:pPr>
        <w:rPr>
          <w:lang w:eastAsia="en-GB"/>
        </w:rPr>
      </w:pPr>
      <w:r>
        <w:t xml:space="preserve">Two good-quality systematic reviews compared </w:t>
      </w:r>
      <w:r w:rsidRPr="00EB4620">
        <w:rPr>
          <w:lang w:eastAsia="en-GB"/>
        </w:rPr>
        <w:t xml:space="preserve">the effect of a restrictive </w:t>
      </w:r>
      <w:r>
        <w:rPr>
          <w:lang w:eastAsia="en-GB"/>
        </w:rPr>
        <w:t>and a</w:t>
      </w:r>
      <w:r w:rsidRPr="00EB4620">
        <w:rPr>
          <w:lang w:eastAsia="en-GB"/>
        </w:rPr>
        <w:t xml:space="preserve"> liberal RBC transfusion strategy in </w:t>
      </w:r>
      <w:r w:rsidRPr="00EB4620">
        <w:t>critically ill</w:t>
      </w:r>
      <w:r w:rsidRPr="00EB4620">
        <w:rPr>
          <w:lang w:eastAsia="en-GB"/>
        </w:rPr>
        <w:t xml:space="preserve"> patients</w:t>
      </w:r>
      <w:r>
        <w:rPr>
          <w:lang w:eastAsia="en-GB"/>
        </w:rPr>
        <w:t>.</w:t>
      </w:r>
      <w:hyperlink w:anchor="_ENREF_83" w:tooltip="Carson, 2012 #152" w:history="1">
        <w:r w:rsidR="00E62798">
          <w:fldChar w:fldCharType="begin">
            <w:fldData xml:space="preserve">PEVuZE5vdGU+PENpdGU+PEF1dGhvcj5DYXJzb248L0F1dGhvcj48WWVhcj4yMDEyPC9ZZWFyPjxS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</w:fldData>
          </w:fldChar>
        </w:r>
        <w:r w:rsidR="00E62798">
          <w:instrText xml:space="preserve"> ADDIN EN.CITE </w:instrText>
        </w:r>
        <w:r w:rsidR="00E62798">
          <w:fldChar w:fldCharType="begin">
            <w:fldData xml:space="preserve">PEVuZE5vdGU+PENpdGU+PEF1dGhvcj5DYXJzb248L0F1dGhvcj48WWVhcj4yMDEyPC9ZZWFyPjxS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83-84</w:t>
        </w:r>
        <w:r w:rsidR="00E62798">
          <w:fldChar w:fldCharType="end"/>
        </w:r>
      </w:hyperlink>
      <w:r>
        <w:rPr>
          <w:lang w:eastAsia="en-GB"/>
        </w:rPr>
        <w:t xml:space="preserve"> Of these, one</w:t>
      </w:r>
      <w:hyperlink w:anchor="_ENREF_83" w:tooltip="Carson, 2012 #152" w:history="1">
        <w:r w:rsidR="00E62798">
          <w:rPr>
            <w:lang w:eastAsia="en-GB"/>
          </w:rPr>
          <w:fldChar w:fldCharType="begin">
            <w:fldData xml:space="preserve">PEVuZE5vdGU+PENpdGU+PEF1dGhvcj5DYXJzb248L0F1dGhvcj48WWVhcj4yMDEyPC9ZZWFyPjxS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</w:fldData>
          </w:fldChar>
        </w:r>
        <w:r w:rsidR="00E62798">
          <w:rPr>
            <w:lang w:eastAsia="en-GB"/>
          </w:rPr>
          <w:instrText xml:space="preserve"> ADDIN EN.CITE </w:instrText>
        </w:r>
        <w:r w:rsidR="00E62798">
          <w:rPr>
            <w:lang w:eastAsia="en-GB"/>
          </w:rPr>
          <w:fldChar w:fldCharType="begin">
            <w:fldData xml:space="preserve">PEVuZE5vdGU+PENpdGU+PEF1dGhvcj5DYXJzb248L0F1dGhvcj48WWVhcj4yMDEyPC9ZZWFyPjxS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83</w:t>
        </w:r>
        <w:r w:rsidR="00E62798">
          <w:rPr>
            <w:lang w:eastAsia="en-GB"/>
          </w:rPr>
          <w:fldChar w:fldCharType="end"/>
        </w:r>
      </w:hyperlink>
      <w:r w:rsidRPr="00357CD0">
        <w:rPr>
          <w:lang w:eastAsia="en-GB"/>
        </w:rPr>
        <w:t xml:space="preserve"> reviewed </w:t>
      </w:r>
      <w:r>
        <w:rPr>
          <w:lang w:eastAsia="en-GB"/>
        </w:rPr>
        <w:t xml:space="preserve">the </w:t>
      </w:r>
      <w:r w:rsidRPr="00357CD0">
        <w:rPr>
          <w:lang w:eastAsia="en-GB"/>
        </w:rPr>
        <w:t>transfusion threshold on clinical outcomes in surgical and medical patients of any age (excluding neonates)</w:t>
      </w:r>
      <w:r>
        <w:rPr>
          <w:lang w:eastAsia="en-GB"/>
        </w:rPr>
        <w:t>; the other</w:t>
      </w:r>
      <w:hyperlink w:anchor="_ENREF_84" w:tooltip="Desjardins, 2012 #158" w:history="1">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84</w:t>
        </w:r>
        <w:r w:rsidR="00E62798">
          <w:rPr>
            <w:lang w:eastAsia="en-GB"/>
          </w:rPr>
          <w:fldChar w:fldCharType="end"/>
        </w:r>
      </w:hyperlink>
      <w:r>
        <w:rPr>
          <w:lang w:eastAsia="en-GB"/>
        </w:rPr>
        <w:t xml:space="preserve"> </w:t>
      </w:r>
      <w:r w:rsidRPr="00357CD0">
        <w:rPr>
          <w:lang w:eastAsia="en-GB"/>
        </w:rPr>
        <w:t xml:space="preserve">included neurocritically ill adult and paediatric patients admitted to </w:t>
      </w:r>
      <w:r w:rsidR="005C1F80">
        <w:rPr>
          <w:lang w:eastAsia="en-GB"/>
        </w:rPr>
        <w:t>intensive care unit (</w:t>
      </w:r>
      <w:r w:rsidRPr="00357CD0">
        <w:rPr>
          <w:lang w:eastAsia="en-GB"/>
        </w:rPr>
        <w:t>ICU</w:t>
      </w:r>
      <w:r w:rsidR="005C1F80">
        <w:rPr>
          <w:lang w:eastAsia="en-GB"/>
        </w:rPr>
        <w:t>)</w:t>
      </w:r>
      <w:r w:rsidRPr="00357CD0">
        <w:rPr>
          <w:lang w:eastAsia="en-GB"/>
        </w:rPr>
        <w:t>. Both reviews i</w:t>
      </w:r>
      <w:r>
        <w:rPr>
          <w:lang w:eastAsia="en-GB"/>
        </w:rPr>
        <w:t xml:space="preserve">ncluded </w:t>
      </w:r>
      <w:r w:rsidRPr="00357CD0">
        <w:rPr>
          <w:lang w:eastAsia="en-GB"/>
        </w:rPr>
        <w:t>the paediatric RCT TRIPICU</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sidRPr="00357CD0">
        <w:rPr>
          <w:lang w:eastAsia="en-GB"/>
        </w:rPr>
        <w:t xml:space="preserve"> </w:t>
      </w:r>
      <w:r>
        <w:rPr>
          <w:lang w:eastAsia="en-GB"/>
        </w:rPr>
        <w:t xml:space="preserve">– a good-quality multicentre RCT of critically ill paediatric patients aged 3 days to 14 years who were randomised to a restrictive (70 g/L) or liberal (95 g/L) threshold for </w:t>
      </w:r>
      <w:r w:rsidRPr="00165BA8">
        <w:rPr>
          <w:lang w:eastAsia="en-GB"/>
        </w:rPr>
        <w:t>transfusion</w:t>
      </w:r>
      <w:r>
        <w:rPr>
          <w:lang w:eastAsia="en-GB"/>
        </w:rPr>
        <w:t>.</w:t>
      </w:r>
    </w:p>
    <w:p w14:paraId="64B4A3AB" w14:textId="77777777" w:rsidR="00E66069" w:rsidRDefault="00E66069" w:rsidP="00E66069">
      <w:pPr>
        <w:pStyle w:val="Heading5"/>
      </w:pPr>
      <w:r w:rsidRPr="00EB4620">
        <w:t>Mortality</w:t>
      </w:r>
    </w:p>
    <w:p w14:paraId="00F7BA7B" w14:textId="5190BA72" w:rsidR="00E66069" w:rsidRDefault="00E66069" w:rsidP="00E66069">
      <w:pPr>
        <w:rPr>
          <w:lang w:eastAsia="en-GB"/>
        </w:rPr>
      </w:pPr>
      <w:r>
        <w:rPr>
          <w:lang w:eastAsia="en-GB"/>
        </w:rPr>
        <w:t>The TRIPICU study reported 28-day mortality and in-PICU mortality.</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Pr>
          <w:lang w:eastAsia="en-GB"/>
        </w:rPr>
        <w:t xml:space="preserve"> Desjardins et al (2012)</w:t>
      </w:r>
      <w:hyperlink w:anchor="_ENREF_84" w:tooltip="Desjardins, 2012 #158" w:history="1">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84</w:t>
        </w:r>
        <w:r w:rsidR="00E62798">
          <w:rPr>
            <w:lang w:eastAsia="en-GB"/>
          </w:rPr>
          <w:fldChar w:fldCharType="end"/>
        </w:r>
      </w:hyperlink>
      <w:r>
        <w:rPr>
          <w:lang w:eastAsia="en-GB"/>
        </w:rPr>
        <w:t xml:space="preserve"> reviewed a subgroup of the TRIPICU study. Both analyses found no difference in mortality rates when comparing restrictive and liberal transfusion strategies. </w:t>
      </w:r>
    </w:p>
    <w:p w14:paraId="3AB9AE9E" w14:textId="5A21FF7A" w:rsidR="00E66069" w:rsidRPr="00C05EEF" w:rsidRDefault="00E66069" w:rsidP="00E66069">
      <w:pPr>
        <w:pStyle w:val="Heading5"/>
        <w:rPr>
          <w:lang w:val="en-AU"/>
        </w:rPr>
      </w:pPr>
      <w:r w:rsidRPr="00EB4620">
        <w:t xml:space="preserve">New or progressive </w:t>
      </w:r>
      <w:r w:rsidR="00C05EEF" w:rsidRPr="00EB4620">
        <w:t>MOD</w:t>
      </w:r>
      <w:r w:rsidR="00C05EEF">
        <w:rPr>
          <w:lang w:val="en-AU"/>
        </w:rPr>
        <w:t>S</w:t>
      </w:r>
    </w:p>
    <w:p w14:paraId="006CA424" w14:textId="38D6FF04" w:rsidR="00E66069" w:rsidRDefault="00E66069" w:rsidP="00E66069">
      <w:pPr>
        <w:rPr>
          <w:lang w:eastAsia="en-GB"/>
        </w:rPr>
      </w:pPr>
      <w:r>
        <w:rPr>
          <w:lang w:eastAsia="en-GB"/>
        </w:rPr>
        <w:t>New or progressive MOD</w:t>
      </w:r>
      <w:r w:rsidR="00720A6B">
        <w:rPr>
          <w:lang w:eastAsia="en-GB"/>
        </w:rPr>
        <w:t>S</w:t>
      </w:r>
      <w:r>
        <w:rPr>
          <w:lang w:eastAsia="en-GB"/>
        </w:rPr>
        <w:t xml:space="preserve"> was reported in the TRIPICU study;</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Pr>
          <w:lang w:eastAsia="en-GB"/>
        </w:rPr>
        <w:t xml:space="preserve"> and Desjardins </w:t>
      </w:r>
      <w:r w:rsidRPr="008D03EF">
        <w:rPr>
          <w:lang w:eastAsia="en-GB"/>
        </w:rPr>
        <w:t xml:space="preserve">et al </w:t>
      </w:r>
      <w:r>
        <w:rPr>
          <w:lang w:eastAsia="en-GB"/>
        </w:rPr>
        <w:t>(2012)</w:t>
      </w:r>
      <w:hyperlink w:anchor="_ENREF_84" w:tooltip="Desjardins, 2012 #158" w:history="1">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 </w:instrText>
        </w:r>
        <w:r w:rsidR="00E62798">
          <w:rPr>
            <w:lang w:eastAsia="en-GB"/>
          </w:rPr>
          <w:fldChar w:fldCharType="begin">
            <w:fldData xml:space="preserve">PEVuZE5vdGU+PENpdGU+PEF1dGhvcj5EZXNqYXJkaW5zPC9BdXRob3I+PFllYXI+MjAxMjwvWWVh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84</w:t>
        </w:r>
        <w:r w:rsidR="00E62798">
          <w:rPr>
            <w:lang w:eastAsia="en-GB"/>
          </w:rPr>
          <w:fldChar w:fldCharType="end"/>
        </w:r>
      </w:hyperlink>
      <w:r>
        <w:rPr>
          <w:i/>
          <w:lang w:eastAsia="en-GB"/>
        </w:rPr>
        <w:t xml:space="preserve"> </w:t>
      </w:r>
      <w:r>
        <w:rPr>
          <w:lang w:eastAsia="en-GB"/>
        </w:rPr>
        <w:t>reported a subgroup of this study. Both analyses showed n</w:t>
      </w:r>
      <w:r w:rsidRPr="00EB4620">
        <w:rPr>
          <w:lang w:eastAsia="en-GB"/>
        </w:rPr>
        <w:t xml:space="preserve">o significant differences for any </w:t>
      </w:r>
      <w:r>
        <w:rPr>
          <w:lang w:eastAsia="en-GB"/>
        </w:rPr>
        <w:t>MOD</w:t>
      </w:r>
      <w:r w:rsidR="00720A6B">
        <w:rPr>
          <w:lang w:eastAsia="en-GB"/>
        </w:rPr>
        <w:t>S</w:t>
      </w:r>
      <w:r>
        <w:rPr>
          <w:lang w:eastAsia="en-GB"/>
        </w:rPr>
        <w:t xml:space="preserve"> </w:t>
      </w:r>
      <w:r w:rsidRPr="00EB4620">
        <w:rPr>
          <w:lang w:eastAsia="en-GB"/>
        </w:rPr>
        <w:t>outcome when comparing restrictive and liberal RBC transfusion strategies</w:t>
      </w:r>
      <w:r>
        <w:rPr>
          <w:lang w:eastAsia="en-GB"/>
        </w:rPr>
        <w:t xml:space="preserve">. </w:t>
      </w:r>
    </w:p>
    <w:p w14:paraId="62E1B59E" w14:textId="6552C54F" w:rsidR="00E66069" w:rsidRPr="00C05EEF" w:rsidRDefault="00E66069" w:rsidP="005C1F80">
      <w:pPr>
        <w:pStyle w:val="Heading5"/>
        <w:rPr>
          <w:lang w:val="en-AU"/>
        </w:rPr>
      </w:pPr>
      <w:r w:rsidRPr="00357CD0">
        <w:t xml:space="preserve">Transfusion-related </w:t>
      </w:r>
      <w:r w:rsidR="00C05EEF">
        <w:rPr>
          <w:lang w:val="en-AU"/>
        </w:rPr>
        <w:t>serious adverse events</w:t>
      </w:r>
    </w:p>
    <w:p w14:paraId="0801659D" w14:textId="29998CA0" w:rsidR="00E66069" w:rsidRDefault="00E66069" w:rsidP="00E66069">
      <w:pPr>
        <w:rPr>
          <w:lang w:eastAsia="en-GB"/>
        </w:rPr>
      </w:pPr>
      <w:r>
        <w:rPr>
          <w:lang w:eastAsia="en-GB"/>
        </w:rPr>
        <w:t xml:space="preserve">One study reported transfusion-related </w:t>
      </w:r>
      <w:r w:rsidR="00C05EEF">
        <w:rPr>
          <w:lang w:eastAsia="en-GB"/>
        </w:rPr>
        <w:t>serious adverse events</w:t>
      </w:r>
      <w:r>
        <w:rPr>
          <w:lang w:eastAsia="en-GB"/>
        </w:rPr>
        <w:t>.</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Pr>
          <w:lang w:eastAsia="en-GB"/>
        </w:rPr>
        <w:t xml:space="preserve"> It did not find a significant difference between rates of transfusion reactions, but was underpowered for this outcome. </w:t>
      </w:r>
    </w:p>
    <w:p w14:paraId="38A3F69A" w14:textId="6BFBDF71" w:rsidR="00E66069" w:rsidRPr="00797A43" w:rsidRDefault="00E66069" w:rsidP="007B7944">
      <w:pPr>
        <w:pStyle w:val="BoxHeading"/>
        <w:rPr>
          <w:lang w:val="en-AU"/>
        </w:rPr>
      </w:pPr>
      <w:r w:rsidRPr="003627E1">
        <w:t>Clinical commentary</w:t>
      </w:r>
      <w:r w:rsidR="00797A43">
        <w:rPr>
          <w:lang w:val="en-AU"/>
        </w:rPr>
        <w:t xml:space="preserve"> </w:t>
      </w:r>
      <w:r w:rsidR="00797A43">
        <w:t xml:space="preserve">– effect of RBC transfusion </w:t>
      </w:r>
      <w:r w:rsidR="00797A43">
        <w:rPr>
          <w:lang w:val="en-AU"/>
        </w:rPr>
        <w:t>in critically ill neonatal and p</w:t>
      </w:r>
      <w:r w:rsidR="00797A43" w:rsidRPr="00EB4620">
        <w:t>aediatric patients</w:t>
      </w:r>
    </w:p>
    <w:p w14:paraId="05383F20" w14:textId="77777777" w:rsidR="00E66069" w:rsidRDefault="00E66069" w:rsidP="007B7944">
      <w:pPr>
        <w:pStyle w:val="BoxText"/>
      </w:pPr>
      <w:r>
        <w:t>Historically, RBC transfusions are given routinely when the Hb falls below a threshold (often 100 g/L), but this practice is based on little evidence. Although observational studies of paediatric patients demonstrate an association between RBC transfusion and mortality, causation has not been established.</w:t>
      </w:r>
    </w:p>
    <w:p w14:paraId="59DA658C" w14:textId="73F6F317" w:rsidR="00E66069" w:rsidRDefault="00E66069" w:rsidP="007B7944">
      <w:pPr>
        <w:pStyle w:val="BoxText"/>
      </w:pPr>
      <w:r>
        <w:t>The TRICC (Transfusion Requirements in Critical Care) trial provided the first clear evidence that a restrictive transfusion strategy (transfusion threshold of 70g/L) in adults may be safe. A review then showed that a restrictive transfusion strategy in adults reduced the risk of transfusion and exposure to blood products.</w:t>
      </w:r>
      <w:hyperlink w:anchor="_ENREF_83" w:tooltip="Carson, 2012 #152" w:history="1">
        <w:r w:rsidR="00E62798">
          <w:fldChar w:fldCharType="begin">
            <w:fldData xml:space="preserve">PEVuZE5vdGU+PENpdGU+PEF1dGhvcj5DYXJzb248L0F1dGhvcj48WWVhcj4yMDEyPC9ZZWFyPjxS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</w:fldData>
          </w:fldChar>
        </w:r>
        <w:r w:rsidR="00E62798">
          <w:instrText xml:space="preserve"> ADDIN EN.CITE </w:instrText>
        </w:r>
        <w:r w:rsidR="00E62798">
          <w:fldChar w:fldCharType="begin">
            <w:fldData xml:space="preserve">PEVuZE5vdGU+PENpdGU+PEF1dGhvcj5DYXJzb248L0F1dGhvcj48WWVhcj4yMDEyPC9ZZWFyPjxS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83</w:t>
        </w:r>
        <w:r w:rsidR="00E62798">
          <w:fldChar w:fldCharType="end"/>
        </w:r>
      </w:hyperlink>
      <w:r>
        <w:t xml:space="preserve"> It</w:t>
      </w:r>
      <w:r>
        <w:rPr>
          <w:i/>
        </w:rPr>
        <w:t xml:space="preserve"> </w:t>
      </w:r>
      <w:r>
        <w:t xml:space="preserve">found that restrictive transfusion strategies did not affect the rate of adverse events such as mortality, pneumonia, stroke and thromboembolism. It also found that a restrictive transfusion strategy was associated with a significant reduction in in-hospital mortality. </w:t>
      </w:r>
    </w:p>
    <w:p w14:paraId="2A768B2B" w14:textId="3E6797E7" w:rsidR="00E66069" w:rsidRDefault="00E66069" w:rsidP="007B7944">
      <w:pPr>
        <w:pStyle w:val="BoxText"/>
        <w:rPr>
          <w:lang w:eastAsia="en-GB"/>
        </w:rPr>
      </w:pPr>
      <w:r>
        <w:rPr>
          <w:lang w:eastAsia="en-GB"/>
        </w:rPr>
        <w:t>In critically ill paediatric patients, the results of the TRIPICU trial indicate that a restrictive transfusion threshold (70 g/L) may be as safe as a liberal Hb trigger (95 g/L), and that a restrictive threshold is associated with reduced transfusion incidence.</w:t>
      </w:r>
      <w:hyperlink w:anchor="_ENREF_59" w:tooltip="Lacroix, 2007 #172" w:history="1">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 </w:instrText>
        </w:r>
        <w:r w:rsidR="00E62798">
          <w:rPr>
            <w:lang w:eastAsia="en-GB"/>
          </w:rPr>
          <w:fldChar w:fldCharType="begin">
            <w:fldData xml:space="preserve">PEVuZE5vdGU+PENpdGU+PEF1dGhvcj5MYWNyb2l4PC9BdXRob3I+PFllYXI+MjAwNzwvWWVhcj48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59</w:t>
        </w:r>
        <w:r w:rsidR="00E62798">
          <w:rPr>
            <w:lang w:eastAsia="en-GB"/>
          </w:rPr>
          <w:fldChar w:fldCharType="end"/>
        </w:r>
      </w:hyperlink>
      <w:r>
        <w:rPr>
          <w:lang w:eastAsia="en-GB"/>
        </w:rPr>
        <w:t xml:space="preserve"> The study authors concluded that these findings could not be assumed to apply to premature infants, or to children with severe hypoxemia, haemodynamic instability, active blood loss or cyanotic heart disease, because such children were not included in the study. </w:t>
      </w:r>
    </w:p>
    <w:p w14:paraId="20C5CC43" w14:textId="3B5833E1" w:rsidR="00E66069" w:rsidRDefault="00E66069" w:rsidP="007B7944">
      <w:pPr>
        <w:pStyle w:val="BoxText"/>
      </w:pPr>
      <w:r>
        <w:t xml:space="preserve">Critically ill </w:t>
      </w:r>
      <w:r w:rsidR="00A41D9F">
        <w:t>neonatal and paediatric</w:t>
      </w:r>
      <w:r>
        <w:t xml:space="preserve"> patients with congenital heart disease, particularly cyanotic heart disease, are often transfused at Hb thresholds higher than other patients of similar age. However, there is no evidence on which to base this practice. </w:t>
      </w:r>
    </w:p>
    <w:p w14:paraId="5F39DF6F" w14:textId="77777777" w:rsidR="00E66069" w:rsidRPr="000903E9" w:rsidRDefault="00E66069" w:rsidP="007B7944">
      <w:pPr>
        <w:pStyle w:val="BoxText"/>
      </w:pPr>
      <w:r>
        <w:rPr>
          <w:lang w:eastAsia="en-GB"/>
        </w:rPr>
        <w:t xml:space="preserve">The CRG recommends that </w:t>
      </w:r>
      <w:r w:rsidRPr="000903E9">
        <w:t>a restrictive transfusion strategy be employed</w:t>
      </w:r>
      <w:r w:rsidRPr="00A46C76">
        <w:rPr>
          <w:lang w:eastAsia="en-GB"/>
        </w:rPr>
        <w:t xml:space="preserve"> </w:t>
      </w:r>
      <w:r>
        <w:rPr>
          <w:lang w:eastAsia="en-GB"/>
        </w:rPr>
        <w:t xml:space="preserve">in critically ill </w:t>
      </w:r>
      <w:r>
        <w:t>children</w:t>
      </w:r>
      <w:r w:rsidRPr="000903E9">
        <w:t xml:space="preserve"> </w:t>
      </w:r>
      <w:r>
        <w:t>(see R1).</w:t>
      </w:r>
    </w:p>
    <w:p w14:paraId="4A3D8EE6" w14:textId="719D2EF0" w:rsidR="00E66069" w:rsidRDefault="00E66069" w:rsidP="007B7944">
      <w:pPr>
        <w:pStyle w:val="BoxText"/>
      </w:pPr>
      <w:r w:rsidRPr="004745BC">
        <w:t xml:space="preserve">In neonatal and paediatric patients with critical bleeding requiring massive transfusion, </w:t>
      </w:r>
      <w:r>
        <w:t xml:space="preserve">a </w:t>
      </w:r>
      <w:r w:rsidR="001944D9">
        <w:t>critical bleeding protocol</w:t>
      </w:r>
      <w:r>
        <w:t xml:space="preserve"> designed for these age groups should be used (Appendix K).</w:t>
      </w:r>
    </w:p>
    <w:p w14:paraId="2C0E9E4B" w14:textId="428472D9" w:rsidR="000742CA" w:rsidRPr="004667A5" w:rsidRDefault="00187F41" w:rsidP="00842F50">
      <w:pPr>
        <w:pStyle w:val="Heading3"/>
      </w:pPr>
      <w:bookmarkStart w:id="112" w:name="_Toc427851323"/>
      <w:r>
        <w:t>3.</w:t>
      </w:r>
      <w:r w:rsidR="006D7246">
        <w:t>3</w:t>
      </w:r>
      <w:r>
        <w:tab/>
      </w:r>
      <w:bookmarkStart w:id="113" w:name="_Toc282672309"/>
      <w:bookmarkEnd w:id="77"/>
      <w:bookmarkEnd w:id="78"/>
      <w:r w:rsidR="00842F50">
        <w:rPr>
          <w:noProof/>
        </w:rPr>
        <w:t xml:space="preserve">Effect of non-transfusion interventions to increase </w:t>
      </w:r>
      <w:r w:rsidR="00C05EEF">
        <w:rPr>
          <w:noProof/>
          <w:lang w:val="en-AU"/>
        </w:rPr>
        <w:t>Hb</w:t>
      </w:r>
      <w:r w:rsidR="00C05EEF">
        <w:rPr>
          <w:noProof/>
        </w:rPr>
        <w:t xml:space="preserve"> </w:t>
      </w:r>
      <w:r w:rsidR="00842F50">
        <w:rPr>
          <w:noProof/>
        </w:rPr>
        <w:t>concentration on outcomes</w:t>
      </w:r>
      <w:bookmarkEnd w:id="112"/>
    </w:p>
    <w:p w14:paraId="47DB754B" w14:textId="13B5282D" w:rsidR="000742CA" w:rsidRPr="004667A5" w:rsidRDefault="000742CA" w:rsidP="000742CA">
      <w:pPr>
        <w:pStyle w:val="BoxHeading"/>
      </w:pPr>
      <w:r w:rsidRPr="004667A5">
        <w:t>Question 2 (</w:t>
      </w:r>
      <w:r w:rsidR="001F5718" w:rsidRPr="004667A5">
        <w:t>Interventional</w:t>
      </w:r>
      <w:r w:rsidRPr="004667A5">
        <w:t>)</w:t>
      </w:r>
    </w:p>
    <w:p w14:paraId="492F941D" w14:textId="47C3AFDA" w:rsidR="000742CA" w:rsidRDefault="000742CA" w:rsidP="000742CA">
      <w:pPr>
        <w:pStyle w:val="BoxText"/>
      </w:pPr>
      <w:r w:rsidRPr="004667A5">
        <w:t xml:space="preserve">In neonates/paediatric patients, what is the effect of non-transfusion interventions to increase the </w:t>
      </w:r>
      <w:r w:rsidR="005C1F80">
        <w:rPr>
          <w:lang w:val="en-AU"/>
        </w:rPr>
        <w:t>Hb</w:t>
      </w:r>
      <w:r w:rsidRPr="004667A5">
        <w:t xml:space="preserve"> concentration on morbidity, mortality, and need for RBC transfusion?</w:t>
      </w:r>
    </w:p>
    <w:p w14:paraId="4151FC85" w14:textId="393E157D" w:rsidR="000742CA" w:rsidRPr="0018592A" w:rsidRDefault="005C1F80" w:rsidP="00340580">
      <w:pPr>
        <w:pStyle w:val="BoxNotes"/>
      </w:pPr>
      <w:r>
        <w:rPr>
          <w:lang w:val="en-AU"/>
        </w:rPr>
        <w:t xml:space="preserve">Hb, haemoglobin; </w:t>
      </w:r>
      <w:r w:rsidR="000742CA" w:rsidRPr="0018592A">
        <w:t>RBC, red blood cell</w:t>
      </w:r>
    </w:p>
    <w:p w14:paraId="2641C949" w14:textId="64DC1A40" w:rsidR="000742CA" w:rsidRDefault="00842F50" w:rsidP="00842F50">
      <w:r>
        <w:t xml:space="preserve">In </w:t>
      </w:r>
      <w:r w:rsidR="000742CA">
        <w:t>anaemia</w:t>
      </w:r>
      <w:r>
        <w:t>,</w:t>
      </w:r>
      <w:r w:rsidR="000742CA" w:rsidRPr="004667A5">
        <w:t xml:space="preserve"> lower than normal </w:t>
      </w:r>
      <w:r w:rsidR="000742CA">
        <w:t xml:space="preserve">levels of </w:t>
      </w:r>
      <w:r w:rsidR="000742CA" w:rsidRPr="004667A5">
        <w:t>circulating RBCs</w:t>
      </w:r>
      <w:r w:rsidR="00340580">
        <w:t xml:space="preserve"> mean a lower concentration of Hb</w:t>
      </w:r>
      <w:r w:rsidR="000742CA">
        <w:t xml:space="preserve"> </w:t>
      </w:r>
      <w:r w:rsidR="000742CA" w:rsidRPr="004667A5">
        <w:t xml:space="preserve">in </w:t>
      </w:r>
      <w:r w:rsidR="000742CA">
        <w:t>the</w:t>
      </w:r>
      <w:r w:rsidR="000742CA" w:rsidRPr="004667A5">
        <w:t xml:space="preserve"> bloo</w:t>
      </w:r>
      <w:r w:rsidR="000742CA" w:rsidRPr="0060045A">
        <w:t>d</w:t>
      </w:r>
      <w:r w:rsidR="00340580">
        <w:t>, which leads</w:t>
      </w:r>
      <w:r w:rsidR="000742CA">
        <w:t xml:space="preserve"> to</w:t>
      </w:r>
      <w:r w:rsidR="000742CA" w:rsidRPr="004667A5">
        <w:t xml:space="preserve"> less oxygen circulating throughout the body, caus</w:t>
      </w:r>
      <w:r w:rsidR="000742CA">
        <w:t>ing</w:t>
      </w:r>
      <w:r w:rsidR="000742CA" w:rsidRPr="004667A5">
        <w:t xml:space="preserve"> symptoms such as extreme tiredness, shortness of breath</w:t>
      </w:r>
      <w:r w:rsidR="000742CA">
        <w:t xml:space="preserve"> and</w:t>
      </w:r>
      <w:r w:rsidR="000742CA" w:rsidRPr="004667A5">
        <w:t xml:space="preserve"> dizziness.</w:t>
      </w:r>
      <w:r w:rsidR="000742CA">
        <w:t xml:space="preserve"> </w:t>
      </w:r>
      <w:r w:rsidR="00340580">
        <w:t xml:space="preserve">In neonates, anaemia can be associated with poor weight </w:t>
      </w:r>
      <w:r w:rsidR="00340580" w:rsidRPr="00340580">
        <w:t xml:space="preserve">gain, decreased activity, tachycardia, apnoea, respiratory distress and feeding problems. </w:t>
      </w:r>
      <w:r w:rsidR="000742CA" w:rsidRPr="00340580">
        <w:t>In paediatric patients, anaemia may also be associated with impaired cognitive and physical development, and weakened immunity.</w:t>
      </w:r>
    </w:p>
    <w:p w14:paraId="44D3BC1A" w14:textId="451C72E9" w:rsidR="000742CA" w:rsidRDefault="000742CA" w:rsidP="00340580">
      <w:pPr>
        <w:rPr>
          <w:lang w:eastAsia="en-GB"/>
        </w:rPr>
      </w:pPr>
      <w:r w:rsidRPr="004667A5">
        <w:rPr>
          <w:lang w:eastAsia="en-GB"/>
        </w:rPr>
        <w:t xml:space="preserve">The review examined the </w:t>
      </w:r>
      <w:r w:rsidR="00340580">
        <w:rPr>
          <w:lang w:eastAsia="en-GB"/>
        </w:rPr>
        <w:t>effects of</w:t>
      </w:r>
      <w:r w:rsidRPr="004667A5">
        <w:rPr>
          <w:lang w:eastAsia="en-GB"/>
        </w:rPr>
        <w:t xml:space="preserve"> </w:t>
      </w:r>
      <w:r>
        <w:rPr>
          <w:lang w:eastAsia="en-GB"/>
        </w:rPr>
        <w:t xml:space="preserve">three interventions that aim to increase Hb concentration in neonatal and paediatric patients: </w:t>
      </w:r>
      <w:r w:rsidR="001F5718">
        <w:t>erythropoiesis</w:t>
      </w:r>
      <w:r w:rsidR="001F5718" w:rsidRPr="004667A5">
        <w:t xml:space="preserve"> </w:t>
      </w:r>
      <w:r w:rsidRPr="004667A5">
        <w:t>stimulating agents (ESAs)</w:t>
      </w:r>
      <w:r>
        <w:rPr>
          <w:lang w:eastAsia="en-GB"/>
        </w:rPr>
        <w:t xml:space="preserve">, iron and hydroxyurea (in </w:t>
      </w:r>
      <w:r w:rsidR="005C1F80">
        <w:rPr>
          <w:lang w:eastAsia="en-GB"/>
        </w:rPr>
        <w:t>SCD</w:t>
      </w:r>
      <w:r>
        <w:rPr>
          <w:lang w:eastAsia="en-GB"/>
        </w:rPr>
        <w:t xml:space="preserve"> only). </w:t>
      </w:r>
    </w:p>
    <w:p w14:paraId="0EE63666" w14:textId="2D6921DC" w:rsidR="000742CA" w:rsidRPr="00340580" w:rsidRDefault="00340580" w:rsidP="00340580">
      <w:pPr>
        <w:pStyle w:val="Heading3"/>
        <w:rPr>
          <w:lang w:val="en-AU"/>
        </w:rPr>
      </w:pPr>
      <w:bookmarkStart w:id="114" w:name="_Toc427851324"/>
      <w:r>
        <w:rPr>
          <w:lang w:val="en-AU"/>
        </w:rPr>
        <w:t>3.3</w:t>
      </w:r>
      <w:r w:rsidR="00B63663">
        <w:rPr>
          <w:lang w:val="en-AU"/>
        </w:rPr>
        <w:t>.</w:t>
      </w:r>
      <w:r>
        <w:rPr>
          <w:lang w:val="en-AU"/>
        </w:rPr>
        <w:t>1</w:t>
      </w:r>
      <w:r>
        <w:rPr>
          <w:lang w:val="en-AU"/>
        </w:rPr>
        <w:tab/>
      </w:r>
      <w:r w:rsidR="000742CA">
        <w:t xml:space="preserve">Preterm and </w:t>
      </w:r>
      <w:r w:rsidR="000742CA" w:rsidRPr="002D409B">
        <w:t>low</w:t>
      </w:r>
      <w:r w:rsidR="000742CA">
        <w:t xml:space="preserve"> birth weight infants </w:t>
      </w:r>
      <w:bookmarkStart w:id="115" w:name="_Ref412673000"/>
      <w:r>
        <w:rPr>
          <w:lang w:val="en-AU"/>
        </w:rPr>
        <w:t xml:space="preserve">– effect of </w:t>
      </w:r>
      <w:r w:rsidR="000742CA" w:rsidRPr="004667A5">
        <w:t xml:space="preserve">ESAs </w:t>
      </w:r>
      <w:r>
        <w:rPr>
          <w:lang w:val="en-AU"/>
        </w:rPr>
        <w:t>(</w:t>
      </w:r>
      <w:r w:rsidR="000742CA" w:rsidRPr="00A21FE4">
        <w:t>with or without iron</w:t>
      </w:r>
      <w:r>
        <w:rPr>
          <w:lang w:val="en-AU"/>
        </w:rPr>
        <w:t>) on outcomes</w:t>
      </w:r>
      <w:bookmarkEnd w:id="114"/>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78308ED8"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30C19270" w14:textId="077D7102" w:rsidR="000742CA" w:rsidRPr="00A21FE4" w:rsidRDefault="000742CA" w:rsidP="006D11A2">
            <w:pPr>
              <w:pStyle w:val="PP-heading"/>
            </w:pPr>
            <w:r w:rsidRPr="00A21FE4">
              <w:t>Evidence statements – preterm and low birth weight infants (</w:t>
            </w:r>
            <w:r w:rsidR="006D11A2">
              <w:rPr>
                <w:lang w:val="en-AU"/>
              </w:rPr>
              <w:t xml:space="preserve">ESAs </w:t>
            </w:r>
            <w:r w:rsidRPr="00A21FE4">
              <w:t>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D1BB30C"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AB09D76"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495AA5B"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CB553E0"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35FAB04" w14:textId="77777777" w:rsidR="000742CA" w:rsidRPr="00A21FE4" w:rsidRDefault="000742CA" w:rsidP="000742CA">
            <w:pPr>
              <w:ind w:left="113" w:right="113"/>
              <w:jc w:val="center"/>
              <w:rPr>
                <w:b/>
              </w:rPr>
            </w:pPr>
            <w:r w:rsidRPr="00A21FE4">
              <w:rPr>
                <w:b/>
              </w:rPr>
              <w:t>Applicability</w:t>
            </w:r>
          </w:p>
        </w:tc>
      </w:tr>
      <w:tr w:rsidR="000742CA" w:rsidRPr="00A21FE4" w14:paraId="7CCA2B3C" w14:textId="77777777" w:rsidTr="000742CA">
        <w:trPr>
          <w:cantSplit/>
        </w:trPr>
        <w:tc>
          <w:tcPr>
            <w:tcW w:w="851" w:type="dxa"/>
          </w:tcPr>
          <w:p w14:paraId="79E4DEDD" w14:textId="77777777" w:rsidR="000742CA" w:rsidRPr="00A21FE4" w:rsidRDefault="000742CA" w:rsidP="000742CA">
            <w:pPr>
              <w:pStyle w:val="Tabletext0"/>
            </w:pPr>
            <w:r>
              <w:t>ES2.1</w:t>
            </w:r>
          </w:p>
          <w:p w14:paraId="5C46C1CA" w14:textId="77777777" w:rsidR="000742CA" w:rsidRPr="00A21FE4" w:rsidRDefault="000742CA" w:rsidP="000742CA">
            <w:pPr>
              <w:pStyle w:val="Tabletext0"/>
            </w:pPr>
          </w:p>
        </w:tc>
        <w:tc>
          <w:tcPr>
            <w:tcW w:w="3750" w:type="dxa"/>
          </w:tcPr>
          <w:p w14:paraId="218545D1" w14:textId="77777777" w:rsidR="000742CA" w:rsidRPr="00A21FE4" w:rsidRDefault="000742CA" w:rsidP="000742CA">
            <w:pPr>
              <w:pStyle w:val="ES-table"/>
            </w:pPr>
            <w:r w:rsidRPr="00A21FE4">
              <w:t xml:space="preserve">In </w:t>
            </w:r>
            <w:r w:rsidRPr="00A21FE4">
              <w:rPr>
                <w:szCs w:val="20"/>
              </w:rPr>
              <w:t>preterm</w:t>
            </w:r>
            <w:r w:rsidRPr="00A21FE4">
              <w:t xml:space="preserve"> infants with low birth weight (&lt;2500 g), ESA therapy (with or without iron) may reduce transfusion incidence.</w:t>
            </w:r>
          </w:p>
          <w:p w14:paraId="10D417D4" w14:textId="77777777" w:rsidR="000742CA" w:rsidRPr="00A21FE4" w:rsidRDefault="000742CA" w:rsidP="000742CA">
            <w:pPr>
              <w:pStyle w:val="ES-notes"/>
            </w:pPr>
            <w:r w:rsidRPr="00A21FE4">
              <w:t>(See evidence matrix D2.A in Volume 2 of the technical report.)</w:t>
            </w:r>
          </w:p>
        </w:tc>
        <w:tc>
          <w:tcPr>
            <w:tcW w:w="820" w:type="dxa"/>
          </w:tcPr>
          <w:p w14:paraId="33A2DCA2"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09F70AAC" w14:textId="77777777" w:rsidR="000742CA" w:rsidRPr="00A21FE4" w:rsidRDefault="000742CA" w:rsidP="000742CA">
            <w:pPr>
              <w:pStyle w:val="T-ABCD"/>
            </w:pPr>
            <w:r w:rsidRPr="00A21FE4">
              <w:sym w:font="Symbol" w:char="F0D6"/>
            </w:r>
          </w:p>
        </w:tc>
        <w:tc>
          <w:tcPr>
            <w:tcW w:w="821" w:type="dxa"/>
          </w:tcPr>
          <w:p w14:paraId="65611776" w14:textId="77777777" w:rsidR="000742CA" w:rsidRPr="00A21FE4" w:rsidRDefault="000742CA" w:rsidP="000742CA">
            <w:pPr>
              <w:pStyle w:val="T-ABCD"/>
            </w:pPr>
            <w:r w:rsidRPr="00A21FE4">
              <w:sym w:font="Symbol" w:char="F0D6"/>
            </w:r>
            <w:r w:rsidRPr="00A21FE4">
              <w:sym w:font="Symbol" w:char="F0D6"/>
            </w:r>
          </w:p>
        </w:tc>
        <w:tc>
          <w:tcPr>
            <w:tcW w:w="821" w:type="dxa"/>
          </w:tcPr>
          <w:p w14:paraId="58CE05CC" w14:textId="77777777" w:rsidR="000742CA" w:rsidRPr="00A21FE4" w:rsidRDefault="000742CA" w:rsidP="000742CA">
            <w:pPr>
              <w:pStyle w:val="T-ABCD"/>
            </w:pPr>
            <w:r w:rsidRPr="00A21FE4">
              <w:sym w:font="Symbol" w:char="F0D6"/>
            </w:r>
            <w:r w:rsidRPr="00A21FE4">
              <w:sym w:font="Symbol" w:char="F0D6"/>
            </w:r>
          </w:p>
        </w:tc>
        <w:tc>
          <w:tcPr>
            <w:tcW w:w="821" w:type="dxa"/>
          </w:tcPr>
          <w:p w14:paraId="72C14D94"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r>
      <w:tr w:rsidR="000742CA" w:rsidRPr="00A21FE4" w14:paraId="65EC7C84" w14:textId="77777777" w:rsidTr="000742CA">
        <w:trPr>
          <w:cantSplit/>
        </w:trPr>
        <w:tc>
          <w:tcPr>
            <w:tcW w:w="851" w:type="dxa"/>
          </w:tcPr>
          <w:p w14:paraId="72E9A264" w14:textId="77777777" w:rsidR="000742CA" w:rsidRDefault="000742CA" w:rsidP="000742CA">
            <w:pPr>
              <w:pStyle w:val="Tabletext0"/>
            </w:pPr>
            <w:r>
              <w:t>ES2.2</w:t>
            </w:r>
          </w:p>
          <w:p w14:paraId="0807D170" w14:textId="77777777" w:rsidR="000742CA" w:rsidRPr="00A21FE4" w:rsidRDefault="000742CA" w:rsidP="000742CA">
            <w:pPr>
              <w:pStyle w:val="Tabletext0"/>
            </w:pPr>
          </w:p>
        </w:tc>
        <w:tc>
          <w:tcPr>
            <w:tcW w:w="3750" w:type="dxa"/>
          </w:tcPr>
          <w:p w14:paraId="2EFA79F3" w14:textId="77777777" w:rsidR="000742CA" w:rsidRPr="00A21FE4" w:rsidRDefault="000742CA" w:rsidP="000742CA">
            <w:pPr>
              <w:pStyle w:val="ES-table"/>
            </w:pPr>
            <w:r w:rsidRPr="00A21FE4">
              <w:t>In preterm infants with RhHDFN, the effect of ESA therapy (with or without iron) on transfusion incidence is uncertain.</w:t>
            </w:r>
          </w:p>
          <w:p w14:paraId="5A2524F6" w14:textId="77777777" w:rsidR="000742CA" w:rsidRPr="00A21FE4" w:rsidRDefault="000742CA" w:rsidP="000742CA">
            <w:pPr>
              <w:pStyle w:val="ES-notes"/>
            </w:pPr>
            <w:r w:rsidRPr="00A21FE4">
              <w:t>(See evidence matrix D2.B in Volume 2 of the technical report.)</w:t>
            </w:r>
          </w:p>
        </w:tc>
        <w:tc>
          <w:tcPr>
            <w:tcW w:w="820" w:type="dxa"/>
          </w:tcPr>
          <w:p w14:paraId="5E07C85C" w14:textId="77777777" w:rsidR="000742CA" w:rsidRPr="00A21FE4" w:rsidRDefault="000742CA" w:rsidP="000742CA">
            <w:pPr>
              <w:pStyle w:val="T-ABCD"/>
              <w:rPr>
                <w:sz w:val="18"/>
                <w:szCs w:val="18"/>
              </w:rPr>
            </w:pPr>
            <w:r w:rsidRPr="00A21FE4">
              <w:sym w:font="Symbol" w:char="F0D6"/>
            </w:r>
          </w:p>
        </w:tc>
        <w:tc>
          <w:tcPr>
            <w:tcW w:w="821" w:type="dxa"/>
          </w:tcPr>
          <w:p w14:paraId="6B9E46D6" w14:textId="77777777" w:rsidR="000742CA" w:rsidRPr="00A21FE4" w:rsidRDefault="000742CA" w:rsidP="000742CA">
            <w:pPr>
              <w:pStyle w:val="T-ABCD"/>
            </w:pPr>
            <w:r w:rsidRPr="00A21FE4">
              <w:t>NA</w:t>
            </w:r>
          </w:p>
        </w:tc>
        <w:tc>
          <w:tcPr>
            <w:tcW w:w="821" w:type="dxa"/>
          </w:tcPr>
          <w:p w14:paraId="321082A5" w14:textId="77777777" w:rsidR="000742CA" w:rsidRPr="00A21FE4" w:rsidRDefault="000742CA" w:rsidP="000742CA">
            <w:pPr>
              <w:pStyle w:val="T-ABCD"/>
            </w:pPr>
            <w:r w:rsidRPr="00A21FE4">
              <w:sym w:font="Symbol" w:char="F0D6"/>
            </w:r>
            <w:r w:rsidRPr="00A21FE4">
              <w:sym w:font="Symbol" w:char="F0D6"/>
            </w:r>
          </w:p>
        </w:tc>
        <w:tc>
          <w:tcPr>
            <w:tcW w:w="821" w:type="dxa"/>
          </w:tcPr>
          <w:p w14:paraId="3E70B401" w14:textId="77777777" w:rsidR="000742CA" w:rsidRPr="00A21FE4" w:rsidRDefault="000742CA" w:rsidP="000742CA">
            <w:pPr>
              <w:pStyle w:val="T-ABCD"/>
            </w:pPr>
            <w:r w:rsidRPr="00A21FE4">
              <w:sym w:font="Symbol" w:char="F0D6"/>
            </w:r>
            <w:r w:rsidRPr="00A21FE4">
              <w:sym w:font="Symbol" w:char="F0D6"/>
            </w:r>
          </w:p>
        </w:tc>
        <w:tc>
          <w:tcPr>
            <w:tcW w:w="821" w:type="dxa"/>
          </w:tcPr>
          <w:p w14:paraId="04B66FD2" w14:textId="77777777" w:rsidR="000742CA" w:rsidRPr="00A21FE4" w:rsidRDefault="000742CA" w:rsidP="000742CA">
            <w:pPr>
              <w:pStyle w:val="T-ABCD"/>
              <w:rPr>
                <w:sz w:val="18"/>
                <w:szCs w:val="18"/>
              </w:rPr>
            </w:pPr>
            <w:r w:rsidRPr="00A21FE4">
              <w:sym w:font="Symbol" w:char="F0D6"/>
            </w:r>
          </w:p>
        </w:tc>
      </w:tr>
      <w:tr w:rsidR="000742CA" w:rsidRPr="00A21FE4" w14:paraId="645329ED" w14:textId="77777777" w:rsidTr="000742CA">
        <w:trPr>
          <w:cantSplit/>
        </w:trPr>
        <w:tc>
          <w:tcPr>
            <w:tcW w:w="851" w:type="dxa"/>
          </w:tcPr>
          <w:p w14:paraId="3C71BAC1" w14:textId="77777777" w:rsidR="000742CA" w:rsidRPr="00A21FE4" w:rsidRDefault="000742CA" w:rsidP="000742CA">
            <w:pPr>
              <w:pStyle w:val="Tabletext0"/>
            </w:pPr>
            <w:r>
              <w:t>ES2.3</w:t>
            </w:r>
            <w:r>
              <w:tab/>
            </w:r>
          </w:p>
        </w:tc>
        <w:tc>
          <w:tcPr>
            <w:tcW w:w="3750" w:type="dxa"/>
          </w:tcPr>
          <w:p w14:paraId="7216600B" w14:textId="77777777" w:rsidR="000742CA" w:rsidRPr="00A21FE4" w:rsidRDefault="000742CA" w:rsidP="000742CA">
            <w:pPr>
              <w:pStyle w:val="ES-table"/>
            </w:pPr>
            <w:r w:rsidRPr="00A21FE4">
              <w:t>In preterm infants with low birth weight (&lt;2500 g), ESA therapy (with or without iron) may reduce transfusion volume.</w:t>
            </w:r>
          </w:p>
          <w:p w14:paraId="5F6F6F58" w14:textId="77777777" w:rsidR="000742CA" w:rsidRPr="00A21FE4" w:rsidRDefault="000742CA" w:rsidP="000742CA">
            <w:pPr>
              <w:pStyle w:val="ES-notes"/>
            </w:pPr>
            <w:r w:rsidRPr="00A21FE4">
              <w:t>(See evidence matrix D2.C in Volume 2 of the technical report.)</w:t>
            </w:r>
          </w:p>
        </w:tc>
        <w:tc>
          <w:tcPr>
            <w:tcW w:w="820" w:type="dxa"/>
          </w:tcPr>
          <w:p w14:paraId="510F6BCB"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57A72901" w14:textId="77777777" w:rsidR="000742CA" w:rsidRPr="00A21FE4" w:rsidRDefault="000742CA" w:rsidP="000742CA">
            <w:pPr>
              <w:pStyle w:val="T-ABCD"/>
            </w:pPr>
            <w:r w:rsidRPr="00A21FE4">
              <w:sym w:font="Symbol" w:char="F0D6"/>
            </w:r>
          </w:p>
        </w:tc>
        <w:tc>
          <w:tcPr>
            <w:tcW w:w="821" w:type="dxa"/>
          </w:tcPr>
          <w:p w14:paraId="42DCF889" w14:textId="77777777" w:rsidR="000742CA" w:rsidRPr="00A21FE4" w:rsidRDefault="000742CA" w:rsidP="000742CA">
            <w:pPr>
              <w:pStyle w:val="T-ABCD"/>
            </w:pPr>
            <w:r w:rsidRPr="00A21FE4">
              <w:sym w:font="Symbol" w:char="F0D6"/>
            </w:r>
            <w:r w:rsidRPr="00A21FE4">
              <w:sym w:font="Symbol" w:char="F0D6"/>
            </w:r>
          </w:p>
        </w:tc>
        <w:tc>
          <w:tcPr>
            <w:tcW w:w="821" w:type="dxa"/>
          </w:tcPr>
          <w:p w14:paraId="32376C33"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133E9E7F"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r>
      <w:tr w:rsidR="000742CA" w:rsidRPr="00A21FE4" w14:paraId="742CDB16" w14:textId="77777777" w:rsidTr="000742CA">
        <w:trPr>
          <w:cantSplit/>
        </w:trPr>
        <w:tc>
          <w:tcPr>
            <w:tcW w:w="851" w:type="dxa"/>
          </w:tcPr>
          <w:p w14:paraId="657C675A" w14:textId="77777777" w:rsidR="000742CA" w:rsidRPr="00A21FE4" w:rsidRDefault="000742CA" w:rsidP="000742CA">
            <w:pPr>
              <w:pStyle w:val="Tabletext0"/>
            </w:pPr>
            <w:r>
              <w:t>ES2.4</w:t>
            </w:r>
          </w:p>
        </w:tc>
        <w:tc>
          <w:tcPr>
            <w:tcW w:w="3750" w:type="dxa"/>
          </w:tcPr>
          <w:p w14:paraId="7095C401" w14:textId="77777777" w:rsidR="000742CA" w:rsidRPr="00A21FE4" w:rsidRDefault="000742CA" w:rsidP="000742CA">
            <w:pPr>
              <w:pStyle w:val="ES-table"/>
            </w:pPr>
            <w:r w:rsidRPr="00A21FE4">
              <w:t>In preterm infants with low birth weight (&lt;2500 g), the effect of ESA therapy (with or without iron) on thromboembolic events is unknown.</w:t>
            </w:r>
          </w:p>
        </w:tc>
        <w:tc>
          <w:tcPr>
            <w:tcW w:w="820" w:type="dxa"/>
          </w:tcPr>
          <w:p w14:paraId="3C8D522D" w14:textId="77777777" w:rsidR="000742CA" w:rsidRPr="00A21FE4" w:rsidRDefault="000742CA" w:rsidP="000742CA">
            <w:pPr>
              <w:pStyle w:val="T-ABCD"/>
              <w:rPr>
                <w:sz w:val="18"/>
                <w:szCs w:val="18"/>
              </w:rPr>
            </w:pPr>
            <w:r w:rsidRPr="00A21FE4">
              <w:t>NA</w:t>
            </w:r>
          </w:p>
        </w:tc>
        <w:tc>
          <w:tcPr>
            <w:tcW w:w="821" w:type="dxa"/>
          </w:tcPr>
          <w:p w14:paraId="14964CE9" w14:textId="77777777" w:rsidR="000742CA" w:rsidRPr="00A21FE4" w:rsidRDefault="000742CA" w:rsidP="000742CA">
            <w:pPr>
              <w:pStyle w:val="T-ABCD"/>
            </w:pPr>
            <w:r w:rsidRPr="00A21FE4">
              <w:t>NA</w:t>
            </w:r>
          </w:p>
        </w:tc>
        <w:tc>
          <w:tcPr>
            <w:tcW w:w="821" w:type="dxa"/>
          </w:tcPr>
          <w:p w14:paraId="651141D6" w14:textId="77777777" w:rsidR="000742CA" w:rsidRPr="00A21FE4" w:rsidRDefault="000742CA" w:rsidP="000742CA">
            <w:pPr>
              <w:pStyle w:val="T-ABCD"/>
            </w:pPr>
            <w:r w:rsidRPr="00A21FE4">
              <w:t>NA</w:t>
            </w:r>
          </w:p>
        </w:tc>
        <w:tc>
          <w:tcPr>
            <w:tcW w:w="821" w:type="dxa"/>
          </w:tcPr>
          <w:p w14:paraId="62179B9C" w14:textId="77777777" w:rsidR="000742CA" w:rsidRPr="00A21FE4" w:rsidRDefault="000742CA" w:rsidP="000742CA">
            <w:pPr>
              <w:pStyle w:val="T-ABCD"/>
              <w:rPr>
                <w:sz w:val="18"/>
                <w:szCs w:val="18"/>
              </w:rPr>
            </w:pPr>
            <w:r w:rsidRPr="00A21FE4">
              <w:t>NA</w:t>
            </w:r>
          </w:p>
        </w:tc>
        <w:tc>
          <w:tcPr>
            <w:tcW w:w="821" w:type="dxa"/>
          </w:tcPr>
          <w:p w14:paraId="3EB9ACF4" w14:textId="77777777" w:rsidR="000742CA" w:rsidRPr="00A21FE4" w:rsidRDefault="000742CA" w:rsidP="000742CA">
            <w:pPr>
              <w:pStyle w:val="T-ABCD"/>
              <w:rPr>
                <w:sz w:val="18"/>
                <w:szCs w:val="18"/>
              </w:rPr>
            </w:pPr>
            <w:r w:rsidRPr="00A21FE4">
              <w:t xml:space="preserve">NA </w:t>
            </w:r>
          </w:p>
        </w:tc>
      </w:tr>
      <w:tr w:rsidR="000742CA" w:rsidRPr="00A21FE4" w14:paraId="0B614737" w14:textId="77777777" w:rsidTr="000742CA">
        <w:trPr>
          <w:cantSplit/>
        </w:trPr>
        <w:tc>
          <w:tcPr>
            <w:tcW w:w="851" w:type="dxa"/>
          </w:tcPr>
          <w:p w14:paraId="77DDE203" w14:textId="77777777" w:rsidR="000742CA" w:rsidRPr="00A21FE4" w:rsidRDefault="000742CA" w:rsidP="000742CA">
            <w:pPr>
              <w:pStyle w:val="Tabletext0"/>
            </w:pPr>
            <w:r>
              <w:t>ES2.5</w:t>
            </w:r>
          </w:p>
        </w:tc>
        <w:tc>
          <w:tcPr>
            <w:tcW w:w="3750" w:type="dxa"/>
          </w:tcPr>
          <w:p w14:paraId="16347338" w14:textId="77777777" w:rsidR="000742CA" w:rsidRPr="00A21FE4" w:rsidRDefault="000742CA" w:rsidP="000742CA">
            <w:pPr>
              <w:pStyle w:val="ES-table"/>
            </w:pPr>
            <w:r w:rsidRPr="00A21FE4">
              <w:t>In preterm infants with low birth weight (&lt;2500 g), the effect of ESA therapy (with or without iron) on ROP is uncertain.</w:t>
            </w:r>
          </w:p>
          <w:p w14:paraId="7534F4FF" w14:textId="77777777" w:rsidR="000742CA" w:rsidRPr="00A21FE4" w:rsidRDefault="000742CA" w:rsidP="000742CA">
            <w:pPr>
              <w:pStyle w:val="ES-notes"/>
            </w:pPr>
            <w:r w:rsidRPr="00A21FE4">
              <w:t>(See evidence matrix D2.D in Volume 2 of the technical report.)</w:t>
            </w:r>
          </w:p>
        </w:tc>
        <w:tc>
          <w:tcPr>
            <w:tcW w:w="820" w:type="dxa"/>
          </w:tcPr>
          <w:p w14:paraId="0BA7C9AF" w14:textId="77777777" w:rsidR="000742CA" w:rsidRPr="00A21FE4" w:rsidRDefault="000742CA" w:rsidP="000742CA">
            <w:pPr>
              <w:pStyle w:val="T-ABCD"/>
            </w:pPr>
            <w:r w:rsidRPr="00A21FE4">
              <w:sym w:font="Symbol" w:char="F0D6"/>
            </w:r>
          </w:p>
        </w:tc>
        <w:tc>
          <w:tcPr>
            <w:tcW w:w="821" w:type="dxa"/>
          </w:tcPr>
          <w:p w14:paraId="3EF0F98B" w14:textId="77777777" w:rsidR="000742CA" w:rsidRPr="00A21FE4" w:rsidRDefault="000742CA" w:rsidP="000742CA">
            <w:pPr>
              <w:pStyle w:val="T-ABCD"/>
            </w:pPr>
            <w:r w:rsidRPr="00A21FE4">
              <w:sym w:font="Symbol" w:char="F0D6"/>
            </w:r>
            <w:r w:rsidRPr="00A21FE4">
              <w:sym w:font="Symbol" w:char="F0D6"/>
            </w:r>
          </w:p>
        </w:tc>
        <w:tc>
          <w:tcPr>
            <w:tcW w:w="821" w:type="dxa"/>
          </w:tcPr>
          <w:p w14:paraId="3DA22176" w14:textId="77777777" w:rsidR="000742CA" w:rsidRPr="00A21FE4" w:rsidRDefault="000742CA" w:rsidP="000742CA">
            <w:pPr>
              <w:pStyle w:val="T-ABCD"/>
            </w:pPr>
            <w:r w:rsidRPr="00A21FE4">
              <w:t>NA</w:t>
            </w:r>
          </w:p>
        </w:tc>
        <w:tc>
          <w:tcPr>
            <w:tcW w:w="821" w:type="dxa"/>
          </w:tcPr>
          <w:p w14:paraId="0FEA8F27" w14:textId="77777777" w:rsidR="000742CA" w:rsidRPr="00A21FE4" w:rsidRDefault="000742CA" w:rsidP="000742CA">
            <w:pPr>
              <w:pStyle w:val="T-ABCD"/>
            </w:pPr>
            <w:r w:rsidRPr="00A21FE4">
              <w:sym w:font="Symbol" w:char="F0D6"/>
            </w:r>
            <w:r w:rsidRPr="00A21FE4">
              <w:sym w:font="Symbol" w:char="F0D6"/>
            </w:r>
          </w:p>
        </w:tc>
        <w:tc>
          <w:tcPr>
            <w:tcW w:w="821" w:type="dxa"/>
          </w:tcPr>
          <w:p w14:paraId="34827222" w14:textId="77777777" w:rsidR="000742CA" w:rsidRPr="00A21FE4" w:rsidRDefault="000742CA" w:rsidP="000742CA">
            <w:pPr>
              <w:pStyle w:val="T-ABCD"/>
            </w:pPr>
            <w:r w:rsidRPr="00A21FE4">
              <w:sym w:font="Symbol" w:char="F0D6"/>
            </w:r>
            <w:r w:rsidRPr="00A21FE4">
              <w:sym w:font="Symbol" w:char="F0D6"/>
            </w:r>
          </w:p>
        </w:tc>
      </w:tr>
      <w:tr w:rsidR="000742CA" w:rsidRPr="00A21FE4" w14:paraId="56034437" w14:textId="77777777" w:rsidTr="000742CA">
        <w:trPr>
          <w:cantSplit/>
        </w:trPr>
        <w:tc>
          <w:tcPr>
            <w:tcW w:w="851" w:type="dxa"/>
          </w:tcPr>
          <w:p w14:paraId="2DF5B9AF" w14:textId="77777777" w:rsidR="000742CA" w:rsidRDefault="000742CA" w:rsidP="000742CA">
            <w:pPr>
              <w:pStyle w:val="Tabletext0"/>
            </w:pPr>
            <w:r>
              <w:t>ES2.6</w:t>
            </w:r>
          </w:p>
          <w:p w14:paraId="46E14AF6" w14:textId="77777777" w:rsidR="000742CA" w:rsidRPr="00A21FE4" w:rsidRDefault="000742CA" w:rsidP="000742CA">
            <w:pPr>
              <w:pStyle w:val="Tabletext0"/>
            </w:pPr>
          </w:p>
        </w:tc>
        <w:tc>
          <w:tcPr>
            <w:tcW w:w="3750" w:type="dxa"/>
          </w:tcPr>
          <w:p w14:paraId="4C0597C8" w14:textId="77777777" w:rsidR="000742CA" w:rsidRPr="00A21FE4" w:rsidRDefault="000742CA" w:rsidP="000742CA">
            <w:pPr>
              <w:pStyle w:val="ES-table"/>
            </w:pPr>
            <w:r w:rsidRPr="00A21FE4">
              <w:t>In preterm infants with low birth weight (&lt;2500 g), the effect of ESA therapy (with or without iron) on BPD is uncertain.</w:t>
            </w:r>
          </w:p>
          <w:p w14:paraId="0D9CBA63" w14:textId="77777777" w:rsidR="000742CA" w:rsidRPr="00A21FE4" w:rsidRDefault="000742CA" w:rsidP="000742CA">
            <w:pPr>
              <w:pStyle w:val="ES-notes"/>
            </w:pPr>
            <w:r w:rsidRPr="00A21FE4">
              <w:t>(See evidence matrix D2.E in Volume 2 of the technical report.)</w:t>
            </w:r>
          </w:p>
        </w:tc>
        <w:tc>
          <w:tcPr>
            <w:tcW w:w="820" w:type="dxa"/>
          </w:tcPr>
          <w:p w14:paraId="50A71C90" w14:textId="77777777" w:rsidR="000742CA" w:rsidRPr="00A21FE4" w:rsidRDefault="000742CA" w:rsidP="000742CA">
            <w:pPr>
              <w:pStyle w:val="T-ABCD"/>
            </w:pPr>
            <w:r w:rsidRPr="00A21FE4">
              <w:sym w:font="Symbol" w:char="F0D6"/>
            </w:r>
          </w:p>
        </w:tc>
        <w:tc>
          <w:tcPr>
            <w:tcW w:w="821" w:type="dxa"/>
          </w:tcPr>
          <w:p w14:paraId="35FFADC9"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2CBAB9F5" w14:textId="77777777" w:rsidR="000742CA" w:rsidRPr="00A21FE4" w:rsidRDefault="000742CA" w:rsidP="000742CA">
            <w:pPr>
              <w:pStyle w:val="T-ABCD"/>
            </w:pPr>
            <w:r w:rsidRPr="00A21FE4">
              <w:t>NA</w:t>
            </w:r>
          </w:p>
        </w:tc>
        <w:tc>
          <w:tcPr>
            <w:tcW w:w="821" w:type="dxa"/>
          </w:tcPr>
          <w:p w14:paraId="127CBFDA" w14:textId="77777777" w:rsidR="000742CA" w:rsidRPr="00A21FE4" w:rsidRDefault="000742CA" w:rsidP="000742CA">
            <w:pPr>
              <w:pStyle w:val="T-ABCD"/>
            </w:pPr>
            <w:r w:rsidRPr="00A21FE4">
              <w:sym w:font="Symbol" w:char="F0D6"/>
            </w:r>
            <w:r w:rsidRPr="00A21FE4">
              <w:sym w:font="Symbol" w:char="F0D6"/>
            </w:r>
          </w:p>
        </w:tc>
        <w:tc>
          <w:tcPr>
            <w:tcW w:w="821" w:type="dxa"/>
          </w:tcPr>
          <w:p w14:paraId="56D8CB7C" w14:textId="77777777" w:rsidR="000742CA" w:rsidRPr="00A21FE4" w:rsidRDefault="000742CA" w:rsidP="000742CA">
            <w:pPr>
              <w:pStyle w:val="T-ABCD"/>
            </w:pPr>
            <w:r w:rsidRPr="00A21FE4">
              <w:sym w:font="Symbol" w:char="F0D6"/>
            </w:r>
            <w:r w:rsidRPr="00A21FE4">
              <w:sym w:font="Symbol" w:char="F0D6"/>
            </w:r>
          </w:p>
        </w:tc>
      </w:tr>
      <w:tr w:rsidR="000742CA" w:rsidRPr="00A21FE4" w14:paraId="515981FA" w14:textId="77777777" w:rsidTr="000742CA">
        <w:trPr>
          <w:cantSplit/>
        </w:trPr>
        <w:tc>
          <w:tcPr>
            <w:tcW w:w="851" w:type="dxa"/>
          </w:tcPr>
          <w:p w14:paraId="565CC899" w14:textId="77777777" w:rsidR="000742CA" w:rsidRDefault="000742CA" w:rsidP="000742CA">
            <w:pPr>
              <w:pStyle w:val="Tabletext0"/>
            </w:pPr>
            <w:r>
              <w:t>ES2.7</w:t>
            </w:r>
          </w:p>
          <w:p w14:paraId="40886E86" w14:textId="77777777" w:rsidR="000742CA" w:rsidRPr="00A21FE4" w:rsidRDefault="000742CA" w:rsidP="000742CA">
            <w:pPr>
              <w:pStyle w:val="Tabletext0"/>
            </w:pPr>
          </w:p>
        </w:tc>
        <w:tc>
          <w:tcPr>
            <w:tcW w:w="3750" w:type="dxa"/>
          </w:tcPr>
          <w:p w14:paraId="4D04D575" w14:textId="77777777" w:rsidR="000742CA" w:rsidRPr="00A21FE4" w:rsidRDefault="000742CA" w:rsidP="000742CA">
            <w:pPr>
              <w:pStyle w:val="ES-table"/>
            </w:pPr>
            <w:r w:rsidRPr="00A21FE4">
              <w:t>In preterm infants with low birth weight (&lt;2500 g), the effect of ESA therapy (with or without iron) on NEC is uncertain.</w:t>
            </w:r>
          </w:p>
          <w:p w14:paraId="4D7DCDFB" w14:textId="77777777" w:rsidR="000742CA" w:rsidRPr="00A21FE4" w:rsidRDefault="000742CA" w:rsidP="000742CA">
            <w:pPr>
              <w:pStyle w:val="ES-notes"/>
            </w:pPr>
            <w:r w:rsidRPr="00A21FE4">
              <w:t>(See evidence matrix D2.F in Volume 2 of the technical report.)</w:t>
            </w:r>
          </w:p>
        </w:tc>
        <w:tc>
          <w:tcPr>
            <w:tcW w:w="820" w:type="dxa"/>
          </w:tcPr>
          <w:p w14:paraId="6E540646" w14:textId="77777777" w:rsidR="000742CA" w:rsidRPr="00A21FE4" w:rsidRDefault="000742CA" w:rsidP="000742CA">
            <w:pPr>
              <w:pStyle w:val="T-ABCD"/>
            </w:pPr>
            <w:r w:rsidRPr="00A21FE4">
              <w:sym w:font="Symbol" w:char="F0D6"/>
            </w:r>
          </w:p>
        </w:tc>
        <w:tc>
          <w:tcPr>
            <w:tcW w:w="821" w:type="dxa"/>
          </w:tcPr>
          <w:p w14:paraId="2881A172" w14:textId="77777777" w:rsidR="000742CA" w:rsidRPr="00A21FE4" w:rsidRDefault="000742CA" w:rsidP="000742CA">
            <w:pPr>
              <w:pStyle w:val="T-ABCD"/>
              <w:rPr>
                <w:sz w:val="18"/>
                <w:szCs w:val="18"/>
              </w:rPr>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101B4931" w14:textId="77777777" w:rsidR="000742CA" w:rsidRPr="00A21FE4" w:rsidRDefault="000742CA" w:rsidP="000742CA">
            <w:pPr>
              <w:pStyle w:val="T-ABCD"/>
            </w:pPr>
            <w:r w:rsidRPr="00A21FE4">
              <w:t>NA</w:t>
            </w:r>
          </w:p>
        </w:tc>
        <w:tc>
          <w:tcPr>
            <w:tcW w:w="821" w:type="dxa"/>
          </w:tcPr>
          <w:p w14:paraId="01D387D0" w14:textId="77777777" w:rsidR="000742CA" w:rsidRPr="00A21FE4" w:rsidRDefault="000742CA" w:rsidP="000742CA">
            <w:pPr>
              <w:pStyle w:val="T-ABCD"/>
            </w:pPr>
            <w:r w:rsidRPr="00A21FE4">
              <w:sym w:font="Symbol" w:char="F0D6"/>
            </w:r>
            <w:r w:rsidRPr="00A21FE4">
              <w:sym w:font="Symbol" w:char="F0D6"/>
            </w:r>
          </w:p>
        </w:tc>
        <w:tc>
          <w:tcPr>
            <w:tcW w:w="821" w:type="dxa"/>
          </w:tcPr>
          <w:p w14:paraId="2B0DF415" w14:textId="77777777" w:rsidR="000742CA" w:rsidRPr="00A21FE4" w:rsidRDefault="000742CA" w:rsidP="000742CA">
            <w:pPr>
              <w:pStyle w:val="T-ABCD"/>
            </w:pPr>
            <w:r w:rsidRPr="00A21FE4">
              <w:sym w:font="Symbol" w:char="F0D6"/>
            </w:r>
            <w:r w:rsidRPr="00A21FE4">
              <w:sym w:font="Symbol" w:char="F0D6"/>
            </w:r>
          </w:p>
        </w:tc>
      </w:tr>
      <w:tr w:rsidR="000742CA" w:rsidRPr="00A21FE4" w14:paraId="0DCF91B9" w14:textId="77777777" w:rsidTr="000742CA">
        <w:trPr>
          <w:cantSplit/>
        </w:trPr>
        <w:tc>
          <w:tcPr>
            <w:tcW w:w="851" w:type="dxa"/>
          </w:tcPr>
          <w:p w14:paraId="71DC3513" w14:textId="77777777" w:rsidR="000742CA" w:rsidRPr="00A21FE4" w:rsidRDefault="000742CA" w:rsidP="00E33B2E">
            <w:pPr>
              <w:pStyle w:val="Tabletext0"/>
              <w:keepNext/>
            </w:pPr>
            <w:r>
              <w:t>ES2.8</w:t>
            </w:r>
          </w:p>
        </w:tc>
        <w:tc>
          <w:tcPr>
            <w:tcW w:w="3750" w:type="dxa"/>
          </w:tcPr>
          <w:p w14:paraId="27ED1144" w14:textId="77777777" w:rsidR="000742CA" w:rsidRPr="00A21FE4" w:rsidRDefault="000742CA" w:rsidP="00E33B2E">
            <w:pPr>
              <w:pStyle w:val="ES-table"/>
            </w:pPr>
            <w:r w:rsidRPr="00A21FE4">
              <w:t>In preterm infants with low birth weight (&lt;2500 g), the effect of ESA therapy (with or without iron) on mortality is uncertain.</w:t>
            </w:r>
          </w:p>
          <w:p w14:paraId="4CBC1ED1" w14:textId="77777777" w:rsidR="000742CA" w:rsidRPr="00A21FE4" w:rsidRDefault="000742CA" w:rsidP="00E33B2E">
            <w:pPr>
              <w:pStyle w:val="ES-notes"/>
            </w:pPr>
            <w:r w:rsidRPr="00A21FE4">
              <w:t>(See evidence matrix D2.G in Volume 2 of the technical report.)</w:t>
            </w:r>
          </w:p>
        </w:tc>
        <w:tc>
          <w:tcPr>
            <w:tcW w:w="820" w:type="dxa"/>
          </w:tcPr>
          <w:p w14:paraId="67F70BD8" w14:textId="77777777" w:rsidR="000742CA" w:rsidRPr="00A21FE4" w:rsidRDefault="000742CA" w:rsidP="00E33B2E">
            <w:pPr>
              <w:pStyle w:val="T-ABCD"/>
              <w:keepNext/>
            </w:pPr>
            <w:r w:rsidRPr="00A21FE4">
              <w:sym w:font="Symbol" w:char="F0D6"/>
            </w:r>
          </w:p>
        </w:tc>
        <w:tc>
          <w:tcPr>
            <w:tcW w:w="821" w:type="dxa"/>
          </w:tcPr>
          <w:p w14:paraId="0B8E4818" w14:textId="77777777" w:rsidR="000742CA" w:rsidRPr="00A21FE4" w:rsidRDefault="000742CA" w:rsidP="00E33B2E">
            <w:pPr>
              <w:pStyle w:val="T-ABCD"/>
              <w:keepNext/>
              <w:rPr>
                <w:sz w:val="18"/>
                <w:szCs w:val="18"/>
              </w:rPr>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6C708666" w14:textId="77777777" w:rsidR="000742CA" w:rsidRPr="00A21FE4" w:rsidRDefault="000742CA" w:rsidP="00E33B2E">
            <w:pPr>
              <w:pStyle w:val="T-ABCD"/>
              <w:keepNext/>
            </w:pPr>
            <w:r w:rsidRPr="00A21FE4">
              <w:t>NA</w:t>
            </w:r>
          </w:p>
        </w:tc>
        <w:tc>
          <w:tcPr>
            <w:tcW w:w="821" w:type="dxa"/>
          </w:tcPr>
          <w:p w14:paraId="33E0F469" w14:textId="77777777" w:rsidR="000742CA" w:rsidRPr="00A21FE4" w:rsidRDefault="000742CA" w:rsidP="00E33B2E">
            <w:pPr>
              <w:pStyle w:val="T-ABCD"/>
              <w:keepNext/>
            </w:pPr>
            <w:r w:rsidRPr="00A21FE4">
              <w:sym w:font="Symbol" w:char="F0D6"/>
            </w:r>
            <w:r w:rsidRPr="00A21FE4">
              <w:sym w:font="Symbol" w:char="F0D6"/>
            </w:r>
          </w:p>
        </w:tc>
        <w:tc>
          <w:tcPr>
            <w:tcW w:w="821" w:type="dxa"/>
          </w:tcPr>
          <w:p w14:paraId="580D35A3" w14:textId="77777777" w:rsidR="000742CA" w:rsidRPr="00A21FE4" w:rsidRDefault="000742CA" w:rsidP="00E33B2E">
            <w:pPr>
              <w:pStyle w:val="T-ABCD"/>
              <w:keepNext/>
            </w:pPr>
            <w:r w:rsidRPr="00A21FE4">
              <w:sym w:font="Symbol" w:char="F0D6"/>
            </w:r>
            <w:r w:rsidRPr="00A21FE4">
              <w:sym w:font="Symbol" w:char="F0D6"/>
            </w:r>
          </w:p>
        </w:tc>
      </w:tr>
      <w:tr w:rsidR="000742CA" w:rsidRPr="00A21FE4" w14:paraId="3F2611C3" w14:textId="77777777" w:rsidTr="000742CA">
        <w:trPr>
          <w:cantSplit/>
          <w:trHeight w:val="353"/>
        </w:trPr>
        <w:tc>
          <w:tcPr>
            <w:tcW w:w="8705" w:type="dxa"/>
            <w:gridSpan w:val="7"/>
          </w:tcPr>
          <w:p w14:paraId="6F162212" w14:textId="150393CF" w:rsidR="000742CA" w:rsidRPr="00A21FE4" w:rsidRDefault="000742CA" w:rsidP="00562C4F">
            <w:pPr>
              <w:pStyle w:val="ES-notes"/>
            </w:pPr>
            <w:r w:rsidRPr="00A21FE4">
              <w:t>BPD, bronchopulmonary disease; ES, evidence statement; ESA, erythropoiesis stimulating agent; NEC, necrotising enterocolitis; RhHDFN, Rh haemolytic disease of the fetus and newborn; ROP, retinopathy of prematurity</w:t>
            </w:r>
            <w:r w:rsidRPr="00A21FE4">
              <w:br/>
            </w: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2843E2E" w14:textId="77777777" w:rsidR="000742CA" w:rsidRPr="00A21FE4" w:rsidRDefault="000742CA" w:rsidP="000742CA">
      <w:pPr>
        <w:pStyle w:val="BodyText"/>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89"/>
        <w:gridCol w:w="7488"/>
      </w:tblGrid>
      <w:tr w:rsidR="000742CA" w:rsidRPr="00A21FE4" w14:paraId="6DFFBCAD"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00B0F0"/>
          </w:tcPr>
          <w:p w14:paraId="16524A79" w14:textId="432A7AEC" w:rsidR="000742CA" w:rsidRPr="00045D23" w:rsidRDefault="000742CA" w:rsidP="006D11A2">
            <w:pPr>
              <w:pStyle w:val="PP-heading"/>
              <w:rPr>
                <w:lang w:val="en-AU"/>
              </w:rPr>
            </w:pPr>
            <w:r w:rsidRPr="00A21FE4">
              <w:t xml:space="preserve">Recommendation – </w:t>
            </w:r>
            <w:r w:rsidR="006D11A2" w:rsidRPr="00A21FE4">
              <w:t>preterm and low birth weight infants (</w:t>
            </w:r>
            <w:r w:rsidR="006D11A2">
              <w:rPr>
                <w:lang w:val="en-AU"/>
              </w:rPr>
              <w:t xml:space="preserve">ESAs </w:t>
            </w:r>
            <w:r w:rsidR="006D11A2" w:rsidRPr="00A21FE4">
              <w:t>with or without iron)</w:t>
            </w:r>
          </w:p>
        </w:tc>
      </w:tr>
      <w:tr w:rsidR="000742CA" w:rsidRPr="00A21FE4" w14:paraId="2E419D26" w14:textId="77777777" w:rsidTr="00D52DD4">
        <w:tc>
          <w:tcPr>
            <w:tcW w:w="1189" w:type="dxa"/>
            <w:tcBorders>
              <w:right w:val="single" w:sz="4" w:space="0" w:color="auto"/>
            </w:tcBorders>
            <w:shd w:val="clear" w:color="auto" w:fill="auto"/>
          </w:tcPr>
          <w:p w14:paraId="2C1A7A60" w14:textId="2787A1FD" w:rsidR="000742CA" w:rsidRPr="00A21FE4" w:rsidRDefault="000742CA" w:rsidP="00340580">
            <w:pPr>
              <w:pStyle w:val="PP"/>
            </w:pPr>
            <w:r w:rsidRPr="00A21FE4">
              <w:t>R3</w:t>
            </w:r>
            <w:r w:rsidR="00340580">
              <w:br/>
            </w:r>
            <w:r w:rsidRPr="00A21FE4">
              <w:t>(Grade C)</w:t>
            </w:r>
          </w:p>
        </w:tc>
        <w:tc>
          <w:tcPr>
            <w:tcW w:w="7488" w:type="dxa"/>
            <w:tcBorders>
              <w:left w:val="single" w:sz="4" w:space="0" w:color="auto"/>
            </w:tcBorders>
            <w:shd w:val="clear" w:color="auto" w:fill="auto"/>
          </w:tcPr>
          <w:p w14:paraId="0ED576F7" w14:textId="77777777" w:rsidR="000742CA" w:rsidRPr="00A21FE4" w:rsidRDefault="000742CA" w:rsidP="00340580">
            <w:pPr>
              <w:pStyle w:val="PP"/>
            </w:pPr>
            <w:r w:rsidRPr="00A21FE4">
              <w:t xml:space="preserve">In preterm infants with low birth weight (&lt;2500 g), the </w:t>
            </w:r>
            <w:r w:rsidRPr="00A21FE4">
              <w:rPr>
                <w:i/>
              </w:rPr>
              <w:t xml:space="preserve">routine </w:t>
            </w:r>
            <w:r w:rsidRPr="00A21FE4">
              <w:t xml:space="preserve">use of ESAs is not advised. </w:t>
            </w:r>
          </w:p>
        </w:tc>
      </w:tr>
      <w:tr w:rsidR="000742CA" w:rsidRPr="00A21FE4" w14:paraId="172DACE6" w14:textId="77777777" w:rsidTr="00D52DD4">
        <w:trPr>
          <w:trHeight w:val="397"/>
        </w:trPr>
        <w:tc>
          <w:tcPr>
            <w:tcW w:w="8677" w:type="dxa"/>
            <w:gridSpan w:val="2"/>
            <w:shd w:val="clear" w:color="auto" w:fill="auto"/>
          </w:tcPr>
          <w:p w14:paraId="26369638" w14:textId="77777777" w:rsidR="000742CA" w:rsidRPr="00A21FE4" w:rsidRDefault="000742CA" w:rsidP="00340580">
            <w:pPr>
              <w:pStyle w:val="PP-note"/>
            </w:pPr>
            <w:r w:rsidRPr="00A21FE4">
              <w:t>ESA, erythropoiesis stimulating agent; R, recommendation</w:t>
            </w:r>
          </w:p>
        </w:tc>
      </w:tr>
    </w:tbl>
    <w:p w14:paraId="0979ED6F" w14:textId="259678D8" w:rsidR="00340580" w:rsidRDefault="00340580" w:rsidP="00340580">
      <w:pPr>
        <w:pStyle w:val="Heading4"/>
        <w:rPr>
          <w:lang w:val="en-AU"/>
        </w:rPr>
      </w:pPr>
      <w:r>
        <w:rPr>
          <w:lang w:val="en-AU"/>
        </w:rPr>
        <w:t> </w:t>
      </w:r>
    </w:p>
    <w:p w14:paraId="195E2AA6" w14:textId="4C96DD93" w:rsidR="00340580" w:rsidRPr="00340580" w:rsidRDefault="00340580" w:rsidP="00340580">
      <w:pPr>
        <w:pStyle w:val="Heading4"/>
        <w:rPr>
          <w:lang w:val="en-AU"/>
        </w:rPr>
      </w:pPr>
      <w:r>
        <w:rPr>
          <w:lang w:val="en-AU"/>
        </w:rPr>
        <w:t>Background</w:t>
      </w:r>
    </w:p>
    <w:p w14:paraId="1542D325" w14:textId="159780E2" w:rsidR="00942854" w:rsidRPr="009041C6" w:rsidRDefault="00942854" w:rsidP="00942854">
      <w:r w:rsidRPr="009041C6">
        <w:t xml:space="preserve">To minimise the need for RBC transfusions, ESAs have been used to prevent or treat anaemia of prematurity. However, early studies </w:t>
      </w:r>
      <w:r>
        <w:t>showed</w:t>
      </w:r>
      <w:r w:rsidRPr="009041C6">
        <w:t xml:space="preserve"> that the administration of the ESA </w:t>
      </w:r>
      <w:r w:rsidR="00EB2899">
        <w:t xml:space="preserve">recombinant human </w:t>
      </w:r>
      <w:r w:rsidRPr="009041C6">
        <w:t>erythropoietin (</w:t>
      </w:r>
      <w:r w:rsidR="00EB2899">
        <w:t>rHuEPO</w:t>
      </w:r>
      <w:r w:rsidRPr="009041C6">
        <w:t xml:space="preserve">) can lead to iron deficiency, because blood volume expansion increases the demand for iron. Supplemental iron is therefore given in most studies assessing </w:t>
      </w:r>
      <w:r w:rsidR="00EB2899">
        <w:t>rHuEPO</w:t>
      </w:r>
      <w:r w:rsidRPr="009041C6">
        <w:t>, but there are differences</w:t>
      </w:r>
      <w:r>
        <w:t xml:space="preserve"> between studies</w:t>
      </w:r>
      <w:r w:rsidRPr="009041C6">
        <w:t xml:space="preserve"> in the dosing, timing and route of administration of iron. </w:t>
      </w:r>
    </w:p>
    <w:p w14:paraId="4E4EC321" w14:textId="03FEE775" w:rsidR="000742CA" w:rsidRPr="00B63663" w:rsidRDefault="00B63663" w:rsidP="000742CA">
      <w:pPr>
        <w:pStyle w:val="Heading4"/>
        <w:rPr>
          <w:lang w:val="en-AU"/>
        </w:rPr>
      </w:pPr>
      <w:r>
        <w:rPr>
          <w:lang w:val="en-AU"/>
        </w:rPr>
        <w:t>Use of ESAs in preterm infants</w:t>
      </w:r>
    </w:p>
    <w:bookmarkEnd w:id="115"/>
    <w:p w14:paraId="3EA09F15" w14:textId="30A38C28" w:rsidR="000742CA" w:rsidRDefault="00D52DD4" w:rsidP="00340580">
      <w:r>
        <w:t xml:space="preserve">The review </w:t>
      </w:r>
      <w:r w:rsidR="00340580">
        <w:t>identified s</w:t>
      </w:r>
      <w:r w:rsidR="000742CA">
        <w:t>i</w:t>
      </w:r>
      <w:r w:rsidR="000742CA" w:rsidRPr="004667A5">
        <w:t>x Level I studies</w:t>
      </w:r>
      <w:hyperlink w:anchor="_ENREF_85" w:tooltip="Aher, 2012 #92" w:history="1">
        <w:r w:rsidR="00E62798">
          <w:fldChar w:fldCharType="begin">
            <w:fldData xml:space="preserve">PEVuZE5vdGU+PENpdGU+PEF1dGhvcj5BaGVyPC9BdXRob3I+PFllYXI+MjAxMjwvWWVhcj48UmVj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</w:fldData>
          </w:fldChar>
        </w:r>
        <w:r w:rsidR="00E62798">
          <w:instrText xml:space="preserve"> ADDIN EN.CITE </w:instrText>
        </w:r>
        <w:r w:rsidR="00E62798">
          <w:fldChar w:fldCharType="begin">
            <w:fldData xml:space="preserve">PEVuZE5vdGU+PENpdGU+PEF1dGhvcj5BaGVyPC9BdXRob3I+PFllYXI+MjAxMjwvWWVhcj48UmVj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85-90</w:t>
        </w:r>
        <w:r w:rsidR="00E62798">
          <w:fldChar w:fldCharType="end"/>
        </w:r>
      </w:hyperlink>
      <w:r w:rsidR="004828DA">
        <w:t xml:space="preserve"> </w:t>
      </w:r>
      <w:r w:rsidR="000742CA">
        <w:t>and four additional Level II studies</w:t>
      </w:r>
      <w:hyperlink w:anchor="_ENREF_91" w:tooltip="El-Ganzoury, 2014 #95" w:history="1">
        <w:r w:rsidR="00E62798">
          <w:fldChar w:fldCharType="begin">
            <w:fldData xml:space="preserve">PEVuZE5vdGU+PENpdGU+PEF1dGhvcj5FbC1HYW56b3VyeTwvQXV0aG9yPjxZZWFyPjIwMTQ8L1ll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=
</w:fldData>
          </w:fldChar>
        </w:r>
        <w:r w:rsidR="00E62798">
          <w:instrText xml:space="preserve"> ADDIN EN.CITE </w:instrText>
        </w:r>
        <w:r w:rsidR="00E62798">
          <w:fldChar w:fldCharType="begin">
            <w:fldData xml:space="preserve">PEVuZE5vdGU+PENpdGU+PEF1dGhvcj5FbC1HYW56b3VyeTwvQXV0aG9yPjxZZWFyPjIwMTQ8L1ll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=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91-94</w:t>
        </w:r>
        <w:r w:rsidR="00E62798">
          <w:fldChar w:fldCharType="end"/>
        </w:r>
      </w:hyperlink>
      <w:r w:rsidR="00B63663" w:rsidRPr="00A21FE4">
        <w:t xml:space="preserve"> </w:t>
      </w:r>
      <w:r w:rsidR="000742CA" w:rsidRPr="004667A5">
        <w:t xml:space="preserve">that examined the use of </w:t>
      </w:r>
      <w:r w:rsidR="000742CA" w:rsidRPr="00372CA1">
        <w:t>ESAs</w:t>
      </w:r>
      <w:r w:rsidR="000742CA" w:rsidRPr="004667A5">
        <w:t xml:space="preserve"> in preterm infant</w:t>
      </w:r>
      <w:r w:rsidR="000742CA">
        <w:t xml:space="preserve">s. </w:t>
      </w:r>
    </w:p>
    <w:p w14:paraId="3303B728" w14:textId="77777777" w:rsidR="000742CA" w:rsidRDefault="000742CA" w:rsidP="000742CA">
      <w:pPr>
        <w:pStyle w:val="Heading5"/>
      </w:pPr>
      <w:r w:rsidRPr="004667A5">
        <w:t xml:space="preserve">Transfusion incidence </w:t>
      </w:r>
      <w:r>
        <w:t>and volume</w:t>
      </w:r>
    </w:p>
    <w:p w14:paraId="30963ACC" w14:textId="23E48F45" w:rsidR="000742CA" w:rsidRDefault="000742CA" w:rsidP="00B63663">
      <w:r w:rsidRPr="004667A5">
        <w:t xml:space="preserve">The </w:t>
      </w:r>
      <w:r>
        <w:t xml:space="preserve">two largest meta-analyses found that patients who received </w:t>
      </w:r>
      <w:r w:rsidR="00EB2899">
        <w:t>rHuEPO</w:t>
      </w:r>
      <w:r>
        <w:t xml:space="preserve"> and iron required significantly fewer RBC transfusions than patients who received iron alone.</w:t>
      </w:r>
      <w:hyperlink w:anchor="_ENREF_95" w:tooltip="Aher, 2014 #337" w:history="1">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 </w:instrText>
        </w:r>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95-96</w:t>
        </w:r>
        <w:r w:rsidR="00E62798">
          <w:fldChar w:fldCharType="end"/>
        </w:r>
      </w:hyperlink>
      <w:r>
        <w:t xml:space="preserve"> E</w:t>
      </w:r>
      <w:r w:rsidRPr="004667A5">
        <w:t xml:space="preserve">arly </w:t>
      </w:r>
      <w:r w:rsidR="00EB2899">
        <w:t>rHuEPO</w:t>
      </w:r>
      <w:r>
        <w:t xml:space="preserve"> (course of treatment commencing within the first week of life)</w:t>
      </w:r>
      <w:hyperlink w:anchor="_ENREF_96" w:tooltip="Ohlsson, 2014 #336" w:history="1">
        <w:r w:rsidR="00E62798">
          <w:fldChar w:fldCharType="begin"/>
        </w:r>
        <w:r w:rsidR="00E62798">
          <w:instrText xml:space="preserve"> ADDIN EN.CITE &lt;EndNote&gt;&lt;Cite&gt;&lt;Author&gt;Ohlsson&lt;/Author&gt;&lt;Year&gt;2014&lt;/Year&gt;&lt;RecNum&gt;336&lt;/RecNum&gt;&lt;DisplayText&gt;&lt;style face="superscript"&gt;96&lt;/style&gt;&lt;/DisplayText&gt;&lt;record&gt;&lt;rec-number&gt;336&lt;/rec-number&gt;&lt;foreign-keys&gt;&lt;key app="EN" db-id="9edve2wadsavt5ewavaxtda4f2tavzvts9ee" timestamp="1427479867"&gt;336&lt;/key&gt;&lt;/foreign-keys&gt;&lt;ref-type name="Journal Article"&gt;17&lt;/ref-type&gt;&lt;contributors&gt;&lt;authors&gt;&lt;author&gt;Ohlsson, A.&lt;/author&gt;&lt;author&gt;Aher, S. M.&lt;/author&gt;&lt;/authors&gt;&lt;/contributors&gt;&lt;auth-address&gt;Departments of Paediatrics, Obstetrics and Gynaecology and Institute of Health Policy, Management and Evaluation, University of Toronto, 600 University Avenue, Toronto, Ontario, Canada, M5G 1X5.&lt;/auth-address&gt;&lt;titles&gt;&lt;title&gt;Early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reviews&lt;/abbr-1&gt;&lt;/alt-periodical&gt;&lt;pages&gt;CD004863&lt;/pages&gt;&lt;volume&gt;4&lt;/volume&gt;&lt;dates&gt;&lt;year&gt;2014&lt;/year&gt;&lt;/dates&gt;&lt;isbn&gt;1469-493X (Electronic)&amp;#xD;1361-6137 (Linking)&lt;/isbn&gt;&lt;accession-num&gt;24771408&lt;/accession-num&gt;&lt;urls&gt;&lt;related-urls&gt;&lt;url&gt;http://www.ncbi.nlm.nih.gov/pubmed/24771408&lt;/url&gt;&lt;/related-urls&gt;&lt;/urls&gt;&lt;electronic-resource-num&gt;10.1002/14651858.CD004863.pub4&lt;/electronic-resource-num&gt;&lt;/record&gt;&lt;/Cite&gt;&lt;/EndNote&gt;</w:instrText>
        </w:r>
        <w:r w:rsidR="00E62798">
          <w:fldChar w:fldCharType="separate"/>
        </w:r>
        <w:r w:rsidR="00E62798" w:rsidRPr="00E62798">
          <w:rPr>
            <w:noProof/>
            <w:vertAlign w:val="superscript"/>
          </w:rPr>
          <w:t>96</w:t>
        </w:r>
        <w:r w:rsidR="00E62798">
          <w:fldChar w:fldCharType="end"/>
        </w:r>
      </w:hyperlink>
      <w:r w:rsidR="00B63663">
        <w:t xml:space="preserve"> </w:t>
      </w:r>
      <w:r>
        <w:t xml:space="preserve">and late </w:t>
      </w:r>
      <w:r w:rsidR="00EB2899">
        <w:t>rHuEPO</w:t>
      </w:r>
      <w:r>
        <w:t xml:space="preserve"> (course </w:t>
      </w:r>
      <w:r w:rsidR="00B63663">
        <w:t xml:space="preserve">of treatment </w:t>
      </w:r>
      <w:r>
        <w:t>commencing at 8 days or later)</w:t>
      </w:r>
      <w:hyperlink w:anchor="_ENREF_95" w:tooltip="Aher, 2014 #337" w:history="1">
        <w:r w:rsidR="00E62798">
          <w:fldChar w:fldCharType="begin"/>
        </w:r>
        <w:r w:rsidR="00E62798">
          <w:instrText xml:space="preserve"> ADDIN EN.CITE &lt;EndNote&gt;&lt;Cite&gt;&lt;Author&gt;Aher&lt;/Author&gt;&lt;Year&gt;2014&lt;/Year&gt;&lt;RecNum&gt;337&lt;/RecNum&gt;&lt;DisplayText&gt;&lt;style face="superscript"&gt;95&lt;/style&gt;&lt;/DisplayText&gt;&lt;record&gt;&lt;rec-number&gt;337&lt;/rec-number&gt;&lt;foreign-keys&gt;&lt;key app="EN" db-id="9edve2wadsavt5ewavaxtda4f2tavzvts9ee" timestamp="1427480012"&gt;337&lt;/key&gt;&lt;key app="ENWeb" db-id=""&gt;0&lt;/key&gt;&lt;/foreign-keys&gt;&lt;ref-type name="Journal Article"&gt;17&lt;/ref-type&gt;&lt;contributors&gt;&lt;authors&gt;&lt;author&gt;Aher, S. M.&lt;/author&gt;&lt;author&gt;Ohlsson, A.&lt;/author&gt;&lt;/authors&gt;&lt;/contributors&gt;&lt;auth-address&gt;Neonatology, Dr. Aher&amp;apos;s Neocare Hospital, Near Tusakhre Lawns, Mumbai Naka, Nashik, Maharashtra, India, 422002.&lt;/auth-address&gt;&lt;titles&gt;&lt;title&gt;Late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reviews&lt;/abbr-1&gt;&lt;/alt-periodical&gt;&lt;pages&gt;CD004868&lt;/pages&gt;&lt;volume&gt;4&lt;/volume&gt;&lt;dates&gt;&lt;year&gt;2014&lt;/year&gt;&lt;/dates&gt;&lt;isbn&gt;1469-493X (Electronic)&amp;#xD;1361-6137 (Linking)&lt;/isbn&gt;&lt;accession-num&gt;24760628&lt;/accession-num&gt;&lt;urls&gt;&lt;related-urls&gt;&lt;url&gt;http://www.ncbi.nlm.nih.gov/pubmed/24760628&lt;/url&gt;&lt;/related-urls&gt;&lt;/urls&gt;&lt;electronic-resource-num&gt;10.1002/14651858.CD004868.pub4&lt;/electronic-resource-num&gt;&lt;/record&gt;&lt;/Cite&gt;&lt;/EndNote&gt;</w:instrText>
        </w:r>
        <w:r w:rsidR="00E62798">
          <w:fldChar w:fldCharType="separate"/>
        </w:r>
        <w:r w:rsidR="00E62798" w:rsidRPr="00E62798">
          <w:rPr>
            <w:noProof/>
            <w:vertAlign w:val="superscript"/>
          </w:rPr>
          <w:t>95</w:t>
        </w:r>
        <w:r w:rsidR="00E62798">
          <w:fldChar w:fldCharType="end"/>
        </w:r>
      </w:hyperlink>
      <w:r>
        <w:t xml:space="preserve"> resulted in a </w:t>
      </w:r>
      <w:r w:rsidRPr="004667A5">
        <w:t xml:space="preserve">significantly lower risk of </w:t>
      </w:r>
      <w:r>
        <w:t xml:space="preserve">receiving any </w:t>
      </w:r>
      <w:r w:rsidRPr="004667A5">
        <w:t xml:space="preserve">transfusion </w:t>
      </w:r>
      <w:r>
        <w:t xml:space="preserve">compared </w:t>
      </w:r>
      <w:r w:rsidRPr="004667A5">
        <w:t xml:space="preserve">with no </w:t>
      </w:r>
      <w:r w:rsidR="00EB2899">
        <w:t>rHuEPO</w:t>
      </w:r>
      <w:r w:rsidRPr="004667A5">
        <w:t xml:space="preserve"> or placebo</w:t>
      </w:r>
      <w:r>
        <w:t>.</w:t>
      </w:r>
    </w:p>
    <w:p w14:paraId="0E5A5F9B" w14:textId="04A73392" w:rsidR="000742CA" w:rsidRPr="004667A5" w:rsidRDefault="00EB2899" w:rsidP="00B63663">
      <w:r>
        <w:t>rHuEPO</w:t>
      </w:r>
      <w:r w:rsidR="000742CA">
        <w:t xml:space="preserve"> treatment commencing in the first week also reduced </w:t>
      </w:r>
      <w:r w:rsidR="000742CA" w:rsidRPr="004667A5">
        <w:t>the mean number of RBC transfusions per infant</w:t>
      </w:r>
      <w:r w:rsidR="00B63663">
        <w:t>,</w:t>
      </w:r>
      <w:hyperlink w:anchor="_ENREF_96" w:tooltip="Ohlsson, 2014 #336" w:history="1">
        <w:r w:rsidR="00E62798">
          <w:fldChar w:fldCharType="begin"/>
        </w:r>
        <w:r w:rsidR="00E62798">
          <w:instrText xml:space="preserve"> ADDIN EN.CITE &lt;EndNote&gt;&lt;Cite&gt;&lt;Author&gt;Ohlsson&lt;/Author&gt;&lt;Year&gt;2014&lt;/Year&gt;&lt;RecNum&gt;336&lt;/RecNum&gt;&lt;DisplayText&gt;&lt;style face="superscript"&gt;96&lt;/style&gt;&lt;/DisplayText&gt;&lt;record&gt;&lt;rec-number&gt;336&lt;/rec-number&gt;&lt;foreign-keys&gt;&lt;key app="EN" db-id="9edve2wadsavt5ewavaxtda4f2tavzvts9ee" timestamp="1427479867"&gt;336&lt;/key&gt;&lt;/foreign-keys&gt;&lt;ref-type name="Journal Article"&gt;17&lt;/ref-type&gt;&lt;contributors&gt;&lt;authors&gt;&lt;author&gt;Ohlsson, A.&lt;/author&gt;&lt;author&gt;Aher, S. M.&lt;/author&gt;&lt;/authors&gt;&lt;/contributors&gt;&lt;auth-address&gt;Departments of Paediatrics, Obstetrics and Gynaecology and Institute of Health Policy, Management and Evaluation, University of Toronto, 600 University Avenue, Toronto, Ontario, Canada, M5G 1X5.&lt;/auth-address&gt;&lt;titles&gt;&lt;title&gt;Early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reviews&lt;/abbr-1&gt;&lt;/alt-periodical&gt;&lt;pages&gt;CD004863&lt;/pages&gt;&lt;volume&gt;4&lt;/volume&gt;&lt;dates&gt;&lt;year&gt;2014&lt;/year&gt;&lt;/dates&gt;&lt;isbn&gt;1469-493X (Electronic)&amp;#xD;1361-6137 (Linking)&lt;/isbn&gt;&lt;accession-num&gt;24771408&lt;/accession-num&gt;&lt;urls&gt;&lt;related-urls&gt;&lt;url&gt;http://www.ncbi.nlm.nih.gov/pubmed/24771408&lt;/url&gt;&lt;/related-urls&gt;&lt;/urls&gt;&lt;electronic-resource-num&gt;10.1002/14651858.CD004863.pub4&lt;/electronic-resource-num&gt;&lt;/record&gt;&lt;/Cite&gt;&lt;/EndNote&gt;</w:instrText>
        </w:r>
        <w:r w:rsidR="00E62798">
          <w:fldChar w:fldCharType="separate"/>
        </w:r>
        <w:r w:rsidR="00E62798" w:rsidRPr="00E62798">
          <w:rPr>
            <w:noProof/>
            <w:vertAlign w:val="superscript"/>
          </w:rPr>
          <w:t>96</w:t>
        </w:r>
        <w:r w:rsidR="00E62798">
          <w:fldChar w:fldCharType="end"/>
        </w:r>
      </w:hyperlink>
      <w:r w:rsidR="000742CA" w:rsidRPr="004667A5">
        <w:t xml:space="preserve"> </w:t>
      </w:r>
      <w:r w:rsidR="000742CA">
        <w:t xml:space="preserve">but the evidence for late </w:t>
      </w:r>
      <w:r>
        <w:t>rHuEPO</w:t>
      </w:r>
      <w:r w:rsidR="000742CA">
        <w:t xml:space="preserve"> treatment</w:t>
      </w:r>
      <w:r w:rsidR="00B63663">
        <w:t xml:space="preserve"> was</w:t>
      </w:r>
      <w:r w:rsidR="000742CA">
        <w:t xml:space="preserve"> less clear.</w:t>
      </w:r>
      <w:hyperlink w:anchor="_ENREF_95" w:tooltip="Aher, 2014 #337" w:history="1">
        <w:r w:rsidR="00E62798">
          <w:fldChar w:fldCharType="begin"/>
        </w:r>
        <w:r w:rsidR="00E62798">
          <w:instrText xml:space="preserve"> ADDIN EN.CITE &lt;EndNote&gt;&lt;Cite&gt;&lt;Author&gt;Aher&lt;/Author&gt;&lt;Year&gt;2014&lt;/Year&gt;&lt;RecNum&gt;337&lt;/RecNum&gt;&lt;DisplayText&gt;&lt;style face="superscript"&gt;95&lt;/style&gt;&lt;/DisplayText&gt;&lt;record&gt;&lt;rec-number&gt;337&lt;/rec-number&gt;&lt;foreign-keys&gt;&lt;key app="EN" db-id="9edve2wadsavt5ewavaxtda4f2tavzvts9ee" timestamp="1427480012"&gt;337&lt;/key&gt;&lt;key app="ENWeb" db-id=""&gt;0&lt;/key&gt;&lt;/foreign-keys&gt;&lt;ref-type name="Journal Article"&gt;17&lt;/ref-type&gt;&lt;contributors&gt;&lt;authors&gt;&lt;author&gt;Aher, S. M.&lt;/author&gt;&lt;author&gt;Ohlsson, A.&lt;/author&gt;&lt;/authors&gt;&lt;/contributors&gt;&lt;auth-address&gt;Neonatology, Dr. Aher&amp;apos;s Neocare Hospital, Near Tusakhre Lawns, Mumbai Naka, Nashik, Maharashtra, India, 422002.&lt;/auth-address&gt;&lt;titles&gt;&lt;title&gt;Late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reviews&lt;/abbr-1&gt;&lt;/alt-periodical&gt;&lt;pages&gt;CD004868&lt;/pages&gt;&lt;volume&gt;4&lt;/volume&gt;&lt;dates&gt;&lt;year&gt;2014&lt;/year&gt;&lt;/dates&gt;&lt;isbn&gt;1469-493X (Electronic)&amp;#xD;1361-6137 (Linking)&lt;/isbn&gt;&lt;accession-num&gt;24760628&lt;/accession-num&gt;&lt;urls&gt;&lt;related-urls&gt;&lt;url&gt;http://www.ncbi.nlm.nih.gov/pubmed/24760628&lt;/url&gt;&lt;/related-urls&gt;&lt;/urls&gt;&lt;electronic-resource-num&gt;10.1002/14651858.CD004868.pub4&lt;/electronic-resource-num&gt;&lt;/record&gt;&lt;/Cite&gt;&lt;/EndNote&gt;</w:instrText>
        </w:r>
        <w:r w:rsidR="00E62798">
          <w:fldChar w:fldCharType="separate"/>
        </w:r>
        <w:r w:rsidR="00E62798" w:rsidRPr="00E62798">
          <w:rPr>
            <w:noProof/>
            <w:vertAlign w:val="superscript"/>
          </w:rPr>
          <w:t>95</w:t>
        </w:r>
        <w:r w:rsidR="00E62798">
          <w:fldChar w:fldCharType="end"/>
        </w:r>
      </w:hyperlink>
      <w:r w:rsidR="000742CA">
        <w:t xml:space="preserve"> </w:t>
      </w:r>
    </w:p>
    <w:p w14:paraId="3C127954" w14:textId="77777777" w:rsidR="000742CA" w:rsidRDefault="000742CA" w:rsidP="000742CA">
      <w:pPr>
        <w:pStyle w:val="Heading5"/>
      </w:pPr>
      <w:r w:rsidRPr="004667A5">
        <w:t>Thromboembolic events</w:t>
      </w:r>
    </w:p>
    <w:p w14:paraId="2BC551F3" w14:textId="2A67431E" w:rsidR="000742CA" w:rsidRPr="004667A5" w:rsidRDefault="00D52DD4" w:rsidP="00B63663">
      <w:r>
        <w:t>No</w:t>
      </w:r>
      <w:r w:rsidR="000742CA">
        <w:t xml:space="preserve"> evidence </w:t>
      </w:r>
      <w:r w:rsidR="00B63663">
        <w:t>related to thromboembolic events</w:t>
      </w:r>
      <w:r>
        <w:t xml:space="preserve"> was reported</w:t>
      </w:r>
      <w:r w:rsidR="00B63663">
        <w:t>.</w:t>
      </w:r>
      <w:r w:rsidR="000742CA">
        <w:t xml:space="preserve"> </w:t>
      </w:r>
    </w:p>
    <w:p w14:paraId="4BE5A73A" w14:textId="6192F96D" w:rsidR="000742CA" w:rsidRPr="001F5718" w:rsidRDefault="001F5718" w:rsidP="000742CA">
      <w:pPr>
        <w:pStyle w:val="Heading5"/>
        <w:rPr>
          <w:lang w:val="en-AU"/>
        </w:rPr>
      </w:pPr>
      <w:r>
        <w:rPr>
          <w:lang w:val="en-AU"/>
        </w:rPr>
        <w:t>ROP</w:t>
      </w:r>
    </w:p>
    <w:p w14:paraId="444D2EA4" w14:textId="469CF36E" w:rsidR="000742CA" w:rsidRPr="004667A5" w:rsidRDefault="000742CA" w:rsidP="00B63663">
      <w:r>
        <w:t>Three Level I studies assessed the effect of ESAs on ROP.</w:t>
      </w:r>
      <w:r w:rsidR="00E62798">
        <w:fldChar w:fldCharType="begin">
          <w:fldData xml:space="preserve">PEVuZE5vdGU+PENpdGU+PEF1dGhvcj5BaGVyPC9BdXRob3I+PFllYXI+MjAxNDwvWWVhcj48UmVj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aWV3czwvYWJici0xPjwvYWx0LXBlcmlvZGljYWw+PHBhZ2VzPkNEMDA0ODY4PC9wYWdlcz48dm9s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cz5DRDAwNDg2MzwvcGFnZXM+PHZvbHVtZT40PC92b2x1bWU+PGRhdGVzPjx5ZWFyPjIwMTQ8L3ll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</w:fldData>
        </w:fldChar>
      </w:r>
      <w:r w:rsidR="00E62798">
        <w:instrText xml:space="preserve"> ADDIN EN.CITE </w:instrText>
      </w:r>
      <w:r w:rsidR="00E62798">
        <w:fldChar w:fldCharType="begin">
          <w:fldData xml:space="preserve">PEVuZE5vdGU+PENpdGU+PEF1dGhvcj5BaGVyPC9BdXRob3I+PFllYXI+MjAxNDwvWWVhcj48UmVj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aWV3czwvYWJici0xPjwvYWx0LXBlcmlvZGljYWw+PHBhZ2VzPkNEMDA0ODY4PC9wYWdlcz48dm9s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cz5DRDAwNDg2MzwvcGFnZXM+PHZvbHVtZT40PC92b2x1bWU+PGRhdGVzPjx5ZWFyPjIwMTQ8L3ll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</w:fldData>
        </w:fldChar>
      </w:r>
      <w:r w:rsidR="00E62798">
        <w:instrText xml:space="preserve"> ADDIN EN.CITE.DATA </w:instrText>
      </w:r>
      <w:r w:rsidR="00E62798">
        <w:fldChar w:fldCharType="end"/>
      </w:r>
      <w:r w:rsidR="00E62798">
        <w:fldChar w:fldCharType="separate"/>
      </w:r>
      <w:hyperlink w:anchor="_ENREF_90" w:tooltip="Xu, 2014 #129" w:history="1">
        <w:r w:rsidR="00E62798" w:rsidRPr="00E62798">
          <w:rPr>
            <w:noProof/>
            <w:vertAlign w:val="superscript"/>
          </w:rPr>
          <w:t>90</w:t>
        </w:r>
      </w:hyperlink>
      <w:r w:rsidR="00E62798" w:rsidRPr="00E62798">
        <w:rPr>
          <w:noProof/>
          <w:vertAlign w:val="superscript"/>
        </w:rPr>
        <w:t xml:space="preserve">; </w:t>
      </w:r>
      <w:hyperlink w:anchor="_ENREF_95" w:tooltip="Aher, 2014 #337" w:history="1">
        <w:r w:rsidR="00E62798" w:rsidRPr="00E62798">
          <w:rPr>
            <w:noProof/>
            <w:vertAlign w:val="superscript"/>
          </w:rPr>
          <w:t>95-96</w:t>
        </w:r>
      </w:hyperlink>
      <w:r w:rsidR="00E62798">
        <w:fldChar w:fldCharType="end"/>
      </w:r>
      <w:r w:rsidRPr="004667A5">
        <w:t xml:space="preserve"> </w:t>
      </w:r>
      <w:r>
        <w:t>No</w:t>
      </w:r>
      <w:r w:rsidR="00B63663">
        <w:t>ne of the</w:t>
      </w:r>
      <w:r>
        <w:t xml:space="preserve"> Level I stud</w:t>
      </w:r>
      <w:r w:rsidR="00B63663">
        <w:t>ies</w:t>
      </w:r>
      <w:r>
        <w:t xml:space="preserve"> found a significant effect of ESAs on ROP (</w:t>
      </w:r>
      <w:r w:rsidR="00B63663">
        <w:t xml:space="preserve">of </w:t>
      </w:r>
      <w:r>
        <w:t xml:space="preserve">any </w:t>
      </w:r>
      <w:r w:rsidR="00B63663">
        <w:t xml:space="preserve">level of </w:t>
      </w:r>
      <w:r>
        <w:t>severity), regardless of whether treatme</w:t>
      </w:r>
      <w:r w:rsidR="00B63663">
        <w:t xml:space="preserve">nt was commenced early or late. </w:t>
      </w:r>
      <w:r>
        <w:t>However</w:t>
      </w:r>
      <w:r w:rsidR="00B63663">
        <w:t>,</w:t>
      </w:r>
      <w:r>
        <w:t xml:space="preserve"> a post-hoc analysis combining both early an</w:t>
      </w:r>
      <w:r w:rsidR="00B63663">
        <w:t xml:space="preserve">d late initiation of treatment found </w:t>
      </w:r>
      <w:r>
        <w:t>a significant increased risk of severe ROP (</w:t>
      </w:r>
      <w:r w:rsidR="00B63663">
        <w:t>≥</w:t>
      </w:r>
      <w:r w:rsidR="004E6083">
        <w:t> </w:t>
      </w:r>
      <w:r>
        <w:t xml:space="preserve">stage 3) in infants who received </w:t>
      </w:r>
      <w:r w:rsidR="00EB2899">
        <w:t>rHuEPO</w:t>
      </w:r>
      <w:r>
        <w:t>.</w:t>
      </w:r>
      <w:hyperlink w:anchor="_ENREF_96" w:tooltip="Ohlsson, 2014 #336" w:history="1">
        <w:r w:rsidR="00E62798">
          <w:fldChar w:fldCharType="begin"/>
        </w:r>
        <w:r w:rsidR="00E62798">
          <w:instrText xml:space="preserve"> ADDIN EN.CITE &lt;EndNote&gt;&lt;Cite&gt;&lt;Author&gt;Ohlsson&lt;/Author&gt;&lt;Year&gt;2014&lt;/Year&gt;&lt;RecNum&gt;336&lt;/RecNum&gt;&lt;DisplayText&gt;&lt;style face="superscript"&gt;96&lt;/style&gt;&lt;/DisplayText&gt;&lt;record&gt;&lt;rec-number&gt;336&lt;/rec-number&gt;&lt;foreign-keys&gt;&lt;key app="EN" db-id="9edve2wadsavt5ewavaxtda4f2tavzvts9ee" timestamp="1427479867"&gt;336&lt;/key&gt;&lt;/foreign-keys&gt;&lt;ref-type name="Journal Article"&gt;17&lt;/ref-type&gt;&lt;contributors&gt;&lt;authors&gt;&lt;author&gt;Ohlsson, A.&lt;/author&gt;&lt;author&gt;Aher, S. M.&lt;/author&gt;&lt;/authors&gt;&lt;/contributors&gt;&lt;auth-address&gt;Departments of Paediatrics, Obstetrics and Gynaecology and Institute of Health Policy, Management and Evaluation, University of Toronto, 600 University Avenue, Toronto, Ontario, Canada, M5G 1X5.&lt;/auth-address&gt;&lt;titles&gt;&lt;title&gt;Early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reviews&lt;/abbr-1&gt;&lt;/alt-periodical&gt;&lt;pages&gt;CD004863&lt;/pages&gt;&lt;volume&gt;4&lt;/volume&gt;&lt;dates&gt;&lt;year&gt;2014&lt;/year&gt;&lt;/dates&gt;&lt;isbn&gt;1469-493X (Electronic)&amp;#xD;1361-6137 (Linking)&lt;/isbn&gt;&lt;accession-num&gt;24771408&lt;/accession-num&gt;&lt;urls&gt;&lt;related-urls&gt;&lt;url&gt;http://www.ncbi.nlm.nih.gov/pubmed/24771408&lt;/url&gt;&lt;/related-urls&gt;&lt;/urls&gt;&lt;electronic-resource-num&gt;10.1002/14651858.CD004863.pub4&lt;/electronic-resource-num&gt;&lt;/record&gt;&lt;/Cite&gt;&lt;/EndNote&gt;</w:instrText>
        </w:r>
        <w:r w:rsidR="00E62798">
          <w:fldChar w:fldCharType="separate"/>
        </w:r>
        <w:r w:rsidR="00E62798" w:rsidRPr="00E62798">
          <w:rPr>
            <w:noProof/>
            <w:vertAlign w:val="superscript"/>
          </w:rPr>
          <w:t>96</w:t>
        </w:r>
        <w:r w:rsidR="00E62798">
          <w:fldChar w:fldCharType="end"/>
        </w:r>
      </w:hyperlink>
      <w:r w:rsidR="004828DA">
        <w:t xml:space="preserve"> </w:t>
      </w:r>
    </w:p>
    <w:p w14:paraId="600329DC" w14:textId="5E77C481" w:rsidR="000742CA" w:rsidRPr="001F5718" w:rsidRDefault="001F5718" w:rsidP="000742CA">
      <w:pPr>
        <w:pStyle w:val="Heading5"/>
        <w:rPr>
          <w:lang w:val="en-AU"/>
        </w:rPr>
      </w:pPr>
      <w:r>
        <w:rPr>
          <w:lang w:val="en-AU"/>
        </w:rPr>
        <w:t>BPD</w:t>
      </w:r>
    </w:p>
    <w:p w14:paraId="7469C66B" w14:textId="7FF8442C" w:rsidR="000742CA" w:rsidRDefault="000742CA" w:rsidP="00B63663">
      <w:r w:rsidRPr="004667A5">
        <w:t>T</w:t>
      </w:r>
      <w:r>
        <w:t>wo Level I studies</w:t>
      </w:r>
      <w:r w:rsidRPr="004667A5">
        <w:t xml:space="preserve"> assessed the incidence of BPD in preterm infants administered ESAs</w:t>
      </w:r>
      <w:r w:rsidR="00B63663">
        <w:t>.</w:t>
      </w:r>
      <w:hyperlink w:anchor="_ENREF_95" w:tooltip="Aher, 2014 #337" w:history="1">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 </w:instrText>
        </w:r>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95-96</w:t>
        </w:r>
        <w:r w:rsidR="00E62798">
          <w:fldChar w:fldCharType="end"/>
        </w:r>
      </w:hyperlink>
      <w:r>
        <w:t xml:space="preserve"> </w:t>
      </w:r>
      <w:r w:rsidR="00B63663">
        <w:t>No effect was demonstrated.</w:t>
      </w:r>
    </w:p>
    <w:p w14:paraId="18EDED7C" w14:textId="33BA7702" w:rsidR="000742CA" w:rsidRPr="001F5718" w:rsidRDefault="001F5718" w:rsidP="000742CA">
      <w:pPr>
        <w:pStyle w:val="Heading5"/>
        <w:rPr>
          <w:lang w:val="en-AU"/>
        </w:rPr>
      </w:pPr>
      <w:r>
        <w:rPr>
          <w:lang w:val="en-AU"/>
        </w:rPr>
        <w:t>NEC</w:t>
      </w:r>
    </w:p>
    <w:p w14:paraId="7ABC7633" w14:textId="361F0B40" w:rsidR="000742CA" w:rsidRPr="004667A5" w:rsidRDefault="000742CA" w:rsidP="00B63663">
      <w:r>
        <w:t>Two Level I studies</w:t>
      </w:r>
      <w:hyperlink w:anchor="_ENREF_95" w:tooltip="Aher, 2014 #337" w:history="1">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 </w:instrText>
        </w:r>
        <w:r w:rsidR="00E62798">
          <w:fldChar w:fldCharType="begin">
            <w:fldData xml:space="preserve">PEVuZE5vdGU+PENpdGU+PEF1dGhvcj5BaGVyPC9BdXRob3I+PFllYXI+MjAxNDwvWWVhcj48UmVj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PC9hYmJyLTE+PC9hbHQtcGVyaW9kaWNhbD48cGFnZXM+Q0QwMDQ4Njg8L3BhZ2VzPjx2b2x1bWU+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MDA0ODYzPC9wYWdlcz48dm9sdW1lPjQ8L3ZvbHVtZT48ZGF0ZXM+PHllYXI+MjAxNDwveWVhcj48
L2RhdGVzPjxpc2JuPjE0NjktNDkzWCAoRWxlY3Ryb25pYykmI3hEOzEzNjEtNjEzNyAoTGlua2lu
Zyk8L2lzYm4+PGFjY2Vzc2lvbi1udW0+MjQ3NzE0MDg8L2FjY2Vzc2lvbi1udW0+PHVybHM+PHJl
bGF0ZWQtdXJscz48dXJsPmh0dHA6Ly93d3cubmNiaS5ubG0ubmloLmdvdi9wdWJtZWQvMjQ3NzE0
MDg8L3VybD48L3JlbGF0ZWQtdXJscz48L3VybHM+PGVsZWN0cm9uaWMtcmVzb3VyY2UtbnVtPjEw
LjEwMDIvMTQ2NTE4NTguQ0QwMDQ4NjMucHViNDwvZWxlY3Ryb25pYy1yZXNvdXJjZS1udW0+PC9y
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95-96</w:t>
        </w:r>
        <w:r w:rsidR="00E62798">
          <w:fldChar w:fldCharType="end"/>
        </w:r>
      </w:hyperlink>
      <w:r w:rsidR="00B63663">
        <w:t xml:space="preserve"> </w:t>
      </w:r>
      <w:r>
        <w:t>and one Level II study</w:t>
      </w:r>
      <w:hyperlink w:anchor="_ENREF_91" w:tooltip="El-Ganzoury, 2014 #95" w:history="1">
        <w:r w:rsidR="00E62798">
          <w:fldChar w:fldCharType="begin">
            <w:fldData xml:space="preserve">PEVuZE5vdGU+PENpdGU+PEF1dGhvcj5FbC1HYW56b3VyeTwvQXV0aG9yPjxZZWFyPjIwMTQ8L1ll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</w:fldData>
          </w:fldChar>
        </w:r>
        <w:r w:rsidR="00E62798">
          <w:instrText xml:space="preserve"> ADDIN EN.CITE </w:instrText>
        </w:r>
        <w:r w:rsidR="00E62798">
          <w:fldChar w:fldCharType="begin">
            <w:fldData xml:space="preserve">PEVuZE5vdGU+PENpdGU+PEF1dGhvcj5FbC1HYW56b3VyeTwvQXV0aG9yPjxZZWFyPjIwMTQ8L1ll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91</w:t>
        </w:r>
        <w:r w:rsidR="00E62798">
          <w:fldChar w:fldCharType="end"/>
        </w:r>
      </w:hyperlink>
      <w:r w:rsidR="00B63663">
        <w:t xml:space="preserve"> </w:t>
      </w:r>
      <w:r>
        <w:t xml:space="preserve">assessed the incidence of NEC in preterm infants administered ESAs. A meta-analysis of these studies </w:t>
      </w:r>
      <w:r w:rsidR="00B63663">
        <w:t xml:space="preserve">performed </w:t>
      </w:r>
      <w:r>
        <w:t>by this review found no effect of ESAs on the incidence of NEC.</w:t>
      </w:r>
    </w:p>
    <w:p w14:paraId="2B0F7FA9" w14:textId="77777777" w:rsidR="000742CA" w:rsidRDefault="000742CA" w:rsidP="000742CA">
      <w:pPr>
        <w:pStyle w:val="Heading5"/>
      </w:pPr>
      <w:r w:rsidRPr="004667A5">
        <w:t>Mortality</w:t>
      </w:r>
    </w:p>
    <w:p w14:paraId="0CA13710" w14:textId="783AE3E7" w:rsidR="000742CA" w:rsidRDefault="000742CA" w:rsidP="00B63663">
      <w:r>
        <w:t xml:space="preserve">Two Level I </w:t>
      </w:r>
      <w:r w:rsidR="00B63663">
        <w:t>studies</w:t>
      </w:r>
      <w:r w:rsidR="00E62798">
        <w:fldChar w:fldCharType="begin">
          <w:fldData xml:space="preserve">PEVuZE5vdGU+PENpdGU+PEF1dGhvcj5BaGVyPC9BdXRob3I+PFllYXI+MjAxMjwvWWVhcj48UmVj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ZGljYWw+PHBhZ2VzPkNEMDA0ODY4PC9wYWdlcz48dm9sdW1lPjk8L3ZvbHVtZT48cmVwcmludC1l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bWF0aWMgcmV2aWV3czwvYWJici0xPjwvYWx0LXBlcmlvZGljYWw+PHBhZ2VzPkNEMDA0ODYzPC9w
YWdlcz48dm9sdW1lPjQ8L3ZvbHVtZT48ZGF0ZXM+PHllYXI+MjAxNDwveWVhcj48L2RhdGVzPjxp
c2JuPjE0NjktNDkzWCAoRWxlY3Ryb25pYykmI3hEOzEzNjEtNjEzNyAoTGlua2luZyk8L2lzYm4+
PGFjY2Vzc2lvbi1udW0+MjQ3NzE0MDg8L2FjY2Vzc2lvbi1udW0+PHVybHM+PHJlbGF0ZWQtdXJs
cz48dXJsPmh0dHA6Ly93d3cubmNiaS5ubG0ubmloLmdvdi9wdWJtZWQvMjQ3NzE0MDg8L3VybD48
L3JlbGF0ZWQtdXJscz48L3VybHM+PGVsZWN0cm9uaWMtcmVzb3VyY2UtbnVtPjEwLjEwMDIvMTQ2
NTE4NTguQ0QwMDQ4NjMucHViNDwvZWxlY3Ryb25pYy1yZXNvdXJjZS1udW0+PC9yZWNvcmQ+PC9D
aXRlPjwvRW5kTm90ZT5=
</w:fldData>
        </w:fldChar>
      </w:r>
      <w:r w:rsidR="00E62798">
        <w:instrText xml:space="preserve"> ADDIN EN.CITE </w:instrText>
      </w:r>
      <w:r w:rsidR="00E62798">
        <w:fldChar w:fldCharType="begin">
          <w:fldData xml:space="preserve">PEVuZE5vdGU+PENpdGU+PEF1dGhvcj5BaGVyPC9BdXRob3I+PFllYXI+MjAxMjwvWWVhcj48UmVj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bWF0aWMgcmV2aWV3czwvYWJici0xPjwvYWx0LXBlcmlvZGljYWw+PHBhZ2VzPkNEMDA0ODYzPC9w
YWdlcz48dm9sdW1lPjQ8L3ZvbHVtZT48ZGF0ZXM+PHllYXI+MjAxNDwveWVhcj48L2RhdGVzPjxp
c2JuPjE0NjktNDkzWCAoRWxlY3Ryb25pYykmI3hEOzEzNjEtNjEzNyAoTGlua2luZyk8L2lzYm4+
PGFjY2Vzc2lvbi1udW0+MjQ3NzE0MDg8L2FjY2Vzc2lvbi1udW0+PHVybHM+PHJlbGF0ZWQtdXJs
cz48dXJsPmh0dHA6Ly93d3cubmNiaS5ubG0ubmloLmdvdi9wdWJtZWQvMjQ3NzE0MDg8L3VybD48
L3JlbGF0ZWQtdXJscz48L3VybHM+PGVsZWN0cm9uaWMtcmVzb3VyY2UtbnVtPjEwLjEwMDIvMTQ2
NTE4NTguQ0QwMDQ4NjMucHViNDwvZWxlY3Ryb25pYy1yZXNvdXJjZS1udW0+PC9yZWNvcmQ+PC9D
aXRlPjwvRW5kTm90ZT5=
</w:fldData>
        </w:fldChar>
      </w:r>
      <w:r w:rsidR="00E62798">
        <w:instrText xml:space="preserve"> ADDIN EN.CITE.DATA </w:instrText>
      </w:r>
      <w:r w:rsidR="00E62798">
        <w:fldChar w:fldCharType="end"/>
      </w:r>
      <w:r w:rsidR="00E62798">
        <w:fldChar w:fldCharType="separate"/>
      </w:r>
      <w:hyperlink w:anchor="_ENREF_85" w:tooltip="Aher, 2012 #92" w:history="1">
        <w:r w:rsidR="00E62798" w:rsidRPr="00E62798">
          <w:rPr>
            <w:noProof/>
            <w:vertAlign w:val="superscript"/>
          </w:rPr>
          <w:t>85</w:t>
        </w:r>
      </w:hyperlink>
      <w:r w:rsidR="00E62798" w:rsidRPr="00E62798">
        <w:rPr>
          <w:noProof/>
          <w:vertAlign w:val="superscript"/>
        </w:rPr>
        <w:t xml:space="preserve">; </w:t>
      </w:r>
      <w:hyperlink w:anchor="_ENREF_96" w:tooltip="Ohlsson, 2014 #336" w:history="1">
        <w:r w:rsidR="00E62798" w:rsidRPr="00E62798">
          <w:rPr>
            <w:noProof/>
            <w:vertAlign w:val="superscript"/>
          </w:rPr>
          <w:t>96</w:t>
        </w:r>
      </w:hyperlink>
      <w:r w:rsidR="00E62798">
        <w:fldChar w:fldCharType="end"/>
      </w:r>
      <w:r w:rsidR="00B63663">
        <w:t xml:space="preserve"> and one Level II study</w:t>
      </w:r>
      <w:hyperlink w:anchor="_ENREF_91" w:tooltip="El-Ganzoury, 2014 #95" w:history="1">
        <w:r w:rsidR="00E62798">
          <w:fldChar w:fldCharType="begin">
            <w:fldData xml:space="preserve">PEVuZE5vdGU+PENpdGU+PEF1dGhvcj5FbC1HYW56b3VyeTwvQXV0aG9yPjxZZWFyPjIwMTQ8L1ll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</w:fldData>
          </w:fldChar>
        </w:r>
        <w:r w:rsidR="00E62798">
          <w:instrText xml:space="preserve"> ADDIN EN.CITE </w:instrText>
        </w:r>
        <w:r w:rsidR="00E62798">
          <w:fldChar w:fldCharType="begin">
            <w:fldData xml:space="preserve">PEVuZE5vdGU+PENpdGU+PEF1dGhvcj5FbC1HYW56b3VyeTwvQXV0aG9yPjxZZWFyPjIwMTQ8L1ll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91</w:t>
        </w:r>
        <w:r w:rsidR="00E62798">
          <w:fldChar w:fldCharType="end"/>
        </w:r>
      </w:hyperlink>
      <w:r w:rsidR="00B63663">
        <w:t xml:space="preserve"> </w:t>
      </w:r>
      <w:r>
        <w:t xml:space="preserve">assessed the effect of ESAs on neonatal mortality. </w:t>
      </w:r>
      <w:r w:rsidR="00B63663">
        <w:t>A</w:t>
      </w:r>
      <w:r>
        <w:t xml:space="preserve"> meta-analysis performed by this review found no effect of ESAs on all-cause mortality. </w:t>
      </w:r>
    </w:p>
    <w:p w14:paraId="1FCA0AED" w14:textId="77777777" w:rsidR="000742CA" w:rsidRDefault="000742CA" w:rsidP="000742CA">
      <w:pPr>
        <w:pStyle w:val="Heading5"/>
      </w:pPr>
      <w:r w:rsidRPr="004667A5">
        <w:t>Secondary outcomes</w:t>
      </w:r>
      <w:r>
        <w:rPr>
          <w:rStyle w:val="FootnoteReference"/>
        </w:rPr>
        <w:footnoteReference w:id="2"/>
      </w:r>
    </w:p>
    <w:p w14:paraId="2511DCB9" w14:textId="77777777" w:rsidR="000742CA" w:rsidRPr="009C7702" w:rsidRDefault="000742CA" w:rsidP="000742CA">
      <w:pPr>
        <w:pStyle w:val="H6"/>
      </w:pPr>
      <w:r w:rsidRPr="009C7702">
        <w:t>Functional/performance status</w:t>
      </w:r>
    </w:p>
    <w:p w14:paraId="394D68A5" w14:textId="1993ACCC" w:rsidR="000742CA" w:rsidRPr="00F74A55" w:rsidRDefault="000742CA" w:rsidP="00B63663">
      <w:r>
        <w:t>One</w:t>
      </w:r>
      <w:r w:rsidRPr="00F74A55">
        <w:t xml:space="preserve"> systematic review</w:t>
      </w:r>
      <w:hyperlink w:anchor="_ENREF_96" w:tooltip="Ohlsson, 2014 #336" w:history="1">
        <w:r w:rsidR="00E62798">
          <w:fldChar w:fldCharType="begin"/>
        </w:r>
        <w:r w:rsidR="00E62798">
          <w:instrText xml:space="preserve"> ADDIN EN.CITE &lt;EndNote&gt;&lt;Cite&gt;&lt;Author&gt;Ohlsson&lt;/Author&gt;&lt;Year&gt;2014&lt;/Year&gt;&lt;RecNum&gt;336&lt;/RecNum&gt;&lt;DisplayText&gt;&lt;style face="superscript"&gt;96&lt;/style&gt;&lt;/DisplayText&gt;&lt;record&gt;&lt;rec-number&gt;336&lt;/rec-number&gt;&lt;foreign-keys&gt;&lt;key app="EN" db-id="9edve2wadsavt5ewavaxtda4f2tavzvts9ee" timestamp="1427479867"&gt;336&lt;/key&gt;&lt;/foreign-keys&gt;&lt;ref-type name="Journal Article"&gt;17&lt;/ref-type&gt;&lt;contributors&gt;&lt;authors&gt;&lt;author&gt;Ohlsson, A.&lt;/author&gt;&lt;author&gt;Aher, S. M.&lt;/author&gt;&lt;/authors&gt;&lt;/contributors&gt;&lt;auth-address&gt;Departments of Paediatrics, Obstetrics and Gynaecology and Institute of Health Policy, Management and Evaluation, University of Toronto, 600 University Avenue, Toronto, Ontario, Canada, M5G 1X5.&lt;/auth-address&gt;&lt;titles&gt;&lt;title&gt;Early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reviews&lt;/abbr-1&gt;&lt;/alt-periodical&gt;&lt;pages&gt;CD004863&lt;/pages&gt;&lt;volume&gt;4&lt;/volume&gt;&lt;dates&gt;&lt;year&gt;2014&lt;/year&gt;&lt;/dates&gt;&lt;isbn&gt;1469-493X (Electronic)&amp;#xD;1361-6137 (Linking)&lt;/isbn&gt;&lt;accession-num&gt;24771408&lt;/accession-num&gt;&lt;urls&gt;&lt;related-urls&gt;&lt;url&gt;http://www.ncbi.nlm.nih.gov/pubmed/24771408&lt;/url&gt;&lt;/related-urls&gt;&lt;/urls&gt;&lt;electronic-resource-num&gt;10.1002/14651858.CD004863.pub4&lt;/electronic-resource-num&gt;&lt;/record&gt;&lt;/Cite&gt;&lt;/EndNote&gt;</w:instrText>
        </w:r>
        <w:r w:rsidR="00E62798">
          <w:fldChar w:fldCharType="separate"/>
        </w:r>
        <w:r w:rsidR="00E62798" w:rsidRPr="00E62798">
          <w:rPr>
            <w:noProof/>
            <w:vertAlign w:val="superscript"/>
          </w:rPr>
          <w:t>96</w:t>
        </w:r>
        <w:r w:rsidR="00E62798">
          <w:fldChar w:fldCharType="end"/>
        </w:r>
      </w:hyperlink>
      <w:r>
        <w:t xml:space="preserve"> </w:t>
      </w:r>
      <w:r w:rsidRPr="00F74A55">
        <w:t xml:space="preserve">assessed </w:t>
      </w:r>
      <w:r>
        <w:t>neurodevelopmental</w:t>
      </w:r>
      <w:r w:rsidRPr="00F74A55">
        <w:t xml:space="preserve"> outcomes </w:t>
      </w:r>
      <w:r>
        <w:t>at 18</w:t>
      </w:r>
      <w:r w:rsidR="00B63663">
        <w:t>–</w:t>
      </w:r>
      <w:r>
        <w:t xml:space="preserve">22 months corrected age </w:t>
      </w:r>
      <w:r w:rsidRPr="00F74A55">
        <w:t xml:space="preserve">in preterm infants administered </w:t>
      </w:r>
      <w:r>
        <w:t xml:space="preserve">early </w:t>
      </w:r>
      <w:r w:rsidRPr="00F74A55">
        <w:t xml:space="preserve">ESAs. </w:t>
      </w:r>
      <w:r>
        <w:t>Taken together, the studies were underpowered for neurodevelopmental outcomes, and the effect of ESAs on neurodevelopmental outcomes i</w:t>
      </w:r>
      <w:r w:rsidR="00B63663">
        <w:t>s uncertain</w:t>
      </w:r>
      <w:r>
        <w:t>.</w:t>
      </w:r>
    </w:p>
    <w:p w14:paraId="69B447B3" w14:textId="77777777" w:rsidR="000742CA" w:rsidRPr="00F74A55" w:rsidRDefault="000742CA" w:rsidP="000742CA">
      <w:pPr>
        <w:pStyle w:val="H6"/>
      </w:pPr>
      <w:r w:rsidRPr="00F74A55">
        <w:t>Laboratory measures</w:t>
      </w:r>
    </w:p>
    <w:p w14:paraId="442F7BFD" w14:textId="6386B4F3" w:rsidR="000742CA" w:rsidRDefault="000742CA" w:rsidP="00B63663">
      <w:r>
        <w:t>Two</w:t>
      </w:r>
      <w:r w:rsidR="00B63663">
        <w:t xml:space="preserve"> RCTs </w:t>
      </w:r>
      <w:r w:rsidRPr="00F74A55">
        <w:t xml:space="preserve">reported laboratory measures </w:t>
      </w:r>
      <w:r w:rsidR="00B63663">
        <w:t xml:space="preserve">– </w:t>
      </w:r>
      <w:r w:rsidRPr="00F74A55">
        <w:t xml:space="preserve">Hb, </w:t>
      </w:r>
      <w:r w:rsidR="00B63663">
        <w:t>haematocrit (Hct) and</w:t>
      </w:r>
      <w:r w:rsidRPr="00F74A55">
        <w:t xml:space="preserve"> ferritin</w:t>
      </w:r>
      <w:r w:rsidR="00B63663">
        <w:t xml:space="preserve"> –</w:t>
      </w:r>
      <w:r>
        <w:t xml:space="preserve"> and found that</w:t>
      </w:r>
      <w:r w:rsidRPr="00F74A55">
        <w:t xml:space="preserve"> </w:t>
      </w:r>
      <w:r>
        <w:t xml:space="preserve">Hb was higher in infants receiving </w:t>
      </w:r>
      <w:r w:rsidR="00EB2899">
        <w:t>rHuEPO</w:t>
      </w:r>
      <w:r>
        <w:t>.</w:t>
      </w:r>
      <w:hyperlink w:anchor="_ENREF_92" w:tooltip="Jim, 2000 #103" w:history="1">
        <w:r w:rsidR="00E62798">
          <w:fldChar w:fldCharType="begin">
            <w:fldData xml:space="preserve">PEVuZE5vdGU+PENpdGU+PEF1dGhvcj5KaW08L0F1dGhvcj48WWVhcj4yMDAwPC9ZZWFyPjxSZWNO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</w:fldData>
          </w:fldChar>
        </w:r>
        <w:r w:rsidR="00E62798">
          <w:instrText xml:space="preserve"> ADDIN EN.CITE </w:instrText>
        </w:r>
        <w:r w:rsidR="00E62798">
          <w:fldChar w:fldCharType="begin">
            <w:fldData xml:space="preserve">PEVuZE5vdGU+PENpdGU+PEF1dGhvcj5KaW08L0F1dGhvcj48WWVhcj4yMDAwPC9ZZWFyPjxSZWNO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92-93</w:t>
        </w:r>
        <w:r w:rsidR="00E62798">
          <w:fldChar w:fldCharType="end"/>
        </w:r>
      </w:hyperlink>
    </w:p>
    <w:p w14:paraId="21464A44" w14:textId="0F370B4F" w:rsidR="00942854" w:rsidRPr="00942854" w:rsidRDefault="00942854" w:rsidP="00C31FAF">
      <w:pPr>
        <w:pStyle w:val="BoxHeading"/>
        <w:pBdr>
          <w:right w:val="single" w:sz="4" w:space="0" w:color="000000"/>
        </w:pBdr>
      </w:pPr>
      <w:r w:rsidRPr="009041C6">
        <w:t>Clinical commentary</w:t>
      </w:r>
      <w:r>
        <w:t xml:space="preserve"> </w:t>
      </w:r>
      <w:r w:rsidRPr="00942854">
        <w:t>–</w:t>
      </w:r>
      <w:r w:rsidR="00797A43">
        <w:t xml:space="preserve"> </w:t>
      </w:r>
      <w:r w:rsidRPr="00942854">
        <w:t xml:space="preserve">ESAs (with or without iron) </w:t>
      </w:r>
      <w:r>
        <w:t>in p</w:t>
      </w:r>
      <w:r w:rsidRPr="00942854">
        <w:t>reterm and low birth weight infants</w:t>
      </w:r>
    </w:p>
    <w:p w14:paraId="18360906" w14:textId="24F619BF" w:rsidR="00942854" w:rsidRPr="005237B2" w:rsidRDefault="00942854" w:rsidP="00C31FAF">
      <w:pPr>
        <w:pStyle w:val="BoxText"/>
        <w:pBdr>
          <w:right w:val="single" w:sz="4" w:space="0" w:color="000000"/>
        </w:pBdr>
        <w:rPr>
          <w:i/>
        </w:rPr>
      </w:pPr>
      <w:r>
        <w:t xml:space="preserve">This </w:t>
      </w:r>
      <w:r w:rsidRPr="009041C6">
        <w:t xml:space="preserve">systematic review </w:t>
      </w:r>
      <w:r>
        <w:t>demonstrates that the number of</w:t>
      </w:r>
      <w:r w:rsidRPr="009041C6">
        <w:t xml:space="preserve"> transfusion</w:t>
      </w:r>
      <w:r>
        <w:t xml:space="preserve">s is reduced in neonates receiving </w:t>
      </w:r>
      <w:r w:rsidRPr="009041C6">
        <w:t>both early (</w:t>
      </w:r>
      <w:r>
        <w:t xml:space="preserve">course commencing </w:t>
      </w:r>
      <w:r w:rsidRPr="009041C6">
        <w:t xml:space="preserve">within the </w:t>
      </w:r>
      <w:r>
        <w:t>first</w:t>
      </w:r>
      <w:r w:rsidRPr="009041C6">
        <w:t xml:space="preserve"> week of life) and late (</w:t>
      </w:r>
      <w:r>
        <w:t xml:space="preserve">commencing </w:t>
      </w:r>
      <w:r w:rsidRPr="009041C6">
        <w:t xml:space="preserve">after the first week of life) </w:t>
      </w:r>
      <w:r w:rsidR="00EB2899">
        <w:t>rHuEPO</w:t>
      </w:r>
      <w:r>
        <w:t xml:space="preserve"> with </w:t>
      </w:r>
      <w:r w:rsidRPr="009041C6">
        <w:t xml:space="preserve">iron therapy. Early </w:t>
      </w:r>
      <w:r>
        <w:t>ESA</w:t>
      </w:r>
      <w:r w:rsidRPr="009041C6">
        <w:t xml:space="preserve"> treatment also reduced </w:t>
      </w:r>
      <w:r>
        <w:t>cumulative</w:t>
      </w:r>
      <w:r w:rsidRPr="009041C6">
        <w:t xml:space="preserve"> transfusion volume received</w:t>
      </w:r>
      <w:r>
        <w:t xml:space="preserve">, </w:t>
      </w:r>
      <w:r w:rsidRPr="009041C6">
        <w:t>wh</w:t>
      </w:r>
      <w:r>
        <w:t>ereas</w:t>
      </w:r>
      <w:r w:rsidRPr="009041C6">
        <w:t xml:space="preserve"> the evidence for late </w:t>
      </w:r>
      <w:r>
        <w:t>administration of ESA</w:t>
      </w:r>
      <w:r w:rsidRPr="009041C6">
        <w:t xml:space="preserve"> was inconsistent. </w:t>
      </w:r>
    </w:p>
    <w:p w14:paraId="6C04F8CE" w14:textId="77777777" w:rsidR="00942854" w:rsidRDefault="00942854" w:rsidP="00C31FAF">
      <w:pPr>
        <w:pStyle w:val="BoxText"/>
        <w:pBdr>
          <w:right w:val="single" w:sz="4" w:space="0" w:color="000000"/>
        </w:pBdr>
      </w:pPr>
      <w:r w:rsidRPr="005237B2">
        <w:t xml:space="preserve">There </w:t>
      </w:r>
      <w:r w:rsidRPr="009041C6">
        <w:t xml:space="preserve">is no evidence </w:t>
      </w:r>
      <w:r>
        <w:t>that</w:t>
      </w:r>
      <w:r w:rsidRPr="009041C6">
        <w:t xml:space="preserve"> ESAs </w:t>
      </w:r>
      <w:r>
        <w:t>affect</w:t>
      </w:r>
      <w:r w:rsidRPr="009041C6">
        <w:t xml:space="preserve"> </w:t>
      </w:r>
      <w:r>
        <w:t>any of the following:</w:t>
      </w:r>
    </w:p>
    <w:p w14:paraId="15C9D792" w14:textId="77777777" w:rsidR="00942854" w:rsidRDefault="00942854" w:rsidP="00C31FAF">
      <w:pPr>
        <w:pStyle w:val="BoxBullet"/>
        <w:pBdr>
          <w:right w:val="single" w:sz="4" w:space="0" w:color="000000"/>
        </w:pBdr>
      </w:pPr>
      <w:r w:rsidRPr="009041C6">
        <w:t>mortality</w:t>
      </w:r>
    </w:p>
    <w:p w14:paraId="7B5FC2B1" w14:textId="77777777" w:rsidR="00942854" w:rsidRDefault="00942854" w:rsidP="00C31FAF">
      <w:pPr>
        <w:pStyle w:val="BoxBullet"/>
        <w:pBdr>
          <w:right w:val="single" w:sz="4" w:space="0" w:color="000000"/>
        </w:pBdr>
      </w:pPr>
      <w:r w:rsidRPr="009041C6">
        <w:t>the significant neonatal morbidities ROP, BPD and NEC</w:t>
      </w:r>
    </w:p>
    <w:p w14:paraId="23BD0B85" w14:textId="77777777" w:rsidR="00942854" w:rsidRDefault="00942854" w:rsidP="00C31FAF">
      <w:pPr>
        <w:pStyle w:val="BoxBullet"/>
        <w:pBdr>
          <w:right w:val="single" w:sz="4" w:space="0" w:color="000000"/>
        </w:pBdr>
      </w:pPr>
      <w:r w:rsidRPr="009041C6">
        <w:t xml:space="preserve">potential adverse events such as thromboembolic events. </w:t>
      </w:r>
    </w:p>
    <w:p w14:paraId="7746FB35" w14:textId="0A99B9AD" w:rsidR="007B7944" w:rsidRDefault="00942854" w:rsidP="00C31FAF">
      <w:pPr>
        <w:pStyle w:val="BoxText"/>
        <w:pBdr>
          <w:right w:val="single" w:sz="4" w:space="0" w:color="000000"/>
        </w:pBdr>
      </w:pPr>
      <w:r>
        <w:t>ROP was a secondary outcome for all the included studies. It is likely that all studies were underpowered to identify true differences in ROP rates or severity. Thus, the effect of ESA therapy on ROP is uncertain.</w:t>
      </w:r>
      <w:r w:rsidRPr="009041C6">
        <w:t xml:space="preserve"> Further large RCTs are required to conclusively answer this question and address </w:t>
      </w:r>
      <w:r>
        <w:t xml:space="preserve">the </w:t>
      </w:r>
      <w:r w:rsidRPr="009041C6">
        <w:t xml:space="preserve">effect of ESAs on long-term outcomes and </w:t>
      </w:r>
      <w:r w:rsidRPr="00C31FAF">
        <w:t>adverse events</w:t>
      </w:r>
      <w:r w:rsidR="00C31FAF" w:rsidRPr="00C31FAF">
        <w:t>.</w:t>
      </w:r>
    </w:p>
    <w:p w14:paraId="266FB3AD" w14:textId="792013DD" w:rsidR="00942854" w:rsidRDefault="00942854" w:rsidP="007B7944">
      <w:pPr>
        <w:pStyle w:val="BoxText"/>
      </w:pPr>
      <w:r>
        <w:t>E</w:t>
      </w:r>
      <w:r w:rsidRPr="009041C6">
        <w:t xml:space="preserve">vidence </w:t>
      </w:r>
      <w:r>
        <w:t>of the effect of</w:t>
      </w:r>
      <w:r w:rsidRPr="009041C6">
        <w:t xml:space="preserve"> ESAs </w:t>
      </w:r>
      <w:r>
        <w:t>on functional and performance status is inconclusive.</w:t>
      </w:r>
      <w:r w:rsidRPr="00DE44A4">
        <w:t xml:space="preserve"> </w:t>
      </w:r>
    </w:p>
    <w:p w14:paraId="264CBCD4" w14:textId="6BF8BB82" w:rsidR="00942854" w:rsidRPr="009041C6" w:rsidRDefault="00942854" w:rsidP="007B7944">
      <w:pPr>
        <w:pStyle w:val="BoxText"/>
      </w:pPr>
      <w:r w:rsidRPr="009041C6">
        <w:t>Large heterogeneity was observed in the</w:t>
      </w:r>
      <w:r>
        <w:t xml:space="preserve"> included</w:t>
      </w:r>
      <w:r w:rsidRPr="009041C6">
        <w:t xml:space="preserve"> studies, most likely reflecting variation in transfusion practice. </w:t>
      </w:r>
      <w:r>
        <w:t>Furthermore, the studies were mainly conducted using transfusion practice that was liberal compared to current practice, and the intervention (thrice</w:t>
      </w:r>
      <w:r w:rsidR="00562C4F">
        <w:t>-</w:t>
      </w:r>
      <w:r>
        <w:t xml:space="preserve">weekly subcutaneous injections, increased blood sampling and the need for parenteral iron) is burdensome. Therefore, the CRG has recommended against the </w:t>
      </w:r>
      <w:r w:rsidRPr="005237B2">
        <w:rPr>
          <w:i/>
        </w:rPr>
        <w:t xml:space="preserve">routine </w:t>
      </w:r>
      <w:r>
        <w:t>use of ESAs (see R3).</w:t>
      </w:r>
    </w:p>
    <w:p w14:paraId="6CB46A34" w14:textId="79030A11" w:rsidR="000742CA" w:rsidRDefault="00B63663" w:rsidP="00B63663">
      <w:pPr>
        <w:pStyle w:val="Heading3"/>
      </w:pPr>
      <w:bookmarkStart w:id="116" w:name="_Toc427851325"/>
      <w:r>
        <w:rPr>
          <w:lang w:val="en-AU"/>
        </w:rPr>
        <w:t>3.3.2</w:t>
      </w:r>
      <w:r>
        <w:rPr>
          <w:lang w:val="en-AU"/>
        </w:rPr>
        <w:tab/>
      </w:r>
      <w:r>
        <w:t xml:space="preserve">Preterm and </w:t>
      </w:r>
      <w:r w:rsidRPr="002D409B">
        <w:t>low</w:t>
      </w:r>
      <w:r>
        <w:t xml:space="preserve"> birth weight infants </w:t>
      </w:r>
      <w:r>
        <w:rPr>
          <w:lang w:val="en-AU"/>
        </w:rPr>
        <w:t>– effect of oral and/or parenteral iron on outcomes</w:t>
      </w:r>
      <w:bookmarkEnd w:id="116"/>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272BD5ED"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605B502A" w14:textId="77777777" w:rsidR="000742CA" w:rsidRPr="00A21FE4" w:rsidRDefault="000742CA" w:rsidP="000742CA">
            <w:pPr>
              <w:pStyle w:val="PP-heading"/>
            </w:pPr>
            <w:r w:rsidRPr="00A21FE4">
              <w:t>Evidence statements – preterm and low birth weight infants (oral and/or parenteral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A1F3E17"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B9DC23D"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E315562"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5A5656D"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530AB63" w14:textId="77777777" w:rsidR="000742CA" w:rsidRPr="00A21FE4" w:rsidRDefault="000742CA" w:rsidP="000742CA">
            <w:pPr>
              <w:ind w:left="113" w:right="113"/>
              <w:jc w:val="center"/>
              <w:rPr>
                <w:b/>
              </w:rPr>
            </w:pPr>
            <w:r w:rsidRPr="00A21FE4">
              <w:rPr>
                <w:b/>
              </w:rPr>
              <w:t>Applicability</w:t>
            </w:r>
          </w:p>
        </w:tc>
      </w:tr>
      <w:tr w:rsidR="000742CA" w:rsidRPr="00A21FE4" w14:paraId="7B37806C" w14:textId="77777777" w:rsidTr="000742CA">
        <w:trPr>
          <w:cantSplit/>
        </w:trPr>
        <w:tc>
          <w:tcPr>
            <w:tcW w:w="851" w:type="dxa"/>
          </w:tcPr>
          <w:p w14:paraId="57BA9A38" w14:textId="77777777" w:rsidR="000742CA" w:rsidRPr="00A21FE4" w:rsidRDefault="000742CA" w:rsidP="000742CA">
            <w:pPr>
              <w:pStyle w:val="Tabletext0"/>
            </w:pPr>
            <w:r w:rsidRPr="0056766D">
              <w:t>ES2.9</w:t>
            </w:r>
          </w:p>
        </w:tc>
        <w:tc>
          <w:tcPr>
            <w:tcW w:w="3750" w:type="dxa"/>
          </w:tcPr>
          <w:p w14:paraId="2CBB4E3B" w14:textId="77777777" w:rsidR="000742CA" w:rsidRPr="00A21FE4" w:rsidRDefault="000742CA" w:rsidP="000742CA">
            <w:pPr>
              <w:pStyle w:val="ES-table"/>
            </w:pPr>
            <w:r w:rsidRPr="00A21FE4">
              <w:t>In preterm infants with very low birth weight (&lt;1500 g), the effect of oral iron supplementation compared with no oral iron supplementation on transfusion volume or incidence is uncertain.</w:t>
            </w:r>
          </w:p>
          <w:p w14:paraId="28B4F8E3" w14:textId="77777777" w:rsidR="000742CA" w:rsidRPr="00A21FE4" w:rsidRDefault="000742CA" w:rsidP="000742CA">
            <w:pPr>
              <w:pStyle w:val="ES-notes"/>
            </w:pPr>
            <w:r w:rsidRPr="00A21FE4">
              <w:t>(See evidence matrix D2.H in Volume 2 of the technical report.)</w:t>
            </w:r>
          </w:p>
        </w:tc>
        <w:tc>
          <w:tcPr>
            <w:tcW w:w="820" w:type="dxa"/>
          </w:tcPr>
          <w:p w14:paraId="41BCF2EF" w14:textId="77777777" w:rsidR="000742CA" w:rsidRPr="00A21FE4" w:rsidRDefault="000742CA" w:rsidP="000742CA">
            <w:pPr>
              <w:pStyle w:val="T-ABCD"/>
            </w:pPr>
            <w:r w:rsidRPr="00A21FE4">
              <w:sym w:font="Symbol" w:char="F0D6"/>
            </w:r>
            <w:r w:rsidRPr="00A21FE4">
              <w:sym w:font="Symbol" w:char="F0D6"/>
            </w:r>
          </w:p>
        </w:tc>
        <w:tc>
          <w:tcPr>
            <w:tcW w:w="821" w:type="dxa"/>
          </w:tcPr>
          <w:p w14:paraId="08C085D5" w14:textId="77777777" w:rsidR="000742CA" w:rsidRPr="00A21FE4" w:rsidRDefault="000742CA" w:rsidP="000742CA">
            <w:pPr>
              <w:pStyle w:val="T-ABCD"/>
            </w:pPr>
            <w:r w:rsidRPr="00A21FE4">
              <w:sym w:font="Symbol" w:char="F0D6"/>
            </w:r>
          </w:p>
        </w:tc>
        <w:tc>
          <w:tcPr>
            <w:tcW w:w="821" w:type="dxa"/>
          </w:tcPr>
          <w:p w14:paraId="5CDAE909" w14:textId="77777777" w:rsidR="000742CA" w:rsidRPr="00A21FE4" w:rsidRDefault="000742CA" w:rsidP="000742CA">
            <w:pPr>
              <w:pStyle w:val="T-ABCD"/>
            </w:pPr>
            <w:r w:rsidRPr="00A21FE4">
              <w:t>NA</w:t>
            </w:r>
          </w:p>
        </w:tc>
        <w:tc>
          <w:tcPr>
            <w:tcW w:w="821" w:type="dxa"/>
          </w:tcPr>
          <w:p w14:paraId="552AE200" w14:textId="77777777" w:rsidR="000742CA" w:rsidRPr="00A21FE4" w:rsidRDefault="000742CA" w:rsidP="000742CA">
            <w:pPr>
              <w:pStyle w:val="T-ABCD"/>
            </w:pPr>
            <w:r w:rsidRPr="00A21FE4">
              <w:sym w:font="Symbol" w:char="F0D6"/>
            </w:r>
            <w:r w:rsidRPr="00A21FE4">
              <w:sym w:font="Symbol" w:char="F0D6"/>
            </w:r>
          </w:p>
        </w:tc>
        <w:tc>
          <w:tcPr>
            <w:tcW w:w="821" w:type="dxa"/>
          </w:tcPr>
          <w:p w14:paraId="692CEAC5" w14:textId="77777777" w:rsidR="000742CA" w:rsidRPr="00A21FE4" w:rsidRDefault="000742CA" w:rsidP="000742CA">
            <w:pPr>
              <w:pStyle w:val="T-ABCD"/>
            </w:pPr>
            <w:r w:rsidRPr="00A21FE4">
              <w:sym w:font="Symbol" w:char="F0D6"/>
            </w:r>
          </w:p>
        </w:tc>
      </w:tr>
      <w:tr w:rsidR="000742CA" w:rsidRPr="00A21FE4" w14:paraId="2E294C0A" w14:textId="77777777" w:rsidTr="000742CA">
        <w:trPr>
          <w:cantSplit/>
        </w:trPr>
        <w:tc>
          <w:tcPr>
            <w:tcW w:w="851" w:type="dxa"/>
          </w:tcPr>
          <w:p w14:paraId="1B46AEEA" w14:textId="77777777" w:rsidR="000742CA" w:rsidRPr="00A21FE4" w:rsidRDefault="000742CA" w:rsidP="000742CA">
            <w:pPr>
              <w:pStyle w:val="Tabletext0"/>
            </w:pPr>
            <w:r w:rsidRPr="0056766D">
              <w:t>ES2.10</w:t>
            </w:r>
          </w:p>
        </w:tc>
        <w:tc>
          <w:tcPr>
            <w:tcW w:w="3750" w:type="dxa"/>
          </w:tcPr>
          <w:p w14:paraId="01B10E45" w14:textId="77777777" w:rsidR="000742CA" w:rsidRPr="00A21FE4" w:rsidRDefault="000742CA" w:rsidP="000742CA">
            <w:pPr>
              <w:pStyle w:val="ES-table"/>
            </w:pPr>
            <w:r w:rsidRPr="00A21FE4">
              <w:t>In preterm infants with very low birth weight (&lt;1500 g), the effect of oral iron supplementation compared with no oral iron supplementation on ROP, BPD and NEC is uncertain.</w:t>
            </w:r>
          </w:p>
          <w:p w14:paraId="007D1695" w14:textId="77777777" w:rsidR="000742CA" w:rsidRPr="00A21FE4" w:rsidRDefault="000742CA" w:rsidP="000742CA">
            <w:pPr>
              <w:pStyle w:val="ES-notes"/>
            </w:pPr>
            <w:r w:rsidRPr="00A21FE4">
              <w:t>(See evidence matrix D2.I in Volume 2 of the technical report.)</w:t>
            </w:r>
          </w:p>
        </w:tc>
        <w:tc>
          <w:tcPr>
            <w:tcW w:w="820" w:type="dxa"/>
          </w:tcPr>
          <w:p w14:paraId="59D7F75F" w14:textId="77777777" w:rsidR="000742CA" w:rsidRPr="00A21FE4" w:rsidRDefault="000742CA" w:rsidP="000742CA">
            <w:pPr>
              <w:pStyle w:val="T-ABCD"/>
            </w:pPr>
            <w:r w:rsidRPr="00A21FE4">
              <w:sym w:font="Symbol" w:char="F0D6"/>
            </w:r>
            <w:r w:rsidRPr="00A21FE4">
              <w:sym w:font="Symbol" w:char="F0D6"/>
            </w:r>
          </w:p>
        </w:tc>
        <w:tc>
          <w:tcPr>
            <w:tcW w:w="821" w:type="dxa"/>
          </w:tcPr>
          <w:p w14:paraId="4D39CC8D" w14:textId="77777777" w:rsidR="000742CA" w:rsidRPr="00A21FE4" w:rsidRDefault="000742CA" w:rsidP="000742CA">
            <w:pPr>
              <w:pStyle w:val="T-ABCD"/>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3D690A2D" w14:textId="77777777" w:rsidR="000742CA" w:rsidRPr="00A21FE4" w:rsidRDefault="000742CA" w:rsidP="000742CA">
            <w:pPr>
              <w:pStyle w:val="T-ABCD"/>
            </w:pPr>
            <w:r w:rsidRPr="00A21FE4">
              <w:t>NA</w:t>
            </w:r>
          </w:p>
        </w:tc>
        <w:tc>
          <w:tcPr>
            <w:tcW w:w="821" w:type="dxa"/>
          </w:tcPr>
          <w:p w14:paraId="01B828BC" w14:textId="77777777" w:rsidR="000742CA" w:rsidRPr="00A21FE4" w:rsidRDefault="000742CA" w:rsidP="000742CA">
            <w:pPr>
              <w:pStyle w:val="T-ABCD"/>
            </w:pPr>
            <w:r w:rsidRPr="00A21FE4">
              <w:sym w:font="Symbol" w:char="F0D6"/>
            </w:r>
            <w:r w:rsidRPr="00A21FE4">
              <w:sym w:font="Symbol" w:char="F0D6"/>
            </w:r>
          </w:p>
        </w:tc>
        <w:tc>
          <w:tcPr>
            <w:tcW w:w="821" w:type="dxa"/>
          </w:tcPr>
          <w:p w14:paraId="10FF533F" w14:textId="77777777" w:rsidR="000742CA" w:rsidRPr="00A21FE4" w:rsidRDefault="000742CA" w:rsidP="000742CA">
            <w:pPr>
              <w:pStyle w:val="T-ABCD"/>
            </w:pPr>
            <w:r w:rsidRPr="00A21FE4">
              <w:sym w:font="Symbol" w:char="F0D6"/>
            </w:r>
          </w:p>
        </w:tc>
      </w:tr>
      <w:tr w:rsidR="000742CA" w:rsidRPr="00A21FE4" w14:paraId="27D3A911" w14:textId="77777777" w:rsidTr="000742CA">
        <w:trPr>
          <w:cantSplit/>
        </w:trPr>
        <w:tc>
          <w:tcPr>
            <w:tcW w:w="851" w:type="dxa"/>
          </w:tcPr>
          <w:p w14:paraId="0156F64D" w14:textId="77777777" w:rsidR="000742CA" w:rsidRPr="00A21FE4" w:rsidRDefault="000742CA" w:rsidP="000742CA">
            <w:pPr>
              <w:pStyle w:val="Tabletext0"/>
            </w:pPr>
            <w:r w:rsidRPr="0056766D">
              <w:t>ES2.11</w:t>
            </w:r>
          </w:p>
        </w:tc>
        <w:tc>
          <w:tcPr>
            <w:tcW w:w="3750" w:type="dxa"/>
          </w:tcPr>
          <w:p w14:paraId="00339336" w14:textId="77777777" w:rsidR="000742CA" w:rsidRPr="00A21FE4" w:rsidRDefault="000742CA" w:rsidP="000742CA">
            <w:pPr>
              <w:pStyle w:val="ES-table"/>
            </w:pPr>
            <w:r w:rsidRPr="00A21FE4">
              <w:t>In preterm infants with very low birth weight (&lt;1500 g), the effect of oral iron supplementation compared with no oral iron supplementation on mortality is uncertain.</w:t>
            </w:r>
          </w:p>
          <w:p w14:paraId="55A32AAD" w14:textId="77777777" w:rsidR="000742CA" w:rsidRPr="00A21FE4" w:rsidRDefault="000742CA" w:rsidP="000742CA">
            <w:pPr>
              <w:pStyle w:val="ES-notes"/>
            </w:pPr>
            <w:r w:rsidRPr="00A21FE4">
              <w:t>(See evidence matrix D2.J in Volume 2 of the technical report.)</w:t>
            </w:r>
          </w:p>
        </w:tc>
        <w:tc>
          <w:tcPr>
            <w:tcW w:w="820" w:type="dxa"/>
          </w:tcPr>
          <w:p w14:paraId="6FA90CB1" w14:textId="77777777" w:rsidR="000742CA" w:rsidRPr="00A21FE4" w:rsidRDefault="000742CA" w:rsidP="000742CA">
            <w:pPr>
              <w:pStyle w:val="T-ABCD"/>
            </w:pPr>
            <w:r w:rsidRPr="00A21FE4">
              <w:sym w:font="Symbol" w:char="F0D6"/>
            </w:r>
            <w:r w:rsidRPr="00A21FE4">
              <w:sym w:font="Symbol" w:char="F0D6"/>
            </w:r>
          </w:p>
        </w:tc>
        <w:tc>
          <w:tcPr>
            <w:tcW w:w="821" w:type="dxa"/>
          </w:tcPr>
          <w:p w14:paraId="4358CE93" w14:textId="77777777" w:rsidR="000742CA" w:rsidRPr="00A21FE4" w:rsidRDefault="000742CA" w:rsidP="000742CA">
            <w:pPr>
              <w:pStyle w:val="T-ABCD"/>
              <w:rPr>
                <w:sz w:val="18"/>
                <w:szCs w:val="18"/>
              </w:rPr>
            </w:pPr>
            <w:r w:rsidRPr="00A21FE4">
              <w:rPr>
                <w:sz w:val="18"/>
                <w:szCs w:val="18"/>
              </w:rPr>
              <w:sym w:font="Symbol" w:char="F0D6"/>
            </w:r>
            <w:r w:rsidRPr="00A21FE4">
              <w:rPr>
                <w:sz w:val="18"/>
                <w:szCs w:val="18"/>
              </w:rPr>
              <w:sym w:font="Symbol" w:char="F0D6"/>
            </w:r>
            <w:r w:rsidRPr="00A21FE4">
              <w:rPr>
                <w:sz w:val="18"/>
                <w:szCs w:val="18"/>
              </w:rPr>
              <w:sym w:font="Symbol" w:char="F0D6"/>
            </w:r>
          </w:p>
        </w:tc>
        <w:tc>
          <w:tcPr>
            <w:tcW w:w="821" w:type="dxa"/>
          </w:tcPr>
          <w:p w14:paraId="40F9A303" w14:textId="77777777" w:rsidR="000742CA" w:rsidRPr="00A21FE4" w:rsidRDefault="000742CA" w:rsidP="000742CA">
            <w:pPr>
              <w:pStyle w:val="T-ABCD"/>
            </w:pPr>
            <w:r w:rsidRPr="00A21FE4">
              <w:t>NA</w:t>
            </w:r>
          </w:p>
        </w:tc>
        <w:tc>
          <w:tcPr>
            <w:tcW w:w="821" w:type="dxa"/>
          </w:tcPr>
          <w:p w14:paraId="43EF7A1D" w14:textId="77777777" w:rsidR="000742CA" w:rsidRPr="00A21FE4" w:rsidRDefault="000742CA" w:rsidP="000742CA">
            <w:pPr>
              <w:pStyle w:val="T-ABCD"/>
            </w:pPr>
            <w:r w:rsidRPr="00A21FE4">
              <w:sym w:font="Symbol" w:char="F0D6"/>
            </w:r>
            <w:r w:rsidRPr="00A21FE4">
              <w:sym w:font="Symbol" w:char="F0D6"/>
            </w:r>
          </w:p>
        </w:tc>
        <w:tc>
          <w:tcPr>
            <w:tcW w:w="821" w:type="dxa"/>
          </w:tcPr>
          <w:p w14:paraId="552C8413" w14:textId="77777777" w:rsidR="000742CA" w:rsidRPr="00A21FE4" w:rsidRDefault="000742CA" w:rsidP="000742CA">
            <w:pPr>
              <w:pStyle w:val="T-ABCD"/>
            </w:pPr>
            <w:r w:rsidRPr="00A21FE4">
              <w:sym w:font="Symbol" w:char="F0D6"/>
            </w:r>
          </w:p>
        </w:tc>
      </w:tr>
      <w:tr w:rsidR="000742CA" w:rsidRPr="00A21FE4" w14:paraId="556590AA" w14:textId="77777777" w:rsidTr="000742CA">
        <w:trPr>
          <w:cantSplit/>
        </w:trPr>
        <w:tc>
          <w:tcPr>
            <w:tcW w:w="8705" w:type="dxa"/>
            <w:gridSpan w:val="7"/>
          </w:tcPr>
          <w:p w14:paraId="7E09B4AF" w14:textId="77777777" w:rsidR="000742CA" w:rsidRPr="00A21FE4" w:rsidRDefault="000742CA" w:rsidP="000742CA">
            <w:pPr>
              <w:pStyle w:val="ES-notes"/>
            </w:pPr>
            <w:r w:rsidRPr="00A21FE4">
              <w:t>BPD, bronchopulmonary disease; ES, evidence statement; NEC, necrotising enterocolitis; ROP, retinopathy of prematurity</w:t>
            </w:r>
            <w:r w:rsidRPr="00A21FE4">
              <w:br/>
            </w: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46BA399" w14:textId="77777777" w:rsidR="000742CA" w:rsidRPr="00A21FE4" w:rsidRDefault="000742CA" w:rsidP="000742CA">
      <w:pPr>
        <w:pStyle w:val="BodyText"/>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2"/>
        <w:gridCol w:w="7314"/>
      </w:tblGrid>
      <w:tr w:rsidR="000742CA" w:rsidRPr="00A21FE4" w14:paraId="0246F502" w14:textId="77777777" w:rsidTr="00467EEA">
        <w:tc>
          <w:tcPr>
            <w:tcW w:w="8733" w:type="dxa"/>
            <w:gridSpan w:val="2"/>
            <w:tcBorders>
              <w:top w:val="single" w:sz="4" w:space="0" w:color="000000"/>
              <w:left w:val="single" w:sz="4" w:space="0" w:color="000000"/>
              <w:bottom w:val="single" w:sz="4" w:space="0" w:color="000000"/>
              <w:right w:val="single" w:sz="4" w:space="0" w:color="000000"/>
            </w:tcBorders>
            <w:shd w:val="clear" w:color="auto" w:fill="ABE9FF"/>
          </w:tcPr>
          <w:p w14:paraId="206FF642" w14:textId="54461289" w:rsidR="000742CA" w:rsidRPr="00045D23" w:rsidRDefault="000742CA" w:rsidP="000742CA">
            <w:pPr>
              <w:pStyle w:val="PP-heading"/>
              <w:rPr>
                <w:lang w:val="en-AU"/>
              </w:rPr>
            </w:pPr>
            <w:r w:rsidRPr="00A21FE4">
              <w:t xml:space="preserve">Practice point – </w:t>
            </w:r>
            <w:r w:rsidR="006D11A2" w:rsidRPr="00A21FE4">
              <w:t>preterm and low birth weight infants (oral and/or parenteral iron)</w:t>
            </w:r>
          </w:p>
        </w:tc>
      </w:tr>
      <w:tr w:rsidR="000742CA" w:rsidRPr="00A21FE4" w14:paraId="7C24DCA6" w14:textId="77777777" w:rsidTr="000742CA">
        <w:tc>
          <w:tcPr>
            <w:tcW w:w="1135" w:type="dxa"/>
            <w:tcBorders>
              <w:right w:val="single" w:sz="4" w:space="0" w:color="auto"/>
            </w:tcBorders>
            <w:shd w:val="clear" w:color="auto" w:fill="auto"/>
          </w:tcPr>
          <w:p w14:paraId="7731F596" w14:textId="657ABAF4" w:rsidR="000742CA" w:rsidRPr="008B4495" w:rsidRDefault="000742CA" w:rsidP="008B4495">
            <w:pPr>
              <w:pStyle w:val="PP"/>
              <w:rPr>
                <w:lang w:val="en-AU"/>
              </w:rPr>
            </w:pPr>
            <w:r w:rsidRPr="00A21FE4">
              <w:t>PP1</w:t>
            </w:r>
            <w:r w:rsidR="008B4495">
              <w:rPr>
                <w:lang w:val="en-AU"/>
              </w:rPr>
              <w:t>3</w:t>
            </w:r>
          </w:p>
        </w:tc>
        <w:tc>
          <w:tcPr>
            <w:tcW w:w="7598" w:type="dxa"/>
            <w:tcBorders>
              <w:left w:val="single" w:sz="4" w:space="0" w:color="auto"/>
            </w:tcBorders>
            <w:shd w:val="clear" w:color="auto" w:fill="auto"/>
          </w:tcPr>
          <w:p w14:paraId="52A76D9C" w14:textId="77777777" w:rsidR="000742CA" w:rsidRPr="00A21FE4" w:rsidRDefault="000742CA" w:rsidP="00B63663">
            <w:pPr>
              <w:pStyle w:val="PP"/>
            </w:pPr>
            <w:r w:rsidRPr="00A21FE4">
              <w:t>Preterm and low birth weight infants should receive iron supplementation as necessary to achieve the RNI. However, routine supplementation in excess of the RNI, to reduce transfusion incidence, is not supported.</w:t>
            </w:r>
          </w:p>
        </w:tc>
      </w:tr>
      <w:tr w:rsidR="000742CA" w:rsidRPr="00A21FE4" w14:paraId="6A31CC63" w14:textId="77777777" w:rsidTr="000742CA">
        <w:trPr>
          <w:trHeight w:val="397"/>
        </w:trPr>
        <w:tc>
          <w:tcPr>
            <w:tcW w:w="8733" w:type="dxa"/>
            <w:gridSpan w:val="2"/>
            <w:shd w:val="clear" w:color="auto" w:fill="auto"/>
          </w:tcPr>
          <w:p w14:paraId="2D31CA7C" w14:textId="77777777" w:rsidR="000742CA" w:rsidRPr="00A21FE4" w:rsidRDefault="000742CA" w:rsidP="00B63663">
            <w:pPr>
              <w:pStyle w:val="PP-note"/>
            </w:pPr>
            <w:r w:rsidRPr="00A21FE4">
              <w:t>PP, practice point; RNI, recommended nutrient intake</w:t>
            </w:r>
          </w:p>
        </w:tc>
      </w:tr>
    </w:tbl>
    <w:p w14:paraId="04A61EB9" w14:textId="32DA450C" w:rsidR="00B63663" w:rsidRDefault="00B63663" w:rsidP="000742CA">
      <w:pPr>
        <w:pStyle w:val="Heading4"/>
        <w:rPr>
          <w:lang w:val="en-AU"/>
        </w:rPr>
      </w:pPr>
      <w:r>
        <w:rPr>
          <w:lang w:val="en-AU"/>
        </w:rPr>
        <w:t>Background</w:t>
      </w:r>
    </w:p>
    <w:p w14:paraId="6650AEF1" w14:textId="78A3445B" w:rsidR="00256474" w:rsidRDefault="00256474" w:rsidP="00256474">
      <w:r>
        <w:t>Because of rapid growth, low iron stores at birth and losses due to blood sampling, preterm and low birth weight infants are at high risk for iron deficiency, which can impair neurodevelopment. However, due to immaturity of body organs (including the intestine and liver), they may have very limited ability to regulate iron uptake and use in response to iron deficiency or excess, particularly in the first weeks after birth.</w:t>
      </w:r>
      <w:hyperlink w:anchor="_ENREF_97" w:tooltip="Collard, 2009 #1049" w:history="1">
        <w:r w:rsidR="00E62798">
          <w:fldChar w:fldCharType="begin">
            <w:fldData xml:space="preserve">PEVuZE5vdGU+PENpdGU+PEF1dGhvcj5Db2xsYXJkPC9BdXRob3I+PFllYXI+MjAwOTwvWWVhcj48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</w:fldData>
          </w:fldChar>
        </w:r>
        <w:r w:rsidR="00E62798">
          <w:instrText xml:space="preserve"> ADDIN EN.CITE </w:instrText>
        </w:r>
        <w:r w:rsidR="00E62798">
          <w:fldChar w:fldCharType="begin">
            <w:fldData xml:space="preserve">PEVuZE5vdGU+PENpdGU+PEF1dGhvcj5Db2xsYXJkPC9BdXRob3I+PFllYXI+MjAwOTwvWWVhcj48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97</w:t>
        </w:r>
        <w:r w:rsidR="00E62798">
          <w:fldChar w:fldCharType="end"/>
        </w:r>
      </w:hyperlink>
      <w:r>
        <w:t xml:space="preserve"> There is the potential for toxicity if excessive doses are used; enteral iron can compete with zinc and copper for absorption,</w:t>
      </w:r>
      <w:hyperlink w:anchor="_ENREF_98" w:tooltip="Friel, 2001 #1050" w:history="1">
        <w:r w:rsidR="00E62798">
          <w:fldChar w:fldCharType="begin"/>
        </w:r>
        <w:r w:rsidR="00E62798">
          <w:instrText xml:space="preserve"> ADDIN EN.CITE &lt;EndNote&gt;&lt;Cite&gt;&lt;Author&gt;Friel&lt;/Author&gt;&lt;Year&gt;2001&lt;/Year&gt;&lt;RecNum&gt;1050&lt;/RecNum&gt;&lt;DisplayText&gt;&lt;style face="superscript"&gt;98&lt;/style&gt;&lt;/DisplayText&gt;&lt;record&gt;&lt;rec-number&gt;1050&lt;/rec-number&gt;&lt;foreign-keys&gt;&lt;key app="EN" db-id="9edve2wadsavt5ewavaxtda4f2tavzvts9ee" timestamp="1439190868"&gt;1050&lt;/key&gt;&lt;/foreign-keys&gt;&lt;ref-type name="Journal Article"&gt;17&lt;/ref-type&gt;&lt;contributors&gt;&lt;authors&gt;&lt;author&gt;Friel, J. K.&lt;/author&gt;&lt;author&gt;Andrews, W. L.&lt;/author&gt;&lt;author&gt;Aziz, K.&lt;/author&gt;&lt;author&gt;Kwa, P. G.&lt;/author&gt;&lt;author&gt;Lepage, G.&lt;/author&gt;&lt;author&gt;L&amp;apos;Abbe, M. R.&lt;/author&gt;&lt;/authors&gt;&lt;/contributors&gt;&lt;auth-address&gt;Department of Biochemistry, Memorial University of Newfoundland, Janeway Child Health Centre, Grace General Hospital, St John&amp;apos;s, Newfoundland, Canada.&lt;/auth-address&gt;&lt;titles&gt;&lt;title&gt;A randomized trial of two levels of iron supplementation and developmental outcome in low birth weight infants&lt;/title&gt;&lt;secondary-title&gt;J Pediatr&lt;/secondary-title&gt;&lt;/titles&gt;&lt;periodical&gt;&lt;full-title&gt;J Pediatr&lt;/full-title&gt;&lt;abbr-1&gt;The Journal of pediatrics&lt;/abbr-1&gt;&lt;/periodical&gt;&lt;pages&gt;254-60&lt;/pages&gt;&lt;volume&gt;139&lt;/volume&gt;&lt;number&gt;2&lt;/number&gt;&lt;keywords&gt;&lt;keyword&gt;Analysis of Variance&lt;/keyword&gt;&lt;keyword&gt;Child Development/*drug effects&lt;/keyword&gt;&lt;keyword&gt;Cognition/drug effects&lt;/keyword&gt;&lt;keyword&gt;Dose-Response Relationship, Drug&lt;/keyword&gt;&lt;keyword&gt;Glutathione Peroxidase/metabolism&lt;/keyword&gt;&lt;keyword&gt;Humans&lt;/keyword&gt;&lt;keyword&gt;*Infant, Low Birth Weight&lt;/keyword&gt;&lt;keyword&gt;Infant, Newborn&lt;/keyword&gt;&lt;keyword&gt;Iron/administration &amp;amp; dosage/*therapeutic use&lt;/keyword&gt;&lt;keyword&gt;Zinc/blood&lt;/keyword&gt;&lt;/keywords&gt;&lt;dates&gt;&lt;year&gt;2001&lt;/year&gt;&lt;pub-dates&gt;&lt;date&gt;Aug&lt;/date&gt;&lt;/pub-dates&gt;&lt;/dates&gt;&lt;isbn&gt;0022-3476 (Print)&amp;#xD;0022-3476 (Linking)&lt;/isbn&gt;&lt;accession-num&gt;11487753&lt;/accession-num&gt;&lt;urls&gt;&lt;related-urls&gt;&lt;url&gt;http://www.ncbi.nlm.nih.gov/pubmed/11487753&lt;/url&gt;&lt;/related-urls&gt;&lt;/urls&gt;&lt;electronic-resource-num&gt;10.1067/mpd.2001.115069&lt;/electronic-resource-num&gt;&lt;/record&gt;&lt;/Cite&gt;&lt;/EndNote&gt;</w:instrText>
        </w:r>
        <w:r w:rsidR="00E62798">
          <w:fldChar w:fldCharType="separate"/>
        </w:r>
        <w:r w:rsidR="00E62798" w:rsidRPr="00E62798">
          <w:rPr>
            <w:noProof/>
            <w:vertAlign w:val="superscript"/>
          </w:rPr>
          <w:t>98</w:t>
        </w:r>
        <w:r w:rsidR="00E62798">
          <w:fldChar w:fldCharType="end"/>
        </w:r>
      </w:hyperlink>
      <w:r>
        <w:t xml:space="preserve"> potentially causing clinically significant deficiencies, or can have direct adverse effects on the gut microbiome. Although evidence that iron supplementation leads to oxidative stress is inconsistent in small randomised trials</w:t>
      </w:r>
      <w:r w:rsidR="00562C4F">
        <w:t>,</w:t>
      </w:r>
      <w:hyperlink w:anchor="_ENREF_99" w:tooltip="Long, 2012 #1096" w:history="1">
        <w:r w:rsidR="00E62798">
          <w:fldChar w:fldCharType="begin">
            <w:fldData xml:space="preserve">PEVuZE5vdGU+PENpdGU+PEF1dGhvcj5Mb25nPC9BdXRob3I+PFllYXI+MjAxMjwvWWVhcj48UmVj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</w:fldData>
          </w:fldChar>
        </w:r>
        <w:r w:rsidR="00E62798">
          <w:instrText xml:space="preserve"> ADDIN EN.CITE </w:instrText>
        </w:r>
        <w:r w:rsidR="00E62798">
          <w:fldChar w:fldCharType="begin">
            <w:fldData xml:space="preserve">PEVuZE5vdGU+PENpdGU+PEF1dGhvcj5Mb25nPC9BdXRob3I+PFllYXI+MjAxMjwvWWVhcj48UmVj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99</w:t>
        </w:r>
        <w:r w:rsidR="00E62798">
          <w:fldChar w:fldCharType="end"/>
        </w:r>
      </w:hyperlink>
      <w:r>
        <w:t xml:space="preserve"> the safe upper limit of iron intake remains uncertain. </w:t>
      </w:r>
    </w:p>
    <w:p w14:paraId="137AEDE6" w14:textId="73F54C16" w:rsidR="000742CA" w:rsidRDefault="000742CA" w:rsidP="000742CA">
      <w:pPr>
        <w:pStyle w:val="Heading4"/>
      </w:pPr>
      <w:r w:rsidRPr="004667A5">
        <w:t>Summary of evidence</w:t>
      </w:r>
    </w:p>
    <w:p w14:paraId="6E0554A9" w14:textId="54F6DDB8" w:rsidR="000742CA" w:rsidRDefault="000742CA" w:rsidP="00416210">
      <w:r>
        <w:t>Four</w:t>
      </w:r>
      <w:r w:rsidRPr="004667A5">
        <w:t xml:space="preserve"> Level II studies examined the use of </w:t>
      </w:r>
      <w:r>
        <w:t xml:space="preserve">oral </w:t>
      </w:r>
      <w:r w:rsidRPr="00372CA1">
        <w:t>iron</w:t>
      </w:r>
      <w:r w:rsidRPr="004667A5">
        <w:t xml:space="preserve"> in preterm </w:t>
      </w:r>
      <w:r>
        <w:t>or low birth weight infants</w:t>
      </w:r>
      <w:r w:rsidRPr="004667A5">
        <w:t>.</w:t>
      </w:r>
      <w:r>
        <w:t xml:space="preserve"> </w:t>
      </w:r>
      <w:hyperlink w:anchor="_ENREF_100" w:tooltip="Taylor, 2013 #121" w:history="1">
        <w:r w:rsidR="00E62798">
          <w:fldChar w:fldCharType="begin">
            <w:fldData xml:space="preserve">PEVuZE5vdGU+PENpdGU+PEF1dGhvcj5UYXlsb3I8L0F1dGhvcj48WWVhcj4yMDEzPC9ZZWFyPjxS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ZnVsbC10aXRsZT5QZWRpYXRyaWNzPC9mdWxsLXRpdGxlPjwvYWx0LXBlcmlvZGljYWw+PHBhZ2Vz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</w:fldData>
          </w:fldChar>
        </w:r>
        <w:r w:rsidR="00E62798">
          <w:instrText xml:space="preserve"> ADDIN EN.CITE </w:instrText>
        </w:r>
        <w:r w:rsidR="00E62798">
          <w:fldChar w:fldCharType="begin">
            <w:fldData xml:space="preserve">PEVuZE5vdGU+PENpdGU+PEF1dGhvcj5UYXlsb3I8L0F1dGhvcj48WWVhcj4yMDEzPC9ZZWFyPjxS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ZnVsbC10aXRsZT5QZWRpYXRyaWNzPC9mdWxsLXRpdGxlPjwvYWx0LXBlcmlvZGljYWw+PHBhZ2Vz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100-103</w:t>
        </w:r>
        <w:r w:rsidR="00E62798">
          <w:fldChar w:fldCharType="end"/>
        </w:r>
      </w:hyperlink>
      <w:r w:rsidR="00416210">
        <w:t xml:space="preserve"> </w:t>
      </w:r>
      <w:r>
        <w:t xml:space="preserve">No studies compared different modes of administration of iron alone or the use of parenteral iron in these groups. </w:t>
      </w:r>
    </w:p>
    <w:p w14:paraId="5D8DDBDE" w14:textId="77777777" w:rsidR="000742CA" w:rsidRDefault="000742CA" w:rsidP="000742CA">
      <w:pPr>
        <w:pStyle w:val="Heading5"/>
      </w:pPr>
      <w:r w:rsidRPr="004667A5">
        <w:t xml:space="preserve">Transfusion incidence </w:t>
      </w:r>
      <w:r>
        <w:t>and volume</w:t>
      </w:r>
    </w:p>
    <w:p w14:paraId="2638B2E2" w14:textId="72870FEA" w:rsidR="000742CA" w:rsidRDefault="000742CA" w:rsidP="00416210">
      <w:r>
        <w:t xml:space="preserve">Taylor </w:t>
      </w:r>
      <w:r w:rsidR="00E77505">
        <w:t xml:space="preserve">et al </w:t>
      </w:r>
      <w:r w:rsidR="00416210">
        <w:t>(</w:t>
      </w:r>
      <w:r>
        <w:t>2013</w:t>
      </w:r>
      <w:r w:rsidR="00416210">
        <w:t>)</w:t>
      </w:r>
      <w:hyperlink w:anchor="_ENREF_100" w:tooltip="Taylor, 2013 #121" w:history="1">
        <w:r w:rsidR="00E62798">
          <w:fldChar w:fldCharType="begin">
            <w:fldData xml:space="preserve">PEVuZE5vdGU+PENpdGU+PEF1dGhvcj5UYXlsb3I8L0F1dGhvcj48WWVhcj4yMDEzPC9ZZWFyPjxS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</w:fldData>
          </w:fldChar>
        </w:r>
        <w:r w:rsidR="00E62798">
          <w:instrText xml:space="preserve"> ADDIN EN.CITE </w:instrText>
        </w:r>
        <w:r w:rsidR="00E62798">
          <w:fldChar w:fldCharType="begin">
            <w:fldData xml:space="preserve">PEVuZE5vdGU+PENpdGU+PEF1dGhvcj5UYXlsb3I8L0F1dGhvcj48WWVhcj4yMDEzPC9ZZWFyPjxS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100</w:t>
        </w:r>
        <w:r w:rsidR="00E62798">
          <w:fldChar w:fldCharType="end"/>
        </w:r>
      </w:hyperlink>
      <w:r>
        <w:t xml:space="preserve"> compared supplemental iron to no supplemental iron in very low birth weight infants who were being fed preterm infant formula or breast milk (both of which were fortified to administer at least 2 mg/kg/day elemental iron</w:t>
      </w:r>
      <w:r w:rsidR="00416210">
        <w:t xml:space="preserve">). In another very small study, </w:t>
      </w:r>
      <w:r>
        <w:t>a group of infants who were mostly fed breast milk without iron fortification were randomised to receive supplemental iron or no supplemental iron.</w:t>
      </w:r>
      <w:hyperlink w:anchor="_ENREF_101" w:tooltip="Sankar, 2009 #119" w:history="1">
        <w:r w:rsidR="00E62798">
          <w:fldChar w:fldCharType="begin">
            <w:fldData xml:space="preserve">PEVuZE5vdGU+PENpdGU+PEF1dGhvcj5TYW5rYXI8L0F1dGhvcj48WWVhcj4yMDA5PC9ZZWFyPjxS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</w:fldData>
          </w:fldChar>
        </w:r>
        <w:r w:rsidR="00E62798">
          <w:instrText xml:space="preserve"> ADDIN EN.CITE </w:instrText>
        </w:r>
        <w:r w:rsidR="00E62798">
          <w:fldChar w:fldCharType="begin">
            <w:fldData xml:space="preserve">PEVuZE5vdGU+PENpdGU+PEF1dGhvcj5TYW5rYXI8L0F1dGhvcj48WWVhcj4yMDA5PC9ZZWFyPjxS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101</w:t>
        </w:r>
        <w:r w:rsidR="00E62798">
          <w:fldChar w:fldCharType="end"/>
        </w:r>
      </w:hyperlink>
      <w:r>
        <w:t xml:space="preserve"> Neither study found an effect of the supplemental iron on transfusion incidence or volume. In contrast, Franz</w:t>
      </w:r>
      <w:r w:rsidR="00E77505">
        <w:t xml:space="preserve"> et al</w:t>
      </w:r>
      <w:r>
        <w:t xml:space="preserve"> (2000)</w:t>
      </w:r>
      <w:hyperlink w:anchor="_ENREF_103" w:tooltip="Franz, 2000 #374" w:history="1">
        <w:r w:rsidR="00E62798">
          <w:fldChar w:fldCharType="begin"/>
        </w:r>
        <w:r w:rsidR="00E62798">
          <w:instrText xml:space="preserve"> ADDIN EN.CITE &lt;EndNote&gt;&lt;Cite&gt;&lt;Author&gt;Franz&lt;/Author&gt;&lt;Year&gt;2000&lt;/Year&gt;&lt;RecNum&gt;374&lt;/RecNum&gt;&lt;DisplayText&gt;&lt;style face="superscript"&gt;103&lt;/style&gt;&lt;/DisplayText&gt;&lt;record&gt;&lt;rec-number&gt;374&lt;/rec-number&gt;&lt;foreign-keys&gt;&lt;key app="EN" db-id="9edve2wadsavt5ewavaxtda4f2tavzvts9ee" timestamp="1427541108"&gt;374&lt;/key&gt;&lt;/foreign-keys&gt;&lt;ref-type name="Journal Article"&gt;17&lt;/ref-type&gt;&lt;contributors&gt;&lt;authors&gt;&lt;author&gt;Franz, A. R.&lt;/author&gt;&lt;author&gt;Mihatsch, W. A.&lt;/author&gt;&lt;author&gt;Sander, S.&lt;/author&gt;&lt;author&gt;Kron, M.&lt;/author&gt;&lt;author&gt;Pohlandt, F.&lt;/author&gt;&lt;/authors&gt;&lt;/contributors&gt;&lt;auth-address&gt;Department of Pediatrics, Division of Neonatology and Pediatric Critical Care, University of Ulm, Ulm, Germany. axel.franz@medizin.uni-ulm.de&lt;/auth-address&gt;&lt;titles&gt;&lt;title&gt;Prospective randomized trial of early versus late enteral iron supplementation in infants with a birth weight of less than 1301 grams&lt;/title&gt;&lt;secondary-title&gt;Pediatrics&lt;/secondary-title&gt;&lt;alt-title&gt;Pediatrics&lt;/alt-title&gt;&lt;/titles&gt;&lt;periodical&gt;&lt;full-title&gt;Pediatrics&lt;/full-title&gt;&lt;/periodical&gt;&lt;alt-periodical&gt;&lt;full-title&gt;Pediatrics&lt;/full-title&gt;&lt;/alt-periodical&gt;&lt;pages&gt;700–6&lt;/pages&gt;&lt;volume&gt;106&lt;/volume&gt;&lt;number&gt;4&lt;/number&gt;&lt;keywords&gt;&lt;keyword&gt;Drug Administration Schedule&lt;/keyword&gt;&lt;keyword&gt;Enteral Nutrition&lt;/keyword&gt;&lt;keyword&gt;Ferritins/blood&lt;/keyword&gt;&lt;keyword&gt;Humans&lt;/keyword&gt;&lt;keyword&gt;Infant&lt;/keyword&gt;&lt;keyword&gt;Infant, Low Birth Weight/*blood&lt;/keyword&gt;&lt;keyword&gt;Infant, Newborn&lt;/keyword&gt;&lt;keyword&gt;Iron/*administration &amp;amp; dosage/*deficiency&lt;/keyword&gt;&lt;keyword&gt;Nutritional Status&lt;/keyword&gt;&lt;keyword&gt;Prospective Studies&lt;/keyword&gt;&lt;/keywords&gt;&lt;dates&gt;&lt;year&gt;2000&lt;/year&gt;&lt;pub-dates&gt;&lt;date&gt;Oct&lt;/date&gt;&lt;/pub-dates&gt;&lt;/dates&gt;&lt;isbn&gt;1098-4275 (Electronic)&amp;#xD;0031-4005 (Linking)&lt;/isbn&gt;&lt;accession-num&gt;11015511&lt;/accession-num&gt;&lt;urls&gt;&lt;related-urls&gt;&lt;url&gt;http://www.ncbi.nlm.nih.gov/pubmed/11015511&lt;/url&gt;&lt;/related-urls&gt;&lt;/urls&gt;&lt;/record&gt;&lt;/Cite&gt;&lt;/EndNote&gt;</w:instrText>
        </w:r>
        <w:r w:rsidR="00E62798">
          <w:fldChar w:fldCharType="separate"/>
        </w:r>
        <w:r w:rsidR="00E62798" w:rsidRPr="00E62798">
          <w:rPr>
            <w:noProof/>
            <w:vertAlign w:val="superscript"/>
          </w:rPr>
          <w:t>103</w:t>
        </w:r>
        <w:r w:rsidR="00E62798">
          <w:fldChar w:fldCharType="end"/>
        </w:r>
      </w:hyperlink>
      <w:r>
        <w:t xml:space="preserve"> found a reduction in cumulative transfusion volume in (mostly breast milk fed) infants who received supplements to achieve a total iron intake of approximately 3</w:t>
      </w:r>
      <w:r w:rsidR="00562C4F">
        <w:t> </w:t>
      </w:r>
      <w:r>
        <w:t>mg/kg/day compared to an unsupplemented group who received approximately 0.85</w:t>
      </w:r>
      <w:r w:rsidR="00562C4F">
        <w:t> </w:t>
      </w:r>
      <w:r>
        <w:t>mg/kg/day. Berseth</w:t>
      </w:r>
      <w:r w:rsidR="00E77505">
        <w:t xml:space="preserve"> et al</w:t>
      </w:r>
      <w:r>
        <w:t xml:space="preserve"> (2004)</w:t>
      </w:r>
      <w:hyperlink w:anchor="_ENREF_102" w:tooltip="Berseth, 2004 #370" w:history="1">
        <w:r w:rsidR="00E62798">
          <w:fldChar w:fldCharType="begin">
            <w:fldData xml:space="preserve">PEVuZE5vdGU+PENpdGU+PEF1dGhvcj5CZXJzZXRoPC9BdXRob3I+PFllYXI+MjAwNDwvWWVhcj48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aXRsZT5QZWRpYXRyaWNzPC9mdWxsLXRpdGxlPjwvYWx0LXBlcmlvZGljYWw+PHBhZ2VzPmU2OTni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</w:fldData>
          </w:fldChar>
        </w:r>
        <w:r w:rsidR="00E62798">
          <w:instrText xml:space="preserve"> ADDIN EN.CITE </w:instrText>
        </w:r>
        <w:r w:rsidR="00E62798">
          <w:fldChar w:fldCharType="begin">
            <w:fldData xml:space="preserve">PEVuZE5vdGU+PENpdGU+PEF1dGhvcj5CZXJzZXRoPC9BdXRob3I+PFllYXI+MjAwNDwvWWVhcj48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aXRsZT5QZWRpYXRyaWNzPC9mdWxsLXRpdGxlPjwvYWx0LXBlcmlvZGljYWw+PHBhZ2VzPmU2OTni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102</w:t>
        </w:r>
        <w:r w:rsidR="00E62798">
          <w:fldChar w:fldCharType="end"/>
        </w:r>
      </w:hyperlink>
      <w:r>
        <w:t xml:space="preserve"> found that iron supplementation via a human milk fortifier (that aimed to provide iron intakes about 3.5</w:t>
      </w:r>
      <w:r w:rsidR="00EA55BE">
        <w:t> </w:t>
      </w:r>
      <w:r>
        <w:t xml:space="preserve">times higher than available from preterm human milk alone) reduced transfusion incidence </w:t>
      </w:r>
      <w:r w:rsidR="00790385">
        <w:t>by 15–</w:t>
      </w:r>
      <w:r>
        <w:t>28 days after the iron fortification</w:t>
      </w:r>
      <w:r w:rsidR="00790385">
        <w:t xml:space="preserve"> was started</w:t>
      </w:r>
      <w:r>
        <w:t xml:space="preserve">. </w:t>
      </w:r>
      <w:r w:rsidR="00790385">
        <w:t>Despite</w:t>
      </w:r>
      <w:r>
        <w:t xml:space="preserve"> some limited evidence that the current recommended intake of 2</w:t>
      </w:r>
      <w:r w:rsidR="00790385">
        <w:t>–</w:t>
      </w:r>
      <w:r>
        <w:t>3</w:t>
      </w:r>
      <w:r w:rsidR="00562C4F">
        <w:t> </w:t>
      </w:r>
      <w:r>
        <w:t xml:space="preserve">g/kg/day elemental iron reduces the </w:t>
      </w:r>
      <w:r w:rsidR="00A41D9F">
        <w:t>incidence of</w:t>
      </w:r>
      <w:r>
        <w:t xml:space="preserve"> transfusion, the effect of iron therapy that provides supplementation above these intakes on transfusion volume or incidence is uncertain. </w:t>
      </w:r>
    </w:p>
    <w:p w14:paraId="68335CC5" w14:textId="77777777" w:rsidR="000742CA" w:rsidRDefault="000742CA" w:rsidP="000742CA">
      <w:pPr>
        <w:pStyle w:val="Heading5"/>
      </w:pPr>
      <w:r>
        <w:t xml:space="preserve">ROP, BPD and NEC </w:t>
      </w:r>
    </w:p>
    <w:p w14:paraId="157AD526" w14:textId="2A114B4B" w:rsidR="000742CA" w:rsidRDefault="00790385" w:rsidP="00790385">
      <w:r>
        <w:t xml:space="preserve">Three Level II studies </w:t>
      </w:r>
      <w:r w:rsidR="000742CA">
        <w:t>found no significant difference in ROP, BPD and NEC between those infants (</w:t>
      </w:r>
      <w:r w:rsidR="00E77505">
        <w:t>extremely low and</w:t>
      </w:r>
      <w:r w:rsidR="00E77505" w:rsidRPr="00E009F6">
        <w:t xml:space="preserve"> </w:t>
      </w:r>
      <w:r w:rsidR="00E77505">
        <w:t>very low birth weight</w:t>
      </w:r>
      <w:r w:rsidR="000742CA">
        <w:t>) treated with additional iron and those not treated.</w:t>
      </w:r>
      <w:hyperlink w:anchor="_ENREF_100" w:tooltip="Taylor, 2013 #121" w:history="1">
        <w:r w:rsidR="00E62798">
          <w:fldChar w:fldCharType="begin">
            <w:fldData xml:space="preserve">PEVuZE5vdGU+PENpdGU+PEF1dGhvcj5CZXJzZXRoPC9BdXRob3I+PFllYXI+MjAwNDwvWWVhcj48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Njk54oCTNzA2PC9wYWdlcz48dm9sdW1lPjExNDwvdm9sdW1lPjxudW1iZXI+NjwvbnVtYmVyPjxr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</w:fldData>
          </w:fldChar>
        </w:r>
        <w:r w:rsidR="00E62798">
          <w:instrText xml:space="preserve"> ADDIN EN.CITE </w:instrText>
        </w:r>
        <w:r w:rsidR="00E62798">
          <w:fldChar w:fldCharType="begin">
            <w:fldData xml:space="preserve">PEVuZE5vdGU+PENpdGU+PEF1dGhvcj5CZXJzZXRoPC9BdXRob3I+PFllYXI+MjAwNDwvWWVhcj48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Njk54oCTNzA2PC9wYWdlcz48dm9sdW1lPjExNDwvdm9sdW1lPjxudW1iZXI+NjwvbnVtYmVyPjxr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100-102</w:t>
        </w:r>
        <w:r w:rsidR="00E62798">
          <w:fldChar w:fldCharType="end"/>
        </w:r>
      </w:hyperlink>
      <w:r w:rsidR="000742CA">
        <w:t xml:space="preserve"> However, all the studies were underpowered for these outcomes. </w:t>
      </w:r>
    </w:p>
    <w:p w14:paraId="244FD5A5" w14:textId="125A23CD" w:rsidR="000742CA" w:rsidRDefault="00C36AF4" w:rsidP="000742CA">
      <w:pPr>
        <w:pStyle w:val="Heading5"/>
      </w:pPr>
      <w:r>
        <w:t xml:space="preserve">Mortality </w:t>
      </w:r>
    </w:p>
    <w:p w14:paraId="25C3CF51" w14:textId="3D1BB59E" w:rsidR="000742CA" w:rsidRDefault="000742CA" w:rsidP="00790385">
      <w:r>
        <w:t>Two Level II studies</w:t>
      </w:r>
      <w:r w:rsidR="00790385">
        <w:t xml:space="preserve"> </w:t>
      </w:r>
      <w:r>
        <w:t xml:space="preserve">reported all-cause mortality in preterm infants with </w:t>
      </w:r>
      <w:r w:rsidR="00E77505">
        <w:t>very low or extremely low birth weight</w:t>
      </w:r>
      <w:r w:rsidR="00D52DD4">
        <w:t xml:space="preserve"> but neither study was sufficiently powered to detect differences in mortality</w:t>
      </w:r>
      <w:r w:rsidR="00790385">
        <w:t>.</w:t>
      </w:r>
      <w:r w:rsidR="00E62798">
        <w:fldChar w:fldCharType="begin">
          <w:fldData xml:space="preserve">PEVuZE5vdGU+PENpdGU+PEF1dGhvcj5GcmFuejwvQXV0aG9yPjxZZWFyPjIwMDA8L1llYXI+PFJl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</w:fldData>
        </w:fldChar>
      </w:r>
      <w:r w:rsidR="00E62798">
        <w:instrText xml:space="preserve"> ADDIN EN.CITE </w:instrText>
      </w:r>
      <w:r w:rsidR="00E62798">
        <w:fldChar w:fldCharType="begin">
          <w:fldData xml:space="preserve">PEVuZE5vdGU+PENpdGU+PEF1dGhvcj5GcmFuejwvQXV0aG9yPjxZZWFyPjIwMDA8L1llYXI+PFJl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</w:fldData>
        </w:fldChar>
      </w:r>
      <w:r w:rsidR="00E62798">
        <w:instrText xml:space="preserve"> ADDIN EN.CITE.DATA </w:instrText>
      </w:r>
      <w:r w:rsidR="00E62798">
        <w:fldChar w:fldCharType="end"/>
      </w:r>
      <w:r w:rsidR="00E62798">
        <w:fldChar w:fldCharType="separate"/>
      </w:r>
      <w:hyperlink w:anchor="_ENREF_100" w:tooltip="Taylor, 2013 #121" w:history="1">
        <w:r w:rsidR="00E62798" w:rsidRPr="00E62798">
          <w:rPr>
            <w:noProof/>
            <w:vertAlign w:val="superscript"/>
          </w:rPr>
          <w:t>100</w:t>
        </w:r>
      </w:hyperlink>
      <w:r w:rsidR="00E62798" w:rsidRPr="00E62798">
        <w:rPr>
          <w:noProof/>
          <w:vertAlign w:val="superscript"/>
        </w:rPr>
        <w:t xml:space="preserve">; </w:t>
      </w:r>
      <w:hyperlink w:anchor="_ENREF_103" w:tooltip="Franz, 2000 #374" w:history="1">
        <w:r w:rsidR="00E62798" w:rsidRPr="00E62798">
          <w:rPr>
            <w:noProof/>
            <w:vertAlign w:val="superscript"/>
          </w:rPr>
          <w:t>103</w:t>
        </w:r>
      </w:hyperlink>
      <w:r w:rsidR="00E62798">
        <w:fldChar w:fldCharType="end"/>
      </w:r>
    </w:p>
    <w:p w14:paraId="63F52EFD" w14:textId="77777777" w:rsidR="000742CA" w:rsidRDefault="000742CA" w:rsidP="000742CA">
      <w:pPr>
        <w:pStyle w:val="Heading5"/>
      </w:pPr>
      <w:r w:rsidRPr="004667A5">
        <w:t>Secondary outcomes</w:t>
      </w:r>
      <w:r>
        <w:rPr>
          <w:rStyle w:val="FootnoteReference"/>
        </w:rPr>
        <w:footnoteReference w:id="3"/>
      </w:r>
    </w:p>
    <w:p w14:paraId="50189493" w14:textId="2166F332" w:rsidR="000742CA" w:rsidRPr="004667A5" w:rsidRDefault="000742CA" w:rsidP="000742CA">
      <w:pPr>
        <w:pStyle w:val="H6"/>
      </w:pPr>
      <w:r w:rsidRPr="004667A5">
        <w:t>Functional</w:t>
      </w:r>
      <w:r w:rsidR="00EA55BE">
        <w:t xml:space="preserve"> or </w:t>
      </w:r>
      <w:r w:rsidRPr="004667A5">
        <w:t>performance status</w:t>
      </w:r>
    </w:p>
    <w:p w14:paraId="5A089E1F" w14:textId="2AF9C62D" w:rsidR="000742CA" w:rsidRPr="00F74D81" w:rsidRDefault="00EE658E" w:rsidP="00EA55BE">
      <w:r>
        <w:t>No</w:t>
      </w:r>
      <w:r w:rsidR="00EA55BE">
        <w:t xml:space="preserve"> studies </w:t>
      </w:r>
      <w:r>
        <w:t>c</w:t>
      </w:r>
      <w:r w:rsidR="00EA55BE">
        <w:t>onsidered functional or performance status in the relevant populations</w:t>
      </w:r>
      <w:r w:rsidR="000742CA">
        <w:t>.</w:t>
      </w:r>
    </w:p>
    <w:p w14:paraId="17A6F97C" w14:textId="271C24F9" w:rsidR="000742CA" w:rsidRPr="004667A5" w:rsidRDefault="000742CA" w:rsidP="000742CA">
      <w:pPr>
        <w:pStyle w:val="H6"/>
      </w:pPr>
      <w:r>
        <w:t xml:space="preserve">Laboratory measures </w:t>
      </w:r>
    </w:p>
    <w:p w14:paraId="7BBDC4F0" w14:textId="199106A9" w:rsidR="000742CA" w:rsidRDefault="000742CA" w:rsidP="00EA55BE">
      <w:r>
        <w:t>Four Level II studies</w:t>
      </w:r>
      <w:r w:rsidR="001E0624">
        <w:t xml:space="preserve"> </w:t>
      </w:r>
      <w:r w:rsidRPr="004667A5">
        <w:t xml:space="preserve">reported </w:t>
      </w:r>
      <w:r>
        <w:t xml:space="preserve">laboratory measures </w:t>
      </w:r>
      <w:r w:rsidR="00EA55BE">
        <w:t xml:space="preserve">– </w:t>
      </w:r>
      <w:r>
        <w:t>Hb, Hct</w:t>
      </w:r>
      <w:r w:rsidR="00E77505">
        <w:t xml:space="preserve"> and</w:t>
      </w:r>
      <w:r>
        <w:t xml:space="preserve"> ferritin</w:t>
      </w:r>
      <w:r w:rsidR="00EA55BE">
        <w:t xml:space="preserve"> –</w:t>
      </w:r>
      <w:r>
        <w:t xml:space="preserve"> in preterm infants with </w:t>
      </w:r>
      <w:r w:rsidR="00E77505">
        <w:t>very low</w:t>
      </w:r>
      <w:r>
        <w:t xml:space="preserve"> or </w:t>
      </w:r>
      <w:r w:rsidR="00E77505">
        <w:t>extremely low birth weight</w:t>
      </w:r>
      <w:r>
        <w:t xml:space="preserve"> </w:t>
      </w:r>
      <w:r w:rsidR="00EE658E">
        <w:t>but found no significant difference reported between treatment groups.</w:t>
      </w:r>
      <w:hyperlink w:anchor="_ENREF_100" w:tooltip="Taylor, 2013 #121" w:history="1">
        <w:r w:rsidR="00E62798">
          <w:fldChar w:fldCharType="begin">
            <w:fldData xml:space="preserve">PEVuZE5vdGU+PENpdGU+PEF1dGhvcj5UYXlsb3I8L0F1dGhvcj48WWVhcj4yMDEzPC9ZZWFyPjxS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ZnVsbC10aXRsZT5QZWRpYXRyaWNzPC9mdWxsLXRpdGxlPjwvYWx0LXBlcmlvZGljYWw+PHBhZ2Vz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</w:fldData>
          </w:fldChar>
        </w:r>
        <w:r w:rsidR="00E62798">
          <w:instrText xml:space="preserve"> ADDIN EN.CITE </w:instrText>
        </w:r>
        <w:r w:rsidR="00E62798">
          <w:fldChar w:fldCharType="begin">
            <w:fldData xml:space="preserve">PEVuZE5vdGU+PENpdGU+PEF1dGhvcj5UYXlsb3I8L0F1dGhvcj48WWVhcj4yMDEzPC9ZZWFyPjxS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ZnVsbC10aXRsZT5QZWRpYXRyaWNzPC9mdWxsLXRpdGxlPjwvYWx0LXBlcmlvZGljYWw+PHBhZ2Vz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100-103</w:t>
        </w:r>
        <w:r w:rsidR="00E62798">
          <w:fldChar w:fldCharType="end"/>
        </w:r>
      </w:hyperlink>
      <w:r w:rsidR="00EE658E">
        <w:t xml:space="preserve"> The</w:t>
      </w:r>
      <w:r>
        <w:t xml:space="preserve"> </w:t>
      </w:r>
      <w:r w:rsidR="00797A43">
        <w:t xml:space="preserve">section above on </w:t>
      </w:r>
      <w:r w:rsidRPr="00797A43">
        <w:rPr>
          <w:i/>
        </w:rPr>
        <w:t xml:space="preserve">Transfusion </w:t>
      </w:r>
      <w:r w:rsidR="00797A43" w:rsidRPr="00797A43">
        <w:rPr>
          <w:i/>
        </w:rPr>
        <w:t>incidence and volume</w:t>
      </w:r>
      <w:r w:rsidR="00797A43">
        <w:t xml:space="preserve"> </w:t>
      </w:r>
      <w:r w:rsidR="00EE658E">
        <w:t>explains</w:t>
      </w:r>
      <w:r>
        <w:t xml:space="preserve"> variations in baseline iron intake</w:t>
      </w:r>
      <w:r w:rsidR="00EE658E">
        <w:t>.</w:t>
      </w:r>
    </w:p>
    <w:p w14:paraId="3A39228D" w14:textId="2407B601" w:rsidR="000742CA" w:rsidRPr="009041C6" w:rsidRDefault="000742CA" w:rsidP="00C97256">
      <w:pPr>
        <w:pStyle w:val="BoxHeading"/>
      </w:pPr>
      <w:r w:rsidRPr="009041C6">
        <w:t xml:space="preserve">Clinical </w:t>
      </w:r>
      <w:r w:rsidR="001E0624" w:rsidRPr="009041C6">
        <w:t>commentary</w:t>
      </w:r>
      <w:r w:rsidR="00797A43">
        <w:rPr>
          <w:lang w:val="en-AU"/>
        </w:rPr>
        <w:t xml:space="preserve"> </w:t>
      </w:r>
      <w:r w:rsidR="00256474">
        <w:rPr>
          <w:lang w:val="en-AU"/>
        </w:rPr>
        <w:t>–</w:t>
      </w:r>
      <w:r w:rsidR="00797A43">
        <w:rPr>
          <w:lang w:val="en-AU"/>
        </w:rPr>
        <w:t xml:space="preserve"> </w:t>
      </w:r>
      <w:r w:rsidR="00256474">
        <w:rPr>
          <w:lang w:val="en-AU"/>
        </w:rPr>
        <w:t>oral and/or parenteral iron in p</w:t>
      </w:r>
      <w:r w:rsidR="00256474">
        <w:t xml:space="preserve">reterm and </w:t>
      </w:r>
      <w:r w:rsidR="00256474" w:rsidRPr="002D409B">
        <w:t>low</w:t>
      </w:r>
      <w:r w:rsidR="00256474">
        <w:t xml:space="preserve"> birth weight infants</w:t>
      </w:r>
    </w:p>
    <w:p w14:paraId="499C9124" w14:textId="7B60E54C" w:rsidR="000742CA" w:rsidRPr="00F957FB" w:rsidRDefault="000742CA" w:rsidP="00C97256">
      <w:pPr>
        <w:pStyle w:val="BoxText"/>
      </w:pPr>
      <w:r>
        <w:rPr>
          <w:rFonts w:asciiTheme="minorHAnsi" w:hAnsiTheme="minorHAnsi"/>
        </w:rPr>
        <w:t xml:space="preserve">Consistent with the </w:t>
      </w:r>
      <w:r w:rsidR="00EB2899">
        <w:rPr>
          <w:rStyle w:val="st"/>
        </w:rPr>
        <w:t>European Society for Paediatric Gastroenterology Hepatology and Nutrition</w:t>
      </w:r>
      <w:r w:rsidR="00EB2899">
        <w:rPr>
          <w:rFonts w:asciiTheme="minorHAnsi" w:hAnsiTheme="minorHAnsi"/>
        </w:rPr>
        <w:t xml:space="preserve"> </w:t>
      </w:r>
      <w:r w:rsidR="00EB2899">
        <w:rPr>
          <w:rFonts w:asciiTheme="minorHAnsi" w:hAnsiTheme="minorHAnsi"/>
          <w:lang w:val="en-AU"/>
        </w:rPr>
        <w:t>(</w:t>
      </w:r>
      <w:r>
        <w:rPr>
          <w:rFonts w:asciiTheme="minorHAnsi" w:hAnsiTheme="minorHAnsi"/>
        </w:rPr>
        <w:t>ESPGHAN</w:t>
      </w:r>
      <w:r w:rsidR="00EB2899">
        <w:rPr>
          <w:rFonts w:asciiTheme="minorHAnsi" w:hAnsiTheme="minorHAnsi"/>
          <w:lang w:val="en-AU"/>
        </w:rPr>
        <w:t>)</w:t>
      </w:r>
      <w:r>
        <w:rPr>
          <w:rFonts w:asciiTheme="minorHAnsi" w:hAnsiTheme="minorHAnsi"/>
        </w:rPr>
        <w:t xml:space="preserve"> guideline which </w:t>
      </w:r>
      <w:r>
        <w:t xml:space="preserve">recommends elemental iron intakes for preterm and low birth weight infants which are </w:t>
      </w:r>
      <w:r w:rsidRPr="00C97256">
        <w:t>c</w:t>
      </w:r>
      <w:r>
        <w:t>urrently 2</w:t>
      </w:r>
      <w:r w:rsidR="00E77505">
        <w:t>–</w:t>
      </w:r>
      <w:r>
        <w:t>3 mg/kg/day</w:t>
      </w:r>
      <w:r w:rsidR="0074397B">
        <w:t>,</w:t>
      </w:r>
      <w:hyperlink w:anchor="_ENREF_104" w:tooltip="Agostoni, 2010 #781" w:history="1">
        <w:r w:rsidR="00E62798">
          <w:fldChar w:fldCharType="begin">
            <w:fldData xml:space="preserve">PEVuZE5vdGU+PENpdGU+PEF1dGhvcj5BZ29zdG9uaTwvQXV0aG9yPjxZZWFyPjIwMTA8L1llYXI+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</w:fldData>
          </w:fldChar>
        </w:r>
        <w:r w:rsidR="00E62798">
          <w:instrText xml:space="preserve"> ADDIN EN.CITE </w:instrText>
        </w:r>
        <w:r w:rsidR="00E62798">
          <w:fldChar w:fldCharType="begin">
            <w:fldData xml:space="preserve">PEVuZE5vdGU+PENpdGU+PEF1dGhvcj5BZ29zdG9uaTwvQXV0aG9yPjxZZWFyPjIwMTA8L1llYXI+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104</w:t>
        </w:r>
        <w:r w:rsidR="00E62798">
          <w:fldChar w:fldCharType="end"/>
        </w:r>
      </w:hyperlink>
      <w:r>
        <w:t xml:space="preserve"> starting at 2</w:t>
      </w:r>
      <w:r w:rsidR="0074397B">
        <w:t>–</w:t>
      </w:r>
      <w:r>
        <w:t>6</w:t>
      </w:r>
      <w:r w:rsidR="00E77505">
        <w:t> </w:t>
      </w:r>
      <w:r>
        <w:t xml:space="preserve">weeks postnatal age, </w:t>
      </w:r>
      <w:r>
        <w:rPr>
          <w:rFonts w:asciiTheme="minorHAnsi" w:hAnsiTheme="minorHAnsi"/>
        </w:rPr>
        <w:t>the</w:t>
      </w:r>
      <w:r w:rsidRPr="009041C6">
        <w:rPr>
          <w:rFonts w:asciiTheme="minorHAnsi" w:hAnsiTheme="minorHAnsi"/>
        </w:rPr>
        <w:t xml:space="preserve"> </w:t>
      </w:r>
      <w:r>
        <w:rPr>
          <w:rFonts w:asciiTheme="minorHAnsi" w:hAnsiTheme="minorHAnsi"/>
        </w:rPr>
        <w:t xml:space="preserve">CRG advises using </w:t>
      </w:r>
      <w:r w:rsidRPr="009041C6">
        <w:rPr>
          <w:rFonts w:asciiTheme="minorHAnsi" w:hAnsiTheme="minorHAnsi"/>
        </w:rPr>
        <w:t xml:space="preserve">iron supplementation for preterm and low birth weight infants to achieve the recommended nutrient intake (RNI) </w:t>
      </w:r>
      <w:r>
        <w:rPr>
          <w:rFonts w:asciiTheme="minorHAnsi" w:hAnsiTheme="minorHAnsi"/>
        </w:rPr>
        <w:t>or to treat any iron deficiency that is present (see PP12)</w:t>
      </w:r>
      <w:r w:rsidRPr="009041C6">
        <w:rPr>
          <w:rFonts w:asciiTheme="minorHAnsi" w:hAnsiTheme="minorHAnsi"/>
        </w:rPr>
        <w:t xml:space="preserve">. </w:t>
      </w:r>
      <w:r>
        <w:rPr>
          <w:rFonts w:asciiTheme="minorHAnsi" w:hAnsiTheme="minorHAnsi"/>
        </w:rPr>
        <w:t>The American Academy of Pediatrics</w:t>
      </w:r>
      <w:r w:rsidR="00E77505">
        <w:rPr>
          <w:rFonts w:asciiTheme="minorHAnsi" w:hAnsiTheme="minorHAnsi"/>
        </w:rPr>
        <w:t>’</w:t>
      </w:r>
      <w:r>
        <w:rPr>
          <w:rFonts w:asciiTheme="minorHAnsi" w:hAnsiTheme="minorHAnsi"/>
        </w:rPr>
        <w:t xml:space="preserve"> guidelines are similar, recommending </w:t>
      </w:r>
      <w:r>
        <w:t xml:space="preserve">at least 2 mg/kg/day by </w:t>
      </w:r>
      <w:r w:rsidR="00E77505">
        <w:t>1</w:t>
      </w:r>
      <w:r>
        <w:t xml:space="preserve"> month of age</w:t>
      </w:r>
      <w:r w:rsidR="00942854">
        <w:t>.</w:t>
      </w:r>
      <w:hyperlink w:anchor="_ENREF_105" w:tooltip="Kleinman, 2014 #1051" w:history="1">
        <w:r w:rsidR="00E62798">
          <w:fldChar w:fldCharType="begin"/>
        </w:r>
        <w:r w:rsidR="00E62798">
          <w:instrText xml:space="preserve"> ADDIN EN.CITE &lt;EndNote&gt;&lt;Cite&gt;&lt;Author&gt;Kleinman&lt;/Author&gt;&lt;Year&gt;2014&lt;/Year&gt;&lt;RecNum&gt;1051&lt;/RecNum&gt;&lt;DisplayText&gt;&lt;style face="superscript"&gt;105&lt;/style&gt;&lt;/DisplayText&gt;&lt;record&gt;&lt;rec-number&gt;1051&lt;/rec-number&gt;&lt;foreign-keys&gt;&lt;key app="EN" db-id="9edve2wadsavt5ewavaxtda4f2tavzvts9ee" timestamp="1439191368"&gt;1051&lt;/key&gt;&lt;/foreign-keys&gt;&lt;ref-type name="Edited Book"&gt;28&lt;/ref-type&gt;&lt;contributors&gt;&lt;authors&gt;&lt;author&gt;Kleinman, RE&lt;/author&gt;&lt;author&gt;Greer, FR&lt;/author&gt;&lt;/authors&gt;&lt;/contributors&gt;&lt;titles&gt;&lt;title&gt;Pediatric Nutrition Handbook, 7th edition&lt;/title&gt;&lt;/titles&gt;&lt;dates&gt;&lt;year&gt;2014&lt;/year&gt;&lt;/dates&gt;&lt;pub-location&gt;Elk Grove Village, IL&lt;/pub-location&gt;&lt;publisher&gt;American Academy of Pediatrics Committee on Nutrition&lt;/publisher&gt;&lt;urls&gt;&lt;/urls&gt;&lt;/record&gt;&lt;/Cite&gt;&lt;/EndNote&gt;</w:instrText>
        </w:r>
        <w:r w:rsidR="00E62798">
          <w:fldChar w:fldCharType="separate"/>
        </w:r>
        <w:r w:rsidR="00E62798" w:rsidRPr="00E62798">
          <w:rPr>
            <w:noProof/>
            <w:vertAlign w:val="superscript"/>
          </w:rPr>
          <w:t>105</w:t>
        </w:r>
        <w:r w:rsidR="00E62798">
          <w:fldChar w:fldCharType="end"/>
        </w:r>
      </w:hyperlink>
      <w:r>
        <w:t xml:space="preserve"> </w:t>
      </w:r>
    </w:p>
    <w:p w14:paraId="396C779F" w14:textId="6E8191A5" w:rsidR="000742CA" w:rsidRDefault="00942854" w:rsidP="00432F58">
      <w:pPr>
        <w:pStyle w:val="Heading3"/>
      </w:pPr>
      <w:bookmarkStart w:id="117" w:name="_Toc427851326"/>
      <w:r>
        <w:rPr>
          <w:lang w:val="en-AU"/>
        </w:rPr>
        <w:t>3.3.3</w:t>
      </w:r>
      <w:r>
        <w:rPr>
          <w:lang w:val="en-AU"/>
        </w:rPr>
        <w:tab/>
      </w:r>
      <w:r w:rsidR="000742CA">
        <w:t>Infants, children and adolescents at risk of anaemia</w:t>
      </w:r>
      <w:r w:rsidR="00432F58">
        <w:t xml:space="preserve"> </w:t>
      </w:r>
      <w:r w:rsidR="00432F58">
        <w:rPr>
          <w:lang w:val="en-AU"/>
        </w:rPr>
        <w:t xml:space="preserve">– effect of </w:t>
      </w:r>
      <w:r w:rsidR="00432F58" w:rsidRPr="004667A5">
        <w:t xml:space="preserve">ESAs </w:t>
      </w:r>
      <w:r w:rsidR="00432F58">
        <w:rPr>
          <w:lang w:val="en-AU"/>
        </w:rPr>
        <w:t>(</w:t>
      </w:r>
      <w:r w:rsidR="00432F58" w:rsidRPr="00A21FE4">
        <w:t>with or without iron</w:t>
      </w:r>
      <w:r w:rsidR="00432F58">
        <w:rPr>
          <w:lang w:val="en-AU"/>
        </w:rPr>
        <w:t>) on outcomes</w:t>
      </w:r>
      <w:bookmarkEnd w:id="117"/>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26EE6B8C" w14:textId="77777777" w:rsidTr="00467EEA">
        <w:trPr>
          <w:cantSplit/>
          <w:trHeight w:val="1851"/>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1135CF81" w14:textId="77777777" w:rsidR="000742CA" w:rsidRPr="00A21FE4" w:rsidRDefault="000742CA" w:rsidP="000742CA">
            <w:pPr>
              <w:pStyle w:val="PP-heading"/>
            </w:pPr>
            <w:r w:rsidRPr="00A21FE4">
              <w:t>Evidence statements – infants, children and adolescents (ESAs 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86638F1"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4A34E6A"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80422AE"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1B355D1"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7EFD5EB" w14:textId="77777777" w:rsidR="000742CA" w:rsidRPr="00A21FE4" w:rsidRDefault="000742CA" w:rsidP="000742CA">
            <w:pPr>
              <w:ind w:left="113" w:right="113"/>
              <w:jc w:val="center"/>
              <w:rPr>
                <w:b/>
              </w:rPr>
            </w:pPr>
            <w:r w:rsidRPr="00A21FE4">
              <w:rPr>
                <w:b/>
              </w:rPr>
              <w:t>Applicability</w:t>
            </w:r>
          </w:p>
        </w:tc>
      </w:tr>
      <w:tr w:rsidR="000742CA" w:rsidRPr="00A21FE4" w14:paraId="64A4A3C5" w14:textId="77777777" w:rsidTr="000742CA">
        <w:trPr>
          <w:cantSplit/>
        </w:trPr>
        <w:tc>
          <w:tcPr>
            <w:tcW w:w="851" w:type="dxa"/>
          </w:tcPr>
          <w:p w14:paraId="23A095CE" w14:textId="77777777" w:rsidR="000742CA" w:rsidRPr="00A21FE4" w:rsidRDefault="000742CA" w:rsidP="000742CA">
            <w:pPr>
              <w:pStyle w:val="Tabletext0"/>
            </w:pPr>
            <w:r w:rsidRPr="00387F30">
              <w:t>ES2.</w:t>
            </w:r>
            <w:r>
              <w:t>12</w:t>
            </w:r>
          </w:p>
        </w:tc>
        <w:tc>
          <w:tcPr>
            <w:tcW w:w="3750" w:type="dxa"/>
          </w:tcPr>
          <w:p w14:paraId="629FBF4C" w14:textId="77777777" w:rsidR="000742CA" w:rsidRPr="00A21FE4" w:rsidRDefault="000742CA" w:rsidP="000742CA">
            <w:pPr>
              <w:pStyle w:val="ES-table"/>
            </w:pPr>
            <w:r w:rsidRPr="00A21FE4">
              <w:t>In infants and children at risk of anaemia, the effect of ESA therapy (with or without iron) on transfusion volume or incidence is unknown.</w:t>
            </w:r>
          </w:p>
        </w:tc>
        <w:tc>
          <w:tcPr>
            <w:tcW w:w="820" w:type="dxa"/>
          </w:tcPr>
          <w:p w14:paraId="257AC10B" w14:textId="77777777" w:rsidR="000742CA" w:rsidRPr="00A21FE4" w:rsidRDefault="000742CA" w:rsidP="000742CA">
            <w:pPr>
              <w:pStyle w:val="T-ABCD"/>
            </w:pPr>
            <w:r w:rsidRPr="00A21FE4">
              <w:t>NA</w:t>
            </w:r>
          </w:p>
        </w:tc>
        <w:tc>
          <w:tcPr>
            <w:tcW w:w="821" w:type="dxa"/>
          </w:tcPr>
          <w:p w14:paraId="714C9531" w14:textId="77777777" w:rsidR="000742CA" w:rsidRPr="00A21FE4" w:rsidRDefault="000742CA" w:rsidP="000742CA">
            <w:pPr>
              <w:pStyle w:val="T-ABCD"/>
            </w:pPr>
            <w:r w:rsidRPr="00A21FE4">
              <w:t>NA</w:t>
            </w:r>
          </w:p>
        </w:tc>
        <w:tc>
          <w:tcPr>
            <w:tcW w:w="821" w:type="dxa"/>
          </w:tcPr>
          <w:p w14:paraId="22045C9B" w14:textId="77777777" w:rsidR="000742CA" w:rsidRPr="00A21FE4" w:rsidRDefault="000742CA" w:rsidP="000742CA">
            <w:pPr>
              <w:pStyle w:val="T-ABCD"/>
            </w:pPr>
            <w:r w:rsidRPr="00A21FE4">
              <w:t>NA</w:t>
            </w:r>
          </w:p>
        </w:tc>
        <w:tc>
          <w:tcPr>
            <w:tcW w:w="821" w:type="dxa"/>
          </w:tcPr>
          <w:p w14:paraId="1C617E0D" w14:textId="77777777" w:rsidR="000742CA" w:rsidRPr="00A21FE4" w:rsidRDefault="000742CA" w:rsidP="000742CA">
            <w:pPr>
              <w:pStyle w:val="T-ABCD"/>
            </w:pPr>
            <w:r w:rsidRPr="00A21FE4">
              <w:t>NA</w:t>
            </w:r>
          </w:p>
        </w:tc>
        <w:tc>
          <w:tcPr>
            <w:tcW w:w="821" w:type="dxa"/>
          </w:tcPr>
          <w:p w14:paraId="632D8719" w14:textId="77777777" w:rsidR="000742CA" w:rsidRPr="00A21FE4" w:rsidRDefault="000742CA" w:rsidP="000742CA">
            <w:pPr>
              <w:pStyle w:val="T-ABCD"/>
            </w:pPr>
            <w:r w:rsidRPr="00A21FE4">
              <w:t xml:space="preserve">NA </w:t>
            </w:r>
          </w:p>
        </w:tc>
      </w:tr>
      <w:tr w:rsidR="000742CA" w:rsidRPr="00A21FE4" w14:paraId="1178DEFE" w14:textId="77777777" w:rsidTr="000742CA">
        <w:trPr>
          <w:cantSplit/>
        </w:trPr>
        <w:tc>
          <w:tcPr>
            <w:tcW w:w="851" w:type="dxa"/>
          </w:tcPr>
          <w:p w14:paraId="1B2BA6AB" w14:textId="77777777" w:rsidR="000742CA" w:rsidRPr="00A21FE4" w:rsidRDefault="000742CA" w:rsidP="000742CA">
            <w:pPr>
              <w:pStyle w:val="Tabletext0"/>
            </w:pPr>
            <w:r w:rsidRPr="00387F30">
              <w:t>ES2.1</w:t>
            </w:r>
            <w:r>
              <w:t>3</w:t>
            </w:r>
          </w:p>
        </w:tc>
        <w:tc>
          <w:tcPr>
            <w:tcW w:w="3750" w:type="dxa"/>
          </w:tcPr>
          <w:p w14:paraId="74A5A963" w14:textId="77777777" w:rsidR="000742CA" w:rsidRPr="00A21FE4" w:rsidRDefault="000742CA" w:rsidP="000742CA">
            <w:pPr>
              <w:pStyle w:val="ES-table"/>
            </w:pPr>
            <w:r w:rsidRPr="00A21FE4">
              <w:t>In infants and children at risk of anaemia, the effect of ESA therapy (with or without iron) on thromboembolic events is unknown.</w:t>
            </w:r>
          </w:p>
        </w:tc>
        <w:tc>
          <w:tcPr>
            <w:tcW w:w="820" w:type="dxa"/>
          </w:tcPr>
          <w:p w14:paraId="12602ECF" w14:textId="77777777" w:rsidR="000742CA" w:rsidRPr="00A21FE4" w:rsidRDefault="000742CA" w:rsidP="000742CA">
            <w:pPr>
              <w:pStyle w:val="T-ABCD"/>
            </w:pPr>
            <w:r w:rsidRPr="00A21FE4">
              <w:t>NA</w:t>
            </w:r>
          </w:p>
        </w:tc>
        <w:tc>
          <w:tcPr>
            <w:tcW w:w="821" w:type="dxa"/>
          </w:tcPr>
          <w:p w14:paraId="0EF067C9" w14:textId="77777777" w:rsidR="000742CA" w:rsidRPr="00A21FE4" w:rsidRDefault="000742CA" w:rsidP="000742CA">
            <w:pPr>
              <w:pStyle w:val="T-ABCD"/>
            </w:pPr>
            <w:r w:rsidRPr="00A21FE4">
              <w:t>NA</w:t>
            </w:r>
          </w:p>
        </w:tc>
        <w:tc>
          <w:tcPr>
            <w:tcW w:w="821" w:type="dxa"/>
          </w:tcPr>
          <w:p w14:paraId="37CA406B" w14:textId="77777777" w:rsidR="000742CA" w:rsidRPr="00A21FE4" w:rsidRDefault="000742CA" w:rsidP="000742CA">
            <w:pPr>
              <w:pStyle w:val="T-ABCD"/>
            </w:pPr>
            <w:r w:rsidRPr="00A21FE4">
              <w:t>NA</w:t>
            </w:r>
          </w:p>
        </w:tc>
        <w:tc>
          <w:tcPr>
            <w:tcW w:w="821" w:type="dxa"/>
          </w:tcPr>
          <w:p w14:paraId="65161DC3" w14:textId="77777777" w:rsidR="000742CA" w:rsidRPr="00A21FE4" w:rsidRDefault="000742CA" w:rsidP="000742CA">
            <w:pPr>
              <w:pStyle w:val="T-ABCD"/>
            </w:pPr>
            <w:r w:rsidRPr="00A21FE4">
              <w:t>NA</w:t>
            </w:r>
          </w:p>
        </w:tc>
        <w:tc>
          <w:tcPr>
            <w:tcW w:w="821" w:type="dxa"/>
          </w:tcPr>
          <w:p w14:paraId="1C80BA54" w14:textId="77777777" w:rsidR="000742CA" w:rsidRPr="00A21FE4" w:rsidRDefault="000742CA" w:rsidP="000742CA">
            <w:pPr>
              <w:pStyle w:val="T-ABCD"/>
            </w:pPr>
            <w:r w:rsidRPr="00A21FE4">
              <w:t xml:space="preserve">NA </w:t>
            </w:r>
          </w:p>
        </w:tc>
      </w:tr>
      <w:tr w:rsidR="000742CA" w:rsidRPr="00A21FE4" w14:paraId="707D5714" w14:textId="77777777" w:rsidTr="000742CA">
        <w:trPr>
          <w:cantSplit/>
        </w:trPr>
        <w:tc>
          <w:tcPr>
            <w:tcW w:w="851" w:type="dxa"/>
          </w:tcPr>
          <w:p w14:paraId="650F6BC5" w14:textId="77777777" w:rsidR="000742CA" w:rsidRPr="00A21FE4" w:rsidRDefault="000742CA" w:rsidP="000742CA">
            <w:pPr>
              <w:pStyle w:val="Tabletext0"/>
            </w:pPr>
            <w:r w:rsidRPr="00387F30">
              <w:t>ES2.1</w:t>
            </w:r>
            <w:r>
              <w:t>4</w:t>
            </w:r>
          </w:p>
        </w:tc>
        <w:tc>
          <w:tcPr>
            <w:tcW w:w="3750" w:type="dxa"/>
          </w:tcPr>
          <w:p w14:paraId="1BA658EF" w14:textId="77777777" w:rsidR="000742CA" w:rsidRPr="00A21FE4" w:rsidRDefault="000742CA" w:rsidP="000742CA">
            <w:pPr>
              <w:pStyle w:val="ES-table"/>
            </w:pPr>
            <w:r w:rsidRPr="00A21FE4">
              <w:t>In infants and children at risk of anaemia, the effect of ESA therapy (with or without iron) on mortality is unknown.</w:t>
            </w:r>
          </w:p>
        </w:tc>
        <w:tc>
          <w:tcPr>
            <w:tcW w:w="820" w:type="dxa"/>
          </w:tcPr>
          <w:p w14:paraId="57AE7FAC" w14:textId="77777777" w:rsidR="000742CA" w:rsidRPr="00A21FE4" w:rsidRDefault="000742CA" w:rsidP="000742CA">
            <w:pPr>
              <w:pStyle w:val="T-ABCD"/>
            </w:pPr>
            <w:r w:rsidRPr="00A21FE4">
              <w:t>NA</w:t>
            </w:r>
          </w:p>
        </w:tc>
        <w:tc>
          <w:tcPr>
            <w:tcW w:w="821" w:type="dxa"/>
          </w:tcPr>
          <w:p w14:paraId="5C64C1D3" w14:textId="77777777" w:rsidR="000742CA" w:rsidRPr="00A21FE4" w:rsidRDefault="000742CA" w:rsidP="000742CA">
            <w:pPr>
              <w:pStyle w:val="T-ABCD"/>
            </w:pPr>
            <w:r w:rsidRPr="00A21FE4">
              <w:t>NA</w:t>
            </w:r>
          </w:p>
        </w:tc>
        <w:tc>
          <w:tcPr>
            <w:tcW w:w="821" w:type="dxa"/>
          </w:tcPr>
          <w:p w14:paraId="206C9B6A" w14:textId="77777777" w:rsidR="000742CA" w:rsidRPr="00A21FE4" w:rsidRDefault="000742CA" w:rsidP="000742CA">
            <w:pPr>
              <w:pStyle w:val="T-ABCD"/>
            </w:pPr>
            <w:r w:rsidRPr="00A21FE4">
              <w:t>NA</w:t>
            </w:r>
          </w:p>
        </w:tc>
        <w:tc>
          <w:tcPr>
            <w:tcW w:w="821" w:type="dxa"/>
          </w:tcPr>
          <w:p w14:paraId="0192EA3C" w14:textId="77777777" w:rsidR="000742CA" w:rsidRPr="00A21FE4" w:rsidRDefault="000742CA" w:rsidP="000742CA">
            <w:pPr>
              <w:pStyle w:val="T-ABCD"/>
            </w:pPr>
            <w:r w:rsidRPr="00A21FE4">
              <w:t>NA</w:t>
            </w:r>
          </w:p>
        </w:tc>
        <w:tc>
          <w:tcPr>
            <w:tcW w:w="821" w:type="dxa"/>
          </w:tcPr>
          <w:p w14:paraId="7C30A02A" w14:textId="77777777" w:rsidR="000742CA" w:rsidRPr="00A21FE4" w:rsidRDefault="000742CA" w:rsidP="000742CA">
            <w:pPr>
              <w:pStyle w:val="T-ABCD"/>
            </w:pPr>
            <w:r w:rsidRPr="00A21FE4">
              <w:t xml:space="preserve">NA </w:t>
            </w:r>
          </w:p>
        </w:tc>
      </w:tr>
      <w:tr w:rsidR="000742CA" w:rsidRPr="00A21FE4" w14:paraId="62664AAD" w14:textId="77777777" w:rsidTr="000742CA">
        <w:trPr>
          <w:cantSplit/>
        </w:trPr>
        <w:tc>
          <w:tcPr>
            <w:tcW w:w="8705" w:type="dxa"/>
            <w:gridSpan w:val="7"/>
          </w:tcPr>
          <w:p w14:paraId="13828E55" w14:textId="77777777" w:rsidR="000742CA" w:rsidRPr="00A21FE4" w:rsidRDefault="000742CA" w:rsidP="000742CA">
            <w:pPr>
              <w:pStyle w:val="ES-notes"/>
            </w:pPr>
            <w:r w:rsidRPr="00A21FE4">
              <w:t>ES, evidence statement; ESA, erythropoiesis stimulating agent</w:t>
            </w:r>
          </w:p>
          <w:p w14:paraId="129B144B"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094BA8FD" w14:textId="77777777" w:rsidR="000742CA" w:rsidRDefault="000742CA" w:rsidP="00432F58">
      <w:pPr>
        <w:pStyle w:val="Heading4"/>
      </w:pPr>
      <w:r>
        <w:t>Summary of evidence</w:t>
      </w:r>
    </w:p>
    <w:p w14:paraId="369EB918" w14:textId="416BD62E" w:rsidR="000742CA" w:rsidRDefault="00C36AF4" w:rsidP="00432F58">
      <w:r>
        <w:t>No studies</w:t>
      </w:r>
      <w:r w:rsidR="000742CA">
        <w:t xml:space="preserve"> </w:t>
      </w:r>
      <w:r w:rsidR="000742CA" w:rsidRPr="00372CA1">
        <w:t>compared</w:t>
      </w:r>
      <w:r w:rsidR="000742CA">
        <w:t xml:space="preserve"> ESAs with placebo in infants, children or adolescents with anaemia.</w:t>
      </w:r>
    </w:p>
    <w:p w14:paraId="022F96A1" w14:textId="12B7845A" w:rsidR="000742CA" w:rsidRDefault="00432F58" w:rsidP="00432F58">
      <w:pPr>
        <w:pStyle w:val="Heading3"/>
      </w:pPr>
      <w:bookmarkStart w:id="118" w:name="_Ref412670018"/>
      <w:bookmarkStart w:id="119" w:name="_Toc427851327"/>
      <w:r>
        <w:rPr>
          <w:lang w:val="en-AU"/>
        </w:rPr>
        <w:t>3.3.4</w:t>
      </w:r>
      <w:r>
        <w:rPr>
          <w:lang w:val="en-AU"/>
        </w:rPr>
        <w:tab/>
      </w:r>
      <w:r>
        <w:t xml:space="preserve">Infants, children and adolescents at risk of anaemia </w:t>
      </w:r>
      <w:r>
        <w:rPr>
          <w:lang w:val="en-AU"/>
        </w:rPr>
        <w:t>– effect of oral and/or parenteral iron on outcomes</w:t>
      </w:r>
      <w:bookmarkEnd w:id="118"/>
      <w:bookmarkEnd w:id="119"/>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1BD17703" w14:textId="77777777" w:rsidTr="00467EEA">
        <w:trPr>
          <w:cantSplit/>
          <w:trHeight w:val="1865"/>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76B247D8" w14:textId="77777777" w:rsidR="000742CA" w:rsidRPr="00A21FE4" w:rsidRDefault="000742CA" w:rsidP="000742CA">
            <w:pPr>
              <w:pStyle w:val="PP-heading"/>
            </w:pPr>
            <w:r w:rsidRPr="00A21FE4">
              <w:t>Evidence statements – infants, children and adolescents (oral and/or parenteral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07B33DD" w14:textId="77777777" w:rsidR="000742CA" w:rsidRPr="00A21FE4" w:rsidRDefault="000742CA" w:rsidP="000742CA">
            <w:pPr>
              <w:keepNext/>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1818293" w14:textId="77777777" w:rsidR="000742CA" w:rsidRPr="00A21FE4" w:rsidRDefault="000742CA" w:rsidP="000742CA">
            <w:pPr>
              <w:keepNext/>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07AFA59" w14:textId="77777777" w:rsidR="000742CA" w:rsidRPr="00A21FE4" w:rsidRDefault="000742CA" w:rsidP="000742CA">
            <w:pPr>
              <w:keepNext/>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8E303F8" w14:textId="77777777" w:rsidR="000742CA" w:rsidRPr="00A21FE4" w:rsidRDefault="000742CA" w:rsidP="000742CA">
            <w:pPr>
              <w:keepNext/>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81C2C04" w14:textId="77777777" w:rsidR="000742CA" w:rsidRPr="00A21FE4" w:rsidRDefault="000742CA" w:rsidP="000742CA">
            <w:pPr>
              <w:keepNext/>
              <w:ind w:left="113" w:right="113"/>
              <w:jc w:val="center"/>
              <w:rPr>
                <w:b/>
              </w:rPr>
            </w:pPr>
            <w:r w:rsidRPr="00A21FE4">
              <w:rPr>
                <w:b/>
              </w:rPr>
              <w:t>Applicability</w:t>
            </w:r>
          </w:p>
        </w:tc>
      </w:tr>
      <w:tr w:rsidR="000742CA" w:rsidRPr="00A21FE4" w14:paraId="361C7FC5" w14:textId="77777777" w:rsidTr="000742CA">
        <w:trPr>
          <w:cantSplit/>
        </w:trPr>
        <w:tc>
          <w:tcPr>
            <w:tcW w:w="851" w:type="dxa"/>
          </w:tcPr>
          <w:p w14:paraId="4DCF7499" w14:textId="77777777" w:rsidR="000742CA" w:rsidRPr="00A21FE4" w:rsidRDefault="000742CA" w:rsidP="000742CA">
            <w:pPr>
              <w:pStyle w:val="Tabletext0"/>
            </w:pPr>
            <w:r>
              <w:t>ES2.15</w:t>
            </w:r>
          </w:p>
        </w:tc>
        <w:tc>
          <w:tcPr>
            <w:tcW w:w="3750" w:type="dxa"/>
          </w:tcPr>
          <w:p w14:paraId="2AB8E880" w14:textId="77777777" w:rsidR="000742CA" w:rsidRPr="00A21FE4" w:rsidRDefault="000742CA" w:rsidP="000742CA">
            <w:pPr>
              <w:pStyle w:val="ES-table"/>
            </w:pPr>
            <w:r w:rsidRPr="00A21FE4">
              <w:t>In infants and children at risk of anaemia, the effect of iron therapy compared with no iron therapy on transfusion volume or incidence is unknown.</w:t>
            </w:r>
          </w:p>
        </w:tc>
        <w:tc>
          <w:tcPr>
            <w:tcW w:w="820" w:type="dxa"/>
          </w:tcPr>
          <w:p w14:paraId="12BC44F4" w14:textId="77777777" w:rsidR="000742CA" w:rsidRPr="00A21FE4" w:rsidRDefault="000742CA" w:rsidP="000742CA">
            <w:pPr>
              <w:pStyle w:val="T-ABCD"/>
            </w:pPr>
            <w:r w:rsidRPr="00A21FE4">
              <w:t>NA</w:t>
            </w:r>
          </w:p>
        </w:tc>
        <w:tc>
          <w:tcPr>
            <w:tcW w:w="821" w:type="dxa"/>
          </w:tcPr>
          <w:p w14:paraId="5BADFEEF" w14:textId="77777777" w:rsidR="000742CA" w:rsidRPr="00A21FE4" w:rsidRDefault="000742CA" w:rsidP="000742CA">
            <w:pPr>
              <w:pStyle w:val="T-ABCD"/>
            </w:pPr>
            <w:r w:rsidRPr="00A21FE4">
              <w:t>NA</w:t>
            </w:r>
          </w:p>
        </w:tc>
        <w:tc>
          <w:tcPr>
            <w:tcW w:w="821" w:type="dxa"/>
          </w:tcPr>
          <w:p w14:paraId="3D19FCCD" w14:textId="77777777" w:rsidR="000742CA" w:rsidRPr="00A21FE4" w:rsidRDefault="000742CA" w:rsidP="000742CA">
            <w:pPr>
              <w:pStyle w:val="T-ABCD"/>
            </w:pPr>
            <w:r w:rsidRPr="00A21FE4">
              <w:t>NA</w:t>
            </w:r>
          </w:p>
        </w:tc>
        <w:tc>
          <w:tcPr>
            <w:tcW w:w="821" w:type="dxa"/>
          </w:tcPr>
          <w:p w14:paraId="2904267B" w14:textId="77777777" w:rsidR="000742CA" w:rsidRPr="00A21FE4" w:rsidRDefault="000742CA" w:rsidP="000742CA">
            <w:pPr>
              <w:pStyle w:val="T-ABCD"/>
            </w:pPr>
            <w:r w:rsidRPr="00A21FE4">
              <w:t>NA</w:t>
            </w:r>
          </w:p>
        </w:tc>
        <w:tc>
          <w:tcPr>
            <w:tcW w:w="821" w:type="dxa"/>
          </w:tcPr>
          <w:p w14:paraId="1F4506A4" w14:textId="77777777" w:rsidR="000742CA" w:rsidRPr="00A21FE4" w:rsidRDefault="000742CA" w:rsidP="000742CA">
            <w:pPr>
              <w:pStyle w:val="T-ABCD"/>
            </w:pPr>
            <w:r w:rsidRPr="00A21FE4">
              <w:t xml:space="preserve">NA </w:t>
            </w:r>
          </w:p>
        </w:tc>
      </w:tr>
      <w:tr w:rsidR="000742CA" w:rsidRPr="00A21FE4" w14:paraId="7AB154B2" w14:textId="77777777" w:rsidTr="000742CA">
        <w:trPr>
          <w:cantSplit/>
        </w:trPr>
        <w:tc>
          <w:tcPr>
            <w:tcW w:w="851" w:type="dxa"/>
          </w:tcPr>
          <w:p w14:paraId="7E5E7943" w14:textId="77777777" w:rsidR="000742CA" w:rsidRPr="00A21FE4" w:rsidRDefault="000742CA" w:rsidP="000742CA">
            <w:pPr>
              <w:pStyle w:val="Tabletext0"/>
            </w:pPr>
            <w:r>
              <w:t>ES2.16</w:t>
            </w:r>
          </w:p>
        </w:tc>
        <w:tc>
          <w:tcPr>
            <w:tcW w:w="3750" w:type="dxa"/>
          </w:tcPr>
          <w:p w14:paraId="095EF13C" w14:textId="77777777" w:rsidR="000742CA" w:rsidRPr="00A21FE4" w:rsidRDefault="000742CA" w:rsidP="000742CA">
            <w:pPr>
              <w:pStyle w:val="ES-table"/>
            </w:pPr>
            <w:r w:rsidRPr="00A21FE4">
              <w:t>In infants and children at risk of anaemia, oral iron supplementation has no effect on mortality.</w:t>
            </w:r>
          </w:p>
          <w:p w14:paraId="1A5941DF" w14:textId="77777777" w:rsidR="000742CA" w:rsidRPr="00A21FE4" w:rsidRDefault="000742CA" w:rsidP="000742CA">
            <w:pPr>
              <w:pStyle w:val="ES-notes"/>
            </w:pPr>
            <w:r w:rsidRPr="00A21FE4">
              <w:t>(See evidence matrix D2.K in Volume 2 of the technical report.)</w:t>
            </w:r>
          </w:p>
        </w:tc>
        <w:tc>
          <w:tcPr>
            <w:tcW w:w="820" w:type="dxa"/>
          </w:tcPr>
          <w:p w14:paraId="6D40CEE4"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6A4DFA96"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4C932CC6" w14:textId="77777777" w:rsidR="000742CA" w:rsidRPr="00A21FE4" w:rsidRDefault="000742CA" w:rsidP="000742CA">
            <w:pPr>
              <w:pStyle w:val="T-ABCD"/>
            </w:pPr>
            <w:r w:rsidRPr="00A21FE4">
              <w:t>NA</w:t>
            </w:r>
          </w:p>
        </w:tc>
        <w:tc>
          <w:tcPr>
            <w:tcW w:w="821" w:type="dxa"/>
          </w:tcPr>
          <w:p w14:paraId="4529916E" w14:textId="77777777" w:rsidR="000742CA" w:rsidRPr="00A21FE4" w:rsidRDefault="000742CA" w:rsidP="000742CA">
            <w:pPr>
              <w:pStyle w:val="T-ABCD"/>
            </w:pPr>
            <w:r w:rsidRPr="00A21FE4">
              <w:sym w:font="Symbol" w:char="F0D6"/>
            </w:r>
          </w:p>
        </w:tc>
        <w:tc>
          <w:tcPr>
            <w:tcW w:w="821" w:type="dxa"/>
          </w:tcPr>
          <w:p w14:paraId="66BCF935" w14:textId="77777777" w:rsidR="000742CA" w:rsidRPr="00A21FE4" w:rsidRDefault="000742CA" w:rsidP="000742CA">
            <w:pPr>
              <w:pStyle w:val="T-ABCD"/>
            </w:pPr>
            <w:r w:rsidRPr="00A21FE4">
              <w:sym w:font="Symbol" w:char="F0D6"/>
            </w:r>
          </w:p>
        </w:tc>
      </w:tr>
      <w:tr w:rsidR="000742CA" w:rsidRPr="00A21FE4" w14:paraId="347B43B4" w14:textId="77777777" w:rsidTr="000742CA">
        <w:trPr>
          <w:cantSplit/>
        </w:trPr>
        <w:tc>
          <w:tcPr>
            <w:tcW w:w="8705" w:type="dxa"/>
            <w:gridSpan w:val="7"/>
          </w:tcPr>
          <w:p w14:paraId="000B26D5" w14:textId="77777777" w:rsidR="000742CA" w:rsidRPr="00A21FE4" w:rsidRDefault="000742CA" w:rsidP="000742CA">
            <w:pPr>
              <w:pStyle w:val="ES-notes"/>
            </w:pPr>
            <w:r w:rsidRPr="00A21FE4">
              <w:t>ES, evidence statement</w:t>
            </w:r>
          </w:p>
          <w:p w14:paraId="46DD57BA"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77E11C4A" w14:textId="77777777" w:rsidR="000742CA" w:rsidRDefault="000742CA" w:rsidP="000742CA">
      <w:pPr>
        <w:pStyle w:val="Head4Num"/>
        <w:ind w:left="1582"/>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096"/>
        <w:gridCol w:w="7581"/>
      </w:tblGrid>
      <w:tr w:rsidR="000742CA" w:rsidRPr="00A21FE4" w14:paraId="3BA85489"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1207432A" w14:textId="64D846E4" w:rsidR="000742CA" w:rsidRPr="00045D23" w:rsidRDefault="000742CA" w:rsidP="000742CA">
            <w:pPr>
              <w:pStyle w:val="PP-heading"/>
              <w:rPr>
                <w:lang w:val="en-AU"/>
              </w:rPr>
            </w:pPr>
            <w:r w:rsidRPr="00A21FE4">
              <w:t xml:space="preserve">Practice points – infants, children and adolescents </w:t>
            </w:r>
            <w:r w:rsidR="00045D23">
              <w:rPr>
                <w:lang w:val="en-AU"/>
              </w:rPr>
              <w:t>(oral and/or parenteral iron)</w:t>
            </w:r>
          </w:p>
        </w:tc>
      </w:tr>
      <w:tr w:rsidR="000742CA" w:rsidRPr="00A21FE4" w14:paraId="48A0C507" w14:textId="77777777" w:rsidTr="00387DD0">
        <w:tc>
          <w:tcPr>
            <w:tcW w:w="1096" w:type="dxa"/>
            <w:tcBorders>
              <w:right w:val="single" w:sz="4" w:space="0" w:color="auto"/>
            </w:tcBorders>
            <w:shd w:val="clear" w:color="auto" w:fill="auto"/>
          </w:tcPr>
          <w:p w14:paraId="43BFE10A" w14:textId="77777777" w:rsidR="000742CA" w:rsidRPr="00A21FE4" w:rsidRDefault="000742CA" w:rsidP="00387DD0">
            <w:pPr>
              <w:pStyle w:val="PP"/>
            </w:pPr>
            <w:r w:rsidRPr="00A21FE4">
              <w:t>PP14</w:t>
            </w:r>
          </w:p>
        </w:tc>
        <w:tc>
          <w:tcPr>
            <w:tcW w:w="7581" w:type="dxa"/>
            <w:tcBorders>
              <w:left w:val="single" w:sz="4" w:space="0" w:color="auto"/>
            </w:tcBorders>
            <w:shd w:val="clear" w:color="auto" w:fill="auto"/>
          </w:tcPr>
          <w:p w14:paraId="33290B3C" w14:textId="77777777" w:rsidR="000742CA" w:rsidRPr="00A21FE4" w:rsidRDefault="000742CA" w:rsidP="00387DD0">
            <w:pPr>
              <w:pStyle w:val="PP"/>
            </w:pPr>
            <w:r w:rsidRPr="00A21FE4">
              <w:t>Infants and children should receive sufficient dietary iron to achieve the AI or RDI. If the AI or RDI cannot be met by dietary means, iron supplementation is advised.</w:t>
            </w:r>
          </w:p>
        </w:tc>
      </w:tr>
      <w:tr w:rsidR="000742CA" w:rsidRPr="00A21FE4" w14:paraId="07CCF2E6" w14:textId="77777777" w:rsidTr="00387DD0">
        <w:tc>
          <w:tcPr>
            <w:tcW w:w="1096" w:type="dxa"/>
            <w:tcBorders>
              <w:right w:val="single" w:sz="4" w:space="0" w:color="auto"/>
            </w:tcBorders>
            <w:shd w:val="clear" w:color="auto" w:fill="auto"/>
          </w:tcPr>
          <w:p w14:paraId="5AB37B47" w14:textId="77777777" w:rsidR="000742CA" w:rsidRPr="00A21FE4" w:rsidRDefault="000742CA" w:rsidP="00387DD0">
            <w:pPr>
              <w:pStyle w:val="PP"/>
            </w:pPr>
            <w:r w:rsidRPr="00A21FE4">
              <w:t>PP15</w:t>
            </w:r>
          </w:p>
        </w:tc>
        <w:tc>
          <w:tcPr>
            <w:tcW w:w="7581" w:type="dxa"/>
            <w:tcBorders>
              <w:left w:val="single" w:sz="4" w:space="0" w:color="auto"/>
            </w:tcBorders>
            <w:shd w:val="clear" w:color="auto" w:fill="auto"/>
          </w:tcPr>
          <w:p w14:paraId="328D358D" w14:textId="77777777" w:rsidR="000742CA" w:rsidRPr="00A21FE4" w:rsidRDefault="000742CA" w:rsidP="00387DD0">
            <w:pPr>
              <w:pStyle w:val="PP"/>
            </w:pPr>
            <w:r w:rsidRPr="00A21FE4">
              <w:t>Infants and children in populations at high risk</w:t>
            </w:r>
            <w:r w:rsidRPr="00A21FE4">
              <w:rPr>
                <w:vertAlign w:val="superscript"/>
              </w:rPr>
              <w:t>a</w:t>
            </w:r>
            <w:r w:rsidRPr="00A21FE4">
              <w:t xml:space="preserve"> of iron deficiency should be screened for this condition.</w:t>
            </w:r>
            <w:r w:rsidRPr="00A21FE4">
              <w:rPr>
                <w:vertAlign w:val="superscript"/>
              </w:rPr>
              <w:t>b</w:t>
            </w:r>
          </w:p>
          <w:p w14:paraId="7A396B0E" w14:textId="2BEA12F0" w:rsidR="000742CA" w:rsidRPr="00A21FE4" w:rsidRDefault="000742CA" w:rsidP="00E62798">
            <w:pPr>
              <w:pStyle w:val="PP-note"/>
            </w:pPr>
            <w:r w:rsidRPr="00A21FE4">
              <w:rPr>
                <w:vertAlign w:val="superscript"/>
              </w:rPr>
              <w:t>a</w:t>
            </w:r>
            <w:r w:rsidRPr="00A21FE4">
              <w:t xml:space="preserve"> See Domellof </w:t>
            </w:r>
            <w:r w:rsidRPr="00E77505">
              <w:t>et al</w:t>
            </w:r>
            <w:r w:rsidRPr="00A21FE4">
              <w:t xml:space="preserve"> (2014)</w:t>
            </w:r>
            <w:hyperlink w:anchor="_ENREF_13" w:tooltip="Domellof, 2014 #21" w:history="1">
              <w:r w:rsidR="00E62798">
                <w:fldChar w:fldCharType="begin">
                  <w:fldData xml:space="preserve">PEVuZE5vdGU+PENpdGU+PEF1dGhvcj5Eb21lbGxvZjwvQXV0aG9yPjxZZWFyPjIwMTQ8L1llYXI+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dHJvZW50ZXJvbG9neSBhbmQgbnV0cml0aW9uPC9hYmJyLTE+PC9hbHQtcGVyaW9kaWNhbD48cGFn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</w:fldData>
                </w:fldChar>
              </w:r>
              <w:r w:rsidR="00E62798">
                <w:instrText xml:space="preserve"> ADDIN EN.CITE </w:instrText>
              </w:r>
              <w:r w:rsidR="00E62798">
                <w:fldChar w:fldCharType="begin">
                  <w:fldData xml:space="preserve">PEVuZE5vdGU+PENpdGU+PEF1dGhvcj5Eb21lbGxvZjwvQXV0aG9yPjxZZWFyPjIwMTQ8L1llYXI+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dHJvZW50ZXJvbG9neSBhbmQgbnV0cml0aW9uPC9hYmJyLTE+PC9hbHQtcGVyaW9kaWNhbD48cGFn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w:t>
              </w:r>
              <w:r w:rsidR="00E62798">
                <w:fldChar w:fldCharType="end"/>
              </w:r>
            </w:hyperlink>
            <w:r w:rsidRPr="00A21FE4">
              <w:t xml:space="preserve"> and Pottie </w:t>
            </w:r>
            <w:r w:rsidRPr="00E77505">
              <w:t>et al</w:t>
            </w:r>
            <w:r w:rsidRPr="00A21FE4">
              <w:t xml:space="preserve"> (2011)</w:t>
            </w:r>
            <w:r w:rsidR="001F5718">
              <w:t>.</w:t>
            </w:r>
            <w:hyperlink w:anchor="_ENREF_14" w:tooltip="Pottie, 2011 #202" w:history="1">
              <w:r w:rsidR="00E62798">
                <w:fldChar w:fldCharType="begin">
                  <w:fldData xml:space="preserve">PEVuZE5vdGU+PENpdGU+PEF1dGhvcj5Qb3R0aWU8L0F1dGhvcj48WWVhcj4yMDExPC9ZZWFyPjxS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b24gbWVkaWNhbGUgY2FuYWRpZW5uZTwvYWJici0xPjwvYWx0LXBlcmlvZGljYWw+PHBhZ2VzPkU4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</w:fldData>
                </w:fldChar>
              </w:r>
              <w:r w:rsidR="00E62798">
                <w:instrText xml:space="preserve"> ADDIN EN.CITE </w:instrText>
              </w:r>
              <w:r w:rsidR="00E62798">
                <w:fldChar w:fldCharType="begin">
                  <w:fldData xml:space="preserve">PEVuZE5vdGU+PENpdGU+PEF1dGhvcj5Qb3R0aWU8L0F1dGhvcj48WWVhcj4yMDExPC9ZZWFyPjxS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b24gbWVkaWNhbGUgY2FuYWRpZW5uZTwvYWJici0xPjwvYWx0LXBlcmlvZGljYWw+PHBhZ2VzPkU4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w:t>
              </w:r>
              <w:r w:rsidR="00E62798">
                <w:fldChar w:fldCharType="end"/>
              </w:r>
            </w:hyperlink>
            <w:r w:rsidR="001F5718">
              <w:rPr>
                <w:vertAlign w:val="superscript"/>
              </w:rPr>
              <w:br/>
            </w:r>
            <w:r w:rsidRPr="00A21FE4">
              <w:rPr>
                <w:vertAlign w:val="superscript"/>
              </w:rPr>
              <w:t>b</w:t>
            </w:r>
            <w:r w:rsidRPr="00A21FE4">
              <w:t xml:space="preserve"> See </w:t>
            </w:r>
            <w:r w:rsidR="000B1BFE">
              <w:t>Section 3.6</w:t>
            </w:r>
            <w:r w:rsidR="004E6083">
              <w:t>.</w:t>
            </w:r>
          </w:p>
        </w:tc>
      </w:tr>
      <w:tr w:rsidR="000742CA" w:rsidRPr="00A21FE4" w14:paraId="3CF5C056" w14:textId="77777777" w:rsidTr="00387DD0">
        <w:tc>
          <w:tcPr>
            <w:tcW w:w="1096" w:type="dxa"/>
            <w:tcBorders>
              <w:right w:val="single" w:sz="4" w:space="0" w:color="auto"/>
            </w:tcBorders>
            <w:shd w:val="clear" w:color="auto" w:fill="auto"/>
          </w:tcPr>
          <w:p w14:paraId="5C8F09F1" w14:textId="77777777" w:rsidR="000742CA" w:rsidRPr="00A21FE4" w:rsidRDefault="000742CA" w:rsidP="00387DD0">
            <w:pPr>
              <w:pStyle w:val="PP"/>
            </w:pPr>
            <w:r w:rsidRPr="00A21FE4">
              <w:t>PP16</w:t>
            </w:r>
          </w:p>
        </w:tc>
        <w:tc>
          <w:tcPr>
            <w:tcW w:w="7581" w:type="dxa"/>
            <w:tcBorders>
              <w:left w:val="single" w:sz="4" w:space="0" w:color="auto"/>
            </w:tcBorders>
            <w:shd w:val="clear" w:color="auto" w:fill="auto"/>
          </w:tcPr>
          <w:p w14:paraId="767D38B7" w14:textId="77777777" w:rsidR="000742CA" w:rsidRPr="00A21FE4" w:rsidRDefault="000742CA" w:rsidP="00387DD0">
            <w:pPr>
              <w:pStyle w:val="PP"/>
            </w:pPr>
            <w:r w:rsidRPr="00A21FE4">
              <w:t>Infants and children with iron deficiency should be treated with iron supplements and dietary modifications.</w:t>
            </w:r>
          </w:p>
        </w:tc>
      </w:tr>
      <w:tr w:rsidR="000742CA" w:rsidRPr="00A21FE4" w14:paraId="52A10F7D" w14:textId="77777777" w:rsidTr="00387DD0">
        <w:trPr>
          <w:trHeight w:val="393"/>
        </w:trPr>
        <w:tc>
          <w:tcPr>
            <w:tcW w:w="8677" w:type="dxa"/>
            <w:gridSpan w:val="2"/>
            <w:shd w:val="clear" w:color="auto" w:fill="auto"/>
          </w:tcPr>
          <w:p w14:paraId="3AE086D3" w14:textId="77777777" w:rsidR="000742CA" w:rsidRPr="00A21FE4" w:rsidRDefault="000742CA" w:rsidP="00387DD0">
            <w:pPr>
              <w:pStyle w:val="PP-note"/>
            </w:pPr>
            <w:r w:rsidRPr="00A21FE4">
              <w:t>AI, adequate intake; PP, practice point; RDI, recommended daily intake</w:t>
            </w:r>
          </w:p>
        </w:tc>
      </w:tr>
    </w:tbl>
    <w:p w14:paraId="07DC0927" w14:textId="77777777" w:rsidR="000742CA" w:rsidRDefault="000742CA" w:rsidP="000742CA">
      <w:pPr>
        <w:pStyle w:val="Heading4"/>
      </w:pPr>
      <w:r>
        <w:t>Background</w:t>
      </w:r>
    </w:p>
    <w:p w14:paraId="1F57CF5F" w14:textId="36C4A3CD" w:rsidR="000742CA" w:rsidRPr="008C6C2E" w:rsidRDefault="000742CA" w:rsidP="00387DD0">
      <w:pPr>
        <w:rPr>
          <w:rFonts w:asciiTheme="minorHAnsi" w:hAnsiTheme="minorHAnsi"/>
        </w:rPr>
      </w:pPr>
      <w:r>
        <w:t xml:space="preserve">Iron deficiency is the largest factor contributing to anaemia in all paediatric age groups (except in very preterm infants in the first weeks of life, although iron deficiency is an important risk for </w:t>
      </w:r>
      <w:r w:rsidR="00387DD0">
        <w:t>such infants</w:t>
      </w:r>
      <w:r>
        <w:t xml:space="preserve"> subsequently). In Australia</w:t>
      </w:r>
      <w:r w:rsidR="00387DD0">
        <w:t>,</w:t>
      </w:r>
      <w:r>
        <w:t xml:space="preserve"> there is a high prevalence of iron deficiency in children from remote </w:t>
      </w:r>
      <w:r w:rsidR="00387DD0">
        <w:t xml:space="preserve">Indigenous </w:t>
      </w:r>
      <w:r>
        <w:t>communities</w:t>
      </w:r>
      <w:r w:rsidR="00387DD0">
        <w:t xml:space="preserve"> (see Section 3.6)</w:t>
      </w:r>
      <w:r>
        <w:t xml:space="preserve">. Risk factors for dietary iron deficiency include late introduction or insufficient iron-rich foods, prolonged exclusive breast-feeding, early introduction of cow’s milk and excessive cow’s </w:t>
      </w:r>
      <w:r w:rsidRPr="008C6C2E">
        <w:rPr>
          <w:rFonts w:asciiTheme="minorHAnsi" w:hAnsiTheme="minorHAnsi"/>
        </w:rPr>
        <w:t xml:space="preserve">milk consumption. Iron deficiency also occurs if there is poor gastrointestinal absorption, blood loss </w:t>
      </w:r>
      <w:r>
        <w:rPr>
          <w:rFonts w:asciiTheme="minorHAnsi" w:hAnsiTheme="minorHAnsi"/>
        </w:rPr>
        <w:t xml:space="preserve">or </w:t>
      </w:r>
      <w:r w:rsidRPr="008C6C2E">
        <w:rPr>
          <w:rFonts w:asciiTheme="minorHAnsi" w:hAnsiTheme="minorHAnsi"/>
        </w:rPr>
        <w:t xml:space="preserve">increased iron requirements. Iron supplementation increases </w:t>
      </w:r>
      <w:r w:rsidR="00387DD0">
        <w:rPr>
          <w:rFonts w:asciiTheme="minorHAnsi" w:hAnsiTheme="minorHAnsi"/>
        </w:rPr>
        <w:t>Hb</w:t>
      </w:r>
      <w:r w:rsidRPr="008C6C2E">
        <w:rPr>
          <w:rFonts w:asciiTheme="minorHAnsi" w:hAnsiTheme="minorHAnsi"/>
        </w:rPr>
        <w:t xml:space="preserve"> and ferritin</w:t>
      </w:r>
      <w:r w:rsidR="00387DD0">
        <w:rPr>
          <w:rFonts w:asciiTheme="minorHAnsi" w:hAnsiTheme="minorHAnsi"/>
        </w:rPr>
        <w:t>,</w:t>
      </w:r>
      <w:r w:rsidRPr="008C6C2E">
        <w:rPr>
          <w:rFonts w:asciiTheme="minorHAnsi" w:hAnsiTheme="minorHAnsi"/>
        </w:rPr>
        <w:t xml:space="preserve"> and reduces the prevalence of iron deficiency and </w:t>
      </w:r>
      <w:r w:rsidR="00225A02">
        <w:rPr>
          <w:rFonts w:asciiTheme="minorHAnsi" w:hAnsiTheme="minorHAnsi"/>
        </w:rPr>
        <w:t>IDA</w:t>
      </w:r>
      <w:r w:rsidRPr="008C6C2E">
        <w:rPr>
          <w:rFonts w:asciiTheme="minorHAnsi" w:hAnsiTheme="minorHAnsi"/>
        </w:rPr>
        <w:t xml:space="preserve">. </w:t>
      </w:r>
    </w:p>
    <w:p w14:paraId="06BB3DD1" w14:textId="6CB24A3B" w:rsidR="000742CA" w:rsidRDefault="00387DD0" w:rsidP="00387DD0">
      <w:r>
        <w:t xml:space="preserve">Although </w:t>
      </w:r>
      <w:r w:rsidR="000742CA" w:rsidRPr="008C6C2E">
        <w:t xml:space="preserve">definitive evidence is lacking, there is reasonable concern </w:t>
      </w:r>
      <w:r>
        <w:t>about</w:t>
      </w:r>
      <w:r w:rsidR="000742CA" w:rsidRPr="008C6C2E">
        <w:t xml:space="preserve"> a</w:t>
      </w:r>
      <w:r>
        <w:t xml:space="preserve"> possible</w:t>
      </w:r>
      <w:r w:rsidR="000742CA" w:rsidRPr="008C6C2E">
        <w:t xml:space="preserve"> association between iron deficiency in childhood and long-term adverse neurocognitive outcomes and behavioural difficulties.</w:t>
      </w:r>
      <w:hyperlink w:anchor="_ENREF_106" w:tooltip="Pasricha, 2013 #117" w:history="1">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 </w:instrText>
        </w:r>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w:t>
        </w:r>
        <w:r w:rsidR="00E62798">
          <w:fldChar w:fldCharType="end"/>
        </w:r>
      </w:hyperlink>
      <w:r w:rsidR="000742CA" w:rsidRPr="008C6C2E">
        <w:t xml:space="preserve"> </w:t>
      </w:r>
    </w:p>
    <w:p w14:paraId="583F2748" w14:textId="77777777" w:rsidR="000742CA" w:rsidRDefault="000742CA" w:rsidP="00387DD0">
      <w:pPr>
        <w:pStyle w:val="Heading4"/>
      </w:pPr>
      <w:r>
        <w:t>Summary of evidence</w:t>
      </w:r>
    </w:p>
    <w:p w14:paraId="09D2E361" w14:textId="3333530C" w:rsidR="000742CA" w:rsidRDefault="00C36AF4" w:rsidP="00387DD0">
      <w:r>
        <w:t>No</w:t>
      </w:r>
      <w:r w:rsidR="00387DD0">
        <w:t xml:space="preserve"> </w:t>
      </w:r>
      <w:r w:rsidR="000742CA">
        <w:t>studies examined the use of parenteral iron or compared different modes of administration of iron.</w:t>
      </w:r>
    </w:p>
    <w:p w14:paraId="7A69BB21" w14:textId="52CEE881" w:rsidR="000742CA" w:rsidRDefault="000742CA" w:rsidP="00387DD0">
      <w:r>
        <w:t>Two g</w:t>
      </w:r>
      <w:r w:rsidR="00387DD0">
        <w:t xml:space="preserve">ood-quality systematic reviews </w:t>
      </w:r>
      <w:r>
        <w:t xml:space="preserve">examined the use of oral iron in infants, children or </w:t>
      </w:r>
      <w:r w:rsidRPr="00771FC5">
        <w:t>adolescents</w:t>
      </w:r>
      <w:r>
        <w:t xml:space="preserve"> at risk of developing anaemia.</w:t>
      </w:r>
      <w:hyperlink w:anchor="_ENREF_107" w:tooltip="Okebe, 2011 #114" w:history="1">
        <w:r w:rsidR="00E62798">
          <w:fldChar w:fldCharType="begin">
            <w:fldData xml:space="preserve">PEVuZE5vdGU+PENpdGU+PEF1dGhvcj5Pa2ViZTwvQXV0aG9yPjxZZWFyPjIwMTE8L1llYXI+PFJl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</w:fldData>
          </w:fldChar>
        </w:r>
        <w:r w:rsidR="00E62798">
          <w:instrText xml:space="preserve"> ADDIN EN.CITE </w:instrText>
        </w:r>
        <w:r w:rsidR="00E62798">
          <w:fldChar w:fldCharType="begin">
            <w:fldData xml:space="preserve">PEVuZE5vdGU+PENpdGU+PEF1dGhvcj5Pa2ViZTwvQXV0aG9yPjxZZWFyPjIwMTE8L1llYXI+PFJl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107</w:t>
        </w:r>
        <w:r w:rsidR="00E62798">
          <w:fldChar w:fldCharType="end"/>
        </w:r>
      </w:hyperlink>
      <w:r>
        <w:t xml:space="preserve"> </w:t>
      </w:r>
    </w:p>
    <w:p w14:paraId="453CD859" w14:textId="7CB72254" w:rsidR="000742CA" w:rsidRDefault="000742CA" w:rsidP="00387DD0">
      <w:r>
        <w:t xml:space="preserve">Pasricha </w:t>
      </w:r>
      <w:r w:rsidR="00CE34B7">
        <w:t>et al (2013)</w:t>
      </w:r>
      <w:hyperlink w:anchor="_ENREF_106" w:tooltip="Pasricha, 2013 #117" w:history="1">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 </w:instrText>
        </w:r>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w:t>
        </w:r>
        <w:r w:rsidR="00E62798">
          <w:fldChar w:fldCharType="end"/>
        </w:r>
      </w:hyperlink>
      <w:r>
        <w:t xml:space="preserve"> reviewed the safety and efficacy of oral iron compared to control in children aged 4–23 months on laboratory measures, growth, mortality, </w:t>
      </w:r>
      <w:r w:rsidR="001F5718">
        <w:t xml:space="preserve">and </w:t>
      </w:r>
      <w:r>
        <w:t>func</w:t>
      </w:r>
      <w:r w:rsidR="00CE34B7">
        <w:t xml:space="preserve">tional </w:t>
      </w:r>
      <w:r w:rsidR="001F5718">
        <w:t xml:space="preserve">or </w:t>
      </w:r>
      <w:r w:rsidR="00CE34B7">
        <w:t xml:space="preserve">performance status. The </w:t>
      </w:r>
      <w:r w:rsidR="00E77505">
        <w:t>review included 33 RCTs with us</w:t>
      </w:r>
      <w:r w:rsidR="00CE34B7">
        <w:t xml:space="preserve">able data, </w:t>
      </w:r>
      <w:r>
        <w:t xml:space="preserve">conducted in a variety of clinical settings. </w:t>
      </w:r>
    </w:p>
    <w:p w14:paraId="4A44B5CF" w14:textId="40C6165B" w:rsidR="000742CA" w:rsidRDefault="000742CA" w:rsidP="00CE34B7">
      <w:r>
        <w:t xml:space="preserve">Okebe </w:t>
      </w:r>
      <w:r w:rsidRPr="00CE34B7">
        <w:t>et al</w:t>
      </w:r>
      <w:r>
        <w:rPr>
          <w:i/>
        </w:rPr>
        <w:t xml:space="preserve"> </w:t>
      </w:r>
      <w:r w:rsidR="00CE34B7">
        <w:t>(2011)</w:t>
      </w:r>
      <w:hyperlink w:anchor="_ENREF_107" w:tooltip="Okebe, 2011 #114" w:history="1">
        <w:r w:rsidR="00E62798">
          <w:fldChar w:fldCharType="begin">
            <w:fldData xml:space="preserve">PEVuZE5vdGU+PENpdGU+PEF1dGhvcj5Pa2ViZTwvQXV0aG9yPjxZZWFyPjIwMTE8L1llYXI+PFJl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</w:fldData>
          </w:fldChar>
        </w:r>
        <w:r w:rsidR="00E62798">
          <w:instrText xml:space="preserve"> ADDIN EN.CITE </w:instrText>
        </w:r>
        <w:r w:rsidR="00E62798">
          <w:fldChar w:fldCharType="begin">
            <w:fldData xml:space="preserve">PEVuZE5vdGU+PENpdGU+PEF1dGhvcj5Pa2ViZTwvQXV0aG9yPjxZZWFyPjIwMTE8L1llYXI+PFJl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107</w:t>
        </w:r>
        <w:r w:rsidR="00E62798">
          <w:fldChar w:fldCharType="end"/>
        </w:r>
      </w:hyperlink>
      <w:r w:rsidR="00CE34B7">
        <w:t xml:space="preserve"> </w:t>
      </w:r>
      <w:r>
        <w:t xml:space="preserve">assessed the effect of daily oral iron supplements (with or without folic acid) compared to control in children </w:t>
      </w:r>
      <w:r w:rsidR="00CE34B7">
        <w:t>aged under 18 years living in malaria</w:t>
      </w:r>
      <w:r>
        <w:t>-endemic regions. The review included 71 RCTs</w:t>
      </w:r>
      <w:r w:rsidR="00CE34B7">
        <w:t>, and focus</w:t>
      </w:r>
      <w:r>
        <w:t>ed on outcomes of malaria</w:t>
      </w:r>
      <w:r w:rsidR="00CE34B7">
        <w:t>,</w:t>
      </w:r>
      <w:r>
        <w:t xml:space="preserve"> including severe malaria and mortality. </w:t>
      </w:r>
    </w:p>
    <w:p w14:paraId="48FF9A1E" w14:textId="77777777" w:rsidR="000742CA" w:rsidRPr="00955F0E" w:rsidRDefault="000742CA" w:rsidP="000742CA">
      <w:pPr>
        <w:pStyle w:val="Heading5"/>
      </w:pPr>
      <w:r>
        <w:t>Mortality</w:t>
      </w:r>
    </w:p>
    <w:p w14:paraId="10C85B86" w14:textId="39624F37" w:rsidR="000742CA" w:rsidRDefault="00CE34B7" w:rsidP="00CE34B7">
      <w:r>
        <w:t xml:space="preserve">Both systematic reviews </w:t>
      </w:r>
      <w:r w:rsidR="000742CA">
        <w:t>reported mortality as an outcome and found no significant difference in mortality in children tha</w:t>
      </w:r>
      <w:r>
        <w:t>t received iron versus no iron.</w:t>
      </w:r>
      <w:hyperlink w:anchor="_ENREF_106" w:tooltip="Pasricha, 2013 #117" w:history="1">
        <w:r w:rsidR="00E62798">
          <w:fldChar w:fldCharType="begin">
            <w:fldData xml:space="preserve">PEVuZE5vdGU+PENpdGU+PEF1dGhvcj5Pa2ViZTwvQXV0aG9yPjxZZWFyPjIwMTE8L1llYXI+PFJl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==
</w:fldData>
          </w:fldChar>
        </w:r>
        <w:r w:rsidR="00E62798">
          <w:instrText xml:space="preserve"> ADDIN EN.CITE </w:instrText>
        </w:r>
        <w:r w:rsidR="00E62798">
          <w:fldChar w:fldCharType="begin">
            <w:fldData xml:space="preserve">PEVuZE5vdGU+PENpdGU+PEF1dGhvcj5Pa2ViZTwvQXV0aG9yPjxZZWFyPjIwMTE8L1llYXI+PFJl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==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106-107</w:t>
        </w:r>
        <w:r w:rsidR="00E62798">
          <w:fldChar w:fldCharType="end"/>
        </w:r>
      </w:hyperlink>
    </w:p>
    <w:p w14:paraId="716BE95C" w14:textId="77777777" w:rsidR="000742CA" w:rsidRDefault="000742CA" w:rsidP="000742CA">
      <w:pPr>
        <w:pStyle w:val="Heading5"/>
      </w:pPr>
      <w:r w:rsidRPr="004667A5">
        <w:t>Secondary outcomes</w:t>
      </w:r>
      <w:r>
        <w:rPr>
          <w:rStyle w:val="FootnoteReference"/>
        </w:rPr>
        <w:footnoteReference w:id="4"/>
      </w:r>
    </w:p>
    <w:p w14:paraId="53E46BC7" w14:textId="6DF94CB9" w:rsidR="000742CA" w:rsidRPr="00C926FC" w:rsidRDefault="000742CA" w:rsidP="000742CA">
      <w:pPr>
        <w:pStyle w:val="H6"/>
      </w:pPr>
      <w:r>
        <w:t xml:space="preserve">Functional </w:t>
      </w:r>
      <w:r w:rsidR="001F5718">
        <w:t xml:space="preserve">or </w:t>
      </w:r>
      <w:r>
        <w:t>performance status</w:t>
      </w:r>
    </w:p>
    <w:p w14:paraId="7D0786C8" w14:textId="05EEAF81" w:rsidR="000742CA" w:rsidRDefault="000742CA" w:rsidP="00CE34B7">
      <w:r>
        <w:t>One</w:t>
      </w:r>
      <w:r w:rsidRPr="004667A5">
        <w:t xml:space="preserve"> Level I stud</w:t>
      </w:r>
      <w:r>
        <w:t>y</w:t>
      </w:r>
      <w:r w:rsidR="00CE34B7">
        <w:t xml:space="preserve"> </w:t>
      </w:r>
      <w:r>
        <w:t>reported functional and performance measures</w:t>
      </w:r>
      <w:r w:rsidR="00CE34B7">
        <w:t>.</w:t>
      </w:r>
      <w:hyperlink w:anchor="_ENREF_106" w:tooltip="Pasricha, 2013 #117" w:history="1">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 </w:instrText>
        </w:r>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w:t>
        </w:r>
        <w:r w:rsidR="00E62798">
          <w:fldChar w:fldCharType="end"/>
        </w:r>
      </w:hyperlink>
      <w:r>
        <w:t xml:space="preserve"> </w:t>
      </w:r>
      <w:r w:rsidR="00CE34B7">
        <w:t xml:space="preserve">It </w:t>
      </w:r>
      <w:r>
        <w:t xml:space="preserve">found no significant difference </w:t>
      </w:r>
      <w:r w:rsidRPr="00E63C1E">
        <w:t>between</w:t>
      </w:r>
      <w:r>
        <w:t xml:space="preserve"> treatment groups as assessed by the Bayley Scales of Infant and Toddler Development </w:t>
      </w:r>
      <w:r w:rsidRPr="004667A5">
        <w:t>mental development index</w:t>
      </w:r>
      <w:r>
        <w:t xml:space="preserve"> (MDI) or </w:t>
      </w:r>
      <w:r w:rsidRPr="004E58D4">
        <w:t xml:space="preserve">psychomotor development index </w:t>
      </w:r>
      <w:r>
        <w:t>(PDI). There was significant heterogenei</w:t>
      </w:r>
      <w:r w:rsidR="00CE34B7">
        <w:t>ty between the included studies. A subgroup analysis</w:t>
      </w:r>
      <w:r>
        <w:t xml:space="preserve"> conducted to explore heterogeneity showed evidence of benefit on MDI in children with iron deficiency at baseline. </w:t>
      </w:r>
    </w:p>
    <w:p w14:paraId="24CAB087" w14:textId="77777777" w:rsidR="000742CA" w:rsidRPr="004E58D4" w:rsidRDefault="000742CA" w:rsidP="000742CA">
      <w:pPr>
        <w:pStyle w:val="H6"/>
      </w:pPr>
      <w:r>
        <w:t xml:space="preserve">Laboratory measures </w:t>
      </w:r>
    </w:p>
    <w:p w14:paraId="0EE2E6EA" w14:textId="035DF71A" w:rsidR="000742CA" w:rsidRDefault="000742CA" w:rsidP="00CE34B7">
      <w:r>
        <w:t>Both systematic</w:t>
      </w:r>
      <w:r w:rsidR="00CE34B7">
        <w:t xml:space="preserve"> reviews </w:t>
      </w:r>
      <w:r>
        <w:t>found a significant increase in Hb in children administered oral iron</w:t>
      </w:r>
      <w:r w:rsidR="00CE34B7">
        <w:t>.</w:t>
      </w:r>
      <w:hyperlink w:anchor="_ENREF_106" w:tooltip="Pasricha, 2013 #117" w:history="1">
        <w:r w:rsidR="00E62798">
          <w:fldChar w:fldCharType="begin">
            <w:fldData xml:space="preserve">PEVuZE5vdGU+PENpdGU+PEF1dGhvcj5Pa2ViZTwvQXV0aG9yPjxZZWFyPjIwMTE8L1llYXI+PFJl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==
</w:fldData>
          </w:fldChar>
        </w:r>
        <w:r w:rsidR="00E62798">
          <w:instrText xml:space="preserve"> ADDIN EN.CITE </w:instrText>
        </w:r>
        <w:r w:rsidR="00E62798">
          <w:fldChar w:fldCharType="begin">
            <w:fldData xml:space="preserve">PEVuZE5vdGU+PENpdGU+PEF1dGhvcj5Pa2ViZTwvQXV0aG9yPjxZZWFyPjIwMTE8L1llYXI+PFJl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==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106-107</w:t>
        </w:r>
        <w:r w:rsidR="00E62798">
          <w:fldChar w:fldCharType="end"/>
        </w:r>
      </w:hyperlink>
      <w:r w:rsidR="00CE34B7">
        <w:t xml:space="preserve"> Also, one review </w:t>
      </w:r>
      <w:r>
        <w:t>reported a reduced prevalence of anaemia, iron deficiency and</w:t>
      </w:r>
      <w:r w:rsidR="00225A02">
        <w:t xml:space="preserve"> IDA</w:t>
      </w:r>
      <w:r>
        <w:t>.</w:t>
      </w:r>
      <w:hyperlink w:anchor="_ENREF_106" w:tooltip="Pasricha, 2013 #117" w:history="1">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 </w:instrText>
        </w:r>
        <w:r w:rsidR="00E62798">
          <w:fldChar w:fldCharType="begin">
            <w:fldData xml:space="preserve">PEVuZE5vdGU+PENpdGU+PEF1dGhvcj5QYXNyaWNoYTwvQXV0aG9yPjxZZWFyPjIwMTM8L1llYXI+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=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106</w:t>
        </w:r>
        <w:r w:rsidR="00E62798">
          <w:fldChar w:fldCharType="end"/>
        </w:r>
      </w:hyperlink>
      <w:r>
        <w:t xml:space="preserve"> </w:t>
      </w:r>
    </w:p>
    <w:p w14:paraId="31C15781" w14:textId="1BE720D1" w:rsidR="000742CA" w:rsidRPr="00E856A8" w:rsidRDefault="000742CA" w:rsidP="00C97256">
      <w:pPr>
        <w:pStyle w:val="BoxHeading"/>
        <w:keepLines/>
        <w:ind w:left="805" w:right="57"/>
      </w:pPr>
      <w:r w:rsidRPr="00E856A8">
        <w:t>Clinical commentary</w:t>
      </w:r>
      <w:r w:rsidR="002D1C5F">
        <w:t xml:space="preserve"> </w:t>
      </w:r>
      <w:r w:rsidR="002D1C5F">
        <w:rPr>
          <w:lang w:val="en-AU"/>
        </w:rPr>
        <w:t>–</w:t>
      </w:r>
      <w:r w:rsidR="00797A43">
        <w:rPr>
          <w:lang w:val="en-AU"/>
        </w:rPr>
        <w:t xml:space="preserve"> </w:t>
      </w:r>
      <w:r w:rsidR="002D1C5F">
        <w:rPr>
          <w:lang w:val="en-AU"/>
        </w:rPr>
        <w:t xml:space="preserve">oral and/or parenteral iron </w:t>
      </w:r>
      <w:r w:rsidR="002D1C5F">
        <w:t>in infants, children and adolescents at risk of anaemia</w:t>
      </w:r>
    </w:p>
    <w:p w14:paraId="6146C80D" w14:textId="031A4293" w:rsidR="000742CA" w:rsidRDefault="000742CA" w:rsidP="00C97256">
      <w:pPr>
        <w:pStyle w:val="BoxText"/>
        <w:keepNext/>
        <w:keepLines/>
        <w:ind w:left="805" w:right="57"/>
        <w:rPr>
          <w:rFonts w:asciiTheme="minorHAnsi" w:hAnsiTheme="minorHAnsi"/>
        </w:rPr>
      </w:pPr>
      <w:r>
        <w:t xml:space="preserve">The CRG advises that </w:t>
      </w:r>
      <w:r w:rsidRPr="00050779">
        <w:t xml:space="preserve">infants and children should receive sufficient dietary iron to achieve the adequate intake (AI) or recommended daily intake (RDI). If the AI or RDI cannot be met by dietary means, </w:t>
      </w:r>
      <w:r w:rsidRPr="00372CA1">
        <w:t>iron</w:t>
      </w:r>
      <w:r w:rsidR="00CE34B7">
        <w:t xml:space="preserve"> supplementation is advised</w:t>
      </w:r>
      <w:r>
        <w:t xml:space="preserve"> (see PP14)</w:t>
      </w:r>
      <w:r w:rsidR="00CE34B7">
        <w:t>.</w:t>
      </w:r>
    </w:p>
    <w:p w14:paraId="737592E8" w14:textId="2F07F339" w:rsidR="000742CA" w:rsidRDefault="00333753" w:rsidP="00C97256">
      <w:pPr>
        <w:pStyle w:val="BoxText"/>
        <w:keepNext/>
        <w:keepLines/>
        <w:ind w:left="805" w:right="57"/>
      </w:pPr>
      <w:r>
        <w:t>A full blood count</w:t>
      </w:r>
      <w:r w:rsidR="000742CA">
        <w:t xml:space="preserve"> and ferritin should be used to screen infants and children at risk of iron deficiency (see PP15). If iron deficiency is detected</w:t>
      </w:r>
      <w:r w:rsidR="00CE34B7">
        <w:t>,</w:t>
      </w:r>
      <w:r w:rsidR="000742CA">
        <w:t xml:space="preserve"> then appropriate iron supplementation and dietary modifications should be implemented (see PP16).</w:t>
      </w:r>
    </w:p>
    <w:p w14:paraId="0091B59D" w14:textId="1001392A" w:rsidR="000742CA" w:rsidRPr="00836A51" w:rsidRDefault="000742CA" w:rsidP="00C97256">
      <w:pPr>
        <w:pStyle w:val="BoxText"/>
        <w:keepNext/>
        <w:keepLines/>
        <w:ind w:left="805" w:right="57"/>
        <w:rPr>
          <w:rFonts w:asciiTheme="minorHAnsi" w:hAnsiTheme="minorHAnsi"/>
        </w:rPr>
      </w:pPr>
      <w:r>
        <w:t>Oral iron supplementation at appropriate dosages, for adequate duration</w:t>
      </w:r>
      <w:r w:rsidR="00CE34B7">
        <w:t>,</w:t>
      </w:r>
      <w:r>
        <w:t xml:space="preserve"> is effective </w:t>
      </w:r>
      <w:r w:rsidR="001F5718">
        <w:t>first</w:t>
      </w:r>
      <w:r w:rsidR="001F5718">
        <w:rPr>
          <w:lang w:val="en-AU"/>
        </w:rPr>
        <w:t>-</w:t>
      </w:r>
      <w:r>
        <w:t xml:space="preserve">line </w:t>
      </w:r>
      <w:r w:rsidRPr="00836A51">
        <w:t xml:space="preserve">treatment of iron deficiency in most infants, children and adolescents. </w:t>
      </w:r>
      <w:r>
        <w:t xml:space="preserve">Background question 5 </w:t>
      </w:r>
      <w:r w:rsidR="00CE34B7">
        <w:t xml:space="preserve">(Section 4.5) </w:t>
      </w:r>
      <w:r>
        <w:t xml:space="preserve">has additional information on risk factors for iron deficiency, investigation, diagnosis and management of iron deficiency. </w:t>
      </w:r>
    </w:p>
    <w:p w14:paraId="64F6C467" w14:textId="01FB574D" w:rsidR="000742CA" w:rsidRPr="002D1C5F" w:rsidRDefault="002D1C5F" w:rsidP="002D1C5F">
      <w:pPr>
        <w:pStyle w:val="Heading3"/>
        <w:rPr>
          <w:lang w:val="en-AU"/>
        </w:rPr>
      </w:pPr>
      <w:bookmarkStart w:id="120" w:name="_Toc427851328"/>
      <w:r>
        <w:rPr>
          <w:lang w:val="en-AU"/>
        </w:rPr>
        <w:t>3.3.5</w:t>
      </w:r>
      <w:r>
        <w:rPr>
          <w:lang w:val="en-AU"/>
        </w:rPr>
        <w:tab/>
      </w:r>
      <w:r w:rsidR="000742CA">
        <w:t xml:space="preserve">Medical: </w:t>
      </w:r>
      <w:r w:rsidR="00797A43">
        <w:rPr>
          <w:lang w:val="en-AU"/>
        </w:rPr>
        <w:t xml:space="preserve">neonatal and </w:t>
      </w:r>
      <w:r w:rsidR="000742CA">
        <w:t>p</w:t>
      </w:r>
      <w:r w:rsidR="000742CA" w:rsidRPr="004667A5">
        <w:t>aediatric</w:t>
      </w:r>
      <w:r w:rsidR="000742CA">
        <w:t xml:space="preserve"> </w:t>
      </w:r>
      <w:r w:rsidR="000742CA" w:rsidRPr="004667A5">
        <w:t>patients with cancer</w:t>
      </w:r>
      <w:r>
        <w:rPr>
          <w:lang w:val="en-AU"/>
        </w:rPr>
        <w:t xml:space="preserve"> – effect of </w:t>
      </w:r>
      <w:r w:rsidRPr="004667A5">
        <w:t xml:space="preserve">ESAs </w:t>
      </w:r>
      <w:r>
        <w:rPr>
          <w:lang w:val="en-AU"/>
        </w:rPr>
        <w:t>(</w:t>
      </w:r>
      <w:r w:rsidRPr="00A21FE4">
        <w:t>with or without iron</w:t>
      </w:r>
      <w:r>
        <w:rPr>
          <w:lang w:val="en-AU"/>
        </w:rPr>
        <w:t>) on outcomes</w:t>
      </w:r>
      <w:bookmarkEnd w:id="120"/>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020BF6D8" w14:textId="77777777" w:rsidTr="006E63D2">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69D99622" w14:textId="4DD10E1D" w:rsidR="000742CA" w:rsidRPr="00A21FE4" w:rsidRDefault="000742CA" w:rsidP="000742CA">
            <w:pPr>
              <w:pStyle w:val="PP-heading"/>
            </w:pPr>
            <w:r w:rsidRPr="00A21FE4">
              <w:t>Evidence statements – cancer (ESA</w:t>
            </w:r>
            <w:r w:rsidR="006D11A2">
              <w:rPr>
                <w:lang w:val="en-AU"/>
              </w:rPr>
              <w:t>s</w:t>
            </w:r>
            <w:r w:rsidRPr="00A21FE4">
              <w:t xml:space="preserve"> 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B6173B6"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4A0F365"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DA64135"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E206E17"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D2C281E" w14:textId="77777777" w:rsidR="000742CA" w:rsidRPr="00A21FE4" w:rsidRDefault="000742CA" w:rsidP="000742CA">
            <w:pPr>
              <w:ind w:left="113" w:right="113"/>
              <w:jc w:val="center"/>
              <w:rPr>
                <w:b/>
              </w:rPr>
            </w:pPr>
            <w:r w:rsidRPr="00A21FE4">
              <w:rPr>
                <w:b/>
              </w:rPr>
              <w:t>Applicability</w:t>
            </w:r>
          </w:p>
        </w:tc>
      </w:tr>
      <w:tr w:rsidR="000742CA" w:rsidRPr="00A21FE4" w14:paraId="27869DED" w14:textId="77777777" w:rsidTr="000742CA">
        <w:trPr>
          <w:cantSplit/>
        </w:trPr>
        <w:tc>
          <w:tcPr>
            <w:tcW w:w="851" w:type="dxa"/>
          </w:tcPr>
          <w:p w14:paraId="20097E2F" w14:textId="77777777" w:rsidR="000742CA" w:rsidRPr="00A21FE4" w:rsidRDefault="000742CA" w:rsidP="000742CA">
            <w:pPr>
              <w:pStyle w:val="Tabletext0"/>
            </w:pPr>
            <w:r w:rsidRPr="00A40CF3">
              <w:t>ES2.</w:t>
            </w:r>
            <w:r>
              <w:t>17</w:t>
            </w:r>
          </w:p>
        </w:tc>
        <w:tc>
          <w:tcPr>
            <w:tcW w:w="3750" w:type="dxa"/>
          </w:tcPr>
          <w:p w14:paraId="273A9005" w14:textId="77777777" w:rsidR="000742CA" w:rsidRPr="00A21FE4" w:rsidRDefault="000742CA" w:rsidP="000742CA">
            <w:pPr>
              <w:pStyle w:val="ES-table"/>
            </w:pPr>
            <w:r w:rsidRPr="00A21FE4">
              <w:t xml:space="preserve">In neonatal patients receiving chemotherapy, the effect of ESA therapy (with or without iron) on transfusion incidence or volume is unknown. </w:t>
            </w:r>
          </w:p>
        </w:tc>
        <w:tc>
          <w:tcPr>
            <w:tcW w:w="820" w:type="dxa"/>
          </w:tcPr>
          <w:p w14:paraId="0CB3CA1D" w14:textId="77777777" w:rsidR="000742CA" w:rsidRPr="00A21FE4" w:rsidRDefault="000742CA" w:rsidP="000742CA">
            <w:pPr>
              <w:pStyle w:val="T-ABCD"/>
            </w:pPr>
            <w:r w:rsidRPr="00A21FE4">
              <w:t>NA</w:t>
            </w:r>
          </w:p>
        </w:tc>
        <w:tc>
          <w:tcPr>
            <w:tcW w:w="821" w:type="dxa"/>
          </w:tcPr>
          <w:p w14:paraId="685D7A26" w14:textId="77777777" w:rsidR="000742CA" w:rsidRPr="00A21FE4" w:rsidRDefault="000742CA" w:rsidP="000742CA">
            <w:pPr>
              <w:pStyle w:val="T-ABCD"/>
            </w:pPr>
            <w:r w:rsidRPr="00A21FE4">
              <w:t>NA</w:t>
            </w:r>
          </w:p>
        </w:tc>
        <w:tc>
          <w:tcPr>
            <w:tcW w:w="821" w:type="dxa"/>
          </w:tcPr>
          <w:p w14:paraId="6523E5CF" w14:textId="77777777" w:rsidR="000742CA" w:rsidRPr="00A21FE4" w:rsidRDefault="000742CA" w:rsidP="000742CA">
            <w:pPr>
              <w:pStyle w:val="T-ABCD"/>
            </w:pPr>
            <w:r w:rsidRPr="00A21FE4">
              <w:t>NA</w:t>
            </w:r>
          </w:p>
        </w:tc>
        <w:tc>
          <w:tcPr>
            <w:tcW w:w="821" w:type="dxa"/>
          </w:tcPr>
          <w:p w14:paraId="2D342685" w14:textId="77777777" w:rsidR="000742CA" w:rsidRPr="00A21FE4" w:rsidRDefault="000742CA" w:rsidP="000742CA">
            <w:pPr>
              <w:pStyle w:val="T-ABCD"/>
            </w:pPr>
            <w:r w:rsidRPr="00A21FE4">
              <w:t>NA</w:t>
            </w:r>
          </w:p>
        </w:tc>
        <w:tc>
          <w:tcPr>
            <w:tcW w:w="821" w:type="dxa"/>
          </w:tcPr>
          <w:p w14:paraId="44B67A82" w14:textId="77777777" w:rsidR="000742CA" w:rsidRPr="00A21FE4" w:rsidRDefault="000742CA" w:rsidP="000742CA">
            <w:pPr>
              <w:pStyle w:val="T-ABCD"/>
            </w:pPr>
            <w:r w:rsidRPr="00A21FE4">
              <w:t xml:space="preserve">NA </w:t>
            </w:r>
          </w:p>
        </w:tc>
      </w:tr>
      <w:tr w:rsidR="000742CA" w:rsidRPr="00A21FE4" w14:paraId="192C9E56" w14:textId="77777777" w:rsidTr="000742CA">
        <w:trPr>
          <w:cantSplit/>
        </w:trPr>
        <w:tc>
          <w:tcPr>
            <w:tcW w:w="851" w:type="dxa"/>
          </w:tcPr>
          <w:p w14:paraId="7265589F" w14:textId="77777777" w:rsidR="000742CA" w:rsidRPr="00A21FE4" w:rsidRDefault="000742CA" w:rsidP="000742CA">
            <w:pPr>
              <w:pStyle w:val="Tabletext0"/>
            </w:pPr>
            <w:r>
              <w:t>ES2.18</w:t>
            </w:r>
          </w:p>
        </w:tc>
        <w:tc>
          <w:tcPr>
            <w:tcW w:w="3750" w:type="dxa"/>
          </w:tcPr>
          <w:p w14:paraId="3505CF90" w14:textId="77777777" w:rsidR="000742CA" w:rsidRPr="00A21FE4" w:rsidRDefault="000742CA" w:rsidP="000742CA">
            <w:pPr>
              <w:pStyle w:val="ES-table"/>
            </w:pPr>
            <w:r w:rsidRPr="00A21FE4">
              <w:t>In paediatric patients receiving chemotherapy, ESA therapy (with or without iron) may reduce transfusion incidence.</w:t>
            </w:r>
          </w:p>
          <w:p w14:paraId="3AF88E45" w14:textId="77777777" w:rsidR="000742CA" w:rsidRPr="00A21FE4" w:rsidRDefault="000742CA" w:rsidP="000742CA">
            <w:pPr>
              <w:pStyle w:val="ES-notes"/>
              <w:rPr>
                <w:szCs w:val="20"/>
              </w:rPr>
            </w:pPr>
            <w:r w:rsidRPr="00A21FE4">
              <w:t>(See evidence matrix D2.L in Volume 2 of the technical report.)</w:t>
            </w:r>
          </w:p>
        </w:tc>
        <w:tc>
          <w:tcPr>
            <w:tcW w:w="820" w:type="dxa"/>
          </w:tcPr>
          <w:p w14:paraId="6C76C76D" w14:textId="77777777" w:rsidR="000742CA" w:rsidRPr="00A21FE4" w:rsidRDefault="000742CA" w:rsidP="000742CA">
            <w:pPr>
              <w:pStyle w:val="T-ABCD"/>
            </w:pPr>
            <w:r w:rsidRPr="00A21FE4">
              <w:sym w:font="Symbol" w:char="F0D6"/>
            </w:r>
            <w:r w:rsidRPr="00A21FE4">
              <w:sym w:font="Symbol" w:char="F0D6"/>
            </w:r>
          </w:p>
        </w:tc>
        <w:tc>
          <w:tcPr>
            <w:tcW w:w="821" w:type="dxa"/>
          </w:tcPr>
          <w:p w14:paraId="23CDA30D" w14:textId="77777777" w:rsidR="000742CA" w:rsidRPr="00A21FE4" w:rsidRDefault="000742CA" w:rsidP="000742CA">
            <w:pPr>
              <w:pStyle w:val="T-ABCD"/>
            </w:pPr>
            <w:r w:rsidRPr="00A21FE4">
              <w:sym w:font="Symbol" w:char="F0D6"/>
            </w:r>
            <w:r w:rsidRPr="00A21FE4">
              <w:sym w:font="Symbol" w:char="F0D6"/>
            </w:r>
          </w:p>
        </w:tc>
        <w:tc>
          <w:tcPr>
            <w:tcW w:w="821" w:type="dxa"/>
          </w:tcPr>
          <w:p w14:paraId="22F4E657" w14:textId="77777777" w:rsidR="000742CA" w:rsidRPr="00A21FE4" w:rsidRDefault="000742CA" w:rsidP="000742CA">
            <w:pPr>
              <w:pStyle w:val="T-ABCD"/>
            </w:pPr>
            <w:r w:rsidRPr="00A21FE4">
              <w:sym w:font="Symbol" w:char="F0D6"/>
            </w:r>
          </w:p>
        </w:tc>
        <w:tc>
          <w:tcPr>
            <w:tcW w:w="821" w:type="dxa"/>
          </w:tcPr>
          <w:p w14:paraId="28356F6C" w14:textId="77777777" w:rsidR="000742CA" w:rsidRPr="00A21FE4" w:rsidRDefault="000742CA" w:rsidP="000742CA">
            <w:pPr>
              <w:pStyle w:val="T-ABCD"/>
            </w:pPr>
            <w:r w:rsidRPr="00A21FE4">
              <w:sym w:font="Symbol" w:char="F0D6"/>
            </w:r>
            <w:r w:rsidRPr="00A21FE4">
              <w:sym w:font="Symbol" w:char="F0D6"/>
            </w:r>
          </w:p>
        </w:tc>
        <w:tc>
          <w:tcPr>
            <w:tcW w:w="821" w:type="dxa"/>
          </w:tcPr>
          <w:p w14:paraId="25005794" w14:textId="77777777" w:rsidR="000742CA" w:rsidRPr="00A21FE4" w:rsidRDefault="000742CA" w:rsidP="000742CA">
            <w:pPr>
              <w:pStyle w:val="T-ABCD"/>
            </w:pPr>
            <w:r w:rsidRPr="00A21FE4">
              <w:sym w:font="Symbol" w:char="F0D6"/>
            </w:r>
          </w:p>
        </w:tc>
      </w:tr>
      <w:tr w:rsidR="000742CA" w:rsidRPr="00A21FE4" w14:paraId="71711B21" w14:textId="77777777" w:rsidTr="000742CA">
        <w:trPr>
          <w:cantSplit/>
        </w:trPr>
        <w:tc>
          <w:tcPr>
            <w:tcW w:w="851" w:type="dxa"/>
          </w:tcPr>
          <w:p w14:paraId="5FC30D5A" w14:textId="77777777" w:rsidR="000742CA" w:rsidRPr="00A21FE4" w:rsidRDefault="000742CA" w:rsidP="000742CA">
            <w:pPr>
              <w:pStyle w:val="Tabletext0"/>
            </w:pPr>
            <w:r>
              <w:t>ES2.19</w:t>
            </w:r>
          </w:p>
        </w:tc>
        <w:tc>
          <w:tcPr>
            <w:tcW w:w="3750" w:type="dxa"/>
          </w:tcPr>
          <w:p w14:paraId="58E413CE" w14:textId="77777777" w:rsidR="000742CA" w:rsidRPr="00A21FE4" w:rsidRDefault="000742CA" w:rsidP="000742CA">
            <w:pPr>
              <w:pStyle w:val="ES-table"/>
            </w:pPr>
            <w:r w:rsidRPr="00A21FE4">
              <w:t>In paediatric patients receiving chemotherapy, the effect of ESA therapy (with or without iron) on transfusion volume is uncertain.</w:t>
            </w:r>
          </w:p>
          <w:p w14:paraId="40D8A512" w14:textId="77777777" w:rsidR="000742CA" w:rsidRPr="00A21FE4" w:rsidRDefault="000742CA" w:rsidP="000742CA">
            <w:pPr>
              <w:pStyle w:val="ES-notes"/>
            </w:pPr>
            <w:r w:rsidRPr="00A21FE4">
              <w:t>(See evidence matrix D2.M in Volume 2 of the technical report.)</w:t>
            </w:r>
          </w:p>
        </w:tc>
        <w:tc>
          <w:tcPr>
            <w:tcW w:w="820" w:type="dxa"/>
          </w:tcPr>
          <w:p w14:paraId="52417835" w14:textId="77777777" w:rsidR="000742CA" w:rsidRPr="00A21FE4" w:rsidRDefault="000742CA" w:rsidP="000742CA">
            <w:pPr>
              <w:pStyle w:val="T-ABCD"/>
            </w:pPr>
            <w:r w:rsidRPr="00A21FE4">
              <w:sym w:font="Symbol" w:char="F0D6"/>
            </w:r>
          </w:p>
        </w:tc>
        <w:tc>
          <w:tcPr>
            <w:tcW w:w="821" w:type="dxa"/>
          </w:tcPr>
          <w:p w14:paraId="34AD6CD6" w14:textId="77777777" w:rsidR="000742CA" w:rsidRPr="00A21FE4" w:rsidRDefault="000742CA" w:rsidP="000742CA">
            <w:pPr>
              <w:pStyle w:val="T-ABCD"/>
            </w:pPr>
            <w:r w:rsidRPr="00A21FE4">
              <w:sym w:font="Symbol" w:char="F0D6"/>
            </w:r>
            <w:r w:rsidRPr="00A21FE4">
              <w:sym w:font="Symbol" w:char="F0D6"/>
            </w:r>
          </w:p>
        </w:tc>
        <w:tc>
          <w:tcPr>
            <w:tcW w:w="821" w:type="dxa"/>
          </w:tcPr>
          <w:p w14:paraId="7C351093" w14:textId="77777777" w:rsidR="000742CA" w:rsidRPr="00A21FE4" w:rsidRDefault="000742CA" w:rsidP="000742CA">
            <w:pPr>
              <w:pStyle w:val="T-ABCD"/>
            </w:pPr>
            <w:r w:rsidRPr="00A21FE4">
              <w:sym w:font="Symbol" w:char="F0D6"/>
            </w:r>
          </w:p>
        </w:tc>
        <w:tc>
          <w:tcPr>
            <w:tcW w:w="821" w:type="dxa"/>
          </w:tcPr>
          <w:p w14:paraId="1AC9D882" w14:textId="77777777" w:rsidR="000742CA" w:rsidRPr="00A21FE4" w:rsidRDefault="000742CA" w:rsidP="000742CA">
            <w:pPr>
              <w:pStyle w:val="T-ABCD"/>
            </w:pPr>
            <w:r w:rsidRPr="00A21FE4">
              <w:sym w:font="Symbol" w:char="F0D6"/>
            </w:r>
            <w:r w:rsidRPr="00A21FE4">
              <w:sym w:font="Symbol" w:char="F0D6"/>
            </w:r>
          </w:p>
        </w:tc>
        <w:tc>
          <w:tcPr>
            <w:tcW w:w="821" w:type="dxa"/>
          </w:tcPr>
          <w:p w14:paraId="4C83A581" w14:textId="77777777" w:rsidR="000742CA" w:rsidRPr="00A21FE4" w:rsidRDefault="000742CA" w:rsidP="000742CA">
            <w:pPr>
              <w:pStyle w:val="T-ABCD"/>
            </w:pPr>
            <w:r w:rsidRPr="00A21FE4">
              <w:sym w:font="Symbol" w:char="F0D6"/>
            </w:r>
          </w:p>
        </w:tc>
      </w:tr>
      <w:tr w:rsidR="000742CA" w:rsidRPr="00A21FE4" w14:paraId="377872FC" w14:textId="77777777" w:rsidTr="000742CA">
        <w:trPr>
          <w:cantSplit/>
        </w:trPr>
        <w:tc>
          <w:tcPr>
            <w:tcW w:w="851" w:type="dxa"/>
          </w:tcPr>
          <w:p w14:paraId="1B2AB5F4" w14:textId="77777777" w:rsidR="000742CA" w:rsidRPr="00A21FE4" w:rsidRDefault="000742CA" w:rsidP="000742CA">
            <w:pPr>
              <w:pStyle w:val="Tabletext0"/>
            </w:pPr>
            <w:r>
              <w:t>ES2.20</w:t>
            </w:r>
          </w:p>
        </w:tc>
        <w:tc>
          <w:tcPr>
            <w:tcW w:w="3750" w:type="dxa"/>
          </w:tcPr>
          <w:p w14:paraId="509319F2" w14:textId="77777777" w:rsidR="000742CA" w:rsidRPr="00A21FE4" w:rsidRDefault="000742CA" w:rsidP="000742CA">
            <w:pPr>
              <w:pStyle w:val="ES-table"/>
            </w:pPr>
            <w:r w:rsidRPr="00A21FE4">
              <w:t>In neonatal patients receiving chemotherapy, the effect of ESA therapy (with or without iron) on thromboembolic events is unknown.</w:t>
            </w:r>
          </w:p>
        </w:tc>
        <w:tc>
          <w:tcPr>
            <w:tcW w:w="820" w:type="dxa"/>
          </w:tcPr>
          <w:p w14:paraId="36573D9E" w14:textId="77777777" w:rsidR="000742CA" w:rsidRPr="00A21FE4" w:rsidRDefault="000742CA" w:rsidP="000742CA">
            <w:pPr>
              <w:pStyle w:val="T-ABCD"/>
            </w:pPr>
            <w:r w:rsidRPr="00A21FE4">
              <w:t>NA</w:t>
            </w:r>
          </w:p>
        </w:tc>
        <w:tc>
          <w:tcPr>
            <w:tcW w:w="821" w:type="dxa"/>
          </w:tcPr>
          <w:p w14:paraId="4BE3B508" w14:textId="77777777" w:rsidR="000742CA" w:rsidRPr="00A21FE4" w:rsidRDefault="000742CA" w:rsidP="000742CA">
            <w:pPr>
              <w:pStyle w:val="T-ABCD"/>
            </w:pPr>
            <w:r w:rsidRPr="00A21FE4">
              <w:t>NA</w:t>
            </w:r>
          </w:p>
        </w:tc>
        <w:tc>
          <w:tcPr>
            <w:tcW w:w="821" w:type="dxa"/>
          </w:tcPr>
          <w:p w14:paraId="79A4DD8D" w14:textId="77777777" w:rsidR="000742CA" w:rsidRPr="00A21FE4" w:rsidRDefault="000742CA" w:rsidP="000742CA">
            <w:pPr>
              <w:pStyle w:val="T-ABCD"/>
            </w:pPr>
            <w:r w:rsidRPr="00A21FE4">
              <w:t>NA</w:t>
            </w:r>
          </w:p>
        </w:tc>
        <w:tc>
          <w:tcPr>
            <w:tcW w:w="821" w:type="dxa"/>
          </w:tcPr>
          <w:p w14:paraId="44D46EC5" w14:textId="77777777" w:rsidR="000742CA" w:rsidRPr="00A21FE4" w:rsidRDefault="000742CA" w:rsidP="000742CA">
            <w:pPr>
              <w:pStyle w:val="T-ABCD"/>
            </w:pPr>
            <w:r w:rsidRPr="00A21FE4">
              <w:t>NA</w:t>
            </w:r>
          </w:p>
        </w:tc>
        <w:tc>
          <w:tcPr>
            <w:tcW w:w="821" w:type="dxa"/>
          </w:tcPr>
          <w:p w14:paraId="24AA61D8" w14:textId="77777777" w:rsidR="000742CA" w:rsidRPr="00A21FE4" w:rsidRDefault="000742CA" w:rsidP="000742CA">
            <w:pPr>
              <w:pStyle w:val="T-ABCD"/>
            </w:pPr>
            <w:r w:rsidRPr="00A21FE4">
              <w:t xml:space="preserve">NA </w:t>
            </w:r>
          </w:p>
        </w:tc>
      </w:tr>
      <w:tr w:rsidR="000742CA" w:rsidRPr="00A21FE4" w14:paraId="0EA0A163" w14:textId="77777777" w:rsidTr="000742CA">
        <w:trPr>
          <w:cantSplit/>
        </w:trPr>
        <w:tc>
          <w:tcPr>
            <w:tcW w:w="851" w:type="dxa"/>
          </w:tcPr>
          <w:p w14:paraId="22E00D62" w14:textId="77777777" w:rsidR="000742CA" w:rsidRPr="00A21FE4" w:rsidRDefault="000742CA" w:rsidP="000742CA">
            <w:pPr>
              <w:pStyle w:val="Tabletext0"/>
            </w:pPr>
            <w:r>
              <w:t>ES2.21</w:t>
            </w:r>
          </w:p>
        </w:tc>
        <w:tc>
          <w:tcPr>
            <w:tcW w:w="3750" w:type="dxa"/>
          </w:tcPr>
          <w:p w14:paraId="086E284B" w14:textId="77777777" w:rsidR="000742CA" w:rsidRPr="00A21FE4" w:rsidRDefault="000742CA" w:rsidP="000742CA">
            <w:pPr>
              <w:pStyle w:val="ES-table"/>
            </w:pPr>
            <w:r w:rsidRPr="00A21FE4">
              <w:t>In paediatric patients receiving chemotherapy, the effect of ESA therapy (with or without iron) on thromboembolic events is uncertain.</w:t>
            </w:r>
          </w:p>
          <w:p w14:paraId="050C87DC" w14:textId="77777777" w:rsidR="000742CA" w:rsidRPr="00A21FE4" w:rsidRDefault="000742CA" w:rsidP="000742CA">
            <w:pPr>
              <w:pStyle w:val="ES-notes"/>
              <w:rPr>
                <w:szCs w:val="20"/>
              </w:rPr>
            </w:pPr>
            <w:r w:rsidRPr="00A21FE4">
              <w:t>(See evidence matrix D2.N in Volume 2 of the technical report.)</w:t>
            </w:r>
          </w:p>
        </w:tc>
        <w:tc>
          <w:tcPr>
            <w:tcW w:w="820" w:type="dxa"/>
          </w:tcPr>
          <w:p w14:paraId="4CC4C8C1" w14:textId="77777777" w:rsidR="000742CA" w:rsidRPr="00A21FE4" w:rsidRDefault="000742CA" w:rsidP="000742CA">
            <w:pPr>
              <w:pStyle w:val="T-ABCD"/>
            </w:pPr>
            <w:r w:rsidRPr="00A21FE4">
              <w:sym w:font="Symbol" w:char="F0D6"/>
            </w:r>
            <w:r w:rsidRPr="00A21FE4">
              <w:sym w:font="Symbol" w:char="F0D6"/>
            </w:r>
          </w:p>
        </w:tc>
        <w:tc>
          <w:tcPr>
            <w:tcW w:w="821" w:type="dxa"/>
          </w:tcPr>
          <w:p w14:paraId="3456790B" w14:textId="77777777" w:rsidR="000742CA" w:rsidRPr="00A21FE4" w:rsidRDefault="000742CA" w:rsidP="000742CA">
            <w:pPr>
              <w:pStyle w:val="T-ABCD"/>
            </w:pPr>
            <w:r w:rsidRPr="00A21FE4">
              <w:t>NA</w:t>
            </w:r>
          </w:p>
        </w:tc>
        <w:tc>
          <w:tcPr>
            <w:tcW w:w="821" w:type="dxa"/>
          </w:tcPr>
          <w:p w14:paraId="746E682B" w14:textId="77777777" w:rsidR="000742CA" w:rsidRPr="00A21FE4" w:rsidRDefault="000742CA" w:rsidP="000742CA">
            <w:pPr>
              <w:pStyle w:val="T-ABCD"/>
            </w:pPr>
            <w:r w:rsidRPr="00A21FE4">
              <w:t>NA</w:t>
            </w:r>
          </w:p>
        </w:tc>
        <w:tc>
          <w:tcPr>
            <w:tcW w:w="821" w:type="dxa"/>
          </w:tcPr>
          <w:p w14:paraId="4A9F3D45" w14:textId="77777777" w:rsidR="000742CA" w:rsidRPr="00A21FE4" w:rsidRDefault="000742CA" w:rsidP="000742CA">
            <w:pPr>
              <w:pStyle w:val="T-ABCD"/>
            </w:pPr>
            <w:r w:rsidRPr="00A21FE4">
              <w:sym w:font="Symbol" w:char="F0D6"/>
            </w:r>
            <w:r w:rsidRPr="00A21FE4">
              <w:sym w:font="Symbol" w:char="F0D6"/>
            </w:r>
          </w:p>
        </w:tc>
        <w:tc>
          <w:tcPr>
            <w:tcW w:w="821" w:type="dxa"/>
          </w:tcPr>
          <w:p w14:paraId="59FE5F73" w14:textId="77777777" w:rsidR="000742CA" w:rsidRPr="00A21FE4" w:rsidRDefault="000742CA" w:rsidP="000742CA">
            <w:pPr>
              <w:pStyle w:val="T-ABCD"/>
            </w:pPr>
            <w:r w:rsidRPr="00A21FE4">
              <w:sym w:font="Symbol" w:char="F0D6"/>
            </w:r>
          </w:p>
        </w:tc>
      </w:tr>
      <w:tr w:rsidR="000742CA" w:rsidRPr="00A21FE4" w14:paraId="75331622" w14:textId="77777777" w:rsidTr="000742CA">
        <w:trPr>
          <w:cantSplit/>
        </w:trPr>
        <w:tc>
          <w:tcPr>
            <w:tcW w:w="851" w:type="dxa"/>
          </w:tcPr>
          <w:p w14:paraId="435C07F0" w14:textId="77777777" w:rsidR="000742CA" w:rsidRPr="00A21FE4" w:rsidRDefault="000742CA" w:rsidP="000742CA">
            <w:pPr>
              <w:pStyle w:val="Tabletext0"/>
            </w:pPr>
            <w:r>
              <w:t>ES2.22</w:t>
            </w:r>
          </w:p>
        </w:tc>
        <w:tc>
          <w:tcPr>
            <w:tcW w:w="3750" w:type="dxa"/>
          </w:tcPr>
          <w:p w14:paraId="3CA96C23" w14:textId="77777777" w:rsidR="000742CA" w:rsidRPr="00A21FE4" w:rsidRDefault="000742CA" w:rsidP="000742CA">
            <w:pPr>
              <w:pStyle w:val="ES-table"/>
            </w:pPr>
            <w:r w:rsidRPr="00A21FE4">
              <w:t>In neonatal patients receiving chemotherapy, the effect of ESA therapy (with or without iron) on mortality is unknown.</w:t>
            </w:r>
          </w:p>
        </w:tc>
        <w:tc>
          <w:tcPr>
            <w:tcW w:w="820" w:type="dxa"/>
          </w:tcPr>
          <w:p w14:paraId="4AA64E69" w14:textId="77777777" w:rsidR="000742CA" w:rsidRPr="00A21FE4" w:rsidRDefault="000742CA" w:rsidP="000742CA">
            <w:pPr>
              <w:pStyle w:val="T-ABCD"/>
            </w:pPr>
            <w:r w:rsidRPr="00A21FE4">
              <w:t>NA</w:t>
            </w:r>
          </w:p>
        </w:tc>
        <w:tc>
          <w:tcPr>
            <w:tcW w:w="821" w:type="dxa"/>
          </w:tcPr>
          <w:p w14:paraId="691AE7DC" w14:textId="77777777" w:rsidR="000742CA" w:rsidRPr="00A21FE4" w:rsidRDefault="000742CA" w:rsidP="000742CA">
            <w:pPr>
              <w:pStyle w:val="T-ABCD"/>
            </w:pPr>
            <w:r w:rsidRPr="00A21FE4">
              <w:t>NA</w:t>
            </w:r>
          </w:p>
        </w:tc>
        <w:tc>
          <w:tcPr>
            <w:tcW w:w="821" w:type="dxa"/>
          </w:tcPr>
          <w:p w14:paraId="483DDB55" w14:textId="77777777" w:rsidR="000742CA" w:rsidRPr="00A21FE4" w:rsidRDefault="000742CA" w:rsidP="000742CA">
            <w:pPr>
              <w:pStyle w:val="T-ABCD"/>
            </w:pPr>
            <w:r w:rsidRPr="00A21FE4">
              <w:t>NA</w:t>
            </w:r>
          </w:p>
        </w:tc>
        <w:tc>
          <w:tcPr>
            <w:tcW w:w="821" w:type="dxa"/>
          </w:tcPr>
          <w:p w14:paraId="081421C0" w14:textId="77777777" w:rsidR="000742CA" w:rsidRPr="00A21FE4" w:rsidRDefault="000742CA" w:rsidP="000742CA">
            <w:pPr>
              <w:pStyle w:val="T-ABCD"/>
            </w:pPr>
            <w:r w:rsidRPr="00A21FE4">
              <w:t>NA</w:t>
            </w:r>
          </w:p>
        </w:tc>
        <w:tc>
          <w:tcPr>
            <w:tcW w:w="821" w:type="dxa"/>
          </w:tcPr>
          <w:p w14:paraId="075F7C60" w14:textId="77777777" w:rsidR="000742CA" w:rsidRPr="00A21FE4" w:rsidRDefault="000742CA" w:rsidP="000742CA">
            <w:pPr>
              <w:pStyle w:val="T-ABCD"/>
            </w:pPr>
            <w:r w:rsidRPr="00A21FE4">
              <w:t xml:space="preserve">NA </w:t>
            </w:r>
          </w:p>
        </w:tc>
      </w:tr>
      <w:tr w:rsidR="000742CA" w:rsidRPr="00A21FE4" w14:paraId="73E045CB" w14:textId="77777777" w:rsidTr="000742CA">
        <w:trPr>
          <w:cantSplit/>
        </w:trPr>
        <w:tc>
          <w:tcPr>
            <w:tcW w:w="851" w:type="dxa"/>
          </w:tcPr>
          <w:p w14:paraId="43E51D73" w14:textId="77777777" w:rsidR="000742CA" w:rsidRPr="00A21FE4" w:rsidRDefault="000742CA" w:rsidP="000742CA">
            <w:pPr>
              <w:pStyle w:val="Tabletext0"/>
            </w:pPr>
            <w:r>
              <w:t>ES2.23</w:t>
            </w:r>
          </w:p>
        </w:tc>
        <w:tc>
          <w:tcPr>
            <w:tcW w:w="3750" w:type="dxa"/>
          </w:tcPr>
          <w:p w14:paraId="47A78B6F" w14:textId="77777777" w:rsidR="000742CA" w:rsidRPr="00A21FE4" w:rsidRDefault="000742CA" w:rsidP="000742CA">
            <w:pPr>
              <w:pStyle w:val="ES-table"/>
            </w:pPr>
            <w:r w:rsidRPr="00A21FE4">
              <w:t>In paediatric patients receiving chemotherapy, the effect of ESA therapy (with or without iron) on mortality is uncertain.</w:t>
            </w:r>
          </w:p>
          <w:p w14:paraId="019D062F" w14:textId="77777777" w:rsidR="000742CA" w:rsidRPr="00A21FE4" w:rsidRDefault="000742CA" w:rsidP="000742CA">
            <w:pPr>
              <w:pStyle w:val="ES-notes"/>
              <w:rPr>
                <w:szCs w:val="20"/>
              </w:rPr>
            </w:pPr>
            <w:r w:rsidRPr="00A21FE4">
              <w:t>(See evidence matrix D2.O in Volume 2 of the technical report.)</w:t>
            </w:r>
          </w:p>
        </w:tc>
        <w:tc>
          <w:tcPr>
            <w:tcW w:w="820" w:type="dxa"/>
          </w:tcPr>
          <w:p w14:paraId="0002D8EC" w14:textId="77777777" w:rsidR="000742CA" w:rsidRPr="00A21FE4" w:rsidRDefault="000742CA" w:rsidP="000742CA">
            <w:pPr>
              <w:pStyle w:val="T-ABCD"/>
            </w:pPr>
            <w:r w:rsidRPr="00A21FE4">
              <w:sym w:font="Symbol" w:char="F0D6"/>
            </w:r>
            <w:r w:rsidRPr="00A21FE4">
              <w:sym w:font="Symbol" w:char="F0D6"/>
            </w:r>
          </w:p>
        </w:tc>
        <w:tc>
          <w:tcPr>
            <w:tcW w:w="821" w:type="dxa"/>
          </w:tcPr>
          <w:p w14:paraId="084890C8" w14:textId="77777777" w:rsidR="000742CA" w:rsidRPr="00A21FE4" w:rsidRDefault="000742CA" w:rsidP="000742CA">
            <w:pPr>
              <w:pStyle w:val="T-ABCD"/>
            </w:pPr>
            <w:r w:rsidRPr="00A21FE4">
              <w:sym w:font="Symbol" w:char="F0D6"/>
            </w:r>
            <w:r w:rsidRPr="00A21FE4">
              <w:sym w:font="Symbol" w:char="F0D6"/>
            </w:r>
          </w:p>
        </w:tc>
        <w:tc>
          <w:tcPr>
            <w:tcW w:w="821" w:type="dxa"/>
          </w:tcPr>
          <w:p w14:paraId="62E70CBA" w14:textId="77777777" w:rsidR="000742CA" w:rsidRPr="00A21FE4" w:rsidRDefault="000742CA" w:rsidP="000742CA">
            <w:pPr>
              <w:pStyle w:val="T-ABCD"/>
            </w:pPr>
            <w:r w:rsidRPr="00A21FE4">
              <w:t>NA</w:t>
            </w:r>
          </w:p>
        </w:tc>
        <w:tc>
          <w:tcPr>
            <w:tcW w:w="821" w:type="dxa"/>
          </w:tcPr>
          <w:p w14:paraId="54E014B7" w14:textId="77777777" w:rsidR="000742CA" w:rsidRPr="00A21FE4" w:rsidRDefault="000742CA" w:rsidP="000742CA">
            <w:pPr>
              <w:pStyle w:val="T-ABCD"/>
            </w:pPr>
            <w:r w:rsidRPr="00A21FE4">
              <w:sym w:font="Symbol" w:char="F0D6"/>
            </w:r>
            <w:r w:rsidRPr="00A21FE4">
              <w:sym w:font="Symbol" w:char="F0D6"/>
            </w:r>
          </w:p>
        </w:tc>
        <w:tc>
          <w:tcPr>
            <w:tcW w:w="821" w:type="dxa"/>
          </w:tcPr>
          <w:p w14:paraId="33879808" w14:textId="77777777" w:rsidR="000742CA" w:rsidRPr="00A21FE4" w:rsidRDefault="000742CA" w:rsidP="000742CA">
            <w:pPr>
              <w:pStyle w:val="T-ABCD"/>
            </w:pPr>
            <w:r w:rsidRPr="00A21FE4">
              <w:sym w:font="Symbol" w:char="F0D6"/>
            </w:r>
          </w:p>
        </w:tc>
      </w:tr>
      <w:tr w:rsidR="000742CA" w:rsidRPr="00A21FE4" w14:paraId="1ADD2E3F" w14:textId="77777777" w:rsidTr="000742CA">
        <w:trPr>
          <w:cantSplit/>
        </w:trPr>
        <w:tc>
          <w:tcPr>
            <w:tcW w:w="8705" w:type="dxa"/>
            <w:gridSpan w:val="7"/>
          </w:tcPr>
          <w:p w14:paraId="7DE2633F" w14:textId="77777777" w:rsidR="000742CA" w:rsidRPr="00A21FE4" w:rsidRDefault="000742CA" w:rsidP="000742CA">
            <w:pPr>
              <w:pStyle w:val="ES-notes"/>
            </w:pPr>
            <w:r w:rsidRPr="00A21FE4">
              <w:t>ES, evidence statement; ESA, erythropoiesis stimulating agent</w:t>
            </w:r>
          </w:p>
          <w:p w14:paraId="7106544E"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243EEBE" w14:textId="77777777" w:rsidR="000742CA" w:rsidRPr="00A21FE4" w:rsidRDefault="000742CA" w:rsidP="000742CA">
      <w:pPr>
        <w:pStyle w:val="BodyText"/>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843"/>
        <w:gridCol w:w="7583"/>
      </w:tblGrid>
      <w:tr w:rsidR="000742CA" w:rsidRPr="00A21FE4" w14:paraId="4C852B27" w14:textId="77777777" w:rsidTr="00467EEA">
        <w:tc>
          <w:tcPr>
            <w:tcW w:w="8733" w:type="dxa"/>
            <w:gridSpan w:val="2"/>
            <w:tcBorders>
              <w:top w:val="single" w:sz="4" w:space="0" w:color="000000"/>
              <w:left w:val="single" w:sz="4" w:space="0" w:color="000000"/>
              <w:bottom w:val="single" w:sz="4" w:space="0" w:color="000000"/>
              <w:right w:val="single" w:sz="4" w:space="0" w:color="000000"/>
            </w:tcBorders>
            <w:shd w:val="clear" w:color="auto" w:fill="ABE9FF"/>
          </w:tcPr>
          <w:p w14:paraId="732AD047" w14:textId="20EBE31E" w:rsidR="000742CA" w:rsidRPr="00045D23" w:rsidRDefault="000742CA" w:rsidP="0007233C">
            <w:pPr>
              <w:pStyle w:val="PP-heading"/>
              <w:keepLines/>
              <w:rPr>
                <w:lang w:val="en-AU"/>
              </w:rPr>
            </w:pPr>
            <w:r w:rsidRPr="00A21FE4">
              <w:t>Practice point –</w:t>
            </w:r>
            <w:r w:rsidR="0007233C">
              <w:rPr>
                <w:lang w:val="en-AU"/>
              </w:rPr>
              <w:t xml:space="preserve"> </w:t>
            </w:r>
            <w:r w:rsidR="006D11A2" w:rsidRPr="00A21FE4">
              <w:t>cancer (ESA</w:t>
            </w:r>
            <w:r w:rsidR="006D11A2">
              <w:rPr>
                <w:lang w:val="en-AU"/>
              </w:rPr>
              <w:t>s</w:t>
            </w:r>
            <w:r w:rsidR="006D11A2" w:rsidRPr="00A21FE4">
              <w:t xml:space="preserve"> with or without iron)</w:t>
            </w:r>
          </w:p>
        </w:tc>
      </w:tr>
      <w:tr w:rsidR="000742CA" w:rsidRPr="00A21FE4" w14:paraId="44AC5C7D" w14:textId="77777777" w:rsidTr="000742CA">
        <w:tc>
          <w:tcPr>
            <w:tcW w:w="852" w:type="dxa"/>
            <w:tcBorders>
              <w:right w:val="single" w:sz="4" w:space="0" w:color="auto"/>
            </w:tcBorders>
            <w:shd w:val="clear" w:color="auto" w:fill="auto"/>
          </w:tcPr>
          <w:p w14:paraId="2BD55EA5" w14:textId="77777777" w:rsidR="000742CA" w:rsidRPr="00A21FE4" w:rsidRDefault="000742CA" w:rsidP="00E77505">
            <w:pPr>
              <w:pStyle w:val="PP"/>
              <w:keepNext/>
              <w:keepLines/>
            </w:pPr>
            <w:r w:rsidRPr="00A21FE4">
              <w:t>PP1</w:t>
            </w:r>
            <w:r>
              <w:t>7</w:t>
            </w:r>
          </w:p>
        </w:tc>
        <w:tc>
          <w:tcPr>
            <w:tcW w:w="7881" w:type="dxa"/>
            <w:tcBorders>
              <w:left w:val="single" w:sz="4" w:space="0" w:color="auto"/>
            </w:tcBorders>
            <w:shd w:val="clear" w:color="auto" w:fill="auto"/>
          </w:tcPr>
          <w:p w14:paraId="339CB3DD" w14:textId="77777777" w:rsidR="000742CA" w:rsidRPr="00A21FE4" w:rsidRDefault="000742CA" w:rsidP="00E77505">
            <w:pPr>
              <w:pStyle w:val="PP"/>
              <w:keepNext/>
              <w:keepLines/>
            </w:pPr>
            <w:r w:rsidRPr="00A21FE4">
              <w:t xml:space="preserve">In paediatric patients receiving chemotherapy, the </w:t>
            </w:r>
            <w:r w:rsidRPr="00A21FE4">
              <w:rPr>
                <w:i/>
              </w:rPr>
              <w:t>routine</w:t>
            </w:r>
            <w:r w:rsidRPr="00A21FE4">
              <w:t xml:space="preserve"> use of ESAs is not advised. </w:t>
            </w:r>
          </w:p>
          <w:p w14:paraId="1DACE98C" w14:textId="77777777" w:rsidR="000742CA" w:rsidRPr="00A21FE4" w:rsidRDefault="000742CA" w:rsidP="00E77505">
            <w:pPr>
              <w:pStyle w:val="PP"/>
              <w:keepNext/>
              <w:keepLines/>
            </w:pPr>
            <w:r w:rsidRPr="00A21FE4">
              <w:t>The use of ESAs may reduce transfusion incidence; however, the studies are underpowered to determine their effect on mortality and thromboembolic events, which are increased in the adult population.</w:t>
            </w:r>
            <w:r w:rsidRPr="00A21FE4">
              <w:rPr>
                <w:vertAlign w:val="superscript"/>
              </w:rPr>
              <w:t>a</w:t>
            </w:r>
            <w:r w:rsidRPr="00A21FE4">
              <w:t xml:space="preserve"> </w:t>
            </w:r>
          </w:p>
          <w:p w14:paraId="0D88658C" w14:textId="31A41529" w:rsidR="000742CA" w:rsidRPr="00A21FE4" w:rsidRDefault="000742CA" w:rsidP="00E62798">
            <w:pPr>
              <w:pStyle w:val="PP-note"/>
              <w:keepNext/>
              <w:keepLines/>
            </w:pPr>
            <w:r w:rsidRPr="00A21FE4">
              <w:rPr>
                <w:vertAlign w:val="superscript"/>
              </w:rPr>
              <w:t>a</w:t>
            </w:r>
            <w:r w:rsidRPr="00A21FE4">
              <w:t xml:space="preserve"> </w:t>
            </w:r>
            <w:r w:rsidR="00CE5AC9">
              <w:t>See</w:t>
            </w:r>
            <w:r w:rsidRPr="00A21FE4">
              <w:t xml:space="preserve"> R2 in </w:t>
            </w:r>
            <w:r w:rsidRPr="00A21FE4">
              <w:rPr>
                <w:i/>
              </w:rPr>
              <w:t>Patient Blood Management Guidelines: Module 3 – Medical</w:t>
            </w:r>
            <w:r w:rsidR="00E77505">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0742CA" w:rsidRPr="00A21FE4" w14:paraId="74442D8D" w14:textId="77777777" w:rsidTr="000742CA">
        <w:trPr>
          <w:trHeight w:val="397"/>
        </w:trPr>
        <w:tc>
          <w:tcPr>
            <w:tcW w:w="8733" w:type="dxa"/>
            <w:gridSpan w:val="2"/>
            <w:shd w:val="clear" w:color="auto" w:fill="auto"/>
          </w:tcPr>
          <w:p w14:paraId="2364FCD5" w14:textId="77777777" w:rsidR="000742CA" w:rsidRPr="00A21FE4" w:rsidRDefault="000742CA" w:rsidP="00E77505">
            <w:pPr>
              <w:pStyle w:val="PP-note"/>
              <w:keepNext/>
              <w:keepLines/>
            </w:pPr>
            <w:r w:rsidRPr="00A21FE4">
              <w:t>ESA, erythropoiesis stimulating agent; PP, practice point; R, recommendation</w:t>
            </w:r>
          </w:p>
        </w:tc>
      </w:tr>
    </w:tbl>
    <w:p w14:paraId="76946092" w14:textId="77777777" w:rsidR="000742CA" w:rsidRPr="00A21FE4" w:rsidRDefault="000742CA" w:rsidP="00797A43"/>
    <w:p w14:paraId="3549C60A" w14:textId="77777777" w:rsidR="000742CA" w:rsidRDefault="000742CA" w:rsidP="000742CA">
      <w:pPr>
        <w:pStyle w:val="Heading4"/>
      </w:pPr>
      <w:r w:rsidRPr="004667A5">
        <w:t>Background</w:t>
      </w:r>
    </w:p>
    <w:p w14:paraId="6A3F30FE" w14:textId="787E55C8" w:rsidR="000742CA" w:rsidRDefault="000742CA" w:rsidP="002D1C5F">
      <w:pPr>
        <w:rPr>
          <w:lang w:val="en-GB" w:eastAsia="en-GB"/>
        </w:rPr>
      </w:pPr>
      <w:r>
        <w:rPr>
          <w:lang w:val="en-GB" w:eastAsia="en-GB"/>
        </w:rPr>
        <w:t>Anaemia in children with cancer is a frequent occurrence</w:t>
      </w:r>
      <w:r w:rsidR="002D1C5F">
        <w:rPr>
          <w:lang w:val="en-GB" w:eastAsia="en-GB"/>
        </w:rPr>
        <w:t>, and</w:t>
      </w:r>
      <w:r>
        <w:rPr>
          <w:lang w:val="en-GB" w:eastAsia="en-GB"/>
        </w:rPr>
        <w:t xml:space="preserve"> is typically multifactorial. Bone marrow suppression may occur as a result of bone marrow infiltration or failure, chemotherapy and radiation treatments. Nephrotoxic chemotherapy may cause decreased </w:t>
      </w:r>
      <w:r w:rsidR="00EB2899">
        <w:rPr>
          <w:lang w:val="en-GB" w:eastAsia="en-GB"/>
        </w:rPr>
        <w:t>rHuEPO</w:t>
      </w:r>
      <w:r>
        <w:rPr>
          <w:lang w:val="en-GB" w:eastAsia="en-GB"/>
        </w:rPr>
        <w:t xml:space="preserve"> production.</w:t>
      </w:r>
      <w:r w:rsidR="004828DA">
        <w:rPr>
          <w:lang w:val="en-GB" w:eastAsia="en-GB"/>
        </w:rPr>
        <w:t xml:space="preserve"> </w:t>
      </w:r>
      <w:r w:rsidR="002D1C5F">
        <w:rPr>
          <w:lang w:val="en-GB" w:eastAsia="en-GB"/>
        </w:rPr>
        <w:t xml:space="preserve">Also, anaemia </w:t>
      </w:r>
      <w:r>
        <w:rPr>
          <w:lang w:val="en-GB" w:eastAsia="en-GB"/>
        </w:rPr>
        <w:t xml:space="preserve">may occur as a result of blood loss secondary to </w:t>
      </w:r>
      <w:r w:rsidR="002B2C2B">
        <w:rPr>
          <w:lang w:val="en-GB" w:eastAsia="en-GB"/>
        </w:rPr>
        <w:t>thrombocytopaenia</w:t>
      </w:r>
      <w:r>
        <w:rPr>
          <w:lang w:val="en-GB" w:eastAsia="en-GB"/>
        </w:rPr>
        <w:t xml:space="preserve"> or nutritional deficiencies such as iron deficiency. </w:t>
      </w:r>
    </w:p>
    <w:p w14:paraId="1547656E" w14:textId="094C3F66" w:rsidR="000742CA" w:rsidRPr="00E3616D" w:rsidRDefault="000742CA" w:rsidP="002D1C5F">
      <w:pPr>
        <w:rPr>
          <w:lang w:val="en-GB" w:eastAsia="en-GB"/>
        </w:rPr>
      </w:pPr>
      <w:r>
        <w:rPr>
          <w:lang w:val="en-GB" w:eastAsia="en-GB"/>
        </w:rPr>
        <w:t xml:space="preserve">In adult cancer patients, </w:t>
      </w:r>
      <w:r w:rsidR="00EB2899">
        <w:rPr>
          <w:lang w:val="en-GB" w:eastAsia="en-GB"/>
        </w:rPr>
        <w:t>rHuEPO</w:t>
      </w:r>
      <w:r>
        <w:rPr>
          <w:lang w:val="en-GB" w:eastAsia="en-GB"/>
        </w:rPr>
        <w:t xml:space="preserve"> has been shown to increase Hb, reduce transfusion incidence and improve quality of life; however </w:t>
      </w:r>
      <w:r w:rsidR="00E77505">
        <w:rPr>
          <w:lang w:val="en-GB" w:eastAsia="en-GB"/>
        </w:rPr>
        <w:t>it is</w:t>
      </w:r>
      <w:r>
        <w:rPr>
          <w:lang w:val="en-GB" w:eastAsia="en-GB"/>
        </w:rPr>
        <w:t xml:space="preserve"> associated with an increased risk of death and thromboembolic events</w:t>
      </w:r>
      <w:r w:rsidR="00B93ABA">
        <w:rPr>
          <w:lang w:val="en-GB" w:eastAsia="en-GB"/>
        </w:rPr>
        <w:t>.</w:t>
      </w:r>
      <w:hyperlink w:anchor="_ENREF_3" w:tooltip="National Blood Authority (NBA), 2012 #197" w:history="1">
        <w:r w:rsidR="00E62798">
          <w:rPr>
            <w:lang w:val="en-GB" w:eastAsia="en-GB"/>
          </w:rPr>
          <w:fldChar w:fldCharType="begin"/>
        </w:r>
        <w:r w:rsidR="00E62798">
          <w:rPr>
            <w:lang w:val="en-GB" w:eastAsia="en-GB"/>
          </w:rPr>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rPr>
            <w:lang w:val="en-GB" w:eastAsia="en-GB"/>
          </w:rPr>
          <w:fldChar w:fldCharType="separate"/>
        </w:r>
        <w:r w:rsidR="00E62798" w:rsidRPr="00E62798">
          <w:rPr>
            <w:noProof/>
            <w:vertAlign w:val="superscript"/>
            <w:lang w:val="en-GB" w:eastAsia="en-GB"/>
          </w:rPr>
          <w:t>3</w:t>
        </w:r>
        <w:r w:rsidR="00E62798">
          <w:rPr>
            <w:lang w:val="en-GB" w:eastAsia="en-GB"/>
          </w:rPr>
          <w:fldChar w:fldCharType="end"/>
        </w:r>
      </w:hyperlink>
      <w:r>
        <w:rPr>
          <w:lang w:val="en-GB" w:eastAsia="en-GB"/>
        </w:rPr>
        <w:t xml:space="preserve"> </w:t>
      </w:r>
    </w:p>
    <w:p w14:paraId="6F0AE8AD" w14:textId="77777777" w:rsidR="000742CA" w:rsidRDefault="000742CA" w:rsidP="000742CA">
      <w:pPr>
        <w:pStyle w:val="Heading4"/>
      </w:pPr>
      <w:r w:rsidRPr="004667A5">
        <w:t>Summary of evidence</w:t>
      </w:r>
    </w:p>
    <w:p w14:paraId="12E2F4CA" w14:textId="3C2142BA" w:rsidR="000742CA" w:rsidRDefault="0007233C" w:rsidP="0007233C">
      <w:r>
        <w:rPr>
          <w:lang w:val="en-GB" w:eastAsia="en-GB"/>
        </w:rPr>
        <w:t>Nine studies (Level I)</w:t>
      </w:r>
      <w:r w:rsidR="000742CA">
        <w:rPr>
          <w:lang w:val="en-GB" w:eastAsia="en-GB"/>
        </w:rPr>
        <w:t xml:space="preserve"> examined the use of</w:t>
      </w:r>
      <w:r w:rsidR="000742CA" w:rsidRPr="00642775">
        <w:t xml:space="preserve"> </w:t>
      </w:r>
      <w:r w:rsidR="000742CA" w:rsidRPr="004667A5">
        <w:t>ESAs in children with cancer</w:t>
      </w:r>
      <w:r w:rsidR="002D1C5F">
        <w:t>. T</w:t>
      </w:r>
      <w:r w:rsidR="000742CA">
        <w:t xml:space="preserve">he evidence from five </w:t>
      </w:r>
      <w:r w:rsidR="002D1C5F">
        <w:t>of these studies form</w:t>
      </w:r>
      <w:r>
        <w:t>s</w:t>
      </w:r>
      <w:r w:rsidR="000742CA">
        <w:t xml:space="preserve"> the basis of th</w:t>
      </w:r>
      <w:r>
        <w:t>is</w:t>
      </w:r>
      <w:r w:rsidR="000742CA">
        <w:t xml:space="preserve"> review</w:t>
      </w:r>
      <w:r w:rsidR="002D1C5F">
        <w:t>.</w:t>
      </w:r>
      <w:hyperlink w:anchor="_ENREF_108" w:tooltip="Feusner, 2002 #97" w:history="1">
        <w:r w:rsidR="00E62798">
          <w:fldChar w:fldCharType="begin">
            <w:fldData xml:space="preserve">PEVuZE5vdGU+PENpdGU+PEF1dGhvcj5GZXVzbmVyPC9BdXRob3I+PFllYXI+MjAwMjwvWWVhcj48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</w:fldData>
          </w:fldChar>
        </w:r>
        <w:r w:rsidR="00E62798">
          <w:instrText xml:space="preserve"> ADDIN EN.CITE </w:instrText>
        </w:r>
        <w:r w:rsidR="00E62798">
          <w:fldChar w:fldCharType="begin">
            <w:fldData xml:space="preserve">PEVuZE5vdGU+PENpdGU+PEF1dGhvcj5GZXVzbmVyPC9BdXRob3I+PFllYXI+MjAwMjwvWWVhcj48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108-112</w:t>
        </w:r>
        <w:r w:rsidR="00E62798">
          <w:fldChar w:fldCharType="end"/>
        </w:r>
      </w:hyperlink>
      <w:r>
        <w:t xml:space="preserve"> The Level I studies included six Level II studies that included patients with solid tumours or acute lymphoblastic leukaemia, and compared the use of </w:t>
      </w:r>
      <w:r w:rsidR="00EB2899">
        <w:t>rHuEPO</w:t>
      </w:r>
      <w:r>
        <w:t xml:space="preserve"> with no </w:t>
      </w:r>
      <w:r w:rsidR="00EB2899">
        <w:t>rHuEPO</w:t>
      </w:r>
      <w:r w:rsidR="000742CA">
        <w:t>.</w:t>
      </w:r>
      <w:hyperlink w:anchor="_ENREF_113" w:tooltip="Bennetts, 1995 #470" w:history="1">
        <w:r w:rsidR="00E62798">
          <w:fldChar w:fldCharType="begin">
            <w:fldData xml:space="preserve">PEVuZE5vdGU+PENpdGU+PEF1dGhvcj5CZW5uZXR0czwvQXV0aG9yPjxZZWFyPjE5OTU8L1llYXI+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Z2VzPjY1NuKAkzYwPC9wYWdlcz48dm9sdW1lPjEyOTwvdm9sdW1lPjxudW1iZXI+NTwvbnVtYmVy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IENsaW5pY2FsIE9uY29sb2d5PC9hYmJyLTE+PC9hbHQtcGVyaW9kaWNhbD48cGFnZXM+MzU4M+KA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</w:fldData>
          </w:fldChar>
        </w:r>
        <w:r w:rsidR="00E62798">
          <w:instrText xml:space="preserve"> ADDIN EN.CITE </w:instrText>
        </w:r>
        <w:r w:rsidR="00E62798">
          <w:fldChar w:fldCharType="begin">
            <w:fldData xml:space="preserve">PEVuZE5vdGU+PENpdGU+PEF1dGhvcj5CZW5uZXR0czwvQXV0aG9yPjxZZWFyPjE5OTU8L1llYXI+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Z2VzPjY1NuKAkzYwPC9wYWdlcz48dm9sdW1lPjEyOTwvdm9sdW1lPjxudW1iZXI+NTwvbnVtYmVy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IENsaW5pY2FsIE9uY29sb2d5PC9hYmJyLTE+PC9hbHQtcGVyaW9kaWNhbD48cGFnZXM+MzU4M+KA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113-119</w:t>
        </w:r>
        <w:r w:rsidR="00E62798">
          <w:fldChar w:fldCharType="end"/>
        </w:r>
      </w:hyperlink>
      <w:r w:rsidR="004828DA">
        <w:t xml:space="preserve"> </w:t>
      </w:r>
    </w:p>
    <w:p w14:paraId="27D59418" w14:textId="77777777" w:rsidR="000742CA" w:rsidRDefault="000742CA" w:rsidP="000742CA">
      <w:pPr>
        <w:pStyle w:val="Heading5"/>
      </w:pPr>
      <w:r>
        <w:t>Transfusion incidence and volume</w:t>
      </w:r>
    </w:p>
    <w:p w14:paraId="479F24BA" w14:textId="1E697E0E" w:rsidR="000742CA" w:rsidRDefault="000742CA" w:rsidP="00B93ABA">
      <w:r>
        <w:rPr>
          <w:lang w:val="en-GB" w:eastAsia="en-GB"/>
        </w:rPr>
        <w:t xml:space="preserve">Four </w:t>
      </w:r>
      <w:r w:rsidR="00E667F8">
        <w:rPr>
          <w:lang w:val="en-GB" w:eastAsia="en-GB"/>
        </w:rPr>
        <w:t xml:space="preserve">RCTs </w:t>
      </w:r>
      <w:r>
        <w:t>reported the effect of ESAs on transfusion incidence.</w:t>
      </w:r>
      <w:r w:rsidR="00E62798">
        <w:rPr>
          <w:lang w:val="en-GB" w:eastAsia="en-GB"/>
        </w:rPr>
        <w:fldChar w:fldCharType="begin">
          <w:fldData xml:space="preserve">PEVuZE5vdGU+PENpdGU+PEF1dGhvcj5Dc2FraTwvQXV0aG9yPjxZZWFyPjE5OTg8L1llYXI+PFJl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ZiBDbGluaWNhbCBPbmNvbG9neTwvYWJici0xPjwvYWx0LXBlcmlvZGljYWw+PHBhZ2VzPjM1ODPi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</w:fldData>
        </w:fldChar>
      </w:r>
      <w:r w:rsidR="00E62798">
        <w:rPr>
          <w:lang w:val="en-GB" w:eastAsia="en-GB"/>
        </w:rPr>
        <w:instrText xml:space="preserve"> ADDIN EN.CITE </w:instrText>
      </w:r>
      <w:r w:rsidR="00E62798">
        <w:rPr>
          <w:lang w:val="en-GB" w:eastAsia="en-GB"/>
        </w:rPr>
        <w:fldChar w:fldCharType="begin">
          <w:fldData xml:space="preserve">PEVuZE5vdGU+PENpdGU+PEF1dGhvcj5Dc2FraTwvQXV0aG9yPjxZZWFyPjE5OTg8L1llYXI+PFJl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ZiBDbGluaWNhbCBPbmNvbG9neTwvYWJici0xPjwvYWx0LXBlcmlvZGljYWw+PHBhZ2VzPjM1ODPi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hyperlink w:anchor="_ENREF_114" w:tooltip="Csaki, 1998 #462" w:history="1">
        <w:r w:rsidR="00E62798" w:rsidRPr="00E62798">
          <w:rPr>
            <w:noProof/>
            <w:vertAlign w:val="superscript"/>
            <w:lang w:val="en-GB" w:eastAsia="en-GB"/>
          </w:rPr>
          <w:t>114-115</w:t>
        </w:r>
      </w:hyperlink>
      <w:r w:rsidR="00E62798" w:rsidRPr="00E62798">
        <w:rPr>
          <w:noProof/>
          <w:vertAlign w:val="superscript"/>
          <w:lang w:val="en-GB" w:eastAsia="en-GB"/>
        </w:rPr>
        <w:t xml:space="preserve">; </w:t>
      </w:r>
      <w:hyperlink w:anchor="_ENREF_117" w:tooltip="Razzouk, 2006 #445" w:history="1">
        <w:r w:rsidR="00E62798" w:rsidRPr="00E62798">
          <w:rPr>
            <w:noProof/>
            <w:vertAlign w:val="superscript"/>
            <w:lang w:val="en-GB" w:eastAsia="en-GB"/>
          </w:rPr>
          <w:t>117-118</w:t>
        </w:r>
      </w:hyperlink>
      <w:r w:rsidR="00E62798">
        <w:rPr>
          <w:lang w:val="en-GB" w:eastAsia="en-GB"/>
        </w:rPr>
        <w:fldChar w:fldCharType="end"/>
      </w:r>
      <w:r w:rsidR="00B93ABA">
        <w:t xml:space="preserve"> </w:t>
      </w:r>
      <w:r>
        <w:t>Meta-analysis showed that transfusion incidence was reduced in children receiving chemotherapy w</w:t>
      </w:r>
      <w:r w:rsidR="00B93ABA">
        <w:t>ho were</w:t>
      </w:r>
      <w:r>
        <w:t xml:space="preserve"> given ESA therapy. </w:t>
      </w:r>
    </w:p>
    <w:p w14:paraId="3F50BC67" w14:textId="29B66E17" w:rsidR="000742CA" w:rsidRPr="00642775" w:rsidRDefault="00B93ABA" w:rsidP="00B93ABA">
      <w:pPr>
        <w:rPr>
          <w:lang w:val="en-GB" w:eastAsia="en-GB"/>
        </w:rPr>
      </w:pPr>
      <w:r>
        <w:rPr>
          <w:lang w:val="en-GB" w:eastAsia="en-GB"/>
        </w:rPr>
        <w:t xml:space="preserve">Two small trials </w:t>
      </w:r>
      <w:r w:rsidR="000742CA">
        <w:t>reported the effect of ESAs on transfusion volume.</w:t>
      </w:r>
      <w:r w:rsidR="00E62798">
        <w:rPr>
          <w:lang w:val="en-GB" w:eastAsia="en-GB"/>
        </w:rPr>
        <w:fldChar w:fldCharType="begin">
          <w:fldData xml:space="preserve">PEVuZE5vdGU+PENpdGU+PEF1dGhvcj5CZW5uZXR0czwvQXV0aG9yPjxZZWFyPjE5OTU8L1llYXI+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</w:fldData>
        </w:fldChar>
      </w:r>
      <w:r w:rsidR="00E62798">
        <w:rPr>
          <w:lang w:val="en-GB" w:eastAsia="en-GB"/>
        </w:rPr>
        <w:instrText xml:space="preserve"> ADDIN EN.CITE </w:instrText>
      </w:r>
      <w:r w:rsidR="00E62798">
        <w:rPr>
          <w:lang w:val="en-GB" w:eastAsia="en-GB"/>
        </w:rPr>
        <w:fldChar w:fldCharType="begin">
          <w:fldData xml:space="preserve">PEVuZE5vdGU+PENpdGU+PEF1dGhvcj5CZW5uZXR0czwvQXV0aG9yPjxZZWFyPjE5OTU8L1llYXI+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hyperlink w:anchor="_ENREF_113" w:tooltip="Bennetts, 1995 #470" w:history="1">
        <w:r w:rsidR="00E62798" w:rsidRPr="00E62798">
          <w:rPr>
            <w:noProof/>
            <w:vertAlign w:val="superscript"/>
            <w:lang w:val="en-GB" w:eastAsia="en-GB"/>
          </w:rPr>
          <w:t>113</w:t>
        </w:r>
      </w:hyperlink>
      <w:r w:rsidR="00E62798" w:rsidRPr="00E62798">
        <w:rPr>
          <w:noProof/>
          <w:vertAlign w:val="superscript"/>
          <w:lang w:val="en-GB" w:eastAsia="en-GB"/>
        </w:rPr>
        <w:t xml:space="preserve">; </w:t>
      </w:r>
      <w:hyperlink w:anchor="_ENREF_115" w:tooltip="Porter, 1996 #463" w:history="1">
        <w:r w:rsidR="00E62798" w:rsidRPr="00E62798">
          <w:rPr>
            <w:noProof/>
            <w:vertAlign w:val="superscript"/>
            <w:lang w:val="en-GB" w:eastAsia="en-GB"/>
          </w:rPr>
          <w:t>115</w:t>
        </w:r>
      </w:hyperlink>
      <w:r w:rsidR="00E62798">
        <w:rPr>
          <w:lang w:val="en-GB" w:eastAsia="en-GB"/>
        </w:rPr>
        <w:fldChar w:fldCharType="end"/>
      </w:r>
      <w:r w:rsidR="004828DA">
        <w:rPr>
          <w:lang w:val="en-GB" w:eastAsia="en-GB"/>
        </w:rPr>
        <w:t xml:space="preserve"> </w:t>
      </w:r>
      <w:r w:rsidR="000742CA">
        <w:t xml:space="preserve">The </w:t>
      </w:r>
      <w:r w:rsidR="000742CA" w:rsidRPr="00771FC5">
        <w:t>results</w:t>
      </w:r>
      <w:r w:rsidR="000742CA">
        <w:t xml:space="preserve"> were conflicting.</w:t>
      </w:r>
    </w:p>
    <w:p w14:paraId="1758842D" w14:textId="77777777" w:rsidR="000742CA" w:rsidRDefault="000742CA" w:rsidP="000742CA">
      <w:pPr>
        <w:pStyle w:val="Heading5"/>
      </w:pPr>
      <w:r>
        <w:t>Thromboembolic events</w:t>
      </w:r>
    </w:p>
    <w:p w14:paraId="39D37423" w14:textId="10D464E5" w:rsidR="000742CA" w:rsidRDefault="00B93ABA" w:rsidP="00B93ABA">
      <w:r>
        <w:t xml:space="preserve">One </w:t>
      </w:r>
      <w:r w:rsidR="00E667F8">
        <w:t>RCT</w:t>
      </w:r>
      <w:r w:rsidR="000742CA">
        <w:t xml:space="preserve"> reported the incidence of thromboembolic events.</w:t>
      </w:r>
      <w:hyperlink w:anchor="_ENREF_117" w:tooltip="Razzouk, 2006 #445" w:history="1">
        <w:r w:rsidR="00E62798">
          <w:fldChar w:fldCharType="begin">
            <w:fldData xml:space="preserve">PEVuZE5vdGU+PENpdGU+PEF1dGhvcj5SYXp6b3VrPC9BdXRob3I+PFllYXI+MjAwNjwvWWVhcj48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LXBlcmlvZGljYWw+PHBhZ2VzPjM1ODPigJM5PC9wYWdlcz48dm9sdW1lPjI0PC92b2x1bWU+PG51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</w:fldData>
          </w:fldChar>
        </w:r>
        <w:r w:rsidR="00E62798">
          <w:instrText xml:space="preserve"> ADDIN EN.CITE </w:instrText>
        </w:r>
        <w:r w:rsidR="00E62798">
          <w:fldChar w:fldCharType="begin">
            <w:fldData xml:space="preserve">PEVuZE5vdGU+PENpdGU+PEF1dGhvcj5SYXp6b3VrPC9BdXRob3I+PFllYXI+MjAwNjwvWWVhcj48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LXBlcmlvZGljYWw+PHBhZ2VzPjM1ODPigJM5PC9wYWdlcz48dm9sdW1lPjI0PC92b2x1bWU+PG51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117</w:t>
        </w:r>
        <w:r w:rsidR="00E62798">
          <w:fldChar w:fldCharType="end"/>
        </w:r>
      </w:hyperlink>
      <w:r w:rsidR="000742CA">
        <w:t xml:space="preserve"> </w:t>
      </w:r>
      <w:r>
        <w:t xml:space="preserve">It found no </w:t>
      </w:r>
      <w:r w:rsidR="000742CA">
        <w:t xml:space="preserve">significant difference between those who received ESAs or placebo. </w:t>
      </w:r>
    </w:p>
    <w:p w14:paraId="001B28A1" w14:textId="77777777" w:rsidR="000742CA" w:rsidRDefault="000742CA" w:rsidP="000742CA">
      <w:pPr>
        <w:pStyle w:val="Heading5"/>
      </w:pPr>
      <w:r>
        <w:t>Mortality</w:t>
      </w:r>
    </w:p>
    <w:p w14:paraId="2CF247A9" w14:textId="72703CB5" w:rsidR="000742CA" w:rsidRDefault="000742CA" w:rsidP="00B93ABA">
      <w:r>
        <w:t>Three trials reported mortality as an outcome.</w:t>
      </w:r>
      <w:r w:rsidR="00E62798">
        <w:fldChar w:fldCharType="begin">
          <w:fldData xml:space="preserve">PEVuZE5vdGU+PENpdGU+PEF1dGhvcj5Qb3J0ZXI8L0F1dGhvcj48WWVhcj4xOTk2PC9ZZWFyPjxS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</w:fldData>
        </w:fldChar>
      </w:r>
      <w:r w:rsidR="00E62798">
        <w:instrText xml:space="preserve"> ADDIN EN.CITE </w:instrText>
      </w:r>
      <w:r w:rsidR="00E62798">
        <w:fldChar w:fldCharType="begin">
          <w:fldData xml:space="preserve">PEVuZE5vdGU+PENpdGU+PEF1dGhvcj5Qb3J0ZXI8L0F1dGhvcj48WWVhcj4xOTk2PC9ZZWFyPjxS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</w:fldData>
        </w:fldChar>
      </w:r>
      <w:r w:rsidR="00E62798">
        <w:instrText xml:space="preserve"> ADDIN EN.CITE.DATA </w:instrText>
      </w:r>
      <w:r w:rsidR="00E62798">
        <w:fldChar w:fldCharType="end"/>
      </w:r>
      <w:r w:rsidR="00E62798">
        <w:fldChar w:fldCharType="separate"/>
      </w:r>
      <w:hyperlink w:anchor="_ENREF_115" w:tooltip="Porter, 1996 #463" w:history="1">
        <w:r w:rsidR="00E62798" w:rsidRPr="00E62798">
          <w:rPr>
            <w:noProof/>
            <w:vertAlign w:val="superscript"/>
          </w:rPr>
          <w:t>115</w:t>
        </w:r>
      </w:hyperlink>
      <w:r w:rsidR="00E62798" w:rsidRPr="00E62798">
        <w:rPr>
          <w:noProof/>
          <w:vertAlign w:val="superscript"/>
        </w:rPr>
        <w:t xml:space="preserve">; </w:t>
      </w:r>
      <w:hyperlink w:anchor="_ENREF_117" w:tooltip="Razzouk, 2006 #445" w:history="1">
        <w:r w:rsidR="00E62798" w:rsidRPr="00E62798">
          <w:rPr>
            <w:noProof/>
            <w:vertAlign w:val="superscript"/>
          </w:rPr>
          <w:t>117-118</w:t>
        </w:r>
      </w:hyperlink>
      <w:r w:rsidR="00E62798">
        <w:fldChar w:fldCharType="end"/>
      </w:r>
      <w:r>
        <w:t xml:space="preserve"> A meta-analysis of these data showed no significant difference on mortality</w:t>
      </w:r>
      <w:r w:rsidR="00E667F8">
        <w:t>, but the studies were small and underpowered.</w:t>
      </w:r>
    </w:p>
    <w:p w14:paraId="65B3E773" w14:textId="77777777" w:rsidR="000742CA" w:rsidRDefault="000742CA" w:rsidP="000742CA">
      <w:pPr>
        <w:pStyle w:val="Heading5"/>
      </w:pPr>
      <w:r w:rsidRPr="004667A5">
        <w:t>Secondary outcomes</w:t>
      </w:r>
      <w:r>
        <w:rPr>
          <w:rStyle w:val="FootnoteReference"/>
        </w:rPr>
        <w:footnoteReference w:id="5"/>
      </w:r>
      <w:r w:rsidRPr="004667A5">
        <w:t xml:space="preserve"> </w:t>
      </w:r>
    </w:p>
    <w:p w14:paraId="41C312D3" w14:textId="144D0737" w:rsidR="000742CA" w:rsidRDefault="000742CA" w:rsidP="000742CA">
      <w:pPr>
        <w:pStyle w:val="H6"/>
      </w:pPr>
      <w:r>
        <w:t xml:space="preserve">Functional </w:t>
      </w:r>
      <w:r w:rsidR="007C1B3E">
        <w:t>or</w:t>
      </w:r>
      <w:r>
        <w:t xml:space="preserve"> performance status</w:t>
      </w:r>
    </w:p>
    <w:p w14:paraId="73B5FFA4" w14:textId="28C530BF" w:rsidR="000742CA" w:rsidRDefault="007C1B3E" w:rsidP="00B93ABA">
      <w:r>
        <w:t xml:space="preserve">No evidence was identified related to </w:t>
      </w:r>
      <w:r w:rsidR="000742CA">
        <w:t xml:space="preserve">functional </w:t>
      </w:r>
      <w:r>
        <w:t>or</w:t>
      </w:r>
      <w:r w:rsidR="000742CA">
        <w:t xml:space="preserve"> performance status. </w:t>
      </w:r>
    </w:p>
    <w:p w14:paraId="281D325D" w14:textId="77777777" w:rsidR="000742CA" w:rsidRDefault="000742CA" w:rsidP="000742CA">
      <w:pPr>
        <w:pStyle w:val="H6"/>
      </w:pPr>
      <w:r>
        <w:t>Laboratory measures</w:t>
      </w:r>
    </w:p>
    <w:p w14:paraId="0321CFF6" w14:textId="3B5331A5" w:rsidR="000742CA" w:rsidRDefault="000742CA" w:rsidP="00D43730">
      <w:r>
        <w:t>F</w:t>
      </w:r>
      <w:r w:rsidR="00D43730">
        <w:t>ive</w:t>
      </w:r>
      <w:r w:rsidR="00C64B8D">
        <w:t xml:space="preserve"> </w:t>
      </w:r>
      <w:r w:rsidR="00E667F8">
        <w:t>RCTs</w:t>
      </w:r>
      <w:r w:rsidR="00C64B8D">
        <w:t xml:space="preserve"> </w:t>
      </w:r>
      <w:r w:rsidR="00797A43">
        <w:t xml:space="preserve">studied </w:t>
      </w:r>
      <w:r>
        <w:t xml:space="preserve">the effect of </w:t>
      </w:r>
      <w:r w:rsidRPr="00771FC5">
        <w:t>ESA</w:t>
      </w:r>
      <w:r>
        <w:t xml:space="preserve"> </w:t>
      </w:r>
      <w:r w:rsidRPr="00771FC5">
        <w:t>therapy</w:t>
      </w:r>
      <w:r>
        <w:t xml:space="preserve"> on Hb</w:t>
      </w:r>
      <w:r w:rsidR="00045D23">
        <w:t>.</w:t>
      </w:r>
      <w:r w:rsidR="00E62798">
        <w:fldChar w:fldCharType="begin">
          <w:fldData xml:space="preserve">PEVuZE5vdGU+PENpdGU+PEF1dGhvcj5CZW5uZXR0czwvQXV0aG9yPjxZZWFyPjE5OTU8L1llYXI+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cmlvZGljYWw+PHBhZ2VzPjM1ODPigJM5PC9wYWdlcz48dm9sdW1lPjI0PC92b2x1bWU+PG51bWJl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</w:fldData>
        </w:fldChar>
      </w:r>
      <w:r w:rsidR="00E62798">
        <w:instrText xml:space="preserve"> ADDIN EN.CITE </w:instrText>
      </w:r>
      <w:r w:rsidR="00E62798">
        <w:fldChar w:fldCharType="begin">
          <w:fldData xml:space="preserve">PEVuZE5vdGU+PENpdGU+PEF1dGhvcj5CZW5uZXR0czwvQXV0aG9yPjxZZWFyPjE5OTU8L1llYXI+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cmlvZGljYWw+PHBhZ2VzPjM1ODPigJM5PC9wYWdlcz48dm9sdW1lPjI0PC92b2x1bWU+PG51bWJl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</w:fldData>
        </w:fldChar>
      </w:r>
      <w:r w:rsidR="00E62798">
        <w:instrText xml:space="preserve"> ADDIN EN.CITE.DATA </w:instrText>
      </w:r>
      <w:r w:rsidR="00E62798">
        <w:fldChar w:fldCharType="end"/>
      </w:r>
      <w:r w:rsidR="00E62798">
        <w:fldChar w:fldCharType="separate"/>
      </w:r>
      <w:hyperlink w:anchor="_ENREF_113" w:tooltip="Bennetts, 1995 #470" w:history="1">
        <w:r w:rsidR="00E62798" w:rsidRPr="00E62798">
          <w:rPr>
            <w:noProof/>
            <w:vertAlign w:val="superscript"/>
          </w:rPr>
          <w:t>113-114</w:t>
        </w:r>
      </w:hyperlink>
      <w:r w:rsidR="00E62798" w:rsidRPr="00E62798">
        <w:rPr>
          <w:noProof/>
          <w:vertAlign w:val="superscript"/>
        </w:rPr>
        <w:t xml:space="preserve">; </w:t>
      </w:r>
      <w:hyperlink w:anchor="_ENREF_116" w:tooltip="Ragni, 1998 #469" w:history="1">
        <w:r w:rsidR="00E62798" w:rsidRPr="00E62798">
          <w:rPr>
            <w:noProof/>
            <w:vertAlign w:val="superscript"/>
          </w:rPr>
          <w:t>116-118</w:t>
        </w:r>
      </w:hyperlink>
      <w:r w:rsidR="00E62798">
        <w:fldChar w:fldCharType="end"/>
      </w:r>
      <w:r w:rsidR="00D43730" w:rsidRPr="00D43730">
        <w:rPr>
          <w:lang w:val="en-GB" w:eastAsia="en-GB"/>
        </w:rPr>
        <w:t xml:space="preserve"> </w:t>
      </w:r>
      <w:r w:rsidR="00D43730">
        <w:t>The</w:t>
      </w:r>
      <w:r w:rsidR="00797A43">
        <w:t>y</w:t>
      </w:r>
      <w:r>
        <w:t xml:space="preserve"> reported a significant increase in Hb in children administered ESAs. </w:t>
      </w:r>
    </w:p>
    <w:p w14:paraId="4333D05B" w14:textId="1E0C70BB" w:rsidR="000742CA" w:rsidRPr="00797A43" w:rsidRDefault="000742CA" w:rsidP="00565E25">
      <w:pPr>
        <w:pStyle w:val="BoxHeading"/>
        <w:rPr>
          <w:lang w:val="en-AU"/>
        </w:rPr>
      </w:pPr>
      <w:r>
        <w:t xml:space="preserve">Clinical </w:t>
      </w:r>
      <w:r w:rsidR="00D43730">
        <w:t>commentary</w:t>
      </w:r>
      <w:r w:rsidR="00797A43">
        <w:rPr>
          <w:lang w:val="en-AU"/>
        </w:rPr>
        <w:t xml:space="preserve"> – ESAs (with or without iron) in neonatal and </w:t>
      </w:r>
      <w:r w:rsidR="00797A43">
        <w:t>p</w:t>
      </w:r>
      <w:r w:rsidR="00797A43" w:rsidRPr="004667A5">
        <w:t>aediatric</w:t>
      </w:r>
      <w:r w:rsidR="00797A43">
        <w:t xml:space="preserve"> </w:t>
      </w:r>
      <w:r w:rsidR="00797A43" w:rsidRPr="004667A5">
        <w:t>patients with cancer</w:t>
      </w:r>
    </w:p>
    <w:p w14:paraId="35CD118C" w14:textId="21BF882A" w:rsidR="000742CA" w:rsidRDefault="000742CA" w:rsidP="00565E25">
      <w:pPr>
        <w:pStyle w:val="BoxText"/>
      </w:pPr>
      <w:r>
        <w:t>In the adult cancer population</w:t>
      </w:r>
      <w:r w:rsidR="00C64B8D">
        <w:t>,</w:t>
      </w:r>
      <w:r>
        <w:t xml:space="preserve"> ESAs have been demonstrated to be effective in treating cancer-induced anaemia</w:t>
      </w:r>
      <w:r w:rsidR="00797A43">
        <w:t xml:space="preserve">; however, they </w:t>
      </w:r>
      <w:r>
        <w:t xml:space="preserve">have increased </w:t>
      </w:r>
      <w:r w:rsidR="00797A43">
        <w:t>associated risks,</w:t>
      </w:r>
      <w:r>
        <w:t xml:space="preserve"> including death and thromboembolic events.</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p w14:paraId="1726F437" w14:textId="4285A1E6" w:rsidR="000742CA" w:rsidRDefault="000742CA" w:rsidP="00565E25">
      <w:pPr>
        <w:pStyle w:val="BoxText"/>
      </w:pPr>
      <w:r>
        <w:t xml:space="preserve">A few small paediatric trials have suggested </w:t>
      </w:r>
      <w:r w:rsidR="00797A43">
        <w:t xml:space="preserve">that use of ESAs may lead to </w:t>
      </w:r>
      <w:r>
        <w:t xml:space="preserve">lower transfusion requirements and improved </w:t>
      </w:r>
      <w:r w:rsidR="00C64B8D">
        <w:t>Hb</w:t>
      </w:r>
      <w:r w:rsidR="00797A43">
        <w:t xml:space="preserve"> levels</w:t>
      </w:r>
      <w:r>
        <w:t>; however</w:t>
      </w:r>
      <w:r w:rsidR="00C64B8D">
        <w:t>,</w:t>
      </w:r>
      <w:r>
        <w:t xml:space="preserve"> the effect on overall survival is unknown. </w:t>
      </w:r>
    </w:p>
    <w:p w14:paraId="09C0951A" w14:textId="4430EC8E" w:rsidR="000742CA" w:rsidRDefault="000742CA" w:rsidP="00565E25">
      <w:pPr>
        <w:pStyle w:val="BoxText"/>
      </w:pPr>
      <w:r w:rsidRPr="00050779">
        <w:t xml:space="preserve">In paediatric patients </w:t>
      </w:r>
      <w:r>
        <w:t>receiving</w:t>
      </w:r>
      <w:r w:rsidRPr="00050779">
        <w:t xml:space="preserve"> chemotherapy, the routine use of ESAs is not advised.</w:t>
      </w:r>
      <w:r>
        <w:t xml:space="preserve"> It is an expensive treatment and the paediatric studies </w:t>
      </w:r>
      <w:r w:rsidRPr="00050779">
        <w:t xml:space="preserve">are underpowered to determine their effect on mortality and thromboembolic events, which are increased in the adult population. </w:t>
      </w:r>
    </w:p>
    <w:p w14:paraId="3C24B799" w14:textId="25C00B5B" w:rsidR="000742CA" w:rsidRDefault="00C64B8D" w:rsidP="000742CA">
      <w:pPr>
        <w:pStyle w:val="Head4Num"/>
        <w:ind w:left="1582"/>
      </w:pPr>
      <w:r>
        <w:t>3.3.6</w:t>
      </w:r>
      <w:r>
        <w:tab/>
        <w:t xml:space="preserve">Medical: </w:t>
      </w:r>
      <w:r w:rsidR="00A41D9F">
        <w:t>neonatal and paediatric</w:t>
      </w:r>
      <w:r w:rsidRPr="004667A5">
        <w:t xml:space="preserve"> patients with cancer</w:t>
      </w:r>
      <w:r>
        <w:t xml:space="preserve"> – effects of oral </w:t>
      </w:r>
      <w:r w:rsidR="000742CA">
        <w:t xml:space="preserve">and/or parenteral iron </w:t>
      </w:r>
      <w:r>
        <w:t>on outcomes</w:t>
      </w:r>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496D5126"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67A4486A" w14:textId="77777777" w:rsidR="000742CA" w:rsidRPr="00A21FE4" w:rsidRDefault="000742CA" w:rsidP="000742CA">
            <w:pPr>
              <w:pStyle w:val="PP-heading"/>
            </w:pPr>
            <w:r w:rsidRPr="00A21FE4">
              <w:t>Evidence statements – cancer (oral and/or parenteral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47AF090"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B6B86ED"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723F7EF"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9EB4A65"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291AB82" w14:textId="77777777" w:rsidR="000742CA" w:rsidRPr="00A21FE4" w:rsidRDefault="000742CA" w:rsidP="000742CA">
            <w:pPr>
              <w:ind w:left="113" w:right="113"/>
              <w:jc w:val="center"/>
              <w:rPr>
                <w:b/>
              </w:rPr>
            </w:pPr>
            <w:r w:rsidRPr="00A21FE4">
              <w:rPr>
                <w:b/>
              </w:rPr>
              <w:t>Applicability</w:t>
            </w:r>
          </w:p>
        </w:tc>
      </w:tr>
      <w:tr w:rsidR="000742CA" w:rsidRPr="00A21FE4" w14:paraId="7F20EAFA" w14:textId="77777777" w:rsidTr="000742CA">
        <w:trPr>
          <w:cantSplit/>
        </w:trPr>
        <w:tc>
          <w:tcPr>
            <w:tcW w:w="851" w:type="dxa"/>
          </w:tcPr>
          <w:p w14:paraId="01CEFE1E" w14:textId="77777777" w:rsidR="000742CA" w:rsidRPr="00A21FE4" w:rsidRDefault="000742CA" w:rsidP="00C64B8D">
            <w:pPr>
              <w:pStyle w:val="Tabletext0"/>
              <w:keepNext/>
            </w:pPr>
            <w:r w:rsidRPr="007049C8">
              <w:t>ES2.</w:t>
            </w:r>
            <w:r>
              <w:t>24</w:t>
            </w:r>
          </w:p>
        </w:tc>
        <w:tc>
          <w:tcPr>
            <w:tcW w:w="3750" w:type="dxa"/>
          </w:tcPr>
          <w:p w14:paraId="7CF77A2B" w14:textId="77777777" w:rsidR="000742CA" w:rsidRPr="00A21FE4" w:rsidRDefault="000742CA" w:rsidP="00C64B8D">
            <w:pPr>
              <w:pStyle w:val="ES-table"/>
              <w:rPr>
                <w:szCs w:val="20"/>
              </w:rPr>
            </w:pPr>
            <w:r w:rsidRPr="00A21FE4">
              <w:t>In neonatal and paediatric patients receiving chemotherapy, the effect of iron compared with no iron on transfusion incidence or volume is unknown.</w:t>
            </w:r>
          </w:p>
        </w:tc>
        <w:tc>
          <w:tcPr>
            <w:tcW w:w="820" w:type="dxa"/>
          </w:tcPr>
          <w:p w14:paraId="3D16C972" w14:textId="77777777" w:rsidR="000742CA" w:rsidRPr="00A21FE4" w:rsidRDefault="000742CA" w:rsidP="00C64B8D">
            <w:pPr>
              <w:pStyle w:val="T-ABCD"/>
              <w:keepNext/>
            </w:pPr>
            <w:r w:rsidRPr="00A21FE4">
              <w:t>NA</w:t>
            </w:r>
          </w:p>
        </w:tc>
        <w:tc>
          <w:tcPr>
            <w:tcW w:w="821" w:type="dxa"/>
          </w:tcPr>
          <w:p w14:paraId="2E3AF4B4" w14:textId="77777777" w:rsidR="000742CA" w:rsidRPr="00A21FE4" w:rsidRDefault="000742CA" w:rsidP="00C64B8D">
            <w:pPr>
              <w:pStyle w:val="T-ABCD"/>
              <w:keepNext/>
            </w:pPr>
            <w:r w:rsidRPr="00A21FE4">
              <w:t>NA</w:t>
            </w:r>
          </w:p>
        </w:tc>
        <w:tc>
          <w:tcPr>
            <w:tcW w:w="821" w:type="dxa"/>
          </w:tcPr>
          <w:p w14:paraId="26CA7283" w14:textId="77777777" w:rsidR="000742CA" w:rsidRPr="00A21FE4" w:rsidRDefault="000742CA" w:rsidP="00C64B8D">
            <w:pPr>
              <w:pStyle w:val="T-ABCD"/>
              <w:keepNext/>
            </w:pPr>
            <w:r w:rsidRPr="00A21FE4">
              <w:t>NA</w:t>
            </w:r>
          </w:p>
        </w:tc>
        <w:tc>
          <w:tcPr>
            <w:tcW w:w="821" w:type="dxa"/>
          </w:tcPr>
          <w:p w14:paraId="3F97CC41" w14:textId="77777777" w:rsidR="000742CA" w:rsidRPr="00A21FE4" w:rsidRDefault="000742CA" w:rsidP="00C64B8D">
            <w:pPr>
              <w:pStyle w:val="T-ABCD"/>
              <w:keepNext/>
            </w:pPr>
            <w:r w:rsidRPr="00A21FE4">
              <w:t>NA</w:t>
            </w:r>
          </w:p>
        </w:tc>
        <w:tc>
          <w:tcPr>
            <w:tcW w:w="821" w:type="dxa"/>
          </w:tcPr>
          <w:p w14:paraId="3D83AA16" w14:textId="77777777" w:rsidR="000742CA" w:rsidRPr="00A21FE4" w:rsidRDefault="000742CA" w:rsidP="00C64B8D">
            <w:pPr>
              <w:pStyle w:val="T-ABCD"/>
              <w:keepNext/>
            </w:pPr>
            <w:r w:rsidRPr="00A21FE4">
              <w:t xml:space="preserve">NA </w:t>
            </w:r>
          </w:p>
        </w:tc>
      </w:tr>
      <w:tr w:rsidR="000742CA" w:rsidRPr="00A21FE4" w14:paraId="08A2FCE5" w14:textId="77777777" w:rsidTr="000742CA">
        <w:trPr>
          <w:cantSplit/>
        </w:trPr>
        <w:tc>
          <w:tcPr>
            <w:tcW w:w="851" w:type="dxa"/>
          </w:tcPr>
          <w:p w14:paraId="2CE3629F" w14:textId="77777777" w:rsidR="000742CA" w:rsidRPr="00A21FE4" w:rsidRDefault="000742CA" w:rsidP="00C64B8D">
            <w:pPr>
              <w:pStyle w:val="Tabletext0"/>
              <w:keepNext/>
            </w:pPr>
            <w:r w:rsidRPr="007049C8">
              <w:t>ES2.</w:t>
            </w:r>
            <w:r>
              <w:t>25</w:t>
            </w:r>
          </w:p>
        </w:tc>
        <w:tc>
          <w:tcPr>
            <w:tcW w:w="3750" w:type="dxa"/>
          </w:tcPr>
          <w:p w14:paraId="2A4B3386" w14:textId="77777777" w:rsidR="000742CA" w:rsidRPr="00A21FE4" w:rsidRDefault="000742CA" w:rsidP="00C64B8D">
            <w:pPr>
              <w:pStyle w:val="ES-table"/>
            </w:pPr>
            <w:r w:rsidRPr="00A21FE4">
              <w:t>In neonatal and paediatric patients receiving chemotherapy, the effect of iron compared with no iron on mortality is unknown.</w:t>
            </w:r>
          </w:p>
        </w:tc>
        <w:tc>
          <w:tcPr>
            <w:tcW w:w="820" w:type="dxa"/>
          </w:tcPr>
          <w:p w14:paraId="22045347" w14:textId="77777777" w:rsidR="000742CA" w:rsidRPr="00A21FE4" w:rsidRDefault="000742CA" w:rsidP="00C64B8D">
            <w:pPr>
              <w:pStyle w:val="T-ABCD"/>
              <w:keepNext/>
            </w:pPr>
            <w:r w:rsidRPr="00A21FE4">
              <w:t>NA</w:t>
            </w:r>
          </w:p>
        </w:tc>
        <w:tc>
          <w:tcPr>
            <w:tcW w:w="821" w:type="dxa"/>
          </w:tcPr>
          <w:p w14:paraId="1AFB9C18" w14:textId="77777777" w:rsidR="000742CA" w:rsidRPr="00A21FE4" w:rsidRDefault="000742CA" w:rsidP="00C64B8D">
            <w:pPr>
              <w:pStyle w:val="T-ABCD"/>
              <w:keepNext/>
            </w:pPr>
            <w:r w:rsidRPr="00A21FE4">
              <w:t>NA</w:t>
            </w:r>
          </w:p>
        </w:tc>
        <w:tc>
          <w:tcPr>
            <w:tcW w:w="821" w:type="dxa"/>
          </w:tcPr>
          <w:p w14:paraId="419FFB44" w14:textId="77777777" w:rsidR="000742CA" w:rsidRPr="00A21FE4" w:rsidRDefault="000742CA" w:rsidP="00C64B8D">
            <w:pPr>
              <w:pStyle w:val="T-ABCD"/>
              <w:keepNext/>
            </w:pPr>
            <w:r w:rsidRPr="00A21FE4">
              <w:t>NA</w:t>
            </w:r>
          </w:p>
        </w:tc>
        <w:tc>
          <w:tcPr>
            <w:tcW w:w="821" w:type="dxa"/>
          </w:tcPr>
          <w:p w14:paraId="31774289" w14:textId="77777777" w:rsidR="000742CA" w:rsidRPr="00A21FE4" w:rsidRDefault="000742CA" w:rsidP="00C64B8D">
            <w:pPr>
              <w:pStyle w:val="T-ABCD"/>
              <w:keepNext/>
            </w:pPr>
            <w:r w:rsidRPr="00A21FE4">
              <w:t>NA</w:t>
            </w:r>
          </w:p>
        </w:tc>
        <w:tc>
          <w:tcPr>
            <w:tcW w:w="821" w:type="dxa"/>
          </w:tcPr>
          <w:p w14:paraId="47404BA6" w14:textId="77777777" w:rsidR="000742CA" w:rsidRPr="00A21FE4" w:rsidRDefault="000742CA" w:rsidP="00C64B8D">
            <w:pPr>
              <w:pStyle w:val="T-ABCD"/>
              <w:keepNext/>
            </w:pPr>
            <w:r w:rsidRPr="00A21FE4">
              <w:t xml:space="preserve">NA </w:t>
            </w:r>
          </w:p>
        </w:tc>
      </w:tr>
      <w:tr w:rsidR="000742CA" w:rsidRPr="00A21FE4" w14:paraId="0E67AB8A" w14:textId="77777777" w:rsidTr="000742CA">
        <w:trPr>
          <w:cantSplit/>
        </w:trPr>
        <w:tc>
          <w:tcPr>
            <w:tcW w:w="8705" w:type="dxa"/>
            <w:gridSpan w:val="7"/>
          </w:tcPr>
          <w:p w14:paraId="6FCC8BA5" w14:textId="77777777" w:rsidR="000742CA" w:rsidRPr="00A21FE4" w:rsidRDefault="000742CA" w:rsidP="000742CA">
            <w:pPr>
              <w:pStyle w:val="ES-notes"/>
            </w:pPr>
            <w:r w:rsidRPr="00A21FE4">
              <w:t>ES, evidence statement</w:t>
            </w:r>
          </w:p>
          <w:p w14:paraId="15162A76"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A2C893A" w14:textId="77777777" w:rsidR="000742CA" w:rsidRDefault="000742CA" w:rsidP="000742CA">
      <w:pPr>
        <w:pStyle w:val="Heading4"/>
      </w:pPr>
      <w:r>
        <w:t>Summary of evidence</w:t>
      </w:r>
    </w:p>
    <w:p w14:paraId="59994378" w14:textId="19FABFBA" w:rsidR="000742CA" w:rsidRDefault="00E667F8" w:rsidP="00C64B8D">
      <w:r>
        <w:t>No studies</w:t>
      </w:r>
      <w:r w:rsidR="000742CA">
        <w:t xml:space="preserve"> assessed the safety and efficacy of oral or parenteral</w:t>
      </w:r>
      <w:r>
        <w:t xml:space="preserve"> iron</w:t>
      </w:r>
      <w:r w:rsidR="000742CA">
        <w:t xml:space="preserve"> in </w:t>
      </w:r>
      <w:r w:rsidR="001F5718">
        <w:t xml:space="preserve">neonatal or </w:t>
      </w:r>
      <w:r w:rsidR="000742CA">
        <w:t xml:space="preserve">paediatric cancer patients. </w:t>
      </w:r>
    </w:p>
    <w:p w14:paraId="0961A5F8" w14:textId="0F26248D" w:rsidR="000742CA" w:rsidRPr="00C64B8D" w:rsidRDefault="00C64B8D" w:rsidP="00C64B8D">
      <w:pPr>
        <w:pStyle w:val="Heading3"/>
        <w:rPr>
          <w:lang w:val="en-AU"/>
        </w:rPr>
      </w:pPr>
      <w:bookmarkStart w:id="121" w:name="_Toc427851329"/>
      <w:r>
        <w:rPr>
          <w:lang w:val="en-AU"/>
        </w:rPr>
        <w:t>3.3.7</w:t>
      </w:r>
      <w:r>
        <w:rPr>
          <w:lang w:val="en-AU"/>
        </w:rPr>
        <w:tab/>
      </w:r>
      <w:r w:rsidR="000742CA">
        <w:t xml:space="preserve">Medical: </w:t>
      </w:r>
      <w:r w:rsidR="00C918A5">
        <w:t xml:space="preserve">neonatal </w:t>
      </w:r>
      <w:r w:rsidR="00C918A5">
        <w:rPr>
          <w:lang w:val="en-AU"/>
        </w:rPr>
        <w:t xml:space="preserve">and </w:t>
      </w:r>
      <w:r w:rsidR="000742CA">
        <w:t>p</w:t>
      </w:r>
      <w:r w:rsidR="000742CA" w:rsidRPr="004667A5">
        <w:t>aediatric patients with kidney disease</w:t>
      </w:r>
      <w:r>
        <w:rPr>
          <w:lang w:val="en-AU"/>
        </w:rPr>
        <w:t xml:space="preserve"> – effect</w:t>
      </w:r>
      <w:r w:rsidR="00054C94">
        <w:rPr>
          <w:lang w:val="en-AU"/>
        </w:rPr>
        <w:t>s</w:t>
      </w:r>
      <w:r>
        <w:rPr>
          <w:lang w:val="en-AU"/>
        </w:rPr>
        <w:t xml:space="preserve"> of </w:t>
      </w:r>
      <w:r w:rsidRPr="004667A5">
        <w:t xml:space="preserve">ESAs </w:t>
      </w:r>
      <w:r>
        <w:rPr>
          <w:lang w:val="en-AU"/>
        </w:rPr>
        <w:t>(</w:t>
      </w:r>
      <w:r w:rsidRPr="00A21FE4">
        <w:t>with or without iron</w:t>
      </w:r>
      <w:r>
        <w:rPr>
          <w:lang w:val="en-AU"/>
        </w:rPr>
        <w:t>) on outcomes</w:t>
      </w:r>
      <w:bookmarkEnd w:id="121"/>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59C002DE"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0228D17F" w14:textId="036B4894" w:rsidR="000742CA" w:rsidRPr="00A21FE4" w:rsidRDefault="000742CA" w:rsidP="000742CA">
            <w:pPr>
              <w:pStyle w:val="PP-heading"/>
            </w:pPr>
            <w:r w:rsidRPr="00A21FE4">
              <w:t>Evidence statements – kidney disease (ESA</w:t>
            </w:r>
            <w:r w:rsidR="006D11A2">
              <w:rPr>
                <w:lang w:val="en-AU"/>
              </w:rPr>
              <w:t>s</w:t>
            </w:r>
            <w:r w:rsidRPr="00A21FE4">
              <w:t xml:space="preserve"> 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2F9A3AA"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E08A93E"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D51A370"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FF7D987"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260E1B8" w14:textId="77777777" w:rsidR="000742CA" w:rsidRPr="00A21FE4" w:rsidRDefault="000742CA" w:rsidP="000742CA">
            <w:pPr>
              <w:ind w:left="113" w:right="113"/>
              <w:jc w:val="center"/>
              <w:rPr>
                <w:b/>
              </w:rPr>
            </w:pPr>
            <w:r w:rsidRPr="00A21FE4">
              <w:rPr>
                <w:b/>
              </w:rPr>
              <w:t>Applicability</w:t>
            </w:r>
          </w:p>
        </w:tc>
      </w:tr>
      <w:tr w:rsidR="000742CA" w:rsidRPr="00A21FE4" w14:paraId="0188E3D8" w14:textId="77777777" w:rsidTr="000742CA">
        <w:trPr>
          <w:cantSplit/>
        </w:trPr>
        <w:tc>
          <w:tcPr>
            <w:tcW w:w="851" w:type="dxa"/>
          </w:tcPr>
          <w:p w14:paraId="363AF33D" w14:textId="77777777" w:rsidR="000742CA" w:rsidRPr="00A21FE4" w:rsidRDefault="000742CA" w:rsidP="000742CA">
            <w:pPr>
              <w:pStyle w:val="Tabletext0"/>
            </w:pPr>
            <w:r w:rsidRPr="00CB6941">
              <w:t>ES2.</w:t>
            </w:r>
            <w:r>
              <w:t>26</w:t>
            </w:r>
          </w:p>
        </w:tc>
        <w:tc>
          <w:tcPr>
            <w:tcW w:w="3750" w:type="dxa"/>
          </w:tcPr>
          <w:p w14:paraId="0E924DEB" w14:textId="77777777" w:rsidR="000742CA" w:rsidRPr="00A21FE4" w:rsidRDefault="000742CA" w:rsidP="000742CA">
            <w:pPr>
              <w:pStyle w:val="ES-table"/>
              <w:rPr>
                <w:szCs w:val="20"/>
              </w:rPr>
            </w:pPr>
            <w:r w:rsidRPr="00A21FE4">
              <w:t>In neonatal patients with kidney disease, the effect of ESA therapy (with or without iron) on transfusion incidence or volume is unknown.</w:t>
            </w:r>
          </w:p>
        </w:tc>
        <w:tc>
          <w:tcPr>
            <w:tcW w:w="820" w:type="dxa"/>
          </w:tcPr>
          <w:p w14:paraId="1DC3F349" w14:textId="77777777" w:rsidR="000742CA" w:rsidRPr="00A21FE4" w:rsidRDefault="000742CA" w:rsidP="000742CA">
            <w:pPr>
              <w:pStyle w:val="T-ABCD"/>
            </w:pPr>
            <w:r w:rsidRPr="00A21FE4">
              <w:t>NA</w:t>
            </w:r>
          </w:p>
        </w:tc>
        <w:tc>
          <w:tcPr>
            <w:tcW w:w="821" w:type="dxa"/>
          </w:tcPr>
          <w:p w14:paraId="0158F2DE" w14:textId="77777777" w:rsidR="000742CA" w:rsidRPr="00A21FE4" w:rsidRDefault="000742CA" w:rsidP="000742CA">
            <w:pPr>
              <w:pStyle w:val="T-ABCD"/>
            </w:pPr>
            <w:r w:rsidRPr="00A21FE4">
              <w:t>NA</w:t>
            </w:r>
          </w:p>
        </w:tc>
        <w:tc>
          <w:tcPr>
            <w:tcW w:w="821" w:type="dxa"/>
          </w:tcPr>
          <w:p w14:paraId="4C69DCBB" w14:textId="77777777" w:rsidR="000742CA" w:rsidRPr="00A21FE4" w:rsidRDefault="000742CA" w:rsidP="000742CA">
            <w:pPr>
              <w:pStyle w:val="T-ABCD"/>
            </w:pPr>
            <w:r w:rsidRPr="00A21FE4">
              <w:t>NA</w:t>
            </w:r>
          </w:p>
        </w:tc>
        <w:tc>
          <w:tcPr>
            <w:tcW w:w="821" w:type="dxa"/>
          </w:tcPr>
          <w:p w14:paraId="1445C09D" w14:textId="77777777" w:rsidR="000742CA" w:rsidRPr="00A21FE4" w:rsidRDefault="000742CA" w:rsidP="000742CA">
            <w:pPr>
              <w:pStyle w:val="T-ABCD"/>
            </w:pPr>
            <w:r w:rsidRPr="00A21FE4">
              <w:t>NA</w:t>
            </w:r>
          </w:p>
        </w:tc>
        <w:tc>
          <w:tcPr>
            <w:tcW w:w="821" w:type="dxa"/>
          </w:tcPr>
          <w:p w14:paraId="52FAFB56" w14:textId="77777777" w:rsidR="000742CA" w:rsidRPr="00A21FE4" w:rsidRDefault="000742CA" w:rsidP="000742CA">
            <w:pPr>
              <w:pStyle w:val="T-ABCD"/>
            </w:pPr>
            <w:r w:rsidRPr="00A21FE4">
              <w:t xml:space="preserve">NA </w:t>
            </w:r>
          </w:p>
        </w:tc>
      </w:tr>
      <w:tr w:rsidR="000742CA" w:rsidRPr="00A21FE4" w14:paraId="68A5BA5E" w14:textId="77777777" w:rsidTr="000742CA">
        <w:trPr>
          <w:cantSplit/>
        </w:trPr>
        <w:tc>
          <w:tcPr>
            <w:tcW w:w="851" w:type="dxa"/>
          </w:tcPr>
          <w:p w14:paraId="7B998186" w14:textId="77777777" w:rsidR="000742CA" w:rsidRPr="00A21FE4" w:rsidRDefault="000742CA" w:rsidP="000742CA">
            <w:pPr>
              <w:pStyle w:val="Tabletext0"/>
            </w:pPr>
            <w:r w:rsidRPr="00CB6941">
              <w:t>ES2.</w:t>
            </w:r>
            <w:r>
              <w:t>27</w:t>
            </w:r>
          </w:p>
        </w:tc>
        <w:tc>
          <w:tcPr>
            <w:tcW w:w="3750" w:type="dxa"/>
          </w:tcPr>
          <w:p w14:paraId="4B0AEA64" w14:textId="77777777" w:rsidR="000742CA" w:rsidRPr="00A21FE4" w:rsidRDefault="000742CA" w:rsidP="000742CA">
            <w:pPr>
              <w:pStyle w:val="ES-table"/>
            </w:pPr>
            <w:r w:rsidRPr="00A21FE4">
              <w:t xml:space="preserve">In paediatric patients with </w:t>
            </w:r>
            <w:r>
              <w:t>CKD</w:t>
            </w:r>
            <w:r w:rsidRPr="00A21FE4">
              <w:t>, the effect of ESA therapy (with or without iron) on transfusion incidence or volume is unknown.</w:t>
            </w:r>
          </w:p>
        </w:tc>
        <w:tc>
          <w:tcPr>
            <w:tcW w:w="820" w:type="dxa"/>
          </w:tcPr>
          <w:p w14:paraId="7CCED551" w14:textId="77777777" w:rsidR="000742CA" w:rsidRPr="00A21FE4" w:rsidRDefault="000742CA" w:rsidP="000742CA">
            <w:pPr>
              <w:pStyle w:val="T-ABCD"/>
            </w:pPr>
            <w:r w:rsidRPr="00A21FE4">
              <w:t>NA</w:t>
            </w:r>
          </w:p>
        </w:tc>
        <w:tc>
          <w:tcPr>
            <w:tcW w:w="821" w:type="dxa"/>
          </w:tcPr>
          <w:p w14:paraId="25DA8036" w14:textId="77777777" w:rsidR="000742CA" w:rsidRPr="00A21FE4" w:rsidRDefault="000742CA" w:rsidP="000742CA">
            <w:pPr>
              <w:pStyle w:val="T-ABCD"/>
            </w:pPr>
            <w:r w:rsidRPr="00A21FE4">
              <w:t>NA</w:t>
            </w:r>
          </w:p>
        </w:tc>
        <w:tc>
          <w:tcPr>
            <w:tcW w:w="821" w:type="dxa"/>
          </w:tcPr>
          <w:p w14:paraId="4A754DCA" w14:textId="77777777" w:rsidR="000742CA" w:rsidRPr="00A21FE4" w:rsidRDefault="000742CA" w:rsidP="000742CA">
            <w:pPr>
              <w:pStyle w:val="T-ABCD"/>
            </w:pPr>
            <w:r w:rsidRPr="00A21FE4">
              <w:t>NA</w:t>
            </w:r>
          </w:p>
        </w:tc>
        <w:tc>
          <w:tcPr>
            <w:tcW w:w="821" w:type="dxa"/>
          </w:tcPr>
          <w:p w14:paraId="113624BD" w14:textId="77777777" w:rsidR="000742CA" w:rsidRPr="00A21FE4" w:rsidRDefault="000742CA" w:rsidP="000742CA">
            <w:pPr>
              <w:pStyle w:val="T-ABCD"/>
            </w:pPr>
            <w:r w:rsidRPr="00A21FE4">
              <w:t>NA</w:t>
            </w:r>
          </w:p>
        </w:tc>
        <w:tc>
          <w:tcPr>
            <w:tcW w:w="821" w:type="dxa"/>
          </w:tcPr>
          <w:p w14:paraId="652C1EC8" w14:textId="77777777" w:rsidR="000742CA" w:rsidRPr="00A21FE4" w:rsidRDefault="000742CA" w:rsidP="000742CA">
            <w:pPr>
              <w:pStyle w:val="T-ABCD"/>
            </w:pPr>
            <w:r w:rsidRPr="00A21FE4">
              <w:t xml:space="preserve">NA </w:t>
            </w:r>
          </w:p>
        </w:tc>
      </w:tr>
      <w:tr w:rsidR="000742CA" w:rsidRPr="00A21FE4" w14:paraId="40C0CA93" w14:textId="77777777" w:rsidTr="000742CA">
        <w:trPr>
          <w:cantSplit/>
        </w:trPr>
        <w:tc>
          <w:tcPr>
            <w:tcW w:w="851" w:type="dxa"/>
          </w:tcPr>
          <w:p w14:paraId="38EB8E93" w14:textId="77777777" w:rsidR="000742CA" w:rsidRPr="00A21FE4" w:rsidRDefault="000742CA" w:rsidP="000742CA">
            <w:pPr>
              <w:pStyle w:val="Tabletext0"/>
            </w:pPr>
            <w:r w:rsidRPr="00063FA0">
              <w:t>ES2.</w:t>
            </w:r>
            <w:r>
              <w:t>28</w:t>
            </w:r>
          </w:p>
        </w:tc>
        <w:tc>
          <w:tcPr>
            <w:tcW w:w="3750" w:type="dxa"/>
          </w:tcPr>
          <w:p w14:paraId="3FC982DB" w14:textId="77777777" w:rsidR="000742CA" w:rsidRPr="00A21FE4" w:rsidRDefault="000742CA" w:rsidP="000742CA">
            <w:pPr>
              <w:pStyle w:val="Tabletext0"/>
            </w:pPr>
            <w:r w:rsidRPr="00A21FE4">
              <w:t>In paediatric patients with haemolytic uremic syndrome, the effect of ESA therapy on transfusion incidence is uncertain.</w:t>
            </w:r>
          </w:p>
          <w:p w14:paraId="30ADE327" w14:textId="77777777" w:rsidR="000742CA" w:rsidRPr="00A21FE4" w:rsidRDefault="000742CA" w:rsidP="000742CA">
            <w:pPr>
              <w:pStyle w:val="ES-notes"/>
            </w:pPr>
            <w:r w:rsidRPr="00A21FE4">
              <w:t>(See evidence matrix D2.P in Volume 2 of the technical report.)</w:t>
            </w:r>
          </w:p>
        </w:tc>
        <w:tc>
          <w:tcPr>
            <w:tcW w:w="820" w:type="dxa"/>
          </w:tcPr>
          <w:p w14:paraId="19F00F9C" w14:textId="77777777" w:rsidR="000742CA" w:rsidRPr="00A21FE4" w:rsidRDefault="000742CA" w:rsidP="000742CA">
            <w:pPr>
              <w:pStyle w:val="T-ABCD"/>
            </w:pPr>
            <w:r w:rsidRPr="00A21FE4">
              <w:t>X</w:t>
            </w:r>
          </w:p>
        </w:tc>
        <w:tc>
          <w:tcPr>
            <w:tcW w:w="821" w:type="dxa"/>
          </w:tcPr>
          <w:p w14:paraId="29938F3E" w14:textId="77777777" w:rsidR="000742CA" w:rsidRPr="00A21FE4" w:rsidRDefault="000742CA" w:rsidP="000742CA">
            <w:pPr>
              <w:pStyle w:val="T-ABCD"/>
            </w:pPr>
            <w:r w:rsidRPr="00A21FE4">
              <w:t>NA</w:t>
            </w:r>
          </w:p>
        </w:tc>
        <w:tc>
          <w:tcPr>
            <w:tcW w:w="821" w:type="dxa"/>
          </w:tcPr>
          <w:p w14:paraId="1CEB0083" w14:textId="77777777" w:rsidR="000742CA" w:rsidRPr="00A21FE4" w:rsidRDefault="000742CA" w:rsidP="000742CA">
            <w:pPr>
              <w:pStyle w:val="T-ABCD"/>
            </w:pPr>
            <w:r w:rsidRPr="00A21FE4">
              <w:t>NA</w:t>
            </w:r>
          </w:p>
        </w:tc>
        <w:tc>
          <w:tcPr>
            <w:tcW w:w="821" w:type="dxa"/>
          </w:tcPr>
          <w:p w14:paraId="7E7F63E6" w14:textId="77777777" w:rsidR="000742CA" w:rsidRPr="00A21FE4" w:rsidRDefault="000742CA" w:rsidP="000742CA">
            <w:pPr>
              <w:pStyle w:val="T-ABCD"/>
            </w:pPr>
            <w:r w:rsidRPr="00A21FE4">
              <w:sym w:font="Symbol" w:char="F0D6"/>
            </w:r>
            <w:r w:rsidRPr="00A21FE4">
              <w:sym w:font="Symbol" w:char="F0D6"/>
            </w:r>
          </w:p>
        </w:tc>
        <w:tc>
          <w:tcPr>
            <w:tcW w:w="821" w:type="dxa"/>
          </w:tcPr>
          <w:p w14:paraId="7828653D" w14:textId="77777777" w:rsidR="000742CA" w:rsidRPr="00A21FE4" w:rsidRDefault="000742CA" w:rsidP="000742CA">
            <w:pPr>
              <w:pStyle w:val="T-ABCD"/>
            </w:pPr>
            <w:r w:rsidRPr="00A21FE4">
              <w:sym w:font="Symbol" w:char="F0D6"/>
            </w:r>
            <w:r w:rsidRPr="00A21FE4">
              <w:sym w:font="Symbol" w:char="F0D6"/>
            </w:r>
          </w:p>
        </w:tc>
      </w:tr>
      <w:tr w:rsidR="000742CA" w:rsidRPr="00A21FE4" w14:paraId="50C13FD7" w14:textId="77777777" w:rsidTr="000742CA">
        <w:trPr>
          <w:cantSplit/>
        </w:trPr>
        <w:tc>
          <w:tcPr>
            <w:tcW w:w="851" w:type="dxa"/>
          </w:tcPr>
          <w:p w14:paraId="3F283528" w14:textId="77777777" w:rsidR="000742CA" w:rsidRPr="00A21FE4" w:rsidRDefault="000742CA" w:rsidP="000742CA">
            <w:pPr>
              <w:pStyle w:val="Tabletext0"/>
            </w:pPr>
            <w:r w:rsidRPr="00063FA0">
              <w:t>ES2.</w:t>
            </w:r>
            <w:r>
              <w:t>29</w:t>
            </w:r>
          </w:p>
        </w:tc>
        <w:tc>
          <w:tcPr>
            <w:tcW w:w="3750" w:type="dxa"/>
          </w:tcPr>
          <w:p w14:paraId="048C0B83" w14:textId="77777777" w:rsidR="000742CA" w:rsidRPr="00A21FE4" w:rsidRDefault="000742CA" w:rsidP="000742CA">
            <w:pPr>
              <w:pStyle w:val="Tabletext0"/>
            </w:pPr>
            <w:r w:rsidRPr="00A21FE4">
              <w:t>In paediatric patients with haemolytic uremic syndrome, the effect of ESA therapy on transfusion volume is unknown.</w:t>
            </w:r>
          </w:p>
        </w:tc>
        <w:tc>
          <w:tcPr>
            <w:tcW w:w="820" w:type="dxa"/>
          </w:tcPr>
          <w:p w14:paraId="0BA25B1D" w14:textId="77777777" w:rsidR="000742CA" w:rsidRPr="00A21FE4" w:rsidRDefault="000742CA" w:rsidP="000742CA">
            <w:pPr>
              <w:pStyle w:val="T-ABCD"/>
            </w:pPr>
            <w:r w:rsidRPr="00A21FE4">
              <w:t>NA</w:t>
            </w:r>
          </w:p>
        </w:tc>
        <w:tc>
          <w:tcPr>
            <w:tcW w:w="821" w:type="dxa"/>
          </w:tcPr>
          <w:p w14:paraId="6E8E15B0" w14:textId="77777777" w:rsidR="000742CA" w:rsidRPr="00A21FE4" w:rsidRDefault="000742CA" w:rsidP="000742CA">
            <w:pPr>
              <w:pStyle w:val="T-ABCD"/>
            </w:pPr>
            <w:r w:rsidRPr="00A21FE4">
              <w:t>NA</w:t>
            </w:r>
          </w:p>
        </w:tc>
        <w:tc>
          <w:tcPr>
            <w:tcW w:w="821" w:type="dxa"/>
          </w:tcPr>
          <w:p w14:paraId="5BE2FCF1" w14:textId="77777777" w:rsidR="000742CA" w:rsidRPr="00A21FE4" w:rsidRDefault="000742CA" w:rsidP="000742CA">
            <w:pPr>
              <w:pStyle w:val="T-ABCD"/>
            </w:pPr>
            <w:r w:rsidRPr="00A21FE4">
              <w:t>NA</w:t>
            </w:r>
          </w:p>
        </w:tc>
        <w:tc>
          <w:tcPr>
            <w:tcW w:w="821" w:type="dxa"/>
          </w:tcPr>
          <w:p w14:paraId="2E0E9B12" w14:textId="77777777" w:rsidR="000742CA" w:rsidRPr="00A21FE4" w:rsidRDefault="000742CA" w:rsidP="000742CA">
            <w:pPr>
              <w:pStyle w:val="T-ABCD"/>
            </w:pPr>
            <w:r w:rsidRPr="00A21FE4">
              <w:t>NA</w:t>
            </w:r>
          </w:p>
        </w:tc>
        <w:tc>
          <w:tcPr>
            <w:tcW w:w="821" w:type="dxa"/>
          </w:tcPr>
          <w:p w14:paraId="015FBC23" w14:textId="77777777" w:rsidR="000742CA" w:rsidRPr="00A21FE4" w:rsidRDefault="000742CA" w:rsidP="000742CA">
            <w:pPr>
              <w:pStyle w:val="T-ABCD"/>
            </w:pPr>
            <w:r w:rsidRPr="00A21FE4">
              <w:t xml:space="preserve">NA </w:t>
            </w:r>
          </w:p>
        </w:tc>
      </w:tr>
      <w:tr w:rsidR="000742CA" w:rsidRPr="00A21FE4" w14:paraId="7977D07F" w14:textId="77777777" w:rsidTr="000742CA">
        <w:trPr>
          <w:cantSplit/>
        </w:trPr>
        <w:tc>
          <w:tcPr>
            <w:tcW w:w="851" w:type="dxa"/>
          </w:tcPr>
          <w:p w14:paraId="20BAECA1" w14:textId="77777777" w:rsidR="000742CA" w:rsidRPr="00A21FE4" w:rsidRDefault="000742CA" w:rsidP="000742CA">
            <w:pPr>
              <w:pStyle w:val="Tabletext0"/>
            </w:pPr>
            <w:r w:rsidRPr="00063FA0">
              <w:t>ES2.</w:t>
            </w:r>
            <w:r>
              <w:t>30</w:t>
            </w:r>
          </w:p>
        </w:tc>
        <w:tc>
          <w:tcPr>
            <w:tcW w:w="3750" w:type="dxa"/>
          </w:tcPr>
          <w:p w14:paraId="3E14B368" w14:textId="77777777" w:rsidR="000742CA" w:rsidRPr="00A21FE4" w:rsidRDefault="000742CA" w:rsidP="000742CA">
            <w:pPr>
              <w:pStyle w:val="Tabletext0"/>
            </w:pPr>
            <w:r w:rsidRPr="00A21FE4">
              <w:t>In neonatal and paediatric patients with kidney disease, the effect of ESA therapy (with or without iron) on thromboembolic events is unknown.</w:t>
            </w:r>
          </w:p>
        </w:tc>
        <w:tc>
          <w:tcPr>
            <w:tcW w:w="820" w:type="dxa"/>
          </w:tcPr>
          <w:p w14:paraId="3B336B3B" w14:textId="77777777" w:rsidR="000742CA" w:rsidRPr="00A21FE4" w:rsidRDefault="000742CA" w:rsidP="000742CA">
            <w:pPr>
              <w:pStyle w:val="T-ABCD"/>
            </w:pPr>
            <w:r w:rsidRPr="00A21FE4">
              <w:t>NA</w:t>
            </w:r>
          </w:p>
        </w:tc>
        <w:tc>
          <w:tcPr>
            <w:tcW w:w="821" w:type="dxa"/>
          </w:tcPr>
          <w:p w14:paraId="3EA59717" w14:textId="77777777" w:rsidR="000742CA" w:rsidRPr="00A21FE4" w:rsidRDefault="000742CA" w:rsidP="000742CA">
            <w:pPr>
              <w:pStyle w:val="T-ABCD"/>
            </w:pPr>
            <w:r w:rsidRPr="00A21FE4">
              <w:t>NA</w:t>
            </w:r>
          </w:p>
        </w:tc>
        <w:tc>
          <w:tcPr>
            <w:tcW w:w="821" w:type="dxa"/>
          </w:tcPr>
          <w:p w14:paraId="71A23355" w14:textId="77777777" w:rsidR="000742CA" w:rsidRPr="00A21FE4" w:rsidRDefault="000742CA" w:rsidP="000742CA">
            <w:pPr>
              <w:pStyle w:val="T-ABCD"/>
            </w:pPr>
            <w:r w:rsidRPr="00A21FE4">
              <w:t>NA</w:t>
            </w:r>
          </w:p>
        </w:tc>
        <w:tc>
          <w:tcPr>
            <w:tcW w:w="821" w:type="dxa"/>
          </w:tcPr>
          <w:p w14:paraId="769825E2" w14:textId="77777777" w:rsidR="000742CA" w:rsidRPr="00A21FE4" w:rsidRDefault="000742CA" w:rsidP="000742CA">
            <w:pPr>
              <w:pStyle w:val="T-ABCD"/>
            </w:pPr>
            <w:r w:rsidRPr="00A21FE4">
              <w:t>NA</w:t>
            </w:r>
          </w:p>
        </w:tc>
        <w:tc>
          <w:tcPr>
            <w:tcW w:w="821" w:type="dxa"/>
          </w:tcPr>
          <w:p w14:paraId="45F23F6B" w14:textId="77777777" w:rsidR="000742CA" w:rsidRPr="00A21FE4" w:rsidRDefault="000742CA" w:rsidP="000742CA">
            <w:pPr>
              <w:pStyle w:val="T-ABCD"/>
            </w:pPr>
            <w:r w:rsidRPr="00A21FE4">
              <w:t xml:space="preserve">NA </w:t>
            </w:r>
          </w:p>
        </w:tc>
      </w:tr>
      <w:tr w:rsidR="000742CA" w:rsidRPr="00A21FE4" w14:paraId="51E06F15" w14:textId="77777777" w:rsidTr="000742CA">
        <w:trPr>
          <w:cantSplit/>
        </w:trPr>
        <w:tc>
          <w:tcPr>
            <w:tcW w:w="851" w:type="dxa"/>
          </w:tcPr>
          <w:p w14:paraId="0486962C" w14:textId="77777777" w:rsidR="000742CA" w:rsidRPr="00A21FE4" w:rsidRDefault="000742CA" w:rsidP="000742CA">
            <w:pPr>
              <w:pStyle w:val="Tabletext0"/>
            </w:pPr>
            <w:r w:rsidRPr="00063FA0">
              <w:t>ES2.</w:t>
            </w:r>
            <w:r>
              <w:t>31</w:t>
            </w:r>
          </w:p>
        </w:tc>
        <w:tc>
          <w:tcPr>
            <w:tcW w:w="3750" w:type="dxa"/>
          </w:tcPr>
          <w:p w14:paraId="3A3BB72E" w14:textId="77777777" w:rsidR="000742CA" w:rsidRPr="00A21FE4" w:rsidRDefault="000742CA" w:rsidP="000742CA">
            <w:pPr>
              <w:pStyle w:val="Tabletext0"/>
            </w:pPr>
            <w:r w:rsidRPr="00A21FE4">
              <w:t>In neonatal and paediatric patients with kidney disease, the effect of ESA therapy (with or without iron) on mortality is unknown.</w:t>
            </w:r>
          </w:p>
        </w:tc>
        <w:tc>
          <w:tcPr>
            <w:tcW w:w="820" w:type="dxa"/>
          </w:tcPr>
          <w:p w14:paraId="1FEF2519" w14:textId="77777777" w:rsidR="000742CA" w:rsidRPr="00A21FE4" w:rsidRDefault="000742CA" w:rsidP="000742CA">
            <w:pPr>
              <w:pStyle w:val="T-ABCD"/>
            </w:pPr>
            <w:r w:rsidRPr="00A21FE4">
              <w:t>NA</w:t>
            </w:r>
          </w:p>
        </w:tc>
        <w:tc>
          <w:tcPr>
            <w:tcW w:w="821" w:type="dxa"/>
          </w:tcPr>
          <w:p w14:paraId="346EEB34" w14:textId="77777777" w:rsidR="000742CA" w:rsidRPr="00A21FE4" w:rsidRDefault="000742CA" w:rsidP="000742CA">
            <w:pPr>
              <w:pStyle w:val="T-ABCD"/>
            </w:pPr>
            <w:r w:rsidRPr="00A21FE4">
              <w:t>NA</w:t>
            </w:r>
          </w:p>
        </w:tc>
        <w:tc>
          <w:tcPr>
            <w:tcW w:w="821" w:type="dxa"/>
          </w:tcPr>
          <w:p w14:paraId="1E41E96F" w14:textId="77777777" w:rsidR="000742CA" w:rsidRPr="00A21FE4" w:rsidRDefault="000742CA" w:rsidP="000742CA">
            <w:pPr>
              <w:pStyle w:val="T-ABCD"/>
            </w:pPr>
            <w:r w:rsidRPr="00A21FE4">
              <w:t>NA</w:t>
            </w:r>
          </w:p>
        </w:tc>
        <w:tc>
          <w:tcPr>
            <w:tcW w:w="821" w:type="dxa"/>
          </w:tcPr>
          <w:p w14:paraId="61A4FBFF" w14:textId="77777777" w:rsidR="000742CA" w:rsidRPr="00A21FE4" w:rsidRDefault="000742CA" w:rsidP="000742CA">
            <w:pPr>
              <w:pStyle w:val="T-ABCD"/>
            </w:pPr>
            <w:r w:rsidRPr="00A21FE4">
              <w:t>NA</w:t>
            </w:r>
          </w:p>
        </w:tc>
        <w:tc>
          <w:tcPr>
            <w:tcW w:w="821" w:type="dxa"/>
          </w:tcPr>
          <w:p w14:paraId="11645A14" w14:textId="77777777" w:rsidR="000742CA" w:rsidRPr="00A21FE4" w:rsidRDefault="000742CA" w:rsidP="000742CA">
            <w:pPr>
              <w:pStyle w:val="T-ABCD"/>
            </w:pPr>
            <w:r w:rsidRPr="00A21FE4">
              <w:t xml:space="preserve">NA </w:t>
            </w:r>
          </w:p>
        </w:tc>
      </w:tr>
      <w:tr w:rsidR="000742CA" w:rsidRPr="00A21FE4" w14:paraId="7600DF4A" w14:textId="77777777" w:rsidTr="000742CA">
        <w:trPr>
          <w:cantSplit/>
        </w:trPr>
        <w:tc>
          <w:tcPr>
            <w:tcW w:w="8705" w:type="dxa"/>
            <w:gridSpan w:val="7"/>
          </w:tcPr>
          <w:p w14:paraId="2A124CDA" w14:textId="77777777" w:rsidR="000742CA" w:rsidRPr="00A21FE4" w:rsidRDefault="000742CA" w:rsidP="000742CA">
            <w:pPr>
              <w:pStyle w:val="ES-notes"/>
            </w:pPr>
            <w:r>
              <w:t xml:space="preserve">CKD, chronic kidney disease; </w:t>
            </w:r>
            <w:r w:rsidRPr="00A21FE4">
              <w:t>ES, evidence statement; ESA, erythropoiesis stimulating agent</w:t>
            </w:r>
          </w:p>
          <w:p w14:paraId="1B1B00F8"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1A8318BD" w14:textId="77777777" w:rsidR="000742CA" w:rsidRPr="00A21FE4" w:rsidRDefault="000742CA" w:rsidP="000742CA">
      <w:pPr>
        <w:pStyle w:val="BodyText"/>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097"/>
        <w:gridCol w:w="7580"/>
      </w:tblGrid>
      <w:tr w:rsidR="000742CA" w:rsidRPr="00A21FE4" w14:paraId="147FB3FD"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3258D211" w14:textId="4DDCCC14" w:rsidR="000742CA" w:rsidRPr="00045D23" w:rsidRDefault="000742CA" w:rsidP="000742CA">
            <w:pPr>
              <w:pStyle w:val="PP-heading"/>
              <w:rPr>
                <w:lang w:val="en-AU"/>
              </w:rPr>
            </w:pPr>
            <w:r w:rsidRPr="00A21FE4">
              <w:t>Practice points –</w:t>
            </w:r>
            <w:r w:rsidR="00045D23">
              <w:rPr>
                <w:lang w:val="en-AU"/>
              </w:rPr>
              <w:t xml:space="preserve"> </w:t>
            </w:r>
            <w:r w:rsidR="006D11A2" w:rsidRPr="00A21FE4">
              <w:t>kidney disease (ESA</w:t>
            </w:r>
            <w:r w:rsidR="006D11A2">
              <w:rPr>
                <w:lang w:val="en-AU"/>
              </w:rPr>
              <w:t>s</w:t>
            </w:r>
            <w:r w:rsidR="006D11A2" w:rsidRPr="00A21FE4">
              <w:t xml:space="preserve"> with or without iron)</w:t>
            </w:r>
          </w:p>
        </w:tc>
      </w:tr>
      <w:tr w:rsidR="000742CA" w:rsidRPr="00A21FE4" w14:paraId="47221D34" w14:textId="77777777" w:rsidTr="00C64B8D">
        <w:tc>
          <w:tcPr>
            <w:tcW w:w="1097" w:type="dxa"/>
            <w:tcBorders>
              <w:right w:val="single" w:sz="4" w:space="0" w:color="auto"/>
            </w:tcBorders>
            <w:shd w:val="clear" w:color="auto" w:fill="auto"/>
          </w:tcPr>
          <w:p w14:paraId="0228B446" w14:textId="77777777" w:rsidR="000742CA" w:rsidRPr="00A21FE4" w:rsidRDefault="000742CA" w:rsidP="00C64B8D">
            <w:pPr>
              <w:pStyle w:val="PP"/>
            </w:pPr>
            <w:r w:rsidRPr="00A21FE4">
              <w:t>PP18</w:t>
            </w:r>
          </w:p>
        </w:tc>
        <w:tc>
          <w:tcPr>
            <w:tcW w:w="7580" w:type="dxa"/>
            <w:tcBorders>
              <w:left w:val="single" w:sz="4" w:space="0" w:color="auto"/>
            </w:tcBorders>
            <w:shd w:val="clear" w:color="auto" w:fill="auto"/>
          </w:tcPr>
          <w:p w14:paraId="6E98A038" w14:textId="77777777" w:rsidR="000742CA" w:rsidRPr="00A21FE4" w:rsidRDefault="000742CA" w:rsidP="00C64B8D">
            <w:pPr>
              <w:pStyle w:val="PP"/>
            </w:pPr>
            <w:r w:rsidRPr="00A21FE4">
              <w:t>In paediatric patients with CKD, ESA therapy to achieve a low to intermediate Hb target may be used to avoid RBC transfusion, after consideration of risks and benefits for the individual patient.</w:t>
            </w:r>
            <w:r w:rsidRPr="00A21FE4">
              <w:rPr>
                <w:vertAlign w:val="superscript"/>
              </w:rPr>
              <w:t>a, b, c</w:t>
            </w:r>
          </w:p>
          <w:p w14:paraId="442B2B1F" w14:textId="2DE69D11" w:rsidR="000742CA" w:rsidRPr="00A21FE4" w:rsidRDefault="000742CA" w:rsidP="00E62798">
            <w:pPr>
              <w:pStyle w:val="PP-note"/>
            </w:pPr>
            <w:r w:rsidRPr="00A21FE4">
              <w:rPr>
                <w:vertAlign w:val="superscript"/>
              </w:rPr>
              <w:t>a</w:t>
            </w:r>
            <w:r w:rsidRPr="00A21FE4">
              <w:t xml:space="preserve"> </w:t>
            </w:r>
            <w:r w:rsidR="00CE5AC9">
              <w:t>See</w:t>
            </w:r>
            <w:r w:rsidRPr="00A21FE4">
              <w:t xml:space="preserve"> R4 in </w:t>
            </w:r>
            <w:r w:rsidRPr="00A21FE4">
              <w:rPr>
                <w:i/>
              </w:rPr>
              <w:t>Patient Blood Management Guidelines: Module 3 – Medical</w:t>
            </w:r>
            <w:r w:rsidR="00E77505">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00EA18CB">
              <w:br/>
            </w:r>
            <w:r w:rsidRPr="00A21FE4">
              <w:rPr>
                <w:vertAlign w:val="superscript"/>
              </w:rPr>
              <w:t>b</w:t>
            </w:r>
            <w:r w:rsidRPr="00A21FE4">
              <w:t xml:space="preserve"> The KDIGO guidelines</w:t>
            </w:r>
            <w:hyperlink w:anchor="_ENREF_11" w:tooltip="Kidney Disease: Improving Global Outcomes (KDIGO) Anemia Work Group, 2012 #231" w:history="1">
              <w:r w:rsidR="00E62798">
                <w:fldChar w:fldCharType="begin"/>
              </w:r>
              <w:r w:rsidR="00E62798">
                <w:instrText xml:space="preserve"> ADDIN EN.CITE &lt;EndNote&gt;&lt;Cite&gt;&lt;Author&gt;Group&lt;/Author&gt;&lt;Year&gt;2012&lt;/Year&gt;&lt;RecNum&gt;231&lt;/RecNum&gt;&lt;DisplayText&gt;&lt;style face="superscript"&gt;11&lt;/style&gt;&lt;/DisplayText&gt;&lt;record&gt;&lt;rec-number&gt;231&lt;/rec-number&gt;&lt;foreign-keys&gt;&lt;key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fldChar w:fldCharType="separate"/>
              </w:r>
              <w:r w:rsidR="00E62798" w:rsidRPr="00E62798">
                <w:rPr>
                  <w:noProof/>
                  <w:vertAlign w:val="superscript"/>
                </w:rPr>
                <w:t>11</w:t>
              </w:r>
              <w:r w:rsidR="00E62798">
                <w:fldChar w:fldCharType="end"/>
              </w:r>
            </w:hyperlink>
            <w:r w:rsidRPr="00A21FE4">
              <w:t xml:space="preserve"> recommend a Hb target of 110–120 g/L for paediatric patients and state that individualisation of ESA therapy is reasonable because some patients may have improvements in quality of life at higher Hb concentration</w:t>
            </w:r>
            <w:r w:rsidR="0008560B">
              <w:t>.</w:t>
            </w:r>
            <w:r w:rsidRPr="00A21FE4">
              <w:t xml:space="preserve"> </w:t>
            </w:r>
            <w:r w:rsidR="00EA18CB">
              <w:br/>
            </w:r>
            <w:r w:rsidRPr="00A21FE4">
              <w:rPr>
                <w:vertAlign w:val="superscript"/>
              </w:rPr>
              <w:t>c</w:t>
            </w:r>
            <w:r w:rsidRPr="00A21FE4">
              <w:t xml:space="preserve"> The NICE guidelines</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rsidRPr="00A21FE4">
              <w:t xml:space="preserve"> recommend a Hb target of 100–120 g/L for children aged 2 years and older, and 95–115 g/L for children younger than 2 years of age (reflecting the lower normal range in that age group).</w:t>
            </w:r>
          </w:p>
        </w:tc>
      </w:tr>
      <w:tr w:rsidR="000742CA" w:rsidRPr="00A21FE4" w14:paraId="5E01567F" w14:textId="77777777" w:rsidTr="00C64B8D">
        <w:tc>
          <w:tcPr>
            <w:tcW w:w="1097" w:type="dxa"/>
            <w:tcBorders>
              <w:right w:val="single" w:sz="4" w:space="0" w:color="auto"/>
            </w:tcBorders>
            <w:shd w:val="clear" w:color="auto" w:fill="auto"/>
          </w:tcPr>
          <w:p w14:paraId="02C71EAC" w14:textId="77777777" w:rsidR="000742CA" w:rsidRPr="00A21FE4" w:rsidRDefault="000742CA" w:rsidP="00C64B8D">
            <w:pPr>
              <w:pStyle w:val="PP"/>
            </w:pPr>
            <w:r w:rsidRPr="00A21FE4">
              <w:t>PP19</w:t>
            </w:r>
          </w:p>
        </w:tc>
        <w:tc>
          <w:tcPr>
            <w:tcW w:w="7580" w:type="dxa"/>
            <w:tcBorders>
              <w:left w:val="single" w:sz="4" w:space="0" w:color="auto"/>
            </w:tcBorders>
            <w:shd w:val="clear" w:color="auto" w:fill="auto"/>
          </w:tcPr>
          <w:p w14:paraId="2BF06A9A" w14:textId="77777777" w:rsidR="000742CA" w:rsidRPr="00A21FE4" w:rsidRDefault="000742CA" w:rsidP="00C64B8D">
            <w:pPr>
              <w:pStyle w:val="PP"/>
            </w:pPr>
            <w:r w:rsidRPr="00A21FE4">
              <w:t>In adult patients with CKD, ESA therapy to achieve a Hb target of &gt;130 g/L is not recommended because of increased morbidity; therefore, it is sensible to apply this limit to paediatric patients.</w:t>
            </w:r>
            <w:r w:rsidRPr="00A21FE4">
              <w:rPr>
                <w:vertAlign w:val="superscript"/>
              </w:rPr>
              <w:t>a</w:t>
            </w:r>
          </w:p>
          <w:p w14:paraId="41365FAD" w14:textId="282BAAE5" w:rsidR="000742CA" w:rsidRPr="00A21FE4" w:rsidRDefault="000742CA" w:rsidP="00E62798">
            <w:pPr>
              <w:pStyle w:val="PP-note"/>
            </w:pPr>
            <w:r w:rsidRPr="00A21FE4">
              <w:rPr>
                <w:vertAlign w:val="superscript"/>
              </w:rPr>
              <w:t xml:space="preserve">a </w:t>
            </w:r>
            <w:r w:rsidR="00CE5AC9">
              <w:t>See</w:t>
            </w:r>
            <w:r w:rsidRPr="00A21FE4">
              <w:t xml:space="preserve"> R6 in </w:t>
            </w:r>
            <w:r w:rsidRPr="00A21FE4">
              <w:rPr>
                <w:i/>
              </w:rPr>
              <w:t>Patient Blood Management Guidelines: Module 3 – Medical</w:t>
            </w:r>
            <w:r w:rsidR="00E77505">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rsidRPr="00A21FE4">
              <w:tab/>
            </w:r>
          </w:p>
        </w:tc>
      </w:tr>
      <w:tr w:rsidR="000742CA" w:rsidRPr="00A21FE4" w14:paraId="5F77237B" w14:textId="77777777" w:rsidTr="00C64B8D">
        <w:tc>
          <w:tcPr>
            <w:tcW w:w="1097" w:type="dxa"/>
            <w:tcBorders>
              <w:right w:val="single" w:sz="4" w:space="0" w:color="auto"/>
            </w:tcBorders>
            <w:shd w:val="clear" w:color="auto" w:fill="auto"/>
          </w:tcPr>
          <w:p w14:paraId="7460407E" w14:textId="77777777" w:rsidR="000742CA" w:rsidRPr="00A21FE4" w:rsidRDefault="000742CA" w:rsidP="00C64B8D">
            <w:pPr>
              <w:pStyle w:val="PP"/>
            </w:pPr>
            <w:r w:rsidRPr="00A21FE4">
              <w:t>PP20</w:t>
            </w:r>
          </w:p>
        </w:tc>
        <w:tc>
          <w:tcPr>
            <w:tcW w:w="7580" w:type="dxa"/>
            <w:tcBorders>
              <w:left w:val="single" w:sz="4" w:space="0" w:color="auto"/>
            </w:tcBorders>
            <w:shd w:val="clear" w:color="auto" w:fill="auto"/>
          </w:tcPr>
          <w:p w14:paraId="2B97135E" w14:textId="77777777" w:rsidR="000742CA" w:rsidRPr="00A21FE4" w:rsidRDefault="000742CA" w:rsidP="00C64B8D">
            <w:pPr>
              <w:pStyle w:val="PP"/>
            </w:pPr>
            <w:r w:rsidRPr="00A21FE4">
              <w:t>ESA use is less effective in patients with CKD who have absolute or functional iron deficiency.</w:t>
            </w:r>
            <w:r w:rsidRPr="00A21FE4">
              <w:rPr>
                <w:vertAlign w:val="superscript"/>
              </w:rPr>
              <w:t>a</w:t>
            </w:r>
          </w:p>
          <w:p w14:paraId="5DCEBEB6" w14:textId="09AC8C6B" w:rsidR="000742CA" w:rsidRPr="00A21FE4" w:rsidRDefault="000742CA" w:rsidP="00E62798">
            <w:pPr>
              <w:pStyle w:val="PP-note"/>
            </w:pPr>
            <w:r w:rsidRPr="00A21FE4">
              <w:rPr>
                <w:vertAlign w:val="superscript"/>
              </w:rPr>
              <w:t>a</w:t>
            </w:r>
            <w:r w:rsidRPr="00A21FE4">
              <w:t xml:space="preserve"> </w:t>
            </w:r>
            <w:r w:rsidR="00CE5AC9">
              <w:t>See</w:t>
            </w:r>
            <w:r w:rsidRPr="00A21FE4">
              <w:t xml:space="preserve"> PP13 in </w:t>
            </w:r>
            <w:r w:rsidRPr="00A21FE4">
              <w:rPr>
                <w:i/>
              </w:rPr>
              <w:t>Patient Blood Management Guidelines: Module 3 – Medical</w:t>
            </w:r>
            <w:r w:rsidR="00E77505">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0742CA" w:rsidRPr="00A21FE4" w14:paraId="21410AB2" w14:textId="77777777" w:rsidTr="00C64B8D">
        <w:tc>
          <w:tcPr>
            <w:tcW w:w="1097" w:type="dxa"/>
            <w:tcBorders>
              <w:right w:val="single" w:sz="4" w:space="0" w:color="auto"/>
            </w:tcBorders>
            <w:shd w:val="clear" w:color="auto" w:fill="auto"/>
          </w:tcPr>
          <w:p w14:paraId="78991DF1" w14:textId="77777777" w:rsidR="000742CA" w:rsidRPr="00A21FE4" w:rsidRDefault="000742CA" w:rsidP="00C64B8D">
            <w:pPr>
              <w:pStyle w:val="PP"/>
            </w:pPr>
            <w:r w:rsidRPr="00A21FE4">
              <w:t>PP21</w:t>
            </w:r>
          </w:p>
        </w:tc>
        <w:tc>
          <w:tcPr>
            <w:tcW w:w="7580" w:type="dxa"/>
            <w:tcBorders>
              <w:left w:val="single" w:sz="4" w:space="0" w:color="auto"/>
            </w:tcBorders>
            <w:shd w:val="clear" w:color="auto" w:fill="auto"/>
          </w:tcPr>
          <w:p w14:paraId="251E94D9" w14:textId="17AE0BDD" w:rsidR="000742CA" w:rsidRPr="00A21FE4" w:rsidRDefault="000742CA" w:rsidP="00C64B8D">
            <w:pPr>
              <w:pStyle w:val="PP"/>
            </w:pPr>
            <w:r w:rsidRPr="00A21FE4">
              <w:t xml:space="preserve">Where ESAs are indicated for the treatment or prevention of anaemia in </w:t>
            </w:r>
            <w:r w:rsidR="000730DD">
              <w:rPr>
                <w:lang w:val="en-AU"/>
              </w:rPr>
              <w:t xml:space="preserve">neonatal and </w:t>
            </w:r>
            <w:r w:rsidRPr="00A21FE4">
              <w:t>paediatric patients, they should be combined with iron therapy.</w:t>
            </w:r>
          </w:p>
        </w:tc>
      </w:tr>
      <w:tr w:rsidR="000742CA" w:rsidRPr="00A21FE4" w14:paraId="6AE164E8" w14:textId="77777777" w:rsidTr="00C64B8D">
        <w:trPr>
          <w:trHeight w:val="538"/>
        </w:trPr>
        <w:tc>
          <w:tcPr>
            <w:tcW w:w="8677" w:type="dxa"/>
            <w:gridSpan w:val="2"/>
            <w:shd w:val="clear" w:color="auto" w:fill="auto"/>
          </w:tcPr>
          <w:p w14:paraId="57441B8A" w14:textId="77777777" w:rsidR="000742CA" w:rsidRPr="00A21FE4" w:rsidRDefault="000742CA" w:rsidP="00C64B8D">
            <w:pPr>
              <w:pStyle w:val="PP-note"/>
            </w:pPr>
            <w:r w:rsidRPr="00A21FE4">
              <w:t>CKD, chronic kidney disease; ESA, erythropoiesis stimulating agent; Hb, haemoglobin; KDIGO, Kidney Disease: Improving Global Outcomes; NICE, National Institute for Health and Care Excellence; PP, practice point; RBC, red blood cell; R, recommendation</w:t>
            </w:r>
          </w:p>
        </w:tc>
      </w:tr>
    </w:tbl>
    <w:p w14:paraId="63E90813" w14:textId="77777777" w:rsidR="000742CA" w:rsidRPr="00A21FE4" w:rsidRDefault="000742CA" w:rsidP="000742CA"/>
    <w:p w14:paraId="7DE79B0A" w14:textId="77777777" w:rsidR="000742CA" w:rsidRPr="00CD331A" w:rsidRDefault="000742CA" w:rsidP="000742CA">
      <w:pPr>
        <w:pStyle w:val="Heading4"/>
      </w:pPr>
      <w:r>
        <w:t>Background</w:t>
      </w:r>
    </w:p>
    <w:p w14:paraId="10C6F9C5" w14:textId="14D5F6C3" w:rsidR="000742CA" w:rsidRDefault="000742CA" w:rsidP="00C64B8D">
      <w:r>
        <w:t xml:space="preserve">Anaemia is a common problem in children with chronic kidney disease </w:t>
      </w:r>
      <w:r w:rsidR="00054C94">
        <w:t xml:space="preserve">(CKD) </w:t>
      </w:r>
      <w:r>
        <w:t>and</w:t>
      </w:r>
      <w:r w:rsidR="00C64B8D">
        <w:t>,</w:t>
      </w:r>
      <w:r>
        <w:t xml:space="preserve"> as </w:t>
      </w:r>
      <w:r w:rsidR="00054C94">
        <w:t>glomerular filtration rate (</w:t>
      </w:r>
      <w:r>
        <w:t>GFR</w:t>
      </w:r>
      <w:r w:rsidR="00054C94">
        <w:t>)</w:t>
      </w:r>
      <w:r>
        <w:t xml:space="preserve"> declines</w:t>
      </w:r>
      <w:r w:rsidR="00C64B8D">
        <w:t>, the risk of anaemia increases.</w:t>
      </w:r>
      <w:r>
        <w:t xml:space="preserve"> </w:t>
      </w:r>
      <w:r w:rsidR="00C64B8D">
        <w:t>In this population, anaemia</w:t>
      </w:r>
      <w:r>
        <w:t xml:space="preserve"> is </w:t>
      </w:r>
      <w:r w:rsidR="00C64B8D">
        <w:t>mainly</w:t>
      </w:r>
      <w:r>
        <w:t xml:space="preserve"> due to decreased production</w:t>
      </w:r>
      <w:r w:rsidR="00C64B8D">
        <w:t xml:space="preserve"> of </w:t>
      </w:r>
      <w:r w:rsidR="00EB2899">
        <w:t>rHuEPO</w:t>
      </w:r>
      <w:r>
        <w:t xml:space="preserve">. Iron deficiency </w:t>
      </w:r>
      <w:r w:rsidR="00C64B8D">
        <w:t>is</w:t>
      </w:r>
      <w:r>
        <w:t xml:space="preserve"> </w:t>
      </w:r>
      <w:r w:rsidR="00054C94">
        <w:t xml:space="preserve">the </w:t>
      </w:r>
      <w:r>
        <w:t>next most important cause of anaemia associated with kidney disease</w:t>
      </w:r>
      <w:r w:rsidR="00C64B8D">
        <w:t>,</w:t>
      </w:r>
      <w:r>
        <w:t xml:space="preserve"> and may result from blood loss secondary to phlebotomy, dialysis and nutritional insufficiency. </w:t>
      </w:r>
    </w:p>
    <w:p w14:paraId="3C68B1DD" w14:textId="0D8507C9" w:rsidR="000742CA" w:rsidRDefault="000742CA" w:rsidP="00C64B8D">
      <w:r>
        <w:t xml:space="preserve">Anaemia in children with CKD is associated with increased risk of morbidity, mortality </w:t>
      </w:r>
      <w:r w:rsidR="00C64B8D">
        <w:t>and decreased quality of life.</w:t>
      </w:r>
      <w:r>
        <w:t xml:space="preserve"> </w:t>
      </w:r>
      <w:r w:rsidR="00EB2899">
        <w:t>rHuEPO</w:t>
      </w:r>
      <w:r>
        <w:t xml:space="preserve"> and iron supplementation are used to treat anaemia associated with kidney disease. </w:t>
      </w:r>
    </w:p>
    <w:p w14:paraId="177C4713" w14:textId="7A72EF79" w:rsidR="000742CA" w:rsidRDefault="000742CA" w:rsidP="00C64B8D">
      <w:r>
        <w:t xml:space="preserve">In adults with </w:t>
      </w:r>
      <w:r w:rsidR="00054C94">
        <w:t>CKD</w:t>
      </w:r>
      <w:r>
        <w:t xml:space="preserve"> (both non-dialysis and dialysis dependent) ESAs correct anaemia, reduce the incidence of RBC transfusion and improve the quality of life of dialysis dependent patients.</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r>
        <w:t xml:space="preserve"> </w:t>
      </w:r>
    </w:p>
    <w:p w14:paraId="15BF6AF0" w14:textId="77777777" w:rsidR="000742CA" w:rsidRDefault="000742CA" w:rsidP="000742CA">
      <w:pPr>
        <w:pStyle w:val="Heading4"/>
      </w:pPr>
      <w:r w:rsidRPr="004667A5">
        <w:t>Summary of evidence</w:t>
      </w:r>
    </w:p>
    <w:p w14:paraId="6B763427" w14:textId="1DB09CDA" w:rsidR="000742CA" w:rsidRPr="00E1360F" w:rsidRDefault="00E667F8" w:rsidP="000742CA">
      <w:pPr>
        <w:rPr>
          <w:lang w:val="en-GB" w:eastAsia="en-GB"/>
        </w:rPr>
      </w:pPr>
      <w:r>
        <w:rPr>
          <w:lang w:val="en-GB" w:eastAsia="en-GB"/>
        </w:rPr>
        <w:t>T</w:t>
      </w:r>
      <w:r w:rsidR="00117DEC">
        <w:rPr>
          <w:lang w:val="en-GB" w:eastAsia="en-GB"/>
        </w:rPr>
        <w:t xml:space="preserve">hree systematic reviews </w:t>
      </w:r>
      <w:r w:rsidR="000742CA">
        <w:rPr>
          <w:lang w:val="en-GB" w:eastAsia="en-GB"/>
        </w:rPr>
        <w:t>examined the use of ESAs in children with cancer</w:t>
      </w:r>
      <w:r w:rsidR="00054C94">
        <w:rPr>
          <w:lang w:val="en-GB" w:eastAsia="en-GB"/>
        </w:rPr>
        <w:t>.</w:t>
      </w:r>
      <w:r w:rsidR="00E62798">
        <w:rPr>
          <w:lang w:val="en-GB" w:eastAsia="en-GB"/>
        </w:rPr>
        <w:fldChar w:fldCharType="begin">
          <w:fldData xml:space="preserve">PEVuZE5vdGU+PENpdGUgRXhjbHVkZUF1dGg9IjEiPjxZZWFyPjIwMTE8L1llYXI+PFJlY051bT4y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Q0QwMDMyNjY8L3BhZ2VzPjxudW1iZXI+MzwvbnVtYmVyPjxrZXl3b3Jkcz48a2V5d29yZD5BbmVt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</w:fldData>
        </w:fldChar>
      </w:r>
      <w:r w:rsidR="00E62798">
        <w:rPr>
          <w:lang w:val="en-GB" w:eastAsia="en-GB"/>
        </w:rPr>
        <w:instrText xml:space="preserve"> ADDIN EN.CITE </w:instrText>
      </w:r>
      <w:r w:rsidR="00E62798">
        <w:rPr>
          <w:lang w:val="en-GB" w:eastAsia="en-GB"/>
        </w:rPr>
        <w:fldChar w:fldCharType="begin">
          <w:fldData xml:space="preserve">PEVuZE5vdGU+PENpdGUgRXhjbHVkZUF1dGg9IjEiPjxZZWFyPjIwMTE8L1llYXI+PFJlY051bT4y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Q0QwMDMyNjY8L3BhZ2VzPjxudW1iZXI+MzwvbnVtYmVyPjxrZXl3b3Jkcz48a2V5d29yZD5BbmVt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hyperlink w:anchor="_ENREF_11" w:tooltip="Kidney Disease: Improving Global Outcomes (KDIGO) Anemia Work Group, 2012 #231" w:history="1">
        <w:r w:rsidR="00E62798" w:rsidRPr="00E62798">
          <w:rPr>
            <w:noProof/>
            <w:vertAlign w:val="superscript"/>
            <w:lang w:val="en-GB" w:eastAsia="en-GB"/>
          </w:rPr>
          <w:t>11</w:t>
        </w:r>
      </w:hyperlink>
      <w:r w:rsidR="00E62798" w:rsidRPr="00E62798">
        <w:rPr>
          <w:noProof/>
          <w:vertAlign w:val="superscript"/>
          <w:lang w:val="en-GB" w:eastAsia="en-GB"/>
        </w:rPr>
        <w:t xml:space="preserve">; </w:t>
      </w:r>
      <w:hyperlink w:anchor="_ENREF_120" w:tooltip=", 2011 #230" w:history="1">
        <w:r w:rsidR="00E62798" w:rsidRPr="00E62798">
          <w:rPr>
            <w:noProof/>
            <w:vertAlign w:val="superscript"/>
            <w:lang w:val="en-GB" w:eastAsia="en-GB"/>
          </w:rPr>
          <w:t>120-121</w:t>
        </w:r>
      </w:hyperlink>
      <w:r w:rsidR="00E62798">
        <w:rPr>
          <w:lang w:val="en-GB" w:eastAsia="en-GB"/>
        </w:rPr>
        <w:fldChar w:fldCharType="end"/>
      </w:r>
      <w:r w:rsidR="000742CA">
        <w:rPr>
          <w:lang w:val="en-GB" w:eastAsia="en-GB"/>
        </w:rPr>
        <w:t xml:space="preserve"> </w:t>
      </w:r>
      <w:r w:rsidR="00054C94">
        <w:rPr>
          <w:lang w:val="en-GB" w:eastAsia="en-GB"/>
        </w:rPr>
        <w:t>Howeve</w:t>
      </w:r>
      <w:r w:rsidR="00E77505">
        <w:rPr>
          <w:lang w:val="en-GB" w:eastAsia="en-GB"/>
        </w:rPr>
        <w:t>r, these reviews provided no us</w:t>
      </w:r>
      <w:r w:rsidR="00054C94">
        <w:rPr>
          <w:lang w:val="en-GB" w:eastAsia="en-GB"/>
        </w:rPr>
        <w:t>able data.</w:t>
      </w:r>
    </w:p>
    <w:p w14:paraId="30BBBA80" w14:textId="57619512" w:rsidR="000742CA" w:rsidRPr="00614DC2" w:rsidRDefault="000742CA" w:rsidP="00117DEC">
      <w:r>
        <w:t>One small Level II t</w:t>
      </w:r>
      <w:r w:rsidR="00117DEC">
        <w:t xml:space="preserve">rial </w:t>
      </w:r>
      <w:r>
        <w:t xml:space="preserve">assessed the use of </w:t>
      </w:r>
      <w:r w:rsidR="00EB2899">
        <w:t>rHuEPO</w:t>
      </w:r>
      <w:r>
        <w:t xml:space="preserve"> in children with acute ren</w:t>
      </w:r>
      <w:r w:rsidR="00E77505">
        <w:t>al failure due to haemolytic ur</w:t>
      </w:r>
      <w:r>
        <w:t>emic syndrome.</w:t>
      </w:r>
      <w:hyperlink w:anchor="_ENREF_122" w:tooltip="Pape, 2009 #116" w:history="1">
        <w:r w:rsidR="00E62798">
          <w:fldChar w:fldCharType="begin">
            <w:fldData xml:space="preserve">PEVuZE5vdGU+PENpdGU+PEF1dGhvcj5QYXBlPC9BdXRob3I+PFllYXI+MjAwOTwvWWVhcj48UmVj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</w:fldData>
          </w:fldChar>
        </w:r>
        <w:r w:rsidR="00E62798">
          <w:instrText xml:space="preserve"> ADDIN EN.CITE </w:instrText>
        </w:r>
        <w:r w:rsidR="00E62798">
          <w:fldChar w:fldCharType="begin">
            <w:fldData xml:space="preserve">PEVuZE5vdGU+PENpdGU+PEF1dGhvcj5QYXBlPC9BdXRob3I+PFllYXI+MjAwOTwvWWVhcj48UmVj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122</w:t>
        </w:r>
        <w:r w:rsidR="00E62798">
          <w:fldChar w:fldCharType="end"/>
        </w:r>
      </w:hyperlink>
      <w:r w:rsidR="004828DA">
        <w:t xml:space="preserve"> </w:t>
      </w:r>
    </w:p>
    <w:p w14:paraId="2CEE7D91" w14:textId="77777777" w:rsidR="000742CA" w:rsidRDefault="000742CA" w:rsidP="000742CA">
      <w:pPr>
        <w:pStyle w:val="Heading5"/>
      </w:pPr>
      <w:r>
        <w:t>Thromboembolic events</w:t>
      </w:r>
    </w:p>
    <w:p w14:paraId="5453FEF0" w14:textId="2DD17C43" w:rsidR="000742CA" w:rsidRDefault="00E667F8" w:rsidP="00117DEC">
      <w:r>
        <w:t xml:space="preserve">No studies </w:t>
      </w:r>
      <w:r w:rsidR="000742CA">
        <w:t xml:space="preserve">reported </w:t>
      </w:r>
      <w:r w:rsidR="00117DEC">
        <w:t>thromboembolic events in the relevant population.</w:t>
      </w:r>
    </w:p>
    <w:p w14:paraId="3568202B" w14:textId="77777777" w:rsidR="000742CA" w:rsidRDefault="000742CA" w:rsidP="000742CA">
      <w:pPr>
        <w:pStyle w:val="Heading5"/>
      </w:pPr>
      <w:r>
        <w:t>Mortality</w:t>
      </w:r>
    </w:p>
    <w:p w14:paraId="0C91102F" w14:textId="08518A96" w:rsidR="00117DEC" w:rsidRDefault="007C1B3E" w:rsidP="00117DEC">
      <w:r>
        <w:t xml:space="preserve">No evidence was identified related to mortality. </w:t>
      </w:r>
    </w:p>
    <w:p w14:paraId="7C564307" w14:textId="13C03C86" w:rsidR="000742CA" w:rsidRDefault="000742CA" w:rsidP="00117DEC">
      <w:pPr>
        <w:pStyle w:val="Heading5"/>
      </w:pPr>
      <w:r w:rsidRPr="004667A5">
        <w:t>Secondary outcomes</w:t>
      </w:r>
      <w:r>
        <w:rPr>
          <w:rStyle w:val="FootnoteReference"/>
        </w:rPr>
        <w:footnoteReference w:id="6"/>
      </w:r>
      <w:r w:rsidRPr="004667A5">
        <w:t xml:space="preserve"> </w:t>
      </w:r>
    </w:p>
    <w:p w14:paraId="14565F8D" w14:textId="14BC26E7" w:rsidR="000742CA" w:rsidRDefault="000742CA" w:rsidP="000742CA">
      <w:pPr>
        <w:pStyle w:val="H6"/>
      </w:pPr>
      <w:r>
        <w:t xml:space="preserve">Functional </w:t>
      </w:r>
      <w:r w:rsidR="007C1B3E">
        <w:t>or</w:t>
      </w:r>
      <w:r>
        <w:t xml:space="preserve"> performance status</w:t>
      </w:r>
    </w:p>
    <w:p w14:paraId="509C6F60" w14:textId="104EFB3E" w:rsidR="000742CA" w:rsidRDefault="007C1B3E" w:rsidP="000742CA">
      <w:bookmarkStart w:id="122" w:name="OLE_LINK15"/>
      <w:bookmarkStart w:id="123" w:name="OLE_LINK16"/>
      <w:r>
        <w:t>No evidence was identified related to functional or performance status.</w:t>
      </w:r>
      <w:bookmarkEnd w:id="122"/>
      <w:bookmarkEnd w:id="123"/>
      <w:r>
        <w:t xml:space="preserve"> </w:t>
      </w:r>
    </w:p>
    <w:p w14:paraId="1C6996D6" w14:textId="77777777" w:rsidR="000742CA" w:rsidRDefault="000742CA" w:rsidP="000742CA">
      <w:pPr>
        <w:pStyle w:val="H6"/>
      </w:pPr>
      <w:r>
        <w:t>Laboratory measures</w:t>
      </w:r>
    </w:p>
    <w:p w14:paraId="19CC44DE" w14:textId="120AE695" w:rsidR="000742CA" w:rsidRDefault="000742CA" w:rsidP="00117DEC">
      <w:r>
        <w:t>Pape (2009)</w:t>
      </w:r>
      <w:hyperlink w:anchor="_ENREF_122" w:tooltip="Pape, 2009 #116" w:history="1">
        <w:r w:rsidR="00E62798">
          <w:fldChar w:fldCharType="begin">
            <w:fldData xml:space="preserve">PEVuZE5vdGU+PENpdGU+PEF1dGhvcj5QYXBlPC9BdXRob3I+PFllYXI+MjAwOTwvWWVhcj48UmVj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</w:fldData>
          </w:fldChar>
        </w:r>
        <w:r w:rsidR="00E62798">
          <w:instrText xml:space="preserve"> ADDIN EN.CITE </w:instrText>
        </w:r>
        <w:r w:rsidR="00E62798">
          <w:fldChar w:fldCharType="begin">
            <w:fldData xml:space="preserve">PEVuZE5vdGU+PENpdGU+PEF1dGhvcj5QYXBlPC9BdXRob3I+PFllYXI+MjAwOTwvWWVhcj48UmVj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122</w:t>
        </w:r>
        <w:r w:rsidR="00E62798">
          <w:fldChar w:fldCharType="end"/>
        </w:r>
      </w:hyperlink>
      <w:r>
        <w:t xml:space="preserve"> reported Hb at discharge, but the study was small and underpowered. </w:t>
      </w:r>
    </w:p>
    <w:p w14:paraId="1DAAC571" w14:textId="56C48BF0" w:rsidR="000742CA" w:rsidRPr="00C918A5" w:rsidRDefault="000742CA" w:rsidP="00565E25">
      <w:pPr>
        <w:pStyle w:val="BoxHeading"/>
        <w:rPr>
          <w:lang w:val="en-AU"/>
        </w:rPr>
      </w:pPr>
      <w:r>
        <w:t xml:space="preserve">Clinical </w:t>
      </w:r>
      <w:r w:rsidR="00117DEC">
        <w:t>commentary</w:t>
      </w:r>
      <w:r w:rsidR="00C918A5">
        <w:rPr>
          <w:lang w:val="en-AU"/>
        </w:rPr>
        <w:t xml:space="preserve"> –</w:t>
      </w:r>
      <w:r w:rsidR="00054C94">
        <w:rPr>
          <w:lang w:val="en-AU"/>
        </w:rPr>
        <w:t xml:space="preserve"> </w:t>
      </w:r>
      <w:r w:rsidR="00C918A5" w:rsidRPr="004667A5">
        <w:t xml:space="preserve">ESAs </w:t>
      </w:r>
      <w:r w:rsidR="00C918A5">
        <w:rPr>
          <w:lang w:val="en-AU"/>
        </w:rPr>
        <w:t>(</w:t>
      </w:r>
      <w:r w:rsidR="00C918A5" w:rsidRPr="00A21FE4">
        <w:t>with or without iron</w:t>
      </w:r>
      <w:r w:rsidR="00C918A5">
        <w:rPr>
          <w:lang w:val="en-AU"/>
        </w:rPr>
        <w:t xml:space="preserve">) in neonatal and </w:t>
      </w:r>
      <w:r w:rsidR="00C918A5">
        <w:t>p</w:t>
      </w:r>
      <w:r w:rsidR="00C918A5" w:rsidRPr="004667A5">
        <w:t xml:space="preserve">aediatric </w:t>
      </w:r>
      <w:r w:rsidR="00C918A5">
        <w:t>patients with kidney disease</w:t>
      </w:r>
    </w:p>
    <w:p w14:paraId="3B653028" w14:textId="7B85CD33" w:rsidR="000742CA" w:rsidRDefault="000742CA" w:rsidP="00565E25">
      <w:pPr>
        <w:pStyle w:val="BoxText"/>
        <w:rPr>
          <w:szCs w:val="18"/>
        </w:rPr>
      </w:pPr>
      <w:r>
        <w:rPr>
          <w:szCs w:val="18"/>
        </w:rPr>
        <w:t>Clinical practice guidelines published by Kidney Disease Improving Global Outcomes (KDIGO)</w:t>
      </w:r>
      <w:hyperlink w:anchor="_ENREF_11" w:tooltip="Kidney Disease: Improving Global Outcomes (KDIGO) Anemia Work Group, 2012 #231" w:history="1">
        <w:r w:rsidR="00E62798">
          <w:rPr>
            <w:szCs w:val="18"/>
          </w:rPr>
          <w:fldChar w:fldCharType="begin"/>
        </w:r>
        <w:r w:rsidR="00E62798">
          <w:rPr>
            <w:szCs w:val="18"/>
          </w:rPr>
          <w:instrText xml:space="preserve"> ADDIN EN.CITE &lt;EndNote&gt;&lt;Cite&gt;&lt;Author&gt;Kidney Disease: Improving Global Outcomes (KDIGO) Anemia Work Group&lt;/Author&gt;&lt;Year&gt;2012&lt;/Year&gt;&lt;RecNum&gt;231&lt;/RecNum&gt;&lt;DisplayText&gt;&lt;style face="superscript"&gt;11&lt;/style&gt;&lt;/DisplayText&gt;&lt;record&gt;&lt;rec-number&gt;231&lt;/rec-number&gt;&lt;foreign-keys&gt;&lt;key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rPr>
            <w:szCs w:val="18"/>
          </w:rPr>
          <w:fldChar w:fldCharType="separate"/>
        </w:r>
        <w:r w:rsidR="00E62798" w:rsidRPr="00E62798">
          <w:rPr>
            <w:noProof/>
            <w:szCs w:val="18"/>
            <w:vertAlign w:val="superscript"/>
          </w:rPr>
          <w:t>11</w:t>
        </w:r>
        <w:r w:rsidR="00E62798">
          <w:rPr>
            <w:szCs w:val="18"/>
          </w:rPr>
          <w:fldChar w:fldCharType="end"/>
        </w:r>
      </w:hyperlink>
      <w:r w:rsidR="00054C94">
        <w:rPr>
          <w:szCs w:val="18"/>
        </w:rPr>
        <w:t xml:space="preserve"> </w:t>
      </w:r>
      <w:r>
        <w:rPr>
          <w:szCs w:val="18"/>
        </w:rPr>
        <w:t xml:space="preserve">and </w:t>
      </w:r>
      <w:r w:rsidR="00E77505">
        <w:rPr>
          <w:szCs w:val="18"/>
        </w:rPr>
        <w:t>the United Kingdom</w:t>
      </w:r>
      <w:r w:rsidR="00117DEC">
        <w:rPr>
          <w:szCs w:val="18"/>
        </w:rPr>
        <w:t xml:space="preserve">’s </w:t>
      </w:r>
      <w:r w:rsidR="00840600">
        <w:rPr>
          <w:szCs w:val="18"/>
          <w:lang w:val="en-AU"/>
        </w:rPr>
        <w:t xml:space="preserve">(UK’s) </w:t>
      </w:r>
      <w:r w:rsidR="00117DEC">
        <w:rPr>
          <w:szCs w:val="18"/>
        </w:rPr>
        <w:t>National Institute for Health and Care Excellence (</w:t>
      </w:r>
      <w:r w:rsidR="00117DEC">
        <w:t>NICE)</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t xml:space="preserve"> assessing anaemia management in CKD noted that there is little evidence relating to the management of CKD in children. The guidelines stated that more data are needed on </w:t>
      </w:r>
      <w:r w:rsidR="00117DEC">
        <w:t xml:space="preserve">suitable ESA treatment regimens, </w:t>
      </w:r>
      <w:r>
        <w:t xml:space="preserve">and the optimal iron levels </w:t>
      </w:r>
      <w:r w:rsidR="00A45971">
        <w:t>for</w:t>
      </w:r>
      <w:r>
        <w:t xml:space="preserve"> guid</w:t>
      </w:r>
      <w:r w:rsidR="00A45971">
        <w:t>ing</w:t>
      </w:r>
      <w:r>
        <w:t xml:space="preserve"> monito</w:t>
      </w:r>
      <w:r w:rsidR="00117DEC">
        <w:t>ring and treatment adjustments</w:t>
      </w:r>
      <w:r>
        <w:t xml:space="preserve"> to avoid adverse outcomes. </w:t>
      </w:r>
    </w:p>
    <w:p w14:paraId="33F53989" w14:textId="2FB821AB" w:rsidR="000742CA" w:rsidRDefault="00117DEC" w:rsidP="00565E25">
      <w:pPr>
        <w:pStyle w:val="BoxText"/>
      </w:pPr>
      <w:r>
        <w:t xml:space="preserve">The </w:t>
      </w:r>
      <w:r w:rsidR="000742CA">
        <w:t>KDIGO guidelines</w:t>
      </w:r>
      <w:hyperlink w:anchor="_ENREF_11" w:tooltip="Kidney Disease: Improving Global Outcomes (KDIGO) Anemia Work Group, 2012 #231" w:history="1">
        <w:r w:rsidR="00E62798">
          <w:fldChar w:fldCharType="begin"/>
        </w:r>
        <w:r w:rsidR="00E62798">
          <w:instrText xml:space="preserve"> ADDIN EN.CITE &lt;EndNote&gt;&lt;Cite&gt;&lt;Author&gt;Kidney Disease: Improving Global Outcomes (KDIGO) Anemia Work Group&lt;/Author&gt;&lt;Year&gt;2012&lt;/Year&gt;&lt;RecNum&gt;231&lt;/RecNum&gt;&lt;DisplayText&gt;&lt;style face="superscript"&gt;11&lt;/style&gt;&lt;/DisplayText&gt;&lt;record&gt;&lt;rec-number&gt;231&lt;/rec-number&gt;&lt;foreign-keys&gt;&lt;key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fldChar w:fldCharType="separate"/>
        </w:r>
        <w:r w:rsidR="00E62798" w:rsidRPr="00E62798">
          <w:rPr>
            <w:noProof/>
            <w:vertAlign w:val="superscript"/>
          </w:rPr>
          <w:t>11</w:t>
        </w:r>
        <w:r w:rsidR="00E62798">
          <w:fldChar w:fldCharType="end"/>
        </w:r>
      </w:hyperlink>
      <w:r w:rsidR="000742CA">
        <w:t xml:space="preserve"> suggest that</w:t>
      </w:r>
      <w:r>
        <w:t>,</w:t>
      </w:r>
      <w:r w:rsidR="000742CA">
        <w:t xml:space="preserve"> in paediatri</w:t>
      </w:r>
      <w:r>
        <w:t>c CKD patients receiving ESA, a</w:t>
      </w:r>
      <w:r w:rsidR="000742CA">
        <w:t xml:space="preserve"> Hb in the range of 11</w:t>
      </w:r>
      <w:r>
        <w:t>0–</w:t>
      </w:r>
      <w:r w:rsidR="000742CA">
        <w:t>120</w:t>
      </w:r>
      <w:r>
        <w:t> </w:t>
      </w:r>
      <w:r w:rsidR="000742CA">
        <w:t xml:space="preserve">g/L be targeted. </w:t>
      </w:r>
      <w:r>
        <w:t xml:space="preserve">These guidelines </w:t>
      </w:r>
      <w:r w:rsidR="000742CA">
        <w:t xml:space="preserve">recommend that all patients receiving ESAs </w:t>
      </w:r>
      <w:r>
        <w:t xml:space="preserve">also </w:t>
      </w:r>
      <w:r w:rsidR="000742CA">
        <w:t>receive iron supplementation</w:t>
      </w:r>
      <w:r>
        <w:t>,</w:t>
      </w:r>
      <w:r w:rsidR="000742CA">
        <w:t xml:space="preserve"> to maintain</w:t>
      </w:r>
      <w:r>
        <w:t xml:space="preserve"> a transferrin saturation of &gt;2</w:t>
      </w:r>
      <w:r w:rsidR="000742CA">
        <w:t>0% and ferritin &gt;100</w:t>
      </w:r>
      <w:r>
        <w:t> </w:t>
      </w:r>
      <w:r w:rsidR="000742CA">
        <w:t xml:space="preserve">mg. </w:t>
      </w:r>
    </w:p>
    <w:p w14:paraId="47439C1D" w14:textId="037D98CD" w:rsidR="000742CA" w:rsidRDefault="00117DEC" w:rsidP="00565E25">
      <w:pPr>
        <w:pStyle w:val="BoxText"/>
      </w:pPr>
      <w:r>
        <w:t>The NICE guidelines</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rsidR="00043698">
        <w:t xml:space="preserve"> </w:t>
      </w:r>
      <w:r w:rsidR="000742CA">
        <w:t xml:space="preserve">advise a target Hb range of </w:t>
      </w:r>
      <w:r>
        <w:t>100–</w:t>
      </w:r>
      <w:r w:rsidR="000742CA">
        <w:t>120</w:t>
      </w:r>
      <w:r>
        <w:t> </w:t>
      </w:r>
      <w:r w:rsidR="000742CA">
        <w:t xml:space="preserve">g/L for children aged </w:t>
      </w:r>
      <w:r>
        <w:t>2 </w:t>
      </w:r>
      <w:r w:rsidR="000742CA">
        <w:t>years and older</w:t>
      </w:r>
      <w:r>
        <w:t>, and of 95–</w:t>
      </w:r>
      <w:r w:rsidR="000742CA">
        <w:t>115</w:t>
      </w:r>
      <w:r>
        <w:t> </w:t>
      </w:r>
      <w:r w:rsidR="000742CA">
        <w:t xml:space="preserve">g/L for children </w:t>
      </w:r>
      <w:r>
        <w:t xml:space="preserve">aged under </w:t>
      </w:r>
      <w:r w:rsidR="000742CA">
        <w:t xml:space="preserve">2 years. They </w:t>
      </w:r>
      <w:r>
        <w:t xml:space="preserve">also </w:t>
      </w:r>
      <w:r w:rsidR="000742CA">
        <w:t xml:space="preserve">recommend that ESAs should not be initiated in the presence of absolute iron deficiency without treating </w:t>
      </w:r>
      <w:r w:rsidR="006F3C86">
        <w:rPr>
          <w:lang w:val="en-AU"/>
        </w:rPr>
        <w:t xml:space="preserve">the </w:t>
      </w:r>
      <w:r w:rsidR="000742CA">
        <w:t xml:space="preserve">iron deficiency. </w:t>
      </w:r>
    </w:p>
    <w:p w14:paraId="07C8D550" w14:textId="7EB0444E" w:rsidR="000742CA" w:rsidRPr="00043698" w:rsidRDefault="00043698" w:rsidP="00043698">
      <w:pPr>
        <w:pStyle w:val="Heading3"/>
        <w:rPr>
          <w:lang w:val="en-AU"/>
        </w:rPr>
      </w:pPr>
      <w:bookmarkStart w:id="124" w:name="_Toc427851330"/>
      <w:r>
        <w:rPr>
          <w:lang w:val="en-AU"/>
        </w:rPr>
        <w:t>3.3.8</w:t>
      </w:r>
      <w:r>
        <w:rPr>
          <w:lang w:val="en-AU"/>
        </w:rPr>
        <w:tab/>
      </w:r>
      <w:r>
        <w:t xml:space="preserve">Medical: neonatal </w:t>
      </w:r>
      <w:r w:rsidR="00C918A5">
        <w:rPr>
          <w:lang w:val="en-AU"/>
        </w:rPr>
        <w:t xml:space="preserve">and </w:t>
      </w:r>
      <w:r w:rsidR="00C918A5">
        <w:t>p</w:t>
      </w:r>
      <w:r w:rsidR="00C918A5" w:rsidRPr="004667A5">
        <w:t xml:space="preserve">aediatric </w:t>
      </w:r>
      <w:r w:rsidRPr="004667A5">
        <w:t>patients with kidney disease</w:t>
      </w:r>
      <w:r>
        <w:rPr>
          <w:lang w:val="en-AU"/>
        </w:rPr>
        <w:t xml:space="preserve"> – effect of oral and/or parenteral iron on outcomes</w:t>
      </w:r>
      <w:bookmarkEnd w:id="124"/>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0FA14F97" w14:textId="77777777" w:rsidTr="006E63D2">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3EAC0A32" w14:textId="77777777" w:rsidR="000742CA" w:rsidRPr="00A21FE4" w:rsidRDefault="000742CA" w:rsidP="000742CA">
            <w:pPr>
              <w:pStyle w:val="PP-heading"/>
            </w:pPr>
            <w:r w:rsidRPr="00A21FE4">
              <w:t>Evidence statements – kidney disease (oral and/or parenteral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90FF97A"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4E2AAF1"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6C4AF6D"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28AB433"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E2FECEE" w14:textId="77777777" w:rsidR="000742CA" w:rsidRPr="00A21FE4" w:rsidRDefault="000742CA" w:rsidP="000742CA">
            <w:pPr>
              <w:ind w:left="113" w:right="113"/>
              <w:jc w:val="center"/>
              <w:rPr>
                <w:b/>
              </w:rPr>
            </w:pPr>
            <w:r w:rsidRPr="00A21FE4">
              <w:rPr>
                <w:b/>
              </w:rPr>
              <w:t>Applicability</w:t>
            </w:r>
          </w:p>
        </w:tc>
      </w:tr>
      <w:tr w:rsidR="000742CA" w:rsidRPr="00A21FE4" w14:paraId="04A1FA91" w14:textId="77777777" w:rsidTr="006E63D2">
        <w:trPr>
          <w:cantSplit/>
        </w:trPr>
        <w:tc>
          <w:tcPr>
            <w:tcW w:w="851" w:type="dxa"/>
          </w:tcPr>
          <w:p w14:paraId="3A770156" w14:textId="77777777" w:rsidR="000742CA" w:rsidRPr="00A21FE4" w:rsidRDefault="000742CA" w:rsidP="000742CA">
            <w:pPr>
              <w:pStyle w:val="Tabletext0"/>
            </w:pPr>
            <w:r w:rsidRPr="007B0A67">
              <w:t>ES2.</w:t>
            </w:r>
            <w:r>
              <w:t>32</w:t>
            </w:r>
          </w:p>
        </w:tc>
        <w:tc>
          <w:tcPr>
            <w:tcW w:w="3750" w:type="dxa"/>
          </w:tcPr>
          <w:p w14:paraId="027B23E7" w14:textId="77777777" w:rsidR="000742CA" w:rsidRPr="00A21FE4" w:rsidRDefault="000742CA" w:rsidP="000742CA">
            <w:pPr>
              <w:pStyle w:val="ES-table"/>
            </w:pPr>
            <w:r w:rsidRPr="00A21FE4">
              <w:t>In neonatal and paediatric patients with kidney disease, the effect of iron compared with no iron on transfusion incidence or volume is unknown.</w:t>
            </w:r>
          </w:p>
        </w:tc>
        <w:tc>
          <w:tcPr>
            <w:tcW w:w="820" w:type="dxa"/>
          </w:tcPr>
          <w:p w14:paraId="491CF85C" w14:textId="77777777" w:rsidR="000742CA" w:rsidRPr="00A21FE4" w:rsidRDefault="000742CA" w:rsidP="000742CA">
            <w:pPr>
              <w:pStyle w:val="T-ABCD"/>
            </w:pPr>
            <w:r w:rsidRPr="00A21FE4">
              <w:t>NA</w:t>
            </w:r>
          </w:p>
        </w:tc>
        <w:tc>
          <w:tcPr>
            <w:tcW w:w="821" w:type="dxa"/>
          </w:tcPr>
          <w:p w14:paraId="7770B80A" w14:textId="77777777" w:rsidR="000742CA" w:rsidRPr="00A21FE4" w:rsidRDefault="000742CA" w:rsidP="000742CA">
            <w:pPr>
              <w:pStyle w:val="T-ABCD"/>
            </w:pPr>
            <w:r w:rsidRPr="00A21FE4">
              <w:t>NA</w:t>
            </w:r>
          </w:p>
        </w:tc>
        <w:tc>
          <w:tcPr>
            <w:tcW w:w="821" w:type="dxa"/>
          </w:tcPr>
          <w:p w14:paraId="3A514794" w14:textId="77777777" w:rsidR="000742CA" w:rsidRPr="00A21FE4" w:rsidRDefault="000742CA" w:rsidP="000742CA">
            <w:pPr>
              <w:pStyle w:val="T-ABCD"/>
            </w:pPr>
            <w:r w:rsidRPr="00A21FE4">
              <w:t>NA</w:t>
            </w:r>
          </w:p>
        </w:tc>
        <w:tc>
          <w:tcPr>
            <w:tcW w:w="821" w:type="dxa"/>
          </w:tcPr>
          <w:p w14:paraId="5B33BAA0" w14:textId="77777777" w:rsidR="000742CA" w:rsidRPr="00A21FE4" w:rsidRDefault="000742CA" w:rsidP="000742CA">
            <w:pPr>
              <w:pStyle w:val="T-ABCD"/>
            </w:pPr>
            <w:r w:rsidRPr="00A21FE4">
              <w:t>NA</w:t>
            </w:r>
          </w:p>
        </w:tc>
        <w:tc>
          <w:tcPr>
            <w:tcW w:w="821" w:type="dxa"/>
          </w:tcPr>
          <w:p w14:paraId="6A8B7F5D" w14:textId="77777777" w:rsidR="000742CA" w:rsidRPr="00A21FE4" w:rsidRDefault="000742CA" w:rsidP="000742CA">
            <w:pPr>
              <w:pStyle w:val="T-ABCD"/>
            </w:pPr>
            <w:r w:rsidRPr="00A21FE4">
              <w:t xml:space="preserve">NA </w:t>
            </w:r>
          </w:p>
        </w:tc>
      </w:tr>
      <w:tr w:rsidR="000742CA" w:rsidRPr="00A21FE4" w14:paraId="4EA68B72" w14:textId="77777777" w:rsidTr="006E63D2">
        <w:trPr>
          <w:cantSplit/>
        </w:trPr>
        <w:tc>
          <w:tcPr>
            <w:tcW w:w="851" w:type="dxa"/>
          </w:tcPr>
          <w:p w14:paraId="55162FBE" w14:textId="77777777" w:rsidR="000742CA" w:rsidRPr="00A21FE4" w:rsidRDefault="000742CA" w:rsidP="000742CA">
            <w:pPr>
              <w:pStyle w:val="Tabletext0"/>
            </w:pPr>
            <w:r w:rsidRPr="007B0A67">
              <w:t>ES2.</w:t>
            </w:r>
            <w:r>
              <w:t>33</w:t>
            </w:r>
          </w:p>
        </w:tc>
        <w:tc>
          <w:tcPr>
            <w:tcW w:w="3750" w:type="dxa"/>
          </w:tcPr>
          <w:p w14:paraId="4F326629" w14:textId="77777777" w:rsidR="000742CA" w:rsidRPr="00A21FE4" w:rsidRDefault="000742CA" w:rsidP="000742CA">
            <w:pPr>
              <w:pStyle w:val="ES-table"/>
            </w:pPr>
            <w:r w:rsidRPr="00A21FE4">
              <w:t>In neonatal and paediatric patients with kidney disease, the effect of iron compared with no iron on mortality is unknown.</w:t>
            </w:r>
          </w:p>
        </w:tc>
        <w:tc>
          <w:tcPr>
            <w:tcW w:w="820" w:type="dxa"/>
          </w:tcPr>
          <w:p w14:paraId="5B862070" w14:textId="77777777" w:rsidR="000742CA" w:rsidRPr="00A21FE4" w:rsidRDefault="000742CA" w:rsidP="000742CA">
            <w:pPr>
              <w:pStyle w:val="T-ABCD"/>
            </w:pPr>
            <w:r w:rsidRPr="00A21FE4">
              <w:t>NA</w:t>
            </w:r>
          </w:p>
        </w:tc>
        <w:tc>
          <w:tcPr>
            <w:tcW w:w="821" w:type="dxa"/>
          </w:tcPr>
          <w:p w14:paraId="439757F5" w14:textId="77777777" w:rsidR="000742CA" w:rsidRPr="00A21FE4" w:rsidRDefault="000742CA" w:rsidP="000742CA">
            <w:pPr>
              <w:pStyle w:val="T-ABCD"/>
            </w:pPr>
            <w:r w:rsidRPr="00A21FE4">
              <w:t>NA</w:t>
            </w:r>
          </w:p>
        </w:tc>
        <w:tc>
          <w:tcPr>
            <w:tcW w:w="821" w:type="dxa"/>
          </w:tcPr>
          <w:p w14:paraId="201621BB" w14:textId="77777777" w:rsidR="000742CA" w:rsidRPr="00A21FE4" w:rsidRDefault="000742CA" w:rsidP="000742CA">
            <w:pPr>
              <w:pStyle w:val="T-ABCD"/>
            </w:pPr>
            <w:r w:rsidRPr="00A21FE4">
              <w:t>NA</w:t>
            </w:r>
          </w:p>
        </w:tc>
        <w:tc>
          <w:tcPr>
            <w:tcW w:w="821" w:type="dxa"/>
          </w:tcPr>
          <w:p w14:paraId="0C18C09A" w14:textId="77777777" w:rsidR="000742CA" w:rsidRPr="00A21FE4" w:rsidRDefault="000742CA" w:rsidP="000742CA">
            <w:pPr>
              <w:pStyle w:val="T-ABCD"/>
            </w:pPr>
            <w:r w:rsidRPr="00A21FE4">
              <w:t>NA</w:t>
            </w:r>
          </w:p>
        </w:tc>
        <w:tc>
          <w:tcPr>
            <w:tcW w:w="821" w:type="dxa"/>
          </w:tcPr>
          <w:p w14:paraId="2CA19A3B" w14:textId="77777777" w:rsidR="000742CA" w:rsidRPr="00A21FE4" w:rsidRDefault="000742CA" w:rsidP="000742CA">
            <w:pPr>
              <w:pStyle w:val="T-ABCD"/>
            </w:pPr>
            <w:r w:rsidRPr="00A21FE4">
              <w:t xml:space="preserve">NA </w:t>
            </w:r>
          </w:p>
        </w:tc>
      </w:tr>
      <w:tr w:rsidR="000742CA" w:rsidRPr="00A21FE4" w14:paraId="09ED5E6C" w14:textId="77777777" w:rsidTr="006E63D2">
        <w:trPr>
          <w:cantSplit/>
        </w:trPr>
        <w:tc>
          <w:tcPr>
            <w:tcW w:w="851" w:type="dxa"/>
          </w:tcPr>
          <w:p w14:paraId="66406F3A" w14:textId="77777777" w:rsidR="000742CA" w:rsidRPr="00A21FE4" w:rsidRDefault="000742CA" w:rsidP="000742CA">
            <w:pPr>
              <w:pStyle w:val="Tabletext0"/>
            </w:pPr>
            <w:r w:rsidRPr="007B0A67">
              <w:t>ES2.</w:t>
            </w:r>
            <w:r>
              <w:t>34</w:t>
            </w:r>
          </w:p>
        </w:tc>
        <w:tc>
          <w:tcPr>
            <w:tcW w:w="3750" w:type="dxa"/>
          </w:tcPr>
          <w:p w14:paraId="50F7E39A" w14:textId="77777777" w:rsidR="000742CA" w:rsidRPr="00A21FE4" w:rsidRDefault="000742CA" w:rsidP="000742CA">
            <w:pPr>
              <w:pStyle w:val="ES-table"/>
            </w:pPr>
            <w:r w:rsidRPr="00A21FE4">
              <w:t xml:space="preserve">In paediatric patients with </w:t>
            </w:r>
            <w:r>
              <w:t>CKD</w:t>
            </w:r>
            <w:r w:rsidRPr="00A21FE4">
              <w:t xml:space="preserve"> receiving maintenance rHuEPO therapy, the effect of IV iron compared with oral iron on transfusion incidence is uncertain.</w:t>
            </w:r>
          </w:p>
          <w:p w14:paraId="50E37B7D" w14:textId="77777777" w:rsidR="000742CA" w:rsidRPr="00A21FE4" w:rsidRDefault="000742CA" w:rsidP="000742CA">
            <w:pPr>
              <w:pStyle w:val="ES-notes"/>
            </w:pPr>
            <w:r w:rsidRPr="00A21FE4">
              <w:t>(See evidence matrix D2.Q in Volume 2 of the technical report.)</w:t>
            </w:r>
          </w:p>
        </w:tc>
        <w:tc>
          <w:tcPr>
            <w:tcW w:w="820" w:type="dxa"/>
          </w:tcPr>
          <w:p w14:paraId="42053D81" w14:textId="77777777" w:rsidR="000742CA" w:rsidRPr="00A21FE4" w:rsidRDefault="000742CA" w:rsidP="000742CA">
            <w:pPr>
              <w:pStyle w:val="T-ABCD"/>
            </w:pPr>
            <w:r w:rsidRPr="00A21FE4">
              <w:t>X</w:t>
            </w:r>
          </w:p>
        </w:tc>
        <w:tc>
          <w:tcPr>
            <w:tcW w:w="821" w:type="dxa"/>
          </w:tcPr>
          <w:p w14:paraId="5E15688F" w14:textId="77777777" w:rsidR="000742CA" w:rsidRPr="00A21FE4" w:rsidRDefault="000742CA" w:rsidP="000742CA">
            <w:pPr>
              <w:pStyle w:val="T-ABCD"/>
            </w:pPr>
            <w:r w:rsidRPr="00A21FE4">
              <w:t>NA</w:t>
            </w:r>
          </w:p>
        </w:tc>
        <w:tc>
          <w:tcPr>
            <w:tcW w:w="821" w:type="dxa"/>
          </w:tcPr>
          <w:p w14:paraId="765928F6" w14:textId="77777777" w:rsidR="000742CA" w:rsidRPr="00A21FE4" w:rsidRDefault="000742CA" w:rsidP="000742CA">
            <w:pPr>
              <w:pStyle w:val="T-ABCD"/>
            </w:pPr>
            <w:r w:rsidRPr="00A21FE4">
              <w:t>NA</w:t>
            </w:r>
          </w:p>
        </w:tc>
        <w:tc>
          <w:tcPr>
            <w:tcW w:w="821" w:type="dxa"/>
          </w:tcPr>
          <w:p w14:paraId="55855E9A" w14:textId="77777777" w:rsidR="000742CA" w:rsidRPr="00A21FE4" w:rsidRDefault="000742CA" w:rsidP="000742CA">
            <w:pPr>
              <w:pStyle w:val="T-ABCD"/>
            </w:pPr>
            <w:r w:rsidRPr="00A21FE4">
              <w:sym w:font="Symbol" w:char="F0D6"/>
            </w:r>
            <w:r w:rsidRPr="00A21FE4">
              <w:sym w:font="Symbol" w:char="F0D6"/>
            </w:r>
          </w:p>
        </w:tc>
        <w:tc>
          <w:tcPr>
            <w:tcW w:w="821" w:type="dxa"/>
          </w:tcPr>
          <w:p w14:paraId="788B0FE3" w14:textId="77777777" w:rsidR="000742CA" w:rsidRPr="00A21FE4" w:rsidRDefault="000742CA" w:rsidP="000742CA">
            <w:pPr>
              <w:pStyle w:val="T-ABCD"/>
            </w:pPr>
            <w:r w:rsidRPr="00A21FE4">
              <w:sym w:font="Symbol" w:char="F0D6"/>
            </w:r>
          </w:p>
        </w:tc>
      </w:tr>
      <w:tr w:rsidR="000742CA" w:rsidRPr="00A21FE4" w14:paraId="6D6FACC1" w14:textId="77777777" w:rsidTr="006E63D2">
        <w:trPr>
          <w:cantSplit/>
        </w:trPr>
        <w:tc>
          <w:tcPr>
            <w:tcW w:w="851" w:type="dxa"/>
          </w:tcPr>
          <w:p w14:paraId="724BF886" w14:textId="77777777" w:rsidR="000742CA" w:rsidRPr="00A21FE4" w:rsidRDefault="000742CA" w:rsidP="000742CA">
            <w:pPr>
              <w:pStyle w:val="Tabletext0"/>
            </w:pPr>
            <w:r w:rsidRPr="007B0A67">
              <w:t>ES2.</w:t>
            </w:r>
            <w:r>
              <w:t>35</w:t>
            </w:r>
          </w:p>
        </w:tc>
        <w:tc>
          <w:tcPr>
            <w:tcW w:w="3750" w:type="dxa"/>
          </w:tcPr>
          <w:p w14:paraId="678A1BB9" w14:textId="77777777" w:rsidR="000742CA" w:rsidRPr="00A21FE4" w:rsidRDefault="000742CA" w:rsidP="000742CA">
            <w:pPr>
              <w:pStyle w:val="ES-table"/>
            </w:pPr>
            <w:r w:rsidRPr="00A21FE4">
              <w:t xml:space="preserve">In paediatric patients with </w:t>
            </w:r>
            <w:r>
              <w:t>CKD</w:t>
            </w:r>
            <w:r w:rsidRPr="00A21FE4">
              <w:t xml:space="preserve"> receiving maintenance rHuEPO therapy, the effect of IV iron compared with oral iron on thromboembolic events is unknown.</w:t>
            </w:r>
          </w:p>
        </w:tc>
        <w:tc>
          <w:tcPr>
            <w:tcW w:w="820" w:type="dxa"/>
          </w:tcPr>
          <w:p w14:paraId="3856698A" w14:textId="77777777" w:rsidR="000742CA" w:rsidRPr="00A21FE4" w:rsidRDefault="000742CA" w:rsidP="000742CA">
            <w:pPr>
              <w:pStyle w:val="T-ABCD"/>
            </w:pPr>
            <w:r w:rsidRPr="00A21FE4">
              <w:t>NA</w:t>
            </w:r>
          </w:p>
        </w:tc>
        <w:tc>
          <w:tcPr>
            <w:tcW w:w="821" w:type="dxa"/>
          </w:tcPr>
          <w:p w14:paraId="661BAB19" w14:textId="77777777" w:rsidR="000742CA" w:rsidRPr="00A21FE4" w:rsidRDefault="000742CA" w:rsidP="000742CA">
            <w:pPr>
              <w:pStyle w:val="T-ABCD"/>
            </w:pPr>
            <w:r w:rsidRPr="00A21FE4">
              <w:t>NA</w:t>
            </w:r>
          </w:p>
        </w:tc>
        <w:tc>
          <w:tcPr>
            <w:tcW w:w="821" w:type="dxa"/>
          </w:tcPr>
          <w:p w14:paraId="4E7FC15D" w14:textId="77777777" w:rsidR="000742CA" w:rsidRPr="00A21FE4" w:rsidRDefault="000742CA" w:rsidP="000742CA">
            <w:pPr>
              <w:pStyle w:val="T-ABCD"/>
            </w:pPr>
            <w:r w:rsidRPr="00A21FE4">
              <w:t>NA</w:t>
            </w:r>
          </w:p>
        </w:tc>
        <w:tc>
          <w:tcPr>
            <w:tcW w:w="821" w:type="dxa"/>
          </w:tcPr>
          <w:p w14:paraId="1629DA1D" w14:textId="77777777" w:rsidR="000742CA" w:rsidRPr="00A21FE4" w:rsidRDefault="000742CA" w:rsidP="000742CA">
            <w:pPr>
              <w:pStyle w:val="T-ABCD"/>
            </w:pPr>
            <w:r w:rsidRPr="00A21FE4">
              <w:t>NA</w:t>
            </w:r>
          </w:p>
        </w:tc>
        <w:tc>
          <w:tcPr>
            <w:tcW w:w="821" w:type="dxa"/>
          </w:tcPr>
          <w:p w14:paraId="5EA14F65" w14:textId="77777777" w:rsidR="000742CA" w:rsidRPr="00A21FE4" w:rsidRDefault="000742CA" w:rsidP="000742CA">
            <w:pPr>
              <w:pStyle w:val="T-ABCD"/>
            </w:pPr>
            <w:r w:rsidRPr="00A21FE4">
              <w:t xml:space="preserve">NA </w:t>
            </w:r>
          </w:p>
        </w:tc>
      </w:tr>
      <w:tr w:rsidR="000742CA" w:rsidRPr="00A21FE4" w14:paraId="39B8B593" w14:textId="77777777" w:rsidTr="006E63D2">
        <w:trPr>
          <w:cantSplit/>
        </w:trPr>
        <w:tc>
          <w:tcPr>
            <w:tcW w:w="851" w:type="dxa"/>
          </w:tcPr>
          <w:p w14:paraId="70436ADC" w14:textId="77777777" w:rsidR="000742CA" w:rsidRPr="00A21FE4" w:rsidRDefault="000742CA" w:rsidP="000742CA">
            <w:pPr>
              <w:pStyle w:val="Tabletext0"/>
            </w:pPr>
            <w:r w:rsidRPr="007B0A67">
              <w:t>ES2.</w:t>
            </w:r>
            <w:r>
              <w:t>36</w:t>
            </w:r>
          </w:p>
        </w:tc>
        <w:tc>
          <w:tcPr>
            <w:tcW w:w="3750" w:type="dxa"/>
          </w:tcPr>
          <w:p w14:paraId="656778C6" w14:textId="77777777" w:rsidR="000742CA" w:rsidRPr="00A21FE4" w:rsidRDefault="000742CA" w:rsidP="000742CA">
            <w:pPr>
              <w:pStyle w:val="ES-table"/>
            </w:pPr>
            <w:r w:rsidRPr="00A21FE4">
              <w:t xml:space="preserve">In paediatric patients with </w:t>
            </w:r>
            <w:r>
              <w:t>CKD</w:t>
            </w:r>
            <w:r w:rsidRPr="00A21FE4">
              <w:t xml:space="preserve"> receiving maintenance rHuEPO therapy, the effect of IV iron compared with oral iron on mortality is unknown.</w:t>
            </w:r>
          </w:p>
        </w:tc>
        <w:tc>
          <w:tcPr>
            <w:tcW w:w="820" w:type="dxa"/>
          </w:tcPr>
          <w:p w14:paraId="4D9131B3" w14:textId="77777777" w:rsidR="000742CA" w:rsidRPr="00A21FE4" w:rsidRDefault="000742CA" w:rsidP="000742CA">
            <w:pPr>
              <w:pStyle w:val="T-ABCD"/>
            </w:pPr>
            <w:r w:rsidRPr="00A21FE4">
              <w:t>NA</w:t>
            </w:r>
          </w:p>
        </w:tc>
        <w:tc>
          <w:tcPr>
            <w:tcW w:w="821" w:type="dxa"/>
          </w:tcPr>
          <w:p w14:paraId="562C7DD6" w14:textId="77777777" w:rsidR="000742CA" w:rsidRPr="00A21FE4" w:rsidRDefault="000742CA" w:rsidP="000742CA">
            <w:pPr>
              <w:pStyle w:val="T-ABCD"/>
            </w:pPr>
            <w:r w:rsidRPr="00A21FE4">
              <w:t>NA</w:t>
            </w:r>
          </w:p>
        </w:tc>
        <w:tc>
          <w:tcPr>
            <w:tcW w:w="821" w:type="dxa"/>
          </w:tcPr>
          <w:p w14:paraId="03E46478" w14:textId="77777777" w:rsidR="000742CA" w:rsidRPr="00A21FE4" w:rsidRDefault="000742CA" w:rsidP="000742CA">
            <w:pPr>
              <w:pStyle w:val="T-ABCD"/>
            </w:pPr>
            <w:r w:rsidRPr="00A21FE4">
              <w:t>NA</w:t>
            </w:r>
          </w:p>
        </w:tc>
        <w:tc>
          <w:tcPr>
            <w:tcW w:w="821" w:type="dxa"/>
          </w:tcPr>
          <w:p w14:paraId="6BEF0E62" w14:textId="77777777" w:rsidR="000742CA" w:rsidRPr="00A21FE4" w:rsidRDefault="000742CA" w:rsidP="000742CA">
            <w:pPr>
              <w:pStyle w:val="T-ABCD"/>
            </w:pPr>
            <w:r w:rsidRPr="00A21FE4">
              <w:t>NA</w:t>
            </w:r>
          </w:p>
        </w:tc>
        <w:tc>
          <w:tcPr>
            <w:tcW w:w="821" w:type="dxa"/>
          </w:tcPr>
          <w:p w14:paraId="4D07A7AF" w14:textId="77777777" w:rsidR="000742CA" w:rsidRPr="00A21FE4" w:rsidRDefault="000742CA" w:rsidP="000742CA">
            <w:pPr>
              <w:pStyle w:val="T-ABCD"/>
            </w:pPr>
            <w:r w:rsidRPr="00A21FE4">
              <w:t xml:space="preserve">NA </w:t>
            </w:r>
          </w:p>
        </w:tc>
      </w:tr>
      <w:tr w:rsidR="000742CA" w:rsidRPr="00A21FE4" w14:paraId="2FBCCBD2" w14:textId="77777777" w:rsidTr="006E63D2">
        <w:trPr>
          <w:cantSplit/>
        </w:trPr>
        <w:tc>
          <w:tcPr>
            <w:tcW w:w="8705" w:type="dxa"/>
            <w:gridSpan w:val="7"/>
          </w:tcPr>
          <w:p w14:paraId="7E1A8970" w14:textId="77777777" w:rsidR="000742CA" w:rsidRPr="00A21FE4" w:rsidRDefault="000742CA" w:rsidP="000742CA">
            <w:pPr>
              <w:pStyle w:val="ES-notes"/>
            </w:pPr>
            <w:r w:rsidRPr="00A21FE4">
              <w:t>CKD, chronic kidney disease; ES, evidence statement; rHuEPO, recombinant human erythropoietin; IV, intravenous</w:t>
            </w:r>
          </w:p>
          <w:p w14:paraId="5B178100"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78E40390" w14:textId="77777777" w:rsidR="000742CA" w:rsidRDefault="000742CA" w:rsidP="000742CA">
      <w:pPr>
        <w:pStyle w:val="Head4Num"/>
        <w:ind w:left="1582"/>
      </w:pPr>
    </w:p>
    <w:p w14:paraId="5E69A811" w14:textId="77777777" w:rsidR="000742CA" w:rsidRDefault="000742CA" w:rsidP="000742CA">
      <w:pPr>
        <w:pStyle w:val="Heading4"/>
      </w:pPr>
      <w:r>
        <w:t>Summary of evidence</w:t>
      </w:r>
    </w:p>
    <w:p w14:paraId="16617EA7" w14:textId="77777777" w:rsidR="000742CA" w:rsidRDefault="000742CA" w:rsidP="000742CA">
      <w:pPr>
        <w:pStyle w:val="Heading5"/>
      </w:pPr>
      <w:r w:rsidRPr="004667A5">
        <w:t>Level I evidence</w:t>
      </w:r>
    </w:p>
    <w:p w14:paraId="3544846A" w14:textId="07372046" w:rsidR="000742CA" w:rsidRDefault="000742CA" w:rsidP="00043698">
      <w:r>
        <w:t>One systematic review was identified; however</w:t>
      </w:r>
      <w:r w:rsidR="00D04C3B">
        <w:t>, it</w:t>
      </w:r>
      <w:r>
        <w:t xml:space="preserve"> conta</w:t>
      </w:r>
      <w:r w:rsidR="00D04C3B">
        <w:t>ined no usable paediatric data.</w:t>
      </w:r>
      <w:hyperlink w:anchor="_ENREF_123" w:tooltip="Albaramki, 2012 #1055" w:history="1">
        <w:r w:rsidR="00E62798">
          <w:fldChar w:fldCharType="begin"/>
        </w:r>
        <w:r w:rsidR="00E62798">
          <w:instrText xml:space="preserve"> ADDIN EN.CITE &lt;EndNote&gt;&lt;Cite&gt;&lt;Author&gt;Albaramki&lt;/Author&gt;&lt;Year&gt;2012&lt;/Year&gt;&lt;RecNum&gt;1055&lt;/RecNum&gt;&lt;DisplayText&gt;&lt;style face="superscript"&gt;123&lt;/style&gt;&lt;/DisplayText&gt;&lt;record&gt;&lt;rec-number&gt;1055&lt;/rec-number&gt;&lt;foreign-keys&gt;&lt;key app="EN" db-id="9edve2wadsavt5ewavaxtda4f2tavzvts9ee" timestamp="1439203960"&gt;1055&lt;/key&gt;&lt;/foreign-keys&gt;&lt;ref-type name="Journal Article"&gt;17&lt;/ref-type&gt;&lt;contributors&gt;&lt;authors&gt;&lt;author&gt;Albaramki, J.&lt;/author&gt;&lt;author&gt;Hodson, E. M.&lt;/author&gt;&lt;author&gt;Craig, J. C.&lt;/author&gt;&lt;author&gt;Webster, A. C.&lt;/author&gt;&lt;/authors&gt;&lt;/contributors&gt;&lt;auth-address&gt;Centre for Kidney Research, The Children&amp;apos;sHospital atWestmead,Westmead, Australia.&lt;/auth-address&gt;&lt;titles&gt;&lt;title&gt;Parenteral versus oral iron therapy for adults and children with chronic kidney disease&lt;/title&gt;&lt;secondary-title&gt;Cochrane Database Syst Rev&lt;/secondary-title&gt;&lt;/titles&gt;&lt;periodical&gt;&lt;full-title&gt;Cochrane Database Syst Rev&lt;/full-title&gt;&lt;abbr-1&gt;The Cochrane database of systematic reviews&lt;/abbr-1&gt;&lt;/periodical&gt;&lt;pages&gt;CD007857&lt;/pages&gt;&lt;volume&gt;1&lt;/volume&gt;&lt;keywords&gt;&lt;keyword&gt;Administration, Oral&lt;/keyword&gt;&lt;keyword&gt;Adult&lt;/keyword&gt;&lt;keyword&gt;Anemia, Iron-Deficiency/blood/*therapy&lt;/keyword&gt;&lt;keyword&gt;Child&lt;/keyword&gt;&lt;keyword&gt;Ferritins/blood&lt;/keyword&gt;&lt;keyword&gt;Hemoglobin A/metabolism&lt;/keyword&gt;&lt;keyword&gt;Humans&lt;/keyword&gt;&lt;keyword&gt;Injections, Intravenous&lt;/keyword&gt;&lt;keyword&gt;Iron Compounds/*administration &amp;amp; dosage&lt;/keyword&gt;&lt;keyword&gt;Kidney Failure, Chronic/blood/*complications&lt;/keyword&gt;&lt;keyword&gt;Randomized Controlled Trials as Topic&lt;/keyword&gt;&lt;keyword&gt;Transferrin/metabolism&lt;/keyword&gt;&lt;/keywords&gt;&lt;dates&gt;&lt;year&gt;2012&lt;/year&gt;&lt;/dates&gt;&lt;isbn&gt;1469-493X (Electronic)&amp;#xD;1361-6137 (Linking)&lt;/isbn&gt;&lt;accession-num&gt;22258974&lt;/accession-num&gt;&lt;urls&gt;&lt;related-urls&gt;&lt;url&gt;http://www.ncbi.nlm.nih.gov/pubmed/22258974&lt;/url&gt;&lt;/related-urls&gt;&lt;/urls&gt;&lt;electronic-resource-num&gt;10.1002/14651858.CD007857.pub2&lt;/electronic-resource-num&gt;&lt;/record&gt;&lt;/Cite&gt;&lt;/EndNote&gt;</w:instrText>
        </w:r>
        <w:r w:rsidR="00E62798">
          <w:fldChar w:fldCharType="separate"/>
        </w:r>
        <w:r w:rsidR="00E62798" w:rsidRPr="00E62798">
          <w:rPr>
            <w:noProof/>
            <w:vertAlign w:val="superscript"/>
          </w:rPr>
          <w:t>123</w:t>
        </w:r>
        <w:r w:rsidR="00E62798">
          <w:fldChar w:fldCharType="end"/>
        </w:r>
      </w:hyperlink>
    </w:p>
    <w:p w14:paraId="2098B5BE" w14:textId="05C471A6" w:rsidR="000742CA" w:rsidRDefault="00D04C3B" w:rsidP="004F49D9">
      <w:r>
        <w:t xml:space="preserve">One Level II </w:t>
      </w:r>
      <w:r w:rsidR="00AB0986">
        <w:t xml:space="preserve">study </w:t>
      </w:r>
      <w:r w:rsidR="000742CA">
        <w:t>compared intravenous</w:t>
      </w:r>
      <w:r>
        <w:t xml:space="preserve"> (IV)</w:t>
      </w:r>
      <w:r w:rsidR="000742CA">
        <w:t xml:space="preserve"> iron </w:t>
      </w:r>
      <w:r>
        <w:t>and</w:t>
      </w:r>
      <w:r w:rsidR="000742CA">
        <w:t xml:space="preserve"> oral iron in infants and children </w:t>
      </w:r>
      <w:r>
        <w:t xml:space="preserve">aged under </w:t>
      </w:r>
      <w:r w:rsidR="000742CA">
        <w:t>20 years who were on haemodialysi</w:t>
      </w:r>
      <w:r>
        <w:t xml:space="preserve">s and receiving </w:t>
      </w:r>
      <w:r w:rsidR="00EB2899">
        <w:t>rHuEPO</w:t>
      </w:r>
      <w:r>
        <w:t>.</w:t>
      </w:r>
      <w:hyperlink w:anchor="_ENREF_124" w:tooltip="Warady, 2004 #128" w:history="1">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 </w:instrText>
        </w:r>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124</w:t>
        </w:r>
        <w:r w:rsidR="00E62798">
          <w:fldChar w:fldCharType="end"/>
        </w:r>
      </w:hyperlink>
    </w:p>
    <w:p w14:paraId="1D810EB2" w14:textId="77777777" w:rsidR="000742CA" w:rsidRDefault="000742CA" w:rsidP="000742CA">
      <w:pPr>
        <w:pStyle w:val="Heading5"/>
      </w:pPr>
      <w:r>
        <w:t>Transfusion incidence and volume</w:t>
      </w:r>
    </w:p>
    <w:p w14:paraId="7B1D7FE1" w14:textId="5F6E14B6" w:rsidR="000742CA" w:rsidRDefault="00A45971" w:rsidP="004F49D9">
      <w:r>
        <w:t xml:space="preserve">The </w:t>
      </w:r>
      <w:r w:rsidR="00AB0986">
        <w:t>RCT</w:t>
      </w:r>
      <w:r w:rsidR="000742CA">
        <w:rPr>
          <w:i/>
        </w:rPr>
        <w:t xml:space="preserve"> </w:t>
      </w:r>
      <w:r w:rsidR="000742CA">
        <w:t>reported transfusion incidence</w:t>
      </w:r>
      <w:r w:rsidR="00D04C3B">
        <w:t>;</w:t>
      </w:r>
      <w:r w:rsidR="000742CA">
        <w:t xml:space="preserve"> however</w:t>
      </w:r>
      <w:r w:rsidR="00D04C3B">
        <w:t>,</w:t>
      </w:r>
      <w:r w:rsidR="000742CA">
        <w:t xml:space="preserve"> </w:t>
      </w:r>
      <w:r>
        <w:t>it</w:t>
      </w:r>
      <w:r w:rsidR="000742CA">
        <w:t xml:space="preserve"> was underpowered and no transfusions</w:t>
      </w:r>
      <w:r>
        <w:t xml:space="preserve"> were reported in either group.</w:t>
      </w:r>
      <w:hyperlink w:anchor="_ENREF_124" w:tooltip="Warady, 2004 #128" w:history="1">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 </w:instrText>
        </w:r>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124</w:t>
        </w:r>
        <w:r w:rsidR="00E62798">
          <w:fldChar w:fldCharType="end"/>
        </w:r>
      </w:hyperlink>
    </w:p>
    <w:p w14:paraId="35BFC3F0" w14:textId="77777777" w:rsidR="000742CA" w:rsidRDefault="000742CA" w:rsidP="000742CA">
      <w:pPr>
        <w:pStyle w:val="Heading5"/>
      </w:pPr>
      <w:r>
        <w:t>Thromboembolic events</w:t>
      </w:r>
    </w:p>
    <w:p w14:paraId="18CCA8EE" w14:textId="54B985F7" w:rsidR="000742CA" w:rsidRDefault="00AB0986" w:rsidP="004F49D9">
      <w:r>
        <w:t>No studies</w:t>
      </w:r>
      <w:r w:rsidR="00D04C3B">
        <w:t xml:space="preserve"> </w:t>
      </w:r>
      <w:r w:rsidR="000742CA">
        <w:t xml:space="preserve">reported </w:t>
      </w:r>
      <w:r w:rsidR="00D04C3B">
        <w:t>thromboembolic events in the relevant population.</w:t>
      </w:r>
    </w:p>
    <w:p w14:paraId="7E7964A9" w14:textId="77777777" w:rsidR="000742CA" w:rsidRDefault="000742CA" w:rsidP="000742CA">
      <w:pPr>
        <w:pStyle w:val="Heading5"/>
      </w:pPr>
      <w:r>
        <w:t>Mortality</w:t>
      </w:r>
    </w:p>
    <w:p w14:paraId="1551587D" w14:textId="2721F59F" w:rsidR="00D04C3B" w:rsidRDefault="007C1B3E" w:rsidP="00D04C3B">
      <w:r>
        <w:t xml:space="preserve">No evidence was identified related to mortality. </w:t>
      </w:r>
    </w:p>
    <w:p w14:paraId="49064755" w14:textId="10EB585B" w:rsidR="00E77505" w:rsidRDefault="00E77505" w:rsidP="00E77505">
      <w:pPr>
        <w:pStyle w:val="Heading5"/>
      </w:pPr>
      <w:r>
        <w:t>Secondary outcomes</w:t>
      </w:r>
    </w:p>
    <w:p w14:paraId="2ECABE3F" w14:textId="4399F047" w:rsidR="000742CA" w:rsidRDefault="000742CA" w:rsidP="000742CA">
      <w:pPr>
        <w:pStyle w:val="H6"/>
      </w:pPr>
      <w:r>
        <w:t xml:space="preserve">Functional </w:t>
      </w:r>
      <w:r w:rsidR="009D1009">
        <w:t xml:space="preserve">or </w:t>
      </w:r>
      <w:r>
        <w:t>performance status</w:t>
      </w:r>
    </w:p>
    <w:p w14:paraId="263F25C7" w14:textId="68EA3AEF" w:rsidR="00D04C3B" w:rsidRDefault="007C1B3E" w:rsidP="00D04C3B">
      <w:r>
        <w:t xml:space="preserve">No evidence was identified related to functional or performance status. </w:t>
      </w:r>
    </w:p>
    <w:p w14:paraId="6D0C3440" w14:textId="77777777" w:rsidR="000742CA" w:rsidRDefault="000742CA" w:rsidP="000742CA">
      <w:pPr>
        <w:pStyle w:val="H6"/>
      </w:pPr>
      <w:r>
        <w:t>Laboratory measures</w:t>
      </w:r>
    </w:p>
    <w:p w14:paraId="083D72FD" w14:textId="676B98DC" w:rsidR="000742CA" w:rsidRDefault="00A45971" w:rsidP="004F49D9">
      <w:r>
        <w:t xml:space="preserve">The </w:t>
      </w:r>
      <w:r w:rsidR="00AB0986">
        <w:t>RCT</w:t>
      </w:r>
      <w:r w:rsidR="00D04C3B">
        <w:t xml:space="preserve"> found no significant difference</w:t>
      </w:r>
      <w:r w:rsidR="000742CA">
        <w:t xml:space="preserve"> in Hb in children administered </w:t>
      </w:r>
      <w:r w:rsidR="00D04C3B">
        <w:t>IV</w:t>
      </w:r>
      <w:r w:rsidR="000742CA">
        <w:t xml:space="preserve"> or oral iron; however,</w:t>
      </w:r>
      <w:r w:rsidR="00D04C3B">
        <w:t xml:space="preserve"> IV</w:t>
      </w:r>
      <w:r w:rsidR="000742CA">
        <w:t xml:space="preserve"> iron was associated with a greater increase in ferritin.</w:t>
      </w:r>
      <w:hyperlink w:anchor="_ENREF_124" w:tooltip="Warady, 2004 #128" w:history="1">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 </w:instrText>
        </w:r>
        <w:r w:rsidR="00E62798">
          <w:fldChar w:fldCharType="begin">
            <w:fldData xml:space="preserve">PEVuZE5vdGU+PENpdGU+PEF1dGhvcj5XYXJhZHk8L0F1dGhvcj48WWVhcj4yMDA0PC9ZZWFyPjxS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124</w:t>
        </w:r>
        <w:r w:rsidR="00E62798">
          <w:fldChar w:fldCharType="end"/>
        </w:r>
      </w:hyperlink>
      <w:r w:rsidR="000742CA">
        <w:t xml:space="preserve"> </w:t>
      </w:r>
    </w:p>
    <w:p w14:paraId="38711194" w14:textId="0B656ED9" w:rsidR="000742CA" w:rsidRPr="00C918A5" w:rsidRDefault="000742CA" w:rsidP="00565E25">
      <w:pPr>
        <w:pStyle w:val="BoxHeading"/>
      </w:pPr>
      <w:r w:rsidRPr="008960AE">
        <w:t xml:space="preserve">Clinical </w:t>
      </w:r>
      <w:r w:rsidR="004F49D9" w:rsidRPr="008960AE">
        <w:t>commentary</w:t>
      </w:r>
      <w:r w:rsidR="00C918A5">
        <w:t xml:space="preserve"> –</w:t>
      </w:r>
      <w:r w:rsidR="00A45971">
        <w:t xml:space="preserve"> oral </w:t>
      </w:r>
      <w:r w:rsidR="00C918A5" w:rsidRPr="00C918A5">
        <w:t xml:space="preserve">or parenteral iron </w:t>
      </w:r>
      <w:r w:rsidR="00C918A5">
        <w:t xml:space="preserve">in </w:t>
      </w:r>
      <w:r w:rsidR="00C918A5" w:rsidRPr="00C918A5">
        <w:t xml:space="preserve">neonatal </w:t>
      </w:r>
      <w:r w:rsidR="00A45971">
        <w:t xml:space="preserve">and </w:t>
      </w:r>
      <w:r w:rsidR="00A45971" w:rsidRPr="00C918A5">
        <w:t xml:space="preserve">paediatric </w:t>
      </w:r>
      <w:r w:rsidR="00C918A5" w:rsidRPr="00C918A5">
        <w:t xml:space="preserve">patients with kidney disease </w:t>
      </w:r>
    </w:p>
    <w:p w14:paraId="64BC210C" w14:textId="6FC005CD" w:rsidR="000742CA" w:rsidRDefault="00D04C3B" w:rsidP="00565E25">
      <w:pPr>
        <w:pStyle w:val="BoxText"/>
      </w:pPr>
      <w:r>
        <w:t>In</w:t>
      </w:r>
      <w:r w:rsidR="000742CA">
        <w:t xml:space="preserve"> adults with CKD</w:t>
      </w:r>
      <w:r>
        <w:t>,</w:t>
      </w:r>
      <w:r w:rsidR="000742CA">
        <w:t xml:space="preserve"> there </w:t>
      </w:r>
      <w:r w:rsidR="00A45971">
        <w:t>i</w:t>
      </w:r>
      <w:r w:rsidR="000742CA">
        <w:t xml:space="preserve">s strong evidence that </w:t>
      </w:r>
      <w:r>
        <w:t>IV</w:t>
      </w:r>
      <w:r w:rsidR="000742CA">
        <w:t xml:space="preserve"> iron increases ferritin and transferrin saturations compared with oral iron, with only a small increase in Hb.</w:t>
      </w:r>
      <w:hyperlink w:anchor="_ENREF_123" w:tooltip="Albaramki, 2012 #1055" w:history="1">
        <w:r w:rsidR="00E62798">
          <w:fldChar w:fldCharType="begin"/>
        </w:r>
        <w:r w:rsidR="00E62798">
          <w:instrText xml:space="preserve"> ADDIN EN.CITE &lt;EndNote&gt;&lt;Cite&gt;&lt;Author&gt;Albaramki&lt;/Author&gt;&lt;Year&gt;2012&lt;/Year&gt;&lt;RecNum&gt;1055&lt;/RecNum&gt;&lt;DisplayText&gt;&lt;style face="superscript"&gt;123&lt;/style&gt;&lt;/DisplayText&gt;&lt;record&gt;&lt;rec-number&gt;1055&lt;/rec-number&gt;&lt;foreign-keys&gt;&lt;key app="EN" db-id="9edve2wadsavt5ewavaxtda4f2tavzvts9ee" timestamp="1439203960"&gt;1055&lt;/key&gt;&lt;/foreign-keys&gt;&lt;ref-type name="Journal Article"&gt;17&lt;/ref-type&gt;&lt;contributors&gt;&lt;authors&gt;&lt;author&gt;Albaramki, J.&lt;/author&gt;&lt;author&gt;Hodson, E. M.&lt;/author&gt;&lt;author&gt;Craig, J. C.&lt;/author&gt;&lt;author&gt;Webster, A. C.&lt;/author&gt;&lt;/authors&gt;&lt;/contributors&gt;&lt;auth-address&gt;Centre for Kidney Research, The Children&amp;apos;sHospital atWestmead,Westmead, Australia.&lt;/auth-address&gt;&lt;titles&gt;&lt;title&gt;Parenteral versus oral iron therapy for adults and children with chronic kidney disease&lt;/title&gt;&lt;secondary-title&gt;Cochrane Database Syst Rev&lt;/secondary-title&gt;&lt;/titles&gt;&lt;periodical&gt;&lt;full-title&gt;Cochrane Database Syst Rev&lt;/full-title&gt;&lt;abbr-1&gt;The Cochrane database of systematic reviews&lt;/abbr-1&gt;&lt;/periodical&gt;&lt;pages&gt;CD007857&lt;/pages&gt;&lt;volume&gt;1&lt;/volume&gt;&lt;keywords&gt;&lt;keyword&gt;Administration, Oral&lt;/keyword&gt;&lt;keyword&gt;Adult&lt;/keyword&gt;&lt;keyword&gt;Anemia, Iron-Deficiency/blood/*therapy&lt;/keyword&gt;&lt;keyword&gt;Child&lt;/keyword&gt;&lt;keyword&gt;Ferritins/blood&lt;/keyword&gt;&lt;keyword&gt;Hemoglobin A/metabolism&lt;/keyword&gt;&lt;keyword&gt;Humans&lt;/keyword&gt;&lt;keyword&gt;Injections, Intravenous&lt;/keyword&gt;&lt;keyword&gt;Iron Compounds/*administration &amp;amp; dosage&lt;/keyword&gt;&lt;keyword&gt;Kidney Failure, Chronic/blood/*complications&lt;/keyword&gt;&lt;keyword&gt;Randomized Controlled Trials as Topic&lt;/keyword&gt;&lt;keyword&gt;Transferrin/metabolism&lt;/keyword&gt;&lt;/keywords&gt;&lt;dates&gt;&lt;year&gt;2012&lt;/year&gt;&lt;/dates&gt;&lt;isbn&gt;1469-493X (Electronic)&amp;#xD;1361-6137 (Linking)&lt;/isbn&gt;&lt;accession-num&gt;22258974&lt;/accession-num&gt;&lt;urls&gt;&lt;related-urls&gt;&lt;url&gt;http://www.ncbi.nlm.nih.gov/pubmed/22258974&lt;/url&gt;&lt;/related-urls&gt;&lt;/urls&gt;&lt;electronic-resource-num&gt;10.1002/14651858.CD007857.pub2&lt;/electronic-resource-num&gt;&lt;/record&gt;&lt;/Cite&gt;&lt;/EndNote&gt;</w:instrText>
        </w:r>
        <w:r w:rsidR="00E62798">
          <w:fldChar w:fldCharType="separate"/>
        </w:r>
        <w:r w:rsidR="00E62798" w:rsidRPr="00E62798">
          <w:rPr>
            <w:noProof/>
            <w:vertAlign w:val="superscript"/>
          </w:rPr>
          <w:t>123</w:t>
        </w:r>
        <w:r w:rsidR="00E62798">
          <w:fldChar w:fldCharType="end"/>
        </w:r>
      </w:hyperlink>
      <w:r w:rsidR="000742CA">
        <w:t xml:space="preserve"> I</w:t>
      </w:r>
      <w:r>
        <w:t>V</w:t>
      </w:r>
      <w:r w:rsidR="000742CA">
        <w:t xml:space="preserve"> iron was associated with significantly reduced ESA requirements and no significant difference in mortality. </w:t>
      </w:r>
    </w:p>
    <w:p w14:paraId="204CB1BD" w14:textId="6D905ED2" w:rsidR="000742CA" w:rsidRDefault="00D04C3B" w:rsidP="00565E25">
      <w:pPr>
        <w:pStyle w:val="BoxText"/>
      </w:pPr>
      <w:r>
        <w:rPr>
          <w:szCs w:val="18"/>
        </w:rPr>
        <w:t xml:space="preserve">Both the KDIGO and NICE </w:t>
      </w:r>
      <w:r w:rsidR="000742CA">
        <w:t xml:space="preserve">guidelines note </w:t>
      </w:r>
      <w:r>
        <w:t xml:space="preserve">that </w:t>
      </w:r>
      <w:r w:rsidR="000742CA">
        <w:t>there is little evidence relating to the management of CKD in children.</w:t>
      </w:r>
      <w:hyperlink w:anchor="_ENREF_11" w:tooltip="Kidney Disease: Improving Global Outcomes (KDIGO) Anemia Work Group, 2012 #231" w:history="1">
        <w:r w:rsidR="00E62798">
          <w:fldChar w:fldCharType="begin"/>
        </w:r>
        <w:r w:rsidR="00E62798">
          <w:instrText xml:space="preserve"> ADDIN EN.CITE &lt;EndNote&gt;&lt;Cite ExcludeAuth="1"&gt;&lt;Year&gt;2015&lt;/Year&gt;&lt;RecNum&gt;1053&lt;/RecNum&gt;&lt;DisplayText&gt;&lt;style face="superscript"&gt;11-12&lt;/style&gt;&lt;/DisplayText&gt;&lt;record&gt;&lt;rec-number&gt;1053&lt;/rec-number&gt;&lt;foreign-keys&gt;&lt;key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2015&lt;/access-date&gt;&lt;/record&gt;&lt;/Cite&gt;&lt;Cite&gt;&lt;Author&gt;Kidney Disease: Improving Global Outcomes (KDIGO) Anemia Work Group&lt;/Author&gt;&lt;Year&gt;2012&lt;/Year&gt;&lt;RecNum&gt;231&lt;/RecNum&gt;&lt;record&gt;&lt;rec-number&gt;231&lt;/rec-number&gt;&lt;foreign-keys&gt;&lt;key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fldChar w:fldCharType="separate"/>
        </w:r>
        <w:r w:rsidR="00E62798" w:rsidRPr="00E62798">
          <w:rPr>
            <w:noProof/>
            <w:vertAlign w:val="superscript"/>
          </w:rPr>
          <w:t>11-12</w:t>
        </w:r>
        <w:r w:rsidR="00E62798">
          <w:fldChar w:fldCharType="end"/>
        </w:r>
      </w:hyperlink>
      <w:r w:rsidR="000742CA">
        <w:t xml:space="preserve"> </w:t>
      </w:r>
    </w:p>
    <w:p w14:paraId="394B541C" w14:textId="09BA2633" w:rsidR="000742CA" w:rsidRDefault="00D04C3B" w:rsidP="00565E25">
      <w:pPr>
        <w:pStyle w:val="BoxText"/>
      </w:pPr>
      <w:r>
        <w:t xml:space="preserve">The </w:t>
      </w:r>
      <w:r w:rsidR="000742CA">
        <w:t>KDIGO guidelines recommend that all paediatric patients on ESA therapy receive iron suppl</w:t>
      </w:r>
      <w:r>
        <w:t xml:space="preserve">ementation to maintain a </w:t>
      </w:r>
      <w:r w:rsidR="00B05BDA">
        <w:t xml:space="preserve">transferrin saturation </w:t>
      </w:r>
      <w:r>
        <w:t>&gt;</w:t>
      </w:r>
      <w:r w:rsidR="000742CA">
        <w:t>20% and ferritin &gt;100</w:t>
      </w:r>
      <w:r w:rsidR="00B05BDA">
        <w:t> </w:t>
      </w:r>
      <w:r w:rsidR="000742CA">
        <w:t>mg.</w:t>
      </w:r>
      <w:hyperlink w:anchor="_ENREF_11" w:tooltip="Kidney Disease: Improving Global Outcomes (KDIGO) Anemia Work Group, 2012 #231" w:history="1">
        <w:r w:rsidR="00E62798">
          <w:fldChar w:fldCharType="begin"/>
        </w:r>
        <w:r w:rsidR="00E62798">
          <w:instrText xml:space="preserve"> ADDIN EN.CITE &lt;EndNote&gt;&lt;Cite&gt;&lt;Author&gt;Kidney Disease: Improving Global Outcomes (KDIGO) Anemia Work Group&lt;/Author&gt;&lt;Year&gt;2012&lt;/Year&gt;&lt;RecNum&gt;231&lt;/RecNum&gt;&lt;DisplayText&gt;&lt;style face="superscript"&gt;11&lt;/style&gt;&lt;/DisplayText&gt;&lt;record&gt;&lt;rec-number&gt;231&lt;/rec-number&gt;&lt;foreign-keys&gt;&lt;key app="EN" db-id="9edve2wadsavt5ewavaxtda4f2tavzvts9ee" timestamp="1426725877"&gt;231&lt;/key&gt;&lt;/foreign-keys&gt;&lt;ref-type name="Journal Article"&gt;17&lt;/ref-type&gt;&lt;contributors&gt;&lt;authors&gt;&lt;author&gt;Kidney Disease: Improving Global Outcomes (KDIGO) Anemia Work Group,&lt;/author&gt;&lt;/authors&gt;&lt;/contributors&gt;&lt;titles&gt;&lt;title&gt;KDIGO Clinical practice guideline for anemia in chronic kidney disease&lt;/title&gt;&lt;secondary-title&gt;Kidney International&lt;/secondary-title&gt;&lt;/titles&gt;&lt;periodical&gt;&lt;full-title&gt;Kidney Int&lt;/full-title&gt;&lt;abbr-1&gt;Kidney international&lt;/abbr-1&gt;&lt;/periodical&gt;&lt;pages&gt;279–335&lt;/pages&gt;&lt;volume&gt;2&lt;/volume&gt;&lt;number&gt;4&lt;/number&gt;&lt;dates&gt;&lt;year&gt;2012&lt;/year&gt;&lt;pub-dates&gt;&lt;date&gt;August&lt;/date&gt;&lt;/pub-dates&gt;&lt;/dates&gt;&lt;urls&gt;&lt;related-urls&gt;&lt;url&gt;http://kdigo.org/home/guidelines/anemia-in-ckd/&lt;/url&gt;&lt;/related-urls&gt;&lt;/urls&gt;&lt;access-date&gt;19 March 2015&lt;/access-date&gt;&lt;/record&gt;&lt;/Cite&gt;&lt;/EndNote&gt;</w:instrText>
        </w:r>
        <w:r w:rsidR="00E62798">
          <w:fldChar w:fldCharType="separate"/>
        </w:r>
        <w:r w:rsidR="00E62798" w:rsidRPr="00E62798">
          <w:rPr>
            <w:noProof/>
            <w:vertAlign w:val="superscript"/>
          </w:rPr>
          <w:t>11</w:t>
        </w:r>
        <w:r w:rsidR="00E62798">
          <w:fldChar w:fldCharType="end"/>
        </w:r>
      </w:hyperlink>
      <w:r w:rsidR="000742CA">
        <w:t xml:space="preserve"> </w:t>
      </w:r>
    </w:p>
    <w:p w14:paraId="0C412BBB" w14:textId="77777777" w:rsidR="00B855A4" w:rsidRDefault="00B855A4">
      <w:pPr>
        <w:spacing w:after="0"/>
        <w:ind w:left="0"/>
        <w:rPr>
          <w:rFonts w:cs="Times New Roman"/>
          <w:lang w:val="x-none" w:eastAsia="x-none"/>
        </w:rPr>
      </w:pPr>
      <w:r>
        <w:br w:type="page"/>
      </w:r>
    </w:p>
    <w:p w14:paraId="19E695B5" w14:textId="47C4F619" w:rsidR="000742CA" w:rsidRDefault="00B05BDA" w:rsidP="00565E25">
      <w:pPr>
        <w:pStyle w:val="BoxText"/>
      </w:pPr>
      <w:r>
        <w:t xml:space="preserve">The </w:t>
      </w:r>
      <w:r w:rsidR="000742CA">
        <w:t>NICE guidelines recommend correcting and maintaining iron status in people with anaemia due to CKD who are receiving ESA therapy.</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rsidR="000742CA">
        <w:t xml:space="preserve"> </w:t>
      </w:r>
      <w:r>
        <w:t>Such patients</w:t>
      </w:r>
      <w:r w:rsidR="000742CA">
        <w:t xml:space="preserve"> should be offered iron therapy to achieve &lt;6% hypochromic </w:t>
      </w:r>
      <w:r w:rsidR="00876931">
        <w:t>RBCs</w:t>
      </w:r>
      <w:r w:rsidR="000742CA">
        <w:t xml:space="preserve"> or a reticulocyte Hb content (or equivalent) above 29</w:t>
      </w:r>
      <w:r>
        <w:t> pg (unless serum ferritin is &gt;</w:t>
      </w:r>
      <w:r w:rsidR="000742CA">
        <w:t>800</w:t>
      </w:r>
      <w:r>
        <w:t> </w:t>
      </w:r>
      <w:r w:rsidR="000742CA">
        <w:t xml:space="preserve">mcg/L). </w:t>
      </w:r>
    </w:p>
    <w:p w14:paraId="3E0A0AEF" w14:textId="0B4D4E20" w:rsidR="000742CA" w:rsidRDefault="000742CA" w:rsidP="00565E25">
      <w:pPr>
        <w:pStyle w:val="BoxText"/>
        <w:rPr>
          <w:lang w:val="en-AU"/>
        </w:rPr>
      </w:pPr>
      <w:r>
        <w:t xml:space="preserve">The NICE guidelines also recommend that children who are iron deficient and receiving ESA therapy and haemodialysis should be offered </w:t>
      </w:r>
      <w:r w:rsidR="00B05BDA">
        <w:t>IV</w:t>
      </w:r>
      <w:r>
        <w:t xml:space="preserve"> iron.</w:t>
      </w:r>
      <w:hyperlink w:anchor="_ENREF_12" w:tooltip=", 2015 #1053" w:history="1">
        <w:r w:rsidR="00E62798">
          <w:fldChar w:fldCharType="begin"/>
        </w:r>
        <w:r w:rsidR="00E62798">
          <w:instrText xml:space="preserve"> ADDIN EN.CITE &lt;EndNote&gt;&lt;Cite ExcludeAuth="1"&gt;&lt;Year&gt;2015&lt;/Year&gt;&lt;RecNum&gt;1053&lt;/RecNum&gt;&lt;DisplayText&gt;&lt;style face="superscript"&gt;12&lt;/style&gt;&lt;/DisplayText&gt;&lt;record&gt;&lt;rec-number&gt;1053&lt;/rec-number&gt;&lt;foreign-keys&gt;&lt;key app="EN" db-id="9edve2wadsavt5ewavaxtda4f2tavzvts9ee" timestamp="1439203576"&gt;1053&lt;/key&gt;&lt;/foreign-keys&gt;&lt;ref-type name="Report"&gt;27&lt;/ref-type&gt;&lt;contributors&gt;&lt;/contributors&gt;&lt;titles&gt;&lt;title&gt;Anaemia management in people with chronic kidney disease&lt;/title&gt;&lt;/titles&gt;&lt;dates&gt;&lt;year&gt;2015&lt;/year&gt;&lt;/dates&gt;&lt;pub-location&gt;UK&lt;/pub-location&gt;&lt;publisher&gt;National Institute for Health and Care Excellence (NICE)&lt;/publisher&gt;&lt;urls&gt;&lt;related-urls&gt;&lt;url&gt;http://www.nice.org.uk/guidance/ng8/resources/anaemia-management-in-people-with-chronic-kidney-disease-51046844101&lt;/url&gt;&lt;/related-urls&gt;&lt;/urls&gt;&lt;access-date&gt;19 March 2015&lt;/access-date&gt;&lt;/record&gt;&lt;/Cite&gt;&lt;/EndNote&gt;</w:instrText>
        </w:r>
        <w:r w:rsidR="00E62798">
          <w:fldChar w:fldCharType="separate"/>
        </w:r>
        <w:r w:rsidR="00E62798" w:rsidRPr="00E62798">
          <w:rPr>
            <w:noProof/>
            <w:vertAlign w:val="superscript"/>
          </w:rPr>
          <w:t>12</w:t>
        </w:r>
        <w:r w:rsidR="00E62798">
          <w:fldChar w:fldCharType="end"/>
        </w:r>
      </w:hyperlink>
      <w:r>
        <w:t xml:space="preserve"> For children who are not receiving haemodialysis</w:t>
      </w:r>
      <w:r w:rsidR="00B05BDA">
        <w:t>,</w:t>
      </w:r>
      <w:r>
        <w:t xml:space="preserve"> oral iron should be considered. If the child is intolerant or the target Hb levels are not reached within 3 months</w:t>
      </w:r>
      <w:r w:rsidR="00B05BDA">
        <w:t>,</w:t>
      </w:r>
      <w:r>
        <w:t xml:space="preserve"> </w:t>
      </w:r>
      <w:r w:rsidR="00B05BDA">
        <w:t>IV</w:t>
      </w:r>
      <w:r>
        <w:t xml:space="preserve"> iron should be offered. The</w:t>
      </w:r>
      <w:r w:rsidR="00B05BDA">
        <w:t xml:space="preserve"> guidelines</w:t>
      </w:r>
      <w:r>
        <w:t xml:space="preserve"> suggest that </w:t>
      </w:r>
      <w:r w:rsidR="00B05BDA">
        <w:t>the approach us</w:t>
      </w:r>
      <w:r w:rsidR="00E77505">
        <w:t>ed</w:t>
      </w:r>
      <w:r w:rsidR="00B05BDA">
        <w:t xml:space="preserve"> in children with CKD receiving ESAs (i.e. IV</w:t>
      </w:r>
      <w:r>
        <w:t xml:space="preserve"> iron administered a</w:t>
      </w:r>
      <w:r w:rsidR="00B05BDA">
        <w:t xml:space="preserve">t a low dose and high frequency) </w:t>
      </w:r>
      <w:r>
        <w:t xml:space="preserve">may be more appropriate for all children. </w:t>
      </w:r>
    </w:p>
    <w:p w14:paraId="045BA527" w14:textId="3F694A44" w:rsidR="006F3C86" w:rsidRPr="006F3C86" w:rsidRDefault="006F3C86" w:rsidP="00565E25">
      <w:pPr>
        <w:pStyle w:val="BoxText"/>
        <w:rPr>
          <w:lang w:val="en-AU"/>
        </w:rPr>
      </w:pPr>
      <w:r>
        <w:t>There is no evidence and very limited experience to guide the commencement of iron supplementation and consideration of ESA therapy in neonates (&lt;28 days of age) with severe chronic kidney disease.</w:t>
      </w:r>
    </w:p>
    <w:p w14:paraId="20EDA1B0" w14:textId="3823BEB7" w:rsidR="000742CA" w:rsidRDefault="00C918A5" w:rsidP="00C918A5">
      <w:pPr>
        <w:pStyle w:val="Heading3"/>
      </w:pPr>
      <w:bookmarkStart w:id="125" w:name="_Ref418763320"/>
      <w:bookmarkStart w:id="126" w:name="_Toc427851331"/>
      <w:bookmarkStart w:id="127" w:name="_Ref412638735"/>
      <w:r>
        <w:rPr>
          <w:lang w:val="en-AU"/>
        </w:rPr>
        <w:t>3.3.9</w:t>
      </w:r>
      <w:r>
        <w:rPr>
          <w:lang w:val="en-AU"/>
        </w:rPr>
        <w:tab/>
      </w:r>
      <w:r>
        <w:t xml:space="preserve">Medical: neonatal </w:t>
      </w:r>
      <w:r>
        <w:rPr>
          <w:lang w:val="en-AU"/>
        </w:rPr>
        <w:t xml:space="preserve">and </w:t>
      </w:r>
      <w:r>
        <w:t>p</w:t>
      </w:r>
      <w:r w:rsidRPr="004667A5">
        <w:t xml:space="preserve">aediatric patients with </w:t>
      </w:r>
      <w:r w:rsidR="00C05EEF">
        <w:rPr>
          <w:lang w:val="en-AU"/>
        </w:rPr>
        <w:t>SCD</w:t>
      </w:r>
      <w:r>
        <w:rPr>
          <w:lang w:val="en-AU"/>
        </w:rPr>
        <w:t xml:space="preserve"> – effect of </w:t>
      </w:r>
      <w:bookmarkEnd w:id="125"/>
      <w:r>
        <w:rPr>
          <w:lang w:val="en-AU"/>
        </w:rPr>
        <w:t>hydroxyurea</w:t>
      </w:r>
      <w:bookmarkEnd w:id="126"/>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19E78310"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576090A3" w14:textId="2C243B15" w:rsidR="000742CA" w:rsidRPr="00A21FE4" w:rsidRDefault="000742CA" w:rsidP="000742CA">
            <w:pPr>
              <w:pStyle w:val="PP-heading"/>
            </w:pPr>
            <w:r w:rsidRPr="00A21FE4">
              <w:t xml:space="preserve">Evidence statements – </w:t>
            </w:r>
            <w:r w:rsidR="00C05EEF">
              <w:t>SCD</w:t>
            </w:r>
            <w:r w:rsidRPr="00A21FE4">
              <w:t xml:space="preserve"> (hydroxyurea)</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E99A3CB"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72D6FC5"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525CE48"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6676159"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70E47DC" w14:textId="77777777" w:rsidR="000742CA" w:rsidRPr="00A21FE4" w:rsidRDefault="000742CA" w:rsidP="000742CA">
            <w:pPr>
              <w:ind w:left="113" w:right="113"/>
              <w:jc w:val="center"/>
              <w:rPr>
                <w:b/>
              </w:rPr>
            </w:pPr>
            <w:r w:rsidRPr="00A21FE4">
              <w:rPr>
                <w:b/>
              </w:rPr>
              <w:t>Applicability</w:t>
            </w:r>
          </w:p>
        </w:tc>
      </w:tr>
      <w:tr w:rsidR="000742CA" w:rsidRPr="00A21FE4" w14:paraId="1D51BE26" w14:textId="77777777" w:rsidTr="000742CA">
        <w:trPr>
          <w:cantSplit/>
        </w:trPr>
        <w:tc>
          <w:tcPr>
            <w:tcW w:w="851" w:type="dxa"/>
          </w:tcPr>
          <w:p w14:paraId="619BC2DE" w14:textId="77777777" w:rsidR="000742CA" w:rsidRPr="00A21FE4" w:rsidRDefault="000742CA" w:rsidP="000742CA">
            <w:pPr>
              <w:pStyle w:val="Tabletext0"/>
            </w:pPr>
            <w:r w:rsidRPr="00446A27">
              <w:t>ES2.47</w:t>
            </w:r>
          </w:p>
        </w:tc>
        <w:tc>
          <w:tcPr>
            <w:tcW w:w="3750" w:type="dxa"/>
          </w:tcPr>
          <w:p w14:paraId="2F8FB87C" w14:textId="04FB6E52" w:rsidR="000742CA" w:rsidRPr="00A21FE4" w:rsidRDefault="000742CA" w:rsidP="000742CA">
            <w:pPr>
              <w:pStyle w:val="ES-table"/>
            </w:pPr>
            <w:r w:rsidRPr="00A21FE4">
              <w:t xml:space="preserve">In neonatal patients with </w:t>
            </w:r>
            <w:r w:rsidR="00C05EEF">
              <w:t>SCD</w:t>
            </w:r>
            <w:r w:rsidRPr="00A21FE4">
              <w:t>, the effect of hydroxyurea on transfusion incidence or volume is unknown.</w:t>
            </w:r>
          </w:p>
        </w:tc>
        <w:tc>
          <w:tcPr>
            <w:tcW w:w="820" w:type="dxa"/>
          </w:tcPr>
          <w:p w14:paraId="37A52DDC" w14:textId="77777777" w:rsidR="000742CA" w:rsidRPr="00A21FE4" w:rsidRDefault="000742CA" w:rsidP="000742CA">
            <w:pPr>
              <w:pStyle w:val="T-ABCD"/>
            </w:pPr>
            <w:r w:rsidRPr="00A21FE4">
              <w:t>NA</w:t>
            </w:r>
          </w:p>
        </w:tc>
        <w:tc>
          <w:tcPr>
            <w:tcW w:w="821" w:type="dxa"/>
          </w:tcPr>
          <w:p w14:paraId="56DD2F55" w14:textId="77777777" w:rsidR="000742CA" w:rsidRPr="00A21FE4" w:rsidRDefault="000742CA" w:rsidP="000742CA">
            <w:pPr>
              <w:pStyle w:val="T-ABCD"/>
            </w:pPr>
            <w:r w:rsidRPr="00A21FE4">
              <w:t>NA</w:t>
            </w:r>
          </w:p>
        </w:tc>
        <w:tc>
          <w:tcPr>
            <w:tcW w:w="821" w:type="dxa"/>
          </w:tcPr>
          <w:p w14:paraId="7E6DA49F" w14:textId="77777777" w:rsidR="000742CA" w:rsidRPr="00A21FE4" w:rsidRDefault="000742CA" w:rsidP="000742CA">
            <w:pPr>
              <w:pStyle w:val="T-ABCD"/>
            </w:pPr>
            <w:r w:rsidRPr="00A21FE4">
              <w:t>NA</w:t>
            </w:r>
          </w:p>
        </w:tc>
        <w:tc>
          <w:tcPr>
            <w:tcW w:w="821" w:type="dxa"/>
          </w:tcPr>
          <w:p w14:paraId="4F51524F" w14:textId="77777777" w:rsidR="000742CA" w:rsidRPr="00A21FE4" w:rsidRDefault="000742CA" w:rsidP="000742CA">
            <w:pPr>
              <w:pStyle w:val="T-ABCD"/>
            </w:pPr>
            <w:r w:rsidRPr="00A21FE4">
              <w:t>NA</w:t>
            </w:r>
          </w:p>
        </w:tc>
        <w:tc>
          <w:tcPr>
            <w:tcW w:w="821" w:type="dxa"/>
          </w:tcPr>
          <w:p w14:paraId="7DCF85ED" w14:textId="77777777" w:rsidR="000742CA" w:rsidRPr="00A21FE4" w:rsidRDefault="000742CA" w:rsidP="000742CA">
            <w:pPr>
              <w:pStyle w:val="T-ABCD"/>
            </w:pPr>
            <w:r w:rsidRPr="00A21FE4">
              <w:t xml:space="preserve">NA </w:t>
            </w:r>
          </w:p>
        </w:tc>
      </w:tr>
      <w:tr w:rsidR="000742CA" w:rsidRPr="00A21FE4" w14:paraId="47342FF8" w14:textId="77777777" w:rsidTr="000742CA">
        <w:trPr>
          <w:cantSplit/>
        </w:trPr>
        <w:tc>
          <w:tcPr>
            <w:tcW w:w="851" w:type="dxa"/>
          </w:tcPr>
          <w:p w14:paraId="63F884C1" w14:textId="77777777" w:rsidR="000742CA" w:rsidRPr="00A21FE4" w:rsidRDefault="000742CA" w:rsidP="000742CA">
            <w:pPr>
              <w:pStyle w:val="Tabletext0"/>
            </w:pPr>
            <w:r w:rsidRPr="00446A27">
              <w:t>ES2.48</w:t>
            </w:r>
          </w:p>
        </w:tc>
        <w:tc>
          <w:tcPr>
            <w:tcW w:w="3750" w:type="dxa"/>
          </w:tcPr>
          <w:p w14:paraId="5009CEDB" w14:textId="3CC40386" w:rsidR="000742CA" w:rsidRPr="00A21FE4" w:rsidRDefault="000742CA" w:rsidP="000742CA">
            <w:pPr>
              <w:pStyle w:val="ES-table"/>
            </w:pPr>
            <w:r w:rsidRPr="00A21FE4">
              <w:t xml:space="preserve">In paediatric patients with </w:t>
            </w:r>
            <w:r w:rsidR="00C05EEF">
              <w:t>SCD</w:t>
            </w:r>
            <w:r w:rsidRPr="00A21FE4">
              <w:t>, hydroxyurea decreases the incidence of transfusions.</w:t>
            </w:r>
          </w:p>
          <w:p w14:paraId="2351933C" w14:textId="77777777" w:rsidR="000742CA" w:rsidRPr="00A21FE4" w:rsidRDefault="000742CA" w:rsidP="000742CA">
            <w:pPr>
              <w:pStyle w:val="ES-notes"/>
            </w:pPr>
            <w:r w:rsidRPr="00A21FE4">
              <w:t>(See evidence matrix D2.U in Volume 2 of the technical report.)</w:t>
            </w:r>
          </w:p>
        </w:tc>
        <w:tc>
          <w:tcPr>
            <w:tcW w:w="820" w:type="dxa"/>
          </w:tcPr>
          <w:p w14:paraId="0B8A18F3" w14:textId="77777777" w:rsidR="000742CA" w:rsidRPr="00A21FE4" w:rsidRDefault="000742CA" w:rsidP="000742CA">
            <w:pPr>
              <w:pStyle w:val="T-ABCD"/>
            </w:pPr>
            <w:r w:rsidRPr="00A21FE4">
              <w:sym w:font="Symbol" w:char="F0D6"/>
            </w:r>
            <w:r w:rsidRPr="00A21FE4">
              <w:sym w:font="Symbol" w:char="F0D6"/>
            </w:r>
          </w:p>
        </w:tc>
        <w:tc>
          <w:tcPr>
            <w:tcW w:w="821" w:type="dxa"/>
          </w:tcPr>
          <w:p w14:paraId="4BEBE5F0"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33E102DA" w14:textId="77777777" w:rsidR="000742CA" w:rsidRPr="00A21FE4" w:rsidRDefault="000742CA" w:rsidP="000742CA">
            <w:pPr>
              <w:pStyle w:val="T-ABCD"/>
            </w:pPr>
            <w:r w:rsidRPr="00A21FE4">
              <w:sym w:font="Symbol" w:char="F0D6"/>
            </w:r>
            <w:r w:rsidRPr="00A21FE4">
              <w:sym w:font="Symbol" w:char="F0D6"/>
            </w:r>
          </w:p>
        </w:tc>
        <w:tc>
          <w:tcPr>
            <w:tcW w:w="821" w:type="dxa"/>
          </w:tcPr>
          <w:p w14:paraId="5A3736CA"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133DDC2C" w14:textId="77777777" w:rsidR="000742CA" w:rsidRPr="00A21FE4" w:rsidRDefault="000742CA" w:rsidP="000742CA">
            <w:pPr>
              <w:pStyle w:val="T-ABCD"/>
            </w:pPr>
            <w:r w:rsidRPr="00A21FE4">
              <w:sym w:font="Symbol" w:char="F0D6"/>
            </w:r>
            <w:r w:rsidRPr="00A21FE4">
              <w:sym w:font="Symbol" w:char="F0D6"/>
            </w:r>
          </w:p>
        </w:tc>
      </w:tr>
      <w:tr w:rsidR="000742CA" w:rsidRPr="00A21FE4" w14:paraId="55B5D90F" w14:textId="77777777" w:rsidTr="000742CA">
        <w:trPr>
          <w:cantSplit/>
        </w:trPr>
        <w:tc>
          <w:tcPr>
            <w:tcW w:w="851" w:type="dxa"/>
          </w:tcPr>
          <w:p w14:paraId="38210879" w14:textId="77777777" w:rsidR="000742CA" w:rsidRPr="00A21FE4" w:rsidRDefault="000742CA" w:rsidP="000742CA">
            <w:pPr>
              <w:pStyle w:val="Tabletext0"/>
            </w:pPr>
            <w:r w:rsidRPr="00446A27">
              <w:t>ES2.49</w:t>
            </w:r>
          </w:p>
        </w:tc>
        <w:tc>
          <w:tcPr>
            <w:tcW w:w="3750" w:type="dxa"/>
          </w:tcPr>
          <w:p w14:paraId="664ED974" w14:textId="46C80D50" w:rsidR="000742CA" w:rsidRPr="00A21FE4" w:rsidRDefault="000742CA" w:rsidP="000742CA">
            <w:pPr>
              <w:pStyle w:val="ES-table"/>
            </w:pPr>
            <w:r w:rsidRPr="00A21FE4">
              <w:t xml:space="preserve">In neonatal patients with </w:t>
            </w:r>
            <w:r w:rsidR="00C05EEF">
              <w:t>SCD</w:t>
            </w:r>
            <w:r w:rsidRPr="00A21FE4">
              <w:t>, the effect of hydroxyurea on stroke is unknown.</w:t>
            </w:r>
          </w:p>
        </w:tc>
        <w:tc>
          <w:tcPr>
            <w:tcW w:w="820" w:type="dxa"/>
          </w:tcPr>
          <w:p w14:paraId="79F92CA0" w14:textId="77777777" w:rsidR="000742CA" w:rsidRPr="00A21FE4" w:rsidRDefault="000742CA" w:rsidP="000742CA">
            <w:pPr>
              <w:pStyle w:val="T-ABCD"/>
            </w:pPr>
            <w:r w:rsidRPr="00A21FE4">
              <w:t>NA</w:t>
            </w:r>
          </w:p>
        </w:tc>
        <w:tc>
          <w:tcPr>
            <w:tcW w:w="821" w:type="dxa"/>
          </w:tcPr>
          <w:p w14:paraId="6731EF22" w14:textId="77777777" w:rsidR="000742CA" w:rsidRPr="00A21FE4" w:rsidRDefault="000742CA" w:rsidP="000742CA">
            <w:pPr>
              <w:pStyle w:val="T-ABCD"/>
            </w:pPr>
            <w:r w:rsidRPr="00A21FE4">
              <w:t>NA</w:t>
            </w:r>
          </w:p>
        </w:tc>
        <w:tc>
          <w:tcPr>
            <w:tcW w:w="821" w:type="dxa"/>
          </w:tcPr>
          <w:p w14:paraId="01AFD2AF" w14:textId="77777777" w:rsidR="000742CA" w:rsidRPr="00A21FE4" w:rsidRDefault="000742CA" w:rsidP="000742CA">
            <w:pPr>
              <w:pStyle w:val="T-ABCD"/>
            </w:pPr>
            <w:r w:rsidRPr="00A21FE4">
              <w:t>NA</w:t>
            </w:r>
          </w:p>
        </w:tc>
        <w:tc>
          <w:tcPr>
            <w:tcW w:w="821" w:type="dxa"/>
          </w:tcPr>
          <w:p w14:paraId="51322331" w14:textId="77777777" w:rsidR="000742CA" w:rsidRPr="00A21FE4" w:rsidRDefault="000742CA" w:rsidP="000742CA">
            <w:pPr>
              <w:pStyle w:val="T-ABCD"/>
            </w:pPr>
            <w:r w:rsidRPr="00A21FE4">
              <w:t>NA</w:t>
            </w:r>
          </w:p>
        </w:tc>
        <w:tc>
          <w:tcPr>
            <w:tcW w:w="821" w:type="dxa"/>
          </w:tcPr>
          <w:p w14:paraId="0B7D01AC" w14:textId="77777777" w:rsidR="000742CA" w:rsidRPr="00A21FE4" w:rsidRDefault="000742CA" w:rsidP="000742CA">
            <w:pPr>
              <w:pStyle w:val="T-ABCD"/>
            </w:pPr>
            <w:r w:rsidRPr="00A21FE4">
              <w:t xml:space="preserve">NA </w:t>
            </w:r>
          </w:p>
        </w:tc>
      </w:tr>
      <w:tr w:rsidR="000742CA" w:rsidRPr="00A21FE4" w14:paraId="26A6B81B" w14:textId="77777777" w:rsidTr="000742CA">
        <w:trPr>
          <w:cantSplit/>
        </w:trPr>
        <w:tc>
          <w:tcPr>
            <w:tcW w:w="851" w:type="dxa"/>
          </w:tcPr>
          <w:p w14:paraId="3C54E96B" w14:textId="77777777" w:rsidR="000742CA" w:rsidRPr="00A21FE4" w:rsidRDefault="000742CA" w:rsidP="000742CA">
            <w:pPr>
              <w:pStyle w:val="Tabletext0"/>
            </w:pPr>
            <w:r w:rsidRPr="00446A27">
              <w:t>ES2.50</w:t>
            </w:r>
          </w:p>
        </w:tc>
        <w:tc>
          <w:tcPr>
            <w:tcW w:w="3750" w:type="dxa"/>
          </w:tcPr>
          <w:p w14:paraId="208B86F7" w14:textId="03B3838B" w:rsidR="000742CA" w:rsidRPr="00A21FE4" w:rsidRDefault="000742CA" w:rsidP="000742CA">
            <w:pPr>
              <w:pStyle w:val="ES-table"/>
            </w:pPr>
            <w:r w:rsidRPr="00A21FE4">
              <w:t xml:space="preserve">In paediatric patients with </w:t>
            </w:r>
            <w:r w:rsidR="00C05EEF">
              <w:t>SCD</w:t>
            </w:r>
            <w:r w:rsidRPr="00A21FE4">
              <w:t>, the effect of hydroxyurea on stroke is uncertain.</w:t>
            </w:r>
          </w:p>
          <w:p w14:paraId="23C56416" w14:textId="77777777" w:rsidR="000742CA" w:rsidRPr="00A21FE4" w:rsidRDefault="000742CA" w:rsidP="000742CA">
            <w:pPr>
              <w:pStyle w:val="ES-notes"/>
            </w:pPr>
            <w:r w:rsidRPr="00A21FE4">
              <w:t>(See evidence matrix D2.V in Volume 2 of the technical report.)</w:t>
            </w:r>
          </w:p>
        </w:tc>
        <w:tc>
          <w:tcPr>
            <w:tcW w:w="820" w:type="dxa"/>
          </w:tcPr>
          <w:p w14:paraId="669D55DD" w14:textId="77777777" w:rsidR="000742CA" w:rsidRPr="00A21FE4" w:rsidRDefault="000742CA" w:rsidP="000742CA">
            <w:pPr>
              <w:pStyle w:val="T-ABCD"/>
            </w:pPr>
            <w:r w:rsidRPr="00A21FE4">
              <w:sym w:font="Symbol" w:char="F0D6"/>
            </w:r>
            <w:r w:rsidRPr="00A21FE4">
              <w:sym w:font="Symbol" w:char="F0D6"/>
            </w:r>
          </w:p>
        </w:tc>
        <w:tc>
          <w:tcPr>
            <w:tcW w:w="821" w:type="dxa"/>
          </w:tcPr>
          <w:p w14:paraId="3CF3F021" w14:textId="77777777" w:rsidR="000742CA" w:rsidRPr="00A21FE4" w:rsidRDefault="000742CA" w:rsidP="000742CA">
            <w:pPr>
              <w:pStyle w:val="T-ABCD"/>
            </w:pPr>
            <w:r w:rsidRPr="00A21FE4">
              <w:t>NA</w:t>
            </w:r>
          </w:p>
        </w:tc>
        <w:tc>
          <w:tcPr>
            <w:tcW w:w="821" w:type="dxa"/>
          </w:tcPr>
          <w:p w14:paraId="754FEA97" w14:textId="77777777" w:rsidR="000742CA" w:rsidRPr="00A21FE4" w:rsidRDefault="000742CA" w:rsidP="000742CA">
            <w:pPr>
              <w:pStyle w:val="T-ABCD"/>
            </w:pPr>
            <w:r w:rsidRPr="00A21FE4">
              <w:t>NA</w:t>
            </w:r>
          </w:p>
        </w:tc>
        <w:tc>
          <w:tcPr>
            <w:tcW w:w="821" w:type="dxa"/>
          </w:tcPr>
          <w:p w14:paraId="15E7A36F"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7275A779" w14:textId="77777777" w:rsidR="000742CA" w:rsidRPr="00A21FE4" w:rsidRDefault="000742CA" w:rsidP="000742CA">
            <w:pPr>
              <w:pStyle w:val="T-ABCD"/>
            </w:pPr>
            <w:r w:rsidRPr="00A21FE4">
              <w:sym w:font="Symbol" w:char="F0D6"/>
            </w:r>
            <w:r w:rsidRPr="00A21FE4">
              <w:sym w:font="Symbol" w:char="F0D6"/>
            </w:r>
          </w:p>
        </w:tc>
      </w:tr>
      <w:tr w:rsidR="000742CA" w:rsidRPr="00A21FE4" w14:paraId="2A4B1035" w14:textId="77777777" w:rsidTr="000742CA">
        <w:trPr>
          <w:cantSplit/>
        </w:trPr>
        <w:tc>
          <w:tcPr>
            <w:tcW w:w="8705" w:type="dxa"/>
            <w:gridSpan w:val="7"/>
          </w:tcPr>
          <w:p w14:paraId="64F1B40E" w14:textId="24DD86F8" w:rsidR="000742CA" w:rsidRPr="00A21FE4" w:rsidRDefault="000742CA" w:rsidP="000742CA">
            <w:pPr>
              <w:pStyle w:val="ES-notes"/>
            </w:pPr>
            <w:r w:rsidRPr="00A21FE4">
              <w:t>ES, evidence statement</w:t>
            </w:r>
            <w:r w:rsidR="009D1009">
              <w:t>; SCD, sickle cell disease</w:t>
            </w:r>
          </w:p>
          <w:p w14:paraId="27956B88"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1CB985E4" w14:textId="77777777" w:rsidR="000742CA" w:rsidRPr="00A21FE4" w:rsidRDefault="000742CA" w:rsidP="00F55097"/>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066"/>
        <w:gridCol w:w="7611"/>
      </w:tblGrid>
      <w:tr w:rsidR="000742CA" w:rsidRPr="00A21FE4" w14:paraId="3220FBA9"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00B0F0"/>
          </w:tcPr>
          <w:p w14:paraId="14523DFE" w14:textId="18CA17EE" w:rsidR="000742CA" w:rsidRPr="00045D23" w:rsidRDefault="000742CA" w:rsidP="006D11A2">
            <w:pPr>
              <w:pStyle w:val="PP-heading"/>
              <w:rPr>
                <w:lang w:val="en-AU"/>
              </w:rPr>
            </w:pPr>
            <w:r w:rsidRPr="00A21FE4">
              <w:t>Recommendation –</w:t>
            </w:r>
            <w:r w:rsidR="006D11A2">
              <w:rPr>
                <w:lang w:val="en-AU"/>
              </w:rPr>
              <w:t xml:space="preserve"> </w:t>
            </w:r>
            <w:r w:rsidR="00C05EEF">
              <w:t>SCD</w:t>
            </w:r>
            <w:r w:rsidR="00045D23">
              <w:rPr>
                <w:lang w:val="en-AU"/>
              </w:rPr>
              <w:t xml:space="preserve"> (hydroxyurea)</w:t>
            </w:r>
          </w:p>
        </w:tc>
      </w:tr>
      <w:tr w:rsidR="000742CA" w:rsidRPr="00A21FE4" w14:paraId="65B22522" w14:textId="77777777" w:rsidTr="00506EA3">
        <w:tc>
          <w:tcPr>
            <w:tcW w:w="1066" w:type="dxa"/>
            <w:tcBorders>
              <w:right w:val="single" w:sz="4" w:space="0" w:color="auto"/>
            </w:tcBorders>
            <w:shd w:val="clear" w:color="auto" w:fill="auto"/>
          </w:tcPr>
          <w:p w14:paraId="1C747FDE" w14:textId="5FD718A0" w:rsidR="000742CA" w:rsidRPr="00A21FE4" w:rsidRDefault="000742CA" w:rsidP="00AB2846">
            <w:pPr>
              <w:pStyle w:val="PP"/>
              <w:keepNext/>
            </w:pPr>
            <w:r w:rsidRPr="00A21FE4">
              <w:t>R4</w:t>
            </w:r>
            <w:r w:rsidR="00C918A5">
              <w:br/>
            </w:r>
            <w:r w:rsidRPr="00A21FE4">
              <w:t>(Grade B)</w:t>
            </w:r>
          </w:p>
        </w:tc>
        <w:tc>
          <w:tcPr>
            <w:tcW w:w="7611" w:type="dxa"/>
            <w:tcBorders>
              <w:left w:val="single" w:sz="4" w:space="0" w:color="auto"/>
            </w:tcBorders>
            <w:shd w:val="clear" w:color="auto" w:fill="auto"/>
          </w:tcPr>
          <w:p w14:paraId="3C5A33B4" w14:textId="5DAB3FE8" w:rsidR="000742CA" w:rsidRPr="00A21FE4" w:rsidRDefault="000742CA" w:rsidP="00AB2846">
            <w:pPr>
              <w:pStyle w:val="PP"/>
              <w:keepNext/>
            </w:pPr>
            <w:r w:rsidRPr="00A21FE4">
              <w:t xml:space="preserve">In paediatric patients with </w:t>
            </w:r>
            <w:r w:rsidR="00E77505">
              <w:rPr>
                <w:lang w:val="en-AU"/>
              </w:rPr>
              <w:t>SCD</w:t>
            </w:r>
            <w:r w:rsidRPr="00A21FE4">
              <w:t>, hydroxyurea should not be given for the primary purpose of reducing transfusion incidence.</w:t>
            </w:r>
            <w:r w:rsidRPr="00A21FE4">
              <w:rPr>
                <w:vertAlign w:val="superscript"/>
              </w:rPr>
              <w:t>a, b</w:t>
            </w:r>
            <w:r w:rsidRPr="00A21FE4">
              <w:t xml:space="preserve"> </w:t>
            </w:r>
          </w:p>
          <w:p w14:paraId="6B7E41E0" w14:textId="77777777" w:rsidR="000742CA" w:rsidRPr="00A21FE4" w:rsidRDefault="000742CA" w:rsidP="00AB2846">
            <w:pPr>
              <w:pStyle w:val="PP-note"/>
              <w:keepNext/>
            </w:pPr>
            <w:r w:rsidRPr="00A21FE4">
              <w:rPr>
                <w:vertAlign w:val="superscript"/>
              </w:rPr>
              <w:t>a</w:t>
            </w:r>
            <w:r w:rsidRPr="00A21FE4">
              <w:t xml:space="preserve"> Although hydroxyurea reduces transfusion incidence, it may not be the optimal treatment for prevention of stroke. </w:t>
            </w:r>
            <w:r w:rsidRPr="00A21FE4">
              <w:br/>
            </w:r>
            <w:r w:rsidRPr="00A21FE4">
              <w:rPr>
                <w:vertAlign w:val="superscript"/>
              </w:rPr>
              <w:t>b</w:t>
            </w:r>
            <w:r w:rsidRPr="00A21FE4">
              <w:t xml:space="preserve"> See R1 and PP 21</w:t>
            </w:r>
          </w:p>
        </w:tc>
      </w:tr>
      <w:tr w:rsidR="000742CA" w:rsidRPr="00A21FE4" w14:paraId="37258425"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7E69AD2D" w14:textId="1C04D44A" w:rsidR="000742CA" w:rsidRPr="00A21FE4" w:rsidRDefault="000742CA" w:rsidP="006D11A2">
            <w:pPr>
              <w:pStyle w:val="PP-heading"/>
            </w:pPr>
            <w:r w:rsidRPr="00A21FE4">
              <w:t>Practice point –</w:t>
            </w:r>
            <w:r w:rsidR="006D11A2">
              <w:rPr>
                <w:lang w:val="en-AU"/>
              </w:rPr>
              <w:t xml:space="preserve"> </w:t>
            </w:r>
            <w:r w:rsidR="00C05EEF">
              <w:t>SCD</w:t>
            </w:r>
            <w:r w:rsidR="00045D23">
              <w:rPr>
                <w:lang w:val="en-AU"/>
              </w:rPr>
              <w:t xml:space="preserve"> (hydroxyurea)</w:t>
            </w:r>
          </w:p>
        </w:tc>
      </w:tr>
      <w:tr w:rsidR="000742CA" w:rsidRPr="00A21FE4" w14:paraId="775134D6" w14:textId="77777777" w:rsidTr="00506EA3">
        <w:tc>
          <w:tcPr>
            <w:tcW w:w="1066" w:type="dxa"/>
            <w:tcBorders>
              <w:right w:val="single" w:sz="4" w:space="0" w:color="auto"/>
            </w:tcBorders>
            <w:shd w:val="clear" w:color="auto" w:fill="auto"/>
          </w:tcPr>
          <w:p w14:paraId="354B4F64" w14:textId="77777777" w:rsidR="000742CA" w:rsidRPr="00A21FE4" w:rsidRDefault="000742CA" w:rsidP="004F49D9">
            <w:pPr>
              <w:pStyle w:val="PP"/>
            </w:pPr>
            <w:r w:rsidRPr="00A21FE4">
              <w:t>PP2</w:t>
            </w:r>
            <w:r>
              <w:t>2</w:t>
            </w:r>
          </w:p>
        </w:tc>
        <w:tc>
          <w:tcPr>
            <w:tcW w:w="7611" w:type="dxa"/>
            <w:tcBorders>
              <w:left w:val="single" w:sz="4" w:space="0" w:color="auto"/>
            </w:tcBorders>
            <w:shd w:val="clear" w:color="auto" w:fill="auto"/>
          </w:tcPr>
          <w:p w14:paraId="253181E7" w14:textId="49208323" w:rsidR="000742CA" w:rsidRPr="00A21FE4" w:rsidRDefault="000742CA" w:rsidP="00C4691C">
            <w:pPr>
              <w:pStyle w:val="PP"/>
            </w:pPr>
            <w:r w:rsidRPr="00A21FE4">
              <w:t xml:space="preserve">In paediatric patients over 9 months of age with </w:t>
            </w:r>
            <w:r w:rsidR="00C4691C">
              <w:rPr>
                <w:lang w:val="en-AU"/>
              </w:rPr>
              <w:t>SCD</w:t>
            </w:r>
            <w:r w:rsidRPr="00A21FE4">
              <w:t>, hydroxyurea may be used to reduce vaso-occlusive pain crises and acute chest syndromes.</w:t>
            </w:r>
          </w:p>
        </w:tc>
      </w:tr>
      <w:tr w:rsidR="000742CA" w:rsidRPr="00A21FE4" w14:paraId="15D51DC6" w14:textId="77777777" w:rsidTr="00506EA3">
        <w:trPr>
          <w:trHeight w:val="357"/>
        </w:trPr>
        <w:tc>
          <w:tcPr>
            <w:tcW w:w="8677" w:type="dxa"/>
            <w:gridSpan w:val="2"/>
            <w:shd w:val="clear" w:color="auto" w:fill="auto"/>
          </w:tcPr>
          <w:p w14:paraId="43FB7DA3" w14:textId="652AEED0" w:rsidR="00AB2846" w:rsidRPr="00A21FE4" w:rsidRDefault="00AB2846" w:rsidP="00AB2846">
            <w:pPr>
              <w:pStyle w:val="PP-note"/>
              <w:keepNext/>
            </w:pPr>
            <w:r w:rsidRPr="00A21FE4">
              <w:t>PP, practice point; R, recommendation</w:t>
            </w:r>
            <w:r>
              <w:t>; SCD, sickle cell disease</w:t>
            </w:r>
            <w:r w:rsidR="009D1009">
              <w:t>; TCD, transcranial Doppler</w:t>
            </w:r>
          </w:p>
          <w:p w14:paraId="0164DF3F" w14:textId="30147FAA" w:rsidR="000742CA" w:rsidRPr="00A21FE4" w:rsidRDefault="00AB2846" w:rsidP="00E62798">
            <w:pPr>
              <w:pStyle w:val="PP-note"/>
            </w:pPr>
            <w:r w:rsidRPr="00A21FE4">
              <w:t>Note: The Phase III TWiTCH trial</w:t>
            </w:r>
            <w:hyperlink w:anchor="_ENREF_60" w:tooltip=",  #1092" w:history="1">
              <w:r w:rsidR="00E62798">
                <w:fldChar w:fldCharType="begin"/>
              </w:r>
              <w:r w:rsidR="00E62798">
                <w:instrText xml:space="preserve"> ADDIN EN.CITE &lt;EndNote&gt;&lt;Cite ExcludeAuth="1" ExcludeYear="1"&gt;&lt;RecNum&gt;1092&lt;/RecNum&gt;&lt;DisplayText&gt;&lt;style face="superscript"&gt;60&lt;/style&gt;&lt;/DisplayText&gt;&lt;record&gt;&lt;rec-number&gt;1092&lt;/rec-number&gt;&lt;foreign-keys&gt;&lt;key app="EN" db-id="9edve2wadsavt5ewavaxtda4f2tavzvts9ee" timestamp="1439274313"&gt;1092&lt;/key&gt;&lt;/foreign-keys&gt;&lt;ref-type name="Report"&gt;27&lt;/ref-type&gt;&lt;contributors&gt;&lt;/contributors&gt;&lt;titles&gt;&lt;title&gt;TCD With Transfusions Changing to Hydroxyurea (TWiTCH): A Phase III Randomized Clinical Trial to Compare Standard Therapy (Erythrocyte Transfusions) With Alternative Therapy (Hydroxyurea) for the Maintenance of Lowered TCD Velocities in Pediatric Subjects With Sickle Cell Anemia and Abnormal Pre-treatment TCD Velocities&lt;/title&gt;&lt;/titles&gt;&lt;dates&gt;&lt;/dates&gt;&lt;urls&gt;&lt;related-urls&gt;&lt;url&gt;https://clinicaltrials.gov/ct2/show/study/NCT01425307?term=Twitch+sickle+cell&amp;amp;rank=1&lt;/url&gt;&lt;/related-urls&gt;&lt;/urls&gt;&lt;/record&gt;&lt;/Cite&gt;&lt;/EndNote&gt;</w:instrText>
              </w:r>
              <w:r w:rsidR="00E62798">
                <w:fldChar w:fldCharType="separate"/>
              </w:r>
              <w:r w:rsidR="00E62798" w:rsidRPr="00E62798">
                <w:rPr>
                  <w:noProof/>
                  <w:vertAlign w:val="superscript"/>
                </w:rPr>
                <w:t>60</w:t>
              </w:r>
              <w:r w:rsidR="00E62798">
                <w:fldChar w:fldCharType="end"/>
              </w:r>
            </w:hyperlink>
            <w:r w:rsidRPr="00A21FE4">
              <w:t xml:space="preserve"> comparing RBC transfusion to hydroxyurea in paediatric sickle cell patients was stopped early, because hydroxyurea was found to be as effective as transfusions in lowering the mean </w:t>
            </w:r>
            <w:r w:rsidR="009D1009">
              <w:t>TCD</w:t>
            </w:r>
            <w:r w:rsidRPr="00A21FE4">
              <w:t xml:space="preserve"> velocity of blood flow. Complete data, including the secondary outcome of primary stroke</w:t>
            </w:r>
            <w:r w:rsidR="00B855A4">
              <w:t>,</w:t>
            </w:r>
            <w:r w:rsidRPr="00A21FE4">
              <w:t xml:space="preserve"> are not yet available. We await publication of the full trial results before changes to </w:t>
            </w:r>
            <w:r w:rsidR="00B855A4">
              <w:t xml:space="preserve">the </w:t>
            </w:r>
            <w:r w:rsidRPr="00A21FE4">
              <w:t>current recommendations (R1 and R4) and practice points (PP11) are made.</w:t>
            </w:r>
          </w:p>
        </w:tc>
      </w:tr>
    </w:tbl>
    <w:p w14:paraId="2BE3FD03" w14:textId="77777777" w:rsidR="000742CA" w:rsidRDefault="000742CA" w:rsidP="000742CA">
      <w:pPr>
        <w:pStyle w:val="Heading4"/>
      </w:pPr>
      <w:r>
        <w:t>Background</w:t>
      </w:r>
    </w:p>
    <w:p w14:paraId="646E3763" w14:textId="17811EBC" w:rsidR="000742CA" w:rsidRDefault="00C4691C" w:rsidP="000742CA">
      <w:pPr>
        <w:rPr>
          <w:lang w:val="en-GB" w:eastAsia="en-GB"/>
        </w:rPr>
      </w:pPr>
      <w:r>
        <w:rPr>
          <w:lang w:val="en-GB" w:eastAsia="en-GB"/>
        </w:rPr>
        <w:t>SCD</w:t>
      </w:r>
      <w:r w:rsidR="000742CA">
        <w:rPr>
          <w:lang w:val="en-GB" w:eastAsia="en-GB"/>
        </w:rPr>
        <w:t xml:space="preserve"> is a condition caused by inheritance of the HbS allele, either in the homozygous form or </w:t>
      </w:r>
      <w:r w:rsidR="00A45971">
        <w:rPr>
          <w:lang w:val="en-GB" w:eastAsia="en-GB"/>
        </w:rPr>
        <w:t xml:space="preserve">through </w:t>
      </w:r>
      <w:r w:rsidR="000742CA">
        <w:rPr>
          <w:lang w:val="en-GB" w:eastAsia="en-GB"/>
        </w:rPr>
        <w:t xml:space="preserve">compound heterozygous inheritance with another beta globin gene abnormality such as HbC or beta thalassaemia. The aberrant haemoglobin (HbS) polymerises in the deoxygenated form and alters the red cell into a sickle shape. These sickled cells can get trapped in blood vessels, leading to vaso-occlusion and tissue ischaemia. </w:t>
      </w:r>
    </w:p>
    <w:p w14:paraId="734FCA9C" w14:textId="22416C38" w:rsidR="000742CA" w:rsidRDefault="000742CA" w:rsidP="000742CA">
      <w:pPr>
        <w:rPr>
          <w:lang w:val="en-GB" w:eastAsia="en-GB"/>
        </w:rPr>
      </w:pPr>
      <w:r>
        <w:rPr>
          <w:lang w:val="en-GB" w:eastAsia="en-GB"/>
        </w:rPr>
        <w:t>Important clinical manifestations of SCD in paediatric patients include recurrent painful vaso-occlusive episodes (</w:t>
      </w:r>
      <w:r w:rsidR="00C918A5">
        <w:rPr>
          <w:lang w:val="en-GB" w:eastAsia="en-GB"/>
        </w:rPr>
        <w:t>e.g.</w:t>
      </w:r>
      <w:r>
        <w:rPr>
          <w:lang w:val="en-GB" w:eastAsia="en-GB"/>
        </w:rPr>
        <w:t xml:space="preserve"> dactylitis, bone pain, abdominal pain and acute chest syndrome), splenic sequestration, haemolysis, aplastic crises, priapism, infection and stroke. </w:t>
      </w:r>
    </w:p>
    <w:p w14:paraId="571CAB92" w14:textId="597C6898" w:rsidR="000742CA" w:rsidRDefault="00C918A5" w:rsidP="000742CA">
      <w:pPr>
        <w:rPr>
          <w:lang w:val="en-GB" w:eastAsia="en-GB"/>
        </w:rPr>
      </w:pPr>
      <w:r>
        <w:rPr>
          <w:lang w:val="en-GB" w:eastAsia="en-GB"/>
        </w:rPr>
        <w:t>Most</w:t>
      </w:r>
      <w:r w:rsidR="000742CA">
        <w:rPr>
          <w:lang w:val="en-GB" w:eastAsia="en-GB"/>
        </w:rPr>
        <w:t xml:space="preserve"> children with </w:t>
      </w:r>
      <w:r w:rsidR="00C4691C">
        <w:rPr>
          <w:lang w:val="en-GB" w:eastAsia="en-GB"/>
        </w:rPr>
        <w:t>SCD</w:t>
      </w:r>
      <w:r w:rsidR="000742CA">
        <w:rPr>
          <w:lang w:val="en-GB" w:eastAsia="en-GB"/>
        </w:rPr>
        <w:t xml:space="preserve"> in developed countries will survive to adulthood; however, patients with SCD still have </w:t>
      </w:r>
      <w:r w:rsidR="00A45971">
        <w:rPr>
          <w:lang w:val="en-GB" w:eastAsia="en-GB"/>
        </w:rPr>
        <w:t xml:space="preserve">a </w:t>
      </w:r>
      <w:r w:rsidR="000742CA">
        <w:rPr>
          <w:lang w:val="en-GB" w:eastAsia="en-GB"/>
        </w:rPr>
        <w:t>significantly reduced li</w:t>
      </w:r>
      <w:r w:rsidR="00A45971">
        <w:rPr>
          <w:lang w:val="en-GB" w:eastAsia="en-GB"/>
        </w:rPr>
        <w:t>f</w:t>
      </w:r>
      <w:r w:rsidR="000742CA">
        <w:rPr>
          <w:lang w:val="en-GB" w:eastAsia="en-GB"/>
        </w:rPr>
        <w:t>e expectanc</w:t>
      </w:r>
      <w:r w:rsidR="00A45971">
        <w:rPr>
          <w:lang w:val="en-GB" w:eastAsia="en-GB"/>
        </w:rPr>
        <w:t>y</w:t>
      </w:r>
      <w:r w:rsidR="000742CA">
        <w:rPr>
          <w:lang w:val="en-GB" w:eastAsia="en-GB"/>
        </w:rPr>
        <w:t xml:space="preserve">. </w:t>
      </w:r>
    </w:p>
    <w:p w14:paraId="01EEE545" w14:textId="2E3A87B8" w:rsidR="000742CA" w:rsidRPr="0018592A" w:rsidRDefault="000742CA" w:rsidP="000742CA">
      <w:r>
        <w:t>Hydroxyurea is recognised as a disease-modifying agent</w:t>
      </w:r>
      <w:r w:rsidR="00C918A5">
        <w:t>,</w:t>
      </w:r>
      <w:r>
        <w:t xml:space="preserve"> and safety and efficacy in adults is </w:t>
      </w:r>
      <w:r w:rsidRPr="00681794">
        <w:t>well established</w:t>
      </w:r>
      <w:r>
        <w:t>.</w:t>
      </w:r>
      <w:hyperlink w:anchor="_ENREF_125" w:tooltip="Voskaridou, 2010 #1056" w:history="1">
        <w:r w:rsidR="00E62798">
          <w:fldChar w:fldCharType="begin">
            <w:fldData xml:space="preserve">PEVuZE5vdGU+PENpdGU+PEF1dGhvcj5Wb3NrYXJpZG91PC9BdXRob3I+PFllYXI+MjAxMDwvWWVh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</w:fldData>
          </w:fldChar>
        </w:r>
        <w:r w:rsidR="00E62798">
          <w:instrText xml:space="preserve"> ADDIN EN.CITE </w:instrText>
        </w:r>
        <w:r w:rsidR="00E62798">
          <w:fldChar w:fldCharType="begin">
            <w:fldData xml:space="preserve">PEVuZE5vdGU+PENpdGU+PEF1dGhvcj5Wb3NrYXJpZG91PC9BdXRob3I+PFllYXI+MjAxMDwvWWVh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125</w:t>
        </w:r>
        <w:r w:rsidR="00E62798">
          <w:fldChar w:fldCharType="end"/>
        </w:r>
      </w:hyperlink>
      <w:r>
        <w:t xml:space="preserve"> It has been reported to reduce vaso-occlusive crises including acute chest crises, decrease hospitalisation and improve quality of life. </w:t>
      </w:r>
    </w:p>
    <w:p w14:paraId="44DE4AC1" w14:textId="77777777" w:rsidR="000742CA" w:rsidRDefault="000742CA" w:rsidP="000742CA">
      <w:pPr>
        <w:pStyle w:val="Heading4"/>
      </w:pPr>
      <w:r>
        <w:t>Summary of evidence</w:t>
      </w:r>
    </w:p>
    <w:p w14:paraId="1EE69AEB" w14:textId="65A653F4" w:rsidR="000742CA" w:rsidRDefault="004E09B3" w:rsidP="000742CA">
      <w:r>
        <w:t xml:space="preserve">Three systematic reviews </w:t>
      </w:r>
      <w:r w:rsidR="000742CA">
        <w:t>examined the use of hydroxyurea in children with SCD, but did not provide usable data.</w:t>
      </w:r>
      <w:hyperlink w:anchor="_ENREF_126" w:tooltip="Jones, 2001 #1088" w:history="1">
        <w:r w:rsidR="00E62798">
          <w:fldChar w:fldCharType="begin">
            <w:fldData xml:space="preserve">PEVuZE5vdGU+PENpdGU+PEF1dGhvcj5Kb25lczwvQXV0aG9yPjxZZWFyPjIwMDE8L1llYXI+PFJl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</w:fldData>
          </w:fldChar>
        </w:r>
        <w:r w:rsidR="00E62798">
          <w:instrText xml:space="preserve"> ADDIN EN.CITE </w:instrText>
        </w:r>
        <w:r w:rsidR="00E62798">
          <w:fldChar w:fldCharType="begin">
            <w:fldData xml:space="preserve">PEVuZE5vdGU+PENpdGU+PEF1dGhvcj5Kb25lczwvQXV0aG9yPjxZZWFyPjIwMDE8L1llYXI+PFJl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126-128</w:t>
        </w:r>
        <w:r w:rsidR="00E62798">
          <w:fldChar w:fldCharType="end"/>
        </w:r>
      </w:hyperlink>
      <w:r w:rsidR="000742CA">
        <w:t xml:space="preserve"> </w:t>
      </w:r>
    </w:p>
    <w:p w14:paraId="0FD1FAD2" w14:textId="31064513" w:rsidR="000742CA" w:rsidRDefault="00295065" w:rsidP="000742CA">
      <w:pPr>
        <w:rPr>
          <w:rFonts w:ascii="Tahoma" w:hAnsi="Tahoma"/>
          <w:b/>
          <w:bCs/>
          <w:iCs/>
          <w:color w:val="808080"/>
          <w:sz w:val="20"/>
        </w:rPr>
      </w:pPr>
      <w:r>
        <w:t xml:space="preserve">Two eligible </w:t>
      </w:r>
      <w:r w:rsidR="00AB0986">
        <w:t>Level II studies</w:t>
      </w:r>
      <w:r>
        <w:t xml:space="preserve"> </w:t>
      </w:r>
      <w:r w:rsidR="000742CA">
        <w:t>were identified.</w:t>
      </w:r>
      <w:hyperlink w:anchor="_ENREF_129" w:tooltip="Jain, 2012 #102" w:history="1">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 </w:instrText>
        </w:r>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129-130</w:t>
        </w:r>
        <w:r w:rsidR="00E62798">
          <w:fldChar w:fldCharType="end"/>
        </w:r>
      </w:hyperlink>
      <w:r w:rsidR="000742CA">
        <w:t xml:space="preserve"> </w:t>
      </w:r>
      <w:r>
        <w:t>One was a small single-</w:t>
      </w:r>
      <w:r w:rsidR="000742CA">
        <w:t>centre trial conducted in India</w:t>
      </w:r>
      <w:r>
        <w:t>,</w:t>
      </w:r>
      <w:r w:rsidR="000742CA">
        <w:t xml:space="preserve"> comparing </w:t>
      </w:r>
      <w:r>
        <w:t>hydroxyurea to placebo in 5–1</w:t>
      </w:r>
      <w:r w:rsidR="000742CA">
        <w:t>8 year olds with severe SCD.</w:t>
      </w:r>
      <w:hyperlink w:anchor="_ENREF_129" w:tooltip="Jain, 2012 #102" w:history="1">
        <w:r w:rsidR="00E62798">
          <w:fldChar w:fldCharType="begin">
            <w:fldData xml:space="preserve">PEVuZE5vdGU+PENpdGU+PEF1dGhvcj5KYWluPC9BdXRob3I+PFllYXI+MjAxMjwvWWVhcj48UmVj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==
</w:fldData>
          </w:fldChar>
        </w:r>
        <w:r w:rsidR="00E62798">
          <w:instrText xml:space="preserve"> ADDIN EN.CITE </w:instrText>
        </w:r>
        <w:r w:rsidR="00E62798">
          <w:fldChar w:fldCharType="begin">
            <w:fldData xml:space="preserve">PEVuZE5vdGU+PENpdGU+PEF1dGhvcj5KYWluPC9BdXRob3I+PFllYXI+MjAxMjwvWWVhcj48UmVj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129</w:t>
        </w:r>
        <w:r w:rsidR="00E62798">
          <w:fldChar w:fldCharType="end"/>
        </w:r>
      </w:hyperlink>
      <w:r w:rsidR="000742CA">
        <w:t xml:space="preserve"> </w:t>
      </w:r>
      <w:r>
        <w:t>The other</w:t>
      </w:r>
      <w:r w:rsidR="000742CA">
        <w:t xml:space="preserve"> was a multi-centre trial (BABY- HUG) that assessed the safety and efficacy in hydroxyurea in infants 9 to 18 months with </w:t>
      </w:r>
      <w:r w:rsidR="00C05EEF">
        <w:t>SCD</w:t>
      </w:r>
      <w:r>
        <w:t>, irrespective of severity.</w:t>
      </w:r>
      <w:hyperlink w:anchor="_ENREF_130" w:tooltip="Wang, 2011 #127" w:history="1">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 </w:instrText>
        </w:r>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130</w:t>
        </w:r>
        <w:r w:rsidR="00E62798">
          <w:fldChar w:fldCharType="end"/>
        </w:r>
      </w:hyperlink>
    </w:p>
    <w:p w14:paraId="02939C86" w14:textId="77777777" w:rsidR="000742CA" w:rsidRDefault="000742CA" w:rsidP="000742CA">
      <w:pPr>
        <w:pStyle w:val="Heading5"/>
      </w:pPr>
      <w:r>
        <w:t>Transfusion incidence and volume</w:t>
      </w:r>
    </w:p>
    <w:p w14:paraId="73E864F1" w14:textId="6FCCD520" w:rsidR="000742CA" w:rsidRDefault="00A45971" w:rsidP="00B05BDA">
      <w:r>
        <w:t>Both studies</w:t>
      </w:r>
      <w:r w:rsidR="000742CA">
        <w:t xml:space="preserve"> reported a significant reduction in transfusion incidence in those children who received hydroxyurea.</w:t>
      </w:r>
      <w:hyperlink w:anchor="_ENREF_129" w:tooltip="Jain, 2012 #102" w:history="1">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 </w:instrText>
        </w:r>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129-130</w:t>
        </w:r>
        <w:r w:rsidR="00E62798">
          <w:fldChar w:fldCharType="end"/>
        </w:r>
      </w:hyperlink>
      <w:r w:rsidR="004828DA">
        <w:t xml:space="preserve"> </w:t>
      </w:r>
    </w:p>
    <w:p w14:paraId="35756E76" w14:textId="77777777" w:rsidR="000742CA" w:rsidRDefault="000742CA" w:rsidP="000742CA">
      <w:pPr>
        <w:pStyle w:val="Heading5"/>
      </w:pPr>
      <w:r>
        <w:t>Stroke</w:t>
      </w:r>
    </w:p>
    <w:p w14:paraId="751B677A" w14:textId="34A29FDB" w:rsidR="000742CA" w:rsidRDefault="00295065" w:rsidP="00B05BDA">
      <w:r>
        <w:t>One study</w:t>
      </w:r>
      <w:r w:rsidR="000742CA">
        <w:t xml:space="preserve"> found no significant difference in rates of clinical stroke in a 2-year period.</w:t>
      </w:r>
      <w:hyperlink w:anchor="_ENREF_130" w:tooltip="Wang, 2011 #127" w:history="1">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 </w:instrText>
        </w:r>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130</w:t>
        </w:r>
        <w:r w:rsidR="00E62798">
          <w:fldChar w:fldCharType="end"/>
        </w:r>
      </w:hyperlink>
      <w:r w:rsidR="000742CA">
        <w:t xml:space="preserve"> </w:t>
      </w:r>
    </w:p>
    <w:p w14:paraId="375D9F85" w14:textId="77777777" w:rsidR="000742CA" w:rsidRDefault="000742CA" w:rsidP="000742CA">
      <w:pPr>
        <w:pStyle w:val="Heading5"/>
      </w:pPr>
      <w:r>
        <w:t>Secondary outcomes</w:t>
      </w:r>
      <w:r>
        <w:rPr>
          <w:rStyle w:val="FootnoteReference"/>
        </w:rPr>
        <w:footnoteReference w:id="7"/>
      </w:r>
    </w:p>
    <w:p w14:paraId="1DBD6FE2" w14:textId="6FEAFAB4" w:rsidR="000742CA" w:rsidRDefault="000742CA" w:rsidP="000742CA">
      <w:pPr>
        <w:pStyle w:val="H6"/>
      </w:pPr>
      <w:r>
        <w:t xml:space="preserve">Functional </w:t>
      </w:r>
      <w:r w:rsidR="00B855A4">
        <w:t xml:space="preserve">or </w:t>
      </w:r>
      <w:r>
        <w:t>performance status</w:t>
      </w:r>
    </w:p>
    <w:p w14:paraId="0779FE48" w14:textId="644F8F37" w:rsidR="000742CA" w:rsidRDefault="00295065" w:rsidP="00B05BDA">
      <w:r>
        <w:t xml:space="preserve">One study </w:t>
      </w:r>
      <w:r w:rsidR="000742CA">
        <w:t xml:space="preserve">analysed neurodevelopment using the Bayley Scales of Infant and Toddler Development </w:t>
      </w:r>
      <w:r w:rsidR="00C4691C">
        <w:t xml:space="preserve">mental development index </w:t>
      </w:r>
      <w:r w:rsidR="000742CA">
        <w:t>(MDI) and Vineland Adaptive Behaviour Scales</w:t>
      </w:r>
      <w:r>
        <w:t>.</w:t>
      </w:r>
      <w:hyperlink w:anchor="_ENREF_130" w:tooltip="Wang, 2011 #127" w:history="1">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 </w:instrText>
        </w:r>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130</w:t>
        </w:r>
        <w:r w:rsidR="00E62798">
          <w:fldChar w:fldCharType="end"/>
        </w:r>
      </w:hyperlink>
      <w:r>
        <w:t xml:space="preserve"> It</w:t>
      </w:r>
      <w:r w:rsidR="000742CA">
        <w:t xml:space="preserve"> reported no significant differences between treatment groups. </w:t>
      </w:r>
    </w:p>
    <w:p w14:paraId="6E1CC714" w14:textId="77777777" w:rsidR="000742CA" w:rsidRDefault="000742CA" w:rsidP="000742CA">
      <w:pPr>
        <w:pStyle w:val="H6"/>
      </w:pPr>
      <w:r>
        <w:t xml:space="preserve">Laboratory measures </w:t>
      </w:r>
    </w:p>
    <w:p w14:paraId="610E2993" w14:textId="327DCDC7" w:rsidR="000742CA" w:rsidRDefault="00295065" w:rsidP="00B05BDA">
      <w:r>
        <w:t xml:space="preserve">Both </w:t>
      </w:r>
      <w:r w:rsidR="000742CA">
        <w:t>studies reported that hydroxyurea increased total Hb and fetal Hb concentrations.</w:t>
      </w:r>
      <w:hyperlink w:anchor="_ENREF_129" w:tooltip="Jain, 2012 #102" w:history="1">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 </w:instrText>
        </w:r>
        <w:r w:rsidR="00E62798">
          <w:fldChar w:fldCharType="begin">
            <w:fldData xml:space="preserve">PEVuZE5vdGU+PENpdGU+PEF1dGhvcj5KYWluPC9BdXRob3I+PFllYXI+MjAxMjwvWWVhcj48UmVj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129-130</w:t>
        </w:r>
        <w:r w:rsidR="00E62798">
          <w:fldChar w:fldCharType="end"/>
        </w:r>
      </w:hyperlink>
      <w:r w:rsidR="000742CA">
        <w:t xml:space="preserve"> </w:t>
      </w:r>
    </w:p>
    <w:p w14:paraId="775DC809" w14:textId="77777777" w:rsidR="000742CA" w:rsidRDefault="000742CA" w:rsidP="000742CA">
      <w:pPr>
        <w:pStyle w:val="H6"/>
      </w:pPr>
      <w:r>
        <w:t>Vaso-occlusive events</w:t>
      </w:r>
      <w:r w:rsidRPr="001D2F23">
        <w:t xml:space="preserve"> </w:t>
      </w:r>
      <w:r>
        <w:t>and a</w:t>
      </w:r>
      <w:r w:rsidRPr="001D2F23">
        <w:t>cute chest crises</w:t>
      </w:r>
    </w:p>
    <w:p w14:paraId="63D00717" w14:textId="3D57C40B" w:rsidR="000742CA" w:rsidRDefault="00295065" w:rsidP="00B05BDA">
      <w:r>
        <w:t>One study</w:t>
      </w:r>
      <w:r w:rsidR="000742CA">
        <w:t xml:space="preserve"> reported that hydroxyurea decreased total painful episodes and dactylitis.</w:t>
      </w:r>
      <w:hyperlink w:anchor="_ENREF_130" w:tooltip="Wang, 2011 #127" w:history="1">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 </w:instrText>
        </w:r>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130</w:t>
        </w:r>
        <w:r w:rsidR="00E62798">
          <w:fldChar w:fldCharType="end"/>
        </w:r>
      </w:hyperlink>
      <w:r w:rsidR="000742CA">
        <w:t xml:space="preserve"> Pain was nearly twice as frequent and dactylitis five times more common in children receiving placebo. </w:t>
      </w:r>
      <w:r>
        <w:t>The other study</w:t>
      </w:r>
      <w:r w:rsidR="000742CA">
        <w:t xml:space="preserve"> reported a decrease in average number of vaso-occlusive crises.</w:t>
      </w:r>
      <w:hyperlink w:anchor="_ENREF_129" w:tooltip="Jain, 2012 #102" w:history="1">
        <w:r w:rsidR="00E62798">
          <w:fldChar w:fldCharType="begin">
            <w:fldData xml:space="preserve">PEVuZE5vdGU+PENpdGU+PEF1dGhvcj5KYWluPC9BdXRob3I+PFllYXI+MjAxMjwvWWVhcj48UmVj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==
</w:fldData>
          </w:fldChar>
        </w:r>
        <w:r w:rsidR="00E62798">
          <w:instrText xml:space="preserve"> ADDIN EN.CITE </w:instrText>
        </w:r>
        <w:r w:rsidR="00E62798">
          <w:fldChar w:fldCharType="begin">
            <w:fldData xml:space="preserve">PEVuZE5vdGU+PENpdGU+PEF1dGhvcj5KYWluPC9BdXRob3I+PFllYXI+MjAxMjwvWWVhcj48UmVj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129</w:t>
        </w:r>
        <w:r w:rsidR="00E62798">
          <w:fldChar w:fldCharType="end"/>
        </w:r>
      </w:hyperlink>
      <w:r w:rsidR="000742CA">
        <w:t xml:space="preserve"> </w:t>
      </w:r>
    </w:p>
    <w:p w14:paraId="3EACE714" w14:textId="747CA4A5" w:rsidR="000742CA" w:rsidRDefault="00295065" w:rsidP="00B05BDA">
      <w:r>
        <w:t>The study by Wang et al (2011)</w:t>
      </w:r>
      <w:hyperlink w:anchor="_ENREF_130" w:tooltip="Wang, 2011 #127" w:history="1">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 </w:instrText>
        </w:r>
        <w:r w:rsidR="00E62798">
          <w:fldChar w:fldCharType="begin">
            <w:fldData xml:space="preserve">PEVuZE5vdGU+PENpdGU+PEF1dGhvcj5XYW5nPC9BdXRob3I+PFllYXI+MjAxMTwvWWVhcj48UmVj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130</w:t>
        </w:r>
        <w:r w:rsidR="00E62798">
          <w:fldChar w:fldCharType="end"/>
        </w:r>
      </w:hyperlink>
      <w:r w:rsidR="000742CA">
        <w:t xml:space="preserve"> reported that hydroxyurea decreased the number of infants who experienced acute chest syndrome. </w:t>
      </w:r>
    </w:p>
    <w:p w14:paraId="0A29CF6C" w14:textId="24A0B737" w:rsidR="000742CA" w:rsidRPr="00295065" w:rsidRDefault="000742CA" w:rsidP="00565E25">
      <w:pPr>
        <w:pStyle w:val="BoxHeading"/>
        <w:rPr>
          <w:lang w:val="en-AU"/>
        </w:rPr>
      </w:pPr>
      <w:r>
        <w:t xml:space="preserve">Clinical </w:t>
      </w:r>
      <w:r w:rsidR="00B05BDA">
        <w:t>commentary</w:t>
      </w:r>
      <w:r w:rsidR="00295065">
        <w:rPr>
          <w:lang w:val="en-AU"/>
        </w:rPr>
        <w:t xml:space="preserve"> –</w:t>
      </w:r>
      <w:r w:rsidR="00295065" w:rsidRPr="00295065">
        <w:t xml:space="preserve"> </w:t>
      </w:r>
      <w:r w:rsidR="00295065">
        <w:rPr>
          <w:lang w:val="en-AU"/>
        </w:rPr>
        <w:t>hydroxyurea in n</w:t>
      </w:r>
      <w:r w:rsidR="00295065">
        <w:t xml:space="preserve">eonatal </w:t>
      </w:r>
      <w:r w:rsidR="00295065">
        <w:rPr>
          <w:lang w:val="en-AU"/>
        </w:rPr>
        <w:t xml:space="preserve">and </w:t>
      </w:r>
      <w:r w:rsidR="00295065">
        <w:t>p</w:t>
      </w:r>
      <w:r w:rsidR="00295065" w:rsidRPr="004667A5">
        <w:t xml:space="preserve">aediatric patients with </w:t>
      </w:r>
      <w:r w:rsidR="00C05EEF">
        <w:rPr>
          <w:lang w:val="en-AU"/>
        </w:rPr>
        <w:t>SCD</w:t>
      </w:r>
    </w:p>
    <w:p w14:paraId="01071DF5" w14:textId="573F8197" w:rsidR="000742CA" w:rsidRDefault="000742CA" w:rsidP="00565E25">
      <w:pPr>
        <w:pStyle w:val="BoxText"/>
      </w:pPr>
      <w:r>
        <w:t xml:space="preserve">Hydroxyurea </w:t>
      </w:r>
      <w:r w:rsidR="00295065">
        <w:t>was found</w:t>
      </w:r>
      <w:r>
        <w:t xml:space="preserve"> to be effective in reducing transfusion incidence. However, </w:t>
      </w:r>
      <w:r w:rsidR="00295065">
        <w:t xml:space="preserve">for Australian patients with SCD and their treating clinicians, </w:t>
      </w:r>
      <w:r>
        <w:t xml:space="preserve">reducing </w:t>
      </w:r>
      <w:r w:rsidR="00A45971">
        <w:t xml:space="preserve">the incidence of </w:t>
      </w:r>
      <w:r>
        <w:t>transfusion</w:t>
      </w:r>
      <w:r w:rsidR="00A45971">
        <w:t xml:space="preserve"> </w:t>
      </w:r>
      <w:r w:rsidR="00295065">
        <w:t>may be of much less</w:t>
      </w:r>
      <w:r>
        <w:t xml:space="preserve"> importance than the considerable effect </w:t>
      </w:r>
      <w:r w:rsidR="00295065">
        <w:t xml:space="preserve">that </w:t>
      </w:r>
      <w:r>
        <w:t>hydroxyurea has on reducing the frequency of vaso-occlusive crises, dactylitis, acute chest syndrome and hospitalisation. Nevertheless</w:t>
      </w:r>
      <w:r w:rsidR="00295065">
        <w:t>,</w:t>
      </w:r>
      <w:r>
        <w:t xml:space="preserve"> the effect of hydroxyurea on reducing exposure to RBC transfusion is still of some importance</w:t>
      </w:r>
      <w:r w:rsidR="00295065">
        <w:t>,</w:t>
      </w:r>
      <w:r>
        <w:t xml:space="preserve"> because it reduces the risk of transfusion-related adverse events, including alloimmunisation. There is a known increased risk of mild and usually reversible cytop</w:t>
      </w:r>
      <w:r w:rsidR="00C4691C">
        <w:t>a</w:t>
      </w:r>
      <w:r>
        <w:t xml:space="preserve">enias in children treated with hydroxyurea; these should be screened for and managed appropriately. </w:t>
      </w:r>
    </w:p>
    <w:p w14:paraId="4D6F0906" w14:textId="778F0E5F" w:rsidR="000742CA" w:rsidRDefault="000742CA" w:rsidP="00565E25">
      <w:pPr>
        <w:pStyle w:val="BoxText"/>
      </w:pPr>
      <w:r>
        <w:t xml:space="preserve">In paediatric patients with SCD who are at increased risk of stroke </w:t>
      </w:r>
      <w:r w:rsidR="00295065">
        <w:t xml:space="preserve">– </w:t>
      </w:r>
      <w:r>
        <w:t>as defined by elevated TCD velocities or silent infarcts seen on MRI</w:t>
      </w:r>
      <w:r w:rsidR="00295065">
        <w:t xml:space="preserve"> –</w:t>
      </w:r>
      <w:r>
        <w:t xml:space="preserve"> prophylactic RBC transfusions are recommended to reduce stroke risk. In such </w:t>
      </w:r>
      <w:r w:rsidRPr="004E09B3">
        <w:t xml:space="preserve">patients, the </w:t>
      </w:r>
      <w:r w:rsidR="00062DF6" w:rsidRPr="004E09B3">
        <w:t xml:space="preserve">Phase </w:t>
      </w:r>
      <w:r w:rsidRPr="004E09B3">
        <w:t>III TWiTCH trial showed</w:t>
      </w:r>
      <w:r>
        <w:t xml:space="preserve"> that </w:t>
      </w:r>
      <w:r w:rsidRPr="00A45971">
        <w:t>hydroxyurea is not inferior to regular RBC transfusions in lowering mean TCD velocity.</w:t>
      </w:r>
      <w:hyperlink w:anchor="_ENREF_60" w:tooltip=",  #1092" w:history="1">
        <w:r w:rsidR="00E62798">
          <w:fldChar w:fldCharType="begin"/>
        </w:r>
        <w:r w:rsidR="00E62798">
          <w:instrText xml:space="preserve"> ADDIN EN.CITE &lt;EndNote&gt;&lt;Cite ExcludeAuth="1" ExcludeYear="1"&gt;&lt;RecNum&gt;1092&lt;/RecNum&gt;&lt;DisplayText&gt;&lt;style face="superscript"&gt;60&lt;/style&gt;&lt;/DisplayText&gt;&lt;record&gt;&lt;rec-number&gt;1092&lt;/rec-number&gt;&lt;foreign-keys&gt;&lt;key app="EN" db-id="9edve2wadsavt5ewavaxtda4f2tavzvts9ee" timestamp="1439274313"&gt;1092&lt;/key&gt;&lt;/foreign-keys&gt;&lt;ref-type name="Report"&gt;27&lt;/ref-type&gt;&lt;contributors&gt;&lt;/contributors&gt;&lt;titles&gt;&lt;title&gt;TCD With Transfusions Changing to Hydroxyurea (TWiTCH): A Phase III Randomized Clinical Trial to Compare Standard Therapy (Erythrocyte Transfusions) With Alternative Therapy (Hydroxyurea) for the Maintenance of Lowered TCD Velocities in Pediatric Subjects With Sickle Cell Anemia and Abnormal Pre-treatment TCD Velocities&lt;/title&gt;&lt;/titles&gt;&lt;dates&gt;&lt;/dates&gt;&lt;urls&gt;&lt;related-urls&gt;&lt;url&gt;https://clinicaltrials.gov/ct2/show/study/NCT01425307?term=Twitch+sickle+cell&amp;amp;rank=1&lt;/url&gt;&lt;/related-urls&gt;&lt;/urls&gt;&lt;/record&gt;&lt;/Cite&gt;&lt;/EndNote&gt;</w:instrText>
        </w:r>
        <w:r w:rsidR="00E62798">
          <w:fldChar w:fldCharType="separate"/>
        </w:r>
        <w:r w:rsidR="00E62798" w:rsidRPr="00E62798">
          <w:rPr>
            <w:noProof/>
            <w:vertAlign w:val="superscript"/>
          </w:rPr>
          <w:t>60</w:t>
        </w:r>
        <w:r w:rsidR="00E62798">
          <w:fldChar w:fldCharType="end"/>
        </w:r>
      </w:hyperlink>
      <w:r w:rsidR="00295065" w:rsidRPr="00A45971">
        <w:t xml:space="preserve"> </w:t>
      </w:r>
      <w:r w:rsidRPr="00A45971">
        <w:t>The NIH guidelines recommend</w:t>
      </w:r>
      <w:r>
        <w:t xml:space="preserve"> that all patients with SCA and their family members be educated about hydroxyurea.</w:t>
      </w:r>
      <w:hyperlink w:anchor="_ENREF_67" w:tooltip="US Department of Health and Human Services, 2014 #1028" w:history="1">
        <w:r w:rsidR="00E62798">
          <w:fldChar w:fldCharType="begin"/>
        </w:r>
        <w:r w:rsidR="00E62798">
          <w:instrText xml:space="preserve"> ADDIN EN.CITE &lt;EndNote&gt;&lt;Cite&gt;&lt;Author&gt;US Department of Health and Human Services&lt;/Author&gt;&lt;Year&gt;2014&lt;/Year&gt;&lt;RecNum&gt;1028&lt;/RecNum&gt;&lt;DisplayText&gt;&lt;style face="superscript"&gt;67&lt;/style&gt;&lt;/DisplayText&gt;&lt;record&gt;&lt;rec-number&gt;1028&lt;/rec-number&gt;&lt;foreign-keys&gt;&lt;key app="EN" db-id="9edve2wadsavt5ewavaxtda4f2tavzvts9ee" timestamp="1437975865"&gt;1028&lt;/key&gt;&lt;/foreign-keys&gt;&lt;ref-type name="Report"&gt;27&lt;/ref-type&gt;&lt;contributors&gt;&lt;authors&gt;&lt;author&gt;US Department of Health and Human Services,&lt;/author&gt;&lt;author&gt;National Institutes of Health (NIH),&lt;/author&gt;&lt;/authors&gt;&lt;/contributors&gt;&lt;titles&gt;&lt;title&gt;Evidence-based management of sickle cell disease: Expert panel report&lt;/title&gt;&lt;/titles&gt;&lt;dates&gt;&lt;year&gt;2014&lt;/year&gt;&lt;/dates&gt;&lt;pub-location&gt;Bethesda, USA&lt;/pub-location&gt;&lt;urls&gt;&lt;related-urls&gt;&lt;url&gt;https://www.nhlbi.nih.gov/health-pro/guidelines/sickle-cell-disease-guidelines&lt;/url&gt;&lt;/related-urls&gt;&lt;/urls&gt;&lt;/record&gt;&lt;/Cite&gt;&lt;/EndNote&gt;</w:instrText>
        </w:r>
        <w:r w:rsidR="00E62798">
          <w:fldChar w:fldCharType="separate"/>
        </w:r>
        <w:r w:rsidR="00E62798" w:rsidRPr="00E62798">
          <w:rPr>
            <w:noProof/>
            <w:vertAlign w:val="superscript"/>
          </w:rPr>
          <w:t>67</w:t>
        </w:r>
        <w:r w:rsidR="00E62798">
          <w:fldChar w:fldCharType="end"/>
        </w:r>
      </w:hyperlink>
      <w:r>
        <w:t xml:space="preserve"> In infants</w:t>
      </w:r>
      <w:r w:rsidR="00295065">
        <w:t xml:space="preserve"> aged</w:t>
      </w:r>
      <w:r>
        <w:t xml:space="preserve"> 9 months and older, </w:t>
      </w:r>
      <w:r w:rsidR="00295065">
        <w:t xml:space="preserve">and in </w:t>
      </w:r>
      <w:r>
        <w:t>children and adolescents with</w:t>
      </w:r>
      <w:r w:rsidR="00C4691C">
        <w:t xml:space="preserve"> sickle cell anaemia</w:t>
      </w:r>
      <w:r>
        <w:t>, treatment with hydroxyurea should be offered</w:t>
      </w:r>
      <w:r w:rsidR="00295065">
        <w:t>,</w:t>
      </w:r>
      <w:r>
        <w:t xml:space="preserve"> regardless of clinical severity</w:t>
      </w:r>
      <w:r w:rsidR="00295065">
        <w:t xml:space="preserve"> of the disease,</w:t>
      </w:r>
      <w:r>
        <w:t xml:space="preserve"> to reduce SCD-related complications such as pain, dactylitis, acute chest syndrome and anaemia. </w:t>
      </w:r>
    </w:p>
    <w:p w14:paraId="447ACBDB" w14:textId="68B2458C" w:rsidR="00295065" w:rsidRPr="00295065" w:rsidRDefault="00295065" w:rsidP="00295065">
      <w:pPr>
        <w:pStyle w:val="Heading3"/>
        <w:rPr>
          <w:lang w:val="en-AU"/>
        </w:rPr>
      </w:pPr>
      <w:bookmarkStart w:id="128" w:name="_Toc427851332"/>
      <w:r>
        <w:rPr>
          <w:lang w:val="en-AU"/>
        </w:rPr>
        <w:t>3.3.10</w:t>
      </w:r>
      <w:r>
        <w:rPr>
          <w:lang w:val="en-AU"/>
        </w:rPr>
        <w:tab/>
      </w:r>
      <w:r>
        <w:t xml:space="preserve">Medical: neonatal </w:t>
      </w:r>
      <w:r>
        <w:rPr>
          <w:lang w:val="en-AU"/>
        </w:rPr>
        <w:t xml:space="preserve">and </w:t>
      </w:r>
      <w:r>
        <w:t>p</w:t>
      </w:r>
      <w:r w:rsidRPr="004667A5">
        <w:t xml:space="preserve">aediatric patients </w:t>
      </w:r>
      <w:r w:rsidR="001944D9">
        <w:rPr>
          <w:lang w:val="en-AU"/>
        </w:rPr>
        <w:t>undergoing</w:t>
      </w:r>
      <w:r>
        <w:rPr>
          <w:lang w:val="en-AU"/>
        </w:rPr>
        <w:t xml:space="preserve"> surgery</w:t>
      </w:r>
      <w:r w:rsidR="00763643">
        <w:rPr>
          <w:lang w:val="en-AU"/>
        </w:rPr>
        <w:t xml:space="preserve"> – general</w:t>
      </w:r>
      <w:bookmarkEnd w:id="128"/>
    </w:p>
    <w:bookmarkEnd w:id="127"/>
    <w:p w14:paraId="7753B77E" w14:textId="77777777" w:rsidR="000742CA" w:rsidRDefault="000742CA" w:rsidP="000742CA">
      <w:pPr>
        <w:pStyle w:val="Heading4"/>
      </w:pPr>
      <w:r>
        <w:t>Background</w:t>
      </w:r>
    </w:p>
    <w:p w14:paraId="61B35781" w14:textId="6CB6CEFC" w:rsidR="000742CA" w:rsidRDefault="000742CA" w:rsidP="00B05BDA">
      <w:r>
        <w:t xml:space="preserve">Paediatric patients undergoing major surgery are at risk of blood loss and may require perioperative RBC transfusion to improve tissue oxygen delivery. </w:t>
      </w:r>
    </w:p>
    <w:p w14:paraId="3830DE15" w14:textId="05A3EBE2" w:rsidR="000742CA" w:rsidRDefault="000742CA" w:rsidP="000742CA">
      <w:r>
        <w:t xml:space="preserve">Paediatric patients undergoing elective surgery with a risk of substantial blood loss should have their full blood count and iron stores assessed preoperatively. </w:t>
      </w:r>
      <w:r w:rsidRPr="001F3014">
        <w:t>Where preoperative anaemia is identified, it is important to determine its aetiology, so that appropriate therapy can be given.</w:t>
      </w:r>
      <w:r>
        <w:t xml:space="preserve"> </w:t>
      </w:r>
    </w:p>
    <w:p w14:paraId="45C4ACE3" w14:textId="4A0BFC18" w:rsidR="000742CA" w:rsidRPr="00FD5137" w:rsidRDefault="00295065" w:rsidP="00FD5137">
      <w:pPr>
        <w:pStyle w:val="Heading3"/>
        <w:rPr>
          <w:lang w:val="en-AU"/>
        </w:rPr>
      </w:pPr>
      <w:bookmarkStart w:id="129" w:name="_Toc427851333"/>
      <w:r>
        <w:rPr>
          <w:lang w:val="en-AU"/>
        </w:rPr>
        <w:t>3.3.11</w:t>
      </w:r>
      <w:r>
        <w:rPr>
          <w:lang w:val="en-AU"/>
        </w:rPr>
        <w:tab/>
      </w:r>
      <w:r>
        <w:t xml:space="preserve">Medical: neonatal </w:t>
      </w:r>
      <w:r>
        <w:rPr>
          <w:lang w:val="en-AU"/>
        </w:rPr>
        <w:t xml:space="preserve">and </w:t>
      </w:r>
      <w:r>
        <w:t>p</w:t>
      </w:r>
      <w:r w:rsidRPr="004667A5">
        <w:t xml:space="preserve">aediatric patients </w:t>
      </w:r>
      <w:r w:rsidR="001944D9">
        <w:rPr>
          <w:lang w:val="en-AU"/>
        </w:rPr>
        <w:t>undergoing</w:t>
      </w:r>
      <w:r>
        <w:rPr>
          <w:lang w:val="en-AU"/>
        </w:rPr>
        <w:t xml:space="preserve"> surgery</w:t>
      </w:r>
      <w:r w:rsidR="00FD5137">
        <w:rPr>
          <w:lang w:val="en-AU"/>
        </w:rPr>
        <w:t xml:space="preserve"> – effect of ESAs (without or without iron) on outcomes</w:t>
      </w:r>
      <w:bookmarkEnd w:id="129"/>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3D348782" w14:textId="77777777" w:rsidTr="006E63D2">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25295177" w14:textId="77777777" w:rsidR="000742CA" w:rsidRPr="00A21FE4" w:rsidRDefault="000742CA" w:rsidP="000742CA">
            <w:pPr>
              <w:pStyle w:val="PP-heading"/>
            </w:pPr>
            <w:r w:rsidRPr="00A21FE4">
              <w:t>Evidence statements – surgical (ESAs 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D270345"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CB53B05"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FA5F732"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D0924D6"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2D70054" w14:textId="77777777" w:rsidR="000742CA" w:rsidRPr="00A21FE4" w:rsidRDefault="000742CA" w:rsidP="000742CA">
            <w:pPr>
              <w:ind w:left="113" w:right="113"/>
              <w:jc w:val="center"/>
              <w:rPr>
                <w:b/>
              </w:rPr>
            </w:pPr>
            <w:r w:rsidRPr="00A21FE4">
              <w:rPr>
                <w:b/>
              </w:rPr>
              <w:t>Applicability</w:t>
            </w:r>
          </w:p>
        </w:tc>
      </w:tr>
      <w:tr w:rsidR="000742CA" w:rsidRPr="00A21FE4" w14:paraId="5A325836" w14:textId="77777777" w:rsidTr="000742CA">
        <w:trPr>
          <w:cantSplit/>
        </w:trPr>
        <w:tc>
          <w:tcPr>
            <w:tcW w:w="851" w:type="dxa"/>
          </w:tcPr>
          <w:p w14:paraId="233F5CC5" w14:textId="77777777" w:rsidR="000742CA" w:rsidRPr="00A21FE4" w:rsidRDefault="000742CA" w:rsidP="000742CA">
            <w:pPr>
              <w:pStyle w:val="Tabletext0"/>
            </w:pPr>
            <w:r w:rsidRPr="0023171C">
              <w:t>ES2.51</w:t>
            </w:r>
          </w:p>
        </w:tc>
        <w:tc>
          <w:tcPr>
            <w:tcW w:w="3750" w:type="dxa"/>
          </w:tcPr>
          <w:p w14:paraId="50D6C38A" w14:textId="77777777" w:rsidR="000742CA" w:rsidRPr="00A21FE4" w:rsidRDefault="000742CA" w:rsidP="000742CA">
            <w:pPr>
              <w:pStyle w:val="ES-table"/>
            </w:pPr>
            <w:r w:rsidRPr="00A21FE4">
              <w:t>In neonatal patients undergoing surgery, the effect of ESA therapy (with or without iron) on transfusion incidence or volume is uncertain.</w:t>
            </w:r>
          </w:p>
          <w:p w14:paraId="5A185408" w14:textId="77777777" w:rsidR="000742CA" w:rsidRPr="00A21FE4" w:rsidRDefault="000742CA" w:rsidP="000742CA">
            <w:pPr>
              <w:pStyle w:val="ES-notes"/>
            </w:pPr>
            <w:r w:rsidRPr="00A21FE4">
              <w:t>(See evidence matrix D2.W in Volume 2 of the technical report.)</w:t>
            </w:r>
          </w:p>
        </w:tc>
        <w:tc>
          <w:tcPr>
            <w:tcW w:w="820" w:type="dxa"/>
          </w:tcPr>
          <w:p w14:paraId="725C9B02" w14:textId="77777777" w:rsidR="000742CA" w:rsidRPr="00A21FE4" w:rsidRDefault="000742CA" w:rsidP="000742CA">
            <w:pPr>
              <w:pStyle w:val="T-ABCD"/>
            </w:pPr>
            <w:r w:rsidRPr="00A21FE4">
              <w:t>X</w:t>
            </w:r>
          </w:p>
        </w:tc>
        <w:tc>
          <w:tcPr>
            <w:tcW w:w="821" w:type="dxa"/>
          </w:tcPr>
          <w:p w14:paraId="65B38F57" w14:textId="77777777" w:rsidR="000742CA" w:rsidRPr="00A21FE4" w:rsidRDefault="000742CA" w:rsidP="000742CA">
            <w:pPr>
              <w:pStyle w:val="T-ABCD"/>
            </w:pPr>
            <w:r w:rsidRPr="00A21FE4">
              <w:t>NA</w:t>
            </w:r>
          </w:p>
        </w:tc>
        <w:tc>
          <w:tcPr>
            <w:tcW w:w="821" w:type="dxa"/>
          </w:tcPr>
          <w:p w14:paraId="348EE0EF" w14:textId="77777777" w:rsidR="000742CA" w:rsidRPr="00A21FE4" w:rsidRDefault="000742CA" w:rsidP="000742CA">
            <w:pPr>
              <w:pStyle w:val="T-ABCD"/>
            </w:pPr>
            <w:r w:rsidRPr="00A21FE4">
              <w:sym w:font="Symbol" w:char="F0D6"/>
            </w:r>
          </w:p>
        </w:tc>
        <w:tc>
          <w:tcPr>
            <w:tcW w:w="821" w:type="dxa"/>
          </w:tcPr>
          <w:p w14:paraId="685812FA" w14:textId="77777777" w:rsidR="000742CA" w:rsidRPr="00A21FE4" w:rsidRDefault="000742CA" w:rsidP="000742CA">
            <w:pPr>
              <w:pStyle w:val="T-ABCD"/>
            </w:pPr>
            <w:r w:rsidRPr="00A21FE4">
              <w:sym w:font="Symbol" w:char="F0D6"/>
            </w:r>
            <w:r w:rsidRPr="00A21FE4">
              <w:sym w:font="Symbol" w:char="F0D6"/>
            </w:r>
          </w:p>
        </w:tc>
        <w:tc>
          <w:tcPr>
            <w:tcW w:w="821" w:type="dxa"/>
          </w:tcPr>
          <w:p w14:paraId="15DCFF14" w14:textId="77777777" w:rsidR="000742CA" w:rsidRPr="00A21FE4" w:rsidRDefault="000742CA" w:rsidP="000742CA">
            <w:pPr>
              <w:pStyle w:val="T-ABCD"/>
            </w:pPr>
            <w:r w:rsidRPr="00A21FE4">
              <w:sym w:font="Symbol" w:char="F0D6"/>
            </w:r>
          </w:p>
        </w:tc>
      </w:tr>
      <w:tr w:rsidR="000742CA" w:rsidRPr="00A21FE4" w14:paraId="069A5E24" w14:textId="77777777" w:rsidTr="000742CA">
        <w:trPr>
          <w:cantSplit/>
        </w:trPr>
        <w:tc>
          <w:tcPr>
            <w:tcW w:w="851" w:type="dxa"/>
          </w:tcPr>
          <w:p w14:paraId="586F076D" w14:textId="77777777" w:rsidR="000742CA" w:rsidRPr="00A21FE4" w:rsidRDefault="000742CA" w:rsidP="000742CA">
            <w:pPr>
              <w:pStyle w:val="Tabletext0"/>
            </w:pPr>
            <w:r w:rsidRPr="0023171C">
              <w:t>ES2.52</w:t>
            </w:r>
          </w:p>
        </w:tc>
        <w:tc>
          <w:tcPr>
            <w:tcW w:w="3750" w:type="dxa"/>
          </w:tcPr>
          <w:p w14:paraId="367CCB72" w14:textId="77777777" w:rsidR="000742CA" w:rsidRPr="00A21FE4" w:rsidRDefault="000742CA" w:rsidP="000742CA">
            <w:pPr>
              <w:pStyle w:val="ES-table"/>
            </w:pPr>
            <w:r w:rsidRPr="00A21FE4">
              <w:t>In paediatric patients undergoing surgery, the effect of ESA therapy (with or without iron) on transfusion incidence is uncertain.</w:t>
            </w:r>
          </w:p>
          <w:p w14:paraId="6C95AF00" w14:textId="77777777" w:rsidR="000742CA" w:rsidRPr="00A21FE4" w:rsidRDefault="000742CA" w:rsidP="000742CA">
            <w:pPr>
              <w:pStyle w:val="ES-notes"/>
            </w:pPr>
            <w:r w:rsidRPr="00A21FE4">
              <w:t>(See evidence matrix D2.W in Volume 2 of the technical report.)</w:t>
            </w:r>
          </w:p>
        </w:tc>
        <w:tc>
          <w:tcPr>
            <w:tcW w:w="820" w:type="dxa"/>
          </w:tcPr>
          <w:p w14:paraId="456783FE" w14:textId="77777777" w:rsidR="000742CA" w:rsidRPr="00A21FE4" w:rsidRDefault="000742CA" w:rsidP="000742CA">
            <w:pPr>
              <w:pStyle w:val="T-ABCD"/>
            </w:pPr>
            <w:r w:rsidRPr="00A21FE4">
              <w:t>X</w:t>
            </w:r>
          </w:p>
        </w:tc>
        <w:tc>
          <w:tcPr>
            <w:tcW w:w="821" w:type="dxa"/>
          </w:tcPr>
          <w:p w14:paraId="2F3F7DD1" w14:textId="77777777" w:rsidR="000742CA" w:rsidRPr="00A21FE4" w:rsidRDefault="000742CA" w:rsidP="000742CA">
            <w:pPr>
              <w:pStyle w:val="T-ABCD"/>
            </w:pPr>
            <w:r w:rsidRPr="00A21FE4">
              <w:t>NA</w:t>
            </w:r>
          </w:p>
        </w:tc>
        <w:tc>
          <w:tcPr>
            <w:tcW w:w="821" w:type="dxa"/>
          </w:tcPr>
          <w:p w14:paraId="31CA8CE6" w14:textId="77777777" w:rsidR="000742CA" w:rsidRPr="00A21FE4" w:rsidRDefault="000742CA" w:rsidP="000742CA">
            <w:pPr>
              <w:pStyle w:val="T-ABCD"/>
            </w:pPr>
            <w:r w:rsidRPr="00A21FE4">
              <w:sym w:font="Symbol" w:char="F0D6"/>
            </w:r>
          </w:p>
        </w:tc>
        <w:tc>
          <w:tcPr>
            <w:tcW w:w="821" w:type="dxa"/>
          </w:tcPr>
          <w:p w14:paraId="428C2274" w14:textId="77777777" w:rsidR="000742CA" w:rsidRPr="00A21FE4" w:rsidRDefault="000742CA" w:rsidP="000742CA">
            <w:pPr>
              <w:pStyle w:val="T-ABCD"/>
            </w:pPr>
            <w:r w:rsidRPr="00A21FE4">
              <w:sym w:font="Symbol" w:char="F0D6"/>
            </w:r>
            <w:r w:rsidRPr="00A21FE4">
              <w:sym w:font="Symbol" w:char="F0D6"/>
            </w:r>
          </w:p>
        </w:tc>
        <w:tc>
          <w:tcPr>
            <w:tcW w:w="821" w:type="dxa"/>
          </w:tcPr>
          <w:p w14:paraId="1512A03F" w14:textId="77777777" w:rsidR="000742CA" w:rsidRPr="00A21FE4" w:rsidRDefault="000742CA" w:rsidP="000742CA">
            <w:pPr>
              <w:pStyle w:val="T-ABCD"/>
            </w:pPr>
            <w:r w:rsidRPr="00A21FE4">
              <w:sym w:font="Symbol" w:char="F0D6"/>
            </w:r>
          </w:p>
        </w:tc>
      </w:tr>
      <w:tr w:rsidR="000742CA" w:rsidRPr="00A21FE4" w14:paraId="3994B22A" w14:textId="77777777" w:rsidTr="000742CA">
        <w:trPr>
          <w:cantSplit/>
        </w:trPr>
        <w:tc>
          <w:tcPr>
            <w:tcW w:w="851" w:type="dxa"/>
          </w:tcPr>
          <w:p w14:paraId="6B1A48F7" w14:textId="77777777" w:rsidR="000742CA" w:rsidRPr="00A21FE4" w:rsidRDefault="000742CA" w:rsidP="000742CA">
            <w:pPr>
              <w:pStyle w:val="Tabletext0"/>
            </w:pPr>
            <w:r w:rsidRPr="0023171C">
              <w:t>ES2.53</w:t>
            </w:r>
          </w:p>
        </w:tc>
        <w:tc>
          <w:tcPr>
            <w:tcW w:w="3750" w:type="dxa"/>
          </w:tcPr>
          <w:p w14:paraId="6A6E2D47" w14:textId="77777777" w:rsidR="000742CA" w:rsidRPr="00A21FE4" w:rsidRDefault="000742CA" w:rsidP="000742CA">
            <w:pPr>
              <w:pStyle w:val="ES-table"/>
            </w:pPr>
            <w:r w:rsidRPr="00A21FE4">
              <w:t>In paediatric patients undergoing surgery, the effect of ESA therapy (with or without iron) on transfusion volume is unknown.</w:t>
            </w:r>
          </w:p>
        </w:tc>
        <w:tc>
          <w:tcPr>
            <w:tcW w:w="820" w:type="dxa"/>
          </w:tcPr>
          <w:p w14:paraId="1FCBFF3F" w14:textId="77777777" w:rsidR="000742CA" w:rsidRPr="00A21FE4" w:rsidRDefault="000742CA" w:rsidP="000742CA">
            <w:pPr>
              <w:pStyle w:val="T-ABCD"/>
            </w:pPr>
            <w:r w:rsidRPr="00A21FE4">
              <w:t>NA</w:t>
            </w:r>
          </w:p>
        </w:tc>
        <w:tc>
          <w:tcPr>
            <w:tcW w:w="821" w:type="dxa"/>
          </w:tcPr>
          <w:p w14:paraId="700BD06D" w14:textId="77777777" w:rsidR="000742CA" w:rsidRPr="00A21FE4" w:rsidRDefault="000742CA" w:rsidP="000742CA">
            <w:pPr>
              <w:pStyle w:val="T-ABCD"/>
            </w:pPr>
            <w:r w:rsidRPr="00A21FE4">
              <w:t>NA</w:t>
            </w:r>
          </w:p>
        </w:tc>
        <w:tc>
          <w:tcPr>
            <w:tcW w:w="821" w:type="dxa"/>
          </w:tcPr>
          <w:p w14:paraId="1047DCD0" w14:textId="77777777" w:rsidR="000742CA" w:rsidRPr="00A21FE4" w:rsidRDefault="000742CA" w:rsidP="000742CA">
            <w:pPr>
              <w:pStyle w:val="T-ABCD"/>
            </w:pPr>
            <w:r w:rsidRPr="00A21FE4">
              <w:t>NA</w:t>
            </w:r>
          </w:p>
        </w:tc>
        <w:tc>
          <w:tcPr>
            <w:tcW w:w="821" w:type="dxa"/>
          </w:tcPr>
          <w:p w14:paraId="2FEECABD" w14:textId="77777777" w:rsidR="000742CA" w:rsidRPr="00A21FE4" w:rsidRDefault="000742CA" w:rsidP="000742CA">
            <w:pPr>
              <w:pStyle w:val="T-ABCD"/>
            </w:pPr>
            <w:r w:rsidRPr="00A21FE4">
              <w:t>NA</w:t>
            </w:r>
          </w:p>
        </w:tc>
        <w:tc>
          <w:tcPr>
            <w:tcW w:w="821" w:type="dxa"/>
          </w:tcPr>
          <w:p w14:paraId="76E490D2" w14:textId="77777777" w:rsidR="000742CA" w:rsidRPr="00A21FE4" w:rsidRDefault="000742CA" w:rsidP="000742CA">
            <w:pPr>
              <w:pStyle w:val="T-ABCD"/>
            </w:pPr>
            <w:r w:rsidRPr="00A21FE4">
              <w:t xml:space="preserve">NA </w:t>
            </w:r>
          </w:p>
        </w:tc>
      </w:tr>
      <w:tr w:rsidR="000742CA" w:rsidRPr="00A21FE4" w14:paraId="71086CD7" w14:textId="77777777" w:rsidTr="000742CA">
        <w:trPr>
          <w:cantSplit/>
        </w:trPr>
        <w:tc>
          <w:tcPr>
            <w:tcW w:w="851" w:type="dxa"/>
          </w:tcPr>
          <w:p w14:paraId="1883C210" w14:textId="77777777" w:rsidR="000742CA" w:rsidRPr="00A21FE4" w:rsidRDefault="000742CA" w:rsidP="000742CA">
            <w:pPr>
              <w:pStyle w:val="Tabletext0"/>
            </w:pPr>
            <w:r w:rsidRPr="0023171C">
              <w:t>ES2.54</w:t>
            </w:r>
          </w:p>
        </w:tc>
        <w:tc>
          <w:tcPr>
            <w:tcW w:w="3750" w:type="dxa"/>
          </w:tcPr>
          <w:p w14:paraId="11B89A42" w14:textId="77777777" w:rsidR="000742CA" w:rsidRPr="00A21FE4" w:rsidRDefault="000742CA" w:rsidP="000742CA">
            <w:pPr>
              <w:pStyle w:val="ES-table"/>
            </w:pPr>
            <w:r w:rsidRPr="00A21FE4">
              <w:t>In neonatal patients undergoing cardiac surgery, the effect of ESA therapy compared with no ESA therapy on thromboembolic events is uncertain.</w:t>
            </w:r>
          </w:p>
          <w:p w14:paraId="7202A386" w14:textId="77777777" w:rsidR="000742CA" w:rsidRPr="00A21FE4" w:rsidRDefault="000742CA" w:rsidP="000742CA">
            <w:pPr>
              <w:pStyle w:val="ES-notes"/>
            </w:pPr>
            <w:r w:rsidRPr="00A21FE4">
              <w:t>(See evidence matrix D2.X in Volume 2 of the technical report.)</w:t>
            </w:r>
          </w:p>
        </w:tc>
        <w:tc>
          <w:tcPr>
            <w:tcW w:w="820" w:type="dxa"/>
          </w:tcPr>
          <w:p w14:paraId="6A484BCE" w14:textId="77777777" w:rsidR="000742CA" w:rsidRPr="00A21FE4" w:rsidRDefault="000742CA" w:rsidP="000742CA">
            <w:pPr>
              <w:pStyle w:val="T-ABCD"/>
            </w:pPr>
            <w:r w:rsidRPr="00A21FE4">
              <w:sym w:font="Symbol" w:char="F0D6"/>
            </w:r>
            <w:r w:rsidRPr="00A21FE4">
              <w:sym w:font="Symbol" w:char="F0D6"/>
            </w:r>
          </w:p>
        </w:tc>
        <w:tc>
          <w:tcPr>
            <w:tcW w:w="821" w:type="dxa"/>
          </w:tcPr>
          <w:p w14:paraId="72910F0D" w14:textId="77777777" w:rsidR="000742CA" w:rsidRPr="00A21FE4" w:rsidRDefault="000742CA" w:rsidP="000742CA">
            <w:pPr>
              <w:pStyle w:val="T-ABCD"/>
            </w:pPr>
            <w:r w:rsidRPr="00A21FE4">
              <w:t>NA</w:t>
            </w:r>
          </w:p>
        </w:tc>
        <w:tc>
          <w:tcPr>
            <w:tcW w:w="821" w:type="dxa"/>
          </w:tcPr>
          <w:p w14:paraId="41FB512C" w14:textId="77777777" w:rsidR="000742CA" w:rsidRPr="00A21FE4" w:rsidRDefault="000742CA" w:rsidP="000742CA">
            <w:pPr>
              <w:pStyle w:val="T-ABCD"/>
            </w:pPr>
            <w:r w:rsidRPr="00A21FE4">
              <w:t>NA</w:t>
            </w:r>
          </w:p>
        </w:tc>
        <w:tc>
          <w:tcPr>
            <w:tcW w:w="821" w:type="dxa"/>
          </w:tcPr>
          <w:p w14:paraId="6165CABE" w14:textId="77777777" w:rsidR="000742CA" w:rsidRPr="00A21FE4" w:rsidRDefault="000742CA" w:rsidP="000742CA">
            <w:pPr>
              <w:pStyle w:val="T-ABCD"/>
            </w:pPr>
            <w:r w:rsidRPr="00A21FE4">
              <w:sym w:font="Symbol" w:char="F0D6"/>
            </w:r>
          </w:p>
        </w:tc>
        <w:tc>
          <w:tcPr>
            <w:tcW w:w="821" w:type="dxa"/>
          </w:tcPr>
          <w:p w14:paraId="191FB8FC" w14:textId="77777777" w:rsidR="000742CA" w:rsidRPr="00A21FE4" w:rsidRDefault="000742CA" w:rsidP="000742CA">
            <w:pPr>
              <w:pStyle w:val="T-ABCD"/>
            </w:pPr>
            <w:r w:rsidRPr="00A21FE4">
              <w:sym w:font="Symbol" w:char="F0D6"/>
            </w:r>
          </w:p>
        </w:tc>
      </w:tr>
      <w:tr w:rsidR="000742CA" w:rsidRPr="00A21FE4" w14:paraId="664D85EF" w14:textId="77777777" w:rsidTr="000742CA">
        <w:trPr>
          <w:cantSplit/>
        </w:trPr>
        <w:tc>
          <w:tcPr>
            <w:tcW w:w="851" w:type="dxa"/>
          </w:tcPr>
          <w:p w14:paraId="6B447761" w14:textId="77777777" w:rsidR="000742CA" w:rsidRPr="00A21FE4" w:rsidRDefault="000742CA" w:rsidP="000742CA">
            <w:pPr>
              <w:pStyle w:val="Tabletext0"/>
            </w:pPr>
            <w:r w:rsidRPr="0023171C">
              <w:t>ES2.55</w:t>
            </w:r>
          </w:p>
        </w:tc>
        <w:tc>
          <w:tcPr>
            <w:tcW w:w="3750" w:type="dxa"/>
          </w:tcPr>
          <w:p w14:paraId="3CA4A712" w14:textId="77777777" w:rsidR="000742CA" w:rsidRPr="00A21FE4" w:rsidRDefault="000742CA" w:rsidP="000742CA">
            <w:pPr>
              <w:pStyle w:val="ES-table"/>
            </w:pPr>
            <w:r w:rsidRPr="00A21FE4">
              <w:t>In neonatal patients undergoing noncardiac surgery, the effect of ESA therapy (with or without iron) on thromboembolic events is unknown.</w:t>
            </w:r>
          </w:p>
        </w:tc>
        <w:tc>
          <w:tcPr>
            <w:tcW w:w="820" w:type="dxa"/>
          </w:tcPr>
          <w:p w14:paraId="13AA277F" w14:textId="77777777" w:rsidR="000742CA" w:rsidRPr="00A21FE4" w:rsidRDefault="000742CA" w:rsidP="000742CA">
            <w:pPr>
              <w:pStyle w:val="T-ABCD"/>
            </w:pPr>
            <w:r w:rsidRPr="00A21FE4">
              <w:t>NA</w:t>
            </w:r>
          </w:p>
        </w:tc>
        <w:tc>
          <w:tcPr>
            <w:tcW w:w="821" w:type="dxa"/>
          </w:tcPr>
          <w:p w14:paraId="01B9F155" w14:textId="77777777" w:rsidR="000742CA" w:rsidRPr="00A21FE4" w:rsidRDefault="000742CA" w:rsidP="000742CA">
            <w:pPr>
              <w:pStyle w:val="T-ABCD"/>
            </w:pPr>
            <w:r w:rsidRPr="00A21FE4">
              <w:t>NA</w:t>
            </w:r>
          </w:p>
        </w:tc>
        <w:tc>
          <w:tcPr>
            <w:tcW w:w="821" w:type="dxa"/>
          </w:tcPr>
          <w:p w14:paraId="556BF436" w14:textId="77777777" w:rsidR="000742CA" w:rsidRPr="00A21FE4" w:rsidRDefault="000742CA" w:rsidP="000742CA">
            <w:pPr>
              <w:pStyle w:val="T-ABCD"/>
            </w:pPr>
            <w:r w:rsidRPr="00A21FE4">
              <w:t>NA</w:t>
            </w:r>
          </w:p>
        </w:tc>
        <w:tc>
          <w:tcPr>
            <w:tcW w:w="821" w:type="dxa"/>
          </w:tcPr>
          <w:p w14:paraId="2984AD83" w14:textId="77777777" w:rsidR="000742CA" w:rsidRPr="00A21FE4" w:rsidRDefault="000742CA" w:rsidP="000742CA">
            <w:pPr>
              <w:pStyle w:val="T-ABCD"/>
            </w:pPr>
            <w:r w:rsidRPr="00A21FE4">
              <w:t>NA</w:t>
            </w:r>
          </w:p>
        </w:tc>
        <w:tc>
          <w:tcPr>
            <w:tcW w:w="821" w:type="dxa"/>
          </w:tcPr>
          <w:p w14:paraId="620148AA" w14:textId="77777777" w:rsidR="000742CA" w:rsidRPr="00A21FE4" w:rsidRDefault="000742CA" w:rsidP="000742CA">
            <w:pPr>
              <w:pStyle w:val="T-ABCD"/>
            </w:pPr>
            <w:r w:rsidRPr="00A21FE4">
              <w:t xml:space="preserve">NA </w:t>
            </w:r>
          </w:p>
        </w:tc>
      </w:tr>
      <w:tr w:rsidR="000742CA" w:rsidRPr="00A21FE4" w14:paraId="291E0FE4" w14:textId="77777777" w:rsidTr="000742CA">
        <w:trPr>
          <w:cantSplit/>
        </w:trPr>
        <w:tc>
          <w:tcPr>
            <w:tcW w:w="851" w:type="dxa"/>
          </w:tcPr>
          <w:p w14:paraId="47181C68" w14:textId="77777777" w:rsidR="000742CA" w:rsidRPr="00A21FE4" w:rsidRDefault="000742CA" w:rsidP="000742CA">
            <w:pPr>
              <w:pStyle w:val="Tabletext0"/>
            </w:pPr>
            <w:r w:rsidRPr="0023171C">
              <w:t>ES2.56</w:t>
            </w:r>
          </w:p>
        </w:tc>
        <w:tc>
          <w:tcPr>
            <w:tcW w:w="3750" w:type="dxa"/>
          </w:tcPr>
          <w:p w14:paraId="0306A1EB" w14:textId="77777777" w:rsidR="000742CA" w:rsidRPr="00A21FE4" w:rsidRDefault="000742CA" w:rsidP="000742CA">
            <w:pPr>
              <w:pStyle w:val="ES-table"/>
            </w:pPr>
            <w:r w:rsidRPr="00A21FE4">
              <w:t>In paediatric patients undergoing surgery, the effect of ESA therapy (with or without iron) on thromboembolic events is unknown.</w:t>
            </w:r>
          </w:p>
        </w:tc>
        <w:tc>
          <w:tcPr>
            <w:tcW w:w="820" w:type="dxa"/>
          </w:tcPr>
          <w:p w14:paraId="307E6992" w14:textId="77777777" w:rsidR="000742CA" w:rsidRPr="00A21FE4" w:rsidRDefault="000742CA" w:rsidP="000742CA">
            <w:pPr>
              <w:pStyle w:val="T-ABCD"/>
            </w:pPr>
            <w:r w:rsidRPr="00A21FE4">
              <w:t>NA</w:t>
            </w:r>
          </w:p>
        </w:tc>
        <w:tc>
          <w:tcPr>
            <w:tcW w:w="821" w:type="dxa"/>
          </w:tcPr>
          <w:p w14:paraId="7CA4DE87" w14:textId="77777777" w:rsidR="000742CA" w:rsidRPr="00A21FE4" w:rsidRDefault="000742CA" w:rsidP="000742CA">
            <w:pPr>
              <w:pStyle w:val="T-ABCD"/>
            </w:pPr>
            <w:r w:rsidRPr="00A21FE4">
              <w:t>NA</w:t>
            </w:r>
          </w:p>
        </w:tc>
        <w:tc>
          <w:tcPr>
            <w:tcW w:w="821" w:type="dxa"/>
          </w:tcPr>
          <w:p w14:paraId="5BF9E5BD" w14:textId="77777777" w:rsidR="000742CA" w:rsidRPr="00A21FE4" w:rsidRDefault="000742CA" w:rsidP="000742CA">
            <w:pPr>
              <w:pStyle w:val="T-ABCD"/>
            </w:pPr>
            <w:r w:rsidRPr="00A21FE4">
              <w:t>NA</w:t>
            </w:r>
          </w:p>
        </w:tc>
        <w:tc>
          <w:tcPr>
            <w:tcW w:w="821" w:type="dxa"/>
          </w:tcPr>
          <w:p w14:paraId="1CEF77E0" w14:textId="77777777" w:rsidR="000742CA" w:rsidRPr="00A21FE4" w:rsidRDefault="000742CA" w:rsidP="000742CA">
            <w:pPr>
              <w:pStyle w:val="T-ABCD"/>
            </w:pPr>
            <w:r w:rsidRPr="00A21FE4">
              <w:t>NA</w:t>
            </w:r>
          </w:p>
        </w:tc>
        <w:tc>
          <w:tcPr>
            <w:tcW w:w="821" w:type="dxa"/>
          </w:tcPr>
          <w:p w14:paraId="29D69BA7" w14:textId="77777777" w:rsidR="000742CA" w:rsidRPr="00A21FE4" w:rsidRDefault="000742CA" w:rsidP="000742CA">
            <w:pPr>
              <w:pStyle w:val="T-ABCD"/>
            </w:pPr>
            <w:r w:rsidRPr="00A21FE4">
              <w:t xml:space="preserve">NA </w:t>
            </w:r>
          </w:p>
        </w:tc>
      </w:tr>
      <w:tr w:rsidR="000742CA" w:rsidRPr="00A21FE4" w14:paraId="577E9C91" w14:textId="77777777" w:rsidTr="000742CA">
        <w:trPr>
          <w:cantSplit/>
        </w:trPr>
        <w:tc>
          <w:tcPr>
            <w:tcW w:w="851" w:type="dxa"/>
          </w:tcPr>
          <w:p w14:paraId="0154567A" w14:textId="77777777" w:rsidR="000742CA" w:rsidRPr="00A21FE4" w:rsidRDefault="000742CA" w:rsidP="000742CA">
            <w:pPr>
              <w:pStyle w:val="Tabletext0"/>
            </w:pPr>
            <w:r w:rsidRPr="0023171C">
              <w:t>ES2.57</w:t>
            </w:r>
          </w:p>
        </w:tc>
        <w:tc>
          <w:tcPr>
            <w:tcW w:w="3750" w:type="dxa"/>
          </w:tcPr>
          <w:p w14:paraId="1B864616" w14:textId="77777777" w:rsidR="000742CA" w:rsidRPr="00A21FE4" w:rsidRDefault="000742CA" w:rsidP="000742CA">
            <w:pPr>
              <w:pStyle w:val="ES-table"/>
            </w:pPr>
            <w:r w:rsidRPr="00A21FE4">
              <w:t>In neonatal patients undergoing cardiac surgery, the effect of ESA therapy compared with no ESA therapy on mortality is uncertain.</w:t>
            </w:r>
          </w:p>
          <w:p w14:paraId="093B8394" w14:textId="77777777" w:rsidR="000742CA" w:rsidRPr="00A21FE4" w:rsidRDefault="000742CA" w:rsidP="000742CA">
            <w:pPr>
              <w:pStyle w:val="ES-notes"/>
            </w:pPr>
            <w:r w:rsidRPr="00A21FE4">
              <w:t>(See evidence matrix D2.Y in Volume 2 of the technical report.)</w:t>
            </w:r>
          </w:p>
        </w:tc>
        <w:tc>
          <w:tcPr>
            <w:tcW w:w="820" w:type="dxa"/>
          </w:tcPr>
          <w:p w14:paraId="4B336B9E" w14:textId="77777777" w:rsidR="000742CA" w:rsidRPr="00A21FE4" w:rsidRDefault="000742CA" w:rsidP="000742CA">
            <w:pPr>
              <w:pStyle w:val="T-ABCD"/>
            </w:pPr>
            <w:r w:rsidRPr="00A21FE4">
              <w:sym w:font="Symbol" w:char="F0D6"/>
            </w:r>
            <w:r w:rsidRPr="00A21FE4">
              <w:sym w:font="Symbol" w:char="F0D6"/>
            </w:r>
          </w:p>
        </w:tc>
        <w:tc>
          <w:tcPr>
            <w:tcW w:w="821" w:type="dxa"/>
          </w:tcPr>
          <w:p w14:paraId="0EB459FD" w14:textId="77777777" w:rsidR="000742CA" w:rsidRPr="00A21FE4" w:rsidRDefault="000742CA" w:rsidP="000742CA">
            <w:pPr>
              <w:pStyle w:val="T-ABCD"/>
            </w:pPr>
            <w:r w:rsidRPr="00A21FE4">
              <w:t>NA</w:t>
            </w:r>
          </w:p>
        </w:tc>
        <w:tc>
          <w:tcPr>
            <w:tcW w:w="821" w:type="dxa"/>
          </w:tcPr>
          <w:p w14:paraId="37ED08F1" w14:textId="77777777" w:rsidR="000742CA" w:rsidRPr="00A21FE4" w:rsidRDefault="000742CA" w:rsidP="000742CA">
            <w:pPr>
              <w:pStyle w:val="T-ABCD"/>
            </w:pPr>
            <w:r w:rsidRPr="00A21FE4">
              <w:t>NA</w:t>
            </w:r>
          </w:p>
        </w:tc>
        <w:tc>
          <w:tcPr>
            <w:tcW w:w="821" w:type="dxa"/>
          </w:tcPr>
          <w:p w14:paraId="1B7CCAB6" w14:textId="77777777" w:rsidR="000742CA" w:rsidRPr="00A21FE4" w:rsidRDefault="000742CA" w:rsidP="000742CA">
            <w:pPr>
              <w:pStyle w:val="T-ABCD"/>
            </w:pPr>
            <w:r w:rsidRPr="00A21FE4">
              <w:sym w:font="Symbol" w:char="F0D6"/>
            </w:r>
          </w:p>
        </w:tc>
        <w:tc>
          <w:tcPr>
            <w:tcW w:w="821" w:type="dxa"/>
          </w:tcPr>
          <w:p w14:paraId="1D7974B2" w14:textId="77777777" w:rsidR="000742CA" w:rsidRPr="00A21FE4" w:rsidRDefault="000742CA" w:rsidP="000742CA">
            <w:pPr>
              <w:pStyle w:val="T-ABCD"/>
            </w:pPr>
            <w:r w:rsidRPr="00A21FE4">
              <w:sym w:font="Symbol" w:char="F0D6"/>
            </w:r>
          </w:p>
        </w:tc>
      </w:tr>
      <w:tr w:rsidR="000742CA" w:rsidRPr="00A21FE4" w14:paraId="06EDC108" w14:textId="77777777" w:rsidTr="000742CA">
        <w:trPr>
          <w:cantSplit/>
        </w:trPr>
        <w:tc>
          <w:tcPr>
            <w:tcW w:w="851" w:type="dxa"/>
          </w:tcPr>
          <w:p w14:paraId="2F494097" w14:textId="77777777" w:rsidR="000742CA" w:rsidRPr="00A21FE4" w:rsidRDefault="000742CA" w:rsidP="000742CA">
            <w:pPr>
              <w:pStyle w:val="Tabletext0"/>
            </w:pPr>
            <w:r w:rsidRPr="0023171C">
              <w:t>ES2.58</w:t>
            </w:r>
          </w:p>
        </w:tc>
        <w:tc>
          <w:tcPr>
            <w:tcW w:w="3750" w:type="dxa"/>
          </w:tcPr>
          <w:p w14:paraId="283FB97F" w14:textId="77777777" w:rsidR="000742CA" w:rsidRPr="00A21FE4" w:rsidRDefault="000742CA" w:rsidP="000742CA">
            <w:pPr>
              <w:pStyle w:val="ES-table"/>
            </w:pPr>
            <w:r w:rsidRPr="00A21FE4">
              <w:t>In neonatal patients undergoing noncardiac surgery, the effect of ESA therapy (with or without iron) on mortality is unknown.</w:t>
            </w:r>
          </w:p>
        </w:tc>
        <w:tc>
          <w:tcPr>
            <w:tcW w:w="820" w:type="dxa"/>
          </w:tcPr>
          <w:p w14:paraId="2FBC1268" w14:textId="77777777" w:rsidR="000742CA" w:rsidRPr="00A21FE4" w:rsidRDefault="000742CA" w:rsidP="000742CA">
            <w:pPr>
              <w:pStyle w:val="T-ABCD"/>
            </w:pPr>
            <w:r w:rsidRPr="00A21FE4">
              <w:t>NA</w:t>
            </w:r>
          </w:p>
        </w:tc>
        <w:tc>
          <w:tcPr>
            <w:tcW w:w="821" w:type="dxa"/>
          </w:tcPr>
          <w:p w14:paraId="5D1AEE61" w14:textId="77777777" w:rsidR="000742CA" w:rsidRPr="00A21FE4" w:rsidRDefault="000742CA" w:rsidP="000742CA">
            <w:pPr>
              <w:pStyle w:val="T-ABCD"/>
            </w:pPr>
            <w:r w:rsidRPr="00A21FE4">
              <w:t>NA</w:t>
            </w:r>
          </w:p>
        </w:tc>
        <w:tc>
          <w:tcPr>
            <w:tcW w:w="821" w:type="dxa"/>
          </w:tcPr>
          <w:p w14:paraId="6D37EDD4" w14:textId="77777777" w:rsidR="000742CA" w:rsidRPr="00A21FE4" w:rsidRDefault="000742CA" w:rsidP="000742CA">
            <w:pPr>
              <w:pStyle w:val="T-ABCD"/>
            </w:pPr>
            <w:r w:rsidRPr="00A21FE4">
              <w:t>NA</w:t>
            </w:r>
          </w:p>
        </w:tc>
        <w:tc>
          <w:tcPr>
            <w:tcW w:w="821" w:type="dxa"/>
          </w:tcPr>
          <w:p w14:paraId="15ABE21E" w14:textId="77777777" w:rsidR="000742CA" w:rsidRPr="00A21FE4" w:rsidRDefault="000742CA" w:rsidP="000742CA">
            <w:pPr>
              <w:pStyle w:val="T-ABCD"/>
            </w:pPr>
            <w:r w:rsidRPr="00A21FE4">
              <w:t>NA</w:t>
            </w:r>
          </w:p>
        </w:tc>
        <w:tc>
          <w:tcPr>
            <w:tcW w:w="821" w:type="dxa"/>
          </w:tcPr>
          <w:p w14:paraId="7E0E555D" w14:textId="77777777" w:rsidR="000742CA" w:rsidRPr="00A21FE4" w:rsidRDefault="000742CA" w:rsidP="000742CA">
            <w:pPr>
              <w:pStyle w:val="T-ABCD"/>
            </w:pPr>
            <w:r w:rsidRPr="00A21FE4">
              <w:t xml:space="preserve">NA </w:t>
            </w:r>
          </w:p>
        </w:tc>
      </w:tr>
      <w:tr w:rsidR="000742CA" w:rsidRPr="00A21FE4" w14:paraId="17A6FA05" w14:textId="77777777" w:rsidTr="000742CA">
        <w:trPr>
          <w:cantSplit/>
        </w:trPr>
        <w:tc>
          <w:tcPr>
            <w:tcW w:w="851" w:type="dxa"/>
          </w:tcPr>
          <w:p w14:paraId="6A130747" w14:textId="77777777" w:rsidR="000742CA" w:rsidRPr="00A21FE4" w:rsidRDefault="000742CA" w:rsidP="00B855A4">
            <w:pPr>
              <w:pStyle w:val="Tabletext0"/>
              <w:keepNext/>
            </w:pPr>
            <w:r w:rsidRPr="0023171C">
              <w:t>ES2.59</w:t>
            </w:r>
          </w:p>
        </w:tc>
        <w:tc>
          <w:tcPr>
            <w:tcW w:w="3750" w:type="dxa"/>
          </w:tcPr>
          <w:p w14:paraId="770B118C" w14:textId="77777777" w:rsidR="000742CA" w:rsidRPr="00A21FE4" w:rsidRDefault="000742CA" w:rsidP="00B855A4">
            <w:pPr>
              <w:pStyle w:val="ES-table"/>
            </w:pPr>
            <w:r w:rsidRPr="00A21FE4">
              <w:t>In paediatric patients undergoing surgery, the effect of ESA therapy (with or without iron) on mortality is unknown.</w:t>
            </w:r>
          </w:p>
        </w:tc>
        <w:tc>
          <w:tcPr>
            <w:tcW w:w="820" w:type="dxa"/>
          </w:tcPr>
          <w:p w14:paraId="7EAD1121" w14:textId="77777777" w:rsidR="000742CA" w:rsidRPr="00A21FE4" w:rsidRDefault="000742CA" w:rsidP="00B855A4">
            <w:pPr>
              <w:pStyle w:val="T-ABCD"/>
              <w:keepNext/>
            </w:pPr>
            <w:r w:rsidRPr="00A21FE4">
              <w:t>NA</w:t>
            </w:r>
          </w:p>
        </w:tc>
        <w:tc>
          <w:tcPr>
            <w:tcW w:w="821" w:type="dxa"/>
          </w:tcPr>
          <w:p w14:paraId="50772722" w14:textId="77777777" w:rsidR="000742CA" w:rsidRPr="00A21FE4" w:rsidRDefault="000742CA" w:rsidP="00B855A4">
            <w:pPr>
              <w:pStyle w:val="T-ABCD"/>
              <w:keepNext/>
            </w:pPr>
            <w:r w:rsidRPr="00A21FE4">
              <w:t>NA</w:t>
            </w:r>
          </w:p>
        </w:tc>
        <w:tc>
          <w:tcPr>
            <w:tcW w:w="821" w:type="dxa"/>
          </w:tcPr>
          <w:p w14:paraId="06251ED8" w14:textId="77777777" w:rsidR="000742CA" w:rsidRPr="00A21FE4" w:rsidRDefault="000742CA" w:rsidP="00B855A4">
            <w:pPr>
              <w:pStyle w:val="T-ABCD"/>
              <w:keepNext/>
            </w:pPr>
            <w:r w:rsidRPr="00A21FE4">
              <w:t>NA</w:t>
            </w:r>
          </w:p>
        </w:tc>
        <w:tc>
          <w:tcPr>
            <w:tcW w:w="821" w:type="dxa"/>
          </w:tcPr>
          <w:p w14:paraId="591CEFA0" w14:textId="77777777" w:rsidR="000742CA" w:rsidRPr="00A21FE4" w:rsidRDefault="000742CA" w:rsidP="00B855A4">
            <w:pPr>
              <w:pStyle w:val="T-ABCD"/>
              <w:keepNext/>
            </w:pPr>
            <w:r w:rsidRPr="00A21FE4">
              <w:t>NA</w:t>
            </w:r>
          </w:p>
        </w:tc>
        <w:tc>
          <w:tcPr>
            <w:tcW w:w="821" w:type="dxa"/>
          </w:tcPr>
          <w:p w14:paraId="4621BEF1" w14:textId="77777777" w:rsidR="000742CA" w:rsidRPr="00A21FE4" w:rsidRDefault="000742CA" w:rsidP="00B855A4">
            <w:pPr>
              <w:pStyle w:val="T-ABCD"/>
              <w:keepNext/>
            </w:pPr>
            <w:r w:rsidRPr="00A21FE4">
              <w:t xml:space="preserve">NA </w:t>
            </w:r>
          </w:p>
        </w:tc>
      </w:tr>
      <w:tr w:rsidR="000742CA" w:rsidRPr="00A21FE4" w14:paraId="3768356E" w14:textId="77777777" w:rsidTr="000742CA">
        <w:trPr>
          <w:cantSplit/>
        </w:trPr>
        <w:tc>
          <w:tcPr>
            <w:tcW w:w="8705" w:type="dxa"/>
            <w:gridSpan w:val="7"/>
          </w:tcPr>
          <w:p w14:paraId="7BD25CD1" w14:textId="77777777" w:rsidR="000742CA" w:rsidRPr="00A21FE4" w:rsidRDefault="000742CA" w:rsidP="000742CA">
            <w:pPr>
              <w:pStyle w:val="ES-notes"/>
            </w:pPr>
            <w:r w:rsidRPr="00A21FE4">
              <w:t>ES, evidence statement; ESA, erythropoiesis stimulating agent</w:t>
            </w:r>
          </w:p>
          <w:p w14:paraId="503FB74F"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r w:rsidRPr="00A21FE4">
              <w:tab/>
            </w:r>
          </w:p>
        </w:tc>
      </w:tr>
    </w:tbl>
    <w:p w14:paraId="33D68DBC" w14:textId="77777777" w:rsidR="000742CA" w:rsidRDefault="000742CA" w:rsidP="000742CA">
      <w:pPr>
        <w:pStyle w:val="Head4Num"/>
        <w:ind w:left="1582"/>
      </w:pPr>
    </w:p>
    <w:tbl>
      <w:tblPr>
        <w:tblW w:w="881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25"/>
        <w:gridCol w:w="7693"/>
      </w:tblGrid>
      <w:tr w:rsidR="000742CA" w:rsidRPr="00A21FE4" w14:paraId="5B51400F" w14:textId="77777777" w:rsidTr="00467EEA">
        <w:tc>
          <w:tcPr>
            <w:tcW w:w="8818" w:type="dxa"/>
            <w:gridSpan w:val="2"/>
            <w:tcBorders>
              <w:top w:val="single" w:sz="4" w:space="0" w:color="000000"/>
              <w:left w:val="single" w:sz="4" w:space="0" w:color="000000"/>
              <w:bottom w:val="single" w:sz="4" w:space="0" w:color="000000"/>
              <w:right w:val="single" w:sz="4" w:space="0" w:color="000000"/>
            </w:tcBorders>
            <w:shd w:val="clear" w:color="auto" w:fill="ABE9FF"/>
          </w:tcPr>
          <w:p w14:paraId="490837CB" w14:textId="1F70319C" w:rsidR="000742CA" w:rsidRPr="00E31522" w:rsidRDefault="00E31522" w:rsidP="000742CA">
            <w:pPr>
              <w:pStyle w:val="PP-heading"/>
              <w:rPr>
                <w:lang w:val="en-AU"/>
              </w:rPr>
            </w:pPr>
            <w:r>
              <w:t>Prac</w:t>
            </w:r>
            <w:r w:rsidRPr="00467EEA">
              <w:rPr>
                <w:shd w:val="clear" w:color="auto" w:fill="ABE9FF"/>
              </w:rPr>
              <w:t>t</w:t>
            </w:r>
            <w:r>
              <w:t>ice point</w:t>
            </w:r>
            <w:r w:rsidR="000742CA" w:rsidRPr="00A21FE4">
              <w:t xml:space="preserve"> –</w:t>
            </w:r>
            <w:r>
              <w:rPr>
                <w:lang w:val="en-AU"/>
              </w:rPr>
              <w:t xml:space="preserve"> </w:t>
            </w:r>
            <w:r w:rsidR="006D11A2" w:rsidRPr="00A21FE4">
              <w:t>surgical (ESAs with or without iron)</w:t>
            </w:r>
          </w:p>
        </w:tc>
      </w:tr>
      <w:tr w:rsidR="000742CA" w:rsidRPr="00A21FE4" w14:paraId="45C47D1C" w14:textId="77777777" w:rsidTr="00FD5137">
        <w:tc>
          <w:tcPr>
            <w:tcW w:w="1125" w:type="dxa"/>
            <w:tcBorders>
              <w:right w:val="single" w:sz="4" w:space="0" w:color="auto"/>
            </w:tcBorders>
            <w:shd w:val="clear" w:color="auto" w:fill="auto"/>
          </w:tcPr>
          <w:p w14:paraId="57136D11" w14:textId="77777777" w:rsidR="000742CA" w:rsidRPr="00A21FE4" w:rsidRDefault="000742CA" w:rsidP="00FD5137">
            <w:pPr>
              <w:pStyle w:val="PP"/>
            </w:pPr>
            <w:r w:rsidRPr="00A21FE4">
              <w:t>PP25</w:t>
            </w:r>
          </w:p>
        </w:tc>
        <w:tc>
          <w:tcPr>
            <w:tcW w:w="7693" w:type="dxa"/>
            <w:tcBorders>
              <w:left w:val="single" w:sz="4" w:space="0" w:color="auto"/>
            </w:tcBorders>
            <w:shd w:val="clear" w:color="auto" w:fill="auto"/>
          </w:tcPr>
          <w:p w14:paraId="1F4C1B6A" w14:textId="77777777" w:rsidR="000742CA" w:rsidRPr="00A21FE4" w:rsidRDefault="000742CA" w:rsidP="00FD5137">
            <w:pPr>
              <w:pStyle w:val="PP"/>
            </w:pPr>
            <w:r w:rsidRPr="00A21FE4">
              <w:t xml:space="preserve">In </w:t>
            </w:r>
            <w:r w:rsidRPr="00B20C53">
              <w:t>neonatal</w:t>
            </w:r>
            <w:r w:rsidRPr="00A21FE4">
              <w:t xml:space="preserve"> and paediatric surgical patients, an ESA should only be prescribed in consultation with a paediatric haematologist, and should be combined with iron therapy.</w:t>
            </w:r>
          </w:p>
        </w:tc>
      </w:tr>
      <w:tr w:rsidR="000742CA" w:rsidRPr="00A21FE4" w14:paraId="142B1388" w14:textId="77777777" w:rsidTr="00FD5137">
        <w:trPr>
          <w:trHeight w:val="390"/>
        </w:trPr>
        <w:tc>
          <w:tcPr>
            <w:tcW w:w="8818" w:type="dxa"/>
            <w:gridSpan w:val="2"/>
            <w:shd w:val="clear" w:color="auto" w:fill="auto"/>
          </w:tcPr>
          <w:p w14:paraId="1E007F94" w14:textId="138E45A1" w:rsidR="000742CA" w:rsidRPr="00A21FE4" w:rsidRDefault="000742CA" w:rsidP="00C4691C">
            <w:pPr>
              <w:pStyle w:val="PP-note"/>
            </w:pPr>
            <w:r w:rsidRPr="00A21FE4">
              <w:t>ESA, eryt</w:t>
            </w:r>
            <w:r w:rsidR="00C4691C">
              <w:t xml:space="preserve">hropoiesis stimulating agent; </w:t>
            </w:r>
            <w:r w:rsidRPr="00A21FE4">
              <w:t>PP, practice point</w:t>
            </w:r>
          </w:p>
        </w:tc>
      </w:tr>
    </w:tbl>
    <w:p w14:paraId="5398F5D0" w14:textId="77777777" w:rsidR="000742CA" w:rsidRDefault="000742CA" w:rsidP="000742CA">
      <w:pPr>
        <w:pStyle w:val="Heading4"/>
      </w:pPr>
    </w:p>
    <w:p w14:paraId="2E1B0940" w14:textId="77777777" w:rsidR="000742CA" w:rsidRPr="00200006" w:rsidRDefault="000742CA" w:rsidP="000742CA">
      <w:pPr>
        <w:pStyle w:val="Heading4"/>
      </w:pPr>
      <w:r>
        <w:t>Summary of evidence</w:t>
      </w:r>
    </w:p>
    <w:p w14:paraId="5E3EAA2D" w14:textId="080364F7" w:rsidR="000742CA" w:rsidRPr="00A81A08" w:rsidRDefault="000742CA" w:rsidP="000742CA">
      <w:pPr>
        <w:pStyle w:val="Heading5"/>
        <w:rPr>
          <w:b w:val="0"/>
          <w:i w:val="0"/>
        </w:rPr>
      </w:pPr>
      <w:r w:rsidRPr="00200006">
        <w:rPr>
          <w:b w:val="0"/>
          <w:i w:val="0"/>
        </w:rPr>
        <w:t xml:space="preserve">Three </w:t>
      </w:r>
      <w:r>
        <w:rPr>
          <w:b w:val="0"/>
          <w:i w:val="0"/>
        </w:rPr>
        <w:t xml:space="preserve">Level II </w:t>
      </w:r>
      <w:r w:rsidR="00FD5137">
        <w:rPr>
          <w:b w:val="0"/>
          <w:i w:val="0"/>
        </w:rPr>
        <w:t xml:space="preserve">studies </w:t>
      </w:r>
      <w:r>
        <w:rPr>
          <w:b w:val="0"/>
          <w:i w:val="0"/>
        </w:rPr>
        <w:t xml:space="preserve">of </w:t>
      </w:r>
      <w:r w:rsidR="00AB0986">
        <w:rPr>
          <w:b w:val="0"/>
          <w:i w:val="0"/>
          <w:lang w:val="en-AU"/>
        </w:rPr>
        <w:t>variable</w:t>
      </w:r>
      <w:r>
        <w:rPr>
          <w:b w:val="0"/>
          <w:i w:val="0"/>
        </w:rPr>
        <w:t xml:space="preserve"> quality </w:t>
      </w:r>
      <w:r w:rsidRPr="00200006">
        <w:rPr>
          <w:b w:val="0"/>
          <w:i w:val="0"/>
        </w:rPr>
        <w:t>were identified</w:t>
      </w:r>
      <w:r w:rsidR="00FD5137">
        <w:rPr>
          <w:b w:val="0"/>
          <w:i w:val="0"/>
        </w:rPr>
        <w:t>.</w:t>
      </w:r>
      <w:hyperlink w:anchor="_ENREF_131" w:tooltip="Andropoulos, 2013 #93" w:history="1">
        <w:r w:rsidR="00E62798">
          <w:rPr>
            <w:b w:val="0"/>
            <w:i w:val="0"/>
          </w:rPr>
          <w:fldChar w:fldCharType="begin">
            <w:fldData xml:space="preserve">PEVuZE5vdGU+PENpdGU+PEF1dGhvcj5BbmRyb3BvdWxvczwvQXV0aG9yPjxZZWFyPjIwMTM8L1ll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=
</w:fldData>
          </w:fldChar>
        </w:r>
        <w:r w:rsidR="00E62798">
          <w:rPr>
            <w:b w:val="0"/>
            <w:i w:val="0"/>
          </w:rPr>
          <w:instrText xml:space="preserve"> ADDIN EN.CITE </w:instrText>
        </w:r>
        <w:r w:rsidR="00E62798">
          <w:rPr>
            <w:b w:val="0"/>
            <w:i w:val="0"/>
          </w:rPr>
          <w:fldChar w:fldCharType="begin">
            <w:fldData xml:space="preserve">PEVuZE5vdGU+PENpdGU+PEF1dGhvcj5BbmRyb3BvdWxvczwvQXV0aG9yPjxZZWFyPjIwMTM8L1ll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=
</w:fldData>
          </w:fldChar>
        </w:r>
        <w:r w:rsidR="00E62798">
          <w:rPr>
            <w:b w:val="0"/>
            <w:i w:val="0"/>
          </w:rPr>
          <w:instrText xml:space="preserve"> ADDIN EN.CITE.DATA </w:instrText>
        </w:r>
        <w:r w:rsidR="00E62798">
          <w:rPr>
            <w:b w:val="0"/>
            <w:i w:val="0"/>
          </w:rPr>
        </w:r>
        <w:r w:rsidR="00E62798">
          <w:rPr>
            <w:b w:val="0"/>
            <w:i w:val="0"/>
          </w:rPr>
          <w:fldChar w:fldCharType="end"/>
        </w:r>
        <w:r w:rsidR="00E62798">
          <w:rPr>
            <w:b w:val="0"/>
            <w:i w:val="0"/>
          </w:rPr>
        </w:r>
        <w:r w:rsidR="00E62798">
          <w:rPr>
            <w:b w:val="0"/>
            <w:i w:val="0"/>
          </w:rPr>
          <w:fldChar w:fldCharType="separate"/>
        </w:r>
        <w:r w:rsidR="00E62798" w:rsidRPr="00E62798">
          <w:rPr>
            <w:b w:val="0"/>
            <w:i w:val="0"/>
            <w:noProof/>
            <w:vertAlign w:val="superscript"/>
          </w:rPr>
          <w:t>131-133</w:t>
        </w:r>
        <w:r w:rsidR="00E62798">
          <w:rPr>
            <w:b w:val="0"/>
            <w:i w:val="0"/>
          </w:rPr>
          <w:fldChar w:fldCharType="end"/>
        </w:r>
      </w:hyperlink>
      <w:r>
        <w:rPr>
          <w:b w:val="0"/>
          <w:i w:val="0"/>
        </w:rPr>
        <w:t xml:space="preserve"> Two studie</w:t>
      </w:r>
      <w:r w:rsidR="00FD5137">
        <w:rPr>
          <w:b w:val="0"/>
          <w:i w:val="0"/>
          <w:lang w:val="en-AU"/>
        </w:rPr>
        <w:t>s</w:t>
      </w:r>
      <w:hyperlink w:anchor="_ENREF_131" w:tooltip="Andropoulos, 2013 #93" w:history="1">
        <w:r w:rsidR="00E62798">
          <w:rPr>
            <w:b w:val="0"/>
            <w:i w:val="0"/>
          </w:rPr>
          <w:fldChar w:fldCharType="begin">
            <w:fldData xml:space="preserve">PEVuZE5vdGU+PENpdGU+PEF1dGhvcj5BbmRyb3BvdWxvczwvQXV0aG9yPjxZZWFyPjIwMTM8L1ll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</w:fldData>
          </w:fldChar>
        </w:r>
        <w:r w:rsidR="00E62798">
          <w:rPr>
            <w:b w:val="0"/>
            <w:i w:val="0"/>
          </w:rPr>
          <w:instrText xml:space="preserve"> ADDIN EN.CITE </w:instrText>
        </w:r>
        <w:r w:rsidR="00E62798">
          <w:rPr>
            <w:b w:val="0"/>
            <w:i w:val="0"/>
          </w:rPr>
          <w:fldChar w:fldCharType="begin">
            <w:fldData xml:space="preserve">PEVuZE5vdGU+PENpdGU+PEF1dGhvcj5BbmRyb3BvdWxvczwvQXV0aG9yPjxZZWFyPjIwMTM8L1ll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</w:fldData>
          </w:fldChar>
        </w:r>
        <w:r w:rsidR="00E62798">
          <w:rPr>
            <w:b w:val="0"/>
            <w:i w:val="0"/>
          </w:rPr>
          <w:instrText xml:space="preserve"> ADDIN EN.CITE.DATA </w:instrText>
        </w:r>
        <w:r w:rsidR="00E62798">
          <w:rPr>
            <w:b w:val="0"/>
            <w:i w:val="0"/>
          </w:rPr>
        </w:r>
        <w:r w:rsidR="00E62798">
          <w:rPr>
            <w:b w:val="0"/>
            <w:i w:val="0"/>
          </w:rPr>
          <w:fldChar w:fldCharType="end"/>
        </w:r>
        <w:r w:rsidR="00E62798">
          <w:rPr>
            <w:b w:val="0"/>
            <w:i w:val="0"/>
          </w:rPr>
        </w:r>
        <w:r w:rsidR="00E62798">
          <w:rPr>
            <w:b w:val="0"/>
            <w:i w:val="0"/>
          </w:rPr>
          <w:fldChar w:fldCharType="separate"/>
        </w:r>
        <w:r w:rsidR="00E62798" w:rsidRPr="00E62798">
          <w:rPr>
            <w:b w:val="0"/>
            <w:i w:val="0"/>
            <w:noProof/>
            <w:vertAlign w:val="superscript"/>
          </w:rPr>
          <w:t>131-132</w:t>
        </w:r>
        <w:r w:rsidR="00E62798">
          <w:rPr>
            <w:b w:val="0"/>
            <w:i w:val="0"/>
          </w:rPr>
          <w:fldChar w:fldCharType="end"/>
        </w:r>
      </w:hyperlink>
      <w:r>
        <w:rPr>
          <w:b w:val="0"/>
          <w:i w:val="0"/>
        </w:rPr>
        <w:t xml:space="preserve"> were conducted in the neonatal setting</w:t>
      </w:r>
      <w:r w:rsidR="00FD5137">
        <w:rPr>
          <w:b w:val="0"/>
          <w:i w:val="0"/>
          <w:lang w:val="en-AU"/>
        </w:rPr>
        <w:t>;</w:t>
      </w:r>
      <w:r>
        <w:rPr>
          <w:b w:val="0"/>
          <w:i w:val="0"/>
        </w:rPr>
        <w:t xml:space="preserve"> </w:t>
      </w:r>
      <w:r w:rsidR="00FD5137">
        <w:rPr>
          <w:b w:val="0"/>
          <w:i w:val="0"/>
          <w:lang w:val="en-AU"/>
        </w:rPr>
        <w:t>the other</w:t>
      </w:r>
      <w:hyperlink w:anchor="_ENREF_133" w:tooltip="Fearon, 2002 #96" w:history="1">
        <w:r w:rsidR="00E62798">
          <w:rPr>
            <w:b w:val="0"/>
            <w:i w:val="0"/>
            <w:lang w:val="en-AU"/>
          </w:rPr>
          <w:fldChar w:fldCharType="begin">
            <w:fldData xml:space="preserve">PEVuZE5vdGU+PENpdGU+PEF1dGhvcj5GZWFyb248L0F1dGhvcj48WWVhcj4yMDAyPC9ZZWFyPjxS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==
</w:fldData>
          </w:fldChar>
        </w:r>
        <w:r w:rsidR="00E62798">
          <w:rPr>
            <w:b w:val="0"/>
            <w:i w:val="0"/>
            <w:lang w:val="en-AU"/>
          </w:rPr>
          <w:instrText xml:space="preserve"> ADDIN EN.CITE </w:instrText>
        </w:r>
        <w:r w:rsidR="00E62798">
          <w:rPr>
            <w:b w:val="0"/>
            <w:i w:val="0"/>
            <w:lang w:val="en-AU"/>
          </w:rPr>
          <w:fldChar w:fldCharType="begin">
            <w:fldData xml:space="preserve">PEVuZE5vdGU+PENpdGU+PEF1dGhvcj5GZWFyb248L0F1dGhvcj48WWVhcj4yMDAyPC9ZZWFyPjxS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==
</w:fldData>
          </w:fldChar>
        </w:r>
        <w:r w:rsidR="00E62798">
          <w:rPr>
            <w:b w:val="0"/>
            <w:i w:val="0"/>
            <w:lang w:val="en-AU"/>
          </w:rPr>
          <w:instrText xml:space="preserve"> ADDIN EN.CITE.DATA </w:instrText>
        </w:r>
        <w:r w:rsidR="00E62798">
          <w:rPr>
            <w:b w:val="0"/>
            <w:i w:val="0"/>
            <w:lang w:val="en-AU"/>
          </w:rPr>
        </w:r>
        <w:r w:rsidR="00E62798">
          <w:rPr>
            <w:b w:val="0"/>
            <w:i w:val="0"/>
            <w:lang w:val="en-AU"/>
          </w:rPr>
          <w:fldChar w:fldCharType="end"/>
        </w:r>
        <w:r w:rsidR="00E62798">
          <w:rPr>
            <w:b w:val="0"/>
            <w:i w:val="0"/>
            <w:lang w:val="en-AU"/>
          </w:rPr>
        </w:r>
        <w:r w:rsidR="00E62798">
          <w:rPr>
            <w:b w:val="0"/>
            <w:i w:val="0"/>
            <w:lang w:val="en-AU"/>
          </w:rPr>
          <w:fldChar w:fldCharType="separate"/>
        </w:r>
        <w:r w:rsidR="00E62798" w:rsidRPr="00E62798">
          <w:rPr>
            <w:b w:val="0"/>
            <w:i w:val="0"/>
            <w:noProof/>
            <w:vertAlign w:val="superscript"/>
            <w:lang w:val="en-AU"/>
          </w:rPr>
          <w:t>133</w:t>
        </w:r>
        <w:r w:rsidR="00E62798">
          <w:rPr>
            <w:b w:val="0"/>
            <w:i w:val="0"/>
            <w:lang w:val="en-AU"/>
          </w:rPr>
          <w:fldChar w:fldCharType="end"/>
        </w:r>
      </w:hyperlink>
      <w:r>
        <w:rPr>
          <w:b w:val="0"/>
          <w:i w:val="0"/>
        </w:rPr>
        <w:t xml:space="preserve"> was in infants and small children under</w:t>
      </w:r>
      <w:r w:rsidR="00FD5137">
        <w:rPr>
          <w:b w:val="0"/>
          <w:i w:val="0"/>
        </w:rPr>
        <w:t>going craniosynostosis repair.</w:t>
      </w:r>
    </w:p>
    <w:p w14:paraId="25135698" w14:textId="77777777" w:rsidR="000742CA" w:rsidRDefault="000742CA" w:rsidP="000742CA">
      <w:pPr>
        <w:pStyle w:val="Heading5"/>
        <w:ind w:left="0"/>
      </w:pPr>
    </w:p>
    <w:p w14:paraId="71EDBB50" w14:textId="77777777" w:rsidR="000742CA" w:rsidRDefault="000742CA" w:rsidP="000742CA">
      <w:pPr>
        <w:pStyle w:val="Heading5"/>
      </w:pPr>
      <w:r w:rsidRPr="004667A5">
        <w:t xml:space="preserve">Transfusion incidence </w:t>
      </w:r>
      <w:r>
        <w:t>and volume</w:t>
      </w:r>
    </w:p>
    <w:p w14:paraId="4837F1CF" w14:textId="51347B01" w:rsidR="000742CA" w:rsidRDefault="000742CA" w:rsidP="000742CA">
      <w:r>
        <w:t>Two trials reported the effect of ESAs on transfusion incidence or volume</w:t>
      </w:r>
      <w:r w:rsidR="00FD5137">
        <w:t>.</w:t>
      </w:r>
      <w:hyperlink w:anchor="_ENREF_132" w:tooltip="Bierer, 2009 #94" w:history="1">
        <w:r w:rsidR="00E62798">
          <w:fldChar w:fldCharType="begin">
            <w:fldData xml:space="preserve">PEVuZE5vdGU+PENpdGU+PEF1dGhvcj5CaWVyZXI8L0F1dGhvcj48WWVhcj4yMDA5PC9ZZWFyPjxS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</w:fldData>
          </w:fldChar>
        </w:r>
        <w:r w:rsidR="00E62798">
          <w:instrText xml:space="preserve"> ADDIN EN.CITE </w:instrText>
        </w:r>
        <w:r w:rsidR="00E62798">
          <w:fldChar w:fldCharType="begin">
            <w:fldData xml:space="preserve">PEVuZE5vdGU+PENpdGU+PEF1dGhvcj5CaWVyZXI8L0F1dGhvcj48WWVhcj4yMDA5PC9ZZWFyPjxS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132-133</w:t>
        </w:r>
        <w:r w:rsidR="00E62798">
          <w:fldChar w:fldCharType="end"/>
        </w:r>
      </w:hyperlink>
      <w:r w:rsidR="00FD5137">
        <w:t xml:space="preserve"> </w:t>
      </w:r>
      <w:r>
        <w:t>The trials reported conflicting results; however</w:t>
      </w:r>
      <w:r w:rsidR="00FD5137">
        <w:t>,</w:t>
      </w:r>
      <w:r>
        <w:t xml:space="preserve"> both trials were small and underpowered. </w:t>
      </w:r>
    </w:p>
    <w:p w14:paraId="254474E2" w14:textId="77777777" w:rsidR="000742CA" w:rsidRDefault="000742CA" w:rsidP="000742CA">
      <w:pPr>
        <w:pStyle w:val="Heading5"/>
      </w:pPr>
      <w:r>
        <w:t>Thromboembolic events</w:t>
      </w:r>
    </w:p>
    <w:p w14:paraId="4E44BE0B" w14:textId="56529C26" w:rsidR="000742CA" w:rsidRDefault="00FD5137" w:rsidP="00B05BDA">
      <w:r>
        <w:t>One study</w:t>
      </w:r>
      <w:r w:rsidR="000742CA">
        <w:t xml:space="preserve"> reported that ESAs had no effect on the incidence of cerebral infarction and dural sinus thrombosis in neonatal cardiac surgery patients.</w:t>
      </w:r>
      <w:hyperlink w:anchor="_ENREF_131" w:tooltip="Andropoulos, 2013 #93" w:history="1">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 </w:instrText>
        </w:r>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131</w:t>
        </w:r>
        <w:r w:rsidR="00E62798">
          <w:fldChar w:fldCharType="end"/>
        </w:r>
      </w:hyperlink>
      <w:r w:rsidR="000742CA">
        <w:t xml:space="preserve"> No studies reported thromboembolic events in other infants or older children undergoing surgery. </w:t>
      </w:r>
    </w:p>
    <w:p w14:paraId="3E3B91D3" w14:textId="77777777" w:rsidR="000742CA" w:rsidRDefault="000742CA" w:rsidP="000742CA">
      <w:pPr>
        <w:pStyle w:val="Heading5"/>
      </w:pPr>
      <w:r>
        <w:t>Mortality</w:t>
      </w:r>
    </w:p>
    <w:p w14:paraId="0E561FBA" w14:textId="35051484" w:rsidR="000742CA" w:rsidRDefault="00FD5137" w:rsidP="00B05BDA">
      <w:r>
        <w:t>One study</w:t>
      </w:r>
      <w:r w:rsidR="000742CA">
        <w:t xml:space="preserve"> found no difference in mortality</w:t>
      </w:r>
      <w:r w:rsidR="00A45971">
        <w:t>, but</w:t>
      </w:r>
      <w:r w:rsidR="000742CA">
        <w:t xml:space="preserve"> was small and underpowered.</w:t>
      </w:r>
      <w:hyperlink w:anchor="_ENREF_131" w:tooltip="Andropoulos, 2013 #93" w:history="1">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 </w:instrText>
        </w:r>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131</w:t>
        </w:r>
        <w:r w:rsidR="00E62798">
          <w:fldChar w:fldCharType="end"/>
        </w:r>
      </w:hyperlink>
      <w:r w:rsidR="000742CA">
        <w:t xml:space="preserve"> </w:t>
      </w:r>
      <w:r w:rsidR="00FA6791">
        <w:t>No studies reported</w:t>
      </w:r>
      <w:r w:rsidR="000742CA">
        <w:t xml:space="preserve"> mortality rates in other infants or older children. </w:t>
      </w:r>
    </w:p>
    <w:p w14:paraId="190BCE68" w14:textId="77777777" w:rsidR="000742CA" w:rsidRDefault="000742CA" w:rsidP="000742CA">
      <w:pPr>
        <w:pStyle w:val="Heading5"/>
      </w:pPr>
      <w:r w:rsidRPr="004667A5">
        <w:t>Secondary outcomes</w:t>
      </w:r>
      <w:r>
        <w:rPr>
          <w:rStyle w:val="FootnoteReference"/>
        </w:rPr>
        <w:footnoteReference w:id="8"/>
      </w:r>
      <w:r w:rsidRPr="004667A5">
        <w:t xml:space="preserve"> </w:t>
      </w:r>
    </w:p>
    <w:p w14:paraId="74FA2938" w14:textId="44A17B24" w:rsidR="000742CA" w:rsidRDefault="000742CA" w:rsidP="000742CA">
      <w:pPr>
        <w:pStyle w:val="H6"/>
      </w:pPr>
      <w:r>
        <w:t>Functional</w:t>
      </w:r>
      <w:r w:rsidR="00062DF6">
        <w:t xml:space="preserve"> or </w:t>
      </w:r>
      <w:r>
        <w:t>performance status</w:t>
      </w:r>
    </w:p>
    <w:p w14:paraId="3C0C4773" w14:textId="1D67463B" w:rsidR="000742CA" w:rsidRDefault="00FD5137" w:rsidP="00B05BDA">
      <w:r>
        <w:t>One study</w:t>
      </w:r>
      <w:r w:rsidR="000742CA">
        <w:t xml:space="preserve"> found no difference in neurodevelopmental outcomes, but was underpowered.</w:t>
      </w:r>
      <w:hyperlink w:anchor="_ENREF_131" w:tooltip="Andropoulos, 2013 #93" w:history="1">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 </w:instrText>
        </w:r>
        <w:r w:rsidR="00E62798">
          <w:fldChar w:fldCharType="begin">
            <w:fldData xml:space="preserve">PEVuZE5vdGU+PENpdGU+PEF1dGhvcj5BbmRyb3BvdWxvczwvQXV0aG9yPjxZZWFyPjIwMTM8L1ll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131</w:t>
        </w:r>
        <w:r w:rsidR="00E62798">
          <w:fldChar w:fldCharType="end"/>
        </w:r>
      </w:hyperlink>
      <w:r w:rsidR="000742CA">
        <w:t xml:space="preserve"> No studies reported functional</w:t>
      </w:r>
      <w:r>
        <w:t xml:space="preserve"> </w:t>
      </w:r>
      <w:r w:rsidR="00062DF6">
        <w:t xml:space="preserve">or </w:t>
      </w:r>
      <w:r w:rsidR="000742CA">
        <w:t xml:space="preserve">performance measures in other infants or older children. </w:t>
      </w:r>
    </w:p>
    <w:p w14:paraId="3E1DD53A" w14:textId="77777777" w:rsidR="000742CA" w:rsidRDefault="000742CA" w:rsidP="000742CA">
      <w:pPr>
        <w:pStyle w:val="H6"/>
        <w:rPr>
          <w:lang w:eastAsia="ja-JP"/>
        </w:rPr>
      </w:pPr>
      <w:r>
        <w:rPr>
          <w:lang w:eastAsia="ja-JP"/>
        </w:rPr>
        <w:t xml:space="preserve">Laboratory measures </w:t>
      </w:r>
    </w:p>
    <w:p w14:paraId="1989F2BB" w14:textId="7B256786" w:rsidR="000742CA" w:rsidRDefault="00FD5137" w:rsidP="00B05BDA">
      <w:r>
        <w:t>One study</w:t>
      </w:r>
      <w:r w:rsidR="000742CA">
        <w:t xml:space="preserve"> reported an increase in Hb from baseline in children undergoing craniofacical surgery who were administered </w:t>
      </w:r>
      <w:r w:rsidR="00EB2899">
        <w:t>rHuEPO</w:t>
      </w:r>
      <w:r>
        <w:t>.</w:t>
      </w:r>
      <w:hyperlink w:anchor="_ENREF_133" w:tooltip="Fearon, 2002 #96" w:history="1">
        <w:r w:rsidR="00E62798">
          <w:fldChar w:fldCharType="begin">
            <w:fldData xml:space="preserve">PEVuZE5vdGU+PENpdGU+PEF1dGhvcj5GZWFyb248L0F1dGhvcj48WWVhcj4yMDAyPC9ZZWFyPjxS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==
</w:fldData>
          </w:fldChar>
        </w:r>
        <w:r w:rsidR="00E62798">
          <w:instrText xml:space="preserve"> ADDIN EN.CITE </w:instrText>
        </w:r>
        <w:r w:rsidR="00E62798">
          <w:fldChar w:fldCharType="begin">
            <w:fldData xml:space="preserve">PEVuZE5vdGU+PENpdGU+PEF1dGhvcj5GZWFyb248L0F1dGhvcj48WWVhcj4yMDAyPC9ZZWFyPjxS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==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133</w:t>
        </w:r>
        <w:r w:rsidR="00E62798">
          <w:fldChar w:fldCharType="end"/>
        </w:r>
      </w:hyperlink>
    </w:p>
    <w:p w14:paraId="79286FDD" w14:textId="5FDE983E" w:rsidR="000742CA" w:rsidRPr="00763643" w:rsidRDefault="00763643" w:rsidP="00763643">
      <w:pPr>
        <w:pStyle w:val="Heading3"/>
        <w:rPr>
          <w:lang w:val="en-AU"/>
        </w:rPr>
      </w:pPr>
      <w:bookmarkStart w:id="130" w:name="_Toc427851334"/>
      <w:r>
        <w:rPr>
          <w:lang w:val="en-AU"/>
        </w:rPr>
        <w:t>3.3.12</w:t>
      </w:r>
      <w:r>
        <w:rPr>
          <w:lang w:val="en-AU"/>
        </w:rPr>
        <w:tab/>
      </w:r>
      <w:r>
        <w:t xml:space="preserve">Medical: neonatal </w:t>
      </w:r>
      <w:r>
        <w:rPr>
          <w:lang w:val="en-AU"/>
        </w:rPr>
        <w:t xml:space="preserve">and </w:t>
      </w:r>
      <w:r>
        <w:t>p</w:t>
      </w:r>
      <w:r w:rsidRPr="004667A5">
        <w:t xml:space="preserve">aediatric patients </w:t>
      </w:r>
      <w:r w:rsidR="001944D9">
        <w:rPr>
          <w:lang w:val="en-AU"/>
        </w:rPr>
        <w:t>undergoing</w:t>
      </w:r>
      <w:r>
        <w:rPr>
          <w:lang w:val="en-AU"/>
        </w:rPr>
        <w:t xml:space="preserve"> surgery – effect of oral and/or parenteral iron on outcomes</w:t>
      </w:r>
      <w:bookmarkEnd w:id="130"/>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10"/>
        <w:gridCol w:w="10"/>
        <w:gridCol w:w="821"/>
        <w:gridCol w:w="81"/>
        <w:gridCol w:w="740"/>
        <w:gridCol w:w="54"/>
        <w:gridCol w:w="767"/>
        <w:gridCol w:w="27"/>
        <w:gridCol w:w="794"/>
      </w:tblGrid>
      <w:tr w:rsidR="000742CA" w:rsidRPr="00A21FE4" w14:paraId="04D3CFB1"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1F58619B" w14:textId="77777777" w:rsidR="000742CA" w:rsidRPr="00A21FE4" w:rsidRDefault="000742CA" w:rsidP="000742CA">
            <w:pPr>
              <w:pStyle w:val="PP-heading"/>
            </w:pPr>
            <w:r w:rsidRPr="00A21FE4">
              <w:t>Evidence statements – surgical (oral and/or parenteral iron)</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CA53594" w14:textId="77777777" w:rsidR="000742CA" w:rsidRPr="00A21FE4" w:rsidRDefault="000742CA" w:rsidP="000742CA">
            <w:pPr>
              <w:ind w:left="113" w:right="113"/>
              <w:jc w:val="center"/>
              <w:rPr>
                <w:b/>
              </w:rPr>
            </w:pPr>
            <w:r w:rsidRPr="00A21FE4">
              <w:rPr>
                <w:b/>
              </w:rPr>
              <w:t>Evidence</w:t>
            </w:r>
          </w:p>
        </w:tc>
        <w:tc>
          <w:tcPr>
            <w:tcW w:w="912" w:type="dxa"/>
            <w:gridSpan w:val="3"/>
            <w:tcBorders>
              <w:top w:val="single" w:sz="4" w:space="0" w:color="000000"/>
              <w:left w:val="single" w:sz="4" w:space="0" w:color="000000"/>
              <w:bottom w:val="single" w:sz="4" w:space="0" w:color="000000"/>
              <w:right w:val="single" w:sz="4" w:space="0" w:color="000000"/>
            </w:tcBorders>
            <w:shd w:val="clear" w:color="auto" w:fill="44A9C4"/>
            <w:textDirection w:val="btLr"/>
          </w:tcPr>
          <w:p w14:paraId="09052012" w14:textId="77777777" w:rsidR="000742CA" w:rsidRPr="00A21FE4" w:rsidRDefault="000742CA" w:rsidP="000742CA">
            <w:pPr>
              <w:ind w:left="113" w:right="113"/>
              <w:jc w:val="center"/>
              <w:rPr>
                <w:b/>
              </w:rPr>
            </w:pPr>
            <w:r w:rsidRPr="00A21FE4">
              <w:rPr>
                <w:b/>
              </w:rPr>
              <w:t>Consistency</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44A9C4"/>
            <w:textDirection w:val="btLr"/>
          </w:tcPr>
          <w:p w14:paraId="24AC19F3" w14:textId="77777777" w:rsidR="000742CA" w:rsidRPr="00A21FE4" w:rsidRDefault="000742CA" w:rsidP="000742CA">
            <w:pPr>
              <w:ind w:left="113" w:right="113"/>
              <w:jc w:val="center"/>
              <w:rPr>
                <w:b/>
              </w:rPr>
            </w:pPr>
            <w:r w:rsidRPr="00A21FE4">
              <w:rPr>
                <w:b/>
              </w:rPr>
              <w:t>Clinical impact</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44A9C4"/>
            <w:textDirection w:val="btLr"/>
          </w:tcPr>
          <w:p w14:paraId="796C36B9" w14:textId="77777777" w:rsidR="000742CA" w:rsidRPr="00A21FE4" w:rsidRDefault="000742CA" w:rsidP="000742CA">
            <w:pPr>
              <w:ind w:left="113" w:right="113"/>
              <w:jc w:val="center"/>
              <w:rPr>
                <w:b/>
              </w:rPr>
            </w:pPr>
            <w:r w:rsidRPr="00A21FE4">
              <w:rPr>
                <w:b/>
              </w:rPr>
              <w:t>Generalisability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77C40EE" w14:textId="77777777" w:rsidR="000742CA" w:rsidRPr="00A21FE4" w:rsidRDefault="000742CA" w:rsidP="000742CA">
            <w:pPr>
              <w:ind w:left="113" w:right="113"/>
              <w:jc w:val="center"/>
              <w:rPr>
                <w:b/>
              </w:rPr>
            </w:pPr>
            <w:r w:rsidRPr="00A21FE4">
              <w:rPr>
                <w:b/>
              </w:rPr>
              <w:t>Applicability</w:t>
            </w:r>
          </w:p>
        </w:tc>
      </w:tr>
      <w:tr w:rsidR="000742CA" w:rsidRPr="00A21FE4" w14:paraId="2DC7A21F" w14:textId="77777777" w:rsidTr="000742CA">
        <w:trPr>
          <w:cantSplit/>
        </w:trPr>
        <w:tc>
          <w:tcPr>
            <w:tcW w:w="851" w:type="dxa"/>
          </w:tcPr>
          <w:p w14:paraId="4CD37BFD" w14:textId="77777777" w:rsidR="000742CA" w:rsidRPr="00372CA1" w:rsidRDefault="000742CA" w:rsidP="000742CA">
            <w:pPr>
              <w:pStyle w:val="Tabletext0"/>
              <w:rPr>
                <w:vanish/>
              </w:rPr>
            </w:pPr>
            <w:r w:rsidRPr="00FD7E0E">
              <w:t>ES2.60</w:t>
            </w:r>
          </w:p>
        </w:tc>
        <w:tc>
          <w:tcPr>
            <w:tcW w:w="3750" w:type="dxa"/>
          </w:tcPr>
          <w:p w14:paraId="684865B6" w14:textId="77777777" w:rsidR="000742CA" w:rsidRPr="00A21FE4" w:rsidRDefault="000742CA" w:rsidP="000742CA">
            <w:pPr>
              <w:pStyle w:val="ES-table"/>
            </w:pPr>
            <w:r w:rsidRPr="00A21FE4">
              <w:t>In neonatal and paediatric patients undergoing surgery, the effect of iron compared with no iron on transfusion incidence or volume is unknown.</w:t>
            </w:r>
          </w:p>
        </w:tc>
        <w:tc>
          <w:tcPr>
            <w:tcW w:w="820" w:type="dxa"/>
            <w:gridSpan w:val="2"/>
          </w:tcPr>
          <w:p w14:paraId="3C72D7ED" w14:textId="77777777" w:rsidR="000742CA" w:rsidRPr="00A21FE4" w:rsidRDefault="000742CA" w:rsidP="000742CA">
            <w:pPr>
              <w:pStyle w:val="T-ABCD"/>
            </w:pPr>
            <w:r w:rsidRPr="00A21FE4">
              <w:t>NA</w:t>
            </w:r>
          </w:p>
        </w:tc>
        <w:tc>
          <w:tcPr>
            <w:tcW w:w="821" w:type="dxa"/>
          </w:tcPr>
          <w:p w14:paraId="1CD26CA7" w14:textId="77777777" w:rsidR="000742CA" w:rsidRPr="00A21FE4" w:rsidRDefault="000742CA" w:rsidP="000742CA">
            <w:pPr>
              <w:pStyle w:val="T-ABCD"/>
            </w:pPr>
            <w:r w:rsidRPr="00A21FE4">
              <w:t>NA</w:t>
            </w:r>
          </w:p>
        </w:tc>
        <w:tc>
          <w:tcPr>
            <w:tcW w:w="821" w:type="dxa"/>
            <w:gridSpan w:val="2"/>
          </w:tcPr>
          <w:p w14:paraId="4F9EF611" w14:textId="77777777" w:rsidR="000742CA" w:rsidRPr="00A21FE4" w:rsidRDefault="000742CA" w:rsidP="000742CA">
            <w:pPr>
              <w:pStyle w:val="T-ABCD"/>
            </w:pPr>
            <w:r w:rsidRPr="00A21FE4">
              <w:t>NA</w:t>
            </w:r>
          </w:p>
        </w:tc>
        <w:tc>
          <w:tcPr>
            <w:tcW w:w="821" w:type="dxa"/>
            <w:gridSpan w:val="2"/>
          </w:tcPr>
          <w:p w14:paraId="2052DB3F" w14:textId="77777777" w:rsidR="000742CA" w:rsidRPr="00A21FE4" w:rsidRDefault="000742CA" w:rsidP="000742CA">
            <w:pPr>
              <w:pStyle w:val="T-ABCD"/>
            </w:pPr>
            <w:r w:rsidRPr="00A21FE4">
              <w:t>NA</w:t>
            </w:r>
          </w:p>
        </w:tc>
        <w:tc>
          <w:tcPr>
            <w:tcW w:w="821" w:type="dxa"/>
            <w:gridSpan w:val="2"/>
          </w:tcPr>
          <w:p w14:paraId="25B1B709" w14:textId="77777777" w:rsidR="000742CA" w:rsidRPr="00A21FE4" w:rsidRDefault="000742CA" w:rsidP="000742CA">
            <w:pPr>
              <w:pStyle w:val="T-ABCD"/>
            </w:pPr>
            <w:r w:rsidRPr="00A21FE4">
              <w:t xml:space="preserve">NA </w:t>
            </w:r>
          </w:p>
        </w:tc>
      </w:tr>
      <w:tr w:rsidR="000742CA" w:rsidRPr="00A21FE4" w14:paraId="687F9495" w14:textId="77777777" w:rsidTr="000742CA">
        <w:trPr>
          <w:cantSplit/>
        </w:trPr>
        <w:tc>
          <w:tcPr>
            <w:tcW w:w="851" w:type="dxa"/>
          </w:tcPr>
          <w:p w14:paraId="5EA34E89" w14:textId="77777777" w:rsidR="000742CA" w:rsidRPr="00A21FE4" w:rsidRDefault="000742CA" w:rsidP="000742CA">
            <w:pPr>
              <w:pStyle w:val="Tabletext0"/>
            </w:pPr>
            <w:r w:rsidRPr="00372CA1">
              <w:t>ES2</w:t>
            </w:r>
            <w:r w:rsidRPr="00FD7E0E">
              <w:t>.61</w:t>
            </w:r>
          </w:p>
        </w:tc>
        <w:tc>
          <w:tcPr>
            <w:tcW w:w="3750" w:type="dxa"/>
          </w:tcPr>
          <w:p w14:paraId="3A08BE5A" w14:textId="77777777" w:rsidR="000742CA" w:rsidRPr="00A21FE4" w:rsidRDefault="000742CA" w:rsidP="000742CA">
            <w:pPr>
              <w:pStyle w:val="ES-table"/>
            </w:pPr>
            <w:r w:rsidRPr="00A21FE4">
              <w:t>In neonatal and paediatric patients undergoing surgery, the effect of iron compared with no iron on mortality is unknown.</w:t>
            </w:r>
          </w:p>
        </w:tc>
        <w:tc>
          <w:tcPr>
            <w:tcW w:w="820" w:type="dxa"/>
            <w:gridSpan w:val="2"/>
          </w:tcPr>
          <w:p w14:paraId="7C7B61B3" w14:textId="77777777" w:rsidR="000742CA" w:rsidRPr="00A21FE4" w:rsidRDefault="000742CA" w:rsidP="000742CA">
            <w:pPr>
              <w:pStyle w:val="T-ABCD"/>
            </w:pPr>
            <w:r w:rsidRPr="00A21FE4">
              <w:t>NA</w:t>
            </w:r>
          </w:p>
        </w:tc>
        <w:tc>
          <w:tcPr>
            <w:tcW w:w="821" w:type="dxa"/>
          </w:tcPr>
          <w:p w14:paraId="24601C85" w14:textId="77777777" w:rsidR="000742CA" w:rsidRPr="00A21FE4" w:rsidRDefault="000742CA" w:rsidP="000742CA">
            <w:pPr>
              <w:pStyle w:val="T-ABCD"/>
            </w:pPr>
            <w:r w:rsidRPr="00A21FE4">
              <w:t>NA</w:t>
            </w:r>
          </w:p>
        </w:tc>
        <w:tc>
          <w:tcPr>
            <w:tcW w:w="821" w:type="dxa"/>
            <w:gridSpan w:val="2"/>
          </w:tcPr>
          <w:p w14:paraId="1632E3F9" w14:textId="77777777" w:rsidR="000742CA" w:rsidRPr="00A21FE4" w:rsidRDefault="000742CA" w:rsidP="000742CA">
            <w:pPr>
              <w:pStyle w:val="T-ABCD"/>
            </w:pPr>
            <w:r w:rsidRPr="00A21FE4">
              <w:t>NA</w:t>
            </w:r>
          </w:p>
        </w:tc>
        <w:tc>
          <w:tcPr>
            <w:tcW w:w="821" w:type="dxa"/>
            <w:gridSpan w:val="2"/>
          </w:tcPr>
          <w:p w14:paraId="39609023" w14:textId="77777777" w:rsidR="000742CA" w:rsidRPr="00A21FE4" w:rsidRDefault="000742CA" w:rsidP="000742CA">
            <w:pPr>
              <w:pStyle w:val="T-ABCD"/>
            </w:pPr>
            <w:r w:rsidRPr="00A21FE4">
              <w:t>NA</w:t>
            </w:r>
          </w:p>
        </w:tc>
        <w:tc>
          <w:tcPr>
            <w:tcW w:w="821" w:type="dxa"/>
            <w:gridSpan w:val="2"/>
          </w:tcPr>
          <w:p w14:paraId="48866FE6" w14:textId="77777777" w:rsidR="000742CA" w:rsidRPr="00A21FE4" w:rsidRDefault="000742CA" w:rsidP="000742CA">
            <w:pPr>
              <w:pStyle w:val="T-ABCD"/>
            </w:pPr>
            <w:r w:rsidRPr="00A21FE4">
              <w:t xml:space="preserve">NA </w:t>
            </w:r>
          </w:p>
        </w:tc>
      </w:tr>
      <w:tr w:rsidR="000742CA" w:rsidRPr="00A21FE4" w14:paraId="1C733ECB" w14:textId="77777777" w:rsidTr="000742CA">
        <w:trPr>
          <w:cantSplit/>
        </w:trPr>
        <w:tc>
          <w:tcPr>
            <w:tcW w:w="8705" w:type="dxa"/>
            <w:gridSpan w:val="11"/>
          </w:tcPr>
          <w:p w14:paraId="017403A8" w14:textId="77777777" w:rsidR="000742CA" w:rsidRPr="00A21FE4" w:rsidRDefault="000742CA" w:rsidP="000742CA">
            <w:pPr>
              <w:pStyle w:val="ES-notes"/>
            </w:pPr>
            <w:r w:rsidRPr="00A21FE4">
              <w:t>ES, evidence statement</w:t>
            </w:r>
          </w:p>
          <w:p w14:paraId="5ABCEA3E"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0C3CB0C4" w14:textId="77777777" w:rsidR="000742CA" w:rsidRPr="00A21FE4" w:rsidRDefault="000742CA" w:rsidP="000742CA">
      <w:pPr>
        <w:pStyle w:val="BodyText"/>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89"/>
        <w:gridCol w:w="7488"/>
      </w:tblGrid>
      <w:tr w:rsidR="000742CA" w:rsidRPr="00A21FE4" w14:paraId="70500ECA"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00B0F0"/>
          </w:tcPr>
          <w:p w14:paraId="0F55F977" w14:textId="44B50F43" w:rsidR="000742CA" w:rsidRPr="00E31522" w:rsidRDefault="000742CA" w:rsidP="005E38DA">
            <w:pPr>
              <w:pStyle w:val="PP-heading"/>
              <w:rPr>
                <w:lang w:val="en-AU"/>
              </w:rPr>
            </w:pPr>
            <w:r w:rsidRPr="00A21FE4">
              <w:t xml:space="preserve">Recommendation – surgical </w:t>
            </w:r>
            <w:r w:rsidR="00E31522">
              <w:rPr>
                <w:lang w:val="en-AU"/>
              </w:rPr>
              <w:t>(oral and/or parenteral iron)</w:t>
            </w:r>
          </w:p>
        </w:tc>
      </w:tr>
      <w:tr w:rsidR="000742CA" w:rsidRPr="00A21FE4" w14:paraId="7D6CF8A4" w14:textId="77777777" w:rsidTr="00FD5137">
        <w:tc>
          <w:tcPr>
            <w:tcW w:w="1189" w:type="dxa"/>
            <w:tcBorders>
              <w:right w:val="single" w:sz="4" w:space="0" w:color="auto"/>
            </w:tcBorders>
            <w:shd w:val="clear" w:color="auto" w:fill="auto"/>
          </w:tcPr>
          <w:p w14:paraId="1CB2B036" w14:textId="07D92850" w:rsidR="000742CA" w:rsidRPr="00A21FE4" w:rsidRDefault="000742CA" w:rsidP="00062DF6">
            <w:pPr>
              <w:pStyle w:val="PP"/>
            </w:pPr>
            <w:r w:rsidRPr="00A21FE4">
              <w:t>R5</w:t>
            </w:r>
            <w:r w:rsidR="00062DF6" w:rsidRPr="00A21FE4" w:rsidDel="00062DF6">
              <w:t xml:space="preserve"> </w:t>
            </w:r>
            <w:r w:rsidR="00062DF6">
              <w:br/>
            </w:r>
            <w:r w:rsidRPr="00A21FE4">
              <w:t>(Grade C)</w:t>
            </w:r>
          </w:p>
        </w:tc>
        <w:tc>
          <w:tcPr>
            <w:tcW w:w="7488" w:type="dxa"/>
            <w:tcBorders>
              <w:left w:val="single" w:sz="4" w:space="0" w:color="auto"/>
            </w:tcBorders>
            <w:shd w:val="clear" w:color="auto" w:fill="auto"/>
          </w:tcPr>
          <w:p w14:paraId="0E1EC61C" w14:textId="50B69F4E" w:rsidR="000742CA" w:rsidRPr="00A21FE4" w:rsidRDefault="000742CA" w:rsidP="00FD5137">
            <w:pPr>
              <w:pStyle w:val="PP"/>
            </w:pPr>
            <w:r w:rsidRPr="00A21FE4">
              <w:t>In surgical paediatric patients with or at risk of</w:t>
            </w:r>
            <w:r w:rsidR="00062DF6">
              <w:rPr>
                <w:lang w:val="en-AU"/>
              </w:rPr>
              <w:t xml:space="preserve"> IDA</w:t>
            </w:r>
            <w:r w:rsidRPr="00A21FE4">
              <w:t>, preoperative iron therapy is recommended.</w:t>
            </w:r>
            <w:r w:rsidRPr="00A21FE4">
              <w:rPr>
                <w:vertAlign w:val="superscript"/>
              </w:rPr>
              <w:t>a</w:t>
            </w:r>
            <w:r w:rsidRPr="00A21FE4">
              <w:t xml:space="preserve"> </w:t>
            </w:r>
          </w:p>
          <w:p w14:paraId="4DA2E661" w14:textId="2F8C74A9" w:rsidR="000742CA" w:rsidRPr="00A21FE4" w:rsidRDefault="000742CA" w:rsidP="00E62798">
            <w:pPr>
              <w:pStyle w:val="PP-note"/>
            </w:pPr>
            <w:r w:rsidRPr="00A21FE4">
              <w:rPr>
                <w:vertAlign w:val="superscript"/>
              </w:rPr>
              <w:t>a</w:t>
            </w:r>
            <w:r w:rsidRPr="00A21FE4">
              <w:t xml:space="preserve"> </w:t>
            </w:r>
            <w:r w:rsidR="00CE5AC9">
              <w:t>See</w:t>
            </w:r>
            <w:r w:rsidRPr="00A21FE4">
              <w:t xml:space="preserve"> R4 in </w:t>
            </w:r>
            <w:r w:rsidRPr="00A21FE4">
              <w:rPr>
                <w:i/>
              </w:rPr>
              <w:t>Patient Blood Management Guidelines: Module 2 – Perioperative</w:t>
            </w:r>
            <w:r w:rsidR="0008560B">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0742CA" w:rsidRPr="00A21FE4" w14:paraId="7F7EA146"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737F8E2F" w14:textId="71175C32" w:rsidR="000742CA" w:rsidRPr="00A21FE4" w:rsidRDefault="000742CA" w:rsidP="005E38DA">
            <w:pPr>
              <w:pStyle w:val="PP-heading"/>
            </w:pPr>
            <w:r w:rsidRPr="00A21FE4">
              <w:t xml:space="preserve">Practice points – </w:t>
            </w:r>
            <w:r w:rsidR="00E31522" w:rsidRPr="00A21FE4">
              <w:t xml:space="preserve">surgical </w:t>
            </w:r>
            <w:r w:rsidR="00E31522">
              <w:rPr>
                <w:lang w:val="en-AU"/>
              </w:rPr>
              <w:t>(oral and/or parenteral iron)</w:t>
            </w:r>
          </w:p>
        </w:tc>
      </w:tr>
      <w:tr w:rsidR="000742CA" w:rsidRPr="00A21FE4" w14:paraId="0F8C44C2" w14:textId="77777777" w:rsidTr="00C4691C">
        <w:tc>
          <w:tcPr>
            <w:tcW w:w="1189" w:type="dxa"/>
            <w:tcBorders>
              <w:right w:val="single" w:sz="4" w:space="0" w:color="auto"/>
            </w:tcBorders>
            <w:shd w:val="clear" w:color="auto" w:fill="auto"/>
          </w:tcPr>
          <w:p w14:paraId="37FDF28A" w14:textId="77777777" w:rsidR="000742CA" w:rsidRPr="00A21FE4" w:rsidRDefault="000742CA" w:rsidP="00B05BDA">
            <w:pPr>
              <w:pStyle w:val="PP"/>
            </w:pPr>
            <w:r w:rsidRPr="00A21FE4">
              <w:t>PP2</w:t>
            </w:r>
            <w:r>
              <w:t>3</w:t>
            </w:r>
          </w:p>
        </w:tc>
        <w:tc>
          <w:tcPr>
            <w:tcW w:w="7488" w:type="dxa"/>
            <w:tcBorders>
              <w:left w:val="single" w:sz="4" w:space="0" w:color="auto"/>
            </w:tcBorders>
            <w:shd w:val="clear" w:color="auto" w:fill="auto"/>
          </w:tcPr>
          <w:p w14:paraId="244E7891" w14:textId="77777777" w:rsidR="000742CA" w:rsidRPr="00A21FE4" w:rsidRDefault="000742CA" w:rsidP="00B05BDA">
            <w:pPr>
              <w:pStyle w:val="PP"/>
            </w:pPr>
            <w:r w:rsidRPr="00A21FE4">
              <w:t>In neonatal and paediatric surgical patients in whom substantial blood loss is anticipated, preoperative anaemia and iron deficiency</w:t>
            </w:r>
            <w:r w:rsidRPr="00A21FE4">
              <w:rPr>
                <w:vertAlign w:val="superscript"/>
              </w:rPr>
              <w:t>a</w:t>
            </w:r>
            <w:r w:rsidRPr="00A21FE4">
              <w:t xml:space="preserve"> should be identified, evaluated and managed to minimise RBC transfusion.</w:t>
            </w:r>
            <w:r w:rsidRPr="00A21FE4">
              <w:rPr>
                <w:vertAlign w:val="superscript"/>
              </w:rPr>
              <w:t>b</w:t>
            </w:r>
          </w:p>
          <w:p w14:paraId="717423BF" w14:textId="090A592B" w:rsidR="000742CA" w:rsidRPr="00A21FE4" w:rsidRDefault="000742CA" w:rsidP="00B855A4">
            <w:pPr>
              <w:pStyle w:val="PP-note"/>
            </w:pPr>
            <w:r w:rsidRPr="00A21FE4">
              <w:rPr>
                <w:vertAlign w:val="superscript"/>
              </w:rPr>
              <w:t>a</w:t>
            </w:r>
            <w:r w:rsidRPr="00A21FE4">
              <w:t xml:space="preserve"> Iron deficiency can be present with a normal </w:t>
            </w:r>
            <w:r w:rsidR="00B855A4">
              <w:t>Hb</w:t>
            </w:r>
            <w:r w:rsidR="00062DF6">
              <w:t>.</w:t>
            </w:r>
            <w:r w:rsidRPr="00A21FE4">
              <w:br/>
            </w:r>
            <w:r w:rsidRPr="00A21FE4">
              <w:rPr>
                <w:vertAlign w:val="superscript"/>
              </w:rPr>
              <w:t xml:space="preserve">b </w:t>
            </w:r>
            <w:r w:rsidR="00CE5AC9">
              <w:t>See</w:t>
            </w:r>
            <w:r w:rsidRPr="00A21FE4">
              <w:t xml:space="preserve"> </w:t>
            </w:r>
            <w:r w:rsidR="00FD5137">
              <w:t>Appendix G (</w:t>
            </w:r>
            <w:r w:rsidR="00FD5137" w:rsidRPr="00FD5137">
              <w:rPr>
                <w:i/>
              </w:rPr>
              <w:t>Pa</w:t>
            </w:r>
            <w:r w:rsidRPr="00FD5137">
              <w:rPr>
                <w:i/>
              </w:rPr>
              <w:t>ediatric haemoglobin assessment and optimisation template</w:t>
            </w:r>
            <w:r w:rsidRPr="00A21FE4">
              <w:t>) for further information on the optimal dosing strategy.</w:t>
            </w:r>
          </w:p>
        </w:tc>
      </w:tr>
      <w:tr w:rsidR="000742CA" w:rsidRPr="00A21FE4" w14:paraId="1759BE2F" w14:textId="77777777" w:rsidTr="00C4691C">
        <w:tc>
          <w:tcPr>
            <w:tcW w:w="1189" w:type="dxa"/>
            <w:tcBorders>
              <w:right w:val="single" w:sz="4" w:space="0" w:color="auto"/>
            </w:tcBorders>
            <w:shd w:val="clear" w:color="auto" w:fill="auto"/>
          </w:tcPr>
          <w:p w14:paraId="13368F63" w14:textId="77777777" w:rsidR="000742CA" w:rsidRPr="00A21FE4" w:rsidRDefault="000742CA" w:rsidP="00B05BDA">
            <w:pPr>
              <w:pStyle w:val="PP"/>
            </w:pPr>
            <w:r w:rsidRPr="00A21FE4">
              <w:t>PP2</w:t>
            </w:r>
            <w:r>
              <w:t>4</w:t>
            </w:r>
          </w:p>
        </w:tc>
        <w:tc>
          <w:tcPr>
            <w:tcW w:w="7488" w:type="dxa"/>
            <w:tcBorders>
              <w:left w:val="single" w:sz="4" w:space="0" w:color="auto"/>
            </w:tcBorders>
            <w:shd w:val="clear" w:color="auto" w:fill="auto"/>
          </w:tcPr>
          <w:p w14:paraId="2F277254" w14:textId="16919909" w:rsidR="000742CA" w:rsidRPr="00A21FE4" w:rsidRDefault="000742CA" w:rsidP="00C4691C">
            <w:pPr>
              <w:pStyle w:val="PP"/>
            </w:pPr>
            <w:r w:rsidRPr="00A21FE4">
              <w:t>To implement PP2</w:t>
            </w:r>
            <w:r>
              <w:t>3</w:t>
            </w:r>
            <w:r w:rsidRPr="00A21FE4">
              <w:t xml:space="preserve">, patients should be evaluated as early as possible so that scheduling of surgery can be coordinated with optimisation of the patient’s </w:t>
            </w:r>
            <w:r w:rsidR="00C4691C">
              <w:rPr>
                <w:lang w:val="en-AU"/>
              </w:rPr>
              <w:t>Hb</w:t>
            </w:r>
            <w:r w:rsidRPr="00A21FE4">
              <w:t xml:space="preserve"> and iron stores.</w:t>
            </w:r>
          </w:p>
        </w:tc>
      </w:tr>
      <w:tr w:rsidR="000742CA" w:rsidRPr="00A21FE4" w14:paraId="3B0FA66F" w14:textId="77777777" w:rsidTr="00FD5137">
        <w:trPr>
          <w:trHeight w:val="220"/>
        </w:trPr>
        <w:tc>
          <w:tcPr>
            <w:tcW w:w="8677" w:type="dxa"/>
            <w:gridSpan w:val="2"/>
            <w:shd w:val="clear" w:color="auto" w:fill="auto"/>
          </w:tcPr>
          <w:p w14:paraId="68E1D75B" w14:textId="22FE27CB" w:rsidR="000742CA" w:rsidRPr="00A21FE4" w:rsidRDefault="00C4691C" w:rsidP="00C4691C">
            <w:pPr>
              <w:pStyle w:val="PP-note"/>
            </w:pPr>
            <w:r>
              <w:t>Hb, haemoglobin;</w:t>
            </w:r>
            <w:r w:rsidR="000742CA" w:rsidRPr="00A21FE4">
              <w:t xml:space="preserve"> </w:t>
            </w:r>
            <w:r w:rsidR="00062DF6">
              <w:t xml:space="preserve">IDA, </w:t>
            </w:r>
            <w:r w:rsidR="00062DF6" w:rsidRPr="00A21FE4">
              <w:t>iron</w:t>
            </w:r>
            <w:r w:rsidR="00062DF6">
              <w:t xml:space="preserve"> </w:t>
            </w:r>
            <w:r w:rsidR="00062DF6" w:rsidRPr="00A21FE4">
              <w:t>deficiency anaemia</w:t>
            </w:r>
            <w:r w:rsidR="00062DF6">
              <w:t xml:space="preserve">; </w:t>
            </w:r>
            <w:r w:rsidR="000742CA" w:rsidRPr="00A21FE4">
              <w:t xml:space="preserve">PP, practice point; </w:t>
            </w:r>
            <w:r>
              <w:t xml:space="preserve">R, recommendation; </w:t>
            </w:r>
            <w:r w:rsidR="000742CA" w:rsidRPr="00A21FE4">
              <w:t>RBC, red blood cell</w:t>
            </w:r>
          </w:p>
        </w:tc>
      </w:tr>
    </w:tbl>
    <w:p w14:paraId="6270CB23" w14:textId="77777777" w:rsidR="000742CA" w:rsidRPr="00A21FE4" w:rsidRDefault="000742CA" w:rsidP="00E5693A"/>
    <w:p w14:paraId="1C2DDD40" w14:textId="77777777" w:rsidR="000742CA" w:rsidRDefault="000742CA" w:rsidP="000742CA">
      <w:pPr>
        <w:pStyle w:val="Heading4"/>
      </w:pPr>
      <w:r>
        <w:t>Summary of evidence</w:t>
      </w:r>
    </w:p>
    <w:p w14:paraId="268DAA6E" w14:textId="6D0B7453" w:rsidR="000742CA" w:rsidRDefault="00A9462B" w:rsidP="00B05BDA">
      <w:r>
        <w:t xml:space="preserve">No studies </w:t>
      </w:r>
      <w:r w:rsidR="000742CA">
        <w:t>r</w:t>
      </w:r>
      <w:r w:rsidR="000742CA" w:rsidRPr="00B05BDA">
        <w:t>e</w:t>
      </w:r>
      <w:r w:rsidR="000742CA">
        <w:t xml:space="preserve">viewed the safety and efficacy of oral or </w:t>
      </w:r>
      <w:r w:rsidR="00763643">
        <w:t>IV</w:t>
      </w:r>
      <w:r w:rsidR="000742CA">
        <w:t xml:space="preserve"> iron in </w:t>
      </w:r>
      <w:r w:rsidR="00062DF6">
        <w:t xml:space="preserve">neonatal or </w:t>
      </w:r>
      <w:r w:rsidR="000742CA">
        <w:t xml:space="preserve">paediatric patients undergoing surgery. </w:t>
      </w:r>
    </w:p>
    <w:p w14:paraId="23D0110F" w14:textId="421BCF32" w:rsidR="000742CA" w:rsidRPr="00763643" w:rsidRDefault="000742CA" w:rsidP="00F96C85">
      <w:pPr>
        <w:pStyle w:val="BoxHeading"/>
      </w:pPr>
      <w:r w:rsidRPr="00623D81">
        <w:t xml:space="preserve">Clinical </w:t>
      </w:r>
      <w:r w:rsidR="00B05BDA" w:rsidRPr="00623D81">
        <w:t>commentary</w:t>
      </w:r>
      <w:r w:rsidR="00A45971">
        <w:t xml:space="preserve"> </w:t>
      </w:r>
      <w:r w:rsidR="00A45971">
        <w:softHyphen/>
        <w:t xml:space="preserve">– oral </w:t>
      </w:r>
      <w:r w:rsidR="00763643">
        <w:t>or parenteral iron in neonatal and p</w:t>
      </w:r>
      <w:r w:rsidR="00763643" w:rsidRPr="004667A5">
        <w:t xml:space="preserve">aediatric patients </w:t>
      </w:r>
      <w:r w:rsidR="001944D9">
        <w:t>undergoing</w:t>
      </w:r>
      <w:r w:rsidR="00763643">
        <w:t xml:space="preserve"> surgery</w:t>
      </w:r>
    </w:p>
    <w:p w14:paraId="002B30CA" w14:textId="47DA0017" w:rsidR="000742CA" w:rsidRDefault="000742CA" w:rsidP="00F96C85">
      <w:pPr>
        <w:pStyle w:val="BoxText"/>
      </w:pPr>
      <w:r>
        <w:t xml:space="preserve">With the paucity of evidence in </w:t>
      </w:r>
      <w:r w:rsidR="00763643">
        <w:t xml:space="preserve">the paediatric surgical setting, </w:t>
      </w:r>
      <w:r>
        <w:t>a recommendation was based on the evi</w:t>
      </w:r>
      <w:r w:rsidR="00763643">
        <w:t>dence from the adult literature.</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50F44714" w14:textId="6B7A8CB6" w:rsidR="00B2327D" w:rsidRPr="00B2327D" w:rsidRDefault="00B2327D" w:rsidP="00B2327D">
      <w:pPr>
        <w:pStyle w:val="Heading3"/>
        <w:rPr>
          <w:lang w:val="en-AU"/>
        </w:rPr>
      </w:pPr>
      <w:bookmarkStart w:id="131" w:name="_Toc427851335"/>
      <w:r>
        <w:rPr>
          <w:lang w:val="en-AU"/>
        </w:rPr>
        <w:t>3.3.12</w:t>
      </w:r>
      <w:r>
        <w:rPr>
          <w:lang w:val="en-AU"/>
        </w:rPr>
        <w:tab/>
      </w:r>
      <w:r>
        <w:t xml:space="preserve">Critically ill </w:t>
      </w:r>
      <w:r>
        <w:rPr>
          <w:lang w:val="en-AU"/>
        </w:rPr>
        <w:t>term and near term neonatal patients</w:t>
      </w:r>
      <w:r>
        <w:rPr>
          <w:rStyle w:val="FootnoteReference"/>
          <w:lang w:val="en-AU"/>
        </w:rPr>
        <w:footnoteReference w:id="9"/>
      </w:r>
      <w:r>
        <w:rPr>
          <w:lang w:val="en-AU"/>
        </w:rPr>
        <w:t xml:space="preserve"> and </w:t>
      </w:r>
      <w:r>
        <w:t>p</w:t>
      </w:r>
      <w:r w:rsidRPr="004667A5">
        <w:t>aediatric</w:t>
      </w:r>
      <w:r>
        <w:t xml:space="preserve"> patients</w:t>
      </w:r>
      <w:r>
        <w:rPr>
          <w:lang w:val="en-AU"/>
        </w:rPr>
        <w:t xml:space="preserve"> – general</w:t>
      </w:r>
      <w:bookmarkEnd w:id="131"/>
    </w:p>
    <w:p w14:paraId="3AD2E416" w14:textId="77777777" w:rsidR="00A45971" w:rsidRDefault="00A45971" w:rsidP="00A45971">
      <w:pPr>
        <w:pStyle w:val="Heading4"/>
      </w:pPr>
      <w:r>
        <w:t>Background</w:t>
      </w:r>
    </w:p>
    <w:p w14:paraId="2CF8A85C" w14:textId="577505FF" w:rsidR="000742CA" w:rsidRDefault="000742CA" w:rsidP="000742CA">
      <w:r>
        <w:t xml:space="preserve">Critically ill neonates and children admitted to the </w:t>
      </w:r>
      <w:r w:rsidR="00B2327D">
        <w:t>ICU</w:t>
      </w:r>
      <w:r>
        <w:t xml:space="preserve"> are at high risk of receiving a red</w:t>
      </w:r>
      <w:r w:rsidR="00B855A4">
        <w:t xml:space="preserve"> </w:t>
      </w:r>
      <w:r>
        <w:t xml:space="preserve">cell transfusion, </w:t>
      </w:r>
      <w:r w:rsidR="00A45971">
        <w:t>often</w:t>
      </w:r>
      <w:r>
        <w:t xml:space="preserve"> in the setting of stable anaemia.</w:t>
      </w:r>
      <w:r w:rsidR="004828DA">
        <w:t xml:space="preserve"> </w:t>
      </w:r>
    </w:p>
    <w:p w14:paraId="5A5F8F38" w14:textId="5DBB4250" w:rsidR="000742CA" w:rsidRDefault="00A45971" w:rsidP="000742CA">
      <w:r>
        <w:t>Neonatal and p</w:t>
      </w:r>
      <w:r w:rsidR="000742CA">
        <w:t xml:space="preserve">aediatric patients are at risk of anaemia in the critical care setting </w:t>
      </w:r>
      <w:r w:rsidR="00B2327D">
        <w:t>because of the</w:t>
      </w:r>
      <w:r w:rsidR="000742CA">
        <w:t xml:space="preserve"> physiological anaemia of newborns, smaller blood volumes, proportionally higher phlebotomy losses from blood testing and discard volumes (central venous access and arterial lines), surgical related blood loss and malnutrition. </w:t>
      </w:r>
    </w:p>
    <w:p w14:paraId="1F06336F" w14:textId="31981482" w:rsidR="000742CA" w:rsidRDefault="000742CA" w:rsidP="000742CA">
      <w:r>
        <w:t>Iron is one of the main regulators of erythropoiesis</w:t>
      </w:r>
      <w:r w:rsidR="00B2327D">
        <w:t>;</w:t>
      </w:r>
      <w:r>
        <w:t xml:space="preserve"> therefore</w:t>
      </w:r>
      <w:r w:rsidR="00B2327D">
        <w:t>,</w:t>
      </w:r>
      <w:r>
        <w:t xml:space="preserve"> low iron stores and nutritional intake may limit Hb recovery. ESAs promote </w:t>
      </w:r>
      <w:r w:rsidR="00EB3D51">
        <w:t xml:space="preserve">the </w:t>
      </w:r>
      <w:r>
        <w:t>bone</w:t>
      </w:r>
      <w:r w:rsidR="004828DA">
        <w:t xml:space="preserve"> </w:t>
      </w:r>
      <w:r>
        <w:t xml:space="preserve">marrow production of RBCs. </w:t>
      </w:r>
    </w:p>
    <w:p w14:paraId="4BEFE5DE" w14:textId="2EC53F4D" w:rsidR="000742CA" w:rsidRDefault="00EB3D51" w:rsidP="000742CA">
      <w:r>
        <w:t xml:space="preserve">Although </w:t>
      </w:r>
      <w:r w:rsidR="000742CA">
        <w:t>RBC transfusions may be associated with risk and morbidity</w:t>
      </w:r>
      <w:r>
        <w:t>,</w:t>
      </w:r>
      <w:r w:rsidR="000742CA">
        <w:t xml:space="preserve"> </w:t>
      </w:r>
      <w:r w:rsidR="00B2327D">
        <w:t xml:space="preserve">in the adult population, </w:t>
      </w:r>
      <w:r w:rsidR="000742CA">
        <w:t xml:space="preserve">alternatives to transfusion such as ESA therapy are not without complications. </w:t>
      </w:r>
    </w:p>
    <w:p w14:paraId="4D52467F" w14:textId="10C1CE64" w:rsidR="000742CA" w:rsidRPr="00B2327D" w:rsidRDefault="00B2327D" w:rsidP="00B2327D">
      <w:pPr>
        <w:pStyle w:val="Heading3"/>
        <w:rPr>
          <w:lang w:val="en-AU"/>
        </w:rPr>
      </w:pPr>
      <w:bookmarkStart w:id="132" w:name="_Toc427851336"/>
      <w:r>
        <w:rPr>
          <w:lang w:val="en-AU"/>
        </w:rPr>
        <w:t>3.3.13</w:t>
      </w:r>
      <w:r>
        <w:rPr>
          <w:lang w:val="en-AU"/>
        </w:rPr>
        <w:tab/>
      </w:r>
      <w:r>
        <w:t xml:space="preserve">Critically ill </w:t>
      </w:r>
      <w:r>
        <w:rPr>
          <w:lang w:val="en-AU"/>
        </w:rPr>
        <w:t xml:space="preserve">term and near term neonatal patients and </w:t>
      </w:r>
      <w:r>
        <w:t>p</w:t>
      </w:r>
      <w:r w:rsidRPr="004667A5">
        <w:t>aediatric</w:t>
      </w:r>
      <w:r>
        <w:t xml:space="preserve"> and patients</w:t>
      </w:r>
      <w:r>
        <w:rPr>
          <w:lang w:val="en-AU"/>
        </w:rPr>
        <w:t xml:space="preserve"> – effect of ESAs, with or without iron, on outcomes</w:t>
      </w:r>
      <w:bookmarkEnd w:id="132"/>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1AA5A0C8"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68674F99" w14:textId="77777777" w:rsidR="000742CA" w:rsidRPr="00A21FE4" w:rsidRDefault="000742CA" w:rsidP="000742CA">
            <w:pPr>
              <w:pStyle w:val="PP-heading"/>
            </w:pPr>
            <w:r w:rsidRPr="00A21FE4">
              <w:t>Evidence statements – critically ill (ESAs with or without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E659C23"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B23D8B5"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93D8A79"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8F5FB08"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FAC28CA" w14:textId="77777777" w:rsidR="000742CA" w:rsidRPr="00A21FE4" w:rsidRDefault="000742CA" w:rsidP="000742CA">
            <w:pPr>
              <w:ind w:left="113" w:right="113"/>
              <w:jc w:val="center"/>
              <w:rPr>
                <w:b/>
              </w:rPr>
            </w:pPr>
            <w:r w:rsidRPr="00A21FE4">
              <w:rPr>
                <w:b/>
              </w:rPr>
              <w:t>Applicability</w:t>
            </w:r>
          </w:p>
        </w:tc>
      </w:tr>
      <w:tr w:rsidR="000742CA" w:rsidRPr="00A21FE4" w14:paraId="4FEFB487" w14:textId="77777777" w:rsidTr="000742CA">
        <w:trPr>
          <w:cantSplit/>
        </w:trPr>
        <w:tc>
          <w:tcPr>
            <w:tcW w:w="851" w:type="dxa"/>
          </w:tcPr>
          <w:p w14:paraId="5F15D280" w14:textId="77777777" w:rsidR="000742CA" w:rsidRPr="00A21FE4" w:rsidRDefault="000742CA" w:rsidP="000742CA">
            <w:pPr>
              <w:pStyle w:val="Tabletext0"/>
            </w:pPr>
            <w:r w:rsidRPr="007079FC">
              <w:t>ES2.62</w:t>
            </w:r>
          </w:p>
        </w:tc>
        <w:tc>
          <w:tcPr>
            <w:tcW w:w="3750" w:type="dxa"/>
          </w:tcPr>
          <w:p w14:paraId="63395B07" w14:textId="77777777" w:rsidR="000742CA" w:rsidRPr="00A21FE4" w:rsidRDefault="000742CA" w:rsidP="000742CA">
            <w:pPr>
              <w:pStyle w:val="ES-table"/>
            </w:pPr>
            <w:r w:rsidRPr="00A21FE4">
              <w:t>In critically ill neonatal patients, the effect of ESA therapy (with or without iron) on transfusion incidence or volume is unknown.</w:t>
            </w:r>
          </w:p>
        </w:tc>
        <w:tc>
          <w:tcPr>
            <w:tcW w:w="820" w:type="dxa"/>
          </w:tcPr>
          <w:p w14:paraId="2A661647" w14:textId="77777777" w:rsidR="000742CA" w:rsidRPr="00A21FE4" w:rsidRDefault="000742CA" w:rsidP="000742CA">
            <w:pPr>
              <w:pStyle w:val="T-ABCD"/>
            </w:pPr>
            <w:r w:rsidRPr="00A21FE4">
              <w:t>NA</w:t>
            </w:r>
          </w:p>
        </w:tc>
        <w:tc>
          <w:tcPr>
            <w:tcW w:w="821" w:type="dxa"/>
          </w:tcPr>
          <w:p w14:paraId="29716980" w14:textId="77777777" w:rsidR="000742CA" w:rsidRPr="00A21FE4" w:rsidRDefault="000742CA" w:rsidP="000742CA">
            <w:pPr>
              <w:pStyle w:val="T-ABCD"/>
            </w:pPr>
            <w:r w:rsidRPr="00A21FE4">
              <w:t>NA</w:t>
            </w:r>
          </w:p>
        </w:tc>
        <w:tc>
          <w:tcPr>
            <w:tcW w:w="821" w:type="dxa"/>
          </w:tcPr>
          <w:p w14:paraId="7EE926D1" w14:textId="77777777" w:rsidR="000742CA" w:rsidRPr="00A21FE4" w:rsidRDefault="000742CA" w:rsidP="000742CA">
            <w:pPr>
              <w:pStyle w:val="T-ABCD"/>
            </w:pPr>
            <w:r w:rsidRPr="00A21FE4">
              <w:t>NA</w:t>
            </w:r>
          </w:p>
        </w:tc>
        <w:tc>
          <w:tcPr>
            <w:tcW w:w="821" w:type="dxa"/>
          </w:tcPr>
          <w:p w14:paraId="51831F87" w14:textId="77777777" w:rsidR="000742CA" w:rsidRPr="00A21FE4" w:rsidRDefault="000742CA" w:rsidP="000742CA">
            <w:pPr>
              <w:pStyle w:val="T-ABCD"/>
            </w:pPr>
            <w:r w:rsidRPr="00A21FE4">
              <w:t>NA</w:t>
            </w:r>
          </w:p>
        </w:tc>
        <w:tc>
          <w:tcPr>
            <w:tcW w:w="821" w:type="dxa"/>
          </w:tcPr>
          <w:p w14:paraId="2E5D64C5" w14:textId="77777777" w:rsidR="000742CA" w:rsidRPr="00A21FE4" w:rsidRDefault="000742CA" w:rsidP="000742CA">
            <w:pPr>
              <w:pStyle w:val="T-ABCD"/>
            </w:pPr>
            <w:r w:rsidRPr="00A21FE4">
              <w:t xml:space="preserve">NA </w:t>
            </w:r>
          </w:p>
        </w:tc>
      </w:tr>
      <w:tr w:rsidR="000742CA" w:rsidRPr="00A21FE4" w14:paraId="0E07A997" w14:textId="77777777" w:rsidTr="000742CA">
        <w:trPr>
          <w:cantSplit/>
        </w:trPr>
        <w:tc>
          <w:tcPr>
            <w:tcW w:w="851" w:type="dxa"/>
          </w:tcPr>
          <w:p w14:paraId="39ED8C84" w14:textId="77777777" w:rsidR="000742CA" w:rsidRPr="00A21FE4" w:rsidRDefault="000742CA" w:rsidP="000742CA">
            <w:pPr>
              <w:pStyle w:val="Tabletext0"/>
            </w:pPr>
            <w:r w:rsidRPr="007079FC">
              <w:t>ES2.63</w:t>
            </w:r>
          </w:p>
        </w:tc>
        <w:tc>
          <w:tcPr>
            <w:tcW w:w="3750" w:type="dxa"/>
          </w:tcPr>
          <w:p w14:paraId="693465E3" w14:textId="77777777" w:rsidR="000742CA" w:rsidRPr="00A21FE4" w:rsidRDefault="000742CA" w:rsidP="000742CA">
            <w:pPr>
              <w:pStyle w:val="ES-table"/>
            </w:pPr>
            <w:r w:rsidRPr="00A21FE4">
              <w:t xml:space="preserve">In critically ill paediatric patients, the effect of ESA </w:t>
            </w:r>
            <w:r w:rsidRPr="00A21FE4">
              <w:rPr>
                <w:szCs w:val="20"/>
              </w:rPr>
              <w:t xml:space="preserve">therapy </w:t>
            </w:r>
            <w:r w:rsidRPr="00A21FE4">
              <w:t>plus iron compared with iron alone on transfusion volume or incidence is uncertain.</w:t>
            </w:r>
          </w:p>
          <w:p w14:paraId="1A35AFAD" w14:textId="77777777" w:rsidR="000742CA" w:rsidRPr="00A21FE4" w:rsidRDefault="000742CA" w:rsidP="000742CA">
            <w:pPr>
              <w:pStyle w:val="ES-notes"/>
              <w:rPr>
                <w:szCs w:val="20"/>
              </w:rPr>
            </w:pPr>
            <w:r w:rsidRPr="00A21FE4">
              <w:t>(See evidence matrix D2.Z in Volume 2 of the technical report.)</w:t>
            </w:r>
          </w:p>
        </w:tc>
        <w:tc>
          <w:tcPr>
            <w:tcW w:w="820" w:type="dxa"/>
          </w:tcPr>
          <w:p w14:paraId="18A13D24" w14:textId="77777777" w:rsidR="000742CA" w:rsidRPr="00A21FE4" w:rsidRDefault="000742CA" w:rsidP="000742CA">
            <w:pPr>
              <w:pStyle w:val="T-ABCD"/>
            </w:pPr>
            <w:r w:rsidRPr="00A21FE4">
              <w:sym w:font="Symbol" w:char="F0D6"/>
            </w:r>
          </w:p>
        </w:tc>
        <w:tc>
          <w:tcPr>
            <w:tcW w:w="821" w:type="dxa"/>
          </w:tcPr>
          <w:p w14:paraId="7CB357E1" w14:textId="77777777" w:rsidR="000742CA" w:rsidRPr="00A21FE4" w:rsidRDefault="000742CA" w:rsidP="000742CA">
            <w:pPr>
              <w:pStyle w:val="T-ABCD"/>
            </w:pPr>
            <w:r w:rsidRPr="00A21FE4">
              <w:sym w:font="Symbol" w:char="F0D6"/>
            </w:r>
            <w:r w:rsidRPr="00A21FE4">
              <w:sym w:font="Symbol" w:char="F0D6"/>
            </w:r>
            <w:r w:rsidRPr="00A21FE4">
              <w:sym w:font="Symbol" w:char="F0D6"/>
            </w:r>
          </w:p>
        </w:tc>
        <w:tc>
          <w:tcPr>
            <w:tcW w:w="821" w:type="dxa"/>
          </w:tcPr>
          <w:p w14:paraId="073F4FB9" w14:textId="77777777" w:rsidR="000742CA" w:rsidRPr="00A21FE4" w:rsidRDefault="000742CA" w:rsidP="000742CA">
            <w:pPr>
              <w:pStyle w:val="T-ABCD"/>
            </w:pPr>
            <w:r w:rsidRPr="00A21FE4">
              <w:t>NA</w:t>
            </w:r>
          </w:p>
        </w:tc>
        <w:tc>
          <w:tcPr>
            <w:tcW w:w="821" w:type="dxa"/>
          </w:tcPr>
          <w:p w14:paraId="22E21EC9" w14:textId="77777777" w:rsidR="000742CA" w:rsidRPr="00A21FE4" w:rsidRDefault="000742CA" w:rsidP="000742CA">
            <w:pPr>
              <w:pStyle w:val="T-ABCD"/>
            </w:pPr>
            <w:r w:rsidRPr="00A21FE4">
              <w:sym w:font="Symbol" w:char="F0D6"/>
            </w:r>
            <w:r w:rsidRPr="00A21FE4">
              <w:sym w:font="Symbol" w:char="F0D6"/>
            </w:r>
          </w:p>
        </w:tc>
        <w:tc>
          <w:tcPr>
            <w:tcW w:w="821" w:type="dxa"/>
          </w:tcPr>
          <w:p w14:paraId="57C3CFCC" w14:textId="77777777" w:rsidR="000742CA" w:rsidRPr="00A21FE4" w:rsidRDefault="000742CA" w:rsidP="000742CA">
            <w:pPr>
              <w:pStyle w:val="T-ABCD"/>
            </w:pPr>
            <w:r w:rsidRPr="00A21FE4">
              <w:sym w:font="Symbol" w:char="F0D6"/>
            </w:r>
          </w:p>
        </w:tc>
      </w:tr>
      <w:tr w:rsidR="000742CA" w:rsidRPr="00A21FE4" w14:paraId="4BC3BD0F" w14:textId="77777777" w:rsidTr="000742CA">
        <w:trPr>
          <w:cantSplit/>
        </w:trPr>
        <w:tc>
          <w:tcPr>
            <w:tcW w:w="851" w:type="dxa"/>
          </w:tcPr>
          <w:p w14:paraId="5701CF95" w14:textId="77777777" w:rsidR="000742CA" w:rsidRPr="00A21FE4" w:rsidRDefault="000742CA" w:rsidP="000742CA">
            <w:pPr>
              <w:pStyle w:val="Tabletext0"/>
            </w:pPr>
            <w:r w:rsidRPr="007079FC">
              <w:t>ES2.64</w:t>
            </w:r>
          </w:p>
        </w:tc>
        <w:tc>
          <w:tcPr>
            <w:tcW w:w="3750" w:type="dxa"/>
          </w:tcPr>
          <w:p w14:paraId="7B857D23" w14:textId="77777777" w:rsidR="000742CA" w:rsidRPr="00A21FE4" w:rsidRDefault="000742CA" w:rsidP="000742CA">
            <w:pPr>
              <w:pStyle w:val="ES-table"/>
            </w:pPr>
            <w:r w:rsidRPr="00A21FE4">
              <w:t xml:space="preserve">In critically ill neonatal and paediatric patients, the effect of ESA </w:t>
            </w:r>
            <w:r w:rsidRPr="00A21FE4">
              <w:rPr>
                <w:szCs w:val="20"/>
              </w:rPr>
              <w:t xml:space="preserve">therapy </w:t>
            </w:r>
            <w:r w:rsidRPr="00A21FE4">
              <w:t>(with or without iron) on thromboembolic events is unknown.</w:t>
            </w:r>
          </w:p>
        </w:tc>
        <w:tc>
          <w:tcPr>
            <w:tcW w:w="820" w:type="dxa"/>
          </w:tcPr>
          <w:p w14:paraId="4B1EAB24" w14:textId="77777777" w:rsidR="000742CA" w:rsidRPr="00A21FE4" w:rsidRDefault="000742CA" w:rsidP="000742CA">
            <w:pPr>
              <w:pStyle w:val="T-ABCD"/>
            </w:pPr>
            <w:r w:rsidRPr="00A21FE4">
              <w:t>NA</w:t>
            </w:r>
          </w:p>
        </w:tc>
        <w:tc>
          <w:tcPr>
            <w:tcW w:w="821" w:type="dxa"/>
          </w:tcPr>
          <w:p w14:paraId="72984EA1" w14:textId="77777777" w:rsidR="000742CA" w:rsidRPr="00A21FE4" w:rsidRDefault="000742CA" w:rsidP="000742CA">
            <w:pPr>
              <w:pStyle w:val="T-ABCD"/>
            </w:pPr>
            <w:r w:rsidRPr="00A21FE4">
              <w:t>NA</w:t>
            </w:r>
          </w:p>
        </w:tc>
        <w:tc>
          <w:tcPr>
            <w:tcW w:w="821" w:type="dxa"/>
          </w:tcPr>
          <w:p w14:paraId="580D6C6D" w14:textId="77777777" w:rsidR="000742CA" w:rsidRPr="00A21FE4" w:rsidRDefault="000742CA" w:rsidP="000742CA">
            <w:pPr>
              <w:pStyle w:val="T-ABCD"/>
            </w:pPr>
            <w:r w:rsidRPr="00A21FE4">
              <w:t>NA</w:t>
            </w:r>
          </w:p>
        </w:tc>
        <w:tc>
          <w:tcPr>
            <w:tcW w:w="821" w:type="dxa"/>
          </w:tcPr>
          <w:p w14:paraId="160567D8" w14:textId="77777777" w:rsidR="000742CA" w:rsidRPr="00A21FE4" w:rsidRDefault="000742CA" w:rsidP="000742CA">
            <w:pPr>
              <w:pStyle w:val="T-ABCD"/>
            </w:pPr>
            <w:r w:rsidRPr="00A21FE4">
              <w:t>NA</w:t>
            </w:r>
          </w:p>
        </w:tc>
        <w:tc>
          <w:tcPr>
            <w:tcW w:w="821" w:type="dxa"/>
          </w:tcPr>
          <w:p w14:paraId="686D7F91" w14:textId="77777777" w:rsidR="000742CA" w:rsidRPr="00A21FE4" w:rsidRDefault="000742CA" w:rsidP="000742CA">
            <w:pPr>
              <w:pStyle w:val="T-ABCD"/>
            </w:pPr>
            <w:r w:rsidRPr="00A21FE4">
              <w:t xml:space="preserve">NA </w:t>
            </w:r>
          </w:p>
        </w:tc>
      </w:tr>
      <w:tr w:rsidR="000742CA" w:rsidRPr="00A21FE4" w14:paraId="28DA6B50" w14:textId="77777777" w:rsidTr="000742CA">
        <w:trPr>
          <w:cantSplit/>
        </w:trPr>
        <w:tc>
          <w:tcPr>
            <w:tcW w:w="851" w:type="dxa"/>
          </w:tcPr>
          <w:p w14:paraId="2F38CB0E" w14:textId="77777777" w:rsidR="000742CA" w:rsidRPr="00A21FE4" w:rsidRDefault="000742CA" w:rsidP="000742CA">
            <w:pPr>
              <w:pStyle w:val="Tabletext0"/>
            </w:pPr>
            <w:r w:rsidRPr="007079FC">
              <w:t>ES2.65</w:t>
            </w:r>
          </w:p>
        </w:tc>
        <w:tc>
          <w:tcPr>
            <w:tcW w:w="3750" w:type="dxa"/>
          </w:tcPr>
          <w:p w14:paraId="30D2B36D" w14:textId="77777777" w:rsidR="000742CA" w:rsidRPr="00A21FE4" w:rsidRDefault="000742CA" w:rsidP="000742CA">
            <w:pPr>
              <w:pStyle w:val="ES-table"/>
            </w:pPr>
            <w:r w:rsidRPr="00A21FE4">
              <w:t>In critically ill paediatric patients with acute respiratory failure, the effect of ESA therapy plus iron compared with iron alone on mortality is uncertain.</w:t>
            </w:r>
          </w:p>
          <w:p w14:paraId="1E3A202F" w14:textId="77777777" w:rsidR="000742CA" w:rsidRPr="00A21FE4" w:rsidRDefault="000742CA" w:rsidP="000742CA">
            <w:pPr>
              <w:pStyle w:val="ES-notes"/>
            </w:pPr>
            <w:r w:rsidRPr="00A21FE4">
              <w:t>(See evidence matrix D2.AA in Volume 2 of the technical report.)</w:t>
            </w:r>
          </w:p>
        </w:tc>
        <w:tc>
          <w:tcPr>
            <w:tcW w:w="820" w:type="dxa"/>
          </w:tcPr>
          <w:p w14:paraId="36F17EC5" w14:textId="77777777" w:rsidR="000742CA" w:rsidRPr="00A21FE4" w:rsidRDefault="000742CA" w:rsidP="000742CA">
            <w:pPr>
              <w:pStyle w:val="T-ABCD"/>
            </w:pPr>
            <w:r w:rsidRPr="00A21FE4">
              <w:sym w:font="Symbol" w:char="F0D6"/>
            </w:r>
          </w:p>
        </w:tc>
        <w:tc>
          <w:tcPr>
            <w:tcW w:w="821" w:type="dxa"/>
          </w:tcPr>
          <w:p w14:paraId="69992148" w14:textId="77777777" w:rsidR="000742CA" w:rsidRPr="00A21FE4" w:rsidRDefault="000742CA" w:rsidP="000742CA">
            <w:pPr>
              <w:pStyle w:val="T-ABCD"/>
            </w:pPr>
            <w:r w:rsidRPr="00A21FE4">
              <w:t>NA</w:t>
            </w:r>
          </w:p>
        </w:tc>
        <w:tc>
          <w:tcPr>
            <w:tcW w:w="821" w:type="dxa"/>
          </w:tcPr>
          <w:p w14:paraId="329EBF91" w14:textId="77777777" w:rsidR="000742CA" w:rsidRPr="00A21FE4" w:rsidRDefault="000742CA" w:rsidP="000742CA">
            <w:pPr>
              <w:pStyle w:val="T-ABCD"/>
            </w:pPr>
            <w:r w:rsidRPr="00A21FE4">
              <w:t>NA</w:t>
            </w:r>
          </w:p>
        </w:tc>
        <w:tc>
          <w:tcPr>
            <w:tcW w:w="821" w:type="dxa"/>
          </w:tcPr>
          <w:p w14:paraId="0F27F38C" w14:textId="77777777" w:rsidR="000742CA" w:rsidRPr="00A21FE4" w:rsidRDefault="000742CA" w:rsidP="000742CA">
            <w:pPr>
              <w:pStyle w:val="T-ABCD"/>
            </w:pPr>
            <w:r w:rsidRPr="00A21FE4">
              <w:sym w:font="Symbol" w:char="F0D6"/>
            </w:r>
            <w:r w:rsidRPr="00A21FE4">
              <w:sym w:font="Symbol" w:char="F0D6"/>
            </w:r>
          </w:p>
        </w:tc>
        <w:tc>
          <w:tcPr>
            <w:tcW w:w="821" w:type="dxa"/>
          </w:tcPr>
          <w:p w14:paraId="0AB6FB7C" w14:textId="77777777" w:rsidR="000742CA" w:rsidRPr="00A21FE4" w:rsidRDefault="000742CA" w:rsidP="000742CA">
            <w:pPr>
              <w:pStyle w:val="T-ABCD"/>
            </w:pPr>
            <w:r w:rsidRPr="00A21FE4">
              <w:sym w:font="Symbol" w:char="F0D6"/>
            </w:r>
          </w:p>
        </w:tc>
      </w:tr>
      <w:tr w:rsidR="000742CA" w:rsidRPr="00A21FE4" w14:paraId="7729AB15" w14:textId="77777777" w:rsidTr="000742CA">
        <w:trPr>
          <w:cantSplit/>
        </w:trPr>
        <w:tc>
          <w:tcPr>
            <w:tcW w:w="851" w:type="dxa"/>
          </w:tcPr>
          <w:p w14:paraId="5E53966E" w14:textId="77777777" w:rsidR="000742CA" w:rsidRPr="00A21FE4" w:rsidRDefault="000742CA" w:rsidP="00B855A4">
            <w:pPr>
              <w:pStyle w:val="Tabletext0"/>
              <w:keepNext/>
            </w:pPr>
            <w:r w:rsidRPr="007079FC">
              <w:t>ES2.66</w:t>
            </w:r>
          </w:p>
        </w:tc>
        <w:tc>
          <w:tcPr>
            <w:tcW w:w="3750" w:type="dxa"/>
          </w:tcPr>
          <w:p w14:paraId="47BEE6E8" w14:textId="77777777" w:rsidR="000742CA" w:rsidRPr="00A21FE4" w:rsidRDefault="000742CA" w:rsidP="00B855A4">
            <w:pPr>
              <w:pStyle w:val="ES-table"/>
            </w:pPr>
            <w:r w:rsidRPr="00A21FE4">
              <w:t xml:space="preserve">In critically ill neonatal patients, the effect of ESA </w:t>
            </w:r>
            <w:r w:rsidRPr="00A21FE4">
              <w:rPr>
                <w:szCs w:val="20"/>
              </w:rPr>
              <w:t xml:space="preserve">therapy </w:t>
            </w:r>
            <w:r w:rsidRPr="00A21FE4">
              <w:t>(with or without iron) on mortality is unknown.</w:t>
            </w:r>
          </w:p>
        </w:tc>
        <w:tc>
          <w:tcPr>
            <w:tcW w:w="820" w:type="dxa"/>
          </w:tcPr>
          <w:p w14:paraId="01AD302C" w14:textId="77777777" w:rsidR="000742CA" w:rsidRPr="00A21FE4" w:rsidRDefault="000742CA" w:rsidP="00B855A4">
            <w:pPr>
              <w:pStyle w:val="T-ABCD"/>
              <w:keepNext/>
            </w:pPr>
            <w:r w:rsidRPr="00A21FE4">
              <w:t>NA</w:t>
            </w:r>
          </w:p>
        </w:tc>
        <w:tc>
          <w:tcPr>
            <w:tcW w:w="821" w:type="dxa"/>
          </w:tcPr>
          <w:p w14:paraId="6C1DABF3" w14:textId="77777777" w:rsidR="000742CA" w:rsidRPr="00A21FE4" w:rsidRDefault="000742CA" w:rsidP="00B855A4">
            <w:pPr>
              <w:pStyle w:val="T-ABCD"/>
              <w:keepNext/>
            </w:pPr>
            <w:r w:rsidRPr="00A21FE4">
              <w:t>NA</w:t>
            </w:r>
          </w:p>
        </w:tc>
        <w:tc>
          <w:tcPr>
            <w:tcW w:w="821" w:type="dxa"/>
          </w:tcPr>
          <w:p w14:paraId="495A6A50" w14:textId="77777777" w:rsidR="000742CA" w:rsidRPr="00A21FE4" w:rsidRDefault="000742CA" w:rsidP="00B855A4">
            <w:pPr>
              <w:pStyle w:val="T-ABCD"/>
              <w:keepNext/>
            </w:pPr>
            <w:r w:rsidRPr="00A21FE4">
              <w:t>NA</w:t>
            </w:r>
          </w:p>
        </w:tc>
        <w:tc>
          <w:tcPr>
            <w:tcW w:w="821" w:type="dxa"/>
          </w:tcPr>
          <w:p w14:paraId="2CAD5229" w14:textId="77777777" w:rsidR="000742CA" w:rsidRPr="00A21FE4" w:rsidRDefault="000742CA" w:rsidP="00B855A4">
            <w:pPr>
              <w:pStyle w:val="T-ABCD"/>
              <w:keepNext/>
            </w:pPr>
            <w:r w:rsidRPr="00A21FE4">
              <w:t>NA</w:t>
            </w:r>
          </w:p>
        </w:tc>
        <w:tc>
          <w:tcPr>
            <w:tcW w:w="821" w:type="dxa"/>
          </w:tcPr>
          <w:p w14:paraId="1035B33B" w14:textId="77777777" w:rsidR="000742CA" w:rsidRPr="00A21FE4" w:rsidRDefault="000742CA" w:rsidP="00B855A4">
            <w:pPr>
              <w:pStyle w:val="T-ABCD"/>
              <w:keepNext/>
            </w:pPr>
            <w:r w:rsidRPr="00A21FE4">
              <w:t xml:space="preserve">NA </w:t>
            </w:r>
          </w:p>
        </w:tc>
      </w:tr>
      <w:tr w:rsidR="000742CA" w:rsidRPr="00A21FE4" w14:paraId="27352106" w14:textId="77777777" w:rsidTr="000742CA">
        <w:trPr>
          <w:cantSplit/>
        </w:trPr>
        <w:tc>
          <w:tcPr>
            <w:tcW w:w="8705" w:type="dxa"/>
            <w:gridSpan w:val="7"/>
          </w:tcPr>
          <w:p w14:paraId="14953DDE" w14:textId="77777777" w:rsidR="000742CA" w:rsidRPr="00A21FE4" w:rsidRDefault="000742CA" w:rsidP="000742CA">
            <w:pPr>
              <w:pStyle w:val="ES-notes"/>
            </w:pPr>
            <w:r w:rsidRPr="00A21FE4">
              <w:t>ES, evidence statement; ESA, erythropoiesis stimulating agent</w:t>
            </w:r>
          </w:p>
          <w:p w14:paraId="3C731D3A"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3C40ACAF" w14:textId="77777777" w:rsidR="000742CA" w:rsidRDefault="000742CA" w:rsidP="000742CA">
      <w:pPr>
        <w:pStyle w:val="Heading4"/>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26"/>
        <w:gridCol w:w="7551"/>
      </w:tblGrid>
      <w:tr w:rsidR="000742CA" w:rsidRPr="00A21FE4" w14:paraId="27FA7AA3"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182D96AF" w14:textId="4F94C4DE" w:rsidR="000742CA" w:rsidRPr="00C867A4" w:rsidRDefault="00C867A4" w:rsidP="000742CA">
            <w:pPr>
              <w:pStyle w:val="PP-heading"/>
              <w:rPr>
                <w:lang w:val="en-AU"/>
              </w:rPr>
            </w:pPr>
            <w:r>
              <w:t>Practice point</w:t>
            </w:r>
            <w:r w:rsidR="000742CA" w:rsidRPr="00A21FE4">
              <w:t xml:space="preserve"> – </w:t>
            </w:r>
            <w:r w:rsidR="005E38DA" w:rsidRPr="00A21FE4">
              <w:t>critically ill (ESAs with or without iron)</w:t>
            </w:r>
          </w:p>
        </w:tc>
      </w:tr>
      <w:tr w:rsidR="000742CA" w:rsidRPr="00A21FE4" w14:paraId="07A6EC11" w14:textId="77777777" w:rsidTr="00B2327D">
        <w:tc>
          <w:tcPr>
            <w:tcW w:w="1126" w:type="dxa"/>
            <w:tcBorders>
              <w:right w:val="single" w:sz="4" w:space="0" w:color="auto"/>
            </w:tcBorders>
            <w:shd w:val="clear" w:color="auto" w:fill="auto"/>
          </w:tcPr>
          <w:p w14:paraId="4F3F887E" w14:textId="77777777" w:rsidR="000742CA" w:rsidRPr="00A21FE4" w:rsidRDefault="000742CA" w:rsidP="00B2327D">
            <w:pPr>
              <w:pStyle w:val="PP"/>
            </w:pPr>
            <w:r w:rsidRPr="00A21FE4">
              <w:t>PP26</w:t>
            </w:r>
          </w:p>
        </w:tc>
        <w:tc>
          <w:tcPr>
            <w:tcW w:w="7551" w:type="dxa"/>
            <w:tcBorders>
              <w:left w:val="single" w:sz="4" w:space="0" w:color="auto"/>
            </w:tcBorders>
            <w:shd w:val="clear" w:color="auto" w:fill="auto"/>
          </w:tcPr>
          <w:p w14:paraId="53643C57" w14:textId="77777777" w:rsidR="000742CA" w:rsidRPr="00A21FE4" w:rsidRDefault="000742CA" w:rsidP="00B2327D">
            <w:pPr>
              <w:pStyle w:val="PP"/>
            </w:pPr>
            <w:r w:rsidRPr="00A21FE4">
              <w:t xml:space="preserve">In critically ill </w:t>
            </w:r>
            <w:r w:rsidRPr="00B20C53">
              <w:t>paediatric</w:t>
            </w:r>
            <w:r w:rsidRPr="00A21FE4">
              <w:t xml:space="preserve"> patients with anaemia, ESAs should not be </w:t>
            </w:r>
            <w:r w:rsidRPr="00A21FE4">
              <w:rPr>
                <w:i/>
              </w:rPr>
              <w:t xml:space="preserve">routinely </w:t>
            </w:r>
            <w:r w:rsidRPr="00A21FE4">
              <w:t>used.</w:t>
            </w:r>
            <w:r w:rsidRPr="00A21FE4">
              <w:rPr>
                <w:vertAlign w:val="superscript"/>
              </w:rPr>
              <w:t>a</w:t>
            </w:r>
          </w:p>
          <w:p w14:paraId="476BA508" w14:textId="706D779A" w:rsidR="000742CA" w:rsidRPr="00A21FE4" w:rsidRDefault="000742CA" w:rsidP="00E62798">
            <w:pPr>
              <w:pStyle w:val="PP-note"/>
            </w:pPr>
            <w:r w:rsidRPr="00A21FE4">
              <w:rPr>
                <w:vertAlign w:val="superscript"/>
              </w:rPr>
              <w:t>a</w:t>
            </w:r>
            <w:r w:rsidRPr="00A21FE4">
              <w:t xml:space="preserve"> This point is based on the lack of effect of ESAs on mortality in critically ill adult </w:t>
            </w:r>
            <w:r w:rsidRPr="00C31FAF">
              <w:t xml:space="preserve">patients. </w:t>
            </w:r>
            <w:r w:rsidR="00CE5AC9" w:rsidRPr="00C31FAF">
              <w:t>See</w:t>
            </w:r>
            <w:r w:rsidRPr="00A21FE4">
              <w:t xml:space="preserve"> R2 in </w:t>
            </w:r>
            <w:r w:rsidRPr="00A21FE4">
              <w:rPr>
                <w:i/>
              </w:rPr>
              <w:t>Patient Blood Management Guidelines: Module 4 – Critical Care</w:t>
            </w:r>
            <w:r w:rsidR="004828DA">
              <w:t>.</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p>
        </w:tc>
      </w:tr>
      <w:tr w:rsidR="000742CA" w:rsidRPr="00A21FE4" w14:paraId="04DF2CA5" w14:textId="77777777" w:rsidTr="00B2327D">
        <w:trPr>
          <w:trHeight w:val="538"/>
        </w:trPr>
        <w:tc>
          <w:tcPr>
            <w:tcW w:w="8677" w:type="dxa"/>
            <w:gridSpan w:val="2"/>
            <w:shd w:val="clear" w:color="auto" w:fill="auto"/>
          </w:tcPr>
          <w:p w14:paraId="29BAF895" w14:textId="77777777" w:rsidR="000742CA" w:rsidRPr="00A21FE4" w:rsidRDefault="000742CA" w:rsidP="00B2327D">
            <w:pPr>
              <w:pStyle w:val="PP-note"/>
            </w:pPr>
            <w:r w:rsidRPr="00A21FE4">
              <w:t xml:space="preserve">ESA, erythropoiesis stimulating agent; PP, practice point; </w:t>
            </w:r>
            <w:r>
              <w:t>R, recommendation</w:t>
            </w:r>
          </w:p>
        </w:tc>
      </w:tr>
    </w:tbl>
    <w:p w14:paraId="00C0787B" w14:textId="77777777" w:rsidR="000742CA" w:rsidRPr="00372CA1" w:rsidRDefault="000742CA" w:rsidP="000742CA"/>
    <w:p w14:paraId="72DAC58C" w14:textId="77777777" w:rsidR="000742CA" w:rsidRDefault="000742CA" w:rsidP="000742CA">
      <w:pPr>
        <w:pStyle w:val="Heading4"/>
      </w:pPr>
      <w:r>
        <w:t>Summary of evidence</w:t>
      </w:r>
    </w:p>
    <w:p w14:paraId="4DD974E9" w14:textId="092AFD64" w:rsidR="000742CA" w:rsidRDefault="00A9462B" w:rsidP="00B05BDA">
      <w:r>
        <w:t>Two</w:t>
      </w:r>
      <w:r w:rsidR="00B2327D">
        <w:t xml:space="preserve"> Level II trials</w:t>
      </w:r>
      <w:r>
        <w:t xml:space="preserve"> of poor and fair quality examined the use of ESAs in critically ill paediatric patients</w:t>
      </w:r>
      <w:r w:rsidR="00B2327D">
        <w:t>.</w:t>
      </w:r>
      <w:hyperlink w:anchor="_ENREF_134" w:tooltip="Chicella, 2006 #468" w:history="1">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 </w:instrText>
        </w:r>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134-135</w:t>
        </w:r>
        <w:r w:rsidR="00E62798">
          <w:fldChar w:fldCharType="end"/>
        </w:r>
      </w:hyperlink>
    </w:p>
    <w:p w14:paraId="48B8314E" w14:textId="77777777" w:rsidR="000742CA" w:rsidRDefault="000742CA" w:rsidP="000742CA">
      <w:pPr>
        <w:pStyle w:val="Heading5"/>
      </w:pPr>
      <w:r>
        <w:t>Transfusion incidence and volume</w:t>
      </w:r>
    </w:p>
    <w:p w14:paraId="5D485C6B" w14:textId="6C644DD7" w:rsidR="000742CA" w:rsidRDefault="00B2327D" w:rsidP="00B05BDA">
      <w:r>
        <w:t xml:space="preserve">Both trials </w:t>
      </w:r>
      <w:r w:rsidR="000742CA">
        <w:t>reported transfusion incidence.</w:t>
      </w:r>
      <w:hyperlink w:anchor="_ENREF_134" w:tooltip="Chicella, 2006 #468" w:history="1">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 </w:instrText>
        </w:r>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134-135</w:t>
        </w:r>
        <w:r w:rsidR="00E62798">
          <w:fldChar w:fldCharType="end"/>
        </w:r>
      </w:hyperlink>
      <w:r w:rsidR="000742CA">
        <w:t xml:space="preserve"> A meta-analysis of these studies showed no significant difference in incidence of RBC transfusions or mean</w:t>
      </w:r>
      <w:r>
        <w:t xml:space="preserve"> transfusions per patient.</w:t>
      </w:r>
    </w:p>
    <w:p w14:paraId="3C0E61F8" w14:textId="5DFA2E84" w:rsidR="000742CA" w:rsidRDefault="00B2327D" w:rsidP="00B05BDA">
      <w:r>
        <w:t>One study</w:t>
      </w:r>
      <w:r w:rsidR="000742CA">
        <w:t xml:space="preserve"> reported that ESA treatment did not alter transfusion volume</w:t>
      </w:r>
      <w:r>
        <w:t>.</w:t>
      </w:r>
      <w:hyperlink w:anchor="_ENREF_135" w:tooltip="Jacobs, 2003 #101" w:history="1">
        <w:r w:rsidR="00E62798">
          <w:fldChar w:fldCharType="begin">
            <w:fldData xml:space="preserve">PEVuZE5vdGU+PENpdGU+PEF1dGhvcj5KYWNvYnM8L0F1dGhvcj48WWVhcj4yMDAzPC9ZZWFyPjxS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</w:fldData>
          </w:fldChar>
        </w:r>
        <w:r w:rsidR="00E62798">
          <w:instrText xml:space="preserve"> ADDIN EN.CITE </w:instrText>
        </w:r>
        <w:r w:rsidR="00E62798">
          <w:fldChar w:fldCharType="begin">
            <w:fldData xml:space="preserve">PEVuZE5vdGU+PENpdGU+PEF1dGhvcj5KYWNvYnM8L0F1dGhvcj48WWVhcj4yMDAzPC9ZZWFyPjxS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135</w:t>
        </w:r>
        <w:r w:rsidR="00E62798">
          <w:fldChar w:fldCharType="end"/>
        </w:r>
      </w:hyperlink>
      <w:r w:rsidR="000742CA">
        <w:t xml:space="preserve"> </w:t>
      </w:r>
      <w:r>
        <w:t>However</w:t>
      </w:r>
      <w:r w:rsidR="000742CA">
        <w:t xml:space="preserve">, our re-analysis using the results reported in the paper indicated a significant benefit of </w:t>
      </w:r>
      <w:r w:rsidR="00EB2899">
        <w:t>rHuEPO</w:t>
      </w:r>
      <w:r w:rsidR="000742CA">
        <w:t xml:space="preserve"> with iron for reducing the volume of RBC transfused.</w:t>
      </w:r>
      <w:r w:rsidR="004828DA">
        <w:t xml:space="preserve"> </w:t>
      </w:r>
    </w:p>
    <w:p w14:paraId="0ED12C8E" w14:textId="77777777" w:rsidR="000742CA" w:rsidRDefault="000742CA" w:rsidP="000742CA">
      <w:pPr>
        <w:pStyle w:val="Heading5"/>
      </w:pPr>
      <w:r>
        <w:t>T</w:t>
      </w:r>
      <w:r w:rsidRPr="004667A5">
        <w:t>hromboembolic events</w:t>
      </w:r>
    </w:p>
    <w:p w14:paraId="09A705AD" w14:textId="371630C0" w:rsidR="000742CA" w:rsidRDefault="00A9462B" w:rsidP="00B05BDA">
      <w:r>
        <w:t>No trials</w:t>
      </w:r>
      <w:r w:rsidR="00B2327D">
        <w:t xml:space="preserve"> </w:t>
      </w:r>
      <w:r w:rsidR="000742CA">
        <w:t xml:space="preserve">assessed the incidence of thromboembolic events. </w:t>
      </w:r>
    </w:p>
    <w:p w14:paraId="67917944" w14:textId="77777777" w:rsidR="000742CA" w:rsidRDefault="000742CA" w:rsidP="000742CA">
      <w:pPr>
        <w:pStyle w:val="Heading5"/>
      </w:pPr>
      <w:r>
        <w:t>Mortality</w:t>
      </w:r>
    </w:p>
    <w:p w14:paraId="52E6011D" w14:textId="0F6335CB" w:rsidR="000742CA" w:rsidRDefault="000742CA" w:rsidP="00B05BDA">
      <w:r>
        <w:t>One trial reported mortality</w:t>
      </w:r>
      <w:r w:rsidRPr="00B05BDA">
        <w:t xml:space="preserve"> </w:t>
      </w:r>
      <w:r>
        <w:t>rates.</w:t>
      </w:r>
      <w:hyperlink w:anchor="_ENREF_135" w:tooltip="Jacobs, 2003 #101" w:history="1">
        <w:r w:rsidR="00E62798">
          <w:fldChar w:fldCharType="begin">
            <w:fldData xml:space="preserve">PEVuZE5vdGU+PENpdGU+PEF1dGhvcj5KYWNvYnM8L0F1dGhvcj48WWVhcj4yMDAzPC9ZZWFyPjxS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</w:fldData>
          </w:fldChar>
        </w:r>
        <w:r w:rsidR="00E62798">
          <w:instrText xml:space="preserve"> ADDIN EN.CITE </w:instrText>
        </w:r>
        <w:r w:rsidR="00E62798">
          <w:fldChar w:fldCharType="begin">
            <w:fldData xml:space="preserve">PEVuZE5vdGU+PENpdGU+PEF1dGhvcj5KYWNvYnM8L0F1dGhvcj48WWVhcj4yMDAzPC9ZZWFyPjxS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135</w:t>
        </w:r>
        <w:r w:rsidR="00E62798">
          <w:fldChar w:fldCharType="end"/>
        </w:r>
      </w:hyperlink>
      <w:r>
        <w:t xml:space="preserve"> No deaths occurred in either treatment arm. </w:t>
      </w:r>
    </w:p>
    <w:p w14:paraId="5CC5A673" w14:textId="77777777" w:rsidR="000742CA" w:rsidRDefault="000742CA" w:rsidP="000742CA">
      <w:pPr>
        <w:pStyle w:val="Heading5"/>
      </w:pPr>
      <w:r w:rsidRPr="004667A5">
        <w:t>Secondary outcomes</w:t>
      </w:r>
      <w:r>
        <w:rPr>
          <w:rStyle w:val="FootnoteReference"/>
        </w:rPr>
        <w:footnoteReference w:id="10"/>
      </w:r>
      <w:r w:rsidRPr="004667A5">
        <w:t xml:space="preserve"> </w:t>
      </w:r>
    </w:p>
    <w:p w14:paraId="258F7FB7" w14:textId="77777777" w:rsidR="000742CA" w:rsidRDefault="000742CA" w:rsidP="000742CA">
      <w:pPr>
        <w:pStyle w:val="H6"/>
        <w:rPr>
          <w:lang w:eastAsia="ja-JP"/>
        </w:rPr>
      </w:pPr>
      <w:r>
        <w:rPr>
          <w:lang w:eastAsia="ja-JP"/>
        </w:rPr>
        <w:t>Functional or performance status</w:t>
      </w:r>
    </w:p>
    <w:p w14:paraId="0D236594" w14:textId="0BB37E81" w:rsidR="000742CA" w:rsidRDefault="00FA6791" w:rsidP="00B05BDA">
      <w:r>
        <w:t>No studies reported</w:t>
      </w:r>
      <w:r w:rsidR="000742CA">
        <w:t xml:space="preserve"> functional or performance status. </w:t>
      </w:r>
    </w:p>
    <w:p w14:paraId="21FC86EE" w14:textId="77777777" w:rsidR="000742CA" w:rsidRDefault="000742CA" w:rsidP="000742CA">
      <w:pPr>
        <w:pStyle w:val="H6"/>
        <w:rPr>
          <w:lang w:eastAsia="ja-JP"/>
        </w:rPr>
      </w:pPr>
      <w:r>
        <w:rPr>
          <w:lang w:eastAsia="ja-JP"/>
        </w:rPr>
        <w:t xml:space="preserve">Laboratory measures </w:t>
      </w:r>
    </w:p>
    <w:p w14:paraId="6FD119B9" w14:textId="6E99428F" w:rsidR="000742CA" w:rsidRPr="006A0B58" w:rsidRDefault="00B2327D" w:rsidP="00B05BDA">
      <w:r>
        <w:t>Both studies</w:t>
      </w:r>
      <w:r w:rsidR="000742CA">
        <w:t xml:space="preserve"> reported laboratory measures </w:t>
      </w:r>
      <w:r>
        <w:t xml:space="preserve">– </w:t>
      </w:r>
      <w:r w:rsidR="004828DA">
        <w:t>Hct</w:t>
      </w:r>
      <w:r w:rsidR="000742CA">
        <w:t xml:space="preserve"> and ferritin</w:t>
      </w:r>
      <w:r>
        <w:t xml:space="preserve"> – but</w:t>
      </w:r>
      <w:r w:rsidR="000742CA">
        <w:t xml:space="preserve"> with conflicting results.</w:t>
      </w:r>
      <w:hyperlink w:anchor="_ENREF_134" w:tooltip="Chicella, 2006 #468" w:history="1">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 </w:instrText>
        </w:r>
        <w:r w:rsidR="00E62798">
          <w:fldChar w:fldCharType="begin">
            <w:fldData xml:space="preserve">PEVuZE5vdGU+PENpdGU+PEF1dGhvcj5DaGljZWxsYTwvQXV0aG9yPjxZZWFyPjIwMDY8L1llYXI+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Y2lldGllczwvZnVsbC10aXRsZT48L3BlcmlvZGljYWw+PHBhZ2VzPjQ04oCTNDg8L3BhZ2VzPjx2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134-135</w:t>
        </w:r>
        <w:r w:rsidR="00E62798">
          <w:fldChar w:fldCharType="end"/>
        </w:r>
      </w:hyperlink>
      <w:r w:rsidR="000742CA">
        <w:t xml:space="preserve"> </w:t>
      </w:r>
    </w:p>
    <w:p w14:paraId="43D4B010" w14:textId="04B0015A" w:rsidR="000742CA" w:rsidRDefault="00B2327D" w:rsidP="00B2327D">
      <w:pPr>
        <w:pStyle w:val="Heading3"/>
      </w:pPr>
      <w:bookmarkStart w:id="133" w:name="_Toc427851337"/>
      <w:r>
        <w:rPr>
          <w:lang w:val="en-AU"/>
        </w:rPr>
        <w:t>3.3.14</w:t>
      </w:r>
      <w:r>
        <w:rPr>
          <w:lang w:val="en-AU"/>
        </w:rPr>
        <w:tab/>
      </w:r>
      <w:r>
        <w:t xml:space="preserve">Critically ill </w:t>
      </w:r>
      <w:r>
        <w:rPr>
          <w:lang w:val="en-AU"/>
        </w:rPr>
        <w:t xml:space="preserve">term and near term neonatal patients and </w:t>
      </w:r>
      <w:r>
        <w:t>p</w:t>
      </w:r>
      <w:r w:rsidRPr="004667A5">
        <w:t>aediatric</w:t>
      </w:r>
      <w:r>
        <w:t xml:space="preserve"> patients</w:t>
      </w:r>
      <w:r>
        <w:rPr>
          <w:lang w:val="en-AU"/>
        </w:rPr>
        <w:t xml:space="preserve"> – effect of oral and/or parenteral iron, on outcomes</w:t>
      </w:r>
      <w:bookmarkEnd w:id="133"/>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0742CA" w:rsidRPr="00A21FE4" w14:paraId="51F47178"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51733858" w14:textId="77777777" w:rsidR="000742CA" w:rsidRPr="00A21FE4" w:rsidRDefault="000742CA" w:rsidP="000742CA">
            <w:pPr>
              <w:pStyle w:val="PP-heading"/>
            </w:pPr>
            <w:r w:rsidRPr="00A21FE4">
              <w:t>Evidence statements – critically ill (oral and/or parenteral iron)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C455C56" w14:textId="77777777" w:rsidR="000742CA" w:rsidRPr="00A21FE4" w:rsidRDefault="000742CA" w:rsidP="000742CA">
            <w:pPr>
              <w:ind w:left="113" w:right="113"/>
              <w:jc w:val="center"/>
              <w:rPr>
                <w:b/>
              </w:rPr>
            </w:pPr>
            <w:r w:rsidRPr="00A21FE4">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BF43D50" w14:textId="77777777" w:rsidR="000742CA" w:rsidRPr="00A21FE4" w:rsidRDefault="000742CA" w:rsidP="000742CA">
            <w:pPr>
              <w:ind w:left="113" w:right="113"/>
              <w:jc w:val="center"/>
              <w:rPr>
                <w:b/>
              </w:rPr>
            </w:pPr>
            <w:r w:rsidRPr="00A21FE4">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3E0F963" w14:textId="77777777" w:rsidR="000742CA" w:rsidRPr="00A21FE4" w:rsidRDefault="000742CA" w:rsidP="000742CA">
            <w:pPr>
              <w:ind w:left="113" w:right="113"/>
              <w:jc w:val="center"/>
              <w:rPr>
                <w:b/>
              </w:rPr>
            </w:pPr>
            <w:r w:rsidRPr="00A21FE4">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8CBFDD7" w14:textId="77777777" w:rsidR="000742CA" w:rsidRPr="00A21FE4" w:rsidRDefault="000742CA" w:rsidP="000742CA">
            <w:pPr>
              <w:ind w:left="113" w:right="113"/>
              <w:jc w:val="center"/>
              <w:rPr>
                <w:b/>
              </w:rPr>
            </w:pPr>
            <w:r w:rsidRPr="00A21FE4">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4D607C1" w14:textId="77777777" w:rsidR="000742CA" w:rsidRPr="00A21FE4" w:rsidRDefault="000742CA" w:rsidP="000742CA">
            <w:pPr>
              <w:ind w:left="113" w:right="113"/>
              <w:jc w:val="center"/>
              <w:rPr>
                <w:b/>
              </w:rPr>
            </w:pPr>
            <w:r w:rsidRPr="00A21FE4">
              <w:rPr>
                <w:b/>
              </w:rPr>
              <w:t>Applicability</w:t>
            </w:r>
          </w:p>
        </w:tc>
      </w:tr>
      <w:tr w:rsidR="000742CA" w:rsidRPr="00A21FE4" w14:paraId="6CF96F76" w14:textId="77777777" w:rsidTr="000742CA">
        <w:trPr>
          <w:cantSplit/>
        </w:trPr>
        <w:tc>
          <w:tcPr>
            <w:tcW w:w="851" w:type="dxa"/>
          </w:tcPr>
          <w:p w14:paraId="29B1FA43" w14:textId="77777777" w:rsidR="000742CA" w:rsidRPr="00A21FE4" w:rsidRDefault="000742CA" w:rsidP="000742CA">
            <w:pPr>
              <w:pStyle w:val="Tabletext0"/>
            </w:pPr>
            <w:r w:rsidRPr="00567487">
              <w:t>ES2.67</w:t>
            </w:r>
          </w:p>
        </w:tc>
        <w:tc>
          <w:tcPr>
            <w:tcW w:w="3750" w:type="dxa"/>
          </w:tcPr>
          <w:p w14:paraId="2BDAA4DF" w14:textId="77777777" w:rsidR="000742CA" w:rsidRPr="00A21FE4" w:rsidRDefault="000742CA" w:rsidP="000742CA">
            <w:pPr>
              <w:pStyle w:val="ES-table"/>
            </w:pPr>
            <w:r w:rsidRPr="00A21FE4">
              <w:t>In critically ill neonatal and paediatric patients, the effect of iron compared with no iron on transfusion incidence or volume is unknown.</w:t>
            </w:r>
          </w:p>
        </w:tc>
        <w:tc>
          <w:tcPr>
            <w:tcW w:w="820" w:type="dxa"/>
          </w:tcPr>
          <w:p w14:paraId="7DF3D241" w14:textId="77777777" w:rsidR="000742CA" w:rsidRPr="00A21FE4" w:rsidRDefault="000742CA" w:rsidP="000742CA">
            <w:pPr>
              <w:pStyle w:val="T-ABCD"/>
            </w:pPr>
            <w:r w:rsidRPr="00A21FE4">
              <w:t>NA</w:t>
            </w:r>
          </w:p>
        </w:tc>
        <w:tc>
          <w:tcPr>
            <w:tcW w:w="821" w:type="dxa"/>
          </w:tcPr>
          <w:p w14:paraId="0DD60040" w14:textId="77777777" w:rsidR="000742CA" w:rsidRPr="00A21FE4" w:rsidRDefault="000742CA" w:rsidP="000742CA">
            <w:pPr>
              <w:pStyle w:val="T-ABCD"/>
            </w:pPr>
            <w:r w:rsidRPr="00A21FE4">
              <w:t>NA</w:t>
            </w:r>
          </w:p>
        </w:tc>
        <w:tc>
          <w:tcPr>
            <w:tcW w:w="821" w:type="dxa"/>
          </w:tcPr>
          <w:p w14:paraId="65D45BCF" w14:textId="77777777" w:rsidR="000742CA" w:rsidRPr="00A21FE4" w:rsidRDefault="000742CA" w:rsidP="000742CA">
            <w:pPr>
              <w:pStyle w:val="T-ABCD"/>
            </w:pPr>
            <w:r w:rsidRPr="00A21FE4">
              <w:t>NA</w:t>
            </w:r>
          </w:p>
        </w:tc>
        <w:tc>
          <w:tcPr>
            <w:tcW w:w="821" w:type="dxa"/>
          </w:tcPr>
          <w:p w14:paraId="1ED2F5C2" w14:textId="77777777" w:rsidR="000742CA" w:rsidRPr="00A21FE4" w:rsidRDefault="000742CA" w:rsidP="000742CA">
            <w:pPr>
              <w:pStyle w:val="T-ABCD"/>
            </w:pPr>
            <w:r w:rsidRPr="00A21FE4">
              <w:t>NA</w:t>
            </w:r>
          </w:p>
        </w:tc>
        <w:tc>
          <w:tcPr>
            <w:tcW w:w="821" w:type="dxa"/>
          </w:tcPr>
          <w:p w14:paraId="1E2AD9FD" w14:textId="77777777" w:rsidR="000742CA" w:rsidRPr="00A21FE4" w:rsidRDefault="000742CA" w:rsidP="000742CA">
            <w:pPr>
              <w:pStyle w:val="T-ABCD"/>
            </w:pPr>
            <w:r w:rsidRPr="00A21FE4">
              <w:t xml:space="preserve">NA </w:t>
            </w:r>
          </w:p>
        </w:tc>
      </w:tr>
      <w:tr w:rsidR="000742CA" w:rsidRPr="00A21FE4" w14:paraId="75C7FAB9" w14:textId="77777777" w:rsidTr="000742CA">
        <w:trPr>
          <w:cantSplit/>
        </w:trPr>
        <w:tc>
          <w:tcPr>
            <w:tcW w:w="851" w:type="dxa"/>
          </w:tcPr>
          <w:p w14:paraId="3835F6AE" w14:textId="77777777" w:rsidR="000742CA" w:rsidRPr="00A21FE4" w:rsidRDefault="000742CA" w:rsidP="000742CA">
            <w:pPr>
              <w:pStyle w:val="Tabletext0"/>
            </w:pPr>
            <w:r w:rsidRPr="00567487">
              <w:t>ES2.68</w:t>
            </w:r>
          </w:p>
        </w:tc>
        <w:tc>
          <w:tcPr>
            <w:tcW w:w="3750" w:type="dxa"/>
          </w:tcPr>
          <w:p w14:paraId="094551F2" w14:textId="77777777" w:rsidR="000742CA" w:rsidRPr="00A21FE4" w:rsidRDefault="000742CA" w:rsidP="000742CA">
            <w:pPr>
              <w:pStyle w:val="ES-table"/>
            </w:pPr>
            <w:r w:rsidRPr="00A21FE4">
              <w:t>In critically ill neonatal and paediatric patients, the effect of iron compared with no iron on mortality is unknown.</w:t>
            </w:r>
          </w:p>
        </w:tc>
        <w:tc>
          <w:tcPr>
            <w:tcW w:w="820" w:type="dxa"/>
          </w:tcPr>
          <w:p w14:paraId="4365777F" w14:textId="77777777" w:rsidR="000742CA" w:rsidRPr="00A21FE4" w:rsidRDefault="000742CA" w:rsidP="000742CA">
            <w:pPr>
              <w:pStyle w:val="T-ABCD"/>
            </w:pPr>
            <w:r w:rsidRPr="00A21FE4">
              <w:t>NA</w:t>
            </w:r>
          </w:p>
        </w:tc>
        <w:tc>
          <w:tcPr>
            <w:tcW w:w="821" w:type="dxa"/>
          </w:tcPr>
          <w:p w14:paraId="26A62106" w14:textId="77777777" w:rsidR="000742CA" w:rsidRPr="00A21FE4" w:rsidRDefault="000742CA" w:rsidP="000742CA">
            <w:pPr>
              <w:pStyle w:val="T-ABCD"/>
            </w:pPr>
            <w:r w:rsidRPr="00A21FE4">
              <w:t>NA</w:t>
            </w:r>
          </w:p>
        </w:tc>
        <w:tc>
          <w:tcPr>
            <w:tcW w:w="821" w:type="dxa"/>
          </w:tcPr>
          <w:p w14:paraId="4E4DAD82" w14:textId="77777777" w:rsidR="000742CA" w:rsidRPr="00A21FE4" w:rsidRDefault="000742CA" w:rsidP="000742CA">
            <w:pPr>
              <w:pStyle w:val="T-ABCD"/>
            </w:pPr>
            <w:r w:rsidRPr="00A21FE4">
              <w:t>NA</w:t>
            </w:r>
          </w:p>
        </w:tc>
        <w:tc>
          <w:tcPr>
            <w:tcW w:w="821" w:type="dxa"/>
          </w:tcPr>
          <w:p w14:paraId="15063543" w14:textId="77777777" w:rsidR="000742CA" w:rsidRPr="00A21FE4" w:rsidRDefault="000742CA" w:rsidP="000742CA">
            <w:pPr>
              <w:pStyle w:val="T-ABCD"/>
            </w:pPr>
            <w:r w:rsidRPr="00A21FE4">
              <w:t>NA</w:t>
            </w:r>
          </w:p>
        </w:tc>
        <w:tc>
          <w:tcPr>
            <w:tcW w:w="821" w:type="dxa"/>
          </w:tcPr>
          <w:p w14:paraId="2A36076F" w14:textId="77777777" w:rsidR="000742CA" w:rsidRPr="00A21FE4" w:rsidRDefault="000742CA" w:rsidP="000742CA">
            <w:pPr>
              <w:pStyle w:val="T-ABCD"/>
            </w:pPr>
            <w:r w:rsidRPr="00A21FE4">
              <w:t xml:space="preserve">NA </w:t>
            </w:r>
          </w:p>
        </w:tc>
      </w:tr>
      <w:tr w:rsidR="000742CA" w:rsidRPr="00A21FE4" w14:paraId="24D02DC3" w14:textId="77777777" w:rsidTr="000742CA">
        <w:trPr>
          <w:cantSplit/>
          <w:trHeight w:val="58"/>
        </w:trPr>
        <w:tc>
          <w:tcPr>
            <w:tcW w:w="8705" w:type="dxa"/>
            <w:gridSpan w:val="7"/>
          </w:tcPr>
          <w:p w14:paraId="13EA7D67" w14:textId="77777777" w:rsidR="000742CA" w:rsidRPr="00A21FE4" w:rsidRDefault="000742CA" w:rsidP="000742CA">
            <w:pPr>
              <w:pStyle w:val="ES-notes"/>
            </w:pPr>
            <w:r w:rsidRPr="00A21FE4">
              <w:t>ES, evidence statement</w:t>
            </w:r>
          </w:p>
          <w:p w14:paraId="25D98501" w14:textId="77777777" w:rsidR="000742CA" w:rsidRPr="00A21FE4" w:rsidRDefault="000742CA" w:rsidP="000742CA">
            <w:pPr>
              <w:pStyle w:val="ES-notes"/>
            </w:pPr>
            <w:r w:rsidRPr="00A21FE4">
              <w:sym w:font="Symbol" w:char="F0D6"/>
            </w:r>
            <w:r w:rsidRPr="00A21FE4">
              <w:sym w:font="Symbol" w:char="F0D6"/>
            </w:r>
            <w:r w:rsidRPr="00A21FE4">
              <w:sym w:font="Symbol" w:char="F0D6"/>
            </w:r>
            <w:r w:rsidRPr="00A21FE4">
              <w:t xml:space="preserve">=A; </w:t>
            </w:r>
            <w:r w:rsidRPr="00A21FE4">
              <w:sym w:font="Symbol" w:char="F0D6"/>
            </w:r>
            <w:r w:rsidRPr="00A21FE4">
              <w:sym w:font="Symbol" w:char="F0D6"/>
            </w:r>
            <w:r w:rsidRPr="00A21FE4">
              <w:t xml:space="preserve">=B; </w:t>
            </w:r>
            <w:r w:rsidRPr="00A21FE4">
              <w:sym w:font="Symbol" w:char="F0D6"/>
            </w:r>
            <w:r w:rsidRPr="00A21FE4">
              <w:t>=C; X=D; NA, not applicable</w:t>
            </w:r>
          </w:p>
        </w:tc>
      </w:tr>
    </w:tbl>
    <w:p w14:paraId="617866BB" w14:textId="77777777" w:rsidR="000742CA" w:rsidRDefault="000742CA" w:rsidP="000742CA">
      <w:pPr>
        <w:pStyle w:val="Head4Num"/>
        <w:ind w:left="1582"/>
      </w:pPr>
    </w:p>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096"/>
        <w:gridCol w:w="7581"/>
      </w:tblGrid>
      <w:tr w:rsidR="000742CA" w:rsidRPr="00A21FE4" w14:paraId="138B41B6"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630A0C6B" w14:textId="37420AEF" w:rsidR="000742CA" w:rsidRPr="00C867A4" w:rsidRDefault="00C867A4" w:rsidP="005E38DA">
            <w:pPr>
              <w:pStyle w:val="PP-heading"/>
              <w:rPr>
                <w:lang w:val="en-AU"/>
              </w:rPr>
            </w:pPr>
            <w:r>
              <w:t>Practice point</w:t>
            </w:r>
            <w:r w:rsidR="000742CA" w:rsidRPr="00A21FE4">
              <w:t xml:space="preserve"> – critically ill </w:t>
            </w:r>
            <w:r>
              <w:rPr>
                <w:lang w:val="en-AU"/>
              </w:rPr>
              <w:t>(oral and/or parenteral iron)</w:t>
            </w:r>
          </w:p>
        </w:tc>
      </w:tr>
      <w:tr w:rsidR="000742CA" w:rsidRPr="00A21FE4" w14:paraId="3CD22D44" w14:textId="77777777" w:rsidTr="00EB3D51">
        <w:tc>
          <w:tcPr>
            <w:tcW w:w="1096" w:type="dxa"/>
            <w:tcBorders>
              <w:right w:val="single" w:sz="4" w:space="0" w:color="auto"/>
            </w:tcBorders>
            <w:shd w:val="clear" w:color="auto" w:fill="auto"/>
          </w:tcPr>
          <w:p w14:paraId="6064989D" w14:textId="77777777" w:rsidR="000742CA" w:rsidRPr="00A21FE4" w:rsidRDefault="000742CA" w:rsidP="00B2327D">
            <w:pPr>
              <w:pStyle w:val="PP"/>
            </w:pPr>
            <w:r w:rsidRPr="00A21FE4">
              <w:t>PP27</w:t>
            </w:r>
          </w:p>
        </w:tc>
        <w:tc>
          <w:tcPr>
            <w:tcW w:w="7581" w:type="dxa"/>
            <w:tcBorders>
              <w:left w:val="single" w:sz="4" w:space="0" w:color="auto"/>
            </w:tcBorders>
            <w:shd w:val="clear" w:color="auto" w:fill="auto"/>
          </w:tcPr>
          <w:p w14:paraId="0E3FB367" w14:textId="77777777" w:rsidR="000742CA" w:rsidRPr="00A21FE4" w:rsidRDefault="000742CA" w:rsidP="00B2327D">
            <w:pPr>
              <w:pStyle w:val="PP"/>
            </w:pPr>
            <w:r w:rsidRPr="00A21FE4">
              <w:t xml:space="preserve">Critically ill paediatric patients should receive iron supplementation as necessary to achieve the RNI. </w:t>
            </w:r>
          </w:p>
        </w:tc>
      </w:tr>
      <w:tr w:rsidR="000742CA" w:rsidRPr="00A21FE4" w14:paraId="5D011FC1" w14:textId="77777777" w:rsidTr="00EB3D51">
        <w:trPr>
          <w:trHeight w:val="538"/>
        </w:trPr>
        <w:tc>
          <w:tcPr>
            <w:tcW w:w="8677" w:type="dxa"/>
            <w:gridSpan w:val="2"/>
            <w:shd w:val="clear" w:color="auto" w:fill="auto"/>
          </w:tcPr>
          <w:p w14:paraId="661F620B" w14:textId="64656C81" w:rsidR="000742CA" w:rsidRPr="00A21FE4" w:rsidRDefault="000742CA" w:rsidP="004828DA">
            <w:pPr>
              <w:pStyle w:val="PP-note"/>
            </w:pPr>
            <w:r w:rsidRPr="00A21FE4">
              <w:t>PP, practice point; RNI, recommended nutrient intake</w:t>
            </w:r>
          </w:p>
        </w:tc>
      </w:tr>
    </w:tbl>
    <w:p w14:paraId="0F2C0E33" w14:textId="77777777" w:rsidR="000742CA" w:rsidRDefault="000742CA" w:rsidP="000742CA">
      <w:pPr>
        <w:pStyle w:val="Heading4"/>
      </w:pPr>
    </w:p>
    <w:p w14:paraId="28298143" w14:textId="77777777" w:rsidR="000742CA" w:rsidRDefault="000742CA" w:rsidP="000742CA">
      <w:pPr>
        <w:pStyle w:val="Heading4"/>
      </w:pPr>
      <w:r>
        <w:t>Summary of evidence</w:t>
      </w:r>
    </w:p>
    <w:p w14:paraId="5B50ACCC" w14:textId="3F73E66C" w:rsidR="000742CA" w:rsidRDefault="00A9462B" w:rsidP="00B05BDA">
      <w:r>
        <w:t>No studies</w:t>
      </w:r>
      <w:r w:rsidR="004828DA">
        <w:t xml:space="preserve"> assessed the use of oral or IV</w:t>
      </w:r>
      <w:r w:rsidR="000742CA">
        <w:t xml:space="preserve"> iron in critically ill neonatal </w:t>
      </w:r>
      <w:r w:rsidR="00062DF6">
        <w:t xml:space="preserve">or paediatric </w:t>
      </w:r>
      <w:r w:rsidR="000742CA">
        <w:t xml:space="preserve">patients. </w:t>
      </w:r>
    </w:p>
    <w:p w14:paraId="4101F68F" w14:textId="0444056A" w:rsidR="000742CA" w:rsidRPr="00EB3D51" w:rsidRDefault="000742CA" w:rsidP="00F96C85">
      <w:pPr>
        <w:pStyle w:val="BoxHeading"/>
        <w:rPr>
          <w:lang w:val="en-AU"/>
        </w:rPr>
      </w:pPr>
      <w:r w:rsidRPr="00F935ED">
        <w:t xml:space="preserve">Clinical </w:t>
      </w:r>
      <w:r w:rsidR="00B05BDA" w:rsidRPr="00F935ED">
        <w:t>commentary</w:t>
      </w:r>
      <w:r w:rsidR="00B2327D">
        <w:t xml:space="preserve"> – oral or parenteral iron in critically ill term and near term neonatal patients and p</w:t>
      </w:r>
      <w:r w:rsidR="00B2327D" w:rsidRPr="004667A5">
        <w:t>aediatric</w:t>
      </w:r>
      <w:r w:rsidR="00B2327D">
        <w:t xml:space="preserve"> patient</w:t>
      </w:r>
      <w:r w:rsidR="00EB3D51">
        <w:rPr>
          <w:lang w:val="en-AU"/>
        </w:rPr>
        <w:t>s</w:t>
      </w:r>
    </w:p>
    <w:p w14:paraId="035CADBC" w14:textId="7FF3B5E5" w:rsidR="000742CA" w:rsidRDefault="000742CA" w:rsidP="00F96C85">
      <w:pPr>
        <w:pStyle w:val="BoxText"/>
      </w:pPr>
      <w:r>
        <w:t xml:space="preserve">It is important that critically ill neonatal and paediatric patients continue to receive </w:t>
      </w:r>
      <w:r w:rsidRPr="00050779">
        <w:t>sufficient dietary iron to achieve the adequate intake (AI) or recommended daily intake (RDI). If the AI or RDI cannot be met by dietary means, iron supplementation is advised</w:t>
      </w:r>
      <w:r>
        <w:t>.</w:t>
      </w:r>
      <w:r w:rsidR="004828DA">
        <w:t xml:space="preserve"> </w:t>
      </w:r>
    </w:p>
    <w:p w14:paraId="65703E00" w14:textId="51B77BE7" w:rsidR="00F00BFD" w:rsidRPr="00ED1380" w:rsidRDefault="00F00BFD" w:rsidP="00F00BFD">
      <w:pPr>
        <w:pStyle w:val="Heading2"/>
        <w:ind w:left="0" w:firstLine="0"/>
        <w:rPr>
          <w:lang w:val="en-AU"/>
        </w:rPr>
      </w:pPr>
      <w:bookmarkStart w:id="134" w:name="_Toc372020854"/>
      <w:bookmarkStart w:id="135" w:name="_Toc398542767"/>
      <w:bookmarkStart w:id="136" w:name="_Toc427851338"/>
      <w:bookmarkStart w:id="137" w:name="_Toc282672308"/>
      <w:bookmarkEnd w:id="113"/>
      <w:r>
        <w:t>3.</w:t>
      </w:r>
      <w:r>
        <w:rPr>
          <w:lang w:val="en-AU"/>
        </w:rPr>
        <w:t>4</w:t>
      </w:r>
      <w:r>
        <w:t xml:space="preserve"> </w:t>
      </w:r>
      <w:r>
        <w:tab/>
      </w:r>
      <w:bookmarkEnd w:id="134"/>
      <w:bookmarkEnd w:id="135"/>
      <w:r w:rsidR="00ED1380">
        <w:rPr>
          <w:lang w:val="en-AU"/>
        </w:rPr>
        <w:t>Effect of blood components on outcomes</w:t>
      </w:r>
      <w:bookmarkEnd w:id="136"/>
    </w:p>
    <w:p w14:paraId="1E077F50" w14:textId="77777777" w:rsidR="00F00BFD" w:rsidRDefault="00F00BFD" w:rsidP="00ED1380">
      <w:pPr>
        <w:pStyle w:val="BoxHeading"/>
        <w:rPr>
          <w:lang w:eastAsia="en-GB"/>
        </w:rPr>
      </w:pPr>
      <w:r>
        <w:rPr>
          <w:lang w:eastAsia="en-GB"/>
        </w:rPr>
        <w:t>Question 3</w:t>
      </w:r>
      <w:r w:rsidRPr="004901BF">
        <w:rPr>
          <w:lang w:eastAsia="en-GB"/>
        </w:rPr>
        <w:t xml:space="preserve"> (</w:t>
      </w:r>
      <w:r w:rsidRPr="00ED1380">
        <w:t>Interventional</w:t>
      </w:r>
      <w:r w:rsidRPr="004901BF">
        <w:rPr>
          <w:lang w:eastAsia="en-GB"/>
        </w:rPr>
        <w:t>)</w:t>
      </w:r>
    </w:p>
    <w:p w14:paraId="20ABD676" w14:textId="77777777" w:rsidR="00F00BFD" w:rsidRPr="004D7E81" w:rsidRDefault="00F00BFD" w:rsidP="00ED1380">
      <w:pPr>
        <w:pStyle w:val="BoxText"/>
      </w:pPr>
      <w:r w:rsidRPr="004D7E81">
        <w:t>In paediatric/neonate patients, what is the effect of FFP, cryoprecipitate, fibrinogen concentrate, and/or platelet transfusion on patient outcomes?</w:t>
      </w:r>
    </w:p>
    <w:p w14:paraId="2A9AA7F6" w14:textId="6D372875" w:rsidR="00F00BFD" w:rsidRPr="00ED1380" w:rsidRDefault="00F00BFD" w:rsidP="00ED1380">
      <w:pPr>
        <w:pStyle w:val="BoxNotes"/>
      </w:pPr>
      <w:r w:rsidRPr="004D7E81">
        <w:t>FFP, fresh frozen plasma</w:t>
      </w:r>
    </w:p>
    <w:p w14:paraId="0A2A6535" w14:textId="77777777" w:rsidR="00F00BFD" w:rsidRPr="00ED1380" w:rsidRDefault="00F00BFD" w:rsidP="00ED1380">
      <w:pPr>
        <w:pStyle w:val="Heading4"/>
      </w:pPr>
      <w:r w:rsidRPr="00767788">
        <w:t>Background</w:t>
      </w:r>
    </w:p>
    <w:p w14:paraId="177957C1" w14:textId="006C1745" w:rsidR="00F00BFD" w:rsidRPr="00D24EDA" w:rsidRDefault="00F00BFD" w:rsidP="00ED1380">
      <w:pPr>
        <w:rPr>
          <w:b/>
          <w:lang w:val="en-GB" w:eastAsia="en-GB"/>
        </w:rPr>
      </w:pPr>
      <w:r w:rsidRPr="00F653B7">
        <w:t>The</w:t>
      </w:r>
      <w:r w:rsidRPr="00D24EDA">
        <w:rPr>
          <w:lang w:val="en-GB" w:eastAsia="en-GB"/>
        </w:rPr>
        <w:t xml:space="preserve"> systematic review </w:t>
      </w:r>
      <w:r>
        <w:rPr>
          <w:lang w:val="en-GB" w:eastAsia="en-GB"/>
        </w:rPr>
        <w:t xml:space="preserve">examined the evidence for five interventions in </w:t>
      </w:r>
      <w:r w:rsidR="00A41D9F">
        <w:rPr>
          <w:lang w:val="en-GB" w:eastAsia="en-GB"/>
        </w:rPr>
        <w:t>neonatal and paediatric</w:t>
      </w:r>
      <w:r>
        <w:rPr>
          <w:lang w:val="en-GB" w:eastAsia="en-GB"/>
        </w:rPr>
        <w:t xml:space="preserve"> patients: fres</w:t>
      </w:r>
      <w:r w:rsidRPr="00D24EDA">
        <w:rPr>
          <w:lang w:val="en-GB" w:eastAsia="en-GB"/>
        </w:rPr>
        <w:t>h frozen plasma</w:t>
      </w:r>
      <w:r w:rsidR="00ED1380">
        <w:rPr>
          <w:lang w:val="en-GB" w:eastAsia="en-GB"/>
        </w:rPr>
        <w:t xml:space="preserve"> (FFP)</w:t>
      </w:r>
      <w:r w:rsidRPr="00D24EDA">
        <w:rPr>
          <w:lang w:val="en-GB" w:eastAsia="en-GB"/>
        </w:rPr>
        <w:t>, cryoprec</w:t>
      </w:r>
      <w:r w:rsidR="00ED1380">
        <w:rPr>
          <w:lang w:val="en-GB" w:eastAsia="en-GB"/>
        </w:rPr>
        <w:t>ipitate, fibrinogen concentrate</w:t>
      </w:r>
      <w:r w:rsidRPr="00D24EDA">
        <w:rPr>
          <w:lang w:val="en-GB" w:eastAsia="en-GB"/>
        </w:rPr>
        <w:t xml:space="preserve"> and platelet </w:t>
      </w:r>
      <w:r>
        <w:rPr>
          <w:lang w:val="en-GB" w:eastAsia="en-GB"/>
        </w:rPr>
        <w:t xml:space="preserve">transfusion. </w:t>
      </w:r>
    </w:p>
    <w:p w14:paraId="2528551E" w14:textId="466BB222" w:rsidR="00F00BFD" w:rsidRPr="000D451B" w:rsidRDefault="00ED1380" w:rsidP="00ED1380">
      <w:r>
        <w:rPr>
          <w:lang w:val="en-US"/>
        </w:rPr>
        <w:t>FFP</w:t>
      </w:r>
      <w:r w:rsidR="00F00BFD" w:rsidRPr="000D451B">
        <w:rPr>
          <w:lang w:val="en-US"/>
        </w:rPr>
        <w:t xml:space="preserve"> contains all the coagulation factors present in normal plasma and is primarily transfused in the </w:t>
      </w:r>
      <w:r>
        <w:rPr>
          <w:lang w:val="en-US"/>
        </w:rPr>
        <w:t xml:space="preserve">neonatal and paediatric </w:t>
      </w:r>
      <w:r w:rsidR="00F00BFD" w:rsidRPr="000D451B">
        <w:rPr>
          <w:lang w:val="en-US"/>
        </w:rPr>
        <w:t>setting t</w:t>
      </w:r>
      <w:r w:rsidR="00F00BFD">
        <w:rPr>
          <w:lang w:val="en-US"/>
        </w:rPr>
        <w:t>o correct abnormalities of coagulation</w:t>
      </w:r>
      <w:r w:rsidR="00F00BFD" w:rsidRPr="000D451B">
        <w:rPr>
          <w:lang w:val="en-US"/>
        </w:rPr>
        <w:t xml:space="preserve">. </w:t>
      </w:r>
    </w:p>
    <w:p w14:paraId="175616C0" w14:textId="51521D09" w:rsidR="00F00BFD" w:rsidRPr="00F653B7" w:rsidRDefault="00F00BFD" w:rsidP="00ED1380">
      <w:r>
        <w:t>The administration</w:t>
      </w:r>
      <w:r w:rsidRPr="00F653B7">
        <w:t xml:space="preserve"> of </w:t>
      </w:r>
      <w:r>
        <w:t>FFP has been</w:t>
      </w:r>
      <w:r w:rsidRPr="00F653B7">
        <w:t xml:space="preserve"> associated with a range of side effects including infection, allergic reactions, h</w:t>
      </w:r>
      <w:r w:rsidR="00ED1380">
        <w:t>a</w:t>
      </w:r>
      <w:r w:rsidRPr="00F653B7">
        <w:t>emolysis, TACO</w:t>
      </w:r>
      <w:r w:rsidR="00ED1380">
        <w:t xml:space="preserve"> and</w:t>
      </w:r>
      <w:r w:rsidRPr="00F653B7">
        <w:t xml:space="preserve"> TRALI. Therefore, the risks and benefits of FFP transfusion need to be carefully considered before use.</w:t>
      </w:r>
    </w:p>
    <w:p w14:paraId="489BAB89" w14:textId="77777777" w:rsidR="00ED1380" w:rsidRDefault="00F00BFD" w:rsidP="0083311B">
      <w:pPr>
        <w:spacing w:after="120"/>
      </w:pPr>
      <w:r>
        <w:t>C</w:t>
      </w:r>
      <w:r w:rsidRPr="00F653B7">
        <w:t xml:space="preserve">ryoprecipitate </w:t>
      </w:r>
      <w:r>
        <w:t>is administered to</w:t>
      </w:r>
      <w:r w:rsidRPr="00F653B7">
        <w:t xml:space="preserve"> patients </w:t>
      </w:r>
      <w:r>
        <w:t>to correct</w:t>
      </w:r>
      <w:r w:rsidRPr="00F653B7">
        <w:t xml:space="preserve"> hypofibrinogenaemia</w:t>
      </w:r>
      <w:r>
        <w:t>.</w:t>
      </w:r>
      <w:r w:rsidRPr="00F653B7">
        <w:t xml:space="preserve"> Primary triggers for tr</w:t>
      </w:r>
      <w:r>
        <w:t>ansfusion of cryoprecipitate include</w:t>
      </w:r>
      <w:r w:rsidR="00ED1380">
        <w:t>:</w:t>
      </w:r>
    </w:p>
    <w:p w14:paraId="5C126DBF" w14:textId="77777777" w:rsidR="0083311B" w:rsidRDefault="00F00BFD" w:rsidP="0083311B">
      <w:pPr>
        <w:pStyle w:val="Bullet6"/>
      </w:pPr>
      <w:r w:rsidRPr="00F653B7">
        <w:t>haemostatic support during massive blood loss</w:t>
      </w:r>
    </w:p>
    <w:p w14:paraId="58A9C47E" w14:textId="77777777" w:rsidR="0083311B" w:rsidRDefault="00F00BFD" w:rsidP="0083311B">
      <w:pPr>
        <w:pStyle w:val="Bullet6"/>
      </w:pPr>
      <w:r w:rsidRPr="00F653B7">
        <w:t xml:space="preserve">low fibrinogen and active bleeding </w:t>
      </w:r>
      <w:r w:rsidR="00ED1380">
        <w:t>before</w:t>
      </w:r>
      <w:r w:rsidRPr="00F653B7">
        <w:t xml:space="preserve"> or during an invasive procedure</w:t>
      </w:r>
    </w:p>
    <w:p w14:paraId="15FB32CA" w14:textId="549D2888" w:rsidR="0083311B" w:rsidRDefault="00F00BFD" w:rsidP="0083311B">
      <w:pPr>
        <w:pStyle w:val="Bullet6"/>
      </w:pPr>
      <w:r w:rsidRPr="00F653B7">
        <w:t xml:space="preserve">dysfibrinogenaemia </w:t>
      </w:r>
      <w:r>
        <w:t>(structural</w:t>
      </w:r>
      <w:r w:rsidR="004828DA">
        <w:t xml:space="preserve"> </w:t>
      </w:r>
      <w:r>
        <w:t xml:space="preserve">abnormalities of the fibrinogen molecule that cause dysfunction) </w:t>
      </w:r>
    </w:p>
    <w:p w14:paraId="5ECD3945" w14:textId="60D819DE" w:rsidR="0083311B" w:rsidRDefault="00F00BFD" w:rsidP="0083311B">
      <w:pPr>
        <w:pStyle w:val="Bullet12"/>
      </w:pPr>
      <w:r w:rsidRPr="00F653B7">
        <w:t xml:space="preserve">active bleeding </w:t>
      </w:r>
      <w:r w:rsidR="00ED1380">
        <w:t>before</w:t>
      </w:r>
      <w:r w:rsidRPr="00F653B7">
        <w:t xml:space="preserve"> or during an invasive procedure.</w:t>
      </w:r>
    </w:p>
    <w:p w14:paraId="5CB375BA" w14:textId="16C1297B" w:rsidR="00F00BFD" w:rsidRPr="00F653B7" w:rsidRDefault="00F00BFD" w:rsidP="0083311B">
      <w:r w:rsidRPr="00F653B7">
        <w:t xml:space="preserve"> </w:t>
      </w:r>
      <w:r>
        <w:rPr>
          <w:lang w:val="en-US"/>
        </w:rPr>
        <w:t>F</w:t>
      </w:r>
      <w:r w:rsidRPr="00FC7388">
        <w:rPr>
          <w:lang w:val="en-US"/>
        </w:rPr>
        <w:t xml:space="preserve">ibrinogen </w:t>
      </w:r>
      <w:r>
        <w:rPr>
          <w:lang w:val="en-US"/>
        </w:rPr>
        <w:t>may also be administered to</w:t>
      </w:r>
      <w:r>
        <w:rPr>
          <w:lang w:val="en-GB"/>
        </w:rPr>
        <w:t xml:space="preserve"> </w:t>
      </w:r>
      <w:r w:rsidRPr="00FC7388">
        <w:rPr>
          <w:lang w:val="en-GB"/>
        </w:rPr>
        <w:t>patients with hypofibrinogenaemia</w:t>
      </w:r>
      <w:r>
        <w:rPr>
          <w:lang w:val="en-GB"/>
        </w:rPr>
        <w:t>.</w:t>
      </w:r>
      <w:r w:rsidR="009E678B">
        <w:rPr>
          <w:rStyle w:val="FootnoteReference"/>
          <w:lang w:val="en-GB"/>
        </w:rPr>
        <w:footnoteReference w:id="11"/>
      </w:r>
    </w:p>
    <w:p w14:paraId="50D1EDE6" w14:textId="4E33E901" w:rsidR="0083311B" w:rsidRDefault="00F00BFD" w:rsidP="0083311B">
      <w:pPr>
        <w:rPr>
          <w:bCs/>
          <w:lang w:val="en-US" w:eastAsia="zh-TW"/>
        </w:rPr>
      </w:pPr>
      <w:r w:rsidRPr="00F653B7">
        <w:t xml:space="preserve">Platelet transfusions are frequently used to correct </w:t>
      </w:r>
      <w:r w:rsidR="002B2C2B">
        <w:t>thrombocytopaenia</w:t>
      </w:r>
      <w:r w:rsidRPr="00F653B7">
        <w:t xml:space="preserve"> in critically ill patients. Th</w:t>
      </w:r>
      <w:r>
        <w:t xml:space="preserve">e use of platelet transfusion has been </w:t>
      </w:r>
      <w:r w:rsidRPr="00F653B7">
        <w:t>associated with a range of side effects including</w:t>
      </w:r>
      <w:r w:rsidR="0083311B">
        <w:t xml:space="preserve"> </w:t>
      </w:r>
      <w:r w:rsidRPr="00F653B7">
        <w:t xml:space="preserve">bacterial </w:t>
      </w:r>
      <w:r>
        <w:t>infection (due to contamination)</w:t>
      </w:r>
      <w:r w:rsidRPr="00F653B7">
        <w:t>, allergic reactions, febrile reactions, venous thromboembolism, TRALI and TACO. Therefore, the risks and benefits</w:t>
      </w:r>
      <w:r>
        <w:rPr>
          <w:lang w:val="en-US" w:eastAsia="zh-TW"/>
        </w:rPr>
        <w:t xml:space="preserve"> of platelet transfusion in critically ill patients need to be carefully considered </w:t>
      </w:r>
      <w:r w:rsidR="0083311B">
        <w:rPr>
          <w:lang w:val="en-US" w:eastAsia="zh-TW"/>
        </w:rPr>
        <w:t>before</w:t>
      </w:r>
      <w:r>
        <w:rPr>
          <w:lang w:val="en-US" w:eastAsia="zh-TW"/>
        </w:rPr>
        <w:t xml:space="preserve"> use.</w:t>
      </w:r>
      <w:r w:rsidRPr="001C2CCC">
        <w:rPr>
          <w:lang w:val="en-US" w:eastAsia="zh-TW"/>
        </w:rPr>
        <w:t xml:space="preserve"> </w:t>
      </w:r>
      <w:r w:rsidRPr="001C2CCC">
        <w:rPr>
          <w:bCs/>
          <w:lang w:val="en-US" w:eastAsia="zh-TW"/>
        </w:rPr>
        <w:t>Primary</w:t>
      </w:r>
      <w:r w:rsidRPr="001C2CCC">
        <w:rPr>
          <w:b/>
          <w:bCs/>
          <w:lang w:val="en-US" w:eastAsia="zh-TW"/>
        </w:rPr>
        <w:t xml:space="preserve"> </w:t>
      </w:r>
      <w:r w:rsidRPr="001C2CCC">
        <w:rPr>
          <w:bCs/>
          <w:lang w:val="en-US" w:eastAsia="zh-TW"/>
        </w:rPr>
        <w:t>trigg</w:t>
      </w:r>
      <w:r>
        <w:rPr>
          <w:bCs/>
          <w:lang w:val="en-US" w:eastAsia="zh-TW"/>
        </w:rPr>
        <w:t>ers for transfusion of platelets are</w:t>
      </w:r>
      <w:r w:rsidR="0083311B">
        <w:rPr>
          <w:bCs/>
          <w:lang w:val="en-US" w:eastAsia="zh-TW"/>
        </w:rPr>
        <w:t>:</w:t>
      </w:r>
    </w:p>
    <w:p w14:paraId="2D912DEA" w14:textId="77777777" w:rsidR="0083311B" w:rsidRDefault="00F00BFD" w:rsidP="0083311B">
      <w:pPr>
        <w:pStyle w:val="Bullet6"/>
      </w:pPr>
      <w:r>
        <w:rPr>
          <w:bCs/>
          <w:lang w:eastAsia="zh-TW"/>
        </w:rPr>
        <w:t xml:space="preserve">low platelet count and active bleeding </w:t>
      </w:r>
      <w:r w:rsidR="0083311B">
        <w:rPr>
          <w:bCs/>
          <w:lang w:eastAsia="zh-TW"/>
        </w:rPr>
        <w:t>before</w:t>
      </w:r>
      <w:r w:rsidRPr="001C2CCC">
        <w:rPr>
          <w:bCs/>
          <w:lang w:eastAsia="zh-TW"/>
        </w:rPr>
        <w:t xml:space="preserve"> or </w:t>
      </w:r>
      <w:r>
        <w:rPr>
          <w:bCs/>
          <w:lang w:eastAsia="zh-TW"/>
        </w:rPr>
        <w:t xml:space="preserve">during an invasive </w:t>
      </w:r>
      <w:r w:rsidR="0083311B">
        <w:t>procedure</w:t>
      </w:r>
    </w:p>
    <w:p w14:paraId="4E21A581" w14:textId="5C5B8E75" w:rsidR="0083311B" w:rsidRDefault="00F00BFD" w:rsidP="0083311B">
      <w:pPr>
        <w:pStyle w:val="Bullet6"/>
      </w:pPr>
      <w:r w:rsidRPr="00FC7388">
        <w:t xml:space="preserve">prophylaxis </w:t>
      </w:r>
      <w:r w:rsidR="00B855A4">
        <w:rPr>
          <w:lang w:val="en-AU"/>
        </w:rPr>
        <w:t>after</w:t>
      </w:r>
      <w:r w:rsidR="00B855A4" w:rsidRPr="00FC7388">
        <w:t xml:space="preserve"> </w:t>
      </w:r>
      <w:r w:rsidRPr="00FC7388">
        <w:t>chemotherapy</w:t>
      </w:r>
    </w:p>
    <w:p w14:paraId="40CF4F7A" w14:textId="77777777" w:rsidR="0083311B" w:rsidRDefault="00F00BFD" w:rsidP="0083311B">
      <w:pPr>
        <w:pStyle w:val="Bullet6"/>
      </w:pPr>
      <w:r w:rsidRPr="00FC7388">
        <w:t>bone marrow transplant</w:t>
      </w:r>
    </w:p>
    <w:p w14:paraId="0C7B34F2" w14:textId="77777777" w:rsidR="0083311B" w:rsidRDefault="00F00BFD" w:rsidP="0083311B">
      <w:pPr>
        <w:pStyle w:val="Bullet6"/>
      </w:pPr>
      <w:r w:rsidRPr="00FC7388">
        <w:t>known or suspected disorder (acquired or inherited) affecting platelet function</w:t>
      </w:r>
    </w:p>
    <w:p w14:paraId="6BB84054" w14:textId="6C4F9C67" w:rsidR="00F00BFD" w:rsidRPr="004E09B3" w:rsidRDefault="00F00BFD" w:rsidP="0083311B">
      <w:pPr>
        <w:pStyle w:val="Bullet12"/>
      </w:pPr>
      <w:r w:rsidRPr="004E09B3">
        <w:t xml:space="preserve">active bleeding </w:t>
      </w:r>
      <w:r w:rsidR="0083311B" w:rsidRPr="004E09B3">
        <w:rPr>
          <w:lang w:val="en-AU"/>
        </w:rPr>
        <w:t>before</w:t>
      </w:r>
      <w:r w:rsidRPr="004E09B3">
        <w:t xml:space="preserve"> or during an invasive procedure.</w:t>
      </w:r>
    </w:p>
    <w:p w14:paraId="1688B59A" w14:textId="2C938C26" w:rsidR="00F00BFD" w:rsidRDefault="00F00BFD" w:rsidP="00886B81">
      <w:r w:rsidRPr="004E09B3">
        <w:t xml:space="preserve">Overall, </w:t>
      </w:r>
      <w:r w:rsidR="00886B81" w:rsidRPr="004E09B3">
        <w:t>two</w:t>
      </w:r>
      <w:r w:rsidRPr="004E09B3">
        <w:t xml:space="preserve"> Level I studies, </w:t>
      </w:r>
      <w:r w:rsidR="00886B81" w:rsidRPr="004E09B3">
        <w:t>six</w:t>
      </w:r>
      <w:r w:rsidRPr="004E09B3">
        <w:t xml:space="preserve"> Level II studies and </w:t>
      </w:r>
      <w:r w:rsidR="00886B81" w:rsidRPr="004E09B3">
        <w:t>seven</w:t>
      </w:r>
      <w:r w:rsidRPr="004E09B3">
        <w:t xml:space="preserve"> Level III studies were identified in the systematic review</w:t>
      </w:r>
      <w:r w:rsidR="004E09B3" w:rsidRPr="004E09B3">
        <w:t>.</w:t>
      </w:r>
    </w:p>
    <w:p w14:paraId="15AB9BC1" w14:textId="77777777" w:rsidR="00F00BFD" w:rsidRPr="00F04A2E" w:rsidRDefault="00F00BFD" w:rsidP="00886B81">
      <w:pPr>
        <w:rPr>
          <w:lang w:val="en-GB"/>
        </w:rPr>
      </w:pPr>
      <w:r>
        <w:t>The</w:t>
      </w:r>
      <w:r w:rsidRPr="006C0F13">
        <w:t xml:space="preserve"> search identified no literature </w:t>
      </w:r>
      <w:r>
        <w:t>specifically</w:t>
      </w:r>
      <w:r w:rsidRPr="006C0F13">
        <w:t xml:space="preserve"> pertaining to Australia’s Aboriginal and Torres Strait</w:t>
      </w:r>
      <w:r w:rsidRPr="00F04A2E">
        <w:rPr>
          <w:lang w:val="en-GB"/>
        </w:rPr>
        <w:t xml:space="preserve"> Islander peoples relevant to this research question.</w:t>
      </w:r>
    </w:p>
    <w:p w14:paraId="04C51D77" w14:textId="3F74F472" w:rsidR="00F00BFD" w:rsidRPr="00886B81" w:rsidRDefault="00886B81" w:rsidP="00886B81">
      <w:pPr>
        <w:pStyle w:val="Heading3"/>
        <w:rPr>
          <w:lang w:val="en-AU"/>
        </w:rPr>
      </w:pPr>
      <w:bookmarkStart w:id="138" w:name="_Toc427851339"/>
      <w:r>
        <w:rPr>
          <w:lang w:val="en-AU"/>
        </w:rPr>
        <w:t>3.4.1</w:t>
      </w:r>
      <w:r>
        <w:rPr>
          <w:lang w:val="en-AU"/>
        </w:rPr>
        <w:tab/>
        <w:t>Preterm</w:t>
      </w:r>
      <w:r w:rsidR="00F00BFD" w:rsidRPr="00874268">
        <w:t xml:space="preserve"> and </w:t>
      </w:r>
      <w:r w:rsidR="00F00BFD">
        <w:t xml:space="preserve">low birth weight </w:t>
      </w:r>
      <w:r w:rsidR="00F00BFD" w:rsidRPr="00874268">
        <w:t>infants</w:t>
      </w:r>
      <w:r>
        <w:rPr>
          <w:lang w:val="en-AU"/>
        </w:rPr>
        <w:t xml:space="preserve"> – effects of </w:t>
      </w:r>
      <w:r w:rsidR="00062DF6">
        <w:rPr>
          <w:lang w:val="en-AU"/>
        </w:rPr>
        <w:t>FFP</w:t>
      </w:r>
      <w:r>
        <w:rPr>
          <w:lang w:val="en-AU"/>
        </w:rPr>
        <w:t xml:space="preserve"> on outcome</w:t>
      </w:r>
      <w:bookmarkStart w:id="139" w:name="_Toc248631112"/>
      <w:r>
        <w:rPr>
          <w:lang w:val="en-AU"/>
        </w:rPr>
        <w:t>s</w:t>
      </w:r>
      <w:bookmarkEnd w:id="138"/>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750"/>
        <w:gridCol w:w="809"/>
        <w:gridCol w:w="809"/>
        <w:gridCol w:w="810"/>
        <w:gridCol w:w="809"/>
        <w:gridCol w:w="810"/>
      </w:tblGrid>
      <w:tr w:rsidR="00F00BFD" w:rsidRPr="00F921CD" w14:paraId="741CE438" w14:textId="77777777" w:rsidTr="00467EEA">
        <w:trPr>
          <w:cantSplit/>
          <w:trHeight w:val="2078"/>
          <w:tblHeader/>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44A9C4"/>
          </w:tcPr>
          <w:p w14:paraId="19081A1A" w14:textId="25CB7CB2" w:rsidR="00F00BFD" w:rsidRPr="00F921CD" w:rsidRDefault="00F00BFD" w:rsidP="00886B81">
            <w:pPr>
              <w:pStyle w:val="PP-heading"/>
            </w:pPr>
            <w:r w:rsidRPr="00F921CD">
              <w:t>Evidence statements – preterm and low birth weight infants (</w:t>
            </w:r>
            <w:r w:rsidR="00886B81">
              <w:rPr>
                <w:lang w:val="en-AU"/>
              </w:rPr>
              <w:t>FFP</w:t>
            </w:r>
            <w:r w:rsidRPr="00F921CD">
              <w: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6DE0FF0" w14:textId="77777777" w:rsidR="00F00BFD" w:rsidRPr="00F921CD" w:rsidRDefault="00F00BFD" w:rsidP="00F00BFD">
            <w:pPr>
              <w:ind w:left="113" w:right="113"/>
              <w:jc w:val="center"/>
              <w:rPr>
                <w:b/>
              </w:rPr>
            </w:pPr>
            <w:r w:rsidRPr="00F921CD">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01668BD" w14:textId="77777777" w:rsidR="00F00BFD" w:rsidRPr="00F921CD" w:rsidRDefault="00F00BFD" w:rsidP="00F00BFD">
            <w:pPr>
              <w:ind w:left="113" w:right="113"/>
              <w:jc w:val="center"/>
              <w:rPr>
                <w:b/>
              </w:rPr>
            </w:pPr>
            <w:r w:rsidRPr="00F921CD">
              <w:rPr>
                <w:b/>
              </w:rPr>
              <w:t>Consistency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6BD12D9" w14:textId="77777777" w:rsidR="00F00BFD" w:rsidRPr="00F921CD" w:rsidRDefault="00F00BFD" w:rsidP="00F00BFD">
            <w:pPr>
              <w:ind w:left="113" w:right="113"/>
              <w:jc w:val="center"/>
              <w:rPr>
                <w:b/>
              </w:rPr>
            </w:pPr>
            <w:r w:rsidRPr="00F921CD">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E88CFCC" w14:textId="77777777" w:rsidR="00F00BFD" w:rsidRPr="00F921CD" w:rsidRDefault="00F00BFD" w:rsidP="00F00BFD">
            <w:pPr>
              <w:ind w:left="113" w:right="113"/>
              <w:jc w:val="center"/>
              <w:rPr>
                <w:b/>
              </w:rPr>
            </w:pPr>
            <w:r w:rsidRPr="00F921CD">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1988B18" w14:textId="77777777" w:rsidR="00F00BFD" w:rsidRPr="00F921CD" w:rsidRDefault="00F00BFD" w:rsidP="00F00BFD">
            <w:pPr>
              <w:ind w:left="113" w:right="113"/>
              <w:jc w:val="center"/>
              <w:rPr>
                <w:b/>
              </w:rPr>
            </w:pPr>
            <w:r w:rsidRPr="00F921CD">
              <w:rPr>
                <w:b/>
              </w:rPr>
              <w:t>Applicability</w:t>
            </w:r>
          </w:p>
        </w:tc>
      </w:tr>
      <w:tr w:rsidR="00F00BFD" w:rsidRPr="00F921CD" w14:paraId="043E02E2" w14:textId="77777777" w:rsidTr="00F00BFD">
        <w:trPr>
          <w:cantSplit/>
        </w:trPr>
        <w:tc>
          <w:tcPr>
            <w:tcW w:w="850" w:type="dxa"/>
          </w:tcPr>
          <w:p w14:paraId="136C23A5" w14:textId="77777777" w:rsidR="00F00BFD" w:rsidRPr="00F921CD" w:rsidRDefault="00F00BFD" w:rsidP="00F00BFD">
            <w:pPr>
              <w:pStyle w:val="Tabletextnoindent"/>
              <w:numPr>
                <w:ilvl w:val="0"/>
                <w:numId w:val="0"/>
              </w:numPr>
            </w:pPr>
            <w:r w:rsidRPr="004352CC">
              <w:t>ES3.1</w:t>
            </w:r>
          </w:p>
        </w:tc>
        <w:tc>
          <w:tcPr>
            <w:tcW w:w="3750" w:type="dxa"/>
          </w:tcPr>
          <w:p w14:paraId="36A0289D" w14:textId="77777777" w:rsidR="00F00BFD" w:rsidRPr="00F921CD" w:rsidRDefault="00F00BFD" w:rsidP="00F00BFD">
            <w:pPr>
              <w:pStyle w:val="ES-table"/>
            </w:pPr>
            <w:r w:rsidRPr="00F921CD">
              <w:t>In preterm (&lt;32 weeks) or very low birth weight infants (</w:t>
            </w:r>
            <w:r>
              <w:t>&lt;</w:t>
            </w:r>
            <w:r w:rsidRPr="00F921CD">
              <w:t>1500 g), the effect of FFP compared with no FFP on mortality is uncertain.</w:t>
            </w:r>
          </w:p>
          <w:p w14:paraId="3942E74D" w14:textId="77777777" w:rsidR="00F00BFD" w:rsidRPr="00F921CD" w:rsidRDefault="00F00BFD" w:rsidP="00F00BFD">
            <w:pPr>
              <w:pStyle w:val="ES-notes"/>
            </w:pPr>
            <w:r w:rsidRPr="00F921CD">
              <w:t xml:space="preserve">(See </w:t>
            </w:r>
            <w:r w:rsidRPr="00D36481">
              <w:t>evidence</w:t>
            </w:r>
            <w:r w:rsidRPr="00F921CD">
              <w:t xml:space="preserve"> matrix D3.A in Volume 2 of the technical report.)</w:t>
            </w:r>
          </w:p>
        </w:tc>
        <w:tc>
          <w:tcPr>
            <w:tcW w:w="809" w:type="dxa"/>
          </w:tcPr>
          <w:p w14:paraId="56B04DC3" w14:textId="77777777" w:rsidR="00F00BFD" w:rsidRPr="00F921CD" w:rsidRDefault="00F00BFD" w:rsidP="00F00BFD">
            <w:pPr>
              <w:pStyle w:val="T-ABCD"/>
            </w:pPr>
            <w:r w:rsidRPr="00F921CD">
              <w:sym w:font="Symbol" w:char="F0D6"/>
            </w:r>
          </w:p>
        </w:tc>
        <w:tc>
          <w:tcPr>
            <w:tcW w:w="809" w:type="dxa"/>
          </w:tcPr>
          <w:p w14:paraId="44A4150C" w14:textId="77777777" w:rsidR="00F00BFD" w:rsidRPr="00F921CD" w:rsidRDefault="00F00BFD" w:rsidP="00F00BFD">
            <w:pPr>
              <w:pStyle w:val="T-ABCD"/>
            </w:pPr>
            <w:r w:rsidRPr="00F921CD">
              <w:sym w:font="Symbol" w:char="F0D6"/>
            </w:r>
            <w:r w:rsidRPr="00F921CD">
              <w:sym w:font="Symbol" w:char="F0D6"/>
            </w:r>
            <w:r w:rsidRPr="00F921CD">
              <w:sym w:font="Symbol" w:char="F0D6"/>
            </w:r>
          </w:p>
        </w:tc>
        <w:tc>
          <w:tcPr>
            <w:tcW w:w="810" w:type="dxa"/>
          </w:tcPr>
          <w:p w14:paraId="65C833B7" w14:textId="77777777" w:rsidR="00F00BFD" w:rsidRPr="00F921CD" w:rsidRDefault="00F00BFD" w:rsidP="00F00BFD">
            <w:pPr>
              <w:pStyle w:val="T-ABCD"/>
            </w:pPr>
            <w:r w:rsidRPr="00F921CD">
              <w:t>NA</w:t>
            </w:r>
          </w:p>
        </w:tc>
        <w:tc>
          <w:tcPr>
            <w:tcW w:w="809" w:type="dxa"/>
          </w:tcPr>
          <w:p w14:paraId="4C74E2D3" w14:textId="77777777" w:rsidR="00F00BFD" w:rsidRPr="00F921CD" w:rsidRDefault="00F00BFD" w:rsidP="00F00BFD">
            <w:pPr>
              <w:pStyle w:val="T-ABCD"/>
            </w:pPr>
            <w:r w:rsidRPr="00F921CD">
              <w:sym w:font="Symbol" w:char="F0D6"/>
            </w:r>
            <w:r w:rsidRPr="00F921CD">
              <w:sym w:font="Symbol" w:char="F0D6"/>
            </w:r>
            <w:r w:rsidRPr="00F921CD">
              <w:sym w:font="Symbol" w:char="F0D6"/>
            </w:r>
          </w:p>
        </w:tc>
        <w:tc>
          <w:tcPr>
            <w:tcW w:w="810" w:type="dxa"/>
          </w:tcPr>
          <w:p w14:paraId="3B2E8F58" w14:textId="77777777" w:rsidR="00F00BFD" w:rsidRPr="00F921CD" w:rsidRDefault="00F00BFD" w:rsidP="00F00BFD">
            <w:pPr>
              <w:pStyle w:val="T-ABCD"/>
            </w:pPr>
            <w:r w:rsidRPr="00F921CD">
              <w:sym w:font="Symbol" w:char="F0D6"/>
            </w:r>
          </w:p>
        </w:tc>
      </w:tr>
      <w:tr w:rsidR="00F00BFD" w:rsidRPr="00F921CD" w14:paraId="45357A89" w14:textId="77777777" w:rsidTr="00F00BFD">
        <w:trPr>
          <w:cantSplit/>
        </w:trPr>
        <w:tc>
          <w:tcPr>
            <w:tcW w:w="850" w:type="dxa"/>
          </w:tcPr>
          <w:p w14:paraId="5A013865" w14:textId="77777777" w:rsidR="00F00BFD" w:rsidRPr="00F921CD" w:rsidRDefault="00F00BFD" w:rsidP="00F00BFD">
            <w:pPr>
              <w:pStyle w:val="Tabletextnoindent"/>
              <w:numPr>
                <w:ilvl w:val="0"/>
                <w:numId w:val="0"/>
              </w:numPr>
            </w:pPr>
            <w:r w:rsidRPr="004352CC">
              <w:t>ES3.2</w:t>
            </w:r>
          </w:p>
        </w:tc>
        <w:tc>
          <w:tcPr>
            <w:tcW w:w="3750" w:type="dxa"/>
          </w:tcPr>
          <w:p w14:paraId="7BDD5F8B" w14:textId="77777777" w:rsidR="00F00BFD" w:rsidRPr="00F921CD" w:rsidRDefault="00F00BFD" w:rsidP="00F00BFD">
            <w:pPr>
              <w:pStyle w:val="ES-table"/>
            </w:pPr>
            <w:r w:rsidRPr="00F921CD">
              <w:t>In preterm (&lt;32 weeks) or very low birth weight infants (</w:t>
            </w:r>
            <w:r>
              <w:t>&lt;</w:t>
            </w:r>
            <w:r w:rsidRPr="00F921CD">
              <w:t>1500 g), the effect of FFP compared with no FFP on IVH is uncertain.</w:t>
            </w:r>
          </w:p>
          <w:p w14:paraId="76A74410" w14:textId="77777777" w:rsidR="00F00BFD" w:rsidRPr="00F921CD" w:rsidRDefault="00F00BFD" w:rsidP="00F00BFD">
            <w:pPr>
              <w:pStyle w:val="ES-notes"/>
            </w:pPr>
            <w:r w:rsidRPr="00F921CD">
              <w:t>(See evidence matrix D3.B in Volume 2 of the technical report.)</w:t>
            </w:r>
          </w:p>
        </w:tc>
        <w:tc>
          <w:tcPr>
            <w:tcW w:w="809" w:type="dxa"/>
          </w:tcPr>
          <w:p w14:paraId="09EB21A9" w14:textId="77777777" w:rsidR="00F00BFD" w:rsidRPr="00F921CD" w:rsidRDefault="00F00BFD" w:rsidP="00F00BFD">
            <w:pPr>
              <w:pStyle w:val="T-ABCD"/>
            </w:pPr>
            <w:r w:rsidRPr="00F921CD">
              <w:sym w:font="Symbol" w:char="F0D6"/>
            </w:r>
          </w:p>
        </w:tc>
        <w:tc>
          <w:tcPr>
            <w:tcW w:w="809" w:type="dxa"/>
          </w:tcPr>
          <w:p w14:paraId="1C771003" w14:textId="77777777" w:rsidR="00F00BFD" w:rsidRPr="00F921CD" w:rsidRDefault="00F00BFD" w:rsidP="00F00BFD">
            <w:pPr>
              <w:pStyle w:val="T-ABCD"/>
            </w:pPr>
            <w:r w:rsidRPr="00F921CD">
              <w:sym w:font="Symbol" w:char="F0D6"/>
            </w:r>
            <w:r w:rsidRPr="00F921CD">
              <w:sym w:font="Symbol" w:char="F0D6"/>
            </w:r>
          </w:p>
        </w:tc>
        <w:tc>
          <w:tcPr>
            <w:tcW w:w="810" w:type="dxa"/>
          </w:tcPr>
          <w:p w14:paraId="1EADFEBC" w14:textId="77777777" w:rsidR="00F00BFD" w:rsidRPr="00F921CD" w:rsidRDefault="00F00BFD" w:rsidP="00F00BFD">
            <w:pPr>
              <w:pStyle w:val="T-ABCD"/>
            </w:pPr>
            <w:r w:rsidRPr="00F921CD">
              <w:t>NA</w:t>
            </w:r>
          </w:p>
        </w:tc>
        <w:tc>
          <w:tcPr>
            <w:tcW w:w="809" w:type="dxa"/>
          </w:tcPr>
          <w:p w14:paraId="14123C41" w14:textId="77777777" w:rsidR="00F00BFD" w:rsidRPr="00F921CD" w:rsidRDefault="00F00BFD" w:rsidP="00F00BFD">
            <w:pPr>
              <w:pStyle w:val="T-ABCD"/>
            </w:pPr>
            <w:r w:rsidRPr="00F921CD">
              <w:sym w:font="Symbol" w:char="F0D6"/>
            </w:r>
            <w:r w:rsidRPr="00F921CD">
              <w:sym w:font="Symbol" w:char="F0D6"/>
            </w:r>
            <w:r w:rsidRPr="00F921CD">
              <w:sym w:font="Symbol" w:char="F0D6"/>
            </w:r>
          </w:p>
        </w:tc>
        <w:tc>
          <w:tcPr>
            <w:tcW w:w="810" w:type="dxa"/>
          </w:tcPr>
          <w:p w14:paraId="1A9E47CE" w14:textId="77777777" w:rsidR="00F00BFD" w:rsidRPr="00F921CD" w:rsidRDefault="00F00BFD" w:rsidP="00F00BFD">
            <w:pPr>
              <w:pStyle w:val="T-ABCD"/>
            </w:pPr>
            <w:r w:rsidRPr="00F921CD">
              <w:sym w:font="Symbol" w:char="F0D6"/>
            </w:r>
          </w:p>
        </w:tc>
      </w:tr>
      <w:tr w:rsidR="00F00BFD" w:rsidRPr="00F921CD" w14:paraId="39AC08E4" w14:textId="77777777" w:rsidTr="00F00BFD">
        <w:trPr>
          <w:cantSplit/>
        </w:trPr>
        <w:tc>
          <w:tcPr>
            <w:tcW w:w="850" w:type="dxa"/>
          </w:tcPr>
          <w:p w14:paraId="2FAAA54C" w14:textId="77777777" w:rsidR="00F00BFD" w:rsidRPr="00F921CD" w:rsidRDefault="00F00BFD" w:rsidP="00F00BFD">
            <w:pPr>
              <w:pStyle w:val="Tabletextnoindent"/>
              <w:numPr>
                <w:ilvl w:val="0"/>
                <w:numId w:val="0"/>
              </w:numPr>
            </w:pPr>
            <w:r w:rsidRPr="004352CC">
              <w:t>ES3.3</w:t>
            </w:r>
          </w:p>
        </w:tc>
        <w:tc>
          <w:tcPr>
            <w:tcW w:w="3750" w:type="dxa"/>
          </w:tcPr>
          <w:p w14:paraId="4094320C" w14:textId="77777777" w:rsidR="00F00BFD" w:rsidRPr="00F921CD" w:rsidRDefault="00F00BFD" w:rsidP="00F00BFD">
            <w:pPr>
              <w:pStyle w:val="ES-table"/>
            </w:pPr>
            <w:r w:rsidRPr="00F921CD">
              <w:t>In preterm (&lt;37 weeks) infants, the effect of FFP compared with no FFP on transfusion-related serious adverse events is unknown.</w:t>
            </w:r>
          </w:p>
        </w:tc>
        <w:tc>
          <w:tcPr>
            <w:tcW w:w="809" w:type="dxa"/>
          </w:tcPr>
          <w:p w14:paraId="1050BD3F" w14:textId="77777777" w:rsidR="00F00BFD" w:rsidRPr="00F921CD" w:rsidRDefault="00F00BFD" w:rsidP="00F00BFD">
            <w:pPr>
              <w:pStyle w:val="T-ABCD"/>
            </w:pPr>
            <w:r w:rsidRPr="00F921CD">
              <w:t>NA</w:t>
            </w:r>
          </w:p>
        </w:tc>
        <w:tc>
          <w:tcPr>
            <w:tcW w:w="809" w:type="dxa"/>
          </w:tcPr>
          <w:p w14:paraId="0478C6EC" w14:textId="77777777" w:rsidR="00F00BFD" w:rsidRPr="00F921CD" w:rsidRDefault="00F00BFD" w:rsidP="00F00BFD">
            <w:pPr>
              <w:pStyle w:val="T-ABCD"/>
            </w:pPr>
            <w:r w:rsidRPr="00F921CD">
              <w:t>NA</w:t>
            </w:r>
          </w:p>
        </w:tc>
        <w:tc>
          <w:tcPr>
            <w:tcW w:w="810" w:type="dxa"/>
          </w:tcPr>
          <w:p w14:paraId="28740595" w14:textId="77777777" w:rsidR="00F00BFD" w:rsidRPr="00F921CD" w:rsidRDefault="00F00BFD" w:rsidP="00F00BFD">
            <w:pPr>
              <w:pStyle w:val="T-ABCD"/>
            </w:pPr>
            <w:r w:rsidRPr="00F921CD">
              <w:t>NA</w:t>
            </w:r>
          </w:p>
        </w:tc>
        <w:tc>
          <w:tcPr>
            <w:tcW w:w="809" w:type="dxa"/>
          </w:tcPr>
          <w:p w14:paraId="0606E14D" w14:textId="77777777" w:rsidR="00F00BFD" w:rsidRPr="00F921CD" w:rsidRDefault="00F00BFD" w:rsidP="00F00BFD">
            <w:pPr>
              <w:pStyle w:val="T-ABCD"/>
            </w:pPr>
            <w:r w:rsidRPr="00F921CD">
              <w:t>NA</w:t>
            </w:r>
          </w:p>
        </w:tc>
        <w:tc>
          <w:tcPr>
            <w:tcW w:w="810" w:type="dxa"/>
          </w:tcPr>
          <w:p w14:paraId="50FDF4FA" w14:textId="77777777" w:rsidR="00F00BFD" w:rsidRPr="00F921CD" w:rsidRDefault="00F00BFD" w:rsidP="00F00BFD">
            <w:pPr>
              <w:pStyle w:val="T-ABCD"/>
            </w:pPr>
            <w:r w:rsidRPr="00F921CD">
              <w:t xml:space="preserve">NA </w:t>
            </w:r>
          </w:p>
        </w:tc>
      </w:tr>
      <w:tr w:rsidR="00F00BFD" w:rsidRPr="00F921CD" w14:paraId="01599821" w14:textId="77777777" w:rsidTr="00F00BFD">
        <w:trPr>
          <w:cantSplit/>
        </w:trPr>
        <w:tc>
          <w:tcPr>
            <w:tcW w:w="850" w:type="dxa"/>
          </w:tcPr>
          <w:p w14:paraId="17DDE627" w14:textId="77777777" w:rsidR="00F00BFD" w:rsidRPr="00F921CD" w:rsidRDefault="00F00BFD" w:rsidP="00F00BFD">
            <w:pPr>
              <w:pStyle w:val="Tabletextnoindent"/>
              <w:numPr>
                <w:ilvl w:val="0"/>
                <w:numId w:val="0"/>
              </w:numPr>
            </w:pPr>
            <w:r w:rsidRPr="004352CC">
              <w:t>ES3.4</w:t>
            </w:r>
          </w:p>
        </w:tc>
        <w:tc>
          <w:tcPr>
            <w:tcW w:w="3750" w:type="dxa"/>
          </w:tcPr>
          <w:p w14:paraId="36D3190C" w14:textId="77777777" w:rsidR="00F00BFD" w:rsidRPr="00F921CD" w:rsidRDefault="00F00BFD" w:rsidP="00F00BFD">
            <w:pPr>
              <w:pStyle w:val="ES-table"/>
            </w:pPr>
            <w:r w:rsidRPr="00F921CD">
              <w:t>In preterm (&lt;37 weeks) infants, the effect of FFP compared with no FFP on transfusion volume or incidence is unknown.</w:t>
            </w:r>
          </w:p>
        </w:tc>
        <w:tc>
          <w:tcPr>
            <w:tcW w:w="809" w:type="dxa"/>
          </w:tcPr>
          <w:p w14:paraId="5B74A1A6" w14:textId="77777777" w:rsidR="00F00BFD" w:rsidRPr="00F921CD" w:rsidRDefault="00F00BFD" w:rsidP="00F00BFD">
            <w:pPr>
              <w:pStyle w:val="T-ABCD"/>
            </w:pPr>
            <w:r w:rsidRPr="00F921CD">
              <w:t>NA</w:t>
            </w:r>
          </w:p>
        </w:tc>
        <w:tc>
          <w:tcPr>
            <w:tcW w:w="809" w:type="dxa"/>
          </w:tcPr>
          <w:p w14:paraId="246A314D" w14:textId="77777777" w:rsidR="00F00BFD" w:rsidRPr="00F921CD" w:rsidRDefault="00F00BFD" w:rsidP="00F00BFD">
            <w:pPr>
              <w:pStyle w:val="T-ABCD"/>
            </w:pPr>
            <w:r w:rsidRPr="00F921CD">
              <w:t>NA</w:t>
            </w:r>
          </w:p>
        </w:tc>
        <w:tc>
          <w:tcPr>
            <w:tcW w:w="810" w:type="dxa"/>
          </w:tcPr>
          <w:p w14:paraId="18F22234" w14:textId="77777777" w:rsidR="00F00BFD" w:rsidRPr="00F921CD" w:rsidRDefault="00F00BFD" w:rsidP="00F00BFD">
            <w:pPr>
              <w:pStyle w:val="T-ABCD"/>
            </w:pPr>
            <w:r w:rsidRPr="00F921CD">
              <w:t>NA</w:t>
            </w:r>
          </w:p>
        </w:tc>
        <w:tc>
          <w:tcPr>
            <w:tcW w:w="809" w:type="dxa"/>
          </w:tcPr>
          <w:p w14:paraId="1C16E675" w14:textId="77777777" w:rsidR="00F00BFD" w:rsidRPr="00F921CD" w:rsidRDefault="00F00BFD" w:rsidP="00F00BFD">
            <w:pPr>
              <w:pStyle w:val="T-ABCD"/>
            </w:pPr>
            <w:r w:rsidRPr="00F921CD">
              <w:t>NA</w:t>
            </w:r>
          </w:p>
        </w:tc>
        <w:tc>
          <w:tcPr>
            <w:tcW w:w="810" w:type="dxa"/>
          </w:tcPr>
          <w:p w14:paraId="3593C782" w14:textId="77777777" w:rsidR="00F00BFD" w:rsidRPr="00F921CD" w:rsidRDefault="00F00BFD" w:rsidP="00F00BFD">
            <w:pPr>
              <w:pStyle w:val="T-ABCD"/>
            </w:pPr>
            <w:r w:rsidRPr="00F921CD">
              <w:t xml:space="preserve">NA </w:t>
            </w:r>
          </w:p>
        </w:tc>
      </w:tr>
      <w:tr w:rsidR="00F00BFD" w:rsidRPr="00F921CD" w14:paraId="4A069D3B" w14:textId="77777777" w:rsidTr="00F00BFD">
        <w:trPr>
          <w:cantSplit/>
        </w:trPr>
        <w:tc>
          <w:tcPr>
            <w:tcW w:w="850" w:type="dxa"/>
          </w:tcPr>
          <w:p w14:paraId="652DCB8E" w14:textId="77777777" w:rsidR="00F00BFD" w:rsidRPr="00F921CD" w:rsidRDefault="00F00BFD" w:rsidP="00F00BFD">
            <w:pPr>
              <w:pStyle w:val="Tabletextnoindent"/>
              <w:numPr>
                <w:ilvl w:val="0"/>
                <w:numId w:val="0"/>
              </w:numPr>
            </w:pPr>
            <w:r w:rsidRPr="004352CC">
              <w:t>ES3.5</w:t>
            </w:r>
          </w:p>
        </w:tc>
        <w:tc>
          <w:tcPr>
            <w:tcW w:w="3750" w:type="dxa"/>
          </w:tcPr>
          <w:p w14:paraId="28E6EED0" w14:textId="77777777" w:rsidR="00F00BFD" w:rsidRPr="00F921CD" w:rsidRDefault="00F00BFD" w:rsidP="00F00BFD">
            <w:pPr>
              <w:pStyle w:val="ES-table"/>
            </w:pPr>
            <w:r w:rsidRPr="00F921CD">
              <w:t>In preterm (&lt;37 weeks) infants, the effect of FFP compared with a different FFP transfusion strategy on mortality is unknown.</w:t>
            </w:r>
          </w:p>
        </w:tc>
        <w:tc>
          <w:tcPr>
            <w:tcW w:w="809" w:type="dxa"/>
          </w:tcPr>
          <w:p w14:paraId="3E6479E7" w14:textId="77777777" w:rsidR="00F00BFD" w:rsidRPr="00F921CD" w:rsidRDefault="00F00BFD" w:rsidP="00F00BFD">
            <w:pPr>
              <w:pStyle w:val="T-ABCD"/>
            </w:pPr>
            <w:r w:rsidRPr="00F921CD">
              <w:t>NA</w:t>
            </w:r>
          </w:p>
        </w:tc>
        <w:tc>
          <w:tcPr>
            <w:tcW w:w="809" w:type="dxa"/>
          </w:tcPr>
          <w:p w14:paraId="2FA572AD" w14:textId="77777777" w:rsidR="00F00BFD" w:rsidRPr="00F921CD" w:rsidRDefault="00F00BFD" w:rsidP="00F00BFD">
            <w:pPr>
              <w:pStyle w:val="T-ABCD"/>
            </w:pPr>
            <w:r w:rsidRPr="00F921CD">
              <w:t>NA</w:t>
            </w:r>
          </w:p>
        </w:tc>
        <w:tc>
          <w:tcPr>
            <w:tcW w:w="810" w:type="dxa"/>
          </w:tcPr>
          <w:p w14:paraId="792D35EE" w14:textId="77777777" w:rsidR="00F00BFD" w:rsidRPr="00F921CD" w:rsidRDefault="00F00BFD" w:rsidP="00F00BFD">
            <w:pPr>
              <w:pStyle w:val="T-ABCD"/>
            </w:pPr>
            <w:r w:rsidRPr="00F921CD">
              <w:t>NA</w:t>
            </w:r>
          </w:p>
        </w:tc>
        <w:tc>
          <w:tcPr>
            <w:tcW w:w="809" w:type="dxa"/>
          </w:tcPr>
          <w:p w14:paraId="567AD88E" w14:textId="77777777" w:rsidR="00F00BFD" w:rsidRPr="00F921CD" w:rsidRDefault="00F00BFD" w:rsidP="00F00BFD">
            <w:pPr>
              <w:pStyle w:val="T-ABCD"/>
            </w:pPr>
            <w:r w:rsidRPr="00F921CD">
              <w:t>NA</w:t>
            </w:r>
          </w:p>
        </w:tc>
        <w:tc>
          <w:tcPr>
            <w:tcW w:w="810" w:type="dxa"/>
          </w:tcPr>
          <w:p w14:paraId="41D2AB68" w14:textId="77777777" w:rsidR="00F00BFD" w:rsidRPr="00F921CD" w:rsidRDefault="00F00BFD" w:rsidP="00F00BFD">
            <w:pPr>
              <w:pStyle w:val="T-ABCD"/>
            </w:pPr>
            <w:r w:rsidRPr="00F921CD">
              <w:t xml:space="preserve">NA </w:t>
            </w:r>
          </w:p>
        </w:tc>
      </w:tr>
      <w:tr w:rsidR="00F00BFD" w:rsidRPr="00F921CD" w14:paraId="70234966" w14:textId="77777777" w:rsidTr="00F00BFD">
        <w:trPr>
          <w:cantSplit/>
        </w:trPr>
        <w:tc>
          <w:tcPr>
            <w:tcW w:w="850" w:type="dxa"/>
          </w:tcPr>
          <w:p w14:paraId="7ACAC236" w14:textId="77777777" w:rsidR="00F00BFD" w:rsidRPr="00F921CD" w:rsidRDefault="00F00BFD" w:rsidP="00F00BFD">
            <w:pPr>
              <w:pStyle w:val="Tabletextnoindent"/>
              <w:numPr>
                <w:ilvl w:val="0"/>
                <w:numId w:val="0"/>
              </w:numPr>
            </w:pPr>
            <w:r w:rsidRPr="004352CC">
              <w:t>ES3.6</w:t>
            </w:r>
          </w:p>
        </w:tc>
        <w:tc>
          <w:tcPr>
            <w:tcW w:w="3750" w:type="dxa"/>
          </w:tcPr>
          <w:p w14:paraId="4F899364" w14:textId="77777777" w:rsidR="00F00BFD" w:rsidRPr="00F921CD" w:rsidRDefault="00F00BFD" w:rsidP="00F00BFD">
            <w:pPr>
              <w:pStyle w:val="ES-table"/>
            </w:pPr>
            <w:r w:rsidRPr="00F921CD">
              <w:t>In preterm (&lt;37 weeks) infants, the effect of FFP compared with a different FFP transfusion strategy on bleeding events is unknown.</w:t>
            </w:r>
          </w:p>
        </w:tc>
        <w:tc>
          <w:tcPr>
            <w:tcW w:w="809" w:type="dxa"/>
          </w:tcPr>
          <w:p w14:paraId="6BE8543E" w14:textId="77777777" w:rsidR="00F00BFD" w:rsidRPr="00F921CD" w:rsidRDefault="00F00BFD" w:rsidP="00F00BFD">
            <w:pPr>
              <w:pStyle w:val="T-ABCD"/>
            </w:pPr>
            <w:r w:rsidRPr="00F921CD">
              <w:t>NA</w:t>
            </w:r>
          </w:p>
        </w:tc>
        <w:tc>
          <w:tcPr>
            <w:tcW w:w="809" w:type="dxa"/>
          </w:tcPr>
          <w:p w14:paraId="4AF4C476" w14:textId="77777777" w:rsidR="00F00BFD" w:rsidRPr="00F921CD" w:rsidRDefault="00F00BFD" w:rsidP="00F00BFD">
            <w:pPr>
              <w:pStyle w:val="T-ABCD"/>
            </w:pPr>
            <w:r w:rsidRPr="00F921CD">
              <w:t>NA</w:t>
            </w:r>
          </w:p>
        </w:tc>
        <w:tc>
          <w:tcPr>
            <w:tcW w:w="810" w:type="dxa"/>
          </w:tcPr>
          <w:p w14:paraId="2B21B91C" w14:textId="77777777" w:rsidR="00F00BFD" w:rsidRPr="00F921CD" w:rsidRDefault="00F00BFD" w:rsidP="00F00BFD">
            <w:pPr>
              <w:pStyle w:val="T-ABCD"/>
            </w:pPr>
            <w:r w:rsidRPr="00F921CD">
              <w:t>NA</w:t>
            </w:r>
          </w:p>
        </w:tc>
        <w:tc>
          <w:tcPr>
            <w:tcW w:w="809" w:type="dxa"/>
          </w:tcPr>
          <w:p w14:paraId="47C743A2" w14:textId="77777777" w:rsidR="00F00BFD" w:rsidRPr="00F921CD" w:rsidRDefault="00F00BFD" w:rsidP="00F00BFD">
            <w:pPr>
              <w:pStyle w:val="T-ABCD"/>
            </w:pPr>
            <w:r w:rsidRPr="00F921CD">
              <w:t>NA</w:t>
            </w:r>
          </w:p>
        </w:tc>
        <w:tc>
          <w:tcPr>
            <w:tcW w:w="810" w:type="dxa"/>
          </w:tcPr>
          <w:p w14:paraId="427A7D3C" w14:textId="77777777" w:rsidR="00F00BFD" w:rsidRPr="00F921CD" w:rsidRDefault="00F00BFD" w:rsidP="00F00BFD">
            <w:pPr>
              <w:pStyle w:val="T-ABCD"/>
            </w:pPr>
            <w:r w:rsidRPr="00F921CD">
              <w:t xml:space="preserve">NA </w:t>
            </w:r>
          </w:p>
        </w:tc>
      </w:tr>
      <w:tr w:rsidR="00F00BFD" w:rsidRPr="00F921CD" w14:paraId="778A5366" w14:textId="77777777" w:rsidTr="00F00BFD">
        <w:trPr>
          <w:cantSplit/>
        </w:trPr>
        <w:tc>
          <w:tcPr>
            <w:tcW w:w="850" w:type="dxa"/>
          </w:tcPr>
          <w:p w14:paraId="14C3CFC2" w14:textId="77777777" w:rsidR="00F00BFD" w:rsidRPr="00F921CD" w:rsidRDefault="00F00BFD" w:rsidP="00F00BFD">
            <w:pPr>
              <w:pStyle w:val="Tabletextnoindent"/>
              <w:numPr>
                <w:ilvl w:val="0"/>
                <w:numId w:val="0"/>
              </w:numPr>
            </w:pPr>
            <w:r w:rsidRPr="004352CC">
              <w:t>ES3.7</w:t>
            </w:r>
          </w:p>
        </w:tc>
        <w:tc>
          <w:tcPr>
            <w:tcW w:w="3750" w:type="dxa"/>
          </w:tcPr>
          <w:p w14:paraId="37060923" w14:textId="77777777" w:rsidR="00F00BFD" w:rsidRPr="00F921CD" w:rsidRDefault="00F00BFD" w:rsidP="00F00BFD">
            <w:pPr>
              <w:pStyle w:val="ES-table"/>
            </w:pPr>
            <w:r w:rsidRPr="00F921CD">
              <w:t>In preterm (&lt;37 weeks) infants, the effect of FFP compared with a different FFP transfusion strategy on transfusion-related serious adverse events is unknown.</w:t>
            </w:r>
          </w:p>
        </w:tc>
        <w:tc>
          <w:tcPr>
            <w:tcW w:w="809" w:type="dxa"/>
          </w:tcPr>
          <w:p w14:paraId="7D995E60" w14:textId="77777777" w:rsidR="00F00BFD" w:rsidRPr="00F921CD" w:rsidRDefault="00F00BFD" w:rsidP="00F00BFD">
            <w:pPr>
              <w:pStyle w:val="T-ABCD"/>
            </w:pPr>
            <w:r w:rsidRPr="00F921CD">
              <w:t>NA</w:t>
            </w:r>
          </w:p>
        </w:tc>
        <w:tc>
          <w:tcPr>
            <w:tcW w:w="809" w:type="dxa"/>
          </w:tcPr>
          <w:p w14:paraId="7FC680D5" w14:textId="77777777" w:rsidR="00F00BFD" w:rsidRPr="00F921CD" w:rsidRDefault="00F00BFD" w:rsidP="00F00BFD">
            <w:pPr>
              <w:pStyle w:val="T-ABCD"/>
            </w:pPr>
            <w:r w:rsidRPr="00F921CD">
              <w:t>NA</w:t>
            </w:r>
          </w:p>
        </w:tc>
        <w:tc>
          <w:tcPr>
            <w:tcW w:w="810" w:type="dxa"/>
          </w:tcPr>
          <w:p w14:paraId="7D49643C" w14:textId="77777777" w:rsidR="00F00BFD" w:rsidRPr="00F921CD" w:rsidRDefault="00F00BFD" w:rsidP="00F00BFD">
            <w:pPr>
              <w:pStyle w:val="T-ABCD"/>
            </w:pPr>
            <w:r w:rsidRPr="00F921CD">
              <w:t>NA</w:t>
            </w:r>
          </w:p>
        </w:tc>
        <w:tc>
          <w:tcPr>
            <w:tcW w:w="809" w:type="dxa"/>
          </w:tcPr>
          <w:p w14:paraId="0397518E" w14:textId="77777777" w:rsidR="00F00BFD" w:rsidRPr="00F921CD" w:rsidRDefault="00F00BFD" w:rsidP="00F00BFD">
            <w:pPr>
              <w:pStyle w:val="T-ABCD"/>
            </w:pPr>
            <w:r w:rsidRPr="00F921CD">
              <w:t>NA</w:t>
            </w:r>
          </w:p>
        </w:tc>
        <w:tc>
          <w:tcPr>
            <w:tcW w:w="810" w:type="dxa"/>
          </w:tcPr>
          <w:p w14:paraId="5F205C85" w14:textId="77777777" w:rsidR="00F00BFD" w:rsidRPr="00F921CD" w:rsidRDefault="00F00BFD" w:rsidP="00F00BFD">
            <w:pPr>
              <w:pStyle w:val="T-ABCD"/>
            </w:pPr>
            <w:r w:rsidRPr="00F921CD">
              <w:t xml:space="preserve">NA </w:t>
            </w:r>
          </w:p>
        </w:tc>
      </w:tr>
      <w:tr w:rsidR="00F00BFD" w:rsidRPr="00F921CD" w14:paraId="5C46636E" w14:textId="77777777" w:rsidTr="00F00BFD">
        <w:trPr>
          <w:cantSplit/>
        </w:trPr>
        <w:tc>
          <w:tcPr>
            <w:tcW w:w="850" w:type="dxa"/>
          </w:tcPr>
          <w:p w14:paraId="10AE5E47" w14:textId="77777777" w:rsidR="00F00BFD" w:rsidRPr="00F921CD" w:rsidRDefault="00F00BFD" w:rsidP="00F00BFD">
            <w:pPr>
              <w:pStyle w:val="Tabletextnoindent"/>
              <w:numPr>
                <w:ilvl w:val="0"/>
                <w:numId w:val="0"/>
              </w:numPr>
            </w:pPr>
            <w:r w:rsidRPr="004352CC">
              <w:t>ES3.8</w:t>
            </w:r>
          </w:p>
        </w:tc>
        <w:tc>
          <w:tcPr>
            <w:tcW w:w="3750" w:type="dxa"/>
          </w:tcPr>
          <w:p w14:paraId="0C6384C4" w14:textId="77777777" w:rsidR="00F00BFD" w:rsidRPr="00F921CD" w:rsidRDefault="00F00BFD" w:rsidP="00F00BFD">
            <w:pPr>
              <w:pStyle w:val="ES-table"/>
            </w:pPr>
            <w:r w:rsidRPr="00F921CD">
              <w:t>In preterm (&lt;37 weeks) infants, the effect of FFP compared with a different FFP transfusion strategy on transfusion volume or incidence is unknown.</w:t>
            </w:r>
          </w:p>
        </w:tc>
        <w:tc>
          <w:tcPr>
            <w:tcW w:w="809" w:type="dxa"/>
          </w:tcPr>
          <w:p w14:paraId="60E904CE" w14:textId="77777777" w:rsidR="00F00BFD" w:rsidRPr="00F921CD" w:rsidRDefault="00F00BFD" w:rsidP="00F00BFD">
            <w:pPr>
              <w:pStyle w:val="T-ABCD"/>
            </w:pPr>
            <w:r w:rsidRPr="00F921CD">
              <w:t>NA</w:t>
            </w:r>
          </w:p>
        </w:tc>
        <w:tc>
          <w:tcPr>
            <w:tcW w:w="809" w:type="dxa"/>
          </w:tcPr>
          <w:p w14:paraId="666A361D" w14:textId="77777777" w:rsidR="00F00BFD" w:rsidRPr="00F921CD" w:rsidRDefault="00F00BFD" w:rsidP="00F00BFD">
            <w:pPr>
              <w:pStyle w:val="T-ABCD"/>
            </w:pPr>
            <w:r w:rsidRPr="00F921CD">
              <w:t>NA</w:t>
            </w:r>
          </w:p>
        </w:tc>
        <w:tc>
          <w:tcPr>
            <w:tcW w:w="810" w:type="dxa"/>
          </w:tcPr>
          <w:p w14:paraId="13AAEA3A" w14:textId="77777777" w:rsidR="00F00BFD" w:rsidRPr="00F921CD" w:rsidRDefault="00F00BFD" w:rsidP="00F00BFD">
            <w:pPr>
              <w:pStyle w:val="T-ABCD"/>
            </w:pPr>
            <w:r w:rsidRPr="00F921CD">
              <w:t>NA</w:t>
            </w:r>
          </w:p>
        </w:tc>
        <w:tc>
          <w:tcPr>
            <w:tcW w:w="809" w:type="dxa"/>
          </w:tcPr>
          <w:p w14:paraId="1EE877EF" w14:textId="77777777" w:rsidR="00F00BFD" w:rsidRPr="00F921CD" w:rsidRDefault="00F00BFD" w:rsidP="00F00BFD">
            <w:pPr>
              <w:pStyle w:val="T-ABCD"/>
            </w:pPr>
            <w:r w:rsidRPr="00F921CD">
              <w:t>NA</w:t>
            </w:r>
          </w:p>
        </w:tc>
        <w:tc>
          <w:tcPr>
            <w:tcW w:w="810" w:type="dxa"/>
          </w:tcPr>
          <w:p w14:paraId="574DBC87" w14:textId="77777777" w:rsidR="00F00BFD" w:rsidRPr="00F921CD" w:rsidRDefault="00F00BFD" w:rsidP="00F00BFD">
            <w:pPr>
              <w:pStyle w:val="T-ABCD"/>
            </w:pPr>
            <w:r w:rsidRPr="00F921CD">
              <w:t xml:space="preserve">NA </w:t>
            </w:r>
          </w:p>
        </w:tc>
      </w:tr>
      <w:tr w:rsidR="00F00BFD" w:rsidRPr="00F921CD" w14:paraId="01A656EA" w14:textId="77777777" w:rsidTr="00F00BFD">
        <w:trPr>
          <w:cantSplit/>
        </w:trPr>
        <w:tc>
          <w:tcPr>
            <w:tcW w:w="8647" w:type="dxa"/>
            <w:gridSpan w:val="7"/>
          </w:tcPr>
          <w:p w14:paraId="13614B61" w14:textId="77777777" w:rsidR="00F00BFD" w:rsidRPr="00F921CD" w:rsidRDefault="00F00BFD" w:rsidP="00F00BFD">
            <w:pPr>
              <w:pStyle w:val="ES-notes"/>
            </w:pPr>
            <w:r w:rsidRPr="00F921CD">
              <w:t>ES, evidence statement; FFP, fresh frozen plasma; IVH, intraventricular haemorrhage</w:t>
            </w:r>
          </w:p>
          <w:p w14:paraId="1695889B" w14:textId="77777777" w:rsidR="00F00BFD" w:rsidRPr="00F921CD" w:rsidRDefault="00F00BFD" w:rsidP="00F00BFD">
            <w:pPr>
              <w:pStyle w:val="ES-notes"/>
            </w:pPr>
            <w:r w:rsidRPr="00F921CD">
              <w:sym w:font="Symbol" w:char="F0D6"/>
            </w:r>
            <w:r w:rsidRPr="00F921CD">
              <w:sym w:font="Symbol" w:char="F0D6"/>
            </w:r>
            <w:r w:rsidRPr="00F921CD">
              <w:sym w:font="Symbol" w:char="F0D6"/>
            </w:r>
            <w:r w:rsidRPr="00F921CD">
              <w:t xml:space="preserve">=A; </w:t>
            </w:r>
            <w:r w:rsidRPr="00F921CD">
              <w:sym w:font="Symbol" w:char="F0D6"/>
            </w:r>
            <w:r w:rsidRPr="00F921CD">
              <w:sym w:font="Symbol" w:char="F0D6"/>
            </w:r>
            <w:r w:rsidRPr="00F921CD">
              <w:t xml:space="preserve">=B; </w:t>
            </w:r>
            <w:r w:rsidRPr="00F921CD">
              <w:sym w:font="Symbol" w:char="F0D6"/>
            </w:r>
            <w:r w:rsidRPr="00F921CD">
              <w:t>=C; X=D; NA, not applicable</w:t>
            </w:r>
          </w:p>
        </w:tc>
      </w:tr>
    </w:tbl>
    <w:p w14:paraId="6560EFC0" w14:textId="77777777" w:rsidR="00F00BFD" w:rsidRDefault="00F00BFD" w:rsidP="00F00BFD">
      <w:pPr>
        <w:pStyle w:val="BodyText"/>
      </w:pPr>
    </w:p>
    <w:tbl>
      <w:tblPr>
        <w:tblW w:w="4812" w:type="pct"/>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7"/>
        <w:gridCol w:w="7778"/>
      </w:tblGrid>
      <w:tr w:rsidR="00F00BFD" w:rsidRPr="00F921CD" w14:paraId="2395AF09"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ABE9FF"/>
          </w:tcPr>
          <w:p w14:paraId="52DA810D" w14:textId="01BA8B7A" w:rsidR="00F00BFD" w:rsidRPr="00C867A4" w:rsidRDefault="00F00BFD" w:rsidP="00F00BFD">
            <w:pPr>
              <w:pStyle w:val="PP-heading"/>
              <w:rPr>
                <w:lang w:val="en-AU"/>
              </w:rPr>
            </w:pPr>
            <w:r w:rsidRPr="00F921CD">
              <w:t xml:space="preserve">Practice point – </w:t>
            </w:r>
            <w:r w:rsidR="005E38DA" w:rsidRPr="00F921CD">
              <w:t>preterm and low birth weight infants (</w:t>
            </w:r>
            <w:r w:rsidR="005E38DA">
              <w:rPr>
                <w:lang w:val="en-AU"/>
              </w:rPr>
              <w:t>FFP</w:t>
            </w:r>
            <w:r w:rsidR="005E38DA" w:rsidRPr="00F921CD">
              <w:t>)</w:t>
            </w:r>
          </w:p>
        </w:tc>
      </w:tr>
      <w:tr w:rsidR="00F00BFD" w:rsidRPr="00F921CD" w14:paraId="6704EA36" w14:textId="77777777" w:rsidTr="00886B81">
        <w:tc>
          <w:tcPr>
            <w:tcW w:w="628" w:type="pct"/>
            <w:tcBorders>
              <w:right w:val="single" w:sz="4" w:space="0" w:color="auto"/>
            </w:tcBorders>
            <w:shd w:val="clear" w:color="auto" w:fill="auto"/>
          </w:tcPr>
          <w:p w14:paraId="4068A18B" w14:textId="77777777" w:rsidR="00F00BFD" w:rsidRPr="00F921CD" w:rsidRDefault="00F00BFD" w:rsidP="00886B81">
            <w:pPr>
              <w:pStyle w:val="PP"/>
            </w:pPr>
            <w:r w:rsidRPr="00F921CD">
              <w:t>PP</w:t>
            </w:r>
            <w:r>
              <w:t>28</w:t>
            </w:r>
          </w:p>
        </w:tc>
        <w:tc>
          <w:tcPr>
            <w:tcW w:w="4372" w:type="pct"/>
            <w:tcBorders>
              <w:left w:val="single" w:sz="4" w:space="0" w:color="auto"/>
            </w:tcBorders>
            <w:shd w:val="clear" w:color="auto" w:fill="auto"/>
          </w:tcPr>
          <w:p w14:paraId="090A30F5" w14:textId="77777777" w:rsidR="00F00BFD" w:rsidRPr="00F921CD" w:rsidRDefault="00F00BFD" w:rsidP="00886B81">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242D6982" w14:textId="77777777" w:rsidTr="00886B81">
        <w:trPr>
          <w:trHeight w:val="397"/>
        </w:trPr>
        <w:tc>
          <w:tcPr>
            <w:tcW w:w="5000" w:type="pct"/>
            <w:gridSpan w:val="2"/>
            <w:shd w:val="clear" w:color="auto" w:fill="auto"/>
          </w:tcPr>
          <w:p w14:paraId="11A5E420" w14:textId="77777777" w:rsidR="00F00BFD" w:rsidRPr="00F921CD" w:rsidRDefault="00F00BFD" w:rsidP="00886B81">
            <w:pPr>
              <w:pStyle w:val="PP-note"/>
            </w:pPr>
            <w:r w:rsidRPr="00F921CD">
              <w:t>FFP, fresh frozen plasma; PP, practice point</w:t>
            </w:r>
          </w:p>
        </w:tc>
      </w:tr>
    </w:tbl>
    <w:p w14:paraId="7D355772" w14:textId="77777777" w:rsidR="00F00BFD" w:rsidRDefault="00F00BFD" w:rsidP="00F00BFD"/>
    <w:p w14:paraId="0268AB9A" w14:textId="77777777" w:rsidR="00F00BFD" w:rsidRPr="00E70C75" w:rsidRDefault="00F00BFD" w:rsidP="00F00BFD">
      <w:pPr>
        <w:pStyle w:val="Heading4"/>
        <w:rPr>
          <w:iCs/>
        </w:rPr>
      </w:pPr>
      <w:r w:rsidRPr="00E70C75">
        <w:rPr>
          <w:iCs/>
        </w:rPr>
        <w:t>Summary of evidence</w:t>
      </w:r>
    </w:p>
    <w:p w14:paraId="048BD7BD" w14:textId="77777777" w:rsidR="00F00BFD" w:rsidRDefault="00F00BFD" w:rsidP="00F00BFD">
      <w:pPr>
        <w:pStyle w:val="Heading5"/>
      </w:pPr>
      <w:r w:rsidRPr="00C500F5">
        <w:t xml:space="preserve">Level I </w:t>
      </w:r>
      <w:bookmarkEnd w:id="139"/>
      <w:r w:rsidRPr="00C500F5">
        <w:t>evidence</w:t>
      </w:r>
    </w:p>
    <w:p w14:paraId="03E02843" w14:textId="5C5A1899" w:rsidR="00F00BFD" w:rsidRPr="007B793C" w:rsidRDefault="00F00BFD" w:rsidP="00886B81">
      <w:r w:rsidRPr="007B793C">
        <w:t xml:space="preserve">One </w:t>
      </w:r>
      <w:r>
        <w:t>good</w:t>
      </w:r>
      <w:r w:rsidR="00C867A4">
        <w:t>-</w:t>
      </w:r>
      <w:r>
        <w:t xml:space="preserve">quality Level 1 study that </w:t>
      </w:r>
      <w:r w:rsidRPr="006C0F13">
        <w:t xml:space="preserve">included </w:t>
      </w:r>
      <w:r>
        <w:t>four</w:t>
      </w:r>
      <w:r w:rsidRPr="006C0F13">
        <w:t xml:space="preserve"> </w:t>
      </w:r>
      <w:r w:rsidR="00A31D28">
        <w:t xml:space="preserve">Level II studies </w:t>
      </w:r>
      <w:r>
        <w:t>was identified</w:t>
      </w:r>
      <w:r w:rsidR="00886B81">
        <w:t>.</w:t>
      </w:r>
      <w:hyperlink w:anchor="_ENREF_136" w:tooltip="Osborn, 2004 #141" w:history="1">
        <w:r w:rsidR="00E62798">
          <w:fldChar w:fldCharType="begin"/>
        </w:r>
        <w:r w:rsidR="00E62798">
          <w:instrText xml:space="preserve"> ADDIN EN.CITE &lt;EndNote&gt;&lt;Cite&gt;&lt;Author&gt;Osborn&lt;/Author&gt;&lt;Year&gt;2004&lt;/Year&gt;&lt;RecNum&gt;141&lt;/RecNum&gt;&lt;DisplayText&gt;&lt;style face="superscript"&gt;136&lt;/style&gt;&lt;/DisplayText&gt;&lt;record&gt;&lt;rec-number&gt;141&lt;/rec-number&gt;&lt;foreign-keys&gt;&lt;key app="EN" db-id="9edve2wadsavt5ewavaxtda4f2tavzvts9ee" timestamp="1426550421"&gt;141&lt;/key&gt;&lt;/foreign-keys&gt;&lt;ref-type name="Journal Article"&gt;17&lt;/ref-type&gt;&lt;contributors&gt;&lt;authors&gt;&lt;author&gt;Osborn, D. A.&lt;/author&gt;&lt;author&gt;Evans, N.&lt;/author&gt;&lt;/authors&gt;&lt;/contributors&gt;&lt;auth-address&gt;Osborn, D.A., RPA Newborn Care, Royal Prince Alfred Hospital, Missenden Rd, Camperdown, NSW, Australia, 2050&lt;/auth-address&gt;&lt;titles&gt;&lt;title&gt;Early volume expansion for prevention of morbidity and mortality in very preterm infants&lt;/title&gt;&lt;secondary-title&gt;Cochrane database of systematic reviews (Online)&lt;/secondary-title&gt;&lt;/titles&gt;&lt;periodical&gt;&lt;full-title&gt;Cochrane database of systematic reviews (Online)&lt;/full-title&gt;&lt;/periodical&gt;&lt;pages&gt;CD002055&lt;/pages&gt;&lt;number&gt;2&lt;/number&gt;&lt;reprint-edition&gt;NOT IN FILE&lt;/reprint-edition&gt;&lt;keywords&gt;&lt;keyword&gt;Embase13Mar14&lt;/keyword&gt;&lt;keyword&gt;Level I&lt;/keyword&gt;&lt;/keywords&gt;&lt;dates&gt;&lt;year&gt;2004&lt;/year&gt;&lt;/dates&gt;&lt;isbn&gt;1469-493X&lt;/isbn&gt;&lt;urls&gt;&lt;related-urls&gt;&lt;url&gt;http://www.embase.com/search/results?subaction=viewrecord&amp;amp;from=export&amp;amp;id=L39041654&lt;/url&gt;&lt;/related-urls&gt;&lt;/urls&gt;&lt;/record&gt;&lt;/Cite&gt;&lt;/EndNote&gt;</w:instrText>
        </w:r>
        <w:r w:rsidR="00E62798">
          <w:fldChar w:fldCharType="separate"/>
        </w:r>
        <w:r w:rsidR="00E62798" w:rsidRPr="00E62798">
          <w:rPr>
            <w:noProof/>
            <w:vertAlign w:val="superscript"/>
          </w:rPr>
          <w:t>136</w:t>
        </w:r>
        <w:r w:rsidR="00E62798">
          <w:fldChar w:fldCharType="end"/>
        </w:r>
      </w:hyperlink>
    </w:p>
    <w:p w14:paraId="49753818" w14:textId="04D2A05F" w:rsidR="00F00BFD" w:rsidRPr="006C0F13" w:rsidRDefault="00F00BFD" w:rsidP="00886B81">
      <w:r w:rsidRPr="006C0F13">
        <w:t>The review included 940 preterm infants</w:t>
      </w:r>
      <w:r>
        <w:t xml:space="preserve"> of very low birth weight or </w:t>
      </w:r>
      <w:r w:rsidRPr="006C0F13">
        <w:t xml:space="preserve">born at or before </w:t>
      </w:r>
      <w:r w:rsidR="00B855A4" w:rsidRPr="006C0F13">
        <w:t>32</w:t>
      </w:r>
      <w:r w:rsidR="00B855A4">
        <w:t> </w:t>
      </w:r>
      <w:r w:rsidRPr="006C0F13">
        <w:t>weeks gestation</w:t>
      </w:r>
      <w:r w:rsidR="00886B81">
        <w:t>,</w:t>
      </w:r>
      <w:r w:rsidRPr="006C0F13">
        <w:t xml:space="preserve"> </w:t>
      </w:r>
      <w:r>
        <w:t xml:space="preserve">and who were </w:t>
      </w:r>
      <w:r w:rsidRPr="006C0F13">
        <w:t xml:space="preserve">less than 72 hours old. </w:t>
      </w:r>
      <w:r>
        <w:rPr>
          <w:lang w:val="en-US"/>
        </w:rPr>
        <w:t xml:space="preserve">The authors examined the effect of </w:t>
      </w:r>
      <w:r w:rsidRPr="005F44AD">
        <w:rPr>
          <w:lang w:val="en-US"/>
        </w:rPr>
        <w:t xml:space="preserve">volume expansion using </w:t>
      </w:r>
      <w:r w:rsidRPr="00C264B5">
        <w:t>FFP</w:t>
      </w:r>
      <w:r w:rsidRPr="005F44AD">
        <w:rPr>
          <w:lang w:val="en-US"/>
        </w:rPr>
        <w:t xml:space="preserve"> </w:t>
      </w:r>
      <w:r>
        <w:rPr>
          <w:lang w:val="en-US"/>
        </w:rPr>
        <w:t>compared with</w:t>
      </w:r>
      <w:r w:rsidRPr="005F44AD">
        <w:rPr>
          <w:lang w:val="en-US"/>
        </w:rPr>
        <w:t xml:space="preserve"> a control group (no treatment)</w:t>
      </w:r>
      <w:r>
        <w:rPr>
          <w:lang w:val="en-US"/>
        </w:rPr>
        <w:t xml:space="preserve"> </w:t>
      </w:r>
      <w:r w:rsidRPr="006C0F13">
        <w:t>on mortality</w:t>
      </w:r>
      <w:r>
        <w:t xml:space="preserve"> and </w:t>
      </w:r>
      <w:r w:rsidRPr="006C0F13">
        <w:t>peri/intraventricular haemorrhage (P/IVH).</w:t>
      </w:r>
    </w:p>
    <w:p w14:paraId="30F5D048" w14:textId="77777777" w:rsidR="00F00BFD" w:rsidRPr="004B184D" w:rsidRDefault="00F00BFD" w:rsidP="00F00BFD">
      <w:pPr>
        <w:pStyle w:val="Heading5"/>
        <w:rPr>
          <w:lang w:val="en-US"/>
        </w:rPr>
      </w:pPr>
      <w:r w:rsidRPr="00FC3414">
        <w:t xml:space="preserve">Level II </w:t>
      </w:r>
      <w:r>
        <w:t>evidence</w:t>
      </w:r>
    </w:p>
    <w:p w14:paraId="0F4F5D8A" w14:textId="2CA0DE27" w:rsidR="00F00BFD" w:rsidRPr="006C0F13" w:rsidRDefault="00A31D28" w:rsidP="00886B81">
      <w:r>
        <w:t xml:space="preserve">One Level II study that was conducted by </w:t>
      </w:r>
      <w:r>
        <w:rPr>
          <w:lang w:eastAsia="en-GB"/>
        </w:rPr>
        <w:t>the Northern Neonatal Nursing Initiative (NNNI)</w:t>
      </w:r>
      <w:r w:rsidRPr="00A31D28">
        <w:t xml:space="preserve"> </w:t>
      </w:r>
      <w:r>
        <w:t>was retrieved for further analysis</w:t>
      </w:r>
      <w:r>
        <w:rPr>
          <w:lang w:eastAsia="en-GB"/>
        </w:rPr>
        <w:t>.</w:t>
      </w:r>
      <w:hyperlink w:anchor="_ENREF_137" w:tooltip="The Northern Neonatal Nursing Initiative Trial, 1996a #142" w:history="1">
        <w:r w:rsidR="00E62798">
          <w:fldChar w:fldCharType="begin"/>
        </w:r>
        <w:r w:rsidR="00E62798">
          <w:instrText xml:space="preserve"> ADDIN EN.CITE &lt;EndNote&gt;&lt;Cite&gt;&lt;Author&gt;The Northern Neonatal Nursing Initiative Trial&lt;/Author&gt;&lt;Year&gt;1996a&lt;/Year&gt;&lt;RecNum&gt;142&lt;/RecNum&gt;&lt;DisplayText&gt;&lt;style face="superscript"&gt;137&lt;/style&gt;&lt;/DisplayText&gt;&lt;record&gt;&lt;rec-number&gt;142&lt;/rec-number&gt;&lt;foreign-keys&gt;&lt;key app="EN" db-id="9edve2wadsavt5ewavaxtda4f2tavzvts9ee" timestamp="1426550421"&gt;142&lt;/key&gt;&lt;/foreign-keys&gt;&lt;ref-type name="Journal Article"&gt;17&lt;/ref-type&gt;&lt;contributors&gt;&lt;authors&gt;&lt;author&gt;The Northern Neonatal Nursing Initiative Trial, Group&lt;/author&gt;&lt;/authors&gt;&lt;/contributors&gt;&lt;titles&gt;&lt;title&gt;A randomized trial comparing the effect of prophylactic intravenous fresh frozen plasma, gelatin or gluocse on early mortality and morbidity in preterm babies&lt;/title&gt;&lt;secondary-title&gt;Eur J Pediatr&lt;/secondary-title&gt;&lt;/titles&gt;&lt;periodical&gt;&lt;full-title&gt;Eur J Pediatr&lt;/full-title&gt;&lt;/periodical&gt;&lt;pages&gt;580–588&lt;/pages&gt;&lt;volume&gt;155&lt;/volume&gt;&lt;reprint-edition&gt;NOT IN FILE&lt;/reprint-edition&gt;&lt;dates&gt;&lt;year&gt;1996a&lt;/year&gt;&lt;/dates&gt;&lt;urls&gt;&lt;/urls&gt;&lt;/record&gt;&lt;/Cite&gt;&lt;/EndNote&gt;</w:instrText>
        </w:r>
        <w:r w:rsidR="00E62798">
          <w:fldChar w:fldCharType="separate"/>
        </w:r>
        <w:r w:rsidR="00E62798" w:rsidRPr="00E62798">
          <w:rPr>
            <w:noProof/>
            <w:vertAlign w:val="superscript"/>
          </w:rPr>
          <w:t>137</w:t>
        </w:r>
        <w:r w:rsidR="00E62798">
          <w:fldChar w:fldCharType="end"/>
        </w:r>
      </w:hyperlink>
      <w:r w:rsidR="00886B81">
        <w:t xml:space="preserve"> This was a fair-</w:t>
      </w:r>
      <w:r w:rsidR="00F00BFD" w:rsidRPr="006C0F13">
        <w:t xml:space="preserve">quality </w:t>
      </w:r>
      <w:r w:rsidR="00F00BFD">
        <w:t xml:space="preserve">multicentre </w:t>
      </w:r>
      <w:r w:rsidR="00F00BFD" w:rsidRPr="006C0F13">
        <w:t xml:space="preserve">RCT conducted in </w:t>
      </w:r>
      <w:r w:rsidR="00B855A4">
        <w:t>18 </w:t>
      </w:r>
      <w:r w:rsidR="00F00BFD" w:rsidRPr="006C0F13">
        <w:t>UK maternity units</w:t>
      </w:r>
      <w:r w:rsidR="00F00BFD">
        <w:t xml:space="preserve"> </w:t>
      </w:r>
      <w:r w:rsidR="00886B81">
        <w:t>that</w:t>
      </w:r>
      <w:r w:rsidR="00F00BFD">
        <w:t xml:space="preserve"> recruited</w:t>
      </w:r>
      <w:r w:rsidR="00F00BFD" w:rsidRPr="006C0F13">
        <w:t xml:space="preserve"> </w:t>
      </w:r>
      <w:r w:rsidR="00F00BFD">
        <w:t>776</w:t>
      </w:r>
      <w:r w:rsidR="00F00BFD" w:rsidRPr="006C0F13">
        <w:t xml:space="preserve"> preterm infants born less than 32 weeks gestation. </w:t>
      </w:r>
      <w:r w:rsidR="00886B81">
        <w:t>The</w:t>
      </w:r>
      <w:r w:rsidR="00F00BFD">
        <w:t xml:space="preserve"> </w:t>
      </w:r>
      <w:r w:rsidR="00F00BFD" w:rsidRPr="006C0F13">
        <w:t>three</w:t>
      </w:r>
      <w:r w:rsidR="00F00BFD">
        <w:t>-</w:t>
      </w:r>
      <w:r w:rsidR="00F00BFD" w:rsidRPr="006C0F13">
        <w:t xml:space="preserve">armed trial </w:t>
      </w:r>
      <w:r w:rsidR="00F00BFD">
        <w:t>compared</w:t>
      </w:r>
      <w:r w:rsidR="00F00BFD" w:rsidRPr="006C0F13">
        <w:t xml:space="preserve"> the effect of prophylactic </w:t>
      </w:r>
      <w:r w:rsidR="00F00BFD">
        <w:t xml:space="preserve">FFP </w:t>
      </w:r>
      <w:r w:rsidR="00F00BFD" w:rsidRPr="006C0F13">
        <w:t>(20 ml/kg followed by 10</w:t>
      </w:r>
      <w:r w:rsidR="00886B81">
        <w:t> </w:t>
      </w:r>
      <w:r w:rsidR="00F00BFD" w:rsidRPr="006C0F13">
        <w:t>ml/kg after 24 h</w:t>
      </w:r>
      <w:r w:rsidR="00886B81">
        <w:t>ours</w:t>
      </w:r>
      <w:r w:rsidR="00F00BFD" w:rsidRPr="006C0F13">
        <w:t>)</w:t>
      </w:r>
      <w:r w:rsidR="00F00BFD">
        <w:t xml:space="preserve"> or</w:t>
      </w:r>
      <w:r w:rsidR="00F00BFD" w:rsidRPr="006C0F13">
        <w:t xml:space="preserve"> an inert gelatin plasma substitute (Gelofusine)</w:t>
      </w:r>
      <w:r w:rsidR="00F00BFD">
        <w:t xml:space="preserve"> to a </w:t>
      </w:r>
      <w:r w:rsidR="00F00BFD" w:rsidRPr="006C0F13">
        <w:t>maintenance infusion of 10% dextrose</w:t>
      </w:r>
      <w:r w:rsidR="00F00BFD">
        <w:t xml:space="preserve"> (control).</w:t>
      </w:r>
      <w:r w:rsidR="00F00BFD" w:rsidRPr="006C0F13">
        <w:t xml:space="preserve"> </w:t>
      </w:r>
      <w:r w:rsidR="00F00BFD">
        <w:t xml:space="preserve">Outcomes included </w:t>
      </w:r>
      <w:r w:rsidR="00F00BFD" w:rsidRPr="006C0F13">
        <w:t xml:space="preserve">mortality and P/IVH at </w:t>
      </w:r>
      <w:r w:rsidR="00886B81">
        <w:t>6</w:t>
      </w:r>
      <w:r w:rsidR="00F00BFD" w:rsidRPr="006C0F13">
        <w:t xml:space="preserve"> weeks.</w:t>
      </w:r>
    </w:p>
    <w:p w14:paraId="69840146" w14:textId="77777777" w:rsidR="00F00BFD" w:rsidRPr="00AC08F2" w:rsidRDefault="00F00BFD" w:rsidP="00CD1750">
      <w:pPr>
        <w:pStyle w:val="StyleHeading5Heading5nonumLeft0cmFirstline127cm"/>
      </w:pPr>
      <w:r w:rsidRPr="00AC08F2">
        <w:t>Mortality</w:t>
      </w:r>
    </w:p>
    <w:p w14:paraId="0831D072" w14:textId="14EDB4E1" w:rsidR="00F00BFD" w:rsidRDefault="009E58BB" w:rsidP="00886B81">
      <w:r>
        <w:t>The Level I study</w:t>
      </w:r>
      <w:hyperlink w:anchor="_ENREF_136" w:tooltip="Osborn, 2004 #141" w:history="1">
        <w:r w:rsidR="00E62798">
          <w:rPr>
            <w:lang w:eastAsia="en-GB"/>
          </w:rPr>
          <w:fldChar w:fldCharType="begin"/>
        </w:r>
        <w:r w:rsidR="00E62798">
          <w:rPr>
            <w:lang w:eastAsia="en-GB"/>
          </w:rPr>
          <w:instrText xml:space="preserve"> ADDIN EN.CITE &lt;EndNote&gt;&lt;Cite&gt;&lt;Author&gt;Osborn&lt;/Author&gt;&lt;Year&gt;2004&lt;/Year&gt;&lt;RecNum&gt;141&lt;/RecNum&gt;&lt;DisplayText&gt;&lt;style face="superscript"&gt;136&lt;/style&gt;&lt;/DisplayText&gt;&lt;record&gt;&lt;rec-number&gt;141&lt;/rec-number&gt;&lt;foreign-keys&gt;&lt;key app="EN" db-id="9edve2wadsavt5ewavaxtda4f2tavzvts9ee" timestamp="1426550421"&gt;141&lt;/key&gt;&lt;/foreign-keys&gt;&lt;ref-type name="Journal Article"&gt;17&lt;/ref-type&gt;&lt;contributors&gt;&lt;authors&gt;&lt;author&gt;Osborn, D. A.&lt;/author&gt;&lt;author&gt;Evans, N.&lt;/author&gt;&lt;/authors&gt;&lt;/contributors&gt;&lt;auth-address&gt;Osborn, D.A., RPA Newborn Care, Royal Prince Alfred Hospital, Missenden Rd, Camperdown, NSW, Australia, 2050&lt;/auth-address&gt;&lt;titles&gt;&lt;title&gt;Early volume expansion for prevention of morbidity and mortality in very preterm infants&lt;/title&gt;&lt;secondary-title&gt;Cochrane database of systematic reviews (Online)&lt;/secondary-title&gt;&lt;/titles&gt;&lt;periodical&gt;&lt;full-title&gt;Cochrane database of systematic reviews (Online)&lt;/full-title&gt;&lt;/periodical&gt;&lt;pages&gt;CD002055&lt;/pages&gt;&lt;number&gt;2&lt;/number&gt;&lt;reprint-edition&gt;NOT IN FILE&lt;/reprint-edition&gt;&lt;keywords&gt;&lt;keyword&gt;Embase13Mar14&lt;/keyword&gt;&lt;keyword&gt;Level I&lt;/keyword&gt;&lt;/keywords&gt;&lt;dates&gt;&lt;year&gt;2004&lt;/year&gt;&lt;/dates&gt;&lt;isbn&gt;1469-493X&lt;/isbn&gt;&lt;urls&gt;&lt;related-urls&gt;&lt;url&gt;http://www.embase.com/search/results?subaction=viewrecord&amp;amp;from=export&amp;amp;id=L39041654&lt;/url&gt;&lt;/related-urls&gt;&lt;/urls&gt;&lt;/record&gt;&lt;/Cite&gt;&lt;/EndNote&gt;</w:instrText>
        </w:r>
        <w:r w:rsidR="00E62798">
          <w:rPr>
            <w:lang w:eastAsia="en-GB"/>
          </w:rPr>
          <w:fldChar w:fldCharType="separate"/>
        </w:r>
        <w:r w:rsidR="00E62798" w:rsidRPr="00E62798">
          <w:rPr>
            <w:noProof/>
            <w:vertAlign w:val="superscript"/>
            <w:lang w:eastAsia="en-GB"/>
          </w:rPr>
          <w:t>136</w:t>
        </w:r>
        <w:r w:rsidR="00E62798">
          <w:rPr>
            <w:lang w:eastAsia="en-GB"/>
          </w:rPr>
          <w:fldChar w:fldCharType="end"/>
        </w:r>
      </w:hyperlink>
      <w:r w:rsidR="00F00BFD" w:rsidRPr="00A1218C">
        <w:rPr>
          <w:lang w:eastAsia="en-GB"/>
        </w:rPr>
        <w:t xml:space="preserve"> </w:t>
      </w:r>
      <w:r w:rsidR="00F00BFD" w:rsidRPr="005F3CDF">
        <w:rPr>
          <w:lang w:eastAsia="en-GB"/>
        </w:rPr>
        <w:t>assessed the incidence of mortality in p</w:t>
      </w:r>
      <w:r w:rsidR="00F00BFD">
        <w:rPr>
          <w:lang w:eastAsia="en-GB"/>
        </w:rPr>
        <w:t xml:space="preserve">reterm infants administered FFP compared with no FFP or </w:t>
      </w:r>
      <w:r w:rsidR="00F00BFD" w:rsidRPr="009E2344">
        <w:rPr>
          <w:lang w:eastAsia="en-GB"/>
        </w:rPr>
        <w:t>placebo</w:t>
      </w:r>
      <w:r w:rsidR="00F00BFD">
        <w:rPr>
          <w:lang w:eastAsia="en-GB"/>
        </w:rPr>
        <w:t xml:space="preserve"> in a meta-analysis of three RCTs and found n</w:t>
      </w:r>
      <w:r w:rsidR="00F00BFD" w:rsidRPr="00A1218C">
        <w:rPr>
          <w:lang w:eastAsia="en-GB"/>
        </w:rPr>
        <w:t>o</w:t>
      </w:r>
      <w:r w:rsidR="00F00BFD">
        <w:rPr>
          <w:lang w:eastAsia="en-GB"/>
        </w:rPr>
        <w:t xml:space="preserve"> </w:t>
      </w:r>
      <w:r w:rsidR="00F00BFD" w:rsidRPr="00A1218C">
        <w:rPr>
          <w:lang w:eastAsia="en-GB"/>
        </w:rPr>
        <w:t>difference between treatment groups</w:t>
      </w:r>
      <w:r w:rsidR="00F00BFD" w:rsidRPr="00A1218C">
        <w:t xml:space="preserve">. </w:t>
      </w:r>
    </w:p>
    <w:p w14:paraId="7A165C1C" w14:textId="5AEDB608" w:rsidR="00F00BFD" w:rsidRDefault="00F00BFD" w:rsidP="00886B81">
      <w:pPr>
        <w:rPr>
          <w:lang w:eastAsia="en-GB"/>
        </w:rPr>
      </w:pPr>
      <w:r>
        <w:rPr>
          <w:lang w:eastAsia="en-GB"/>
        </w:rPr>
        <w:t>The</w:t>
      </w:r>
      <w:r w:rsidR="009E58BB">
        <w:rPr>
          <w:lang w:eastAsia="en-GB"/>
        </w:rPr>
        <w:t xml:space="preserve"> Level II study</w:t>
      </w:r>
      <w:hyperlink w:anchor="_ENREF_137" w:tooltip="The Northern Neonatal Nursing Initiative Trial, 1996a #142" w:history="1">
        <w:r w:rsidR="00E62798">
          <w:rPr>
            <w:lang w:eastAsia="en-GB"/>
          </w:rPr>
          <w:fldChar w:fldCharType="begin"/>
        </w:r>
        <w:r w:rsidR="00E62798">
          <w:rPr>
            <w:lang w:eastAsia="en-GB"/>
          </w:rPr>
          <w:instrText xml:space="preserve"> ADDIN EN.CITE &lt;EndNote&gt;&lt;Cite&gt;&lt;Author&gt;The Northern Neonatal Nursing Initiative Trial&lt;/Author&gt;&lt;Year&gt;1996a&lt;/Year&gt;&lt;RecNum&gt;142&lt;/RecNum&gt;&lt;DisplayText&gt;&lt;style face="superscript"&gt;137&lt;/style&gt;&lt;/DisplayText&gt;&lt;record&gt;&lt;rec-number&gt;142&lt;/rec-number&gt;&lt;foreign-keys&gt;&lt;key app="EN" db-id="9edve2wadsavt5ewavaxtda4f2tavzvts9ee" timestamp="1426550421"&gt;142&lt;/key&gt;&lt;/foreign-keys&gt;&lt;ref-type name="Journal Article"&gt;17&lt;/ref-type&gt;&lt;contributors&gt;&lt;authors&gt;&lt;author&gt;The Northern Neonatal Nursing Initiative Trial, Group&lt;/author&gt;&lt;/authors&gt;&lt;/contributors&gt;&lt;titles&gt;&lt;title&gt;A randomized trial comparing the effect of prophylactic intravenous fresh frozen plasma, gelatin or gluocse on early mortality and morbidity in preterm babies&lt;/title&gt;&lt;secondary-title&gt;Eur J Pediatr&lt;/secondary-title&gt;&lt;/titles&gt;&lt;periodical&gt;&lt;full-title&gt;Eur J Pediatr&lt;/full-title&gt;&lt;/periodical&gt;&lt;pages&gt;580–588&lt;/pages&gt;&lt;volume&gt;155&lt;/volume&gt;&lt;reprint-edition&gt;NOT IN FILE&lt;/reprint-edition&gt;&lt;dates&gt;&lt;year&gt;1996a&lt;/year&gt;&lt;/dates&gt;&lt;urls&gt;&lt;/urls&gt;&lt;/record&gt;&lt;/Cite&gt;&lt;/EndNote&gt;</w:instrText>
        </w:r>
        <w:r w:rsidR="00E62798">
          <w:rPr>
            <w:lang w:eastAsia="en-GB"/>
          </w:rPr>
          <w:fldChar w:fldCharType="separate"/>
        </w:r>
        <w:r w:rsidR="00E62798" w:rsidRPr="00E62798">
          <w:rPr>
            <w:noProof/>
            <w:vertAlign w:val="superscript"/>
            <w:lang w:eastAsia="en-GB"/>
          </w:rPr>
          <w:t>137</w:t>
        </w:r>
        <w:r w:rsidR="00E62798">
          <w:rPr>
            <w:lang w:eastAsia="en-GB"/>
          </w:rPr>
          <w:fldChar w:fldCharType="end"/>
        </w:r>
      </w:hyperlink>
      <w:r>
        <w:rPr>
          <w:lang w:eastAsia="en-GB"/>
        </w:rPr>
        <w:t xml:space="preserve"> found no </w:t>
      </w:r>
      <w:r w:rsidRPr="00A1218C">
        <w:rPr>
          <w:lang w:eastAsia="en-GB"/>
        </w:rPr>
        <w:t xml:space="preserve">difference in mortality before 6 weeks </w:t>
      </w:r>
      <w:r>
        <w:rPr>
          <w:lang w:eastAsia="en-GB"/>
        </w:rPr>
        <w:t>or</w:t>
      </w:r>
      <w:r w:rsidRPr="00A1218C">
        <w:rPr>
          <w:lang w:eastAsia="en-GB"/>
        </w:rPr>
        <w:t xml:space="preserve"> before discharge</w:t>
      </w:r>
      <w:r>
        <w:rPr>
          <w:lang w:eastAsia="en-GB"/>
        </w:rPr>
        <w:t xml:space="preserve">, or in cause-specific mortality before discharge attributed to </w:t>
      </w:r>
      <w:r w:rsidRPr="00A1218C">
        <w:rPr>
          <w:lang w:eastAsia="en-GB"/>
        </w:rPr>
        <w:t>respiratory distress</w:t>
      </w:r>
      <w:r>
        <w:rPr>
          <w:lang w:eastAsia="en-GB"/>
        </w:rPr>
        <w:t>,</w:t>
      </w:r>
      <w:r w:rsidRPr="00A1218C">
        <w:rPr>
          <w:lang w:eastAsia="en-GB"/>
        </w:rPr>
        <w:t xml:space="preserve"> </w:t>
      </w:r>
      <w:r w:rsidR="00886B81">
        <w:rPr>
          <w:lang w:eastAsia="en-GB"/>
        </w:rPr>
        <w:t>IVH</w:t>
      </w:r>
      <w:r>
        <w:rPr>
          <w:lang w:eastAsia="en-GB"/>
        </w:rPr>
        <w:t>,</w:t>
      </w:r>
      <w:r w:rsidRPr="00A1218C">
        <w:rPr>
          <w:lang w:eastAsia="en-GB"/>
        </w:rPr>
        <w:t xml:space="preserve"> </w:t>
      </w:r>
      <w:r w:rsidR="00B855A4">
        <w:rPr>
          <w:lang w:eastAsia="en-GB"/>
        </w:rPr>
        <w:t xml:space="preserve">necrotising </w:t>
      </w:r>
      <w:r>
        <w:rPr>
          <w:lang w:eastAsia="en-GB"/>
        </w:rPr>
        <w:t>enterocolitis or</w:t>
      </w:r>
      <w:r w:rsidRPr="00A1218C">
        <w:rPr>
          <w:lang w:eastAsia="en-GB"/>
        </w:rPr>
        <w:t xml:space="preserve"> other </w:t>
      </w:r>
      <w:r>
        <w:rPr>
          <w:lang w:eastAsia="en-GB"/>
        </w:rPr>
        <w:t>causes</w:t>
      </w:r>
      <w:r w:rsidRPr="00A1218C">
        <w:rPr>
          <w:lang w:eastAsia="en-GB"/>
        </w:rPr>
        <w:t>.</w:t>
      </w:r>
      <w:r>
        <w:rPr>
          <w:lang w:eastAsia="en-GB"/>
        </w:rPr>
        <w:t xml:space="preserve"> </w:t>
      </w:r>
    </w:p>
    <w:p w14:paraId="46D88EF0" w14:textId="7AC48B4D" w:rsidR="00F00BFD" w:rsidRPr="00613F62" w:rsidRDefault="00886B81" w:rsidP="00886B81">
      <w:pPr>
        <w:rPr>
          <w:lang w:eastAsia="en-GB"/>
        </w:rPr>
      </w:pPr>
      <w:r>
        <w:rPr>
          <w:lang w:eastAsia="en-GB"/>
        </w:rPr>
        <w:t>There</w:t>
      </w:r>
      <w:r w:rsidR="00F00BFD">
        <w:rPr>
          <w:lang w:eastAsia="en-GB"/>
        </w:rPr>
        <w:t xml:space="preserve"> was a follow-up of survivors </w:t>
      </w:r>
      <w:r>
        <w:rPr>
          <w:lang w:eastAsia="en-GB"/>
        </w:rPr>
        <w:t>from the first</w:t>
      </w:r>
      <w:r w:rsidR="00F00BFD">
        <w:rPr>
          <w:lang w:eastAsia="en-GB"/>
        </w:rPr>
        <w:t xml:space="preserve"> NNNI </w:t>
      </w:r>
      <w:r>
        <w:rPr>
          <w:lang w:eastAsia="en-GB"/>
        </w:rPr>
        <w:t>trial,</w:t>
      </w:r>
      <w:r w:rsidR="00F00BFD">
        <w:rPr>
          <w:lang w:eastAsia="en-GB"/>
        </w:rPr>
        <w:t xml:space="preserve"> </w:t>
      </w:r>
      <w:r>
        <w:rPr>
          <w:lang w:eastAsia="en-GB"/>
        </w:rPr>
        <w:t>2</w:t>
      </w:r>
      <w:r w:rsidR="00F00BFD">
        <w:rPr>
          <w:lang w:eastAsia="en-GB"/>
        </w:rPr>
        <w:t xml:space="preserve"> years </w:t>
      </w:r>
      <w:r>
        <w:rPr>
          <w:lang w:eastAsia="en-GB"/>
        </w:rPr>
        <w:t xml:space="preserve">after the </w:t>
      </w:r>
      <w:r w:rsidR="00F00BFD">
        <w:rPr>
          <w:lang w:eastAsia="en-GB"/>
        </w:rPr>
        <w:t>intervention.</w:t>
      </w:r>
      <w:hyperlink w:anchor="_ENREF_138" w:tooltip="The Northern Neonatal Nursing Initiative Trial Group, 1996b #143" w:history="1">
        <w:r w:rsidR="00E62798">
          <w:rPr>
            <w:lang w:eastAsia="en-GB"/>
          </w:rPr>
          <w:fldChar w:fldCharType="begin"/>
        </w:r>
        <w:r w:rsidR="00E62798">
          <w:rPr>
            <w:lang w:eastAsia="en-GB"/>
          </w:rPr>
          <w:instrText xml:space="preserve"> ADDIN EN.CITE &lt;EndNote&gt;&lt;Cite&gt;&lt;Author&gt;The Northern Neonatal Nursing Initiative Trial Group&lt;/Author&gt;&lt;Year&gt;1996b&lt;/Year&gt;&lt;RecNum&gt;143&lt;/RecNum&gt;&lt;DisplayText&gt;&lt;style face="superscript"&gt;138&lt;/style&gt;&lt;/DisplayText&gt;&lt;record&gt;&lt;rec-number&gt;143&lt;/rec-number&gt;&lt;foreign-keys&gt;&lt;key app="EN" db-id="9edve2wadsavt5ewavaxtda4f2tavzvts9ee" timestamp="1426550421"&gt;143&lt;/key&gt;&lt;/foreign-keys&gt;&lt;ref-type name="Journal Article"&gt;17&lt;/ref-type&gt;&lt;contributors&gt;&lt;authors&gt;&lt;author&gt;The Northern Neonatal Nursing Initiative Trial Group,&lt;/author&gt;&lt;/authors&gt;&lt;/contributors&gt;&lt;titles&gt;&lt;title&gt;Randomised trial of prophylactic early fresh-frozen plasma or gelatin or glucose in preterm babies: outcome at 2 years&lt;/title&gt;&lt;secondary-title&gt;The Lancet&lt;/secondary-title&gt;&lt;/titles&gt;&lt;periodical&gt;&lt;full-title&gt;The Lancet&lt;/full-title&gt;&lt;/periodical&gt;&lt;pages&gt;229–232&lt;/pages&gt;&lt;volume&gt;348&lt;/volume&gt;&lt;reprint-edition&gt;NOT IN FILE&lt;/reprint-edition&gt;&lt;dates&gt;&lt;year&gt;1996b&lt;/year&gt;&lt;/dates&gt;&lt;urls&gt;&lt;/urls&gt;&lt;/record&gt;&lt;/Cite&gt;&lt;/EndNote&gt;</w:instrText>
        </w:r>
        <w:r w:rsidR="00E62798">
          <w:rPr>
            <w:lang w:eastAsia="en-GB"/>
          </w:rPr>
          <w:fldChar w:fldCharType="separate"/>
        </w:r>
        <w:r w:rsidR="00E62798" w:rsidRPr="00E62798">
          <w:rPr>
            <w:noProof/>
            <w:vertAlign w:val="superscript"/>
            <w:lang w:eastAsia="en-GB"/>
          </w:rPr>
          <w:t>138</w:t>
        </w:r>
        <w:r w:rsidR="00E62798">
          <w:rPr>
            <w:lang w:eastAsia="en-GB"/>
          </w:rPr>
          <w:fldChar w:fldCharType="end"/>
        </w:r>
      </w:hyperlink>
      <w:r w:rsidR="00F00BFD" w:rsidRPr="00A1218C">
        <w:rPr>
          <w:lang w:eastAsia="en-GB"/>
        </w:rPr>
        <w:t xml:space="preserve"> </w:t>
      </w:r>
      <w:r w:rsidR="00F00BFD" w:rsidRPr="004A6E16">
        <w:rPr>
          <w:lang w:eastAsia="en-GB"/>
        </w:rPr>
        <w:t>Subgroup analys</w:t>
      </w:r>
      <w:r w:rsidR="00F00BFD">
        <w:rPr>
          <w:lang w:eastAsia="en-GB"/>
        </w:rPr>
        <w:t>e</w:t>
      </w:r>
      <w:r w:rsidR="00F00BFD" w:rsidRPr="004A6E16">
        <w:rPr>
          <w:lang w:eastAsia="en-GB"/>
        </w:rPr>
        <w:t xml:space="preserve">s </w:t>
      </w:r>
      <w:r w:rsidR="00F00BFD">
        <w:rPr>
          <w:lang w:eastAsia="en-GB"/>
        </w:rPr>
        <w:t xml:space="preserve">were performed for </w:t>
      </w:r>
      <w:r w:rsidR="00F00BFD" w:rsidRPr="004A6E16">
        <w:rPr>
          <w:lang w:eastAsia="en-GB"/>
        </w:rPr>
        <w:t>cause</w:t>
      </w:r>
      <w:r>
        <w:rPr>
          <w:lang w:eastAsia="en-GB"/>
        </w:rPr>
        <w:t>-</w:t>
      </w:r>
      <w:r w:rsidR="00F00BFD" w:rsidRPr="004A6E16">
        <w:rPr>
          <w:lang w:eastAsia="en-GB"/>
        </w:rPr>
        <w:t>specific mortality</w:t>
      </w:r>
      <w:r w:rsidR="00F00BFD">
        <w:rPr>
          <w:lang w:eastAsia="en-GB"/>
        </w:rPr>
        <w:t xml:space="preserve"> in infants aged 1</w:t>
      </w:r>
      <w:r>
        <w:rPr>
          <w:lang w:eastAsia="en-GB"/>
        </w:rPr>
        <w:t>–</w:t>
      </w:r>
      <w:r w:rsidR="00F00BFD">
        <w:rPr>
          <w:lang w:eastAsia="en-GB"/>
        </w:rPr>
        <w:t xml:space="preserve">23 months. There was </w:t>
      </w:r>
      <w:r w:rsidR="00F00BFD" w:rsidRPr="004A6E16">
        <w:rPr>
          <w:lang w:eastAsia="en-GB"/>
        </w:rPr>
        <w:t xml:space="preserve">no significant difference </w:t>
      </w:r>
      <w:r w:rsidR="00F00BFD">
        <w:rPr>
          <w:lang w:eastAsia="en-GB"/>
        </w:rPr>
        <w:t xml:space="preserve">in mortality </w:t>
      </w:r>
      <w:r w:rsidR="00F00BFD" w:rsidRPr="004A6E16">
        <w:rPr>
          <w:lang w:eastAsia="en-GB"/>
        </w:rPr>
        <w:t>due to chronic l</w:t>
      </w:r>
      <w:r w:rsidR="00F00BFD" w:rsidRPr="00613F62">
        <w:rPr>
          <w:lang w:eastAsia="en-GB"/>
        </w:rPr>
        <w:t>ung disease</w:t>
      </w:r>
      <w:r w:rsidR="00F00BFD">
        <w:rPr>
          <w:lang w:eastAsia="en-GB"/>
        </w:rPr>
        <w:t xml:space="preserve">, </w:t>
      </w:r>
      <w:r w:rsidR="00F00BFD" w:rsidRPr="00613F62">
        <w:rPr>
          <w:lang w:eastAsia="en-GB"/>
        </w:rPr>
        <w:t>sudden unexpected death</w:t>
      </w:r>
      <w:r w:rsidR="00F00BFD">
        <w:rPr>
          <w:lang w:eastAsia="en-GB"/>
        </w:rPr>
        <w:t xml:space="preserve">, </w:t>
      </w:r>
      <w:r w:rsidR="00F00BFD" w:rsidRPr="00613F62">
        <w:rPr>
          <w:lang w:eastAsia="en-GB"/>
        </w:rPr>
        <w:t xml:space="preserve">infection </w:t>
      </w:r>
      <w:r w:rsidR="00F00BFD">
        <w:rPr>
          <w:lang w:eastAsia="en-GB"/>
        </w:rPr>
        <w:t>or</w:t>
      </w:r>
      <w:r w:rsidR="00F00BFD" w:rsidRPr="00613F62">
        <w:rPr>
          <w:lang w:eastAsia="en-GB"/>
        </w:rPr>
        <w:t xml:space="preserve"> other</w:t>
      </w:r>
      <w:r>
        <w:rPr>
          <w:lang w:eastAsia="en-GB"/>
        </w:rPr>
        <w:t xml:space="preserve"> causes</w:t>
      </w:r>
      <w:r w:rsidR="00B855A4">
        <w:rPr>
          <w:lang w:eastAsia="en-GB"/>
        </w:rPr>
        <w:t>.</w:t>
      </w:r>
    </w:p>
    <w:p w14:paraId="7CF07542" w14:textId="0532AA47" w:rsidR="00F00BFD" w:rsidRPr="00214F77" w:rsidRDefault="00F00BFD" w:rsidP="00F00BFD">
      <w:pPr>
        <w:pStyle w:val="Heading5"/>
        <w:rPr>
          <w:lang w:val="en-US"/>
        </w:rPr>
      </w:pPr>
      <w:r w:rsidRPr="00484708">
        <w:t xml:space="preserve">Bleeding </w:t>
      </w:r>
      <w:r w:rsidR="00886B81" w:rsidRPr="00484708">
        <w:t>events</w:t>
      </w:r>
    </w:p>
    <w:p w14:paraId="2FCF70A5" w14:textId="0C098192" w:rsidR="00F00BFD" w:rsidRPr="00751155" w:rsidRDefault="00886B81" w:rsidP="00886B81">
      <w:r>
        <w:t>A</w:t>
      </w:r>
      <w:r w:rsidR="00F00BFD">
        <w:t xml:space="preserve"> m</w:t>
      </w:r>
      <w:r>
        <w:t>eta-</w:t>
      </w:r>
      <w:r w:rsidR="00F00BFD">
        <w:t xml:space="preserve">analysis of </w:t>
      </w:r>
      <w:r w:rsidR="00F00BFD" w:rsidRPr="00751155">
        <w:t>120 preterm infants born before 32 weeks gestation</w:t>
      </w:r>
      <w:r w:rsidR="00F00BFD" w:rsidRPr="007327FD">
        <w:t xml:space="preserve"> </w:t>
      </w:r>
      <w:r w:rsidR="00F00BFD">
        <w:t>found no difference in incidence of P/IVH</w:t>
      </w:r>
      <w:r w:rsidR="00F00BFD" w:rsidRPr="00751155">
        <w:t xml:space="preserve"> </w:t>
      </w:r>
      <w:r w:rsidR="00F00BFD">
        <w:t xml:space="preserve">in infants administered </w:t>
      </w:r>
      <w:r w:rsidR="00F00BFD" w:rsidRPr="00751155">
        <w:t xml:space="preserve">FFP P/IVH </w:t>
      </w:r>
      <w:r w:rsidR="00F00BFD">
        <w:t xml:space="preserve">(any grade) </w:t>
      </w:r>
      <w:r w:rsidR="00F00BFD" w:rsidRPr="00751155">
        <w:t xml:space="preserve">compared with </w:t>
      </w:r>
      <w:r w:rsidR="00F00BFD">
        <w:t>a no-treatment</w:t>
      </w:r>
      <w:r w:rsidR="00F00BFD" w:rsidRPr="00751155">
        <w:t xml:space="preserve"> control group.</w:t>
      </w:r>
      <w:hyperlink w:anchor="_ENREF_136" w:tooltip="Osborn, 2004 #141" w:history="1">
        <w:r w:rsidR="00E62798">
          <w:fldChar w:fldCharType="begin"/>
        </w:r>
        <w:r w:rsidR="00E62798">
          <w:instrText xml:space="preserve"> ADDIN EN.CITE &lt;EndNote&gt;&lt;Cite&gt;&lt;Author&gt;Osborn&lt;/Author&gt;&lt;Year&gt;2004&lt;/Year&gt;&lt;RecNum&gt;141&lt;/RecNum&gt;&lt;DisplayText&gt;&lt;style face="superscript"&gt;136&lt;/style&gt;&lt;/DisplayText&gt;&lt;record&gt;&lt;rec-number&gt;141&lt;/rec-number&gt;&lt;foreign-keys&gt;&lt;key app="EN" db-id="9edve2wadsavt5ewavaxtda4f2tavzvts9ee" timestamp="1426550421"&gt;141&lt;/key&gt;&lt;/foreign-keys&gt;&lt;ref-type name="Journal Article"&gt;17&lt;/ref-type&gt;&lt;contributors&gt;&lt;authors&gt;&lt;author&gt;Osborn, D. A.&lt;/author&gt;&lt;author&gt;Evans, N.&lt;/author&gt;&lt;/authors&gt;&lt;/contributors&gt;&lt;auth-address&gt;Osborn, D.A., RPA Newborn Care, Royal Prince Alfred Hospital, Missenden Rd, Camperdown, NSW, Australia, 2050&lt;/auth-address&gt;&lt;titles&gt;&lt;title&gt;Early volume expansion for prevention of morbidity and mortality in very preterm infants&lt;/title&gt;&lt;secondary-title&gt;Cochrane database of systematic reviews (Online)&lt;/secondary-title&gt;&lt;/titles&gt;&lt;periodical&gt;&lt;full-title&gt;Cochrane database of systematic reviews (Online)&lt;/full-title&gt;&lt;/periodical&gt;&lt;pages&gt;CD002055&lt;/pages&gt;&lt;number&gt;2&lt;/number&gt;&lt;reprint-edition&gt;NOT IN FILE&lt;/reprint-edition&gt;&lt;keywords&gt;&lt;keyword&gt;Embase13Mar14&lt;/keyword&gt;&lt;keyword&gt;Level I&lt;/keyword&gt;&lt;/keywords&gt;&lt;dates&gt;&lt;year&gt;2004&lt;/year&gt;&lt;/dates&gt;&lt;isbn&gt;1469-493X&lt;/isbn&gt;&lt;urls&gt;&lt;related-urls&gt;&lt;url&gt;http://www.embase.com/search/results?subaction=viewrecord&amp;amp;from=export&amp;amp;id=L39041654&lt;/url&gt;&lt;/related-urls&gt;&lt;/urls&gt;&lt;/record&gt;&lt;/Cite&gt;&lt;/EndNote&gt;</w:instrText>
        </w:r>
        <w:r w:rsidR="00E62798">
          <w:fldChar w:fldCharType="separate"/>
        </w:r>
        <w:r w:rsidR="00E62798" w:rsidRPr="00E62798">
          <w:rPr>
            <w:noProof/>
            <w:vertAlign w:val="superscript"/>
          </w:rPr>
          <w:t>136</w:t>
        </w:r>
        <w:r w:rsidR="00E62798">
          <w:fldChar w:fldCharType="end"/>
        </w:r>
      </w:hyperlink>
      <w:r w:rsidR="00F00BFD">
        <w:t xml:space="preserve"> There was also no significant difference in P/IVH (any grade)</w:t>
      </w:r>
      <w:r w:rsidR="00F00BFD" w:rsidRPr="00751155">
        <w:t xml:space="preserve"> </w:t>
      </w:r>
      <w:r w:rsidR="00062DF6">
        <w:t xml:space="preserve">and </w:t>
      </w:r>
      <w:r w:rsidR="00F00BFD" w:rsidRPr="00751155">
        <w:t xml:space="preserve">P/IVH grade </w:t>
      </w:r>
      <w:r w:rsidR="00306159" w:rsidRPr="00751155">
        <w:t>2</w:t>
      </w:r>
      <w:r w:rsidR="00306159">
        <w:t>–</w:t>
      </w:r>
      <w:r w:rsidR="00306159" w:rsidRPr="00751155">
        <w:t>4</w:t>
      </w:r>
      <w:r w:rsidR="00B855A4">
        <w:t>;</w:t>
      </w:r>
      <w:r w:rsidR="00F00BFD">
        <w:t xml:space="preserve"> however, the comparisons were both underpowered</w:t>
      </w:r>
      <w:r w:rsidR="00F00BFD" w:rsidRPr="00751155">
        <w:t xml:space="preserve">. </w:t>
      </w:r>
    </w:p>
    <w:p w14:paraId="44213399" w14:textId="085855A8" w:rsidR="00F00BFD" w:rsidRPr="00751155" w:rsidRDefault="00945551" w:rsidP="00945551">
      <w:r>
        <w:t xml:space="preserve">The initial </w:t>
      </w:r>
      <w:r w:rsidR="00F00BFD" w:rsidRPr="00751155">
        <w:t xml:space="preserve">NNNI </w:t>
      </w:r>
      <w:r>
        <w:t>trial</w:t>
      </w:r>
      <w:hyperlink w:anchor="_ENREF_137" w:tooltip="The Northern Neonatal Nursing Initiative Trial, 1996a #142" w:history="1">
        <w:r w:rsidR="00E62798">
          <w:fldChar w:fldCharType="begin"/>
        </w:r>
        <w:r w:rsidR="00E62798">
          <w:instrText xml:space="preserve"> ADDIN EN.CITE &lt;EndNote&gt;&lt;Cite&gt;&lt;Author&gt;The Northern Neonatal Nursing Initiative Trial&lt;/Author&gt;&lt;Year&gt;1996a&lt;/Year&gt;&lt;RecNum&gt;142&lt;/RecNum&gt;&lt;DisplayText&gt;&lt;style face="superscript"&gt;137&lt;/style&gt;&lt;/DisplayText&gt;&lt;record&gt;&lt;rec-number&gt;142&lt;/rec-number&gt;&lt;foreign-keys&gt;&lt;key app="EN" db-id="9edve2wadsavt5ewavaxtda4f2tavzvts9ee" timestamp="1426550421"&gt;142&lt;/key&gt;&lt;/foreign-keys&gt;&lt;ref-type name="Journal Article"&gt;17&lt;/ref-type&gt;&lt;contributors&gt;&lt;authors&gt;&lt;author&gt;The Northern Neonatal Nursing Initiative Trial, Group&lt;/author&gt;&lt;/authors&gt;&lt;/contributors&gt;&lt;titles&gt;&lt;title&gt;A randomized trial comparing the effect of prophylactic intravenous fresh frozen plasma, gelatin or gluocse on early mortality and morbidity in preterm babies&lt;/title&gt;&lt;secondary-title&gt;Eur J Pediatr&lt;/secondary-title&gt;&lt;/titles&gt;&lt;periodical&gt;&lt;full-title&gt;Eur J Pediatr&lt;/full-title&gt;&lt;/periodical&gt;&lt;pages&gt;580–588&lt;/pages&gt;&lt;volume&gt;155&lt;/volume&gt;&lt;reprint-edition&gt;NOT IN FILE&lt;/reprint-edition&gt;&lt;dates&gt;&lt;year&gt;1996a&lt;/year&gt;&lt;/dates&gt;&lt;urls&gt;&lt;/urls&gt;&lt;/record&gt;&lt;/Cite&gt;&lt;/EndNote&gt;</w:instrText>
        </w:r>
        <w:r w:rsidR="00E62798">
          <w:fldChar w:fldCharType="separate"/>
        </w:r>
        <w:r w:rsidR="00E62798" w:rsidRPr="00E62798">
          <w:rPr>
            <w:noProof/>
            <w:vertAlign w:val="superscript"/>
          </w:rPr>
          <w:t>137</w:t>
        </w:r>
        <w:r w:rsidR="00E62798">
          <w:fldChar w:fldCharType="end"/>
        </w:r>
      </w:hyperlink>
      <w:r w:rsidR="00F00BFD" w:rsidRPr="00751155">
        <w:t xml:space="preserve"> </w:t>
      </w:r>
      <w:r w:rsidR="00F00BFD">
        <w:t>also found that</w:t>
      </w:r>
      <w:r>
        <w:t>,</w:t>
      </w:r>
      <w:r w:rsidR="00F00BFD">
        <w:t xml:space="preserve"> among</w:t>
      </w:r>
      <w:r w:rsidR="00F00BFD" w:rsidRPr="00751155">
        <w:t xml:space="preserve"> </w:t>
      </w:r>
      <w:r w:rsidR="00F00BFD">
        <w:t>scanned infants surviving 6 weeks, there was no significant difference in IVH (any grade)</w:t>
      </w:r>
      <w:r w:rsidR="00F00BFD" w:rsidRPr="00751155">
        <w:t xml:space="preserve">, </w:t>
      </w:r>
      <w:r w:rsidR="00F00BFD">
        <w:t>s</w:t>
      </w:r>
      <w:r w:rsidR="00F00BFD" w:rsidRPr="00751155">
        <w:t xml:space="preserve">ubependymal </w:t>
      </w:r>
      <w:r w:rsidR="00F00BFD">
        <w:t>IVH</w:t>
      </w:r>
      <w:r w:rsidR="00F00BFD" w:rsidRPr="00751155">
        <w:t xml:space="preserve"> </w:t>
      </w:r>
      <w:r w:rsidR="00F00BFD">
        <w:t xml:space="preserve">or </w:t>
      </w:r>
      <w:r w:rsidR="00F00BFD" w:rsidRPr="00751155">
        <w:t xml:space="preserve">severe IVH. </w:t>
      </w:r>
    </w:p>
    <w:p w14:paraId="48C53D43" w14:textId="7210E756" w:rsidR="00F00BFD" w:rsidRPr="00F72994" w:rsidRDefault="00F00BFD" w:rsidP="00F00BFD">
      <w:pPr>
        <w:pStyle w:val="Heading5"/>
      </w:pPr>
      <w:r w:rsidRPr="00F72994">
        <w:t>Transfusion</w:t>
      </w:r>
      <w:r w:rsidR="00B855A4">
        <w:rPr>
          <w:lang w:val="en-AU"/>
        </w:rPr>
        <w:t>-</w:t>
      </w:r>
      <w:r w:rsidRPr="00F72994">
        <w:t xml:space="preserve">related </w:t>
      </w:r>
      <w:r>
        <w:t>serious adverse events</w:t>
      </w:r>
    </w:p>
    <w:p w14:paraId="51CC1485" w14:textId="6EA11D1A" w:rsidR="00F00BFD" w:rsidRPr="008A4C12" w:rsidRDefault="00FA6791" w:rsidP="00945551">
      <w:r>
        <w:t>No studies reported</w:t>
      </w:r>
      <w:r w:rsidR="008F7398">
        <w:t xml:space="preserve"> transfusion-related serious adverse events</w:t>
      </w:r>
      <w:r w:rsidR="007C1B3E">
        <w:t xml:space="preserve">. </w:t>
      </w:r>
    </w:p>
    <w:p w14:paraId="1D3C22B6" w14:textId="77777777" w:rsidR="00F00BFD" w:rsidRDefault="00F00BFD" w:rsidP="00F00BFD">
      <w:pPr>
        <w:pStyle w:val="Heading5"/>
      </w:pPr>
      <w:r w:rsidRPr="00F72994">
        <w:t>Transfusion volume or incidence</w:t>
      </w:r>
    </w:p>
    <w:p w14:paraId="56406935" w14:textId="5FC328A4" w:rsidR="00945551" w:rsidRDefault="00FA6791" w:rsidP="00945551">
      <w:pPr>
        <w:rPr>
          <w:rFonts w:ascii="Arial" w:hAnsi="Arial" w:cs="Arial"/>
          <w:b/>
          <w:bCs/>
          <w:sz w:val="20"/>
          <w:szCs w:val="28"/>
          <w:lang w:eastAsia="en-GB"/>
        </w:rPr>
      </w:pPr>
      <w:r>
        <w:t>No studies reported</w:t>
      </w:r>
      <w:r w:rsidR="008F7398">
        <w:t xml:space="preserve"> transfusion volume or incidence.</w:t>
      </w:r>
      <w:r w:rsidR="007C1B3E">
        <w:t xml:space="preserve"> </w:t>
      </w:r>
    </w:p>
    <w:p w14:paraId="4A1D92F6" w14:textId="77777777" w:rsidR="00B855A4" w:rsidRDefault="00B855A4">
      <w:pPr>
        <w:spacing w:after="0"/>
        <w:ind w:left="0"/>
        <w:rPr>
          <w:rFonts w:cs="Times New Roman"/>
          <w:b/>
          <w:bCs/>
          <w:lang w:val="x-none" w:eastAsia="en-GB"/>
        </w:rPr>
      </w:pPr>
      <w:r>
        <w:rPr>
          <w:lang w:eastAsia="en-GB"/>
        </w:rPr>
        <w:br w:type="page"/>
      </w:r>
    </w:p>
    <w:p w14:paraId="2196215F" w14:textId="1FF30BEF" w:rsidR="00F00BFD" w:rsidRPr="00945551" w:rsidRDefault="00945551" w:rsidP="00F96C85">
      <w:pPr>
        <w:pStyle w:val="BoxHeading"/>
        <w:rPr>
          <w:lang w:val="en-AU" w:eastAsia="en-GB"/>
        </w:rPr>
      </w:pPr>
      <w:r>
        <w:rPr>
          <w:lang w:eastAsia="en-GB"/>
        </w:rPr>
        <w:t>Clinical commentary</w:t>
      </w:r>
      <w:r>
        <w:rPr>
          <w:lang w:val="en-AU" w:eastAsia="en-GB"/>
        </w:rPr>
        <w:t xml:space="preserve"> –</w:t>
      </w:r>
      <w:r>
        <w:rPr>
          <w:lang w:val="en-AU"/>
        </w:rPr>
        <w:t xml:space="preserve"> use of FFP in preterm </w:t>
      </w:r>
      <w:r w:rsidRPr="00874268">
        <w:t xml:space="preserve">and </w:t>
      </w:r>
      <w:r>
        <w:t xml:space="preserve">low birth weight </w:t>
      </w:r>
      <w:r w:rsidRPr="00874268">
        <w:t>infants</w:t>
      </w:r>
    </w:p>
    <w:p w14:paraId="178B056B" w14:textId="3616D479" w:rsidR="00F00BFD" w:rsidRDefault="00F00BFD" w:rsidP="00F96C85">
      <w:pPr>
        <w:pStyle w:val="BoxText"/>
      </w:pPr>
      <w:r>
        <w:t xml:space="preserve">The limited information available suggests that the routine administration of FFP has no effect on mortality and on prevention of IVH in preterm infants. Nevertheless, FFP may have a role in the treatment of clinical bleeding </w:t>
      </w:r>
      <w:r w:rsidR="008F7398">
        <w:t>where</w:t>
      </w:r>
      <w:r>
        <w:t xml:space="preserve"> coagulopathy</w:t>
      </w:r>
      <w:r w:rsidR="008F7398">
        <w:t xml:space="preserve"> is a contributing factor</w:t>
      </w:r>
      <w:r>
        <w:t xml:space="preserve">. When prescribing FFP, both risks and benefits should be considered. </w:t>
      </w:r>
    </w:p>
    <w:p w14:paraId="4B5B8D6C" w14:textId="28B1F4AD" w:rsidR="00F00BFD" w:rsidRPr="00945551" w:rsidRDefault="00945551" w:rsidP="00945551">
      <w:pPr>
        <w:pStyle w:val="Heading3"/>
        <w:rPr>
          <w:lang w:val="en-AU"/>
        </w:rPr>
      </w:pPr>
      <w:bookmarkStart w:id="140" w:name="_Toc427851340"/>
      <w:r>
        <w:rPr>
          <w:lang w:val="en-AU"/>
        </w:rPr>
        <w:t>3.4.2</w:t>
      </w:r>
      <w:r>
        <w:rPr>
          <w:lang w:val="en-AU"/>
        </w:rPr>
        <w:tab/>
        <w:t>Preterm</w:t>
      </w:r>
      <w:r w:rsidRPr="00874268">
        <w:t xml:space="preserve"> and </w:t>
      </w:r>
      <w:r>
        <w:t xml:space="preserve">low birth weight </w:t>
      </w:r>
      <w:r w:rsidRPr="00874268">
        <w:t>infants</w:t>
      </w:r>
      <w:r>
        <w:rPr>
          <w:lang w:val="en-AU"/>
        </w:rPr>
        <w:t xml:space="preserve"> – effects of platelet transfusion on outcomes</w:t>
      </w:r>
      <w:bookmarkEnd w:id="140"/>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F00BFD" w:rsidRPr="00F921CD" w14:paraId="01A0E9A2"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124D40E1" w14:textId="77777777" w:rsidR="00F00BFD" w:rsidRPr="00F921CD" w:rsidRDefault="00F00BFD" w:rsidP="00F00BFD">
            <w:pPr>
              <w:pStyle w:val="PP-heading"/>
            </w:pPr>
            <w:r w:rsidRPr="00F921CD">
              <w:t>Evidence statements – preterm and low birth weight infants (platelet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8BEA6A5" w14:textId="77777777" w:rsidR="00F00BFD" w:rsidRPr="00F921CD" w:rsidRDefault="00F00BFD" w:rsidP="00F00BFD">
            <w:pPr>
              <w:ind w:left="113" w:right="113"/>
              <w:jc w:val="center"/>
              <w:rPr>
                <w:b/>
              </w:rPr>
            </w:pPr>
            <w:r w:rsidRPr="00F921CD">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50BD68C" w14:textId="77777777" w:rsidR="00F00BFD" w:rsidRPr="00F921CD" w:rsidRDefault="00F00BFD" w:rsidP="00F00BFD">
            <w:pPr>
              <w:ind w:left="113" w:right="113"/>
              <w:jc w:val="center"/>
              <w:rPr>
                <w:b/>
              </w:rPr>
            </w:pPr>
            <w:r w:rsidRPr="00F921CD">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2325ABA" w14:textId="77777777" w:rsidR="00F00BFD" w:rsidRPr="00F921CD" w:rsidRDefault="00F00BFD" w:rsidP="00F00BFD">
            <w:pPr>
              <w:ind w:left="113" w:right="113"/>
              <w:jc w:val="center"/>
              <w:rPr>
                <w:b/>
              </w:rPr>
            </w:pPr>
            <w:r w:rsidRPr="00F921CD">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0CF6F4E" w14:textId="77777777" w:rsidR="00F00BFD" w:rsidRPr="00F921CD" w:rsidRDefault="00F00BFD" w:rsidP="00F00BFD">
            <w:pPr>
              <w:ind w:left="113" w:right="113"/>
              <w:jc w:val="center"/>
              <w:rPr>
                <w:b/>
              </w:rPr>
            </w:pPr>
            <w:r w:rsidRPr="00F921CD">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0EDE617" w14:textId="77777777" w:rsidR="00F00BFD" w:rsidRPr="00F921CD" w:rsidRDefault="00F00BFD" w:rsidP="00F00BFD">
            <w:pPr>
              <w:ind w:left="113" w:right="113"/>
              <w:jc w:val="center"/>
              <w:rPr>
                <w:b/>
              </w:rPr>
            </w:pPr>
            <w:r w:rsidRPr="00F921CD">
              <w:rPr>
                <w:b/>
              </w:rPr>
              <w:t>Applicability</w:t>
            </w:r>
          </w:p>
        </w:tc>
      </w:tr>
      <w:tr w:rsidR="00F00BFD" w:rsidRPr="00F921CD" w14:paraId="26792F48" w14:textId="77777777" w:rsidTr="00F00BFD">
        <w:trPr>
          <w:cantSplit/>
        </w:trPr>
        <w:tc>
          <w:tcPr>
            <w:tcW w:w="851" w:type="dxa"/>
          </w:tcPr>
          <w:p w14:paraId="152FA733" w14:textId="77777777" w:rsidR="00F00BFD" w:rsidRPr="00F921CD" w:rsidRDefault="00F00BFD" w:rsidP="00F00BFD">
            <w:pPr>
              <w:pStyle w:val="Tabletextnoindent"/>
              <w:numPr>
                <w:ilvl w:val="0"/>
                <w:numId w:val="0"/>
              </w:numPr>
            </w:pPr>
            <w:r w:rsidRPr="00F574FA">
              <w:t>ES3.</w:t>
            </w:r>
            <w:r>
              <w:t>9</w:t>
            </w:r>
          </w:p>
        </w:tc>
        <w:tc>
          <w:tcPr>
            <w:tcW w:w="3750" w:type="dxa"/>
          </w:tcPr>
          <w:p w14:paraId="602DFD9C" w14:textId="77777777" w:rsidR="00F00BFD" w:rsidRPr="00F921CD" w:rsidRDefault="00F00BFD" w:rsidP="00F00BFD">
            <w:pPr>
              <w:pStyle w:val="ES-table"/>
            </w:pPr>
            <w:r w:rsidRPr="00F921CD">
              <w:t>In preterm (&lt;32 weeks) or extremely low birth weight (</w:t>
            </w:r>
            <w:r>
              <w:t>&lt;</w:t>
            </w:r>
            <w:r w:rsidRPr="00F921CD">
              <w:t xml:space="preserve">1000 g) infants, the effect of platelet transfusion compared with no platelet transfusion on mortality is uncertain. </w:t>
            </w:r>
          </w:p>
          <w:p w14:paraId="5F6723D9" w14:textId="77777777" w:rsidR="00F00BFD" w:rsidRPr="00F921CD" w:rsidRDefault="00F00BFD" w:rsidP="00F00BFD">
            <w:pPr>
              <w:pStyle w:val="ES-notes"/>
            </w:pPr>
            <w:r w:rsidRPr="00F921CD">
              <w:t xml:space="preserve">(See evidence matrix D3.C in Volume 2 of the technical </w:t>
            </w:r>
            <w:r w:rsidRPr="00D36481">
              <w:t>report</w:t>
            </w:r>
            <w:r w:rsidRPr="00F921CD">
              <w:t>.)</w:t>
            </w:r>
          </w:p>
        </w:tc>
        <w:tc>
          <w:tcPr>
            <w:tcW w:w="809" w:type="dxa"/>
          </w:tcPr>
          <w:p w14:paraId="12D719A5" w14:textId="77777777" w:rsidR="00F00BFD" w:rsidRPr="00F921CD" w:rsidRDefault="00F00BFD" w:rsidP="00F00BFD">
            <w:pPr>
              <w:pStyle w:val="T-ABCD"/>
            </w:pPr>
            <w:r w:rsidRPr="00F921CD">
              <w:sym w:font="Symbol" w:char="F0D6"/>
            </w:r>
          </w:p>
        </w:tc>
        <w:tc>
          <w:tcPr>
            <w:tcW w:w="809" w:type="dxa"/>
          </w:tcPr>
          <w:p w14:paraId="60FF924D" w14:textId="77777777" w:rsidR="00F00BFD" w:rsidRPr="00F921CD" w:rsidRDefault="00F00BFD" w:rsidP="00F00BFD">
            <w:pPr>
              <w:pStyle w:val="T-ABCD"/>
            </w:pPr>
            <w:r w:rsidRPr="00F921CD">
              <w:sym w:font="Symbol" w:char="F0D6"/>
            </w:r>
            <w:r w:rsidRPr="00F921CD">
              <w:sym w:font="Symbol" w:char="F0D6"/>
            </w:r>
          </w:p>
        </w:tc>
        <w:tc>
          <w:tcPr>
            <w:tcW w:w="809" w:type="dxa"/>
          </w:tcPr>
          <w:p w14:paraId="479C7920" w14:textId="77777777" w:rsidR="00F00BFD" w:rsidRPr="00F921CD" w:rsidRDefault="00F00BFD" w:rsidP="00F00BFD">
            <w:pPr>
              <w:pStyle w:val="T-ABCD"/>
            </w:pPr>
            <w:r w:rsidRPr="00F921CD">
              <w:t>X</w:t>
            </w:r>
          </w:p>
        </w:tc>
        <w:tc>
          <w:tcPr>
            <w:tcW w:w="809" w:type="dxa"/>
          </w:tcPr>
          <w:p w14:paraId="58DFA2B4" w14:textId="77777777" w:rsidR="00F00BFD" w:rsidRPr="00F921CD" w:rsidRDefault="00F00BFD" w:rsidP="00F00BFD">
            <w:pPr>
              <w:pStyle w:val="T-ABCD"/>
            </w:pPr>
            <w:r w:rsidRPr="00F921CD">
              <w:sym w:font="Symbol" w:char="F0D6"/>
            </w:r>
            <w:r w:rsidRPr="00F921CD">
              <w:sym w:font="Symbol" w:char="F0D6"/>
            </w:r>
          </w:p>
        </w:tc>
        <w:tc>
          <w:tcPr>
            <w:tcW w:w="810" w:type="dxa"/>
          </w:tcPr>
          <w:p w14:paraId="1671CAAE" w14:textId="77777777" w:rsidR="00F00BFD" w:rsidRPr="00F921CD" w:rsidRDefault="00F00BFD" w:rsidP="00F00BFD">
            <w:pPr>
              <w:pStyle w:val="T-ABCD"/>
            </w:pPr>
            <w:r w:rsidRPr="00F921CD">
              <w:sym w:font="Symbol" w:char="F0D6"/>
            </w:r>
          </w:p>
        </w:tc>
      </w:tr>
      <w:tr w:rsidR="00F00BFD" w:rsidRPr="00F921CD" w14:paraId="35269CDB" w14:textId="77777777" w:rsidTr="00F00BFD">
        <w:trPr>
          <w:cantSplit/>
        </w:trPr>
        <w:tc>
          <w:tcPr>
            <w:tcW w:w="851" w:type="dxa"/>
          </w:tcPr>
          <w:p w14:paraId="1217AE3B" w14:textId="77777777" w:rsidR="00F00BFD" w:rsidRPr="00F921CD" w:rsidRDefault="00F00BFD" w:rsidP="00F00BFD">
            <w:pPr>
              <w:pStyle w:val="Tabletextnoindent"/>
              <w:numPr>
                <w:ilvl w:val="0"/>
                <w:numId w:val="0"/>
              </w:numPr>
            </w:pPr>
            <w:r w:rsidRPr="00F574FA">
              <w:t>ES3.1</w:t>
            </w:r>
            <w:r>
              <w:t>0</w:t>
            </w:r>
          </w:p>
        </w:tc>
        <w:tc>
          <w:tcPr>
            <w:tcW w:w="3750" w:type="dxa"/>
          </w:tcPr>
          <w:p w14:paraId="3183D571" w14:textId="6BC8A241" w:rsidR="00F00BFD" w:rsidRPr="00F921CD" w:rsidRDefault="00F00BFD" w:rsidP="00F00BFD">
            <w:pPr>
              <w:pStyle w:val="ES-table"/>
            </w:pPr>
            <w:r w:rsidRPr="00F921CD">
              <w:t xml:space="preserve">In neonates with </w:t>
            </w:r>
            <w:r w:rsidR="002B2C2B">
              <w:t>thrombocytopaenia</w:t>
            </w:r>
            <w:r w:rsidRPr="00F921CD">
              <w:t xml:space="preserve"> admitted to NICU, platelet transfusion may be associated with an increased risk of IVH compared with no platelet transfusion.</w:t>
            </w:r>
            <w:r w:rsidRPr="00F921CD" w:rsidDel="00603313">
              <w:t xml:space="preserve"> </w:t>
            </w:r>
          </w:p>
          <w:p w14:paraId="29A018E2" w14:textId="77777777" w:rsidR="00F00BFD" w:rsidRPr="00F921CD" w:rsidRDefault="00F00BFD" w:rsidP="00F00BFD">
            <w:pPr>
              <w:pStyle w:val="ES-notes"/>
            </w:pPr>
            <w:r w:rsidRPr="00F921CD">
              <w:t>(See evidence matrix D3.D in Volume 2 of the technical report.)</w:t>
            </w:r>
          </w:p>
        </w:tc>
        <w:tc>
          <w:tcPr>
            <w:tcW w:w="809" w:type="dxa"/>
          </w:tcPr>
          <w:p w14:paraId="7DE75EDA" w14:textId="77777777" w:rsidR="00F00BFD" w:rsidRPr="00F921CD" w:rsidRDefault="00F00BFD" w:rsidP="00F00BFD">
            <w:pPr>
              <w:pStyle w:val="T-ABCD"/>
            </w:pPr>
            <w:r w:rsidRPr="00F921CD">
              <w:sym w:font="Symbol" w:char="F0D6"/>
            </w:r>
          </w:p>
        </w:tc>
        <w:tc>
          <w:tcPr>
            <w:tcW w:w="809" w:type="dxa"/>
          </w:tcPr>
          <w:p w14:paraId="302EDFB6" w14:textId="77777777" w:rsidR="00F00BFD" w:rsidRPr="00F921CD" w:rsidRDefault="00F00BFD" w:rsidP="00F00BFD">
            <w:pPr>
              <w:pStyle w:val="T-ABCD"/>
            </w:pPr>
            <w:r w:rsidRPr="00F921CD">
              <w:sym w:font="Symbol" w:char="F0D6"/>
            </w:r>
            <w:r w:rsidRPr="00F921CD">
              <w:sym w:font="Symbol" w:char="F0D6"/>
            </w:r>
            <w:r w:rsidRPr="00F921CD">
              <w:sym w:font="Symbol" w:char="F0D6"/>
            </w:r>
          </w:p>
        </w:tc>
        <w:tc>
          <w:tcPr>
            <w:tcW w:w="809" w:type="dxa"/>
          </w:tcPr>
          <w:p w14:paraId="11490F2E" w14:textId="77777777" w:rsidR="00F00BFD" w:rsidRPr="00F921CD" w:rsidRDefault="00F00BFD" w:rsidP="00F00BFD">
            <w:pPr>
              <w:pStyle w:val="T-ABCD"/>
            </w:pPr>
            <w:r w:rsidRPr="00F921CD">
              <w:t>X</w:t>
            </w:r>
          </w:p>
        </w:tc>
        <w:tc>
          <w:tcPr>
            <w:tcW w:w="809" w:type="dxa"/>
          </w:tcPr>
          <w:p w14:paraId="3AD804D2" w14:textId="77777777" w:rsidR="00F00BFD" w:rsidRPr="00F921CD" w:rsidRDefault="00F00BFD" w:rsidP="00F00BFD">
            <w:pPr>
              <w:pStyle w:val="T-ABCD"/>
            </w:pPr>
            <w:r w:rsidRPr="00F921CD">
              <w:sym w:font="Symbol" w:char="F0D6"/>
            </w:r>
            <w:r w:rsidRPr="00F921CD">
              <w:sym w:font="Symbol" w:char="F0D6"/>
            </w:r>
          </w:p>
        </w:tc>
        <w:tc>
          <w:tcPr>
            <w:tcW w:w="810" w:type="dxa"/>
          </w:tcPr>
          <w:p w14:paraId="0C3DAD1B" w14:textId="77777777" w:rsidR="00F00BFD" w:rsidRPr="00F921CD" w:rsidRDefault="00F00BFD" w:rsidP="00F00BFD">
            <w:pPr>
              <w:pStyle w:val="T-ABCD"/>
            </w:pPr>
            <w:r w:rsidRPr="00F921CD">
              <w:sym w:font="Symbol" w:char="F0D6"/>
            </w:r>
          </w:p>
        </w:tc>
      </w:tr>
      <w:tr w:rsidR="00F00BFD" w:rsidRPr="00F921CD" w14:paraId="0251E402" w14:textId="77777777" w:rsidTr="00F00BFD">
        <w:trPr>
          <w:cantSplit/>
        </w:trPr>
        <w:tc>
          <w:tcPr>
            <w:tcW w:w="851" w:type="dxa"/>
          </w:tcPr>
          <w:p w14:paraId="255C524E" w14:textId="77777777" w:rsidR="00F00BFD" w:rsidRPr="00F921CD" w:rsidRDefault="00F00BFD" w:rsidP="00F00BFD">
            <w:pPr>
              <w:pStyle w:val="Tabletextnoindent"/>
              <w:numPr>
                <w:ilvl w:val="0"/>
                <w:numId w:val="0"/>
              </w:numPr>
            </w:pPr>
            <w:r>
              <w:t>ES3.11</w:t>
            </w:r>
          </w:p>
        </w:tc>
        <w:tc>
          <w:tcPr>
            <w:tcW w:w="3750" w:type="dxa"/>
          </w:tcPr>
          <w:p w14:paraId="61CE3E85" w14:textId="77777777" w:rsidR="00F00BFD" w:rsidRPr="00F921CD" w:rsidRDefault="00F00BFD" w:rsidP="00F00BFD">
            <w:pPr>
              <w:pStyle w:val="ES-table"/>
            </w:pPr>
            <w:r w:rsidRPr="00F921CD">
              <w:t>In preterm (&lt;37 weeks) infants, the effect of platelet transfusion compared with no platelet transfusion on bleeding events other than IVH is unknown.</w:t>
            </w:r>
          </w:p>
        </w:tc>
        <w:tc>
          <w:tcPr>
            <w:tcW w:w="809" w:type="dxa"/>
          </w:tcPr>
          <w:p w14:paraId="40415965" w14:textId="77777777" w:rsidR="00F00BFD" w:rsidRPr="00F921CD" w:rsidRDefault="00F00BFD" w:rsidP="00F00BFD">
            <w:pPr>
              <w:pStyle w:val="T-ABCD"/>
            </w:pPr>
            <w:r w:rsidRPr="00F921CD">
              <w:t>NA</w:t>
            </w:r>
          </w:p>
        </w:tc>
        <w:tc>
          <w:tcPr>
            <w:tcW w:w="809" w:type="dxa"/>
          </w:tcPr>
          <w:p w14:paraId="260F52CE" w14:textId="77777777" w:rsidR="00F00BFD" w:rsidRPr="00F921CD" w:rsidRDefault="00F00BFD" w:rsidP="00F00BFD">
            <w:pPr>
              <w:pStyle w:val="T-ABCD"/>
            </w:pPr>
            <w:r w:rsidRPr="00F921CD">
              <w:t>NA</w:t>
            </w:r>
          </w:p>
        </w:tc>
        <w:tc>
          <w:tcPr>
            <w:tcW w:w="809" w:type="dxa"/>
          </w:tcPr>
          <w:p w14:paraId="34E87DE1" w14:textId="77777777" w:rsidR="00F00BFD" w:rsidRPr="00F921CD" w:rsidRDefault="00F00BFD" w:rsidP="00F00BFD">
            <w:pPr>
              <w:pStyle w:val="T-ABCD"/>
            </w:pPr>
            <w:r w:rsidRPr="00F921CD">
              <w:t>NA</w:t>
            </w:r>
          </w:p>
        </w:tc>
        <w:tc>
          <w:tcPr>
            <w:tcW w:w="809" w:type="dxa"/>
          </w:tcPr>
          <w:p w14:paraId="563200CC" w14:textId="77777777" w:rsidR="00F00BFD" w:rsidRPr="00F921CD" w:rsidRDefault="00F00BFD" w:rsidP="00F00BFD">
            <w:pPr>
              <w:pStyle w:val="T-ABCD"/>
            </w:pPr>
            <w:r w:rsidRPr="00F921CD">
              <w:t>NA</w:t>
            </w:r>
          </w:p>
        </w:tc>
        <w:tc>
          <w:tcPr>
            <w:tcW w:w="810" w:type="dxa"/>
          </w:tcPr>
          <w:p w14:paraId="575566B4" w14:textId="77777777" w:rsidR="00F00BFD" w:rsidRPr="00F921CD" w:rsidRDefault="00F00BFD" w:rsidP="00F00BFD">
            <w:pPr>
              <w:pStyle w:val="T-ABCD"/>
            </w:pPr>
            <w:r w:rsidRPr="00F921CD">
              <w:t xml:space="preserve">NA </w:t>
            </w:r>
          </w:p>
        </w:tc>
      </w:tr>
      <w:tr w:rsidR="00F00BFD" w:rsidRPr="00F921CD" w14:paraId="44288533" w14:textId="77777777" w:rsidTr="00F00BFD">
        <w:trPr>
          <w:cantSplit/>
        </w:trPr>
        <w:tc>
          <w:tcPr>
            <w:tcW w:w="851" w:type="dxa"/>
          </w:tcPr>
          <w:p w14:paraId="1AA4C153" w14:textId="77777777" w:rsidR="00F00BFD" w:rsidRPr="00F921CD" w:rsidRDefault="00F00BFD" w:rsidP="00F00BFD">
            <w:pPr>
              <w:pStyle w:val="Tabletextnoindent"/>
              <w:numPr>
                <w:ilvl w:val="0"/>
                <w:numId w:val="0"/>
              </w:numPr>
            </w:pPr>
            <w:r>
              <w:t>ES3.12</w:t>
            </w:r>
          </w:p>
        </w:tc>
        <w:tc>
          <w:tcPr>
            <w:tcW w:w="3750" w:type="dxa"/>
          </w:tcPr>
          <w:p w14:paraId="3D994128" w14:textId="77777777" w:rsidR="00F00BFD" w:rsidRPr="00F921CD" w:rsidRDefault="00F00BFD" w:rsidP="00F00BFD">
            <w:pPr>
              <w:pStyle w:val="ES-table"/>
            </w:pPr>
            <w:r w:rsidRPr="00F921CD">
              <w:t>In preterm (&lt;37 weeks) infants, the effect of platelet transfusion compared with no platelet transfusion on transfusion-related serious adverse events is unknown.</w:t>
            </w:r>
          </w:p>
        </w:tc>
        <w:tc>
          <w:tcPr>
            <w:tcW w:w="809" w:type="dxa"/>
          </w:tcPr>
          <w:p w14:paraId="3B656842" w14:textId="77777777" w:rsidR="00F00BFD" w:rsidRPr="00F921CD" w:rsidRDefault="00F00BFD" w:rsidP="00F00BFD">
            <w:pPr>
              <w:pStyle w:val="T-ABCD"/>
            </w:pPr>
            <w:r w:rsidRPr="00F921CD">
              <w:t>NA</w:t>
            </w:r>
          </w:p>
        </w:tc>
        <w:tc>
          <w:tcPr>
            <w:tcW w:w="809" w:type="dxa"/>
          </w:tcPr>
          <w:p w14:paraId="3C5D85D1" w14:textId="77777777" w:rsidR="00F00BFD" w:rsidRPr="00F921CD" w:rsidRDefault="00F00BFD" w:rsidP="00F00BFD">
            <w:pPr>
              <w:pStyle w:val="T-ABCD"/>
            </w:pPr>
            <w:r w:rsidRPr="00F921CD">
              <w:t>NA</w:t>
            </w:r>
          </w:p>
        </w:tc>
        <w:tc>
          <w:tcPr>
            <w:tcW w:w="809" w:type="dxa"/>
          </w:tcPr>
          <w:p w14:paraId="6AE37498" w14:textId="77777777" w:rsidR="00F00BFD" w:rsidRPr="00F921CD" w:rsidRDefault="00F00BFD" w:rsidP="00F00BFD">
            <w:pPr>
              <w:pStyle w:val="T-ABCD"/>
            </w:pPr>
            <w:r w:rsidRPr="00F921CD">
              <w:t>NA</w:t>
            </w:r>
          </w:p>
        </w:tc>
        <w:tc>
          <w:tcPr>
            <w:tcW w:w="809" w:type="dxa"/>
          </w:tcPr>
          <w:p w14:paraId="32FCEAF9" w14:textId="77777777" w:rsidR="00F00BFD" w:rsidRPr="00F921CD" w:rsidRDefault="00F00BFD" w:rsidP="00F00BFD">
            <w:pPr>
              <w:pStyle w:val="T-ABCD"/>
            </w:pPr>
            <w:r w:rsidRPr="00F921CD">
              <w:t>NA</w:t>
            </w:r>
          </w:p>
        </w:tc>
        <w:tc>
          <w:tcPr>
            <w:tcW w:w="810" w:type="dxa"/>
          </w:tcPr>
          <w:p w14:paraId="2BCF20C2" w14:textId="77777777" w:rsidR="00F00BFD" w:rsidRPr="00F921CD" w:rsidRDefault="00F00BFD" w:rsidP="00F00BFD">
            <w:pPr>
              <w:pStyle w:val="T-ABCD"/>
            </w:pPr>
            <w:r w:rsidRPr="00F921CD">
              <w:t xml:space="preserve">NA </w:t>
            </w:r>
          </w:p>
        </w:tc>
      </w:tr>
      <w:tr w:rsidR="00F00BFD" w:rsidRPr="00F921CD" w14:paraId="7CE57E76" w14:textId="77777777" w:rsidTr="00F00BFD">
        <w:trPr>
          <w:cantSplit/>
        </w:trPr>
        <w:tc>
          <w:tcPr>
            <w:tcW w:w="851" w:type="dxa"/>
          </w:tcPr>
          <w:p w14:paraId="618ABD62" w14:textId="77777777" w:rsidR="00F00BFD" w:rsidRPr="00F921CD" w:rsidRDefault="00F00BFD" w:rsidP="00F00BFD">
            <w:pPr>
              <w:pStyle w:val="Tabletextnoindent"/>
              <w:numPr>
                <w:ilvl w:val="0"/>
                <w:numId w:val="0"/>
              </w:numPr>
            </w:pPr>
            <w:r w:rsidRPr="00F574FA">
              <w:t>ES3.</w:t>
            </w:r>
            <w:r>
              <w:t>13</w:t>
            </w:r>
          </w:p>
        </w:tc>
        <w:tc>
          <w:tcPr>
            <w:tcW w:w="3750" w:type="dxa"/>
          </w:tcPr>
          <w:p w14:paraId="229039DC" w14:textId="77777777" w:rsidR="00F00BFD" w:rsidRPr="00F921CD" w:rsidRDefault="00F00BFD" w:rsidP="00F00BFD">
            <w:pPr>
              <w:pStyle w:val="ES-table"/>
            </w:pPr>
            <w:r w:rsidRPr="00F921CD">
              <w:t>In preterm (&lt;37 weeks) infants, the effect of platelet transfusion compared with no platelet transfusion on transfusion volume or incidence is unknown.</w:t>
            </w:r>
          </w:p>
        </w:tc>
        <w:tc>
          <w:tcPr>
            <w:tcW w:w="809" w:type="dxa"/>
          </w:tcPr>
          <w:p w14:paraId="12087DEC" w14:textId="77777777" w:rsidR="00F00BFD" w:rsidRPr="00F921CD" w:rsidRDefault="00F00BFD" w:rsidP="00F00BFD">
            <w:pPr>
              <w:pStyle w:val="T-ABCD"/>
            </w:pPr>
            <w:r w:rsidRPr="00F921CD">
              <w:t>NA</w:t>
            </w:r>
          </w:p>
        </w:tc>
        <w:tc>
          <w:tcPr>
            <w:tcW w:w="809" w:type="dxa"/>
          </w:tcPr>
          <w:p w14:paraId="6AD387C5" w14:textId="77777777" w:rsidR="00F00BFD" w:rsidRPr="00F921CD" w:rsidRDefault="00F00BFD" w:rsidP="00F00BFD">
            <w:pPr>
              <w:pStyle w:val="T-ABCD"/>
            </w:pPr>
            <w:r w:rsidRPr="00F921CD">
              <w:t>NA</w:t>
            </w:r>
          </w:p>
        </w:tc>
        <w:tc>
          <w:tcPr>
            <w:tcW w:w="809" w:type="dxa"/>
          </w:tcPr>
          <w:p w14:paraId="500C83E1" w14:textId="77777777" w:rsidR="00F00BFD" w:rsidRPr="00F921CD" w:rsidRDefault="00F00BFD" w:rsidP="00F00BFD">
            <w:pPr>
              <w:pStyle w:val="T-ABCD"/>
            </w:pPr>
            <w:r w:rsidRPr="00F921CD">
              <w:t>NA</w:t>
            </w:r>
          </w:p>
        </w:tc>
        <w:tc>
          <w:tcPr>
            <w:tcW w:w="809" w:type="dxa"/>
          </w:tcPr>
          <w:p w14:paraId="0B2C3D90" w14:textId="77777777" w:rsidR="00F00BFD" w:rsidRPr="00F921CD" w:rsidRDefault="00F00BFD" w:rsidP="00F00BFD">
            <w:pPr>
              <w:pStyle w:val="T-ABCD"/>
            </w:pPr>
            <w:r w:rsidRPr="00F921CD">
              <w:t>NA</w:t>
            </w:r>
          </w:p>
        </w:tc>
        <w:tc>
          <w:tcPr>
            <w:tcW w:w="810" w:type="dxa"/>
          </w:tcPr>
          <w:p w14:paraId="3B42633A" w14:textId="77777777" w:rsidR="00F00BFD" w:rsidRPr="00F921CD" w:rsidRDefault="00F00BFD" w:rsidP="00F00BFD">
            <w:pPr>
              <w:pStyle w:val="T-ABCD"/>
            </w:pPr>
            <w:r w:rsidRPr="00F921CD">
              <w:t xml:space="preserve">NA </w:t>
            </w:r>
          </w:p>
        </w:tc>
      </w:tr>
      <w:tr w:rsidR="00F00BFD" w:rsidRPr="00F921CD" w14:paraId="7B7B63D2" w14:textId="77777777" w:rsidTr="00F00BFD">
        <w:trPr>
          <w:cantSplit/>
        </w:trPr>
        <w:tc>
          <w:tcPr>
            <w:tcW w:w="8647" w:type="dxa"/>
            <w:gridSpan w:val="7"/>
          </w:tcPr>
          <w:p w14:paraId="0B315F45" w14:textId="77777777" w:rsidR="00F00BFD" w:rsidRPr="00F921CD" w:rsidRDefault="00F00BFD" w:rsidP="00F00BFD">
            <w:pPr>
              <w:pStyle w:val="ES-notes"/>
            </w:pPr>
            <w:r w:rsidRPr="00F921CD">
              <w:t>ES, evidence statement; FFP, fresh frozen plasma; IVH, intraventricular haemorrhage; NICU, neonatal intensive care unit; RBC, red blood cell</w:t>
            </w:r>
          </w:p>
          <w:p w14:paraId="00208AD9" w14:textId="77777777" w:rsidR="00F00BFD" w:rsidRPr="00F921CD" w:rsidRDefault="00F00BFD" w:rsidP="00F00BFD">
            <w:pPr>
              <w:pStyle w:val="ES-notes"/>
            </w:pPr>
            <w:r w:rsidRPr="00F921CD">
              <w:sym w:font="Symbol" w:char="F0D6"/>
            </w:r>
            <w:r w:rsidRPr="00F921CD">
              <w:sym w:font="Symbol" w:char="F0D6"/>
            </w:r>
            <w:r w:rsidRPr="00F921CD">
              <w:sym w:font="Symbol" w:char="F0D6"/>
            </w:r>
            <w:r w:rsidRPr="00F921CD">
              <w:t xml:space="preserve">=A; </w:t>
            </w:r>
            <w:r w:rsidRPr="00F921CD">
              <w:sym w:font="Symbol" w:char="F0D6"/>
            </w:r>
            <w:r w:rsidRPr="00F921CD">
              <w:sym w:font="Symbol" w:char="F0D6"/>
            </w:r>
            <w:r w:rsidRPr="00F921CD">
              <w:t xml:space="preserve">=B; </w:t>
            </w:r>
            <w:r w:rsidRPr="00F921CD">
              <w:sym w:font="Symbol" w:char="F0D6"/>
            </w:r>
            <w:r w:rsidRPr="00F921CD">
              <w:t>=C; X=D; NA, not applicable</w:t>
            </w:r>
          </w:p>
        </w:tc>
      </w:tr>
    </w:tbl>
    <w:p w14:paraId="47B169F3" w14:textId="77777777" w:rsidR="00F00BFD" w:rsidRDefault="00F00BFD" w:rsidP="00F00BFD">
      <w:pPr>
        <w:pStyle w:val="BodyText"/>
      </w:pPr>
    </w:p>
    <w:tbl>
      <w:tblPr>
        <w:tblW w:w="4812" w:type="pct"/>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7"/>
        <w:gridCol w:w="7778"/>
      </w:tblGrid>
      <w:tr w:rsidR="00F00BFD" w:rsidRPr="00F921CD" w14:paraId="664747EF"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ABE9FF"/>
          </w:tcPr>
          <w:p w14:paraId="7C3A5E79" w14:textId="5C117F06" w:rsidR="00F00BFD" w:rsidRPr="00C867A4" w:rsidRDefault="00F00BFD" w:rsidP="00C867A4">
            <w:pPr>
              <w:pStyle w:val="PP-heading"/>
              <w:rPr>
                <w:lang w:val="en-AU"/>
              </w:rPr>
            </w:pPr>
            <w:r w:rsidRPr="00F921CD">
              <w:t xml:space="preserve">Practice point – </w:t>
            </w:r>
            <w:r w:rsidR="005E38DA" w:rsidRPr="00F921CD">
              <w:t>preterm and low birth weight infants (platelet transfusion)</w:t>
            </w:r>
          </w:p>
        </w:tc>
      </w:tr>
      <w:tr w:rsidR="00F00BFD" w:rsidRPr="00F921CD" w14:paraId="61D7BBCA" w14:textId="77777777" w:rsidTr="00945551">
        <w:tc>
          <w:tcPr>
            <w:tcW w:w="628" w:type="pct"/>
            <w:tcBorders>
              <w:right w:val="single" w:sz="4" w:space="0" w:color="auto"/>
            </w:tcBorders>
            <w:shd w:val="clear" w:color="auto" w:fill="auto"/>
          </w:tcPr>
          <w:p w14:paraId="579F7EF4" w14:textId="77777777" w:rsidR="00F00BFD" w:rsidRPr="00F921CD" w:rsidRDefault="00F00BFD" w:rsidP="00C867A4">
            <w:pPr>
              <w:pStyle w:val="PP"/>
              <w:keepNext/>
            </w:pPr>
            <w:r w:rsidRPr="00F921CD">
              <w:t>PP</w:t>
            </w:r>
            <w:r>
              <w:t>28</w:t>
            </w:r>
          </w:p>
        </w:tc>
        <w:tc>
          <w:tcPr>
            <w:tcW w:w="4372" w:type="pct"/>
            <w:tcBorders>
              <w:left w:val="single" w:sz="4" w:space="0" w:color="auto"/>
            </w:tcBorders>
            <w:shd w:val="clear" w:color="auto" w:fill="auto"/>
          </w:tcPr>
          <w:p w14:paraId="1CD63C65" w14:textId="77777777" w:rsidR="00F00BFD" w:rsidRPr="00F921CD" w:rsidRDefault="00F00BFD" w:rsidP="00C867A4">
            <w:pPr>
              <w:pStyle w:val="PP"/>
              <w:keepNext/>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0203163F" w14:textId="77777777" w:rsidTr="00945551">
        <w:trPr>
          <w:trHeight w:val="397"/>
        </w:trPr>
        <w:tc>
          <w:tcPr>
            <w:tcW w:w="5000" w:type="pct"/>
            <w:gridSpan w:val="2"/>
            <w:shd w:val="clear" w:color="auto" w:fill="auto"/>
          </w:tcPr>
          <w:p w14:paraId="2C4C3111" w14:textId="77777777" w:rsidR="00F00BFD" w:rsidRPr="00F921CD" w:rsidRDefault="00F00BFD" w:rsidP="00945551">
            <w:pPr>
              <w:pStyle w:val="PP-note"/>
            </w:pPr>
            <w:r w:rsidRPr="00F921CD">
              <w:t>FFP, fresh frozen plasma; PP, practice point</w:t>
            </w:r>
          </w:p>
        </w:tc>
      </w:tr>
    </w:tbl>
    <w:p w14:paraId="4B7923C9" w14:textId="77777777" w:rsidR="00F00BFD" w:rsidRDefault="00F00BFD" w:rsidP="00F00BFD"/>
    <w:p w14:paraId="015EB902" w14:textId="77777777" w:rsidR="00F00BFD" w:rsidRPr="004B184D" w:rsidRDefault="00F00BFD" w:rsidP="00945551">
      <w:pPr>
        <w:pStyle w:val="Heading4"/>
        <w:rPr>
          <w:lang w:val="en-US"/>
        </w:rPr>
      </w:pPr>
      <w:r w:rsidRPr="006D24DB">
        <w:t>Summary of evidence</w:t>
      </w:r>
    </w:p>
    <w:p w14:paraId="29EC23D2" w14:textId="2782266E" w:rsidR="00F00BFD" w:rsidRDefault="00F00BFD" w:rsidP="00945551">
      <w:pPr>
        <w:keepNext/>
        <w:spacing w:after="120"/>
        <w:rPr>
          <w:lang w:val="en-US" w:eastAsia="en-GB"/>
        </w:rPr>
      </w:pPr>
      <w:r w:rsidRPr="00F50649">
        <w:rPr>
          <w:lang w:val="en-US" w:eastAsia="en-GB"/>
        </w:rPr>
        <w:t xml:space="preserve">The </w:t>
      </w:r>
      <w:r w:rsidR="00FA6791">
        <w:rPr>
          <w:lang w:val="en-US" w:eastAsia="en-GB"/>
        </w:rPr>
        <w:t>review</w:t>
      </w:r>
      <w:r w:rsidRPr="00F50649">
        <w:rPr>
          <w:lang w:val="en-US" w:eastAsia="en-GB"/>
        </w:rPr>
        <w:t xml:space="preserve"> identified </w:t>
      </w:r>
      <w:r>
        <w:rPr>
          <w:lang w:val="en-US" w:eastAsia="en-GB"/>
        </w:rPr>
        <w:t>three</w:t>
      </w:r>
      <w:r w:rsidRPr="00F50649">
        <w:rPr>
          <w:lang w:val="en-US" w:eastAsia="en-GB"/>
        </w:rPr>
        <w:t xml:space="preserve"> </w:t>
      </w:r>
      <w:r>
        <w:rPr>
          <w:lang w:val="en-US" w:eastAsia="en-GB"/>
        </w:rPr>
        <w:t>Level III cohort studies</w:t>
      </w:r>
      <w:r w:rsidRPr="00F50649">
        <w:rPr>
          <w:lang w:val="en-US" w:eastAsia="en-GB"/>
        </w:rPr>
        <w:t xml:space="preserve"> comparing</w:t>
      </w:r>
      <w:r>
        <w:rPr>
          <w:lang w:val="en-US" w:eastAsia="en-GB"/>
        </w:rPr>
        <w:t xml:space="preserve"> platelet</w:t>
      </w:r>
      <w:r w:rsidRPr="00F50649">
        <w:rPr>
          <w:lang w:val="en-US" w:eastAsia="en-GB"/>
        </w:rPr>
        <w:t xml:space="preserve"> transfusion strategies in </w:t>
      </w:r>
      <w:r w:rsidR="00A41D9F">
        <w:rPr>
          <w:lang w:val="en-US" w:eastAsia="en-GB"/>
        </w:rPr>
        <w:t>neonatal and paediatric</w:t>
      </w:r>
      <w:r w:rsidRPr="00F50649">
        <w:rPr>
          <w:lang w:val="en-US" w:eastAsia="en-GB"/>
        </w:rPr>
        <w:t xml:space="preserve"> </w:t>
      </w:r>
      <w:r w:rsidRPr="00714D4B">
        <w:rPr>
          <w:lang w:val="en-US" w:eastAsia="en-GB"/>
        </w:rPr>
        <w:t>patients</w:t>
      </w:r>
      <w:r w:rsidR="00945551">
        <w:rPr>
          <w:lang w:val="en-US" w:eastAsia="en-GB"/>
        </w:rPr>
        <w:t>:</w:t>
      </w:r>
    </w:p>
    <w:p w14:paraId="6326FB91" w14:textId="397D4C41" w:rsidR="00F00BFD" w:rsidRDefault="00945551" w:rsidP="00945551">
      <w:pPr>
        <w:pStyle w:val="Bullet6"/>
        <w:rPr>
          <w:lang w:val="en-US"/>
        </w:rPr>
      </w:pPr>
      <w:r>
        <w:rPr>
          <w:lang w:val="en-AU"/>
        </w:rPr>
        <w:t>A</w:t>
      </w:r>
      <w:r w:rsidR="00F00BFD" w:rsidRPr="00E248F5">
        <w:rPr>
          <w:lang w:val="en-US"/>
        </w:rPr>
        <w:t xml:space="preserve"> </w:t>
      </w:r>
      <w:r w:rsidR="00F00BFD">
        <w:rPr>
          <w:lang w:val="en-US"/>
        </w:rPr>
        <w:t>good</w:t>
      </w:r>
      <w:r>
        <w:rPr>
          <w:lang w:val="en-US"/>
        </w:rPr>
        <w:t>-</w:t>
      </w:r>
      <w:r w:rsidR="00F00BFD">
        <w:rPr>
          <w:lang w:val="en-US"/>
        </w:rPr>
        <w:t xml:space="preserve">quality </w:t>
      </w:r>
      <w:r w:rsidR="00F00BFD" w:rsidRPr="00E248F5">
        <w:t>retrospective cohort study</w:t>
      </w:r>
      <w:r w:rsidR="00F00BFD">
        <w:t xml:space="preserve"> </w:t>
      </w:r>
      <w:r w:rsidR="00F00BFD" w:rsidRPr="00E248F5">
        <w:t xml:space="preserve">of 1600 neonates with </w:t>
      </w:r>
      <w:r w:rsidR="002B2C2B">
        <w:t>thrombocytopaenia</w:t>
      </w:r>
      <w:r w:rsidR="00F00BFD" w:rsidRPr="00E248F5">
        <w:t xml:space="preserve"> in </w:t>
      </w:r>
      <w:r w:rsidR="00F00BFD">
        <w:t xml:space="preserve">multiple </w:t>
      </w:r>
      <w:r>
        <w:t>NICUs</w:t>
      </w:r>
      <w:r>
        <w:rPr>
          <w:lang w:val="en-AU"/>
        </w:rPr>
        <w:t>, conducted</w:t>
      </w:r>
      <w:r>
        <w:t xml:space="preserve"> </w:t>
      </w:r>
      <w:r w:rsidR="00F00BFD">
        <w:t xml:space="preserve">in </w:t>
      </w:r>
      <w:r w:rsidR="00F00BFD" w:rsidRPr="00E248F5">
        <w:t xml:space="preserve">the </w:t>
      </w:r>
      <w:r w:rsidR="00840600">
        <w:rPr>
          <w:lang w:val="en-AU"/>
        </w:rPr>
        <w:t>United States of America (</w:t>
      </w:r>
      <w:r w:rsidR="00F00BFD" w:rsidRPr="00E248F5">
        <w:t>USA</w:t>
      </w:r>
      <w:r w:rsidR="00840600">
        <w:rPr>
          <w:lang w:val="en-AU"/>
        </w:rPr>
        <w:t>).</w:t>
      </w:r>
      <w:hyperlink w:anchor="_ENREF_139" w:tooltip="Baer, 2007 #130" w:history="1">
        <w:r w:rsidR="00E62798">
          <w:rPr>
            <w:lang w:val="en-AU"/>
          </w:rPr>
          <w:fldChar w:fldCharType="begin"/>
        </w:r>
        <w:r w:rsidR="00E62798">
          <w:rPr>
            <w:lang w:val="en-AU"/>
          </w:rPr>
          <w:instrText xml:space="preserve"> ADDIN EN.CITE &lt;EndNote&gt;&lt;Cite&gt;&lt;Author&gt;Baer&lt;/Author&gt;&lt;Year&gt;2007&lt;/Year&gt;&lt;RecNum&gt;130&lt;/RecNum&gt;&lt;DisplayText&gt;&lt;style face="superscript"&gt;139&lt;/style&gt;&lt;/DisplayText&gt;&lt;record&gt;&lt;rec-number&gt;130&lt;/rec-number&gt;&lt;foreign-keys&gt;&lt;key app="EN" db-id="9edve2wadsavt5ewavaxtda4f2tavzvts9ee" timestamp="1426550421"&gt;130&lt;/key&gt;&lt;/foreign-keys&gt;&lt;ref-type name="Journal Article"&gt;17&lt;/ref-type&gt;&lt;contributors&gt;&lt;authors&gt;&lt;author&gt;Baer, V. L.&lt;/author&gt;&lt;author&gt;Lambert, D. K.&lt;/author&gt;&lt;author&gt;Henry, E.&lt;/author&gt;&lt;author&gt;Snow, G. L.&lt;/author&gt;&lt;author&gt;Sola-Visner, M. C.&lt;/author&gt;&lt;author&gt;Christensen, R. D.&lt;/author&gt;&lt;/authors&gt;&lt;/contributors&gt;&lt;titles&gt;&lt;title&gt;Do platelet transfusions in the NICU adversely affect survival? Analysis of 1600 thrombocytopenic neonates in a multihospital healthcare system&lt;/title&gt;&lt;secondary-title&gt;Journal of Perinatology&lt;/secondary-title&gt;&lt;/titles&gt;&lt;periodical&gt;&lt;full-title&gt;Journal of Perinatology&lt;/full-title&gt;&lt;/periodical&gt;&lt;pages&gt;790–796&lt;/pages&gt;&lt;volume&gt;27&lt;/volume&gt;&lt;number&gt;12&lt;/number&gt;&lt;keywords&gt;&lt;keyword&gt;transfusion&lt;/keyword&gt;&lt;/keywords&gt;&lt;dates&gt;&lt;year&gt;2007&lt;/year&gt;&lt;pub-dates&gt;&lt;date&gt;September&lt;/date&gt;&lt;/pub-dates&gt;&lt;/dates&gt;&lt;urls&gt;&lt;related-urls&gt;&lt;url&gt;http://www.ncbi.nlm.nih.gov/pubmed/17855804&lt;/url&gt;&lt;/related-urls&gt;&lt;/urls&gt;&lt;/record&gt;&lt;/Cite&gt;&lt;/EndNote&gt;</w:instrText>
        </w:r>
        <w:r w:rsidR="00E62798">
          <w:rPr>
            <w:lang w:val="en-AU"/>
          </w:rPr>
          <w:fldChar w:fldCharType="separate"/>
        </w:r>
        <w:r w:rsidR="00E62798" w:rsidRPr="00E62798">
          <w:rPr>
            <w:noProof/>
            <w:vertAlign w:val="superscript"/>
            <w:lang w:val="en-AU"/>
          </w:rPr>
          <w:t>139</w:t>
        </w:r>
        <w:r w:rsidR="00E62798">
          <w:rPr>
            <w:lang w:val="en-AU"/>
          </w:rPr>
          <w:fldChar w:fldCharType="end"/>
        </w:r>
      </w:hyperlink>
      <w:r w:rsidRPr="00E248F5">
        <w:rPr>
          <w:lang w:val="en-US"/>
        </w:rPr>
        <w:t xml:space="preserve"> </w:t>
      </w:r>
      <w:r>
        <w:t>The study</w:t>
      </w:r>
      <w:r w:rsidR="00F00BFD">
        <w:t xml:space="preserve"> investigated the effect of platelet transfusion versus no platelet transfusion on mortality</w:t>
      </w:r>
      <w:r w:rsidR="00F00BFD" w:rsidRPr="00E248F5">
        <w:t xml:space="preserve">. </w:t>
      </w:r>
    </w:p>
    <w:p w14:paraId="698DCB91" w14:textId="317FEF4D" w:rsidR="00F00BFD" w:rsidRDefault="00945551" w:rsidP="00945551">
      <w:pPr>
        <w:pStyle w:val="Bullet6"/>
      </w:pPr>
      <w:r>
        <w:rPr>
          <w:lang w:val="en-US"/>
        </w:rPr>
        <w:t>A poor-</w:t>
      </w:r>
      <w:r w:rsidR="00F00BFD">
        <w:rPr>
          <w:lang w:val="en-US"/>
        </w:rPr>
        <w:t xml:space="preserve">quality nested </w:t>
      </w:r>
      <w:r w:rsidR="00F00BFD">
        <w:t>case</w:t>
      </w:r>
      <w:r w:rsidR="00840600">
        <w:rPr>
          <w:lang w:val="en-AU"/>
        </w:rPr>
        <w:t>–</w:t>
      </w:r>
      <w:r w:rsidR="00F00BFD">
        <w:t>control study in a s</w:t>
      </w:r>
      <w:r w:rsidR="00F00BFD" w:rsidRPr="00F33901">
        <w:t>ingle NICU</w:t>
      </w:r>
      <w:r w:rsidR="00F00BFD">
        <w:t xml:space="preserve"> in the</w:t>
      </w:r>
      <w:r w:rsidR="00F00BFD" w:rsidRPr="00F33901">
        <w:t xml:space="preserve"> USA</w:t>
      </w:r>
      <w:r w:rsidR="00F00BFD">
        <w:t xml:space="preserve"> of 164 preterm infants </w:t>
      </w:r>
      <w:r w:rsidR="00F00BFD" w:rsidRPr="00175BC4">
        <w:t xml:space="preserve">born at or before </w:t>
      </w:r>
      <w:r w:rsidR="00F00BFD" w:rsidRPr="00B7238E">
        <w:t>32 weeks gestation</w:t>
      </w:r>
      <w:r w:rsidR="00F00BFD">
        <w:t>.</w:t>
      </w:r>
      <w:hyperlink w:anchor="_ENREF_140" w:tooltip="Bonifacio, 2007 #131" w:history="1">
        <w:r w:rsidR="00E62798">
          <w:fldChar w:fldCharType="begin"/>
        </w:r>
        <w:r w:rsidR="00E62798">
          <w:instrText xml:space="preserve"> ADDIN EN.CITE &lt;EndNote&gt;&lt;Cite&gt;&lt;Author&gt;Bonifacio&lt;/Author&gt;&lt;Year&gt;2007&lt;/Year&gt;&lt;RecNum&gt;131&lt;/RecNum&gt;&lt;DisplayText&gt;&lt;style face="superscript"&gt;140&lt;/style&gt;&lt;/DisplayText&gt;&lt;record&gt;&lt;rec-number&gt;131&lt;/rec-number&gt;&lt;foreign-keys&gt;&lt;key app="EN" db-id="9edve2wadsavt5ewavaxtda4f2tavzvts9ee" timestamp="1426550421"&gt;131&lt;/key&gt;&lt;/foreign-keys&gt;&lt;ref-type name="Journal Article"&gt;17&lt;/ref-type&gt;&lt;contributors&gt;&lt;authors&gt;&lt;author&gt;Bonifacio, L.&lt;/author&gt;&lt;author&gt;Petrova, A.&lt;/author&gt;&lt;author&gt;Nanjundaswamy, S.&lt;/author&gt;&lt;author&gt;Mehta, R.&lt;/author&gt;&lt;/authors&gt;&lt;/contributors&gt;&lt;titles&gt;&lt;title&gt;Thrombocytopenia related neonatal outcome in preterms&lt;/title&gt;&lt;secondary-title&gt;Indian Journal of Pediatrics&lt;/secondary-title&gt;&lt;/titles&gt;&lt;periodical&gt;&lt;full-title&gt;Indian Journal of Pediatrics&lt;/full-title&gt;&lt;/periodical&gt;&lt;pages&gt;267–274&lt;/pages&gt;&lt;volume&gt;74&lt;/volume&gt;&lt;number&gt;3&lt;/number&gt;&lt;dates&gt;&lt;year&gt;2007&lt;/year&gt;&lt;pub-dates&gt;&lt;date&gt;March&lt;/date&gt;&lt;/pub-dates&gt;&lt;/dates&gt;&lt;urls&gt;&lt;related-urls&gt;&lt;url&gt;http://www.ncbi.nlm.nih.gov/pubmed/17401266&lt;/url&gt;&lt;/related-urls&gt;&lt;/urls&gt;&lt;access-date&gt;13 April 2015&lt;/access-date&gt;&lt;/record&gt;&lt;/Cite&gt;&lt;/EndNote&gt;</w:instrText>
        </w:r>
        <w:r w:rsidR="00E62798">
          <w:fldChar w:fldCharType="separate"/>
        </w:r>
        <w:r w:rsidR="00E62798" w:rsidRPr="00E62798">
          <w:rPr>
            <w:noProof/>
            <w:vertAlign w:val="superscript"/>
          </w:rPr>
          <w:t>140</w:t>
        </w:r>
        <w:r w:rsidR="00E62798">
          <w:fldChar w:fldCharType="end"/>
        </w:r>
      </w:hyperlink>
      <w:r w:rsidR="00F00BFD">
        <w:t xml:space="preserve"> Cases were defined as participants with</w:t>
      </w:r>
      <w:r w:rsidR="00F00BFD" w:rsidRPr="00D84990">
        <w:t xml:space="preserve"> </w:t>
      </w:r>
      <w:r w:rsidR="002B2C2B">
        <w:t>thrombocytopaenia</w:t>
      </w:r>
      <w:r w:rsidR="00F00BFD">
        <w:t xml:space="preserve"> (platelet count </w:t>
      </w:r>
      <w:r w:rsidR="00F00BFD" w:rsidRPr="00B7238E">
        <w:t>≤150</w:t>
      </w:r>
      <w:r>
        <w:rPr>
          <w:lang w:val="en-AU"/>
        </w:rPr>
        <w:t xml:space="preserve"> ×</w:t>
      </w:r>
      <w:r w:rsidR="00B855A4">
        <w:rPr>
          <w:lang w:val="en-AU"/>
        </w:rPr>
        <w:t> </w:t>
      </w:r>
      <w:r w:rsidR="00F00BFD" w:rsidRPr="00B7238E">
        <w:t>10</w:t>
      </w:r>
      <w:r w:rsidR="00F00BFD" w:rsidRPr="00B7238E">
        <w:rPr>
          <w:vertAlign w:val="superscript"/>
        </w:rPr>
        <w:t>9</w:t>
      </w:r>
      <w:r w:rsidR="00F00BFD" w:rsidRPr="00B7238E">
        <w:t>/L</w:t>
      </w:r>
      <w:r w:rsidR="00F00BFD">
        <w:t>)</w:t>
      </w:r>
      <w:r w:rsidR="00F00BFD" w:rsidRPr="00D84990">
        <w:t xml:space="preserve"> and </w:t>
      </w:r>
      <w:r w:rsidR="00F00BFD">
        <w:t xml:space="preserve">controls as </w:t>
      </w:r>
      <w:r w:rsidR="00F00BFD" w:rsidRPr="00D84990">
        <w:t xml:space="preserve">those </w:t>
      </w:r>
      <w:r w:rsidR="00F00BFD">
        <w:t>without</w:t>
      </w:r>
      <w:r w:rsidR="00F00BFD" w:rsidRPr="00D84990">
        <w:t xml:space="preserve"> </w:t>
      </w:r>
      <w:r w:rsidR="002B2C2B">
        <w:t>thrombocytopaenia</w:t>
      </w:r>
      <w:r w:rsidR="00F00BFD" w:rsidRPr="00D84990">
        <w:t>. Of the 94 include</w:t>
      </w:r>
      <w:r w:rsidR="00F00BFD">
        <w:t xml:space="preserve">d </w:t>
      </w:r>
      <w:r w:rsidR="00F00BFD" w:rsidRPr="00D84990">
        <w:t xml:space="preserve">cases, 12 were defined as </w:t>
      </w:r>
      <w:r w:rsidR="00F00BFD">
        <w:t xml:space="preserve">having </w:t>
      </w:r>
      <w:r w:rsidR="00F00BFD" w:rsidRPr="00D84990">
        <w:t>mild</w:t>
      </w:r>
      <w:r w:rsidR="00F00BFD">
        <w:t xml:space="preserve"> </w:t>
      </w:r>
      <w:r w:rsidR="002B2C2B">
        <w:t>thrombocytopaenia</w:t>
      </w:r>
      <w:r w:rsidR="00F00BFD" w:rsidRPr="00D84990">
        <w:t xml:space="preserve"> (100</w:t>
      </w:r>
      <w:r>
        <w:rPr>
          <w:lang w:val="en-AU"/>
        </w:rPr>
        <w:t>–</w:t>
      </w:r>
      <w:r w:rsidR="00F00BFD" w:rsidRPr="00D84990">
        <w:t>150</w:t>
      </w:r>
      <w:r>
        <w:rPr>
          <w:lang w:val="en-AU"/>
        </w:rPr>
        <w:t xml:space="preserve"> × </w:t>
      </w:r>
      <w:r w:rsidR="00F00BFD" w:rsidRPr="00D84990">
        <w:t>10</w:t>
      </w:r>
      <w:r w:rsidR="00F00BFD" w:rsidRPr="00D84990">
        <w:rPr>
          <w:vertAlign w:val="superscript"/>
        </w:rPr>
        <w:t>9</w:t>
      </w:r>
      <w:r w:rsidR="00F00BFD" w:rsidRPr="00D84990">
        <w:t xml:space="preserve">/L), 34 </w:t>
      </w:r>
      <w:r w:rsidR="00F00BFD">
        <w:t>with</w:t>
      </w:r>
      <w:r w:rsidR="00F00BFD" w:rsidRPr="00D84990">
        <w:t xml:space="preserve"> moderate (50</w:t>
      </w:r>
      <w:r>
        <w:rPr>
          <w:lang w:val="en-AU"/>
        </w:rPr>
        <w:t>–</w:t>
      </w:r>
      <w:r w:rsidR="00F00BFD" w:rsidRPr="00D84990">
        <w:t>100</w:t>
      </w:r>
      <w:r>
        <w:rPr>
          <w:lang w:val="en-AU"/>
        </w:rPr>
        <w:t xml:space="preserve"> </w:t>
      </w:r>
      <w:r w:rsidR="00F00BFD" w:rsidRPr="00D84990">
        <w:t>10</w:t>
      </w:r>
      <w:r w:rsidR="00F00BFD" w:rsidRPr="00D84990">
        <w:rPr>
          <w:vertAlign w:val="superscript"/>
        </w:rPr>
        <w:t>9</w:t>
      </w:r>
      <w:r w:rsidR="00F00BFD" w:rsidRPr="00D84990">
        <w:t xml:space="preserve">/L), and 48 </w:t>
      </w:r>
      <w:r w:rsidR="00F00BFD">
        <w:t>with</w:t>
      </w:r>
      <w:r w:rsidR="00F00BFD" w:rsidRPr="00D84990">
        <w:t xml:space="preserve"> severe (&lt;50</w:t>
      </w:r>
      <w:r>
        <w:rPr>
          <w:lang w:val="en-AU"/>
        </w:rPr>
        <w:t xml:space="preserve"> × </w:t>
      </w:r>
      <w:r w:rsidR="00F00BFD" w:rsidRPr="00D84990">
        <w:t>10</w:t>
      </w:r>
      <w:r w:rsidR="00F00BFD" w:rsidRPr="00D84990">
        <w:rPr>
          <w:vertAlign w:val="superscript"/>
        </w:rPr>
        <w:t>9</w:t>
      </w:r>
      <w:r w:rsidR="00F00BFD" w:rsidRPr="00D84990">
        <w:t>/L</w:t>
      </w:r>
      <w:r w:rsidR="00F00BFD">
        <w:t>). The authors examined whether p</w:t>
      </w:r>
      <w:r w:rsidR="00F00BFD" w:rsidRPr="00B7238E">
        <w:t xml:space="preserve">latelet </w:t>
      </w:r>
      <w:r w:rsidR="00F00BFD">
        <w:t>transfusion had an effect on</w:t>
      </w:r>
      <w:r w:rsidR="00F00BFD" w:rsidRPr="00175BC4">
        <w:rPr>
          <w:rFonts w:cs="Calibri"/>
          <w:lang w:val="en-US"/>
        </w:rPr>
        <w:t xml:space="preserve"> </w:t>
      </w:r>
      <w:r w:rsidR="00F00BFD" w:rsidRPr="00175BC4">
        <w:rPr>
          <w:lang w:val="en-US"/>
        </w:rPr>
        <w:t xml:space="preserve">IVH </w:t>
      </w:r>
      <w:r w:rsidR="00F00BFD">
        <w:rPr>
          <w:lang w:val="en-US"/>
        </w:rPr>
        <w:t xml:space="preserve">by </w:t>
      </w:r>
      <w:r w:rsidR="00F00BFD" w:rsidRPr="00175BC4">
        <w:rPr>
          <w:lang w:val="en-US"/>
        </w:rPr>
        <w:t xml:space="preserve">days 7 and 14 of life, sepsis, NEC, </w:t>
      </w:r>
      <w:r w:rsidR="002B2C2B">
        <w:rPr>
          <w:lang w:val="en-US"/>
        </w:rPr>
        <w:t>thrombocytopaenia</w:t>
      </w:r>
      <w:r w:rsidR="00F00BFD" w:rsidRPr="00175BC4">
        <w:rPr>
          <w:lang w:val="en-US"/>
        </w:rPr>
        <w:t>-associated bleeding</w:t>
      </w:r>
      <w:r w:rsidR="00F00BFD">
        <w:rPr>
          <w:lang w:val="en-US"/>
        </w:rPr>
        <w:t xml:space="preserve"> and</w:t>
      </w:r>
      <w:r w:rsidR="00F00BFD" w:rsidRPr="00175BC4">
        <w:rPr>
          <w:lang w:val="en-US"/>
        </w:rPr>
        <w:t xml:space="preserve"> mortality before discharge.</w:t>
      </w:r>
      <w:r w:rsidR="00F00BFD">
        <w:t xml:space="preserve"> </w:t>
      </w:r>
    </w:p>
    <w:p w14:paraId="7FC772C2" w14:textId="4F6722FE" w:rsidR="00F00BFD" w:rsidRDefault="00945551" w:rsidP="00945551">
      <w:pPr>
        <w:pStyle w:val="Bullet12"/>
        <w:rPr>
          <w:bCs/>
          <w:lang w:eastAsia="en-GB"/>
        </w:rPr>
      </w:pPr>
      <w:r>
        <w:rPr>
          <w:lang w:val="en-US" w:eastAsia="en-GB"/>
        </w:rPr>
        <w:t>A poor-</w:t>
      </w:r>
      <w:r w:rsidR="00F00BFD">
        <w:rPr>
          <w:lang w:val="en-US" w:eastAsia="en-GB"/>
        </w:rPr>
        <w:t xml:space="preserve">quality </w:t>
      </w:r>
      <w:r w:rsidR="00F00BFD" w:rsidRPr="001843EC">
        <w:t>retrospective cohort study of</w:t>
      </w:r>
      <w:r w:rsidR="00F00BFD" w:rsidRPr="001843EC">
        <w:rPr>
          <w:rFonts w:eastAsia="Arial Unicode MS"/>
        </w:rPr>
        <w:t xml:space="preserve"> 284 </w:t>
      </w:r>
      <w:r w:rsidR="00F00BFD">
        <w:rPr>
          <w:rFonts w:eastAsia="Arial Unicode MS"/>
        </w:rPr>
        <w:t>extremely low birth</w:t>
      </w:r>
      <w:r w:rsidR="00B855A4">
        <w:rPr>
          <w:rFonts w:eastAsia="Arial Unicode MS"/>
          <w:lang w:val="en-AU"/>
        </w:rPr>
        <w:t xml:space="preserve"> </w:t>
      </w:r>
      <w:r w:rsidR="00F00BFD">
        <w:rPr>
          <w:rFonts w:eastAsia="Arial Unicode MS"/>
        </w:rPr>
        <w:t>weight (</w:t>
      </w:r>
      <w:r w:rsidR="00F00BFD" w:rsidRPr="001843EC">
        <w:t>≤1000</w:t>
      </w:r>
      <w:r w:rsidR="00F00BFD">
        <w:t> </w:t>
      </w:r>
      <w:r w:rsidR="00F00BFD" w:rsidRPr="001843EC">
        <w:t>g</w:t>
      </w:r>
      <w:r w:rsidR="00F00BFD">
        <w:t xml:space="preserve">) </w:t>
      </w:r>
      <w:r w:rsidR="00F00BFD" w:rsidRPr="001843EC">
        <w:t>preterm infants</w:t>
      </w:r>
      <w:r w:rsidR="00F00BFD">
        <w:t xml:space="preserve"> </w:t>
      </w:r>
      <w:r w:rsidR="00F00BFD" w:rsidRPr="001843EC">
        <w:t>from multiple NICUs in the USA.</w:t>
      </w:r>
      <w:hyperlink w:anchor="_ENREF_141" w:tooltip="Christensen, 2006 #132" w:history="1">
        <w:r w:rsidR="00E62798">
          <w:fldChar w:fldCharType="begin"/>
        </w:r>
        <w:r w:rsidR="00E62798">
          <w:instrText xml:space="preserve"> ADDIN EN.CITE &lt;EndNote&gt;&lt;Cite&gt;&lt;Author&gt;Christensen&lt;/Author&gt;&lt;Year&gt;2006&lt;/Year&gt;&lt;RecNum&gt;132&lt;/RecNum&gt;&lt;DisplayText&gt;&lt;style face="superscript"&gt;141&lt;/style&gt;&lt;/DisplayText&gt;&lt;record&gt;&lt;rec-number&gt;132&lt;/rec-number&gt;&lt;foreign-keys&gt;&lt;key app="EN" db-id="9edve2wadsavt5ewavaxtda4f2tavzvts9ee" timestamp="1426550421"&gt;132&lt;/key&gt;&lt;/foreign-keys&gt;&lt;ref-type name="Journal Article"&gt;17&lt;/ref-type&gt;&lt;contributors&gt;&lt;authors&gt;&lt;author&gt;Christensen, R. D.&lt;/author&gt;&lt;author&gt;Henry, E.&lt;/author&gt;&lt;author&gt;Wiedmeier, S. E.&lt;/author&gt;&lt;author&gt;Stoddard, R. A.&lt;/author&gt;&lt;author&gt;Sola-Visner, M. C.&lt;/author&gt;&lt;author&gt;Lambert, D. K.&lt;/author&gt;&lt;author&gt;Kiehn, T. I.&lt;/author&gt;&lt;author&gt;Ainsworth, S.&lt;/author&gt;&lt;/authors&gt;&lt;/contributors&gt;&lt;titles&gt;&lt;title&gt;Thrombocytopenia among extremely low birth weight neonates: Data from a multihospital healthcare system&lt;/title&gt;&lt;secondary-title&gt;Journal of Perinatology&lt;/secondary-title&gt;&lt;/titles&gt;&lt;periodical&gt;&lt;full-title&gt;Journal of Perinatology&lt;/full-title&gt;&lt;/periodical&gt;&lt;pages&gt;348–353&lt;/pages&gt;&lt;volume&gt;26&lt;/volume&gt;&lt;number&gt;6&lt;/number&gt;&lt;dates&gt;&lt;year&gt;2006&lt;/year&gt;&lt;pub-dates&gt;&lt;date&gt;June&lt;/date&gt;&lt;/pub-dates&gt;&lt;/dates&gt;&lt;urls&gt;&lt;related-urls&gt;&lt;url&gt;http://www.ncbi.nlm.nih.gov/pubmed/16642027&lt;/url&gt;&lt;/related-urls&gt;&lt;/urls&gt;&lt;access-date&gt;13 April 2015&lt;/access-date&gt;&lt;/record&gt;&lt;/Cite&gt;&lt;/EndNote&gt;</w:instrText>
        </w:r>
        <w:r w:rsidR="00E62798">
          <w:fldChar w:fldCharType="separate"/>
        </w:r>
        <w:r w:rsidR="00E62798" w:rsidRPr="00E62798">
          <w:rPr>
            <w:noProof/>
            <w:vertAlign w:val="superscript"/>
          </w:rPr>
          <w:t>141</w:t>
        </w:r>
        <w:r w:rsidR="00E62798">
          <w:fldChar w:fldCharType="end"/>
        </w:r>
      </w:hyperlink>
      <w:r w:rsidR="00F00BFD" w:rsidRPr="001843EC">
        <w:t xml:space="preserve"> The authors</w:t>
      </w:r>
      <w:r w:rsidR="00F00BFD">
        <w:rPr>
          <w:bCs/>
          <w:lang w:eastAsia="en-GB"/>
        </w:rPr>
        <w:t xml:space="preserve"> examined the effect </w:t>
      </w:r>
      <w:r w:rsidR="00F00BFD" w:rsidRPr="00473F5F">
        <w:rPr>
          <w:bCs/>
          <w:lang w:eastAsia="en-GB"/>
        </w:rPr>
        <w:t xml:space="preserve">of platelet transfusion on mortality </w:t>
      </w:r>
      <w:r w:rsidR="00F00BFD" w:rsidRPr="00CF7D88">
        <w:rPr>
          <w:bCs/>
          <w:lang w:val="en-US" w:eastAsia="en-GB"/>
        </w:rPr>
        <w:t>dur</w:t>
      </w:r>
      <w:r w:rsidR="00F00BFD">
        <w:rPr>
          <w:bCs/>
          <w:lang w:val="en-US" w:eastAsia="en-GB"/>
        </w:rPr>
        <w:t xml:space="preserve">ing and after </w:t>
      </w:r>
      <w:r w:rsidR="002B2C2B">
        <w:rPr>
          <w:bCs/>
          <w:lang w:val="en-US" w:eastAsia="en-GB"/>
        </w:rPr>
        <w:t>thrombocytopaenia</w:t>
      </w:r>
      <w:r w:rsidR="00F00BFD">
        <w:rPr>
          <w:bCs/>
          <w:lang w:val="en-US" w:eastAsia="en-GB"/>
        </w:rPr>
        <w:t xml:space="preserve">. </w:t>
      </w:r>
      <w:r w:rsidR="00F00BFD">
        <w:rPr>
          <w:bCs/>
        </w:rPr>
        <w:t xml:space="preserve">Data </w:t>
      </w:r>
      <w:r w:rsidR="00062DF6">
        <w:rPr>
          <w:bCs/>
        </w:rPr>
        <w:t>w</w:t>
      </w:r>
      <w:r w:rsidR="00062DF6">
        <w:rPr>
          <w:bCs/>
          <w:lang w:val="en-AU"/>
        </w:rPr>
        <w:t xml:space="preserve">ere </w:t>
      </w:r>
      <w:r w:rsidR="00F00BFD" w:rsidRPr="002875EB">
        <w:rPr>
          <w:bCs/>
        </w:rPr>
        <w:t>collected from electronic medi</w:t>
      </w:r>
      <w:r w:rsidR="0084210E">
        <w:rPr>
          <w:bCs/>
        </w:rPr>
        <w:t>cal records, case mix, pharmacy</w:t>
      </w:r>
      <w:r w:rsidR="00F00BFD" w:rsidRPr="002875EB">
        <w:rPr>
          <w:bCs/>
        </w:rPr>
        <w:t xml:space="preserve"> and laboratory systems. </w:t>
      </w:r>
    </w:p>
    <w:p w14:paraId="562C0FFF" w14:textId="77777777" w:rsidR="00F00BFD" w:rsidRPr="00484708" w:rsidRDefault="00F00BFD" w:rsidP="00F00BFD">
      <w:pPr>
        <w:pStyle w:val="Heading5"/>
      </w:pPr>
      <w:r w:rsidRPr="00484708">
        <w:t>Mortality</w:t>
      </w:r>
    </w:p>
    <w:p w14:paraId="736E819A" w14:textId="1B3A53F9" w:rsidR="00F00BFD" w:rsidRPr="00205699" w:rsidRDefault="0084210E" w:rsidP="0084210E">
      <w:r>
        <w:t>The good-quality study found a</w:t>
      </w:r>
      <w:r w:rsidR="00F00BFD">
        <w:t xml:space="preserve"> significant increase</w:t>
      </w:r>
      <w:r>
        <w:t xml:space="preserve"> (apparently dose dependent)</w:t>
      </w:r>
      <w:r w:rsidR="00F00BFD">
        <w:t xml:space="preserve"> in mortality associated with platelet</w:t>
      </w:r>
      <w:r w:rsidR="00F00BFD" w:rsidRPr="00B63BC7">
        <w:t xml:space="preserve"> transfusion</w:t>
      </w:r>
      <w:r>
        <w:t>.</w:t>
      </w:r>
      <w:hyperlink w:anchor="_ENREF_139" w:tooltip="Baer, 2007 #130" w:history="1">
        <w:r w:rsidR="00E62798">
          <w:fldChar w:fldCharType="begin"/>
        </w:r>
        <w:r w:rsidR="00E62798">
          <w:instrText xml:space="preserve"> ADDIN EN.CITE &lt;EndNote&gt;&lt;Cite&gt;&lt;Author&gt;Baer&lt;/Author&gt;&lt;Year&gt;2007&lt;/Year&gt;&lt;RecNum&gt;130&lt;/RecNum&gt;&lt;DisplayText&gt;&lt;style face="superscript"&gt;139&lt;/style&gt;&lt;/DisplayText&gt;&lt;record&gt;&lt;rec-number&gt;130&lt;/rec-number&gt;&lt;foreign-keys&gt;&lt;key app="EN" db-id="9edve2wadsavt5ewavaxtda4f2tavzvts9ee" timestamp="1426550421"&gt;130&lt;/key&gt;&lt;/foreign-keys&gt;&lt;ref-type name="Journal Article"&gt;17&lt;/ref-type&gt;&lt;contributors&gt;&lt;authors&gt;&lt;author&gt;Baer, V. L.&lt;/author&gt;&lt;author&gt;Lambert, D. K.&lt;/author&gt;&lt;author&gt;Henry, E.&lt;/author&gt;&lt;author&gt;Snow, G. L.&lt;/author&gt;&lt;author&gt;Sola-Visner, M. C.&lt;/author&gt;&lt;author&gt;Christensen, R. D.&lt;/author&gt;&lt;/authors&gt;&lt;/contributors&gt;&lt;titles&gt;&lt;title&gt;Do platelet transfusions in the NICU adversely affect survival? Analysis of 1600 thrombocytopenic neonates in a multihospital healthcare system&lt;/title&gt;&lt;secondary-title&gt;Journal of Perinatology&lt;/secondary-title&gt;&lt;/titles&gt;&lt;periodical&gt;&lt;full-title&gt;Journal of Perinatology&lt;/full-title&gt;&lt;/periodical&gt;&lt;pages&gt;790–796&lt;/pages&gt;&lt;volume&gt;27&lt;/volume&gt;&lt;number&gt;12&lt;/number&gt;&lt;keywords&gt;&lt;keyword&gt;transfusion&lt;/keyword&gt;&lt;/keywords&gt;&lt;dates&gt;&lt;year&gt;2007&lt;/year&gt;&lt;pub-dates&gt;&lt;date&gt;September&lt;/date&gt;&lt;/pub-dates&gt;&lt;/dates&gt;&lt;urls&gt;&lt;related-urls&gt;&lt;url&gt;http://www.ncbi.nlm.nih.gov/pubmed/17855804&lt;/url&gt;&lt;/related-urls&gt;&lt;/urls&gt;&lt;/record&gt;&lt;/Cite&gt;&lt;/EndNote&gt;</w:instrText>
        </w:r>
        <w:r w:rsidR="00E62798">
          <w:fldChar w:fldCharType="separate"/>
        </w:r>
        <w:r w:rsidR="00E62798" w:rsidRPr="00E62798">
          <w:rPr>
            <w:noProof/>
            <w:vertAlign w:val="superscript"/>
          </w:rPr>
          <w:t>139</w:t>
        </w:r>
        <w:r w:rsidR="00E62798">
          <w:fldChar w:fldCharType="end"/>
        </w:r>
      </w:hyperlink>
      <w:r>
        <w:t xml:space="preserve"> The nested study</w:t>
      </w:r>
      <w:r w:rsidR="00F00BFD">
        <w:t xml:space="preserve"> also found a significant increase in mortality associated with platelet</w:t>
      </w:r>
      <w:r>
        <w:t xml:space="preserve"> transfusion.</w:t>
      </w:r>
      <w:hyperlink w:anchor="_ENREF_140" w:tooltip="Bonifacio, 2007 #131" w:history="1">
        <w:r w:rsidR="00E62798">
          <w:fldChar w:fldCharType="begin"/>
        </w:r>
        <w:r w:rsidR="00E62798">
          <w:instrText xml:space="preserve"> ADDIN EN.CITE &lt;EndNote&gt;&lt;Cite&gt;&lt;Author&gt;Bonifacio&lt;/Author&gt;&lt;Year&gt;2007&lt;/Year&gt;&lt;RecNum&gt;131&lt;/RecNum&gt;&lt;DisplayText&gt;&lt;style face="superscript"&gt;140&lt;/style&gt;&lt;/DisplayText&gt;&lt;record&gt;&lt;rec-number&gt;131&lt;/rec-number&gt;&lt;foreign-keys&gt;&lt;key app="EN" db-id="9edve2wadsavt5ewavaxtda4f2tavzvts9ee" timestamp="1426550421"&gt;131&lt;/key&gt;&lt;/foreign-keys&gt;&lt;ref-type name="Journal Article"&gt;17&lt;/ref-type&gt;&lt;contributors&gt;&lt;authors&gt;&lt;author&gt;Bonifacio, L.&lt;/author&gt;&lt;author&gt;Petrova, A.&lt;/author&gt;&lt;author&gt;Nanjundaswamy, S.&lt;/author&gt;&lt;author&gt;Mehta, R.&lt;/author&gt;&lt;/authors&gt;&lt;/contributors&gt;&lt;titles&gt;&lt;title&gt;Thrombocytopenia related neonatal outcome in preterms&lt;/title&gt;&lt;secondary-title&gt;Indian Journal of Pediatrics&lt;/secondary-title&gt;&lt;/titles&gt;&lt;periodical&gt;&lt;full-title&gt;Indian Journal of Pediatrics&lt;/full-title&gt;&lt;/periodical&gt;&lt;pages&gt;267–274&lt;/pages&gt;&lt;volume&gt;74&lt;/volume&gt;&lt;number&gt;3&lt;/number&gt;&lt;dates&gt;&lt;year&gt;2007&lt;/year&gt;&lt;pub-dates&gt;&lt;date&gt;March&lt;/date&gt;&lt;/pub-dates&gt;&lt;/dates&gt;&lt;urls&gt;&lt;related-urls&gt;&lt;url&gt;http://www.ncbi.nlm.nih.gov/pubmed/17401266&lt;/url&gt;&lt;/related-urls&gt;&lt;/urls&gt;&lt;access-date&gt;13 April 2015&lt;/access-date&gt;&lt;/record&gt;&lt;/Cite&gt;&lt;/EndNote&gt;</w:instrText>
        </w:r>
        <w:r w:rsidR="00E62798">
          <w:fldChar w:fldCharType="separate"/>
        </w:r>
        <w:r w:rsidR="00E62798" w:rsidRPr="00E62798">
          <w:rPr>
            <w:noProof/>
            <w:vertAlign w:val="superscript"/>
          </w:rPr>
          <w:t>140</w:t>
        </w:r>
        <w:r w:rsidR="00E62798">
          <w:fldChar w:fldCharType="end"/>
        </w:r>
      </w:hyperlink>
      <w:r>
        <w:t xml:space="preserve"> </w:t>
      </w:r>
      <w:r w:rsidR="00F00BFD">
        <w:rPr>
          <w:lang w:val="en-US"/>
        </w:rPr>
        <w:t>In contrast</w:t>
      </w:r>
      <w:r>
        <w:rPr>
          <w:lang w:val="en-US"/>
        </w:rPr>
        <w:t>, the third study</w:t>
      </w:r>
      <w:r w:rsidR="00F00BFD" w:rsidRPr="00DE69B8">
        <w:t xml:space="preserve"> </w:t>
      </w:r>
      <w:r w:rsidR="00F00BFD">
        <w:t>demonstrated no association between mortality and platelet transfusion</w:t>
      </w:r>
      <w:r>
        <w:t>.</w:t>
      </w:r>
      <w:hyperlink w:anchor="_ENREF_141" w:tooltip="Christensen, 2006 #132" w:history="1">
        <w:r w:rsidR="00E62798">
          <w:fldChar w:fldCharType="begin"/>
        </w:r>
        <w:r w:rsidR="00E62798">
          <w:instrText xml:space="preserve"> ADDIN EN.CITE &lt;EndNote&gt;&lt;Cite&gt;&lt;Author&gt;Christensen&lt;/Author&gt;&lt;Year&gt;2006&lt;/Year&gt;&lt;RecNum&gt;132&lt;/RecNum&gt;&lt;DisplayText&gt;&lt;style face="superscript"&gt;141&lt;/style&gt;&lt;/DisplayText&gt;&lt;record&gt;&lt;rec-number&gt;132&lt;/rec-number&gt;&lt;foreign-keys&gt;&lt;key app="EN" db-id="9edve2wadsavt5ewavaxtda4f2tavzvts9ee" timestamp="1426550421"&gt;132&lt;/key&gt;&lt;/foreign-keys&gt;&lt;ref-type name="Journal Article"&gt;17&lt;/ref-type&gt;&lt;contributors&gt;&lt;authors&gt;&lt;author&gt;Christensen, R. D.&lt;/author&gt;&lt;author&gt;Henry, E.&lt;/author&gt;&lt;author&gt;Wiedmeier, S. E.&lt;/author&gt;&lt;author&gt;Stoddard, R. A.&lt;/author&gt;&lt;author&gt;Sola-Visner, M. C.&lt;/author&gt;&lt;author&gt;Lambert, D. K.&lt;/author&gt;&lt;author&gt;Kiehn, T. I.&lt;/author&gt;&lt;author&gt;Ainsworth, S.&lt;/author&gt;&lt;/authors&gt;&lt;/contributors&gt;&lt;titles&gt;&lt;title&gt;Thrombocytopenia among extremely low birth weight neonates: Data from a multihospital healthcare system&lt;/title&gt;&lt;secondary-title&gt;Journal of Perinatology&lt;/secondary-title&gt;&lt;/titles&gt;&lt;periodical&gt;&lt;full-title&gt;Journal of Perinatology&lt;/full-title&gt;&lt;/periodical&gt;&lt;pages&gt;348–353&lt;/pages&gt;&lt;volume&gt;26&lt;/volume&gt;&lt;number&gt;6&lt;/number&gt;&lt;dates&gt;&lt;year&gt;2006&lt;/year&gt;&lt;pub-dates&gt;&lt;date&gt;June&lt;/date&gt;&lt;/pub-dates&gt;&lt;/dates&gt;&lt;urls&gt;&lt;related-urls&gt;&lt;url&gt;http://www.ncbi.nlm.nih.gov/pubmed/16642027&lt;/url&gt;&lt;/related-urls&gt;&lt;/urls&gt;&lt;access-date&gt;13 April 2015&lt;/access-date&gt;&lt;/record&gt;&lt;/Cite&gt;&lt;/EndNote&gt;</w:instrText>
        </w:r>
        <w:r w:rsidR="00E62798">
          <w:fldChar w:fldCharType="separate"/>
        </w:r>
        <w:r w:rsidR="00E62798" w:rsidRPr="00E62798">
          <w:rPr>
            <w:noProof/>
            <w:vertAlign w:val="superscript"/>
          </w:rPr>
          <w:t>141</w:t>
        </w:r>
        <w:r w:rsidR="00E62798">
          <w:fldChar w:fldCharType="end"/>
        </w:r>
      </w:hyperlink>
    </w:p>
    <w:p w14:paraId="716ED439" w14:textId="06AAD8A4" w:rsidR="00F00BFD" w:rsidRDefault="00F00BFD" w:rsidP="00F00BFD">
      <w:pPr>
        <w:pStyle w:val="Heading5"/>
        <w:rPr>
          <w:bCs w:val="0"/>
          <w:iCs w:val="0"/>
        </w:rPr>
      </w:pPr>
      <w:r w:rsidRPr="00484708">
        <w:t xml:space="preserve">Bleeding </w:t>
      </w:r>
      <w:r w:rsidR="0084210E" w:rsidRPr="00484708">
        <w:t>events</w:t>
      </w:r>
    </w:p>
    <w:p w14:paraId="43D08279" w14:textId="551880AB" w:rsidR="00F00BFD" w:rsidRPr="00B85415" w:rsidRDefault="00FA6791" w:rsidP="0084210E">
      <w:pPr>
        <w:rPr>
          <w:bCs/>
          <w:iCs/>
          <w:lang w:eastAsia="en-GB"/>
        </w:rPr>
      </w:pPr>
      <w:r>
        <w:t>One study</w:t>
      </w:r>
      <w:hyperlink w:anchor="_ENREF_139" w:tooltip="Baer, 2007 #130" w:history="1">
        <w:r w:rsidR="00E62798">
          <w:fldChar w:fldCharType="begin"/>
        </w:r>
        <w:r w:rsidR="00E62798">
          <w:instrText xml:space="preserve"> ADDIN EN.CITE &lt;EndNote&gt;&lt;Cite&gt;&lt;Author&gt;Baer&lt;/Author&gt;&lt;Year&gt;2007&lt;/Year&gt;&lt;RecNum&gt;130&lt;/RecNum&gt;&lt;DisplayText&gt;&lt;style face="superscript"&gt;139&lt;/style&gt;&lt;/DisplayText&gt;&lt;record&gt;&lt;rec-number&gt;130&lt;/rec-number&gt;&lt;foreign-keys&gt;&lt;key app="EN" db-id="9edve2wadsavt5ewavaxtda4f2tavzvts9ee" timestamp="1426550421"&gt;130&lt;/key&gt;&lt;/foreign-keys&gt;&lt;ref-type name="Journal Article"&gt;17&lt;/ref-type&gt;&lt;contributors&gt;&lt;authors&gt;&lt;author&gt;Baer, V. L.&lt;/author&gt;&lt;author&gt;Lambert, D. K.&lt;/author&gt;&lt;author&gt;Henry, E.&lt;/author&gt;&lt;author&gt;Snow, G. L.&lt;/author&gt;&lt;author&gt;Sola-Visner, M. C.&lt;/author&gt;&lt;author&gt;Christensen, R. D.&lt;/author&gt;&lt;/authors&gt;&lt;/contributors&gt;&lt;titles&gt;&lt;title&gt;Do platelet transfusions in the NICU adversely affect survival? Analysis of 1600 thrombocytopenic neonates in a multihospital healthcare system&lt;/title&gt;&lt;secondary-title&gt;Journal of Perinatology&lt;/secondary-title&gt;&lt;/titles&gt;&lt;periodical&gt;&lt;full-title&gt;Journal of Perinatology&lt;/full-title&gt;&lt;/periodical&gt;&lt;pages&gt;790–796&lt;/pages&gt;&lt;volume&gt;27&lt;/volume&gt;&lt;number&gt;12&lt;/number&gt;&lt;keywords&gt;&lt;keyword&gt;transfusion&lt;/keyword&gt;&lt;/keywords&gt;&lt;dates&gt;&lt;year&gt;2007&lt;/year&gt;&lt;pub-dates&gt;&lt;date&gt;September&lt;/date&gt;&lt;/pub-dates&gt;&lt;/dates&gt;&lt;urls&gt;&lt;related-urls&gt;&lt;url&gt;http://www.ncbi.nlm.nih.gov/pubmed/17855804&lt;/url&gt;&lt;/related-urls&gt;&lt;/urls&gt;&lt;/record&gt;&lt;/Cite&gt;&lt;/EndNote&gt;</w:instrText>
        </w:r>
        <w:r w:rsidR="00E62798">
          <w:fldChar w:fldCharType="separate"/>
        </w:r>
        <w:r w:rsidR="00E62798" w:rsidRPr="00E62798">
          <w:rPr>
            <w:noProof/>
            <w:vertAlign w:val="superscript"/>
          </w:rPr>
          <w:t>139</w:t>
        </w:r>
        <w:r w:rsidR="00E62798">
          <w:fldChar w:fldCharType="end"/>
        </w:r>
      </w:hyperlink>
      <w:r w:rsidR="00F00BFD">
        <w:t xml:space="preserve"> demonstrated a</w:t>
      </w:r>
      <w:r w:rsidR="004828DA">
        <w:t xml:space="preserve"> </w:t>
      </w:r>
      <w:r w:rsidR="00F00BFD">
        <w:t xml:space="preserve">significant increase in severe IVH (grade </w:t>
      </w:r>
      <w:r w:rsidR="00306159">
        <w:t>3–4</w:t>
      </w:r>
      <w:r w:rsidR="00F00BFD">
        <w:t xml:space="preserve">) associated with </w:t>
      </w:r>
      <w:r w:rsidR="00F00BFD" w:rsidRPr="006C0F13">
        <w:t>platelet tran</w:t>
      </w:r>
      <w:r w:rsidR="0084210E">
        <w:t>sfusion.</w:t>
      </w:r>
      <w:r w:rsidR="00F00BFD" w:rsidRPr="006C0F13">
        <w:t xml:space="preserve"> </w:t>
      </w:r>
      <w:r w:rsidR="00F00BFD">
        <w:t>Similarly</w:t>
      </w:r>
      <w:r w:rsidR="0084210E">
        <w:t>,</w:t>
      </w:r>
      <w:r w:rsidR="00F00BFD" w:rsidRPr="006C0F13">
        <w:t xml:space="preserve"> </w:t>
      </w:r>
      <w:r>
        <w:t>one study</w:t>
      </w:r>
      <w:hyperlink w:anchor="_ENREF_140" w:tooltip="Bonifacio, 2007 #131" w:history="1">
        <w:r w:rsidR="00E62798">
          <w:fldChar w:fldCharType="begin"/>
        </w:r>
        <w:r w:rsidR="00E62798">
          <w:instrText xml:space="preserve"> ADDIN EN.CITE &lt;EndNote&gt;&lt;Cite&gt;&lt;Author&gt;Bonifacio&lt;/Author&gt;&lt;Year&gt;2007&lt;/Year&gt;&lt;RecNum&gt;131&lt;/RecNum&gt;&lt;DisplayText&gt;&lt;style face="superscript"&gt;140&lt;/style&gt;&lt;/DisplayText&gt;&lt;record&gt;&lt;rec-number&gt;131&lt;/rec-number&gt;&lt;foreign-keys&gt;&lt;key app="EN" db-id="9edve2wadsavt5ewavaxtda4f2tavzvts9ee" timestamp="1426550421"&gt;131&lt;/key&gt;&lt;/foreign-keys&gt;&lt;ref-type name="Journal Article"&gt;17&lt;/ref-type&gt;&lt;contributors&gt;&lt;authors&gt;&lt;author&gt;Bonifacio, L.&lt;/author&gt;&lt;author&gt;Petrova, A.&lt;/author&gt;&lt;author&gt;Nanjundaswamy, S.&lt;/author&gt;&lt;author&gt;Mehta, R.&lt;/author&gt;&lt;/authors&gt;&lt;/contributors&gt;&lt;titles&gt;&lt;title&gt;Thrombocytopenia related neonatal outcome in preterms&lt;/title&gt;&lt;secondary-title&gt;Indian Journal of Pediatrics&lt;/secondary-title&gt;&lt;/titles&gt;&lt;periodical&gt;&lt;full-title&gt;Indian Journal of Pediatrics&lt;/full-title&gt;&lt;/periodical&gt;&lt;pages&gt;267–274&lt;/pages&gt;&lt;volume&gt;74&lt;/volume&gt;&lt;number&gt;3&lt;/number&gt;&lt;dates&gt;&lt;year&gt;2007&lt;/year&gt;&lt;pub-dates&gt;&lt;date&gt;March&lt;/date&gt;&lt;/pub-dates&gt;&lt;/dates&gt;&lt;urls&gt;&lt;related-urls&gt;&lt;url&gt;http://www.ncbi.nlm.nih.gov/pubmed/17401266&lt;/url&gt;&lt;/related-urls&gt;&lt;/urls&gt;&lt;access-date&gt;13 April 2015&lt;/access-date&gt;&lt;/record&gt;&lt;/Cite&gt;&lt;/EndNote&gt;</w:instrText>
        </w:r>
        <w:r w:rsidR="00E62798">
          <w:fldChar w:fldCharType="separate"/>
        </w:r>
        <w:r w:rsidR="00E62798" w:rsidRPr="00E62798">
          <w:rPr>
            <w:noProof/>
            <w:vertAlign w:val="superscript"/>
          </w:rPr>
          <w:t>140</w:t>
        </w:r>
        <w:r w:rsidR="00E62798">
          <w:fldChar w:fldCharType="end"/>
        </w:r>
      </w:hyperlink>
      <w:r w:rsidR="00F00BFD">
        <w:t xml:space="preserve"> demonstrated </w:t>
      </w:r>
      <w:r w:rsidR="00F00BFD" w:rsidRPr="0023478B">
        <w:t xml:space="preserve">a significant </w:t>
      </w:r>
      <w:r w:rsidR="00F00BFD">
        <w:t>increase</w:t>
      </w:r>
      <w:r w:rsidR="00F00BFD" w:rsidRPr="0023478B">
        <w:t xml:space="preserve"> in IVH </w:t>
      </w:r>
      <w:r w:rsidR="00F00BFD">
        <w:t>associated with</w:t>
      </w:r>
      <w:r w:rsidR="00F00BFD" w:rsidRPr="0023478B">
        <w:t xml:space="preserve"> platelet transfusion</w:t>
      </w:r>
      <w:r w:rsidR="0084210E">
        <w:t>.</w:t>
      </w:r>
    </w:p>
    <w:p w14:paraId="312A27DC" w14:textId="77777777" w:rsidR="00F00BFD" w:rsidRPr="001010F6" w:rsidRDefault="00F00BFD" w:rsidP="00F00BFD">
      <w:pPr>
        <w:rPr>
          <w:bCs/>
          <w:iCs/>
          <w:lang w:eastAsia="en-GB"/>
        </w:rPr>
        <w:sectPr w:rsidR="00F00BFD" w:rsidRPr="001010F6" w:rsidSect="00F00BFD">
          <w:headerReference w:type="even" r:id="rId37"/>
          <w:headerReference w:type="default" r:id="rId38"/>
          <w:headerReference w:type="first" r:id="rId39"/>
          <w:footnotePr>
            <w:numFmt w:val="lowerLetter"/>
          </w:footnotePr>
          <w:type w:val="oddPage"/>
          <w:pgSz w:w="11906" w:h="16838" w:code="9"/>
          <w:pgMar w:top="1440" w:right="1440" w:bottom="1440" w:left="1440" w:header="709" w:footer="709" w:gutter="0"/>
          <w:cols w:space="708"/>
          <w:docGrid w:linePitch="326"/>
        </w:sectPr>
      </w:pPr>
    </w:p>
    <w:p w14:paraId="3947FCD6" w14:textId="77B91AE7" w:rsidR="00F00BFD" w:rsidRDefault="00B855A4" w:rsidP="00F00BFD">
      <w:pPr>
        <w:pStyle w:val="Heading5"/>
      </w:pPr>
      <w:r>
        <w:t>Transfusion</w:t>
      </w:r>
      <w:r>
        <w:rPr>
          <w:lang w:val="en-AU"/>
        </w:rPr>
        <w:t>-</w:t>
      </w:r>
      <w:r w:rsidR="00F00BFD">
        <w:t>related serious adverse events</w:t>
      </w:r>
    </w:p>
    <w:p w14:paraId="546C5ED1" w14:textId="25D356F2" w:rsidR="0084210E" w:rsidRPr="008A4C12" w:rsidRDefault="00FA6791" w:rsidP="0084210E">
      <w:r>
        <w:t>No studies reported</w:t>
      </w:r>
      <w:r w:rsidR="008F7398">
        <w:t xml:space="preserve"> transfusion-related serious adverse events</w:t>
      </w:r>
      <w:r w:rsidR="007C1B3E">
        <w:t xml:space="preserve">. </w:t>
      </w:r>
    </w:p>
    <w:p w14:paraId="47B962DF" w14:textId="77777777" w:rsidR="00F00BFD" w:rsidRDefault="00F00BFD" w:rsidP="00F00BFD">
      <w:pPr>
        <w:pStyle w:val="Heading5"/>
      </w:pPr>
      <w:r>
        <w:t>Transfusion volume or incidence</w:t>
      </w:r>
    </w:p>
    <w:p w14:paraId="5C7E6CD0" w14:textId="7D69943F" w:rsidR="0084210E" w:rsidRDefault="00FA6791" w:rsidP="0084210E">
      <w:r>
        <w:t>No studies reported</w:t>
      </w:r>
      <w:r w:rsidR="008F7398">
        <w:t xml:space="preserve"> transfusion volume or incidence.</w:t>
      </w:r>
      <w:r w:rsidR="007C1B3E">
        <w:t xml:space="preserve"> </w:t>
      </w:r>
    </w:p>
    <w:p w14:paraId="234CF645" w14:textId="0BE90DED" w:rsidR="00F00BFD" w:rsidRPr="0084210E" w:rsidRDefault="0084210E" w:rsidP="0084210E">
      <w:pPr>
        <w:pStyle w:val="Heading3"/>
        <w:rPr>
          <w:lang w:val="en-AU"/>
        </w:rPr>
      </w:pPr>
      <w:bookmarkStart w:id="141" w:name="_Toc427851341"/>
      <w:r>
        <w:rPr>
          <w:lang w:val="en-AU"/>
        </w:rPr>
        <w:t>3.4.3</w:t>
      </w:r>
      <w:r>
        <w:rPr>
          <w:lang w:val="en-AU"/>
        </w:rPr>
        <w:tab/>
        <w:t>Preterm</w:t>
      </w:r>
      <w:r w:rsidRPr="00874268">
        <w:t xml:space="preserve"> and </w:t>
      </w:r>
      <w:r>
        <w:t xml:space="preserve">low birth weight </w:t>
      </w:r>
      <w:r w:rsidRPr="00874268">
        <w:t>infants</w:t>
      </w:r>
      <w:r>
        <w:rPr>
          <w:lang w:val="en-AU"/>
        </w:rPr>
        <w:t xml:space="preserve"> – effects of </w:t>
      </w:r>
      <w:r w:rsidRPr="00D7319A">
        <w:t xml:space="preserve">platelet transfusion </w:t>
      </w:r>
      <w:r>
        <w:t xml:space="preserve">using a </w:t>
      </w:r>
      <w:r w:rsidRPr="00D7319A">
        <w:t xml:space="preserve">different </w:t>
      </w:r>
      <w:r>
        <w:t xml:space="preserve">transfusion </w:t>
      </w:r>
      <w:r w:rsidRPr="00D7319A">
        <w:rPr>
          <w:lang w:val="en-US"/>
        </w:rPr>
        <w:t>strategy</w:t>
      </w:r>
      <w:r>
        <w:rPr>
          <w:lang w:val="en-AU"/>
        </w:rPr>
        <w:t xml:space="preserve"> on outcomes</w:t>
      </w:r>
      <w:bookmarkEnd w:id="141"/>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F00BFD" w:rsidRPr="00F921CD" w14:paraId="7098860D"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5A906C70" w14:textId="77777777" w:rsidR="00F00BFD" w:rsidRPr="00F921CD" w:rsidRDefault="00F00BFD" w:rsidP="00F00BFD">
            <w:pPr>
              <w:pStyle w:val="PP-heading"/>
            </w:pPr>
            <w:r w:rsidRPr="00F921CD">
              <w:t>Evidence statements – preterm and low birth weight infants (platelet transfusion</w:t>
            </w:r>
            <w:r>
              <w:t xml:space="preserve"> using a different platelet transfusion strategy</w:t>
            </w:r>
            <w:r w:rsidRPr="00F921CD">
              <w: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19CE771" w14:textId="77777777" w:rsidR="00F00BFD" w:rsidRPr="00F921CD" w:rsidRDefault="00F00BFD" w:rsidP="00F00BFD">
            <w:pPr>
              <w:ind w:left="113" w:right="113"/>
              <w:jc w:val="center"/>
              <w:rPr>
                <w:b/>
              </w:rPr>
            </w:pPr>
            <w:r w:rsidRPr="00F921CD">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B67C354" w14:textId="77777777" w:rsidR="00F00BFD" w:rsidRPr="00F921CD" w:rsidRDefault="00F00BFD" w:rsidP="00F00BFD">
            <w:pPr>
              <w:ind w:left="113" w:right="113"/>
              <w:jc w:val="center"/>
              <w:rPr>
                <w:b/>
              </w:rPr>
            </w:pPr>
            <w:r w:rsidRPr="00F921CD">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6BD28EF" w14:textId="77777777" w:rsidR="00F00BFD" w:rsidRPr="00F921CD" w:rsidRDefault="00F00BFD" w:rsidP="00F00BFD">
            <w:pPr>
              <w:ind w:left="113" w:right="113"/>
              <w:jc w:val="center"/>
              <w:rPr>
                <w:b/>
              </w:rPr>
            </w:pPr>
            <w:r w:rsidRPr="00F921CD">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1D8343C" w14:textId="77777777" w:rsidR="00F00BFD" w:rsidRPr="00F921CD" w:rsidRDefault="00F00BFD" w:rsidP="00F00BFD">
            <w:pPr>
              <w:ind w:left="113" w:right="113"/>
              <w:jc w:val="center"/>
              <w:rPr>
                <w:b/>
              </w:rPr>
            </w:pPr>
            <w:r w:rsidRPr="00F921CD">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E58D2B7" w14:textId="77777777" w:rsidR="00F00BFD" w:rsidRPr="00F921CD" w:rsidRDefault="00F00BFD" w:rsidP="00F00BFD">
            <w:pPr>
              <w:ind w:left="113" w:right="113"/>
              <w:jc w:val="center"/>
              <w:rPr>
                <w:b/>
              </w:rPr>
            </w:pPr>
            <w:r w:rsidRPr="00F921CD">
              <w:rPr>
                <w:b/>
              </w:rPr>
              <w:t>Applicability</w:t>
            </w:r>
          </w:p>
        </w:tc>
      </w:tr>
      <w:tr w:rsidR="00F00BFD" w:rsidRPr="00F921CD" w14:paraId="0BC2BC83" w14:textId="77777777" w:rsidTr="00F00BFD">
        <w:trPr>
          <w:cantSplit/>
        </w:trPr>
        <w:tc>
          <w:tcPr>
            <w:tcW w:w="851" w:type="dxa"/>
          </w:tcPr>
          <w:p w14:paraId="265B9D2E" w14:textId="77777777" w:rsidR="00F00BFD" w:rsidRPr="00F921CD" w:rsidRDefault="00F00BFD" w:rsidP="00F00BFD">
            <w:pPr>
              <w:pStyle w:val="Tabletextnoindent"/>
              <w:numPr>
                <w:ilvl w:val="0"/>
                <w:numId w:val="0"/>
              </w:numPr>
            </w:pPr>
            <w:r w:rsidRPr="001C406B">
              <w:t>ES3.14</w:t>
            </w:r>
          </w:p>
        </w:tc>
        <w:tc>
          <w:tcPr>
            <w:tcW w:w="3750" w:type="dxa"/>
          </w:tcPr>
          <w:p w14:paraId="23A9BC50" w14:textId="77777777" w:rsidR="00F00BFD" w:rsidRPr="00F921CD" w:rsidRDefault="00F00BFD" w:rsidP="00F00BFD">
            <w:pPr>
              <w:pStyle w:val="ES-table"/>
            </w:pPr>
            <w:r w:rsidRPr="00F921CD">
              <w:t xml:space="preserve">In preterm infants (&lt;32 weeks), the effect of a restrictive platelet transfusion strategy </w:t>
            </w:r>
            <w:r>
              <w:t>compared with</w:t>
            </w:r>
            <w:r w:rsidRPr="00F921CD">
              <w:t xml:space="preserve"> a liberal platelet transfusion strategy on mortality is uncertain.</w:t>
            </w:r>
          </w:p>
          <w:p w14:paraId="41AA114B" w14:textId="77777777" w:rsidR="00F00BFD" w:rsidRPr="00F921CD" w:rsidRDefault="00F00BFD" w:rsidP="00F00BFD">
            <w:pPr>
              <w:pStyle w:val="ES-notes"/>
            </w:pPr>
            <w:r w:rsidRPr="00F921CD">
              <w:t>(See evidence matrix D3.E in Volume 2 of the technical report.)</w:t>
            </w:r>
          </w:p>
        </w:tc>
        <w:tc>
          <w:tcPr>
            <w:tcW w:w="809" w:type="dxa"/>
          </w:tcPr>
          <w:p w14:paraId="346647FB" w14:textId="77777777" w:rsidR="00F00BFD" w:rsidRPr="00F921CD" w:rsidRDefault="00F00BFD" w:rsidP="00F00BFD">
            <w:pPr>
              <w:pStyle w:val="T-ABCD"/>
            </w:pPr>
            <w:r w:rsidRPr="00F921CD">
              <w:sym w:font="Symbol" w:char="F0D6"/>
            </w:r>
          </w:p>
        </w:tc>
        <w:tc>
          <w:tcPr>
            <w:tcW w:w="809" w:type="dxa"/>
          </w:tcPr>
          <w:p w14:paraId="52E44AF0" w14:textId="77777777" w:rsidR="00F00BFD" w:rsidRPr="00F921CD" w:rsidRDefault="00F00BFD" w:rsidP="00F00BFD">
            <w:pPr>
              <w:pStyle w:val="T-ABCD"/>
            </w:pPr>
            <w:r w:rsidRPr="00F921CD">
              <w:t>NA</w:t>
            </w:r>
          </w:p>
        </w:tc>
        <w:tc>
          <w:tcPr>
            <w:tcW w:w="809" w:type="dxa"/>
          </w:tcPr>
          <w:p w14:paraId="1B1BC277" w14:textId="77777777" w:rsidR="00F00BFD" w:rsidRPr="00F921CD" w:rsidRDefault="00F00BFD" w:rsidP="00F00BFD">
            <w:pPr>
              <w:pStyle w:val="T-ABCD"/>
            </w:pPr>
            <w:r w:rsidRPr="00F921CD">
              <w:t>NA</w:t>
            </w:r>
          </w:p>
        </w:tc>
        <w:tc>
          <w:tcPr>
            <w:tcW w:w="809" w:type="dxa"/>
          </w:tcPr>
          <w:p w14:paraId="13000A94" w14:textId="77777777" w:rsidR="00F00BFD" w:rsidRPr="00F921CD" w:rsidRDefault="00F00BFD" w:rsidP="00F00BFD">
            <w:pPr>
              <w:pStyle w:val="T-ABCD"/>
            </w:pPr>
            <w:r w:rsidRPr="00F921CD">
              <w:sym w:font="Symbol" w:char="F0D6"/>
            </w:r>
            <w:r w:rsidRPr="00F921CD">
              <w:sym w:font="Symbol" w:char="F0D6"/>
            </w:r>
            <w:r w:rsidRPr="00F921CD">
              <w:sym w:font="Symbol" w:char="F0D6"/>
            </w:r>
          </w:p>
        </w:tc>
        <w:tc>
          <w:tcPr>
            <w:tcW w:w="810" w:type="dxa"/>
          </w:tcPr>
          <w:p w14:paraId="03A27DDA" w14:textId="77777777" w:rsidR="00F00BFD" w:rsidRPr="00F921CD" w:rsidRDefault="00F00BFD" w:rsidP="00F00BFD">
            <w:pPr>
              <w:pStyle w:val="T-ABCD"/>
            </w:pPr>
            <w:r w:rsidRPr="00F921CD">
              <w:sym w:font="Symbol" w:char="F0D6"/>
            </w:r>
            <w:r w:rsidRPr="00F921CD">
              <w:sym w:font="Symbol" w:char="F0D6"/>
            </w:r>
          </w:p>
        </w:tc>
      </w:tr>
      <w:tr w:rsidR="00F00BFD" w:rsidRPr="00F921CD" w14:paraId="627F9F8F" w14:textId="77777777" w:rsidTr="00F00BFD">
        <w:trPr>
          <w:cantSplit/>
        </w:trPr>
        <w:tc>
          <w:tcPr>
            <w:tcW w:w="851" w:type="dxa"/>
          </w:tcPr>
          <w:p w14:paraId="48C6966D" w14:textId="77777777" w:rsidR="00F00BFD" w:rsidRPr="00F921CD" w:rsidRDefault="00F00BFD" w:rsidP="00F00BFD">
            <w:pPr>
              <w:pStyle w:val="Tabletextnoindent"/>
              <w:numPr>
                <w:ilvl w:val="0"/>
                <w:numId w:val="0"/>
              </w:numPr>
            </w:pPr>
            <w:r w:rsidRPr="001C406B">
              <w:t>ES3.15</w:t>
            </w:r>
          </w:p>
        </w:tc>
        <w:tc>
          <w:tcPr>
            <w:tcW w:w="3750" w:type="dxa"/>
          </w:tcPr>
          <w:p w14:paraId="0585AD37" w14:textId="77777777" w:rsidR="00F00BFD" w:rsidRPr="00F921CD" w:rsidRDefault="00F00BFD" w:rsidP="00F00BFD">
            <w:pPr>
              <w:pStyle w:val="ES-table"/>
            </w:pPr>
            <w:r w:rsidRPr="00F921CD">
              <w:t xml:space="preserve">In preterm (&lt;32 weeks) infants, the effect of a restrictive platelet transfusion strategy </w:t>
            </w:r>
            <w:r w:rsidRPr="00706BA9">
              <w:t xml:space="preserve">compared with a liberal platelet transfusion strategy </w:t>
            </w:r>
            <w:r w:rsidRPr="00F921CD">
              <w:t>on bleeding events is uncertain.</w:t>
            </w:r>
          </w:p>
          <w:p w14:paraId="7452D3BF" w14:textId="77777777" w:rsidR="00F00BFD" w:rsidRPr="00F921CD" w:rsidRDefault="00F00BFD" w:rsidP="00F00BFD">
            <w:pPr>
              <w:pStyle w:val="ES-notes"/>
            </w:pPr>
            <w:r w:rsidRPr="00F921CD">
              <w:t>(See evidence matrix D3.F in Volume 2 of the technical report.)</w:t>
            </w:r>
          </w:p>
        </w:tc>
        <w:tc>
          <w:tcPr>
            <w:tcW w:w="809" w:type="dxa"/>
          </w:tcPr>
          <w:p w14:paraId="28922C24" w14:textId="77777777" w:rsidR="00F00BFD" w:rsidRPr="00F921CD" w:rsidRDefault="00F00BFD" w:rsidP="00F00BFD">
            <w:pPr>
              <w:pStyle w:val="T-ABCD"/>
            </w:pPr>
            <w:r w:rsidRPr="00F921CD">
              <w:sym w:font="Symbol" w:char="F0D6"/>
            </w:r>
          </w:p>
        </w:tc>
        <w:tc>
          <w:tcPr>
            <w:tcW w:w="809" w:type="dxa"/>
          </w:tcPr>
          <w:p w14:paraId="0AB42E55" w14:textId="77777777" w:rsidR="00F00BFD" w:rsidRPr="00F921CD" w:rsidRDefault="00F00BFD" w:rsidP="00F00BFD">
            <w:pPr>
              <w:pStyle w:val="T-ABCD"/>
            </w:pPr>
            <w:r w:rsidRPr="00F921CD">
              <w:t>NA</w:t>
            </w:r>
          </w:p>
        </w:tc>
        <w:tc>
          <w:tcPr>
            <w:tcW w:w="809" w:type="dxa"/>
          </w:tcPr>
          <w:p w14:paraId="3D6230C5" w14:textId="77777777" w:rsidR="00F00BFD" w:rsidRPr="00F921CD" w:rsidRDefault="00F00BFD" w:rsidP="00F00BFD">
            <w:pPr>
              <w:pStyle w:val="T-ABCD"/>
            </w:pPr>
            <w:r w:rsidRPr="00F921CD">
              <w:t>NA</w:t>
            </w:r>
          </w:p>
        </w:tc>
        <w:tc>
          <w:tcPr>
            <w:tcW w:w="809" w:type="dxa"/>
          </w:tcPr>
          <w:p w14:paraId="7AF5D0C0" w14:textId="77777777" w:rsidR="00F00BFD" w:rsidRPr="00F921CD" w:rsidRDefault="00F00BFD" w:rsidP="00F00BFD">
            <w:pPr>
              <w:pStyle w:val="T-ABCD"/>
            </w:pPr>
            <w:r w:rsidRPr="00F921CD">
              <w:sym w:font="Symbol" w:char="F0D6"/>
            </w:r>
            <w:r w:rsidRPr="00F921CD">
              <w:sym w:font="Symbol" w:char="F0D6"/>
            </w:r>
          </w:p>
        </w:tc>
        <w:tc>
          <w:tcPr>
            <w:tcW w:w="810" w:type="dxa"/>
          </w:tcPr>
          <w:p w14:paraId="43565820" w14:textId="77777777" w:rsidR="00F00BFD" w:rsidRPr="00F921CD" w:rsidRDefault="00F00BFD" w:rsidP="00F00BFD">
            <w:pPr>
              <w:pStyle w:val="T-ABCD"/>
            </w:pPr>
            <w:r w:rsidRPr="00F921CD">
              <w:sym w:font="Symbol" w:char="F0D6"/>
            </w:r>
            <w:r w:rsidRPr="00F921CD">
              <w:sym w:font="Symbol" w:char="F0D6"/>
            </w:r>
          </w:p>
        </w:tc>
      </w:tr>
      <w:tr w:rsidR="00F00BFD" w:rsidRPr="00F921CD" w14:paraId="5EB43679" w14:textId="77777777" w:rsidTr="00F00BFD">
        <w:trPr>
          <w:cantSplit/>
        </w:trPr>
        <w:tc>
          <w:tcPr>
            <w:tcW w:w="851" w:type="dxa"/>
          </w:tcPr>
          <w:p w14:paraId="55192C48" w14:textId="77777777" w:rsidR="00F00BFD" w:rsidRPr="00F921CD" w:rsidRDefault="00F00BFD" w:rsidP="00F00BFD">
            <w:pPr>
              <w:pStyle w:val="Tabletextnoindent"/>
              <w:keepNext w:val="0"/>
              <w:numPr>
                <w:ilvl w:val="0"/>
                <w:numId w:val="0"/>
              </w:numPr>
            </w:pPr>
            <w:r w:rsidRPr="001C406B">
              <w:t>ES3.16</w:t>
            </w:r>
          </w:p>
        </w:tc>
        <w:tc>
          <w:tcPr>
            <w:tcW w:w="3750" w:type="dxa"/>
          </w:tcPr>
          <w:p w14:paraId="41C49F3F" w14:textId="77777777" w:rsidR="00F00BFD" w:rsidRPr="00F921CD" w:rsidRDefault="00F00BFD" w:rsidP="00F00BFD">
            <w:pPr>
              <w:pStyle w:val="ES-table"/>
            </w:pPr>
            <w:r w:rsidRPr="00F921CD">
              <w:t xml:space="preserve">In preterm (&lt;37 weeks) infants, the effect of a restrictive </w:t>
            </w:r>
            <w:r w:rsidRPr="00D36481">
              <w:t>platelet</w:t>
            </w:r>
            <w:r w:rsidRPr="00F921CD">
              <w:t xml:space="preserve"> transfusion strategy </w:t>
            </w:r>
            <w:r w:rsidRPr="00706BA9">
              <w:t xml:space="preserve">compared with a liberal platelet transfusion strategy </w:t>
            </w:r>
            <w:r w:rsidRPr="00F921CD">
              <w:t>on transfusion-related serious adverse events is unknown.</w:t>
            </w:r>
          </w:p>
        </w:tc>
        <w:tc>
          <w:tcPr>
            <w:tcW w:w="809" w:type="dxa"/>
          </w:tcPr>
          <w:p w14:paraId="2F1E0C9A" w14:textId="77777777" w:rsidR="00F00BFD" w:rsidRPr="00F921CD" w:rsidRDefault="00F00BFD" w:rsidP="00F00BFD">
            <w:pPr>
              <w:pStyle w:val="T-ABCD"/>
            </w:pPr>
            <w:r w:rsidRPr="00F921CD">
              <w:t>NA</w:t>
            </w:r>
          </w:p>
        </w:tc>
        <w:tc>
          <w:tcPr>
            <w:tcW w:w="809" w:type="dxa"/>
          </w:tcPr>
          <w:p w14:paraId="2ED64C2F" w14:textId="77777777" w:rsidR="00F00BFD" w:rsidRPr="00F921CD" w:rsidRDefault="00F00BFD" w:rsidP="00F00BFD">
            <w:pPr>
              <w:pStyle w:val="T-ABCD"/>
            </w:pPr>
            <w:r w:rsidRPr="00F921CD">
              <w:t>NA</w:t>
            </w:r>
          </w:p>
        </w:tc>
        <w:tc>
          <w:tcPr>
            <w:tcW w:w="809" w:type="dxa"/>
          </w:tcPr>
          <w:p w14:paraId="6E35718D" w14:textId="77777777" w:rsidR="00F00BFD" w:rsidRPr="00F921CD" w:rsidRDefault="00F00BFD" w:rsidP="00F00BFD">
            <w:pPr>
              <w:pStyle w:val="T-ABCD"/>
            </w:pPr>
            <w:r w:rsidRPr="00F921CD">
              <w:t>NA</w:t>
            </w:r>
          </w:p>
        </w:tc>
        <w:tc>
          <w:tcPr>
            <w:tcW w:w="809" w:type="dxa"/>
          </w:tcPr>
          <w:p w14:paraId="13521D32" w14:textId="77777777" w:rsidR="00F00BFD" w:rsidRPr="00F921CD" w:rsidRDefault="00F00BFD" w:rsidP="00F00BFD">
            <w:pPr>
              <w:pStyle w:val="T-ABCD"/>
            </w:pPr>
            <w:r w:rsidRPr="00F921CD">
              <w:t>NA</w:t>
            </w:r>
          </w:p>
        </w:tc>
        <w:tc>
          <w:tcPr>
            <w:tcW w:w="810" w:type="dxa"/>
          </w:tcPr>
          <w:p w14:paraId="5036BB17" w14:textId="77777777" w:rsidR="00F00BFD" w:rsidRPr="00F921CD" w:rsidRDefault="00F00BFD" w:rsidP="00F00BFD">
            <w:pPr>
              <w:pStyle w:val="T-ABCD"/>
            </w:pPr>
            <w:r w:rsidRPr="00F921CD">
              <w:t xml:space="preserve">NA </w:t>
            </w:r>
          </w:p>
        </w:tc>
      </w:tr>
      <w:tr w:rsidR="00F00BFD" w:rsidRPr="00F921CD" w14:paraId="364DEBE6" w14:textId="77777777" w:rsidTr="00F00BFD">
        <w:trPr>
          <w:cantSplit/>
        </w:trPr>
        <w:tc>
          <w:tcPr>
            <w:tcW w:w="851" w:type="dxa"/>
          </w:tcPr>
          <w:p w14:paraId="429AA6FC" w14:textId="77777777" w:rsidR="00F00BFD" w:rsidRPr="00F921CD" w:rsidRDefault="00F00BFD" w:rsidP="00F00BFD">
            <w:pPr>
              <w:pStyle w:val="Tabletextnoindent"/>
              <w:numPr>
                <w:ilvl w:val="0"/>
                <w:numId w:val="0"/>
              </w:numPr>
            </w:pPr>
            <w:r w:rsidRPr="001C406B">
              <w:t>ES3.17</w:t>
            </w:r>
          </w:p>
        </w:tc>
        <w:tc>
          <w:tcPr>
            <w:tcW w:w="3750" w:type="dxa"/>
          </w:tcPr>
          <w:p w14:paraId="4204E205" w14:textId="77777777" w:rsidR="00F00BFD" w:rsidRPr="00F921CD" w:rsidRDefault="00F00BFD" w:rsidP="00F00BFD">
            <w:pPr>
              <w:pStyle w:val="ES-table"/>
            </w:pPr>
            <w:r w:rsidRPr="00F921CD">
              <w:t xml:space="preserve">In preterm (&lt;37 weeks) infants, the effect of a restrictive platelet transfusion strategy </w:t>
            </w:r>
            <w:r w:rsidRPr="00706BA9">
              <w:t xml:space="preserve">compared with a liberal platelet transfusion strategy </w:t>
            </w:r>
            <w:r w:rsidRPr="00F921CD">
              <w:t>on RBC transfusion volume or incidence is unknown.</w:t>
            </w:r>
          </w:p>
        </w:tc>
        <w:tc>
          <w:tcPr>
            <w:tcW w:w="809" w:type="dxa"/>
          </w:tcPr>
          <w:p w14:paraId="505FB6CD" w14:textId="77777777" w:rsidR="00F00BFD" w:rsidRPr="00F921CD" w:rsidRDefault="00F00BFD" w:rsidP="00F00BFD">
            <w:pPr>
              <w:pStyle w:val="T-ABCD"/>
              <w:keepNext/>
            </w:pPr>
            <w:r w:rsidRPr="00F921CD">
              <w:t>NA</w:t>
            </w:r>
          </w:p>
        </w:tc>
        <w:tc>
          <w:tcPr>
            <w:tcW w:w="809" w:type="dxa"/>
          </w:tcPr>
          <w:p w14:paraId="02F4C047" w14:textId="77777777" w:rsidR="00F00BFD" w:rsidRPr="00F921CD" w:rsidRDefault="00F00BFD" w:rsidP="00F00BFD">
            <w:pPr>
              <w:pStyle w:val="T-ABCD"/>
              <w:keepNext/>
            </w:pPr>
            <w:r w:rsidRPr="00F921CD">
              <w:t>NA</w:t>
            </w:r>
          </w:p>
        </w:tc>
        <w:tc>
          <w:tcPr>
            <w:tcW w:w="809" w:type="dxa"/>
          </w:tcPr>
          <w:p w14:paraId="02810331" w14:textId="77777777" w:rsidR="00F00BFD" w:rsidRPr="00F921CD" w:rsidRDefault="00F00BFD" w:rsidP="00F00BFD">
            <w:pPr>
              <w:pStyle w:val="T-ABCD"/>
              <w:keepNext/>
            </w:pPr>
            <w:r w:rsidRPr="00F921CD">
              <w:t>NA</w:t>
            </w:r>
          </w:p>
        </w:tc>
        <w:tc>
          <w:tcPr>
            <w:tcW w:w="809" w:type="dxa"/>
          </w:tcPr>
          <w:p w14:paraId="2A642667" w14:textId="77777777" w:rsidR="00F00BFD" w:rsidRPr="00F921CD" w:rsidRDefault="00F00BFD" w:rsidP="00F00BFD">
            <w:pPr>
              <w:pStyle w:val="T-ABCD"/>
              <w:keepNext/>
            </w:pPr>
            <w:r w:rsidRPr="00F921CD">
              <w:t>NA</w:t>
            </w:r>
          </w:p>
        </w:tc>
        <w:tc>
          <w:tcPr>
            <w:tcW w:w="810" w:type="dxa"/>
          </w:tcPr>
          <w:p w14:paraId="5F21FF59" w14:textId="77777777" w:rsidR="00F00BFD" w:rsidRPr="00F921CD" w:rsidRDefault="00F00BFD" w:rsidP="00F00BFD">
            <w:pPr>
              <w:pStyle w:val="T-ABCD"/>
              <w:keepNext/>
            </w:pPr>
            <w:r w:rsidRPr="00F921CD">
              <w:t xml:space="preserve">NA </w:t>
            </w:r>
          </w:p>
        </w:tc>
      </w:tr>
      <w:tr w:rsidR="00F00BFD" w:rsidRPr="00F921CD" w14:paraId="10501E60" w14:textId="77777777" w:rsidTr="00F00BFD">
        <w:trPr>
          <w:cantSplit/>
        </w:trPr>
        <w:tc>
          <w:tcPr>
            <w:tcW w:w="8647" w:type="dxa"/>
            <w:gridSpan w:val="7"/>
          </w:tcPr>
          <w:p w14:paraId="665FA5FA" w14:textId="134A17D7" w:rsidR="00F00BFD" w:rsidRPr="00F921CD" w:rsidRDefault="00F00BFD" w:rsidP="00F00BFD">
            <w:pPr>
              <w:pStyle w:val="ES-notes"/>
            </w:pPr>
            <w:r w:rsidRPr="00F921CD">
              <w:t>ES, evidence statement; FFP, fresh frozen plasma; NICU, neonatal intensive care unit; RBC, red blood cell</w:t>
            </w:r>
          </w:p>
          <w:p w14:paraId="7E6F5656" w14:textId="77777777" w:rsidR="00F00BFD" w:rsidRPr="00F921CD" w:rsidRDefault="00F00BFD" w:rsidP="00F00BFD">
            <w:pPr>
              <w:pStyle w:val="ES-notes"/>
            </w:pPr>
            <w:r w:rsidRPr="00F921CD">
              <w:sym w:font="Symbol" w:char="F0D6"/>
            </w:r>
            <w:r w:rsidRPr="00F921CD">
              <w:sym w:font="Symbol" w:char="F0D6"/>
            </w:r>
            <w:r w:rsidRPr="00F921CD">
              <w:sym w:font="Symbol" w:char="F0D6"/>
            </w:r>
            <w:r w:rsidRPr="00F921CD">
              <w:t xml:space="preserve">=A; </w:t>
            </w:r>
            <w:r w:rsidRPr="00F921CD">
              <w:sym w:font="Symbol" w:char="F0D6"/>
            </w:r>
            <w:r w:rsidRPr="00F921CD">
              <w:sym w:font="Symbol" w:char="F0D6"/>
            </w:r>
            <w:r w:rsidRPr="00F921CD">
              <w:t xml:space="preserve">=B; </w:t>
            </w:r>
            <w:r w:rsidRPr="00F921CD">
              <w:sym w:font="Symbol" w:char="F0D6"/>
            </w:r>
            <w:r w:rsidRPr="00F921CD">
              <w:t>=C; X=D; NA, not applicable</w:t>
            </w:r>
          </w:p>
        </w:tc>
      </w:tr>
    </w:tbl>
    <w:p w14:paraId="6CAA0989" w14:textId="77777777" w:rsidR="00F00BFD" w:rsidRDefault="00F00BFD" w:rsidP="00F00BFD">
      <w:pPr>
        <w:pStyle w:val="BodyText"/>
      </w:pPr>
    </w:p>
    <w:tbl>
      <w:tblPr>
        <w:tblW w:w="4812" w:type="pct"/>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7"/>
        <w:gridCol w:w="7778"/>
      </w:tblGrid>
      <w:tr w:rsidR="00F00BFD" w:rsidRPr="00F921CD" w14:paraId="0028EE73"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ABE9FF"/>
          </w:tcPr>
          <w:p w14:paraId="523CC39B" w14:textId="295D72B2" w:rsidR="00F00BFD" w:rsidRPr="00C867A4" w:rsidRDefault="00F00BFD" w:rsidP="00B855A4">
            <w:pPr>
              <w:pStyle w:val="PP-heading"/>
              <w:rPr>
                <w:lang w:val="en-AU"/>
              </w:rPr>
            </w:pPr>
            <w:r w:rsidRPr="00F921CD">
              <w:t xml:space="preserve">Practice point – </w:t>
            </w:r>
            <w:r w:rsidR="005E38DA" w:rsidRPr="00F921CD">
              <w:t>preterm and low birth weight infants (platelet transfusion)</w:t>
            </w:r>
          </w:p>
        </w:tc>
      </w:tr>
      <w:tr w:rsidR="00F00BFD" w:rsidRPr="00F921CD" w14:paraId="781F5AA6" w14:textId="77777777" w:rsidTr="0084210E">
        <w:tc>
          <w:tcPr>
            <w:tcW w:w="628" w:type="pct"/>
            <w:tcBorders>
              <w:right w:val="single" w:sz="4" w:space="0" w:color="auto"/>
            </w:tcBorders>
            <w:shd w:val="clear" w:color="auto" w:fill="auto"/>
          </w:tcPr>
          <w:p w14:paraId="3D505CC9" w14:textId="77777777" w:rsidR="00F00BFD" w:rsidRPr="00F921CD" w:rsidRDefault="00F00BFD" w:rsidP="00C867A4">
            <w:pPr>
              <w:pStyle w:val="PP"/>
              <w:keepNext/>
            </w:pPr>
            <w:r w:rsidRPr="00F921CD">
              <w:t>PP</w:t>
            </w:r>
            <w:r>
              <w:t>28</w:t>
            </w:r>
          </w:p>
        </w:tc>
        <w:tc>
          <w:tcPr>
            <w:tcW w:w="4372" w:type="pct"/>
            <w:tcBorders>
              <w:left w:val="single" w:sz="4" w:space="0" w:color="auto"/>
            </w:tcBorders>
            <w:shd w:val="clear" w:color="auto" w:fill="auto"/>
          </w:tcPr>
          <w:p w14:paraId="4F046EE6" w14:textId="77777777" w:rsidR="00F00BFD" w:rsidRPr="00F921CD" w:rsidRDefault="00F00BFD" w:rsidP="00C867A4">
            <w:pPr>
              <w:pStyle w:val="PP"/>
              <w:keepNext/>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30247A27" w14:textId="77777777" w:rsidTr="0084210E">
        <w:trPr>
          <w:trHeight w:val="397"/>
        </w:trPr>
        <w:tc>
          <w:tcPr>
            <w:tcW w:w="5000" w:type="pct"/>
            <w:gridSpan w:val="2"/>
            <w:shd w:val="clear" w:color="auto" w:fill="auto"/>
          </w:tcPr>
          <w:p w14:paraId="65E57E20" w14:textId="77777777" w:rsidR="00F00BFD" w:rsidRPr="00F921CD" w:rsidRDefault="00F00BFD" w:rsidP="0084210E">
            <w:pPr>
              <w:pStyle w:val="PP-note"/>
            </w:pPr>
            <w:r w:rsidRPr="00F921CD">
              <w:t>FFP, fresh frozen plasma; PP, practice point</w:t>
            </w:r>
          </w:p>
        </w:tc>
      </w:tr>
    </w:tbl>
    <w:p w14:paraId="026EEC8F" w14:textId="77777777" w:rsidR="00F00BFD" w:rsidRDefault="00F00BFD" w:rsidP="00F269FB"/>
    <w:p w14:paraId="7475DAE0" w14:textId="77777777" w:rsidR="00F00BFD" w:rsidRPr="001D588F" w:rsidRDefault="00F00BFD" w:rsidP="00F00BFD">
      <w:pPr>
        <w:pStyle w:val="Heading4"/>
      </w:pPr>
      <w:r w:rsidRPr="00C264B5">
        <w:t>Summary</w:t>
      </w:r>
      <w:r w:rsidRPr="001D588F">
        <w:t xml:space="preserve"> of evidence</w:t>
      </w:r>
    </w:p>
    <w:p w14:paraId="685AB4AB" w14:textId="7B4BAB34" w:rsidR="00F00BFD" w:rsidRPr="00921200" w:rsidRDefault="00FA6791" w:rsidP="0084210E">
      <w:pPr>
        <w:rPr>
          <w:bCs/>
          <w:iCs/>
          <w:lang w:eastAsia="en-GB"/>
        </w:rPr>
      </w:pPr>
      <w:r>
        <w:t xml:space="preserve">The review identified one </w:t>
      </w:r>
      <w:r w:rsidR="00F00BFD">
        <w:t>fair</w:t>
      </w:r>
      <w:r w:rsidR="0084210E">
        <w:t>-</w:t>
      </w:r>
      <w:r w:rsidR="00F00BFD">
        <w:t>quality Level III study</w:t>
      </w:r>
      <w:r w:rsidR="0084210E">
        <w:t>,</w:t>
      </w:r>
      <w:r w:rsidR="00F00BFD">
        <w:t xml:space="preserve"> </w:t>
      </w:r>
      <w:r w:rsidR="00F00BFD" w:rsidRPr="006C0F13">
        <w:t>conducted in two NICUs in the Netherlands</w:t>
      </w:r>
      <w:r w:rsidR="00F00BFD">
        <w:t>.</w:t>
      </w:r>
      <w:hyperlink w:anchor="_ENREF_142" w:tooltip="Von Lindern, 2012 #144" w:history="1">
        <w:r w:rsidR="00E62798">
          <w:fldChar w:fldCharType="begin"/>
        </w:r>
        <w:r w:rsidR="00E62798">
          <w:instrText xml:space="preserve"> ADDIN EN.CITE &lt;EndNote&gt;&lt;Cite&gt;&lt;Author&gt;Von Lindern&lt;/Author&gt;&lt;Year&gt;2012&lt;/Year&gt;&lt;RecNum&gt;144&lt;/RecNum&gt;&lt;DisplayText&gt;&lt;style face="superscript"&gt;142&lt;/style&gt;&lt;/DisplayText&gt;&lt;record&gt;&lt;rec-number&gt;144&lt;/rec-number&gt;&lt;foreign-keys&gt;&lt;key app="EN" db-id="9edve2wadsavt5ewavaxtda4f2tavzvts9ee" timestamp="1426550421"&gt;144&lt;/key&gt;&lt;/foreign-keys&gt;&lt;ref-type name="Journal Article"&gt;17&lt;/ref-type&gt;&lt;contributors&gt;&lt;authors&gt;&lt;author&gt;Von Lindern, J. S.&lt;/author&gt;&lt;author&gt;Hulzebos, C. V.&lt;/author&gt;&lt;author&gt;Bos, A. F.&lt;/author&gt;&lt;author&gt;Brand, A.&lt;/author&gt;&lt;author&gt;Walther, F. J.&lt;/author&gt;&lt;author&gt;Lopriore, E.&lt;/author&gt;&lt;/authors&gt;&lt;/contributors&gt;&lt;titles&gt;&lt;title&gt;Thrombocytopaenia and intraventricular haemorrhage in very premature infants: A tale of two cities&lt;/title&gt;&lt;secondary-title&gt;Archives of Disease in Childhood. Fetal and Neonatal Edition&lt;/secondary-title&gt;&lt;/titles&gt;&lt;periodical&gt;&lt;full-title&gt;Arch Dis Child Fetal Neonatal Ed&lt;/full-title&gt;&lt;abbr-1&gt;Archives of disease in childhood. Fetal and neonatal edition&lt;/abbr-1&gt;&lt;/periodical&gt;&lt;pages&gt;F348–352&lt;/pages&gt;&lt;volume&gt;97&lt;/volume&gt;&lt;number&gt;5&lt;/number&gt;&lt;keywords&gt;&lt;keyword&gt;infant&lt;/keyword&gt;&lt;/keywords&gt;&lt;dates&gt;&lt;year&gt;2012&lt;/year&gt;&lt;pub-dates&gt;&lt;date&gt;September&lt;/date&gt;&lt;/pub-dates&gt;&lt;/dates&gt;&lt;urls&gt;&lt;related-urls&gt;&lt;url&gt;http://fn.bmj.com/content/97/5/F348.long&lt;/url&gt;&lt;/related-urls&gt;&lt;/urls&gt;&lt;access-date&gt;13 April 2015&lt;/access-date&gt;&lt;/record&gt;&lt;/Cite&gt;&lt;/EndNote&gt;</w:instrText>
        </w:r>
        <w:r w:rsidR="00E62798">
          <w:fldChar w:fldCharType="separate"/>
        </w:r>
        <w:r w:rsidR="00E62798" w:rsidRPr="00E62798">
          <w:rPr>
            <w:noProof/>
            <w:vertAlign w:val="superscript"/>
          </w:rPr>
          <w:t>142</w:t>
        </w:r>
        <w:r w:rsidR="00E62798">
          <w:fldChar w:fldCharType="end"/>
        </w:r>
      </w:hyperlink>
      <w:r w:rsidR="00F00BFD">
        <w:t xml:space="preserve"> </w:t>
      </w:r>
      <w:r w:rsidR="0084210E">
        <w:t>It</w:t>
      </w:r>
      <w:r w:rsidR="00F00BFD">
        <w:t xml:space="preserve"> included</w:t>
      </w:r>
      <w:r w:rsidR="00F00BFD" w:rsidRPr="006C0F13">
        <w:t xml:space="preserve"> 679 premature infants born before 32 weeks</w:t>
      </w:r>
      <w:r w:rsidR="00F00BFD">
        <w:t xml:space="preserve"> gestation</w:t>
      </w:r>
      <w:r w:rsidR="0084210E">
        <w:t>, and examined</w:t>
      </w:r>
      <w:r w:rsidR="00F00BFD" w:rsidRPr="006C0F13">
        <w:t xml:space="preserve"> the effect of restrictive platelet transfusion (transfused when active haemorrhage and platelet count &lt;50</w:t>
      </w:r>
      <w:r w:rsidR="0084210E">
        <w:t xml:space="preserve"> × </w:t>
      </w:r>
      <w:r w:rsidR="00F00BFD" w:rsidRPr="006C0F13">
        <w:t>10</w:t>
      </w:r>
      <w:r w:rsidR="00F00BFD" w:rsidRPr="0084210E">
        <w:rPr>
          <w:vertAlign w:val="superscript"/>
        </w:rPr>
        <w:t>9</w:t>
      </w:r>
      <w:r w:rsidR="00F00BFD" w:rsidRPr="006C0F13">
        <w:t xml:space="preserve">/L) </w:t>
      </w:r>
      <w:r w:rsidR="00F00BFD">
        <w:t>compared with</w:t>
      </w:r>
      <w:r w:rsidR="00F00BFD" w:rsidRPr="006C0F13">
        <w:t xml:space="preserve"> liberal platelet transfusion (transfused according to predefined platelet count threshold) on mortality, IVH (all grades) and major haemorrhage.</w:t>
      </w:r>
      <w:r w:rsidR="00F00BFD">
        <w:t xml:space="preserve"> </w:t>
      </w:r>
    </w:p>
    <w:p w14:paraId="61A16800" w14:textId="77777777" w:rsidR="00F00BFD" w:rsidRDefault="00F00BFD" w:rsidP="00F00BFD">
      <w:pPr>
        <w:pStyle w:val="Heading5"/>
      </w:pPr>
      <w:r>
        <w:t>Mortality</w:t>
      </w:r>
    </w:p>
    <w:p w14:paraId="081FBB9E" w14:textId="238956A5" w:rsidR="00F00BFD" w:rsidRPr="006C0F13" w:rsidRDefault="0084210E" w:rsidP="0084210E">
      <w:r>
        <w:t>The study</w:t>
      </w:r>
      <w:r w:rsidR="00F00BFD" w:rsidRPr="006C0F13">
        <w:t xml:space="preserve"> found no significant difference </w:t>
      </w:r>
      <w:r w:rsidR="00F00BFD">
        <w:t>in overall mortality b</w:t>
      </w:r>
      <w:r w:rsidR="00F00BFD" w:rsidRPr="006C0F13">
        <w:t xml:space="preserve">etween </w:t>
      </w:r>
      <w:r w:rsidR="00F00BFD">
        <w:t>restrictive and libe</w:t>
      </w:r>
      <w:r>
        <w:t>ral platelet transfusion groups.</w:t>
      </w:r>
      <w:hyperlink w:anchor="_ENREF_142" w:tooltip="Von Lindern, 2012 #144" w:history="1">
        <w:r w:rsidR="00E62798">
          <w:fldChar w:fldCharType="begin"/>
        </w:r>
        <w:r w:rsidR="00E62798">
          <w:instrText xml:space="preserve"> ADDIN EN.CITE &lt;EndNote&gt;&lt;Cite&gt;&lt;Author&gt;Von Lindern&lt;/Author&gt;&lt;Year&gt;2012&lt;/Year&gt;&lt;RecNum&gt;144&lt;/RecNum&gt;&lt;DisplayText&gt;&lt;style face="superscript"&gt;142&lt;/style&gt;&lt;/DisplayText&gt;&lt;record&gt;&lt;rec-number&gt;144&lt;/rec-number&gt;&lt;foreign-keys&gt;&lt;key app="EN" db-id="9edve2wadsavt5ewavaxtda4f2tavzvts9ee" timestamp="1426550421"&gt;144&lt;/key&gt;&lt;/foreign-keys&gt;&lt;ref-type name="Journal Article"&gt;17&lt;/ref-type&gt;&lt;contributors&gt;&lt;authors&gt;&lt;author&gt;Von Lindern, J. S.&lt;/author&gt;&lt;author&gt;Hulzebos, C. V.&lt;/author&gt;&lt;author&gt;Bos, A. F.&lt;/author&gt;&lt;author&gt;Brand, A.&lt;/author&gt;&lt;author&gt;Walther, F. J.&lt;/author&gt;&lt;author&gt;Lopriore, E.&lt;/author&gt;&lt;/authors&gt;&lt;/contributors&gt;&lt;titles&gt;&lt;title&gt;Thrombocytopaenia and intraventricular haemorrhage in very premature infants: A tale of two cities&lt;/title&gt;&lt;secondary-title&gt;Archives of Disease in Childhood. Fetal and Neonatal Edition&lt;/secondary-title&gt;&lt;/titles&gt;&lt;periodical&gt;&lt;full-title&gt;Arch Dis Child Fetal Neonatal Ed&lt;/full-title&gt;&lt;abbr-1&gt;Archives of disease in childhood. Fetal and neonatal edition&lt;/abbr-1&gt;&lt;/periodical&gt;&lt;pages&gt;F348–352&lt;/pages&gt;&lt;volume&gt;97&lt;/volume&gt;&lt;number&gt;5&lt;/number&gt;&lt;keywords&gt;&lt;keyword&gt;infant&lt;/keyword&gt;&lt;/keywords&gt;&lt;dates&gt;&lt;year&gt;2012&lt;/year&gt;&lt;pub-dates&gt;&lt;date&gt;September&lt;/date&gt;&lt;/pub-dates&gt;&lt;/dates&gt;&lt;urls&gt;&lt;related-urls&gt;&lt;url&gt;http://fn.bmj.com/content/97/5/F348.long&lt;/url&gt;&lt;/related-urls&gt;&lt;/urls&gt;&lt;access-date&gt;13 April 2015&lt;/access-date&gt;&lt;/record&gt;&lt;/Cite&gt;&lt;/EndNote&gt;</w:instrText>
        </w:r>
        <w:r w:rsidR="00E62798">
          <w:fldChar w:fldCharType="separate"/>
        </w:r>
        <w:r w:rsidR="00E62798" w:rsidRPr="00E62798">
          <w:rPr>
            <w:noProof/>
            <w:vertAlign w:val="superscript"/>
          </w:rPr>
          <w:t>142</w:t>
        </w:r>
        <w:r w:rsidR="00E62798">
          <w:fldChar w:fldCharType="end"/>
        </w:r>
      </w:hyperlink>
    </w:p>
    <w:p w14:paraId="322DA412" w14:textId="77777777" w:rsidR="00F00BFD" w:rsidRDefault="00F00BFD" w:rsidP="00F00BFD">
      <w:pPr>
        <w:pStyle w:val="Heading5"/>
      </w:pPr>
      <w:r w:rsidRPr="00D0386D">
        <w:t>Bleeding events</w:t>
      </w:r>
    </w:p>
    <w:p w14:paraId="32C65729" w14:textId="76407634" w:rsidR="00F00BFD" w:rsidRDefault="00F00BFD" w:rsidP="0084210E">
      <w:r>
        <w:t xml:space="preserve">In infants with cranial ultrasounds available, </w:t>
      </w:r>
      <w:r w:rsidR="0084210E">
        <w:t>the study</w:t>
      </w:r>
      <w:r w:rsidRPr="006C0F13">
        <w:t xml:space="preserve"> found no significant difference in IVH</w:t>
      </w:r>
      <w:r>
        <w:t xml:space="preserve"> incidence in preterm infants allocated to a</w:t>
      </w:r>
      <w:r w:rsidRPr="006C0F13">
        <w:t xml:space="preserve"> </w:t>
      </w:r>
      <w:r>
        <w:t>restrictive or libera</w:t>
      </w:r>
      <w:r w:rsidR="0084210E">
        <w:t>l platelet transfusion strategy.</w:t>
      </w:r>
      <w:hyperlink w:anchor="_ENREF_142" w:tooltip="Von Lindern, 2012 #144" w:history="1">
        <w:r w:rsidR="00E62798">
          <w:fldChar w:fldCharType="begin"/>
        </w:r>
        <w:r w:rsidR="00E62798">
          <w:instrText xml:space="preserve"> ADDIN EN.CITE &lt;EndNote&gt;&lt;Cite&gt;&lt;Author&gt;Von Lindern&lt;/Author&gt;&lt;Year&gt;2012&lt;/Year&gt;&lt;RecNum&gt;144&lt;/RecNum&gt;&lt;DisplayText&gt;&lt;style face="superscript"&gt;142&lt;/style&gt;&lt;/DisplayText&gt;&lt;record&gt;&lt;rec-number&gt;144&lt;/rec-number&gt;&lt;foreign-keys&gt;&lt;key app="EN" db-id="9edve2wadsavt5ewavaxtda4f2tavzvts9ee" timestamp="1426550421"&gt;144&lt;/key&gt;&lt;/foreign-keys&gt;&lt;ref-type name="Journal Article"&gt;17&lt;/ref-type&gt;&lt;contributors&gt;&lt;authors&gt;&lt;author&gt;Von Lindern, J. S.&lt;/author&gt;&lt;author&gt;Hulzebos, C. V.&lt;/author&gt;&lt;author&gt;Bos, A. F.&lt;/author&gt;&lt;author&gt;Brand, A.&lt;/author&gt;&lt;author&gt;Walther, F. J.&lt;/author&gt;&lt;author&gt;Lopriore, E.&lt;/author&gt;&lt;/authors&gt;&lt;/contributors&gt;&lt;titles&gt;&lt;title&gt;Thrombocytopaenia and intraventricular haemorrhage in very premature infants: A tale of two cities&lt;/title&gt;&lt;secondary-title&gt;Archives of Disease in Childhood. Fetal and Neonatal Edition&lt;/secondary-title&gt;&lt;/titles&gt;&lt;periodical&gt;&lt;full-title&gt;Arch Dis Child Fetal Neonatal Ed&lt;/full-title&gt;&lt;abbr-1&gt;Archives of disease in childhood. Fetal and neonatal edition&lt;/abbr-1&gt;&lt;/periodical&gt;&lt;pages&gt;F348–352&lt;/pages&gt;&lt;volume&gt;97&lt;/volume&gt;&lt;number&gt;5&lt;/number&gt;&lt;keywords&gt;&lt;keyword&gt;infant&lt;/keyword&gt;&lt;/keywords&gt;&lt;dates&gt;&lt;year&gt;2012&lt;/year&gt;&lt;pub-dates&gt;&lt;date&gt;September&lt;/date&gt;&lt;/pub-dates&gt;&lt;/dates&gt;&lt;urls&gt;&lt;related-urls&gt;&lt;url&gt;http://fn.bmj.com/content/97/5/F348.long&lt;/url&gt;&lt;/related-urls&gt;&lt;/urls&gt;&lt;access-date&gt;13 April 2015&lt;/access-date&gt;&lt;/record&gt;&lt;/Cite&gt;&lt;/EndNote&gt;</w:instrText>
        </w:r>
        <w:r w:rsidR="00E62798">
          <w:fldChar w:fldCharType="separate"/>
        </w:r>
        <w:r w:rsidR="00E62798" w:rsidRPr="00E62798">
          <w:rPr>
            <w:noProof/>
            <w:vertAlign w:val="superscript"/>
          </w:rPr>
          <w:t>142</w:t>
        </w:r>
        <w:r w:rsidR="00E62798">
          <w:fldChar w:fldCharType="end"/>
        </w:r>
      </w:hyperlink>
      <w:r w:rsidR="0084210E">
        <w:t xml:space="preserve"> </w:t>
      </w:r>
      <w:r>
        <w:t>In a subgroup analysis of thrombocytop</w:t>
      </w:r>
      <w:r w:rsidR="00062DF6">
        <w:t>a</w:t>
      </w:r>
      <w:r>
        <w:t xml:space="preserve">enic patients, there was no significant difference in </w:t>
      </w:r>
      <w:r w:rsidRPr="006C0F13">
        <w:t xml:space="preserve">IVH </w:t>
      </w:r>
      <w:r>
        <w:t>(</w:t>
      </w:r>
      <w:r w:rsidRPr="006C0F13">
        <w:t>grade 1 or 2</w:t>
      </w:r>
      <w:r>
        <w:t>) or severe IVH (grade 3 or 4)</w:t>
      </w:r>
      <w:r w:rsidR="0084210E">
        <w:t>.</w:t>
      </w:r>
    </w:p>
    <w:p w14:paraId="76FDBB5F" w14:textId="0105DCE0" w:rsidR="00F00BFD" w:rsidRPr="00F72994" w:rsidRDefault="00062DF6" w:rsidP="00F00BFD">
      <w:pPr>
        <w:pStyle w:val="Heading5"/>
      </w:pPr>
      <w:r w:rsidRPr="00F72994">
        <w:t>Transfusion</w:t>
      </w:r>
      <w:r>
        <w:rPr>
          <w:lang w:val="en-AU"/>
        </w:rPr>
        <w:t>-</w:t>
      </w:r>
      <w:r w:rsidR="00F00BFD" w:rsidRPr="00F72994">
        <w:t xml:space="preserve">related </w:t>
      </w:r>
      <w:r w:rsidR="00F00BFD">
        <w:t>serious adverse events</w:t>
      </w:r>
    </w:p>
    <w:p w14:paraId="34E67377" w14:textId="1F400CFF" w:rsidR="0084210E" w:rsidRDefault="00FA6791" w:rsidP="0084210E">
      <w:r>
        <w:t>No studies reported</w:t>
      </w:r>
      <w:r w:rsidR="008F7398">
        <w:t xml:space="preserve"> transfusion-related serious adverse events</w:t>
      </w:r>
      <w:r w:rsidR="007C1B3E">
        <w:t xml:space="preserve">. </w:t>
      </w:r>
    </w:p>
    <w:p w14:paraId="44139F0A" w14:textId="329524CE" w:rsidR="00F00BFD" w:rsidRDefault="00F00BFD" w:rsidP="0084210E">
      <w:pPr>
        <w:pStyle w:val="Heading5"/>
      </w:pPr>
      <w:r w:rsidRPr="00F72994">
        <w:t>Transfusion volume or incidence</w:t>
      </w:r>
    </w:p>
    <w:p w14:paraId="1699D36B" w14:textId="52F5A6BF" w:rsidR="0084210E" w:rsidRDefault="00FA6791" w:rsidP="0084210E">
      <w:r>
        <w:t>No studies reported</w:t>
      </w:r>
      <w:r w:rsidR="008F7398">
        <w:t xml:space="preserve"> transfusion volume or incidence.</w:t>
      </w:r>
      <w:r w:rsidR="007C1B3E">
        <w:t xml:space="preserve"> </w:t>
      </w:r>
    </w:p>
    <w:p w14:paraId="1F78F519" w14:textId="34952837" w:rsidR="00F00BFD" w:rsidRPr="00F269FB" w:rsidRDefault="00F269FB" w:rsidP="00F96C85">
      <w:pPr>
        <w:pStyle w:val="BoxHeading"/>
        <w:rPr>
          <w:lang w:val="en-AU"/>
        </w:rPr>
      </w:pPr>
      <w:r w:rsidRPr="009C32A7">
        <w:t>Clinical commentary</w:t>
      </w:r>
      <w:r>
        <w:rPr>
          <w:lang w:val="en-AU"/>
        </w:rPr>
        <w:t xml:space="preserve"> –</w:t>
      </w:r>
      <w:r w:rsidR="00F801B2">
        <w:rPr>
          <w:lang w:val="en-AU"/>
        </w:rPr>
        <w:t xml:space="preserve"> </w:t>
      </w:r>
      <w:r w:rsidRPr="00D7319A">
        <w:t xml:space="preserve">platelet transfusion </w:t>
      </w:r>
      <w:r>
        <w:rPr>
          <w:lang w:val="en-AU"/>
        </w:rPr>
        <w:t>in preterm</w:t>
      </w:r>
      <w:r w:rsidRPr="00874268">
        <w:t xml:space="preserve"> and </w:t>
      </w:r>
      <w:r>
        <w:t xml:space="preserve">low birth weight </w:t>
      </w:r>
      <w:r w:rsidRPr="00874268">
        <w:t>infants</w:t>
      </w:r>
      <w:r>
        <w:rPr>
          <w:lang w:val="en-AU"/>
        </w:rPr>
        <w:t xml:space="preserve"> </w:t>
      </w:r>
    </w:p>
    <w:p w14:paraId="7E5F9306" w14:textId="348BC927" w:rsidR="00F00BFD" w:rsidRPr="009C32A7" w:rsidRDefault="00F00BFD" w:rsidP="00F96C85">
      <w:pPr>
        <w:pStyle w:val="BoxText"/>
      </w:pPr>
      <w:r>
        <w:t xml:space="preserve">Platelet transfusion is often used in severely thrombocytopaenic preterm infants to prevent or treat IVH or other active bleeding. However, there is no clear evidence of benefit or harm </w:t>
      </w:r>
      <w:r w:rsidRPr="00AE4388">
        <w:t xml:space="preserve">from this treatment. The appropriate threshold for platelet transfusion will depend on clinical circumstances. </w:t>
      </w:r>
      <w:r w:rsidRPr="00C264B5">
        <w:t xml:space="preserve">Suggested thresholds for stable patients range from 20 to 50 </w:t>
      </w:r>
      <w:r w:rsidRPr="00AE4388">
        <w:t>×</w:t>
      </w:r>
      <w:r w:rsidRPr="00C264B5">
        <w:t xml:space="preserve"> 10</w:t>
      </w:r>
      <w:r w:rsidRPr="00C264B5">
        <w:rPr>
          <w:vertAlign w:val="superscript"/>
        </w:rPr>
        <w:t>9</w:t>
      </w:r>
      <w:r w:rsidRPr="00C264B5">
        <w:t>/L.</w:t>
      </w:r>
      <w:r w:rsidRPr="00AE4388">
        <w:t xml:space="preserve"> For</w:t>
      </w:r>
      <w:r>
        <w:t xml:space="preserve"> the appropriate platelet threshold for prevention of bleeding, results of a large </w:t>
      </w:r>
      <w:r w:rsidR="00F269FB">
        <w:t>RCT</w:t>
      </w:r>
      <w:r>
        <w:t xml:space="preserve"> are awaited</w:t>
      </w:r>
      <w:r w:rsidR="00034451">
        <w:t>.</w:t>
      </w:r>
      <w:hyperlink w:anchor="_ENREF_143" w:tooltip="Curley, 2014 #1094" w:history="1">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 </w:instrText>
        </w:r>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143</w:t>
        </w:r>
        <w:r w:rsidR="00E62798">
          <w:fldChar w:fldCharType="end"/>
        </w:r>
      </w:hyperlink>
      <w:r w:rsidR="00034451">
        <w:t xml:space="preserve"> </w:t>
      </w:r>
      <w:r w:rsidRPr="009C32A7">
        <w:t xml:space="preserve">When prescribing platelet transfusion, </w:t>
      </w:r>
      <w:r>
        <w:t>both</w:t>
      </w:r>
      <w:r w:rsidRPr="009C32A7">
        <w:t xml:space="preserve"> risks and benefits </w:t>
      </w:r>
      <w:r>
        <w:t>should be considered.</w:t>
      </w:r>
      <w:r w:rsidRPr="009C32A7">
        <w:t xml:space="preserve"> </w:t>
      </w:r>
    </w:p>
    <w:p w14:paraId="3F0C5B9D" w14:textId="0FC413BF" w:rsidR="00F269FB" w:rsidRDefault="00F269FB" w:rsidP="00F269FB">
      <w:pPr>
        <w:pStyle w:val="Heading3"/>
        <w:ind w:left="720" w:firstLine="0"/>
      </w:pPr>
      <w:bookmarkStart w:id="142" w:name="_Toc427851342"/>
      <w:r>
        <w:t>3.4.</w:t>
      </w:r>
      <w:r>
        <w:rPr>
          <w:lang w:val="en-AU"/>
        </w:rPr>
        <w:t>4</w:t>
      </w:r>
      <w:r>
        <w:tab/>
      </w:r>
      <w:r w:rsidRPr="00A7281B">
        <w:rPr>
          <w:iCs/>
          <w:lang w:val="en-GB"/>
        </w:rPr>
        <w:t>Paediatric patients with cancer</w:t>
      </w:r>
      <w:r>
        <w:t xml:space="preserve"> – effects of platelet transfusion on outcomes</w:t>
      </w:r>
      <w:bookmarkEnd w:id="142"/>
    </w:p>
    <w:tbl>
      <w:tblPr>
        <w:tblW w:w="87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20"/>
        <w:gridCol w:w="821"/>
        <w:gridCol w:w="821"/>
        <w:gridCol w:w="821"/>
        <w:gridCol w:w="821"/>
      </w:tblGrid>
      <w:tr w:rsidR="00F00BFD" w:rsidRPr="00F921CD" w14:paraId="1983C020"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118E5A5B" w14:textId="77777777" w:rsidR="00F00BFD" w:rsidRPr="00F921CD" w:rsidRDefault="00F00BFD" w:rsidP="00F00BFD">
            <w:pPr>
              <w:pStyle w:val="PP-heading"/>
            </w:pPr>
            <w:r w:rsidRPr="00F921CD">
              <w:t xml:space="preserve">Evidence statements </w:t>
            </w:r>
            <w:r>
              <w:t>– cancer (platelet transfusion)</w:t>
            </w:r>
          </w:p>
        </w:tc>
        <w:tc>
          <w:tcPr>
            <w:tcW w:w="82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D2D193F" w14:textId="77777777" w:rsidR="00F00BFD" w:rsidRPr="00F921CD" w:rsidRDefault="00F00BFD" w:rsidP="00F00BFD">
            <w:pPr>
              <w:ind w:left="113" w:right="113"/>
              <w:jc w:val="center"/>
              <w:rPr>
                <w:b/>
              </w:rPr>
            </w:pPr>
            <w:r w:rsidRPr="00F921CD">
              <w:rPr>
                <w:b/>
              </w:rPr>
              <w:t>Evidence</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62E449A" w14:textId="77777777" w:rsidR="00F00BFD" w:rsidRPr="00F921CD" w:rsidRDefault="00F00BFD" w:rsidP="00F00BFD">
            <w:pPr>
              <w:ind w:left="113" w:right="113"/>
              <w:jc w:val="center"/>
              <w:rPr>
                <w:b/>
              </w:rPr>
            </w:pPr>
            <w:r w:rsidRPr="00F921CD">
              <w:rPr>
                <w:b/>
              </w:rPr>
              <w:t>Consistency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80AA310" w14:textId="77777777" w:rsidR="00F00BFD" w:rsidRPr="00F921CD" w:rsidRDefault="00F00BFD" w:rsidP="00F00BFD">
            <w:pPr>
              <w:ind w:left="113" w:right="113"/>
              <w:jc w:val="center"/>
              <w:rPr>
                <w:b/>
              </w:rPr>
            </w:pPr>
            <w:r w:rsidRPr="00F921CD">
              <w:rPr>
                <w:b/>
              </w:rPr>
              <w:t>Clinical impact</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B1E4B7E" w14:textId="77777777" w:rsidR="00F00BFD" w:rsidRPr="00F921CD" w:rsidRDefault="00F00BFD" w:rsidP="00F00BFD">
            <w:pPr>
              <w:ind w:left="113" w:right="113"/>
              <w:jc w:val="center"/>
              <w:rPr>
                <w:b/>
              </w:rPr>
            </w:pPr>
            <w:r w:rsidRPr="00F921CD">
              <w:rPr>
                <w:b/>
              </w:rPr>
              <w:t>Generalisability</w:t>
            </w:r>
          </w:p>
        </w:tc>
        <w:tc>
          <w:tcPr>
            <w:tcW w:w="821"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044300D6" w14:textId="77777777" w:rsidR="00F00BFD" w:rsidRPr="00F921CD" w:rsidRDefault="00F00BFD" w:rsidP="00F00BFD">
            <w:pPr>
              <w:ind w:left="113" w:right="113"/>
              <w:jc w:val="center"/>
              <w:rPr>
                <w:b/>
              </w:rPr>
            </w:pPr>
            <w:r w:rsidRPr="00F921CD">
              <w:rPr>
                <w:b/>
              </w:rPr>
              <w:t>Applicability</w:t>
            </w:r>
          </w:p>
        </w:tc>
      </w:tr>
      <w:tr w:rsidR="00F00BFD" w:rsidRPr="00F921CD" w14:paraId="5082454C" w14:textId="77777777" w:rsidTr="00F00BFD">
        <w:trPr>
          <w:cantSplit/>
        </w:trPr>
        <w:tc>
          <w:tcPr>
            <w:tcW w:w="851" w:type="dxa"/>
          </w:tcPr>
          <w:p w14:paraId="6E6E4FCF" w14:textId="77777777" w:rsidR="00F00BFD" w:rsidRPr="00F921CD" w:rsidRDefault="00F00BFD" w:rsidP="00F00BFD">
            <w:pPr>
              <w:pStyle w:val="Tabletextnoindent"/>
              <w:keepNext w:val="0"/>
              <w:numPr>
                <w:ilvl w:val="0"/>
                <w:numId w:val="0"/>
              </w:numPr>
              <w:ind w:left="720" w:hanging="720"/>
            </w:pPr>
            <w:r w:rsidRPr="000E5D15">
              <w:t>ES3.18</w:t>
            </w:r>
          </w:p>
        </w:tc>
        <w:tc>
          <w:tcPr>
            <w:tcW w:w="3750" w:type="dxa"/>
          </w:tcPr>
          <w:p w14:paraId="18F89D48" w14:textId="77777777" w:rsidR="00F00BFD" w:rsidRPr="00F921CD" w:rsidRDefault="00F00BFD" w:rsidP="00F00BFD">
            <w:pPr>
              <w:pStyle w:val="ES-table"/>
            </w:pPr>
            <w:r w:rsidRPr="00F921CD">
              <w:t>In paediatric patients with cancer, the effect of platelet transfusion compared with no platelet transfusion on mortality is unknown.</w:t>
            </w:r>
          </w:p>
        </w:tc>
        <w:tc>
          <w:tcPr>
            <w:tcW w:w="820" w:type="dxa"/>
          </w:tcPr>
          <w:p w14:paraId="14B687FC" w14:textId="77777777" w:rsidR="00F00BFD" w:rsidRPr="00F921CD" w:rsidRDefault="00F00BFD" w:rsidP="00F00BFD">
            <w:pPr>
              <w:pStyle w:val="T-ABCD"/>
            </w:pPr>
            <w:r w:rsidRPr="00F921CD">
              <w:t>NA</w:t>
            </w:r>
          </w:p>
        </w:tc>
        <w:tc>
          <w:tcPr>
            <w:tcW w:w="821" w:type="dxa"/>
          </w:tcPr>
          <w:p w14:paraId="398B8432" w14:textId="77777777" w:rsidR="00F00BFD" w:rsidRPr="00F921CD" w:rsidRDefault="00F00BFD" w:rsidP="00F00BFD">
            <w:pPr>
              <w:pStyle w:val="T-ABCD"/>
            </w:pPr>
            <w:r w:rsidRPr="00F921CD">
              <w:t>NA</w:t>
            </w:r>
          </w:p>
        </w:tc>
        <w:tc>
          <w:tcPr>
            <w:tcW w:w="821" w:type="dxa"/>
          </w:tcPr>
          <w:p w14:paraId="385B4E1A" w14:textId="77777777" w:rsidR="00F00BFD" w:rsidRPr="00F921CD" w:rsidRDefault="00F00BFD" w:rsidP="00F00BFD">
            <w:pPr>
              <w:pStyle w:val="T-ABCD"/>
            </w:pPr>
            <w:r w:rsidRPr="00F921CD">
              <w:t>NA</w:t>
            </w:r>
          </w:p>
        </w:tc>
        <w:tc>
          <w:tcPr>
            <w:tcW w:w="821" w:type="dxa"/>
          </w:tcPr>
          <w:p w14:paraId="21D0106B" w14:textId="77777777" w:rsidR="00F00BFD" w:rsidRPr="00F921CD" w:rsidRDefault="00F00BFD" w:rsidP="00F00BFD">
            <w:pPr>
              <w:pStyle w:val="T-ABCD"/>
            </w:pPr>
            <w:r w:rsidRPr="00F921CD">
              <w:t>NA</w:t>
            </w:r>
          </w:p>
        </w:tc>
        <w:tc>
          <w:tcPr>
            <w:tcW w:w="821" w:type="dxa"/>
          </w:tcPr>
          <w:p w14:paraId="46128B99" w14:textId="77777777" w:rsidR="00F00BFD" w:rsidRPr="00F921CD" w:rsidRDefault="00F00BFD" w:rsidP="00F00BFD">
            <w:pPr>
              <w:pStyle w:val="T-ABCD"/>
            </w:pPr>
            <w:r w:rsidRPr="00F921CD">
              <w:t xml:space="preserve">NA </w:t>
            </w:r>
          </w:p>
        </w:tc>
      </w:tr>
      <w:tr w:rsidR="00F00BFD" w:rsidRPr="00F921CD" w14:paraId="1D7EB762" w14:textId="77777777" w:rsidTr="00F00BFD">
        <w:trPr>
          <w:cantSplit/>
        </w:trPr>
        <w:tc>
          <w:tcPr>
            <w:tcW w:w="851" w:type="dxa"/>
          </w:tcPr>
          <w:p w14:paraId="30A950D9" w14:textId="77777777" w:rsidR="00F00BFD" w:rsidRPr="00F921CD" w:rsidRDefault="00F00BFD" w:rsidP="00F00BFD">
            <w:pPr>
              <w:pStyle w:val="Tabletextnoindent"/>
              <w:keepNext w:val="0"/>
              <w:numPr>
                <w:ilvl w:val="0"/>
                <w:numId w:val="0"/>
              </w:numPr>
            </w:pPr>
            <w:r w:rsidRPr="000E5D15">
              <w:t>ES3.19</w:t>
            </w:r>
          </w:p>
        </w:tc>
        <w:tc>
          <w:tcPr>
            <w:tcW w:w="3750" w:type="dxa"/>
          </w:tcPr>
          <w:p w14:paraId="6A8F5F4F" w14:textId="77777777" w:rsidR="00F00BFD" w:rsidRPr="00F921CD" w:rsidRDefault="00F00BFD" w:rsidP="00F00BFD">
            <w:pPr>
              <w:pStyle w:val="ES-table"/>
            </w:pPr>
            <w:r w:rsidRPr="00F921CD">
              <w:t>In paediatric patients with cancer, the effect of platelet transfusion compared with no platelet transfusion on bleeding events is unknown.</w:t>
            </w:r>
          </w:p>
        </w:tc>
        <w:tc>
          <w:tcPr>
            <w:tcW w:w="820" w:type="dxa"/>
          </w:tcPr>
          <w:p w14:paraId="194848AC" w14:textId="77777777" w:rsidR="00F00BFD" w:rsidRPr="00F921CD" w:rsidRDefault="00F00BFD" w:rsidP="00F00BFD">
            <w:pPr>
              <w:pStyle w:val="T-ABCD"/>
            </w:pPr>
            <w:r w:rsidRPr="00F921CD">
              <w:t>NA</w:t>
            </w:r>
          </w:p>
        </w:tc>
        <w:tc>
          <w:tcPr>
            <w:tcW w:w="821" w:type="dxa"/>
          </w:tcPr>
          <w:p w14:paraId="0518A257" w14:textId="77777777" w:rsidR="00F00BFD" w:rsidRPr="00F921CD" w:rsidRDefault="00F00BFD" w:rsidP="00F00BFD">
            <w:pPr>
              <w:pStyle w:val="T-ABCD"/>
            </w:pPr>
            <w:r w:rsidRPr="00F921CD">
              <w:t>NA</w:t>
            </w:r>
          </w:p>
        </w:tc>
        <w:tc>
          <w:tcPr>
            <w:tcW w:w="821" w:type="dxa"/>
          </w:tcPr>
          <w:p w14:paraId="1D188B65" w14:textId="77777777" w:rsidR="00F00BFD" w:rsidRPr="00F921CD" w:rsidRDefault="00F00BFD" w:rsidP="00F00BFD">
            <w:pPr>
              <w:pStyle w:val="T-ABCD"/>
            </w:pPr>
            <w:r w:rsidRPr="00F921CD">
              <w:t>NA</w:t>
            </w:r>
          </w:p>
        </w:tc>
        <w:tc>
          <w:tcPr>
            <w:tcW w:w="821" w:type="dxa"/>
          </w:tcPr>
          <w:p w14:paraId="51A8667A" w14:textId="77777777" w:rsidR="00F00BFD" w:rsidRPr="00F921CD" w:rsidRDefault="00F00BFD" w:rsidP="00F00BFD">
            <w:pPr>
              <w:pStyle w:val="T-ABCD"/>
            </w:pPr>
            <w:r w:rsidRPr="00F921CD">
              <w:t>NA</w:t>
            </w:r>
          </w:p>
        </w:tc>
        <w:tc>
          <w:tcPr>
            <w:tcW w:w="821" w:type="dxa"/>
          </w:tcPr>
          <w:p w14:paraId="4470266B" w14:textId="77777777" w:rsidR="00F00BFD" w:rsidRPr="00F921CD" w:rsidRDefault="00F00BFD" w:rsidP="00F00BFD">
            <w:pPr>
              <w:pStyle w:val="T-ABCD"/>
            </w:pPr>
            <w:r w:rsidRPr="00F921CD">
              <w:t xml:space="preserve">NA </w:t>
            </w:r>
          </w:p>
        </w:tc>
      </w:tr>
      <w:tr w:rsidR="00F00BFD" w:rsidRPr="00F921CD" w14:paraId="3FA9C4C8" w14:textId="77777777" w:rsidTr="00F00BFD">
        <w:trPr>
          <w:cantSplit/>
        </w:trPr>
        <w:tc>
          <w:tcPr>
            <w:tcW w:w="851" w:type="dxa"/>
          </w:tcPr>
          <w:p w14:paraId="214DDC48" w14:textId="77777777" w:rsidR="00F00BFD" w:rsidRPr="00F921CD" w:rsidRDefault="00F00BFD" w:rsidP="00F00BFD">
            <w:pPr>
              <w:pStyle w:val="Tabletextnoindent"/>
              <w:keepNext w:val="0"/>
              <w:numPr>
                <w:ilvl w:val="0"/>
                <w:numId w:val="0"/>
              </w:numPr>
            </w:pPr>
            <w:r w:rsidRPr="000E5D15">
              <w:t>ES3.20</w:t>
            </w:r>
          </w:p>
        </w:tc>
        <w:tc>
          <w:tcPr>
            <w:tcW w:w="3750" w:type="dxa"/>
          </w:tcPr>
          <w:p w14:paraId="43087A0B" w14:textId="77777777" w:rsidR="00F00BFD" w:rsidRPr="00F921CD" w:rsidRDefault="00F00BFD" w:rsidP="00F00BFD">
            <w:pPr>
              <w:pStyle w:val="ES-table"/>
            </w:pPr>
            <w:r w:rsidRPr="00F921CD">
              <w:t>In paediatric patients with cancer, the effect of platelet transfusion compared with no platelet transfusion on transfusion-related serious adverse events is unknown.</w:t>
            </w:r>
          </w:p>
        </w:tc>
        <w:tc>
          <w:tcPr>
            <w:tcW w:w="820" w:type="dxa"/>
          </w:tcPr>
          <w:p w14:paraId="373EC134" w14:textId="77777777" w:rsidR="00F00BFD" w:rsidRPr="00F921CD" w:rsidRDefault="00F00BFD" w:rsidP="00F00BFD">
            <w:pPr>
              <w:pStyle w:val="T-ABCD"/>
            </w:pPr>
            <w:r w:rsidRPr="00F921CD">
              <w:t>NA</w:t>
            </w:r>
          </w:p>
        </w:tc>
        <w:tc>
          <w:tcPr>
            <w:tcW w:w="821" w:type="dxa"/>
          </w:tcPr>
          <w:p w14:paraId="7D86AD1F" w14:textId="77777777" w:rsidR="00F00BFD" w:rsidRPr="00F921CD" w:rsidRDefault="00F00BFD" w:rsidP="00F00BFD">
            <w:pPr>
              <w:pStyle w:val="T-ABCD"/>
            </w:pPr>
            <w:r w:rsidRPr="00F921CD">
              <w:t>NA</w:t>
            </w:r>
          </w:p>
        </w:tc>
        <w:tc>
          <w:tcPr>
            <w:tcW w:w="821" w:type="dxa"/>
          </w:tcPr>
          <w:p w14:paraId="32AC782C" w14:textId="77777777" w:rsidR="00F00BFD" w:rsidRPr="00F921CD" w:rsidRDefault="00F00BFD" w:rsidP="00F00BFD">
            <w:pPr>
              <w:pStyle w:val="T-ABCD"/>
            </w:pPr>
            <w:r w:rsidRPr="00F921CD">
              <w:t>NA</w:t>
            </w:r>
          </w:p>
        </w:tc>
        <w:tc>
          <w:tcPr>
            <w:tcW w:w="821" w:type="dxa"/>
          </w:tcPr>
          <w:p w14:paraId="1D8AF7D8" w14:textId="77777777" w:rsidR="00F00BFD" w:rsidRPr="00F921CD" w:rsidRDefault="00F00BFD" w:rsidP="00F00BFD">
            <w:pPr>
              <w:pStyle w:val="T-ABCD"/>
            </w:pPr>
            <w:r w:rsidRPr="00F921CD">
              <w:t>NA</w:t>
            </w:r>
          </w:p>
        </w:tc>
        <w:tc>
          <w:tcPr>
            <w:tcW w:w="821" w:type="dxa"/>
          </w:tcPr>
          <w:p w14:paraId="7752D45C" w14:textId="77777777" w:rsidR="00F00BFD" w:rsidRPr="00F921CD" w:rsidRDefault="00F00BFD" w:rsidP="00F00BFD">
            <w:pPr>
              <w:pStyle w:val="T-ABCD"/>
            </w:pPr>
            <w:r w:rsidRPr="00F921CD">
              <w:t xml:space="preserve">NA </w:t>
            </w:r>
          </w:p>
        </w:tc>
      </w:tr>
      <w:tr w:rsidR="00F00BFD" w:rsidRPr="00F921CD" w14:paraId="2A31D6D5" w14:textId="77777777" w:rsidTr="00F00BFD">
        <w:trPr>
          <w:cantSplit/>
        </w:trPr>
        <w:tc>
          <w:tcPr>
            <w:tcW w:w="851" w:type="dxa"/>
          </w:tcPr>
          <w:p w14:paraId="6EEF1421" w14:textId="77777777" w:rsidR="00F00BFD" w:rsidRPr="00F921CD" w:rsidRDefault="00F00BFD" w:rsidP="00F00BFD">
            <w:pPr>
              <w:pStyle w:val="Tabletextnoindent"/>
              <w:keepNext w:val="0"/>
              <w:numPr>
                <w:ilvl w:val="0"/>
                <w:numId w:val="0"/>
              </w:numPr>
            </w:pPr>
            <w:r w:rsidRPr="000E5D15">
              <w:t>ES3.21</w:t>
            </w:r>
          </w:p>
        </w:tc>
        <w:tc>
          <w:tcPr>
            <w:tcW w:w="3750" w:type="dxa"/>
          </w:tcPr>
          <w:p w14:paraId="64E43045" w14:textId="77777777" w:rsidR="00F00BFD" w:rsidRPr="00F921CD" w:rsidRDefault="00F00BFD" w:rsidP="00F00BFD">
            <w:pPr>
              <w:pStyle w:val="ES-table"/>
            </w:pPr>
            <w:r w:rsidRPr="00F921CD">
              <w:t>In paediatric patients with cancer, the effect of platelet transfusion compared with no platelet transfusion on transfusion volume or incidence is unknown.</w:t>
            </w:r>
          </w:p>
        </w:tc>
        <w:tc>
          <w:tcPr>
            <w:tcW w:w="820" w:type="dxa"/>
          </w:tcPr>
          <w:p w14:paraId="211CB1B1" w14:textId="77777777" w:rsidR="00F00BFD" w:rsidRPr="00F921CD" w:rsidRDefault="00F00BFD" w:rsidP="00F00BFD">
            <w:pPr>
              <w:pStyle w:val="T-ABCD"/>
            </w:pPr>
            <w:r w:rsidRPr="00F921CD">
              <w:t>NA</w:t>
            </w:r>
          </w:p>
        </w:tc>
        <w:tc>
          <w:tcPr>
            <w:tcW w:w="821" w:type="dxa"/>
          </w:tcPr>
          <w:p w14:paraId="64D998FB" w14:textId="77777777" w:rsidR="00F00BFD" w:rsidRPr="00F921CD" w:rsidRDefault="00F00BFD" w:rsidP="00F00BFD">
            <w:pPr>
              <w:pStyle w:val="T-ABCD"/>
            </w:pPr>
            <w:r w:rsidRPr="00F921CD">
              <w:t>NA</w:t>
            </w:r>
          </w:p>
        </w:tc>
        <w:tc>
          <w:tcPr>
            <w:tcW w:w="821" w:type="dxa"/>
          </w:tcPr>
          <w:p w14:paraId="0ACED28B" w14:textId="77777777" w:rsidR="00F00BFD" w:rsidRPr="00F921CD" w:rsidRDefault="00F00BFD" w:rsidP="00F00BFD">
            <w:pPr>
              <w:pStyle w:val="T-ABCD"/>
            </w:pPr>
            <w:r w:rsidRPr="00F921CD">
              <w:t>NA</w:t>
            </w:r>
          </w:p>
        </w:tc>
        <w:tc>
          <w:tcPr>
            <w:tcW w:w="821" w:type="dxa"/>
          </w:tcPr>
          <w:p w14:paraId="3B6FCD8D" w14:textId="77777777" w:rsidR="00F00BFD" w:rsidRPr="00F921CD" w:rsidRDefault="00F00BFD" w:rsidP="00F00BFD">
            <w:pPr>
              <w:pStyle w:val="T-ABCD"/>
            </w:pPr>
            <w:r w:rsidRPr="00F921CD">
              <w:t>NA</w:t>
            </w:r>
          </w:p>
        </w:tc>
        <w:tc>
          <w:tcPr>
            <w:tcW w:w="821" w:type="dxa"/>
          </w:tcPr>
          <w:p w14:paraId="4B2D76C2" w14:textId="77777777" w:rsidR="00F00BFD" w:rsidRPr="00F921CD" w:rsidRDefault="00F00BFD" w:rsidP="00F00BFD">
            <w:pPr>
              <w:pStyle w:val="T-ABCD"/>
            </w:pPr>
            <w:r w:rsidRPr="00F921CD">
              <w:t xml:space="preserve">NA </w:t>
            </w:r>
          </w:p>
        </w:tc>
      </w:tr>
      <w:tr w:rsidR="00F00BFD" w:rsidRPr="00F921CD" w14:paraId="3777E9D3" w14:textId="77777777" w:rsidTr="00F00BFD">
        <w:trPr>
          <w:cantSplit/>
        </w:trPr>
        <w:tc>
          <w:tcPr>
            <w:tcW w:w="851" w:type="dxa"/>
          </w:tcPr>
          <w:p w14:paraId="550B6180" w14:textId="77777777" w:rsidR="00F00BFD" w:rsidRPr="00F921CD" w:rsidRDefault="00F00BFD" w:rsidP="00F00BFD">
            <w:pPr>
              <w:pStyle w:val="Tabletextnoindent"/>
              <w:keepNext w:val="0"/>
              <w:numPr>
                <w:ilvl w:val="0"/>
                <w:numId w:val="0"/>
              </w:numPr>
            </w:pPr>
            <w:r w:rsidRPr="000E5D15">
              <w:t>ES3.22</w:t>
            </w:r>
          </w:p>
        </w:tc>
        <w:tc>
          <w:tcPr>
            <w:tcW w:w="3750" w:type="dxa"/>
          </w:tcPr>
          <w:p w14:paraId="30A84737" w14:textId="77777777" w:rsidR="00F00BFD" w:rsidRPr="00F921CD" w:rsidRDefault="00F00BFD" w:rsidP="00F00BFD">
            <w:pPr>
              <w:pStyle w:val="ES-table"/>
            </w:pPr>
            <w:r w:rsidRPr="00F921CD">
              <w:t>In paediatric patients with acute leukaemia, the effect of a prophylactic platelet transfusion strategy compared with platelet transfusion in response to bleeding on mortality is uncertain.</w:t>
            </w:r>
          </w:p>
          <w:p w14:paraId="42C0C90B" w14:textId="77777777" w:rsidR="00F00BFD" w:rsidRPr="00F921CD" w:rsidRDefault="00F00BFD" w:rsidP="00F00BFD">
            <w:pPr>
              <w:pStyle w:val="ES-notes"/>
            </w:pPr>
            <w:r w:rsidRPr="00F921CD">
              <w:t xml:space="preserve">(See evidence </w:t>
            </w:r>
            <w:r w:rsidRPr="00D36481">
              <w:t>matrix</w:t>
            </w:r>
            <w:r w:rsidRPr="00F921CD">
              <w:t xml:space="preserve"> D3.G in Volume 2 of the technical report.)</w:t>
            </w:r>
          </w:p>
        </w:tc>
        <w:tc>
          <w:tcPr>
            <w:tcW w:w="820" w:type="dxa"/>
          </w:tcPr>
          <w:p w14:paraId="78ED9072" w14:textId="77777777" w:rsidR="00F00BFD" w:rsidRPr="00F921CD" w:rsidRDefault="00F00BFD" w:rsidP="00F00BFD">
            <w:pPr>
              <w:pStyle w:val="T-ABCD"/>
            </w:pPr>
            <w:r w:rsidRPr="00F921CD">
              <w:t>X</w:t>
            </w:r>
          </w:p>
        </w:tc>
        <w:tc>
          <w:tcPr>
            <w:tcW w:w="821" w:type="dxa"/>
          </w:tcPr>
          <w:p w14:paraId="4CCB635E" w14:textId="77777777" w:rsidR="00F00BFD" w:rsidRPr="00F921CD" w:rsidRDefault="00F00BFD" w:rsidP="00F00BFD">
            <w:pPr>
              <w:pStyle w:val="T-ABCD"/>
            </w:pPr>
            <w:r w:rsidRPr="00F921CD">
              <w:t>NA</w:t>
            </w:r>
          </w:p>
        </w:tc>
        <w:tc>
          <w:tcPr>
            <w:tcW w:w="821" w:type="dxa"/>
          </w:tcPr>
          <w:p w14:paraId="31AFF407" w14:textId="77777777" w:rsidR="00F00BFD" w:rsidRPr="00F921CD" w:rsidRDefault="00F00BFD" w:rsidP="00F00BFD">
            <w:pPr>
              <w:pStyle w:val="T-ABCD"/>
            </w:pPr>
            <w:r w:rsidRPr="00F921CD">
              <w:t>NA</w:t>
            </w:r>
          </w:p>
        </w:tc>
        <w:tc>
          <w:tcPr>
            <w:tcW w:w="821" w:type="dxa"/>
          </w:tcPr>
          <w:p w14:paraId="46317314" w14:textId="77777777" w:rsidR="00F00BFD" w:rsidRPr="00F921CD" w:rsidRDefault="00F00BFD" w:rsidP="00F00BFD">
            <w:pPr>
              <w:pStyle w:val="T-ABCD"/>
            </w:pPr>
            <w:r w:rsidRPr="00F921CD">
              <w:sym w:font="Symbol" w:char="F0D6"/>
            </w:r>
            <w:r w:rsidRPr="00F921CD">
              <w:sym w:font="Symbol" w:char="F0D6"/>
            </w:r>
          </w:p>
        </w:tc>
        <w:tc>
          <w:tcPr>
            <w:tcW w:w="821" w:type="dxa"/>
          </w:tcPr>
          <w:p w14:paraId="7218AB7E" w14:textId="77777777" w:rsidR="00F00BFD" w:rsidRPr="00F921CD" w:rsidRDefault="00F00BFD" w:rsidP="00F00BFD">
            <w:pPr>
              <w:pStyle w:val="T-ABCD"/>
            </w:pPr>
            <w:r w:rsidRPr="00F921CD">
              <w:sym w:font="Symbol" w:char="F0D6"/>
            </w:r>
          </w:p>
        </w:tc>
      </w:tr>
      <w:tr w:rsidR="00F00BFD" w:rsidRPr="00F921CD" w14:paraId="255B7E59" w14:textId="77777777" w:rsidTr="00F00BFD">
        <w:trPr>
          <w:cantSplit/>
        </w:trPr>
        <w:tc>
          <w:tcPr>
            <w:tcW w:w="851" w:type="dxa"/>
          </w:tcPr>
          <w:p w14:paraId="0E52109B" w14:textId="77777777" w:rsidR="00F00BFD" w:rsidRPr="00F921CD" w:rsidRDefault="00F00BFD" w:rsidP="00F00BFD">
            <w:pPr>
              <w:pStyle w:val="Tabletextnoindent"/>
              <w:keepNext w:val="0"/>
              <w:numPr>
                <w:ilvl w:val="0"/>
                <w:numId w:val="0"/>
              </w:numPr>
            </w:pPr>
            <w:r w:rsidRPr="000E5D15">
              <w:t>ES3.23</w:t>
            </w:r>
          </w:p>
        </w:tc>
        <w:tc>
          <w:tcPr>
            <w:tcW w:w="3750" w:type="dxa"/>
          </w:tcPr>
          <w:p w14:paraId="7D53D2B0" w14:textId="77777777" w:rsidR="00F00BFD" w:rsidRPr="00F921CD" w:rsidRDefault="00F00BFD" w:rsidP="00F00BFD">
            <w:pPr>
              <w:pStyle w:val="ES-table"/>
            </w:pPr>
            <w:r w:rsidRPr="00F921CD">
              <w:t>In paediatric patients with acute leukaemia, the effect of a prophylactic platelet transfusion strategy compared with platelet transfusion in response to bleeding on significant bleeding events is uncertain.</w:t>
            </w:r>
          </w:p>
          <w:p w14:paraId="13C6959D" w14:textId="77777777" w:rsidR="00F00BFD" w:rsidRPr="00D36481" w:rsidRDefault="00F00BFD" w:rsidP="00F00BFD">
            <w:pPr>
              <w:pStyle w:val="ES-notes"/>
            </w:pPr>
            <w:r w:rsidRPr="00F921CD">
              <w:t>(See evidence matrix D3.H in Volume 2 of the technical report.)</w:t>
            </w:r>
          </w:p>
        </w:tc>
        <w:tc>
          <w:tcPr>
            <w:tcW w:w="820" w:type="dxa"/>
          </w:tcPr>
          <w:p w14:paraId="44665C43" w14:textId="77777777" w:rsidR="00F00BFD" w:rsidRPr="00F921CD" w:rsidRDefault="00F00BFD" w:rsidP="00F00BFD">
            <w:pPr>
              <w:pStyle w:val="T-ABCD"/>
            </w:pPr>
            <w:r w:rsidRPr="00F921CD">
              <w:t>X</w:t>
            </w:r>
          </w:p>
        </w:tc>
        <w:tc>
          <w:tcPr>
            <w:tcW w:w="821" w:type="dxa"/>
          </w:tcPr>
          <w:p w14:paraId="25EE40F8" w14:textId="77777777" w:rsidR="00F00BFD" w:rsidRPr="00F921CD" w:rsidRDefault="00F00BFD" w:rsidP="00F00BFD">
            <w:pPr>
              <w:pStyle w:val="T-ABCD"/>
            </w:pPr>
            <w:r w:rsidRPr="00F921CD">
              <w:t>NA</w:t>
            </w:r>
          </w:p>
        </w:tc>
        <w:tc>
          <w:tcPr>
            <w:tcW w:w="821" w:type="dxa"/>
          </w:tcPr>
          <w:p w14:paraId="403F40A3" w14:textId="77777777" w:rsidR="00F00BFD" w:rsidRPr="00F921CD" w:rsidRDefault="00F00BFD" w:rsidP="00F00BFD">
            <w:pPr>
              <w:pStyle w:val="T-ABCD"/>
            </w:pPr>
            <w:r w:rsidRPr="00F921CD">
              <w:t>NA</w:t>
            </w:r>
          </w:p>
        </w:tc>
        <w:tc>
          <w:tcPr>
            <w:tcW w:w="821" w:type="dxa"/>
          </w:tcPr>
          <w:p w14:paraId="559F7F2F" w14:textId="77777777" w:rsidR="00F00BFD" w:rsidRPr="00F921CD" w:rsidRDefault="00F00BFD" w:rsidP="00F00BFD">
            <w:pPr>
              <w:pStyle w:val="T-ABCD"/>
            </w:pPr>
            <w:r w:rsidRPr="00F921CD">
              <w:sym w:font="Symbol" w:char="F0D6"/>
            </w:r>
            <w:r w:rsidRPr="00F921CD">
              <w:sym w:font="Symbol" w:char="F0D6"/>
            </w:r>
          </w:p>
        </w:tc>
        <w:tc>
          <w:tcPr>
            <w:tcW w:w="821" w:type="dxa"/>
          </w:tcPr>
          <w:p w14:paraId="62DF2356" w14:textId="77777777" w:rsidR="00F00BFD" w:rsidRPr="00F921CD" w:rsidRDefault="00F00BFD" w:rsidP="00F00BFD">
            <w:pPr>
              <w:pStyle w:val="T-ABCD"/>
            </w:pPr>
            <w:r w:rsidRPr="00F921CD">
              <w:sym w:font="Symbol" w:char="F0D6"/>
            </w:r>
          </w:p>
        </w:tc>
      </w:tr>
      <w:tr w:rsidR="00F00BFD" w:rsidRPr="00F921CD" w14:paraId="74CAE1D2" w14:textId="77777777" w:rsidTr="00F00BFD">
        <w:trPr>
          <w:cantSplit/>
        </w:trPr>
        <w:tc>
          <w:tcPr>
            <w:tcW w:w="851" w:type="dxa"/>
          </w:tcPr>
          <w:p w14:paraId="420AE995" w14:textId="77777777" w:rsidR="00F00BFD" w:rsidRPr="00F921CD" w:rsidRDefault="00F00BFD" w:rsidP="00F00BFD">
            <w:pPr>
              <w:pStyle w:val="Tabletextnoindent"/>
              <w:keepNext w:val="0"/>
              <w:numPr>
                <w:ilvl w:val="0"/>
                <w:numId w:val="0"/>
              </w:numPr>
            </w:pPr>
            <w:r w:rsidRPr="000E5D15">
              <w:t>ES3.24</w:t>
            </w:r>
          </w:p>
        </w:tc>
        <w:tc>
          <w:tcPr>
            <w:tcW w:w="3750" w:type="dxa"/>
          </w:tcPr>
          <w:p w14:paraId="37AFDD62" w14:textId="77777777" w:rsidR="00F00BFD" w:rsidRPr="00F921CD" w:rsidRDefault="00F00BFD" w:rsidP="00F00BFD">
            <w:pPr>
              <w:pStyle w:val="ES-table"/>
            </w:pPr>
            <w:r w:rsidRPr="00F921CD">
              <w:t>In paediatric patients with acute leukaemia, the effect of a prophylactic platelet transfusion strategy compared with platelet transfusion in response to bleeding on transfusion-related serious adverse events is unknown.</w:t>
            </w:r>
          </w:p>
        </w:tc>
        <w:tc>
          <w:tcPr>
            <w:tcW w:w="820" w:type="dxa"/>
          </w:tcPr>
          <w:p w14:paraId="70CCD3C9" w14:textId="77777777" w:rsidR="00F00BFD" w:rsidRPr="00F921CD" w:rsidRDefault="00F00BFD" w:rsidP="00F00BFD">
            <w:pPr>
              <w:pStyle w:val="T-ABCD"/>
            </w:pPr>
            <w:r w:rsidRPr="00F921CD">
              <w:t>NA</w:t>
            </w:r>
          </w:p>
        </w:tc>
        <w:tc>
          <w:tcPr>
            <w:tcW w:w="821" w:type="dxa"/>
          </w:tcPr>
          <w:p w14:paraId="7CE5C864" w14:textId="77777777" w:rsidR="00F00BFD" w:rsidRPr="00F921CD" w:rsidRDefault="00F00BFD" w:rsidP="00F00BFD">
            <w:pPr>
              <w:pStyle w:val="T-ABCD"/>
            </w:pPr>
            <w:r w:rsidRPr="00F921CD">
              <w:t>NA</w:t>
            </w:r>
          </w:p>
        </w:tc>
        <w:tc>
          <w:tcPr>
            <w:tcW w:w="821" w:type="dxa"/>
          </w:tcPr>
          <w:p w14:paraId="1645A6A2" w14:textId="77777777" w:rsidR="00F00BFD" w:rsidRPr="00F921CD" w:rsidRDefault="00F00BFD" w:rsidP="00F00BFD">
            <w:pPr>
              <w:pStyle w:val="T-ABCD"/>
            </w:pPr>
            <w:r w:rsidRPr="00F921CD">
              <w:t>NA</w:t>
            </w:r>
          </w:p>
        </w:tc>
        <w:tc>
          <w:tcPr>
            <w:tcW w:w="821" w:type="dxa"/>
          </w:tcPr>
          <w:p w14:paraId="09164389" w14:textId="77777777" w:rsidR="00F00BFD" w:rsidRPr="00F921CD" w:rsidRDefault="00F00BFD" w:rsidP="00F00BFD">
            <w:pPr>
              <w:pStyle w:val="T-ABCD"/>
            </w:pPr>
            <w:r w:rsidRPr="00F921CD">
              <w:t>NA</w:t>
            </w:r>
          </w:p>
        </w:tc>
        <w:tc>
          <w:tcPr>
            <w:tcW w:w="821" w:type="dxa"/>
          </w:tcPr>
          <w:p w14:paraId="36299877" w14:textId="77777777" w:rsidR="00F00BFD" w:rsidRPr="00F921CD" w:rsidRDefault="00F00BFD" w:rsidP="00F00BFD">
            <w:pPr>
              <w:pStyle w:val="T-ABCD"/>
            </w:pPr>
            <w:r w:rsidRPr="00F921CD">
              <w:t xml:space="preserve">NA </w:t>
            </w:r>
          </w:p>
        </w:tc>
      </w:tr>
      <w:tr w:rsidR="00F00BFD" w:rsidRPr="00F921CD" w14:paraId="2E5C7513" w14:textId="77777777" w:rsidTr="00F00BFD">
        <w:trPr>
          <w:cantSplit/>
        </w:trPr>
        <w:tc>
          <w:tcPr>
            <w:tcW w:w="851" w:type="dxa"/>
          </w:tcPr>
          <w:p w14:paraId="26463844" w14:textId="77777777" w:rsidR="00F00BFD" w:rsidRPr="00F921CD" w:rsidRDefault="00F00BFD" w:rsidP="00F00BFD">
            <w:pPr>
              <w:pStyle w:val="Tabletextnoindent"/>
              <w:keepNext w:val="0"/>
              <w:numPr>
                <w:ilvl w:val="0"/>
                <w:numId w:val="0"/>
              </w:numPr>
            </w:pPr>
            <w:r w:rsidRPr="000E5D15">
              <w:t>ES3.25</w:t>
            </w:r>
          </w:p>
        </w:tc>
        <w:tc>
          <w:tcPr>
            <w:tcW w:w="3750" w:type="dxa"/>
          </w:tcPr>
          <w:p w14:paraId="6EE94FA8" w14:textId="77777777" w:rsidR="00F00BFD" w:rsidRPr="00F921CD" w:rsidRDefault="00F00BFD" w:rsidP="00F00BFD">
            <w:pPr>
              <w:pStyle w:val="ES-table"/>
            </w:pPr>
            <w:r w:rsidRPr="00F921CD">
              <w:t>In paediatric patients with acute leukaemia, the effect of a prophylactic platelet transfusion strategy compared with platelet transfusion</w:t>
            </w:r>
            <w:r w:rsidRPr="00F921CD" w:rsidDel="00583044">
              <w:t xml:space="preserve"> </w:t>
            </w:r>
            <w:r w:rsidRPr="00F921CD">
              <w:t>in response to bleeding on the incidence of platelet transfusions is uncertain.</w:t>
            </w:r>
          </w:p>
          <w:p w14:paraId="07A1E0C3" w14:textId="77777777" w:rsidR="00F00BFD" w:rsidRPr="00F921CD" w:rsidRDefault="00F00BFD" w:rsidP="00F00BFD">
            <w:pPr>
              <w:pStyle w:val="ES-notes"/>
            </w:pPr>
            <w:r w:rsidRPr="00F921CD">
              <w:t>(See evidence matrix D3.I in Volume 2 of the technical report.)</w:t>
            </w:r>
          </w:p>
        </w:tc>
        <w:tc>
          <w:tcPr>
            <w:tcW w:w="820" w:type="dxa"/>
          </w:tcPr>
          <w:p w14:paraId="68384EB6" w14:textId="77777777" w:rsidR="00F00BFD" w:rsidRPr="00F921CD" w:rsidRDefault="00F00BFD" w:rsidP="00F00BFD">
            <w:pPr>
              <w:pStyle w:val="T-ABCD"/>
            </w:pPr>
            <w:r w:rsidRPr="00F921CD">
              <w:t>X</w:t>
            </w:r>
          </w:p>
        </w:tc>
        <w:tc>
          <w:tcPr>
            <w:tcW w:w="821" w:type="dxa"/>
          </w:tcPr>
          <w:p w14:paraId="53308CF5" w14:textId="77777777" w:rsidR="00F00BFD" w:rsidRPr="00F921CD" w:rsidRDefault="00F00BFD" w:rsidP="00F00BFD">
            <w:pPr>
              <w:pStyle w:val="T-ABCD"/>
            </w:pPr>
            <w:r w:rsidRPr="00F921CD">
              <w:t>NA</w:t>
            </w:r>
          </w:p>
        </w:tc>
        <w:tc>
          <w:tcPr>
            <w:tcW w:w="821" w:type="dxa"/>
          </w:tcPr>
          <w:p w14:paraId="089C81FA" w14:textId="77777777" w:rsidR="00F00BFD" w:rsidRPr="00F921CD" w:rsidRDefault="00F00BFD" w:rsidP="00F00BFD">
            <w:pPr>
              <w:pStyle w:val="T-ABCD"/>
            </w:pPr>
            <w:r w:rsidRPr="00F921CD">
              <w:t>NA</w:t>
            </w:r>
          </w:p>
        </w:tc>
        <w:tc>
          <w:tcPr>
            <w:tcW w:w="821" w:type="dxa"/>
          </w:tcPr>
          <w:p w14:paraId="773307AB" w14:textId="77777777" w:rsidR="00F00BFD" w:rsidRPr="00F921CD" w:rsidRDefault="00F00BFD" w:rsidP="00F00BFD">
            <w:pPr>
              <w:pStyle w:val="T-ABCD"/>
            </w:pPr>
            <w:r w:rsidRPr="00F921CD">
              <w:sym w:font="Symbol" w:char="F0D6"/>
            </w:r>
            <w:r w:rsidRPr="00F921CD">
              <w:sym w:font="Symbol" w:char="F0D6"/>
            </w:r>
          </w:p>
        </w:tc>
        <w:tc>
          <w:tcPr>
            <w:tcW w:w="821" w:type="dxa"/>
          </w:tcPr>
          <w:p w14:paraId="7BBA1FA2" w14:textId="77777777" w:rsidR="00F00BFD" w:rsidRPr="00F921CD" w:rsidRDefault="00F00BFD" w:rsidP="00F00BFD">
            <w:pPr>
              <w:pStyle w:val="T-ABCD"/>
            </w:pPr>
            <w:r w:rsidRPr="00F921CD">
              <w:sym w:font="Symbol" w:char="F0D6"/>
            </w:r>
          </w:p>
        </w:tc>
      </w:tr>
      <w:tr w:rsidR="00F00BFD" w:rsidRPr="00F921CD" w14:paraId="01117C95" w14:textId="77777777" w:rsidTr="00F00BFD">
        <w:trPr>
          <w:cantSplit/>
        </w:trPr>
        <w:tc>
          <w:tcPr>
            <w:tcW w:w="851" w:type="dxa"/>
          </w:tcPr>
          <w:p w14:paraId="2C04310C" w14:textId="77777777" w:rsidR="00F00BFD" w:rsidRPr="00F921CD" w:rsidRDefault="00F00BFD" w:rsidP="00F00BFD">
            <w:pPr>
              <w:pStyle w:val="Tabletextnoindent"/>
              <w:numPr>
                <w:ilvl w:val="0"/>
                <w:numId w:val="0"/>
              </w:numPr>
            </w:pPr>
            <w:r w:rsidRPr="000E5D15">
              <w:t>ES3.26</w:t>
            </w:r>
          </w:p>
        </w:tc>
        <w:tc>
          <w:tcPr>
            <w:tcW w:w="3750" w:type="dxa"/>
          </w:tcPr>
          <w:p w14:paraId="37DA565A" w14:textId="77777777" w:rsidR="00F00BFD" w:rsidRPr="00F921CD" w:rsidRDefault="00F00BFD" w:rsidP="00F00BFD">
            <w:pPr>
              <w:pStyle w:val="ES-table"/>
            </w:pPr>
            <w:r w:rsidRPr="00F921CD">
              <w:t xml:space="preserve">In paediatric patients with acute leukaemia, the effect of a prophylactic platelet transfusion strategy compared with </w:t>
            </w:r>
            <w:r w:rsidRPr="00D36481">
              <w:t>platelet</w:t>
            </w:r>
            <w:r w:rsidRPr="00F921CD">
              <w:t xml:space="preserve"> transfusion</w:t>
            </w:r>
            <w:r w:rsidRPr="00F921CD" w:rsidDel="00583044">
              <w:t xml:space="preserve"> </w:t>
            </w:r>
            <w:r w:rsidRPr="00F921CD">
              <w:t>in response to bleeding on the incidence of RBC transfusions is unknown.</w:t>
            </w:r>
          </w:p>
        </w:tc>
        <w:tc>
          <w:tcPr>
            <w:tcW w:w="820" w:type="dxa"/>
          </w:tcPr>
          <w:p w14:paraId="4E2F8EFD" w14:textId="77777777" w:rsidR="00F00BFD" w:rsidRPr="00F921CD" w:rsidRDefault="00F00BFD" w:rsidP="00F00BFD">
            <w:pPr>
              <w:pStyle w:val="T-ABCD"/>
            </w:pPr>
            <w:r w:rsidRPr="00F921CD">
              <w:t>NA</w:t>
            </w:r>
          </w:p>
        </w:tc>
        <w:tc>
          <w:tcPr>
            <w:tcW w:w="821" w:type="dxa"/>
          </w:tcPr>
          <w:p w14:paraId="118D6704" w14:textId="77777777" w:rsidR="00F00BFD" w:rsidRPr="00F921CD" w:rsidRDefault="00F00BFD" w:rsidP="00F00BFD">
            <w:pPr>
              <w:pStyle w:val="T-ABCD"/>
            </w:pPr>
            <w:r w:rsidRPr="00F921CD">
              <w:t>NA</w:t>
            </w:r>
          </w:p>
        </w:tc>
        <w:tc>
          <w:tcPr>
            <w:tcW w:w="821" w:type="dxa"/>
          </w:tcPr>
          <w:p w14:paraId="78B5B587" w14:textId="77777777" w:rsidR="00F00BFD" w:rsidRPr="00F921CD" w:rsidRDefault="00F00BFD" w:rsidP="00F00BFD">
            <w:pPr>
              <w:pStyle w:val="T-ABCD"/>
            </w:pPr>
            <w:r w:rsidRPr="00F921CD">
              <w:t>NA</w:t>
            </w:r>
          </w:p>
        </w:tc>
        <w:tc>
          <w:tcPr>
            <w:tcW w:w="821" w:type="dxa"/>
          </w:tcPr>
          <w:p w14:paraId="6E01FB45" w14:textId="77777777" w:rsidR="00F00BFD" w:rsidRPr="00F921CD" w:rsidRDefault="00F00BFD" w:rsidP="00F00BFD">
            <w:pPr>
              <w:pStyle w:val="T-ABCD"/>
            </w:pPr>
            <w:r w:rsidRPr="00F921CD">
              <w:t>NA</w:t>
            </w:r>
          </w:p>
        </w:tc>
        <w:tc>
          <w:tcPr>
            <w:tcW w:w="821" w:type="dxa"/>
          </w:tcPr>
          <w:p w14:paraId="5D117063" w14:textId="77777777" w:rsidR="00F00BFD" w:rsidRPr="00F921CD" w:rsidRDefault="00F00BFD" w:rsidP="00F00BFD">
            <w:pPr>
              <w:pStyle w:val="T-ABCD"/>
            </w:pPr>
            <w:r w:rsidRPr="00F921CD">
              <w:t xml:space="preserve">NA </w:t>
            </w:r>
          </w:p>
        </w:tc>
      </w:tr>
      <w:tr w:rsidR="00F00BFD" w:rsidRPr="00F921CD" w14:paraId="7B5DDA47" w14:textId="77777777" w:rsidTr="00F00BFD">
        <w:trPr>
          <w:cantSplit/>
        </w:trPr>
        <w:tc>
          <w:tcPr>
            <w:tcW w:w="851" w:type="dxa"/>
          </w:tcPr>
          <w:p w14:paraId="16E501D9" w14:textId="77777777" w:rsidR="00F00BFD" w:rsidRPr="00F921CD" w:rsidRDefault="00F00BFD" w:rsidP="00F00BFD">
            <w:pPr>
              <w:pStyle w:val="Tabletextnoindent"/>
              <w:numPr>
                <w:ilvl w:val="0"/>
                <w:numId w:val="0"/>
              </w:numPr>
            </w:pPr>
            <w:r w:rsidRPr="000E5D15">
              <w:t>ES3.27</w:t>
            </w:r>
          </w:p>
        </w:tc>
        <w:tc>
          <w:tcPr>
            <w:tcW w:w="3750" w:type="dxa"/>
          </w:tcPr>
          <w:p w14:paraId="6A84B1A1" w14:textId="77777777" w:rsidR="00F00BFD" w:rsidRPr="00F921CD" w:rsidRDefault="00F00BFD" w:rsidP="00F00BFD">
            <w:pPr>
              <w:pStyle w:val="ES-table"/>
            </w:pPr>
            <w:r w:rsidRPr="00F921CD">
              <w:t>In paediatric patients with acute leukaemia, the effect of a prophylactic platelet transfusion strategy compared with platelet transfusion in response to bleeding on transfusion volume is unknown.</w:t>
            </w:r>
          </w:p>
        </w:tc>
        <w:tc>
          <w:tcPr>
            <w:tcW w:w="820" w:type="dxa"/>
          </w:tcPr>
          <w:p w14:paraId="7F9F63FC" w14:textId="77777777" w:rsidR="00F00BFD" w:rsidRPr="00F921CD" w:rsidRDefault="00F00BFD" w:rsidP="00F00BFD">
            <w:pPr>
              <w:pStyle w:val="T-ABCD"/>
            </w:pPr>
            <w:r w:rsidRPr="00F921CD">
              <w:t>NA</w:t>
            </w:r>
          </w:p>
        </w:tc>
        <w:tc>
          <w:tcPr>
            <w:tcW w:w="821" w:type="dxa"/>
          </w:tcPr>
          <w:p w14:paraId="20CBB1AF" w14:textId="77777777" w:rsidR="00F00BFD" w:rsidRPr="00F921CD" w:rsidRDefault="00F00BFD" w:rsidP="00F00BFD">
            <w:pPr>
              <w:pStyle w:val="T-ABCD"/>
            </w:pPr>
            <w:r w:rsidRPr="00F921CD">
              <w:t>NA</w:t>
            </w:r>
          </w:p>
        </w:tc>
        <w:tc>
          <w:tcPr>
            <w:tcW w:w="821" w:type="dxa"/>
          </w:tcPr>
          <w:p w14:paraId="416C5938" w14:textId="77777777" w:rsidR="00F00BFD" w:rsidRPr="00F921CD" w:rsidRDefault="00F00BFD" w:rsidP="00F00BFD">
            <w:pPr>
              <w:pStyle w:val="T-ABCD"/>
            </w:pPr>
            <w:r w:rsidRPr="00F921CD">
              <w:t>NA</w:t>
            </w:r>
          </w:p>
        </w:tc>
        <w:tc>
          <w:tcPr>
            <w:tcW w:w="821" w:type="dxa"/>
          </w:tcPr>
          <w:p w14:paraId="74A7A098" w14:textId="77777777" w:rsidR="00F00BFD" w:rsidRPr="00F921CD" w:rsidRDefault="00F00BFD" w:rsidP="00F00BFD">
            <w:pPr>
              <w:pStyle w:val="T-ABCD"/>
            </w:pPr>
            <w:r w:rsidRPr="00F921CD">
              <w:t>NA</w:t>
            </w:r>
          </w:p>
        </w:tc>
        <w:tc>
          <w:tcPr>
            <w:tcW w:w="821" w:type="dxa"/>
          </w:tcPr>
          <w:p w14:paraId="5DC8CC98" w14:textId="77777777" w:rsidR="00F00BFD" w:rsidRPr="00F921CD" w:rsidRDefault="00F00BFD" w:rsidP="00F00BFD">
            <w:pPr>
              <w:pStyle w:val="T-ABCD"/>
            </w:pPr>
            <w:r w:rsidRPr="00F921CD">
              <w:t xml:space="preserve">NA </w:t>
            </w:r>
          </w:p>
        </w:tc>
      </w:tr>
      <w:tr w:rsidR="00F00BFD" w:rsidRPr="00F921CD" w14:paraId="0854D3FA" w14:textId="77777777" w:rsidTr="00F00BFD">
        <w:trPr>
          <w:cantSplit/>
        </w:trPr>
        <w:tc>
          <w:tcPr>
            <w:tcW w:w="8705" w:type="dxa"/>
            <w:gridSpan w:val="7"/>
          </w:tcPr>
          <w:p w14:paraId="5A8BC7AF" w14:textId="77777777" w:rsidR="00F00BFD" w:rsidRPr="00F921CD" w:rsidRDefault="00F00BFD" w:rsidP="00F00BFD">
            <w:pPr>
              <w:pStyle w:val="ES-notes"/>
            </w:pPr>
            <w:r w:rsidRPr="00F921CD">
              <w:t xml:space="preserve">ES, evidence statement; RBC, red blood cell </w:t>
            </w:r>
          </w:p>
          <w:p w14:paraId="3F786203" w14:textId="77777777" w:rsidR="00F00BFD" w:rsidRPr="00F921CD" w:rsidRDefault="00F00BFD" w:rsidP="00F00BFD">
            <w:pPr>
              <w:pStyle w:val="ES-notes"/>
            </w:pPr>
            <w:r w:rsidRPr="00F921CD">
              <w:sym w:font="Symbol" w:char="F0D6"/>
            </w:r>
            <w:r w:rsidRPr="00F921CD">
              <w:sym w:font="Symbol" w:char="F0D6"/>
            </w:r>
            <w:r w:rsidRPr="00F921CD">
              <w:sym w:font="Symbol" w:char="F0D6"/>
            </w:r>
            <w:r w:rsidRPr="00F921CD">
              <w:t xml:space="preserve">=A; </w:t>
            </w:r>
            <w:r w:rsidRPr="00F921CD">
              <w:sym w:font="Symbol" w:char="F0D6"/>
            </w:r>
            <w:r w:rsidRPr="00F921CD">
              <w:sym w:font="Symbol" w:char="F0D6"/>
            </w:r>
            <w:r w:rsidRPr="00F921CD">
              <w:t xml:space="preserve">=B; </w:t>
            </w:r>
            <w:r w:rsidRPr="00F921CD">
              <w:sym w:font="Symbol" w:char="F0D6"/>
            </w:r>
            <w:r w:rsidRPr="00F921CD">
              <w:t>=C; X=D; NA, not applicable</w:t>
            </w:r>
          </w:p>
        </w:tc>
      </w:tr>
    </w:tbl>
    <w:p w14:paraId="3954CADA" w14:textId="77777777" w:rsidR="00F00BFD" w:rsidRDefault="00F00BFD" w:rsidP="00F00BFD">
      <w:pPr>
        <w:pStyle w:val="BodyText"/>
      </w:pPr>
    </w:p>
    <w:tbl>
      <w:tblPr>
        <w:tblW w:w="4812" w:type="pct"/>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7"/>
        <w:gridCol w:w="7778"/>
      </w:tblGrid>
      <w:tr w:rsidR="00F00BFD" w:rsidRPr="00F921CD" w14:paraId="0FFE6AF4"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ABE9FF"/>
          </w:tcPr>
          <w:p w14:paraId="04F6ED68" w14:textId="2D056542" w:rsidR="00F00BFD" w:rsidRPr="005E38DA" w:rsidRDefault="00F00BFD" w:rsidP="005E38DA">
            <w:pPr>
              <w:pStyle w:val="PP-heading"/>
              <w:rPr>
                <w:lang w:val="en-AU"/>
              </w:rPr>
            </w:pPr>
            <w:r w:rsidRPr="00F921CD">
              <w:t>Practice point</w:t>
            </w:r>
            <w:r>
              <w:t>s</w:t>
            </w:r>
            <w:r w:rsidRPr="00F921CD">
              <w:t xml:space="preserve"> –</w:t>
            </w:r>
            <w:r w:rsidR="005E38DA">
              <w:rPr>
                <w:lang w:val="en-AU"/>
              </w:rPr>
              <w:t xml:space="preserve"> </w:t>
            </w:r>
            <w:r w:rsidR="005E38DA">
              <w:t>cancer (platelet transfusion)</w:t>
            </w:r>
          </w:p>
        </w:tc>
      </w:tr>
      <w:tr w:rsidR="00F00BFD" w:rsidRPr="00F921CD" w14:paraId="75E30E68" w14:textId="77777777" w:rsidTr="00F269FB">
        <w:tc>
          <w:tcPr>
            <w:tcW w:w="628" w:type="pct"/>
            <w:tcBorders>
              <w:right w:val="single" w:sz="4" w:space="0" w:color="auto"/>
            </w:tcBorders>
            <w:shd w:val="clear" w:color="auto" w:fill="auto"/>
          </w:tcPr>
          <w:p w14:paraId="2E59C0A6" w14:textId="77777777" w:rsidR="00F00BFD" w:rsidRPr="00F921CD" w:rsidRDefault="00F00BFD" w:rsidP="00F269FB">
            <w:pPr>
              <w:pStyle w:val="PP"/>
            </w:pPr>
            <w:r w:rsidRPr="00F921CD">
              <w:t>PP</w:t>
            </w:r>
            <w:r>
              <w:t>28</w:t>
            </w:r>
          </w:p>
        </w:tc>
        <w:tc>
          <w:tcPr>
            <w:tcW w:w="4372" w:type="pct"/>
            <w:tcBorders>
              <w:left w:val="single" w:sz="4" w:space="0" w:color="auto"/>
            </w:tcBorders>
            <w:shd w:val="clear" w:color="auto" w:fill="auto"/>
          </w:tcPr>
          <w:p w14:paraId="44406803" w14:textId="77777777" w:rsidR="00F00BFD" w:rsidRPr="00F921CD" w:rsidRDefault="00F00BFD" w:rsidP="00F269FB">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29424F" w:rsidRPr="00F921CD" w14:paraId="65B60499" w14:textId="77777777" w:rsidTr="00F269FB">
        <w:tc>
          <w:tcPr>
            <w:tcW w:w="628" w:type="pct"/>
            <w:tcBorders>
              <w:right w:val="single" w:sz="4" w:space="0" w:color="auto"/>
            </w:tcBorders>
            <w:shd w:val="clear" w:color="auto" w:fill="auto"/>
          </w:tcPr>
          <w:p w14:paraId="550EF808" w14:textId="53E8F568" w:rsidR="0029424F" w:rsidRPr="00F921CD" w:rsidRDefault="0029424F" w:rsidP="0029424F">
            <w:pPr>
              <w:pStyle w:val="PP"/>
            </w:pPr>
            <w:r>
              <w:t>PP29</w:t>
            </w:r>
          </w:p>
        </w:tc>
        <w:tc>
          <w:tcPr>
            <w:tcW w:w="4372" w:type="pct"/>
            <w:tcBorders>
              <w:left w:val="single" w:sz="4" w:space="0" w:color="auto"/>
            </w:tcBorders>
            <w:shd w:val="clear" w:color="auto" w:fill="auto"/>
          </w:tcPr>
          <w:p w14:paraId="2B1B818E" w14:textId="24F949E5" w:rsidR="0029424F" w:rsidRPr="008166BF" w:rsidRDefault="0029424F" w:rsidP="0029424F">
            <w:pPr>
              <w:pStyle w:val="PP"/>
              <w:rPr>
                <w:vertAlign w:val="superscript"/>
              </w:rPr>
            </w:pPr>
            <w:r>
              <w:t xml:space="preserve">For </w:t>
            </w:r>
            <w:r w:rsidRPr="008166BF">
              <w:t>guidance</w:t>
            </w:r>
            <w:r>
              <w:t xml:space="preserve"> on the use of FFP</w:t>
            </w:r>
            <w:r w:rsidR="004828DA">
              <w:t xml:space="preserve"> </w:t>
            </w:r>
            <w:r>
              <w:t>in specific patient groups, refer to</w:t>
            </w:r>
            <w:r w:rsidR="00B855A4">
              <w:rPr>
                <w:lang w:val="en-AU"/>
              </w:rPr>
              <w:t>:</w:t>
            </w:r>
            <w:r w:rsidRPr="008166BF">
              <w:rPr>
                <w:vertAlign w:val="superscript"/>
              </w:rPr>
              <w:t>a</w:t>
            </w:r>
          </w:p>
          <w:p w14:paraId="5945F834" w14:textId="51238536" w:rsidR="0029424F" w:rsidRPr="00886B81" w:rsidRDefault="0029424F" w:rsidP="0029424F">
            <w:pPr>
              <w:pStyle w:val="PP-bullets"/>
              <w:numPr>
                <w:ilvl w:val="0"/>
                <w:numId w:val="3"/>
              </w:numPr>
              <w:rPr>
                <w:i/>
              </w:rPr>
            </w:pPr>
            <w:r w:rsidRPr="00886B81">
              <w:rPr>
                <w:i/>
              </w:rPr>
              <w:t>Patient Blood Management Guidelines: Module 1 – Critical Bleeding/Massive Transfusion (2011)</w:t>
            </w:r>
            <w:hyperlink w:anchor="_ENREF_1" w:tooltip="National Blood Authority (NBA), 2011 #199" w:history="1">
              <w:r w:rsidR="00E62798">
                <w:rPr>
                  <w:lang w:val="en-AU"/>
                </w:rPr>
                <w:fldChar w:fldCharType="begin"/>
              </w:r>
              <w:r w:rsidR="00E62798">
                <w:rPr>
                  <w:lang w:val="en-AU"/>
                </w:rPr>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rPr>
                  <w:lang w:val="en-AU"/>
                </w:rPr>
                <w:fldChar w:fldCharType="separate"/>
              </w:r>
              <w:r w:rsidR="00E62798" w:rsidRPr="00E62798">
                <w:rPr>
                  <w:noProof/>
                  <w:vertAlign w:val="superscript"/>
                  <w:lang w:val="en-AU"/>
                </w:rPr>
                <w:t>1</w:t>
              </w:r>
              <w:r w:rsidR="00E62798">
                <w:rPr>
                  <w:lang w:val="en-AU"/>
                </w:rPr>
                <w:fldChar w:fldCharType="end"/>
              </w:r>
            </w:hyperlink>
          </w:p>
          <w:p w14:paraId="6C4FD800" w14:textId="5486E474" w:rsidR="0029424F" w:rsidRPr="00886B81" w:rsidRDefault="0029424F" w:rsidP="0029424F">
            <w:pPr>
              <w:pStyle w:val="PP-bullets"/>
              <w:numPr>
                <w:ilvl w:val="0"/>
                <w:numId w:val="3"/>
              </w:numPr>
              <w:rPr>
                <w:i/>
              </w:rPr>
            </w:pPr>
            <w:r w:rsidRPr="00886B81">
              <w:rPr>
                <w:i/>
              </w:rPr>
              <w:t>Patient Blood Management Guidelines: Module 2 – Perioperative (2012)</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4E1E7488" w14:textId="4C3BF6FA" w:rsidR="0029424F" w:rsidRPr="00886B81" w:rsidRDefault="0029424F" w:rsidP="0029424F">
            <w:pPr>
              <w:pStyle w:val="PP-bullets"/>
              <w:numPr>
                <w:ilvl w:val="0"/>
                <w:numId w:val="3"/>
              </w:numPr>
              <w:rPr>
                <w:i/>
              </w:rPr>
            </w:pPr>
            <w:r w:rsidRPr="00886B81">
              <w:rPr>
                <w:i/>
              </w:rPr>
              <w:t>Warfarin Reversal: Consensus Guidelines, on behalf of the Australasian Society of Thrombosis and Haemostasis (2004)</w:t>
            </w:r>
            <w:hyperlink w:anchor="_ENREF_15" w:tooltip="Baker, 2004 #551" w:history="1">
              <w:r w:rsidR="00E62798">
                <w:fldChar w:fldCharType="begin"/>
              </w:r>
              <w:r w:rsidR="00E62798">
                <w:instrText xml:space="preserve"> ADDIN EN.CITE &lt;EndNote&gt;&lt;Cite&gt;&lt;Author&gt;Baker&lt;/Author&gt;&lt;Year&gt;2004&lt;/Year&gt;&lt;RecNum&gt;551&lt;/RecNum&gt;&lt;DisplayText&gt;&lt;style face="superscript"&gt;15&lt;/style&gt;&lt;/DisplayText&gt;&lt;record&gt;&lt;rec-number&gt;551&lt;/rec-number&gt;&lt;foreign-keys&gt;&lt;key app="EN" db-id="9edve2wadsavt5ewavaxtda4f2tavzvts9ee" timestamp="1429939807"&gt;551&lt;/key&gt;&lt;/foreign-keys&gt;&lt;ref-type name="Journal Article"&gt;17&lt;/ref-type&gt;&lt;contributors&gt;&lt;authors&gt;&lt;author&gt;Baker, R. I.&lt;/author&gt;&lt;author&gt;Coughlin, P. B.&lt;/author&gt;&lt;author&gt;Gallus, A. S.&lt;/author&gt;&lt;author&gt;Harper, P. L.&lt;/author&gt;&lt;author&gt;Salem, H. H.&lt;/author&gt;&lt;author&gt;Wood, E. M.&lt;/author&gt;&lt;author&gt;Warfarin Reversal Consensus, Group&lt;/author&gt;&lt;/authors&gt;&lt;/contributors&gt;&lt;titles&gt;&lt;title&gt;Warfarin reversal: consensus guidelines, on behalf of the Australasian Society of Thrombosis and Haemostasis&lt;/title&gt;&lt;secondary-title&gt;The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492–497&lt;/pages&gt;&lt;volume&gt;181&lt;/volume&gt;&lt;number&gt;9&lt;/number&gt;&lt;dates&gt;&lt;year&gt;2004&lt;/year&gt;&lt;/dates&gt;&lt;isbn&gt;0025-729X&lt;/isbn&gt;&lt;urls&gt;&lt;related-urls&gt;&lt;url&gt;https://www.mja.com.au/system/files/issues/181_09_011104/bak10441_fm.pdf&lt;/url&gt;&lt;/related-urls&gt;&lt;/urls&gt;&lt;/record&gt;&lt;/Cite&gt;&lt;/EndNote&gt;</w:instrText>
              </w:r>
              <w:r w:rsidR="00E62798">
                <w:fldChar w:fldCharType="separate"/>
              </w:r>
              <w:r w:rsidR="00E62798" w:rsidRPr="00E62798">
                <w:rPr>
                  <w:noProof/>
                  <w:vertAlign w:val="superscript"/>
                </w:rPr>
                <w:t>15</w:t>
              </w:r>
              <w:r w:rsidR="00E62798">
                <w:fldChar w:fldCharType="end"/>
              </w:r>
            </w:hyperlink>
          </w:p>
          <w:p w14:paraId="01695B0E" w14:textId="77777777" w:rsidR="0029424F" w:rsidRPr="00886B81" w:rsidRDefault="0029424F" w:rsidP="0029424F">
            <w:pPr>
              <w:pStyle w:val="PP-bullets"/>
              <w:numPr>
                <w:ilvl w:val="0"/>
                <w:numId w:val="3"/>
              </w:numPr>
            </w:pPr>
            <w:r w:rsidRPr="00886B81">
              <w:t>AHCDO guidelines for patients with specific factor deficiencies (www.ahcdo.org.au)</w:t>
            </w:r>
          </w:p>
          <w:p w14:paraId="41D6CCCD" w14:textId="5EA450C1" w:rsidR="0029424F" w:rsidRPr="00886B81" w:rsidRDefault="0029424F" w:rsidP="0029424F">
            <w:pPr>
              <w:pStyle w:val="PP-bullets"/>
              <w:numPr>
                <w:ilvl w:val="0"/>
                <w:numId w:val="3"/>
              </w:numPr>
              <w:rPr>
                <w:i/>
              </w:rPr>
            </w:pPr>
            <w:r w:rsidRPr="00886B81">
              <w:rPr>
                <w:i/>
              </w:rPr>
              <w:t>Guidelines for the Use of Fresh-Frozen Plasma, Cryoprecipitate and Cryosupernatant (2004)</w:t>
            </w:r>
            <w:r w:rsidR="00B855A4">
              <w:rPr>
                <w:lang w:val="en-AU"/>
              </w:rPr>
              <w:t>.</w:t>
            </w:r>
            <w:hyperlink w:anchor="_ENREF_16" w:tooltip="O'Shaughnessy, 2004 #1046" w:history="1">
              <w:r w:rsidR="00E62798">
                <w:fldChar w:fldCharType="begin"/>
              </w:r>
              <w:r w:rsidR="00E62798">
                <w:instrText xml:space="preserve"> ADDIN EN.CITE &lt;EndNote&gt;&lt;Cite&gt;&lt;Author&gt;O&amp;apos;Shaughnessy&lt;/Author&gt;&lt;Year&gt;2004&lt;/Year&gt;&lt;RecNum&gt;1046&lt;/RecNum&gt;&lt;DisplayText&gt;&lt;style face="superscript"&gt;16&lt;/style&gt;&lt;/DisplayText&gt;&lt;record&gt;&lt;rec-number&gt;1046&lt;/rec-number&gt;&lt;foreign-keys&gt;&lt;key app="EN" db-id="9edve2wadsavt5ewavaxtda4f2tavzvts9ee" timestamp="1438836074"&gt;1046&lt;/key&gt;&lt;/foreign-keys&gt;&lt;ref-type name="Journal Article"&gt;17&lt;/ref-type&gt;&lt;contributors&gt;&lt;authors&gt;&lt;author&gt;O&amp;apos;Shaughnessy, D. F.&lt;/author&gt;&lt;author&gt;Atterbury, C.&lt;/author&gt;&lt;author&gt;Bolton Maggs, P.&lt;/author&gt;&lt;author&gt;Murphy, M.&lt;/author&gt;&lt;author&gt;Thomas, D.&lt;/author&gt;&lt;author&gt;Yates, S.&lt;/author&gt;&lt;author&gt;Williamson, L. M.&lt;/author&gt;&lt;author&gt;British Committee for Standards in Haematology, Blood Transfusion Task Force&lt;/author&gt;&lt;/authors&gt;&lt;/contributors&gt;&lt;auth-address&gt;Southampton University Hospitals, Southampton, UK.&lt;/auth-address&gt;&lt;titles&gt;&lt;title&gt;Guidelines for the use of fresh-frozen plasma, cryoprecipitate and cryosupernatant&lt;/title&gt;&lt;secondary-title&gt;Br J Haematol&lt;/secondary-title&gt;&lt;/titles&gt;&lt;periodical&gt;&lt;full-title&gt;Br J Haematol&lt;/full-title&gt;&lt;abbr-1&gt;British journal of haematology&lt;/abbr-1&gt;&lt;/periodical&gt;&lt;pages&gt;11-28&lt;/pages&gt;&lt;volume&gt;126&lt;/volume&gt;&lt;number&gt;1&lt;/number&gt;&lt;keywords&gt;&lt;keyword&gt;Adult&lt;/keyword&gt;&lt;keyword&gt;Blood Coagulation Disorders/*therapy&lt;/keyword&gt;&lt;keyword&gt;Blood Component Transfusion/*methods&lt;/keyword&gt;&lt;keyword&gt;Child&lt;/keyword&gt;&lt;keyword&gt;Humans&lt;/keyword&gt;&lt;keyword&gt;*Patient Selection&lt;/keyword&gt;&lt;keyword&gt;*Plasma&lt;/keyword&gt;&lt;/keywords&gt;&lt;dates&gt;&lt;year&gt;2004&lt;/year&gt;&lt;pub-dates&gt;&lt;date&gt;Jul&lt;/date&gt;&lt;/pub-dates&gt;&lt;/dates&gt;&lt;isbn&gt;0007-1048 (Print)&amp;#xD;0007-1048 (Linking)&lt;/isbn&gt;&lt;accession-num&gt;15198728&lt;/accession-num&gt;&lt;urls&gt;&lt;related-urls&gt;&lt;url&gt;http://www.ncbi.nlm.nih.gov/pubmed/15198728&lt;/url&gt;&lt;/related-urls&gt;&lt;/urls&gt;&lt;electronic-resource-num&gt;10.1111/j.1365-2141.2004.04972.x&lt;/electronic-resource-num&gt;&lt;/record&gt;&lt;/Cite&gt;&lt;/EndNote&gt;</w:instrText>
              </w:r>
              <w:r w:rsidR="00E62798">
                <w:fldChar w:fldCharType="separate"/>
              </w:r>
              <w:r w:rsidR="00E62798" w:rsidRPr="00E62798">
                <w:rPr>
                  <w:noProof/>
                  <w:vertAlign w:val="superscript"/>
                </w:rPr>
                <w:t>16</w:t>
              </w:r>
              <w:r w:rsidR="00E62798">
                <w:fldChar w:fldCharType="end"/>
              </w:r>
            </w:hyperlink>
          </w:p>
          <w:p w14:paraId="3A4E378E" w14:textId="389F3F70" w:rsidR="0029424F" w:rsidRPr="00F921CD" w:rsidRDefault="0029424F" w:rsidP="00E62798">
            <w:pPr>
              <w:pStyle w:val="PP-note"/>
            </w:pPr>
            <w:r w:rsidRPr="00556A3E">
              <w:rPr>
                <w:vertAlign w:val="superscript"/>
              </w:rPr>
              <w:t>a</w:t>
            </w:r>
            <w:r>
              <w:t xml:space="preserve"> </w:t>
            </w:r>
            <w:r w:rsidR="00CE5AC9">
              <w:t>See</w:t>
            </w:r>
            <w:r>
              <w:t xml:space="preserve"> PP17 from </w:t>
            </w:r>
            <w:r w:rsidRPr="008166BF">
              <w:rPr>
                <w:i/>
              </w:rPr>
              <w:t xml:space="preserve">Patient Blood Management Guidelines: Module </w:t>
            </w:r>
            <w:r>
              <w:rPr>
                <w:i/>
              </w:rPr>
              <w:t>3 – Medical</w:t>
            </w:r>
            <w:r w:rsidR="00F023A6">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F00BFD" w:rsidRPr="00F921CD" w14:paraId="4E815FCA" w14:textId="77777777" w:rsidTr="00F269FB">
        <w:tc>
          <w:tcPr>
            <w:tcW w:w="628" w:type="pct"/>
            <w:tcBorders>
              <w:right w:val="single" w:sz="4" w:space="0" w:color="auto"/>
            </w:tcBorders>
            <w:shd w:val="clear" w:color="auto" w:fill="auto"/>
          </w:tcPr>
          <w:p w14:paraId="677D6280" w14:textId="77777777" w:rsidR="00F00BFD" w:rsidRDefault="00F00BFD" w:rsidP="00F269FB">
            <w:pPr>
              <w:pStyle w:val="PP"/>
            </w:pPr>
            <w:r>
              <w:t>PP30</w:t>
            </w:r>
          </w:p>
          <w:p w14:paraId="22ACAB63" w14:textId="77777777" w:rsidR="00EC0D3F" w:rsidRPr="00F921CD" w:rsidDel="00F053AA" w:rsidRDefault="00EC0D3F" w:rsidP="00F269FB">
            <w:pPr>
              <w:pStyle w:val="PP"/>
            </w:pPr>
          </w:p>
        </w:tc>
        <w:tc>
          <w:tcPr>
            <w:tcW w:w="4372" w:type="pct"/>
            <w:tcBorders>
              <w:left w:val="single" w:sz="4" w:space="0" w:color="auto"/>
            </w:tcBorders>
            <w:shd w:val="clear" w:color="auto" w:fill="auto"/>
          </w:tcPr>
          <w:p w14:paraId="5537B554" w14:textId="59349B79" w:rsidR="00F00BFD" w:rsidRPr="00B855A4" w:rsidRDefault="00F00BFD" w:rsidP="00F269FB">
            <w:pPr>
              <w:pStyle w:val="PP"/>
              <w:rPr>
                <w:vertAlign w:val="superscript"/>
                <w:lang w:val="en-AU"/>
              </w:rPr>
            </w:pPr>
            <w:r>
              <w:t xml:space="preserve">In patients undergoing chemotherapy and haematopoietic stem cell transplantation, the recommended strategy for prophylactic use of platelets is transfusion at a platelet count of &lt;10 </w:t>
            </w:r>
            <w:r w:rsidR="00EC0D3F">
              <w:t>×</w:t>
            </w:r>
            <w:r>
              <w:t xml:space="preserve"> 10</w:t>
            </w:r>
            <w:r w:rsidRPr="008166BF">
              <w:rPr>
                <w:vertAlign w:val="superscript"/>
              </w:rPr>
              <w:t>9</w:t>
            </w:r>
            <w:r>
              <w:t xml:space="preserve">/L in the absence of risk factors, and at &lt;20 </w:t>
            </w:r>
            <w:r w:rsidR="00EC0D3F">
              <w:t>×</w:t>
            </w:r>
            <w:r>
              <w:t xml:space="preserve"> 10</w:t>
            </w:r>
            <w:r w:rsidRPr="008166BF">
              <w:rPr>
                <w:vertAlign w:val="superscript"/>
              </w:rPr>
              <w:t>9</w:t>
            </w:r>
            <w:r>
              <w:t>/L in the presence of risk factors (e.g. fever, minor bleeding)</w:t>
            </w:r>
            <w:r w:rsidR="00556A3E">
              <w:rPr>
                <w:lang w:val="en-AU"/>
              </w:rPr>
              <w:t>.</w:t>
            </w:r>
            <w:r w:rsidR="00B855A4">
              <w:rPr>
                <w:vertAlign w:val="superscript"/>
                <w:lang w:val="en-AU"/>
              </w:rPr>
              <w:t>a</w:t>
            </w:r>
          </w:p>
          <w:p w14:paraId="5534327A" w14:textId="7BF047D5" w:rsidR="00F00BFD" w:rsidRPr="00F921CD" w:rsidRDefault="00F00BFD" w:rsidP="00E62798">
            <w:pPr>
              <w:pStyle w:val="PP-note"/>
            </w:pPr>
            <w:r w:rsidRPr="00556A3E">
              <w:rPr>
                <w:vertAlign w:val="superscript"/>
              </w:rPr>
              <w:t>a</w:t>
            </w:r>
            <w:r>
              <w:t xml:space="preserve"> </w:t>
            </w:r>
            <w:r w:rsidR="00CE5AC9">
              <w:t>See</w:t>
            </w:r>
            <w:r>
              <w:t xml:space="preserve"> R8 from </w:t>
            </w:r>
            <w:r w:rsidRPr="001B2CED">
              <w:rPr>
                <w:i/>
              </w:rPr>
              <w:t>Patient Blood Management Guidelines: Module 3 – Medical</w:t>
            </w:r>
            <w:r w:rsidR="00B855A4">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F00BFD" w:rsidRPr="00F921CD" w14:paraId="6A3AFD6B" w14:textId="77777777" w:rsidTr="00F269FB">
        <w:trPr>
          <w:trHeight w:val="397"/>
        </w:trPr>
        <w:tc>
          <w:tcPr>
            <w:tcW w:w="5000" w:type="pct"/>
            <w:gridSpan w:val="2"/>
            <w:shd w:val="clear" w:color="auto" w:fill="auto"/>
          </w:tcPr>
          <w:p w14:paraId="5444B0AF" w14:textId="1DF95C25" w:rsidR="00F00BFD" w:rsidRPr="00F921CD" w:rsidRDefault="00062DF6" w:rsidP="00F269FB">
            <w:pPr>
              <w:pStyle w:val="PP-note"/>
            </w:pPr>
            <w:r>
              <w:rPr>
                <w:rStyle w:val="TablefootnoteChar"/>
                <w:rFonts w:ascii="Calibri" w:hAnsi="Calibri"/>
                <w:sz w:val="19"/>
                <w:szCs w:val="19"/>
                <w:lang w:eastAsia="en-AU"/>
              </w:rPr>
              <w:t xml:space="preserve">AHCDO, </w:t>
            </w:r>
            <w:r>
              <w:t>Australian Haemophilia Centre Directors' Organisation</w:t>
            </w:r>
            <w:r>
              <w:rPr>
                <w:rStyle w:val="TablefootnoteChar"/>
                <w:rFonts w:ascii="Calibri" w:hAnsi="Calibri"/>
                <w:sz w:val="19"/>
                <w:szCs w:val="19"/>
                <w:lang w:eastAsia="en-AU"/>
              </w:rPr>
              <w:t xml:space="preserve">; </w:t>
            </w:r>
            <w:r w:rsidR="00F00BFD" w:rsidRPr="00F921CD">
              <w:t>FFP, fresh frozen plasma; PP, practice point</w:t>
            </w:r>
          </w:p>
        </w:tc>
      </w:tr>
    </w:tbl>
    <w:p w14:paraId="7418D586" w14:textId="77777777" w:rsidR="00F00BFD" w:rsidRPr="008166BF" w:rsidRDefault="00F00BFD" w:rsidP="00F00BFD">
      <w:pPr>
        <w:rPr>
          <w:lang w:val="en-GB" w:eastAsia="en-GB"/>
        </w:rPr>
      </w:pPr>
    </w:p>
    <w:p w14:paraId="77C465D8" w14:textId="77777777" w:rsidR="00F00BFD" w:rsidRDefault="00F00BFD" w:rsidP="00F269FB">
      <w:pPr>
        <w:pStyle w:val="Heading4"/>
      </w:pPr>
      <w:r>
        <w:t>Summary of evidence</w:t>
      </w:r>
    </w:p>
    <w:p w14:paraId="44840C86" w14:textId="77777777" w:rsidR="00F00BFD" w:rsidRPr="00C25C6E" w:rsidRDefault="00F00BFD" w:rsidP="00F00BFD">
      <w:pPr>
        <w:pStyle w:val="Heading5"/>
        <w:rPr>
          <w:lang w:val="en-AU"/>
        </w:rPr>
      </w:pPr>
      <w:r>
        <w:t>Level I evidence</w:t>
      </w:r>
    </w:p>
    <w:p w14:paraId="18E150AA" w14:textId="4381B1BA" w:rsidR="00F00BFD" w:rsidRPr="006C0F13" w:rsidRDefault="00F269FB" w:rsidP="00F269FB">
      <w:r>
        <w:t>One good</w:t>
      </w:r>
      <w:r w:rsidR="00E6680C">
        <w:t>-quality</w:t>
      </w:r>
      <w:r>
        <w:t xml:space="preserve"> Level I study </w:t>
      </w:r>
      <w:r w:rsidR="00F00BFD">
        <w:t>was identified</w:t>
      </w:r>
      <w:r w:rsidR="00EC0D3F">
        <w:t>.</w:t>
      </w:r>
      <w:hyperlink w:anchor="_ENREF_144" w:tooltip="Estcourt, 2012 #134" w:history="1">
        <w:r w:rsidR="00E62798">
          <w:fldChar w:fldCharType="begin"/>
        </w:r>
        <w:r w:rsidR="00E62798">
          <w:instrText xml:space="preserve"> ADDIN EN.CITE &lt;EndNote&gt;&lt;Cite&gt;&lt;Author&gt;Estcourt&lt;/Author&gt;&lt;Year&gt;2012&lt;/Year&gt;&lt;RecNum&gt;134&lt;/RecNum&gt;&lt;DisplayText&gt;&lt;style face="superscript"&gt;144&lt;/style&gt;&lt;/DisplayText&gt;&lt;record&gt;&lt;rec-number&gt;134&lt;/rec-number&gt;&lt;foreign-keys&gt;&lt;key app="EN" db-id="9edve2wadsavt5ewavaxtda4f2tavzvts9ee" timestamp="1426550421"&gt;134&lt;/key&gt;&lt;/foreign-keys&gt;&lt;ref-type name="Journal Article"&gt;17&lt;/ref-type&gt;&lt;contributors&gt;&lt;authors&gt;&lt;author&gt;Estcourt, Lise&lt;/author&gt;&lt;author&gt;Stanworth, Simon&lt;/author&gt;&lt;author&gt;Doree, Carolyn&lt;/author&gt;&lt;author&gt;Hopewell, Sally&lt;/author&gt;&lt;author&gt;Murphy, Michael F.&lt;/author&gt;&lt;author&gt;Tinmouth, Alan&lt;/author&gt;&lt;author&gt;Heddle, Nancy&lt;/author&gt;&lt;/authors&gt;&lt;/contributors&gt;&lt;titles&gt;&lt;title&gt;Prophylactic platelet transfusion for prevention of bleeding in patients with haematological disorders after chemotherapy and stem cell transplantation&lt;/title&gt;&lt;secondary-title&gt;Cochrane Database of Systematic Reviews&lt;/secondary-title&gt;&lt;/titles&gt;&lt;periodical&gt;&lt;full-title&gt;Cochrane Database of Systematic Reviews&lt;/full-title&gt;&lt;abbr-1&gt;Cochrane Database Syst. Rev.&lt;/abbr-1&gt;&lt;/periodical&gt;&lt;volume&gt;16&lt;/volume&gt;&lt;number&gt;5&lt;/number&gt;&lt;keywords&gt;&lt;keyword&gt;Cochrane Reviews&lt;/keyword&gt;&lt;keyword&gt;Cochrane12Mar14&lt;/keyword&gt;&lt;/keywords&gt;&lt;dates&gt;&lt;year&gt;2012&lt;/year&gt;&lt;pub-dates&gt;&lt;date&gt;May&lt;/date&gt;&lt;/pub-dates&gt;&lt;/dates&gt;&lt;urls&gt;&lt;related-urls&gt;&lt;url&gt;http://www.ncbi.nlm.nih.gov/pubmed/22592695&lt;/url&gt;&lt;/related-urls&gt;&lt;/urls&gt;&lt;access-date&gt;13 April 2015&lt;/access-date&gt;&lt;/record&gt;&lt;/Cite&gt;&lt;/EndNote&gt;</w:instrText>
        </w:r>
        <w:r w:rsidR="00E62798">
          <w:fldChar w:fldCharType="separate"/>
        </w:r>
        <w:r w:rsidR="00E62798" w:rsidRPr="00E62798">
          <w:rPr>
            <w:noProof/>
            <w:vertAlign w:val="superscript"/>
          </w:rPr>
          <w:t>144</w:t>
        </w:r>
        <w:r w:rsidR="00E62798">
          <w:fldChar w:fldCharType="end"/>
        </w:r>
      </w:hyperlink>
      <w:r>
        <w:t xml:space="preserve"> Of the 13 studies included in the review</w:t>
      </w:r>
      <w:r w:rsidR="00F00BFD" w:rsidRPr="006C0F13">
        <w:t>, two were in solely paediatric populations</w:t>
      </w:r>
      <w:r w:rsidR="00E6680C" w:rsidRPr="00E6680C">
        <w:t xml:space="preserve"> </w:t>
      </w:r>
      <w:r w:rsidR="00E6680C">
        <w:t>and involved children hospitalised with previously untreated acute myeloid leukaemia or acute lymphoblastic leukaemia</w:t>
      </w:r>
      <w:r>
        <w:t>.</w:t>
      </w:r>
      <w:hyperlink w:anchor="_ENREF_145" w:tooltip="Roy, 1973 #1048" w:history="1">
        <w:r w:rsidR="00E62798">
          <w:fldChar w:fldCharType="begin">
            <w:fldData xml:space="preserve">PEVuZE5vdGU+PENpdGU+PEF1dGhvcj5Sb3k8L0F1dGhvcj48WWVhcj4xOTczPC9ZZWFyPjxSZWNO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</w:fldData>
          </w:fldChar>
        </w:r>
        <w:r w:rsidR="00E62798">
          <w:instrText xml:space="preserve"> ADDIN EN.CITE </w:instrText>
        </w:r>
        <w:r w:rsidR="00E62798">
          <w:fldChar w:fldCharType="begin">
            <w:fldData xml:space="preserve">PEVuZE5vdGU+PENpdGU+PEF1dGhvcj5Sb3k8L0F1dGhvcj48WWVhcj4xOTczPC9ZZWFyPjxSZWNO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145-146</w:t>
        </w:r>
        <w:r w:rsidR="00E62798">
          <w:fldChar w:fldCharType="end"/>
        </w:r>
      </w:hyperlink>
      <w:r>
        <w:t xml:space="preserve"> </w:t>
      </w:r>
      <w:r w:rsidR="00E6680C">
        <w:t>Only one study met our inclusion criteria.</w:t>
      </w:r>
      <w:hyperlink w:anchor="_ENREF_146" w:tooltip="Murphy, 1982 #1047" w:history="1">
        <w:r w:rsidR="00E62798">
          <w:fldChar w:fldCharType="begin"/>
        </w:r>
        <w:r w:rsidR="00E62798">
          <w:instrText xml:space="preserve"> ADDIN EN.CITE &lt;EndNote&gt;&lt;Cite&gt;&lt;Author&gt;Murphy&lt;/Author&gt;&lt;Year&gt;1982&lt;/Year&gt;&lt;RecNum&gt;1047&lt;/RecNum&gt;&lt;DisplayText&gt;&lt;style face="superscript"&gt;146&lt;/style&gt;&lt;/DisplayText&gt;&lt;record&gt;&lt;rec-number&gt;1047&lt;/rec-number&gt;&lt;foreign-keys&gt;&lt;key app="EN" db-id="9edve2wadsavt5ewavaxtda4f2tavzvts9ee" timestamp="1438837326"&gt;1047&lt;/key&gt;&lt;/foreign-keys&gt;&lt;ref-type name="Journal Article"&gt;17&lt;/ref-type&gt;&lt;contributors&gt;&lt;authors&gt;&lt;author&gt;Murphy, S.&lt;/author&gt;&lt;author&gt;Litwin, S.&lt;/author&gt;&lt;author&gt;Herring, L. M.&lt;/author&gt;&lt;author&gt;Koch, P.&lt;/author&gt;&lt;author&gt;Remischovsky, J.&lt;/author&gt;&lt;author&gt;Donaldson, M. H.&lt;/author&gt;&lt;author&gt;Evans, A. E.&lt;/author&gt;&lt;author&gt;Gardner, F. H.&lt;/author&gt;&lt;/authors&gt;&lt;/contributors&gt;&lt;titles&gt;&lt;title&gt;Indications for platelet transfusion in children with acute leukemia&lt;/title&gt;&lt;secondary-title&gt;Am J Hematol&lt;/secondary-title&gt;&lt;/titles&gt;&lt;periodical&gt;&lt;full-title&gt;Am J Hematol&lt;/full-title&gt;&lt;/periodical&gt;&lt;pages&gt;347-56&lt;/pages&gt;&lt;volume&gt;12&lt;/volume&gt;&lt;number&gt;4&lt;/number&gt;&lt;keywords&gt;&lt;keyword&gt;Actuarial Analysis&lt;/keyword&gt;&lt;keyword&gt;Acute Disease&lt;/keyword&gt;&lt;keyword&gt;*Blood Transfusion&lt;/keyword&gt;&lt;keyword&gt;Central Nervous System/physiopathology&lt;/keyword&gt;&lt;keyword&gt;Child&lt;/keyword&gt;&lt;keyword&gt;Child, Preschool&lt;/keyword&gt;&lt;keyword&gt;Gastrointestinal Hemorrhage/complications/therapy&lt;/keyword&gt;&lt;keyword&gt;Humans&lt;/keyword&gt;&lt;keyword&gt;Leukemia/blood/complications/*therapy&lt;/keyword&gt;&lt;keyword&gt;Leukemia, Lymphoid/blood/complications/therapy&lt;/keyword&gt;&lt;keyword&gt;Platelet Count&lt;/keyword&gt;&lt;keyword&gt;*Platelet Transfusion&lt;/keyword&gt;&lt;keyword&gt;Random Allocation&lt;/keyword&gt;&lt;keyword&gt;Thrombocytopenia/blood/complications/therapy&lt;/keyword&gt;&lt;keyword&gt;Urogenital System/physiopathology&lt;/keyword&gt;&lt;/keywords&gt;&lt;dates&gt;&lt;year&gt;1982&lt;/year&gt;&lt;pub-dates&gt;&lt;date&gt;Jun&lt;/date&gt;&lt;/pub-dates&gt;&lt;/dates&gt;&lt;isbn&gt;0361-8609 (Print)&amp;#xD;0361-8609 (Linking)&lt;/isbn&gt;&lt;accession-num&gt;6981349&lt;/accession-num&gt;&lt;urls&gt;&lt;related-urls&gt;&lt;url&gt;http://www.ncbi.nlm.nih.gov/pubmed/6981349&lt;/url&gt;&lt;/related-urls&gt;&lt;/urls&gt;&lt;/record&gt;&lt;/Cite&gt;&lt;/EndNote&gt;</w:instrText>
        </w:r>
        <w:r w:rsidR="00E62798">
          <w:fldChar w:fldCharType="separate"/>
        </w:r>
        <w:r w:rsidR="00E62798" w:rsidRPr="00E62798">
          <w:rPr>
            <w:noProof/>
            <w:vertAlign w:val="superscript"/>
          </w:rPr>
          <w:t>146</w:t>
        </w:r>
        <w:r w:rsidR="00E62798">
          <w:fldChar w:fldCharType="end"/>
        </w:r>
      </w:hyperlink>
      <w:r w:rsidR="00E6680C">
        <w:t xml:space="preserve"> The review authors rated this study as having an overall unclear risk of bias.</w:t>
      </w:r>
    </w:p>
    <w:p w14:paraId="3FE2A48A" w14:textId="74EE86F1" w:rsidR="00F00BFD" w:rsidRDefault="00F269FB" w:rsidP="00533AC5">
      <w:pPr>
        <w:rPr>
          <w:lang w:eastAsia="en-GB"/>
        </w:rPr>
      </w:pPr>
      <w:r>
        <w:t>T</w:t>
      </w:r>
      <w:r w:rsidR="00E6680C">
        <w:t>he study by Murphy et al (1982)</w:t>
      </w:r>
      <w:hyperlink w:anchor="_ENREF_146" w:tooltip="Murphy, 1982 #1047" w:history="1">
        <w:r w:rsidR="00E62798">
          <w:fldChar w:fldCharType="begin"/>
        </w:r>
        <w:r w:rsidR="00E62798">
          <w:instrText xml:space="preserve"> ADDIN EN.CITE &lt;EndNote&gt;&lt;Cite&gt;&lt;Author&gt;Murphy&lt;/Author&gt;&lt;Year&gt;1982&lt;/Year&gt;&lt;RecNum&gt;1047&lt;/RecNum&gt;&lt;DisplayText&gt;&lt;style face="superscript"&gt;146&lt;/style&gt;&lt;/DisplayText&gt;&lt;record&gt;&lt;rec-number&gt;1047&lt;/rec-number&gt;&lt;foreign-keys&gt;&lt;key app="EN" db-id="9edve2wadsavt5ewavaxtda4f2tavzvts9ee" timestamp="1438837326"&gt;1047&lt;/key&gt;&lt;/foreign-keys&gt;&lt;ref-type name="Journal Article"&gt;17&lt;/ref-type&gt;&lt;contributors&gt;&lt;authors&gt;&lt;author&gt;Murphy, S.&lt;/author&gt;&lt;author&gt;Litwin, S.&lt;/author&gt;&lt;author&gt;Herring, L. M.&lt;/author&gt;&lt;author&gt;Koch, P.&lt;/author&gt;&lt;author&gt;Remischovsky, J.&lt;/author&gt;&lt;author&gt;Donaldson, M. H.&lt;/author&gt;&lt;author&gt;Evans, A. E.&lt;/author&gt;&lt;author&gt;Gardner, F. H.&lt;/author&gt;&lt;/authors&gt;&lt;/contributors&gt;&lt;titles&gt;&lt;title&gt;Indications for platelet transfusion in children with acute leukemia&lt;/title&gt;&lt;secondary-title&gt;Am J Hematol&lt;/secondary-title&gt;&lt;/titles&gt;&lt;periodical&gt;&lt;full-title&gt;Am J Hematol&lt;/full-title&gt;&lt;/periodical&gt;&lt;pages&gt;347-56&lt;/pages&gt;&lt;volume&gt;12&lt;/volume&gt;&lt;number&gt;4&lt;/number&gt;&lt;keywords&gt;&lt;keyword&gt;Actuarial Analysis&lt;/keyword&gt;&lt;keyword&gt;Acute Disease&lt;/keyword&gt;&lt;keyword&gt;*Blood Transfusion&lt;/keyword&gt;&lt;keyword&gt;Central Nervous System/physiopathology&lt;/keyword&gt;&lt;keyword&gt;Child&lt;/keyword&gt;&lt;keyword&gt;Child, Preschool&lt;/keyword&gt;&lt;keyword&gt;Gastrointestinal Hemorrhage/complications/therapy&lt;/keyword&gt;&lt;keyword&gt;Humans&lt;/keyword&gt;&lt;keyword&gt;Leukemia/blood/complications/*therapy&lt;/keyword&gt;&lt;keyword&gt;Leukemia, Lymphoid/blood/complications/therapy&lt;/keyword&gt;&lt;keyword&gt;Platelet Count&lt;/keyword&gt;&lt;keyword&gt;*Platelet Transfusion&lt;/keyword&gt;&lt;keyword&gt;Random Allocation&lt;/keyword&gt;&lt;keyword&gt;Thrombocytopenia/blood/complications/therapy&lt;/keyword&gt;&lt;keyword&gt;Urogenital System/physiopathology&lt;/keyword&gt;&lt;/keywords&gt;&lt;dates&gt;&lt;year&gt;1982&lt;/year&gt;&lt;pub-dates&gt;&lt;date&gt;Jun&lt;/date&gt;&lt;/pub-dates&gt;&lt;/dates&gt;&lt;isbn&gt;0361-8609 (Print)&amp;#xD;0361-8609 (Linking)&lt;/isbn&gt;&lt;accession-num&gt;6981349&lt;/accession-num&gt;&lt;urls&gt;&lt;related-urls&gt;&lt;url&gt;http://www.ncbi.nlm.nih.gov/pubmed/6981349&lt;/url&gt;&lt;/related-urls&gt;&lt;/urls&gt;&lt;/record&gt;&lt;/Cite&gt;&lt;/EndNote&gt;</w:instrText>
        </w:r>
        <w:r w:rsidR="00E62798">
          <w:fldChar w:fldCharType="separate"/>
        </w:r>
        <w:r w:rsidR="00E62798" w:rsidRPr="00E62798">
          <w:rPr>
            <w:noProof/>
            <w:vertAlign w:val="superscript"/>
          </w:rPr>
          <w:t>146</w:t>
        </w:r>
        <w:r w:rsidR="00E62798">
          <w:fldChar w:fldCharType="end"/>
        </w:r>
      </w:hyperlink>
      <w:r>
        <w:t xml:space="preserve"> </w:t>
      </w:r>
      <w:r w:rsidR="00F00BFD">
        <w:rPr>
          <w:lang w:eastAsia="en-GB"/>
        </w:rPr>
        <w:t xml:space="preserve">investigated the effect of </w:t>
      </w:r>
      <w:r w:rsidR="00F00BFD" w:rsidRPr="00386C61">
        <w:rPr>
          <w:lang w:eastAsia="en-GB"/>
        </w:rPr>
        <w:t xml:space="preserve">therapeutic platelet transfusions (administered </w:t>
      </w:r>
      <w:r w:rsidR="00F00BFD">
        <w:rPr>
          <w:lang w:eastAsia="en-GB"/>
        </w:rPr>
        <w:t>only in presence of bleeding) compared with a</w:t>
      </w:r>
      <w:r w:rsidR="00F00BFD" w:rsidRPr="00386C61">
        <w:rPr>
          <w:lang w:eastAsia="en-GB"/>
        </w:rPr>
        <w:t xml:space="preserve"> prophylactic </w:t>
      </w:r>
      <w:r w:rsidR="00F00BFD">
        <w:rPr>
          <w:lang w:eastAsia="en-GB"/>
        </w:rPr>
        <w:t>platelet transfusion</w:t>
      </w:r>
      <w:r>
        <w:rPr>
          <w:lang w:eastAsia="en-GB"/>
        </w:rPr>
        <w:t xml:space="preserve">, </w:t>
      </w:r>
      <w:r w:rsidR="00F00BFD" w:rsidRPr="00386C61">
        <w:rPr>
          <w:lang w:eastAsia="en-GB"/>
        </w:rPr>
        <w:t>administered to maintain platelet count above 20 </w:t>
      </w:r>
      <w:r>
        <w:rPr>
          <w:lang w:eastAsia="en-GB"/>
        </w:rPr>
        <w:t xml:space="preserve">× </w:t>
      </w:r>
      <w:r w:rsidR="00F00BFD" w:rsidRPr="00386C61">
        <w:rPr>
          <w:lang w:eastAsia="en-GB"/>
        </w:rPr>
        <w:t>10</w:t>
      </w:r>
      <w:r w:rsidR="00F00BFD" w:rsidRPr="00386C61">
        <w:rPr>
          <w:vertAlign w:val="superscript"/>
          <w:lang w:eastAsia="en-GB"/>
        </w:rPr>
        <w:t>9</w:t>
      </w:r>
      <w:r w:rsidR="00F00BFD" w:rsidRPr="00386C61">
        <w:rPr>
          <w:lang w:eastAsia="en-GB"/>
        </w:rPr>
        <w:t>/L</w:t>
      </w:r>
      <w:r>
        <w:rPr>
          <w:lang w:eastAsia="en-GB"/>
        </w:rPr>
        <w:t xml:space="preserve">, </w:t>
      </w:r>
      <w:r w:rsidR="00F00BFD">
        <w:rPr>
          <w:lang w:eastAsia="en-GB"/>
        </w:rPr>
        <w:t xml:space="preserve">on </w:t>
      </w:r>
      <w:r>
        <w:rPr>
          <w:lang w:eastAsia="en-GB"/>
        </w:rPr>
        <w:t xml:space="preserve">all- </w:t>
      </w:r>
      <w:r w:rsidR="00F00BFD">
        <w:rPr>
          <w:lang w:eastAsia="en-GB"/>
        </w:rPr>
        <w:t>mortality</w:t>
      </w:r>
      <w:r>
        <w:rPr>
          <w:lang w:eastAsia="en-GB"/>
        </w:rPr>
        <w:t xml:space="preserve"> (from all causes and bleeding)</w:t>
      </w:r>
      <w:r w:rsidR="00F00BFD">
        <w:rPr>
          <w:lang w:eastAsia="en-GB"/>
        </w:rPr>
        <w:t xml:space="preserve">. </w:t>
      </w:r>
    </w:p>
    <w:p w14:paraId="74CF0C75" w14:textId="77777777" w:rsidR="00F00BFD" w:rsidRPr="00A215E3" w:rsidRDefault="00F00BFD" w:rsidP="00F00BFD">
      <w:pPr>
        <w:pStyle w:val="Heading5"/>
      </w:pPr>
      <w:r w:rsidRPr="00A215E3">
        <w:t>Mortality</w:t>
      </w:r>
    </w:p>
    <w:p w14:paraId="461DEBE6" w14:textId="1904DFF5" w:rsidR="00F00BFD" w:rsidRPr="005460CC" w:rsidRDefault="00533AC5" w:rsidP="00533AC5">
      <w:r>
        <w:t>The study</w:t>
      </w:r>
      <w:r w:rsidR="00F00BFD" w:rsidRPr="005460CC">
        <w:t xml:space="preserve"> reported no significant difference on mortality </w:t>
      </w:r>
      <w:r w:rsidR="00F00BFD">
        <w:t>overall and due to bleeding; however</w:t>
      </w:r>
      <w:r>
        <w:t>,</w:t>
      </w:r>
      <w:r w:rsidR="00F00BFD">
        <w:t xml:space="preserve"> </w:t>
      </w:r>
      <w:r>
        <w:t>it was underpowered.</w:t>
      </w:r>
      <w:hyperlink w:anchor="_ENREF_146" w:tooltip="Murphy, 1982 #1047" w:history="1">
        <w:r w:rsidR="00E62798">
          <w:fldChar w:fldCharType="begin"/>
        </w:r>
        <w:r w:rsidR="00E62798">
          <w:instrText xml:space="preserve"> ADDIN EN.CITE &lt;EndNote&gt;&lt;Cite&gt;&lt;Author&gt;Murphy&lt;/Author&gt;&lt;Year&gt;1982&lt;/Year&gt;&lt;RecNum&gt;1047&lt;/RecNum&gt;&lt;DisplayText&gt;&lt;style face="superscript"&gt;146&lt;/style&gt;&lt;/DisplayText&gt;&lt;record&gt;&lt;rec-number&gt;1047&lt;/rec-number&gt;&lt;foreign-keys&gt;&lt;key app="EN" db-id="9edve2wadsavt5ewavaxtda4f2tavzvts9ee" timestamp="1438837326"&gt;1047&lt;/key&gt;&lt;/foreign-keys&gt;&lt;ref-type name="Journal Article"&gt;17&lt;/ref-type&gt;&lt;contributors&gt;&lt;authors&gt;&lt;author&gt;Murphy, S.&lt;/author&gt;&lt;author&gt;Litwin, S.&lt;/author&gt;&lt;author&gt;Herring, L. M.&lt;/author&gt;&lt;author&gt;Koch, P.&lt;/author&gt;&lt;author&gt;Remischovsky, J.&lt;/author&gt;&lt;author&gt;Donaldson, M. H.&lt;/author&gt;&lt;author&gt;Evans, A. E.&lt;/author&gt;&lt;author&gt;Gardner, F. H.&lt;/author&gt;&lt;/authors&gt;&lt;/contributors&gt;&lt;titles&gt;&lt;title&gt;Indications for platelet transfusion in children with acute leukemia&lt;/title&gt;&lt;secondary-title&gt;Am J Hematol&lt;/secondary-title&gt;&lt;/titles&gt;&lt;periodical&gt;&lt;full-title&gt;Am J Hematol&lt;/full-title&gt;&lt;/periodical&gt;&lt;pages&gt;347-56&lt;/pages&gt;&lt;volume&gt;12&lt;/volume&gt;&lt;number&gt;4&lt;/number&gt;&lt;keywords&gt;&lt;keyword&gt;Actuarial Analysis&lt;/keyword&gt;&lt;keyword&gt;Acute Disease&lt;/keyword&gt;&lt;keyword&gt;*Blood Transfusion&lt;/keyword&gt;&lt;keyword&gt;Central Nervous System/physiopathology&lt;/keyword&gt;&lt;keyword&gt;Child&lt;/keyword&gt;&lt;keyword&gt;Child, Preschool&lt;/keyword&gt;&lt;keyword&gt;Gastrointestinal Hemorrhage/complications/therapy&lt;/keyword&gt;&lt;keyword&gt;Humans&lt;/keyword&gt;&lt;keyword&gt;Leukemia/blood/complications/*therapy&lt;/keyword&gt;&lt;keyword&gt;Leukemia, Lymphoid/blood/complications/therapy&lt;/keyword&gt;&lt;keyword&gt;Platelet Count&lt;/keyword&gt;&lt;keyword&gt;*Platelet Transfusion&lt;/keyword&gt;&lt;keyword&gt;Random Allocation&lt;/keyword&gt;&lt;keyword&gt;Thrombocytopenia/blood/complications/therapy&lt;/keyword&gt;&lt;keyword&gt;Urogenital System/physiopathology&lt;/keyword&gt;&lt;/keywords&gt;&lt;dates&gt;&lt;year&gt;1982&lt;/year&gt;&lt;pub-dates&gt;&lt;date&gt;Jun&lt;/date&gt;&lt;/pub-dates&gt;&lt;/dates&gt;&lt;isbn&gt;0361-8609 (Print)&amp;#xD;0361-8609 (Linking)&lt;/isbn&gt;&lt;accession-num&gt;6981349&lt;/accession-num&gt;&lt;urls&gt;&lt;related-urls&gt;&lt;url&gt;http://www.ncbi.nlm.nih.gov/pubmed/6981349&lt;/url&gt;&lt;/related-urls&gt;&lt;/urls&gt;&lt;/record&gt;&lt;/Cite&gt;&lt;/EndNote&gt;</w:instrText>
        </w:r>
        <w:r w:rsidR="00E62798">
          <w:fldChar w:fldCharType="separate"/>
        </w:r>
        <w:r w:rsidR="00E62798" w:rsidRPr="00E62798">
          <w:rPr>
            <w:noProof/>
            <w:vertAlign w:val="superscript"/>
          </w:rPr>
          <w:t>146</w:t>
        </w:r>
        <w:r w:rsidR="00E62798">
          <w:fldChar w:fldCharType="end"/>
        </w:r>
      </w:hyperlink>
    </w:p>
    <w:p w14:paraId="04EFB917" w14:textId="564B7EE3" w:rsidR="00F00BFD" w:rsidRDefault="00F00BFD" w:rsidP="00F00BFD">
      <w:pPr>
        <w:pStyle w:val="Heading5"/>
      </w:pPr>
      <w:r>
        <w:t xml:space="preserve">Bleeding </w:t>
      </w:r>
      <w:r w:rsidR="00533AC5">
        <w:t>events</w:t>
      </w:r>
    </w:p>
    <w:p w14:paraId="7B9C555C" w14:textId="5853BA24" w:rsidR="00F00BFD" w:rsidRDefault="00533AC5" w:rsidP="00533AC5">
      <w:pPr>
        <w:rPr>
          <w:bCs/>
          <w:lang w:eastAsia="en-GB"/>
        </w:rPr>
      </w:pPr>
      <w:r>
        <w:t>The study found</w:t>
      </w:r>
      <w:r w:rsidR="00F00BFD" w:rsidRPr="006C0F13">
        <w:t xml:space="preserve"> no significant difference between therapeutic platelet transfusion administered in the presence of bleeding compared with prophylactic platelet transfusion administered to maintain platelet count above 20 </w:t>
      </w:r>
      <w:r>
        <w:t xml:space="preserve">× </w:t>
      </w:r>
      <w:r w:rsidR="00F00BFD" w:rsidRPr="006C0F13">
        <w:t>10</w:t>
      </w:r>
      <w:r w:rsidR="00F00BFD" w:rsidRPr="00533AC5">
        <w:rPr>
          <w:vertAlign w:val="superscript"/>
        </w:rPr>
        <w:t>9</w:t>
      </w:r>
      <w:r w:rsidR="00F00BFD" w:rsidRPr="006C0F13">
        <w:t>/L on children with ≥1 significant bleeding eve</w:t>
      </w:r>
      <w:r>
        <w:t xml:space="preserve">nt (patients with </w:t>
      </w:r>
      <w:r w:rsidR="00F023A6">
        <w:t>acute myeloid leukaemia or acute lymphoblastic leukaemia</w:t>
      </w:r>
      <w:r>
        <w:t>).</w:t>
      </w:r>
      <w:hyperlink w:anchor="_ENREF_146" w:tooltip="Murphy, 1982 #1047" w:history="1">
        <w:r w:rsidR="00E62798">
          <w:fldChar w:fldCharType="begin"/>
        </w:r>
        <w:r w:rsidR="00E62798">
          <w:instrText xml:space="preserve"> ADDIN EN.CITE &lt;EndNote&gt;&lt;Cite&gt;&lt;Author&gt;Murphy&lt;/Author&gt;&lt;Year&gt;1982&lt;/Year&gt;&lt;RecNum&gt;1047&lt;/RecNum&gt;&lt;DisplayText&gt;&lt;style face="superscript"&gt;146&lt;/style&gt;&lt;/DisplayText&gt;&lt;record&gt;&lt;rec-number&gt;1047&lt;/rec-number&gt;&lt;foreign-keys&gt;&lt;key app="EN" db-id="9edve2wadsavt5ewavaxtda4f2tavzvts9ee" timestamp="1438837326"&gt;1047&lt;/key&gt;&lt;/foreign-keys&gt;&lt;ref-type name="Journal Article"&gt;17&lt;/ref-type&gt;&lt;contributors&gt;&lt;authors&gt;&lt;author&gt;Murphy, S.&lt;/author&gt;&lt;author&gt;Litwin, S.&lt;/author&gt;&lt;author&gt;Herring, L. M.&lt;/author&gt;&lt;author&gt;Koch, P.&lt;/author&gt;&lt;author&gt;Remischovsky, J.&lt;/author&gt;&lt;author&gt;Donaldson, M. H.&lt;/author&gt;&lt;author&gt;Evans, A. E.&lt;/author&gt;&lt;author&gt;Gardner, F. H.&lt;/author&gt;&lt;/authors&gt;&lt;/contributors&gt;&lt;titles&gt;&lt;title&gt;Indications for platelet transfusion in children with acute leukemia&lt;/title&gt;&lt;secondary-title&gt;Am J Hematol&lt;/secondary-title&gt;&lt;/titles&gt;&lt;periodical&gt;&lt;full-title&gt;Am J Hematol&lt;/full-title&gt;&lt;/periodical&gt;&lt;pages&gt;347-56&lt;/pages&gt;&lt;volume&gt;12&lt;/volume&gt;&lt;number&gt;4&lt;/number&gt;&lt;keywords&gt;&lt;keyword&gt;Actuarial Analysis&lt;/keyword&gt;&lt;keyword&gt;Acute Disease&lt;/keyword&gt;&lt;keyword&gt;*Blood Transfusion&lt;/keyword&gt;&lt;keyword&gt;Central Nervous System/physiopathology&lt;/keyword&gt;&lt;keyword&gt;Child&lt;/keyword&gt;&lt;keyword&gt;Child, Preschool&lt;/keyword&gt;&lt;keyword&gt;Gastrointestinal Hemorrhage/complications/therapy&lt;/keyword&gt;&lt;keyword&gt;Humans&lt;/keyword&gt;&lt;keyword&gt;Leukemia/blood/complications/*therapy&lt;/keyword&gt;&lt;keyword&gt;Leukemia, Lymphoid/blood/complications/therapy&lt;/keyword&gt;&lt;keyword&gt;Platelet Count&lt;/keyword&gt;&lt;keyword&gt;*Platelet Transfusion&lt;/keyword&gt;&lt;keyword&gt;Random Allocation&lt;/keyword&gt;&lt;keyword&gt;Thrombocytopenia/blood/complications/therapy&lt;/keyword&gt;&lt;keyword&gt;Urogenital System/physiopathology&lt;/keyword&gt;&lt;/keywords&gt;&lt;dates&gt;&lt;year&gt;1982&lt;/year&gt;&lt;pub-dates&gt;&lt;date&gt;Jun&lt;/date&gt;&lt;/pub-dates&gt;&lt;/dates&gt;&lt;isbn&gt;0361-8609 (Print)&amp;#xD;0361-8609 (Linking)&lt;/isbn&gt;&lt;accession-num&gt;6981349&lt;/accession-num&gt;&lt;urls&gt;&lt;related-urls&gt;&lt;url&gt;http://www.ncbi.nlm.nih.gov/pubmed/6981349&lt;/url&gt;&lt;/related-urls&gt;&lt;/urls&gt;&lt;/record&gt;&lt;/Cite&gt;&lt;/EndNote&gt;</w:instrText>
        </w:r>
        <w:r w:rsidR="00E62798">
          <w:fldChar w:fldCharType="separate"/>
        </w:r>
        <w:r w:rsidR="00E62798" w:rsidRPr="00E62798">
          <w:rPr>
            <w:noProof/>
            <w:vertAlign w:val="superscript"/>
          </w:rPr>
          <w:t>146</w:t>
        </w:r>
        <w:r w:rsidR="00E62798">
          <w:fldChar w:fldCharType="end"/>
        </w:r>
      </w:hyperlink>
      <w:r w:rsidR="00F00BFD">
        <w:rPr>
          <w:bCs/>
          <w:lang w:eastAsia="en-GB"/>
        </w:rPr>
        <w:t xml:space="preserve"> </w:t>
      </w:r>
    </w:p>
    <w:p w14:paraId="3783987E" w14:textId="67F26738" w:rsidR="00F00BFD" w:rsidRPr="00214F77" w:rsidRDefault="00B855A4" w:rsidP="00F00BFD">
      <w:pPr>
        <w:pStyle w:val="Heading5"/>
        <w:rPr>
          <w:lang w:val="en-US"/>
        </w:rPr>
      </w:pPr>
      <w:r>
        <w:t>Transfusion</w:t>
      </w:r>
      <w:r>
        <w:rPr>
          <w:lang w:val="en-AU"/>
        </w:rPr>
        <w:t>-</w:t>
      </w:r>
      <w:r w:rsidR="00F00BFD">
        <w:t>related serious adverse events</w:t>
      </w:r>
    </w:p>
    <w:p w14:paraId="5AE40959" w14:textId="7C586D68" w:rsidR="00533AC5" w:rsidRDefault="00FA6791" w:rsidP="00533AC5">
      <w:r>
        <w:t>No studies reported</w:t>
      </w:r>
      <w:r w:rsidR="008F7398">
        <w:t xml:space="preserve"> transfusion-related serious adverse events</w:t>
      </w:r>
      <w:r w:rsidR="007C1B3E">
        <w:t xml:space="preserve">. </w:t>
      </w:r>
    </w:p>
    <w:p w14:paraId="50006AD4" w14:textId="77777777" w:rsidR="00F00BFD" w:rsidRDefault="00F00BFD" w:rsidP="00F00BFD">
      <w:pPr>
        <w:pStyle w:val="Heading5"/>
      </w:pPr>
      <w:r>
        <w:t>Transfusion volume or incidence</w:t>
      </w:r>
    </w:p>
    <w:p w14:paraId="3B0F298C" w14:textId="7F64E17F" w:rsidR="00F00BFD" w:rsidRDefault="00533AC5" w:rsidP="00533AC5">
      <w:pPr>
        <w:rPr>
          <w:bCs/>
          <w:lang w:eastAsia="en-GB"/>
        </w:rPr>
      </w:pPr>
      <w:r>
        <w:t>The study</w:t>
      </w:r>
      <w:r w:rsidR="00F00BFD" w:rsidRPr="006C0F13">
        <w:t xml:space="preserve"> found no significant difference between therapeutic platelet transfusion administered in the presence of bleeding </w:t>
      </w:r>
      <w:r>
        <w:t>and</w:t>
      </w:r>
      <w:r w:rsidR="00F00BFD" w:rsidRPr="006C0F13">
        <w:t xml:space="preserve"> prophylactic platelet transfusion administered to maintain platelet count above 20 </w:t>
      </w:r>
      <w:r w:rsidR="00F00BFD">
        <w:t xml:space="preserve">× </w:t>
      </w:r>
      <w:r w:rsidR="00F00BFD" w:rsidRPr="006C0F13">
        <w:t>10</w:t>
      </w:r>
      <w:r w:rsidR="00F00BFD" w:rsidRPr="00850E1F">
        <w:rPr>
          <w:vertAlign w:val="superscript"/>
        </w:rPr>
        <w:t>9</w:t>
      </w:r>
      <w:r w:rsidR="00F00BFD" w:rsidRPr="006C0F13">
        <w:t>/L on mean number of platelet transfusions per</w:t>
      </w:r>
      <w:r>
        <w:rPr>
          <w:bCs/>
          <w:lang w:eastAsia="en-GB"/>
        </w:rPr>
        <w:t xml:space="preserve"> course of chemotherapy.</w:t>
      </w:r>
      <w:hyperlink w:anchor="_ENREF_146" w:tooltip="Murphy, 1982 #1047" w:history="1">
        <w:r w:rsidR="00E62798">
          <w:rPr>
            <w:bCs/>
            <w:lang w:eastAsia="en-GB"/>
          </w:rPr>
          <w:fldChar w:fldCharType="begin"/>
        </w:r>
        <w:r w:rsidR="00E62798">
          <w:rPr>
            <w:bCs/>
            <w:lang w:eastAsia="en-GB"/>
          </w:rPr>
          <w:instrText xml:space="preserve"> ADDIN EN.CITE &lt;EndNote&gt;&lt;Cite&gt;&lt;Author&gt;Murphy&lt;/Author&gt;&lt;Year&gt;1982&lt;/Year&gt;&lt;RecNum&gt;1047&lt;/RecNum&gt;&lt;DisplayText&gt;&lt;style face="superscript"&gt;146&lt;/style&gt;&lt;/DisplayText&gt;&lt;record&gt;&lt;rec-number&gt;1047&lt;/rec-number&gt;&lt;foreign-keys&gt;&lt;key app="EN" db-id="9edve2wadsavt5ewavaxtda4f2tavzvts9ee" timestamp="1438837326"&gt;1047&lt;/key&gt;&lt;/foreign-keys&gt;&lt;ref-type name="Journal Article"&gt;17&lt;/ref-type&gt;&lt;contributors&gt;&lt;authors&gt;&lt;author&gt;Murphy, S.&lt;/author&gt;&lt;author&gt;Litwin, S.&lt;/author&gt;&lt;author&gt;Herring, L. M.&lt;/author&gt;&lt;author&gt;Koch, P.&lt;/author&gt;&lt;author&gt;Remischovsky, J.&lt;/author&gt;&lt;author&gt;Donaldson, M. H.&lt;/author&gt;&lt;author&gt;Evans, A. E.&lt;/author&gt;&lt;author&gt;Gardner, F. H.&lt;/author&gt;&lt;/authors&gt;&lt;/contributors&gt;&lt;titles&gt;&lt;title&gt;Indications for platelet transfusion in children with acute leukemia&lt;/title&gt;&lt;secondary-title&gt;Am J Hematol&lt;/secondary-title&gt;&lt;/titles&gt;&lt;periodical&gt;&lt;full-title&gt;Am J Hematol&lt;/full-title&gt;&lt;/periodical&gt;&lt;pages&gt;347-56&lt;/pages&gt;&lt;volume&gt;12&lt;/volume&gt;&lt;number&gt;4&lt;/number&gt;&lt;keywords&gt;&lt;keyword&gt;Actuarial Analysis&lt;/keyword&gt;&lt;keyword&gt;Acute Disease&lt;/keyword&gt;&lt;keyword&gt;*Blood Transfusion&lt;/keyword&gt;&lt;keyword&gt;Central Nervous System/physiopathology&lt;/keyword&gt;&lt;keyword&gt;Child&lt;/keyword&gt;&lt;keyword&gt;Child, Preschool&lt;/keyword&gt;&lt;keyword&gt;Gastrointestinal Hemorrhage/complications/therapy&lt;/keyword&gt;&lt;keyword&gt;Humans&lt;/keyword&gt;&lt;keyword&gt;Leukemia/blood/complications/*therapy&lt;/keyword&gt;&lt;keyword&gt;Leukemia, Lymphoid/blood/complications/therapy&lt;/keyword&gt;&lt;keyword&gt;Platelet Count&lt;/keyword&gt;&lt;keyword&gt;*Platelet Transfusion&lt;/keyword&gt;&lt;keyword&gt;Random Allocation&lt;/keyword&gt;&lt;keyword&gt;Thrombocytopenia/blood/complications/therapy&lt;/keyword&gt;&lt;keyword&gt;Urogenital System/physiopathology&lt;/keyword&gt;&lt;/keywords&gt;&lt;dates&gt;&lt;year&gt;1982&lt;/year&gt;&lt;pub-dates&gt;&lt;date&gt;Jun&lt;/date&gt;&lt;/pub-dates&gt;&lt;/dates&gt;&lt;isbn&gt;0361-8609 (Print)&amp;#xD;0361-8609 (Linking)&lt;/isbn&gt;&lt;accession-num&gt;6981349&lt;/accession-num&gt;&lt;urls&gt;&lt;related-urls&gt;&lt;url&gt;http://www.ncbi.nlm.nih.gov/pubmed/6981349&lt;/url&gt;&lt;/related-urls&gt;&lt;/urls&gt;&lt;/record&gt;&lt;/Cite&gt;&lt;/EndNote&gt;</w:instrText>
        </w:r>
        <w:r w:rsidR="00E62798">
          <w:rPr>
            <w:bCs/>
            <w:lang w:eastAsia="en-GB"/>
          </w:rPr>
          <w:fldChar w:fldCharType="separate"/>
        </w:r>
        <w:r w:rsidR="00E62798" w:rsidRPr="00E62798">
          <w:rPr>
            <w:bCs/>
            <w:noProof/>
            <w:vertAlign w:val="superscript"/>
            <w:lang w:eastAsia="en-GB"/>
          </w:rPr>
          <w:t>146</w:t>
        </w:r>
        <w:r w:rsidR="00E62798">
          <w:rPr>
            <w:bCs/>
            <w:lang w:eastAsia="en-GB"/>
          </w:rPr>
          <w:fldChar w:fldCharType="end"/>
        </w:r>
      </w:hyperlink>
      <w:r w:rsidR="00F00BFD">
        <w:rPr>
          <w:bCs/>
          <w:lang w:eastAsia="en-GB"/>
        </w:rPr>
        <w:t xml:space="preserve"> </w:t>
      </w:r>
    </w:p>
    <w:p w14:paraId="4FB9B43A" w14:textId="5C265019" w:rsidR="00F00BFD" w:rsidRPr="00533AC5" w:rsidRDefault="00533AC5" w:rsidP="00F96C85">
      <w:pPr>
        <w:pStyle w:val="BoxHeading"/>
        <w:rPr>
          <w:lang w:val="en-AU"/>
        </w:rPr>
      </w:pPr>
      <w:r w:rsidRPr="00032B5B">
        <w:t>Clinical commentary</w:t>
      </w:r>
      <w:r>
        <w:rPr>
          <w:lang w:val="en-AU"/>
        </w:rPr>
        <w:t xml:space="preserve"> – </w:t>
      </w:r>
      <w:r>
        <w:t xml:space="preserve">platelet transfusion </w:t>
      </w:r>
      <w:r>
        <w:rPr>
          <w:lang w:val="en-AU"/>
        </w:rPr>
        <w:t>in p</w:t>
      </w:r>
      <w:r w:rsidRPr="00A7281B">
        <w:rPr>
          <w:iCs/>
          <w:lang w:val="en-GB"/>
        </w:rPr>
        <w:t>aediatric patients with cancer</w:t>
      </w:r>
    </w:p>
    <w:p w14:paraId="22440324" w14:textId="4890424A" w:rsidR="00F00BFD" w:rsidRDefault="00F00BFD" w:rsidP="00F96C85">
      <w:pPr>
        <w:pStyle w:val="BoxText"/>
      </w:pPr>
      <w:r>
        <w:t>Given the lack of reliable evidence in paediatric patients of the effect of prophylactic platelet transfusion, it is reasonable to use evidence from adult patients</w:t>
      </w:r>
      <w:r w:rsidR="00B50636">
        <w:t xml:space="preserve"> (s</w:t>
      </w:r>
      <w:r>
        <w:t xml:space="preserve">ee </w:t>
      </w:r>
      <w:r w:rsidR="00B50636">
        <w:t>PP29).</w:t>
      </w:r>
      <w:r>
        <w:t xml:space="preserve"> This is consistent with two new sets of guidelines applicable to children</w:t>
      </w:r>
      <w:r w:rsidR="00F55097">
        <w:t>.</w:t>
      </w:r>
      <w:hyperlink w:anchor="_ENREF_147" w:tooltip="Nahirniak, 2015 #1068" w:history="1">
        <w:r w:rsidR="00E62798">
          <w:fldChar w:fldCharType="begin">
            <w:fldData xml:space="preserve">PEVuZE5vdGU+PENpdGU+PEF1dGhvcj5OYWhpcm5pYWs8L0F1dGhvcj48WWVhcj4yMDE1PC9ZZWFy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</w:fldData>
          </w:fldChar>
        </w:r>
        <w:r w:rsidR="00E62798">
          <w:instrText xml:space="preserve"> ADDIN EN.CITE </w:instrText>
        </w:r>
        <w:r w:rsidR="00E62798">
          <w:fldChar w:fldCharType="begin">
            <w:fldData xml:space="preserve">PEVuZE5vdGU+PENpdGU+PEF1dGhvcj5OYWhpcm5pYWs8L0F1dGhvcj48WWVhcj4yMDE1PC9ZZWFy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147-148</w:t>
        </w:r>
        <w:r w:rsidR="00E62798">
          <w:fldChar w:fldCharType="end"/>
        </w:r>
      </w:hyperlink>
    </w:p>
    <w:p w14:paraId="3FACFEDF" w14:textId="564F00DD" w:rsidR="00533AC5" w:rsidRDefault="00F801B2" w:rsidP="00D93C65">
      <w:pPr>
        <w:pStyle w:val="Heading3"/>
        <w:numPr>
          <w:ilvl w:val="2"/>
          <w:numId w:val="48"/>
        </w:numPr>
      </w:pPr>
      <w:bookmarkStart w:id="143" w:name="_Toc427851343"/>
      <w:r>
        <w:rPr>
          <w:lang w:val="en-AU"/>
        </w:rPr>
        <w:t>Neonatal</w:t>
      </w:r>
      <w:r w:rsidR="00B50636">
        <w:rPr>
          <w:lang w:val="en-AU"/>
        </w:rPr>
        <w:t xml:space="preserve"> and paediatric patients </w:t>
      </w:r>
      <w:r w:rsidR="001944D9">
        <w:rPr>
          <w:lang w:val="en-AU"/>
        </w:rPr>
        <w:t>undergoing</w:t>
      </w:r>
      <w:r w:rsidR="00B50636">
        <w:rPr>
          <w:lang w:val="en-AU"/>
        </w:rPr>
        <w:t xml:space="preserve"> surgery</w:t>
      </w:r>
      <w:r w:rsidR="00533AC5">
        <w:rPr>
          <w:lang w:val="en-AU"/>
        </w:rPr>
        <w:t xml:space="preserve"> – effects of </w:t>
      </w:r>
      <w:r w:rsidR="00B50636">
        <w:rPr>
          <w:lang w:val="en-AU"/>
        </w:rPr>
        <w:t>FFP</w:t>
      </w:r>
      <w:r w:rsidR="00533AC5">
        <w:rPr>
          <w:lang w:val="en-AU"/>
        </w:rPr>
        <w:t xml:space="preserve"> on outcomes</w:t>
      </w:r>
      <w:bookmarkEnd w:id="143"/>
      <w:r w:rsidR="00533AC5">
        <w:t xml:space="preserve"> </w:t>
      </w: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3748"/>
        <w:gridCol w:w="810"/>
        <w:gridCol w:w="810"/>
        <w:gridCol w:w="810"/>
        <w:gridCol w:w="810"/>
        <w:gridCol w:w="810"/>
      </w:tblGrid>
      <w:tr w:rsidR="00F00BFD" w:rsidRPr="0004495C" w14:paraId="7585829E" w14:textId="77777777" w:rsidTr="00467EEA">
        <w:trPr>
          <w:cantSplit/>
          <w:trHeight w:val="1881"/>
          <w:tblHeader/>
        </w:trPr>
        <w:tc>
          <w:tcPr>
            <w:tcW w:w="4597" w:type="dxa"/>
            <w:gridSpan w:val="2"/>
            <w:tcBorders>
              <w:top w:val="single" w:sz="4" w:space="0" w:color="000000"/>
              <w:left w:val="single" w:sz="4" w:space="0" w:color="000000"/>
              <w:bottom w:val="single" w:sz="4" w:space="0" w:color="000000"/>
              <w:right w:val="single" w:sz="4" w:space="0" w:color="000000"/>
            </w:tcBorders>
            <w:shd w:val="clear" w:color="auto" w:fill="44A9C4"/>
          </w:tcPr>
          <w:p w14:paraId="64AE84E5" w14:textId="447C24F1" w:rsidR="00F00BFD" w:rsidRPr="005E38DA" w:rsidRDefault="00F00BFD" w:rsidP="005E38DA">
            <w:pPr>
              <w:pStyle w:val="PP-heading"/>
              <w:rPr>
                <w:lang w:val="en-AU"/>
              </w:rPr>
            </w:pPr>
            <w:r w:rsidRPr="006E5EFD">
              <w:t>Evidence statements</w:t>
            </w:r>
            <w:r w:rsidRPr="0004495C">
              <w:t xml:space="preserve"> </w:t>
            </w:r>
            <w:r>
              <w:t>– surgical (</w:t>
            </w:r>
            <w:r w:rsidR="005E38DA">
              <w:rPr>
                <w:lang w:val="en-AU"/>
              </w:rPr>
              <w:t>FFP)</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62D3FB4" w14:textId="77777777" w:rsidR="00F00BFD" w:rsidRPr="0004495C" w:rsidRDefault="00F00BFD" w:rsidP="00F00BFD">
            <w:pPr>
              <w:ind w:left="113" w:right="113"/>
              <w:jc w:val="center"/>
              <w:rPr>
                <w:b/>
              </w:rPr>
            </w:pPr>
            <w:r w:rsidRPr="0004495C">
              <w:rPr>
                <w:b/>
              </w:rPr>
              <w:t>Evidence</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0F18F31" w14:textId="77777777" w:rsidR="00F00BFD" w:rsidRPr="0004495C" w:rsidRDefault="00F00BFD" w:rsidP="00F00BFD">
            <w:pPr>
              <w:ind w:left="113" w:right="113"/>
              <w:jc w:val="center"/>
              <w:rPr>
                <w:b/>
              </w:rPr>
            </w:pPr>
            <w:r w:rsidRPr="0004495C">
              <w:rPr>
                <w:b/>
              </w:rPr>
              <w:t>Consistency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E0F2A7C" w14:textId="77777777" w:rsidR="00F00BFD" w:rsidRPr="0004495C" w:rsidRDefault="00F00BFD" w:rsidP="00F00BFD">
            <w:pPr>
              <w:ind w:left="113" w:right="113"/>
              <w:jc w:val="center"/>
              <w:rPr>
                <w:b/>
              </w:rPr>
            </w:pPr>
            <w:r>
              <w:rPr>
                <w:b/>
              </w:rPr>
              <w:t>Clinical impact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6DDAF2A" w14:textId="77777777" w:rsidR="00F00BFD" w:rsidRPr="0004495C" w:rsidRDefault="00F00BFD" w:rsidP="00F00BFD">
            <w:pPr>
              <w:ind w:left="113" w:right="113"/>
              <w:jc w:val="center"/>
              <w:rPr>
                <w:b/>
              </w:rPr>
            </w:pPr>
            <w:r w:rsidRPr="0004495C">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195A91C" w14:textId="77777777" w:rsidR="00F00BFD" w:rsidRPr="0004495C" w:rsidRDefault="00F00BFD" w:rsidP="00F00BFD">
            <w:pPr>
              <w:ind w:left="113" w:right="113"/>
              <w:jc w:val="center"/>
              <w:rPr>
                <w:b/>
              </w:rPr>
            </w:pPr>
            <w:r w:rsidRPr="0004495C">
              <w:rPr>
                <w:b/>
              </w:rPr>
              <w:t>Applicability</w:t>
            </w:r>
          </w:p>
        </w:tc>
      </w:tr>
      <w:tr w:rsidR="00F00BFD" w:rsidRPr="00791A33" w14:paraId="4995ABC9" w14:textId="77777777" w:rsidTr="00F00BFD">
        <w:tc>
          <w:tcPr>
            <w:tcW w:w="849" w:type="dxa"/>
          </w:tcPr>
          <w:p w14:paraId="1DF0D35F" w14:textId="77777777" w:rsidR="00F00BFD" w:rsidRPr="008E6214" w:rsidRDefault="00F00BFD" w:rsidP="00B50636">
            <w:pPr>
              <w:pStyle w:val="Tabletextnoindent"/>
              <w:keepNext w:val="0"/>
              <w:numPr>
                <w:ilvl w:val="0"/>
                <w:numId w:val="0"/>
              </w:numPr>
            </w:pPr>
            <w:r w:rsidRPr="00667467">
              <w:t>ES3.28</w:t>
            </w:r>
          </w:p>
        </w:tc>
        <w:tc>
          <w:tcPr>
            <w:tcW w:w="3748" w:type="dxa"/>
          </w:tcPr>
          <w:p w14:paraId="3AE9B39C" w14:textId="77777777" w:rsidR="00F00BFD" w:rsidRDefault="00F00BFD" w:rsidP="00B50636">
            <w:pPr>
              <w:pStyle w:val="ES-table"/>
              <w:keepNext w:val="0"/>
            </w:pPr>
            <w:r w:rsidRPr="005047C9">
              <w:t>In paediatric</w:t>
            </w:r>
            <w:r>
              <w:t xml:space="preserve"> liver transplant </w:t>
            </w:r>
            <w:r w:rsidRPr="005047C9">
              <w:t xml:space="preserve">patients, </w:t>
            </w:r>
            <w:r>
              <w:t>any association between</w:t>
            </w:r>
            <w:r w:rsidRPr="005047C9">
              <w:t xml:space="preserve"> FFP </w:t>
            </w:r>
            <w:r>
              <w:t>transfusion and</w:t>
            </w:r>
            <w:r w:rsidRPr="005047C9">
              <w:t xml:space="preserve"> mortality is un</w:t>
            </w:r>
            <w:r>
              <w:t>certain.</w:t>
            </w:r>
          </w:p>
          <w:p w14:paraId="329C482E" w14:textId="77777777" w:rsidR="00F00BFD" w:rsidRDefault="00F00BFD" w:rsidP="00B50636">
            <w:pPr>
              <w:pStyle w:val="ES-notes"/>
              <w:keepNext w:val="0"/>
            </w:pPr>
            <w:r w:rsidRPr="00E86CC4">
              <w:t>(See evidence matrix D</w:t>
            </w:r>
            <w:r>
              <w:t>3</w:t>
            </w:r>
            <w:r w:rsidRPr="00E86CC4">
              <w:t>.</w:t>
            </w:r>
            <w:r>
              <w:t>J</w:t>
            </w:r>
            <w:r w:rsidRPr="00E86CC4">
              <w:t xml:space="preserve"> in Volume 2 of the technical report.)</w:t>
            </w:r>
          </w:p>
        </w:tc>
        <w:tc>
          <w:tcPr>
            <w:tcW w:w="810" w:type="dxa"/>
          </w:tcPr>
          <w:p w14:paraId="3089E4C1" w14:textId="77777777" w:rsidR="00F00BFD" w:rsidRPr="00791A33" w:rsidRDefault="00F00BFD" w:rsidP="00B50636">
            <w:pPr>
              <w:pStyle w:val="T-ABCD"/>
            </w:pPr>
            <w:r w:rsidRPr="0004495C">
              <w:sym w:font="Symbol" w:char="F0D6"/>
            </w:r>
          </w:p>
        </w:tc>
        <w:tc>
          <w:tcPr>
            <w:tcW w:w="810" w:type="dxa"/>
          </w:tcPr>
          <w:p w14:paraId="35198400" w14:textId="77777777" w:rsidR="00F00BFD" w:rsidRPr="00791A33" w:rsidRDefault="00F00BFD" w:rsidP="00B50636">
            <w:pPr>
              <w:pStyle w:val="T-ABCD"/>
            </w:pPr>
            <w:r>
              <w:t>NA</w:t>
            </w:r>
          </w:p>
        </w:tc>
        <w:tc>
          <w:tcPr>
            <w:tcW w:w="810" w:type="dxa"/>
          </w:tcPr>
          <w:p w14:paraId="2EE9BD35" w14:textId="77777777" w:rsidR="00F00BFD" w:rsidRPr="00791A33" w:rsidRDefault="00F00BFD" w:rsidP="00B50636">
            <w:pPr>
              <w:pStyle w:val="T-ABCD"/>
            </w:pPr>
            <w:r>
              <w:t>X</w:t>
            </w:r>
          </w:p>
        </w:tc>
        <w:tc>
          <w:tcPr>
            <w:tcW w:w="810" w:type="dxa"/>
          </w:tcPr>
          <w:p w14:paraId="580C5F7D" w14:textId="77777777" w:rsidR="00F00BFD" w:rsidRPr="00791A33" w:rsidRDefault="00F00BFD" w:rsidP="00B50636">
            <w:pPr>
              <w:pStyle w:val="T-ABCD"/>
            </w:pPr>
            <w:r w:rsidRPr="0004495C">
              <w:sym w:font="Symbol" w:char="F0D6"/>
            </w:r>
            <w:r w:rsidRPr="0004495C">
              <w:sym w:font="Symbol" w:char="F0D6"/>
            </w:r>
            <w:r w:rsidRPr="0004495C">
              <w:sym w:font="Symbol" w:char="F0D6"/>
            </w:r>
          </w:p>
        </w:tc>
        <w:tc>
          <w:tcPr>
            <w:tcW w:w="810" w:type="dxa"/>
          </w:tcPr>
          <w:p w14:paraId="6DB811F4" w14:textId="77777777" w:rsidR="00F00BFD" w:rsidRPr="00791A33" w:rsidRDefault="00F00BFD" w:rsidP="00B50636">
            <w:pPr>
              <w:pStyle w:val="T-ABCD"/>
            </w:pPr>
            <w:r w:rsidRPr="0004495C">
              <w:sym w:font="Symbol" w:char="F0D6"/>
            </w:r>
            <w:r w:rsidRPr="0004495C">
              <w:sym w:font="Symbol" w:char="F0D6"/>
            </w:r>
          </w:p>
        </w:tc>
      </w:tr>
      <w:tr w:rsidR="00F00BFD" w:rsidRPr="00791A33" w14:paraId="5C286DE9" w14:textId="77777777" w:rsidTr="00F00BFD">
        <w:tc>
          <w:tcPr>
            <w:tcW w:w="849" w:type="dxa"/>
          </w:tcPr>
          <w:p w14:paraId="0DEC1876" w14:textId="77777777" w:rsidR="00F00BFD" w:rsidRPr="008E6214" w:rsidRDefault="00F00BFD" w:rsidP="00B50636">
            <w:pPr>
              <w:pStyle w:val="Tabletextnoindent"/>
              <w:keepNext w:val="0"/>
              <w:numPr>
                <w:ilvl w:val="0"/>
                <w:numId w:val="0"/>
              </w:numPr>
            </w:pPr>
            <w:r w:rsidRPr="00667467">
              <w:t>ES3.29</w:t>
            </w:r>
          </w:p>
        </w:tc>
        <w:tc>
          <w:tcPr>
            <w:tcW w:w="3748" w:type="dxa"/>
          </w:tcPr>
          <w:p w14:paraId="3573238F" w14:textId="77777777" w:rsidR="00F00BFD" w:rsidRDefault="00F00BFD" w:rsidP="00B50636">
            <w:pPr>
              <w:pStyle w:val="ES-table"/>
              <w:keepNext w:val="0"/>
            </w:pPr>
            <w:r w:rsidRPr="005F7497">
              <w:t>In paediatric patients undergoing surgery other than liver transplant, the effect of FFP compared with no FFP on mortality is unknown</w:t>
            </w:r>
            <w:r>
              <w:t>.</w:t>
            </w:r>
          </w:p>
        </w:tc>
        <w:tc>
          <w:tcPr>
            <w:tcW w:w="810" w:type="dxa"/>
          </w:tcPr>
          <w:p w14:paraId="1D2803BC" w14:textId="77777777" w:rsidR="00F00BFD" w:rsidRPr="00791A33" w:rsidRDefault="00F00BFD" w:rsidP="00B50636">
            <w:pPr>
              <w:pStyle w:val="T-ABCD"/>
            </w:pPr>
            <w:r>
              <w:t>NA</w:t>
            </w:r>
          </w:p>
        </w:tc>
        <w:tc>
          <w:tcPr>
            <w:tcW w:w="810" w:type="dxa"/>
          </w:tcPr>
          <w:p w14:paraId="23241485" w14:textId="77777777" w:rsidR="00F00BFD" w:rsidRPr="00791A33" w:rsidRDefault="00F00BFD" w:rsidP="00B50636">
            <w:pPr>
              <w:pStyle w:val="T-ABCD"/>
            </w:pPr>
            <w:r>
              <w:t>NA</w:t>
            </w:r>
          </w:p>
        </w:tc>
        <w:tc>
          <w:tcPr>
            <w:tcW w:w="810" w:type="dxa"/>
          </w:tcPr>
          <w:p w14:paraId="3A340843" w14:textId="77777777" w:rsidR="00F00BFD" w:rsidRPr="00791A33" w:rsidRDefault="00F00BFD" w:rsidP="00B50636">
            <w:pPr>
              <w:pStyle w:val="T-ABCD"/>
            </w:pPr>
            <w:r>
              <w:t>NA</w:t>
            </w:r>
          </w:p>
        </w:tc>
        <w:tc>
          <w:tcPr>
            <w:tcW w:w="810" w:type="dxa"/>
          </w:tcPr>
          <w:p w14:paraId="792DB2ED" w14:textId="77777777" w:rsidR="00F00BFD" w:rsidRPr="00791A33" w:rsidRDefault="00F00BFD" w:rsidP="00B50636">
            <w:pPr>
              <w:pStyle w:val="T-ABCD"/>
            </w:pPr>
            <w:r>
              <w:t>NA</w:t>
            </w:r>
          </w:p>
        </w:tc>
        <w:tc>
          <w:tcPr>
            <w:tcW w:w="810" w:type="dxa"/>
          </w:tcPr>
          <w:p w14:paraId="69361DF7" w14:textId="77777777" w:rsidR="00F00BFD" w:rsidRPr="00791A33" w:rsidRDefault="00F00BFD" w:rsidP="00B50636">
            <w:pPr>
              <w:pStyle w:val="T-ABCD"/>
            </w:pPr>
            <w:r>
              <w:t xml:space="preserve">NA </w:t>
            </w:r>
          </w:p>
        </w:tc>
      </w:tr>
      <w:tr w:rsidR="00F00BFD" w:rsidRPr="00791A33" w14:paraId="24506E6F" w14:textId="77777777" w:rsidTr="00F00BFD">
        <w:tc>
          <w:tcPr>
            <w:tcW w:w="849" w:type="dxa"/>
          </w:tcPr>
          <w:p w14:paraId="160D740A" w14:textId="77777777" w:rsidR="00F00BFD" w:rsidRPr="008E6214" w:rsidRDefault="00F00BFD" w:rsidP="00B50636">
            <w:pPr>
              <w:pStyle w:val="Tabletextnoindent"/>
              <w:keepNext w:val="0"/>
              <w:numPr>
                <w:ilvl w:val="0"/>
                <w:numId w:val="0"/>
              </w:numPr>
            </w:pPr>
            <w:r w:rsidRPr="00667467">
              <w:t>ES3.30</w:t>
            </w:r>
          </w:p>
        </w:tc>
        <w:tc>
          <w:tcPr>
            <w:tcW w:w="3748" w:type="dxa"/>
          </w:tcPr>
          <w:p w14:paraId="1D2968CB" w14:textId="77777777" w:rsidR="00F00BFD" w:rsidRDefault="00F00BFD" w:rsidP="00B50636">
            <w:pPr>
              <w:pStyle w:val="ES-table"/>
              <w:keepNext w:val="0"/>
            </w:pPr>
            <w:r w:rsidRPr="005F7497">
              <w:t>In neonatal patients undergoing surgery, the effect of FFP compared with no FFP on mortality is unknown</w:t>
            </w:r>
            <w:r>
              <w:t>.</w:t>
            </w:r>
          </w:p>
        </w:tc>
        <w:tc>
          <w:tcPr>
            <w:tcW w:w="810" w:type="dxa"/>
          </w:tcPr>
          <w:p w14:paraId="58A60052" w14:textId="77777777" w:rsidR="00F00BFD" w:rsidRPr="00791A33" w:rsidRDefault="00F00BFD" w:rsidP="00B50636">
            <w:pPr>
              <w:pStyle w:val="T-ABCD"/>
            </w:pPr>
            <w:r>
              <w:t>NA</w:t>
            </w:r>
          </w:p>
        </w:tc>
        <w:tc>
          <w:tcPr>
            <w:tcW w:w="810" w:type="dxa"/>
          </w:tcPr>
          <w:p w14:paraId="73673C0D" w14:textId="77777777" w:rsidR="00F00BFD" w:rsidRPr="00791A33" w:rsidRDefault="00F00BFD" w:rsidP="00B50636">
            <w:pPr>
              <w:pStyle w:val="T-ABCD"/>
            </w:pPr>
            <w:r>
              <w:t>NA</w:t>
            </w:r>
          </w:p>
        </w:tc>
        <w:tc>
          <w:tcPr>
            <w:tcW w:w="810" w:type="dxa"/>
          </w:tcPr>
          <w:p w14:paraId="5A77BF00" w14:textId="77777777" w:rsidR="00F00BFD" w:rsidRPr="00791A33" w:rsidRDefault="00F00BFD" w:rsidP="00B50636">
            <w:pPr>
              <w:pStyle w:val="T-ABCD"/>
            </w:pPr>
            <w:r>
              <w:t>NA</w:t>
            </w:r>
          </w:p>
        </w:tc>
        <w:tc>
          <w:tcPr>
            <w:tcW w:w="810" w:type="dxa"/>
          </w:tcPr>
          <w:p w14:paraId="3EE73BA4" w14:textId="77777777" w:rsidR="00F00BFD" w:rsidRPr="00791A33" w:rsidRDefault="00F00BFD" w:rsidP="00B50636">
            <w:pPr>
              <w:pStyle w:val="T-ABCD"/>
            </w:pPr>
            <w:r>
              <w:t>NA</w:t>
            </w:r>
          </w:p>
        </w:tc>
        <w:tc>
          <w:tcPr>
            <w:tcW w:w="810" w:type="dxa"/>
          </w:tcPr>
          <w:p w14:paraId="47E7D7D9" w14:textId="77777777" w:rsidR="00F00BFD" w:rsidRPr="00791A33" w:rsidRDefault="00F00BFD" w:rsidP="00B50636">
            <w:pPr>
              <w:pStyle w:val="T-ABCD"/>
            </w:pPr>
            <w:r>
              <w:t xml:space="preserve">NA </w:t>
            </w:r>
          </w:p>
        </w:tc>
      </w:tr>
      <w:tr w:rsidR="00F00BFD" w:rsidRPr="00791A33" w14:paraId="76420E58" w14:textId="77777777" w:rsidTr="00F00BFD">
        <w:tc>
          <w:tcPr>
            <w:tcW w:w="849" w:type="dxa"/>
          </w:tcPr>
          <w:p w14:paraId="3CA9608E" w14:textId="77777777" w:rsidR="00F00BFD" w:rsidRPr="008E6214" w:rsidRDefault="00F00BFD" w:rsidP="00B50636">
            <w:pPr>
              <w:pStyle w:val="Tabletextnoindent"/>
              <w:keepNext w:val="0"/>
              <w:numPr>
                <w:ilvl w:val="0"/>
                <w:numId w:val="0"/>
              </w:numPr>
            </w:pPr>
            <w:r w:rsidRPr="00667467">
              <w:t>ES3.31</w:t>
            </w:r>
          </w:p>
        </w:tc>
        <w:tc>
          <w:tcPr>
            <w:tcW w:w="3748" w:type="dxa"/>
          </w:tcPr>
          <w:p w14:paraId="48EA0552" w14:textId="77777777" w:rsidR="00F00BFD" w:rsidRDefault="00F00BFD" w:rsidP="00B50636">
            <w:pPr>
              <w:pStyle w:val="ES-table"/>
              <w:keepNext w:val="0"/>
            </w:pPr>
            <w:r w:rsidRPr="005F7497">
              <w:t xml:space="preserve">In </w:t>
            </w:r>
            <w:r>
              <w:t>neonatal and paediatric</w:t>
            </w:r>
            <w:r w:rsidRPr="005F7497">
              <w:t xml:space="preserve"> patients undergoing cardiac surgery, the use of an FFP-based pump priming fluid compared with an albumin-based fluid does not reduce postoperative blood loss</w:t>
            </w:r>
            <w:r>
              <w:t>.</w:t>
            </w:r>
          </w:p>
          <w:p w14:paraId="54DAFD8B" w14:textId="77777777" w:rsidR="00F00BFD" w:rsidRDefault="00F00BFD" w:rsidP="00B50636">
            <w:pPr>
              <w:pStyle w:val="ES-notes"/>
              <w:keepNext w:val="0"/>
            </w:pPr>
            <w:r w:rsidRPr="00E86CC4">
              <w:t>(See evidence matrix D</w:t>
            </w:r>
            <w:r>
              <w:t>3</w:t>
            </w:r>
            <w:r w:rsidRPr="00E86CC4">
              <w:t>.</w:t>
            </w:r>
            <w:r>
              <w:t>K</w:t>
            </w:r>
            <w:r w:rsidRPr="00E86CC4">
              <w:t xml:space="preserve"> in Volume 2 of the technical </w:t>
            </w:r>
            <w:r w:rsidRPr="00D00121">
              <w:t>report</w:t>
            </w:r>
            <w:r w:rsidRPr="00E86CC4">
              <w:t>.)</w:t>
            </w:r>
          </w:p>
        </w:tc>
        <w:tc>
          <w:tcPr>
            <w:tcW w:w="810" w:type="dxa"/>
          </w:tcPr>
          <w:p w14:paraId="703DA6C5" w14:textId="77777777" w:rsidR="00F00BFD" w:rsidRPr="00791A33" w:rsidRDefault="00F00BFD" w:rsidP="00B50636">
            <w:pPr>
              <w:pStyle w:val="T-ABCD"/>
            </w:pPr>
            <w:r w:rsidRPr="0004495C">
              <w:sym w:font="Symbol" w:char="F0D6"/>
            </w:r>
          </w:p>
        </w:tc>
        <w:tc>
          <w:tcPr>
            <w:tcW w:w="810" w:type="dxa"/>
          </w:tcPr>
          <w:p w14:paraId="0833B547" w14:textId="77777777" w:rsidR="00F00BFD" w:rsidRPr="00791A33" w:rsidRDefault="00F00BFD" w:rsidP="00B50636">
            <w:pPr>
              <w:pStyle w:val="T-ABCD"/>
            </w:pPr>
            <w:r w:rsidRPr="0004495C">
              <w:sym w:font="Symbol" w:char="F0D6"/>
            </w:r>
            <w:r w:rsidRPr="0004495C">
              <w:sym w:font="Symbol" w:char="F0D6"/>
            </w:r>
          </w:p>
        </w:tc>
        <w:tc>
          <w:tcPr>
            <w:tcW w:w="810" w:type="dxa"/>
          </w:tcPr>
          <w:p w14:paraId="42BE12E0" w14:textId="77777777" w:rsidR="00F00BFD" w:rsidRPr="00791A33" w:rsidRDefault="00F00BFD" w:rsidP="00B50636">
            <w:pPr>
              <w:pStyle w:val="T-ABCD"/>
            </w:pPr>
            <w:r>
              <w:t>NA</w:t>
            </w:r>
          </w:p>
        </w:tc>
        <w:tc>
          <w:tcPr>
            <w:tcW w:w="810" w:type="dxa"/>
          </w:tcPr>
          <w:p w14:paraId="10E6EA0E" w14:textId="77777777" w:rsidR="00F00BFD" w:rsidRPr="00791A33" w:rsidRDefault="00F00BFD" w:rsidP="00B50636">
            <w:pPr>
              <w:pStyle w:val="T-ABCD"/>
            </w:pPr>
            <w:r w:rsidRPr="0004495C">
              <w:sym w:font="Symbol" w:char="F0D6"/>
            </w:r>
            <w:r w:rsidRPr="0004495C">
              <w:sym w:font="Symbol" w:char="F0D6"/>
            </w:r>
          </w:p>
        </w:tc>
        <w:tc>
          <w:tcPr>
            <w:tcW w:w="810" w:type="dxa"/>
          </w:tcPr>
          <w:p w14:paraId="05ADC3ED" w14:textId="77777777" w:rsidR="00F00BFD" w:rsidRPr="00791A33" w:rsidRDefault="00F00BFD" w:rsidP="00B50636">
            <w:pPr>
              <w:pStyle w:val="T-ABCD"/>
            </w:pPr>
            <w:r w:rsidRPr="0004495C">
              <w:sym w:font="Symbol" w:char="F0D6"/>
            </w:r>
          </w:p>
        </w:tc>
      </w:tr>
      <w:tr w:rsidR="00F00BFD" w:rsidRPr="00791A33" w14:paraId="19FB05A3" w14:textId="77777777" w:rsidTr="00F00BFD">
        <w:tc>
          <w:tcPr>
            <w:tcW w:w="849" w:type="dxa"/>
          </w:tcPr>
          <w:p w14:paraId="5F2D4F76" w14:textId="77777777" w:rsidR="00F00BFD" w:rsidRPr="008E6214" w:rsidRDefault="00F00BFD" w:rsidP="00B50636">
            <w:pPr>
              <w:pStyle w:val="Tabletextnoindent"/>
              <w:keepNext w:val="0"/>
              <w:numPr>
                <w:ilvl w:val="0"/>
                <w:numId w:val="0"/>
              </w:numPr>
            </w:pPr>
            <w:r w:rsidRPr="00667467">
              <w:t>ES3.32</w:t>
            </w:r>
          </w:p>
        </w:tc>
        <w:tc>
          <w:tcPr>
            <w:tcW w:w="3748" w:type="dxa"/>
          </w:tcPr>
          <w:p w14:paraId="684E47B1" w14:textId="77777777" w:rsidR="00F00BFD" w:rsidRDefault="00F00BFD" w:rsidP="00B50636">
            <w:pPr>
              <w:pStyle w:val="ES-table"/>
              <w:keepNext w:val="0"/>
            </w:pPr>
            <w:r w:rsidRPr="005F7497">
              <w:t xml:space="preserve">In </w:t>
            </w:r>
            <w:r>
              <w:t>neonatal and paediatric</w:t>
            </w:r>
            <w:r w:rsidRPr="005F7497">
              <w:t xml:space="preserve"> patients undergoing noncardiac surgery, the effect of FFP compared with no FFP on bleeding events is unknown</w:t>
            </w:r>
            <w:r>
              <w:t>.</w:t>
            </w:r>
          </w:p>
        </w:tc>
        <w:tc>
          <w:tcPr>
            <w:tcW w:w="810" w:type="dxa"/>
          </w:tcPr>
          <w:p w14:paraId="1E214BBC" w14:textId="77777777" w:rsidR="00F00BFD" w:rsidRPr="00791A33" w:rsidRDefault="00F00BFD" w:rsidP="00B50636">
            <w:pPr>
              <w:pStyle w:val="T-ABCD"/>
            </w:pPr>
            <w:r>
              <w:t>NA</w:t>
            </w:r>
          </w:p>
        </w:tc>
        <w:tc>
          <w:tcPr>
            <w:tcW w:w="810" w:type="dxa"/>
          </w:tcPr>
          <w:p w14:paraId="7E633D7D" w14:textId="77777777" w:rsidR="00F00BFD" w:rsidRPr="00791A33" w:rsidRDefault="00F00BFD" w:rsidP="00B50636">
            <w:pPr>
              <w:pStyle w:val="T-ABCD"/>
            </w:pPr>
            <w:r>
              <w:t>NA</w:t>
            </w:r>
          </w:p>
        </w:tc>
        <w:tc>
          <w:tcPr>
            <w:tcW w:w="810" w:type="dxa"/>
          </w:tcPr>
          <w:p w14:paraId="403AEE94" w14:textId="77777777" w:rsidR="00F00BFD" w:rsidRPr="00791A33" w:rsidRDefault="00F00BFD" w:rsidP="00B50636">
            <w:pPr>
              <w:pStyle w:val="T-ABCD"/>
            </w:pPr>
            <w:r>
              <w:t>NA</w:t>
            </w:r>
          </w:p>
        </w:tc>
        <w:tc>
          <w:tcPr>
            <w:tcW w:w="810" w:type="dxa"/>
          </w:tcPr>
          <w:p w14:paraId="2FDF7B82" w14:textId="77777777" w:rsidR="00F00BFD" w:rsidRPr="00791A33" w:rsidRDefault="00F00BFD" w:rsidP="00B50636">
            <w:pPr>
              <w:pStyle w:val="T-ABCD"/>
            </w:pPr>
            <w:r>
              <w:t>NA</w:t>
            </w:r>
          </w:p>
        </w:tc>
        <w:tc>
          <w:tcPr>
            <w:tcW w:w="810" w:type="dxa"/>
          </w:tcPr>
          <w:p w14:paraId="2B91F89A" w14:textId="77777777" w:rsidR="00F00BFD" w:rsidRPr="00791A33" w:rsidRDefault="00F00BFD" w:rsidP="00B50636">
            <w:pPr>
              <w:pStyle w:val="T-ABCD"/>
            </w:pPr>
            <w:r>
              <w:t xml:space="preserve">NA </w:t>
            </w:r>
          </w:p>
        </w:tc>
      </w:tr>
      <w:tr w:rsidR="00F00BFD" w:rsidRPr="00791A33" w14:paraId="4833E2FA" w14:textId="77777777" w:rsidTr="00F00BFD">
        <w:tc>
          <w:tcPr>
            <w:tcW w:w="849" w:type="dxa"/>
          </w:tcPr>
          <w:p w14:paraId="4E1401F3" w14:textId="77777777" w:rsidR="00F00BFD" w:rsidRPr="008E6214" w:rsidRDefault="00F00BFD" w:rsidP="00B50636">
            <w:pPr>
              <w:pStyle w:val="Tabletextnoindent"/>
              <w:keepNext w:val="0"/>
              <w:numPr>
                <w:ilvl w:val="0"/>
                <w:numId w:val="0"/>
              </w:numPr>
            </w:pPr>
            <w:r w:rsidRPr="00667467">
              <w:t>ES3.33</w:t>
            </w:r>
          </w:p>
        </w:tc>
        <w:tc>
          <w:tcPr>
            <w:tcW w:w="3748" w:type="dxa"/>
          </w:tcPr>
          <w:p w14:paraId="709BA8E8" w14:textId="77777777" w:rsidR="00F00BFD" w:rsidRDefault="00F00BFD" w:rsidP="00B50636">
            <w:pPr>
              <w:pStyle w:val="ES-table"/>
              <w:keepNext w:val="0"/>
            </w:pPr>
            <w:r w:rsidRPr="005F7497">
              <w:t xml:space="preserve">In </w:t>
            </w:r>
            <w:r>
              <w:t>neonatal and paediatric</w:t>
            </w:r>
            <w:r w:rsidRPr="005F7497">
              <w:t xml:space="preserve"> patients undergoing surgery, the effect of FFP compared with no FFP on transfusion-related serious adverse events is unknown</w:t>
            </w:r>
            <w:r>
              <w:t>.</w:t>
            </w:r>
          </w:p>
        </w:tc>
        <w:tc>
          <w:tcPr>
            <w:tcW w:w="810" w:type="dxa"/>
          </w:tcPr>
          <w:p w14:paraId="1EABC01F" w14:textId="77777777" w:rsidR="00F00BFD" w:rsidRPr="00791A33" w:rsidRDefault="00F00BFD" w:rsidP="00B50636">
            <w:pPr>
              <w:pStyle w:val="T-ABCD"/>
            </w:pPr>
            <w:r>
              <w:t>NA</w:t>
            </w:r>
          </w:p>
        </w:tc>
        <w:tc>
          <w:tcPr>
            <w:tcW w:w="810" w:type="dxa"/>
          </w:tcPr>
          <w:p w14:paraId="3DF63835" w14:textId="77777777" w:rsidR="00F00BFD" w:rsidRPr="00791A33" w:rsidRDefault="00F00BFD" w:rsidP="00B50636">
            <w:pPr>
              <w:pStyle w:val="T-ABCD"/>
            </w:pPr>
            <w:r>
              <w:t>NA</w:t>
            </w:r>
          </w:p>
        </w:tc>
        <w:tc>
          <w:tcPr>
            <w:tcW w:w="810" w:type="dxa"/>
          </w:tcPr>
          <w:p w14:paraId="29D72604" w14:textId="77777777" w:rsidR="00F00BFD" w:rsidRPr="00791A33" w:rsidRDefault="00F00BFD" w:rsidP="00B50636">
            <w:pPr>
              <w:pStyle w:val="T-ABCD"/>
            </w:pPr>
            <w:r>
              <w:t>NA</w:t>
            </w:r>
          </w:p>
        </w:tc>
        <w:tc>
          <w:tcPr>
            <w:tcW w:w="810" w:type="dxa"/>
          </w:tcPr>
          <w:p w14:paraId="3DDA3C59" w14:textId="77777777" w:rsidR="00F00BFD" w:rsidRPr="00791A33" w:rsidRDefault="00F00BFD" w:rsidP="00B50636">
            <w:pPr>
              <w:pStyle w:val="T-ABCD"/>
            </w:pPr>
            <w:r>
              <w:t>NA</w:t>
            </w:r>
          </w:p>
        </w:tc>
        <w:tc>
          <w:tcPr>
            <w:tcW w:w="810" w:type="dxa"/>
          </w:tcPr>
          <w:p w14:paraId="7849F473" w14:textId="77777777" w:rsidR="00F00BFD" w:rsidRPr="00791A33" w:rsidRDefault="00F00BFD" w:rsidP="00B50636">
            <w:pPr>
              <w:pStyle w:val="T-ABCD"/>
            </w:pPr>
            <w:r>
              <w:t xml:space="preserve">NA </w:t>
            </w:r>
          </w:p>
        </w:tc>
      </w:tr>
      <w:tr w:rsidR="00F00BFD" w:rsidRPr="00791A33" w14:paraId="2C9E8F7C" w14:textId="77777777" w:rsidTr="00F00BFD">
        <w:tc>
          <w:tcPr>
            <w:tcW w:w="849" w:type="dxa"/>
          </w:tcPr>
          <w:p w14:paraId="09976CC3" w14:textId="77777777" w:rsidR="00F00BFD" w:rsidRPr="008E6214" w:rsidRDefault="00F00BFD" w:rsidP="00B50636">
            <w:pPr>
              <w:pStyle w:val="Tabletextnoindent"/>
              <w:keepNext w:val="0"/>
              <w:numPr>
                <w:ilvl w:val="0"/>
                <w:numId w:val="0"/>
              </w:numPr>
            </w:pPr>
            <w:r w:rsidRPr="00667467">
              <w:t>ES3.34</w:t>
            </w:r>
          </w:p>
        </w:tc>
        <w:tc>
          <w:tcPr>
            <w:tcW w:w="3748" w:type="dxa"/>
          </w:tcPr>
          <w:p w14:paraId="11342373" w14:textId="77777777" w:rsidR="00F00BFD" w:rsidRDefault="00F00BFD" w:rsidP="00B50636">
            <w:pPr>
              <w:pStyle w:val="ES-table"/>
              <w:keepNext w:val="0"/>
            </w:pPr>
            <w:r w:rsidRPr="005F7497">
              <w:t xml:space="preserve">In </w:t>
            </w:r>
            <w:r>
              <w:t>neonatal and paediatric</w:t>
            </w:r>
            <w:r w:rsidRPr="005F7497">
              <w:t xml:space="preserve"> patients</w:t>
            </w:r>
            <w:r>
              <w:t xml:space="preserve"> </w:t>
            </w:r>
            <w:r w:rsidRPr="005F7497">
              <w:t>undergoing cardiac surgery, the use of an FFP-based pump priming fluid compared with an albumin-based fluid does not reduce intraoperative or postoperative transfusion volume or incidence</w:t>
            </w:r>
            <w:r>
              <w:t>.</w:t>
            </w:r>
          </w:p>
          <w:p w14:paraId="1840A582" w14:textId="77777777" w:rsidR="00F00BFD" w:rsidRDefault="00F00BFD" w:rsidP="00B50636">
            <w:pPr>
              <w:pStyle w:val="ES-notes"/>
              <w:keepNext w:val="0"/>
            </w:pPr>
            <w:r w:rsidRPr="00E86CC4">
              <w:t xml:space="preserve">(See evidence </w:t>
            </w:r>
            <w:r w:rsidRPr="00D00121">
              <w:t>matrix</w:t>
            </w:r>
            <w:r w:rsidRPr="00E86CC4">
              <w:t xml:space="preserve"> D</w:t>
            </w:r>
            <w:r>
              <w:t>3</w:t>
            </w:r>
            <w:r w:rsidRPr="00E86CC4">
              <w:t>.</w:t>
            </w:r>
            <w:r>
              <w:t>L</w:t>
            </w:r>
            <w:r w:rsidRPr="00E86CC4">
              <w:t xml:space="preserve"> in Volume 2 of the technical report.)</w:t>
            </w:r>
          </w:p>
        </w:tc>
        <w:tc>
          <w:tcPr>
            <w:tcW w:w="810" w:type="dxa"/>
          </w:tcPr>
          <w:p w14:paraId="031A1E95" w14:textId="77777777" w:rsidR="00F00BFD" w:rsidRPr="00791A33" w:rsidRDefault="00F00BFD" w:rsidP="00B50636">
            <w:pPr>
              <w:pStyle w:val="T-ABCD"/>
            </w:pPr>
            <w:r w:rsidRPr="0004495C">
              <w:sym w:font="Symbol" w:char="F0D6"/>
            </w:r>
          </w:p>
        </w:tc>
        <w:tc>
          <w:tcPr>
            <w:tcW w:w="810" w:type="dxa"/>
          </w:tcPr>
          <w:p w14:paraId="1C13F001" w14:textId="77777777" w:rsidR="00F00BFD" w:rsidRPr="00791A33" w:rsidRDefault="00F00BFD" w:rsidP="00B50636">
            <w:pPr>
              <w:pStyle w:val="T-ABCD"/>
            </w:pPr>
            <w:r w:rsidRPr="0004495C">
              <w:sym w:font="Symbol" w:char="F0D6"/>
            </w:r>
            <w:r w:rsidRPr="0004495C">
              <w:sym w:font="Symbol" w:char="F0D6"/>
            </w:r>
          </w:p>
        </w:tc>
        <w:tc>
          <w:tcPr>
            <w:tcW w:w="810" w:type="dxa"/>
          </w:tcPr>
          <w:p w14:paraId="43EB20D8" w14:textId="77777777" w:rsidR="00F00BFD" w:rsidRPr="00791A33" w:rsidRDefault="00F00BFD" w:rsidP="00B50636">
            <w:pPr>
              <w:pStyle w:val="T-ABCD"/>
            </w:pPr>
            <w:r>
              <w:t>NA</w:t>
            </w:r>
          </w:p>
        </w:tc>
        <w:tc>
          <w:tcPr>
            <w:tcW w:w="810" w:type="dxa"/>
          </w:tcPr>
          <w:p w14:paraId="2E57DE14" w14:textId="77777777" w:rsidR="00F00BFD" w:rsidRPr="00791A33" w:rsidRDefault="00F00BFD" w:rsidP="00B50636">
            <w:pPr>
              <w:pStyle w:val="T-ABCD"/>
            </w:pPr>
            <w:r w:rsidRPr="0004495C">
              <w:sym w:font="Symbol" w:char="F0D6"/>
            </w:r>
            <w:r w:rsidRPr="0004495C">
              <w:sym w:font="Symbol" w:char="F0D6"/>
            </w:r>
            <w:r w:rsidRPr="0004495C">
              <w:sym w:font="Symbol" w:char="F0D6"/>
            </w:r>
          </w:p>
        </w:tc>
        <w:tc>
          <w:tcPr>
            <w:tcW w:w="810" w:type="dxa"/>
          </w:tcPr>
          <w:p w14:paraId="7BEF7669" w14:textId="77777777" w:rsidR="00F00BFD" w:rsidRPr="00791A33" w:rsidRDefault="00F00BFD" w:rsidP="00B50636">
            <w:pPr>
              <w:pStyle w:val="T-ABCD"/>
            </w:pPr>
            <w:r w:rsidRPr="0004495C">
              <w:sym w:font="Symbol" w:char="F0D6"/>
            </w:r>
          </w:p>
        </w:tc>
      </w:tr>
      <w:tr w:rsidR="00F00BFD" w:rsidRPr="00791A33" w14:paraId="77BD8972" w14:textId="77777777" w:rsidTr="00F00BFD">
        <w:tc>
          <w:tcPr>
            <w:tcW w:w="849" w:type="dxa"/>
          </w:tcPr>
          <w:p w14:paraId="59F34CE8" w14:textId="77777777" w:rsidR="00F00BFD" w:rsidRPr="008E6214" w:rsidRDefault="00F00BFD" w:rsidP="00B50636">
            <w:pPr>
              <w:pStyle w:val="Tabletextnoindent"/>
              <w:keepNext w:val="0"/>
              <w:numPr>
                <w:ilvl w:val="0"/>
                <w:numId w:val="0"/>
              </w:numPr>
            </w:pPr>
            <w:r w:rsidRPr="00667467">
              <w:t>ES3.35</w:t>
            </w:r>
          </w:p>
        </w:tc>
        <w:tc>
          <w:tcPr>
            <w:tcW w:w="3748" w:type="dxa"/>
          </w:tcPr>
          <w:p w14:paraId="65DA3759" w14:textId="77777777" w:rsidR="00F00BFD" w:rsidRDefault="00F00BFD" w:rsidP="00B50636">
            <w:pPr>
              <w:pStyle w:val="ES-table"/>
              <w:keepNext w:val="0"/>
            </w:pPr>
            <w:r w:rsidRPr="005F7497">
              <w:t xml:space="preserve">In </w:t>
            </w:r>
            <w:r>
              <w:t>neonatal and paediatric</w:t>
            </w:r>
            <w:r w:rsidRPr="005F7497">
              <w:t xml:space="preserve"> patients undergoing noncardiac surgery the effect of FFP compared with no FFP on transfusion volume and incidence is unknown</w:t>
            </w:r>
            <w:r>
              <w:t>.</w:t>
            </w:r>
          </w:p>
        </w:tc>
        <w:tc>
          <w:tcPr>
            <w:tcW w:w="810" w:type="dxa"/>
          </w:tcPr>
          <w:p w14:paraId="7F8A2DB7" w14:textId="77777777" w:rsidR="00F00BFD" w:rsidRPr="00791A33" w:rsidRDefault="00F00BFD" w:rsidP="00B50636">
            <w:pPr>
              <w:pStyle w:val="T-ABCD"/>
            </w:pPr>
            <w:r>
              <w:t>NA</w:t>
            </w:r>
          </w:p>
        </w:tc>
        <w:tc>
          <w:tcPr>
            <w:tcW w:w="810" w:type="dxa"/>
          </w:tcPr>
          <w:p w14:paraId="7308C442" w14:textId="77777777" w:rsidR="00F00BFD" w:rsidRPr="00791A33" w:rsidRDefault="00F00BFD" w:rsidP="00B50636">
            <w:pPr>
              <w:pStyle w:val="T-ABCD"/>
            </w:pPr>
            <w:r>
              <w:t>NA</w:t>
            </w:r>
          </w:p>
        </w:tc>
        <w:tc>
          <w:tcPr>
            <w:tcW w:w="810" w:type="dxa"/>
          </w:tcPr>
          <w:p w14:paraId="325DFEB4" w14:textId="77777777" w:rsidR="00F00BFD" w:rsidRPr="00791A33" w:rsidRDefault="00F00BFD" w:rsidP="00B50636">
            <w:pPr>
              <w:pStyle w:val="T-ABCD"/>
            </w:pPr>
            <w:r>
              <w:t>NA</w:t>
            </w:r>
          </w:p>
        </w:tc>
        <w:tc>
          <w:tcPr>
            <w:tcW w:w="810" w:type="dxa"/>
          </w:tcPr>
          <w:p w14:paraId="5B011A6D" w14:textId="77777777" w:rsidR="00F00BFD" w:rsidRPr="00791A33" w:rsidRDefault="00F00BFD" w:rsidP="00B50636">
            <w:pPr>
              <w:pStyle w:val="T-ABCD"/>
            </w:pPr>
            <w:r>
              <w:t>NA</w:t>
            </w:r>
          </w:p>
        </w:tc>
        <w:tc>
          <w:tcPr>
            <w:tcW w:w="810" w:type="dxa"/>
          </w:tcPr>
          <w:p w14:paraId="545FBC09" w14:textId="77777777" w:rsidR="00F00BFD" w:rsidRPr="00791A33" w:rsidRDefault="00F00BFD" w:rsidP="00B50636">
            <w:pPr>
              <w:pStyle w:val="T-ABCD"/>
            </w:pPr>
            <w:r>
              <w:t xml:space="preserve">NA </w:t>
            </w:r>
          </w:p>
        </w:tc>
      </w:tr>
      <w:tr w:rsidR="00F00BFD" w:rsidRPr="00791A33" w14:paraId="56473522" w14:textId="77777777" w:rsidTr="00F00BFD">
        <w:tc>
          <w:tcPr>
            <w:tcW w:w="849" w:type="dxa"/>
          </w:tcPr>
          <w:p w14:paraId="3D4ED4FF" w14:textId="77777777" w:rsidR="00F00BFD" w:rsidRPr="008E6214" w:rsidRDefault="00F00BFD" w:rsidP="00B50636">
            <w:pPr>
              <w:pStyle w:val="Tabletextnoindent"/>
              <w:keepNext w:val="0"/>
              <w:numPr>
                <w:ilvl w:val="0"/>
                <w:numId w:val="0"/>
              </w:numPr>
            </w:pPr>
            <w:r w:rsidRPr="00667467">
              <w:t>ES3.36</w:t>
            </w:r>
          </w:p>
        </w:tc>
        <w:tc>
          <w:tcPr>
            <w:tcW w:w="3748" w:type="dxa"/>
          </w:tcPr>
          <w:p w14:paraId="144E1AC6" w14:textId="77777777" w:rsidR="00F00BFD" w:rsidRPr="005F7497" w:rsidRDefault="00F00BFD" w:rsidP="00B50636">
            <w:pPr>
              <w:pStyle w:val="ES-table"/>
              <w:keepNext w:val="0"/>
            </w:pPr>
            <w:r w:rsidRPr="005F7497">
              <w:t xml:space="preserve">In </w:t>
            </w:r>
            <w:r>
              <w:t>neonatal and paediatric</w:t>
            </w:r>
            <w:r w:rsidRPr="005F7497">
              <w:t xml:space="preserve"> patients undergoing surgery, the effect of a restrictive versus liberal FFP transfusion strategy on mortality is unknown</w:t>
            </w:r>
            <w:r>
              <w:t>.</w:t>
            </w:r>
          </w:p>
        </w:tc>
        <w:tc>
          <w:tcPr>
            <w:tcW w:w="810" w:type="dxa"/>
          </w:tcPr>
          <w:p w14:paraId="1365D322" w14:textId="77777777" w:rsidR="00F00BFD" w:rsidRDefault="00F00BFD" w:rsidP="00B50636">
            <w:pPr>
              <w:pStyle w:val="T-ABCD"/>
            </w:pPr>
            <w:r>
              <w:t>NA</w:t>
            </w:r>
          </w:p>
        </w:tc>
        <w:tc>
          <w:tcPr>
            <w:tcW w:w="810" w:type="dxa"/>
          </w:tcPr>
          <w:p w14:paraId="4461717B" w14:textId="77777777" w:rsidR="00F00BFD" w:rsidRDefault="00F00BFD" w:rsidP="00B50636">
            <w:pPr>
              <w:pStyle w:val="T-ABCD"/>
            </w:pPr>
            <w:r>
              <w:t>NA</w:t>
            </w:r>
          </w:p>
        </w:tc>
        <w:tc>
          <w:tcPr>
            <w:tcW w:w="810" w:type="dxa"/>
          </w:tcPr>
          <w:p w14:paraId="694B4303" w14:textId="77777777" w:rsidR="00F00BFD" w:rsidRDefault="00F00BFD" w:rsidP="00B50636">
            <w:pPr>
              <w:pStyle w:val="T-ABCD"/>
            </w:pPr>
            <w:r>
              <w:t>NA</w:t>
            </w:r>
          </w:p>
        </w:tc>
        <w:tc>
          <w:tcPr>
            <w:tcW w:w="810" w:type="dxa"/>
          </w:tcPr>
          <w:p w14:paraId="0756C74C" w14:textId="77777777" w:rsidR="00F00BFD" w:rsidRDefault="00F00BFD" w:rsidP="00B50636">
            <w:pPr>
              <w:pStyle w:val="T-ABCD"/>
            </w:pPr>
            <w:r>
              <w:t>NA</w:t>
            </w:r>
          </w:p>
        </w:tc>
        <w:tc>
          <w:tcPr>
            <w:tcW w:w="810" w:type="dxa"/>
          </w:tcPr>
          <w:p w14:paraId="27287618" w14:textId="77777777" w:rsidR="00F00BFD" w:rsidRDefault="00F00BFD" w:rsidP="00B50636">
            <w:pPr>
              <w:pStyle w:val="T-ABCD"/>
            </w:pPr>
            <w:r>
              <w:t xml:space="preserve">NA </w:t>
            </w:r>
          </w:p>
        </w:tc>
      </w:tr>
      <w:tr w:rsidR="00F00BFD" w:rsidRPr="00791A33" w14:paraId="68053B17" w14:textId="77777777" w:rsidTr="00F00BFD">
        <w:tc>
          <w:tcPr>
            <w:tcW w:w="849" w:type="dxa"/>
          </w:tcPr>
          <w:p w14:paraId="04CE3EF5" w14:textId="77777777" w:rsidR="00F00BFD" w:rsidRPr="008E6214" w:rsidRDefault="00F00BFD" w:rsidP="00B50636">
            <w:pPr>
              <w:pStyle w:val="Tabletextnoindent"/>
              <w:keepNext w:val="0"/>
              <w:numPr>
                <w:ilvl w:val="0"/>
                <w:numId w:val="0"/>
              </w:numPr>
            </w:pPr>
            <w:r w:rsidRPr="00667467">
              <w:t>ES3.37</w:t>
            </w:r>
          </w:p>
        </w:tc>
        <w:tc>
          <w:tcPr>
            <w:tcW w:w="3748" w:type="dxa"/>
          </w:tcPr>
          <w:p w14:paraId="7751FC2A" w14:textId="77777777" w:rsidR="00F00BFD" w:rsidRPr="005F7497" w:rsidRDefault="00F00BFD" w:rsidP="00B50636">
            <w:pPr>
              <w:pStyle w:val="ES-table"/>
              <w:keepNext w:val="0"/>
            </w:pPr>
            <w:r w:rsidRPr="005F7497">
              <w:t xml:space="preserve">In </w:t>
            </w:r>
            <w:r>
              <w:t>neonatal and paediatric</w:t>
            </w:r>
            <w:r w:rsidRPr="005F7497">
              <w:t xml:space="preserve"> patients undergoing surgery, the effect of a restrictive versus liberal FFP transfusion strategy</w:t>
            </w:r>
            <w:r w:rsidRPr="005F7497" w:rsidDel="005E39E3">
              <w:t xml:space="preserve"> </w:t>
            </w:r>
            <w:r w:rsidRPr="005F7497">
              <w:t>on bleeding events is unknown</w:t>
            </w:r>
            <w:r>
              <w:t>.</w:t>
            </w:r>
          </w:p>
        </w:tc>
        <w:tc>
          <w:tcPr>
            <w:tcW w:w="810" w:type="dxa"/>
          </w:tcPr>
          <w:p w14:paraId="1F43DC2F" w14:textId="77777777" w:rsidR="00F00BFD" w:rsidRDefault="00F00BFD" w:rsidP="00B50636">
            <w:pPr>
              <w:pStyle w:val="T-ABCD"/>
            </w:pPr>
            <w:r>
              <w:t>NA</w:t>
            </w:r>
          </w:p>
        </w:tc>
        <w:tc>
          <w:tcPr>
            <w:tcW w:w="810" w:type="dxa"/>
          </w:tcPr>
          <w:p w14:paraId="0962B38C" w14:textId="77777777" w:rsidR="00F00BFD" w:rsidRDefault="00F00BFD" w:rsidP="00B50636">
            <w:pPr>
              <w:pStyle w:val="T-ABCD"/>
            </w:pPr>
            <w:r>
              <w:t>NA</w:t>
            </w:r>
          </w:p>
        </w:tc>
        <w:tc>
          <w:tcPr>
            <w:tcW w:w="810" w:type="dxa"/>
          </w:tcPr>
          <w:p w14:paraId="2A8EA561" w14:textId="77777777" w:rsidR="00F00BFD" w:rsidRDefault="00F00BFD" w:rsidP="00B50636">
            <w:pPr>
              <w:pStyle w:val="T-ABCD"/>
            </w:pPr>
            <w:r>
              <w:t>NA</w:t>
            </w:r>
          </w:p>
        </w:tc>
        <w:tc>
          <w:tcPr>
            <w:tcW w:w="810" w:type="dxa"/>
          </w:tcPr>
          <w:p w14:paraId="3D6B3176" w14:textId="77777777" w:rsidR="00F00BFD" w:rsidRDefault="00F00BFD" w:rsidP="00B50636">
            <w:pPr>
              <w:pStyle w:val="T-ABCD"/>
            </w:pPr>
            <w:r>
              <w:t>NA</w:t>
            </w:r>
          </w:p>
        </w:tc>
        <w:tc>
          <w:tcPr>
            <w:tcW w:w="810" w:type="dxa"/>
          </w:tcPr>
          <w:p w14:paraId="545550AF" w14:textId="77777777" w:rsidR="00F00BFD" w:rsidRDefault="00F00BFD" w:rsidP="00B50636">
            <w:pPr>
              <w:pStyle w:val="T-ABCD"/>
            </w:pPr>
            <w:r>
              <w:t xml:space="preserve">NA </w:t>
            </w:r>
          </w:p>
        </w:tc>
      </w:tr>
      <w:tr w:rsidR="00F00BFD" w:rsidRPr="00791A33" w14:paraId="67AD2233" w14:textId="77777777" w:rsidTr="00F00BFD">
        <w:trPr>
          <w:cantSplit/>
        </w:trPr>
        <w:tc>
          <w:tcPr>
            <w:tcW w:w="849" w:type="dxa"/>
          </w:tcPr>
          <w:p w14:paraId="2BB8C250" w14:textId="77777777" w:rsidR="00F00BFD" w:rsidRPr="008E6214" w:rsidRDefault="00F00BFD" w:rsidP="00F00BFD">
            <w:pPr>
              <w:pStyle w:val="Tabletextnoindent"/>
              <w:numPr>
                <w:ilvl w:val="0"/>
                <w:numId w:val="0"/>
              </w:numPr>
            </w:pPr>
            <w:r w:rsidRPr="00667467">
              <w:t>ES3.38</w:t>
            </w:r>
          </w:p>
        </w:tc>
        <w:tc>
          <w:tcPr>
            <w:tcW w:w="3748" w:type="dxa"/>
          </w:tcPr>
          <w:p w14:paraId="6A03528C" w14:textId="77777777" w:rsidR="00F00BFD" w:rsidRPr="005F7497" w:rsidRDefault="00F00BFD" w:rsidP="00F00BFD">
            <w:pPr>
              <w:pStyle w:val="ES-table"/>
            </w:pPr>
            <w:r w:rsidRPr="005F7497">
              <w:t xml:space="preserve">In </w:t>
            </w:r>
            <w:r>
              <w:t>neonatal and paediatric</w:t>
            </w:r>
            <w:r w:rsidRPr="005F7497">
              <w:t xml:space="preserve"> patients</w:t>
            </w:r>
            <w:r>
              <w:t xml:space="preserve"> </w:t>
            </w:r>
            <w:r w:rsidRPr="005F7497">
              <w:t>undergoing surgery, the effect of a restrictive versus liberal FFP transfusion strategy</w:t>
            </w:r>
            <w:r w:rsidRPr="005F7497" w:rsidDel="005E39E3">
              <w:t xml:space="preserve"> </w:t>
            </w:r>
            <w:r w:rsidRPr="005F7497">
              <w:t>on transfusion-related serious adverse events is unknown</w:t>
            </w:r>
            <w:r>
              <w:t>.</w:t>
            </w:r>
          </w:p>
        </w:tc>
        <w:tc>
          <w:tcPr>
            <w:tcW w:w="810" w:type="dxa"/>
          </w:tcPr>
          <w:p w14:paraId="1C82BCBF" w14:textId="77777777" w:rsidR="00F00BFD" w:rsidRDefault="00F00BFD" w:rsidP="00F00BFD">
            <w:pPr>
              <w:pStyle w:val="T-ABCD"/>
            </w:pPr>
            <w:r>
              <w:t>NA</w:t>
            </w:r>
          </w:p>
        </w:tc>
        <w:tc>
          <w:tcPr>
            <w:tcW w:w="810" w:type="dxa"/>
          </w:tcPr>
          <w:p w14:paraId="5E8FB6D7" w14:textId="77777777" w:rsidR="00F00BFD" w:rsidRDefault="00F00BFD" w:rsidP="00F00BFD">
            <w:pPr>
              <w:pStyle w:val="T-ABCD"/>
            </w:pPr>
            <w:r>
              <w:t>NA</w:t>
            </w:r>
          </w:p>
        </w:tc>
        <w:tc>
          <w:tcPr>
            <w:tcW w:w="810" w:type="dxa"/>
          </w:tcPr>
          <w:p w14:paraId="4A662C93" w14:textId="77777777" w:rsidR="00F00BFD" w:rsidRDefault="00F00BFD" w:rsidP="00F00BFD">
            <w:pPr>
              <w:pStyle w:val="T-ABCD"/>
            </w:pPr>
            <w:r>
              <w:t>NA</w:t>
            </w:r>
          </w:p>
        </w:tc>
        <w:tc>
          <w:tcPr>
            <w:tcW w:w="810" w:type="dxa"/>
          </w:tcPr>
          <w:p w14:paraId="4CC8CE68" w14:textId="77777777" w:rsidR="00F00BFD" w:rsidRDefault="00F00BFD" w:rsidP="00F00BFD">
            <w:pPr>
              <w:pStyle w:val="T-ABCD"/>
            </w:pPr>
            <w:r>
              <w:t>NA</w:t>
            </w:r>
          </w:p>
        </w:tc>
        <w:tc>
          <w:tcPr>
            <w:tcW w:w="810" w:type="dxa"/>
          </w:tcPr>
          <w:p w14:paraId="4EA33ECD" w14:textId="77777777" w:rsidR="00F00BFD" w:rsidRDefault="00F00BFD" w:rsidP="00F00BFD">
            <w:pPr>
              <w:pStyle w:val="T-ABCD"/>
            </w:pPr>
            <w:r>
              <w:t xml:space="preserve">NA </w:t>
            </w:r>
          </w:p>
        </w:tc>
      </w:tr>
      <w:tr w:rsidR="00F00BFD" w:rsidRPr="00791A33" w14:paraId="2A874EF5" w14:textId="77777777" w:rsidTr="00F00BFD">
        <w:tc>
          <w:tcPr>
            <w:tcW w:w="849" w:type="dxa"/>
          </w:tcPr>
          <w:p w14:paraId="7805F5A9" w14:textId="77777777" w:rsidR="00F00BFD" w:rsidRPr="008E6214" w:rsidRDefault="00F00BFD" w:rsidP="00F00BFD">
            <w:pPr>
              <w:pStyle w:val="Tabletextnoindent"/>
              <w:numPr>
                <w:ilvl w:val="0"/>
                <w:numId w:val="0"/>
              </w:numPr>
            </w:pPr>
            <w:r w:rsidRPr="00667467">
              <w:t>ES3.39</w:t>
            </w:r>
          </w:p>
        </w:tc>
        <w:tc>
          <w:tcPr>
            <w:tcW w:w="3748" w:type="dxa"/>
          </w:tcPr>
          <w:p w14:paraId="17AE4D42" w14:textId="77777777" w:rsidR="00F00BFD" w:rsidRDefault="00F00BFD" w:rsidP="00F00BFD">
            <w:pPr>
              <w:pStyle w:val="ES-table"/>
            </w:pPr>
            <w:r w:rsidRPr="005F7497">
              <w:t xml:space="preserve">In </w:t>
            </w:r>
            <w:r>
              <w:t>neonatal and paediatric</w:t>
            </w:r>
            <w:r w:rsidRPr="005F7497">
              <w:t xml:space="preserve"> patients undergoing surgery, the effect of a restrictive versus liberal FFP transfusion strategy</w:t>
            </w:r>
            <w:r w:rsidRPr="005F7497" w:rsidDel="005E39E3">
              <w:t xml:space="preserve"> </w:t>
            </w:r>
            <w:r w:rsidRPr="005F7497">
              <w:t>on transfusion volume and incidence is unknown</w:t>
            </w:r>
            <w:r>
              <w:t>.</w:t>
            </w:r>
          </w:p>
        </w:tc>
        <w:tc>
          <w:tcPr>
            <w:tcW w:w="810" w:type="dxa"/>
          </w:tcPr>
          <w:p w14:paraId="14D69001" w14:textId="77777777" w:rsidR="00F00BFD" w:rsidRPr="00791A33" w:rsidRDefault="00F00BFD" w:rsidP="00F00BFD">
            <w:pPr>
              <w:pStyle w:val="T-ABCD"/>
            </w:pPr>
            <w:r>
              <w:t>NA</w:t>
            </w:r>
          </w:p>
        </w:tc>
        <w:tc>
          <w:tcPr>
            <w:tcW w:w="810" w:type="dxa"/>
          </w:tcPr>
          <w:p w14:paraId="065F4498" w14:textId="77777777" w:rsidR="00F00BFD" w:rsidRPr="00791A33" w:rsidRDefault="00F00BFD" w:rsidP="00F00BFD">
            <w:pPr>
              <w:pStyle w:val="T-ABCD"/>
            </w:pPr>
            <w:r>
              <w:t>NA</w:t>
            </w:r>
          </w:p>
        </w:tc>
        <w:tc>
          <w:tcPr>
            <w:tcW w:w="810" w:type="dxa"/>
          </w:tcPr>
          <w:p w14:paraId="0FD7209C" w14:textId="77777777" w:rsidR="00F00BFD" w:rsidRPr="00791A33" w:rsidRDefault="00F00BFD" w:rsidP="00F00BFD">
            <w:pPr>
              <w:pStyle w:val="T-ABCD"/>
            </w:pPr>
            <w:r>
              <w:t>NA</w:t>
            </w:r>
          </w:p>
        </w:tc>
        <w:tc>
          <w:tcPr>
            <w:tcW w:w="810" w:type="dxa"/>
          </w:tcPr>
          <w:p w14:paraId="4B0ACCA6" w14:textId="77777777" w:rsidR="00F00BFD" w:rsidRPr="00791A33" w:rsidRDefault="00F00BFD" w:rsidP="00F00BFD">
            <w:pPr>
              <w:pStyle w:val="T-ABCD"/>
            </w:pPr>
            <w:r>
              <w:t>NA</w:t>
            </w:r>
          </w:p>
        </w:tc>
        <w:tc>
          <w:tcPr>
            <w:tcW w:w="810" w:type="dxa"/>
          </w:tcPr>
          <w:p w14:paraId="7859DD2F" w14:textId="77777777" w:rsidR="00F00BFD" w:rsidRPr="00791A33" w:rsidRDefault="00F00BFD" w:rsidP="00F00BFD">
            <w:pPr>
              <w:pStyle w:val="T-ABCD"/>
            </w:pPr>
            <w:r>
              <w:t xml:space="preserve">NA </w:t>
            </w:r>
          </w:p>
        </w:tc>
      </w:tr>
      <w:tr w:rsidR="00F00BFD" w14:paraId="45041A97" w14:textId="77777777" w:rsidTr="00F00BFD">
        <w:tc>
          <w:tcPr>
            <w:tcW w:w="8647" w:type="dxa"/>
            <w:gridSpan w:val="7"/>
          </w:tcPr>
          <w:p w14:paraId="23ECE2A6" w14:textId="3D23E64F" w:rsidR="00F00BFD" w:rsidRDefault="00F00BFD" w:rsidP="00F00BFD">
            <w:pPr>
              <w:pStyle w:val="ES-notes"/>
            </w:pPr>
            <w:r>
              <w:t>ES, evidence statement; FFP, fresh frozen plasma</w:t>
            </w:r>
            <w:r w:rsidR="004828DA">
              <w:t xml:space="preserve"> </w:t>
            </w:r>
          </w:p>
          <w:p w14:paraId="51BFC562" w14:textId="77777777" w:rsidR="00F00BFD" w:rsidRDefault="00F00BFD" w:rsidP="00F00BFD">
            <w:pPr>
              <w:pStyle w:val="ES-notes"/>
            </w:pPr>
            <w:r w:rsidRPr="0004495C">
              <w:sym w:font="Symbol" w:char="F0D6"/>
            </w:r>
            <w:r w:rsidRPr="0004495C">
              <w:sym w:font="Symbol" w:char="F0D6"/>
            </w:r>
            <w:r w:rsidRPr="0004495C">
              <w:sym w:font="Symbol" w:char="F0D6"/>
            </w:r>
            <w:r>
              <w:t xml:space="preserve">=A; </w:t>
            </w:r>
            <w:r w:rsidRPr="0004495C">
              <w:sym w:font="Symbol" w:char="F0D6"/>
            </w:r>
            <w:r w:rsidRPr="0004495C">
              <w:sym w:font="Symbol" w:char="F0D6"/>
            </w:r>
            <w:r>
              <w:t xml:space="preserve">=B; </w:t>
            </w:r>
            <w:r w:rsidRPr="0004495C">
              <w:sym w:font="Symbol" w:char="F0D6"/>
            </w:r>
            <w:r>
              <w:t>=C; X=D; NA, not applicable</w:t>
            </w:r>
          </w:p>
        </w:tc>
      </w:tr>
    </w:tbl>
    <w:p w14:paraId="497CF277" w14:textId="77777777" w:rsidR="00F00BFD" w:rsidRDefault="00F00BFD" w:rsidP="00F00BFD">
      <w:pPr>
        <w:rPr>
          <w:lang w:val="en-GB" w:eastAsia="en-GB"/>
        </w:rPr>
      </w:pPr>
    </w:p>
    <w:tbl>
      <w:tblPr>
        <w:tblW w:w="4679" w:type="pct"/>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090"/>
        <w:gridCol w:w="23"/>
        <w:gridCol w:w="7490"/>
        <w:gridCol w:w="46"/>
      </w:tblGrid>
      <w:tr w:rsidR="00F00BFD" w:rsidRPr="00F921CD" w14:paraId="01A5A838" w14:textId="77777777" w:rsidTr="00467EEA">
        <w:trPr>
          <w:gridAfter w:val="1"/>
          <w:wAfter w:w="98" w:type="dxa"/>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B0F0"/>
          </w:tcPr>
          <w:p w14:paraId="596E9060" w14:textId="4E434007" w:rsidR="00F00BFD" w:rsidRPr="0029424F" w:rsidRDefault="00F00BFD" w:rsidP="00F00BFD">
            <w:pPr>
              <w:pStyle w:val="PP-heading"/>
              <w:rPr>
                <w:lang w:val="en-AU"/>
              </w:rPr>
            </w:pPr>
            <w:r w:rsidRPr="00F921CD">
              <w:t xml:space="preserve">Recommendation – </w:t>
            </w:r>
            <w:r w:rsidR="005E38DA">
              <w:t>surgical (</w:t>
            </w:r>
            <w:r w:rsidR="005E38DA">
              <w:rPr>
                <w:lang w:val="en-AU"/>
              </w:rPr>
              <w:t>FFP)</w:t>
            </w:r>
          </w:p>
        </w:tc>
      </w:tr>
      <w:tr w:rsidR="00F00BFD" w:rsidRPr="00F921CD" w14:paraId="7D93F90D" w14:textId="77777777" w:rsidTr="00F00BFD">
        <w:trPr>
          <w:gridAfter w:val="1"/>
          <w:wAfter w:w="98" w:type="dxa"/>
        </w:trPr>
        <w:tc>
          <w:tcPr>
            <w:tcW w:w="656" w:type="pct"/>
            <w:gridSpan w:val="2"/>
            <w:tcBorders>
              <w:right w:val="single" w:sz="4" w:space="0" w:color="auto"/>
            </w:tcBorders>
            <w:shd w:val="clear" w:color="auto" w:fill="auto"/>
          </w:tcPr>
          <w:p w14:paraId="4B330AB0" w14:textId="77777777" w:rsidR="00F00BFD" w:rsidRPr="00F921CD" w:rsidRDefault="00F00BFD" w:rsidP="00B50636">
            <w:pPr>
              <w:pStyle w:val="PP"/>
            </w:pPr>
            <w:r w:rsidRPr="00F921CD">
              <w:t>R6</w:t>
            </w:r>
            <w:r w:rsidRPr="00F921CD">
              <w:br/>
              <w:t>(Grade C)</w:t>
            </w:r>
          </w:p>
        </w:tc>
        <w:tc>
          <w:tcPr>
            <w:tcW w:w="4344" w:type="pct"/>
            <w:tcBorders>
              <w:left w:val="single" w:sz="4" w:space="0" w:color="auto"/>
            </w:tcBorders>
            <w:shd w:val="clear" w:color="auto" w:fill="auto"/>
          </w:tcPr>
          <w:p w14:paraId="002DF170" w14:textId="657BEB35" w:rsidR="00F00BFD" w:rsidRPr="00F921CD" w:rsidRDefault="00F00BFD" w:rsidP="00B50636">
            <w:pPr>
              <w:pStyle w:val="PP"/>
            </w:pPr>
            <w:r w:rsidRPr="00F921CD">
              <w:t xml:space="preserve">In neonatal and paediatric patients </w:t>
            </w:r>
            <w:r w:rsidR="001944D9">
              <w:t>undergoing</w:t>
            </w:r>
            <w:r w:rsidRPr="00F921CD">
              <w:t xml:space="preserve"> cardiac surgery, the </w:t>
            </w:r>
            <w:r w:rsidRPr="00F921CD">
              <w:rPr>
                <w:i/>
              </w:rPr>
              <w:t xml:space="preserve">routine </w:t>
            </w:r>
            <w:r w:rsidRPr="00F921CD">
              <w:t xml:space="preserve">use of an FFP-based pump prime solution is not recommended, because it offers no advantages over an albumin-based solution in relation to postoperative blood loss, or perioperative transfusion requirements. </w:t>
            </w:r>
          </w:p>
        </w:tc>
      </w:tr>
      <w:tr w:rsidR="00F00BFD" w:rsidRPr="00F921CD" w14:paraId="69558F22" w14:textId="77777777" w:rsidTr="00467EEA">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BE9FF"/>
          </w:tcPr>
          <w:p w14:paraId="7220A48C" w14:textId="5A44D928" w:rsidR="00F00BFD" w:rsidRPr="0029424F" w:rsidRDefault="00F00BFD" w:rsidP="00C867A4">
            <w:pPr>
              <w:pStyle w:val="PP-heading"/>
              <w:rPr>
                <w:lang w:val="en-AU"/>
              </w:rPr>
            </w:pPr>
            <w:r w:rsidRPr="00F921CD">
              <w:t>Practice point</w:t>
            </w:r>
            <w:r>
              <w:t>s</w:t>
            </w:r>
            <w:r w:rsidRPr="00F921CD">
              <w:t xml:space="preserve"> – </w:t>
            </w:r>
            <w:r w:rsidR="005E38DA">
              <w:t>surgical (</w:t>
            </w:r>
            <w:r w:rsidR="005E38DA">
              <w:rPr>
                <w:lang w:val="en-AU"/>
              </w:rPr>
              <w:t>FFP)</w:t>
            </w:r>
          </w:p>
        </w:tc>
      </w:tr>
      <w:tr w:rsidR="00F00BFD" w:rsidRPr="00F921CD" w14:paraId="6A19D71D" w14:textId="77777777" w:rsidTr="00517313">
        <w:trPr>
          <w:cantSplit/>
        </w:trPr>
        <w:tc>
          <w:tcPr>
            <w:tcW w:w="639" w:type="pct"/>
            <w:tcBorders>
              <w:right w:val="single" w:sz="4" w:space="0" w:color="auto"/>
            </w:tcBorders>
            <w:shd w:val="clear" w:color="auto" w:fill="auto"/>
          </w:tcPr>
          <w:p w14:paraId="12610A5C" w14:textId="77777777" w:rsidR="00F00BFD" w:rsidRPr="00F921CD" w:rsidRDefault="00F00BFD" w:rsidP="00B50636">
            <w:pPr>
              <w:pStyle w:val="PP"/>
            </w:pPr>
            <w:r w:rsidRPr="00F921CD">
              <w:t>PP</w:t>
            </w:r>
            <w:r>
              <w:t>28</w:t>
            </w:r>
          </w:p>
        </w:tc>
        <w:tc>
          <w:tcPr>
            <w:tcW w:w="4361" w:type="pct"/>
            <w:gridSpan w:val="3"/>
            <w:tcBorders>
              <w:left w:val="single" w:sz="4" w:space="0" w:color="auto"/>
            </w:tcBorders>
            <w:shd w:val="clear" w:color="auto" w:fill="auto"/>
          </w:tcPr>
          <w:p w14:paraId="2FD71A54" w14:textId="77777777" w:rsidR="00F00BFD" w:rsidRPr="00F921CD" w:rsidRDefault="00F00BFD" w:rsidP="00B50636">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B50636" w:rsidRPr="00F921CD" w14:paraId="391F092A" w14:textId="77777777" w:rsidTr="00517313">
        <w:trPr>
          <w:cantSplit/>
        </w:trPr>
        <w:tc>
          <w:tcPr>
            <w:tcW w:w="639" w:type="pct"/>
            <w:tcBorders>
              <w:right w:val="single" w:sz="4" w:space="0" w:color="auto"/>
            </w:tcBorders>
            <w:shd w:val="clear" w:color="auto" w:fill="auto"/>
          </w:tcPr>
          <w:p w14:paraId="7C5E6220" w14:textId="247CAFC0" w:rsidR="00B50636" w:rsidRPr="00F921CD" w:rsidDel="00F053AA" w:rsidRDefault="00B50636" w:rsidP="00B50636">
            <w:pPr>
              <w:pStyle w:val="PP"/>
            </w:pPr>
            <w:r>
              <w:t>PP29</w:t>
            </w:r>
          </w:p>
        </w:tc>
        <w:tc>
          <w:tcPr>
            <w:tcW w:w="4361" w:type="pct"/>
            <w:gridSpan w:val="3"/>
            <w:tcBorders>
              <w:left w:val="single" w:sz="4" w:space="0" w:color="auto"/>
            </w:tcBorders>
            <w:shd w:val="clear" w:color="auto" w:fill="auto"/>
          </w:tcPr>
          <w:p w14:paraId="68DDF494" w14:textId="391D26F8" w:rsidR="00B50636" w:rsidRPr="008166BF" w:rsidRDefault="00B50636" w:rsidP="00B50636">
            <w:pPr>
              <w:pStyle w:val="PP"/>
              <w:rPr>
                <w:vertAlign w:val="superscript"/>
              </w:rPr>
            </w:pPr>
            <w:r>
              <w:t xml:space="preserve">For </w:t>
            </w:r>
            <w:r w:rsidRPr="008166BF">
              <w:t>guidance</w:t>
            </w:r>
            <w:r>
              <w:t xml:space="preserve"> on the use of FFP</w:t>
            </w:r>
            <w:r w:rsidR="004828DA">
              <w:t xml:space="preserve"> </w:t>
            </w:r>
            <w:r>
              <w:t>in specific patient groups, refer to</w:t>
            </w:r>
            <w:r w:rsidR="00EC0D3F">
              <w:rPr>
                <w:lang w:val="en-AU"/>
              </w:rPr>
              <w:t>:</w:t>
            </w:r>
            <w:r w:rsidRPr="008166BF">
              <w:rPr>
                <w:vertAlign w:val="superscript"/>
              </w:rPr>
              <w:t>a</w:t>
            </w:r>
          </w:p>
          <w:p w14:paraId="25FCD0C5" w14:textId="1E8C31A0" w:rsidR="00B50636" w:rsidRPr="00886B81" w:rsidRDefault="00B50636" w:rsidP="00B50636">
            <w:pPr>
              <w:pStyle w:val="PP-bullets"/>
              <w:numPr>
                <w:ilvl w:val="0"/>
                <w:numId w:val="3"/>
              </w:numPr>
              <w:rPr>
                <w:i/>
              </w:rPr>
            </w:pPr>
            <w:r w:rsidRPr="00886B81">
              <w:rPr>
                <w:i/>
              </w:rPr>
              <w:t>Patient Blood Management Guidelines: Module 1 – Critical Bleeding/Massive Transfusion (2011)</w:t>
            </w:r>
            <w:hyperlink w:anchor="_ENREF_1" w:tooltip="National Blood Authority (NBA), 2011 #199" w:history="1">
              <w:r w:rsidR="00E62798">
                <w:rPr>
                  <w:lang w:val="en-AU"/>
                </w:rPr>
                <w:fldChar w:fldCharType="begin"/>
              </w:r>
              <w:r w:rsidR="00E62798">
                <w:rPr>
                  <w:lang w:val="en-AU"/>
                </w:rPr>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rPr>
                  <w:lang w:val="en-AU"/>
                </w:rPr>
                <w:fldChar w:fldCharType="separate"/>
              </w:r>
              <w:r w:rsidR="00E62798" w:rsidRPr="00E62798">
                <w:rPr>
                  <w:noProof/>
                  <w:vertAlign w:val="superscript"/>
                  <w:lang w:val="en-AU"/>
                </w:rPr>
                <w:t>1</w:t>
              </w:r>
              <w:r w:rsidR="00E62798">
                <w:rPr>
                  <w:lang w:val="en-AU"/>
                </w:rPr>
                <w:fldChar w:fldCharType="end"/>
              </w:r>
            </w:hyperlink>
          </w:p>
          <w:p w14:paraId="6EE1EAD5" w14:textId="4A86C661" w:rsidR="00B50636" w:rsidRPr="00886B81" w:rsidRDefault="00B50636" w:rsidP="00B50636">
            <w:pPr>
              <w:pStyle w:val="PP-bullets"/>
              <w:numPr>
                <w:ilvl w:val="0"/>
                <w:numId w:val="3"/>
              </w:numPr>
              <w:rPr>
                <w:i/>
              </w:rPr>
            </w:pPr>
            <w:r w:rsidRPr="00886B81">
              <w:rPr>
                <w:i/>
              </w:rPr>
              <w:t>Patient Blood Management Guidelines: Module 2 – Perioperative (2012)</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6BFAE257" w14:textId="6BA4E83E" w:rsidR="00B50636" w:rsidRPr="00886B81" w:rsidRDefault="00B50636" w:rsidP="00B50636">
            <w:pPr>
              <w:pStyle w:val="PP-bullets"/>
              <w:numPr>
                <w:ilvl w:val="0"/>
                <w:numId w:val="3"/>
              </w:numPr>
              <w:rPr>
                <w:i/>
              </w:rPr>
            </w:pPr>
            <w:r w:rsidRPr="00886B81">
              <w:rPr>
                <w:i/>
              </w:rPr>
              <w:t>Warfarin Reversal: Consensus Guidelines, on behalf of the Australasian Society of Thrombosis and Haemostasis (2004)</w:t>
            </w:r>
            <w:hyperlink w:anchor="_ENREF_15" w:tooltip="Baker, 2004 #551" w:history="1">
              <w:r w:rsidR="00E62798">
                <w:fldChar w:fldCharType="begin"/>
              </w:r>
              <w:r w:rsidR="00E62798">
                <w:instrText xml:space="preserve"> ADDIN EN.CITE &lt;EndNote&gt;&lt;Cite&gt;&lt;Author&gt;Baker&lt;/Author&gt;&lt;Year&gt;2004&lt;/Year&gt;&lt;RecNum&gt;551&lt;/RecNum&gt;&lt;DisplayText&gt;&lt;style face="superscript"&gt;15&lt;/style&gt;&lt;/DisplayText&gt;&lt;record&gt;&lt;rec-number&gt;551&lt;/rec-number&gt;&lt;foreign-keys&gt;&lt;key app="EN" db-id="9edve2wadsavt5ewavaxtda4f2tavzvts9ee" timestamp="1429939807"&gt;551&lt;/key&gt;&lt;/foreign-keys&gt;&lt;ref-type name="Journal Article"&gt;17&lt;/ref-type&gt;&lt;contributors&gt;&lt;authors&gt;&lt;author&gt;Baker, R. I.&lt;/author&gt;&lt;author&gt;Coughlin, P. B.&lt;/author&gt;&lt;author&gt;Gallus, A. S.&lt;/author&gt;&lt;author&gt;Harper, P. L.&lt;/author&gt;&lt;author&gt;Salem, H. H.&lt;/author&gt;&lt;author&gt;Wood, E. M.&lt;/author&gt;&lt;author&gt;Warfarin Reversal Consensus, Group&lt;/author&gt;&lt;/authors&gt;&lt;/contributors&gt;&lt;titles&gt;&lt;title&gt;Warfarin reversal: consensus guidelines, on behalf of the Australasian Society of Thrombosis and Haemostasis&lt;/title&gt;&lt;secondary-title&gt;The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492–497&lt;/pages&gt;&lt;volume&gt;181&lt;/volume&gt;&lt;number&gt;9&lt;/number&gt;&lt;dates&gt;&lt;year&gt;2004&lt;/year&gt;&lt;/dates&gt;&lt;isbn&gt;0025-729X&lt;/isbn&gt;&lt;urls&gt;&lt;related-urls&gt;&lt;url&gt;https://www.mja.com.au/system/files/issues/181_09_011104/bak10441_fm.pdf&lt;/url&gt;&lt;/related-urls&gt;&lt;/urls&gt;&lt;/record&gt;&lt;/Cite&gt;&lt;/EndNote&gt;</w:instrText>
              </w:r>
              <w:r w:rsidR="00E62798">
                <w:fldChar w:fldCharType="separate"/>
              </w:r>
              <w:r w:rsidR="00E62798" w:rsidRPr="00E62798">
                <w:rPr>
                  <w:noProof/>
                  <w:vertAlign w:val="superscript"/>
                </w:rPr>
                <w:t>15</w:t>
              </w:r>
              <w:r w:rsidR="00E62798">
                <w:fldChar w:fldCharType="end"/>
              </w:r>
            </w:hyperlink>
          </w:p>
          <w:p w14:paraId="12CA1247" w14:textId="77777777" w:rsidR="00B50636" w:rsidRPr="00886B81" w:rsidRDefault="00B50636" w:rsidP="00B50636">
            <w:pPr>
              <w:pStyle w:val="PP-bullets"/>
              <w:numPr>
                <w:ilvl w:val="0"/>
                <w:numId w:val="3"/>
              </w:numPr>
            </w:pPr>
            <w:r w:rsidRPr="00886B81">
              <w:t>AHCDO guidelines for patients with specific factor deficiencies (www.ahcdo.org.au)</w:t>
            </w:r>
          </w:p>
          <w:p w14:paraId="6D2BEC35" w14:textId="2FF8BB9F" w:rsidR="00B50636" w:rsidRPr="00886B81" w:rsidRDefault="00B50636" w:rsidP="00B50636">
            <w:pPr>
              <w:pStyle w:val="PP-bullets"/>
              <w:numPr>
                <w:ilvl w:val="0"/>
                <w:numId w:val="3"/>
              </w:numPr>
              <w:rPr>
                <w:i/>
              </w:rPr>
            </w:pPr>
            <w:r w:rsidRPr="00886B81">
              <w:rPr>
                <w:i/>
              </w:rPr>
              <w:t>Guidelines for the Use of Fresh-Frozen Plasma, Cryoprecipitate and Cryosupernatant (2004)</w:t>
            </w:r>
            <w:r w:rsidR="00B855A4">
              <w:rPr>
                <w:lang w:val="en-AU"/>
              </w:rPr>
              <w:t>.</w:t>
            </w:r>
            <w:hyperlink w:anchor="_ENREF_16" w:tooltip="O'Shaughnessy, 2004 #1046" w:history="1">
              <w:r w:rsidR="00E62798">
                <w:fldChar w:fldCharType="begin"/>
              </w:r>
              <w:r w:rsidR="00E62798">
                <w:instrText xml:space="preserve"> ADDIN EN.CITE &lt;EndNote&gt;&lt;Cite&gt;&lt;Author&gt;O&amp;apos;Shaughnessy&lt;/Author&gt;&lt;Year&gt;2004&lt;/Year&gt;&lt;RecNum&gt;1046&lt;/RecNum&gt;&lt;DisplayText&gt;&lt;style face="superscript"&gt;16&lt;/style&gt;&lt;/DisplayText&gt;&lt;record&gt;&lt;rec-number&gt;1046&lt;/rec-number&gt;&lt;foreign-keys&gt;&lt;key app="EN" db-id="9edve2wadsavt5ewavaxtda4f2tavzvts9ee" timestamp="1438836074"&gt;1046&lt;/key&gt;&lt;/foreign-keys&gt;&lt;ref-type name="Journal Article"&gt;17&lt;/ref-type&gt;&lt;contributors&gt;&lt;authors&gt;&lt;author&gt;O&amp;apos;Shaughnessy, D. F.&lt;/author&gt;&lt;author&gt;Atterbury, C.&lt;/author&gt;&lt;author&gt;Bolton Maggs, P.&lt;/author&gt;&lt;author&gt;Murphy, M.&lt;/author&gt;&lt;author&gt;Thomas, D.&lt;/author&gt;&lt;author&gt;Yates, S.&lt;/author&gt;&lt;author&gt;Williamson, L. M.&lt;/author&gt;&lt;author&gt;British Committee for Standards in Haematology, Blood Transfusion Task Force&lt;/author&gt;&lt;/authors&gt;&lt;/contributors&gt;&lt;auth-address&gt;Southampton University Hospitals, Southampton, UK.&lt;/auth-address&gt;&lt;titles&gt;&lt;title&gt;Guidelines for the use of fresh-frozen plasma, cryoprecipitate and cryosupernatant&lt;/title&gt;&lt;secondary-title&gt;Br J Haematol&lt;/secondary-title&gt;&lt;/titles&gt;&lt;periodical&gt;&lt;full-title&gt;Br J Haematol&lt;/full-title&gt;&lt;abbr-1&gt;British journal of haematology&lt;/abbr-1&gt;&lt;/periodical&gt;&lt;pages&gt;11-28&lt;/pages&gt;&lt;volume&gt;126&lt;/volume&gt;&lt;number&gt;1&lt;/number&gt;&lt;keywords&gt;&lt;keyword&gt;Adult&lt;/keyword&gt;&lt;keyword&gt;Blood Coagulation Disorders/*therapy&lt;/keyword&gt;&lt;keyword&gt;Blood Component Transfusion/*methods&lt;/keyword&gt;&lt;keyword&gt;Child&lt;/keyword&gt;&lt;keyword&gt;Humans&lt;/keyword&gt;&lt;keyword&gt;*Patient Selection&lt;/keyword&gt;&lt;keyword&gt;*Plasma&lt;/keyword&gt;&lt;/keywords&gt;&lt;dates&gt;&lt;year&gt;2004&lt;/year&gt;&lt;pub-dates&gt;&lt;date&gt;Jul&lt;/date&gt;&lt;/pub-dates&gt;&lt;/dates&gt;&lt;isbn&gt;0007-1048 (Print)&amp;#xD;0007-1048 (Linking)&lt;/isbn&gt;&lt;accession-num&gt;15198728&lt;/accession-num&gt;&lt;urls&gt;&lt;related-urls&gt;&lt;url&gt;http://www.ncbi.nlm.nih.gov/pubmed/15198728&lt;/url&gt;&lt;/related-urls&gt;&lt;/urls&gt;&lt;electronic-resource-num&gt;10.1111/j.1365-2141.2004.04972.x&lt;/electronic-resource-num&gt;&lt;/record&gt;&lt;/Cite&gt;&lt;/EndNote&gt;</w:instrText>
              </w:r>
              <w:r w:rsidR="00E62798">
                <w:fldChar w:fldCharType="separate"/>
              </w:r>
              <w:r w:rsidR="00E62798" w:rsidRPr="00E62798">
                <w:rPr>
                  <w:noProof/>
                  <w:vertAlign w:val="superscript"/>
                </w:rPr>
                <w:t>16</w:t>
              </w:r>
              <w:r w:rsidR="00E62798">
                <w:fldChar w:fldCharType="end"/>
              </w:r>
            </w:hyperlink>
          </w:p>
          <w:p w14:paraId="149BD3F5" w14:textId="40267D45" w:rsidR="00B50636" w:rsidRPr="00F921CD" w:rsidRDefault="00B50636" w:rsidP="00E62798">
            <w:pPr>
              <w:pStyle w:val="PP-note"/>
            </w:pPr>
            <w:r w:rsidRPr="00EC0D3F">
              <w:rPr>
                <w:vertAlign w:val="superscript"/>
              </w:rPr>
              <w:t>a</w:t>
            </w:r>
            <w:r>
              <w:t xml:space="preserve"> </w:t>
            </w:r>
            <w:r w:rsidR="00CE5AC9">
              <w:t>See</w:t>
            </w:r>
            <w:r>
              <w:t xml:space="preserve"> PP17 from </w:t>
            </w:r>
            <w:r w:rsidRPr="008166BF">
              <w:rPr>
                <w:i/>
              </w:rPr>
              <w:t xml:space="preserve">Patient Blood Management Guidelines: Module </w:t>
            </w:r>
            <w:r>
              <w:rPr>
                <w:i/>
              </w:rPr>
              <w:t>3 – Medical</w:t>
            </w:r>
            <w:r w:rsidR="00B855A4">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F00BFD" w:rsidRPr="00F921CD" w14:paraId="24C54932" w14:textId="77777777" w:rsidTr="00467EEA">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E26EE6" w14:textId="596EBAB7" w:rsidR="00F00BFD" w:rsidRPr="0029424F" w:rsidRDefault="00F00BFD" w:rsidP="00305D18">
            <w:pPr>
              <w:pStyle w:val="PP-heading"/>
              <w:rPr>
                <w:lang w:val="en-AU"/>
              </w:rPr>
            </w:pPr>
            <w:r>
              <w:t>Expert opinion</w:t>
            </w:r>
            <w:r w:rsidRPr="00F921CD">
              <w:t xml:space="preserve"> point – </w:t>
            </w:r>
            <w:r w:rsidR="00305D18" w:rsidRPr="00305D18">
              <w:t>surgical</w:t>
            </w:r>
            <w:r w:rsidR="0029424F" w:rsidRPr="00305D18">
              <w:t xml:space="preserve"> (FFP)</w:t>
            </w:r>
          </w:p>
        </w:tc>
      </w:tr>
      <w:tr w:rsidR="00F00BFD" w:rsidRPr="00F921CD" w14:paraId="11350D71" w14:textId="77777777" w:rsidTr="00F801B2">
        <w:tc>
          <w:tcPr>
            <w:tcW w:w="653" w:type="pct"/>
            <w:gridSpan w:val="2"/>
            <w:tcBorders>
              <w:right w:val="single" w:sz="4" w:space="0" w:color="auto"/>
            </w:tcBorders>
            <w:shd w:val="clear" w:color="auto" w:fill="auto"/>
          </w:tcPr>
          <w:p w14:paraId="3F95BC43" w14:textId="77777777" w:rsidR="00F00BFD" w:rsidRPr="00F921CD" w:rsidDel="00F053AA" w:rsidRDefault="00F00BFD" w:rsidP="0029424F">
            <w:pPr>
              <w:pStyle w:val="PP"/>
            </w:pPr>
            <w:r>
              <w:t>EOP1</w:t>
            </w:r>
          </w:p>
        </w:tc>
        <w:tc>
          <w:tcPr>
            <w:tcW w:w="4347" w:type="pct"/>
            <w:gridSpan w:val="2"/>
            <w:tcBorders>
              <w:left w:val="single" w:sz="4" w:space="0" w:color="auto"/>
            </w:tcBorders>
            <w:shd w:val="clear" w:color="auto" w:fill="auto"/>
          </w:tcPr>
          <w:p w14:paraId="6E64198C" w14:textId="07FDE37D" w:rsidR="00F00BFD" w:rsidRPr="00F921CD" w:rsidRDefault="00E6680C" w:rsidP="00305D18">
            <w:pPr>
              <w:pStyle w:val="PP"/>
            </w:pPr>
            <w:r>
              <w:t xml:space="preserve">In neonatal and paediatric patients </w:t>
            </w:r>
            <w:r w:rsidR="001944D9">
              <w:t>undergoing</w:t>
            </w:r>
            <w:r>
              <w:t xml:space="preserve"> surgery, FFP is only indicated for treatment of </w:t>
            </w:r>
            <w:r>
              <w:rPr>
                <w:lang w:val="en-US"/>
              </w:rPr>
              <w:t xml:space="preserve">active </w:t>
            </w:r>
            <w:r>
              <w:t xml:space="preserve">bleeding </w:t>
            </w:r>
            <w:r>
              <w:rPr>
                <w:lang w:val="en-US"/>
              </w:rPr>
              <w:t xml:space="preserve">where </w:t>
            </w:r>
            <w:r>
              <w:t>coagulopathy</w:t>
            </w:r>
            <w:r>
              <w:rPr>
                <w:lang w:val="en-US"/>
              </w:rPr>
              <w:t xml:space="preserve"> is a contributing factor</w:t>
            </w:r>
            <w:r>
              <w:t xml:space="preserve">. Its use should be guided by clinical assessment, supplemented by </w:t>
            </w:r>
            <w:r w:rsidR="00305D18">
              <w:rPr>
                <w:lang w:val="en-AU"/>
              </w:rPr>
              <w:t>POC</w:t>
            </w:r>
            <w:r>
              <w:t xml:space="preserve"> or laboratory testing.</w:t>
            </w:r>
          </w:p>
        </w:tc>
      </w:tr>
      <w:tr w:rsidR="00F00BFD" w:rsidRPr="00F921CD" w14:paraId="3DA97F43" w14:textId="77777777" w:rsidTr="00F801B2">
        <w:trPr>
          <w:trHeight w:val="397"/>
        </w:trPr>
        <w:tc>
          <w:tcPr>
            <w:tcW w:w="5000" w:type="pct"/>
            <w:gridSpan w:val="4"/>
            <w:shd w:val="clear" w:color="auto" w:fill="auto"/>
          </w:tcPr>
          <w:p w14:paraId="3B516C03" w14:textId="330190F7" w:rsidR="00F00BFD" w:rsidRPr="00F921CD" w:rsidRDefault="00305D18" w:rsidP="0029424F">
            <w:pPr>
              <w:pStyle w:val="PP-note"/>
            </w:pPr>
            <w:r w:rsidRPr="00B855A4">
              <w:t>AHCDO,</w:t>
            </w:r>
            <w:r>
              <w:rPr>
                <w:rStyle w:val="TablefootnoteChar"/>
              </w:rPr>
              <w:t xml:space="preserve"> </w:t>
            </w:r>
            <w:r>
              <w:t>Australian Haemophilia Centre Directors’ Organisation; EOP, expert opinion point; FFP, fresh frozen plasma; POC, point-of-care; PP, practice point; R, recommendation</w:t>
            </w:r>
          </w:p>
        </w:tc>
      </w:tr>
    </w:tbl>
    <w:p w14:paraId="2A8414D1" w14:textId="77777777" w:rsidR="00F00BFD" w:rsidRPr="00F921CD" w:rsidRDefault="00F00BFD" w:rsidP="00F00BFD"/>
    <w:p w14:paraId="281F69D9" w14:textId="77777777" w:rsidR="00F00BFD" w:rsidRDefault="00F00BFD" w:rsidP="00F00BFD">
      <w:pPr>
        <w:pStyle w:val="Heading4"/>
        <w:ind w:left="0" w:firstLine="720"/>
      </w:pPr>
      <w:r>
        <w:t>Summary of evidence</w:t>
      </w:r>
    </w:p>
    <w:p w14:paraId="55CF0991" w14:textId="77777777" w:rsidR="0029424F" w:rsidRDefault="00F00BFD" w:rsidP="00EC0D3F">
      <w:pPr>
        <w:keepNext/>
        <w:spacing w:after="120"/>
        <w:rPr>
          <w:lang w:val="en-US"/>
        </w:rPr>
      </w:pPr>
      <w:r w:rsidRPr="006C0F13">
        <w:t>The</w:t>
      </w:r>
      <w:r w:rsidRPr="008E153E">
        <w:t xml:space="preserve"> literature search identified </w:t>
      </w:r>
      <w:r>
        <w:t>three eligible Level II studies:</w:t>
      </w:r>
      <w:r w:rsidRPr="009537F5">
        <w:rPr>
          <w:lang w:val="en-US"/>
        </w:rPr>
        <w:t xml:space="preserve"> </w:t>
      </w:r>
    </w:p>
    <w:p w14:paraId="0EE053A5" w14:textId="045905F1" w:rsidR="0029424F" w:rsidRDefault="00F00BFD" w:rsidP="0029424F">
      <w:pPr>
        <w:pStyle w:val="Bullet6"/>
      </w:pPr>
      <w:r>
        <w:t>a fair</w:t>
      </w:r>
      <w:r w:rsidR="0029424F">
        <w:rPr>
          <w:lang w:val="en-AU"/>
        </w:rPr>
        <w:t>-</w:t>
      </w:r>
      <w:r>
        <w:t>quality RCT of 123 paediatric patients aged 1 month to 16 years who required</w:t>
      </w:r>
      <w:r w:rsidRPr="008E153E">
        <w:t xml:space="preserve"> cardiac surgery with CPB</w:t>
      </w:r>
      <w:hyperlink w:anchor="_ENREF_149" w:tooltip="Lee, 2013 #137" w:history="1">
        <w:r w:rsidR="00E62798">
          <w:fldChar w:fldCharType="begin"/>
        </w:r>
        <w:r w:rsidR="00E62798">
          <w:instrText xml:space="preserve"> ADDIN EN.CITE &lt;EndNote&gt;&lt;Cite&gt;&lt;Author&gt;Lee&lt;/Author&gt;&lt;Year&gt;2013&lt;/Year&gt;&lt;RecNum&gt;137&lt;/RecNum&gt;&lt;DisplayText&gt;&lt;style face="superscript"&gt;149&lt;/style&gt;&lt;/DisplayText&gt;&lt;record&gt;&lt;rec-number&gt;137&lt;/rec-number&gt;&lt;foreign-keys&gt;&lt;key app="EN" db-id="9edve2wadsavt5ewavaxtda4f2tavzvts9ee" timestamp="1426550421"&gt;137&lt;/key&gt;&lt;/foreign-keys&gt;&lt;ref-type name="Journal Article"&gt;17&lt;/ref-type&gt;&lt;contributors&gt;&lt;authors&gt;&lt;author&gt;Lee, J. W.&lt;/author&gt;&lt;author&gt;Yoo, Y. C.&lt;/author&gt;&lt;author&gt;Park, H. K.&lt;/author&gt;&lt;author&gt;Bang, S. O.&lt;/author&gt;&lt;author&gt;Lee, K. Y.&lt;/author&gt;&lt;author&gt;Bai, S. J.&lt;/author&gt;&lt;/authors&gt;&lt;/contributors&gt;&lt;auth-address&gt;Bai, S.-J., Department of Anesthesiology and Pain Medicine, Anesthesia and Pain Research Institute, Yonsei University College of Medicine, Seodaemun-gu, Seoul 120-752, South Korea&lt;/auth-address&gt;&lt;titles&gt;&lt;title&gt;Fresh frozen plasma in pump priming for congenital heart surgery: Evaluation of effects on postoperative coagulation profiles using a fibrinogen assay and rotational thromboelastometry&lt;/title&gt;&lt;secondary-title&gt;Yonsei Medical Journal&lt;/secondary-title&gt;&lt;/titles&gt;&lt;periodical&gt;&lt;full-title&gt;Yonsei Medical Journal&lt;/full-title&gt;&lt;/periodical&gt;&lt;pages&gt;752–762&lt;/pages&gt;&lt;volume&gt;54&lt;/volume&gt;&lt;number&gt;3&lt;/number&gt;&lt;reprint-edition&gt;NOT IN FILE&lt;/reprint-edition&gt;&lt;keywords&gt;&lt;keyword&gt;Embase13Mar14&lt;/keyword&gt;&lt;keyword&gt;Level II&lt;/keyword&gt;&lt;/keywords&gt;&lt;dates&gt;&lt;year&gt;2013&lt;/year&gt;&lt;/dates&gt;&lt;isbn&gt;0513-5796&lt;/isbn&gt;&lt;urls&gt;&lt;related-urls&gt;&lt;url&gt;http://www.ncbi.nlm.nih.gov/pmc/articles/PMC3635629/pdf/ymj-54-752.pdf&lt;/url&gt;&lt;/related-urls&gt;&lt;/urls&gt;&lt;/record&gt;&lt;/Cite&gt;&lt;/EndNote&gt;</w:instrText>
        </w:r>
        <w:r w:rsidR="00E62798">
          <w:fldChar w:fldCharType="separate"/>
        </w:r>
        <w:r w:rsidR="00E62798" w:rsidRPr="00E62798">
          <w:rPr>
            <w:noProof/>
            <w:vertAlign w:val="superscript"/>
          </w:rPr>
          <w:t>149</w:t>
        </w:r>
        <w:r w:rsidR="00E62798">
          <w:fldChar w:fldCharType="end"/>
        </w:r>
      </w:hyperlink>
    </w:p>
    <w:p w14:paraId="342D9885" w14:textId="05660AF6" w:rsidR="0029424F" w:rsidRDefault="00F00BFD" w:rsidP="0029424F">
      <w:pPr>
        <w:pStyle w:val="Bullet6"/>
      </w:pPr>
      <w:r>
        <w:t xml:space="preserve">a </w:t>
      </w:r>
      <w:r w:rsidRPr="008E153E">
        <w:t>fair</w:t>
      </w:r>
      <w:r w:rsidR="0029424F">
        <w:rPr>
          <w:lang w:val="en-AU"/>
        </w:rPr>
        <w:t>-</w:t>
      </w:r>
      <w:r w:rsidRPr="008E153E">
        <w:t xml:space="preserve">quality RCT </w:t>
      </w:r>
      <w:r>
        <w:t xml:space="preserve">of </w:t>
      </w:r>
      <w:r w:rsidRPr="00D7044F">
        <w:t>20</w:t>
      </w:r>
      <w:r w:rsidRPr="00CD73F8">
        <w:t xml:space="preserve"> </w:t>
      </w:r>
      <w:r>
        <w:t xml:space="preserve">infants weighing </w:t>
      </w:r>
      <w:r w:rsidR="00B855A4">
        <w:rPr>
          <w:lang w:val="en-AU"/>
        </w:rPr>
        <w:t xml:space="preserve">less than </w:t>
      </w:r>
      <w:r w:rsidRPr="00CD73F8">
        <w:t>8</w:t>
      </w:r>
      <w:r>
        <w:t xml:space="preserve"> </w:t>
      </w:r>
      <w:r w:rsidRPr="00CD73F8">
        <w:t xml:space="preserve">kg </w:t>
      </w:r>
      <w:r>
        <w:t>who required</w:t>
      </w:r>
      <w:r w:rsidRPr="00CD73F8">
        <w:t xml:space="preserve"> </w:t>
      </w:r>
      <w:r>
        <w:t>CPB surgery</w:t>
      </w:r>
      <w:hyperlink w:anchor="_ENREF_150" w:tooltip="McCall, 2004 #138" w:history="1">
        <w:r w:rsidR="00E62798">
          <w:fldChar w:fldCharType="begin"/>
        </w:r>
        <w:r w:rsidR="00E62798">
          <w:instrText xml:space="preserve"> ADDIN EN.CITE &lt;EndNote&gt;&lt;Cite&gt;&lt;Author&gt;McCall&lt;/Author&gt;&lt;Year&gt;2004&lt;/Year&gt;&lt;RecNum&gt;138&lt;/RecNum&gt;&lt;DisplayText&gt;&lt;style face="superscript"&gt;150&lt;/style&gt;&lt;/DisplayText&gt;&lt;record&gt;&lt;rec-number&gt;138&lt;/rec-number&gt;&lt;foreign-keys&gt;&lt;key app="EN" db-id="9edve2wadsavt5ewavaxtda4f2tavzvts9ee" timestamp="1426550421"&gt;138&lt;/key&gt;&lt;/foreign-keys&gt;&lt;ref-type name="Journal Article"&gt;17&lt;/ref-type&gt;&lt;contributors&gt;&lt;authors&gt;&lt;author&gt;McCall, M. M.&lt;/author&gt;&lt;author&gt;Blackwell, M. M.&lt;/author&gt;&lt;author&gt;Smyre, J. T.&lt;/author&gt;&lt;author&gt;Sistino, J. J.&lt;/author&gt;&lt;author&gt;Acsell, J. R.&lt;/author&gt;&lt;author&gt;Dorman, B. H.&lt;/author&gt;&lt;author&gt;Bradley, S. M.&lt;/author&gt;&lt;/authors&gt;&lt;/contributors&gt;&lt;auth-address&gt;Bradley, S.M., Division of Cardiothoracic Surgery, Medical University of South Carolina, Charleston, SC 29425, United States&lt;/auth-address&gt;&lt;titles&gt;&lt;title&gt;Fresh frozen plasma in the pediatric pump prime: A prospective, randomized trial&lt;/title&gt;&lt;secondary-title&gt;Annals of Thoracic Surgery&lt;/secondary-title&gt;&lt;/titles&gt;&lt;periodical&gt;&lt;full-title&gt;Annals of Thoracic Surgery&lt;/full-title&gt;&lt;/periodical&gt;&lt;pages&gt;983–987&lt;/pages&gt;&lt;volume&gt;77&lt;/volume&gt;&lt;number&gt;3&lt;/number&gt;&lt;reprint-edition&gt;NOT IN FILE&lt;/reprint-edition&gt;&lt;keywords&gt;&lt;keyword&gt;Embase13Mar14&lt;/keyword&gt;&lt;keyword&gt;Level II&lt;/keyword&gt;&lt;/keywords&gt;&lt;dates&gt;&lt;year&gt;2004&lt;/year&gt;&lt;/dates&gt;&lt;isbn&gt;0003-4975&lt;/isbn&gt;&lt;urls&gt;&lt;related-urls&gt;&lt;url&gt;http://www.annalsthoracicsurgery.org/article/S0003-4975(03)01873-3/pdf&lt;/url&gt;&lt;/related-urls&gt;&lt;/urls&gt;&lt;/record&gt;&lt;/Cite&gt;&lt;/EndNote&gt;</w:instrText>
        </w:r>
        <w:r w:rsidR="00E62798">
          <w:fldChar w:fldCharType="separate"/>
        </w:r>
        <w:r w:rsidR="00E62798" w:rsidRPr="00E62798">
          <w:rPr>
            <w:noProof/>
            <w:vertAlign w:val="superscript"/>
          </w:rPr>
          <w:t>150</w:t>
        </w:r>
        <w:r w:rsidR="00E62798">
          <w:fldChar w:fldCharType="end"/>
        </w:r>
      </w:hyperlink>
    </w:p>
    <w:p w14:paraId="582C6E17" w14:textId="18A3834D" w:rsidR="00F00BFD" w:rsidRDefault="00F00BFD" w:rsidP="0029424F">
      <w:pPr>
        <w:pStyle w:val="Bullet6"/>
      </w:pPr>
      <w:r>
        <w:t xml:space="preserve">a </w:t>
      </w:r>
      <w:r w:rsidRPr="008E153E">
        <w:t>poor</w:t>
      </w:r>
      <w:r w:rsidR="0029424F">
        <w:rPr>
          <w:lang w:val="en-AU"/>
        </w:rPr>
        <w:t>-</w:t>
      </w:r>
      <w:r w:rsidRPr="008E153E">
        <w:t xml:space="preserve">quality RCT </w:t>
      </w:r>
      <w:r>
        <w:t xml:space="preserve">of </w:t>
      </w:r>
      <w:r w:rsidRPr="008E153E">
        <w:t>56</w:t>
      </w:r>
      <w:r w:rsidRPr="001B4BAD">
        <w:t xml:space="preserve"> paediatric patients weighing 10</w:t>
      </w:r>
      <w:r>
        <w:t xml:space="preserve"> </w:t>
      </w:r>
      <w:r w:rsidRPr="001B4BAD">
        <w:t xml:space="preserve">kg or less who required </w:t>
      </w:r>
      <w:r>
        <w:t>CPB</w:t>
      </w:r>
      <w:r w:rsidRPr="001B4BAD">
        <w:t xml:space="preserve"> surgery</w:t>
      </w:r>
      <w:r w:rsidR="0029424F">
        <w:t>.</w:t>
      </w:r>
      <w:hyperlink w:anchor="_ENREF_151" w:tooltip="Oliver, 2003 #140" w:history="1">
        <w:r w:rsidR="00E62798">
          <w:fldChar w:fldCharType="begin"/>
        </w:r>
        <w:r w:rsidR="00E62798">
          <w:instrText xml:space="preserve"> ADDIN EN.CITE &lt;EndNote&gt;&lt;Cite&gt;&lt;Author&gt;Oliver&lt;/Author&gt;&lt;Year&gt;2003&lt;/Year&gt;&lt;RecNum&gt;140&lt;/RecNum&gt;&lt;DisplayText&gt;&lt;style face="superscript"&gt;151&lt;/style&gt;&lt;/DisplayText&gt;&lt;record&gt;&lt;rec-number&gt;140&lt;/rec-number&gt;&lt;foreign-keys&gt;&lt;key app="EN" db-id="9edve2wadsavt5ewavaxtda4f2tavzvts9ee" timestamp="1426550421"&gt;140&lt;/key&gt;&lt;/foreign-keys&gt;&lt;ref-type name="Journal Article"&gt;17&lt;/ref-type&gt;&lt;contributors&gt;&lt;authors&gt;&lt;author&gt;Oliver,, Jr.&lt;/author&gt;&lt;author&gt;Beynen, F. M.&lt;/author&gt;&lt;author&gt;Nuttall, G. A.&lt;/author&gt;&lt;author&gt;Schroeder, D. R.&lt;/author&gt;&lt;author&gt;Ereth, M. H.&lt;/author&gt;&lt;author&gt;Dearani, J. A.&lt;/author&gt;&lt;author&gt;Puga, F. J.&lt;/author&gt;&lt;/authors&gt;&lt;/contributors&gt;&lt;auth-address&gt;Oliver Jr., W.C., Department of Anesthesiology, Mayo Clinic, Rochester, MN 55905, United States&lt;/auth-address&gt;&lt;titles&gt;&lt;title&gt;Blood loss in infants and children for open heart operations: Albumin 5% versus fresh-frozen plasma in the prime&lt;/title&gt;&lt;secondary-title&gt;Annals of Thoracic Surgery&lt;/secondary-title&gt;&lt;/titles&gt;&lt;periodical&gt;&lt;full-title&gt;Annals of Thoracic Surgery&lt;/full-title&gt;&lt;/periodical&gt;&lt;pages&gt;1506–1512&lt;/pages&gt;&lt;volume&gt;75&lt;/volume&gt;&lt;number&gt;5&lt;/number&gt;&lt;reprint-edition&gt;NOT IN FILE&lt;/reprint-edition&gt;&lt;keywords&gt;&lt;keyword&gt;Embase13Mar14&lt;/keyword&gt;&lt;keyword&gt;Level II&lt;/keyword&gt;&lt;/keywords&gt;&lt;dates&gt;&lt;year&gt;2003&lt;/year&gt;&lt;/dates&gt;&lt;isbn&gt;0003-4975&lt;/isbn&gt;&lt;urls&gt;&lt;related-urls&gt;&lt;url&gt;http://www.annalsthoracicsurgery.org/article/S0003-4975(02)04991-3/pdf&lt;/url&gt;&lt;/related-urls&gt;&lt;/urls&gt;&lt;/record&gt;&lt;/Cite&gt;&lt;/EndNote&gt;</w:instrText>
        </w:r>
        <w:r w:rsidR="00E62798">
          <w:fldChar w:fldCharType="separate"/>
        </w:r>
        <w:r w:rsidR="00E62798" w:rsidRPr="00E62798">
          <w:rPr>
            <w:noProof/>
            <w:vertAlign w:val="superscript"/>
          </w:rPr>
          <w:t>151</w:t>
        </w:r>
        <w:r w:rsidR="00E62798">
          <w:fldChar w:fldCharType="end"/>
        </w:r>
      </w:hyperlink>
    </w:p>
    <w:p w14:paraId="3B885467" w14:textId="4BA7018A" w:rsidR="00F00BFD" w:rsidRDefault="00F00BFD" w:rsidP="0029424F">
      <w:r>
        <w:t xml:space="preserve">One </w:t>
      </w:r>
      <w:r w:rsidR="0029424F">
        <w:t xml:space="preserve">eligible Level III study </w:t>
      </w:r>
      <w:r>
        <w:t>was identified.</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r>
        <w:t xml:space="preserve"> This </w:t>
      </w:r>
      <w:r w:rsidRPr="006C0F13">
        <w:t>was a fair</w:t>
      </w:r>
      <w:r w:rsidR="0029424F">
        <w:t>-</w:t>
      </w:r>
      <w:r w:rsidRPr="006C0F13">
        <w:t>quality retrospective cohort study in 243 paediatric liver transplant patients aged &lt;18 years</w:t>
      </w:r>
      <w:r>
        <w:t>.</w:t>
      </w:r>
      <w:r w:rsidRPr="006C0F13">
        <w:t xml:space="preserve"> </w:t>
      </w:r>
    </w:p>
    <w:p w14:paraId="36D3F390" w14:textId="77777777" w:rsidR="00F00BFD" w:rsidRDefault="00F00BFD" w:rsidP="00F00BFD">
      <w:pPr>
        <w:pStyle w:val="Heading5"/>
      </w:pPr>
      <w:r>
        <w:t>Mortality</w:t>
      </w:r>
    </w:p>
    <w:p w14:paraId="6720E62F" w14:textId="77FDAE42" w:rsidR="00F00BFD" w:rsidRPr="006C0F13" w:rsidRDefault="0029424F" w:rsidP="0029424F">
      <w:r>
        <w:t>In the Level II study, a</w:t>
      </w:r>
      <w:r w:rsidR="00F00BFD">
        <w:t xml:space="preserve"> multivariate cox regression model did not demonstrate any association between </w:t>
      </w:r>
      <w:r w:rsidR="00F801B2">
        <w:t>mortality</w:t>
      </w:r>
      <w:r w:rsidR="00F00BFD">
        <w:t xml:space="preserve"> and postoperative FFP administration.</w:t>
      </w:r>
      <w:r w:rsidR="00F00BFD" w:rsidRPr="006C0F13">
        <w:t xml:space="preserve"> </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r>
        <w:t xml:space="preserve"> </w:t>
      </w:r>
      <w:r w:rsidR="00F00BFD">
        <w:t>In a propensity score adjusted analysis</w:t>
      </w:r>
      <w:r>
        <w:t>,</w:t>
      </w:r>
      <w:r w:rsidR="00F00BFD">
        <w:t xml:space="preserve"> no association between intraoperative FFP use and mortality was observed</w:t>
      </w:r>
      <w:r>
        <w:t>.</w:t>
      </w:r>
      <w:r w:rsidR="00F00BFD" w:rsidRPr="006C0F13">
        <w:t xml:space="preserve"> </w:t>
      </w:r>
    </w:p>
    <w:p w14:paraId="742B77B5" w14:textId="0CF61FEE" w:rsidR="00F00BFD" w:rsidRPr="00AA1537" w:rsidRDefault="00F00BFD" w:rsidP="00F00BFD">
      <w:pPr>
        <w:pStyle w:val="Heading5"/>
      </w:pPr>
      <w:r w:rsidRPr="00AA1537">
        <w:t xml:space="preserve">Bleeding </w:t>
      </w:r>
      <w:r w:rsidR="0029424F" w:rsidRPr="00AA1537">
        <w:t>events</w:t>
      </w:r>
    </w:p>
    <w:p w14:paraId="429C4467" w14:textId="7C60ECFB" w:rsidR="00F00BFD" w:rsidRPr="006C0F13" w:rsidRDefault="00E6680C" w:rsidP="0029424F">
      <w:r>
        <w:t>The Level II s</w:t>
      </w:r>
      <w:r w:rsidR="00F00BFD">
        <w:t>tudies of FFP in pump prime r</w:t>
      </w:r>
      <w:r w:rsidR="00F00BFD" w:rsidRPr="006C0F13">
        <w:t xml:space="preserve">eported no significant difference </w:t>
      </w:r>
      <w:r w:rsidR="00F00BFD">
        <w:t>in bleeding events</w:t>
      </w:r>
      <w:r w:rsidR="0029424F">
        <w:t>.</w:t>
      </w:r>
      <w:hyperlink w:anchor="_ENREF_149" w:tooltip="Lee, 2013 #137" w:history="1">
        <w:r w:rsidR="00E62798">
          <w:fldChar w:fldCharType="begin">
            <w:fldData xml:space="preserve">PEVuZE5vdGU+PENpdGU+PEF1dGhvcj5NY0NhbGw8L0F1dGhvcj48WWVhcj4yMDA0PC9ZZWFyPjxS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</w:fldData>
          </w:fldChar>
        </w:r>
        <w:r w:rsidR="00E62798">
          <w:instrText xml:space="preserve"> ADDIN EN.CITE </w:instrText>
        </w:r>
        <w:r w:rsidR="00E62798">
          <w:fldChar w:fldCharType="begin">
            <w:fldData xml:space="preserve">PEVuZE5vdGU+PENpdGU+PEF1dGhvcj5NY0NhbGw8L0F1dGhvcj48WWVhcj4yMDA0PC9ZZWFyPjxS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149-150</w:t>
        </w:r>
        <w:r w:rsidR="00E62798">
          <w:fldChar w:fldCharType="end"/>
        </w:r>
      </w:hyperlink>
    </w:p>
    <w:p w14:paraId="7FF901C0" w14:textId="2D1D4DF5" w:rsidR="00F00BFD" w:rsidRPr="006C0F13" w:rsidRDefault="00E6680C" w:rsidP="0029424F">
      <w:r>
        <w:t xml:space="preserve">In a secondary analysis, one </w:t>
      </w:r>
      <w:r w:rsidR="00B855A4">
        <w:t>poor-</w:t>
      </w:r>
      <w:r>
        <w:t>quality RCT</w:t>
      </w:r>
      <w:hyperlink w:anchor="_ENREF_151" w:tooltip="Oliver, 2003 #140" w:history="1">
        <w:r w:rsidR="00E62798">
          <w:fldChar w:fldCharType="begin"/>
        </w:r>
        <w:r w:rsidR="00E62798">
          <w:instrText xml:space="preserve"> ADDIN EN.CITE &lt;EndNote&gt;&lt;Cite&gt;&lt;Author&gt;Oliver&lt;/Author&gt;&lt;Year&gt;2003&lt;/Year&gt;&lt;RecNum&gt;140&lt;/RecNum&gt;&lt;DisplayText&gt;&lt;style face="superscript"&gt;151&lt;/style&gt;&lt;/DisplayText&gt;&lt;record&gt;&lt;rec-number&gt;140&lt;/rec-number&gt;&lt;foreign-keys&gt;&lt;key app="EN" db-id="9edve2wadsavt5ewavaxtda4f2tavzvts9ee" timestamp="1426550421"&gt;140&lt;/key&gt;&lt;/foreign-keys&gt;&lt;ref-type name="Journal Article"&gt;17&lt;/ref-type&gt;&lt;contributors&gt;&lt;authors&gt;&lt;author&gt;Oliver,, Jr.&lt;/author&gt;&lt;author&gt;Beynen, F. M.&lt;/author&gt;&lt;author&gt;Nuttall, G. A.&lt;/author&gt;&lt;author&gt;Schroeder, D. R.&lt;/author&gt;&lt;author&gt;Ereth, M. H.&lt;/author&gt;&lt;author&gt;Dearani, J. A.&lt;/author&gt;&lt;author&gt;Puga, F. J.&lt;/author&gt;&lt;/authors&gt;&lt;/contributors&gt;&lt;auth-address&gt;Oliver Jr., W.C., Department of Anesthesiology, Mayo Clinic, Rochester, MN 55905, United States&lt;/auth-address&gt;&lt;titles&gt;&lt;title&gt;Blood loss in infants and children for open heart operations: Albumin 5% versus fresh-frozen plasma in the prime&lt;/title&gt;&lt;secondary-title&gt;Annals of Thoracic Surgery&lt;/secondary-title&gt;&lt;/titles&gt;&lt;periodical&gt;&lt;full-title&gt;Annals of Thoracic Surgery&lt;/full-title&gt;&lt;/periodical&gt;&lt;pages&gt;1506–1512&lt;/pages&gt;&lt;volume&gt;75&lt;/volume&gt;&lt;number&gt;5&lt;/number&gt;&lt;reprint-edition&gt;NOT IN FILE&lt;/reprint-edition&gt;&lt;keywords&gt;&lt;keyword&gt;Embase13Mar14&lt;/keyword&gt;&lt;keyword&gt;Level II&lt;/keyword&gt;&lt;/keywords&gt;&lt;dates&gt;&lt;year&gt;2003&lt;/year&gt;&lt;/dates&gt;&lt;isbn&gt;0003-4975&lt;/isbn&gt;&lt;urls&gt;&lt;related-urls&gt;&lt;url&gt;http://www.annalsthoracicsurgery.org/article/S0003-4975(02)04991-3/pdf&lt;/url&gt;&lt;/related-urls&gt;&lt;/urls&gt;&lt;/record&gt;&lt;/Cite&gt;&lt;/EndNote&gt;</w:instrText>
        </w:r>
        <w:r w:rsidR="00E62798">
          <w:fldChar w:fldCharType="separate"/>
        </w:r>
        <w:r w:rsidR="00E62798" w:rsidRPr="00E62798">
          <w:rPr>
            <w:noProof/>
            <w:vertAlign w:val="superscript"/>
          </w:rPr>
          <w:t>151</w:t>
        </w:r>
        <w:r w:rsidR="00E62798">
          <w:fldChar w:fldCharType="end"/>
        </w:r>
      </w:hyperlink>
      <w:r w:rsidR="00F00BFD" w:rsidRPr="006C0F13">
        <w:t xml:space="preserve"> reported a significant</w:t>
      </w:r>
      <w:r w:rsidR="00F00BFD">
        <w:t xml:space="preserve"> reduction in </w:t>
      </w:r>
      <w:r w:rsidR="00F00BFD" w:rsidRPr="006C0F13">
        <w:t>postoperative blood loss in complex surgery patients (</w:t>
      </w:r>
      <w:r w:rsidR="00876931">
        <w:t>p=</w:t>
      </w:r>
      <w:r w:rsidR="00F00BFD" w:rsidRPr="006C0F13">
        <w:t>0.003) and</w:t>
      </w:r>
      <w:r w:rsidR="0029424F">
        <w:t xml:space="preserve"> cyanotic patients (</w:t>
      </w:r>
      <w:r w:rsidR="00876931">
        <w:t>p=</w:t>
      </w:r>
      <w:r w:rsidR="0029424F">
        <w:t>0.035)</w:t>
      </w:r>
      <w:r>
        <w:t xml:space="preserve"> that favoured FFP</w:t>
      </w:r>
      <w:r w:rsidR="0029424F">
        <w:t>.</w:t>
      </w:r>
      <w:hyperlink w:anchor="_ENREF_143" w:tooltip="Curley, 2014 #1094" w:history="1">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 </w:instrText>
        </w:r>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143</w:t>
        </w:r>
        <w:r w:rsidR="00E62798">
          <w:fldChar w:fldCharType="end"/>
        </w:r>
      </w:hyperlink>
    </w:p>
    <w:p w14:paraId="0EC516E4" w14:textId="42B0816C" w:rsidR="00F00BFD" w:rsidRDefault="00F00BFD" w:rsidP="00F00BFD">
      <w:pPr>
        <w:pStyle w:val="Heading5"/>
      </w:pPr>
      <w:r>
        <w:t>Transfusion</w:t>
      </w:r>
      <w:r w:rsidR="00B855A4">
        <w:rPr>
          <w:lang w:val="en-AU"/>
        </w:rPr>
        <w:t>-</w:t>
      </w:r>
      <w:r>
        <w:t>related serious adverse events</w:t>
      </w:r>
    </w:p>
    <w:p w14:paraId="326DD52D" w14:textId="705CC27F" w:rsidR="00F801B2" w:rsidRDefault="00FA6791" w:rsidP="00F801B2">
      <w:r>
        <w:t>No studies reported</w:t>
      </w:r>
      <w:r w:rsidR="008F7398">
        <w:t xml:space="preserve"> transfusion-related serious adverse events</w:t>
      </w:r>
      <w:r w:rsidR="007C1B3E">
        <w:t xml:space="preserve">. </w:t>
      </w:r>
    </w:p>
    <w:p w14:paraId="773449CB" w14:textId="77777777" w:rsidR="00F00BFD" w:rsidRPr="00843206" w:rsidRDefault="00F00BFD" w:rsidP="00F00BFD">
      <w:pPr>
        <w:pStyle w:val="Heading5"/>
      </w:pPr>
      <w:r>
        <w:t>Transfusion volume or incidence</w:t>
      </w:r>
    </w:p>
    <w:p w14:paraId="2BFFED81" w14:textId="20EED8A8" w:rsidR="00F00BFD" w:rsidRPr="006C0F13" w:rsidRDefault="00F801B2" w:rsidP="00F801B2">
      <w:r>
        <w:t xml:space="preserve">In one </w:t>
      </w:r>
      <w:r w:rsidR="00E6680C">
        <w:t>Level II</w:t>
      </w:r>
      <w:r w:rsidR="00055495">
        <w:t xml:space="preserve"> </w:t>
      </w:r>
      <w:r>
        <w:t>study, i</w:t>
      </w:r>
      <w:r w:rsidR="00F00BFD" w:rsidRPr="006C0F13">
        <w:t>nfants and children who received 1–2 units of FFP in the pump prime required a significantly greater volume of blood intraoperatively (</w:t>
      </w:r>
      <w:r w:rsidR="00876931">
        <w:t>p=</w:t>
      </w:r>
      <w:r w:rsidR="00F00BFD" w:rsidRPr="006C0F13">
        <w:t>0.001), and significantly more RBCs in the CPB circuit (</w:t>
      </w:r>
      <w:r w:rsidR="00876931">
        <w:t>p=</w:t>
      </w:r>
      <w:r w:rsidR="00F00BFD" w:rsidRPr="006C0F13">
        <w:t>0.002) and after heparin reversal (</w:t>
      </w:r>
      <w:r w:rsidR="00876931">
        <w:t>p=</w:t>
      </w:r>
      <w:r w:rsidR="00F00BFD" w:rsidRPr="006C0F13">
        <w:t>0.047).</w:t>
      </w:r>
      <w:hyperlink w:anchor="_ENREF_149" w:tooltip="Lee, 2013 #137" w:history="1">
        <w:r w:rsidR="00E62798">
          <w:fldChar w:fldCharType="begin"/>
        </w:r>
        <w:r w:rsidR="00E62798">
          <w:instrText xml:space="preserve"> ADDIN EN.CITE &lt;EndNote&gt;&lt;Cite&gt;&lt;Author&gt;Lee&lt;/Author&gt;&lt;Year&gt;2013&lt;/Year&gt;&lt;RecNum&gt;137&lt;/RecNum&gt;&lt;DisplayText&gt;&lt;style face="superscript"&gt;149&lt;/style&gt;&lt;/DisplayText&gt;&lt;record&gt;&lt;rec-number&gt;137&lt;/rec-number&gt;&lt;foreign-keys&gt;&lt;key app="EN" db-id="9edve2wadsavt5ewavaxtda4f2tavzvts9ee" timestamp="1426550421"&gt;137&lt;/key&gt;&lt;/foreign-keys&gt;&lt;ref-type name="Journal Article"&gt;17&lt;/ref-type&gt;&lt;contributors&gt;&lt;authors&gt;&lt;author&gt;Lee, J. W.&lt;/author&gt;&lt;author&gt;Yoo, Y. C.&lt;/author&gt;&lt;author&gt;Park, H. K.&lt;/author&gt;&lt;author&gt;Bang, S. O.&lt;/author&gt;&lt;author&gt;Lee, K. Y.&lt;/author&gt;&lt;author&gt;Bai, S. J.&lt;/author&gt;&lt;/authors&gt;&lt;/contributors&gt;&lt;auth-address&gt;Bai, S.-J., Department of Anesthesiology and Pain Medicine, Anesthesia and Pain Research Institute, Yonsei University College of Medicine, Seodaemun-gu, Seoul 120-752, South Korea&lt;/auth-address&gt;&lt;titles&gt;&lt;title&gt;Fresh frozen plasma in pump priming for congenital heart surgery: Evaluation of effects on postoperative coagulation profiles using a fibrinogen assay and rotational thromboelastometry&lt;/title&gt;&lt;secondary-title&gt;Yonsei Medical Journal&lt;/secondary-title&gt;&lt;/titles&gt;&lt;periodical&gt;&lt;full-title&gt;Yonsei Medical Journal&lt;/full-title&gt;&lt;/periodical&gt;&lt;pages&gt;752–762&lt;/pages&gt;&lt;volume&gt;54&lt;/volume&gt;&lt;number&gt;3&lt;/number&gt;&lt;reprint-edition&gt;NOT IN FILE&lt;/reprint-edition&gt;&lt;keywords&gt;&lt;keyword&gt;Embase13Mar14&lt;/keyword&gt;&lt;keyword&gt;Level II&lt;/keyword&gt;&lt;/keywords&gt;&lt;dates&gt;&lt;year&gt;2013&lt;/year&gt;&lt;/dates&gt;&lt;isbn&gt;0513-5796&lt;/isbn&gt;&lt;urls&gt;&lt;related-urls&gt;&lt;url&gt;http://www.ncbi.nlm.nih.gov/pmc/articles/PMC3635629/pdf/ymj-54-752.pdf&lt;/url&gt;&lt;/related-urls&gt;&lt;/urls&gt;&lt;/record&gt;&lt;/Cite&gt;&lt;/EndNote&gt;</w:instrText>
        </w:r>
        <w:r w:rsidR="00E62798">
          <w:fldChar w:fldCharType="separate"/>
        </w:r>
        <w:r w:rsidR="00E62798" w:rsidRPr="00E62798">
          <w:rPr>
            <w:noProof/>
            <w:vertAlign w:val="superscript"/>
          </w:rPr>
          <w:t>149</w:t>
        </w:r>
        <w:r w:rsidR="00E62798">
          <w:fldChar w:fldCharType="end"/>
        </w:r>
      </w:hyperlink>
      <w:r w:rsidR="00F00BFD" w:rsidRPr="006C0F13">
        <w:t xml:space="preserve"> However</w:t>
      </w:r>
      <w:r>
        <w:t>,</w:t>
      </w:r>
      <w:r w:rsidR="00F00BFD" w:rsidRPr="006C0F13">
        <w:t xml:space="preserve"> patients who received FFP in the pump prime required significantly less FFP after heparin reversal (</w:t>
      </w:r>
      <w:r w:rsidR="00876931">
        <w:t>p=</w:t>
      </w:r>
      <w:r w:rsidR="00F00BFD" w:rsidRPr="006C0F13">
        <w:t xml:space="preserve">0.042). </w:t>
      </w:r>
      <w:r>
        <w:t xml:space="preserve">Another </w:t>
      </w:r>
      <w:r w:rsidR="00E6680C">
        <w:t xml:space="preserve">Level II </w:t>
      </w:r>
      <w:r>
        <w:t>study</w:t>
      </w:r>
      <w:r w:rsidR="00F00BFD" w:rsidRPr="006C0F13">
        <w:t xml:space="preserve"> reported that total blood products transfused intraoperatively and 24 hours postoperatively were significantly higher in patients who received 1 unit of FFP in the pump prime (</w:t>
      </w:r>
      <w:r w:rsidR="00876931">
        <w:t>p=</w:t>
      </w:r>
      <w:r w:rsidR="00F00BFD" w:rsidRPr="006C0F13">
        <w:t>0.035)</w:t>
      </w:r>
      <w:r w:rsidR="00F00BFD">
        <w:t>.</w:t>
      </w:r>
      <w:hyperlink w:anchor="_ENREF_151" w:tooltip="Oliver, 2003 #140" w:history="1">
        <w:r w:rsidR="00E62798">
          <w:fldChar w:fldCharType="begin"/>
        </w:r>
        <w:r w:rsidR="00E62798">
          <w:instrText xml:space="preserve"> ADDIN EN.CITE &lt;EndNote&gt;&lt;Cite&gt;&lt;Author&gt;Oliver&lt;/Author&gt;&lt;Year&gt;2003&lt;/Year&gt;&lt;RecNum&gt;140&lt;/RecNum&gt;&lt;DisplayText&gt;&lt;style face="superscript"&gt;151&lt;/style&gt;&lt;/DisplayText&gt;&lt;record&gt;&lt;rec-number&gt;140&lt;/rec-number&gt;&lt;foreign-keys&gt;&lt;key app="EN" db-id="9edve2wadsavt5ewavaxtda4f2tavzvts9ee" timestamp="1426550421"&gt;140&lt;/key&gt;&lt;/foreign-keys&gt;&lt;ref-type name="Journal Article"&gt;17&lt;/ref-type&gt;&lt;contributors&gt;&lt;authors&gt;&lt;author&gt;Oliver,, Jr.&lt;/author&gt;&lt;author&gt;Beynen, F. M.&lt;/author&gt;&lt;author&gt;Nuttall, G. A.&lt;/author&gt;&lt;author&gt;Schroeder, D. R.&lt;/author&gt;&lt;author&gt;Ereth, M. H.&lt;/author&gt;&lt;author&gt;Dearani, J. A.&lt;/author&gt;&lt;author&gt;Puga, F. J.&lt;/author&gt;&lt;/authors&gt;&lt;/contributors&gt;&lt;auth-address&gt;Oliver Jr., W.C., Department of Anesthesiology, Mayo Clinic, Rochester, MN 55905, United States&lt;/auth-address&gt;&lt;titles&gt;&lt;title&gt;Blood loss in infants and children for open heart operations: Albumin 5% versus fresh-frozen plasma in the prime&lt;/title&gt;&lt;secondary-title&gt;Annals of Thoracic Surgery&lt;/secondary-title&gt;&lt;/titles&gt;&lt;periodical&gt;&lt;full-title&gt;Annals of Thoracic Surgery&lt;/full-title&gt;&lt;/periodical&gt;&lt;pages&gt;1506–1512&lt;/pages&gt;&lt;volume&gt;75&lt;/volume&gt;&lt;number&gt;5&lt;/number&gt;&lt;reprint-edition&gt;NOT IN FILE&lt;/reprint-edition&gt;&lt;keywords&gt;&lt;keyword&gt;Embase13Mar14&lt;/keyword&gt;&lt;keyword&gt;Level II&lt;/keyword&gt;&lt;/keywords&gt;&lt;dates&gt;&lt;year&gt;2003&lt;/year&gt;&lt;/dates&gt;&lt;isbn&gt;0003-4975&lt;/isbn&gt;&lt;urls&gt;&lt;related-urls&gt;&lt;url&gt;http://www.annalsthoracicsurgery.org/article/S0003-4975(02)04991-3/pdf&lt;/url&gt;&lt;/related-urls&gt;&lt;/urls&gt;&lt;/record&gt;&lt;/Cite&gt;&lt;/EndNote&gt;</w:instrText>
        </w:r>
        <w:r w:rsidR="00E62798">
          <w:fldChar w:fldCharType="separate"/>
        </w:r>
        <w:r w:rsidR="00E62798" w:rsidRPr="00E62798">
          <w:rPr>
            <w:noProof/>
            <w:vertAlign w:val="superscript"/>
          </w:rPr>
          <w:t>151</w:t>
        </w:r>
        <w:r w:rsidR="00E62798">
          <w:fldChar w:fldCharType="end"/>
        </w:r>
      </w:hyperlink>
    </w:p>
    <w:p w14:paraId="144731FA" w14:textId="3842ED64" w:rsidR="00F00BFD" w:rsidRPr="006C0F13" w:rsidRDefault="00F801B2" w:rsidP="00F801B2">
      <w:r>
        <w:t xml:space="preserve">In contrast, the third </w:t>
      </w:r>
      <w:r w:rsidR="00F00BFD">
        <w:t xml:space="preserve">demonstrated </w:t>
      </w:r>
      <w:r w:rsidR="00F00BFD" w:rsidRPr="006C0F13">
        <w:t xml:space="preserve">a </w:t>
      </w:r>
      <w:r w:rsidR="00F00BFD">
        <w:t xml:space="preserve">reduction </w:t>
      </w:r>
      <w:r w:rsidR="00F00BFD" w:rsidRPr="006C0F13">
        <w:t>blood</w:t>
      </w:r>
      <w:r w:rsidR="00F00BFD">
        <w:t xml:space="preserve"> product administration following the use of </w:t>
      </w:r>
      <w:r w:rsidR="00F00BFD" w:rsidRPr="006C0F13">
        <w:t>FFP in the pump prime for infants undergo</w:t>
      </w:r>
      <w:r>
        <w:t>ing cardiac surgery (</w:t>
      </w:r>
      <w:r w:rsidR="00876931">
        <w:t>p=</w:t>
      </w:r>
      <w:r>
        <w:t>0.05).</w:t>
      </w:r>
      <w:hyperlink w:anchor="_ENREF_150" w:tooltip="McCall, 2004 #138" w:history="1">
        <w:r w:rsidR="00E62798">
          <w:fldChar w:fldCharType="begin"/>
        </w:r>
        <w:r w:rsidR="00E62798">
          <w:instrText xml:space="preserve"> ADDIN EN.CITE &lt;EndNote&gt;&lt;Cite&gt;&lt;Author&gt;McCall&lt;/Author&gt;&lt;Year&gt;2004&lt;/Year&gt;&lt;RecNum&gt;138&lt;/RecNum&gt;&lt;DisplayText&gt;&lt;style face="superscript"&gt;150&lt;/style&gt;&lt;/DisplayText&gt;&lt;record&gt;&lt;rec-number&gt;138&lt;/rec-number&gt;&lt;foreign-keys&gt;&lt;key app="EN" db-id="9edve2wadsavt5ewavaxtda4f2tavzvts9ee" timestamp="1426550421"&gt;138&lt;/key&gt;&lt;/foreign-keys&gt;&lt;ref-type name="Journal Article"&gt;17&lt;/ref-type&gt;&lt;contributors&gt;&lt;authors&gt;&lt;author&gt;McCall, M. M.&lt;/author&gt;&lt;author&gt;Blackwell, M. M.&lt;/author&gt;&lt;author&gt;Smyre, J. T.&lt;/author&gt;&lt;author&gt;Sistino, J. J.&lt;/author&gt;&lt;author&gt;Acsell, J. R.&lt;/author&gt;&lt;author&gt;Dorman, B. H.&lt;/author&gt;&lt;author&gt;Bradley, S. M.&lt;/author&gt;&lt;/authors&gt;&lt;/contributors&gt;&lt;auth-address&gt;Bradley, S.M., Division of Cardiothoracic Surgery, Medical University of South Carolina, Charleston, SC 29425, United States&lt;/auth-address&gt;&lt;titles&gt;&lt;title&gt;Fresh frozen plasma in the pediatric pump prime: A prospective, randomized trial&lt;/title&gt;&lt;secondary-title&gt;Annals of Thoracic Surgery&lt;/secondary-title&gt;&lt;/titles&gt;&lt;periodical&gt;&lt;full-title&gt;Annals of Thoracic Surgery&lt;/full-title&gt;&lt;/periodical&gt;&lt;pages&gt;983–987&lt;/pages&gt;&lt;volume&gt;77&lt;/volume&gt;&lt;number&gt;3&lt;/number&gt;&lt;reprint-edition&gt;NOT IN FILE&lt;/reprint-edition&gt;&lt;keywords&gt;&lt;keyword&gt;Embase13Mar14&lt;/keyword&gt;&lt;keyword&gt;Level II&lt;/keyword&gt;&lt;/keywords&gt;&lt;dates&gt;&lt;year&gt;2004&lt;/year&gt;&lt;/dates&gt;&lt;isbn&gt;0003-4975&lt;/isbn&gt;&lt;urls&gt;&lt;related-urls&gt;&lt;url&gt;http://www.annalsthoracicsurgery.org/article/S0003-4975(03)01873-3/pdf&lt;/url&gt;&lt;/related-urls&gt;&lt;/urls&gt;&lt;/record&gt;&lt;/Cite&gt;&lt;/EndNote&gt;</w:instrText>
        </w:r>
        <w:r w:rsidR="00E62798">
          <w:fldChar w:fldCharType="separate"/>
        </w:r>
        <w:r w:rsidR="00E62798" w:rsidRPr="00E62798">
          <w:rPr>
            <w:noProof/>
            <w:vertAlign w:val="superscript"/>
          </w:rPr>
          <w:t>150</w:t>
        </w:r>
        <w:r w:rsidR="00E62798">
          <w:fldChar w:fldCharType="end"/>
        </w:r>
      </w:hyperlink>
      <w:r w:rsidR="00F00BFD">
        <w:t xml:space="preserve"> However</w:t>
      </w:r>
      <w:r>
        <w:t>,</w:t>
      </w:r>
      <w:r w:rsidR="00F00BFD">
        <w:t xml:space="preserve"> in a subgroup analysis only the use of </w:t>
      </w:r>
      <w:r w:rsidR="00F00BFD" w:rsidRPr="006C0F13">
        <w:t>cryoprecipitate w</w:t>
      </w:r>
      <w:r w:rsidR="00F00BFD">
        <w:t>as</w:t>
      </w:r>
      <w:r w:rsidR="00F00BFD" w:rsidRPr="006C0F13">
        <w:t xml:space="preserve"> significantly lower in infants who received FFP (p&lt;0.0001). There was no significant difference for RBC</w:t>
      </w:r>
      <w:r w:rsidR="00F00BFD">
        <w:t>s</w:t>
      </w:r>
      <w:r w:rsidR="00F00BFD" w:rsidRPr="006C0F13">
        <w:t xml:space="preserve"> or platelet</w:t>
      </w:r>
      <w:r w:rsidR="00F00BFD">
        <w:t>s</w:t>
      </w:r>
      <w:r w:rsidR="00F00BFD" w:rsidRPr="006C0F13">
        <w:t>.</w:t>
      </w:r>
    </w:p>
    <w:p w14:paraId="387F6750" w14:textId="42BD1808" w:rsidR="00F00BFD" w:rsidRPr="009C32A7" w:rsidRDefault="00F801B2" w:rsidP="00F96C85">
      <w:pPr>
        <w:pStyle w:val="BoxHeading"/>
      </w:pPr>
      <w:r w:rsidRPr="009C32A7">
        <w:t>Clinical commentary</w:t>
      </w:r>
      <w:r>
        <w:t xml:space="preserve"> –</w:t>
      </w:r>
      <w:r w:rsidR="004828DA">
        <w:t xml:space="preserve"> </w:t>
      </w:r>
      <w:r>
        <w:t xml:space="preserve">FFP in </w:t>
      </w:r>
      <w:r w:rsidRPr="00F801B2">
        <w:t xml:space="preserve">neonatal and paediatric patients </w:t>
      </w:r>
      <w:r w:rsidR="001944D9">
        <w:t>undergoing</w:t>
      </w:r>
      <w:r w:rsidRPr="00F801B2">
        <w:t xml:space="preserve"> </w:t>
      </w:r>
      <w:r>
        <w:t>surgery</w:t>
      </w:r>
      <w:r w:rsidR="004828DA">
        <w:t xml:space="preserve"> </w:t>
      </w:r>
    </w:p>
    <w:p w14:paraId="0AAB4BCC" w14:textId="7CC0982D" w:rsidR="00F00BFD" w:rsidRDefault="00F00BFD" w:rsidP="00F96C85">
      <w:pPr>
        <w:pStyle w:val="BoxText"/>
      </w:pPr>
      <w:r>
        <w:t>The effect of the routine use of FFP on mortality, bleeding and transfusion incid</w:t>
      </w:r>
      <w:r w:rsidRPr="00F96C85">
        <w:t>e</w:t>
      </w:r>
      <w:r>
        <w:t xml:space="preserve">nce and volume in neonatal and paediatric patients </w:t>
      </w:r>
      <w:r w:rsidR="001944D9">
        <w:t>undergoing</w:t>
      </w:r>
      <w:r>
        <w:t xml:space="preserve"> surgery</w:t>
      </w:r>
      <w:r w:rsidDel="002B2A31">
        <w:t xml:space="preserve"> </w:t>
      </w:r>
      <w:r>
        <w:t xml:space="preserve">is unclear. Hence, this treatment </w:t>
      </w:r>
      <w:r w:rsidR="00E6680C">
        <w:t xml:space="preserve">should be reserved for treatment of bleeding where coagulopathy is </w:t>
      </w:r>
      <w:r w:rsidR="00D92E23">
        <w:rPr>
          <w:lang w:val="en-AU"/>
        </w:rPr>
        <w:t>a</w:t>
      </w:r>
      <w:r w:rsidR="00E6680C">
        <w:t xml:space="preserve"> contributing factor</w:t>
      </w:r>
      <w:r>
        <w:t xml:space="preserve">. Both the risks and benefits of administration of FFP should be considered. </w:t>
      </w:r>
    </w:p>
    <w:p w14:paraId="68877B84" w14:textId="1FA956CD" w:rsidR="00F00BFD" w:rsidRDefault="00F55097" w:rsidP="00F55097">
      <w:pPr>
        <w:pStyle w:val="Heading3"/>
      </w:pPr>
      <w:bookmarkStart w:id="144" w:name="_Toc427851344"/>
      <w:r>
        <w:rPr>
          <w:lang w:val="en-AU"/>
        </w:rPr>
        <w:t>3.4.6</w:t>
      </w:r>
      <w:r>
        <w:rPr>
          <w:lang w:val="en-AU"/>
        </w:rPr>
        <w:tab/>
      </w:r>
      <w:r w:rsidR="00EC0D3F">
        <w:rPr>
          <w:lang w:val="en-AU"/>
        </w:rPr>
        <w:t xml:space="preserve">Neonatal and paediatric patients </w:t>
      </w:r>
      <w:r w:rsidR="001944D9">
        <w:rPr>
          <w:lang w:val="en-AU"/>
        </w:rPr>
        <w:t>undergoing</w:t>
      </w:r>
      <w:r w:rsidR="00EC0D3F">
        <w:rPr>
          <w:lang w:val="en-AU"/>
        </w:rPr>
        <w:t xml:space="preserve"> surgery – effects of cryoprecipitate on outcomes</w:t>
      </w:r>
      <w:bookmarkEnd w:id="144"/>
      <w:r w:rsidR="00EC0D3F">
        <w:t xml:space="preserve"> </w:t>
      </w:r>
    </w:p>
    <w:tbl>
      <w:tblPr>
        <w:tblW w:w="8641"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7"/>
        <w:gridCol w:w="808"/>
        <w:gridCol w:w="808"/>
        <w:gridCol w:w="809"/>
        <w:gridCol w:w="808"/>
        <w:gridCol w:w="810"/>
      </w:tblGrid>
      <w:tr w:rsidR="00F00BFD" w14:paraId="1747683B" w14:textId="77777777" w:rsidTr="00467EEA">
        <w:trPr>
          <w:cantSplit/>
          <w:trHeight w:val="1828"/>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309A6FD0" w14:textId="77777777" w:rsidR="00F00BFD" w:rsidRDefault="00F00BFD" w:rsidP="00F00BFD">
            <w:pPr>
              <w:pStyle w:val="PP-heading"/>
              <w:spacing w:line="276" w:lineRule="auto"/>
              <w:rPr>
                <w:lang w:eastAsia="zh-TW"/>
              </w:rPr>
            </w:pPr>
            <w:r>
              <w:rPr>
                <w:lang w:eastAsia="zh-TW"/>
              </w:rPr>
              <w:t>Evidence statements – surgical (cryoprecipitate)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FC057E1"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0F81A00" w14:textId="77777777" w:rsidR="00F00BFD" w:rsidRDefault="00F00BFD" w:rsidP="00F00BFD">
            <w:pPr>
              <w:spacing w:line="276" w:lineRule="auto"/>
              <w:ind w:left="113" w:right="113"/>
              <w:jc w:val="center"/>
              <w:rPr>
                <w:b/>
                <w:lang w:eastAsia="zh-TW"/>
              </w:rPr>
            </w:pPr>
            <w:r>
              <w:rPr>
                <w:b/>
                <w:lang w:eastAsia="zh-TW"/>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90A1B83"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3CE3C32" w14:textId="77777777" w:rsidR="00F00BFD" w:rsidRDefault="00F00BFD" w:rsidP="00F00BFD">
            <w:pPr>
              <w:spacing w:line="276" w:lineRule="auto"/>
              <w:ind w:left="113" w:right="113"/>
              <w:jc w:val="center"/>
              <w:rPr>
                <w:b/>
                <w:lang w:eastAsia="zh-TW"/>
              </w:rPr>
            </w:pPr>
            <w:r>
              <w:rPr>
                <w:b/>
                <w:lang w:eastAsia="zh-TW"/>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9E813AB"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0677619A" w14:textId="77777777" w:rsidTr="00F00BFD">
        <w:tc>
          <w:tcPr>
            <w:tcW w:w="851" w:type="dxa"/>
            <w:tcBorders>
              <w:top w:val="single" w:sz="4" w:space="0" w:color="000000"/>
              <w:left w:val="single" w:sz="4" w:space="0" w:color="000000"/>
              <w:bottom w:val="single" w:sz="4" w:space="0" w:color="000000"/>
              <w:right w:val="single" w:sz="4" w:space="0" w:color="000000"/>
            </w:tcBorders>
          </w:tcPr>
          <w:p w14:paraId="2976627F" w14:textId="77777777" w:rsidR="00F00BFD" w:rsidRDefault="00F00BFD" w:rsidP="00EC0D3F">
            <w:pPr>
              <w:pStyle w:val="Tabletextnoindent"/>
              <w:keepNext w:val="0"/>
              <w:numPr>
                <w:ilvl w:val="0"/>
                <w:numId w:val="0"/>
              </w:numPr>
              <w:spacing w:line="276" w:lineRule="auto"/>
              <w:rPr>
                <w:lang w:eastAsia="zh-TW"/>
              </w:rPr>
            </w:pPr>
            <w:r w:rsidRPr="005579F6">
              <w:t>ES3.40</w:t>
            </w:r>
          </w:p>
        </w:tc>
        <w:tc>
          <w:tcPr>
            <w:tcW w:w="3747" w:type="dxa"/>
            <w:tcBorders>
              <w:top w:val="single" w:sz="4" w:space="0" w:color="000000"/>
              <w:left w:val="single" w:sz="4" w:space="0" w:color="000000"/>
              <w:bottom w:val="single" w:sz="4" w:space="0" w:color="000000"/>
              <w:right w:val="single" w:sz="4" w:space="0" w:color="000000"/>
            </w:tcBorders>
            <w:hideMark/>
          </w:tcPr>
          <w:p w14:paraId="3DAD6B6B" w14:textId="77777777" w:rsidR="00F00BFD" w:rsidRDefault="00F00BFD" w:rsidP="00EC0D3F">
            <w:pPr>
              <w:pStyle w:val="ES-table"/>
              <w:keepNext w:val="0"/>
              <w:rPr>
                <w:lang w:eastAsia="zh-TW"/>
              </w:rPr>
            </w:pPr>
            <w:r>
              <w:rPr>
                <w:lang w:eastAsia="zh-TW"/>
              </w:rPr>
              <w:t>In neonatal and paediatric patients undergoing surgery, the effect of cryoprecipitate compared with no cryoprecipitate on mortality is unknown.</w:t>
            </w:r>
          </w:p>
        </w:tc>
        <w:tc>
          <w:tcPr>
            <w:tcW w:w="808" w:type="dxa"/>
            <w:tcBorders>
              <w:top w:val="single" w:sz="4" w:space="0" w:color="000000"/>
              <w:left w:val="single" w:sz="4" w:space="0" w:color="000000"/>
              <w:bottom w:val="single" w:sz="4" w:space="0" w:color="000000"/>
              <w:right w:val="single" w:sz="4" w:space="0" w:color="000000"/>
            </w:tcBorders>
            <w:hideMark/>
          </w:tcPr>
          <w:p w14:paraId="40FEB413"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64F0C55" w14:textId="77777777" w:rsidR="00F00BFD" w:rsidRDefault="00F00BFD" w:rsidP="00EC0D3F">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2198BAAC"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B3E2F40"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1BA79121" w14:textId="77777777" w:rsidR="00F00BFD" w:rsidRDefault="00F00BFD" w:rsidP="00EC0D3F">
            <w:pPr>
              <w:pStyle w:val="T-ABCD"/>
              <w:spacing w:line="276" w:lineRule="auto"/>
              <w:rPr>
                <w:lang w:eastAsia="zh-TW"/>
              </w:rPr>
            </w:pPr>
            <w:r>
              <w:rPr>
                <w:lang w:eastAsia="zh-TW"/>
              </w:rPr>
              <w:t xml:space="preserve">NA </w:t>
            </w:r>
          </w:p>
        </w:tc>
      </w:tr>
      <w:tr w:rsidR="00F00BFD" w14:paraId="7A565C6C" w14:textId="77777777" w:rsidTr="00F00BFD">
        <w:tc>
          <w:tcPr>
            <w:tcW w:w="851" w:type="dxa"/>
            <w:tcBorders>
              <w:top w:val="single" w:sz="4" w:space="0" w:color="000000"/>
              <w:left w:val="single" w:sz="4" w:space="0" w:color="000000"/>
              <w:bottom w:val="single" w:sz="4" w:space="0" w:color="000000"/>
              <w:right w:val="single" w:sz="4" w:space="0" w:color="000000"/>
            </w:tcBorders>
          </w:tcPr>
          <w:p w14:paraId="2CE816C8" w14:textId="77777777" w:rsidR="00F00BFD" w:rsidRDefault="00F00BFD" w:rsidP="00EC0D3F">
            <w:pPr>
              <w:pStyle w:val="Tabletextnoindent"/>
              <w:keepNext w:val="0"/>
              <w:numPr>
                <w:ilvl w:val="0"/>
                <w:numId w:val="0"/>
              </w:numPr>
              <w:spacing w:line="276" w:lineRule="auto"/>
              <w:rPr>
                <w:lang w:eastAsia="zh-TW"/>
              </w:rPr>
            </w:pPr>
            <w:r w:rsidRPr="005579F6">
              <w:t>ES3.41</w:t>
            </w:r>
          </w:p>
        </w:tc>
        <w:tc>
          <w:tcPr>
            <w:tcW w:w="3747" w:type="dxa"/>
            <w:tcBorders>
              <w:top w:val="single" w:sz="4" w:space="0" w:color="000000"/>
              <w:left w:val="single" w:sz="4" w:space="0" w:color="000000"/>
              <w:bottom w:val="single" w:sz="4" w:space="0" w:color="000000"/>
              <w:right w:val="single" w:sz="4" w:space="0" w:color="000000"/>
            </w:tcBorders>
            <w:hideMark/>
          </w:tcPr>
          <w:p w14:paraId="5EBEB538" w14:textId="77777777" w:rsidR="00F00BFD" w:rsidRDefault="00F00BFD" w:rsidP="00EC0D3F">
            <w:pPr>
              <w:pStyle w:val="ES-table"/>
              <w:keepNext w:val="0"/>
              <w:rPr>
                <w:lang w:eastAsia="zh-TW"/>
              </w:rPr>
            </w:pPr>
            <w:r>
              <w:rPr>
                <w:lang w:eastAsia="zh-TW"/>
              </w:rPr>
              <w:t>In neonatal and paediatric patients undergoing surgery, the effect of cryoprecipitate compared with no cryoprecipitate on bleeding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553B18E2"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7367363" w14:textId="77777777" w:rsidR="00F00BFD" w:rsidRDefault="00F00BFD" w:rsidP="00EC0D3F">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5EF57C46"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AAD6512"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390B1CA3" w14:textId="77777777" w:rsidR="00F00BFD" w:rsidRDefault="00F00BFD" w:rsidP="00EC0D3F">
            <w:pPr>
              <w:pStyle w:val="T-ABCD"/>
              <w:spacing w:line="276" w:lineRule="auto"/>
              <w:rPr>
                <w:lang w:eastAsia="zh-TW"/>
              </w:rPr>
            </w:pPr>
            <w:r>
              <w:rPr>
                <w:lang w:eastAsia="zh-TW"/>
              </w:rPr>
              <w:t xml:space="preserve">NA </w:t>
            </w:r>
          </w:p>
        </w:tc>
      </w:tr>
      <w:tr w:rsidR="00F00BFD" w14:paraId="43C6B928" w14:textId="77777777" w:rsidTr="00F00BFD">
        <w:tc>
          <w:tcPr>
            <w:tcW w:w="851" w:type="dxa"/>
            <w:tcBorders>
              <w:top w:val="single" w:sz="4" w:space="0" w:color="000000"/>
              <w:left w:val="single" w:sz="4" w:space="0" w:color="000000"/>
              <w:bottom w:val="single" w:sz="4" w:space="0" w:color="000000"/>
              <w:right w:val="single" w:sz="4" w:space="0" w:color="000000"/>
            </w:tcBorders>
          </w:tcPr>
          <w:p w14:paraId="5E2498D0" w14:textId="77777777" w:rsidR="00F00BFD" w:rsidRDefault="00F00BFD" w:rsidP="00EC0D3F">
            <w:pPr>
              <w:pStyle w:val="Tabletextnoindent"/>
              <w:keepNext w:val="0"/>
              <w:numPr>
                <w:ilvl w:val="0"/>
                <w:numId w:val="0"/>
              </w:numPr>
              <w:spacing w:line="276" w:lineRule="auto"/>
              <w:rPr>
                <w:lang w:eastAsia="zh-TW"/>
              </w:rPr>
            </w:pPr>
            <w:r w:rsidRPr="005579F6">
              <w:t>ES3.42</w:t>
            </w:r>
          </w:p>
        </w:tc>
        <w:tc>
          <w:tcPr>
            <w:tcW w:w="3747" w:type="dxa"/>
            <w:tcBorders>
              <w:top w:val="single" w:sz="4" w:space="0" w:color="000000"/>
              <w:left w:val="single" w:sz="4" w:space="0" w:color="000000"/>
              <w:bottom w:val="single" w:sz="4" w:space="0" w:color="000000"/>
              <w:right w:val="single" w:sz="4" w:space="0" w:color="000000"/>
            </w:tcBorders>
            <w:hideMark/>
          </w:tcPr>
          <w:p w14:paraId="3D074DE3" w14:textId="77777777" w:rsidR="00F00BFD" w:rsidRDefault="00F00BFD" w:rsidP="00EC0D3F">
            <w:pPr>
              <w:pStyle w:val="ES-table"/>
              <w:keepNext w:val="0"/>
              <w:rPr>
                <w:lang w:eastAsia="zh-TW"/>
              </w:rPr>
            </w:pPr>
            <w:r>
              <w:rPr>
                <w:lang w:eastAsia="zh-TW"/>
              </w:rPr>
              <w:t>In neonatal and paediatric patients undergoing surgery, the effect of cryoprecipitate compared with no cryoprecipitate on transfusion-related serious adverse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5C43CDA3"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034CDB1" w14:textId="77777777" w:rsidR="00F00BFD" w:rsidRDefault="00F00BFD" w:rsidP="00EC0D3F">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4C3D338"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78AF5F8"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490AF0DA" w14:textId="77777777" w:rsidR="00F00BFD" w:rsidRDefault="00F00BFD" w:rsidP="00EC0D3F">
            <w:pPr>
              <w:pStyle w:val="T-ABCD"/>
              <w:spacing w:line="276" w:lineRule="auto"/>
              <w:rPr>
                <w:lang w:eastAsia="zh-TW"/>
              </w:rPr>
            </w:pPr>
            <w:r>
              <w:rPr>
                <w:lang w:eastAsia="zh-TW"/>
              </w:rPr>
              <w:t xml:space="preserve">NA </w:t>
            </w:r>
          </w:p>
        </w:tc>
      </w:tr>
      <w:tr w:rsidR="00F00BFD" w14:paraId="79D895F6" w14:textId="77777777" w:rsidTr="00F00BFD">
        <w:tc>
          <w:tcPr>
            <w:tcW w:w="851" w:type="dxa"/>
            <w:tcBorders>
              <w:top w:val="single" w:sz="4" w:space="0" w:color="000000"/>
              <w:left w:val="single" w:sz="4" w:space="0" w:color="000000"/>
              <w:bottom w:val="single" w:sz="4" w:space="0" w:color="000000"/>
              <w:right w:val="single" w:sz="4" w:space="0" w:color="000000"/>
            </w:tcBorders>
          </w:tcPr>
          <w:p w14:paraId="39BA04D4" w14:textId="77777777" w:rsidR="00F00BFD" w:rsidRDefault="00F00BFD" w:rsidP="00EC0D3F">
            <w:pPr>
              <w:pStyle w:val="Tabletextnoindent"/>
              <w:keepNext w:val="0"/>
              <w:numPr>
                <w:ilvl w:val="0"/>
                <w:numId w:val="0"/>
              </w:numPr>
              <w:spacing w:line="276" w:lineRule="auto"/>
              <w:rPr>
                <w:lang w:eastAsia="zh-TW"/>
              </w:rPr>
            </w:pPr>
            <w:r w:rsidRPr="005579F6">
              <w:t>ES3.43</w:t>
            </w:r>
          </w:p>
        </w:tc>
        <w:tc>
          <w:tcPr>
            <w:tcW w:w="3747" w:type="dxa"/>
            <w:tcBorders>
              <w:top w:val="single" w:sz="4" w:space="0" w:color="000000"/>
              <w:left w:val="single" w:sz="4" w:space="0" w:color="000000"/>
              <w:bottom w:val="single" w:sz="4" w:space="0" w:color="000000"/>
              <w:right w:val="single" w:sz="4" w:space="0" w:color="000000"/>
            </w:tcBorders>
            <w:hideMark/>
          </w:tcPr>
          <w:p w14:paraId="305815EE" w14:textId="77777777" w:rsidR="00F00BFD" w:rsidRDefault="00F00BFD" w:rsidP="00EC0D3F">
            <w:pPr>
              <w:pStyle w:val="ES-table"/>
              <w:keepNext w:val="0"/>
              <w:rPr>
                <w:lang w:eastAsia="zh-TW"/>
              </w:rPr>
            </w:pPr>
            <w:r>
              <w:rPr>
                <w:lang w:eastAsia="zh-TW"/>
              </w:rPr>
              <w:t>In neonatal and paediatric patients undergoing surgery, the effect of cryoprecipitate compared with no cryoprecipitate on transfusion volume or incidence is unknown.</w:t>
            </w:r>
          </w:p>
        </w:tc>
        <w:tc>
          <w:tcPr>
            <w:tcW w:w="808" w:type="dxa"/>
            <w:tcBorders>
              <w:top w:val="single" w:sz="4" w:space="0" w:color="000000"/>
              <w:left w:val="single" w:sz="4" w:space="0" w:color="000000"/>
              <w:bottom w:val="single" w:sz="4" w:space="0" w:color="000000"/>
              <w:right w:val="single" w:sz="4" w:space="0" w:color="000000"/>
            </w:tcBorders>
            <w:hideMark/>
          </w:tcPr>
          <w:p w14:paraId="3E4E07EE"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292FF57" w14:textId="77777777" w:rsidR="00F00BFD" w:rsidRDefault="00F00BFD" w:rsidP="00EC0D3F">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6C5A8A30"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8744E9E"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50F8F4EA" w14:textId="77777777" w:rsidR="00F00BFD" w:rsidRDefault="00F00BFD" w:rsidP="00EC0D3F">
            <w:pPr>
              <w:pStyle w:val="T-ABCD"/>
              <w:spacing w:line="276" w:lineRule="auto"/>
              <w:rPr>
                <w:lang w:eastAsia="zh-TW"/>
              </w:rPr>
            </w:pPr>
            <w:r>
              <w:rPr>
                <w:lang w:eastAsia="zh-TW"/>
              </w:rPr>
              <w:t xml:space="preserve">NA </w:t>
            </w:r>
          </w:p>
        </w:tc>
      </w:tr>
      <w:tr w:rsidR="00F00BFD" w14:paraId="3DC2B9D8" w14:textId="77777777" w:rsidTr="00F00BFD">
        <w:tc>
          <w:tcPr>
            <w:tcW w:w="851" w:type="dxa"/>
            <w:tcBorders>
              <w:top w:val="single" w:sz="4" w:space="0" w:color="000000"/>
              <w:left w:val="single" w:sz="4" w:space="0" w:color="000000"/>
              <w:bottom w:val="single" w:sz="4" w:space="0" w:color="000000"/>
              <w:right w:val="single" w:sz="4" w:space="0" w:color="000000"/>
            </w:tcBorders>
          </w:tcPr>
          <w:p w14:paraId="04FE0039" w14:textId="77777777" w:rsidR="00F00BFD" w:rsidRDefault="00F00BFD" w:rsidP="00EC0D3F">
            <w:pPr>
              <w:pStyle w:val="Tabletextnoindent"/>
              <w:keepNext w:val="0"/>
              <w:numPr>
                <w:ilvl w:val="0"/>
                <w:numId w:val="0"/>
              </w:numPr>
              <w:spacing w:line="276" w:lineRule="auto"/>
              <w:rPr>
                <w:lang w:eastAsia="zh-TW"/>
              </w:rPr>
            </w:pPr>
            <w:r w:rsidRPr="005579F6">
              <w:t>ES3.44</w:t>
            </w:r>
          </w:p>
        </w:tc>
        <w:tc>
          <w:tcPr>
            <w:tcW w:w="3747" w:type="dxa"/>
            <w:tcBorders>
              <w:top w:val="single" w:sz="4" w:space="0" w:color="000000"/>
              <w:left w:val="single" w:sz="4" w:space="0" w:color="000000"/>
              <w:bottom w:val="single" w:sz="4" w:space="0" w:color="000000"/>
              <w:right w:val="single" w:sz="4" w:space="0" w:color="000000"/>
            </w:tcBorders>
            <w:hideMark/>
          </w:tcPr>
          <w:p w14:paraId="1F5B35F1" w14:textId="77777777" w:rsidR="00F00BFD" w:rsidRDefault="00F00BFD" w:rsidP="00EC0D3F">
            <w:pPr>
              <w:pStyle w:val="ES-table"/>
              <w:keepNext w:val="0"/>
              <w:rPr>
                <w:lang w:eastAsia="zh-TW"/>
              </w:rPr>
            </w:pPr>
            <w:r>
              <w:rPr>
                <w:lang w:eastAsia="zh-TW"/>
              </w:rPr>
              <w:t>In neonatal and paediatric patients undergoing surgery, the effect of a restrictive versus liberal cryoprecipitate transfusion strategy on mortality is unknown.</w:t>
            </w:r>
          </w:p>
        </w:tc>
        <w:tc>
          <w:tcPr>
            <w:tcW w:w="808" w:type="dxa"/>
            <w:tcBorders>
              <w:top w:val="single" w:sz="4" w:space="0" w:color="000000"/>
              <w:left w:val="single" w:sz="4" w:space="0" w:color="000000"/>
              <w:bottom w:val="single" w:sz="4" w:space="0" w:color="000000"/>
              <w:right w:val="single" w:sz="4" w:space="0" w:color="000000"/>
            </w:tcBorders>
            <w:hideMark/>
          </w:tcPr>
          <w:p w14:paraId="093130FA"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F3092CE" w14:textId="77777777" w:rsidR="00F00BFD" w:rsidRDefault="00F00BFD" w:rsidP="00EC0D3F">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57CB437"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C1A717A"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7D804ACE" w14:textId="77777777" w:rsidR="00F00BFD" w:rsidRDefault="00F00BFD" w:rsidP="00EC0D3F">
            <w:pPr>
              <w:pStyle w:val="T-ABCD"/>
              <w:spacing w:line="276" w:lineRule="auto"/>
              <w:rPr>
                <w:lang w:eastAsia="zh-TW"/>
              </w:rPr>
            </w:pPr>
            <w:r>
              <w:rPr>
                <w:lang w:eastAsia="zh-TW"/>
              </w:rPr>
              <w:t xml:space="preserve">NA </w:t>
            </w:r>
          </w:p>
        </w:tc>
      </w:tr>
      <w:tr w:rsidR="00F00BFD" w14:paraId="2DD3C96E" w14:textId="77777777" w:rsidTr="00F00BFD">
        <w:tc>
          <w:tcPr>
            <w:tcW w:w="851" w:type="dxa"/>
            <w:tcBorders>
              <w:top w:val="single" w:sz="4" w:space="0" w:color="000000"/>
              <w:left w:val="single" w:sz="4" w:space="0" w:color="000000"/>
              <w:bottom w:val="single" w:sz="4" w:space="0" w:color="000000"/>
              <w:right w:val="single" w:sz="4" w:space="0" w:color="000000"/>
            </w:tcBorders>
          </w:tcPr>
          <w:p w14:paraId="72607ACB" w14:textId="77777777" w:rsidR="00F00BFD" w:rsidRDefault="00F00BFD" w:rsidP="00F00BFD">
            <w:pPr>
              <w:pStyle w:val="Tabletextnoindent"/>
              <w:numPr>
                <w:ilvl w:val="0"/>
                <w:numId w:val="0"/>
              </w:numPr>
              <w:spacing w:line="276" w:lineRule="auto"/>
              <w:rPr>
                <w:lang w:eastAsia="zh-TW"/>
              </w:rPr>
            </w:pPr>
            <w:r w:rsidRPr="005579F6">
              <w:t>ES3.45</w:t>
            </w:r>
          </w:p>
        </w:tc>
        <w:tc>
          <w:tcPr>
            <w:tcW w:w="3747" w:type="dxa"/>
            <w:tcBorders>
              <w:top w:val="single" w:sz="4" w:space="0" w:color="000000"/>
              <w:left w:val="single" w:sz="4" w:space="0" w:color="000000"/>
              <w:bottom w:val="single" w:sz="4" w:space="0" w:color="000000"/>
              <w:right w:val="single" w:sz="4" w:space="0" w:color="000000"/>
            </w:tcBorders>
            <w:hideMark/>
          </w:tcPr>
          <w:p w14:paraId="7A53AA17" w14:textId="77777777" w:rsidR="00F00BFD" w:rsidRDefault="00F00BFD" w:rsidP="00F00BFD">
            <w:pPr>
              <w:pStyle w:val="ES-table"/>
              <w:rPr>
                <w:lang w:eastAsia="zh-TW"/>
              </w:rPr>
            </w:pPr>
            <w:r>
              <w:rPr>
                <w:lang w:eastAsia="zh-TW"/>
              </w:rPr>
              <w:t>In neonatal and paediatric patients undergoing surgery, the effect of a restrictive versus liberal cryoprecipitate transfusion strategy on bleeding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76B1275E"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5403A76"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C0F7758"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8622078"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77846997" w14:textId="77777777" w:rsidR="00F00BFD" w:rsidRDefault="00F00BFD" w:rsidP="00F00BFD">
            <w:pPr>
              <w:pStyle w:val="T-ABCD"/>
              <w:spacing w:line="276" w:lineRule="auto"/>
              <w:rPr>
                <w:lang w:eastAsia="zh-TW"/>
              </w:rPr>
            </w:pPr>
            <w:r>
              <w:rPr>
                <w:lang w:eastAsia="zh-TW"/>
              </w:rPr>
              <w:t xml:space="preserve">NA </w:t>
            </w:r>
          </w:p>
        </w:tc>
      </w:tr>
      <w:tr w:rsidR="00F00BFD" w14:paraId="63E82080" w14:textId="77777777" w:rsidTr="00F00BFD">
        <w:tc>
          <w:tcPr>
            <w:tcW w:w="851" w:type="dxa"/>
            <w:tcBorders>
              <w:top w:val="single" w:sz="4" w:space="0" w:color="000000"/>
              <w:left w:val="single" w:sz="4" w:space="0" w:color="000000"/>
              <w:bottom w:val="single" w:sz="4" w:space="0" w:color="000000"/>
              <w:right w:val="single" w:sz="4" w:space="0" w:color="000000"/>
            </w:tcBorders>
          </w:tcPr>
          <w:p w14:paraId="30E3594D" w14:textId="77777777" w:rsidR="00F00BFD" w:rsidRDefault="00F00BFD" w:rsidP="00F00BFD">
            <w:pPr>
              <w:pStyle w:val="Tabletextnoindent"/>
              <w:numPr>
                <w:ilvl w:val="0"/>
                <w:numId w:val="0"/>
              </w:numPr>
              <w:spacing w:line="276" w:lineRule="auto"/>
              <w:rPr>
                <w:lang w:eastAsia="zh-TW"/>
              </w:rPr>
            </w:pPr>
            <w:r w:rsidRPr="005579F6">
              <w:t>ES3.46</w:t>
            </w:r>
          </w:p>
        </w:tc>
        <w:tc>
          <w:tcPr>
            <w:tcW w:w="3747" w:type="dxa"/>
            <w:tcBorders>
              <w:top w:val="single" w:sz="4" w:space="0" w:color="000000"/>
              <w:left w:val="single" w:sz="4" w:space="0" w:color="000000"/>
              <w:bottom w:val="single" w:sz="4" w:space="0" w:color="000000"/>
              <w:right w:val="single" w:sz="4" w:space="0" w:color="000000"/>
            </w:tcBorders>
            <w:hideMark/>
          </w:tcPr>
          <w:p w14:paraId="1CE5BEBC" w14:textId="77777777" w:rsidR="00F00BFD" w:rsidRDefault="00F00BFD" w:rsidP="00F00BFD">
            <w:pPr>
              <w:pStyle w:val="ES-table"/>
              <w:rPr>
                <w:lang w:eastAsia="zh-TW"/>
              </w:rPr>
            </w:pPr>
            <w:r>
              <w:rPr>
                <w:lang w:eastAsia="zh-TW"/>
              </w:rPr>
              <w:t>In neonatal and paediatric patients undergoing surgery, the effect of a restrictive versus liberal cryoprecipitate transfusion strategy on transfusion-related serious adverse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34D2EB05"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A8EE58D"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70917AE"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2DE56AA"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16AF7354" w14:textId="77777777" w:rsidR="00F00BFD" w:rsidRDefault="00F00BFD" w:rsidP="00F00BFD">
            <w:pPr>
              <w:pStyle w:val="T-ABCD"/>
              <w:spacing w:line="276" w:lineRule="auto"/>
              <w:rPr>
                <w:lang w:eastAsia="zh-TW"/>
              </w:rPr>
            </w:pPr>
            <w:r>
              <w:rPr>
                <w:lang w:eastAsia="zh-TW"/>
              </w:rPr>
              <w:t xml:space="preserve">NA </w:t>
            </w:r>
          </w:p>
        </w:tc>
      </w:tr>
      <w:tr w:rsidR="00F00BFD" w14:paraId="6EBF9451" w14:textId="77777777" w:rsidTr="00F00BFD">
        <w:tc>
          <w:tcPr>
            <w:tcW w:w="851" w:type="dxa"/>
            <w:tcBorders>
              <w:top w:val="single" w:sz="4" w:space="0" w:color="000000"/>
              <w:left w:val="single" w:sz="4" w:space="0" w:color="000000"/>
              <w:bottom w:val="single" w:sz="4" w:space="0" w:color="000000"/>
              <w:right w:val="single" w:sz="4" w:space="0" w:color="000000"/>
            </w:tcBorders>
          </w:tcPr>
          <w:p w14:paraId="5B33B72C" w14:textId="77777777" w:rsidR="00F00BFD" w:rsidRDefault="00F00BFD" w:rsidP="00F00BFD">
            <w:pPr>
              <w:pStyle w:val="Tabletextnoindent"/>
              <w:numPr>
                <w:ilvl w:val="0"/>
                <w:numId w:val="0"/>
              </w:numPr>
              <w:spacing w:line="276" w:lineRule="auto"/>
              <w:rPr>
                <w:lang w:eastAsia="zh-TW"/>
              </w:rPr>
            </w:pPr>
            <w:r w:rsidRPr="005579F6">
              <w:t>ES3.47</w:t>
            </w:r>
          </w:p>
        </w:tc>
        <w:tc>
          <w:tcPr>
            <w:tcW w:w="3747" w:type="dxa"/>
            <w:tcBorders>
              <w:top w:val="single" w:sz="4" w:space="0" w:color="000000"/>
              <w:left w:val="single" w:sz="4" w:space="0" w:color="000000"/>
              <w:bottom w:val="single" w:sz="4" w:space="0" w:color="000000"/>
              <w:right w:val="single" w:sz="4" w:space="0" w:color="000000"/>
            </w:tcBorders>
            <w:hideMark/>
          </w:tcPr>
          <w:p w14:paraId="6A0709AB" w14:textId="77777777" w:rsidR="00F00BFD" w:rsidRDefault="00F00BFD" w:rsidP="00F00BFD">
            <w:pPr>
              <w:pStyle w:val="ES-table"/>
              <w:rPr>
                <w:lang w:eastAsia="zh-TW"/>
              </w:rPr>
            </w:pPr>
            <w:r>
              <w:rPr>
                <w:lang w:eastAsia="zh-TW"/>
              </w:rPr>
              <w:t>In neonatal and paediatric patients undergoing surgery, the effect of a restrictive versus liberal cryoprecipitate transfusion strategy on transfusion volume or incidence is unknown.</w:t>
            </w:r>
          </w:p>
        </w:tc>
        <w:tc>
          <w:tcPr>
            <w:tcW w:w="808" w:type="dxa"/>
            <w:tcBorders>
              <w:top w:val="single" w:sz="4" w:space="0" w:color="000000"/>
              <w:left w:val="single" w:sz="4" w:space="0" w:color="000000"/>
              <w:bottom w:val="single" w:sz="4" w:space="0" w:color="000000"/>
              <w:right w:val="single" w:sz="4" w:space="0" w:color="000000"/>
            </w:tcBorders>
            <w:hideMark/>
          </w:tcPr>
          <w:p w14:paraId="2B0ADA8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A6E8572"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5D0251C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D087106"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7E4C754" w14:textId="77777777" w:rsidR="00F00BFD" w:rsidRDefault="00F00BFD" w:rsidP="00F00BFD">
            <w:pPr>
              <w:pStyle w:val="T-ABCD"/>
              <w:spacing w:line="276" w:lineRule="auto"/>
              <w:rPr>
                <w:lang w:eastAsia="zh-TW"/>
              </w:rPr>
            </w:pPr>
            <w:r>
              <w:rPr>
                <w:lang w:eastAsia="zh-TW"/>
              </w:rPr>
              <w:t xml:space="preserve">NA </w:t>
            </w:r>
          </w:p>
        </w:tc>
      </w:tr>
      <w:tr w:rsidR="00F00BFD" w14:paraId="43FFA29B" w14:textId="77777777" w:rsidTr="00F00BFD">
        <w:trPr>
          <w:cantSplit/>
        </w:trPr>
        <w:tc>
          <w:tcPr>
            <w:tcW w:w="8641" w:type="dxa"/>
            <w:gridSpan w:val="7"/>
            <w:tcBorders>
              <w:top w:val="single" w:sz="4" w:space="0" w:color="000000"/>
              <w:left w:val="single" w:sz="4" w:space="0" w:color="000000"/>
              <w:bottom w:val="single" w:sz="4" w:space="0" w:color="000000"/>
              <w:right w:val="single" w:sz="4" w:space="0" w:color="000000"/>
            </w:tcBorders>
            <w:hideMark/>
          </w:tcPr>
          <w:p w14:paraId="46A9C71C" w14:textId="77777777" w:rsidR="00F00BFD" w:rsidRDefault="00F00BFD" w:rsidP="00F00BFD">
            <w:pPr>
              <w:pStyle w:val="ES-notes"/>
              <w:rPr>
                <w:lang w:eastAsia="zh-TW"/>
              </w:rPr>
            </w:pPr>
            <w:r>
              <w:rPr>
                <w:lang w:eastAsia="zh-TW"/>
              </w:rPr>
              <w:t>ES, evidence statement</w:t>
            </w:r>
          </w:p>
          <w:p w14:paraId="7A48555C" w14:textId="77777777" w:rsidR="00F00BFD" w:rsidRDefault="00F00BFD" w:rsidP="00F00BFD">
            <w:pPr>
              <w:pStyle w:val="ES-notes"/>
              <w:rPr>
                <w:lang w:eastAsia="zh-TW"/>
              </w:rPr>
            </w:pPr>
            <w:r>
              <w:rPr>
                <w:lang w:eastAsia="zh-TW"/>
              </w:rPr>
              <w:sym w:font="Symbol" w:char="F0D6"/>
            </w:r>
            <w:r>
              <w:rPr>
                <w:lang w:eastAsia="zh-TW"/>
              </w:rPr>
              <w:sym w:font="Symbol" w:char="F0D6"/>
            </w:r>
            <w:r>
              <w:rPr>
                <w:lang w:eastAsia="zh-TW"/>
              </w:rPr>
              <w:sym w:font="Symbol" w:char="F0D6"/>
            </w:r>
            <w:r>
              <w:rPr>
                <w:lang w:eastAsia="zh-TW"/>
              </w:rPr>
              <w:t xml:space="preserve">=A; </w:t>
            </w:r>
            <w:r>
              <w:rPr>
                <w:lang w:eastAsia="zh-TW"/>
              </w:rPr>
              <w:sym w:font="Symbol" w:char="F0D6"/>
            </w:r>
            <w:r>
              <w:rPr>
                <w:lang w:eastAsia="zh-TW"/>
              </w:rPr>
              <w:sym w:font="Symbol" w:char="F0D6"/>
            </w:r>
            <w:r>
              <w:rPr>
                <w:lang w:eastAsia="zh-TW"/>
              </w:rPr>
              <w:t xml:space="preserve">=B; </w:t>
            </w:r>
            <w:r>
              <w:rPr>
                <w:lang w:eastAsia="zh-TW"/>
              </w:rPr>
              <w:sym w:font="Symbol" w:char="F0D6"/>
            </w:r>
            <w:r>
              <w:rPr>
                <w:lang w:eastAsia="zh-TW"/>
              </w:rPr>
              <w:t>=C; X=D; NA, not applicable</w:t>
            </w:r>
          </w:p>
        </w:tc>
      </w:tr>
    </w:tbl>
    <w:p w14:paraId="410DFBA3"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079"/>
        <w:gridCol w:w="7598"/>
      </w:tblGrid>
      <w:tr w:rsidR="00F00BFD" w:rsidRPr="00F921CD" w14:paraId="28730B08"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507B6232" w14:textId="098ED7D4" w:rsidR="00F00BFD" w:rsidRPr="00EC0D3F" w:rsidRDefault="00F00BFD" w:rsidP="00F00BFD">
            <w:pPr>
              <w:pStyle w:val="PP-heading"/>
              <w:rPr>
                <w:lang w:val="en-AU"/>
              </w:rPr>
            </w:pPr>
            <w:r w:rsidRPr="00F921CD">
              <w:t xml:space="preserve">Practice point – </w:t>
            </w:r>
            <w:r w:rsidR="005E38DA">
              <w:rPr>
                <w:lang w:eastAsia="zh-TW"/>
              </w:rPr>
              <w:t>surgical (cryoprecipitate)</w:t>
            </w:r>
          </w:p>
        </w:tc>
      </w:tr>
      <w:tr w:rsidR="00F00BFD" w:rsidRPr="00F921CD" w14:paraId="3DE06158" w14:textId="77777777" w:rsidTr="00EC0D3F">
        <w:tc>
          <w:tcPr>
            <w:tcW w:w="1117" w:type="dxa"/>
            <w:tcBorders>
              <w:right w:val="single" w:sz="4" w:space="0" w:color="auto"/>
            </w:tcBorders>
            <w:shd w:val="clear" w:color="auto" w:fill="auto"/>
          </w:tcPr>
          <w:p w14:paraId="607AF6D7" w14:textId="77777777" w:rsidR="00F00BFD" w:rsidRPr="00F921CD" w:rsidRDefault="00F00BFD" w:rsidP="00EC0D3F">
            <w:pPr>
              <w:pStyle w:val="PP"/>
            </w:pPr>
            <w:r w:rsidRPr="00F921CD">
              <w:t>PP</w:t>
            </w:r>
            <w:r>
              <w:t>28</w:t>
            </w:r>
          </w:p>
        </w:tc>
        <w:tc>
          <w:tcPr>
            <w:tcW w:w="7560" w:type="dxa"/>
            <w:tcBorders>
              <w:left w:val="single" w:sz="4" w:space="0" w:color="auto"/>
            </w:tcBorders>
            <w:shd w:val="clear" w:color="auto" w:fill="auto"/>
          </w:tcPr>
          <w:p w14:paraId="685C7423" w14:textId="77777777" w:rsidR="00F00BFD" w:rsidRPr="00F921CD" w:rsidRDefault="00F00BFD" w:rsidP="00EC0D3F">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65157F66"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FFF2E1" w14:textId="708396C4" w:rsidR="00F00BFD" w:rsidRPr="00EC0D3F" w:rsidRDefault="00F00BFD" w:rsidP="00F00BFD">
            <w:pPr>
              <w:pStyle w:val="PP-heading"/>
              <w:rPr>
                <w:lang w:val="en-AU"/>
              </w:rPr>
            </w:pPr>
            <w:r>
              <w:t>Expert opinion</w:t>
            </w:r>
            <w:r w:rsidRPr="00F921CD">
              <w:t xml:space="preserve"> point – </w:t>
            </w:r>
            <w:r w:rsidR="005E38DA">
              <w:rPr>
                <w:lang w:eastAsia="zh-TW"/>
              </w:rPr>
              <w:t>surgical (cryoprecipitate)</w:t>
            </w:r>
          </w:p>
        </w:tc>
      </w:tr>
      <w:tr w:rsidR="00F00BFD" w:rsidRPr="00F921CD" w14:paraId="3A21A658" w14:textId="77777777" w:rsidTr="00EC0D3F">
        <w:tc>
          <w:tcPr>
            <w:tcW w:w="622" w:type="pct"/>
            <w:tcBorders>
              <w:right w:val="single" w:sz="4" w:space="0" w:color="auto"/>
            </w:tcBorders>
            <w:shd w:val="clear" w:color="auto" w:fill="auto"/>
          </w:tcPr>
          <w:p w14:paraId="04C547D9" w14:textId="77777777" w:rsidR="00F00BFD" w:rsidRDefault="00F00BFD" w:rsidP="00EC0D3F">
            <w:pPr>
              <w:pStyle w:val="PP"/>
            </w:pPr>
            <w:r>
              <w:t>EOP2</w:t>
            </w:r>
          </w:p>
        </w:tc>
        <w:tc>
          <w:tcPr>
            <w:tcW w:w="4378" w:type="pct"/>
            <w:tcBorders>
              <w:left w:val="single" w:sz="4" w:space="0" w:color="auto"/>
            </w:tcBorders>
            <w:shd w:val="clear" w:color="auto" w:fill="auto"/>
          </w:tcPr>
          <w:p w14:paraId="1F61F081" w14:textId="6A8CB56B" w:rsidR="00F00BFD" w:rsidRPr="00D92E23" w:rsidRDefault="00F00BFD" w:rsidP="00EC0D3F">
            <w:pPr>
              <w:pStyle w:val="PP"/>
              <w:rPr>
                <w:vertAlign w:val="superscript"/>
                <w:lang w:val="en-AU"/>
              </w:rPr>
            </w:pPr>
            <w:r w:rsidRPr="00144EFF">
              <w:t xml:space="preserve">Cryoprecipitate should be used to </w:t>
            </w:r>
            <w:r>
              <w:t xml:space="preserve">treat </w:t>
            </w:r>
            <w:r w:rsidRPr="00144EFF">
              <w:t xml:space="preserve">active bleeding </w:t>
            </w:r>
            <w:r>
              <w:t>when the</w:t>
            </w:r>
            <w:r w:rsidRPr="00144EFF">
              <w:t xml:space="preserve"> fibrinogen level </w:t>
            </w:r>
            <w:r>
              <w:t>is</w:t>
            </w:r>
            <w:r w:rsidRPr="00144EFF">
              <w:t xml:space="preserve"> </w:t>
            </w:r>
            <w:r>
              <w:t>&lt;</w:t>
            </w:r>
            <w:r w:rsidRPr="00144EFF">
              <w:t>1.5 g/L. A target level of 2 g/L may be appropriate in certain groups</w:t>
            </w:r>
            <w:r w:rsidR="00D92E23">
              <w:rPr>
                <w:lang w:val="en-AU"/>
              </w:rPr>
              <w:t>.</w:t>
            </w:r>
            <w:r w:rsidR="00D92E23">
              <w:rPr>
                <w:vertAlign w:val="superscript"/>
                <w:lang w:val="en-AU"/>
              </w:rPr>
              <w:t>a</w:t>
            </w:r>
          </w:p>
          <w:p w14:paraId="0B543FD6" w14:textId="579A3D42" w:rsidR="00F00BFD" w:rsidRDefault="00D92E23" w:rsidP="00EC0D3F">
            <w:pPr>
              <w:pStyle w:val="PP-note"/>
            </w:pPr>
            <w:r>
              <w:rPr>
                <w:vertAlign w:val="superscript"/>
              </w:rPr>
              <w:t>a</w:t>
            </w:r>
            <w:r w:rsidR="00F00BFD">
              <w:t xml:space="preserve"> </w:t>
            </w:r>
            <w:r w:rsidR="00EC0D3F" w:rsidRPr="00A21FE4">
              <w:t xml:space="preserve">The template </w:t>
            </w:r>
            <w:r w:rsidR="00EC0D3F">
              <w:t>given in Appendix K (</w:t>
            </w:r>
            <w:r w:rsidR="00EC0D3F">
              <w:rPr>
                <w:i/>
              </w:rPr>
              <w:t>Critical bleeding protocol</w:t>
            </w:r>
            <w:r w:rsidR="00EC0D3F">
              <w:t xml:space="preserve">) </w:t>
            </w:r>
            <w:r w:rsidR="00EC0D3F" w:rsidRPr="00A21FE4">
              <w:t>is intended for local adaptation.</w:t>
            </w:r>
          </w:p>
        </w:tc>
      </w:tr>
      <w:tr w:rsidR="00F00BFD" w:rsidRPr="00F921CD" w14:paraId="285AA194" w14:textId="77777777" w:rsidTr="00EC0D3F">
        <w:trPr>
          <w:trHeight w:val="397"/>
        </w:trPr>
        <w:tc>
          <w:tcPr>
            <w:tcW w:w="5000" w:type="pct"/>
            <w:gridSpan w:val="2"/>
            <w:shd w:val="clear" w:color="auto" w:fill="auto"/>
          </w:tcPr>
          <w:p w14:paraId="37F76140" w14:textId="4B91C66C" w:rsidR="00F00BFD" w:rsidRPr="00F921CD" w:rsidRDefault="00EC0D3F" w:rsidP="00EC0D3F">
            <w:pPr>
              <w:pStyle w:val="PP-note"/>
            </w:pPr>
            <w:r>
              <w:t>EOP, expert opinion point</w:t>
            </w:r>
            <w:r w:rsidR="00305D18">
              <w:t xml:space="preserve"> ; FFP, fresh frozen plasma; PP, practice point</w:t>
            </w:r>
          </w:p>
        </w:tc>
      </w:tr>
    </w:tbl>
    <w:p w14:paraId="37F56FA0" w14:textId="77777777" w:rsidR="00F00BFD" w:rsidRPr="008166BF" w:rsidRDefault="00F00BFD" w:rsidP="00F00BFD">
      <w:pPr>
        <w:rPr>
          <w:lang w:val="en-GB" w:eastAsia="en-GB"/>
        </w:rPr>
      </w:pPr>
    </w:p>
    <w:p w14:paraId="5DC82431" w14:textId="77777777" w:rsidR="00F00BFD" w:rsidRDefault="00F00BFD" w:rsidP="00F00BFD">
      <w:pPr>
        <w:pStyle w:val="Heading4"/>
        <w:ind w:left="0" w:firstLine="720"/>
      </w:pPr>
      <w:r>
        <w:t>Summary of evidence</w:t>
      </w:r>
    </w:p>
    <w:p w14:paraId="655979BF" w14:textId="0F257E13" w:rsidR="00EC0D3F" w:rsidRDefault="00EC0D3F" w:rsidP="00EC0D3F">
      <w:r>
        <w:t>The review identified no studies in the relevant population.</w:t>
      </w:r>
    </w:p>
    <w:p w14:paraId="41145EEC" w14:textId="77777777" w:rsidR="00F00BFD" w:rsidRDefault="00F00BFD" w:rsidP="00F00BFD">
      <w:pPr>
        <w:pStyle w:val="Heading5"/>
      </w:pPr>
      <w:r>
        <w:t>Mortality</w:t>
      </w:r>
    </w:p>
    <w:p w14:paraId="1AC87D34" w14:textId="6D8D1168" w:rsidR="00EC0D3F" w:rsidRDefault="007C1B3E" w:rsidP="00EC0D3F">
      <w:r>
        <w:t xml:space="preserve">No evidence was identified related to mortality. </w:t>
      </w:r>
    </w:p>
    <w:p w14:paraId="685FC022" w14:textId="3E315AAE" w:rsidR="00F00BFD" w:rsidRDefault="00F00BFD" w:rsidP="00F00BFD">
      <w:pPr>
        <w:pStyle w:val="Heading5"/>
      </w:pPr>
      <w:r>
        <w:t xml:space="preserve">Bleeding </w:t>
      </w:r>
      <w:r w:rsidR="00EC0D3F">
        <w:t>events</w:t>
      </w:r>
    </w:p>
    <w:p w14:paraId="1877F8AD" w14:textId="1B55EE19" w:rsidR="00EC0D3F" w:rsidRDefault="007C1B3E" w:rsidP="00EC0D3F">
      <w:r>
        <w:t xml:space="preserve">No evidence was identified related to bleeding events. </w:t>
      </w:r>
    </w:p>
    <w:p w14:paraId="009D9A84" w14:textId="25FD69DF" w:rsidR="00F00BFD" w:rsidRDefault="00055495" w:rsidP="00F00BFD">
      <w:pPr>
        <w:pStyle w:val="Heading5"/>
      </w:pPr>
      <w:r>
        <w:t>Transfusion</w:t>
      </w:r>
      <w:r>
        <w:rPr>
          <w:lang w:val="en-AU"/>
        </w:rPr>
        <w:t>-</w:t>
      </w:r>
      <w:r w:rsidR="00F00BFD">
        <w:t>related serious adverse events</w:t>
      </w:r>
    </w:p>
    <w:p w14:paraId="393D773F" w14:textId="2834BE5A" w:rsidR="00F00BFD" w:rsidRDefault="00FA6791" w:rsidP="00EC0D3F">
      <w:pPr>
        <w:rPr>
          <w:lang w:eastAsia="en-GB"/>
        </w:rPr>
      </w:pPr>
      <w:r>
        <w:t>No studies reported</w:t>
      </w:r>
      <w:r w:rsidR="008F7398">
        <w:t xml:space="preserve"> transfusion-related serious adverse events</w:t>
      </w:r>
      <w:r w:rsidR="007C1B3E">
        <w:t xml:space="preserve">. </w:t>
      </w:r>
    </w:p>
    <w:p w14:paraId="061475B2" w14:textId="77777777" w:rsidR="00F00BFD" w:rsidRDefault="00F00BFD" w:rsidP="00F00BFD">
      <w:pPr>
        <w:pStyle w:val="Heading5"/>
      </w:pPr>
      <w:r>
        <w:t>Transfusion volume or incidence</w:t>
      </w:r>
    </w:p>
    <w:p w14:paraId="639D6BC4" w14:textId="1EC9F518" w:rsidR="00EC0D3F" w:rsidRDefault="00FA6791" w:rsidP="00EC0D3F">
      <w:r>
        <w:t>No studies reported</w:t>
      </w:r>
      <w:r w:rsidR="008F7398">
        <w:t xml:space="preserve"> transfusion volume or incidence.</w:t>
      </w:r>
      <w:r w:rsidR="007C1B3E">
        <w:t xml:space="preserve"> </w:t>
      </w:r>
    </w:p>
    <w:p w14:paraId="13A5661E" w14:textId="016DA6FE" w:rsidR="00F00BFD" w:rsidRPr="009C32A7" w:rsidRDefault="00EC0D3F" w:rsidP="00F96C85">
      <w:pPr>
        <w:pStyle w:val="BoxHeading"/>
      </w:pPr>
      <w:r w:rsidRPr="009C32A7">
        <w:t>Clinical commentary</w:t>
      </w:r>
      <w:r>
        <w:t xml:space="preserve"> –</w:t>
      </w:r>
      <w:r w:rsidRPr="00EC0D3F">
        <w:t xml:space="preserve"> cryoprecipitate </w:t>
      </w:r>
      <w:r>
        <w:t>in n</w:t>
      </w:r>
      <w:r w:rsidRPr="00EC0D3F">
        <w:t xml:space="preserve">eonatal and paediatric patients </w:t>
      </w:r>
      <w:r w:rsidR="001944D9">
        <w:t>undergoing</w:t>
      </w:r>
      <w:r w:rsidRPr="00EC0D3F">
        <w:t xml:space="preserve"> surgery</w:t>
      </w:r>
    </w:p>
    <w:p w14:paraId="1FA4038D" w14:textId="12B84CFB" w:rsidR="00F00BFD" w:rsidRDefault="00F00BFD" w:rsidP="00F96C85">
      <w:pPr>
        <w:pStyle w:val="BoxText"/>
      </w:pPr>
      <w:r>
        <w:t xml:space="preserve">Cryoprecipitate should be used to treat bleeding in the setting of hypofibrinogenaemia. There is no clear threshold for clinically significant </w:t>
      </w:r>
      <w:r w:rsidR="00EC0D3F">
        <w:t>hypofibrinogenaemia.</w:t>
      </w:r>
      <w:hyperlink w:anchor="_ENREF_152" w:tooltip="British Committee for Standards in Haematology, 2003 #630" w:history="1">
        <w:r w:rsidR="00E62798">
          <w:fldChar w:fldCharType="begin"/>
        </w:r>
        <w:r w:rsidR="00E62798">
          <w:instrText xml:space="preserve"> ADDIN EN.CITE &lt;EndNote&gt;&lt;Cite&gt;&lt;Author&gt;British Committee for Standards in Haematology&lt;/Author&gt;&lt;Year&gt;2003&lt;/Year&gt;&lt;RecNum&gt;630&lt;/RecNum&gt;&lt;DisplayText&gt;&lt;style face="superscript"&gt;152&lt;/style&gt;&lt;/DisplayText&gt;&lt;record&gt;&lt;rec-number&gt;630&lt;/rec-number&gt;&lt;foreign-keys&gt;&lt;key app="EN" db-id="9edve2wadsavt5ewavaxtda4f2tavzvts9ee" timestamp="1433146380"&gt;630&lt;/key&gt;&lt;key app="ENWeb" db-id=""&gt;0&lt;/key&gt;&lt;/foreign-keys&gt;&lt;ref-type name="Journal Article"&gt;17&lt;/ref-type&gt;&lt;contributors&gt;&lt;authors&gt;&lt;author&gt;British Committee for Standards in Haematology, Blood Transfusion Task Force&lt;/author&gt;&lt;/authors&gt;&lt;/contributors&gt;&lt;titles&gt;&lt;title&gt;Guidelines for the use of platelet transfusions&lt;/title&gt;&lt;secondary-title&gt;British Journal of Haematology&lt;/secondary-title&gt;&lt;alt-title&gt;Br. J. Haematol.&lt;/alt-title&gt;&lt;/titles&gt;&lt;periodical&gt;&lt;full-title&gt;Br J Haematol&lt;/full-title&gt;&lt;abbr-1&gt;British journal of haematology&lt;/abbr-1&gt;&lt;/periodical&gt;&lt;pages&gt;10–23&lt;/pages&gt;&lt;volume&gt;122&lt;/volume&gt;&lt;number&gt;1&lt;/number&gt;&lt;dates&gt;&lt;year&gt;2003&lt;/year&gt;&lt;/dates&gt;&lt;isbn&gt;0007-1048&lt;/isbn&gt;&lt;urls&gt;&lt;related-urls&gt;&lt;url&gt;http://onlinelibrary.wiley.com/store/10.1046/j.1365-2141.2003.04468.x/asset/j.1365-2141.2003.04468.x.pdf?v=1&amp;amp;t=i8wrvhu3&amp;amp;s=cb4be396ff1b4b0096669308ddb29fd06023531e&lt;/url&gt;&lt;/related-urls&gt;&lt;/urls&gt;&lt;electronic-resource-num&gt;DOI:10.1046/j.1365-2141.2003.04468.x&lt;/electronic-resource-num&gt;&lt;/record&gt;&lt;/Cite&gt;&lt;/EndNote&gt;</w:instrText>
        </w:r>
        <w:r w:rsidR="00E62798">
          <w:fldChar w:fldCharType="separate"/>
        </w:r>
        <w:r w:rsidR="00E62798" w:rsidRPr="00E62798">
          <w:rPr>
            <w:noProof/>
            <w:vertAlign w:val="superscript"/>
          </w:rPr>
          <w:t>152</w:t>
        </w:r>
        <w:r w:rsidR="00E62798">
          <w:fldChar w:fldCharType="end"/>
        </w:r>
      </w:hyperlink>
      <w:r w:rsidR="00EC0D3F">
        <w:t xml:space="preserve"> </w:t>
      </w:r>
      <w:r>
        <w:t>However, in actively bleeding patients, it is reasonable to aim for a fibrinogen level of &gt;1.5 g/L. A target level of &gt;2 g/L may be appropriate in certain patients; for example, those with major trauma, those receiving large transfusion volumes and neonates.</w:t>
      </w:r>
    </w:p>
    <w:p w14:paraId="297C25F5" w14:textId="70297BD4" w:rsidR="00F00BFD" w:rsidRDefault="00F55097" w:rsidP="00F55097">
      <w:pPr>
        <w:pStyle w:val="Heading3"/>
      </w:pPr>
      <w:bookmarkStart w:id="145" w:name="_Toc427851345"/>
      <w:r>
        <w:rPr>
          <w:lang w:val="en-AU"/>
        </w:rPr>
        <w:t>3.4.7</w:t>
      </w:r>
      <w:r>
        <w:rPr>
          <w:lang w:val="en-AU"/>
        </w:rPr>
        <w:tab/>
      </w:r>
      <w:r w:rsidR="00EC0D3F">
        <w:rPr>
          <w:lang w:val="en-AU"/>
        </w:rPr>
        <w:t xml:space="preserve">Neonatal and paediatric patients </w:t>
      </w:r>
      <w:r w:rsidR="001944D9">
        <w:rPr>
          <w:lang w:val="en-AU"/>
        </w:rPr>
        <w:t>undergoing</w:t>
      </w:r>
      <w:r w:rsidR="00EC0D3F">
        <w:rPr>
          <w:lang w:val="en-AU"/>
        </w:rPr>
        <w:t xml:space="preserve"> surgery – effects of platelets on outcomes</w:t>
      </w:r>
      <w:bookmarkEnd w:id="145"/>
      <w:r w:rsidR="00EC0D3F">
        <w:t xml:space="preserve"> </w:t>
      </w:r>
    </w:p>
    <w:tbl>
      <w:tblPr>
        <w:tblW w:w="8641"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7"/>
        <w:gridCol w:w="809"/>
        <w:gridCol w:w="808"/>
        <w:gridCol w:w="808"/>
        <w:gridCol w:w="808"/>
        <w:gridCol w:w="810"/>
      </w:tblGrid>
      <w:tr w:rsidR="00F00BFD" w14:paraId="42577D80" w14:textId="77777777" w:rsidTr="00467EEA">
        <w:trPr>
          <w:cantSplit/>
          <w:trHeight w:val="2078"/>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1AC8E646" w14:textId="77777777" w:rsidR="00F00BFD" w:rsidRDefault="00F00BFD" w:rsidP="00F00BFD">
            <w:pPr>
              <w:pStyle w:val="PP-heading"/>
              <w:spacing w:line="276" w:lineRule="auto"/>
              <w:rPr>
                <w:lang w:eastAsia="zh-TW"/>
              </w:rPr>
            </w:pPr>
            <w:r>
              <w:rPr>
                <w:lang w:eastAsia="zh-TW"/>
              </w:rPr>
              <w:t>Evidence statements – surgical (platelet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836BCBC"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6F33FB4" w14:textId="77777777" w:rsidR="00F00BFD" w:rsidRDefault="00F00BFD" w:rsidP="00F00BFD">
            <w:pPr>
              <w:spacing w:line="276" w:lineRule="auto"/>
              <w:ind w:left="113" w:right="113"/>
              <w:jc w:val="center"/>
              <w:rPr>
                <w:b/>
                <w:lang w:eastAsia="zh-TW"/>
              </w:rPr>
            </w:pPr>
            <w:r>
              <w:rPr>
                <w:b/>
                <w:lang w:eastAsia="zh-TW"/>
              </w:rPr>
              <w:t>Consistency</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CDFBA33"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DF72040" w14:textId="77777777" w:rsidR="00F00BFD" w:rsidRDefault="00F00BFD" w:rsidP="00F00BFD">
            <w:pPr>
              <w:spacing w:line="276" w:lineRule="auto"/>
              <w:ind w:left="113" w:right="113"/>
              <w:jc w:val="center"/>
              <w:rPr>
                <w:b/>
                <w:lang w:eastAsia="zh-TW"/>
              </w:rPr>
            </w:pPr>
            <w:r>
              <w:rPr>
                <w:b/>
                <w:lang w:eastAsia="zh-TW"/>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C9D1C67"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1639A233"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176686C" w14:textId="77777777" w:rsidR="00F00BFD" w:rsidRDefault="00F00BFD" w:rsidP="00EC0D3F">
            <w:pPr>
              <w:pStyle w:val="Tabletextnoindent"/>
              <w:keepNext w:val="0"/>
              <w:numPr>
                <w:ilvl w:val="0"/>
                <w:numId w:val="0"/>
              </w:numPr>
              <w:spacing w:line="276" w:lineRule="auto"/>
              <w:rPr>
                <w:lang w:eastAsia="zh-TW"/>
              </w:rPr>
            </w:pPr>
            <w:r w:rsidRPr="00794475">
              <w:t>ES3.48</w:t>
            </w:r>
          </w:p>
        </w:tc>
        <w:tc>
          <w:tcPr>
            <w:tcW w:w="3747" w:type="dxa"/>
            <w:tcBorders>
              <w:top w:val="single" w:sz="4" w:space="0" w:color="000000"/>
              <w:left w:val="single" w:sz="4" w:space="0" w:color="000000"/>
              <w:bottom w:val="single" w:sz="4" w:space="0" w:color="000000"/>
              <w:right w:val="single" w:sz="4" w:space="0" w:color="000000"/>
            </w:tcBorders>
            <w:hideMark/>
          </w:tcPr>
          <w:p w14:paraId="2690D7AB" w14:textId="77777777" w:rsidR="00F00BFD" w:rsidRDefault="00F00BFD" w:rsidP="00EC0D3F">
            <w:pPr>
              <w:pStyle w:val="ES-table"/>
              <w:keepNext w:val="0"/>
              <w:rPr>
                <w:lang w:eastAsia="zh-TW"/>
              </w:rPr>
            </w:pPr>
            <w:r>
              <w:rPr>
                <w:lang w:eastAsia="zh-TW"/>
              </w:rPr>
              <w:t>In paediatric liver transplant patients, the effect of platelet transfusion compared with no platelet transfusion on mortality is uncertain.</w:t>
            </w:r>
          </w:p>
          <w:p w14:paraId="1DAE8C32" w14:textId="77777777" w:rsidR="00F00BFD" w:rsidRDefault="00F00BFD" w:rsidP="00EC0D3F">
            <w:pPr>
              <w:pStyle w:val="ES-notes"/>
              <w:keepNext w:val="0"/>
              <w:rPr>
                <w:lang w:eastAsia="zh-TW"/>
              </w:rPr>
            </w:pPr>
            <w:r>
              <w:rPr>
                <w:lang w:eastAsia="zh-TW"/>
              </w:rPr>
              <w:t>(See evidence matrix D3.M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4C45222B" w14:textId="77777777" w:rsidR="00F00BFD" w:rsidRDefault="00F00BFD" w:rsidP="00EC0D3F">
            <w:pPr>
              <w:pStyle w:val="T-ABCD"/>
              <w:spacing w:line="276" w:lineRule="auto"/>
              <w:rPr>
                <w:lang w:eastAsia="zh-TW"/>
              </w:rPr>
            </w:pPr>
            <w:r>
              <w:rPr>
                <w:lang w:eastAsia="zh-TW"/>
              </w:rPr>
              <w:t>X</w:t>
            </w:r>
          </w:p>
        </w:tc>
        <w:tc>
          <w:tcPr>
            <w:tcW w:w="808" w:type="dxa"/>
            <w:tcBorders>
              <w:top w:val="single" w:sz="4" w:space="0" w:color="000000"/>
              <w:left w:val="single" w:sz="4" w:space="0" w:color="000000"/>
              <w:bottom w:val="single" w:sz="4" w:space="0" w:color="000000"/>
              <w:right w:val="single" w:sz="4" w:space="0" w:color="000000"/>
            </w:tcBorders>
            <w:hideMark/>
          </w:tcPr>
          <w:p w14:paraId="133CBAD1"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BD7ACAF"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C08775D" w14:textId="77777777" w:rsidR="00F00BFD" w:rsidRDefault="00F00BFD" w:rsidP="00EC0D3F">
            <w:pPr>
              <w:pStyle w:val="T-ABCD"/>
              <w:spacing w:line="276" w:lineRule="auto"/>
              <w:rPr>
                <w:lang w:eastAsia="zh-TW"/>
              </w:rPr>
            </w:pPr>
            <w:r>
              <w:rPr>
                <w:lang w:eastAsia="zh-TW"/>
              </w:rPr>
              <w:sym w:font="Symbol" w:char="F0D6"/>
            </w:r>
            <w:r>
              <w:rPr>
                <w:lang w:eastAsia="zh-TW"/>
              </w:rPr>
              <w:sym w:font="Symbol" w:char="F0D6"/>
            </w:r>
            <w:r>
              <w:rPr>
                <w:lang w:eastAsia="zh-TW"/>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2BD7F0B2" w14:textId="77777777" w:rsidR="00F00BFD" w:rsidRDefault="00F00BFD" w:rsidP="00EC0D3F">
            <w:pPr>
              <w:pStyle w:val="T-ABCD"/>
              <w:spacing w:line="276" w:lineRule="auto"/>
              <w:rPr>
                <w:lang w:eastAsia="zh-TW"/>
              </w:rPr>
            </w:pPr>
            <w:r>
              <w:rPr>
                <w:lang w:eastAsia="zh-TW"/>
              </w:rPr>
              <w:sym w:font="Symbol" w:char="F0D6"/>
            </w:r>
            <w:r>
              <w:rPr>
                <w:lang w:eastAsia="zh-TW"/>
              </w:rPr>
              <w:sym w:font="Symbol" w:char="F0D6"/>
            </w:r>
          </w:p>
        </w:tc>
      </w:tr>
      <w:tr w:rsidR="00F00BFD" w14:paraId="61DAE015"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C104795" w14:textId="77777777" w:rsidR="00F00BFD" w:rsidRDefault="00F00BFD" w:rsidP="00EC0D3F">
            <w:pPr>
              <w:pStyle w:val="Tabletextnoindent"/>
              <w:keepNext w:val="0"/>
              <w:numPr>
                <w:ilvl w:val="0"/>
                <w:numId w:val="0"/>
              </w:numPr>
              <w:spacing w:line="276" w:lineRule="auto"/>
              <w:rPr>
                <w:lang w:eastAsia="zh-TW"/>
              </w:rPr>
            </w:pPr>
            <w:r w:rsidRPr="00794475">
              <w:t>ES3.49</w:t>
            </w:r>
          </w:p>
        </w:tc>
        <w:tc>
          <w:tcPr>
            <w:tcW w:w="3747" w:type="dxa"/>
            <w:tcBorders>
              <w:top w:val="single" w:sz="4" w:space="0" w:color="000000"/>
              <w:left w:val="single" w:sz="4" w:space="0" w:color="000000"/>
              <w:bottom w:val="single" w:sz="4" w:space="0" w:color="000000"/>
              <w:right w:val="single" w:sz="4" w:space="0" w:color="000000"/>
            </w:tcBorders>
            <w:hideMark/>
          </w:tcPr>
          <w:p w14:paraId="5796FCCA" w14:textId="77777777" w:rsidR="00F00BFD" w:rsidRDefault="00F00BFD" w:rsidP="00EC0D3F">
            <w:pPr>
              <w:pStyle w:val="ES-table"/>
              <w:keepNext w:val="0"/>
              <w:rPr>
                <w:lang w:eastAsia="zh-TW"/>
              </w:rPr>
            </w:pPr>
            <w:r>
              <w:rPr>
                <w:lang w:eastAsia="zh-TW"/>
              </w:rPr>
              <w:t>In paediatric patients undergoing surgery other than liver transplant, the effect of platelet transfusion compared with no platelet transfusion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566CAD2B"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23C3805"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B3DD2C8"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DCC40FD"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6FE5E6F9" w14:textId="77777777" w:rsidR="00F00BFD" w:rsidRDefault="00F00BFD" w:rsidP="00EC0D3F">
            <w:pPr>
              <w:pStyle w:val="T-ABCD"/>
              <w:spacing w:line="276" w:lineRule="auto"/>
              <w:rPr>
                <w:lang w:eastAsia="zh-TW"/>
              </w:rPr>
            </w:pPr>
            <w:r>
              <w:rPr>
                <w:lang w:eastAsia="zh-TW"/>
              </w:rPr>
              <w:t>NA</w:t>
            </w:r>
          </w:p>
        </w:tc>
      </w:tr>
      <w:tr w:rsidR="00F00BFD" w14:paraId="6954CCB6"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24D368C3" w14:textId="77777777" w:rsidR="00F00BFD" w:rsidRDefault="00F00BFD" w:rsidP="00EC0D3F">
            <w:pPr>
              <w:pStyle w:val="Tabletextnoindent"/>
              <w:keepNext w:val="0"/>
              <w:numPr>
                <w:ilvl w:val="0"/>
                <w:numId w:val="0"/>
              </w:numPr>
              <w:spacing w:line="276" w:lineRule="auto"/>
              <w:rPr>
                <w:lang w:eastAsia="zh-TW"/>
              </w:rPr>
            </w:pPr>
            <w:r w:rsidRPr="00794475">
              <w:t>ES3.50</w:t>
            </w:r>
          </w:p>
        </w:tc>
        <w:tc>
          <w:tcPr>
            <w:tcW w:w="3747" w:type="dxa"/>
            <w:tcBorders>
              <w:top w:val="single" w:sz="4" w:space="0" w:color="000000"/>
              <w:left w:val="single" w:sz="4" w:space="0" w:color="000000"/>
              <w:bottom w:val="single" w:sz="4" w:space="0" w:color="000000"/>
              <w:right w:val="single" w:sz="4" w:space="0" w:color="000000"/>
            </w:tcBorders>
            <w:hideMark/>
          </w:tcPr>
          <w:p w14:paraId="5D66C03A" w14:textId="77777777" w:rsidR="00F00BFD" w:rsidRDefault="00F00BFD" w:rsidP="00EC0D3F">
            <w:pPr>
              <w:pStyle w:val="ES-table"/>
              <w:keepNext w:val="0"/>
              <w:rPr>
                <w:lang w:eastAsia="zh-TW"/>
              </w:rPr>
            </w:pPr>
            <w:r>
              <w:rPr>
                <w:lang w:eastAsia="zh-TW"/>
              </w:rPr>
              <w:t xml:space="preserve">In neonatal patients undergoing surgery, the effect of platelet transfusion compared with no platelet transfusion on mortality is unknown. </w:t>
            </w:r>
          </w:p>
        </w:tc>
        <w:tc>
          <w:tcPr>
            <w:tcW w:w="809" w:type="dxa"/>
            <w:tcBorders>
              <w:top w:val="single" w:sz="4" w:space="0" w:color="000000"/>
              <w:left w:val="single" w:sz="4" w:space="0" w:color="000000"/>
              <w:bottom w:val="single" w:sz="4" w:space="0" w:color="000000"/>
              <w:right w:val="single" w:sz="4" w:space="0" w:color="000000"/>
            </w:tcBorders>
            <w:hideMark/>
          </w:tcPr>
          <w:p w14:paraId="49E96489"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9C2B217"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D36D96C"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C3FDF80"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596DEE1E" w14:textId="77777777" w:rsidR="00F00BFD" w:rsidRDefault="00F00BFD" w:rsidP="00EC0D3F">
            <w:pPr>
              <w:pStyle w:val="T-ABCD"/>
              <w:spacing w:line="276" w:lineRule="auto"/>
              <w:rPr>
                <w:lang w:eastAsia="zh-TW"/>
              </w:rPr>
            </w:pPr>
            <w:r>
              <w:rPr>
                <w:lang w:eastAsia="zh-TW"/>
              </w:rPr>
              <w:t xml:space="preserve">NA </w:t>
            </w:r>
          </w:p>
        </w:tc>
      </w:tr>
      <w:tr w:rsidR="00F00BFD" w14:paraId="5FB335B5"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753E5DD2" w14:textId="77777777" w:rsidR="00F00BFD" w:rsidRDefault="00F00BFD" w:rsidP="00EC0D3F">
            <w:pPr>
              <w:pStyle w:val="Tabletextnoindent"/>
              <w:keepNext w:val="0"/>
              <w:numPr>
                <w:ilvl w:val="0"/>
                <w:numId w:val="0"/>
              </w:numPr>
              <w:spacing w:line="276" w:lineRule="auto"/>
              <w:rPr>
                <w:lang w:eastAsia="zh-TW"/>
              </w:rPr>
            </w:pPr>
            <w:r w:rsidRPr="00794475">
              <w:t>ES3.51</w:t>
            </w:r>
          </w:p>
        </w:tc>
        <w:tc>
          <w:tcPr>
            <w:tcW w:w="3747" w:type="dxa"/>
            <w:tcBorders>
              <w:top w:val="single" w:sz="4" w:space="0" w:color="000000"/>
              <w:left w:val="single" w:sz="4" w:space="0" w:color="000000"/>
              <w:bottom w:val="single" w:sz="4" w:space="0" w:color="000000"/>
              <w:right w:val="single" w:sz="4" w:space="0" w:color="000000"/>
            </w:tcBorders>
            <w:hideMark/>
          </w:tcPr>
          <w:p w14:paraId="74A23D38" w14:textId="77777777" w:rsidR="00F00BFD" w:rsidRDefault="00F00BFD" w:rsidP="00EC0D3F">
            <w:pPr>
              <w:pStyle w:val="ES-table"/>
              <w:keepNext w:val="0"/>
              <w:rPr>
                <w:lang w:eastAsia="zh-TW"/>
              </w:rPr>
            </w:pPr>
            <w:r>
              <w:rPr>
                <w:lang w:eastAsia="zh-TW"/>
              </w:rPr>
              <w:t>In neonatal and paediatric patients undergoing surgery, the effect of platelet transfusion compared with no platelet transfusion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0F1377F8"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8EE2AD9"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3EECB27"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AF48EFA"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731DF7AA" w14:textId="77777777" w:rsidR="00F00BFD" w:rsidRDefault="00F00BFD" w:rsidP="00EC0D3F">
            <w:pPr>
              <w:pStyle w:val="T-ABCD"/>
              <w:spacing w:line="276" w:lineRule="auto"/>
              <w:rPr>
                <w:lang w:eastAsia="zh-TW"/>
              </w:rPr>
            </w:pPr>
            <w:r>
              <w:rPr>
                <w:lang w:eastAsia="zh-TW"/>
              </w:rPr>
              <w:t xml:space="preserve">NA </w:t>
            </w:r>
          </w:p>
        </w:tc>
      </w:tr>
      <w:tr w:rsidR="00F00BFD" w14:paraId="4B3DEA71"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792051D1" w14:textId="77777777" w:rsidR="00F00BFD" w:rsidRDefault="00F00BFD" w:rsidP="00EC0D3F">
            <w:pPr>
              <w:pStyle w:val="Tabletextnoindent"/>
              <w:keepNext w:val="0"/>
              <w:numPr>
                <w:ilvl w:val="0"/>
                <w:numId w:val="0"/>
              </w:numPr>
              <w:spacing w:line="276" w:lineRule="auto"/>
              <w:rPr>
                <w:lang w:eastAsia="zh-TW"/>
              </w:rPr>
            </w:pPr>
            <w:r w:rsidRPr="00794475">
              <w:t>ES3.52</w:t>
            </w:r>
          </w:p>
        </w:tc>
        <w:tc>
          <w:tcPr>
            <w:tcW w:w="3747" w:type="dxa"/>
            <w:tcBorders>
              <w:top w:val="single" w:sz="4" w:space="0" w:color="000000"/>
              <w:left w:val="single" w:sz="4" w:space="0" w:color="000000"/>
              <w:bottom w:val="single" w:sz="4" w:space="0" w:color="000000"/>
              <w:right w:val="single" w:sz="4" w:space="0" w:color="000000"/>
            </w:tcBorders>
            <w:hideMark/>
          </w:tcPr>
          <w:p w14:paraId="67EFC2CC" w14:textId="77777777" w:rsidR="00F00BFD" w:rsidRDefault="00F00BFD" w:rsidP="00EC0D3F">
            <w:pPr>
              <w:pStyle w:val="ES-table"/>
              <w:keepNext w:val="0"/>
              <w:rPr>
                <w:lang w:eastAsia="zh-TW"/>
              </w:rPr>
            </w:pPr>
            <w:r>
              <w:rPr>
                <w:lang w:eastAsia="zh-TW"/>
              </w:rPr>
              <w:t>In neonatal and paediatric patients undergoing surgery, the effect of platelet transfusion compared with no platelet transfusion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74110052"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B463F6D"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0FC1954"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2649876"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2839C4C1" w14:textId="77777777" w:rsidR="00F00BFD" w:rsidRDefault="00F00BFD" w:rsidP="00EC0D3F">
            <w:pPr>
              <w:pStyle w:val="T-ABCD"/>
              <w:spacing w:line="276" w:lineRule="auto"/>
              <w:rPr>
                <w:lang w:eastAsia="zh-TW"/>
              </w:rPr>
            </w:pPr>
            <w:r>
              <w:rPr>
                <w:lang w:eastAsia="zh-TW"/>
              </w:rPr>
              <w:t xml:space="preserve">NA </w:t>
            </w:r>
          </w:p>
        </w:tc>
      </w:tr>
      <w:tr w:rsidR="00F00BFD" w14:paraId="0812032A"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2157D216" w14:textId="77777777" w:rsidR="00F00BFD" w:rsidRDefault="00F00BFD" w:rsidP="00EC0D3F">
            <w:pPr>
              <w:pStyle w:val="Tabletextnoindent"/>
              <w:keepNext w:val="0"/>
              <w:numPr>
                <w:ilvl w:val="0"/>
                <w:numId w:val="0"/>
              </w:numPr>
              <w:spacing w:line="276" w:lineRule="auto"/>
              <w:rPr>
                <w:lang w:eastAsia="zh-TW"/>
              </w:rPr>
            </w:pPr>
            <w:r w:rsidRPr="00794475">
              <w:t>ES3.53</w:t>
            </w:r>
          </w:p>
        </w:tc>
        <w:tc>
          <w:tcPr>
            <w:tcW w:w="3747" w:type="dxa"/>
            <w:tcBorders>
              <w:top w:val="single" w:sz="4" w:space="0" w:color="000000"/>
              <w:left w:val="single" w:sz="4" w:space="0" w:color="000000"/>
              <w:bottom w:val="single" w:sz="4" w:space="0" w:color="000000"/>
              <w:right w:val="single" w:sz="4" w:space="0" w:color="000000"/>
            </w:tcBorders>
            <w:hideMark/>
          </w:tcPr>
          <w:p w14:paraId="41235216" w14:textId="77777777" w:rsidR="00F00BFD" w:rsidRDefault="00F00BFD" w:rsidP="00EC0D3F">
            <w:pPr>
              <w:pStyle w:val="ES-table"/>
              <w:keepNext w:val="0"/>
              <w:rPr>
                <w:lang w:eastAsia="zh-TW"/>
              </w:rPr>
            </w:pPr>
            <w:r>
              <w:rPr>
                <w:lang w:eastAsia="zh-TW"/>
              </w:rPr>
              <w:t>In neonatal and paediatric patients undergoing surgery, the effect of platelet transfusion compared with no platelet transfusion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0310E366"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9F06585"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6737243"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5F3681B"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5ED9FA4" w14:textId="77777777" w:rsidR="00F00BFD" w:rsidRDefault="00F00BFD" w:rsidP="00EC0D3F">
            <w:pPr>
              <w:pStyle w:val="T-ABCD"/>
              <w:spacing w:line="276" w:lineRule="auto"/>
              <w:rPr>
                <w:lang w:eastAsia="zh-TW"/>
              </w:rPr>
            </w:pPr>
            <w:r>
              <w:rPr>
                <w:lang w:eastAsia="zh-TW"/>
              </w:rPr>
              <w:t xml:space="preserve">NA </w:t>
            </w:r>
          </w:p>
        </w:tc>
      </w:tr>
      <w:tr w:rsidR="00F00BFD" w14:paraId="295D31B3"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61018A8" w14:textId="77777777" w:rsidR="00F00BFD" w:rsidRDefault="00F00BFD" w:rsidP="00EC0D3F">
            <w:pPr>
              <w:pStyle w:val="Tabletextnoindent"/>
              <w:keepNext w:val="0"/>
              <w:numPr>
                <w:ilvl w:val="0"/>
                <w:numId w:val="0"/>
              </w:numPr>
              <w:spacing w:line="276" w:lineRule="auto"/>
              <w:rPr>
                <w:lang w:eastAsia="zh-TW"/>
              </w:rPr>
            </w:pPr>
            <w:r w:rsidRPr="00794475">
              <w:t>ES3.54</w:t>
            </w:r>
          </w:p>
        </w:tc>
        <w:tc>
          <w:tcPr>
            <w:tcW w:w="3747" w:type="dxa"/>
            <w:tcBorders>
              <w:top w:val="single" w:sz="4" w:space="0" w:color="000000"/>
              <w:left w:val="single" w:sz="4" w:space="0" w:color="000000"/>
              <w:bottom w:val="single" w:sz="4" w:space="0" w:color="000000"/>
              <w:right w:val="single" w:sz="4" w:space="0" w:color="000000"/>
            </w:tcBorders>
            <w:hideMark/>
          </w:tcPr>
          <w:p w14:paraId="228EB9ED" w14:textId="77777777" w:rsidR="00F00BFD" w:rsidRDefault="00F00BFD" w:rsidP="00EC0D3F">
            <w:pPr>
              <w:pStyle w:val="ES-table"/>
              <w:keepNext w:val="0"/>
              <w:rPr>
                <w:lang w:eastAsia="zh-TW"/>
              </w:rPr>
            </w:pPr>
            <w:r>
              <w:rPr>
                <w:lang w:eastAsia="zh-TW"/>
              </w:rPr>
              <w:t>In neonatal and paediatric patients undergoing surgery, the effect of a restrictive versus liberal platelet transfusion strategy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587F8B38"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00CC02E"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4358092"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3925567"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5FE32DB4" w14:textId="77777777" w:rsidR="00F00BFD" w:rsidRDefault="00F00BFD" w:rsidP="00EC0D3F">
            <w:pPr>
              <w:pStyle w:val="T-ABCD"/>
              <w:spacing w:line="276" w:lineRule="auto"/>
              <w:rPr>
                <w:lang w:eastAsia="zh-TW"/>
              </w:rPr>
            </w:pPr>
            <w:r>
              <w:rPr>
                <w:lang w:eastAsia="zh-TW"/>
              </w:rPr>
              <w:t xml:space="preserve">NA </w:t>
            </w:r>
          </w:p>
        </w:tc>
      </w:tr>
      <w:tr w:rsidR="00F00BFD" w14:paraId="0608D47B"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77487BA9" w14:textId="77777777" w:rsidR="00F00BFD" w:rsidRDefault="00F00BFD" w:rsidP="00EC0D3F">
            <w:pPr>
              <w:pStyle w:val="Tabletextnoindent"/>
              <w:keepNext w:val="0"/>
              <w:numPr>
                <w:ilvl w:val="0"/>
                <w:numId w:val="0"/>
              </w:numPr>
              <w:spacing w:line="276" w:lineRule="auto"/>
              <w:rPr>
                <w:lang w:eastAsia="zh-TW"/>
              </w:rPr>
            </w:pPr>
            <w:r w:rsidRPr="00794475">
              <w:t>ES3.55</w:t>
            </w:r>
          </w:p>
        </w:tc>
        <w:tc>
          <w:tcPr>
            <w:tcW w:w="3747" w:type="dxa"/>
            <w:tcBorders>
              <w:top w:val="single" w:sz="4" w:space="0" w:color="000000"/>
              <w:left w:val="single" w:sz="4" w:space="0" w:color="000000"/>
              <w:bottom w:val="single" w:sz="4" w:space="0" w:color="000000"/>
              <w:right w:val="single" w:sz="4" w:space="0" w:color="000000"/>
            </w:tcBorders>
            <w:hideMark/>
          </w:tcPr>
          <w:p w14:paraId="32BD0838" w14:textId="77777777" w:rsidR="00F00BFD" w:rsidRDefault="00F00BFD" w:rsidP="00EC0D3F">
            <w:pPr>
              <w:pStyle w:val="ES-table"/>
              <w:keepNext w:val="0"/>
              <w:rPr>
                <w:lang w:eastAsia="zh-TW"/>
              </w:rPr>
            </w:pPr>
            <w:r>
              <w:rPr>
                <w:lang w:eastAsia="zh-TW"/>
              </w:rPr>
              <w:t>In neonatal and paediatric patients undergoing surgery, the effect of a restrictive versus liberal platelet transfusion strategy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18F10FB5"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2F4518B"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1E92394"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806B5C4"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477E13F" w14:textId="77777777" w:rsidR="00F00BFD" w:rsidRDefault="00F00BFD" w:rsidP="00EC0D3F">
            <w:pPr>
              <w:pStyle w:val="T-ABCD"/>
              <w:spacing w:line="276" w:lineRule="auto"/>
              <w:rPr>
                <w:lang w:eastAsia="zh-TW"/>
              </w:rPr>
            </w:pPr>
            <w:r>
              <w:rPr>
                <w:lang w:eastAsia="zh-TW"/>
              </w:rPr>
              <w:t xml:space="preserve">NA </w:t>
            </w:r>
          </w:p>
        </w:tc>
      </w:tr>
      <w:tr w:rsidR="00F00BFD" w14:paraId="75B192AF"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BCC14B4" w14:textId="77777777" w:rsidR="00F00BFD" w:rsidRDefault="00F00BFD" w:rsidP="00EC0D3F">
            <w:pPr>
              <w:pStyle w:val="Tabletextnoindent"/>
              <w:keepNext w:val="0"/>
              <w:numPr>
                <w:ilvl w:val="0"/>
                <w:numId w:val="0"/>
              </w:numPr>
              <w:spacing w:line="276" w:lineRule="auto"/>
              <w:rPr>
                <w:lang w:eastAsia="zh-TW"/>
              </w:rPr>
            </w:pPr>
            <w:r w:rsidRPr="00794475">
              <w:t>ES3.56</w:t>
            </w:r>
          </w:p>
        </w:tc>
        <w:tc>
          <w:tcPr>
            <w:tcW w:w="3747" w:type="dxa"/>
            <w:tcBorders>
              <w:top w:val="single" w:sz="4" w:space="0" w:color="000000"/>
              <w:left w:val="single" w:sz="4" w:space="0" w:color="000000"/>
              <w:bottom w:val="single" w:sz="4" w:space="0" w:color="000000"/>
              <w:right w:val="single" w:sz="4" w:space="0" w:color="000000"/>
            </w:tcBorders>
            <w:hideMark/>
          </w:tcPr>
          <w:p w14:paraId="7F4302B2" w14:textId="77777777" w:rsidR="00F00BFD" w:rsidRDefault="00F00BFD" w:rsidP="00EC0D3F">
            <w:pPr>
              <w:pStyle w:val="ES-table"/>
              <w:keepNext w:val="0"/>
              <w:rPr>
                <w:lang w:eastAsia="zh-TW"/>
              </w:rPr>
            </w:pPr>
            <w:r>
              <w:rPr>
                <w:lang w:eastAsia="zh-TW"/>
              </w:rPr>
              <w:t>In neonatal and paediatric patients undergoing surgery, the effect of a restrictive versus liberal platelet transfusion strategy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48CB678A"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E500328"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E95F032" w14:textId="77777777" w:rsidR="00F00BFD" w:rsidRDefault="00F00BFD" w:rsidP="00EC0D3F">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92C7FC2" w14:textId="77777777" w:rsidR="00F00BFD" w:rsidRDefault="00F00BFD" w:rsidP="00EC0D3F">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3B2E2E43" w14:textId="77777777" w:rsidR="00F00BFD" w:rsidRDefault="00F00BFD" w:rsidP="00EC0D3F">
            <w:pPr>
              <w:pStyle w:val="T-ABCD"/>
              <w:spacing w:line="276" w:lineRule="auto"/>
              <w:rPr>
                <w:lang w:eastAsia="zh-TW"/>
              </w:rPr>
            </w:pPr>
            <w:r>
              <w:rPr>
                <w:lang w:eastAsia="zh-TW"/>
              </w:rPr>
              <w:t xml:space="preserve">NA </w:t>
            </w:r>
          </w:p>
        </w:tc>
      </w:tr>
      <w:tr w:rsidR="00F00BFD" w14:paraId="6AB427C0"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8553551" w14:textId="77777777" w:rsidR="00F00BFD" w:rsidRDefault="00F00BFD" w:rsidP="00F00BFD">
            <w:pPr>
              <w:pStyle w:val="Tabletextnoindent"/>
              <w:numPr>
                <w:ilvl w:val="0"/>
                <w:numId w:val="0"/>
              </w:numPr>
              <w:spacing w:line="276" w:lineRule="auto"/>
              <w:rPr>
                <w:lang w:eastAsia="zh-TW"/>
              </w:rPr>
            </w:pPr>
            <w:r w:rsidRPr="00794475">
              <w:t>ES3.57</w:t>
            </w:r>
          </w:p>
        </w:tc>
        <w:tc>
          <w:tcPr>
            <w:tcW w:w="3747" w:type="dxa"/>
            <w:tcBorders>
              <w:top w:val="single" w:sz="4" w:space="0" w:color="000000"/>
              <w:left w:val="single" w:sz="4" w:space="0" w:color="000000"/>
              <w:bottom w:val="single" w:sz="4" w:space="0" w:color="000000"/>
              <w:right w:val="single" w:sz="4" w:space="0" w:color="000000"/>
            </w:tcBorders>
            <w:hideMark/>
          </w:tcPr>
          <w:p w14:paraId="37EB3413" w14:textId="77777777" w:rsidR="00F00BFD" w:rsidRDefault="00F00BFD" w:rsidP="00F00BFD">
            <w:pPr>
              <w:pStyle w:val="ES-table"/>
              <w:rPr>
                <w:lang w:eastAsia="zh-TW"/>
              </w:rPr>
            </w:pPr>
            <w:r>
              <w:rPr>
                <w:lang w:eastAsia="zh-TW"/>
              </w:rPr>
              <w:t xml:space="preserve">In neonatal and </w:t>
            </w:r>
            <w:r w:rsidRPr="00D36481">
              <w:t>paediatric</w:t>
            </w:r>
            <w:r>
              <w:rPr>
                <w:lang w:eastAsia="zh-TW"/>
              </w:rPr>
              <w:t xml:space="preserve"> patients undergoing surgery, the effect of a restrictive versus liberal platelet transfusion strategy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553999F6"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DD46323"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7EBF75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27D1608"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3C2FEC3" w14:textId="77777777" w:rsidR="00F00BFD" w:rsidRDefault="00F00BFD" w:rsidP="00F00BFD">
            <w:pPr>
              <w:pStyle w:val="T-ABCD"/>
              <w:spacing w:line="276" w:lineRule="auto"/>
              <w:rPr>
                <w:lang w:eastAsia="zh-TW"/>
              </w:rPr>
            </w:pPr>
            <w:r>
              <w:rPr>
                <w:lang w:eastAsia="zh-TW"/>
              </w:rPr>
              <w:t xml:space="preserve">NA </w:t>
            </w:r>
          </w:p>
        </w:tc>
      </w:tr>
      <w:tr w:rsidR="00F00BFD" w14:paraId="26BC5298" w14:textId="77777777" w:rsidTr="00F00BFD">
        <w:trPr>
          <w:cantSplit/>
        </w:trPr>
        <w:tc>
          <w:tcPr>
            <w:tcW w:w="8641" w:type="dxa"/>
            <w:gridSpan w:val="7"/>
            <w:tcBorders>
              <w:top w:val="single" w:sz="4" w:space="0" w:color="000000"/>
              <w:left w:val="single" w:sz="4" w:space="0" w:color="000000"/>
              <w:bottom w:val="single" w:sz="4" w:space="0" w:color="000000"/>
              <w:right w:val="single" w:sz="4" w:space="0" w:color="000000"/>
            </w:tcBorders>
            <w:hideMark/>
          </w:tcPr>
          <w:p w14:paraId="1C65D156" w14:textId="77777777" w:rsidR="00F00BFD" w:rsidRDefault="00F00BFD" w:rsidP="00F00BFD">
            <w:pPr>
              <w:pStyle w:val="ES-notes"/>
              <w:rPr>
                <w:lang w:eastAsia="zh-TW"/>
              </w:rPr>
            </w:pPr>
            <w:r>
              <w:rPr>
                <w:lang w:eastAsia="zh-TW"/>
              </w:rPr>
              <w:t xml:space="preserve">ES, evidence </w:t>
            </w:r>
            <w:r w:rsidRPr="00D36481">
              <w:t>statement</w:t>
            </w:r>
          </w:p>
          <w:p w14:paraId="091C88E4" w14:textId="77777777" w:rsidR="00F00BFD" w:rsidRDefault="00F00BFD" w:rsidP="00F00BFD">
            <w:pPr>
              <w:pStyle w:val="ES-notes"/>
              <w:rPr>
                <w:lang w:eastAsia="zh-TW"/>
              </w:rPr>
            </w:pPr>
            <w:r>
              <w:rPr>
                <w:lang w:eastAsia="zh-TW"/>
              </w:rPr>
              <w:sym w:font="Symbol" w:char="F0D6"/>
            </w:r>
            <w:r>
              <w:rPr>
                <w:lang w:eastAsia="zh-TW"/>
              </w:rPr>
              <w:sym w:font="Symbol" w:char="F0D6"/>
            </w:r>
            <w:r>
              <w:rPr>
                <w:lang w:eastAsia="zh-TW"/>
              </w:rPr>
              <w:sym w:font="Symbol" w:char="F0D6"/>
            </w:r>
            <w:r>
              <w:rPr>
                <w:lang w:eastAsia="zh-TW"/>
              </w:rPr>
              <w:t xml:space="preserve">=A; </w:t>
            </w:r>
            <w:r>
              <w:rPr>
                <w:lang w:eastAsia="zh-TW"/>
              </w:rPr>
              <w:sym w:font="Symbol" w:char="F0D6"/>
            </w:r>
            <w:r>
              <w:rPr>
                <w:lang w:eastAsia="zh-TW"/>
              </w:rPr>
              <w:sym w:font="Symbol" w:char="F0D6"/>
            </w:r>
            <w:r>
              <w:rPr>
                <w:lang w:eastAsia="zh-TW"/>
              </w:rPr>
              <w:t xml:space="preserve">=B; </w:t>
            </w:r>
            <w:r>
              <w:rPr>
                <w:lang w:eastAsia="zh-TW"/>
              </w:rPr>
              <w:sym w:font="Symbol" w:char="F0D6"/>
            </w:r>
            <w:r>
              <w:rPr>
                <w:lang w:eastAsia="zh-TW"/>
              </w:rPr>
              <w:t xml:space="preserve">=C; X=D; NA, not </w:t>
            </w:r>
            <w:r w:rsidRPr="00D36481">
              <w:t>applicable</w:t>
            </w:r>
          </w:p>
        </w:tc>
      </w:tr>
    </w:tbl>
    <w:p w14:paraId="21B95ACD"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6"/>
        <w:gridCol w:w="7561"/>
      </w:tblGrid>
      <w:tr w:rsidR="00F00BFD" w:rsidRPr="00F921CD" w14:paraId="65F4EC60"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5EDD2C2F" w14:textId="2F5CB6EE" w:rsidR="00F00BFD" w:rsidRPr="00EC0D3F" w:rsidRDefault="00F00BFD" w:rsidP="00F00BFD">
            <w:pPr>
              <w:pStyle w:val="PP-heading"/>
              <w:rPr>
                <w:lang w:val="en-AU"/>
              </w:rPr>
            </w:pPr>
            <w:r w:rsidRPr="00F921CD">
              <w:t xml:space="preserve">Practice point – </w:t>
            </w:r>
            <w:r w:rsidR="005E38DA">
              <w:rPr>
                <w:lang w:eastAsia="zh-TW"/>
              </w:rPr>
              <w:t>surgical (platelet transfusion)</w:t>
            </w:r>
          </w:p>
        </w:tc>
      </w:tr>
      <w:tr w:rsidR="00F00BFD" w:rsidRPr="00F921CD" w14:paraId="75265F31" w14:textId="77777777" w:rsidTr="00EC0D3F">
        <w:tc>
          <w:tcPr>
            <w:tcW w:w="1117" w:type="dxa"/>
            <w:tcBorders>
              <w:right w:val="single" w:sz="4" w:space="0" w:color="auto"/>
            </w:tcBorders>
            <w:shd w:val="clear" w:color="auto" w:fill="auto"/>
          </w:tcPr>
          <w:p w14:paraId="001D0EE6" w14:textId="77777777" w:rsidR="00F00BFD" w:rsidRPr="00F921CD" w:rsidRDefault="00F00BFD" w:rsidP="00EC0D3F">
            <w:pPr>
              <w:pStyle w:val="PP"/>
            </w:pPr>
            <w:r w:rsidRPr="00F921CD">
              <w:t>PP</w:t>
            </w:r>
            <w:r>
              <w:t>28</w:t>
            </w:r>
          </w:p>
        </w:tc>
        <w:tc>
          <w:tcPr>
            <w:tcW w:w="7560" w:type="dxa"/>
            <w:tcBorders>
              <w:left w:val="single" w:sz="4" w:space="0" w:color="auto"/>
            </w:tcBorders>
            <w:shd w:val="clear" w:color="auto" w:fill="auto"/>
          </w:tcPr>
          <w:p w14:paraId="75D12FDE" w14:textId="77777777" w:rsidR="00F00BFD" w:rsidRPr="00F921CD" w:rsidRDefault="00F00BFD" w:rsidP="00EC0D3F">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443FAD13" w14:textId="77777777" w:rsidTr="00467EEA">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9C10DB" w14:textId="174BE5C2" w:rsidR="00F00BFD" w:rsidRPr="00EC0D3F" w:rsidRDefault="00F00BFD" w:rsidP="00F00BFD">
            <w:pPr>
              <w:pStyle w:val="PP-heading"/>
              <w:rPr>
                <w:lang w:val="en-AU"/>
              </w:rPr>
            </w:pPr>
            <w:r>
              <w:t>Expert opinion</w:t>
            </w:r>
            <w:r w:rsidRPr="00F921CD">
              <w:t xml:space="preserve"> point – </w:t>
            </w:r>
            <w:r w:rsidR="005E38DA">
              <w:rPr>
                <w:lang w:eastAsia="zh-TW"/>
              </w:rPr>
              <w:t>surgical (platelet transfusion)</w:t>
            </w:r>
          </w:p>
        </w:tc>
      </w:tr>
      <w:tr w:rsidR="00F00BFD" w:rsidRPr="00F921CD" w14:paraId="43B47D19" w14:textId="77777777" w:rsidTr="00EC0D3F">
        <w:tc>
          <w:tcPr>
            <w:tcW w:w="643" w:type="pct"/>
            <w:tcBorders>
              <w:right w:val="single" w:sz="4" w:space="0" w:color="auto"/>
            </w:tcBorders>
            <w:shd w:val="clear" w:color="auto" w:fill="auto"/>
          </w:tcPr>
          <w:p w14:paraId="59DF9422" w14:textId="77777777" w:rsidR="00F00BFD" w:rsidRDefault="00F00BFD" w:rsidP="00EC0D3F">
            <w:pPr>
              <w:pStyle w:val="PP"/>
            </w:pPr>
            <w:r>
              <w:t>EOP3</w:t>
            </w:r>
          </w:p>
        </w:tc>
        <w:tc>
          <w:tcPr>
            <w:tcW w:w="4357" w:type="pct"/>
            <w:tcBorders>
              <w:left w:val="single" w:sz="4" w:space="0" w:color="auto"/>
            </w:tcBorders>
            <w:shd w:val="clear" w:color="auto" w:fill="auto"/>
          </w:tcPr>
          <w:p w14:paraId="7142BB35" w14:textId="20CA9B0B" w:rsidR="00F00BFD" w:rsidRDefault="00F00BFD" w:rsidP="00EC0D3F">
            <w:pPr>
              <w:pStyle w:val="PP"/>
            </w:pPr>
            <w:r>
              <w:t xml:space="preserve">In general, neonatal and paediatric patients with a platelet count </w:t>
            </w:r>
            <w:r>
              <w:rPr>
                <w:rFonts w:cs="Calibri"/>
              </w:rPr>
              <w:t>≥</w:t>
            </w:r>
            <w:r>
              <w:t xml:space="preserve"> 50 </w:t>
            </w:r>
            <w:r w:rsidR="00EC0D3F">
              <w:t>×</w:t>
            </w:r>
            <w:r>
              <w:t xml:space="preserve"> 10</w:t>
            </w:r>
            <w:r w:rsidRPr="00EC0D3F">
              <w:rPr>
                <w:vertAlign w:val="superscript"/>
              </w:rPr>
              <w:t>9</w:t>
            </w:r>
            <w:r>
              <w:t xml:space="preserve">/L </w:t>
            </w:r>
            <w:r>
              <w:rPr>
                <w:i/>
              </w:rPr>
              <w:t xml:space="preserve">or </w:t>
            </w:r>
            <w:r>
              <w:t xml:space="preserve">an INR </w:t>
            </w:r>
            <w:r>
              <w:rPr>
                <w:rFonts w:cs="Calibri"/>
              </w:rPr>
              <w:t>≤</w:t>
            </w:r>
            <w:r>
              <w:t>2 can undergo invasive procedures without any serious bleeding; however, lower platelet counts and higher INRs may be tolerated.</w:t>
            </w:r>
            <w:r w:rsidRPr="00624E63">
              <w:rPr>
                <w:vertAlign w:val="superscript"/>
              </w:rPr>
              <w:t>a</w:t>
            </w:r>
          </w:p>
          <w:p w14:paraId="2814DECF" w14:textId="5D3C27E1" w:rsidR="00F00BFD" w:rsidRPr="00EC0D3F" w:rsidRDefault="0075152F" w:rsidP="00E62798">
            <w:pPr>
              <w:pStyle w:val="PP-note"/>
            </w:pPr>
            <w:r w:rsidRPr="0075152F">
              <w:rPr>
                <w:vertAlign w:val="superscript"/>
              </w:rPr>
              <w:t>a</w:t>
            </w:r>
            <w:r w:rsidR="00F00BFD" w:rsidRPr="0075152F">
              <w:rPr>
                <w:vertAlign w:val="superscript"/>
              </w:rPr>
              <w:t xml:space="preserve"> </w:t>
            </w:r>
            <w:r w:rsidR="00F00BFD">
              <w:t>See PP17</w:t>
            </w:r>
            <w:r w:rsidR="00EC0D3F">
              <w:t xml:space="preserve"> in</w:t>
            </w:r>
            <w:r w:rsidR="00F00BFD">
              <w:t xml:space="preserve"> </w:t>
            </w:r>
            <w:r w:rsidR="00F00BFD" w:rsidRPr="00EC0D3F">
              <w:rPr>
                <w:i/>
              </w:rPr>
              <w:t>Patient Blood Management Guidelines: Module 2 – Perioperative</w:t>
            </w:r>
            <w:r>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F00BFD" w:rsidRPr="00F921CD" w14:paraId="10178B51" w14:textId="77777777" w:rsidTr="00EC0D3F">
        <w:trPr>
          <w:trHeight w:val="397"/>
        </w:trPr>
        <w:tc>
          <w:tcPr>
            <w:tcW w:w="5000" w:type="pct"/>
            <w:gridSpan w:val="2"/>
            <w:shd w:val="clear" w:color="auto" w:fill="auto"/>
          </w:tcPr>
          <w:p w14:paraId="7E2FF002" w14:textId="074BFE84" w:rsidR="00F00BFD" w:rsidRPr="00F921CD" w:rsidRDefault="00F00BFD" w:rsidP="00EC0D3F">
            <w:pPr>
              <w:pStyle w:val="PP-note"/>
            </w:pPr>
            <w:r>
              <w:t xml:space="preserve">EOP, expert opinion point; </w:t>
            </w:r>
            <w:r w:rsidR="00305D18">
              <w:t xml:space="preserve">FFP, fresh frozen plasma; </w:t>
            </w:r>
            <w:r>
              <w:t xml:space="preserve">INR, international normalised ratio; </w:t>
            </w:r>
            <w:r w:rsidRPr="00F921CD">
              <w:t>PP, practice point</w:t>
            </w:r>
          </w:p>
        </w:tc>
      </w:tr>
    </w:tbl>
    <w:p w14:paraId="72486F60" w14:textId="77777777" w:rsidR="00F00BFD" w:rsidRPr="008166BF" w:rsidRDefault="00F00BFD" w:rsidP="00F00BFD">
      <w:pPr>
        <w:rPr>
          <w:lang w:val="en-GB" w:eastAsia="en-GB"/>
        </w:rPr>
      </w:pPr>
    </w:p>
    <w:p w14:paraId="5FE5A49E" w14:textId="77777777" w:rsidR="00F00BFD" w:rsidRDefault="00F00BFD" w:rsidP="00F00BFD">
      <w:pPr>
        <w:pStyle w:val="Heading4"/>
        <w:ind w:left="0" w:firstLine="720"/>
      </w:pPr>
      <w:r>
        <w:t>Summary of evidence</w:t>
      </w:r>
    </w:p>
    <w:p w14:paraId="07E92D39" w14:textId="722BCA3B" w:rsidR="00F00BFD" w:rsidRDefault="00F00BFD" w:rsidP="00EC0D3F">
      <w:r w:rsidRPr="006C0F13">
        <w:t xml:space="preserve">The </w:t>
      </w:r>
      <w:r w:rsidR="00E6680C">
        <w:t>review</w:t>
      </w:r>
      <w:r w:rsidRPr="006C0F13">
        <w:t xml:space="preserve"> identified one </w:t>
      </w:r>
      <w:r>
        <w:t xml:space="preserve">eligible </w:t>
      </w:r>
      <w:r w:rsidRPr="006C0F13">
        <w:t>Level III study</w:t>
      </w:r>
      <w:r w:rsidR="00EC0D3F">
        <w:t>.</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r w:rsidR="00EC0D3F">
        <w:t xml:space="preserve"> This</w:t>
      </w:r>
      <w:r>
        <w:t xml:space="preserve"> was </w:t>
      </w:r>
      <w:r w:rsidRPr="006C0F13">
        <w:t>a fair</w:t>
      </w:r>
      <w:r w:rsidR="00EC0D3F">
        <w:t>-</w:t>
      </w:r>
      <w:r w:rsidRPr="006C0F13">
        <w:t>quality retrospective cohort study of 243 paediatric liver transplant patients aged &lt;18</w:t>
      </w:r>
      <w:r w:rsidR="00EC0D3F">
        <w:t> </w:t>
      </w:r>
      <w:r w:rsidRPr="006C0F13">
        <w:t xml:space="preserve">years from deceased brain-dead donors. The authors examined the effect </w:t>
      </w:r>
      <w:r w:rsidR="00EC0D3F">
        <w:t xml:space="preserve">on mortality </w:t>
      </w:r>
      <w:r w:rsidRPr="006C0F13">
        <w:t>of different doses of pre</w:t>
      </w:r>
      <w:r w:rsidR="00EC0D3F">
        <w:t>operative</w:t>
      </w:r>
      <w:r w:rsidRPr="006C0F13">
        <w:t>, peri</w:t>
      </w:r>
      <w:r w:rsidR="00EC0D3F">
        <w:t>operative and post</w:t>
      </w:r>
      <w:r w:rsidRPr="006C0F13">
        <w:t>operative platelet transfusions</w:t>
      </w:r>
      <w:r w:rsidR="00EC0D3F">
        <w:t>.</w:t>
      </w:r>
    </w:p>
    <w:p w14:paraId="0A7D3E88" w14:textId="77777777" w:rsidR="00F00BFD" w:rsidRDefault="00F00BFD" w:rsidP="00F00BFD">
      <w:pPr>
        <w:pStyle w:val="Heading5"/>
      </w:pPr>
      <w:r>
        <w:t>Mortality</w:t>
      </w:r>
    </w:p>
    <w:p w14:paraId="01D49C76" w14:textId="3C6B190B" w:rsidR="00F00BFD" w:rsidRPr="006C0F13" w:rsidRDefault="00EC0D3F" w:rsidP="00EC0D3F">
      <w:r>
        <w:t>The study</w:t>
      </w:r>
      <w:r w:rsidR="00F00BFD" w:rsidRPr="006C0F13">
        <w:t xml:space="preserve"> found no significant difference in mortality at </w:t>
      </w:r>
      <w:r>
        <w:t xml:space="preserve">1 </w:t>
      </w:r>
      <w:r w:rsidR="00F00BFD" w:rsidRPr="006C0F13">
        <w:t>year for intraoperative platelet transfusion (≥1 unit) or postoperative platelet transfusion (≥1 unit) compared with</w:t>
      </w:r>
      <w:r w:rsidR="00F00BFD">
        <w:t xml:space="preserve"> </w:t>
      </w:r>
      <w:r w:rsidR="00F00BFD" w:rsidRPr="006C0F13">
        <w:t>no transfusion.</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r w:rsidR="00F00BFD" w:rsidRPr="006C0F13">
        <w:t xml:space="preserve"> The authors also found no significant difference in mortality between three doses of preoperative platelet transfusion (</w:t>
      </w:r>
      <w:r w:rsidR="00876931">
        <w:t>p=</w:t>
      </w:r>
      <w:r w:rsidR="00F00BFD" w:rsidRPr="006C0F13">
        <w:t>0.929).</w:t>
      </w:r>
    </w:p>
    <w:p w14:paraId="5482FF0E" w14:textId="711C019C" w:rsidR="00F00BFD" w:rsidRDefault="00F00BFD" w:rsidP="00F00BFD">
      <w:pPr>
        <w:pStyle w:val="Heading5"/>
      </w:pPr>
      <w:r>
        <w:t xml:space="preserve">Bleeding </w:t>
      </w:r>
      <w:r w:rsidR="00EC0D3F">
        <w:t>events</w:t>
      </w:r>
    </w:p>
    <w:p w14:paraId="6FA46091" w14:textId="62EBCF10" w:rsidR="00EC0D3F" w:rsidRDefault="007C1B3E" w:rsidP="00EC0D3F">
      <w:r>
        <w:t xml:space="preserve">No evidence was identified related to bleeding events. </w:t>
      </w:r>
    </w:p>
    <w:p w14:paraId="10199B08" w14:textId="173248AB" w:rsidR="00EC0D3F" w:rsidRDefault="00EC0D3F" w:rsidP="00EC0D3F">
      <w:pPr>
        <w:pStyle w:val="Heading5"/>
      </w:pPr>
      <w:r>
        <w:t>Transfusion</w:t>
      </w:r>
      <w:r w:rsidR="00055495">
        <w:rPr>
          <w:lang w:val="en-AU"/>
        </w:rPr>
        <w:t>-</w:t>
      </w:r>
      <w:r>
        <w:t>related serious adverse events</w:t>
      </w:r>
    </w:p>
    <w:p w14:paraId="415D3B3A" w14:textId="6CA629BD" w:rsidR="00EC0D3F" w:rsidRDefault="00FA6791" w:rsidP="00EC0D3F">
      <w:pPr>
        <w:rPr>
          <w:lang w:eastAsia="en-GB"/>
        </w:rPr>
      </w:pPr>
      <w:r>
        <w:t>No studies reported</w:t>
      </w:r>
      <w:r w:rsidR="008F7398">
        <w:t xml:space="preserve"> transfusion-related serious adverse events</w:t>
      </w:r>
      <w:r w:rsidR="007C1B3E">
        <w:t xml:space="preserve">. </w:t>
      </w:r>
    </w:p>
    <w:p w14:paraId="075DC9C7" w14:textId="77777777" w:rsidR="00F00BFD" w:rsidRDefault="00F00BFD" w:rsidP="00F00BFD">
      <w:pPr>
        <w:pStyle w:val="Heading5"/>
      </w:pPr>
      <w:r>
        <w:t>Transfusion volume or incidence</w:t>
      </w:r>
    </w:p>
    <w:p w14:paraId="4FFF144A" w14:textId="2B999C4F" w:rsidR="00EC0D3F" w:rsidRDefault="00FA6791" w:rsidP="00EC0D3F">
      <w:pPr>
        <w:rPr>
          <w:lang w:eastAsia="en-GB"/>
        </w:rPr>
      </w:pPr>
      <w:r>
        <w:t>No studies reported</w:t>
      </w:r>
      <w:r w:rsidR="008F7398">
        <w:t xml:space="preserve"> transfusion volume or incidence.</w:t>
      </w:r>
      <w:r w:rsidR="007C1B3E">
        <w:t xml:space="preserve"> </w:t>
      </w:r>
    </w:p>
    <w:p w14:paraId="489E7F81" w14:textId="136AABF1" w:rsidR="00F00BFD" w:rsidRPr="009C32A7" w:rsidRDefault="00EC0D3F" w:rsidP="00F96C85">
      <w:pPr>
        <w:pStyle w:val="BoxHeading"/>
      </w:pPr>
      <w:r w:rsidRPr="009C32A7">
        <w:t>Clinical commentary</w:t>
      </w:r>
      <w:r>
        <w:rPr>
          <w:lang w:val="en-AU"/>
        </w:rPr>
        <w:t xml:space="preserve"> –</w:t>
      </w:r>
      <w:r w:rsidR="004828DA">
        <w:t xml:space="preserve"> </w:t>
      </w:r>
      <w:r>
        <w:rPr>
          <w:lang w:val="en-AU"/>
        </w:rPr>
        <w:t>use of platelets in n</w:t>
      </w:r>
      <w:r w:rsidRPr="00EC0D3F">
        <w:t xml:space="preserve">eonatal and paediatric patients </w:t>
      </w:r>
      <w:r w:rsidR="001944D9">
        <w:t>undergoing</w:t>
      </w:r>
      <w:r w:rsidRPr="00EC0D3F">
        <w:t xml:space="preserve"> surgery </w:t>
      </w:r>
    </w:p>
    <w:p w14:paraId="03A531CD" w14:textId="3F9CF67E" w:rsidR="00F00BFD" w:rsidRDefault="00F00BFD" w:rsidP="00F96C85">
      <w:pPr>
        <w:pStyle w:val="BoxText"/>
      </w:pPr>
      <w:r>
        <w:t>Given the lack of reliable evidence in paediatric patients undergoing surgery of the effect of platelet transfusion, it is reasonable to use evidence from adult patients. A preoperative platelet count threshold of 50 × 10</w:t>
      </w:r>
      <w:r w:rsidRPr="00C0493D">
        <w:rPr>
          <w:vertAlign w:val="superscript"/>
        </w:rPr>
        <w:t>9</w:t>
      </w:r>
      <w:r>
        <w:t>/L is suggested</w:t>
      </w:r>
      <w:r w:rsidR="00C0493D">
        <w:t xml:space="preserve"> (see EOP3). A higher threshold </w:t>
      </w:r>
      <w:r>
        <w:t>may be appropriate where risk of bleeding is high, or in selected patients (e.g. 100 × 10</w:t>
      </w:r>
      <w:r w:rsidRPr="00C0493D">
        <w:rPr>
          <w:vertAlign w:val="superscript"/>
        </w:rPr>
        <w:t>9</w:t>
      </w:r>
      <w:r>
        <w:t xml:space="preserve">/L in those undergoing neuraxial surgery or ocular surgery). </w:t>
      </w:r>
    </w:p>
    <w:p w14:paraId="737446F5" w14:textId="77777777" w:rsidR="00F00BFD" w:rsidRDefault="00F00BFD" w:rsidP="00F96C85">
      <w:pPr>
        <w:pStyle w:val="BoxText"/>
      </w:pPr>
      <w:r>
        <w:t>Prophylactic platelets may also be indicated in the presence of platelet dysfunction, depending on the severity of the dysfunction but regardless of the platelet count.</w:t>
      </w:r>
    </w:p>
    <w:p w14:paraId="13DD044C" w14:textId="4EC6859B" w:rsidR="00F00BFD" w:rsidRPr="005F5DDE" w:rsidRDefault="00C0493D" w:rsidP="00D93C65">
      <w:pPr>
        <w:pStyle w:val="Heading3"/>
        <w:numPr>
          <w:ilvl w:val="2"/>
          <w:numId w:val="49"/>
        </w:numPr>
      </w:pPr>
      <w:bookmarkStart w:id="146" w:name="_Toc427851346"/>
      <w:r>
        <w:rPr>
          <w:lang w:val="en-AU"/>
        </w:rPr>
        <w:t xml:space="preserve">Neonatal and paediatric patients </w:t>
      </w:r>
      <w:r w:rsidR="001944D9">
        <w:rPr>
          <w:lang w:val="en-AU"/>
        </w:rPr>
        <w:t>undergoing</w:t>
      </w:r>
      <w:r>
        <w:rPr>
          <w:lang w:val="en-AU"/>
        </w:rPr>
        <w:t xml:space="preserve"> surgery – effects of fibrinogen concentrate on outcomes</w:t>
      </w:r>
      <w:bookmarkEnd w:id="146"/>
      <w:r>
        <w:t xml:space="preserve"> </w:t>
      </w:r>
    </w:p>
    <w:tbl>
      <w:tblPr>
        <w:tblW w:w="8641"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7"/>
        <w:gridCol w:w="809"/>
        <w:gridCol w:w="808"/>
        <w:gridCol w:w="808"/>
        <w:gridCol w:w="808"/>
        <w:gridCol w:w="810"/>
      </w:tblGrid>
      <w:tr w:rsidR="00F00BFD" w14:paraId="4FFD7527" w14:textId="77777777" w:rsidTr="00467EEA">
        <w:trPr>
          <w:cantSplit/>
          <w:trHeight w:val="1833"/>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20FAA623" w14:textId="77777777" w:rsidR="00F00BFD" w:rsidRDefault="00F00BFD" w:rsidP="00F00BFD">
            <w:pPr>
              <w:pStyle w:val="PP-heading"/>
              <w:keepNext w:val="0"/>
              <w:spacing w:line="276" w:lineRule="auto"/>
              <w:rPr>
                <w:lang w:eastAsia="zh-TW"/>
              </w:rPr>
            </w:pPr>
            <w:r>
              <w:rPr>
                <w:lang w:eastAsia="zh-TW"/>
              </w:rPr>
              <w:t>Evidence statements – surgical (fibrinogen concentrate)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AC44DFA"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7F051AD" w14:textId="77777777" w:rsidR="00F00BFD" w:rsidRDefault="00F00BFD" w:rsidP="00F00BFD">
            <w:pPr>
              <w:spacing w:line="276" w:lineRule="auto"/>
              <w:ind w:left="113" w:right="113"/>
              <w:jc w:val="center"/>
              <w:rPr>
                <w:b/>
                <w:lang w:eastAsia="zh-TW"/>
              </w:rPr>
            </w:pPr>
            <w:r>
              <w:rPr>
                <w:b/>
                <w:lang w:eastAsia="zh-TW"/>
              </w:rPr>
              <w:t>Consistency</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97A3C3B"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16569DE" w14:textId="77777777" w:rsidR="00F00BFD" w:rsidRDefault="00F00BFD" w:rsidP="00F00BFD">
            <w:pPr>
              <w:spacing w:line="276" w:lineRule="auto"/>
              <w:ind w:left="113" w:right="113"/>
              <w:jc w:val="center"/>
              <w:rPr>
                <w:b/>
                <w:lang w:eastAsia="zh-TW"/>
              </w:rPr>
            </w:pPr>
            <w:r>
              <w:rPr>
                <w:b/>
                <w:lang w:eastAsia="zh-TW"/>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A9B3999"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2685FE34"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9843973" w14:textId="77777777" w:rsidR="00F00BFD" w:rsidRDefault="00F00BFD" w:rsidP="00C0493D">
            <w:pPr>
              <w:pStyle w:val="Tabletextnoindent"/>
              <w:keepNext w:val="0"/>
              <w:numPr>
                <w:ilvl w:val="0"/>
                <w:numId w:val="0"/>
              </w:numPr>
              <w:spacing w:line="276" w:lineRule="auto"/>
              <w:rPr>
                <w:lang w:eastAsia="zh-TW"/>
              </w:rPr>
            </w:pPr>
            <w:r w:rsidRPr="00FD795D">
              <w:t>ES3.58</w:t>
            </w:r>
          </w:p>
        </w:tc>
        <w:tc>
          <w:tcPr>
            <w:tcW w:w="3747" w:type="dxa"/>
            <w:tcBorders>
              <w:top w:val="single" w:sz="4" w:space="0" w:color="000000"/>
              <w:left w:val="single" w:sz="4" w:space="0" w:color="000000"/>
              <w:bottom w:val="single" w:sz="4" w:space="0" w:color="000000"/>
              <w:right w:val="single" w:sz="4" w:space="0" w:color="000000"/>
            </w:tcBorders>
            <w:hideMark/>
          </w:tcPr>
          <w:p w14:paraId="709CDA46" w14:textId="77777777" w:rsidR="00F00BFD" w:rsidRDefault="00F00BFD" w:rsidP="00C0493D">
            <w:pPr>
              <w:pStyle w:val="ES-table"/>
              <w:keepNext w:val="0"/>
              <w:rPr>
                <w:lang w:eastAsia="zh-TW"/>
              </w:rPr>
            </w:pPr>
            <w:r>
              <w:rPr>
                <w:lang w:eastAsia="zh-TW"/>
              </w:rPr>
              <w:t>In paediatric liver transplant patients, the effect of a higher volume of preoperative fibrinogen concentrate compared with a lower volume of preoperative fibrinogen concentrate on mortality is uncertain.</w:t>
            </w:r>
          </w:p>
          <w:p w14:paraId="4C6EA60A" w14:textId="77777777" w:rsidR="00F00BFD" w:rsidRDefault="00F00BFD" w:rsidP="00C0493D">
            <w:pPr>
              <w:pStyle w:val="ES-notes"/>
              <w:keepNext w:val="0"/>
              <w:rPr>
                <w:lang w:eastAsia="zh-TW"/>
              </w:rPr>
            </w:pPr>
            <w:r>
              <w:rPr>
                <w:lang w:eastAsia="zh-TW"/>
              </w:rPr>
              <w:t>(See evidence matrix D3.N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4BE4BC27" w14:textId="77777777" w:rsidR="00F00BFD" w:rsidRDefault="00F00BFD" w:rsidP="00C0493D">
            <w:pPr>
              <w:pStyle w:val="T-ABCD"/>
              <w:spacing w:line="276" w:lineRule="auto"/>
              <w:rPr>
                <w:lang w:eastAsia="zh-TW"/>
              </w:rPr>
            </w:pP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2112FAF0"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03189B3"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77C80EE" w14:textId="77777777" w:rsidR="00F00BFD" w:rsidRDefault="00F00BFD" w:rsidP="00C0493D">
            <w:pPr>
              <w:pStyle w:val="T-ABCD"/>
              <w:spacing w:line="276" w:lineRule="auto"/>
              <w:rPr>
                <w:lang w:eastAsia="zh-TW"/>
              </w:rPr>
            </w:pPr>
            <w:r>
              <w:rPr>
                <w:lang w:eastAsia="zh-TW"/>
              </w:rPr>
              <w:sym w:font="Symbol" w:char="F0D6"/>
            </w:r>
            <w:r>
              <w:rPr>
                <w:lang w:eastAsia="zh-TW"/>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3E6AE954" w14:textId="77777777" w:rsidR="00F00BFD" w:rsidRDefault="00F00BFD" w:rsidP="00C0493D">
            <w:pPr>
              <w:pStyle w:val="T-ABCD"/>
              <w:spacing w:line="276" w:lineRule="auto"/>
              <w:rPr>
                <w:lang w:eastAsia="zh-TW"/>
              </w:rPr>
            </w:pPr>
            <w:r>
              <w:rPr>
                <w:lang w:eastAsia="zh-TW"/>
              </w:rPr>
              <w:sym w:font="Symbol" w:char="F0D6"/>
            </w:r>
          </w:p>
        </w:tc>
      </w:tr>
      <w:tr w:rsidR="00F00BFD" w14:paraId="53E49B33"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7D75DDB0" w14:textId="77777777" w:rsidR="00F00BFD" w:rsidRDefault="00F00BFD" w:rsidP="00C0493D">
            <w:pPr>
              <w:pStyle w:val="Tabletextnoindent"/>
              <w:keepNext w:val="0"/>
              <w:numPr>
                <w:ilvl w:val="0"/>
                <w:numId w:val="0"/>
              </w:numPr>
              <w:spacing w:line="276" w:lineRule="auto"/>
              <w:rPr>
                <w:lang w:eastAsia="zh-TW"/>
              </w:rPr>
            </w:pPr>
            <w:r w:rsidRPr="00FD795D">
              <w:t>ES3.59</w:t>
            </w:r>
          </w:p>
        </w:tc>
        <w:tc>
          <w:tcPr>
            <w:tcW w:w="3747" w:type="dxa"/>
            <w:tcBorders>
              <w:top w:val="single" w:sz="4" w:space="0" w:color="000000"/>
              <w:left w:val="single" w:sz="4" w:space="0" w:color="000000"/>
              <w:bottom w:val="single" w:sz="4" w:space="0" w:color="000000"/>
              <w:right w:val="single" w:sz="4" w:space="0" w:color="000000"/>
            </w:tcBorders>
            <w:hideMark/>
          </w:tcPr>
          <w:p w14:paraId="2DC6B01C" w14:textId="77777777" w:rsidR="00F00BFD" w:rsidRDefault="00F00BFD" w:rsidP="00C0493D">
            <w:pPr>
              <w:pStyle w:val="ES-table"/>
              <w:keepNext w:val="0"/>
              <w:rPr>
                <w:lang w:eastAsia="zh-TW"/>
              </w:rPr>
            </w:pPr>
            <w:r>
              <w:rPr>
                <w:lang w:eastAsia="zh-TW"/>
              </w:rPr>
              <w:t>In paediatric patients undergoing surgery other than liver transplant, the effect of fibrinogen concentrate compared with no fibrinogen concentrate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3A5EEFB9"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71F65F8"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A97CC29"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C801E67" w14:textId="77777777" w:rsidR="00F00BFD" w:rsidRDefault="00F00BFD" w:rsidP="00C0493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A1B49A3" w14:textId="77777777" w:rsidR="00F00BFD" w:rsidRDefault="00F00BFD" w:rsidP="00C0493D">
            <w:pPr>
              <w:pStyle w:val="T-ABCD"/>
              <w:spacing w:line="276" w:lineRule="auto"/>
              <w:rPr>
                <w:lang w:eastAsia="zh-TW"/>
              </w:rPr>
            </w:pPr>
            <w:r>
              <w:rPr>
                <w:lang w:eastAsia="zh-TW"/>
              </w:rPr>
              <w:t xml:space="preserve">NA </w:t>
            </w:r>
          </w:p>
        </w:tc>
      </w:tr>
      <w:tr w:rsidR="00F00BFD" w14:paraId="535FA50B"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0422DB15" w14:textId="77777777" w:rsidR="00F00BFD" w:rsidRDefault="00F00BFD" w:rsidP="00C0493D">
            <w:pPr>
              <w:pStyle w:val="Tabletextnoindent"/>
              <w:keepNext w:val="0"/>
              <w:numPr>
                <w:ilvl w:val="0"/>
                <w:numId w:val="0"/>
              </w:numPr>
              <w:spacing w:line="276" w:lineRule="auto"/>
              <w:rPr>
                <w:lang w:eastAsia="zh-TW"/>
              </w:rPr>
            </w:pPr>
            <w:r w:rsidRPr="00FD795D">
              <w:t>ES3.60</w:t>
            </w:r>
          </w:p>
        </w:tc>
        <w:tc>
          <w:tcPr>
            <w:tcW w:w="3747" w:type="dxa"/>
            <w:tcBorders>
              <w:top w:val="single" w:sz="4" w:space="0" w:color="000000"/>
              <w:left w:val="single" w:sz="4" w:space="0" w:color="000000"/>
              <w:bottom w:val="single" w:sz="4" w:space="0" w:color="000000"/>
              <w:right w:val="single" w:sz="4" w:space="0" w:color="000000"/>
            </w:tcBorders>
            <w:hideMark/>
          </w:tcPr>
          <w:p w14:paraId="483B6927" w14:textId="77777777" w:rsidR="00F00BFD" w:rsidRDefault="00F00BFD" w:rsidP="00C0493D">
            <w:pPr>
              <w:pStyle w:val="ES-table"/>
              <w:keepNext w:val="0"/>
              <w:rPr>
                <w:lang w:eastAsia="zh-TW"/>
              </w:rPr>
            </w:pPr>
            <w:r>
              <w:rPr>
                <w:lang w:eastAsia="zh-TW"/>
              </w:rPr>
              <w:t>In neonatal patients undergoing surgery, the effect of fibrinogen concentrate compared with no fibrinogen concentrate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2A3DE3AC"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354038B"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918BEF7"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562F0E7" w14:textId="77777777" w:rsidR="00F00BFD" w:rsidRDefault="00F00BFD" w:rsidP="00C0493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6FC0D2B0" w14:textId="77777777" w:rsidR="00F00BFD" w:rsidRDefault="00F00BFD" w:rsidP="00C0493D">
            <w:pPr>
              <w:pStyle w:val="T-ABCD"/>
              <w:spacing w:line="276" w:lineRule="auto"/>
              <w:rPr>
                <w:lang w:eastAsia="zh-TW"/>
              </w:rPr>
            </w:pPr>
            <w:r>
              <w:rPr>
                <w:lang w:eastAsia="zh-TW"/>
              </w:rPr>
              <w:t xml:space="preserve">NA </w:t>
            </w:r>
          </w:p>
        </w:tc>
      </w:tr>
      <w:tr w:rsidR="00F00BFD" w14:paraId="69A9C7BC"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74B819F" w14:textId="77777777" w:rsidR="00F00BFD" w:rsidRDefault="00F00BFD" w:rsidP="00C0493D">
            <w:pPr>
              <w:pStyle w:val="Tabletextnoindent"/>
              <w:keepNext w:val="0"/>
              <w:numPr>
                <w:ilvl w:val="0"/>
                <w:numId w:val="0"/>
              </w:numPr>
              <w:spacing w:line="276" w:lineRule="auto"/>
              <w:rPr>
                <w:lang w:eastAsia="zh-TW"/>
              </w:rPr>
            </w:pPr>
            <w:r w:rsidRPr="00FD795D">
              <w:t>ES3.61</w:t>
            </w:r>
          </w:p>
        </w:tc>
        <w:tc>
          <w:tcPr>
            <w:tcW w:w="3747" w:type="dxa"/>
            <w:tcBorders>
              <w:top w:val="single" w:sz="4" w:space="0" w:color="000000"/>
              <w:left w:val="single" w:sz="4" w:space="0" w:color="000000"/>
              <w:bottom w:val="single" w:sz="4" w:space="0" w:color="000000"/>
              <w:right w:val="single" w:sz="4" w:space="0" w:color="000000"/>
            </w:tcBorders>
            <w:hideMark/>
          </w:tcPr>
          <w:p w14:paraId="46B87672" w14:textId="77777777" w:rsidR="00F00BFD" w:rsidRDefault="00F00BFD" w:rsidP="00C0493D">
            <w:pPr>
              <w:pStyle w:val="ES-table"/>
              <w:keepNext w:val="0"/>
              <w:rPr>
                <w:lang w:eastAsia="zh-TW"/>
              </w:rPr>
            </w:pPr>
            <w:r>
              <w:rPr>
                <w:lang w:eastAsia="zh-TW"/>
              </w:rPr>
              <w:t>In neonatal and paediatric patients undergoing surgery, the effect of fibrinogen concentrate compared with no fibrinogen concentrate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2DA4CA68"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5F5CD34"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1CDFA10"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5FF1E2A" w14:textId="77777777" w:rsidR="00F00BFD" w:rsidRDefault="00F00BFD" w:rsidP="00C0493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17350FBF" w14:textId="77777777" w:rsidR="00F00BFD" w:rsidRDefault="00F00BFD" w:rsidP="00C0493D">
            <w:pPr>
              <w:pStyle w:val="T-ABCD"/>
              <w:spacing w:line="276" w:lineRule="auto"/>
              <w:rPr>
                <w:lang w:eastAsia="zh-TW"/>
              </w:rPr>
            </w:pPr>
            <w:r>
              <w:rPr>
                <w:lang w:eastAsia="zh-TW"/>
              </w:rPr>
              <w:t xml:space="preserve">NA </w:t>
            </w:r>
          </w:p>
        </w:tc>
      </w:tr>
      <w:tr w:rsidR="00F00BFD" w14:paraId="0EAA1D5D"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1605DBA" w14:textId="77777777" w:rsidR="00F00BFD" w:rsidRDefault="00F00BFD" w:rsidP="00C0493D">
            <w:pPr>
              <w:pStyle w:val="Tabletextnoindent"/>
              <w:keepNext w:val="0"/>
              <w:numPr>
                <w:ilvl w:val="0"/>
                <w:numId w:val="0"/>
              </w:numPr>
              <w:spacing w:line="276" w:lineRule="auto"/>
              <w:rPr>
                <w:lang w:eastAsia="zh-TW"/>
              </w:rPr>
            </w:pPr>
            <w:r w:rsidRPr="00FD795D">
              <w:t>ES3.62</w:t>
            </w:r>
          </w:p>
        </w:tc>
        <w:tc>
          <w:tcPr>
            <w:tcW w:w="3747" w:type="dxa"/>
            <w:tcBorders>
              <w:top w:val="single" w:sz="4" w:space="0" w:color="000000"/>
              <w:left w:val="single" w:sz="4" w:space="0" w:color="000000"/>
              <w:bottom w:val="single" w:sz="4" w:space="0" w:color="000000"/>
              <w:right w:val="single" w:sz="4" w:space="0" w:color="000000"/>
            </w:tcBorders>
            <w:hideMark/>
          </w:tcPr>
          <w:p w14:paraId="58F867A9" w14:textId="77777777" w:rsidR="00F00BFD" w:rsidRDefault="00F00BFD" w:rsidP="00C0493D">
            <w:pPr>
              <w:pStyle w:val="ES-table"/>
              <w:keepNext w:val="0"/>
              <w:rPr>
                <w:lang w:eastAsia="zh-TW"/>
              </w:rPr>
            </w:pPr>
            <w:r>
              <w:rPr>
                <w:lang w:eastAsia="zh-TW"/>
              </w:rPr>
              <w:t>In neonatal and paediatric patients undergoing surgery, the effect of fibrinogen concentrate compared with no fibrinogen concentrate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4CAD95FC"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A5FCB59"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808F744" w14:textId="77777777" w:rsidR="00F00BFD" w:rsidRDefault="00F00BFD" w:rsidP="00C0493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B02AEB0" w14:textId="77777777" w:rsidR="00F00BFD" w:rsidRDefault="00F00BFD" w:rsidP="00C0493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10F47E9E" w14:textId="77777777" w:rsidR="00F00BFD" w:rsidRDefault="00F00BFD" w:rsidP="00C0493D">
            <w:pPr>
              <w:pStyle w:val="T-ABCD"/>
              <w:spacing w:line="276" w:lineRule="auto"/>
              <w:rPr>
                <w:lang w:eastAsia="zh-TW"/>
              </w:rPr>
            </w:pPr>
            <w:r>
              <w:rPr>
                <w:lang w:eastAsia="zh-TW"/>
              </w:rPr>
              <w:t xml:space="preserve">NA </w:t>
            </w:r>
          </w:p>
        </w:tc>
      </w:tr>
      <w:tr w:rsidR="00F00BFD" w14:paraId="45A4370D"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2F352179" w14:textId="77777777" w:rsidR="00F00BFD" w:rsidRDefault="00F00BFD" w:rsidP="00F00BFD">
            <w:pPr>
              <w:pStyle w:val="Tabletextnoindent"/>
              <w:keepNext w:val="0"/>
              <w:numPr>
                <w:ilvl w:val="0"/>
                <w:numId w:val="0"/>
              </w:numPr>
              <w:spacing w:line="276" w:lineRule="auto"/>
              <w:rPr>
                <w:lang w:eastAsia="zh-TW"/>
              </w:rPr>
            </w:pPr>
            <w:r w:rsidRPr="00FD795D">
              <w:t>ES3.63</w:t>
            </w:r>
          </w:p>
        </w:tc>
        <w:tc>
          <w:tcPr>
            <w:tcW w:w="3747" w:type="dxa"/>
            <w:tcBorders>
              <w:top w:val="single" w:sz="4" w:space="0" w:color="000000"/>
              <w:left w:val="single" w:sz="4" w:space="0" w:color="000000"/>
              <w:bottom w:val="single" w:sz="4" w:space="0" w:color="000000"/>
              <w:right w:val="single" w:sz="4" w:space="0" w:color="000000"/>
            </w:tcBorders>
            <w:hideMark/>
          </w:tcPr>
          <w:p w14:paraId="2451EAA3" w14:textId="77777777" w:rsidR="00F00BFD" w:rsidRDefault="00F00BFD" w:rsidP="00F00BFD">
            <w:pPr>
              <w:pStyle w:val="ES-table"/>
              <w:keepNext w:val="0"/>
              <w:rPr>
                <w:lang w:eastAsia="zh-TW"/>
              </w:rPr>
            </w:pPr>
            <w:r>
              <w:rPr>
                <w:lang w:eastAsia="zh-TW"/>
              </w:rPr>
              <w:t>In neonatal and paediatric patients undergoing surgery, the effect of fibrinogen concentrate compared with no fibrinogen concentrate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75A3343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11753B7"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6F34143"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D1B8080"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231DB48C" w14:textId="77777777" w:rsidR="00F00BFD" w:rsidRDefault="00F00BFD" w:rsidP="00F00BFD">
            <w:pPr>
              <w:pStyle w:val="T-ABCD"/>
              <w:spacing w:line="276" w:lineRule="auto"/>
              <w:rPr>
                <w:lang w:eastAsia="zh-TW"/>
              </w:rPr>
            </w:pPr>
            <w:r>
              <w:rPr>
                <w:lang w:eastAsia="zh-TW"/>
              </w:rPr>
              <w:t xml:space="preserve">NA </w:t>
            </w:r>
          </w:p>
        </w:tc>
      </w:tr>
      <w:tr w:rsidR="00F00BFD" w14:paraId="55A84AA2" w14:textId="77777777" w:rsidTr="00F00BFD">
        <w:trPr>
          <w:cantSplit/>
        </w:trPr>
        <w:tc>
          <w:tcPr>
            <w:tcW w:w="8641" w:type="dxa"/>
            <w:gridSpan w:val="7"/>
            <w:tcBorders>
              <w:top w:val="single" w:sz="4" w:space="0" w:color="000000"/>
              <w:left w:val="single" w:sz="4" w:space="0" w:color="000000"/>
              <w:bottom w:val="single" w:sz="4" w:space="0" w:color="000000"/>
              <w:right w:val="single" w:sz="4" w:space="0" w:color="000000"/>
            </w:tcBorders>
            <w:hideMark/>
          </w:tcPr>
          <w:p w14:paraId="47E0BF8B" w14:textId="77777777" w:rsidR="00F00BFD" w:rsidRDefault="00F00BFD" w:rsidP="00F00BFD">
            <w:pPr>
              <w:pStyle w:val="ES-notes"/>
              <w:keepNext w:val="0"/>
              <w:rPr>
                <w:lang w:eastAsia="zh-TW"/>
              </w:rPr>
            </w:pPr>
            <w:r>
              <w:rPr>
                <w:lang w:eastAsia="zh-TW"/>
              </w:rPr>
              <w:t>CPB, cardiopulmonary bypass; ES, evidence statement</w:t>
            </w:r>
          </w:p>
          <w:p w14:paraId="14211ED3" w14:textId="77777777" w:rsidR="00F00BFD" w:rsidRDefault="00F00BFD" w:rsidP="00F00BFD">
            <w:pPr>
              <w:pStyle w:val="ES-notes"/>
              <w:keepNext w:val="0"/>
              <w:rPr>
                <w:lang w:eastAsia="zh-TW"/>
              </w:rPr>
            </w:pPr>
            <w:r>
              <w:rPr>
                <w:lang w:eastAsia="zh-TW"/>
              </w:rPr>
              <w:sym w:font="Symbol" w:char="F0D6"/>
            </w:r>
            <w:r>
              <w:rPr>
                <w:lang w:eastAsia="zh-TW"/>
              </w:rPr>
              <w:sym w:font="Symbol" w:char="F0D6"/>
            </w:r>
            <w:r>
              <w:rPr>
                <w:lang w:eastAsia="zh-TW"/>
              </w:rPr>
              <w:sym w:font="Symbol" w:char="F0D6"/>
            </w:r>
            <w:r>
              <w:rPr>
                <w:lang w:eastAsia="zh-TW"/>
              </w:rPr>
              <w:t xml:space="preserve">=A; </w:t>
            </w:r>
            <w:r>
              <w:rPr>
                <w:lang w:eastAsia="zh-TW"/>
              </w:rPr>
              <w:sym w:font="Symbol" w:char="F0D6"/>
            </w:r>
            <w:r>
              <w:rPr>
                <w:lang w:eastAsia="zh-TW"/>
              </w:rPr>
              <w:sym w:font="Symbol" w:char="F0D6"/>
            </w:r>
            <w:r>
              <w:rPr>
                <w:lang w:eastAsia="zh-TW"/>
              </w:rPr>
              <w:t xml:space="preserve">=B; </w:t>
            </w:r>
            <w:r>
              <w:rPr>
                <w:lang w:eastAsia="zh-TW"/>
              </w:rPr>
              <w:sym w:font="Symbol" w:char="F0D6"/>
            </w:r>
            <w:r>
              <w:rPr>
                <w:lang w:eastAsia="zh-TW"/>
              </w:rPr>
              <w:t>=C; X=D; NA, not applicable</w:t>
            </w:r>
          </w:p>
        </w:tc>
      </w:tr>
    </w:tbl>
    <w:p w14:paraId="34441BB8"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6C247E53"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33E826C7" w14:textId="71198917" w:rsidR="00F00BFD" w:rsidRPr="00C0493D" w:rsidRDefault="00F00BFD" w:rsidP="00F00BFD">
            <w:pPr>
              <w:pStyle w:val="PP-heading"/>
              <w:rPr>
                <w:lang w:val="en-AU"/>
              </w:rPr>
            </w:pPr>
            <w:r w:rsidRPr="00F921CD">
              <w:t xml:space="preserve">Practice point – </w:t>
            </w:r>
            <w:r w:rsidR="005E38DA">
              <w:rPr>
                <w:lang w:eastAsia="zh-TW"/>
              </w:rPr>
              <w:t>surgical (fibrinogen concentrate)</w:t>
            </w:r>
          </w:p>
        </w:tc>
      </w:tr>
      <w:tr w:rsidR="00F00BFD" w:rsidRPr="00F921CD" w14:paraId="6D0B795C" w14:textId="77777777" w:rsidTr="00C0493D">
        <w:tc>
          <w:tcPr>
            <w:tcW w:w="1117" w:type="dxa"/>
            <w:tcBorders>
              <w:right w:val="single" w:sz="4" w:space="0" w:color="auto"/>
            </w:tcBorders>
            <w:shd w:val="clear" w:color="auto" w:fill="auto"/>
          </w:tcPr>
          <w:p w14:paraId="4F0F34C8" w14:textId="77777777" w:rsidR="00F00BFD" w:rsidRPr="00F921CD" w:rsidRDefault="00F00BFD" w:rsidP="00C0493D">
            <w:pPr>
              <w:pStyle w:val="PP"/>
            </w:pPr>
            <w:r w:rsidRPr="00F921CD">
              <w:t>PP</w:t>
            </w:r>
            <w:r>
              <w:t>28</w:t>
            </w:r>
          </w:p>
        </w:tc>
        <w:tc>
          <w:tcPr>
            <w:tcW w:w="7560" w:type="dxa"/>
            <w:tcBorders>
              <w:left w:val="single" w:sz="4" w:space="0" w:color="auto"/>
            </w:tcBorders>
            <w:shd w:val="clear" w:color="auto" w:fill="auto"/>
          </w:tcPr>
          <w:p w14:paraId="1568B599" w14:textId="77777777" w:rsidR="00F00BFD" w:rsidRPr="00F921CD" w:rsidRDefault="00F00BFD" w:rsidP="00C0493D">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46E541B9" w14:textId="77777777" w:rsidTr="00C0493D">
        <w:trPr>
          <w:trHeight w:val="397"/>
        </w:trPr>
        <w:tc>
          <w:tcPr>
            <w:tcW w:w="8677" w:type="dxa"/>
            <w:gridSpan w:val="2"/>
            <w:shd w:val="clear" w:color="auto" w:fill="auto"/>
          </w:tcPr>
          <w:p w14:paraId="6C3BA2E6" w14:textId="77777777" w:rsidR="00F00BFD" w:rsidRPr="00F921CD" w:rsidRDefault="00F00BFD" w:rsidP="00C0493D">
            <w:pPr>
              <w:pStyle w:val="PP-note"/>
            </w:pPr>
            <w:r w:rsidRPr="00F921CD">
              <w:t>FFP, fresh frozen plasma; PP, practice point</w:t>
            </w:r>
          </w:p>
        </w:tc>
      </w:tr>
    </w:tbl>
    <w:p w14:paraId="64172CE6" w14:textId="77777777" w:rsidR="00F00BFD" w:rsidRDefault="00F00BFD" w:rsidP="00F00BFD"/>
    <w:p w14:paraId="68225376" w14:textId="77777777" w:rsidR="00F00BFD" w:rsidRPr="00BC79EF" w:rsidRDefault="00F00BFD" w:rsidP="00F00BFD">
      <w:pPr>
        <w:pStyle w:val="Heading4"/>
        <w:ind w:left="0" w:firstLine="720"/>
      </w:pPr>
      <w:r>
        <w:t>Summary of evidence</w:t>
      </w:r>
    </w:p>
    <w:p w14:paraId="07E8C2E4" w14:textId="6821EF00" w:rsidR="00F00BFD" w:rsidRPr="001976FA" w:rsidRDefault="004E09B3" w:rsidP="00C0493D">
      <w:r>
        <w:t xml:space="preserve">One </w:t>
      </w:r>
      <w:r w:rsidR="00E6680C">
        <w:t>Level I study</w:t>
      </w:r>
      <w:r>
        <w:t xml:space="preserve"> </w:t>
      </w:r>
      <w:r w:rsidR="00F00BFD" w:rsidRPr="001976FA">
        <w:t>was identified that evaluated the safety and effectiveness of fibrinogen concentrate in bleeding patients.</w:t>
      </w:r>
      <w:hyperlink w:anchor="_ENREF_153" w:tooltip="Lunde, 2014 #1093" w:history="1">
        <w:r w:rsidR="00E62798">
          <w:fldChar w:fldCharType="begin"/>
        </w:r>
        <w:r w:rsidR="00E62798">
          <w:instrText xml:space="preserve"> ADDIN EN.CITE &lt;EndNote&gt;&lt;Cite&gt;&lt;Author&gt;Lunde&lt;/Author&gt;&lt;Year&gt;2014&lt;/Year&gt;&lt;RecNum&gt;1093&lt;/RecNum&gt;&lt;DisplayText&gt;&lt;style face="superscript"&gt;153&lt;/style&gt;&lt;/DisplayText&gt;&lt;record&gt;&lt;rec-number&gt;1093&lt;/rec-number&gt;&lt;foreign-keys&gt;&lt;key app="EN" db-id="9edve2wadsavt5ewavaxtda4f2tavzvts9ee" timestamp="1439274367"&gt;1093&lt;/key&gt;&lt;/foreign-keys&gt;&lt;ref-type name="Journal Article"&gt;17&lt;/ref-type&gt;&lt;contributors&gt;&lt;authors&gt;&lt;author&gt;Lunde, J.&lt;/author&gt;&lt;author&gt;Stensballe, J.&lt;/author&gt;&lt;author&gt;Wikkelso, A.&lt;/author&gt;&lt;author&gt;Johansen, M.&lt;/author&gt;&lt;author&gt;Afshari, A.&lt;/author&gt;&lt;/authors&gt;&lt;/contributors&gt;&lt;auth-address&gt;Juliane Marie Centre - Department of Anesthesia, 4013 Rigshospitalet, Copenhagen University Hospital, Copenhagen, Denmark.&lt;/auth-address&gt;&lt;titles&gt;&lt;title&gt;Fibrinogen concentrate for bleeding--a systematic review&lt;/title&gt;&lt;secondary-title&gt;Acta Anaesthesiol Scand&lt;/secondary-title&gt;&lt;/titles&gt;&lt;periodical&gt;&lt;full-title&gt;Acta Anaesthesiol Scand&lt;/full-title&gt;&lt;/periodical&gt;&lt;pages&gt;1061-74&lt;/pages&gt;&lt;volume&gt;58&lt;/volume&gt;&lt;number&gt;9&lt;/number&gt;&lt;keywords&gt;&lt;keyword&gt;Fibrinogen/*therapeutic use&lt;/keyword&gt;&lt;keyword&gt;Hemorrhage/*therapy&lt;/keyword&gt;&lt;keyword&gt;Humans&lt;/keyword&gt;&lt;/keywords&gt;&lt;dates&gt;&lt;year&gt;2014&lt;/year&gt;&lt;pub-dates&gt;&lt;date&gt;Oct&lt;/date&gt;&lt;/pub-dates&gt;&lt;/dates&gt;&lt;isbn&gt;1399-6576 (Electronic)&amp;#xD;0001-5172 (Linking)&lt;/isbn&gt;&lt;accession-num&gt;25059813&lt;/accession-num&gt;&lt;urls&gt;&lt;related-urls&gt;&lt;url&gt;http://www.ncbi.nlm.nih.gov/pubmed/25059813&lt;/url&gt;&lt;/related-urls&gt;&lt;/urls&gt;&lt;electronic-resource-num&gt;10.1111/aas.12370&lt;/electronic-resource-num&gt;&lt;/record&gt;&lt;/Cite&gt;&lt;/EndNote&gt;</w:instrText>
        </w:r>
        <w:r w:rsidR="00E62798">
          <w:fldChar w:fldCharType="separate"/>
        </w:r>
        <w:r w:rsidR="00E62798" w:rsidRPr="00E62798">
          <w:rPr>
            <w:noProof/>
            <w:vertAlign w:val="superscript"/>
          </w:rPr>
          <w:t>153</w:t>
        </w:r>
        <w:r w:rsidR="00E62798">
          <w:fldChar w:fldCharType="end"/>
        </w:r>
      </w:hyperlink>
      <w:r w:rsidR="00F00BFD" w:rsidRPr="001976FA">
        <w:t xml:space="preserve"> The analysis included both adult and paediatric populations</w:t>
      </w:r>
      <w:r w:rsidR="00E403C6">
        <w:t xml:space="preserve">, and thus did </w:t>
      </w:r>
      <w:r w:rsidR="00F00BFD" w:rsidRPr="001976FA">
        <w:t>not provide a</w:t>
      </w:r>
      <w:r w:rsidR="00F00BFD">
        <w:t>ny usable data.</w:t>
      </w:r>
    </w:p>
    <w:p w14:paraId="07896352" w14:textId="4D4080EA" w:rsidR="00F00BFD" w:rsidRDefault="00F00BFD" w:rsidP="00E403C6">
      <w:r w:rsidRPr="006C0F13">
        <w:t xml:space="preserve">The </w:t>
      </w:r>
      <w:r w:rsidR="00E6680C">
        <w:t>review</w:t>
      </w:r>
      <w:r w:rsidRPr="006C0F13">
        <w:t xml:space="preserve"> identified</w:t>
      </w:r>
      <w:r>
        <w:t xml:space="preserve"> one eligible</w:t>
      </w:r>
      <w:r w:rsidRPr="006C0F13">
        <w:t xml:space="preserve"> Level III study</w:t>
      </w:r>
      <w:r w:rsidR="00E403C6">
        <w:t xml:space="preserve"> </w:t>
      </w:r>
      <w:r w:rsidRPr="006C0F13">
        <w:t>that examined the effect of fibrinogen concentrate in paediatric patients</w:t>
      </w:r>
      <w:r w:rsidR="00E403C6">
        <w:t>:</w:t>
      </w:r>
      <w:r>
        <w:t xml:space="preserve"> </w:t>
      </w:r>
      <w:r w:rsidR="00E403C6">
        <w:t>a fair-</w:t>
      </w:r>
      <w:r w:rsidRPr="006C0F13">
        <w:t xml:space="preserve">quality retrospective cohort study of 243 paediatric liver transplant patients aged </w:t>
      </w:r>
      <w:r w:rsidR="00055495">
        <w:t xml:space="preserve">less than </w:t>
      </w:r>
      <w:r w:rsidRPr="006C0F13">
        <w:t>18 years</w:t>
      </w:r>
      <w:r>
        <w:t>.</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p>
    <w:p w14:paraId="617D460B" w14:textId="77777777" w:rsidR="00F00BFD" w:rsidRDefault="00F00BFD" w:rsidP="00F00BFD">
      <w:pPr>
        <w:pStyle w:val="Heading5"/>
      </w:pPr>
      <w:r>
        <w:t>Mortality</w:t>
      </w:r>
    </w:p>
    <w:p w14:paraId="1DF4F2EF" w14:textId="66E519BF" w:rsidR="00F00BFD" w:rsidRDefault="00E403C6" w:rsidP="00E403C6">
      <w:r>
        <w:t>The study</w:t>
      </w:r>
      <w:r w:rsidR="00F00BFD" w:rsidRPr="006C0F13">
        <w:t xml:space="preserve"> </w:t>
      </w:r>
      <w:r w:rsidR="00F00BFD">
        <w:t>demonstrated</w:t>
      </w:r>
      <w:r w:rsidR="00F00BFD" w:rsidRPr="006C0F13">
        <w:t xml:space="preserve"> no significant difference in mortality at </w:t>
      </w:r>
      <w:r>
        <w:t>1</w:t>
      </w:r>
      <w:r w:rsidR="00F00BFD" w:rsidRPr="006C0F13">
        <w:t xml:space="preserve"> year between three doses of fibr</w:t>
      </w:r>
      <w:r>
        <w:t>inogen concentrate (</w:t>
      </w:r>
      <w:r w:rsidR="00876931">
        <w:t>p=</w:t>
      </w:r>
      <w:r>
        <w:t>0.308).</w:t>
      </w:r>
      <w:hyperlink w:anchor="_ENREF_73" w:tooltip="Nacoti, 2012 #139" w:history="1">
        <w:r w:rsidR="00E62798">
          <w:fldChar w:fldCharType="begin"/>
        </w:r>
        <w:r w:rsidR="00E62798">
          <w:instrText xml:space="preserve"> ADDIN EN.CITE &lt;EndNote&gt;&lt;Cite&gt;&lt;Author&gt;Nacoti&lt;/Author&gt;&lt;Year&gt;2012&lt;/Year&gt;&lt;RecNum&gt;139&lt;/RecNum&gt;&lt;DisplayText&gt;&lt;style face="superscript"&gt;73&lt;/style&gt;&lt;/DisplayText&gt;&lt;record&gt;&lt;rec-number&gt;139&lt;/rec-number&gt;&lt;foreign-keys&gt;&lt;key app="EN" db-id="9edve2wadsavt5ewavaxtda4f2tavzvts9ee" timestamp="1426550421"&gt;139&lt;/key&gt;&lt;/foreign-keys&gt;&lt;ref-type name="Journal Article"&gt;17&lt;/ref-type&gt;&lt;contributors&gt;&lt;authors&gt;&lt;author&gt;Nacoti, M.&lt;/author&gt;&lt;author&gt;Cazzaniga, S.&lt;/author&gt;&lt;author&gt;Lorusso, F.&lt;/author&gt;&lt;author&gt;Naldi, L.&lt;/author&gt;&lt;author&gt;Brambillasca, P.&lt;/author&gt;&lt;author&gt;Benigni, A.&lt;/author&gt;&lt;author&gt;Corno, V.&lt;/author&gt;&lt;author&gt;Colledan, M.&lt;/author&gt;&lt;author&gt;Bonanomi, E&lt;/author&gt;&lt;author&gt;Vedovati, S&lt;/author&gt;&lt;author&gt;Buoro, S&lt;/author&gt;&lt;author&gt;Falanga, A&lt;/author&gt;&lt;author&gt;Lussana, F&lt;/author&gt;&lt;author&gt;Barbui, T&lt;/author&gt;&lt;author&gt;Sonzogni, V&lt;/author&gt;&lt;/authors&gt;&lt;/contributors&gt;&lt;titles&gt;&lt;title&gt;The impact of perioperative transfusion of blood products on survival after pediatric liver transplantation&lt;/title&gt;&lt;secondary-title&gt;Pediatric Transplantation&lt;/secondary-title&gt;&lt;/titles&gt;&lt;periodical&gt;&lt;full-title&gt;Pediatric Transplantation&lt;/full-title&gt;&lt;/periodical&gt;&lt;pages&gt;357–366&lt;/pages&gt;&lt;volume&gt;16&lt;/volume&gt;&lt;number&gt;4&lt;/number&gt;&lt;keywords&gt;&lt;keyword&gt;transfusion&lt;/keyword&gt;&lt;keyword&gt;blood&lt;/keyword&gt;&lt;/keywords&gt;&lt;dates&gt;&lt;year&gt;2012&lt;/year&gt;&lt;pub-dates&gt;&lt;date&gt;June&lt;/date&gt;&lt;/pub-dates&gt;&lt;/dates&gt;&lt;urls&gt;&lt;related-urls&gt;&lt;url&gt;http://www.ncbi.nlm.nih.gov/pubmed/22429563&lt;/url&gt;&lt;/related-urls&gt;&lt;/urls&gt;&lt;access-date&gt;13 April 2015&lt;/access-date&gt;&lt;/record&gt;&lt;/Cite&gt;&lt;/EndNote&gt;</w:instrText>
        </w:r>
        <w:r w:rsidR="00E62798">
          <w:fldChar w:fldCharType="separate"/>
        </w:r>
        <w:r w:rsidR="00E62798" w:rsidRPr="00E62798">
          <w:rPr>
            <w:noProof/>
            <w:vertAlign w:val="superscript"/>
          </w:rPr>
          <w:t>73</w:t>
        </w:r>
        <w:r w:rsidR="00E62798">
          <w:fldChar w:fldCharType="end"/>
        </w:r>
      </w:hyperlink>
    </w:p>
    <w:p w14:paraId="40D514F9" w14:textId="77777777" w:rsidR="00E403C6" w:rsidRDefault="00E403C6" w:rsidP="00E403C6">
      <w:pPr>
        <w:pStyle w:val="Heading5"/>
      </w:pPr>
      <w:r>
        <w:t>Bleeding events</w:t>
      </w:r>
    </w:p>
    <w:p w14:paraId="49926694" w14:textId="45FE8194" w:rsidR="00E403C6" w:rsidRDefault="007C1B3E" w:rsidP="00E403C6">
      <w:r>
        <w:t xml:space="preserve">No evidence was identified related to bleeding events. </w:t>
      </w:r>
    </w:p>
    <w:p w14:paraId="1076189B" w14:textId="45480CFA" w:rsidR="00E403C6" w:rsidRDefault="00055495" w:rsidP="00E403C6">
      <w:pPr>
        <w:pStyle w:val="Heading5"/>
      </w:pPr>
      <w:r>
        <w:t>Transfusion</w:t>
      </w:r>
      <w:r>
        <w:rPr>
          <w:lang w:val="en-AU"/>
        </w:rPr>
        <w:t>-</w:t>
      </w:r>
      <w:r w:rsidR="00E403C6">
        <w:t>related serious adverse events</w:t>
      </w:r>
    </w:p>
    <w:p w14:paraId="1D9AA7CF" w14:textId="22ED23BB" w:rsidR="00E403C6" w:rsidRDefault="00FA6791" w:rsidP="00E403C6">
      <w:pPr>
        <w:rPr>
          <w:lang w:eastAsia="en-GB"/>
        </w:rPr>
      </w:pPr>
      <w:r>
        <w:t>No studies reported</w:t>
      </w:r>
      <w:r w:rsidR="008F7398">
        <w:t xml:space="preserve"> transfusion-related serious adverse events</w:t>
      </w:r>
      <w:r w:rsidR="007C1B3E">
        <w:t xml:space="preserve">. </w:t>
      </w:r>
    </w:p>
    <w:p w14:paraId="51247E33" w14:textId="77777777" w:rsidR="00E403C6" w:rsidRDefault="00E403C6" w:rsidP="00E403C6">
      <w:pPr>
        <w:pStyle w:val="Heading5"/>
      </w:pPr>
      <w:r>
        <w:t>Transfusion volume or incidence</w:t>
      </w:r>
    </w:p>
    <w:p w14:paraId="000A47BE" w14:textId="2558E4C9" w:rsidR="00E403C6" w:rsidRDefault="00FA6791" w:rsidP="00E403C6">
      <w:pPr>
        <w:rPr>
          <w:lang w:eastAsia="en-GB"/>
        </w:rPr>
      </w:pPr>
      <w:r>
        <w:t>No studies reported</w:t>
      </w:r>
      <w:r w:rsidR="008F7398">
        <w:t xml:space="preserve"> transfusion volume or incidence.</w:t>
      </w:r>
      <w:r w:rsidR="007C1B3E">
        <w:t xml:space="preserve"> </w:t>
      </w:r>
    </w:p>
    <w:p w14:paraId="728BA20F" w14:textId="44736D87" w:rsidR="005A5B48" w:rsidRDefault="005A5B48" w:rsidP="00D93C65">
      <w:pPr>
        <w:pStyle w:val="Heading3"/>
        <w:numPr>
          <w:ilvl w:val="2"/>
          <w:numId w:val="49"/>
        </w:numPr>
      </w:pPr>
      <w:bookmarkStart w:id="147" w:name="_Toc427851347"/>
      <w:r>
        <w:rPr>
          <w:lang w:val="en-AU"/>
        </w:rPr>
        <w:t xml:space="preserve">Neonatal and paediatric patients </w:t>
      </w:r>
      <w:r w:rsidR="001944D9">
        <w:rPr>
          <w:lang w:val="en-AU"/>
        </w:rPr>
        <w:t>undergoing</w:t>
      </w:r>
      <w:r>
        <w:rPr>
          <w:lang w:val="en-AU"/>
        </w:rPr>
        <w:t xml:space="preserve"> surgery – effects of use of a different fibrinogen strategy on outcomes</w:t>
      </w:r>
      <w:bookmarkEnd w:id="147"/>
      <w:r>
        <w:t xml:space="preserve"> </w:t>
      </w:r>
    </w:p>
    <w:tbl>
      <w:tblPr>
        <w:tblW w:w="8641"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7"/>
        <w:gridCol w:w="809"/>
        <w:gridCol w:w="808"/>
        <w:gridCol w:w="808"/>
        <w:gridCol w:w="808"/>
        <w:gridCol w:w="810"/>
      </w:tblGrid>
      <w:tr w:rsidR="00F00BFD" w14:paraId="6BFB37E3" w14:textId="77777777" w:rsidTr="00467EEA">
        <w:trPr>
          <w:cantSplit/>
          <w:trHeight w:val="1833"/>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0101D680" w14:textId="77777777" w:rsidR="00F00BFD" w:rsidRDefault="00F00BFD" w:rsidP="00F00BFD">
            <w:pPr>
              <w:pStyle w:val="PP-heading"/>
              <w:keepNext w:val="0"/>
              <w:spacing w:line="276" w:lineRule="auto"/>
              <w:rPr>
                <w:lang w:eastAsia="zh-TW"/>
              </w:rPr>
            </w:pPr>
            <w:r>
              <w:rPr>
                <w:lang w:eastAsia="zh-TW"/>
              </w:rPr>
              <w:t xml:space="preserve">Evidence statements – surgical (fibrinogen concentrate </w:t>
            </w:r>
            <w:r w:rsidRPr="00EA307B">
              <w:t xml:space="preserve">using a different fibrinogen </w:t>
            </w:r>
            <w:r w:rsidRPr="00F50615">
              <w:t>strategy</w:t>
            </w:r>
            <w:r>
              <w:rPr>
                <w:lang w:eastAsia="zh-TW"/>
              </w:rPr>
              <w: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E8E9E2E"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0570E9A" w14:textId="77777777" w:rsidR="00F00BFD" w:rsidRDefault="00F00BFD" w:rsidP="00F00BFD">
            <w:pPr>
              <w:spacing w:line="276" w:lineRule="auto"/>
              <w:ind w:left="113" w:right="113"/>
              <w:jc w:val="center"/>
              <w:rPr>
                <w:b/>
                <w:lang w:eastAsia="zh-TW"/>
              </w:rPr>
            </w:pPr>
            <w:r>
              <w:rPr>
                <w:b/>
                <w:lang w:eastAsia="zh-TW"/>
              </w:rPr>
              <w:t>Consistency</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6D7D841"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18FF2D5" w14:textId="77777777" w:rsidR="00F00BFD" w:rsidRDefault="00F00BFD" w:rsidP="00F00BFD">
            <w:pPr>
              <w:spacing w:line="276" w:lineRule="auto"/>
              <w:ind w:left="113" w:right="113"/>
              <w:jc w:val="center"/>
              <w:rPr>
                <w:b/>
                <w:lang w:eastAsia="zh-TW"/>
              </w:rPr>
            </w:pPr>
            <w:r>
              <w:rPr>
                <w:b/>
                <w:lang w:eastAsia="zh-TW"/>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A63A69A"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74A8C8A7"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F9BE66B" w14:textId="77777777" w:rsidR="00F00BFD" w:rsidRDefault="00F00BFD" w:rsidP="00F00BFD">
            <w:pPr>
              <w:pStyle w:val="Tabletextnoindent"/>
              <w:keepNext w:val="0"/>
              <w:numPr>
                <w:ilvl w:val="0"/>
                <w:numId w:val="0"/>
              </w:numPr>
              <w:spacing w:line="276" w:lineRule="auto"/>
              <w:rPr>
                <w:lang w:eastAsia="zh-TW"/>
              </w:rPr>
            </w:pPr>
            <w:r w:rsidRPr="00FD795D">
              <w:t>ES3.64</w:t>
            </w:r>
          </w:p>
        </w:tc>
        <w:tc>
          <w:tcPr>
            <w:tcW w:w="3747" w:type="dxa"/>
            <w:tcBorders>
              <w:top w:val="single" w:sz="4" w:space="0" w:color="000000"/>
              <w:left w:val="single" w:sz="4" w:space="0" w:color="000000"/>
              <w:bottom w:val="single" w:sz="4" w:space="0" w:color="000000"/>
              <w:right w:val="single" w:sz="4" w:space="0" w:color="000000"/>
            </w:tcBorders>
            <w:hideMark/>
          </w:tcPr>
          <w:p w14:paraId="3AE36087" w14:textId="77777777" w:rsidR="00F00BFD" w:rsidRDefault="00F00BFD" w:rsidP="00F00BFD">
            <w:pPr>
              <w:pStyle w:val="ES-table"/>
              <w:keepNext w:val="0"/>
              <w:rPr>
                <w:lang w:eastAsia="zh-TW"/>
              </w:rPr>
            </w:pPr>
            <w:r>
              <w:rPr>
                <w:lang w:eastAsia="zh-TW"/>
              </w:rPr>
              <w:t>In neonatal patients undergoing surgery, the effect of fibrinogen concentrate compared with an alternative fibrinogen-containing product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3FFAE3B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6FF1164"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24AF35B"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066D595"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241C81B5" w14:textId="77777777" w:rsidR="00F00BFD" w:rsidRDefault="00F00BFD" w:rsidP="00F00BFD">
            <w:pPr>
              <w:pStyle w:val="T-ABCD"/>
              <w:spacing w:line="276" w:lineRule="auto"/>
              <w:rPr>
                <w:lang w:eastAsia="zh-TW"/>
              </w:rPr>
            </w:pPr>
            <w:r>
              <w:rPr>
                <w:lang w:eastAsia="zh-TW"/>
              </w:rPr>
              <w:t xml:space="preserve">NA </w:t>
            </w:r>
          </w:p>
        </w:tc>
      </w:tr>
      <w:tr w:rsidR="00F00BFD" w14:paraId="58D48C35"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0A26AEF3" w14:textId="77777777" w:rsidR="00F00BFD" w:rsidRDefault="00F00BFD" w:rsidP="00F00BFD">
            <w:pPr>
              <w:pStyle w:val="Tabletextnoindent"/>
              <w:keepNext w:val="0"/>
              <w:numPr>
                <w:ilvl w:val="0"/>
                <w:numId w:val="0"/>
              </w:numPr>
              <w:spacing w:line="276" w:lineRule="auto"/>
              <w:rPr>
                <w:lang w:eastAsia="zh-TW"/>
              </w:rPr>
            </w:pPr>
            <w:r w:rsidRPr="00FD795D">
              <w:t>ES3.65</w:t>
            </w:r>
          </w:p>
        </w:tc>
        <w:tc>
          <w:tcPr>
            <w:tcW w:w="3747" w:type="dxa"/>
            <w:tcBorders>
              <w:top w:val="single" w:sz="4" w:space="0" w:color="000000"/>
              <w:left w:val="single" w:sz="4" w:space="0" w:color="000000"/>
              <w:bottom w:val="single" w:sz="4" w:space="0" w:color="000000"/>
              <w:right w:val="single" w:sz="4" w:space="0" w:color="000000"/>
            </w:tcBorders>
            <w:hideMark/>
          </w:tcPr>
          <w:p w14:paraId="0912528F" w14:textId="77777777" w:rsidR="00F00BFD" w:rsidRDefault="00F00BFD" w:rsidP="00F00BFD">
            <w:pPr>
              <w:pStyle w:val="ES-table"/>
              <w:keepNext w:val="0"/>
              <w:rPr>
                <w:lang w:eastAsia="zh-TW"/>
              </w:rPr>
            </w:pPr>
            <w:r>
              <w:rPr>
                <w:lang w:eastAsia="zh-TW"/>
              </w:rPr>
              <w:t>In paediatric patients with acute acquired hypofibrinogenaemia after CPB weaning, the effect of fibrinogen concentrate compared with cryoprecipitate on mortality is uncertain.</w:t>
            </w:r>
          </w:p>
          <w:p w14:paraId="1EF5E6DB" w14:textId="77777777" w:rsidR="00F00BFD" w:rsidRDefault="00F00BFD" w:rsidP="00F00BFD">
            <w:pPr>
              <w:pStyle w:val="ES-notes"/>
              <w:keepNext w:val="0"/>
              <w:rPr>
                <w:lang w:eastAsia="zh-TW"/>
              </w:rPr>
            </w:pPr>
            <w:r>
              <w:rPr>
                <w:lang w:eastAsia="zh-TW"/>
              </w:rPr>
              <w:t>(See evidence matrix D3.O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5AA62E28"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3445A320"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E8FE05C"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09F0C2E"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r>
              <w:rPr>
                <w:lang w:eastAsia="zh-TW"/>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10A303C6" w14:textId="77777777" w:rsidR="00F00BFD" w:rsidRDefault="00F00BFD" w:rsidP="00F00BFD">
            <w:pPr>
              <w:pStyle w:val="T-ABCD"/>
              <w:spacing w:line="276" w:lineRule="auto"/>
              <w:rPr>
                <w:lang w:eastAsia="zh-TW"/>
              </w:rPr>
            </w:pPr>
            <w:r>
              <w:rPr>
                <w:lang w:eastAsia="zh-TW"/>
              </w:rPr>
              <w:sym w:font="Symbol" w:char="F0D6"/>
            </w:r>
          </w:p>
        </w:tc>
      </w:tr>
      <w:tr w:rsidR="00F00BFD" w14:paraId="06C7A402"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6D13BFD1" w14:textId="77777777" w:rsidR="00F00BFD" w:rsidRDefault="00F00BFD" w:rsidP="00F00BFD">
            <w:pPr>
              <w:pStyle w:val="Tabletextnoindent"/>
              <w:keepNext w:val="0"/>
              <w:numPr>
                <w:ilvl w:val="0"/>
                <w:numId w:val="0"/>
              </w:numPr>
              <w:spacing w:line="276" w:lineRule="auto"/>
              <w:rPr>
                <w:lang w:eastAsia="zh-TW"/>
              </w:rPr>
            </w:pPr>
            <w:r w:rsidRPr="00FD795D">
              <w:t>ES3.66</w:t>
            </w:r>
          </w:p>
        </w:tc>
        <w:tc>
          <w:tcPr>
            <w:tcW w:w="3747" w:type="dxa"/>
            <w:tcBorders>
              <w:top w:val="single" w:sz="4" w:space="0" w:color="000000"/>
              <w:left w:val="single" w:sz="4" w:space="0" w:color="000000"/>
              <w:bottom w:val="single" w:sz="4" w:space="0" w:color="000000"/>
              <w:right w:val="single" w:sz="4" w:space="0" w:color="000000"/>
            </w:tcBorders>
            <w:hideMark/>
          </w:tcPr>
          <w:p w14:paraId="29B2AAB7" w14:textId="77777777" w:rsidR="00F00BFD" w:rsidRDefault="00F00BFD" w:rsidP="00F00BFD">
            <w:pPr>
              <w:pStyle w:val="ES-table"/>
              <w:keepNext w:val="0"/>
              <w:rPr>
                <w:lang w:eastAsia="zh-TW"/>
              </w:rPr>
            </w:pPr>
            <w:r>
              <w:rPr>
                <w:lang w:eastAsia="zh-TW"/>
              </w:rPr>
              <w:t xml:space="preserve">In paediatric patients with acute acquired hypofibrinogenaemia after CPB weaning, the </w:t>
            </w:r>
            <w:r w:rsidRPr="00D36481">
              <w:t>effect</w:t>
            </w:r>
            <w:r>
              <w:rPr>
                <w:lang w:eastAsia="zh-TW"/>
              </w:rPr>
              <w:t xml:space="preserve"> of fibrinogen concentrate compared with cryoprecipitate on bleeding events is uncertain.</w:t>
            </w:r>
          </w:p>
          <w:p w14:paraId="464BF6A3" w14:textId="77777777" w:rsidR="00F00BFD" w:rsidRDefault="00F00BFD" w:rsidP="00F00BFD">
            <w:pPr>
              <w:pStyle w:val="ES-notes"/>
              <w:keepNext w:val="0"/>
              <w:rPr>
                <w:lang w:eastAsia="zh-TW"/>
              </w:rPr>
            </w:pPr>
            <w:r>
              <w:rPr>
                <w:lang w:eastAsia="zh-TW"/>
              </w:rPr>
              <w:t xml:space="preserve">(See evidence matrix </w:t>
            </w:r>
            <w:r w:rsidRPr="00D36481">
              <w:t>D3</w:t>
            </w:r>
            <w:r>
              <w:rPr>
                <w:lang w:eastAsia="zh-TW"/>
              </w:rPr>
              <w:t>.P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6B41A1FB"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4FF0010F"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565856C"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2BC6C6E"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r>
              <w:rPr>
                <w:lang w:eastAsia="zh-TW"/>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71989CE3" w14:textId="77777777" w:rsidR="00F00BFD" w:rsidRDefault="00F00BFD" w:rsidP="00F00BFD">
            <w:pPr>
              <w:pStyle w:val="T-ABCD"/>
              <w:spacing w:line="276" w:lineRule="auto"/>
              <w:rPr>
                <w:lang w:eastAsia="zh-TW"/>
              </w:rPr>
            </w:pPr>
            <w:r>
              <w:rPr>
                <w:lang w:eastAsia="zh-TW"/>
              </w:rPr>
              <w:sym w:font="Symbol" w:char="F0D6"/>
            </w:r>
          </w:p>
        </w:tc>
      </w:tr>
      <w:tr w:rsidR="00F00BFD" w14:paraId="5690A559"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3EB97CD" w14:textId="77777777" w:rsidR="00F00BFD" w:rsidRDefault="00F00BFD" w:rsidP="00F00BFD">
            <w:pPr>
              <w:pStyle w:val="Tabletextnoindent"/>
              <w:keepNext w:val="0"/>
              <w:numPr>
                <w:ilvl w:val="0"/>
                <w:numId w:val="0"/>
              </w:numPr>
              <w:spacing w:line="276" w:lineRule="auto"/>
              <w:rPr>
                <w:lang w:eastAsia="zh-TW"/>
              </w:rPr>
            </w:pPr>
            <w:r w:rsidRPr="00FD795D">
              <w:t>ES3.67</w:t>
            </w:r>
          </w:p>
        </w:tc>
        <w:tc>
          <w:tcPr>
            <w:tcW w:w="3747" w:type="dxa"/>
            <w:tcBorders>
              <w:top w:val="single" w:sz="4" w:space="0" w:color="000000"/>
              <w:left w:val="single" w:sz="4" w:space="0" w:color="000000"/>
              <w:bottom w:val="single" w:sz="4" w:space="0" w:color="000000"/>
              <w:right w:val="single" w:sz="4" w:space="0" w:color="000000"/>
            </w:tcBorders>
            <w:hideMark/>
          </w:tcPr>
          <w:p w14:paraId="702B5A5A" w14:textId="77777777" w:rsidR="00F00BFD" w:rsidRDefault="00F00BFD" w:rsidP="00F00BFD">
            <w:pPr>
              <w:pStyle w:val="ES-table"/>
              <w:keepNext w:val="0"/>
              <w:rPr>
                <w:lang w:eastAsia="zh-TW"/>
              </w:rPr>
            </w:pPr>
            <w:r>
              <w:rPr>
                <w:lang w:eastAsia="zh-TW"/>
              </w:rPr>
              <w:t>In neonatal patients undergoing surgery, the effect of fibrinogen concentrate compared with an alternative fibrinogen-containing product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4A362874"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ABACA6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AF47AB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0154E8B"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2C7318F1" w14:textId="77777777" w:rsidR="00F00BFD" w:rsidRDefault="00F00BFD" w:rsidP="00F00BFD">
            <w:pPr>
              <w:pStyle w:val="T-ABCD"/>
              <w:spacing w:line="276" w:lineRule="auto"/>
              <w:rPr>
                <w:lang w:eastAsia="zh-TW"/>
              </w:rPr>
            </w:pPr>
            <w:r>
              <w:rPr>
                <w:lang w:eastAsia="zh-TW"/>
              </w:rPr>
              <w:t xml:space="preserve">NA </w:t>
            </w:r>
          </w:p>
        </w:tc>
      </w:tr>
      <w:tr w:rsidR="00F00BFD" w14:paraId="482C0947"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06243255" w14:textId="77777777" w:rsidR="00F00BFD" w:rsidRDefault="00F00BFD" w:rsidP="00F00BFD">
            <w:pPr>
              <w:pStyle w:val="Tabletextnoindent"/>
              <w:keepNext w:val="0"/>
              <w:numPr>
                <w:ilvl w:val="0"/>
                <w:numId w:val="0"/>
              </w:numPr>
              <w:spacing w:line="276" w:lineRule="auto"/>
              <w:rPr>
                <w:lang w:eastAsia="zh-TW"/>
              </w:rPr>
            </w:pPr>
            <w:r w:rsidRPr="00FD795D">
              <w:t>ES3.68</w:t>
            </w:r>
          </w:p>
        </w:tc>
        <w:tc>
          <w:tcPr>
            <w:tcW w:w="3747" w:type="dxa"/>
            <w:tcBorders>
              <w:top w:val="single" w:sz="4" w:space="0" w:color="000000"/>
              <w:left w:val="single" w:sz="4" w:space="0" w:color="000000"/>
              <w:bottom w:val="single" w:sz="4" w:space="0" w:color="000000"/>
              <w:right w:val="single" w:sz="4" w:space="0" w:color="000000"/>
            </w:tcBorders>
            <w:hideMark/>
          </w:tcPr>
          <w:p w14:paraId="35ABA90B" w14:textId="77777777" w:rsidR="00F00BFD" w:rsidRDefault="00F00BFD" w:rsidP="00F00BFD">
            <w:pPr>
              <w:pStyle w:val="ES-table"/>
              <w:keepNext w:val="0"/>
              <w:rPr>
                <w:lang w:eastAsia="zh-TW"/>
              </w:rPr>
            </w:pPr>
            <w:r>
              <w:rPr>
                <w:lang w:eastAsia="zh-TW"/>
              </w:rPr>
              <w:t>In neonatal and paediatric patients undergoing surgery, the effect of fibrinogen concentrate compared with an alternative fibrinogen-containing product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1580CD63"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953FFE6"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68CBF1E"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08CD451"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5B9E8FE" w14:textId="77777777" w:rsidR="00F00BFD" w:rsidRDefault="00F00BFD" w:rsidP="00F00BFD">
            <w:pPr>
              <w:pStyle w:val="T-ABCD"/>
              <w:spacing w:line="276" w:lineRule="auto"/>
              <w:rPr>
                <w:lang w:eastAsia="zh-TW"/>
              </w:rPr>
            </w:pPr>
            <w:r>
              <w:rPr>
                <w:lang w:eastAsia="zh-TW"/>
              </w:rPr>
              <w:t xml:space="preserve">NA </w:t>
            </w:r>
          </w:p>
        </w:tc>
      </w:tr>
      <w:tr w:rsidR="00F00BFD" w14:paraId="0484B5BE"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5C6CBAB0" w14:textId="77777777" w:rsidR="00F00BFD" w:rsidRDefault="00F00BFD" w:rsidP="00F00BFD">
            <w:pPr>
              <w:pStyle w:val="Tabletextnoindent"/>
              <w:keepNext w:val="0"/>
              <w:numPr>
                <w:ilvl w:val="0"/>
                <w:numId w:val="0"/>
              </w:numPr>
              <w:spacing w:line="276" w:lineRule="auto"/>
              <w:rPr>
                <w:lang w:eastAsia="zh-TW"/>
              </w:rPr>
            </w:pPr>
            <w:r w:rsidRPr="00FD795D">
              <w:t>ES3.69</w:t>
            </w:r>
          </w:p>
        </w:tc>
        <w:tc>
          <w:tcPr>
            <w:tcW w:w="3747" w:type="dxa"/>
            <w:tcBorders>
              <w:top w:val="single" w:sz="4" w:space="0" w:color="000000"/>
              <w:left w:val="single" w:sz="4" w:space="0" w:color="000000"/>
              <w:bottom w:val="single" w:sz="4" w:space="0" w:color="000000"/>
              <w:right w:val="single" w:sz="4" w:space="0" w:color="000000"/>
            </w:tcBorders>
            <w:hideMark/>
          </w:tcPr>
          <w:p w14:paraId="5242E03B" w14:textId="77777777" w:rsidR="00F00BFD" w:rsidRDefault="00F00BFD" w:rsidP="00F00BFD">
            <w:pPr>
              <w:pStyle w:val="ES-table"/>
              <w:keepNext w:val="0"/>
              <w:rPr>
                <w:lang w:eastAsia="zh-TW"/>
              </w:rPr>
            </w:pPr>
            <w:r>
              <w:rPr>
                <w:lang w:eastAsia="zh-TW"/>
              </w:rPr>
              <w:t>In paediatric patients with acute acquired hypofibrinogenaemia after CPB weaning, fibrinogen concentrate compared with cryoprecipitate may reduce transfusion incidence.</w:t>
            </w:r>
          </w:p>
          <w:p w14:paraId="6AA11FA8" w14:textId="77777777" w:rsidR="00F00BFD" w:rsidRDefault="00F00BFD" w:rsidP="00F00BFD">
            <w:pPr>
              <w:pStyle w:val="ES-notes"/>
              <w:keepNext w:val="0"/>
              <w:rPr>
                <w:lang w:eastAsia="zh-TW"/>
              </w:rPr>
            </w:pPr>
            <w:r>
              <w:rPr>
                <w:lang w:eastAsia="zh-TW"/>
              </w:rPr>
              <w:t>(See evidence matrix D3.Q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42486345"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6E1535D7"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EBF68E6" w14:textId="77777777" w:rsidR="00F00BFD" w:rsidRDefault="00F00BFD" w:rsidP="00F00BFD">
            <w:pPr>
              <w:pStyle w:val="T-ABCD"/>
              <w:spacing w:line="276" w:lineRule="auto"/>
              <w:rPr>
                <w:lang w:eastAsia="zh-TW"/>
              </w:rPr>
            </w:pPr>
            <w:r>
              <w:rPr>
                <w:lang w:eastAsia="zh-TW"/>
              </w:rPr>
              <w:t>X</w:t>
            </w:r>
          </w:p>
        </w:tc>
        <w:tc>
          <w:tcPr>
            <w:tcW w:w="808" w:type="dxa"/>
            <w:tcBorders>
              <w:top w:val="single" w:sz="4" w:space="0" w:color="000000"/>
              <w:left w:val="single" w:sz="4" w:space="0" w:color="000000"/>
              <w:bottom w:val="single" w:sz="4" w:space="0" w:color="000000"/>
              <w:right w:val="single" w:sz="4" w:space="0" w:color="000000"/>
            </w:tcBorders>
            <w:hideMark/>
          </w:tcPr>
          <w:p w14:paraId="502819B1" w14:textId="77777777" w:rsidR="00F00BFD" w:rsidRDefault="00F00BFD" w:rsidP="00F00BFD">
            <w:pPr>
              <w:pStyle w:val="T-ABCD"/>
              <w:spacing w:line="276" w:lineRule="auto"/>
              <w:rPr>
                <w:lang w:eastAsia="zh-TW"/>
              </w:rPr>
            </w:pPr>
            <w:r>
              <w:rPr>
                <w:lang w:eastAsia="zh-TW"/>
              </w:rPr>
              <w:sym w:font="Symbol" w:char="F0D6"/>
            </w:r>
            <w:r>
              <w:rPr>
                <w:lang w:eastAsia="zh-TW"/>
              </w:rPr>
              <w:sym w:font="Symbol" w:char="F0D6"/>
            </w:r>
            <w:r>
              <w:rPr>
                <w:lang w:eastAsia="zh-TW"/>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2D6E88D9" w14:textId="77777777" w:rsidR="00F00BFD" w:rsidRDefault="00F00BFD" w:rsidP="00F00BFD">
            <w:pPr>
              <w:pStyle w:val="T-ABCD"/>
              <w:spacing w:line="276" w:lineRule="auto"/>
              <w:rPr>
                <w:lang w:eastAsia="zh-TW"/>
              </w:rPr>
            </w:pPr>
            <w:r>
              <w:rPr>
                <w:lang w:eastAsia="zh-TW"/>
              </w:rPr>
              <w:sym w:font="Symbol" w:char="F0D6"/>
            </w:r>
          </w:p>
        </w:tc>
      </w:tr>
      <w:tr w:rsidR="00F00BFD" w14:paraId="795C3B31"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723CE362" w14:textId="77777777" w:rsidR="00F00BFD" w:rsidRDefault="00F00BFD" w:rsidP="00F00BFD">
            <w:pPr>
              <w:pStyle w:val="Tabletextnoindent"/>
              <w:keepNext w:val="0"/>
              <w:numPr>
                <w:ilvl w:val="0"/>
                <w:numId w:val="0"/>
              </w:numPr>
              <w:spacing w:line="276" w:lineRule="auto"/>
              <w:rPr>
                <w:lang w:eastAsia="zh-TW"/>
              </w:rPr>
            </w:pPr>
            <w:r w:rsidRPr="00FD795D">
              <w:t>ES3.70</w:t>
            </w:r>
          </w:p>
        </w:tc>
        <w:tc>
          <w:tcPr>
            <w:tcW w:w="3747" w:type="dxa"/>
            <w:tcBorders>
              <w:top w:val="single" w:sz="4" w:space="0" w:color="000000"/>
              <w:left w:val="single" w:sz="4" w:space="0" w:color="000000"/>
              <w:bottom w:val="single" w:sz="4" w:space="0" w:color="000000"/>
              <w:right w:val="single" w:sz="4" w:space="0" w:color="000000"/>
            </w:tcBorders>
            <w:hideMark/>
          </w:tcPr>
          <w:p w14:paraId="24EC0AA2" w14:textId="77777777" w:rsidR="00F00BFD" w:rsidRDefault="00F00BFD" w:rsidP="00F00BFD">
            <w:pPr>
              <w:pStyle w:val="ES-table"/>
              <w:keepNext w:val="0"/>
              <w:rPr>
                <w:lang w:eastAsia="zh-TW"/>
              </w:rPr>
            </w:pPr>
            <w:r>
              <w:rPr>
                <w:lang w:eastAsia="zh-TW"/>
              </w:rPr>
              <w:t>In paediatric patients with acute acquired hypofibrinogenaemia after CPB weaning, the effect of fibrinogen concentrate compared with cryoprecipitate on transfusion volume is unknown.</w:t>
            </w:r>
          </w:p>
        </w:tc>
        <w:tc>
          <w:tcPr>
            <w:tcW w:w="809" w:type="dxa"/>
            <w:tcBorders>
              <w:top w:val="single" w:sz="4" w:space="0" w:color="000000"/>
              <w:left w:val="single" w:sz="4" w:space="0" w:color="000000"/>
              <w:bottom w:val="single" w:sz="4" w:space="0" w:color="000000"/>
              <w:right w:val="single" w:sz="4" w:space="0" w:color="000000"/>
            </w:tcBorders>
            <w:hideMark/>
          </w:tcPr>
          <w:p w14:paraId="0E60AF36"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E2E739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7158B46"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08CDC57"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56EDBC43" w14:textId="77777777" w:rsidR="00F00BFD" w:rsidRDefault="00F00BFD" w:rsidP="00F00BFD">
            <w:pPr>
              <w:pStyle w:val="T-ABCD"/>
              <w:spacing w:line="276" w:lineRule="auto"/>
              <w:rPr>
                <w:lang w:eastAsia="zh-TW"/>
              </w:rPr>
            </w:pPr>
            <w:r>
              <w:rPr>
                <w:lang w:eastAsia="zh-TW"/>
              </w:rPr>
              <w:t xml:space="preserve">NA </w:t>
            </w:r>
          </w:p>
        </w:tc>
      </w:tr>
      <w:tr w:rsidR="00F00BFD" w14:paraId="45AC2FC1"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6257B35F" w14:textId="77777777" w:rsidR="00F00BFD" w:rsidRDefault="00F00BFD" w:rsidP="00F00BFD">
            <w:pPr>
              <w:pStyle w:val="Tabletextnoindent"/>
              <w:keepNext w:val="0"/>
              <w:numPr>
                <w:ilvl w:val="0"/>
                <w:numId w:val="0"/>
              </w:numPr>
              <w:spacing w:line="276" w:lineRule="auto"/>
              <w:rPr>
                <w:lang w:eastAsia="zh-TW"/>
              </w:rPr>
            </w:pPr>
            <w:r w:rsidRPr="00FD795D">
              <w:t>ES3.71</w:t>
            </w:r>
          </w:p>
        </w:tc>
        <w:tc>
          <w:tcPr>
            <w:tcW w:w="3747" w:type="dxa"/>
            <w:tcBorders>
              <w:top w:val="single" w:sz="4" w:space="0" w:color="000000"/>
              <w:left w:val="single" w:sz="4" w:space="0" w:color="000000"/>
              <w:bottom w:val="single" w:sz="4" w:space="0" w:color="000000"/>
              <w:right w:val="single" w:sz="4" w:space="0" w:color="000000"/>
            </w:tcBorders>
            <w:hideMark/>
          </w:tcPr>
          <w:p w14:paraId="598924FE" w14:textId="77777777" w:rsidR="00F00BFD" w:rsidRDefault="00F00BFD" w:rsidP="00F00BFD">
            <w:pPr>
              <w:pStyle w:val="ES-table"/>
              <w:keepNext w:val="0"/>
              <w:rPr>
                <w:lang w:eastAsia="zh-TW"/>
              </w:rPr>
            </w:pPr>
            <w:r>
              <w:rPr>
                <w:lang w:eastAsia="zh-TW"/>
              </w:rPr>
              <w:t>In neonatal patients undergoing surgery, the effect of fibrinogen concentrate compared with an alternative fibrinogen-containing product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7D5D0A2C"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55C3B62"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E5F131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06D2AC2" w14:textId="77777777" w:rsidR="00F00BFD" w:rsidRDefault="00F00BFD" w:rsidP="00F00BFD">
            <w:pPr>
              <w:pStyle w:val="T-ABCD"/>
              <w:spacing w:line="276" w:lineRule="auto"/>
              <w:rPr>
                <w:lang w:eastAsia="zh-TW"/>
              </w:rPr>
            </w:pPr>
            <w:r>
              <w:rPr>
                <w:lang w:eastAsia="zh-TW"/>
              </w:rPr>
              <w:t>NA</w:t>
            </w:r>
          </w:p>
        </w:tc>
        <w:tc>
          <w:tcPr>
            <w:tcW w:w="810" w:type="dxa"/>
            <w:tcBorders>
              <w:top w:val="single" w:sz="4" w:space="0" w:color="000000"/>
              <w:left w:val="single" w:sz="4" w:space="0" w:color="000000"/>
              <w:bottom w:val="single" w:sz="4" w:space="0" w:color="000000"/>
              <w:right w:val="single" w:sz="4" w:space="0" w:color="000000"/>
            </w:tcBorders>
            <w:hideMark/>
          </w:tcPr>
          <w:p w14:paraId="070E2B9F" w14:textId="77777777" w:rsidR="00F00BFD" w:rsidRDefault="00F00BFD" w:rsidP="00F00BFD">
            <w:pPr>
              <w:pStyle w:val="T-ABCD"/>
              <w:spacing w:line="276" w:lineRule="auto"/>
              <w:rPr>
                <w:lang w:eastAsia="zh-TW"/>
              </w:rPr>
            </w:pPr>
            <w:r>
              <w:rPr>
                <w:lang w:eastAsia="zh-TW"/>
              </w:rPr>
              <w:t xml:space="preserve">NA </w:t>
            </w:r>
          </w:p>
        </w:tc>
      </w:tr>
      <w:tr w:rsidR="00F00BFD" w14:paraId="338C6C8B" w14:textId="77777777" w:rsidTr="00F00BFD">
        <w:trPr>
          <w:cantSplit/>
        </w:trPr>
        <w:tc>
          <w:tcPr>
            <w:tcW w:w="8641" w:type="dxa"/>
            <w:gridSpan w:val="7"/>
            <w:tcBorders>
              <w:top w:val="single" w:sz="4" w:space="0" w:color="000000"/>
              <w:left w:val="single" w:sz="4" w:space="0" w:color="000000"/>
              <w:bottom w:val="single" w:sz="4" w:space="0" w:color="000000"/>
              <w:right w:val="single" w:sz="4" w:space="0" w:color="000000"/>
            </w:tcBorders>
            <w:hideMark/>
          </w:tcPr>
          <w:p w14:paraId="79B0D368" w14:textId="77777777" w:rsidR="00F00BFD" w:rsidRDefault="00F00BFD" w:rsidP="00F00BFD">
            <w:pPr>
              <w:pStyle w:val="ES-notes"/>
              <w:keepNext w:val="0"/>
              <w:rPr>
                <w:lang w:eastAsia="zh-TW"/>
              </w:rPr>
            </w:pPr>
            <w:r>
              <w:rPr>
                <w:lang w:eastAsia="zh-TW"/>
              </w:rPr>
              <w:t>CPB, cardiopulmonary bypass; ES, evidence statement</w:t>
            </w:r>
          </w:p>
          <w:p w14:paraId="0FAB23E3" w14:textId="77777777" w:rsidR="00F00BFD" w:rsidRDefault="00F00BFD" w:rsidP="00F00BFD">
            <w:pPr>
              <w:pStyle w:val="ES-notes"/>
              <w:keepNext w:val="0"/>
              <w:rPr>
                <w:lang w:eastAsia="zh-TW"/>
              </w:rPr>
            </w:pPr>
            <w:r>
              <w:rPr>
                <w:lang w:eastAsia="zh-TW"/>
              </w:rPr>
              <w:sym w:font="Symbol" w:char="F0D6"/>
            </w:r>
            <w:r>
              <w:rPr>
                <w:lang w:eastAsia="zh-TW"/>
              </w:rPr>
              <w:sym w:font="Symbol" w:char="F0D6"/>
            </w:r>
            <w:r>
              <w:rPr>
                <w:lang w:eastAsia="zh-TW"/>
              </w:rPr>
              <w:sym w:font="Symbol" w:char="F0D6"/>
            </w:r>
            <w:r>
              <w:rPr>
                <w:lang w:eastAsia="zh-TW"/>
              </w:rPr>
              <w:t xml:space="preserve">=A; </w:t>
            </w:r>
            <w:r>
              <w:rPr>
                <w:lang w:eastAsia="zh-TW"/>
              </w:rPr>
              <w:sym w:font="Symbol" w:char="F0D6"/>
            </w:r>
            <w:r>
              <w:rPr>
                <w:lang w:eastAsia="zh-TW"/>
              </w:rPr>
              <w:sym w:font="Symbol" w:char="F0D6"/>
            </w:r>
            <w:r>
              <w:rPr>
                <w:lang w:eastAsia="zh-TW"/>
              </w:rPr>
              <w:t xml:space="preserve">=B; </w:t>
            </w:r>
            <w:r>
              <w:rPr>
                <w:lang w:eastAsia="zh-TW"/>
              </w:rPr>
              <w:sym w:font="Symbol" w:char="F0D6"/>
            </w:r>
            <w:r>
              <w:rPr>
                <w:lang w:eastAsia="zh-TW"/>
              </w:rPr>
              <w:t>=C; X=D; NA, not applicable</w:t>
            </w:r>
          </w:p>
        </w:tc>
      </w:tr>
    </w:tbl>
    <w:p w14:paraId="2D2CE95D"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61B0A7D1"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2F015899" w14:textId="2218752F" w:rsidR="00F00BFD" w:rsidRPr="005A5B48" w:rsidRDefault="00F00BFD" w:rsidP="00F00BFD">
            <w:pPr>
              <w:pStyle w:val="PP-heading"/>
              <w:rPr>
                <w:lang w:val="en-AU"/>
              </w:rPr>
            </w:pPr>
            <w:r w:rsidRPr="00F921CD">
              <w:t xml:space="preserve">Practice point – </w:t>
            </w:r>
            <w:r w:rsidR="005E38DA">
              <w:rPr>
                <w:lang w:eastAsia="zh-TW"/>
              </w:rPr>
              <w:t xml:space="preserve">surgical (fibrinogen concentrate </w:t>
            </w:r>
            <w:r w:rsidR="005E38DA" w:rsidRPr="00EA307B">
              <w:t xml:space="preserve">using a different fibrinogen </w:t>
            </w:r>
            <w:r w:rsidR="005E38DA" w:rsidRPr="00F50615">
              <w:t>strategy</w:t>
            </w:r>
            <w:r w:rsidR="005E38DA">
              <w:rPr>
                <w:lang w:eastAsia="zh-TW"/>
              </w:rPr>
              <w:t>)</w:t>
            </w:r>
          </w:p>
        </w:tc>
      </w:tr>
      <w:tr w:rsidR="00F00BFD" w:rsidRPr="00F921CD" w14:paraId="1B4AA8D7" w14:textId="77777777" w:rsidTr="005A5B48">
        <w:tc>
          <w:tcPr>
            <w:tcW w:w="1117" w:type="dxa"/>
            <w:tcBorders>
              <w:right w:val="single" w:sz="4" w:space="0" w:color="auto"/>
            </w:tcBorders>
            <w:shd w:val="clear" w:color="auto" w:fill="auto"/>
          </w:tcPr>
          <w:p w14:paraId="5122ECA5" w14:textId="77777777" w:rsidR="00F00BFD" w:rsidRPr="00F921CD" w:rsidRDefault="00F00BFD" w:rsidP="005A5B48">
            <w:pPr>
              <w:pStyle w:val="PP"/>
            </w:pPr>
            <w:r w:rsidRPr="00F921CD">
              <w:t>PP</w:t>
            </w:r>
            <w:r>
              <w:t>28</w:t>
            </w:r>
          </w:p>
        </w:tc>
        <w:tc>
          <w:tcPr>
            <w:tcW w:w="7560" w:type="dxa"/>
            <w:tcBorders>
              <w:left w:val="single" w:sz="4" w:space="0" w:color="auto"/>
            </w:tcBorders>
            <w:shd w:val="clear" w:color="auto" w:fill="auto"/>
          </w:tcPr>
          <w:p w14:paraId="43DD491D" w14:textId="77777777" w:rsidR="00F00BFD" w:rsidRPr="00F921CD" w:rsidRDefault="00F00BFD" w:rsidP="005A5B48">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0C242877" w14:textId="77777777" w:rsidTr="005A5B48">
        <w:trPr>
          <w:trHeight w:val="397"/>
        </w:trPr>
        <w:tc>
          <w:tcPr>
            <w:tcW w:w="8677" w:type="dxa"/>
            <w:gridSpan w:val="2"/>
            <w:shd w:val="clear" w:color="auto" w:fill="auto"/>
          </w:tcPr>
          <w:p w14:paraId="1A3C08A4" w14:textId="77777777" w:rsidR="00F00BFD" w:rsidRPr="00F921CD" w:rsidRDefault="00F00BFD" w:rsidP="005A5B48">
            <w:pPr>
              <w:pStyle w:val="PP-note"/>
            </w:pPr>
            <w:r w:rsidRPr="00F921CD">
              <w:t>FFP, fresh frozen plasma; PP, practice point</w:t>
            </w:r>
          </w:p>
        </w:tc>
      </w:tr>
    </w:tbl>
    <w:p w14:paraId="62310923" w14:textId="77777777" w:rsidR="00F00BFD" w:rsidRDefault="00F00BFD" w:rsidP="00F00BFD"/>
    <w:p w14:paraId="0E386E7E" w14:textId="77777777" w:rsidR="00F00BFD" w:rsidRDefault="00F00BFD" w:rsidP="00F00BFD">
      <w:pPr>
        <w:pStyle w:val="Heading4"/>
        <w:ind w:left="0" w:firstLine="720"/>
      </w:pPr>
      <w:r>
        <w:t>Summary of evidence</w:t>
      </w:r>
    </w:p>
    <w:p w14:paraId="25F38508" w14:textId="5B095D20" w:rsidR="00F00BFD" w:rsidRDefault="00E6680C" w:rsidP="005A5B48">
      <w:r>
        <w:t xml:space="preserve">The review identified one good-quality RCT </w:t>
      </w:r>
      <w:r w:rsidR="00F00BFD" w:rsidRPr="006C0F13">
        <w:t>at a single hospital in Brazil.</w:t>
      </w:r>
      <w:hyperlink w:anchor="_ENREF_154" w:tooltip="Galas, 2014 #135" w:history="1">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 </w:instrText>
        </w:r>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154</w:t>
        </w:r>
        <w:r w:rsidR="00E62798">
          <w:fldChar w:fldCharType="end"/>
        </w:r>
      </w:hyperlink>
      <w:r w:rsidR="00F00BFD" w:rsidRPr="006C0F13">
        <w:t xml:space="preserve"> </w:t>
      </w:r>
      <w:r w:rsidR="005A5B48">
        <w:t>It</w:t>
      </w:r>
      <w:r w:rsidR="00F00BFD" w:rsidRPr="006C0F13">
        <w:t xml:space="preserve"> included 63 children aged </w:t>
      </w:r>
      <w:r w:rsidR="005A5B48">
        <w:t>under</w:t>
      </w:r>
      <w:r w:rsidR="00F00BFD" w:rsidRPr="006C0F13">
        <w:t xml:space="preserve"> 7 years who underwent cardiac surgery with CPB</w:t>
      </w:r>
      <w:r w:rsidR="005A5B48">
        <w:t>, and</w:t>
      </w:r>
      <w:r w:rsidR="00F00BFD" w:rsidRPr="006C0F13">
        <w:t xml:space="preserve"> examined the effect of fibrinogen concentrate (60 mg/kg) compared with cryoprecipitate (10 mL/kg) on mortality, bleeding, transfusion requirements and thromboembolic events. </w:t>
      </w:r>
      <w:r w:rsidR="00F00BFD" w:rsidRPr="00FE3897">
        <w:t>The authors note</w:t>
      </w:r>
      <w:r w:rsidR="005A5B48">
        <w:t>d</w:t>
      </w:r>
      <w:r w:rsidR="00F00BFD" w:rsidRPr="00FE3897">
        <w:t xml:space="preserve"> that limitations of the study include</w:t>
      </w:r>
      <w:r w:rsidR="005A5B48">
        <w:t>d</w:t>
      </w:r>
      <w:r w:rsidR="00F00BFD" w:rsidRPr="00FE3897">
        <w:t xml:space="preserve"> the small sample size and single-centre design</w:t>
      </w:r>
      <w:r w:rsidR="005A5B48">
        <w:t>.</w:t>
      </w:r>
    </w:p>
    <w:p w14:paraId="53C6CD33" w14:textId="77777777" w:rsidR="00F00BFD" w:rsidRDefault="00F00BFD" w:rsidP="00F00BFD">
      <w:pPr>
        <w:pStyle w:val="Heading5"/>
      </w:pPr>
      <w:r>
        <w:t>Mortality</w:t>
      </w:r>
    </w:p>
    <w:p w14:paraId="0CBAF306" w14:textId="3A57211C" w:rsidR="00F00BFD" w:rsidRPr="006C0F13" w:rsidRDefault="005A5B48" w:rsidP="005A5B48">
      <w:r>
        <w:t>The study</w:t>
      </w:r>
      <w:r w:rsidR="00F00BFD" w:rsidRPr="006C0F13">
        <w:t xml:space="preserve"> reported no deaths in the cohort.</w:t>
      </w:r>
      <w:hyperlink w:anchor="_ENREF_154" w:tooltip="Galas, 2014 #135" w:history="1">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 </w:instrText>
        </w:r>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154</w:t>
        </w:r>
        <w:r w:rsidR="00E62798">
          <w:fldChar w:fldCharType="end"/>
        </w:r>
      </w:hyperlink>
      <w:r w:rsidR="00F00BFD" w:rsidRPr="006C0F13">
        <w:t xml:space="preserve"> </w:t>
      </w:r>
    </w:p>
    <w:p w14:paraId="7B09EA51" w14:textId="28A50E4B" w:rsidR="00F00BFD" w:rsidRDefault="00F00BFD" w:rsidP="00F00BFD">
      <w:pPr>
        <w:pStyle w:val="Heading5"/>
      </w:pPr>
      <w:r>
        <w:t xml:space="preserve">Bleeding </w:t>
      </w:r>
      <w:r w:rsidR="007C1B3E">
        <w:t>events</w:t>
      </w:r>
    </w:p>
    <w:p w14:paraId="466F2E05" w14:textId="7826A3E4" w:rsidR="00F00BFD" w:rsidRDefault="005A5B48" w:rsidP="005A5B48">
      <w:r>
        <w:t>The study found no significant difference in 48-</w:t>
      </w:r>
      <w:r w:rsidR="00F00BFD" w:rsidRPr="006C0F13">
        <w:t>hour bl</w:t>
      </w:r>
      <w:r>
        <w:t>ood loss (intraoperative and 46-</w:t>
      </w:r>
      <w:r w:rsidR="00F00BFD" w:rsidRPr="006C0F13">
        <w:t>hour drainage) between fibrinogen concentrate and cryoprecipitate (</w:t>
      </w:r>
      <w:r w:rsidR="00876931">
        <w:t>p=</w:t>
      </w:r>
      <w:r w:rsidR="00F00BFD" w:rsidRPr="006C0F13">
        <w:t xml:space="preserve">0.672). </w:t>
      </w:r>
    </w:p>
    <w:p w14:paraId="324554C0" w14:textId="77777777" w:rsidR="00F00BFD" w:rsidRDefault="00F00BFD" w:rsidP="00F00BFD">
      <w:pPr>
        <w:pStyle w:val="Heading5"/>
      </w:pPr>
      <w:r>
        <w:t>Transfusion related serious adverse events</w:t>
      </w:r>
    </w:p>
    <w:p w14:paraId="63760D1D" w14:textId="67857EF1" w:rsidR="005A5B48" w:rsidRDefault="00FA6791" w:rsidP="005A5B48">
      <w:pPr>
        <w:rPr>
          <w:lang w:eastAsia="en-GB"/>
        </w:rPr>
      </w:pPr>
      <w:r>
        <w:t>No studies reported</w:t>
      </w:r>
      <w:r w:rsidR="008F7398">
        <w:t xml:space="preserve"> transfusion-related serious adverse events</w:t>
      </w:r>
      <w:r w:rsidR="007C1B3E">
        <w:t xml:space="preserve">. </w:t>
      </w:r>
    </w:p>
    <w:p w14:paraId="7B1B4058" w14:textId="77777777" w:rsidR="00F00BFD" w:rsidRPr="00FE3897" w:rsidRDefault="00F00BFD" w:rsidP="00F00BFD">
      <w:pPr>
        <w:pStyle w:val="Heading5"/>
      </w:pPr>
      <w:r>
        <w:t>Transfusion volume or incidence</w:t>
      </w:r>
    </w:p>
    <w:p w14:paraId="5F8057AB" w14:textId="1F7D8FA9" w:rsidR="00F00BFD" w:rsidRPr="006C0F13" w:rsidRDefault="005A5B48" w:rsidP="005A5B48">
      <w:r>
        <w:t>The study</w:t>
      </w:r>
      <w:r w:rsidR="00F00BFD" w:rsidRPr="006C0F13">
        <w:t xml:space="preserve"> found a significant difference in postoperative transfusion incidence between children who received fibrinogen concentrate (86.7%) and those who received cryopr</w:t>
      </w:r>
      <w:r>
        <w:t>ecipitate (100.0%) (</w:t>
      </w:r>
      <w:r w:rsidR="00876931">
        <w:t>p=</w:t>
      </w:r>
      <w:r>
        <w:t>0.046).</w:t>
      </w:r>
      <w:hyperlink w:anchor="_ENREF_154" w:tooltip="Galas, 2014 #135" w:history="1">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 </w:instrText>
        </w:r>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154</w:t>
        </w:r>
        <w:r w:rsidR="00E62798">
          <w:fldChar w:fldCharType="end"/>
        </w:r>
      </w:hyperlink>
    </w:p>
    <w:p w14:paraId="59B023F2" w14:textId="77777777" w:rsidR="00F00BFD" w:rsidRPr="007B74DC" w:rsidRDefault="00F00BFD" w:rsidP="00F00BFD">
      <w:pPr>
        <w:pStyle w:val="Heading5"/>
      </w:pPr>
      <w:r w:rsidRPr="007B74DC">
        <w:t>Secondary outcomes</w:t>
      </w:r>
    </w:p>
    <w:p w14:paraId="555FD92C" w14:textId="77777777" w:rsidR="00F00BFD" w:rsidRDefault="00F00BFD" w:rsidP="007C1B3E">
      <w:pPr>
        <w:pStyle w:val="H6"/>
        <w:rPr>
          <w:lang w:eastAsia="en-GB"/>
        </w:rPr>
      </w:pPr>
      <w:r w:rsidRPr="008166BF">
        <w:rPr>
          <w:lang w:eastAsia="en-GB"/>
        </w:rPr>
        <w:t>Thromboembolic events</w:t>
      </w:r>
    </w:p>
    <w:p w14:paraId="591B5A27" w14:textId="150B7409" w:rsidR="00F00BFD" w:rsidRPr="006C0F13" w:rsidRDefault="005A5B48" w:rsidP="005A5B48">
      <w:r>
        <w:t>The study</w:t>
      </w:r>
      <w:r w:rsidR="00F00BFD" w:rsidRPr="006C0F13">
        <w:t xml:space="preserve"> found no significant difference in any thromboembolic event, including stroke, acute myocardial infarction, deep venous thrombosis and pulmonary embolism.</w:t>
      </w:r>
      <w:hyperlink w:anchor="_ENREF_154" w:tooltip="Galas, 2014 #135" w:history="1">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 </w:instrText>
        </w:r>
        <w:r w:rsidR="00E62798">
          <w:fldChar w:fldCharType="begin">
            <w:fldData xml:space="preserve">PEVuZE5vdGU+PENpdGU+PEF1dGhvcj5HYWxhczwvQXV0aG9yPjxZZWFyPjIwMTQ8L1llYXI+PFJl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154</w:t>
        </w:r>
        <w:r w:rsidR="00E62798">
          <w:fldChar w:fldCharType="end"/>
        </w:r>
      </w:hyperlink>
    </w:p>
    <w:p w14:paraId="095E7CF6" w14:textId="1F3FDB20" w:rsidR="00F00BFD" w:rsidRPr="009C32A7" w:rsidRDefault="005A5B48" w:rsidP="00F96C85">
      <w:pPr>
        <w:pStyle w:val="BoxHeading"/>
      </w:pPr>
      <w:r w:rsidRPr="009C32A7">
        <w:t>Clinical commentary</w:t>
      </w:r>
      <w:r>
        <w:t xml:space="preserve"> </w:t>
      </w:r>
      <w:r>
        <w:softHyphen/>
        <w:t>– use of fibrinogen in n</w:t>
      </w:r>
      <w:r w:rsidRPr="005A5B48">
        <w:t xml:space="preserve">eonatal and paediatric patients </w:t>
      </w:r>
      <w:r w:rsidR="001944D9">
        <w:t>undergoing</w:t>
      </w:r>
      <w:r w:rsidRPr="005A5B48">
        <w:t xml:space="preserve"> surgery</w:t>
      </w:r>
    </w:p>
    <w:p w14:paraId="08ECA756" w14:textId="6FC61F55" w:rsidR="00F00BFD" w:rsidRDefault="00F00BFD" w:rsidP="00F96C85">
      <w:pPr>
        <w:pStyle w:val="BoxText"/>
      </w:pPr>
      <w:r>
        <w:t xml:space="preserve">Fibrinogen concentrate has been shown to be a safe and effective treatment for correction of hypofibrinogenaemia with a low rate of </w:t>
      </w:r>
      <w:r w:rsidR="002C3690">
        <w:rPr>
          <w:lang w:val="en-AU"/>
        </w:rPr>
        <w:t>serious adverse events</w:t>
      </w:r>
      <w:r>
        <w:t>. In other countries, it is used exclusively as a replacement for cryoprecipitate. However, it is not currently licensed for use in any setting other than genetic deficiency.</w:t>
      </w:r>
    </w:p>
    <w:p w14:paraId="3B6283F2" w14:textId="17ECFB67" w:rsidR="007D7F50" w:rsidRDefault="007D7F50" w:rsidP="00D93C65">
      <w:pPr>
        <w:pStyle w:val="Heading3"/>
        <w:numPr>
          <w:ilvl w:val="2"/>
          <w:numId w:val="49"/>
        </w:numPr>
      </w:pPr>
      <w:bookmarkStart w:id="148" w:name="_Toc427851348"/>
      <w:r>
        <w:rPr>
          <w:lang w:val="en-AU"/>
        </w:rPr>
        <w:t xml:space="preserve">Neonatal and paediatric patients </w:t>
      </w:r>
      <w:r w:rsidR="001944D9">
        <w:rPr>
          <w:lang w:val="en-AU"/>
        </w:rPr>
        <w:t>undergoing</w:t>
      </w:r>
      <w:r>
        <w:rPr>
          <w:lang w:val="en-AU"/>
        </w:rPr>
        <w:t xml:space="preserve"> surgery – effects of combination therapy on outcomes</w:t>
      </w:r>
      <w:bookmarkEnd w:id="148"/>
      <w:r>
        <w:t xml:space="preserve"> </w:t>
      </w:r>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6"/>
        <w:gridCol w:w="808"/>
        <w:gridCol w:w="809"/>
        <w:gridCol w:w="808"/>
        <w:gridCol w:w="809"/>
        <w:gridCol w:w="809"/>
      </w:tblGrid>
      <w:tr w:rsidR="00F00BFD" w14:paraId="797B96DE" w14:textId="77777777" w:rsidTr="00467EEA">
        <w:trPr>
          <w:cantSplit/>
          <w:trHeight w:val="1932"/>
          <w:tblHeader/>
        </w:trPr>
        <w:tc>
          <w:tcPr>
            <w:tcW w:w="4597"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1311132A" w14:textId="77777777" w:rsidR="00F00BFD" w:rsidRDefault="00F00BFD" w:rsidP="00F00BFD">
            <w:pPr>
              <w:pStyle w:val="PP-heading"/>
              <w:spacing w:line="276" w:lineRule="auto"/>
              <w:rPr>
                <w:lang w:eastAsia="zh-TW"/>
              </w:rPr>
            </w:pPr>
            <w:r>
              <w:rPr>
                <w:lang w:eastAsia="zh-TW"/>
              </w:rPr>
              <w:t>Evidence statements – surgical (combination FFP, cryoprecipitate, platelet transfusion or fibrinogen concentrate)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118E849" w14:textId="77777777" w:rsidR="00F00BFD" w:rsidRDefault="00F00BFD" w:rsidP="00F00BFD">
            <w:pPr>
              <w:spacing w:line="276" w:lineRule="auto"/>
              <w:ind w:left="113" w:right="113"/>
              <w:jc w:val="center"/>
              <w:rPr>
                <w:b/>
                <w:lang w:eastAsia="zh-TW"/>
              </w:rPr>
            </w:pPr>
            <w:r>
              <w:rPr>
                <w:b/>
                <w:lang w:eastAsia="zh-TW"/>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393EA93" w14:textId="77777777" w:rsidR="00F00BFD" w:rsidRDefault="00F00BFD" w:rsidP="00F00BFD">
            <w:pPr>
              <w:spacing w:line="276" w:lineRule="auto"/>
              <w:ind w:left="113" w:right="113"/>
              <w:jc w:val="center"/>
              <w:rPr>
                <w:b/>
                <w:lang w:eastAsia="zh-TW"/>
              </w:rPr>
            </w:pPr>
            <w:r>
              <w:rPr>
                <w:b/>
                <w:lang w:eastAsia="zh-TW"/>
              </w:rPr>
              <w:t>Consistency</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C9AC9C4" w14:textId="77777777" w:rsidR="00F00BFD" w:rsidRDefault="00F00BFD" w:rsidP="00F00BFD">
            <w:pPr>
              <w:spacing w:line="276" w:lineRule="auto"/>
              <w:ind w:left="113" w:right="113"/>
              <w:jc w:val="center"/>
              <w:rPr>
                <w:b/>
                <w:lang w:eastAsia="zh-TW"/>
              </w:rPr>
            </w:pPr>
            <w:r>
              <w:rPr>
                <w:b/>
                <w:lang w:eastAsia="zh-TW"/>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93B3F2B" w14:textId="77777777" w:rsidR="00F00BFD" w:rsidRDefault="00F00BFD" w:rsidP="00F00BFD">
            <w:pPr>
              <w:spacing w:line="276" w:lineRule="auto"/>
              <w:ind w:left="113" w:right="113"/>
              <w:jc w:val="center"/>
              <w:rPr>
                <w:b/>
                <w:lang w:eastAsia="zh-TW"/>
              </w:rPr>
            </w:pPr>
            <w:r>
              <w:rPr>
                <w:b/>
                <w:lang w:eastAsia="zh-TW"/>
              </w:rPr>
              <w:t>Generalisability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0F31BBB"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0C732599"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557BCDC" w14:textId="77777777" w:rsidR="00F00BFD" w:rsidRDefault="00F00BFD" w:rsidP="007D7F50">
            <w:pPr>
              <w:pStyle w:val="Tabletextnoindent"/>
              <w:keepNext w:val="0"/>
              <w:numPr>
                <w:ilvl w:val="0"/>
                <w:numId w:val="0"/>
              </w:numPr>
              <w:spacing w:line="276" w:lineRule="auto"/>
              <w:rPr>
                <w:lang w:eastAsia="zh-TW"/>
              </w:rPr>
            </w:pPr>
            <w:r w:rsidRPr="007B3DCC">
              <w:t>ES3.72</w:t>
            </w:r>
          </w:p>
        </w:tc>
        <w:tc>
          <w:tcPr>
            <w:tcW w:w="3746" w:type="dxa"/>
            <w:tcBorders>
              <w:top w:val="single" w:sz="4" w:space="0" w:color="000000"/>
              <w:left w:val="single" w:sz="4" w:space="0" w:color="000000"/>
              <w:bottom w:val="single" w:sz="4" w:space="0" w:color="000000"/>
              <w:right w:val="single" w:sz="4" w:space="0" w:color="000000"/>
            </w:tcBorders>
            <w:hideMark/>
          </w:tcPr>
          <w:p w14:paraId="61F50149" w14:textId="77777777" w:rsidR="00F00BFD" w:rsidRDefault="00F00BFD" w:rsidP="007D7F50">
            <w:pPr>
              <w:pStyle w:val="ES-table"/>
              <w:keepNext w:val="0"/>
              <w:rPr>
                <w:lang w:eastAsia="zh-TW"/>
              </w:rPr>
            </w:pPr>
            <w:r>
              <w:rPr>
                <w:lang w:eastAsia="zh-TW"/>
              </w:rPr>
              <w:t xml:space="preserve">In neonatal and paediatric patients undergoing surgery, the effect of a combination of FFP, cryoprecipitate, </w:t>
            </w:r>
            <w:r w:rsidRPr="00727D7E">
              <w:t>platelet</w:t>
            </w:r>
            <w:r>
              <w:rPr>
                <w:lang w:eastAsia="zh-TW"/>
              </w:rPr>
              <w:t xml:space="preserve"> transfusion or fibrinogen concentrate compared with a different combination on mortality is unknown.</w:t>
            </w:r>
          </w:p>
        </w:tc>
        <w:tc>
          <w:tcPr>
            <w:tcW w:w="808" w:type="dxa"/>
            <w:tcBorders>
              <w:top w:val="single" w:sz="4" w:space="0" w:color="000000"/>
              <w:left w:val="single" w:sz="4" w:space="0" w:color="000000"/>
              <w:bottom w:val="single" w:sz="4" w:space="0" w:color="000000"/>
              <w:right w:val="single" w:sz="4" w:space="0" w:color="000000"/>
            </w:tcBorders>
            <w:hideMark/>
          </w:tcPr>
          <w:p w14:paraId="0F3F44A9"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939B388" w14:textId="77777777" w:rsidR="00F00BFD" w:rsidRDefault="00F00BFD" w:rsidP="007D7F50">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5A91B5D"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38B5FAE"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54E26615" w14:textId="77777777" w:rsidR="00F00BFD" w:rsidRDefault="00F00BFD" w:rsidP="007D7F50">
            <w:pPr>
              <w:pStyle w:val="T-ABCD"/>
              <w:spacing w:line="276" w:lineRule="auto"/>
              <w:rPr>
                <w:lang w:eastAsia="zh-TW"/>
              </w:rPr>
            </w:pPr>
            <w:r>
              <w:rPr>
                <w:lang w:eastAsia="zh-TW"/>
              </w:rPr>
              <w:t xml:space="preserve">NA </w:t>
            </w:r>
          </w:p>
        </w:tc>
      </w:tr>
      <w:tr w:rsidR="00F00BFD" w14:paraId="315487CC"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8761CA0" w14:textId="77777777" w:rsidR="00F00BFD" w:rsidRDefault="00F00BFD" w:rsidP="007D7F50">
            <w:pPr>
              <w:pStyle w:val="Tabletextnoindent"/>
              <w:keepNext w:val="0"/>
              <w:numPr>
                <w:ilvl w:val="0"/>
                <w:numId w:val="0"/>
              </w:numPr>
              <w:spacing w:line="276" w:lineRule="auto"/>
              <w:rPr>
                <w:lang w:eastAsia="zh-TW"/>
              </w:rPr>
            </w:pPr>
            <w:r w:rsidRPr="007B3DCC">
              <w:t>ES3.73</w:t>
            </w:r>
          </w:p>
        </w:tc>
        <w:tc>
          <w:tcPr>
            <w:tcW w:w="3746" w:type="dxa"/>
            <w:tcBorders>
              <w:top w:val="single" w:sz="4" w:space="0" w:color="000000"/>
              <w:left w:val="single" w:sz="4" w:space="0" w:color="000000"/>
              <w:bottom w:val="single" w:sz="4" w:space="0" w:color="000000"/>
              <w:right w:val="single" w:sz="4" w:space="0" w:color="000000"/>
            </w:tcBorders>
            <w:hideMark/>
          </w:tcPr>
          <w:p w14:paraId="2634E8E3" w14:textId="77777777" w:rsidR="00F00BFD" w:rsidRDefault="00F00BFD" w:rsidP="007D7F50">
            <w:pPr>
              <w:pStyle w:val="ES-table"/>
              <w:keepNext w:val="0"/>
              <w:rPr>
                <w:lang w:eastAsia="zh-TW"/>
              </w:rPr>
            </w:pPr>
            <w:r>
              <w:rPr>
                <w:lang w:eastAsia="zh-TW"/>
              </w:rPr>
              <w:t>In neonatal and paediatric patients undergoing surgery, the effect of a combination of FFP, cryoprecipitate, platelet transfusion or fibrinogen concentrate compared with a different combination on bleeding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56D7203C"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15FC7A7C" w14:textId="77777777" w:rsidR="00F00BFD" w:rsidRDefault="00F00BFD" w:rsidP="007D7F50">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1F3B4FA"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D728AB3"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E3FD17D" w14:textId="77777777" w:rsidR="00F00BFD" w:rsidRDefault="00F00BFD" w:rsidP="007D7F50">
            <w:pPr>
              <w:pStyle w:val="T-ABCD"/>
              <w:spacing w:line="276" w:lineRule="auto"/>
              <w:rPr>
                <w:lang w:eastAsia="zh-TW"/>
              </w:rPr>
            </w:pPr>
            <w:r>
              <w:rPr>
                <w:lang w:eastAsia="zh-TW"/>
              </w:rPr>
              <w:t xml:space="preserve">NA </w:t>
            </w:r>
          </w:p>
        </w:tc>
      </w:tr>
      <w:tr w:rsidR="00F00BFD" w14:paraId="55311BB6"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2EA595B" w14:textId="77777777" w:rsidR="00F00BFD" w:rsidRDefault="00F00BFD" w:rsidP="007D7F50">
            <w:pPr>
              <w:pStyle w:val="Tabletextnoindent"/>
              <w:keepNext w:val="0"/>
              <w:numPr>
                <w:ilvl w:val="0"/>
                <w:numId w:val="0"/>
              </w:numPr>
              <w:spacing w:line="276" w:lineRule="auto"/>
              <w:rPr>
                <w:lang w:eastAsia="zh-TW"/>
              </w:rPr>
            </w:pPr>
            <w:r w:rsidRPr="007B3DCC">
              <w:t>ES3.74</w:t>
            </w:r>
          </w:p>
        </w:tc>
        <w:tc>
          <w:tcPr>
            <w:tcW w:w="3746" w:type="dxa"/>
            <w:tcBorders>
              <w:top w:val="single" w:sz="4" w:space="0" w:color="000000"/>
              <w:left w:val="single" w:sz="4" w:space="0" w:color="000000"/>
              <w:bottom w:val="single" w:sz="4" w:space="0" w:color="000000"/>
              <w:right w:val="single" w:sz="4" w:space="0" w:color="000000"/>
            </w:tcBorders>
            <w:hideMark/>
          </w:tcPr>
          <w:p w14:paraId="4372AD08" w14:textId="77777777" w:rsidR="00F00BFD" w:rsidRDefault="00F00BFD" w:rsidP="007D7F50">
            <w:pPr>
              <w:pStyle w:val="ES-table"/>
              <w:keepNext w:val="0"/>
              <w:rPr>
                <w:lang w:eastAsia="zh-TW"/>
              </w:rPr>
            </w:pPr>
            <w:r>
              <w:rPr>
                <w:lang w:eastAsia="zh-TW"/>
              </w:rPr>
              <w:t>In neonatal and paediatric patients undergoing surgery, the effect of a combination of FFP, cryoprecipitate, platelet transfusion or fibrinogen concentrate compared with a different combination on transfusion-related serious adverse events is unknown.</w:t>
            </w:r>
          </w:p>
        </w:tc>
        <w:tc>
          <w:tcPr>
            <w:tcW w:w="808" w:type="dxa"/>
            <w:tcBorders>
              <w:top w:val="single" w:sz="4" w:space="0" w:color="000000"/>
              <w:left w:val="single" w:sz="4" w:space="0" w:color="000000"/>
              <w:bottom w:val="single" w:sz="4" w:space="0" w:color="000000"/>
              <w:right w:val="single" w:sz="4" w:space="0" w:color="000000"/>
            </w:tcBorders>
            <w:hideMark/>
          </w:tcPr>
          <w:p w14:paraId="2164F5DB"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938A641" w14:textId="77777777" w:rsidR="00F00BFD" w:rsidRDefault="00F00BFD" w:rsidP="007D7F50">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D4EE155"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66274BEC" w14:textId="77777777" w:rsidR="00F00BFD" w:rsidRDefault="00F00BFD" w:rsidP="007D7F50">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C9898F8" w14:textId="77777777" w:rsidR="00F00BFD" w:rsidRDefault="00F00BFD" w:rsidP="007D7F50">
            <w:pPr>
              <w:pStyle w:val="T-ABCD"/>
              <w:spacing w:line="276" w:lineRule="auto"/>
              <w:rPr>
                <w:lang w:eastAsia="zh-TW"/>
              </w:rPr>
            </w:pPr>
            <w:r>
              <w:rPr>
                <w:lang w:eastAsia="zh-TW"/>
              </w:rPr>
              <w:t xml:space="preserve">NA </w:t>
            </w:r>
          </w:p>
        </w:tc>
      </w:tr>
      <w:tr w:rsidR="00F00BFD" w14:paraId="67A020AA"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5801091B" w14:textId="77777777" w:rsidR="00F00BFD" w:rsidRDefault="00F00BFD" w:rsidP="00F00BFD">
            <w:pPr>
              <w:pStyle w:val="Tabletextnoindent"/>
              <w:numPr>
                <w:ilvl w:val="0"/>
                <w:numId w:val="0"/>
              </w:numPr>
              <w:spacing w:line="276" w:lineRule="auto"/>
              <w:rPr>
                <w:lang w:eastAsia="zh-TW"/>
              </w:rPr>
            </w:pPr>
            <w:r w:rsidRPr="007B3DCC">
              <w:t>ES3.75</w:t>
            </w:r>
          </w:p>
        </w:tc>
        <w:tc>
          <w:tcPr>
            <w:tcW w:w="3746" w:type="dxa"/>
            <w:tcBorders>
              <w:top w:val="single" w:sz="4" w:space="0" w:color="000000"/>
              <w:left w:val="single" w:sz="4" w:space="0" w:color="000000"/>
              <w:bottom w:val="single" w:sz="4" w:space="0" w:color="000000"/>
              <w:right w:val="single" w:sz="4" w:space="0" w:color="000000"/>
            </w:tcBorders>
            <w:hideMark/>
          </w:tcPr>
          <w:p w14:paraId="3AC7318B" w14:textId="77777777" w:rsidR="00F00BFD" w:rsidRDefault="00F00BFD" w:rsidP="00F00BFD">
            <w:pPr>
              <w:pStyle w:val="ES-table"/>
              <w:rPr>
                <w:lang w:eastAsia="zh-TW"/>
              </w:rPr>
            </w:pPr>
            <w:r>
              <w:rPr>
                <w:lang w:eastAsia="zh-TW"/>
              </w:rPr>
              <w:t>In neonatal and paediatric patients undergoing surgery, the effect of a combination of FFP, cryoprecipitate, platelet transfusion or fibrinogen concentrate compared with a different combination on transfusion volume or incidence is unknown.</w:t>
            </w:r>
          </w:p>
        </w:tc>
        <w:tc>
          <w:tcPr>
            <w:tcW w:w="808" w:type="dxa"/>
            <w:tcBorders>
              <w:top w:val="single" w:sz="4" w:space="0" w:color="000000"/>
              <w:left w:val="single" w:sz="4" w:space="0" w:color="000000"/>
              <w:bottom w:val="single" w:sz="4" w:space="0" w:color="000000"/>
              <w:right w:val="single" w:sz="4" w:space="0" w:color="000000"/>
            </w:tcBorders>
            <w:hideMark/>
          </w:tcPr>
          <w:p w14:paraId="06C46815"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7D9A527"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3A1937F"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58A4502B"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2A46414" w14:textId="77777777" w:rsidR="00F00BFD" w:rsidRDefault="00F00BFD" w:rsidP="00F00BFD">
            <w:pPr>
              <w:pStyle w:val="T-ABCD"/>
              <w:spacing w:line="276" w:lineRule="auto"/>
              <w:rPr>
                <w:lang w:eastAsia="zh-TW"/>
              </w:rPr>
            </w:pPr>
            <w:r>
              <w:rPr>
                <w:lang w:eastAsia="zh-TW"/>
              </w:rPr>
              <w:t xml:space="preserve">NA </w:t>
            </w:r>
          </w:p>
        </w:tc>
      </w:tr>
      <w:tr w:rsidR="00F00BFD" w14:paraId="4D503378" w14:textId="77777777" w:rsidTr="00F00BFD">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05120BF4" w14:textId="3DBD9DC8" w:rsidR="00F00BFD" w:rsidRDefault="00F00BFD" w:rsidP="00F00BFD">
            <w:pPr>
              <w:pStyle w:val="ES-notes"/>
              <w:spacing w:line="276" w:lineRule="auto"/>
              <w:rPr>
                <w:lang w:eastAsia="zh-TW"/>
              </w:rPr>
            </w:pPr>
            <w:r>
              <w:rPr>
                <w:lang w:eastAsia="zh-TW"/>
              </w:rPr>
              <w:t>ES, evidence statement; FFP, fresh frozen plasma</w:t>
            </w:r>
            <w:r w:rsidR="004828DA">
              <w:rPr>
                <w:lang w:eastAsia="zh-TW"/>
              </w:rPr>
              <w:t xml:space="preserve"> </w:t>
            </w:r>
          </w:p>
          <w:p w14:paraId="20613C3A" w14:textId="77777777" w:rsidR="00F00BFD" w:rsidRDefault="00F00BFD" w:rsidP="00F00BFD">
            <w:pPr>
              <w:pStyle w:val="ES-notes"/>
              <w:spacing w:line="276" w:lineRule="auto"/>
              <w:rPr>
                <w:lang w:eastAsia="zh-TW"/>
              </w:rPr>
            </w:pPr>
            <w:r>
              <w:rPr>
                <w:lang w:eastAsia="zh-TW"/>
              </w:rPr>
              <w:sym w:font="Symbol" w:char="F0D6"/>
            </w:r>
            <w:r>
              <w:rPr>
                <w:lang w:eastAsia="zh-TW"/>
              </w:rPr>
              <w:sym w:font="Symbol" w:char="F0D6"/>
            </w:r>
            <w:r>
              <w:rPr>
                <w:lang w:eastAsia="zh-TW"/>
              </w:rPr>
              <w:sym w:font="Symbol" w:char="F0D6"/>
            </w:r>
            <w:r>
              <w:rPr>
                <w:lang w:eastAsia="zh-TW"/>
              </w:rPr>
              <w:t xml:space="preserve">=A; </w:t>
            </w:r>
            <w:r>
              <w:rPr>
                <w:lang w:eastAsia="zh-TW"/>
              </w:rPr>
              <w:sym w:font="Symbol" w:char="F0D6"/>
            </w:r>
            <w:r>
              <w:rPr>
                <w:lang w:eastAsia="zh-TW"/>
              </w:rPr>
              <w:sym w:font="Symbol" w:char="F0D6"/>
            </w:r>
            <w:r>
              <w:rPr>
                <w:lang w:eastAsia="zh-TW"/>
              </w:rPr>
              <w:t xml:space="preserve">=B; </w:t>
            </w:r>
            <w:r>
              <w:rPr>
                <w:lang w:eastAsia="zh-TW"/>
              </w:rPr>
              <w:sym w:font="Symbol" w:char="F0D6"/>
            </w:r>
            <w:r>
              <w:rPr>
                <w:lang w:eastAsia="zh-TW"/>
              </w:rPr>
              <w:t>=C; X=D; NA, not applicable</w:t>
            </w:r>
          </w:p>
        </w:tc>
      </w:tr>
    </w:tbl>
    <w:p w14:paraId="18D3577D"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12AFC63F"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7ED02887" w14:textId="6C034107" w:rsidR="00F00BFD" w:rsidRPr="007D7F50" w:rsidRDefault="00F00BFD" w:rsidP="005E38DA">
            <w:pPr>
              <w:pStyle w:val="PP-heading"/>
              <w:rPr>
                <w:lang w:val="en-AU"/>
              </w:rPr>
            </w:pPr>
            <w:r w:rsidRPr="00F921CD">
              <w:t xml:space="preserve">Practice point – </w:t>
            </w:r>
            <w:r w:rsidR="005E38DA">
              <w:rPr>
                <w:lang w:val="en-AU"/>
              </w:rPr>
              <w:t>surgical</w:t>
            </w:r>
            <w:r w:rsidR="007D7F50">
              <w:rPr>
                <w:lang w:val="en-AU"/>
              </w:rPr>
              <w:t xml:space="preserve"> (combination therapy)</w:t>
            </w:r>
          </w:p>
        </w:tc>
      </w:tr>
      <w:tr w:rsidR="00F00BFD" w:rsidRPr="00F921CD" w14:paraId="574535FB" w14:textId="77777777" w:rsidTr="007D7F50">
        <w:tc>
          <w:tcPr>
            <w:tcW w:w="1117" w:type="dxa"/>
            <w:tcBorders>
              <w:right w:val="single" w:sz="4" w:space="0" w:color="auto"/>
            </w:tcBorders>
            <w:shd w:val="clear" w:color="auto" w:fill="auto"/>
          </w:tcPr>
          <w:p w14:paraId="7C551475" w14:textId="77777777" w:rsidR="00F00BFD" w:rsidRPr="00F921CD" w:rsidRDefault="00F00BFD" w:rsidP="000E35F6">
            <w:pPr>
              <w:pStyle w:val="PP"/>
              <w:keepNext/>
            </w:pPr>
            <w:r w:rsidRPr="00F921CD">
              <w:t>PP</w:t>
            </w:r>
            <w:r>
              <w:t>28</w:t>
            </w:r>
          </w:p>
        </w:tc>
        <w:tc>
          <w:tcPr>
            <w:tcW w:w="7560" w:type="dxa"/>
            <w:tcBorders>
              <w:left w:val="single" w:sz="4" w:space="0" w:color="auto"/>
            </w:tcBorders>
            <w:shd w:val="clear" w:color="auto" w:fill="auto"/>
          </w:tcPr>
          <w:p w14:paraId="66FEC7D5" w14:textId="77777777" w:rsidR="00F00BFD" w:rsidRPr="00F921CD" w:rsidRDefault="00F00BFD" w:rsidP="000E35F6">
            <w:pPr>
              <w:pStyle w:val="PP"/>
              <w:keepNext/>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247019BD" w14:textId="77777777" w:rsidTr="007D7F50">
        <w:trPr>
          <w:trHeight w:val="397"/>
        </w:trPr>
        <w:tc>
          <w:tcPr>
            <w:tcW w:w="8677" w:type="dxa"/>
            <w:gridSpan w:val="2"/>
            <w:shd w:val="clear" w:color="auto" w:fill="auto"/>
          </w:tcPr>
          <w:p w14:paraId="1534C4D7" w14:textId="77777777" w:rsidR="00F00BFD" w:rsidRPr="00F921CD" w:rsidRDefault="00F00BFD" w:rsidP="000E35F6">
            <w:pPr>
              <w:pStyle w:val="PP-note"/>
              <w:keepNext/>
            </w:pPr>
            <w:r w:rsidRPr="00F921CD">
              <w:t>FFP, fresh frozen plasma; PP, practice point</w:t>
            </w:r>
          </w:p>
        </w:tc>
      </w:tr>
    </w:tbl>
    <w:p w14:paraId="7B9832E3" w14:textId="77777777" w:rsidR="00F00BFD" w:rsidRDefault="00F00BFD" w:rsidP="00F00BFD"/>
    <w:p w14:paraId="18E51665" w14:textId="77777777" w:rsidR="00F00BFD" w:rsidRDefault="00F00BFD" w:rsidP="00F00BFD">
      <w:pPr>
        <w:pStyle w:val="Heading4"/>
        <w:ind w:left="0" w:firstLine="720"/>
      </w:pPr>
      <w:r>
        <w:t>Summary of evidence</w:t>
      </w:r>
    </w:p>
    <w:p w14:paraId="2798D1C5" w14:textId="132AA081" w:rsidR="00F00BFD" w:rsidRPr="00FE3897" w:rsidRDefault="007D7F50" w:rsidP="00F00BFD">
      <w:pPr>
        <w:rPr>
          <w:lang w:val="en-GB" w:eastAsia="en-GB"/>
        </w:rPr>
      </w:pPr>
      <w:r>
        <w:rPr>
          <w:lang w:val="en-GB" w:eastAsia="en-GB"/>
        </w:rPr>
        <w:t xml:space="preserve">The review identified no </w:t>
      </w:r>
      <w:r w:rsidR="00F00BFD">
        <w:rPr>
          <w:lang w:val="en-GB" w:eastAsia="en-GB"/>
        </w:rPr>
        <w:t>eligible studies</w:t>
      </w:r>
      <w:r>
        <w:rPr>
          <w:lang w:val="en-GB" w:eastAsia="en-GB"/>
        </w:rPr>
        <w:t>.</w:t>
      </w:r>
    </w:p>
    <w:p w14:paraId="1BBEA523" w14:textId="77777777" w:rsidR="00F00BFD" w:rsidRDefault="00F00BFD" w:rsidP="00F00BFD">
      <w:pPr>
        <w:pStyle w:val="Heading5"/>
      </w:pPr>
      <w:r>
        <w:t>Mortality</w:t>
      </w:r>
    </w:p>
    <w:p w14:paraId="1227D41B" w14:textId="76CCF660" w:rsidR="007D7F50" w:rsidRDefault="007C1B3E" w:rsidP="007D7F50">
      <w:pPr>
        <w:rPr>
          <w:lang w:eastAsia="en-GB"/>
        </w:rPr>
      </w:pPr>
      <w:r>
        <w:t xml:space="preserve">No evidence was identified related to mortality. </w:t>
      </w:r>
    </w:p>
    <w:p w14:paraId="403BE6FF" w14:textId="466786FA" w:rsidR="00F00BFD" w:rsidRDefault="00F00BFD" w:rsidP="00F00BFD">
      <w:pPr>
        <w:pStyle w:val="Heading5"/>
      </w:pPr>
      <w:r>
        <w:t xml:space="preserve">Bleeding </w:t>
      </w:r>
      <w:r w:rsidR="007D7F50">
        <w:t>events</w:t>
      </w:r>
    </w:p>
    <w:p w14:paraId="47CB238E" w14:textId="1C385785" w:rsidR="007D7F50" w:rsidRDefault="007C1B3E" w:rsidP="007D7F50">
      <w:pPr>
        <w:rPr>
          <w:lang w:eastAsia="en-GB"/>
        </w:rPr>
      </w:pPr>
      <w:r>
        <w:t xml:space="preserve">No evidence was identified related to bleeding events. </w:t>
      </w:r>
    </w:p>
    <w:p w14:paraId="51E48B5F" w14:textId="6B67F423" w:rsidR="00F00BFD" w:rsidRDefault="00055495" w:rsidP="00F00BFD">
      <w:pPr>
        <w:pStyle w:val="Heading5"/>
      </w:pPr>
      <w:r>
        <w:t>Transfusion</w:t>
      </w:r>
      <w:r>
        <w:rPr>
          <w:lang w:val="en-AU"/>
        </w:rPr>
        <w:t>-</w:t>
      </w:r>
      <w:r w:rsidR="00F00BFD">
        <w:t>related serious adverse events</w:t>
      </w:r>
    </w:p>
    <w:p w14:paraId="0CB1F406" w14:textId="18A4B428" w:rsidR="007D7F50" w:rsidRDefault="00FA6791" w:rsidP="007D7F50">
      <w:pPr>
        <w:rPr>
          <w:lang w:eastAsia="en-GB"/>
        </w:rPr>
      </w:pPr>
      <w:r>
        <w:t>No studies reported</w:t>
      </w:r>
      <w:r w:rsidR="008F7398">
        <w:t xml:space="preserve"> transfusion-related serious adverse events</w:t>
      </w:r>
      <w:r w:rsidR="007C1B3E">
        <w:t xml:space="preserve">. </w:t>
      </w:r>
    </w:p>
    <w:p w14:paraId="37CF1224" w14:textId="77777777" w:rsidR="00F00BFD" w:rsidRDefault="00F00BFD" w:rsidP="00F00BFD">
      <w:pPr>
        <w:pStyle w:val="Heading5"/>
      </w:pPr>
      <w:r>
        <w:t>Transfusion volume or incidence</w:t>
      </w:r>
    </w:p>
    <w:p w14:paraId="47DDA3DA" w14:textId="7910F303" w:rsidR="007D7F50" w:rsidRDefault="00FA6791" w:rsidP="007D7F50">
      <w:r>
        <w:t>No studies reported</w:t>
      </w:r>
      <w:r w:rsidR="008F7398">
        <w:t xml:space="preserve"> transfusion volume or incidence.</w:t>
      </w:r>
      <w:r w:rsidR="007C1B3E">
        <w:t xml:space="preserve"> </w:t>
      </w:r>
    </w:p>
    <w:p w14:paraId="443A442F" w14:textId="29235E34" w:rsidR="00F00BFD" w:rsidRPr="007D7F50" w:rsidRDefault="007D7F50" w:rsidP="00F96C85">
      <w:pPr>
        <w:pStyle w:val="BoxHeading"/>
        <w:rPr>
          <w:lang w:val="en-AU"/>
        </w:rPr>
      </w:pPr>
      <w:r>
        <w:t>Clinical commentary</w:t>
      </w:r>
      <w:r w:rsidRPr="009C32A7">
        <w:t xml:space="preserve"> </w:t>
      </w:r>
      <w:r>
        <w:rPr>
          <w:lang w:val="en-AU"/>
        </w:rPr>
        <w:t xml:space="preserve">– combination therapy in </w:t>
      </w:r>
      <w:r w:rsidRPr="007D7F50">
        <w:t xml:space="preserve">neonatal and paediatric patients </w:t>
      </w:r>
      <w:r w:rsidR="001944D9">
        <w:t>undergoing</w:t>
      </w:r>
      <w:r>
        <w:rPr>
          <w:lang w:val="en-AU"/>
        </w:rPr>
        <w:t xml:space="preserve"> surgery</w:t>
      </w:r>
    </w:p>
    <w:p w14:paraId="0A569492" w14:textId="65DC8269" w:rsidR="00F00BFD" w:rsidRDefault="00F00BFD" w:rsidP="00F96C85">
      <w:pPr>
        <w:pStyle w:val="BoxText"/>
      </w:pPr>
      <w:r>
        <w:t xml:space="preserve">Combined use of cryoprecipitate, platelets and FFP may be appropriate in settings where there is active bleeding and evidence of coagulopathy and thrombocytopaenia (or platelet dysfunction). Use should be guided by clinical assessment in association with </w:t>
      </w:r>
      <w:r w:rsidR="00AE57CE">
        <w:rPr>
          <w:lang w:val="en-AU"/>
        </w:rPr>
        <w:t xml:space="preserve">viscoelastometric </w:t>
      </w:r>
      <w:r>
        <w:t>POC testing or laboratory results (or both).</w:t>
      </w:r>
    </w:p>
    <w:p w14:paraId="76B1C9C6" w14:textId="4F8F3501" w:rsidR="00590F97" w:rsidRDefault="00AC4AF6" w:rsidP="00D93C65">
      <w:pPr>
        <w:pStyle w:val="Heading3"/>
        <w:numPr>
          <w:ilvl w:val="2"/>
          <w:numId w:val="49"/>
        </w:numPr>
      </w:pPr>
      <w:bookmarkStart w:id="149" w:name="_Toc427851349"/>
      <w:r>
        <w:rPr>
          <w:lang w:val="en-AU"/>
        </w:rPr>
        <w:t>Critically ill n</w:t>
      </w:r>
      <w:r w:rsidR="00590F97">
        <w:rPr>
          <w:lang w:val="en-AU"/>
        </w:rPr>
        <w:t>eonatal and paediatric patients</w:t>
      </w:r>
      <w:r>
        <w:rPr>
          <w:lang w:val="en-AU"/>
        </w:rPr>
        <w:t xml:space="preserve"> </w:t>
      </w:r>
      <w:r w:rsidR="00590F97">
        <w:rPr>
          <w:lang w:val="en-AU"/>
        </w:rPr>
        <w:t>– effects of FFP on outcomes</w:t>
      </w:r>
      <w:bookmarkEnd w:id="149"/>
      <w:r w:rsidR="00590F97">
        <w:t xml:space="preserve"> </w:t>
      </w:r>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7"/>
        <w:gridCol w:w="809"/>
        <w:gridCol w:w="808"/>
        <w:gridCol w:w="808"/>
        <w:gridCol w:w="808"/>
        <w:gridCol w:w="809"/>
      </w:tblGrid>
      <w:tr w:rsidR="00F00BFD" w14:paraId="679472BA" w14:textId="77777777" w:rsidTr="00467EEA">
        <w:trPr>
          <w:cantSplit/>
          <w:trHeight w:val="2078"/>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72E8DC68" w14:textId="1BD19910" w:rsidR="00F00BFD" w:rsidRPr="005E38DA" w:rsidRDefault="00F00BFD" w:rsidP="005E38DA">
            <w:pPr>
              <w:pStyle w:val="PP-heading"/>
              <w:spacing w:line="276" w:lineRule="auto"/>
              <w:rPr>
                <w:lang w:val="en-AU" w:eastAsia="zh-TW"/>
              </w:rPr>
            </w:pPr>
            <w:r>
              <w:rPr>
                <w:lang w:eastAsia="zh-TW"/>
              </w:rPr>
              <w:t xml:space="preserve">Evidence statements – </w:t>
            </w:r>
            <w:r>
              <w:rPr>
                <w:iCs w:val="0"/>
                <w:lang w:val="en-GB" w:eastAsia="zh-TW"/>
              </w:rPr>
              <w:t>critically ill (</w:t>
            </w:r>
            <w:r w:rsidR="005E38DA">
              <w:rPr>
                <w:lang w:val="en-AU" w:eastAsia="zh-TW"/>
              </w:rPr>
              <w:t>FFP)</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A5C8055"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9B43523" w14:textId="77777777" w:rsidR="00F00BFD" w:rsidRDefault="00F00BFD" w:rsidP="00F00BFD">
            <w:pPr>
              <w:spacing w:line="276" w:lineRule="auto"/>
              <w:ind w:left="113" w:right="113"/>
              <w:jc w:val="center"/>
              <w:rPr>
                <w:b/>
                <w:lang w:eastAsia="zh-TW"/>
              </w:rPr>
            </w:pPr>
            <w:r>
              <w:rPr>
                <w:b/>
                <w:lang w:eastAsia="zh-TW"/>
              </w:rPr>
              <w:t>Consistency</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1676E03"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7F42AF4" w14:textId="77777777" w:rsidR="00F00BFD" w:rsidRDefault="00F00BFD" w:rsidP="00F00BFD">
            <w:pPr>
              <w:spacing w:line="276" w:lineRule="auto"/>
              <w:ind w:left="113" w:right="113"/>
              <w:jc w:val="center"/>
              <w:rPr>
                <w:b/>
                <w:lang w:eastAsia="zh-TW"/>
              </w:rPr>
            </w:pPr>
            <w:r>
              <w:rPr>
                <w:b/>
                <w:lang w:eastAsia="zh-TW"/>
              </w:rPr>
              <w:t>Generalisability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D209F83"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1995418E"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5023970" w14:textId="77777777" w:rsidR="00F00BFD" w:rsidRDefault="00F00BFD" w:rsidP="00055495">
            <w:pPr>
              <w:pStyle w:val="Tabletextnoindent"/>
              <w:keepNext w:val="0"/>
              <w:numPr>
                <w:ilvl w:val="0"/>
                <w:numId w:val="0"/>
              </w:numPr>
              <w:rPr>
                <w:lang w:eastAsia="zh-TW"/>
              </w:rPr>
            </w:pPr>
            <w:r w:rsidRPr="00F82A38">
              <w:t>ES3.7</w:t>
            </w:r>
            <w:r>
              <w:t>6</w:t>
            </w:r>
          </w:p>
        </w:tc>
        <w:tc>
          <w:tcPr>
            <w:tcW w:w="3747" w:type="dxa"/>
            <w:tcBorders>
              <w:top w:val="single" w:sz="4" w:space="0" w:color="000000"/>
              <w:left w:val="single" w:sz="4" w:space="0" w:color="000000"/>
              <w:bottom w:val="single" w:sz="4" w:space="0" w:color="000000"/>
              <w:right w:val="single" w:sz="4" w:space="0" w:color="000000"/>
            </w:tcBorders>
            <w:hideMark/>
          </w:tcPr>
          <w:p w14:paraId="01625ECC" w14:textId="77777777" w:rsidR="00F00BFD" w:rsidRDefault="00F00BFD" w:rsidP="00055495">
            <w:pPr>
              <w:pStyle w:val="ES-table"/>
              <w:keepNext w:val="0"/>
              <w:rPr>
                <w:lang w:eastAsia="zh-TW"/>
              </w:rPr>
            </w:pPr>
            <w:r>
              <w:rPr>
                <w:lang w:eastAsia="zh-TW"/>
              </w:rPr>
              <w:t>In critically ill neonatal and paediatric patients, the effect of FFP compared with no FFP on mortality is uncertain.</w:t>
            </w:r>
          </w:p>
          <w:p w14:paraId="35DB7B2C" w14:textId="77777777" w:rsidR="00F00BFD" w:rsidRDefault="00F00BFD" w:rsidP="00055495">
            <w:pPr>
              <w:pStyle w:val="ES-notes"/>
              <w:keepNext w:val="0"/>
              <w:rPr>
                <w:lang w:eastAsia="zh-TW"/>
              </w:rPr>
            </w:pPr>
            <w:r>
              <w:rPr>
                <w:lang w:eastAsia="zh-TW"/>
              </w:rPr>
              <w:t>(See evidence matrix D3.R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40111044" w14:textId="77777777" w:rsidR="00F00BFD" w:rsidRDefault="00F00BFD" w:rsidP="00055495">
            <w:pPr>
              <w:pStyle w:val="T-ABCD"/>
              <w:spacing w:line="276" w:lineRule="auto"/>
              <w:rPr>
                <w:lang w:eastAsia="zh-TW"/>
              </w:rPr>
            </w:pP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69A9D85E" w14:textId="77777777" w:rsidR="00F00BFD" w:rsidRDefault="00F00BFD" w:rsidP="00055495">
            <w:pPr>
              <w:pStyle w:val="T-ABCD"/>
              <w:spacing w:line="276" w:lineRule="auto"/>
              <w:rPr>
                <w:lang w:eastAsia="zh-TW"/>
              </w:rPr>
            </w:pPr>
            <w:r>
              <w:rPr>
                <w:lang w:eastAsia="zh-TW"/>
              </w:rPr>
              <w:sym w:font="Symbol" w:char="F0D6"/>
            </w:r>
            <w:r>
              <w:rPr>
                <w:lang w:eastAsia="zh-TW"/>
              </w:rPr>
              <w:sym w:font="Symbol" w:char="F0D6"/>
            </w:r>
          </w:p>
        </w:tc>
        <w:tc>
          <w:tcPr>
            <w:tcW w:w="808" w:type="dxa"/>
            <w:tcBorders>
              <w:top w:val="single" w:sz="4" w:space="0" w:color="000000"/>
              <w:left w:val="single" w:sz="4" w:space="0" w:color="000000"/>
              <w:bottom w:val="single" w:sz="4" w:space="0" w:color="000000"/>
              <w:right w:val="single" w:sz="4" w:space="0" w:color="000000"/>
            </w:tcBorders>
            <w:hideMark/>
          </w:tcPr>
          <w:p w14:paraId="33DE7BEB" w14:textId="77777777" w:rsidR="00F00BFD" w:rsidRDefault="00F00BFD" w:rsidP="00055495">
            <w:pPr>
              <w:pStyle w:val="T-ABCD"/>
              <w:spacing w:line="276" w:lineRule="auto"/>
              <w:rPr>
                <w:lang w:eastAsia="zh-TW"/>
              </w:rPr>
            </w:pPr>
            <w:r>
              <w:rPr>
                <w:lang w:eastAsia="zh-TW"/>
              </w:rPr>
              <w:t>X</w:t>
            </w:r>
          </w:p>
        </w:tc>
        <w:tc>
          <w:tcPr>
            <w:tcW w:w="808" w:type="dxa"/>
            <w:tcBorders>
              <w:top w:val="single" w:sz="4" w:space="0" w:color="000000"/>
              <w:left w:val="single" w:sz="4" w:space="0" w:color="000000"/>
              <w:bottom w:val="single" w:sz="4" w:space="0" w:color="000000"/>
              <w:right w:val="single" w:sz="4" w:space="0" w:color="000000"/>
            </w:tcBorders>
            <w:hideMark/>
          </w:tcPr>
          <w:p w14:paraId="7944C42E" w14:textId="77777777" w:rsidR="00F00BFD" w:rsidRDefault="00F00BFD" w:rsidP="00055495">
            <w:pPr>
              <w:pStyle w:val="T-ABCD"/>
              <w:spacing w:line="276" w:lineRule="auto"/>
              <w:rPr>
                <w:lang w:eastAsia="zh-TW"/>
              </w:rPr>
            </w:pPr>
            <w:r>
              <w:rPr>
                <w:lang w:eastAsia="zh-TW"/>
              </w:rPr>
              <w:sym w:font="Symbol" w:char="F0D6"/>
            </w:r>
            <w:r>
              <w:rPr>
                <w:lang w:eastAsia="zh-TW"/>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E27026F" w14:textId="77777777" w:rsidR="00F00BFD" w:rsidRDefault="00F00BFD" w:rsidP="00055495">
            <w:pPr>
              <w:pStyle w:val="T-ABCD"/>
              <w:spacing w:line="276" w:lineRule="auto"/>
              <w:rPr>
                <w:lang w:eastAsia="zh-TW"/>
              </w:rPr>
            </w:pPr>
            <w:r>
              <w:rPr>
                <w:lang w:eastAsia="zh-TW"/>
              </w:rPr>
              <w:sym w:font="Symbol" w:char="F0D6"/>
            </w:r>
            <w:r>
              <w:rPr>
                <w:lang w:eastAsia="zh-TW"/>
              </w:rPr>
              <w:sym w:font="Symbol" w:char="F0D6"/>
            </w:r>
          </w:p>
        </w:tc>
      </w:tr>
      <w:tr w:rsidR="00F00BFD" w14:paraId="4FA4064F"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0E00A747" w14:textId="77777777" w:rsidR="00F00BFD" w:rsidRDefault="00F00BFD" w:rsidP="00055495">
            <w:pPr>
              <w:pStyle w:val="Tabletextnoindent"/>
              <w:keepNext w:val="0"/>
              <w:numPr>
                <w:ilvl w:val="0"/>
                <w:numId w:val="0"/>
              </w:numPr>
              <w:rPr>
                <w:lang w:eastAsia="zh-TW"/>
              </w:rPr>
            </w:pPr>
            <w:r w:rsidRPr="00F82A38">
              <w:t>ES3.77</w:t>
            </w:r>
          </w:p>
        </w:tc>
        <w:tc>
          <w:tcPr>
            <w:tcW w:w="3747" w:type="dxa"/>
            <w:tcBorders>
              <w:top w:val="single" w:sz="4" w:space="0" w:color="000000"/>
              <w:left w:val="single" w:sz="4" w:space="0" w:color="000000"/>
              <w:bottom w:val="single" w:sz="4" w:space="0" w:color="000000"/>
              <w:right w:val="single" w:sz="4" w:space="0" w:color="000000"/>
            </w:tcBorders>
            <w:hideMark/>
          </w:tcPr>
          <w:p w14:paraId="4A1DF53B" w14:textId="77777777" w:rsidR="00F00BFD" w:rsidRDefault="00F00BFD" w:rsidP="00055495">
            <w:pPr>
              <w:pStyle w:val="ES-table"/>
              <w:keepNext w:val="0"/>
              <w:rPr>
                <w:lang w:eastAsia="zh-TW"/>
              </w:rPr>
            </w:pPr>
            <w:r>
              <w:rPr>
                <w:lang w:eastAsia="zh-TW"/>
              </w:rPr>
              <w:t>In critically ill neonatal and paediatric patients, the effect of FFP compared with no FFP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7A55B93D"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5B04D13"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789ABBF"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78E69B3" w14:textId="77777777" w:rsidR="00F00BFD" w:rsidRDefault="00F00BFD" w:rsidP="00055495">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D79AB0E" w14:textId="77777777" w:rsidR="00F00BFD" w:rsidRDefault="00F00BFD" w:rsidP="00055495">
            <w:pPr>
              <w:pStyle w:val="T-ABCD"/>
              <w:spacing w:line="276" w:lineRule="auto"/>
              <w:rPr>
                <w:lang w:eastAsia="zh-TW"/>
              </w:rPr>
            </w:pPr>
            <w:r>
              <w:rPr>
                <w:lang w:eastAsia="zh-TW"/>
              </w:rPr>
              <w:t xml:space="preserve">NA </w:t>
            </w:r>
          </w:p>
        </w:tc>
      </w:tr>
      <w:tr w:rsidR="00F00BFD" w14:paraId="217FDFD0"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6292F6D0" w14:textId="77777777" w:rsidR="00F00BFD" w:rsidRDefault="00F00BFD" w:rsidP="00055495">
            <w:pPr>
              <w:pStyle w:val="Tabletextnoindent"/>
              <w:keepNext w:val="0"/>
              <w:numPr>
                <w:ilvl w:val="0"/>
                <w:numId w:val="0"/>
              </w:numPr>
              <w:rPr>
                <w:lang w:eastAsia="zh-TW"/>
              </w:rPr>
            </w:pPr>
            <w:r w:rsidRPr="00F82A38">
              <w:t>ES3.78</w:t>
            </w:r>
          </w:p>
        </w:tc>
        <w:tc>
          <w:tcPr>
            <w:tcW w:w="3747" w:type="dxa"/>
            <w:tcBorders>
              <w:top w:val="single" w:sz="4" w:space="0" w:color="000000"/>
              <w:left w:val="single" w:sz="4" w:space="0" w:color="000000"/>
              <w:bottom w:val="single" w:sz="4" w:space="0" w:color="000000"/>
              <w:right w:val="single" w:sz="4" w:space="0" w:color="000000"/>
            </w:tcBorders>
            <w:hideMark/>
          </w:tcPr>
          <w:p w14:paraId="3B137BE7" w14:textId="77777777" w:rsidR="00F00BFD" w:rsidRDefault="00F00BFD" w:rsidP="00055495">
            <w:pPr>
              <w:pStyle w:val="ES-table"/>
              <w:keepNext w:val="0"/>
              <w:rPr>
                <w:lang w:eastAsia="zh-TW"/>
              </w:rPr>
            </w:pPr>
            <w:r>
              <w:rPr>
                <w:lang w:eastAsia="zh-TW"/>
              </w:rPr>
              <w:t>In critically ill neonatal and paediatric patients, the effect of FFP compared with no FFP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75852DCC"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13AE5FF"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1B9616EB"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7FA0072" w14:textId="77777777" w:rsidR="00F00BFD" w:rsidRDefault="00F00BFD" w:rsidP="00055495">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CF015C3" w14:textId="77777777" w:rsidR="00F00BFD" w:rsidRDefault="00F00BFD" w:rsidP="00055495">
            <w:pPr>
              <w:pStyle w:val="T-ABCD"/>
              <w:spacing w:line="276" w:lineRule="auto"/>
              <w:rPr>
                <w:lang w:eastAsia="zh-TW"/>
              </w:rPr>
            </w:pPr>
            <w:r>
              <w:rPr>
                <w:lang w:eastAsia="zh-TW"/>
              </w:rPr>
              <w:t xml:space="preserve">NA </w:t>
            </w:r>
          </w:p>
        </w:tc>
      </w:tr>
      <w:tr w:rsidR="00F00BFD" w14:paraId="56304BC6"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1B9FFB6" w14:textId="77777777" w:rsidR="00F00BFD" w:rsidRDefault="00F00BFD" w:rsidP="00055495">
            <w:pPr>
              <w:pStyle w:val="Tabletextnoindent"/>
              <w:keepNext w:val="0"/>
              <w:numPr>
                <w:ilvl w:val="0"/>
                <w:numId w:val="0"/>
              </w:numPr>
              <w:rPr>
                <w:lang w:eastAsia="zh-TW"/>
              </w:rPr>
            </w:pPr>
            <w:r w:rsidRPr="00F82A38">
              <w:t>ES3.79</w:t>
            </w:r>
          </w:p>
        </w:tc>
        <w:tc>
          <w:tcPr>
            <w:tcW w:w="3747" w:type="dxa"/>
            <w:tcBorders>
              <w:top w:val="single" w:sz="4" w:space="0" w:color="000000"/>
              <w:left w:val="single" w:sz="4" w:space="0" w:color="000000"/>
              <w:bottom w:val="single" w:sz="4" w:space="0" w:color="000000"/>
              <w:right w:val="single" w:sz="4" w:space="0" w:color="000000"/>
            </w:tcBorders>
            <w:hideMark/>
          </w:tcPr>
          <w:p w14:paraId="1793B818" w14:textId="77777777" w:rsidR="00F00BFD" w:rsidRDefault="00F00BFD" w:rsidP="00055495">
            <w:pPr>
              <w:pStyle w:val="ES-table"/>
              <w:keepNext w:val="0"/>
              <w:rPr>
                <w:lang w:eastAsia="zh-TW"/>
              </w:rPr>
            </w:pPr>
            <w:r>
              <w:rPr>
                <w:lang w:eastAsia="zh-TW"/>
              </w:rPr>
              <w:t>In critically ill neonatal and paediatric patients, the effect of FFP compared with no FFP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190A356E"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7B08617"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A1504FD"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36D0F36" w14:textId="77777777" w:rsidR="00F00BFD" w:rsidRDefault="00F00BFD" w:rsidP="00055495">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69ED7863" w14:textId="77777777" w:rsidR="00F00BFD" w:rsidRDefault="00F00BFD" w:rsidP="00055495">
            <w:pPr>
              <w:pStyle w:val="T-ABCD"/>
              <w:spacing w:line="276" w:lineRule="auto"/>
              <w:rPr>
                <w:lang w:eastAsia="zh-TW"/>
              </w:rPr>
            </w:pPr>
            <w:r>
              <w:rPr>
                <w:lang w:eastAsia="zh-TW"/>
              </w:rPr>
              <w:t xml:space="preserve">NA </w:t>
            </w:r>
          </w:p>
        </w:tc>
      </w:tr>
      <w:tr w:rsidR="00F00BFD" w14:paraId="411DBA28"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5D7D4A8" w14:textId="77777777" w:rsidR="00F00BFD" w:rsidRDefault="00F00BFD" w:rsidP="00055495">
            <w:pPr>
              <w:pStyle w:val="Tabletextnoindent"/>
              <w:keepNext w:val="0"/>
              <w:numPr>
                <w:ilvl w:val="0"/>
                <w:numId w:val="0"/>
              </w:numPr>
              <w:rPr>
                <w:lang w:eastAsia="zh-TW"/>
              </w:rPr>
            </w:pPr>
            <w:r w:rsidRPr="00F82A38">
              <w:t>ES3.80</w:t>
            </w:r>
          </w:p>
        </w:tc>
        <w:tc>
          <w:tcPr>
            <w:tcW w:w="3747" w:type="dxa"/>
            <w:tcBorders>
              <w:top w:val="single" w:sz="4" w:space="0" w:color="000000"/>
              <w:left w:val="single" w:sz="4" w:space="0" w:color="000000"/>
              <w:bottom w:val="single" w:sz="4" w:space="0" w:color="000000"/>
              <w:right w:val="single" w:sz="4" w:space="0" w:color="000000"/>
            </w:tcBorders>
            <w:hideMark/>
          </w:tcPr>
          <w:p w14:paraId="1405EFD3" w14:textId="77777777" w:rsidR="00F00BFD" w:rsidRDefault="00F00BFD" w:rsidP="00055495">
            <w:pPr>
              <w:pStyle w:val="ES-table"/>
              <w:keepNext w:val="0"/>
              <w:rPr>
                <w:lang w:eastAsia="zh-TW"/>
              </w:rPr>
            </w:pPr>
            <w:r>
              <w:rPr>
                <w:lang w:eastAsia="zh-TW"/>
              </w:rPr>
              <w:t>In critically ill neonatal and paediatric patients, the effect of FFP compared with a different FFP transfusion strategy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42CE2D5F"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AAF666E"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5F990C2" w14:textId="77777777" w:rsidR="00F00BFD" w:rsidRDefault="00F00BFD" w:rsidP="00055495">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23333A0" w14:textId="77777777" w:rsidR="00F00BFD" w:rsidRDefault="00F00BFD" w:rsidP="00055495">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150501A" w14:textId="77777777" w:rsidR="00F00BFD" w:rsidRDefault="00F00BFD" w:rsidP="00055495">
            <w:pPr>
              <w:pStyle w:val="T-ABCD"/>
              <w:spacing w:line="276" w:lineRule="auto"/>
              <w:rPr>
                <w:lang w:eastAsia="zh-TW"/>
              </w:rPr>
            </w:pPr>
            <w:r>
              <w:rPr>
                <w:lang w:eastAsia="zh-TW"/>
              </w:rPr>
              <w:t xml:space="preserve">NA </w:t>
            </w:r>
          </w:p>
        </w:tc>
      </w:tr>
      <w:tr w:rsidR="00F00BFD" w14:paraId="19BB9659"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2C7B59AA" w14:textId="77777777" w:rsidR="00F00BFD" w:rsidRDefault="00F00BFD" w:rsidP="00F00BFD">
            <w:pPr>
              <w:pStyle w:val="Tabletextnoindent"/>
              <w:numPr>
                <w:ilvl w:val="0"/>
                <w:numId w:val="0"/>
              </w:numPr>
              <w:rPr>
                <w:lang w:eastAsia="zh-TW"/>
              </w:rPr>
            </w:pPr>
            <w:r w:rsidRPr="00F82A38">
              <w:t>ES3.81</w:t>
            </w:r>
          </w:p>
        </w:tc>
        <w:tc>
          <w:tcPr>
            <w:tcW w:w="3747" w:type="dxa"/>
            <w:tcBorders>
              <w:top w:val="single" w:sz="4" w:space="0" w:color="000000"/>
              <w:left w:val="single" w:sz="4" w:space="0" w:color="000000"/>
              <w:bottom w:val="single" w:sz="4" w:space="0" w:color="000000"/>
              <w:right w:val="single" w:sz="4" w:space="0" w:color="000000"/>
            </w:tcBorders>
            <w:hideMark/>
          </w:tcPr>
          <w:p w14:paraId="132B8D07" w14:textId="77777777" w:rsidR="00F00BFD" w:rsidRDefault="00F00BFD" w:rsidP="00F00BFD">
            <w:pPr>
              <w:pStyle w:val="ES-table"/>
              <w:rPr>
                <w:lang w:eastAsia="zh-TW"/>
              </w:rPr>
            </w:pPr>
            <w:r>
              <w:rPr>
                <w:lang w:eastAsia="zh-TW"/>
              </w:rPr>
              <w:t>In critically ill neonatal and paediatric patients, the effect of FFP compared with a different FFP transfusion strategy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08CDF6D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083AA3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3626C3F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838EAD2"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A953915" w14:textId="77777777" w:rsidR="00F00BFD" w:rsidRDefault="00F00BFD" w:rsidP="00F00BFD">
            <w:pPr>
              <w:pStyle w:val="T-ABCD"/>
              <w:spacing w:line="276" w:lineRule="auto"/>
              <w:rPr>
                <w:lang w:eastAsia="zh-TW"/>
              </w:rPr>
            </w:pPr>
            <w:r>
              <w:rPr>
                <w:lang w:eastAsia="zh-TW"/>
              </w:rPr>
              <w:t xml:space="preserve">NA </w:t>
            </w:r>
          </w:p>
        </w:tc>
      </w:tr>
      <w:tr w:rsidR="00F00BFD" w14:paraId="0E7837C7"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C83A541" w14:textId="77777777" w:rsidR="00F00BFD" w:rsidRDefault="00F00BFD" w:rsidP="00F00BFD">
            <w:pPr>
              <w:pStyle w:val="Tabletextnoindent"/>
              <w:numPr>
                <w:ilvl w:val="0"/>
                <w:numId w:val="0"/>
              </w:numPr>
              <w:rPr>
                <w:lang w:eastAsia="zh-TW"/>
              </w:rPr>
            </w:pPr>
            <w:r w:rsidRPr="00F82A38">
              <w:t>ES3.82</w:t>
            </w:r>
          </w:p>
        </w:tc>
        <w:tc>
          <w:tcPr>
            <w:tcW w:w="3747" w:type="dxa"/>
            <w:tcBorders>
              <w:top w:val="single" w:sz="4" w:space="0" w:color="000000"/>
              <w:left w:val="single" w:sz="4" w:space="0" w:color="000000"/>
              <w:bottom w:val="single" w:sz="4" w:space="0" w:color="000000"/>
              <w:right w:val="single" w:sz="4" w:space="0" w:color="000000"/>
            </w:tcBorders>
            <w:hideMark/>
          </w:tcPr>
          <w:p w14:paraId="71678F0B" w14:textId="77777777" w:rsidR="00F00BFD" w:rsidRDefault="00F00BFD" w:rsidP="00F00BFD">
            <w:pPr>
              <w:pStyle w:val="ES-table"/>
              <w:rPr>
                <w:lang w:eastAsia="zh-TW"/>
              </w:rPr>
            </w:pPr>
            <w:r>
              <w:rPr>
                <w:lang w:eastAsia="zh-TW"/>
              </w:rPr>
              <w:t>In critically ill neonatal and paediatric patients, the effect of FFP compared with a different FFP transfusion strategy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2CE7906F"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4A9CBA7B"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9AAD773"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A183DA8"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F0218A4" w14:textId="77777777" w:rsidR="00F00BFD" w:rsidRDefault="00F00BFD" w:rsidP="00F00BFD">
            <w:pPr>
              <w:pStyle w:val="T-ABCD"/>
              <w:spacing w:line="276" w:lineRule="auto"/>
              <w:rPr>
                <w:lang w:eastAsia="zh-TW"/>
              </w:rPr>
            </w:pPr>
            <w:r>
              <w:rPr>
                <w:lang w:eastAsia="zh-TW"/>
              </w:rPr>
              <w:t xml:space="preserve">NA </w:t>
            </w:r>
          </w:p>
        </w:tc>
      </w:tr>
      <w:tr w:rsidR="00F00BFD" w14:paraId="3934A8C2"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35008BDC" w14:textId="77777777" w:rsidR="00F00BFD" w:rsidRDefault="00F00BFD" w:rsidP="00F00BFD">
            <w:pPr>
              <w:pStyle w:val="Tabletextnoindent"/>
              <w:numPr>
                <w:ilvl w:val="0"/>
                <w:numId w:val="0"/>
              </w:numPr>
              <w:rPr>
                <w:lang w:eastAsia="zh-TW"/>
              </w:rPr>
            </w:pPr>
            <w:r w:rsidRPr="00F82A38">
              <w:t>ES3.83</w:t>
            </w:r>
          </w:p>
        </w:tc>
        <w:tc>
          <w:tcPr>
            <w:tcW w:w="3747" w:type="dxa"/>
            <w:tcBorders>
              <w:top w:val="single" w:sz="4" w:space="0" w:color="000000"/>
              <w:left w:val="single" w:sz="4" w:space="0" w:color="000000"/>
              <w:bottom w:val="single" w:sz="4" w:space="0" w:color="000000"/>
              <w:right w:val="single" w:sz="4" w:space="0" w:color="000000"/>
            </w:tcBorders>
            <w:hideMark/>
          </w:tcPr>
          <w:p w14:paraId="71024418" w14:textId="77777777" w:rsidR="00F00BFD" w:rsidRDefault="00F00BFD" w:rsidP="00F00BFD">
            <w:pPr>
              <w:pStyle w:val="ES-table"/>
              <w:rPr>
                <w:lang w:eastAsia="zh-TW"/>
              </w:rPr>
            </w:pPr>
            <w:r>
              <w:rPr>
                <w:lang w:eastAsia="zh-TW"/>
              </w:rPr>
              <w:t>In critically ill neonatal and paediatric patients, the effect of FFP compared with a different FFP transfusion strategy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7EFB505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A470589"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1AC1516"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1B1CF4D"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D6A7C70" w14:textId="77777777" w:rsidR="00F00BFD" w:rsidRDefault="00F00BFD" w:rsidP="00F00BFD">
            <w:pPr>
              <w:pStyle w:val="T-ABCD"/>
              <w:spacing w:line="276" w:lineRule="auto"/>
              <w:rPr>
                <w:lang w:eastAsia="zh-TW"/>
              </w:rPr>
            </w:pPr>
            <w:r>
              <w:rPr>
                <w:lang w:eastAsia="zh-TW"/>
              </w:rPr>
              <w:t xml:space="preserve">NA </w:t>
            </w:r>
          </w:p>
        </w:tc>
      </w:tr>
      <w:tr w:rsidR="00F00BFD" w14:paraId="4BDEFCA0" w14:textId="77777777" w:rsidTr="00F00BFD">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343AECAD" w14:textId="6CAC5F70" w:rsidR="00F00BFD" w:rsidRPr="00727D7E" w:rsidRDefault="00F00BFD" w:rsidP="00F00BFD">
            <w:pPr>
              <w:pStyle w:val="ES-notes"/>
            </w:pPr>
            <w:r>
              <w:rPr>
                <w:lang w:eastAsia="zh-TW"/>
              </w:rPr>
              <w:t xml:space="preserve">ES, evidence statement; FFP, </w:t>
            </w:r>
            <w:r w:rsidRPr="00727D7E">
              <w:t>fresh frozen plasma</w:t>
            </w:r>
            <w:r w:rsidR="004828DA">
              <w:t xml:space="preserve"> </w:t>
            </w:r>
          </w:p>
          <w:p w14:paraId="5396664A" w14:textId="77777777" w:rsidR="00F00BFD" w:rsidRDefault="00F00BFD" w:rsidP="00F00BFD">
            <w:pPr>
              <w:pStyle w:val="ES-notes"/>
              <w:rPr>
                <w:lang w:eastAsia="zh-TW"/>
              </w:rPr>
            </w:pPr>
            <w:r w:rsidRPr="00727D7E">
              <w:sym w:font="Symbol" w:char="F0D6"/>
            </w:r>
            <w:r w:rsidRPr="00727D7E">
              <w:sym w:font="Symbol" w:char="F0D6"/>
            </w:r>
            <w:r w:rsidRPr="00727D7E">
              <w:sym w:font="Symbol" w:char="F0D6"/>
            </w:r>
            <w:r w:rsidRPr="00727D7E">
              <w:t xml:space="preserve">=A; </w:t>
            </w:r>
            <w:r w:rsidRPr="00727D7E">
              <w:sym w:font="Symbol" w:char="F0D6"/>
            </w:r>
            <w:r w:rsidRPr="00727D7E">
              <w:sym w:font="Symbol" w:char="F0D6"/>
            </w:r>
            <w:r w:rsidRPr="00727D7E">
              <w:t xml:space="preserve">=B; </w:t>
            </w:r>
            <w:r w:rsidRPr="00727D7E">
              <w:sym w:font="Symbol" w:char="F0D6"/>
            </w:r>
            <w:r w:rsidRPr="00727D7E">
              <w:t>=C; X=D; NA, not</w:t>
            </w:r>
            <w:r>
              <w:rPr>
                <w:lang w:eastAsia="zh-TW"/>
              </w:rPr>
              <w:t xml:space="preserve"> applicable</w:t>
            </w:r>
          </w:p>
        </w:tc>
      </w:tr>
    </w:tbl>
    <w:p w14:paraId="448E5480"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4AAAF789"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234C8C31" w14:textId="7217EB09" w:rsidR="00F00BFD" w:rsidRPr="005E38DA" w:rsidRDefault="00F00BFD" w:rsidP="005E38DA">
            <w:pPr>
              <w:pStyle w:val="PP-heading"/>
              <w:rPr>
                <w:lang w:val="en-AU"/>
              </w:rPr>
            </w:pPr>
            <w:r w:rsidRPr="00F921CD">
              <w:t>Practice point</w:t>
            </w:r>
            <w:r>
              <w:t>s</w:t>
            </w:r>
            <w:r w:rsidRPr="00F921CD">
              <w:t xml:space="preserve"> – </w:t>
            </w:r>
            <w:r w:rsidR="00590F97">
              <w:rPr>
                <w:lang w:val="en-AU"/>
              </w:rPr>
              <w:t xml:space="preserve">critically ill </w:t>
            </w:r>
            <w:r w:rsidR="005E38DA">
              <w:rPr>
                <w:lang w:val="en-AU"/>
              </w:rPr>
              <w:t>(FFP)</w:t>
            </w:r>
          </w:p>
        </w:tc>
      </w:tr>
      <w:tr w:rsidR="00F00BFD" w:rsidRPr="00F921CD" w14:paraId="0F6833FE" w14:textId="77777777" w:rsidTr="00590F97">
        <w:tc>
          <w:tcPr>
            <w:tcW w:w="1117" w:type="dxa"/>
            <w:tcBorders>
              <w:right w:val="single" w:sz="4" w:space="0" w:color="auto"/>
            </w:tcBorders>
            <w:shd w:val="clear" w:color="auto" w:fill="auto"/>
          </w:tcPr>
          <w:p w14:paraId="1BE72467" w14:textId="77777777" w:rsidR="00F00BFD" w:rsidRPr="00F921CD" w:rsidRDefault="00F00BFD" w:rsidP="00590F97">
            <w:pPr>
              <w:pStyle w:val="PP"/>
            </w:pPr>
            <w:r w:rsidRPr="00F921CD">
              <w:t>PP</w:t>
            </w:r>
            <w:r>
              <w:t>28</w:t>
            </w:r>
          </w:p>
        </w:tc>
        <w:tc>
          <w:tcPr>
            <w:tcW w:w="7560" w:type="dxa"/>
            <w:tcBorders>
              <w:left w:val="single" w:sz="4" w:space="0" w:color="auto"/>
            </w:tcBorders>
            <w:shd w:val="clear" w:color="auto" w:fill="auto"/>
          </w:tcPr>
          <w:p w14:paraId="0D6C50E6" w14:textId="77777777" w:rsidR="00F00BFD" w:rsidRPr="00F921CD" w:rsidRDefault="00F00BFD" w:rsidP="00590F97">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590F97" w:rsidRPr="00F921CD" w14:paraId="03B2D2E6" w14:textId="77777777" w:rsidTr="00590F97">
        <w:tc>
          <w:tcPr>
            <w:tcW w:w="1117" w:type="dxa"/>
            <w:tcBorders>
              <w:right w:val="single" w:sz="4" w:space="0" w:color="auto"/>
            </w:tcBorders>
            <w:shd w:val="clear" w:color="auto" w:fill="auto"/>
          </w:tcPr>
          <w:p w14:paraId="2B9F3FBC" w14:textId="6B58EB19" w:rsidR="00590F97" w:rsidRPr="00F921CD" w:rsidDel="00F053AA" w:rsidRDefault="00590F97" w:rsidP="00590F97">
            <w:pPr>
              <w:pStyle w:val="Normal-noindent"/>
              <w:rPr>
                <w:rFonts w:asciiTheme="minorHAnsi" w:hAnsiTheme="minorHAnsi"/>
              </w:rPr>
            </w:pPr>
            <w:r>
              <w:t>PP29</w:t>
            </w:r>
          </w:p>
        </w:tc>
        <w:tc>
          <w:tcPr>
            <w:tcW w:w="7560" w:type="dxa"/>
            <w:tcBorders>
              <w:left w:val="single" w:sz="4" w:space="0" w:color="auto"/>
            </w:tcBorders>
            <w:shd w:val="clear" w:color="auto" w:fill="auto"/>
          </w:tcPr>
          <w:p w14:paraId="2D8682E9" w14:textId="1E8A952D" w:rsidR="00590F97" w:rsidRPr="008166BF" w:rsidRDefault="00590F97" w:rsidP="0075152F">
            <w:pPr>
              <w:pStyle w:val="PP"/>
              <w:keepNext/>
              <w:rPr>
                <w:vertAlign w:val="superscript"/>
              </w:rPr>
            </w:pPr>
            <w:r>
              <w:t xml:space="preserve">For </w:t>
            </w:r>
            <w:r w:rsidRPr="008166BF">
              <w:t>guidance</w:t>
            </w:r>
            <w:r>
              <w:t xml:space="preserve"> on the use of FFP</w:t>
            </w:r>
            <w:r w:rsidR="004828DA">
              <w:t xml:space="preserve"> </w:t>
            </w:r>
            <w:r>
              <w:t>in specific patient groups, refer to</w:t>
            </w:r>
            <w:r w:rsidR="002C3690">
              <w:rPr>
                <w:lang w:val="en-AU"/>
              </w:rPr>
              <w:t>:</w:t>
            </w:r>
            <w:r w:rsidRPr="008166BF">
              <w:rPr>
                <w:vertAlign w:val="superscript"/>
              </w:rPr>
              <w:t>a</w:t>
            </w:r>
          </w:p>
          <w:p w14:paraId="1C58E396" w14:textId="15F654CB" w:rsidR="00590F97" w:rsidRPr="00886B81" w:rsidRDefault="00590F97" w:rsidP="00590F97">
            <w:pPr>
              <w:pStyle w:val="PP-bullets"/>
              <w:numPr>
                <w:ilvl w:val="0"/>
                <w:numId w:val="3"/>
              </w:numPr>
              <w:rPr>
                <w:i/>
              </w:rPr>
            </w:pPr>
            <w:r w:rsidRPr="00886B81">
              <w:rPr>
                <w:i/>
              </w:rPr>
              <w:t>Patient Blood Management Guidelines: Module 1 – Critical Bleeding/Massive Transfusion (2011)</w:t>
            </w:r>
            <w:hyperlink w:anchor="_ENREF_1" w:tooltip="National Blood Authority (NBA), 2011 #199" w:history="1">
              <w:r w:rsidR="00E62798">
                <w:rPr>
                  <w:lang w:val="en-AU"/>
                </w:rPr>
                <w:fldChar w:fldCharType="begin"/>
              </w:r>
              <w:r w:rsidR="00E62798">
                <w:rPr>
                  <w:lang w:val="en-AU"/>
                </w:rPr>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rPr>
                  <w:lang w:val="en-AU"/>
                </w:rPr>
                <w:fldChar w:fldCharType="separate"/>
              </w:r>
              <w:r w:rsidR="00E62798" w:rsidRPr="00E62798">
                <w:rPr>
                  <w:noProof/>
                  <w:vertAlign w:val="superscript"/>
                  <w:lang w:val="en-AU"/>
                </w:rPr>
                <w:t>1</w:t>
              </w:r>
              <w:r w:rsidR="00E62798">
                <w:rPr>
                  <w:lang w:val="en-AU"/>
                </w:rPr>
                <w:fldChar w:fldCharType="end"/>
              </w:r>
            </w:hyperlink>
          </w:p>
          <w:p w14:paraId="191FBB26" w14:textId="094E58F7" w:rsidR="00590F97" w:rsidRPr="00886B81" w:rsidRDefault="00590F97" w:rsidP="00590F97">
            <w:pPr>
              <w:pStyle w:val="PP-bullets"/>
              <w:numPr>
                <w:ilvl w:val="0"/>
                <w:numId w:val="3"/>
              </w:numPr>
              <w:rPr>
                <w:i/>
              </w:rPr>
            </w:pPr>
            <w:r w:rsidRPr="00886B81">
              <w:rPr>
                <w:i/>
              </w:rPr>
              <w:t>Patient Blood Management Guidelines: Module 2 – Perioperative (2012)</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715B697C" w14:textId="5459B28D" w:rsidR="00590F97" w:rsidRPr="00886B81" w:rsidRDefault="00590F97" w:rsidP="00590F97">
            <w:pPr>
              <w:pStyle w:val="PP-bullets"/>
              <w:numPr>
                <w:ilvl w:val="0"/>
                <w:numId w:val="3"/>
              </w:numPr>
              <w:rPr>
                <w:i/>
              </w:rPr>
            </w:pPr>
            <w:r w:rsidRPr="00886B81">
              <w:rPr>
                <w:i/>
              </w:rPr>
              <w:t>Warfarin Reversal: Consensus Guidelines, on behalf of the Australasian Society of Thrombosis and Haemostasis (2004)</w:t>
            </w:r>
            <w:hyperlink w:anchor="_ENREF_15" w:tooltip="Baker, 2004 #551" w:history="1">
              <w:r w:rsidR="00E62798">
                <w:fldChar w:fldCharType="begin"/>
              </w:r>
              <w:r w:rsidR="00E62798">
                <w:instrText xml:space="preserve"> ADDIN EN.CITE &lt;EndNote&gt;&lt;Cite&gt;&lt;Author&gt;Baker&lt;/Author&gt;&lt;Year&gt;2004&lt;/Year&gt;&lt;RecNum&gt;551&lt;/RecNum&gt;&lt;DisplayText&gt;&lt;style face="superscript"&gt;15&lt;/style&gt;&lt;/DisplayText&gt;&lt;record&gt;&lt;rec-number&gt;551&lt;/rec-number&gt;&lt;foreign-keys&gt;&lt;key app="EN" db-id="9edve2wadsavt5ewavaxtda4f2tavzvts9ee" timestamp="1429939807"&gt;551&lt;/key&gt;&lt;/foreign-keys&gt;&lt;ref-type name="Journal Article"&gt;17&lt;/ref-type&gt;&lt;contributors&gt;&lt;authors&gt;&lt;author&gt;Baker, R. I.&lt;/author&gt;&lt;author&gt;Coughlin, P. B.&lt;/author&gt;&lt;author&gt;Gallus, A. S.&lt;/author&gt;&lt;author&gt;Harper, P. L.&lt;/author&gt;&lt;author&gt;Salem, H. H.&lt;/author&gt;&lt;author&gt;Wood, E. M.&lt;/author&gt;&lt;author&gt;Warfarin Reversal Consensus, Group&lt;/author&gt;&lt;/authors&gt;&lt;/contributors&gt;&lt;titles&gt;&lt;title&gt;Warfarin reversal: consensus guidelines, on behalf of the Australasian Society of Thrombosis and Haemostasis&lt;/title&gt;&lt;secondary-title&gt;The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492–497&lt;/pages&gt;&lt;volume&gt;181&lt;/volume&gt;&lt;number&gt;9&lt;/number&gt;&lt;dates&gt;&lt;year&gt;2004&lt;/year&gt;&lt;/dates&gt;&lt;isbn&gt;0025-729X&lt;/isbn&gt;&lt;urls&gt;&lt;related-urls&gt;&lt;url&gt;https://www.mja.com.au/system/files/issues/181_09_011104/bak10441_fm.pdf&lt;/url&gt;&lt;/related-urls&gt;&lt;/urls&gt;&lt;/record&gt;&lt;/Cite&gt;&lt;/EndNote&gt;</w:instrText>
              </w:r>
              <w:r w:rsidR="00E62798">
                <w:fldChar w:fldCharType="separate"/>
              </w:r>
              <w:r w:rsidR="00E62798" w:rsidRPr="00E62798">
                <w:rPr>
                  <w:noProof/>
                  <w:vertAlign w:val="superscript"/>
                </w:rPr>
                <w:t>15</w:t>
              </w:r>
              <w:r w:rsidR="00E62798">
                <w:fldChar w:fldCharType="end"/>
              </w:r>
            </w:hyperlink>
          </w:p>
          <w:p w14:paraId="5AEA9B3A" w14:textId="77777777" w:rsidR="00590F97" w:rsidRPr="00886B81" w:rsidRDefault="00590F97" w:rsidP="00590F97">
            <w:pPr>
              <w:pStyle w:val="PP-bullets"/>
              <w:numPr>
                <w:ilvl w:val="0"/>
                <w:numId w:val="3"/>
              </w:numPr>
            </w:pPr>
            <w:r w:rsidRPr="00886B81">
              <w:t>AHCDO guidelines for patients with specific factor deficiencies (www.ahcdo.org.au)</w:t>
            </w:r>
          </w:p>
          <w:p w14:paraId="7551F089" w14:textId="2B2AE5F0" w:rsidR="00590F97" w:rsidRPr="00886B81" w:rsidRDefault="00590F97" w:rsidP="00590F97">
            <w:pPr>
              <w:pStyle w:val="PP-bullets"/>
              <w:numPr>
                <w:ilvl w:val="0"/>
                <w:numId w:val="3"/>
              </w:numPr>
              <w:rPr>
                <w:i/>
              </w:rPr>
            </w:pPr>
            <w:r w:rsidRPr="00886B81">
              <w:rPr>
                <w:i/>
              </w:rPr>
              <w:t>Guidelines for the Use of Fresh-Frozen Plasma, Cryoprecipitate and Cryosupernatant (2004)</w:t>
            </w:r>
            <w:r w:rsidR="006D542E">
              <w:rPr>
                <w:lang w:val="en-AU"/>
              </w:rPr>
              <w:t>.</w:t>
            </w:r>
            <w:hyperlink w:anchor="_ENREF_16" w:tooltip="O'Shaughnessy, 2004 #1046" w:history="1">
              <w:r w:rsidR="00E62798">
                <w:fldChar w:fldCharType="begin"/>
              </w:r>
              <w:r w:rsidR="00E62798">
                <w:instrText xml:space="preserve"> ADDIN EN.CITE &lt;EndNote&gt;&lt;Cite&gt;&lt;Author&gt;O&amp;apos;Shaughnessy&lt;/Author&gt;&lt;Year&gt;2004&lt;/Year&gt;&lt;RecNum&gt;1046&lt;/RecNum&gt;&lt;DisplayText&gt;&lt;style face="superscript"&gt;16&lt;/style&gt;&lt;/DisplayText&gt;&lt;record&gt;&lt;rec-number&gt;1046&lt;/rec-number&gt;&lt;foreign-keys&gt;&lt;key app="EN" db-id="9edve2wadsavt5ewavaxtda4f2tavzvts9ee" timestamp="1438836074"&gt;1046&lt;/key&gt;&lt;/foreign-keys&gt;&lt;ref-type name="Journal Article"&gt;17&lt;/ref-type&gt;&lt;contributors&gt;&lt;authors&gt;&lt;author&gt;O&amp;apos;Shaughnessy, D. F.&lt;/author&gt;&lt;author&gt;Atterbury, C.&lt;/author&gt;&lt;author&gt;Bolton Maggs, P.&lt;/author&gt;&lt;author&gt;Murphy, M.&lt;/author&gt;&lt;author&gt;Thomas, D.&lt;/author&gt;&lt;author&gt;Yates, S.&lt;/author&gt;&lt;author&gt;Williamson, L. M.&lt;/author&gt;&lt;author&gt;British Committee for Standards in Haematology, Blood Transfusion Task Force&lt;/author&gt;&lt;/authors&gt;&lt;/contributors&gt;&lt;auth-address&gt;Southampton University Hospitals, Southampton, UK.&lt;/auth-address&gt;&lt;titles&gt;&lt;title&gt;Guidelines for the use of fresh-frozen plasma, cryoprecipitate and cryosupernatant&lt;/title&gt;&lt;secondary-title&gt;Br J Haematol&lt;/secondary-title&gt;&lt;/titles&gt;&lt;periodical&gt;&lt;full-title&gt;Br J Haematol&lt;/full-title&gt;&lt;abbr-1&gt;British journal of haematology&lt;/abbr-1&gt;&lt;/periodical&gt;&lt;pages&gt;11-28&lt;/pages&gt;&lt;volume&gt;126&lt;/volume&gt;&lt;number&gt;1&lt;/number&gt;&lt;keywords&gt;&lt;keyword&gt;Adult&lt;/keyword&gt;&lt;keyword&gt;Blood Coagulation Disorders/*therapy&lt;/keyword&gt;&lt;keyword&gt;Blood Component Transfusion/*methods&lt;/keyword&gt;&lt;keyword&gt;Child&lt;/keyword&gt;&lt;keyword&gt;Humans&lt;/keyword&gt;&lt;keyword&gt;*Patient Selection&lt;/keyword&gt;&lt;keyword&gt;*Plasma&lt;/keyword&gt;&lt;/keywords&gt;&lt;dates&gt;&lt;year&gt;2004&lt;/year&gt;&lt;pub-dates&gt;&lt;date&gt;Jul&lt;/date&gt;&lt;/pub-dates&gt;&lt;/dates&gt;&lt;isbn&gt;0007-1048 (Print)&amp;#xD;0007-1048 (Linking)&lt;/isbn&gt;&lt;accession-num&gt;15198728&lt;/accession-num&gt;&lt;urls&gt;&lt;related-urls&gt;&lt;url&gt;http://www.ncbi.nlm.nih.gov/pubmed/15198728&lt;/url&gt;&lt;/related-urls&gt;&lt;/urls&gt;&lt;electronic-resource-num&gt;10.1111/j.1365-2141.2004.04972.x&lt;/electronic-resource-num&gt;&lt;/record&gt;&lt;/Cite&gt;&lt;/EndNote&gt;</w:instrText>
              </w:r>
              <w:r w:rsidR="00E62798">
                <w:fldChar w:fldCharType="separate"/>
              </w:r>
              <w:r w:rsidR="00E62798" w:rsidRPr="00E62798">
                <w:rPr>
                  <w:noProof/>
                  <w:vertAlign w:val="superscript"/>
                </w:rPr>
                <w:t>16</w:t>
              </w:r>
              <w:r w:rsidR="00E62798">
                <w:fldChar w:fldCharType="end"/>
              </w:r>
            </w:hyperlink>
          </w:p>
          <w:p w14:paraId="1C124376" w14:textId="04870D72" w:rsidR="00590F97" w:rsidRPr="00F921CD" w:rsidRDefault="00590F97" w:rsidP="00E62798">
            <w:pPr>
              <w:pStyle w:val="PP-note"/>
            </w:pPr>
            <w:r w:rsidRPr="0075152F">
              <w:rPr>
                <w:vertAlign w:val="superscript"/>
              </w:rPr>
              <w:t>a</w:t>
            </w:r>
            <w:r>
              <w:t xml:space="preserve"> </w:t>
            </w:r>
            <w:r w:rsidR="00CE5AC9">
              <w:t>See</w:t>
            </w:r>
            <w:r>
              <w:t xml:space="preserve"> PP17 from </w:t>
            </w:r>
            <w:r w:rsidRPr="008166BF">
              <w:rPr>
                <w:i/>
              </w:rPr>
              <w:t xml:space="preserve">Patient Blood Management Guidelines: Module </w:t>
            </w:r>
            <w:r>
              <w:rPr>
                <w:i/>
              </w:rPr>
              <w:t>3 – Medical</w:t>
            </w:r>
            <w:r w:rsidR="002C3690">
              <w:t>.</w:t>
            </w:r>
            <w:hyperlink w:anchor="_ENREF_3" w:tooltip="National Blood Authority (NBA), 2012 #197" w:history="1">
              <w:r w:rsidR="00E62798">
                <w:fldChar w:fldCharType="begin"/>
              </w:r>
              <w:r w:rsidR="00E62798">
                <w:instrText xml:space="preserve"> ADDIN EN.CITE &lt;EndNote&gt;&lt;Cite&gt;&lt;Author&gt;National Blood Authority (NBA)&lt;/Author&gt;&lt;Year&gt;2012&lt;/Year&gt;&lt;RecNum&gt;197&lt;/RecNum&gt;&lt;DisplayText&gt;&lt;style face="superscript"&gt;3&lt;/style&gt;&lt;/DisplayText&gt;&lt;record&gt;&lt;rec-number&gt;197&lt;/rec-number&gt;&lt;foreign-keys&gt;&lt;key app="EN" db-id="9edve2wadsavt5ewavaxtda4f2tavzvts9ee" timestamp="1426642642"&gt;197&lt;/key&gt;&lt;/foreign-keys&gt;&lt;ref-type name="Government Document"&gt;46&lt;/ref-type&gt;&lt;contributors&gt;&lt;authors&gt;&lt;author&gt;National Blood Authority (NBA),&lt;/author&gt;&lt;/authors&gt;&lt;/contributors&gt;&lt;titles&gt;&lt;title&gt;Patient Blood Management Guidelines: Module 3 – Medical&lt;/title&gt;&lt;/titles&gt;&lt;dates&gt;&lt;year&gt;2012&lt;/year&gt;&lt;/dates&gt;&lt;pub-location&gt;Canberra, Australia&lt;/pub-location&gt;&lt;publisher&gt;NBA&lt;/publisher&gt;&lt;urls&gt;&lt;related-urls&gt;&lt;url&gt;http://www.blood.gov.au/pbm-module-3&lt;/url&gt;&lt;/related-urls&gt;&lt;/urls&gt;&lt;access-date&gt;1 February 2014&lt;/access-date&gt;&lt;/record&gt;&lt;/Cite&gt;&lt;/EndNote&gt;</w:instrText>
              </w:r>
              <w:r w:rsidR="00E62798">
                <w:fldChar w:fldCharType="separate"/>
              </w:r>
              <w:r w:rsidR="00E62798" w:rsidRPr="00E62798">
                <w:rPr>
                  <w:noProof/>
                  <w:vertAlign w:val="superscript"/>
                </w:rPr>
                <w:t>3</w:t>
              </w:r>
              <w:r w:rsidR="00E62798">
                <w:fldChar w:fldCharType="end"/>
              </w:r>
            </w:hyperlink>
          </w:p>
        </w:tc>
      </w:tr>
      <w:tr w:rsidR="00F00BFD" w:rsidRPr="00F921CD" w14:paraId="147117B0" w14:textId="77777777" w:rsidTr="00590F97">
        <w:trPr>
          <w:trHeight w:val="397"/>
        </w:trPr>
        <w:tc>
          <w:tcPr>
            <w:tcW w:w="8677" w:type="dxa"/>
            <w:gridSpan w:val="2"/>
            <w:shd w:val="clear" w:color="auto" w:fill="auto"/>
          </w:tcPr>
          <w:p w14:paraId="7E516A89" w14:textId="128B85BA" w:rsidR="00F00BFD" w:rsidRPr="00F921CD" w:rsidRDefault="002C3690" w:rsidP="00590F97">
            <w:pPr>
              <w:pStyle w:val="PP-note"/>
            </w:pPr>
            <w:r w:rsidRPr="006D542E">
              <w:t>AHCDO,</w:t>
            </w:r>
            <w:r>
              <w:rPr>
                <w:rStyle w:val="TablefootnoteChar"/>
              </w:rPr>
              <w:t xml:space="preserve"> </w:t>
            </w:r>
            <w:r>
              <w:t xml:space="preserve">Australian Haemophilia Centre Directors’ Organisation; </w:t>
            </w:r>
            <w:r w:rsidR="00F00BFD" w:rsidRPr="00F921CD">
              <w:t>FFP, fresh frozen plasma; PP, practice point</w:t>
            </w:r>
          </w:p>
        </w:tc>
      </w:tr>
    </w:tbl>
    <w:p w14:paraId="51A66F9D" w14:textId="77777777" w:rsidR="00F00BFD" w:rsidRDefault="00F00BFD" w:rsidP="00F00BFD"/>
    <w:p w14:paraId="7914A81B" w14:textId="77777777" w:rsidR="00F00BFD" w:rsidRDefault="00F00BFD" w:rsidP="00F00BFD">
      <w:pPr>
        <w:pStyle w:val="Heading4"/>
        <w:ind w:left="0" w:firstLine="720"/>
      </w:pPr>
      <w:r>
        <w:t>Summary of evidence</w:t>
      </w:r>
    </w:p>
    <w:p w14:paraId="28821E5A" w14:textId="10923263" w:rsidR="00F00BFD" w:rsidRPr="006C0F13" w:rsidRDefault="002F070E" w:rsidP="002F070E">
      <w:r>
        <w:t>This review</w:t>
      </w:r>
      <w:r w:rsidR="00F00BFD" w:rsidRPr="006C0F13">
        <w:t xml:space="preserve"> identified two </w:t>
      </w:r>
      <w:r w:rsidR="00F00BFD">
        <w:t xml:space="preserve">eligible </w:t>
      </w:r>
      <w:r>
        <w:t>Level III studies that</w:t>
      </w:r>
      <w:r w:rsidR="00F00BFD" w:rsidRPr="006C0F13">
        <w:t xml:space="preserve"> examined the effect of FFP compared with no FFP in critically ill paediatric patients</w:t>
      </w:r>
      <w:r>
        <w:t>, both of good quality:</w:t>
      </w:r>
    </w:p>
    <w:p w14:paraId="22D336FE" w14:textId="38FE6BA9" w:rsidR="00F00BFD" w:rsidRPr="006C0F13" w:rsidRDefault="002F070E" w:rsidP="002F070E">
      <w:pPr>
        <w:pStyle w:val="Bullet6"/>
      </w:pPr>
      <w:r>
        <w:rPr>
          <w:lang w:val="en-AU"/>
        </w:rPr>
        <w:t>a</w:t>
      </w:r>
      <w:r>
        <w:t xml:space="preserve"> </w:t>
      </w:r>
      <w:r w:rsidR="00F00BFD" w:rsidRPr="006C0F13">
        <w:t>retrospective analysis of 315 paediatric patients with acute lung injur</w:t>
      </w:r>
      <w:r>
        <w:t xml:space="preserve">y in two PICUs in the USA that </w:t>
      </w:r>
      <w:r w:rsidR="00F00BFD" w:rsidRPr="006C0F13">
        <w:t>compared mortality and ventilation outcomes among patients who received</w:t>
      </w:r>
      <w:r w:rsidR="00F00BFD">
        <w:t xml:space="preserve"> FFP</w:t>
      </w:r>
      <w:r>
        <w:t xml:space="preserve"> and those who did not</w:t>
      </w:r>
      <w:hyperlink w:anchor="_ENREF_155" w:tooltip="Church, 2009 #133" w:history="1">
        <w:r w:rsidR="00E62798">
          <w:fldChar w:fldCharType="begin"/>
        </w:r>
        <w:r w:rsidR="00E62798">
          <w:instrText xml:space="preserve"> ADDIN EN.CITE &lt;EndNote&gt;&lt;Cite&gt;&lt;Author&gt;Church&lt;/Author&gt;&lt;Year&gt;2009&lt;/Year&gt;&lt;RecNum&gt;133&lt;/RecNum&gt;&lt;DisplayText&gt;&lt;style face="superscript"&gt;155&lt;/style&gt;&lt;/DisplayText&gt;&lt;record&gt;&lt;rec-number&gt;133&lt;/rec-number&gt;&lt;foreign-keys&gt;&lt;key app="EN" db-id="9edve2wadsavt5ewavaxtda4f2tavzvts9ee" timestamp="1426550421"&gt;133&lt;/key&gt;&lt;/foreign-keys&gt;&lt;ref-type name="Journal Article"&gt;17&lt;/ref-type&gt;&lt;contributors&gt;&lt;authors&gt;&lt;author&gt;Church, G. D.&lt;/author&gt;&lt;author&gt;Matthay, M. A.&lt;/author&gt;&lt;author&gt;Liu, K.&lt;/author&gt;&lt;author&gt;Milet, M.&lt;/author&gt;&lt;author&gt;Flori, H. R.&lt;/author&gt;&lt;/authors&gt;&lt;/contributors&gt;&lt;titles&gt;&lt;title&gt;Blood product transfusions and clinical outcomes in pediatric patients with acute lung injury&lt;/title&gt;&lt;secondary-title&gt;Pediatric Critical Care Medicine&lt;/secondary-title&gt;&lt;/titles&gt;&lt;periodical&gt;&lt;full-title&gt;Pediatric Critical Care Medicine&lt;/full-title&gt;&lt;/periodical&gt;&lt;pages&gt;297–302&lt;/pages&gt;&lt;volume&gt;10&lt;/volume&gt;&lt;number&gt;3&lt;/number&gt;&lt;keywords&gt;&lt;keyword&gt;blood&lt;/keyword&gt;&lt;keyword&gt;transfusion&lt;/keyword&gt;&lt;keyword&gt;patient&lt;/keyword&gt;&lt;/keywords&gt;&lt;dates&gt;&lt;year&gt;2009&lt;/year&gt;&lt;pub-dates&gt;&lt;date&gt;May&lt;/date&gt;&lt;/pub-dates&gt;&lt;/dates&gt;&lt;urls&gt;&lt;related-urls&gt;&lt;url&gt;http://www.ncbi.nlm.nih.gov/pubmed/19307809&lt;/url&gt;&lt;/related-urls&gt;&lt;/urls&gt;&lt;access-date&gt;13 April 2015&lt;/access-date&gt;&lt;/record&gt;&lt;/Cite&gt;&lt;/EndNote&gt;</w:instrText>
        </w:r>
        <w:r w:rsidR="00E62798">
          <w:fldChar w:fldCharType="separate"/>
        </w:r>
        <w:r w:rsidR="00E62798" w:rsidRPr="00E62798">
          <w:rPr>
            <w:noProof/>
            <w:vertAlign w:val="superscript"/>
          </w:rPr>
          <w:t>155</w:t>
        </w:r>
        <w:r w:rsidR="00E62798">
          <w:fldChar w:fldCharType="end"/>
        </w:r>
      </w:hyperlink>
    </w:p>
    <w:p w14:paraId="1BF16F04" w14:textId="7FA18D46" w:rsidR="00F00BFD" w:rsidRDefault="002F070E" w:rsidP="002F070E">
      <w:pPr>
        <w:pStyle w:val="Bullet12"/>
      </w:pPr>
      <w:r>
        <w:rPr>
          <w:lang w:val="en-AU"/>
        </w:rPr>
        <w:t>a</w:t>
      </w:r>
      <w:r w:rsidR="00F00BFD" w:rsidRPr="006C0F13">
        <w:t xml:space="preserve"> prospective cohort study conducted at a single PICU in Canada</w:t>
      </w:r>
      <w:r>
        <w:rPr>
          <w:lang w:val="en-AU"/>
        </w:rPr>
        <w:t xml:space="preserve"> that included</w:t>
      </w:r>
      <w:r w:rsidR="00F00BFD" w:rsidRPr="006C0F13">
        <w:t xml:space="preserve"> 831 paediatric intensive care patients aged </w:t>
      </w:r>
      <w:r>
        <w:rPr>
          <w:lang w:val="en-AU"/>
        </w:rPr>
        <w:t>under</w:t>
      </w:r>
      <w:r w:rsidR="00F00BFD" w:rsidRPr="006C0F13">
        <w:t xml:space="preserve"> 18 years, </w:t>
      </w:r>
      <w:r>
        <w:rPr>
          <w:lang w:val="en-AU"/>
        </w:rPr>
        <w:t>and examined</w:t>
      </w:r>
      <w:r w:rsidR="00F00BFD" w:rsidRPr="006C0F13">
        <w:t xml:space="preserve"> t</w:t>
      </w:r>
      <w:r w:rsidR="00F00BFD">
        <w:t xml:space="preserve">he effect of FFP </w:t>
      </w:r>
      <w:r w:rsidR="00F00BFD" w:rsidRPr="006C0F13">
        <w:t>on a number of clinica</w:t>
      </w:r>
      <w:r>
        <w:t>l outcomes including mortality.</w:t>
      </w:r>
      <w:hyperlink w:anchor="_ENREF_156" w:tooltip="Karam, 2013 #136" w:history="1">
        <w:r w:rsidR="00E62798">
          <w:fldChar w:fldCharType="begin"/>
        </w:r>
        <w:r w:rsidR="00E62798">
          <w:instrText xml:space="preserve"> ADDIN EN.CITE &lt;EndNote&gt;&lt;Cite&gt;&lt;Author&gt;Karam&lt;/Author&gt;&lt;Year&gt;2013&lt;/Year&gt;&lt;RecNum&gt;136&lt;/RecNum&gt;&lt;DisplayText&gt;&lt;style face="superscript"&gt;156&lt;/style&gt;&lt;/DisplayText&gt;&lt;record&gt;&lt;rec-number&gt;136&lt;/rec-number&gt;&lt;foreign-keys&gt;&lt;key app="EN" db-id="9edve2wadsavt5ewavaxtda4f2tavzvts9ee" timestamp="1426550421"&gt;136&lt;/key&gt;&lt;/foreign-keys&gt;&lt;ref-type name="Journal Article"&gt;17&lt;/ref-type&gt;&lt;contributors&gt;&lt;authors&gt;&lt;author&gt;Karam, O.&lt;/author&gt;&lt;author&gt;Lacroix, J.&lt;/author&gt;&lt;author&gt;Robitaille, N.&lt;/author&gt;&lt;author&gt;Rimensberger, P. C.&lt;/author&gt;&lt;author&gt;Tucci, M.&lt;/author&gt;&lt;/authors&gt;&lt;/contributors&gt;&lt;titles&gt;&lt;title&gt;Association between plasma transfusions and clinical outcome in critically ill children: A prospective observational study&lt;/title&gt;&lt;secondary-title&gt;Vox Sanguinis&lt;/secondary-title&gt;&lt;/titles&gt;&lt;periodical&gt;&lt;full-title&gt;Vox Sanguinis&lt;/full-title&gt;&lt;/periodical&gt;&lt;pages&gt;342–349&lt;/pages&gt;&lt;volume&gt;104&lt;/volume&gt;&lt;number&gt;4&lt;/number&gt;&lt;keywords&gt;&lt;keyword&gt;plasma&lt;/keyword&gt;&lt;keyword&gt;plasma transfusion&lt;/keyword&gt;&lt;keyword&gt;transfusion&lt;/keyword&gt;&lt;/keywords&gt;&lt;dates&gt;&lt;year&gt;2013&lt;/year&gt;&lt;pub-dates&gt;&lt;date&gt;May&lt;/date&gt;&lt;/pub-dates&gt;&lt;/dates&gt;&lt;urls&gt;&lt;related-urls&gt;&lt;url&gt;http://onlinelibrary.wiley.com/doi/10.1111/vox.12009/abstract&lt;/url&gt;&lt;/related-urls&gt;&lt;/urls&gt;&lt;access-date&gt;13 April 2015&lt;/access-date&gt;&lt;/record&gt;&lt;/Cite&gt;&lt;/EndNote&gt;</w:instrText>
        </w:r>
        <w:r w:rsidR="00E62798">
          <w:fldChar w:fldCharType="separate"/>
        </w:r>
        <w:r w:rsidR="00E62798" w:rsidRPr="00E62798">
          <w:rPr>
            <w:noProof/>
            <w:vertAlign w:val="superscript"/>
          </w:rPr>
          <w:t>156</w:t>
        </w:r>
        <w:r w:rsidR="00E62798">
          <w:fldChar w:fldCharType="end"/>
        </w:r>
      </w:hyperlink>
    </w:p>
    <w:p w14:paraId="68744345" w14:textId="77777777" w:rsidR="00F00BFD" w:rsidRDefault="00F00BFD" w:rsidP="00F00BFD">
      <w:pPr>
        <w:pStyle w:val="Heading5"/>
      </w:pPr>
      <w:r>
        <w:t>Mortality</w:t>
      </w:r>
    </w:p>
    <w:p w14:paraId="3BEE44C3" w14:textId="30DBA2B3" w:rsidR="00F00BFD" w:rsidRPr="006C0F13" w:rsidRDefault="002F070E" w:rsidP="002F070E">
      <w:r>
        <w:t>In a</w:t>
      </w:r>
      <w:r w:rsidR="00F00BFD">
        <w:t xml:space="preserve"> multivariate </w:t>
      </w:r>
      <w:r w:rsidR="00F00BFD" w:rsidRPr="008F51EE">
        <w:t>analysis</w:t>
      </w:r>
      <w:r w:rsidR="00F04943" w:rsidRPr="008F51EE">
        <w:t xml:space="preserve"> adjusted for paediatric risk of mortality (PRISM III) scores</w:t>
      </w:r>
      <w:r w:rsidR="00F00BFD" w:rsidRPr="008F51EE">
        <w:t xml:space="preserve">, </w:t>
      </w:r>
      <w:r w:rsidRPr="008F51EE">
        <w:t xml:space="preserve">one study </w:t>
      </w:r>
      <w:r w:rsidR="00F00BFD" w:rsidRPr="008F51EE">
        <w:t>demonstrated no significant association between FFP</w:t>
      </w:r>
      <w:r w:rsidR="00F00BFD" w:rsidRPr="006C0F13">
        <w:t xml:space="preserve"> tran</w:t>
      </w:r>
      <w:r w:rsidR="00F00BFD">
        <w:t>sfusion and mortality (</w:t>
      </w:r>
      <w:r w:rsidR="00876931">
        <w:t>p=</w:t>
      </w:r>
      <w:r w:rsidR="00F00BFD">
        <w:t>0.09</w:t>
      </w:r>
      <w:r>
        <w:t>).</w:t>
      </w:r>
      <w:hyperlink w:anchor="_ENREF_155" w:tooltip="Church, 2009 #133" w:history="1">
        <w:r w:rsidR="00E62798">
          <w:fldChar w:fldCharType="begin"/>
        </w:r>
        <w:r w:rsidR="00E62798">
          <w:instrText xml:space="preserve"> ADDIN EN.CITE &lt;EndNote&gt;&lt;Cite&gt;&lt;Author&gt;Church&lt;/Author&gt;&lt;Year&gt;2009&lt;/Year&gt;&lt;RecNum&gt;133&lt;/RecNum&gt;&lt;DisplayText&gt;&lt;style face="superscript"&gt;155&lt;/style&gt;&lt;/DisplayText&gt;&lt;record&gt;&lt;rec-number&gt;133&lt;/rec-number&gt;&lt;foreign-keys&gt;&lt;key app="EN" db-id="9edve2wadsavt5ewavaxtda4f2tavzvts9ee" timestamp="1426550421"&gt;133&lt;/key&gt;&lt;/foreign-keys&gt;&lt;ref-type name="Journal Article"&gt;17&lt;/ref-type&gt;&lt;contributors&gt;&lt;authors&gt;&lt;author&gt;Church, G. D.&lt;/author&gt;&lt;author&gt;Matthay, M. A.&lt;/author&gt;&lt;author&gt;Liu, K.&lt;/author&gt;&lt;author&gt;Milet, M.&lt;/author&gt;&lt;author&gt;Flori, H. R.&lt;/author&gt;&lt;/authors&gt;&lt;/contributors&gt;&lt;titles&gt;&lt;title&gt;Blood product transfusions and clinical outcomes in pediatric patients with acute lung injury&lt;/title&gt;&lt;secondary-title&gt;Pediatric Critical Care Medicine&lt;/secondary-title&gt;&lt;/titles&gt;&lt;periodical&gt;&lt;full-title&gt;Pediatric Critical Care Medicine&lt;/full-title&gt;&lt;/periodical&gt;&lt;pages&gt;297–302&lt;/pages&gt;&lt;volume&gt;10&lt;/volume&gt;&lt;number&gt;3&lt;/number&gt;&lt;keywords&gt;&lt;keyword&gt;blood&lt;/keyword&gt;&lt;keyword&gt;transfusion&lt;/keyword&gt;&lt;keyword&gt;patient&lt;/keyword&gt;&lt;/keywords&gt;&lt;dates&gt;&lt;year&gt;2009&lt;/year&gt;&lt;pub-dates&gt;&lt;date&gt;May&lt;/date&gt;&lt;/pub-dates&gt;&lt;/dates&gt;&lt;urls&gt;&lt;related-urls&gt;&lt;url&gt;http://www.ncbi.nlm.nih.gov/pubmed/19307809&lt;/url&gt;&lt;/related-urls&gt;&lt;/urls&gt;&lt;access-date&gt;13 April 2015&lt;/access-date&gt;&lt;/record&gt;&lt;/Cite&gt;&lt;/EndNote&gt;</w:instrText>
        </w:r>
        <w:r w:rsidR="00E62798">
          <w:fldChar w:fldCharType="separate"/>
        </w:r>
        <w:r w:rsidR="00E62798" w:rsidRPr="00E62798">
          <w:rPr>
            <w:noProof/>
            <w:vertAlign w:val="superscript"/>
          </w:rPr>
          <w:t>155</w:t>
        </w:r>
        <w:r w:rsidR="00E62798">
          <w:fldChar w:fldCharType="end"/>
        </w:r>
      </w:hyperlink>
      <w:r>
        <w:t xml:space="preserve"> In the other study, although</w:t>
      </w:r>
      <w:r>
        <w:rPr>
          <w:rFonts w:ascii="Arial Narrow" w:hAnsi="Arial Narrow" w:cs="Times New Roman"/>
          <w:color w:val="auto"/>
          <w:sz w:val="24"/>
          <w:szCs w:val="24"/>
          <w:lang w:val="x-none" w:eastAsia="en-US"/>
        </w:rPr>
        <w:t xml:space="preserve"> </w:t>
      </w:r>
      <w:r w:rsidR="00F00BFD">
        <w:t>a mortality rate of</w:t>
      </w:r>
      <w:r w:rsidR="004828DA">
        <w:t xml:space="preserve"> </w:t>
      </w:r>
      <w:r w:rsidR="00F00BFD">
        <w:t xml:space="preserve">16.0% </w:t>
      </w:r>
      <w:r>
        <w:t xml:space="preserve">was reported </w:t>
      </w:r>
      <w:r w:rsidR="00F00BFD">
        <w:t>in those children administered FFP and</w:t>
      </w:r>
      <w:r w:rsidR="004828DA">
        <w:t xml:space="preserve"> </w:t>
      </w:r>
      <w:r w:rsidR="00F00BFD">
        <w:t xml:space="preserve">1.8% in those not </w:t>
      </w:r>
      <w:r>
        <w:t>given FFP</w:t>
      </w:r>
      <w:r w:rsidR="00F00BFD" w:rsidRPr="006C0F13">
        <w:t>,</w:t>
      </w:r>
      <w:r w:rsidR="00F00BFD">
        <w:t xml:space="preserve"> the effect was not significant after adjus</w:t>
      </w:r>
      <w:r>
        <w:t>ting for potential confounders.</w:t>
      </w:r>
      <w:hyperlink w:anchor="_ENREF_156" w:tooltip="Karam, 2013 #136" w:history="1">
        <w:r w:rsidR="00E62798">
          <w:fldChar w:fldCharType="begin"/>
        </w:r>
        <w:r w:rsidR="00E62798">
          <w:instrText xml:space="preserve"> ADDIN EN.CITE &lt;EndNote&gt;&lt;Cite&gt;&lt;Author&gt;Karam&lt;/Author&gt;&lt;Year&gt;2013&lt;/Year&gt;&lt;RecNum&gt;136&lt;/RecNum&gt;&lt;DisplayText&gt;&lt;style face="superscript"&gt;156&lt;/style&gt;&lt;/DisplayText&gt;&lt;record&gt;&lt;rec-number&gt;136&lt;/rec-number&gt;&lt;foreign-keys&gt;&lt;key app="EN" db-id="9edve2wadsavt5ewavaxtda4f2tavzvts9ee" timestamp="1426550421"&gt;136&lt;/key&gt;&lt;/foreign-keys&gt;&lt;ref-type name="Journal Article"&gt;17&lt;/ref-type&gt;&lt;contributors&gt;&lt;authors&gt;&lt;author&gt;Karam, O.&lt;/author&gt;&lt;author&gt;Lacroix, J.&lt;/author&gt;&lt;author&gt;Robitaille, N.&lt;/author&gt;&lt;author&gt;Rimensberger, P. C.&lt;/author&gt;&lt;author&gt;Tucci, M.&lt;/author&gt;&lt;/authors&gt;&lt;/contributors&gt;&lt;titles&gt;&lt;title&gt;Association between plasma transfusions and clinical outcome in critically ill children: A prospective observational study&lt;/title&gt;&lt;secondary-title&gt;Vox Sanguinis&lt;/secondary-title&gt;&lt;/titles&gt;&lt;periodical&gt;&lt;full-title&gt;Vox Sanguinis&lt;/full-title&gt;&lt;/periodical&gt;&lt;pages&gt;342–349&lt;/pages&gt;&lt;volume&gt;104&lt;/volume&gt;&lt;number&gt;4&lt;/number&gt;&lt;keywords&gt;&lt;keyword&gt;plasma&lt;/keyword&gt;&lt;keyword&gt;plasma transfusion&lt;/keyword&gt;&lt;keyword&gt;transfusion&lt;/keyword&gt;&lt;/keywords&gt;&lt;dates&gt;&lt;year&gt;2013&lt;/year&gt;&lt;pub-dates&gt;&lt;date&gt;May&lt;/date&gt;&lt;/pub-dates&gt;&lt;/dates&gt;&lt;urls&gt;&lt;related-urls&gt;&lt;url&gt;http://onlinelibrary.wiley.com/doi/10.1111/vox.12009/abstract&lt;/url&gt;&lt;/related-urls&gt;&lt;/urls&gt;&lt;access-date&gt;13 April 2015&lt;/access-date&gt;&lt;/record&gt;&lt;/Cite&gt;&lt;/EndNote&gt;</w:instrText>
        </w:r>
        <w:r w:rsidR="00E62798">
          <w:fldChar w:fldCharType="separate"/>
        </w:r>
        <w:r w:rsidR="00E62798" w:rsidRPr="00E62798">
          <w:rPr>
            <w:noProof/>
            <w:vertAlign w:val="superscript"/>
          </w:rPr>
          <w:t>156</w:t>
        </w:r>
        <w:r w:rsidR="00E62798">
          <w:fldChar w:fldCharType="end"/>
        </w:r>
      </w:hyperlink>
    </w:p>
    <w:p w14:paraId="3ED0B632" w14:textId="5257DE6B" w:rsidR="00F00BFD" w:rsidRDefault="00F00BFD" w:rsidP="00F00BFD">
      <w:pPr>
        <w:pStyle w:val="Heading5"/>
      </w:pPr>
      <w:r>
        <w:t>B</w:t>
      </w:r>
      <w:r w:rsidR="002F070E">
        <w:t>leeding events</w:t>
      </w:r>
    </w:p>
    <w:p w14:paraId="67EA6F55" w14:textId="1B0C419A" w:rsidR="00F00BFD" w:rsidRPr="00EA503E" w:rsidRDefault="007C1B3E" w:rsidP="007C1B3E">
      <w:pPr>
        <w:rPr>
          <w:lang w:val="en-GB" w:eastAsia="en-GB"/>
        </w:rPr>
      </w:pPr>
      <w:r>
        <w:t xml:space="preserve">No evidence was identified related to bleeding events. </w:t>
      </w:r>
    </w:p>
    <w:p w14:paraId="27BE018C" w14:textId="51375842" w:rsidR="00F00BFD" w:rsidRDefault="006D542E" w:rsidP="00F00BFD">
      <w:pPr>
        <w:pStyle w:val="Heading5"/>
      </w:pPr>
      <w:r>
        <w:t>Transfusion</w:t>
      </w:r>
      <w:r>
        <w:rPr>
          <w:lang w:val="en-AU"/>
        </w:rPr>
        <w:t>-</w:t>
      </w:r>
      <w:r w:rsidR="00F00BFD">
        <w:t>related serious adverse events</w:t>
      </w:r>
    </w:p>
    <w:p w14:paraId="3F4E2064" w14:textId="4A898623" w:rsidR="00F00BFD" w:rsidRPr="00EA503E" w:rsidRDefault="00FA6791" w:rsidP="002F070E">
      <w:pPr>
        <w:rPr>
          <w:lang w:val="en-GB" w:eastAsia="en-GB"/>
        </w:rPr>
      </w:pPr>
      <w:bookmarkStart w:id="150" w:name="OLE_LINK8"/>
      <w:r>
        <w:rPr>
          <w:lang w:val="en-GB" w:eastAsia="en-GB"/>
        </w:rPr>
        <w:t>No studies reported</w:t>
      </w:r>
      <w:r w:rsidR="008F7398">
        <w:rPr>
          <w:lang w:val="en-GB" w:eastAsia="en-GB"/>
        </w:rPr>
        <w:t xml:space="preserve"> transfusion-related serious adverse events</w:t>
      </w:r>
      <w:r w:rsidR="002F070E">
        <w:rPr>
          <w:lang w:val="en-GB" w:eastAsia="en-GB"/>
        </w:rPr>
        <w:t>.</w:t>
      </w:r>
    </w:p>
    <w:bookmarkEnd w:id="150"/>
    <w:p w14:paraId="333D6F93" w14:textId="77777777" w:rsidR="00F00BFD" w:rsidRPr="00214F77" w:rsidRDefault="00F00BFD" w:rsidP="00F00BFD">
      <w:pPr>
        <w:pStyle w:val="Heading5"/>
        <w:rPr>
          <w:lang w:val="en-US"/>
        </w:rPr>
      </w:pPr>
      <w:r>
        <w:t>Transfusion volume or incidence</w:t>
      </w:r>
    </w:p>
    <w:p w14:paraId="56EE2CAC" w14:textId="5341B703" w:rsidR="00F00BFD" w:rsidRDefault="00FA6791" w:rsidP="002F070E">
      <w:pPr>
        <w:rPr>
          <w:lang w:val="en-GB" w:eastAsia="en-GB"/>
        </w:rPr>
      </w:pPr>
      <w:r>
        <w:rPr>
          <w:lang w:val="en-GB" w:eastAsia="en-GB"/>
        </w:rPr>
        <w:t>No studies reported</w:t>
      </w:r>
      <w:r w:rsidR="008F7398">
        <w:rPr>
          <w:lang w:val="en-GB" w:eastAsia="en-GB"/>
        </w:rPr>
        <w:t xml:space="preserve"> transfusion volume or incidence.</w:t>
      </w:r>
    </w:p>
    <w:p w14:paraId="0A34AD43" w14:textId="0197DB98" w:rsidR="00F00BFD" w:rsidRPr="00FC7D83" w:rsidRDefault="00FC7D83" w:rsidP="00F96C85">
      <w:pPr>
        <w:pStyle w:val="BoxHeading"/>
      </w:pPr>
      <w:r w:rsidRPr="009C32A7">
        <w:t>Clinical commentary</w:t>
      </w:r>
      <w:r w:rsidR="00F00BFD" w:rsidRPr="009C32A7">
        <w:t xml:space="preserve"> </w:t>
      </w:r>
      <w:r>
        <w:t xml:space="preserve">– effects of FFP in </w:t>
      </w:r>
      <w:r w:rsidR="00AC4AF6">
        <w:t xml:space="preserve">critically ill </w:t>
      </w:r>
      <w:r>
        <w:t xml:space="preserve">neonatal and paediatric patients </w:t>
      </w:r>
    </w:p>
    <w:p w14:paraId="21E79099" w14:textId="73FC08F4" w:rsidR="00F00BFD" w:rsidRDefault="00F00BFD" w:rsidP="00F96C85">
      <w:pPr>
        <w:pStyle w:val="BoxText"/>
        <w:rPr>
          <w:rFonts w:ascii="Arial" w:hAnsi="Arial" w:cs="Arial"/>
          <w:szCs w:val="26"/>
          <w:lang w:eastAsia="en-GB"/>
        </w:rPr>
      </w:pPr>
      <w:r>
        <w:t xml:space="preserve">There is limited evidence on the effect of the routine use of FFP in critically ill neonatal and paediatric patients. FFP use should be reserved for the treatment of active bleeding where coagulopathy is a </w:t>
      </w:r>
      <w:r w:rsidRPr="00C13EC6">
        <w:t>contributing factor</w:t>
      </w:r>
      <w:r w:rsidR="00C13EC6">
        <w:rPr>
          <w:lang w:val="en-AU"/>
        </w:rPr>
        <w:t>.</w:t>
      </w:r>
      <w:r w:rsidR="00C13EC6" w:rsidRPr="00C13EC6">
        <w:t xml:space="preserve"> </w:t>
      </w:r>
      <w:r w:rsidR="00C13EC6">
        <w:t>Careful consideration of the risks and benefits of platelets in this setting is advised.</w:t>
      </w:r>
    </w:p>
    <w:p w14:paraId="4BA30C55" w14:textId="1D16B51A" w:rsidR="00F00BFD" w:rsidRDefault="00AC4AF6" w:rsidP="00AC4AF6">
      <w:pPr>
        <w:pStyle w:val="Heading3"/>
      </w:pPr>
      <w:bookmarkStart w:id="151" w:name="_Toc427851350"/>
      <w:r>
        <w:rPr>
          <w:lang w:val="en-AU"/>
        </w:rPr>
        <w:t>3.4.12</w:t>
      </w:r>
      <w:r>
        <w:rPr>
          <w:lang w:val="en-AU"/>
        </w:rPr>
        <w:tab/>
        <w:t>Critically ill n</w:t>
      </w:r>
      <w:r w:rsidR="00FC7D83">
        <w:rPr>
          <w:lang w:val="en-AU"/>
        </w:rPr>
        <w:t>eonatal and paediatric patients</w:t>
      </w:r>
      <w:r>
        <w:rPr>
          <w:lang w:val="en-AU"/>
        </w:rPr>
        <w:t xml:space="preserve"> </w:t>
      </w:r>
      <w:r w:rsidR="00FC7D83">
        <w:rPr>
          <w:lang w:val="en-AU"/>
        </w:rPr>
        <w:t>– effects of cryoprecipitate on outcomes</w:t>
      </w:r>
      <w:bookmarkEnd w:id="151"/>
      <w:r w:rsidR="00FC7D83">
        <w:t xml:space="preserve"> </w:t>
      </w:r>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6"/>
        <w:gridCol w:w="809"/>
        <w:gridCol w:w="808"/>
        <w:gridCol w:w="809"/>
        <w:gridCol w:w="808"/>
        <w:gridCol w:w="809"/>
      </w:tblGrid>
      <w:tr w:rsidR="00F00BFD" w14:paraId="7F813462" w14:textId="77777777" w:rsidTr="00467EEA">
        <w:trPr>
          <w:cantSplit/>
          <w:trHeight w:val="2078"/>
          <w:tblHeader/>
        </w:trPr>
        <w:tc>
          <w:tcPr>
            <w:tcW w:w="4597"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491CEF0C" w14:textId="77777777" w:rsidR="00F00BFD" w:rsidRDefault="00F00BFD" w:rsidP="00F00BFD">
            <w:pPr>
              <w:pStyle w:val="PP-heading"/>
              <w:spacing w:line="276" w:lineRule="auto"/>
              <w:rPr>
                <w:lang w:eastAsia="zh-TW"/>
              </w:rPr>
            </w:pPr>
            <w:r>
              <w:rPr>
                <w:lang w:eastAsia="zh-TW"/>
              </w:rPr>
              <w:t>Evidence statements – critically ill (cryoprecipitate)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60B74D9" w14:textId="77777777" w:rsidR="00F00BFD" w:rsidRDefault="00F00BFD" w:rsidP="00F00BFD">
            <w:pPr>
              <w:spacing w:line="276" w:lineRule="auto"/>
              <w:ind w:left="113" w:right="113"/>
              <w:jc w:val="center"/>
              <w:rPr>
                <w:b/>
                <w:lang w:eastAsia="zh-TW"/>
              </w:rPr>
            </w:pPr>
            <w:r>
              <w:rPr>
                <w:b/>
                <w:lang w:eastAsia="zh-TW"/>
              </w:rPr>
              <w:t>Evidence</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08EB2B4" w14:textId="77777777" w:rsidR="00F00BFD" w:rsidRDefault="00F00BFD" w:rsidP="00F00BFD">
            <w:pPr>
              <w:spacing w:line="276" w:lineRule="auto"/>
              <w:ind w:left="113" w:right="113"/>
              <w:jc w:val="center"/>
              <w:rPr>
                <w:b/>
                <w:lang w:eastAsia="zh-TW"/>
              </w:rPr>
            </w:pPr>
            <w:r>
              <w:rPr>
                <w:b/>
                <w:lang w:eastAsia="zh-TW"/>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D6A5F42" w14:textId="77777777" w:rsidR="00F00BFD" w:rsidRDefault="00F00BFD" w:rsidP="00F00BFD">
            <w:pPr>
              <w:spacing w:line="276" w:lineRule="auto"/>
              <w:ind w:left="113" w:right="113"/>
              <w:jc w:val="center"/>
              <w:rPr>
                <w:b/>
                <w:lang w:eastAsia="zh-TW"/>
              </w:rPr>
            </w:pPr>
            <w:r>
              <w:rPr>
                <w:b/>
                <w:lang w:eastAsia="zh-TW"/>
              </w:rPr>
              <w:t>Clinical impact</w:t>
            </w:r>
          </w:p>
        </w:tc>
        <w:tc>
          <w:tcPr>
            <w:tcW w:w="808"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4D545D6" w14:textId="77777777" w:rsidR="00F00BFD" w:rsidRDefault="00F00BFD" w:rsidP="00F00BFD">
            <w:pPr>
              <w:spacing w:line="276" w:lineRule="auto"/>
              <w:ind w:left="113" w:right="113"/>
              <w:jc w:val="center"/>
              <w:rPr>
                <w:b/>
                <w:lang w:eastAsia="zh-TW"/>
              </w:rPr>
            </w:pPr>
            <w:r>
              <w:rPr>
                <w:b/>
                <w:lang w:eastAsia="zh-TW"/>
              </w:rPr>
              <w:t>Generalisability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4E4FB16" w14:textId="77777777" w:rsidR="00F00BFD" w:rsidRDefault="00F00BFD" w:rsidP="00F00BFD">
            <w:pPr>
              <w:spacing w:line="276" w:lineRule="auto"/>
              <w:ind w:left="113" w:right="113"/>
              <w:jc w:val="center"/>
              <w:rPr>
                <w:b/>
                <w:lang w:eastAsia="zh-TW"/>
              </w:rPr>
            </w:pPr>
            <w:r>
              <w:rPr>
                <w:b/>
                <w:lang w:eastAsia="zh-TW"/>
              </w:rPr>
              <w:t>Applicability</w:t>
            </w:r>
          </w:p>
        </w:tc>
      </w:tr>
      <w:tr w:rsidR="00F00BFD" w14:paraId="2982BBDC"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AC3990D" w14:textId="77777777" w:rsidR="00F00BFD" w:rsidRDefault="00F00BFD" w:rsidP="00AC4AF6">
            <w:pPr>
              <w:pStyle w:val="Tabletextnoindent"/>
              <w:keepNext w:val="0"/>
              <w:numPr>
                <w:ilvl w:val="0"/>
                <w:numId w:val="0"/>
              </w:numPr>
              <w:spacing w:line="276" w:lineRule="auto"/>
              <w:rPr>
                <w:lang w:eastAsia="zh-TW"/>
              </w:rPr>
            </w:pPr>
            <w:r w:rsidRPr="00D10719">
              <w:t>ES3.84</w:t>
            </w:r>
          </w:p>
        </w:tc>
        <w:tc>
          <w:tcPr>
            <w:tcW w:w="3746" w:type="dxa"/>
            <w:tcBorders>
              <w:top w:val="single" w:sz="4" w:space="0" w:color="000000"/>
              <w:left w:val="single" w:sz="4" w:space="0" w:color="000000"/>
              <w:bottom w:val="single" w:sz="4" w:space="0" w:color="000000"/>
              <w:right w:val="single" w:sz="4" w:space="0" w:color="000000"/>
            </w:tcBorders>
            <w:hideMark/>
          </w:tcPr>
          <w:p w14:paraId="5CD34E87" w14:textId="77777777" w:rsidR="00F00BFD" w:rsidRDefault="00F00BFD" w:rsidP="00AC4AF6">
            <w:pPr>
              <w:pStyle w:val="ES-table"/>
              <w:keepNext w:val="0"/>
              <w:rPr>
                <w:lang w:eastAsia="zh-TW"/>
              </w:rPr>
            </w:pPr>
            <w:r>
              <w:rPr>
                <w:lang w:eastAsia="zh-TW"/>
              </w:rPr>
              <w:t xml:space="preserve">In critically ill neonatal and paediatric patients, the effect of cryoprecipitate compared with no cryoprecipitate on </w:t>
            </w:r>
            <w:r w:rsidRPr="00E57A97">
              <w:t>mortality</w:t>
            </w:r>
            <w:r>
              <w:rPr>
                <w:lang w:eastAsia="zh-TW"/>
              </w:rPr>
              <w:t xml:space="preserve"> is unknown.</w:t>
            </w:r>
          </w:p>
        </w:tc>
        <w:tc>
          <w:tcPr>
            <w:tcW w:w="809" w:type="dxa"/>
            <w:tcBorders>
              <w:top w:val="single" w:sz="4" w:space="0" w:color="000000"/>
              <w:left w:val="single" w:sz="4" w:space="0" w:color="000000"/>
              <w:bottom w:val="single" w:sz="4" w:space="0" w:color="000000"/>
              <w:right w:val="single" w:sz="4" w:space="0" w:color="000000"/>
            </w:tcBorders>
            <w:hideMark/>
          </w:tcPr>
          <w:p w14:paraId="317883D6"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76666B4"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2E7F0FE9"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B9235AF"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132264D3" w14:textId="77777777" w:rsidR="00F00BFD" w:rsidRDefault="00F00BFD" w:rsidP="00AC4AF6">
            <w:pPr>
              <w:pStyle w:val="T-ABCD"/>
              <w:spacing w:line="276" w:lineRule="auto"/>
              <w:rPr>
                <w:lang w:eastAsia="zh-TW"/>
              </w:rPr>
            </w:pPr>
            <w:r>
              <w:rPr>
                <w:lang w:eastAsia="zh-TW"/>
              </w:rPr>
              <w:t xml:space="preserve">NA </w:t>
            </w:r>
          </w:p>
        </w:tc>
      </w:tr>
      <w:tr w:rsidR="00F00BFD" w14:paraId="2262B8C1"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76DAC29" w14:textId="77777777" w:rsidR="00F00BFD" w:rsidRDefault="00F00BFD" w:rsidP="00AC4AF6">
            <w:pPr>
              <w:pStyle w:val="Tabletextnoindent"/>
              <w:keepNext w:val="0"/>
              <w:numPr>
                <w:ilvl w:val="0"/>
                <w:numId w:val="0"/>
              </w:numPr>
              <w:spacing w:line="276" w:lineRule="auto"/>
              <w:rPr>
                <w:lang w:eastAsia="zh-TW"/>
              </w:rPr>
            </w:pPr>
            <w:r w:rsidRPr="00D10719">
              <w:t>ES3.85</w:t>
            </w:r>
          </w:p>
        </w:tc>
        <w:tc>
          <w:tcPr>
            <w:tcW w:w="3746" w:type="dxa"/>
            <w:tcBorders>
              <w:top w:val="single" w:sz="4" w:space="0" w:color="000000"/>
              <w:left w:val="single" w:sz="4" w:space="0" w:color="000000"/>
              <w:bottom w:val="single" w:sz="4" w:space="0" w:color="000000"/>
              <w:right w:val="single" w:sz="4" w:space="0" w:color="000000"/>
            </w:tcBorders>
            <w:hideMark/>
          </w:tcPr>
          <w:p w14:paraId="65724E13" w14:textId="77777777" w:rsidR="00F00BFD" w:rsidRDefault="00F00BFD" w:rsidP="00AC4AF6">
            <w:pPr>
              <w:pStyle w:val="ES-table"/>
              <w:keepNext w:val="0"/>
              <w:rPr>
                <w:lang w:eastAsia="zh-TW"/>
              </w:rPr>
            </w:pPr>
            <w:r>
              <w:rPr>
                <w:lang w:eastAsia="zh-TW"/>
              </w:rPr>
              <w:t>In critically ill neonatal and paediatric patients, the effect of cryoprecipitate compared with no cryoprecipitate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6D2A1D0B"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3A92FA7"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C95C880"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9399E21"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62744AB4" w14:textId="77777777" w:rsidR="00F00BFD" w:rsidRDefault="00F00BFD" w:rsidP="00AC4AF6">
            <w:pPr>
              <w:pStyle w:val="T-ABCD"/>
              <w:spacing w:line="276" w:lineRule="auto"/>
              <w:rPr>
                <w:lang w:eastAsia="zh-TW"/>
              </w:rPr>
            </w:pPr>
            <w:r>
              <w:rPr>
                <w:lang w:eastAsia="zh-TW"/>
              </w:rPr>
              <w:t xml:space="preserve">NA </w:t>
            </w:r>
          </w:p>
        </w:tc>
      </w:tr>
      <w:tr w:rsidR="00F00BFD" w14:paraId="64E020EB"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0568407" w14:textId="77777777" w:rsidR="00F00BFD" w:rsidRDefault="00F00BFD" w:rsidP="00AC4AF6">
            <w:pPr>
              <w:pStyle w:val="Tabletextnoindent"/>
              <w:keepNext w:val="0"/>
              <w:numPr>
                <w:ilvl w:val="0"/>
                <w:numId w:val="0"/>
              </w:numPr>
              <w:spacing w:line="276" w:lineRule="auto"/>
              <w:rPr>
                <w:lang w:eastAsia="zh-TW"/>
              </w:rPr>
            </w:pPr>
            <w:r w:rsidRPr="00D10719">
              <w:t>ES3.86</w:t>
            </w:r>
          </w:p>
        </w:tc>
        <w:tc>
          <w:tcPr>
            <w:tcW w:w="3746" w:type="dxa"/>
            <w:tcBorders>
              <w:top w:val="single" w:sz="4" w:space="0" w:color="000000"/>
              <w:left w:val="single" w:sz="4" w:space="0" w:color="000000"/>
              <w:bottom w:val="single" w:sz="4" w:space="0" w:color="000000"/>
              <w:right w:val="single" w:sz="4" w:space="0" w:color="000000"/>
            </w:tcBorders>
            <w:hideMark/>
          </w:tcPr>
          <w:p w14:paraId="5213D80F" w14:textId="77777777" w:rsidR="00F00BFD" w:rsidRDefault="00F00BFD" w:rsidP="00AC4AF6">
            <w:pPr>
              <w:pStyle w:val="ES-table"/>
              <w:keepNext w:val="0"/>
              <w:rPr>
                <w:lang w:eastAsia="zh-TW"/>
              </w:rPr>
            </w:pPr>
            <w:r>
              <w:rPr>
                <w:lang w:eastAsia="zh-TW"/>
              </w:rPr>
              <w:t>In critically ill neonatal and paediatric patients, the effect of cryoprecipitate compared with no cryoprecipitate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5E549748"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E3C8B35"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23B5593B"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F2CF257"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A59DF80" w14:textId="77777777" w:rsidR="00F00BFD" w:rsidRDefault="00F00BFD" w:rsidP="00AC4AF6">
            <w:pPr>
              <w:pStyle w:val="T-ABCD"/>
              <w:spacing w:line="276" w:lineRule="auto"/>
              <w:rPr>
                <w:lang w:eastAsia="zh-TW"/>
              </w:rPr>
            </w:pPr>
            <w:r>
              <w:rPr>
                <w:lang w:eastAsia="zh-TW"/>
              </w:rPr>
              <w:t xml:space="preserve">NA </w:t>
            </w:r>
          </w:p>
        </w:tc>
      </w:tr>
      <w:tr w:rsidR="00F00BFD" w14:paraId="165480D7"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055BB51C" w14:textId="77777777" w:rsidR="00F00BFD" w:rsidRDefault="00F00BFD" w:rsidP="00AC4AF6">
            <w:pPr>
              <w:pStyle w:val="Tabletextnoindent"/>
              <w:keepNext w:val="0"/>
              <w:numPr>
                <w:ilvl w:val="0"/>
                <w:numId w:val="0"/>
              </w:numPr>
              <w:spacing w:line="276" w:lineRule="auto"/>
              <w:rPr>
                <w:lang w:eastAsia="zh-TW"/>
              </w:rPr>
            </w:pPr>
            <w:r w:rsidRPr="00D10719">
              <w:t>ES3.87</w:t>
            </w:r>
          </w:p>
        </w:tc>
        <w:tc>
          <w:tcPr>
            <w:tcW w:w="3746" w:type="dxa"/>
            <w:tcBorders>
              <w:top w:val="single" w:sz="4" w:space="0" w:color="000000"/>
              <w:left w:val="single" w:sz="4" w:space="0" w:color="000000"/>
              <w:bottom w:val="single" w:sz="4" w:space="0" w:color="000000"/>
              <w:right w:val="single" w:sz="4" w:space="0" w:color="000000"/>
            </w:tcBorders>
            <w:hideMark/>
          </w:tcPr>
          <w:p w14:paraId="2A3FAF91" w14:textId="77777777" w:rsidR="00F00BFD" w:rsidRDefault="00F00BFD" w:rsidP="00AC4AF6">
            <w:pPr>
              <w:pStyle w:val="ES-table"/>
              <w:keepNext w:val="0"/>
              <w:rPr>
                <w:lang w:eastAsia="zh-TW"/>
              </w:rPr>
            </w:pPr>
            <w:r>
              <w:rPr>
                <w:lang w:eastAsia="zh-TW"/>
              </w:rPr>
              <w:t>In critically ill neonatal and paediatric patients, the effect of cryoprecipitate compared with no cryoprecipitate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683F1096"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66C2C33"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EE874FA"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06DC4323"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4B083E8D" w14:textId="77777777" w:rsidR="00F00BFD" w:rsidRDefault="00F00BFD" w:rsidP="00AC4AF6">
            <w:pPr>
              <w:pStyle w:val="T-ABCD"/>
              <w:spacing w:line="276" w:lineRule="auto"/>
              <w:rPr>
                <w:lang w:eastAsia="zh-TW"/>
              </w:rPr>
            </w:pPr>
            <w:r>
              <w:rPr>
                <w:lang w:eastAsia="zh-TW"/>
              </w:rPr>
              <w:t xml:space="preserve">NA </w:t>
            </w:r>
          </w:p>
        </w:tc>
      </w:tr>
      <w:tr w:rsidR="00F00BFD" w14:paraId="39D527FC"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2DF74DF" w14:textId="77777777" w:rsidR="00F00BFD" w:rsidRDefault="00F00BFD" w:rsidP="00AC4AF6">
            <w:pPr>
              <w:pStyle w:val="Tabletextnoindent"/>
              <w:keepNext w:val="0"/>
              <w:numPr>
                <w:ilvl w:val="0"/>
                <w:numId w:val="0"/>
              </w:numPr>
              <w:spacing w:line="276" w:lineRule="auto"/>
              <w:rPr>
                <w:lang w:eastAsia="zh-TW"/>
              </w:rPr>
            </w:pPr>
            <w:r w:rsidRPr="00D10719">
              <w:t>ES3.88</w:t>
            </w:r>
          </w:p>
        </w:tc>
        <w:tc>
          <w:tcPr>
            <w:tcW w:w="3746" w:type="dxa"/>
            <w:tcBorders>
              <w:top w:val="single" w:sz="4" w:space="0" w:color="000000"/>
              <w:left w:val="single" w:sz="4" w:space="0" w:color="000000"/>
              <w:bottom w:val="single" w:sz="4" w:space="0" w:color="000000"/>
              <w:right w:val="single" w:sz="4" w:space="0" w:color="000000"/>
            </w:tcBorders>
            <w:hideMark/>
          </w:tcPr>
          <w:p w14:paraId="119374C4" w14:textId="77777777" w:rsidR="00F00BFD" w:rsidRDefault="00F00BFD" w:rsidP="00AC4AF6">
            <w:pPr>
              <w:pStyle w:val="ES-table"/>
              <w:keepNext w:val="0"/>
              <w:rPr>
                <w:lang w:eastAsia="zh-TW"/>
              </w:rPr>
            </w:pPr>
            <w:r>
              <w:rPr>
                <w:lang w:eastAsia="zh-TW"/>
              </w:rPr>
              <w:t>In critically ill neonatal and paediatric patients, the effect of cryoprecipitate compared with a different cryoprecipitate transfusion strategy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60F3504D"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15C96A7"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80C681A"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5F02626B"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9868CD1" w14:textId="77777777" w:rsidR="00F00BFD" w:rsidRDefault="00F00BFD" w:rsidP="00AC4AF6">
            <w:pPr>
              <w:pStyle w:val="T-ABCD"/>
              <w:spacing w:line="276" w:lineRule="auto"/>
              <w:rPr>
                <w:lang w:eastAsia="zh-TW"/>
              </w:rPr>
            </w:pPr>
            <w:r>
              <w:rPr>
                <w:lang w:eastAsia="zh-TW"/>
              </w:rPr>
              <w:t xml:space="preserve">NA </w:t>
            </w:r>
          </w:p>
        </w:tc>
      </w:tr>
      <w:tr w:rsidR="00F00BFD" w14:paraId="26AEBAFA"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16BC457" w14:textId="77777777" w:rsidR="00F00BFD" w:rsidRDefault="00F00BFD" w:rsidP="00AC4AF6">
            <w:pPr>
              <w:pStyle w:val="Tabletextnoindent"/>
              <w:keepNext w:val="0"/>
              <w:numPr>
                <w:ilvl w:val="0"/>
                <w:numId w:val="0"/>
              </w:numPr>
              <w:spacing w:line="276" w:lineRule="auto"/>
              <w:rPr>
                <w:lang w:eastAsia="zh-TW"/>
              </w:rPr>
            </w:pPr>
            <w:r w:rsidRPr="00D10719">
              <w:t>ES3.89</w:t>
            </w:r>
          </w:p>
        </w:tc>
        <w:tc>
          <w:tcPr>
            <w:tcW w:w="3746" w:type="dxa"/>
            <w:tcBorders>
              <w:top w:val="single" w:sz="4" w:space="0" w:color="000000"/>
              <w:left w:val="single" w:sz="4" w:space="0" w:color="000000"/>
              <w:bottom w:val="single" w:sz="4" w:space="0" w:color="000000"/>
              <w:right w:val="single" w:sz="4" w:space="0" w:color="000000"/>
            </w:tcBorders>
            <w:hideMark/>
          </w:tcPr>
          <w:p w14:paraId="5E58169E" w14:textId="77777777" w:rsidR="00F00BFD" w:rsidRDefault="00F00BFD" w:rsidP="00AC4AF6">
            <w:pPr>
              <w:pStyle w:val="ES-table"/>
              <w:keepNext w:val="0"/>
              <w:rPr>
                <w:lang w:eastAsia="zh-TW"/>
              </w:rPr>
            </w:pPr>
            <w:r>
              <w:rPr>
                <w:lang w:eastAsia="zh-TW"/>
              </w:rPr>
              <w:t>In critically ill neonatal and paediatric patients, the effect of cryoprecipitate compared with a different cryoprecipitate transfusion strategy on bleeding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7468A381"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D559295"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6E54EC0"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60ACF87"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07C8353B" w14:textId="77777777" w:rsidR="00F00BFD" w:rsidRDefault="00F00BFD" w:rsidP="00AC4AF6">
            <w:pPr>
              <w:pStyle w:val="T-ABCD"/>
              <w:spacing w:line="276" w:lineRule="auto"/>
              <w:rPr>
                <w:lang w:eastAsia="zh-TW"/>
              </w:rPr>
            </w:pPr>
            <w:r>
              <w:rPr>
                <w:lang w:eastAsia="zh-TW"/>
              </w:rPr>
              <w:t xml:space="preserve">NA </w:t>
            </w:r>
          </w:p>
        </w:tc>
      </w:tr>
      <w:tr w:rsidR="00F00BFD" w14:paraId="5703BBCD"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1847D88C" w14:textId="77777777" w:rsidR="00F00BFD" w:rsidRDefault="00F00BFD" w:rsidP="00AC4AF6">
            <w:pPr>
              <w:pStyle w:val="Tabletextnoindent"/>
              <w:keepNext w:val="0"/>
              <w:numPr>
                <w:ilvl w:val="0"/>
                <w:numId w:val="0"/>
              </w:numPr>
              <w:spacing w:line="276" w:lineRule="auto"/>
              <w:rPr>
                <w:lang w:eastAsia="zh-TW"/>
              </w:rPr>
            </w:pPr>
            <w:r w:rsidRPr="00D10719">
              <w:t>ES3.90</w:t>
            </w:r>
          </w:p>
        </w:tc>
        <w:tc>
          <w:tcPr>
            <w:tcW w:w="3746" w:type="dxa"/>
            <w:tcBorders>
              <w:top w:val="single" w:sz="4" w:space="0" w:color="000000"/>
              <w:left w:val="single" w:sz="4" w:space="0" w:color="000000"/>
              <w:bottom w:val="single" w:sz="4" w:space="0" w:color="000000"/>
              <w:right w:val="single" w:sz="4" w:space="0" w:color="000000"/>
            </w:tcBorders>
            <w:hideMark/>
          </w:tcPr>
          <w:p w14:paraId="174B3087" w14:textId="77777777" w:rsidR="00F00BFD" w:rsidRDefault="00F00BFD" w:rsidP="00AC4AF6">
            <w:pPr>
              <w:pStyle w:val="ES-table"/>
              <w:keepNext w:val="0"/>
              <w:rPr>
                <w:lang w:eastAsia="zh-TW"/>
              </w:rPr>
            </w:pPr>
            <w:r>
              <w:rPr>
                <w:lang w:eastAsia="zh-TW"/>
              </w:rPr>
              <w:t>In critically ill neonatal and paediatric patients, the effect of cryoprecipitate compared with a different cryoprecipitate transfusion strategy on transfusion-related serious adverse events is unknown.</w:t>
            </w:r>
          </w:p>
        </w:tc>
        <w:tc>
          <w:tcPr>
            <w:tcW w:w="809" w:type="dxa"/>
            <w:tcBorders>
              <w:top w:val="single" w:sz="4" w:space="0" w:color="000000"/>
              <w:left w:val="single" w:sz="4" w:space="0" w:color="000000"/>
              <w:bottom w:val="single" w:sz="4" w:space="0" w:color="000000"/>
              <w:right w:val="single" w:sz="4" w:space="0" w:color="000000"/>
            </w:tcBorders>
            <w:hideMark/>
          </w:tcPr>
          <w:p w14:paraId="3A917154"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78B56586"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6204C6DB" w14:textId="77777777" w:rsidR="00F00BFD" w:rsidRDefault="00F00BFD" w:rsidP="00AC4AF6">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C4D9F17" w14:textId="77777777" w:rsidR="00F00BFD" w:rsidRDefault="00F00BFD" w:rsidP="00AC4AF6">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78DD25E5" w14:textId="77777777" w:rsidR="00F00BFD" w:rsidRDefault="00F00BFD" w:rsidP="00AC4AF6">
            <w:pPr>
              <w:pStyle w:val="T-ABCD"/>
              <w:spacing w:line="276" w:lineRule="auto"/>
              <w:rPr>
                <w:lang w:eastAsia="zh-TW"/>
              </w:rPr>
            </w:pPr>
            <w:r>
              <w:rPr>
                <w:lang w:eastAsia="zh-TW"/>
              </w:rPr>
              <w:t xml:space="preserve">NA </w:t>
            </w:r>
          </w:p>
        </w:tc>
      </w:tr>
      <w:tr w:rsidR="00F00BFD" w14:paraId="0EAAECA9" w14:textId="77777777" w:rsidTr="00F00BFD">
        <w:trPr>
          <w:cantSplit/>
        </w:trPr>
        <w:tc>
          <w:tcPr>
            <w:tcW w:w="851" w:type="dxa"/>
            <w:tcBorders>
              <w:top w:val="single" w:sz="4" w:space="0" w:color="000000"/>
              <w:left w:val="single" w:sz="4" w:space="0" w:color="000000"/>
              <w:bottom w:val="single" w:sz="4" w:space="0" w:color="000000"/>
              <w:right w:val="single" w:sz="4" w:space="0" w:color="000000"/>
            </w:tcBorders>
          </w:tcPr>
          <w:p w14:paraId="454879D2" w14:textId="77777777" w:rsidR="00F00BFD" w:rsidRDefault="00F00BFD" w:rsidP="00F00BFD">
            <w:pPr>
              <w:pStyle w:val="Tabletextnoindent"/>
              <w:numPr>
                <w:ilvl w:val="0"/>
                <w:numId w:val="0"/>
              </w:numPr>
              <w:spacing w:line="276" w:lineRule="auto"/>
              <w:rPr>
                <w:lang w:eastAsia="zh-TW"/>
              </w:rPr>
            </w:pPr>
            <w:r w:rsidRPr="00D10719">
              <w:t>ES3.91</w:t>
            </w:r>
          </w:p>
        </w:tc>
        <w:tc>
          <w:tcPr>
            <w:tcW w:w="3746" w:type="dxa"/>
            <w:tcBorders>
              <w:top w:val="single" w:sz="4" w:space="0" w:color="000000"/>
              <w:left w:val="single" w:sz="4" w:space="0" w:color="000000"/>
              <w:bottom w:val="single" w:sz="4" w:space="0" w:color="000000"/>
              <w:right w:val="single" w:sz="4" w:space="0" w:color="000000"/>
            </w:tcBorders>
            <w:hideMark/>
          </w:tcPr>
          <w:p w14:paraId="087638AC" w14:textId="77777777" w:rsidR="00F00BFD" w:rsidRDefault="00F00BFD" w:rsidP="00F00BFD">
            <w:pPr>
              <w:pStyle w:val="ES-table"/>
              <w:rPr>
                <w:lang w:eastAsia="zh-TW"/>
              </w:rPr>
            </w:pPr>
            <w:r>
              <w:rPr>
                <w:lang w:eastAsia="zh-TW"/>
              </w:rPr>
              <w:t>In critically ill neonatal and paediatric patients, the effect of cryoprecipitate compared with a different cryoprecipitate transfusion strategy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3A68C79F"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60BEEDE2"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17B8F01D" w14:textId="77777777" w:rsidR="00F00BFD" w:rsidRDefault="00F00BFD" w:rsidP="00F00BFD">
            <w:pPr>
              <w:pStyle w:val="T-ABCD"/>
              <w:spacing w:line="276" w:lineRule="auto"/>
              <w:rPr>
                <w:lang w:eastAsia="zh-TW"/>
              </w:rPr>
            </w:pPr>
            <w:r>
              <w:rPr>
                <w:lang w:eastAsia="zh-TW"/>
              </w:rPr>
              <w:t>NA</w:t>
            </w:r>
          </w:p>
        </w:tc>
        <w:tc>
          <w:tcPr>
            <w:tcW w:w="808" w:type="dxa"/>
            <w:tcBorders>
              <w:top w:val="single" w:sz="4" w:space="0" w:color="000000"/>
              <w:left w:val="single" w:sz="4" w:space="0" w:color="000000"/>
              <w:bottom w:val="single" w:sz="4" w:space="0" w:color="000000"/>
              <w:right w:val="single" w:sz="4" w:space="0" w:color="000000"/>
            </w:tcBorders>
            <w:hideMark/>
          </w:tcPr>
          <w:p w14:paraId="2CE0496D" w14:textId="77777777" w:rsidR="00F00BFD" w:rsidRDefault="00F00BFD" w:rsidP="00F00BFD">
            <w:pPr>
              <w:pStyle w:val="T-ABCD"/>
              <w:spacing w:line="276" w:lineRule="auto"/>
              <w:rPr>
                <w:lang w:eastAsia="zh-TW"/>
              </w:rPr>
            </w:pPr>
            <w:r>
              <w:rPr>
                <w:lang w:eastAsia="zh-TW"/>
              </w:rPr>
              <w:t>NA</w:t>
            </w:r>
          </w:p>
        </w:tc>
        <w:tc>
          <w:tcPr>
            <w:tcW w:w="809" w:type="dxa"/>
            <w:tcBorders>
              <w:top w:val="single" w:sz="4" w:space="0" w:color="000000"/>
              <w:left w:val="single" w:sz="4" w:space="0" w:color="000000"/>
              <w:bottom w:val="single" w:sz="4" w:space="0" w:color="000000"/>
              <w:right w:val="single" w:sz="4" w:space="0" w:color="000000"/>
            </w:tcBorders>
            <w:hideMark/>
          </w:tcPr>
          <w:p w14:paraId="336D999D" w14:textId="77777777" w:rsidR="00F00BFD" w:rsidRDefault="00F00BFD" w:rsidP="00F00BFD">
            <w:pPr>
              <w:pStyle w:val="T-ABCD"/>
              <w:spacing w:line="276" w:lineRule="auto"/>
              <w:rPr>
                <w:lang w:eastAsia="zh-TW"/>
              </w:rPr>
            </w:pPr>
            <w:r>
              <w:rPr>
                <w:lang w:eastAsia="zh-TW"/>
              </w:rPr>
              <w:t xml:space="preserve">NA </w:t>
            </w:r>
          </w:p>
        </w:tc>
      </w:tr>
      <w:tr w:rsidR="00F00BFD" w14:paraId="41908009" w14:textId="77777777" w:rsidTr="00F00BFD">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4E45D3F4" w14:textId="77777777" w:rsidR="00F00BFD" w:rsidRPr="00E57A97" w:rsidRDefault="00F00BFD" w:rsidP="00F00BFD">
            <w:pPr>
              <w:pStyle w:val="ES-notes"/>
              <w:rPr>
                <w:rFonts w:eastAsiaTheme="minorEastAsia"/>
              </w:rPr>
            </w:pPr>
            <w:r>
              <w:rPr>
                <w:lang w:eastAsia="zh-TW"/>
              </w:rPr>
              <w:t xml:space="preserve">ES, evidence </w:t>
            </w:r>
            <w:r w:rsidRPr="00E57A97">
              <w:t>statement</w:t>
            </w:r>
          </w:p>
          <w:p w14:paraId="67E11932" w14:textId="77777777" w:rsidR="00F00BFD" w:rsidRDefault="00F00BFD" w:rsidP="00F00BFD">
            <w:pPr>
              <w:pStyle w:val="ES-notes"/>
              <w:rPr>
                <w:lang w:eastAsia="zh-TW"/>
              </w:rPr>
            </w:pPr>
            <w:r w:rsidRPr="00E57A97">
              <w:sym w:font="Symbol" w:char="F0D6"/>
            </w:r>
            <w:r w:rsidRPr="00E57A97">
              <w:sym w:font="Symbol" w:char="F0D6"/>
            </w:r>
            <w:r w:rsidRPr="00E57A97">
              <w:sym w:font="Symbol" w:char="F0D6"/>
            </w:r>
            <w:r w:rsidRPr="00E57A97">
              <w:t xml:space="preserve">=A; </w:t>
            </w:r>
            <w:r w:rsidRPr="00E57A97">
              <w:sym w:font="Symbol" w:char="F0D6"/>
            </w:r>
            <w:r w:rsidRPr="00E57A97">
              <w:sym w:font="Symbol" w:char="F0D6"/>
            </w:r>
            <w:r w:rsidRPr="00E57A97">
              <w:t xml:space="preserve">=B; </w:t>
            </w:r>
            <w:r w:rsidRPr="00E57A97">
              <w:sym w:font="Symbol" w:char="F0D6"/>
            </w:r>
            <w:r w:rsidRPr="00E57A97">
              <w:t>=C; X=D; NA</w:t>
            </w:r>
            <w:r>
              <w:rPr>
                <w:lang w:eastAsia="zh-TW"/>
              </w:rPr>
              <w:t>, not applicable</w:t>
            </w:r>
          </w:p>
        </w:tc>
      </w:tr>
    </w:tbl>
    <w:p w14:paraId="5F8CB02F"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1CB2B820"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334FEFE3" w14:textId="759E3308" w:rsidR="00F00BFD" w:rsidRPr="00AC4AF6" w:rsidRDefault="00F00BFD" w:rsidP="000E35F6">
            <w:pPr>
              <w:pStyle w:val="PP-heading"/>
              <w:rPr>
                <w:lang w:val="en-AU"/>
              </w:rPr>
            </w:pPr>
            <w:r w:rsidRPr="00F921CD">
              <w:t xml:space="preserve">Practice point – </w:t>
            </w:r>
            <w:r w:rsidR="005E38DA">
              <w:rPr>
                <w:lang w:eastAsia="zh-TW"/>
              </w:rPr>
              <w:t>critically ill (cryoprecipitate)</w:t>
            </w:r>
          </w:p>
        </w:tc>
      </w:tr>
      <w:tr w:rsidR="00F00BFD" w:rsidRPr="00F921CD" w14:paraId="779A2492" w14:textId="77777777" w:rsidTr="00AC4AF6">
        <w:tc>
          <w:tcPr>
            <w:tcW w:w="1117" w:type="dxa"/>
            <w:tcBorders>
              <w:right w:val="single" w:sz="4" w:space="0" w:color="auto"/>
            </w:tcBorders>
            <w:shd w:val="clear" w:color="auto" w:fill="auto"/>
          </w:tcPr>
          <w:p w14:paraId="0F4E633E" w14:textId="77777777" w:rsidR="00F00BFD" w:rsidRPr="00F921CD" w:rsidRDefault="00F00BFD" w:rsidP="000E35F6">
            <w:pPr>
              <w:pStyle w:val="PP"/>
              <w:keepNext/>
            </w:pPr>
            <w:r w:rsidRPr="00F921CD">
              <w:t>PP</w:t>
            </w:r>
            <w:r>
              <w:t>28</w:t>
            </w:r>
          </w:p>
        </w:tc>
        <w:tc>
          <w:tcPr>
            <w:tcW w:w="7560" w:type="dxa"/>
            <w:tcBorders>
              <w:left w:val="single" w:sz="4" w:space="0" w:color="auto"/>
            </w:tcBorders>
            <w:shd w:val="clear" w:color="auto" w:fill="auto"/>
          </w:tcPr>
          <w:p w14:paraId="4D41FD2A" w14:textId="77777777" w:rsidR="00F00BFD" w:rsidRPr="00F921CD" w:rsidRDefault="00F00BFD" w:rsidP="000E35F6">
            <w:pPr>
              <w:pStyle w:val="PP"/>
              <w:keepNext/>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365D2ADA" w14:textId="77777777" w:rsidTr="00AC4AF6">
        <w:trPr>
          <w:trHeight w:val="397"/>
        </w:trPr>
        <w:tc>
          <w:tcPr>
            <w:tcW w:w="8677" w:type="dxa"/>
            <w:gridSpan w:val="2"/>
            <w:shd w:val="clear" w:color="auto" w:fill="auto"/>
          </w:tcPr>
          <w:p w14:paraId="6F79FFF4" w14:textId="77777777" w:rsidR="00F00BFD" w:rsidRPr="00F921CD" w:rsidRDefault="00F00BFD" w:rsidP="000E35F6">
            <w:pPr>
              <w:pStyle w:val="PP-note"/>
              <w:keepNext/>
            </w:pPr>
            <w:r w:rsidRPr="00F921CD">
              <w:t>FFP, fresh frozen plasma; PP, practice point</w:t>
            </w:r>
          </w:p>
        </w:tc>
      </w:tr>
    </w:tbl>
    <w:p w14:paraId="2F41C6BC" w14:textId="77777777" w:rsidR="00F00BFD" w:rsidRDefault="00F00BFD" w:rsidP="00F00BFD"/>
    <w:p w14:paraId="0971F676" w14:textId="77777777" w:rsidR="00F00BFD" w:rsidRDefault="00F00BFD" w:rsidP="00F00BFD">
      <w:pPr>
        <w:pStyle w:val="Heading4"/>
        <w:ind w:left="0" w:firstLine="720"/>
      </w:pPr>
      <w:r>
        <w:t>Summary of evidence</w:t>
      </w:r>
    </w:p>
    <w:p w14:paraId="7408D060" w14:textId="77777777" w:rsidR="00F00BFD" w:rsidRPr="00571266" w:rsidRDefault="00F00BFD" w:rsidP="00F00BFD">
      <w:pPr>
        <w:rPr>
          <w:lang w:val="en-GB" w:eastAsia="en-GB"/>
        </w:rPr>
      </w:pPr>
      <w:r>
        <w:rPr>
          <w:lang w:val="en-GB" w:eastAsia="en-GB"/>
        </w:rPr>
        <w:t>No eligible studies were identified.</w:t>
      </w:r>
    </w:p>
    <w:p w14:paraId="4F390E92" w14:textId="77777777" w:rsidR="00F00BFD" w:rsidRDefault="00F00BFD" w:rsidP="00F00BFD">
      <w:pPr>
        <w:pStyle w:val="Heading5"/>
      </w:pPr>
      <w:r>
        <w:t>Mortality</w:t>
      </w:r>
    </w:p>
    <w:p w14:paraId="5AF0C8B6" w14:textId="388DB507" w:rsidR="00F00BFD" w:rsidRPr="00214F77" w:rsidRDefault="00AC4AF6" w:rsidP="00AC4AF6">
      <w:pPr>
        <w:rPr>
          <w:lang w:val="en-US" w:eastAsia="en-GB"/>
        </w:rPr>
      </w:pPr>
      <w:r>
        <w:rPr>
          <w:lang w:val="en-GB" w:eastAsia="en-GB"/>
        </w:rPr>
        <w:t xml:space="preserve">No evidence was identified related to mortality. </w:t>
      </w:r>
    </w:p>
    <w:p w14:paraId="6250C781" w14:textId="6365CB85" w:rsidR="00F00BFD" w:rsidRDefault="00F00BFD" w:rsidP="00F00BFD">
      <w:pPr>
        <w:pStyle w:val="Heading5"/>
      </w:pPr>
      <w:r>
        <w:t xml:space="preserve">Bleeding </w:t>
      </w:r>
      <w:r w:rsidR="00AC4AF6">
        <w:t>events</w:t>
      </w:r>
    </w:p>
    <w:p w14:paraId="50029473" w14:textId="48C38FEE" w:rsidR="00F00BFD" w:rsidRPr="0065649E" w:rsidRDefault="00AC4AF6" w:rsidP="00AC4AF6">
      <w:pPr>
        <w:rPr>
          <w:lang w:val="en-GB" w:eastAsia="en-GB"/>
        </w:rPr>
      </w:pPr>
      <w:r>
        <w:rPr>
          <w:lang w:val="en-GB" w:eastAsia="en-GB"/>
        </w:rPr>
        <w:t xml:space="preserve">No evidence was identified related to bleeding events. </w:t>
      </w:r>
    </w:p>
    <w:p w14:paraId="0E05F1E6" w14:textId="1B16E288" w:rsidR="00F00BFD" w:rsidRDefault="006D542E" w:rsidP="00F00BFD">
      <w:pPr>
        <w:pStyle w:val="Heading5"/>
      </w:pPr>
      <w:r>
        <w:t>Transfusion</w:t>
      </w:r>
      <w:r>
        <w:rPr>
          <w:lang w:val="en-AU"/>
        </w:rPr>
        <w:t>-</w:t>
      </w:r>
      <w:r w:rsidR="00F00BFD">
        <w:t>related serious adverse events</w:t>
      </w:r>
    </w:p>
    <w:p w14:paraId="151DAA2C" w14:textId="6E0D2CB3" w:rsidR="00F00BFD" w:rsidRPr="0065649E" w:rsidRDefault="00FA6791" w:rsidP="00AC4AF6">
      <w:pPr>
        <w:rPr>
          <w:lang w:val="en-GB" w:eastAsia="en-GB"/>
        </w:rPr>
      </w:pPr>
      <w:r>
        <w:rPr>
          <w:lang w:val="en-GB" w:eastAsia="en-GB"/>
        </w:rPr>
        <w:t>No studies reported</w:t>
      </w:r>
      <w:r w:rsidR="008F7398">
        <w:rPr>
          <w:lang w:val="en-GB" w:eastAsia="en-GB"/>
        </w:rPr>
        <w:t xml:space="preserve"> transfusion-related serious adverse events</w:t>
      </w:r>
      <w:r w:rsidR="00AC4AF6">
        <w:rPr>
          <w:lang w:val="en-GB" w:eastAsia="en-GB"/>
        </w:rPr>
        <w:t xml:space="preserve">. </w:t>
      </w:r>
    </w:p>
    <w:p w14:paraId="2E161481" w14:textId="77777777" w:rsidR="00F00BFD" w:rsidRDefault="00F00BFD" w:rsidP="00F00BFD">
      <w:pPr>
        <w:pStyle w:val="Heading5"/>
      </w:pPr>
      <w:r>
        <w:t>Transfusion volume or incidence</w:t>
      </w:r>
    </w:p>
    <w:p w14:paraId="201D6D62" w14:textId="57C9DB25" w:rsidR="00F00BFD" w:rsidRPr="0065649E" w:rsidRDefault="00FA6791" w:rsidP="00AC4AF6">
      <w:pPr>
        <w:rPr>
          <w:lang w:val="en-GB" w:eastAsia="en-GB"/>
        </w:rPr>
      </w:pPr>
      <w:r>
        <w:rPr>
          <w:lang w:val="en-GB" w:eastAsia="en-GB"/>
        </w:rPr>
        <w:t>No studies reported</w:t>
      </w:r>
      <w:r w:rsidR="008F7398">
        <w:rPr>
          <w:lang w:val="en-GB" w:eastAsia="en-GB"/>
        </w:rPr>
        <w:t xml:space="preserve"> transfusion volume or incidence.</w:t>
      </w:r>
      <w:r w:rsidR="00AC4AF6">
        <w:rPr>
          <w:lang w:val="en-GB" w:eastAsia="en-GB"/>
        </w:rPr>
        <w:t xml:space="preserve"> </w:t>
      </w:r>
    </w:p>
    <w:p w14:paraId="23FA1E3F" w14:textId="592AAB3E" w:rsidR="00F00BFD" w:rsidRPr="00AC4AF6" w:rsidRDefault="00AC4AF6" w:rsidP="00F96C85">
      <w:pPr>
        <w:pStyle w:val="BoxHeading"/>
      </w:pPr>
      <w:r w:rsidRPr="009C32A7">
        <w:t xml:space="preserve">Clinical </w:t>
      </w:r>
      <w:r>
        <w:t xml:space="preserve">commentary </w:t>
      </w:r>
      <w:r>
        <w:softHyphen/>
        <w:t xml:space="preserve">– effects of cryoprecipitate in critically ill neonatal and paediatric patients </w:t>
      </w:r>
    </w:p>
    <w:p w14:paraId="088EDAB9" w14:textId="096494FA" w:rsidR="00F00BFD" w:rsidRDefault="00F00BFD" w:rsidP="00F96C85">
      <w:pPr>
        <w:pStyle w:val="BoxText"/>
      </w:pPr>
      <w:r>
        <w:t>Cryoprecipitate should be used to treat active bleeding in the setting of hypofibrinogenaemia. There is no clear threshold for clinically si</w:t>
      </w:r>
      <w:r w:rsidR="00AC4AF6">
        <w:t>gnificant hypofibrinogenaemia.</w:t>
      </w:r>
      <w:hyperlink w:anchor="_ENREF_152" w:tooltip="British Committee for Standards in Haematology, 2003 #630" w:history="1">
        <w:r w:rsidR="00E62798">
          <w:fldChar w:fldCharType="begin"/>
        </w:r>
        <w:r w:rsidR="00E62798">
          <w:instrText xml:space="preserve"> ADDIN EN.CITE &lt;EndNote&gt;&lt;Cite&gt;&lt;Author&gt;British Committee for Standards in Haematology&lt;/Author&gt;&lt;Year&gt;2003&lt;/Year&gt;&lt;RecNum&gt;630&lt;/RecNum&gt;&lt;DisplayText&gt;&lt;style face="superscript"&gt;152&lt;/style&gt;&lt;/DisplayText&gt;&lt;record&gt;&lt;rec-number&gt;630&lt;/rec-number&gt;&lt;foreign-keys&gt;&lt;key app="EN" db-id="9edve2wadsavt5ewavaxtda4f2tavzvts9ee" timestamp="1433146380"&gt;630&lt;/key&gt;&lt;key app="ENWeb" db-id=""&gt;0&lt;/key&gt;&lt;/foreign-keys&gt;&lt;ref-type name="Journal Article"&gt;17&lt;/ref-type&gt;&lt;contributors&gt;&lt;authors&gt;&lt;author&gt;British Committee for Standards in Haematology, Blood Transfusion Task Force&lt;/author&gt;&lt;/authors&gt;&lt;/contributors&gt;&lt;titles&gt;&lt;title&gt;Guidelines for the use of platelet transfusions&lt;/title&gt;&lt;secondary-title&gt;British Journal of Haematology&lt;/secondary-title&gt;&lt;alt-title&gt;Br. J. Haematol.&lt;/alt-title&gt;&lt;/titles&gt;&lt;periodical&gt;&lt;full-title&gt;Br J Haematol&lt;/full-title&gt;&lt;abbr-1&gt;British journal of haematology&lt;/abbr-1&gt;&lt;/periodical&gt;&lt;pages&gt;10–23&lt;/pages&gt;&lt;volume&gt;122&lt;/volume&gt;&lt;number&gt;1&lt;/number&gt;&lt;dates&gt;&lt;year&gt;2003&lt;/year&gt;&lt;/dates&gt;&lt;isbn&gt;0007-1048&lt;/isbn&gt;&lt;urls&gt;&lt;related-urls&gt;&lt;url&gt;http://onlinelibrary.wiley.com/store/10.1046/j.1365-2141.2003.04468.x/asset/j.1365-2141.2003.04468.x.pdf?v=1&amp;amp;t=i8wrvhu3&amp;amp;s=cb4be396ff1b4b0096669308ddb29fd06023531e&lt;/url&gt;&lt;/related-urls&gt;&lt;/urls&gt;&lt;electronic-resource-num&gt;DOI:10.1046/j.1365-2141.2003.04468.x&lt;/electronic-resource-num&gt;&lt;/record&gt;&lt;/Cite&gt;&lt;/EndNote&gt;</w:instrText>
        </w:r>
        <w:r w:rsidR="00E62798">
          <w:fldChar w:fldCharType="separate"/>
        </w:r>
        <w:r w:rsidR="00E62798" w:rsidRPr="00E62798">
          <w:rPr>
            <w:noProof/>
            <w:vertAlign w:val="superscript"/>
          </w:rPr>
          <w:t>152</w:t>
        </w:r>
        <w:r w:rsidR="00E62798">
          <w:fldChar w:fldCharType="end"/>
        </w:r>
      </w:hyperlink>
      <w:r w:rsidR="00AC4AF6">
        <w:t xml:space="preserve"> </w:t>
      </w:r>
      <w:r>
        <w:t xml:space="preserve">However, it is reasonable to aim for a fibrinogen level of &gt;1.5 g/L. A target level of &gt;2 g/L may be appropriate in certain patients; for example, </w:t>
      </w:r>
      <w:r w:rsidR="00AC4AF6">
        <w:t xml:space="preserve">neonates and </w:t>
      </w:r>
      <w:r>
        <w:t>those receiving large transfusion volumes</w:t>
      </w:r>
      <w:r w:rsidR="00AC4AF6">
        <w:t>.</w:t>
      </w:r>
    </w:p>
    <w:p w14:paraId="6B69A473" w14:textId="6E896ACF" w:rsidR="00F00BFD" w:rsidRDefault="00AC4AF6" w:rsidP="00D93C65">
      <w:pPr>
        <w:pStyle w:val="Heading3"/>
        <w:numPr>
          <w:ilvl w:val="2"/>
          <w:numId w:val="47"/>
        </w:numPr>
      </w:pPr>
      <w:bookmarkStart w:id="152" w:name="_Toc427851351"/>
      <w:r>
        <w:rPr>
          <w:lang w:val="en-AU"/>
        </w:rPr>
        <w:t>Critically ill neonatal and paediatric patients – effects of platelets on outcomes</w:t>
      </w:r>
      <w:bookmarkEnd w:id="152"/>
      <w:r>
        <w:t xml:space="preserve"> </w:t>
      </w: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F00BFD" w:rsidRPr="0004495C" w14:paraId="6A75E2A3"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4ED6C74A" w14:textId="77777777" w:rsidR="00F00BFD" w:rsidRPr="006E5EFD" w:rsidRDefault="00F00BFD" w:rsidP="00F00BFD">
            <w:pPr>
              <w:pStyle w:val="PP-heading"/>
            </w:pPr>
            <w:r w:rsidRPr="006E5EFD">
              <w:t>Evidence statements</w:t>
            </w:r>
            <w:r w:rsidRPr="0004495C">
              <w:t xml:space="preserve"> </w:t>
            </w:r>
            <w:r>
              <w:t xml:space="preserve">– </w:t>
            </w:r>
            <w:r w:rsidRPr="001810D9">
              <w:t xml:space="preserve">critically ill </w:t>
            </w:r>
            <w:r>
              <w:t>(platelet transfusion)</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20A830EF" w14:textId="77777777" w:rsidR="00F00BFD" w:rsidRPr="0004495C" w:rsidRDefault="00F00BFD" w:rsidP="00F00BFD">
            <w:pPr>
              <w:ind w:left="113" w:right="113"/>
              <w:jc w:val="center"/>
              <w:rPr>
                <w:b/>
              </w:rPr>
            </w:pPr>
            <w:r w:rsidRPr="0004495C">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F6A0C80" w14:textId="77777777" w:rsidR="00F00BFD" w:rsidRPr="0004495C" w:rsidRDefault="00F00BFD" w:rsidP="00F00BFD">
            <w:pPr>
              <w:ind w:left="113" w:right="113"/>
              <w:jc w:val="center"/>
              <w:rPr>
                <w:b/>
              </w:rPr>
            </w:pPr>
            <w:r w:rsidRPr="0004495C">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526E75DF" w14:textId="77777777" w:rsidR="00F00BFD" w:rsidRPr="0004495C" w:rsidRDefault="00F00BFD" w:rsidP="00F00BFD">
            <w:pPr>
              <w:ind w:left="113" w:right="113"/>
              <w:jc w:val="center"/>
              <w:rPr>
                <w:b/>
              </w:rPr>
            </w:pPr>
            <w:r>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2ACD116" w14:textId="77777777" w:rsidR="00F00BFD" w:rsidRPr="0004495C" w:rsidRDefault="00F00BFD" w:rsidP="00F00BFD">
            <w:pPr>
              <w:ind w:left="113" w:right="113"/>
              <w:jc w:val="center"/>
              <w:rPr>
                <w:b/>
              </w:rPr>
            </w:pPr>
            <w:r w:rsidRPr="0004495C">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ADE3A77" w14:textId="77777777" w:rsidR="00F00BFD" w:rsidRPr="0004495C" w:rsidRDefault="00F00BFD" w:rsidP="00F00BFD">
            <w:pPr>
              <w:ind w:left="113" w:right="113"/>
              <w:jc w:val="center"/>
              <w:rPr>
                <w:b/>
              </w:rPr>
            </w:pPr>
            <w:r w:rsidRPr="0004495C">
              <w:rPr>
                <w:b/>
              </w:rPr>
              <w:t>Applicability</w:t>
            </w:r>
          </w:p>
        </w:tc>
      </w:tr>
      <w:tr w:rsidR="00F00BFD" w:rsidRPr="00791A33" w14:paraId="6515D907" w14:textId="77777777" w:rsidTr="00F00BFD">
        <w:trPr>
          <w:cantSplit/>
        </w:trPr>
        <w:tc>
          <w:tcPr>
            <w:tcW w:w="851" w:type="dxa"/>
          </w:tcPr>
          <w:p w14:paraId="47846759" w14:textId="77777777" w:rsidR="00F00BFD" w:rsidRPr="008E6214" w:rsidRDefault="00F00BFD" w:rsidP="004E09B3">
            <w:pPr>
              <w:pStyle w:val="Tabletextnoindent"/>
              <w:keepNext w:val="0"/>
              <w:numPr>
                <w:ilvl w:val="0"/>
                <w:numId w:val="0"/>
              </w:numPr>
            </w:pPr>
            <w:r w:rsidRPr="001F794A">
              <w:t>ES3.92</w:t>
            </w:r>
          </w:p>
        </w:tc>
        <w:tc>
          <w:tcPr>
            <w:tcW w:w="3750" w:type="dxa"/>
          </w:tcPr>
          <w:p w14:paraId="3D7D9CE5" w14:textId="77777777" w:rsidR="00F00BFD" w:rsidRDefault="00F00BFD" w:rsidP="004E09B3">
            <w:pPr>
              <w:pStyle w:val="ES-table"/>
              <w:keepNext w:val="0"/>
            </w:pPr>
            <w:r w:rsidRPr="001810D9">
              <w:t xml:space="preserve">In critically ill </w:t>
            </w:r>
            <w:r>
              <w:t>neonatal and paediatric</w:t>
            </w:r>
            <w:r w:rsidRPr="001810D9">
              <w:t xml:space="preserve"> patients, the effect of </w:t>
            </w:r>
            <w:r>
              <w:t>p</w:t>
            </w:r>
            <w:r w:rsidRPr="0023743E">
              <w:t xml:space="preserve">latelet transfusion </w:t>
            </w:r>
            <w:r>
              <w:t>compared with</w:t>
            </w:r>
            <w:r w:rsidRPr="0023743E">
              <w:t xml:space="preserve"> no platelet </w:t>
            </w:r>
            <w:r w:rsidRPr="00E57A97">
              <w:t>transfusion</w:t>
            </w:r>
            <w:r w:rsidRPr="001810D9">
              <w:t xml:space="preserve"> on mortality is un</w:t>
            </w:r>
            <w:r>
              <w:t>certain.</w:t>
            </w:r>
          </w:p>
          <w:p w14:paraId="16F8D5AF" w14:textId="77777777" w:rsidR="00F00BFD" w:rsidRDefault="00F00BFD" w:rsidP="004E09B3">
            <w:pPr>
              <w:pStyle w:val="ES-notes"/>
              <w:keepNext w:val="0"/>
            </w:pPr>
            <w:r w:rsidRPr="00E86CC4">
              <w:t xml:space="preserve">(See </w:t>
            </w:r>
            <w:r w:rsidRPr="00E57A97">
              <w:t>evidence</w:t>
            </w:r>
            <w:r w:rsidRPr="00E86CC4">
              <w:t xml:space="preserve"> matrix D</w:t>
            </w:r>
            <w:r>
              <w:t>3</w:t>
            </w:r>
            <w:r w:rsidRPr="00E86CC4">
              <w:t>.</w:t>
            </w:r>
            <w:r>
              <w:t>S</w:t>
            </w:r>
            <w:r w:rsidRPr="00E86CC4">
              <w:t xml:space="preserve"> in Volume 2 of the technical report.)</w:t>
            </w:r>
          </w:p>
        </w:tc>
        <w:tc>
          <w:tcPr>
            <w:tcW w:w="809" w:type="dxa"/>
          </w:tcPr>
          <w:p w14:paraId="632A61E7" w14:textId="77777777" w:rsidR="00F00BFD" w:rsidRPr="00791A33" w:rsidRDefault="00F00BFD" w:rsidP="004E09B3">
            <w:pPr>
              <w:pStyle w:val="T-ABCD"/>
            </w:pPr>
            <w:r w:rsidRPr="0004495C">
              <w:sym w:font="Symbol" w:char="F0D6"/>
            </w:r>
          </w:p>
        </w:tc>
        <w:tc>
          <w:tcPr>
            <w:tcW w:w="809" w:type="dxa"/>
          </w:tcPr>
          <w:p w14:paraId="6BFAD81F" w14:textId="77777777" w:rsidR="00F00BFD" w:rsidRPr="00791A33" w:rsidRDefault="00F00BFD" w:rsidP="004E09B3">
            <w:pPr>
              <w:pStyle w:val="T-ABCD"/>
            </w:pPr>
            <w:r>
              <w:t>NA</w:t>
            </w:r>
          </w:p>
        </w:tc>
        <w:tc>
          <w:tcPr>
            <w:tcW w:w="809" w:type="dxa"/>
          </w:tcPr>
          <w:p w14:paraId="11420B1C" w14:textId="77777777" w:rsidR="00F00BFD" w:rsidRPr="00791A33" w:rsidRDefault="00F00BFD" w:rsidP="004E09B3">
            <w:pPr>
              <w:pStyle w:val="T-ABCD"/>
            </w:pPr>
            <w:r>
              <w:t xml:space="preserve">NA </w:t>
            </w:r>
          </w:p>
        </w:tc>
        <w:tc>
          <w:tcPr>
            <w:tcW w:w="809" w:type="dxa"/>
          </w:tcPr>
          <w:p w14:paraId="2DB0EFBD" w14:textId="77777777" w:rsidR="00F00BFD" w:rsidRPr="00791A33" w:rsidRDefault="00F00BFD" w:rsidP="004E09B3">
            <w:pPr>
              <w:pStyle w:val="T-ABCD"/>
              <w:ind w:left="0"/>
              <w:jc w:val="center"/>
            </w:pPr>
            <w:r w:rsidRPr="0004495C">
              <w:sym w:font="Symbol" w:char="F0D6"/>
            </w:r>
            <w:r w:rsidRPr="0004495C">
              <w:sym w:font="Symbol" w:char="F0D6"/>
            </w:r>
          </w:p>
        </w:tc>
        <w:tc>
          <w:tcPr>
            <w:tcW w:w="810" w:type="dxa"/>
          </w:tcPr>
          <w:p w14:paraId="77E9F2D5" w14:textId="77777777" w:rsidR="00F00BFD" w:rsidRPr="00791A33" w:rsidRDefault="00F00BFD" w:rsidP="004E09B3">
            <w:pPr>
              <w:pStyle w:val="T-ABCD"/>
            </w:pPr>
            <w:r w:rsidRPr="0004495C">
              <w:sym w:font="Symbol" w:char="F0D6"/>
            </w:r>
          </w:p>
        </w:tc>
      </w:tr>
      <w:tr w:rsidR="00F00BFD" w:rsidRPr="00791A33" w14:paraId="6489C6C1" w14:textId="77777777" w:rsidTr="00F00BFD">
        <w:trPr>
          <w:cantSplit/>
        </w:trPr>
        <w:tc>
          <w:tcPr>
            <w:tcW w:w="851" w:type="dxa"/>
          </w:tcPr>
          <w:p w14:paraId="1233C0EE" w14:textId="77777777" w:rsidR="00F00BFD" w:rsidRPr="008E6214" w:rsidRDefault="00F00BFD" w:rsidP="004E09B3">
            <w:pPr>
              <w:pStyle w:val="Tabletextnoindent"/>
              <w:keepNext w:val="0"/>
              <w:numPr>
                <w:ilvl w:val="0"/>
                <w:numId w:val="0"/>
              </w:numPr>
            </w:pPr>
            <w:r w:rsidRPr="001F794A">
              <w:t>ES3.93</w:t>
            </w:r>
          </w:p>
        </w:tc>
        <w:tc>
          <w:tcPr>
            <w:tcW w:w="3750" w:type="dxa"/>
          </w:tcPr>
          <w:p w14:paraId="667D26B4" w14:textId="77777777" w:rsidR="00F00BFD" w:rsidRDefault="00F00BFD" w:rsidP="004E09B3">
            <w:pPr>
              <w:pStyle w:val="ES-table"/>
              <w:keepNext w:val="0"/>
            </w:pPr>
            <w:r w:rsidRPr="0023743E">
              <w:t xml:space="preserve">In critically ill </w:t>
            </w:r>
            <w:r>
              <w:t>neonatal and paediatric</w:t>
            </w:r>
            <w:r w:rsidRPr="0023743E">
              <w:t xml:space="preserve"> patients, the effect of </w:t>
            </w:r>
            <w:r>
              <w:t>p</w:t>
            </w:r>
            <w:r w:rsidRPr="0023743E">
              <w:t xml:space="preserve">latelet transfusion </w:t>
            </w:r>
            <w:r>
              <w:t>compared with</w:t>
            </w:r>
            <w:r w:rsidRPr="0023743E">
              <w:t xml:space="preserve"> no platelet transfusion</w:t>
            </w:r>
            <w:r w:rsidRPr="001810D9">
              <w:t xml:space="preserve"> </w:t>
            </w:r>
            <w:r w:rsidRPr="0023743E">
              <w:t>on bleeding events is unknown</w:t>
            </w:r>
            <w:r>
              <w:t>.</w:t>
            </w:r>
          </w:p>
        </w:tc>
        <w:tc>
          <w:tcPr>
            <w:tcW w:w="809" w:type="dxa"/>
          </w:tcPr>
          <w:p w14:paraId="6A42A2BA" w14:textId="77777777" w:rsidR="00F00BFD" w:rsidRPr="00791A33" w:rsidRDefault="00F00BFD" w:rsidP="004E09B3">
            <w:pPr>
              <w:pStyle w:val="T-ABCD"/>
            </w:pPr>
            <w:r>
              <w:t>NA</w:t>
            </w:r>
          </w:p>
        </w:tc>
        <w:tc>
          <w:tcPr>
            <w:tcW w:w="809" w:type="dxa"/>
          </w:tcPr>
          <w:p w14:paraId="1969A386" w14:textId="77777777" w:rsidR="00F00BFD" w:rsidRPr="00791A33" w:rsidRDefault="00F00BFD" w:rsidP="004E09B3">
            <w:pPr>
              <w:pStyle w:val="T-ABCD"/>
            </w:pPr>
            <w:r>
              <w:t>NA</w:t>
            </w:r>
          </w:p>
        </w:tc>
        <w:tc>
          <w:tcPr>
            <w:tcW w:w="809" w:type="dxa"/>
          </w:tcPr>
          <w:p w14:paraId="04B2F904" w14:textId="77777777" w:rsidR="00F00BFD" w:rsidRPr="00791A33" w:rsidRDefault="00F00BFD" w:rsidP="004E09B3">
            <w:pPr>
              <w:pStyle w:val="T-ABCD"/>
            </w:pPr>
            <w:r>
              <w:t>NA</w:t>
            </w:r>
          </w:p>
        </w:tc>
        <w:tc>
          <w:tcPr>
            <w:tcW w:w="809" w:type="dxa"/>
          </w:tcPr>
          <w:p w14:paraId="6107BDCE" w14:textId="77777777" w:rsidR="00F00BFD" w:rsidRPr="00791A33" w:rsidRDefault="00F00BFD" w:rsidP="004E09B3">
            <w:pPr>
              <w:pStyle w:val="T-ABCD"/>
            </w:pPr>
            <w:r>
              <w:t>NA</w:t>
            </w:r>
          </w:p>
        </w:tc>
        <w:tc>
          <w:tcPr>
            <w:tcW w:w="810" w:type="dxa"/>
          </w:tcPr>
          <w:p w14:paraId="01098040" w14:textId="77777777" w:rsidR="00F00BFD" w:rsidRPr="00791A33" w:rsidRDefault="00F00BFD" w:rsidP="004E09B3">
            <w:pPr>
              <w:pStyle w:val="T-ABCD"/>
            </w:pPr>
            <w:r>
              <w:t xml:space="preserve">NA </w:t>
            </w:r>
          </w:p>
        </w:tc>
      </w:tr>
      <w:tr w:rsidR="00F00BFD" w:rsidRPr="00791A33" w14:paraId="709577BF" w14:textId="77777777" w:rsidTr="00F00BFD">
        <w:trPr>
          <w:cantSplit/>
        </w:trPr>
        <w:tc>
          <w:tcPr>
            <w:tcW w:w="851" w:type="dxa"/>
          </w:tcPr>
          <w:p w14:paraId="149ABA1A" w14:textId="77777777" w:rsidR="00F00BFD" w:rsidRPr="008E6214" w:rsidRDefault="00F00BFD" w:rsidP="004E09B3">
            <w:pPr>
              <w:pStyle w:val="Tabletextnoindent"/>
              <w:keepNext w:val="0"/>
              <w:numPr>
                <w:ilvl w:val="0"/>
                <w:numId w:val="0"/>
              </w:numPr>
            </w:pPr>
            <w:r w:rsidRPr="001F794A">
              <w:t>ES3.94</w:t>
            </w:r>
          </w:p>
        </w:tc>
        <w:tc>
          <w:tcPr>
            <w:tcW w:w="3750" w:type="dxa"/>
          </w:tcPr>
          <w:p w14:paraId="0EE22A2D" w14:textId="77777777" w:rsidR="00F00BFD" w:rsidRDefault="00F00BFD" w:rsidP="004E09B3">
            <w:pPr>
              <w:pStyle w:val="ES-table"/>
              <w:keepNext w:val="0"/>
            </w:pPr>
            <w:r w:rsidRPr="0023743E">
              <w:t xml:space="preserve">In critically ill </w:t>
            </w:r>
            <w:r>
              <w:t>neonatal and paediatric</w:t>
            </w:r>
            <w:r w:rsidRPr="0023743E">
              <w:t xml:space="preserve"> patients, the effect of </w:t>
            </w:r>
            <w:r>
              <w:t>p</w:t>
            </w:r>
            <w:r w:rsidRPr="0023743E">
              <w:t>late</w:t>
            </w:r>
            <w:r w:rsidRPr="00E57A97">
              <w:t>l</w:t>
            </w:r>
            <w:r w:rsidRPr="0023743E">
              <w:t xml:space="preserve">et transfusion </w:t>
            </w:r>
            <w:r>
              <w:t>compared with</w:t>
            </w:r>
            <w:r w:rsidRPr="0023743E">
              <w:t xml:space="preserve"> no platelet transfusion</w:t>
            </w:r>
            <w:r w:rsidRPr="001810D9">
              <w:t xml:space="preserve"> </w:t>
            </w:r>
            <w:r w:rsidRPr="00875584">
              <w:t>on</w:t>
            </w:r>
            <w:r>
              <w:t xml:space="preserve"> </w:t>
            </w:r>
            <w:r w:rsidRPr="00875584">
              <w:t>transfusion-related serious adverse events</w:t>
            </w:r>
            <w:r w:rsidRPr="0023743E">
              <w:t xml:space="preserve"> is unknown</w:t>
            </w:r>
            <w:r>
              <w:t>.</w:t>
            </w:r>
          </w:p>
        </w:tc>
        <w:tc>
          <w:tcPr>
            <w:tcW w:w="809" w:type="dxa"/>
          </w:tcPr>
          <w:p w14:paraId="1578B2B4" w14:textId="77777777" w:rsidR="00F00BFD" w:rsidRPr="00791A33" w:rsidRDefault="00F00BFD" w:rsidP="004E09B3">
            <w:pPr>
              <w:pStyle w:val="T-ABCD"/>
            </w:pPr>
            <w:r>
              <w:t>NA</w:t>
            </w:r>
          </w:p>
        </w:tc>
        <w:tc>
          <w:tcPr>
            <w:tcW w:w="809" w:type="dxa"/>
          </w:tcPr>
          <w:p w14:paraId="526C5943" w14:textId="77777777" w:rsidR="00F00BFD" w:rsidRPr="00791A33" w:rsidRDefault="00F00BFD" w:rsidP="004E09B3">
            <w:pPr>
              <w:pStyle w:val="T-ABCD"/>
            </w:pPr>
            <w:r>
              <w:t>NA</w:t>
            </w:r>
          </w:p>
        </w:tc>
        <w:tc>
          <w:tcPr>
            <w:tcW w:w="809" w:type="dxa"/>
          </w:tcPr>
          <w:p w14:paraId="21A9502F" w14:textId="77777777" w:rsidR="00F00BFD" w:rsidRPr="00791A33" w:rsidRDefault="00F00BFD" w:rsidP="004E09B3">
            <w:pPr>
              <w:pStyle w:val="T-ABCD"/>
            </w:pPr>
            <w:r>
              <w:t>NA</w:t>
            </w:r>
          </w:p>
        </w:tc>
        <w:tc>
          <w:tcPr>
            <w:tcW w:w="809" w:type="dxa"/>
          </w:tcPr>
          <w:p w14:paraId="7775E3AD" w14:textId="77777777" w:rsidR="00F00BFD" w:rsidRPr="00791A33" w:rsidRDefault="00F00BFD" w:rsidP="004E09B3">
            <w:pPr>
              <w:pStyle w:val="T-ABCD"/>
            </w:pPr>
            <w:r>
              <w:t>NA</w:t>
            </w:r>
          </w:p>
        </w:tc>
        <w:tc>
          <w:tcPr>
            <w:tcW w:w="810" w:type="dxa"/>
          </w:tcPr>
          <w:p w14:paraId="00AC646E" w14:textId="77777777" w:rsidR="00F00BFD" w:rsidRPr="00791A33" w:rsidRDefault="00F00BFD" w:rsidP="004E09B3">
            <w:pPr>
              <w:pStyle w:val="T-ABCD"/>
            </w:pPr>
            <w:r>
              <w:t xml:space="preserve">NA </w:t>
            </w:r>
          </w:p>
        </w:tc>
      </w:tr>
      <w:tr w:rsidR="00F00BFD" w:rsidRPr="00791A33" w14:paraId="5A14CD63" w14:textId="77777777" w:rsidTr="00F00BFD">
        <w:trPr>
          <w:cantSplit/>
        </w:trPr>
        <w:tc>
          <w:tcPr>
            <w:tcW w:w="851" w:type="dxa"/>
          </w:tcPr>
          <w:p w14:paraId="311FC589" w14:textId="77777777" w:rsidR="00F00BFD" w:rsidRPr="008E6214" w:rsidRDefault="00F00BFD" w:rsidP="004E09B3">
            <w:pPr>
              <w:pStyle w:val="Tabletextnoindent"/>
              <w:keepNext w:val="0"/>
              <w:numPr>
                <w:ilvl w:val="0"/>
                <w:numId w:val="0"/>
              </w:numPr>
            </w:pPr>
            <w:r w:rsidRPr="001F794A">
              <w:t>ES3.95</w:t>
            </w:r>
          </w:p>
        </w:tc>
        <w:tc>
          <w:tcPr>
            <w:tcW w:w="3750" w:type="dxa"/>
          </w:tcPr>
          <w:p w14:paraId="2AE9F469" w14:textId="77777777" w:rsidR="00F00BFD" w:rsidRPr="00E57A97" w:rsidRDefault="00F00BFD" w:rsidP="004E09B3">
            <w:pPr>
              <w:pStyle w:val="ES-table"/>
              <w:keepNext w:val="0"/>
            </w:pPr>
            <w:r w:rsidRPr="00E57A97">
              <w:t>In critically ill neonatal and paediatric patients, the effect of platelet transfusion compared with no platelet transfusion on transfusion volume or incidence is unknown.</w:t>
            </w:r>
          </w:p>
        </w:tc>
        <w:tc>
          <w:tcPr>
            <w:tcW w:w="809" w:type="dxa"/>
          </w:tcPr>
          <w:p w14:paraId="6C52193D" w14:textId="77777777" w:rsidR="00F00BFD" w:rsidRPr="00791A33" w:rsidRDefault="00F00BFD" w:rsidP="004E09B3">
            <w:pPr>
              <w:pStyle w:val="T-ABCD"/>
            </w:pPr>
            <w:r>
              <w:t>NA</w:t>
            </w:r>
          </w:p>
        </w:tc>
        <w:tc>
          <w:tcPr>
            <w:tcW w:w="809" w:type="dxa"/>
          </w:tcPr>
          <w:p w14:paraId="249F22BC" w14:textId="77777777" w:rsidR="00F00BFD" w:rsidRPr="00791A33" w:rsidRDefault="00F00BFD" w:rsidP="004E09B3">
            <w:pPr>
              <w:pStyle w:val="T-ABCD"/>
            </w:pPr>
            <w:r>
              <w:t>NA</w:t>
            </w:r>
          </w:p>
        </w:tc>
        <w:tc>
          <w:tcPr>
            <w:tcW w:w="809" w:type="dxa"/>
          </w:tcPr>
          <w:p w14:paraId="08045D98" w14:textId="77777777" w:rsidR="00F00BFD" w:rsidRPr="00791A33" w:rsidRDefault="00F00BFD" w:rsidP="004E09B3">
            <w:pPr>
              <w:pStyle w:val="T-ABCD"/>
            </w:pPr>
            <w:r>
              <w:t>NA</w:t>
            </w:r>
          </w:p>
        </w:tc>
        <w:tc>
          <w:tcPr>
            <w:tcW w:w="809" w:type="dxa"/>
          </w:tcPr>
          <w:p w14:paraId="2A8734C9" w14:textId="77777777" w:rsidR="00F00BFD" w:rsidRPr="00791A33" w:rsidRDefault="00F00BFD" w:rsidP="004E09B3">
            <w:pPr>
              <w:pStyle w:val="T-ABCD"/>
            </w:pPr>
            <w:r>
              <w:t>NA</w:t>
            </w:r>
          </w:p>
        </w:tc>
        <w:tc>
          <w:tcPr>
            <w:tcW w:w="810" w:type="dxa"/>
          </w:tcPr>
          <w:p w14:paraId="2000CF13" w14:textId="77777777" w:rsidR="00F00BFD" w:rsidRPr="00791A33" w:rsidRDefault="00F00BFD" w:rsidP="004E09B3">
            <w:pPr>
              <w:pStyle w:val="T-ABCD"/>
            </w:pPr>
            <w:r>
              <w:t xml:space="preserve">NA </w:t>
            </w:r>
          </w:p>
        </w:tc>
      </w:tr>
      <w:tr w:rsidR="00F00BFD" w:rsidRPr="00791A33" w14:paraId="30BE751B" w14:textId="77777777" w:rsidTr="00F00BFD">
        <w:trPr>
          <w:cantSplit/>
        </w:trPr>
        <w:tc>
          <w:tcPr>
            <w:tcW w:w="851" w:type="dxa"/>
          </w:tcPr>
          <w:p w14:paraId="6B1845B9" w14:textId="77777777" w:rsidR="00F00BFD" w:rsidRPr="008E6214" w:rsidRDefault="00F00BFD" w:rsidP="004E09B3">
            <w:pPr>
              <w:pStyle w:val="Tabletextnoindent"/>
              <w:keepNext w:val="0"/>
              <w:numPr>
                <w:ilvl w:val="0"/>
                <w:numId w:val="0"/>
              </w:numPr>
            </w:pPr>
            <w:r w:rsidRPr="001F794A">
              <w:t>ES3.96</w:t>
            </w:r>
          </w:p>
        </w:tc>
        <w:tc>
          <w:tcPr>
            <w:tcW w:w="3750" w:type="dxa"/>
          </w:tcPr>
          <w:p w14:paraId="1D37C697" w14:textId="77777777" w:rsidR="00F00BFD" w:rsidRPr="00E57A97" w:rsidRDefault="00F00BFD" w:rsidP="004E09B3">
            <w:pPr>
              <w:pStyle w:val="ES-table"/>
              <w:keepNext w:val="0"/>
            </w:pPr>
            <w:r w:rsidRPr="00E57A97">
              <w:t>In critically ill neonatal and paediatric patients, the effect of platelet transfusion compared with a different platelet transfusion strategy on mortality is unknown.</w:t>
            </w:r>
          </w:p>
        </w:tc>
        <w:tc>
          <w:tcPr>
            <w:tcW w:w="809" w:type="dxa"/>
          </w:tcPr>
          <w:p w14:paraId="7FCA5669" w14:textId="77777777" w:rsidR="00F00BFD" w:rsidRPr="00791A33" w:rsidRDefault="00F00BFD" w:rsidP="004E09B3">
            <w:pPr>
              <w:pStyle w:val="T-ABCD"/>
            </w:pPr>
            <w:r>
              <w:t>NA</w:t>
            </w:r>
          </w:p>
        </w:tc>
        <w:tc>
          <w:tcPr>
            <w:tcW w:w="809" w:type="dxa"/>
          </w:tcPr>
          <w:p w14:paraId="1061E5E5" w14:textId="77777777" w:rsidR="00F00BFD" w:rsidRPr="00791A33" w:rsidRDefault="00F00BFD" w:rsidP="004E09B3">
            <w:pPr>
              <w:pStyle w:val="T-ABCD"/>
            </w:pPr>
            <w:r>
              <w:t>NA</w:t>
            </w:r>
          </w:p>
        </w:tc>
        <w:tc>
          <w:tcPr>
            <w:tcW w:w="809" w:type="dxa"/>
          </w:tcPr>
          <w:p w14:paraId="16BD3D76" w14:textId="77777777" w:rsidR="00F00BFD" w:rsidRPr="00791A33" w:rsidRDefault="00F00BFD" w:rsidP="004E09B3">
            <w:pPr>
              <w:pStyle w:val="T-ABCD"/>
            </w:pPr>
            <w:r>
              <w:t>NA</w:t>
            </w:r>
          </w:p>
        </w:tc>
        <w:tc>
          <w:tcPr>
            <w:tcW w:w="809" w:type="dxa"/>
          </w:tcPr>
          <w:p w14:paraId="74EBA557" w14:textId="77777777" w:rsidR="00F00BFD" w:rsidRPr="00791A33" w:rsidRDefault="00F00BFD" w:rsidP="004E09B3">
            <w:pPr>
              <w:pStyle w:val="T-ABCD"/>
            </w:pPr>
            <w:r>
              <w:t>NA</w:t>
            </w:r>
          </w:p>
        </w:tc>
        <w:tc>
          <w:tcPr>
            <w:tcW w:w="810" w:type="dxa"/>
          </w:tcPr>
          <w:p w14:paraId="0F32F3C5" w14:textId="77777777" w:rsidR="00F00BFD" w:rsidRPr="00791A33" w:rsidRDefault="00F00BFD" w:rsidP="004E09B3">
            <w:pPr>
              <w:pStyle w:val="T-ABCD"/>
            </w:pPr>
            <w:r>
              <w:t xml:space="preserve">NA </w:t>
            </w:r>
          </w:p>
        </w:tc>
      </w:tr>
      <w:tr w:rsidR="00F00BFD" w:rsidRPr="00791A33" w14:paraId="45BD64BB" w14:textId="77777777" w:rsidTr="00F00BFD">
        <w:trPr>
          <w:cantSplit/>
        </w:trPr>
        <w:tc>
          <w:tcPr>
            <w:tcW w:w="851" w:type="dxa"/>
          </w:tcPr>
          <w:p w14:paraId="159F4A8D" w14:textId="77777777" w:rsidR="00F00BFD" w:rsidRPr="008E6214" w:rsidRDefault="00F00BFD" w:rsidP="00F00BFD">
            <w:pPr>
              <w:pStyle w:val="Tabletextnoindent"/>
              <w:numPr>
                <w:ilvl w:val="0"/>
                <w:numId w:val="0"/>
              </w:numPr>
            </w:pPr>
            <w:r w:rsidRPr="001F794A">
              <w:t>ES3.97</w:t>
            </w:r>
          </w:p>
        </w:tc>
        <w:tc>
          <w:tcPr>
            <w:tcW w:w="3750" w:type="dxa"/>
          </w:tcPr>
          <w:p w14:paraId="1AFBD07A" w14:textId="77777777" w:rsidR="00F00BFD" w:rsidRPr="00E57A97" w:rsidRDefault="00F00BFD" w:rsidP="00F00BFD">
            <w:pPr>
              <w:pStyle w:val="ES-table"/>
            </w:pPr>
            <w:r w:rsidRPr="00E57A97">
              <w:t>In critically ill neonatal and paediatric patients, the effect of platelet transfusion compared with a different platelet transfusion strategy on bleeding events is unknown.</w:t>
            </w:r>
          </w:p>
        </w:tc>
        <w:tc>
          <w:tcPr>
            <w:tcW w:w="809" w:type="dxa"/>
          </w:tcPr>
          <w:p w14:paraId="49799636" w14:textId="77777777" w:rsidR="00F00BFD" w:rsidRPr="00791A33" w:rsidRDefault="00F00BFD" w:rsidP="00F00BFD">
            <w:pPr>
              <w:pStyle w:val="T-ABCD"/>
            </w:pPr>
            <w:r>
              <w:t>NA</w:t>
            </w:r>
          </w:p>
        </w:tc>
        <w:tc>
          <w:tcPr>
            <w:tcW w:w="809" w:type="dxa"/>
          </w:tcPr>
          <w:p w14:paraId="588470CE" w14:textId="77777777" w:rsidR="00F00BFD" w:rsidRPr="00791A33" w:rsidRDefault="00F00BFD" w:rsidP="00F00BFD">
            <w:pPr>
              <w:pStyle w:val="T-ABCD"/>
            </w:pPr>
            <w:r>
              <w:t>NA</w:t>
            </w:r>
          </w:p>
        </w:tc>
        <w:tc>
          <w:tcPr>
            <w:tcW w:w="809" w:type="dxa"/>
          </w:tcPr>
          <w:p w14:paraId="6BE86AD8" w14:textId="77777777" w:rsidR="00F00BFD" w:rsidRPr="00791A33" w:rsidRDefault="00F00BFD" w:rsidP="00F00BFD">
            <w:pPr>
              <w:pStyle w:val="T-ABCD"/>
            </w:pPr>
            <w:r>
              <w:t>NA</w:t>
            </w:r>
          </w:p>
        </w:tc>
        <w:tc>
          <w:tcPr>
            <w:tcW w:w="809" w:type="dxa"/>
          </w:tcPr>
          <w:p w14:paraId="4E57E2C5" w14:textId="77777777" w:rsidR="00F00BFD" w:rsidRPr="00791A33" w:rsidRDefault="00F00BFD" w:rsidP="00F00BFD">
            <w:pPr>
              <w:pStyle w:val="T-ABCD"/>
            </w:pPr>
            <w:r>
              <w:t>NA</w:t>
            </w:r>
          </w:p>
        </w:tc>
        <w:tc>
          <w:tcPr>
            <w:tcW w:w="810" w:type="dxa"/>
          </w:tcPr>
          <w:p w14:paraId="1CA3749D" w14:textId="77777777" w:rsidR="00F00BFD" w:rsidRPr="00791A33" w:rsidRDefault="00F00BFD" w:rsidP="00F00BFD">
            <w:pPr>
              <w:pStyle w:val="T-ABCD"/>
            </w:pPr>
            <w:r>
              <w:t xml:space="preserve">NA </w:t>
            </w:r>
          </w:p>
        </w:tc>
      </w:tr>
      <w:tr w:rsidR="00F00BFD" w:rsidRPr="00791A33" w14:paraId="308B3E08" w14:textId="77777777" w:rsidTr="00F00BFD">
        <w:trPr>
          <w:cantSplit/>
        </w:trPr>
        <w:tc>
          <w:tcPr>
            <w:tcW w:w="851" w:type="dxa"/>
          </w:tcPr>
          <w:p w14:paraId="0DCE2E88" w14:textId="77777777" w:rsidR="00F00BFD" w:rsidRPr="008E6214" w:rsidRDefault="00F00BFD" w:rsidP="00F00BFD">
            <w:pPr>
              <w:pStyle w:val="Tabletextnoindent"/>
              <w:numPr>
                <w:ilvl w:val="0"/>
                <w:numId w:val="0"/>
              </w:numPr>
            </w:pPr>
            <w:r w:rsidRPr="001F794A">
              <w:t>ES3.98</w:t>
            </w:r>
          </w:p>
        </w:tc>
        <w:tc>
          <w:tcPr>
            <w:tcW w:w="3750" w:type="dxa"/>
          </w:tcPr>
          <w:p w14:paraId="39DBCDA8" w14:textId="77777777" w:rsidR="00F00BFD" w:rsidRPr="00E57A97" w:rsidRDefault="00F00BFD" w:rsidP="00F00BFD">
            <w:pPr>
              <w:pStyle w:val="ES-table"/>
            </w:pPr>
            <w:r w:rsidRPr="00E57A97">
              <w:t>In critically ill neonatal and paediatric patients, the effect of platelet transfusion compared with a different platelet transfusion strategy on transfusion-related serious adverse events is unknown.</w:t>
            </w:r>
          </w:p>
        </w:tc>
        <w:tc>
          <w:tcPr>
            <w:tcW w:w="809" w:type="dxa"/>
          </w:tcPr>
          <w:p w14:paraId="406D6CFD" w14:textId="77777777" w:rsidR="00F00BFD" w:rsidRPr="00791A33" w:rsidRDefault="00F00BFD" w:rsidP="00F00BFD">
            <w:pPr>
              <w:pStyle w:val="T-ABCD"/>
            </w:pPr>
            <w:r>
              <w:t>NA</w:t>
            </w:r>
          </w:p>
        </w:tc>
        <w:tc>
          <w:tcPr>
            <w:tcW w:w="809" w:type="dxa"/>
          </w:tcPr>
          <w:p w14:paraId="40FB0046" w14:textId="77777777" w:rsidR="00F00BFD" w:rsidRPr="00791A33" w:rsidRDefault="00F00BFD" w:rsidP="00F00BFD">
            <w:pPr>
              <w:pStyle w:val="T-ABCD"/>
            </w:pPr>
            <w:r>
              <w:t>NA</w:t>
            </w:r>
          </w:p>
        </w:tc>
        <w:tc>
          <w:tcPr>
            <w:tcW w:w="809" w:type="dxa"/>
          </w:tcPr>
          <w:p w14:paraId="78465983" w14:textId="77777777" w:rsidR="00F00BFD" w:rsidRPr="00791A33" w:rsidRDefault="00F00BFD" w:rsidP="00F00BFD">
            <w:pPr>
              <w:pStyle w:val="T-ABCD"/>
            </w:pPr>
            <w:r>
              <w:t>NA</w:t>
            </w:r>
          </w:p>
        </w:tc>
        <w:tc>
          <w:tcPr>
            <w:tcW w:w="809" w:type="dxa"/>
          </w:tcPr>
          <w:p w14:paraId="3DE4FFDC" w14:textId="77777777" w:rsidR="00F00BFD" w:rsidRPr="00791A33" w:rsidRDefault="00F00BFD" w:rsidP="00F00BFD">
            <w:pPr>
              <w:pStyle w:val="T-ABCD"/>
            </w:pPr>
            <w:r>
              <w:t>NA</w:t>
            </w:r>
          </w:p>
        </w:tc>
        <w:tc>
          <w:tcPr>
            <w:tcW w:w="810" w:type="dxa"/>
          </w:tcPr>
          <w:p w14:paraId="15386BC6" w14:textId="77777777" w:rsidR="00F00BFD" w:rsidRPr="00791A33" w:rsidRDefault="00F00BFD" w:rsidP="00F00BFD">
            <w:pPr>
              <w:pStyle w:val="T-ABCD"/>
            </w:pPr>
            <w:r>
              <w:t xml:space="preserve">NA </w:t>
            </w:r>
          </w:p>
        </w:tc>
      </w:tr>
      <w:tr w:rsidR="00F00BFD" w:rsidRPr="00791A33" w14:paraId="429C46EB" w14:textId="77777777" w:rsidTr="00F00BFD">
        <w:trPr>
          <w:cantSplit/>
        </w:trPr>
        <w:tc>
          <w:tcPr>
            <w:tcW w:w="851" w:type="dxa"/>
          </w:tcPr>
          <w:p w14:paraId="68D78E19" w14:textId="77777777" w:rsidR="00F00BFD" w:rsidRPr="008E6214" w:rsidRDefault="00F00BFD" w:rsidP="00F00BFD">
            <w:pPr>
              <w:pStyle w:val="Tabletextnoindent"/>
              <w:numPr>
                <w:ilvl w:val="0"/>
                <w:numId w:val="0"/>
              </w:numPr>
            </w:pPr>
            <w:r w:rsidRPr="001F794A">
              <w:t>ES3.99</w:t>
            </w:r>
          </w:p>
        </w:tc>
        <w:tc>
          <w:tcPr>
            <w:tcW w:w="3750" w:type="dxa"/>
          </w:tcPr>
          <w:p w14:paraId="30734314" w14:textId="77777777" w:rsidR="00F00BFD" w:rsidRPr="00E57A97" w:rsidRDefault="00F00BFD" w:rsidP="00F00BFD">
            <w:pPr>
              <w:pStyle w:val="ES-table"/>
            </w:pPr>
            <w:r w:rsidRPr="00E57A97">
              <w:t>In critically ill neonatal and paediatric patients, the effect of platelet transfusion compared with a different platelet transfusion strategy on transfusion volume or incidence is unknown.</w:t>
            </w:r>
          </w:p>
        </w:tc>
        <w:tc>
          <w:tcPr>
            <w:tcW w:w="809" w:type="dxa"/>
          </w:tcPr>
          <w:p w14:paraId="50E1229E" w14:textId="77777777" w:rsidR="00F00BFD" w:rsidRPr="00791A33" w:rsidRDefault="00F00BFD" w:rsidP="00F00BFD">
            <w:pPr>
              <w:pStyle w:val="T-ABCD"/>
            </w:pPr>
            <w:r>
              <w:t>NA</w:t>
            </w:r>
          </w:p>
        </w:tc>
        <w:tc>
          <w:tcPr>
            <w:tcW w:w="809" w:type="dxa"/>
          </w:tcPr>
          <w:p w14:paraId="67F9E4C2" w14:textId="77777777" w:rsidR="00F00BFD" w:rsidRPr="00791A33" w:rsidRDefault="00F00BFD" w:rsidP="00F00BFD">
            <w:pPr>
              <w:pStyle w:val="T-ABCD"/>
            </w:pPr>
            <w:r>
              <w:t>NA</w:t>
            </w:r>
          </w:p>
        </w:tc>
        <w:tc>
          <w:tcPr>
            <w:tcW w:w="809" w:type="dxa"/>
          </w:tcPr>
          <w:p w14:paraId="78C9CCC0" w14:textId="77777777" w:rsidR="00F00BFD" w:rsidRPr="00791A33" w:rsidRDefault="00F00BFD" w:rsidP="00F00BFD">
            <w:pPr>
              <w:pStyle w:val="T-ABCD"/>
            </w:pPr>
            <w:r>
              <w:t>NA</w:t>
            </w:r>
          </w:p>
        </w:tc>
        <w:tc>
          <w:tcPr>
            <w:tcW w:w="809" w:type="dxa"/>
          </w:tcPr>
          <w:p w14:paraId="70C0DFA0" w14:textId="77777777" w:rsidR="00F00BFD" w:rsidRPr="00791A33" w:rsidRDefault="00F00BFD" w:rsidP="00F00BFD">
            <w:pPr>
              <w:pStyle w:val="T-ABCD"/>
            </w:pPr>
            <w:r>
              <w:t>NA</w:t>
            </w:r>
          </w:p>
        </w:tc>
        <w:tc>
          <w:tcPr>
            <w:tcW w:w="810" w:type="dxa"/>
          </w:tcPr>
          <w:p w14:paraId="32500353" w14:textId="77777777" w:rsidR="00F00BFD" w:rsidRPr="00791A33" w:rsidRDefault="00F00BFD" w:rsidP="00F00BFD">
            <w:pPr>
              <w:pStyle w:val="T-ABCD"/>
            </w:pPr>
            <w:r>
              <w:t xml:space="preserve">NA </w:t>
            </w:r>
          </w:p>
        </w:tc>
      </w:tr>
      <w:tr w:rsidR="00F00BFD" w14:paraId="2C9E8A00" w14:textId="77777777" w:rsidTr="00F00BFD">
        <w:trPr>
          <w:cantSplit/>
        </w:trPr>
        <w:tc>
          <w:tcPr>
            <w:tcW w:w="8647" w:type="dxa"/>
            <w:gridSpan w:val="7"/>
          </w:tcPr>
          <w:p w14:paraId="00596EF4" w14:textId="77777777" w:rsidR="00F00BFD" w:rsidRDefault="00F00BFD" w:rsidP="00F00BFD">
            <w:pPr>
              <w:pStyle w:val="ES-notes"/>
            </w:pPr>
            <w:r>
              <w:t>ES, evidence statement</w:t>
            </w:r>
          </w:p>
          <w:p w14:paraId="0202485B" w14:textId="77777777" w:rsidR="00F00BFD" w:rsidRDefault="00F00BFD" w:rsidP="00F00BFD">
            <w:pPr>
              <w:pStyle w:val="ES-notes"/>
            </w:pPr>
            <w:r w:rsidRPr="0004495C">
              <w:sym w:font="Symbol" w:char="F0D6"/>
            </w:r>
            <w:r w:rsidRPr="0004495C">
              <w:sym w:font="Symbol" w:char="F0D6"/>
            </w:r>
            <w:r w:rsidRPr="0004495C">
              <w:sym w:font="Symbol" w:char="F0D6"/>
            </w:r>
            <w:r>
              <w:t xml:space="preserve">=A; </w:t>
            </w:r>
            <w:r w:rsidRPr="0004495C">
              <w:sym w:font="Symbol" w:char="F0D6"/>
            </w:r>
            <w:r w:rsidRPr="0004495C">
              <w:sym w:font="Symbol" w:char="F0D6"/>
            </w:r>
            <w:r>
              <w:t xml:space="preserve">=B; </w:t>
            </w:r>
            <w:r w:rsidRPr="0004495C">
              <w:sym w:font="Symbol" w:char="F0D6"/>
            </w:r>
            <w:r>
              <w:t>=C; X=D; NA, not applicable</w:t>
            </w:r>
          </w:p>
        </w:tc>
      </w:tr>
    </w:tbl>
    <w:p w14:paraId="5920FA07" w14:textId="77777777" w:rsidR="00F00BFD" w:rsidRDefault="00F00BFD" w:rsidP="004E09B3"/>
    <w:tbl>
      <w:tblPr>
        <w:tblW w:w="842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310"/>
      </w:tblGrid>
      <w:tr w:rsidR="00F00BFD" w:rsidRPr="00F921CD" w14:paraId="5B3C2CB8" w14:textId="77777777" w:rsidTr="00467EEA">
        <w:tc>
          <w:tcPr>
            <w:tcW w:w="8427" w:type="dxa"/>
            <w:gridSpan w:val="2"/>
            <w:tcBorders>
              <w:top w:val="single" w:sz="4" w:space="0" w:color="000000"/>
              <w:left w:val="single" w:sz="4" w:space="0" w:color="000000"/>
              <w:bottom w:val="single" w:sz="4" w:space="0" w:color="000000"/>
              <w:right w:val="single" w:sz="4" w:space="0" w:color="000000"/>
            </w:tcBorders>
            <w:shd w:val="clear" w:color="auto" w:fill="ABE9FF"/>
          </w:tcPr>
          <w:p w14:paraId="6124C8E7" w14:textId="1414896A" w:rsidR="00F00BFD" w:rsidRPr="00AC4AF6" w:rsidRDefault="00F00BFD" w:rsidP="00F00BFD">
            <w:pPr>
              <w:pStyle w:val="PP-heading"/>
              <w:rPr>
                <w:lang w:val="en-AU"/>
              </w:rPr>
            </w:pPr>
            <w:r w:rsidRPr="00F921CD">
              <w:t xml:space="preserve">Practice point – </w:t>
            </w:r>
            <w:r w:rsidR="005E38DA" w:rsidRPr="001810D9">
              <w:t xml:space="preserve">critically ill </w:t>
            </w:r>
            <w:r w:rsidR="005E38DA">
              <w:t>(platelet transfusion)</w:t>
            </w:r>
          </w:p>
        </w:tc>
      </w:tr>
      <w:tr w:rsidR="00F00BFD" w:rsidRPr="00F921CD" w14:paraId="16A19D78" w14:textId="77777777" w:rsidTr="00F00BFD">
        <w:tc>
          <w:tcPr>
            <w:tcW w:w="1117" w:type="dxa"/>
            <w:tcBorders>
              <w:right w:val="single" w:sz="4" w:space="0" w:color="auto"/>
            </w:tcBorders>
            <w:shd w:val="clear" w:color="auto" w:fill="auto"/>
          </w:tcPr>
          <w:p w14:paraId="2E8C70C7" w14:textId="77777777" w:rsidR="00F00BFD" w:rsidRPr="00F921CD" w:rsidRDefault="00F00BFD" w:rsidP="00AC4AF6">
            <w:pPr>
              <w:pStyle w:val="PP"/>
            </w:pPr>
            <w:r w:rsidRPr="00F921CD">
              <w:t>PP</w:t>
            </w:r>
            <w:r>
              <w:t>28</w:t>
            </w:r>
          </w:p>
        </w:tc>
        <w:tc>
          <w:tcPr>
            <w:tcW w:w="7310" w:type="dxa"/>
            <w:tcBorders>
              <w:left w:val="single" w:sz="4" w:space="0" w:color="auto"/>
            </w:tcBorders>
            <w:shd w:val="clear" w:color="auto" w:fill="auto"/>
          </w:tcPr>
          <w:p w14:paraId="5CCF4547" w14:textId="77777777" w:rsidR="00F00BFD" w:rsidRPr="00F921CD" w:rsidRDefault="00F00BFD" w:rsidP="00AC4AF6">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404F0A6C" w14:textId="77777777" w:rsidTr="00F00BFD">
        <w:trPr>
          <w:trHeight w:val="397"/>
        </w:trPr>
        <w:tc>
          <w:tcPr>
            <w:tcW w:w="8427" w:type="dxa"/>
            <w:gridSpan w:val="2"/>
            <w:shd w:val="clear" w:color="auto" w:fill="auto"/>
          </w:tcPr>
          <w:p w14:paraId="5122D4EB" w14:textId="77777777" w:rsidR="00F00BFD" w:rsidRPr="00F921CD" w:rsidRDefault="00F00BFD" w:rsidP="00AC4AF6">
            <w:pPr>
              <w:pStyle w:val="PP-note"/>
            </w:pPr>
            <w:r w:rsidRPr="00F921CD">
              <w:t>FFP, fresh frozen plasma; PP, practice point</w:t>
            </w:r>
          </w:p>
        </w:tc>
      </w:tr>
    </w:tbl>
    <w:p w14:paraId="334F9CEA" w14:textId="77777777" w:rsidR="00F00BFD" w:rsidRDefault="00F00BFD" w:rsidP="004E09B3"/>
    <w:p w14:paraId="10438205" w14:textId="77777777" w:rsidR="00F00BFD" w:rsidRDefault="00F00BFD" w:rsidP="00F00BFD">
      <w:pPr>
        <w:pStyle w:val="Heading4"/>
        <w:ind w:left="0" w:firstLine="720"/>
      </w:pPr>
      <w:r>
        <w:t>Summary of evidence</w:t>
      </w:r>
    </w:p>
    <w:p w14:paraId="08DFB876" w14:textId="03A12010" w:rsidR="00F00BFD" w:rsidRDefault="00F00BFD" w:rsidP="00AC4AF6">
      <w:r w:rsidRPr="006C0F13">
        <w:t xml:space="preserve">The </w:t>
      </w:r>
      <w:r w:rsidR="00E6680C">
        <w:t>review</w:t>
      </w:r>
      <w:r w:rsidRPr="006C0F13">
        <w:t xml:space="preserve"> identified one </w:t>
      </w:r>
      <w:r>
        <w:t>good</w:t>
      </w:r>
      <w:r w:rsidR="00E6680C">
        <w:t>-</w:t>
      </w:r>
      <w:r>
        <w:t xml:space="preserve">quality </w:t>
      </w:r>
      <w:r w:rsidRPr="006C0F13">
        <w:t xml:space="preserve">Level III </w:t>
      </w:r>
      <w:r w:rsidR="00AC4AF6">
        <w:t>study:</w:t>
      </w:r>
      <w:r w:rsidRPr="006C0F13">
        <w:t xml:space="preserve"> </w:t>
      </w:r>
      <w:r w:rsidR="00AC4AF6">
        <w:t xml:space="preserve">a </w:t>
      </w:r>
      <w:r w:rsidRPr="006C0F13">
        <w:t xml:space="preserve">retrospective analysis of 315 paediatric patients with </w:t>
      </w:r>
      <w:r w:rsidR="002C3690">
        <w:t>acute lung injury</w:t>
      </w:r>
      <w:r w:rsidR="002C3690" w:rsidRPr="006C0F13">
        <w:t xml:space="preserve"> </w:t>
      </w:r>
      <w:r w:rsidRPr="006C0F13">
        <w:t>in two PICUs in the USA.</w:t>
      </w:r>
      <w:hyperlink w:anchor="_ENREF_155" w:tooltip="Church, 2009 #133" w:history="1">
        <w:r w:rsidR="00E62798">
          <w:fldChar w:fldCharType="begin"/>
        </w:r>
        <w:r w:rsidR="00E62798">
          <w:instrText xml:space="preserve"> ADDIN EN.CITE &lt;EndNote&gt;&lt;Cite&gt;&lt;Author&gt;Church&lt;/Author&gt;&lt;Year&gt;2009&lt;/Year&gt;&lt;RecNum&gt;133&lt;/RecNum&gt;&lt;DisplayText&gt;&lt;style face="superscript"&gt;155&lt;/style&gt;&lt;/DisplayText&gt;&lt;record&gt;&lt;rec-number&gt;133&lt;/rec-number&gt;&lt;foreign-keys&gt;&lt;key app="EN" db-id="9edve2wadsavt5ewavaxtda4f2tavzvts9ee" timestamp="1426550421"&gt;133&lt;/key&gt;&lt;/foreign-keys&gt;&lt;ref-type name="Journal Article"&gt;17&lt;/ref-type&gt;&lt;contributors&gt;&lt;authors&gt;&lt;author&gt;Church, G. D.&lt;/author&gt;&lt;author&gt;Matthay, M. A.&lt;/author&gt;&lt;author&gt;Liu, K.&lt;/author&gt;&lt;author&gt;Milet, M.&lt;/author&gt;&lt;author&gt;Flori, H. R.&lt;/author&gt;&lt;/authors&gt;&lt;/contributors&gt;&lt;titles&gt;&lt;title&gt;Blood product transfusions and clinical outcomes in pediatric patients with acute lung injury&lt;/title&gt;&lt;secondary-title&gt;Pediatric Critical Care Medicine&lt;/secondary-title&gt;&lt;/titles&gt;&lt;periodical&gt;&lt;full-title&gt;Pediatric Critical Care Medicine&lt;/full-title&gt;&lt;/periodical&gt;&lt;pages&gt;297–302&lt;/pages&gt;&lt;volume&gt;10&lt;/volume&gt;&lt;number&gt;3&lt;/number&gt;&lt;keywords&gt;&lt;keyword&gt;blood&lt;/keyword&gt;&lt;keyword&gt;transfusion&lt;/keyword&gt;&lt;keyword&gt;patient&lt;/keyword&gt;&lt;/keywords&gt;&lt;dates&gt;&lt;year&gt;2009&lt;/year&gt;&lt;pub-dates&gt;&lt;date&gt;May&lt;/date&gt;&lt;/pub-dates&gt;&lt;/dates&gt;&lt;urls&gt;&lt;related-urls&gt;&lt;url&gt;http://www.ncbi.nlm.nih.gov/pubmed/19307809&lt;/url&gt;&lt;/related-urls&gt;&lt;/urls&gt;&lt;access-date&gt;13 April 2015&lt;/access-date&gt;&lt;/record&gt;&lt;/Cite&gt;&lt;/EndNote&gt;</w:instrText>
        </w:r>
        <w:r w:rsidR="00E62798">
          <w:fldChar w:fldCharType="separate"/>
        </w:r>
        <w:r w:rsidR="00E62798" w:rsidRPr="00E62798">
          <w:rPr>
            <w:noProof/>
            <w:vertAlign w:val="superscript"/>
          </w:rPr>
          <w:t>155</w:t>
        </w:r>
        <w:r w:rsidR="00E62798">
          <w:fldChar w:fldCharType="end"/>
        </w:r>
      </w:hyperlink>
      <w:r w:rsidRPr="006C0F13">
        <w:t xml:space="preserve"> The authors compared mortality and ventilation outcomes among patients who received </w:t>
      </w:r>
      <w:r>
        <w:t>platelets and those who did not</w:t>
      </w:r>
      <w:r w:rsidRPr="006C0F13">
        <w:t>.</w:t>
      </w:r>
    </w:p>
    <w:p w14:paraId="61549D78" w14:textId="77777777" w:rsidR="00F00BFD" w:rsidRDefault="00F00BFD" w:rsidP="00F00BFD">
      <w:pPr>
        <w:pStyle w:val="Heading5"/>
      </w:pPr>
      <w:r>
        <w:t>Mortality</w:t>
      </w:r>
    </w:p>
    <w:p w14:paraId="0629E448" w14:textId="16EA77A9" w:rsidR="00F00BFD" w:rsidRPr="006C0F13" w:rsidRDefault="00F00BFD" w:rsidP="00AC4AF6">
      <w:r w:rsidRPr="006C0F13">
        <w:t xml:space="preserve">In a </w:t>
      </w:r>
      <w:r>
        <w:t>multivariate analysis</w:t>
      </w:r>
      <w:r w:rsidR="00AC4AF6">
        <w:t xml:space="preserve">, </w:t>
      </w:r>
      <w:r>
        <w:t xml:space="preserve">no </w:t>
      </w:r>
      <w:r w:rsidRPr="006C0F13">
        <w:t xml:space="preserve">difference in mortality was </w:t>
      </w:r>
      <w:r>
        <w:t>observed</w:t>
      </w:r>
      <w:r w:rsidR="00AC4AF6">
        <w:t>.</w:t>
      </w:r>
      <w:hyperlink w:anchor="_ENREF_155" w:tooltip="Church, 2009 #133" w:history="1">
        <w:r w:rsidR="00E62798">
          <w:fldChar w:fldCharType="begin"/>
        </w:r>
        <w:r w:rsidR="00E62798">
          <w:instrText xml:space="preserve"> ADDIN EN.CITE &lt;EndNote&gt;&lt;Cite&gt;&lt;Author&gt;Church&lt;/Author&gt;&lt;Year&gt;2009&lt;/Year&gt;&lt;RecNum&gt;133&lt;/RecNum&gt;&lt;DisplayText&gt;&lt;style face="superscript"&gt;155&lt;/style&gt;&lt;/DisplayText&gt;&lt;record&gt;&lt;rec-number&gt;133&lt;/rec-number&gt;&lt;foreign-keys&gt;&lt;key app="EN" db-id="9edve2wadsavt5ewavaxtda4f2tavzvts9ee" timestamp="1426550421"&gt;133&lt;/key&gt;&lt;/foreign-keys&gt;&lt;ref-type name="Journal Article"&gt;17&lt;/ref-type&gt;&lt;contributors&gt;&lt;authors&gt;&lt;author&gt;Church, G. D.&lt;/author&gt;&lt;author&gt;Matthay, M. A.&lt;/author&gt;&lt;author&gt;Liu, K.&lt;/author&gt;&lt;author&gt;Milet, M.&lt;/author&gt;&lt;author&gt;Flori, H. R.&lt;/author&gt;&lt;/authors&gt;&lt;/contributors&gt;&lt;titles&gt;&lt;title&gt;Blood product transfusions and clinical outcomes in pediatric patients with acute lung injury&lt;/title&gt;&lt;secondary-title&gt;Pediatric Critical Care Medicine&lt;/secondary-title&gt;&lt;/titles&gt;&lt;periodical&gt;&lt;full-title&gt;Pediatric Critical Care Medicine&lt;/full-title&gt;&lt;/periodical&gt;&lt;pages&gt;297–302&lt;/pages&gt;&lt;volume&gt;10&lt;/volume&gt;&lt;number&gt;3&lt;/number&gt;&lt;keywords&gt;&lt;keyword&gt;blood&lt;/keyword&gt;&lt;keyword&gt;transfusion&lt;/keyword&gt;&lt;keyword&gt;patient&lt;/keyword&gt;&lt;/keywords&gt;&lt;dates&gt;&lt;year&gt;2009&lt;/year&gt;&lt;pub-dates&gt;&lt;date&gt;May&lt;/date&gt;&lt;/pub-dates&gt;&lt;/dates&gt;&lt;urls&gt;&lt;related-urls&gt;&lt;url&gt;http://www.ncbi.nlm.nih.gov/pubmed/19307809&lt;/url&gt;&lt;/related-urls&gt;&lt;/urls&gt;&lt;access-date&gt;13 April 2015&lt;/access-date&gt;&lt;/record&gt;&lt;/Cite&gt;&lt;/EndNote&gt;</w:instrText>
        </w:r>
        <w:r w:rsidR="00E62798">
          <w:fldChar w:fldCharType="separate"/>
        </w:r>
        <w:r w:rsidR="00E62798" w:rsidRPr="00E62798">
          <w:rPr>
            <w:noProof/>
            <w:vertAlign w:val="superscript"/>
          </w:rPr>
          <w:t>155</w:t>
        </w:r>
        <w:r w:rsidR="00E62798">
          <w:fldChar w:fldCharType="end"/>
        </w:r>
      </w:hyperlink>
    </w:p>
    <w:p w14:paraId="10274FE9" w14:textId="0F590DA6" w:rsidR="00F00BFD" w:rsidRDefault="00F00BFD" w:rsidP="00F00BFD">
      <w:pPr>
        <w:pStyle w:val="Heading5"/>
      </w:pPr>
      <w:r>
        <w:t xml:space="preserve">Bleeding </w:t>
      </w:r>
      <w:r w:rsidR="00AC4AF6">
        <w:t>events</w:t>
      </w:r>
    </w:p>
    <w:p w14:paraId="4F31687F" w14:textId="1081F466" w:rsidR="00F00BFD" w:rsidRPr="00E81F09" w:rsidRDefault="00AC4AF6" w:rsidP="00AC4AF6">
      <w:pPr>
        <w:rPr>
          <w:lang w:val="en-GB" w:eastAsia="en-GB"/>
        </w:rPr>
      </w:pPr>
      <w:r>
        <w:rPr>
          <w:lang w:val="en-GB" w:eastAsia="en-GB"/>
        </w:rPr>
        <w:t xml:space="preserve">No evidence was identified related to bleeding events. </w:t>
      </w:r>
    </w:p>
    <w:p w14:paraId="3582BB96" w14:textId="2DCE4B3B" w:rsidR="00F00BFD" w:rsidRDefault="002C3690" w:rsidP="00F00BFD">
      <w:pPr>
        <w:pStyle w:val="Heading5"/>
      </w:pPr>
      <w:r>
        <w:t>Transfusion</w:t>
      </w:r>
      <w:r>
        <w:rPr>
          <w:lang w:val="en-AU"/>
        </w:rPr>
        <w:t>-</w:t>
      </w:r>
      <w:r w:rsidR="00F00BFD">
        <w:t>related serious adverse events</w:t>
      </w:r>
    </w:p>
    <w:p w14:paraId="73632F19" w14:textId="06B94B45" w:rsidR="00F00BFD" w:rsidRPr="00E81F09" w:rsidRDefault="00FA6791" w:rsidP="00AC4AF6">
      <w:pPr>
        <w:rPr>
          <w:lang w:val="en-GB" w:eastAsia="en-GB"/>
        </w:rPr>
      </w:pPr>
      <w:r>
        <w:rPr>
          <w:lang w:val="en-GB" w:eastAsia="en-GB"/>
        </w:rPr>
        <w:t>No studies reported</w:t>
      </w:r>
      <w:r w:rsidR="008F7398">
        <w:rPr>
          <w:lang w:val="en-GB" w:eastAsia="en-GB"/>
        </w:rPr>
        <w:t xml:space="preserve"> transfusion-related serious adverse events</w:t>
      </w:r>
      <w:r w:rsidR="00AC4AF6">
        <w:rPr>
          <w:lang w:val="en-GB" w:eastAsia="en-GB"/>
        </w:rPr>
        <w:t xml:space="preserve">. </w:t>
      </w:r>
    </w:p>
    <w:p w14:paraId="3F12C878" w14:textId="77777777" w:rsidR="00F00BFD" w:rsidRDefault="00F00BFD" w:rsidP="00F00BFD">
      <w:pPr>
        <w:pStyle w:val="Heading5"/>
      </w:pPr>
      <w:r>
        <w:t>Transfusion volume or incidence</w:t>
      </w:r>
    </w:p>
    <w:p w14:paraId="4EA17D22" w14:textId="6652F11D" w:rsidR="00F00BFD" w:rsidRPr="00E81F09" w:rsidRDefault="00FA6791" w:rsidP="00AC4AF6">
      <w:pPr>
        <w:rPr>
          <w:lang w:val="en-GB" w:eastAsia="en-GB"/>
        </w:rPr>
      </w:pPr>
      <w:r>
        <w:rPr>
          <w:lang w:val="en-GB" w:eastAsia="en-GB"/>
        </w:rPr>
        <w:t>No studies reported</w:t>
      </w:r>
      <w:r w:rsidR="008F7398">
        <w:rPr>
          <w:lang w:val="en-GB" w:eastAsia="en-GB"/>
        </w:rPr>
        <w:t xml:space="preserve"> transfusion volume or incidence.</w:t>
      </w:r>
      <w:r w:rsidR="00AC4AF6">
        <w:rPr>
          <w:lang w:val="en-GB" w:eastAsia="en-GB"/>
        </w:rPr>
        <w:t xml:space="preserve"> </w:t>
      </w:r>
    </w:p>
    <w:p w14:paraId="244A5D84" w14:textId="54DD3B6E" w:rsidR="00F00BFD" w:rsidRPr="009C32A7" w:rsidRDefault="00AC4AF6" w:rsidP="00F96C85">
      <w:pPr>
        <w:pStyle w:val="BoxHeading"/>
      </w:pPr>
      <w:r w:rsidRPr="009C32A7">
        <w:t>Clinical commentary</w:t>
      </w:r>
      <w:r>
        <w:rPr>
          <w:lang w:val="en-AU"/>
        </w:rPr>
        <w:t xml:space="preserve"> – platelet transfusion in</w:t>
      </w:r>
      <w:r w:rsidR="00E54FD7">
        <w:rPr>
          <w:lang w:val="en-AU"/>
        </w:rPr>
        <w:t xml:space="preserve"> </w:t>
      </w:r>
      <w:r w:rsidR="00E54FD7" w:rsidRPr="00AC4AF6">
        <w:t>critically</w:t>
      </w:r>
      <w:r w:rsidRPr="00AC4AF6">
        <w:t xml:space="preserve"> ill n</w:t>
      </w:r>
      <w:r>
        <w:t>eonatal and paediatric patients</w:t>
      </w:r>
    </w:p>
    <w:p w14:paraId="53F25476" w14:textId="77777777" w:rsidR="00F00BFD" w:rsidRDefault="00F00BFD" w:rsidP="00F96C85">
      <w:pPr>
        <w:pStyle w:val="BoxText"/>
      </w:pPr>
      <w:r>
        <w:t>Prophylactic platelet transfusion is often used in neonates and paediatric patients with critical illness. However, there is limited evidence in this patient group and it is therefore reasonable to apply evidence from studies in adult patients.</w:t>
      </w:r>
    </w:p>
    <w:p w14:paraId="129F25F6" w14:textId="77777777" w:rsidR="00F00BFD" w:rsidRDefault="00F00BFD" w:rsidP="00F96C85">
      <w:pPr>
        <w:pStyle w:val="BoxText"/>
      </w:pPr>
      <w:r>
        <w:t>Suggested thresholds are:</w:t>
      </w:r>
    </w:p>
    <w:p w14:paraId="7E8001D7" w14:textId="77777777" w:rsidR="00F00BFD" w:rsidRDefault="00F00BFD" w:rsidP="00F96C85">
      <w:pPr>
        <w:pStyle w:val="BoxBullet"/>
      </w:pPr>
      <w:r>
        <w:t>in stable patients without bleeding, 10 × 10</w:t>
      </w:r>
      <w:r w:rsidRPr="00850E1F">
        <w:rPr>
          <w:vertAlign w:val="superscript"/>
        </w:rPr>
        <w:t>9</w:t>
      </w:r>
      <w:r>
        <w:t xml:space="preserve">/L </w:t>
      </w:r>
    </w:p>
    <w:p w14:paraId="0FD38D25" w14:textId="77777777" w:rsidR="00F00BFD" w:rsidRDefault="00F00BFD" w:rsidP="00F96C85">
      <w:pPr>
        <w:pStyle w:val="BoxBullet"/>
      </w:pPr>
      <w:r>
        <w:t>in a nonbleeding patient with risk factors (sepsis, renal failure, medications) for bleeding, 20 × 10</w:t>
      </w:r>
      <w:r w:rsidRPr="00850E1F">
        <w:rPr>
          <w:vertAlign w:val="superscript"/>
        </w:rPr>
        <w:t>9</w:t>
      </w:r>
      <w:r>
        <w:t xml:space="preserve">/L </w:t>
      </w:r>
    </w:p>
    <w:p w14:paraId="41DA779E" w14:textId="77777777" w:rsidR="00F00BFD" w:rsidRDefault="00F00BFD" w:rsidP="00F96C85">
      <w:pPr>
        <w:pStyle w:val="BoxBullet"/>
      </w:pPr>
      <w:r>
        <w:t>in patients undergoing invasive procedures, 50 × 10</w:t>
      </w:r>
      <w:r w:rsidRPr="00A96145">
        <w:rPr>
          <w:vertAlign w:val="superscript"/>
        </w:rPr>
        <w:t>9</w:t>
      </w:r>
      <w:r>
        <w:t>/L.</w:t>
      </w:r>
    </w:p>
    <w:p w14:paraId="752BC48F" w14:textId="77777777" w:rsidR="00F00BFD" w:rsidRDefault="00F00BFD" w:rsidP="00F96C85">
      <w:pPr>
        <w:pStyle w:val="BoxText"/>
      </w:pPr>
      <w:r>
        <w:t>In patients in whom there is active bleeding, higher thresholds may be appropriate.</w:t>
      </w:r>
    </w:p>
    <w:p w14:paraId="2B208BD3" w14:textId="5E28F1FF" w:rsidR="00F00BFD" w:rsidRDefault="00F00BFD" w:rsidP="00F96C85">
      <w:pPr>
        <w:pStyle w:val="BoxText"/>
        <w:rPr>
          <w:lang w:val="en-AU"/>
        </w:rPr>
      </w:pPr>
      <w:r>
        <w:t xml:space="preserve">For perioperative patients, see </w:t>
      </w:r>
      <w:r w:rsidRPr="00C31FAF">
        <w:t xml:space="preserve">Section </w:t>
      </w:r>
      <w:r w:rsidR="00C31FAF" w:rsidRPr="00C31FAF">
        <w:rPr>
          <w:lang w:val="en-AU"/>
        </w:rPr>
        <w:t>3.</w:t>
      </w:r>
      <w:r w:rsidR="002A4883">
        <w:rPr>
          <w:lang w:val="en-AU"/>
        </w:rPr>
        <w:t>4.7</w:t>
      </w:r>
      <w:r w:rsidRPr="00C31FAF">
        <w:t>.</w:t>
      </w:r>
    </w:p>
    <w:p w14:paraId="1E46A54E" w14:textId="17407628" w:rsidR="00093A02" w:rsidRPr="00093A02" w:rsidRDefault="00093A02" w:rsidP="00F96C85">
      <w:pPr>
        <w:pStyle w:val="BoxText"/>
        <w:rPr>
          <w:lang w:val="en-AU"/>
        </w:rPr>
      </w:pPr>
      <w:r>
        <w:rPr>
          <w:lang w:val="en-AU"/>
        </w:rPr>
        <w:t>For patients with FNAIT, see section 4.1.5.</w:t>
      </w:r>
    </w:p>
    <w:p w14:paraId="1AA0EA75" w14:textId="782BD272" w:rsidR="00F00BFD" w:rsidRPr="00B11484" w:rsidRDefault="00F00BFD" w:rsidP="00F96C85">
      <w:pPr>
        <w:pStyle w:val="BoxText"/>
        <w:rPr>
          <w:lang w:eastAsia="en-GB"/>
        </w:rPr>
      </w:pPr>
      <w:r>
        <w:t>Careful consideration of the risks and benefits of platelets in</w:t>
      </w:r>
      <w:r w:rsidR="00093A02">
        <w:rPr>
          <w:lang w:val="en-AU"/>
        </w:rPr>
        <w:t xml:space="preserve"> critically ill neonatal and paediatric patients</w:t>
      </w:r>
      <w:r>
        <w:t xml:space="preserve"> is advised. Platelet transfusions are not indicated in all cases of thrombocytopaenia, and may be contraindicated</w:t>
      </w:r>
      <w:r w:rsidR="00093A02">
        <w:rPr>
          <w:lang w:val="en-AU"/>
        </w:rPr>
        <w:t xml:space="preserve"> or ineffective</w:t>
      </w:r>
      <w:r>
        <w:t xml:space="preserve"> in certain conditions (e.g. </w:t>
      </w:r>
      <w:r w:rsidR="00AC4AF6">
        <w:t>in immune thrombocytopaenia , thrombotic thrombocytopaenia purpura and heparin-induced thrombocytopaenia).</w:t>
      </w:r>
      <w:r w:rsidRPr="00CF51FE">
        <w:t xml:space="preserve"> </w:t>
      </w:r>
    </w:p>
    <w:p w14:paraId="463DC94C" w14:textId="095F612E" w:rsidR="00E54FD7" w:rsidRDefault="00E54FD7" w:rsidP="00D93C65">
      <w:pPr>
        <w:pStyle w:val="Heading3"/>
        <w:numPr>
          <w:ilvl w:val="2"/>
          <w:numId w:val="47"/>
        </w:numPr>
      </w:pPr>
      <w:bookmarkStart w:id="153" w:name="_Toc427851352"/>
      <w:r>
        <w:rPr>
          <w:lang w:val="en-AU"/>
        </w:rPr>
        <w:t>Critically ill neonatal and paediatric patients – effects of fibrinogen concentrate on outcomes</w:t>
      </w:r>
      <w:bookmarkEnd w:id="153"/>
      <w:r>
        <w:t xml:space="preserve"> </w:t>
      </w: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F00BFD" w:rsidRPr="0004495C" w14:paraId="312F027B"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43A7FDC8" w14:textId="77777777" w:rsidR="00F00BFD" w:rsidRPr="006E5EFD" w:rsidRDefault="00F00BFD" w:rsidP="00F00BFD">
            <w:pPr>
              <w:pStyle w:val="PP-heading"/>
            </w:pPr>
            <w:r w:rsidRPr="006E5EFD">
              <w:t>Evidence statements</w:t>
            </w:r>
            <w:r w:rsidRPr="0004495C">
              <w:t xml:space="preserve"> </w:t>
            </w:r>
            <w:r>
              <w:t xml:space="preserve">– </w:t>
            </w:r>
            <w:r w:rsidRPr="001810D9">
              <w:t xml:space="preserve">critically ill </w:t>
            </w:r>
            <w:r>
              <w:t>(fibrinogen concentrate)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EBFAC5D" w14:textId="77777777" w:rsidR="00F00BFD" w:rsidRPr="0004495C" w:rsidRDefault="00F00BFD" w:rsidP="00F00BFD">
            <w:pPr>
              <w:ind w:left="113" w:right="113"/>
              <w:jc w:val="center"/>
              <w:rPr>
                <w:b/>
              </w:rPr>
            </w:pPr>
            <w:r w:rsidRPr="0004495C">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A4422EF" w14:textId="77777777" w:rsidR="00F00BFD" w:rsidRPr="0004495C" w:rsidRDefault="00F00BFD" w:rsidP="00F00BFD">
            <w:pPr>
              <w:ind w:left="113" w:right="113"/>
              <w:jc w:val="center"/>
              <w:rPr>
                <w:b/>
              </w:rPr>
            </w:pPr>
            <w:r w:rsidRPr="0004495C">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62FCF8AC" w14:textId="77777777" w:rsidR="00F00BFD" w:rsidRPr="0004495C" w:rsidRDefault="00F00BFD" w:rsidP="00F00BFD">
            <w:pPr>
              <w:ind w:left="113" w:right="113"/>
              <w:jc w:val="center"/>
              <w:rPr>
                <w:b/>
              </w:rPr>
            </w:pPr>
            <w:r>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DDCD420" w14:textId="77777777" w:rsidR="00F00BFD" w:rsidRPr="0004495C" w:rsidRDefault="00F00BFD" w:rsidP="00F00BFD">
            <w:pPr>
              <w:ind w:left="113" w:right="113"/>
              <w:jc w:val="center"/>
              <w:rPr>
                <w:b/>
              </w:rPr>
            </w:pPr>
            <w:r w:rsidRPr="0004495C">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BC289D8" w14:textId="77777777" w:rsidR="00F00BFD" w:rsidRPr="0004495C" w:rsidRDefault="00F00BFD" w:rsidP="00F00BFD">
            <w:pPr>
              <w:ind w:left="113" w:right="113"/>
              <w:jc w:val="center"/>
              <w:rPr>
                <w:b/>
              </w:rPr>
            </w:pPr>
            <w:r w:rsidRPr="0004495C">
              <w:rPr>
                <w:b/>
              </w:rPr>
              <w:t>Applicability</w:t>
            </w:r>
          </w:p>
        </w:tc>
      </w:tr>
      <w:tr w:rsidR="00F00BFD" w:rsidRPr="00791A33" w14:paraId="45A047F9" w14:textId="77777777" w:rsidTr="00F00BFD">
        <w:trPr>
          <w:cantSplit/>
        </w:trPr>
        <w:tc>
          <w:tcPr>
            <w:tcW w:w="851" w:type="dxa"/>
          </w:tcPr>
          <w:p w14:paraId="737EE872" w14:textId="77777777" w:rsidR="00F00BFD" w:rsidRPr="008E6214" w:rsidRDefault="00F00BFD" w:rsidP="006D542E">
            <w:pPr>
              <w:pStyle w:val="Tabletextnoindent"/>
              <w:keepNext w:val="0"/>
              <w:numPr>
                <w:ilvl w:val="0"/>
                <w:numId w:val="0"/>
              </w:numPr>
            </w:pPr>
            <w:r w:rsidRPr="004B250B">
              <w:t>ES3.100</w:t>
            </w:r>
          </w:p>
        </w:tc>
        <w:tc>
          <w:tcPr>
            <w:tcW w:w="3750" w:type="dxa"/>
          </w:tcPr>
          <w:p w14:paraId="66A84D5B" w14:textId="77777777" w:rsidR="00F00BFD" w:rsidRDefault="00F00BFD" w:rsidP="006D542E">
            <w:pPr>
              <w:pStyle w:val="ES-table"/>
              <w:keepNext w:val="0"/>
            </w:pPr>
            <w:r w:rsidRPr="001810D9">
              <w:t xml:space="preserve">In critically ill </w:t>
            </w:r>
            <w:r>
              <w:t>neonatal and paediatric</w:t>
            </w:r>
            <w:r w:rsidRPr="001810D9">
              <w:t xml:space="preserve"> patients, the effect of </w:t>
            </w:r>
            <w:r w:rsidRPr="0023743E">
              <w:t xml:space="preserve">fibrinogen concentrate </w:t>
            </w:r>
            <w:r>
              <w:t>compared with</w:t>
            </w:r>
            <w:r w:rsidRPr="0023743E">
              <w:t xml:space="preserve"> no fibrinogen </w:t>
            </w:r>
            <w:r w:rsidRPr="00132A0F">
              <w:t>concentrate</w:t>
            </w:r>
            <w:r w:rsidRPr="001810D9">
              <w:t xml:space="preserve"> on mortality is un</w:t>
            </w:r>
            <w:r>
              <w:t>known.</w:t>
            </w:r>
          </w:p>
        </w:tc>
        <w:tc>
          <w:tcPr>
            <w:tcW w:w="809" w:type="dxa"/>
          </w:tcPr>
          <w:p w14:paraId="61AC8448" w14:textId="77777777" w:rsidR="00F00BFD" w:rsidRPr="00791A33" w:rsidRDefault="00F00BFD" w:rsidP="006D542E">
            <w:pPr>
              <w:pStyle w:val="T-ABCD"/>
            </w:pPr>
            <w:r>
              <w:t>NA</w:t>
            </w:r>
          </w:p>
        </w:tc>
        <w:tc>
          <w:tcPr>
            <w:tcW w:w="809" w:type="dxa"/>
          </w:tcPr>
          <w:p w14:paraId="325BB166" w14:textId="77777777" w:rsidR="00F00BFD" w:rsidRPr="00791A33" w:rsidRDefault="00F00BFD" w:rsidP="006D542E">
            <w:pPr>
              <w:pStyle w:val="T-ABCD"/>
            </w:pPr>
            <w:r>
              <w:t>NA</w:t>
            </w:r>
          </w:p>
        </w:tc>
        <w:tc>
          <w:tcPr>
            <w:tcW w:w="809" w:type="dxa"/>
          </w:tcPr>
          <w:p w14:paraId="02B15779" w14:textId="77777777" w:rsidR="00F00BFD" w:rsidRPr="00791A33" w:rsidRDefault="00F00BFD" w:rsidP="006D542E">
            <w:pPr>
              <w:pStyle w:val="T-ABCD"/>
            </w:pPr>
            <w:r>
              <w:t>NA</w:t>
            </w:r>
          </w:p>
        </w:tc>
        <w:tc>
          <w:tcPr>
            <w:tcW w:w="809" w:type="dxa"/>
          </w:tcPr>
          <w:p w14:paraId="68756005" w14:textId="77777777" w:rsidR="00F00BFD" w:rsidRPr="00791A33" w:rsidRDefault="00F00BFD" w:rsidP="006D542E">
            <w:pPr>
              <w:pStyle w:val="T-ABCD"/>
            </w:pPr>
            <w:r>
              <w:t>NA</w:t>
            </w:r>
          </w:p>
        </w:tc>
        <w:tc>
          <w:tcPr>
            <w:tcW w:w="810" w:type="dxa"/>
          </w:tcPr>
          <w:p w14:paraId="79F1A051" w14:textId="77777777" w:rsidR="00F00BFD" w:rsidRPr="00791A33" w:rsidRDefault="00F00BFD" w:rsidP="006D542E">
            <w:pPr>
              <w:pStyle w:val="T-ABCD"/>
            </w:pPr>
            <w:r>
              <w:t xml:space="preserve">NA </w:t>
            </w:r>
          </w:p>
        </w:tc>
      </w:tr>
      <w:tr w:rsidR="00F00BFD" w:rsidRPr="00791A33" w14:paraId="42F9E1E0" w14:textId="77777777" w:rsidTr="00F00BFD">
        <w:trPr>
          <w:cantSplit/>
        </w:trPr>
        <w:tc>
          <w:tcPr>
            <w:tcW w:w="851" w:type="dxa"/>
          </w:tcPr>
          <w:p w14:paraId="30F601BC" w14:textId="77777777" w:rsidR="00F00BFD" w:rsidRPr="008E6214" w:rsidRDefault="00F00BFD" w:rsidP="006D542E">
            <w:pPr>
              <w:pStyle w:val="Tabletextnoindent"/>
              <w:keepNext w:val="0"/>
              <w:numPr>
                <w:ilvl w:val="0"/>
                <w:numId w:val="0"/>
              </w:numPr>
            </w:pPr>
            <w:r w:rsidRPr="004B250B">
              <w:t>ES3.101</w:t>
            </w:r>
          </w:p>
        </w:tc>
        <w:tc>
          <w:tcPr>
            <w:tcW w:w="3750" w:type="dxa"/>
          </w:tcPr>
          <w:p w14:paraId="68AD60D0" w14:textId="77777777" w:rsidR="00F00BFD" w:rsidRDefault="00F00BFD" w:rsidP="006D542E">
            <w:pPr>
              <w:pStyle w:val="ES-table"/>
              <w:keepNext w:val="0"/>
            </w:pPr>
            <w:r w:rsidRPr="0023743E">
              <w:t xml:space="preserve">In critically ill </w:t>
            </w:r>
            <w:r>
              <w:t>neonatal and paediatric</w:t>
            </w:r>
            <w:r w:rsidRPr="0023743E">
              <w:t xml:space="preserve"> patients, the effect of fibrinogen concentrate </w:t>
            </w:r>
            <w:r>
              <w:t>compared with</w:t>
            </w:r>
            <w:r w:rsidRPr="0023743E">
              <w:t xml:space="preserve"> no fibrinogen concentrate on bleeding events is unknown</w:t>
            </w:r>
            <w:r>
              <w:t>.</w:t>
            </w:r>
          </w:p>
        </w:tc>
        <w:tc>
          <w:tcPr>
            <w:tcW w:w="809" w:type="dxa"/>
          </w:tcPr>
          <w:p w14:paraId="5E67EB65" w14:textId="77777777" w:rsidR="00F00BFD" w:rsidRPr="00791A33" w:rsidRDefault="00F00BFD" w:rsidP="006D542E">
            <w:pPr>
              <w:pStyle w:val="T-ABCD"/>
            </w:pPr>
            <w:r>
              <w:t>NA</w:t>
            </w:r>
          </w:p>
        </w:tc>
        <w:tc>
          <w:tcPr>
            <w:tcW w:w="809" w:type="dxa"/>
          </w:tcPr>
          <w:p w14:paraId="53BE67BE" w14:textId="77777777" w:rsidR="00F00BFD" w:rsidRPr="00791A33" w:rsidRDefault="00F00BFD" w:rsidP="006D542E">
            <w:pPr>
              <w:pStyle w:val="T-ABCD"/>
            </w:pPr>
            <w:r>
              <w:t>NA</w:t>
            </w:r>
          </w:p>
        </w:tc>
        <w:tc>
          <w:tcPr>
            <w:tcW w:w="809" w:type="dxa"/>
          </w:tcPr>
          <w:p w14:paraId="4A9ECCFF" w14:textId="77777777" w:rsidR="00F00BFD" w:rsidRPr="00791A33" w:rsidRDefault="00F00BFD" w:rsidP="006D542E">
            <w:pPr>
              <w:pStyle w:val="T-ABCD"/>
            </w:pPr>
            <w:r>
              <w:t>NA</w:t>
            </w:r>
          </w:p>
        </w:tc>
        <w:tc>
          <w:tcPr>
            <w:tcW w:w="809" w:type="dxa"/>
          </w:tcPr>
          <w:p w14:paraId="492B3ED5" w14:textId="77777777" w:rsidR="00F00BFD" w:rsidRPr="00791A33" w:rsidRDefault="00F00BFD" w:rsidP="006D542E">
            <w:pPr>
              <w:pStyle w:val="T-ABCD"/>
            </w:pPr>
            <w:r>
              <w:t>NA</w:t>
            </w:r>
          </w:p>
        </w:tc>
        <w:tc>
          <w:tcPr>
            <w:tcW w:w="810" w:type="dxa"/>
          </w:tcPr>
          <w:p w14:paraId="1B16564F" w14:textId="77777777" w:rsidR="00F00BFD" w:rsidRPr="00791A33" w:rsidRDefault="00F00BFD" w:rsidP="006D542E">
            <w:pPr>
              <w:pStyle w:val="T-ABCD"/>
            </w:pPr>
            <w:r>
              <w:t xml:space="preserve">NA </w:t>
            </w:r>
          </w:p>
        </w:tc>
      </w:tr>
      <w:tr w:rsidR="00F00BFD" w:rsidRPr="00791A33" w14:paraId="7D248574" w14:textId="77777777" w:rsidTr="00F00BFD">
        <w:trPr>
          <w:cantSplit/>
        </w:trPr>
        <w:tc>
          <w:tcPr>
            <w:tcW w:w="851" w:type="dxa"/>
          </w:tcPr>
          <w:p w14:paraId="075B2BAA" w14:textId="77777777" w:rsidR="00F00BFD" w:rsidRPr="008E6214" w:rsidRDefault="00F00BFD" w:rsidP="006D542E">
            <w:pPr>
              <w:pStyle w:val="Tabletextnoindent"/>
              <w:keepNext w:val="0"/>
              <w:numPr>
                <w:ilvl w:val="0"/>
                <w:numId w:val="0"/>
              </w:numPr>
            </w:pPr>
            <w:r w:rsidRPr="004B250B">
              <w:t>ES3.102</w:t>
            </w:r>
          </w:p>
        </w:tc>
        <w:tc>
          <w:tcPr>
            <w:tcW w:w="3750" w:type="dxa"/>
          </w:tcPr>
          <w:p w14:paraId="4FA6D1B4" w14:textId="77777777" w:rsidR="00F00BFD" w:rsidRDefault="00F00BFD" w:rsidP="006D542E">
            <w:pPr>
              <w:pStyle w:val="ES-table"/>
              <w:keepNext w:val="0"/>
            </w:pPr>
            <w:r w:rsidRPr="0023743E">
              <w:t xml:space="preserve">In critically ill </w:t>
            </w:r>
            <w:r>
              <w:t>neonatal and paediatric</w:t>
            </w:r>
            <w:r w:rsidRPr="0023743E">
              <w:t xml:space="preserve"> patients, the effect of fibrinogen concentrate </w:t>
            </w:r>
            <w:r>
              <w:t>compared with</w:t>
            </w:r>
            <w:r w:rsidRPr="0023743E">
              <w:t xml:space="preserve"> no fibrinogen concentrate</w:t>
            </w:r>
            <w:r w:rsidRPr="00875584">
              <w:t xml:space="preserve"> on</w:t>
            </w:r>
            <w:r>
              <w:t xml:space="preserve"> </w:t>
            </w:r>
            <w:r w:rsidRPr="00875584">
              <w:t>transfusion-related serious adverse events</w:t>
            </w:r>
            <w:r w:rsidRPr="0023743E">
              <w:t xml:space="preserve"> is unknown</w:t>
            </w:r>
            <w:r>
              <w:t>.</w:t>
            </w:r>
          </w:p>
        </w:tc>
        <w:tc>
          <w:tcPr>
            <w:tcW w:w="809" w:type="dxa"/>
          </w:tcPr>
          <w:p w14:paraId="4DC7C207" w14:textId="77777777" w:rsidR="00F00BFD" w:rsidRPr="00791A33" w:rsidRDefault="00F00BFD" w:rsidP="006D542E">
            <w:pPr>
              <w:pStyle w:val="T-ABCD"/>
            </w:pPr>
            <w:r>
              <w:t>NA</w:t>
            </w:r>
          </w:p>
        </w:tc>
        <w:tc>
          <w:tcPr>
            <w:tcW w:w="809" w:type="dxa"/>
          </w:tcPr>
          <w:p w14:paraId="036B6601" w14:textId="77777777" w:rsidR="00F00BFD" w:rsidRPr="00791A33" w:rsidRDefault="00F00BFD" w:rsidP="006D542E">
            <w:pPr>
              <w:pStyle w:val="T-ABCD"/>
            </w:pPr>
            <w:r>
              <w:t>NA</w:t>
            </w:r>
          </w:p>
        </w:tc>
        <w:tc>
          <w:tcPr>
            <w:tcW w:w="809" w:type="dxa"/>
          </w:tcPr>
          <w:p w14:paraId="4A34F793" w14:textId="77777777" w:rsidR="00F00BFD" w:rsidRPr="00791A33" w:rsidRDefault="00F00BFD" w:rsidP="006D542E">
            <w:pPr>
              <w:pStyle w:val="T-ABCD"/>
            </w:pPr>
            <w:r>
              <w:t>NA</w:t>
            </w:r>
          </w:p>
        </w:tc>
        <w:tc>
          <w:tcPr>
            <w:tcW w:w="809" w:type="dxa"/>
          </w:tcPr>
          <w:p w14:paraId="6D0A999E" w14:textId="77777777" w:rsidR="00F00BFD" w:rsidRPr="00791A33" w:rsidRDefault="00F00BFD" w:rsidP="006D542E">
            <w:pPr>
              <w:pStyle w:val="T-ABCD"/>
            </w:pPr>
            <w:r>
              <w:t>NA</w:t>
            </w:r>
          </w:p>
        </w:tc>
        <w:tc>
          <w:tcPr>
            <w:tcW w:w="810" w:type="dxa"/>
          </w:tcPr>
          <w:p w14:paraId="4AB42CB9" w14:textId="77777777" w:rsidR="00F00BFD" w:rsidRPr="00791A33" w:rsidRDefault="00F00BFD" w:rsidP="006D542E">
            <w:pPr>
              <w:pStyle w:val="T-ABCD"/>
            </w:pPr>
            <w:r>
              <w:t xml:space="preserve">NA </w:t>
            </w:r>
          </w:p>
        </w:tc>
      </w:tr>
      <w:tr w:rsidR="00F00BFD" w:rsidRPr="00791A33" w14:paraId="3A03B811" w14:textId="77777777" w:rsidTr="00F00BFD">
        <w:trPr>
          <w:cantSplit/>
        </w:trPr>
        <w:tc>
          <w:tcPr>
            <w:tcW w:w="851" w:type="dxa"/>
          </w:tcPr>
          <w:p w14:paraId="7D20A195" w14:textId="77777777" w:rsidR="00F00BFD" w:rsidRPr="008E6214" w:rsidRDefault="00F00BFD" w:rsidP="006D542E">
            <w:pPr>
              <w:pStyle w:val="Tabletextnoindent"/>
              <w:keepNext w:val="0"/>
              <w:numPr>
                <w:ilvl w:val="0"/>
                <w:numId w:val="0"/>
              </w:numPr>
            </w:pPr>
            <w:r w:rsidRPr="004B250B">
              <w:t>ES3.103</w:t>
            </w:r>
          </w:p>
        </w:tc>
        <w:tc>
          <w:tcPr>
            <w:tcW w:w="3750" w:type="dxa"/>
          </w:tcPr>
          <w:p w14:paraId="67E3C770" w14:textId="77777777" w:rsidR="00F00BFD" w:rsidRDefault="00F00BFD" w:rsidP="006D542E">
            <w:pPr>
              <w:pStyle w:val="ES-table"/>
              <w:keepNext w:val="0"/>
            </w:pPr>
            <w:r w:rsidRPr="0023743E">
              <w:t xml:space="preserve">In critically ill </w:t>
            </w:r>
            <w:r>
              <w:t>neonatal and paediatric</w:t>
            </w:r>
            <w:r w:rsidRPr="0023743E">
              <w:t xml:space="preserve"> patients, the effect of fibrinogen concentrate </w:t>
            </w:r>
            <w:r>
              <w:t>compared with</w:t>
            </w:r>
            <w:r w:rsidRPr="0023743E">
              <w:t xml:space="preserve"> no fibrinogen concentrate on </w:t>
            </w:r>
            <w:r w:rsidRPr="00875584">
              <w:t xml:space="preserve">transfusion volume or incidence </w:t>
            </w:r>
            <w:r w:rsidRPr="0023743E">
              <w:t>is unknown</w:t>
            </w:r>
            <w:r>
              <w:t>.</w:t>
            </w:r>
          </w:p>
        </w:tc>
        <w:tc>
          <w:tcPr>
            <w:tcW w:w="809" w:type="dxa"/>
          </w:tcPr>
          <w:p w14:paraId="28670CB3" w14:textId="77777777" w:rsidR="00F00BFD" w:rsidRPr="00791A33" w:rsidRDefault="00F00BFD" w:rsidP="006D542E">
            <w:pPr>
              <w:pStyle w:val="T-ABCD"/>
            </w:pPr>
            <w:r>
              <w:t>NA</w:t>
            </w:r>
          </w:p>
        </w:tc>
        <w:tc>
          <w:tcPr>
            <w:tcW w:w="809" w:type="dxa"/>
          </w:tcPr>
          <w:p w14:paraId="145EEFEB" w14:textId="77777777" w:rsidR="00F00BFD" w:rsidRPr="00791A33" w:rsidRDefault="00F00BFD" w:rsidP="006D542E">
            <w:pPr>
              <w:pStyle w:val="T-ABCD"/>
            </w:pPr>
            <w:r>
              <w:t>NA</w:t>
            </w:r>
          </w:p>
        </w:tc>
        <w:tc>
          <w:tcPr>
            <w:tcW w:w="809" w:type="dxa"/>
          </w:tcPr>
          <w:p w14:paraId="1926C963" w14:textId="77777777" w:rsidR="00F00BFD" w:rsidRPr="00791A33" w:rsidRDefault="00F00BFD" w:rsidP="006D542E">
            <w:pPr>
              <w:pStyle w:val="T-ABCD"/>
            </w:pPr>
            <w:r>
              <w:t>NA</w:t>
            </w:r>
          </w:p>
        </w:tc>
        <w:tc>
          <w:tcPr>
            <w:tcW w:w="809" w:type="dxa"/>
          </w:tcPr>
          <w:p w14:paraId="0008AB98" w14:textId="77777777" w:rsidR="00F00BFD" w:rsidRPr="00791A33" w:rsidRDefault="00F00BFD" w:rsidP="006D542E">
            <w:pPr>
              <w:pStyle w:val="T-ABCD"/>
            </w:pPr>
            <w:r>
              <w:t>NA</w:t>
            </w:r>
          </w:p>
        </w:tc>
        <w:tc>
          <w:tcPr>
            <w:tcW w:w="810" w:type="dxa"/>
          </w:tcPr>
          <w:p w14:paraId="67AB846A" w14:textId="77777777" w:rsidR="00F00BFD" w:rsidRPr="00791A33" w:rsidRDefault="00F00BFD" w:rsidP="006D542E">
            <w:pPr>
              <w:pStyle w:val="T-ABCD"/>
            </w:pPr>
            <w:r>
              <w:t xml:space="preserve">NA </w:t>
            </w:r>
          </w:p>
        </w:tc>
      </w:tr>
      <w:tr w:rsidR="00F00BFD" w:rsidRPr="00791A33" w14:paraId="479E2994" w14:textId="77777777" w:rsidTr="00F00BFD">
        <w:trPr>
          <w:cantSplit/>
        </w:trPr>
        <w:tc>
          <w:tcPr>
            <w:tcW w:w="851" w:type="dxa"/>
          </w:tcPr>
          <w:p w14:paraId="3BB93852" w14:textId="77777777" w:rsidR="00F00BFD" w:rsidRPr="008E6214" w:rsidRDefault="00F00BFD" w:rsidP="006D542E">
            <w:pPr>
              <w:pStyle w:val="Tabletextnoindent"/>
              <w:keepNext w:val="0"/>
              <w:numPr>
                <w:ilvl w:val="0"/>
                <w:numId w:val="0"/>
              </w:numPr>
            </w:pPr>
            <w:r w:rsidRPr="004B250B">
              <w:t>ES3.104</w:t>
            </w:r>
          </w:p>
        </w:tc>
        <w:tc>
          <w:tcPr>
            <w:tcW w:w="3750" w:type="dxa"/>
          </w:tcPr>
          <w:p w14:paraId="4BB27AF4" w14:textId="77777777" w:rsidR="00F00BFD" w:rsidRDefault="00F00BFD" w:rsidP="006D542E">
            <w:pPr>
              <w:pStyle w:val="ES-table"/>
              <w:keepNext w:val="0"/>
            </w:pPr>
            <w:r w:rsidRPr="001810D9">
              <w:t xml:space="preserve">In critically ill </w:t>
            </w:r>
            <w:r>
              <w:t>neonatal and paediatric</w:t>
            </w:r>
            <w:r w:rsidRPr="001810D9">
              <w:t xml:space="preserve"> patients, the effect of </w:t>
            </w:r>
            <w:r w:rsidRPr="0023743E">
              <w:t xml:space="preserve">fibrinogen concentrate </w:t>
            </w:r>
            <w:r>
              <w:t xml:space="preserve">compared with a different </w:t>
            </w:r>
            <w:r w:rsidRPr="0023743E">
              <w:t>fibrinogen concentrate transfusion</w:t>
            </w:r>
            <w:r w:rsidRPr="001810D9">
              <w:t xml:space="preserve"> </w:t>
            </w:r>
            <w:r>
              <w:t xml:space="preserve">strategy </w:t>
            </w:r>
            <w:r w:rsidRPr="001810D9">
              <w:t>on mortality is un</w:t>
            </w:r>
            <w:r>
              <w:t>known.</w:t>
            </w:r>
          </w:p>
        </w:tc>
        <w:tc>
          <w:tcPr>
            <w:tcW w:w="809" w:type="dxa"/>
          </w:tcPr>
          <w:p w14:paraId="1923C254" w14:textId="77777777" w:rsidR="00F00BFD" w:rsidRPr="00791A33" w:rsidRDefault="00F00BFD" w:rsidP="006D542E">
            <w:pPr>
              <w:pStyle w:val="T-ABCD"/>
            </w:pPr>
            <w:r>
              <w:t>NA</w:t>
            </w:r>
          </w:p>
        </w:tc>
        <w:tc>
          <w:tcPr>
            <w:tcW w:w="809" w:type="dxa"/>
          </w:tcPr>
          <w:p w14:paraId="0BE2C246" w14:textId="77777777" w:rsidR="00F00BFD" w:rsidRPr="00791A33" w:rsidRDefault="00F00BFD" w:rsidP="006D542E">
            <w:pPr>
              <w:pStyle w:val="T-ABCD"/>
            </w:pPr>
            <w:r>
              <w:t>NA</w:t>
            </w:r>
          </w:p>
        </w:tc>
        <w:tc>
          <w:tcPr>
            <w:tcW w:w="809" w:type="dxa"/>
          </w:tcPr>
          <w:p w14:paraId="15439BEC" w14:textId="77777777" w:rsidR="00F00BFD" w:rsidRPr="00791A33" w:rsidRDefault="00F00BFD" w:rsidP="006D542E">
            <w:pPr>
              <w:pStyle w:val="T-ABCD"/>
            </w:pPr>
            <w:r>
              <w:t>NA</w:t>
            </w:r>
          </w:p>
        </w:tc>
        <w:tc>
          <w:tcPr>
            <w:tcW w:w="809" w:type="dxa"/>
          </w:tcPr>
          <w:p w14:paraId="5DC171D1" w14:textId="77777777" w:rsidR="00F00BFD" w:rsidRPr="00791A33" w:rsidRDefault="00F00BFD" w:rsidP="006D542E">
            <w:pPr>
              <w:pStyle w:val="T-ABCD"/>
            </w:pPr>
            <w:r>
              <w:t>NA</w:t>
            </w:r>
          </w:p>
        </w:tc>
        <w:tc>
          <w:tcPr>
            <w:tcW w:w="810" w:type="dxa"/>
          </w:tcPr>
          <w:p w14:paraId="61384AE5" w14:textId="77777777" w:rsidR="00F00BFD" w:rsidRPr="00791A33" w:rsidRDefault="00F00BFD" w:rsidP="006D542E">
            <w:pPr>
              <w:pStyle w:val="T-ABCD"/>
            </w:pPr>
            <w:r>
              <w:t xml:space="preserve">NA </w:t>
            </w:r>
          </w:p>
        </w:tc>
      </w:tr>
      <w:tr w:rsidR="00F00BFD" w:rsidRPr="00791A33" w14:paraId="03C02153" w14:textId="77777777" w:rsidTr="00F00BFD">
        <w:trPr>
          <w:cantSplit/>
        </w:trPr>
        <w:tc>
          <w:tcPr>
            <w:tcW w:w="851" w:type="dxa"/>
          </w:tcPr>
          <w:p w14:paraId="19ADEC4F" w14:textId="77777777" w:rsidR="00F00BFD" w:rsidRPr="008E6214" w:rsidRDefault="00F00BFD" w:rsidP="00F00BFD">
            <w:pPr>
              <w:pStyle w:val="Tabletextnoindent"/>
              <w:numPr>
                <w:ilvl w:val="0"/>
                <w:numId w:val="0"/>
              </w:numPr>
            </w:pPr>
            <w:r w:rsidRPr="004B250B">
              <w:t>ES3.105</w:t>
            </w:r>
          </w:p>
        </w:tc>
        <w:tc>
          <w:tcPr>
            <w:tcW w:w="3750" w:type="dxa"/>
          </w:tcPr>
          <w:p w14:paraId="404F487F" w14:textId="77777777" w:rsidR="00F00BFD" w:rsidRDefault="00F00BFD" w:rsidP="00F00BFD">
            <w:pPr>
              <w:pStyle w:val="ES-table"/>
            </w:pPr>
            <w:r w:rsidRPr="0023743E">
              <w:t xml:space="preserve">In critically ill </w:t>
            </w:r>
            <w:r>
              <w:t>neonatal and paediatric</w:t>
            </w:r>
            <w:r w:rsidRPr="0023743E">
              <w:t xml:space="preserve"> patients, the effect of fibrinogen concentrate </w:t>
            </w:r>
            <w:r>
              <w:t xml:space="preserve">compared with a different </w:t>
            </w:r>
            <w:r w:rsidRPr="0023743E">
              <w:t>fibrinogen concentrate transfusion</w:t>
            </w:r>
            <w:r>
              <w:t xml:space="preserve"> strategy</w:t>
            </w:r>
            <w:r w:rsidRPr="0023743E">
              <w:t xml:space="preserve"> on bleeding events is unknown</w:t>
            </w:r>
            <w:r>
              <w:t>.</w:t>
            </w:r>
          </w:p>
        </w:tc>
        <w:tc>
          <w:tcPr>
            <w:tcW w:w="809" w:type="dxa"/>
          </w:tcPr>
          <w:p w14:paraId="3C9D1A03" w14:textId="77777777" w:rsidR="00F00BFD" w:rsidRPr="00791A33" w:rsidRDefault="00F00BFD" w:rsidP="00F00BFD">
            <w:pPr>
              <w:pStyle w:val="T-ABCD"/>
            </w:pPr>
            <w:r>
              <w:t>NA</w:t>
            </w:r>
          </w:p>
        </w:tc>
        <w:tc>
          <w:tcPr>
            <w:tcW w:w="809" w:type="dxa"/>
          </w:tcPr>
          <w:p w14:paraId="71FBB1D0" w14:textId="77777777" w:rsidR="00F00BFD" w:rsidRPr="00791A33" w:rsidRDefault="00F00BFD" w:rsidP="00F00BFD">
            <w:pPr>
              <w:pStyle w:val="T-ABCD"/>
            </w:pPr>
            <w:r>
              <w:t>NA</w:t>
            </w:r>
          </w:p>
        </w:tc>
        <w:tc>
          <w:tcPr>
            <w:tcW w:w="809" w:type="dxa"/>
          </w:tcPr>
          <w:p w14:paraId="5FE178C3" w14:textId="77777777" w:rsidR="00F00BFD" w:rsidRPr="00791A33" w:rsidRDefault="00F00BFD" w:rsidP="00F00BFD">
            <w:pPr>
              <w:pStyle w:val="T-ABCD"/>
            </w:pPr>
            <w:r>
              <w:t>NA</w:t>
            </w:r>
          </w:p>
        </w:tc>
        <w:tc>
          <w:tcPr>
            <w:tcW w:w="809" w:type="dxa"/>
          </w:tcPr>
          <w:p w14:paraId="67E2C8F3" w14:textId="77777777" w:rsidR="00F00BFD" w:rsidRPr="00791A33" w:rsidRDefault="00F00BFD" w:rsidP="00F00BFD">
            <w:pPr>
              <w:pStyle w:val="T-ABCD"/>
            </w:pPr>
            <w:r>
              <w:t>NA</w:t>
            </w:r>
          </w:p>
        </w:tc>
        <w:tc>
          <w:tcPr>
            <w:tcW w:w="810" w:type="dxa"/>
          </w:tcPr>
          <w:p w14:paraId="0243F2A4" w14:textId="77777777" w:rsidR="00F00BFD" w:rsidRPr="00791A33" w:rsidRDefault="00F00BFD" w:rsidP="00F00BFD">
            <w:pPr>
              <w:pStyle w:val="T-ABCD"/>
            </w:pPr>
            <w:r>
              <w:t xml:space="preserve">NA </w:t>
            </w:r>
          </w:p>
        </w:tc>
      </w:tr>
      <w:tr w:rsidR="00F00BFD" w:rsidRPr="00791A33" w14:paraId="1DB59137" w14:textId="77777777" w:rsidTr="00F00BFD">
        <w:trPr>
          <w:cantSplit/>
        </w:trPr>
        <w:tc>
          <w:tcPr>
            <w:tcW w:w="851" w:type="dxa"/>
          </w:tcPr>
          <w:p w14:paraId="7CCB12EA" w14:textId="77777777" w:rsidR="00F00BFD" w:rsidRPr="008E6214" w:rsidRDefault="00F00BFD" w:rsidP="00F00BFD">
            <w:pPr>
              <w:pStyle w:val="Tabletextnoindent"/>
              <w:numPr>
                <w:ilvl w:val="0"/>
                <w:numId w:val="0"/>
              </w:numPr>
            </w:pPr>
            <w:r w:rsidRPr="004B250B">
              <w:t>ES3.106</w:t>
            </w:r>
          </w:p>
        </w:tc>
        <w:tc>
          <w:tcPr>
            <w:tcW w:w="3750" w:type="dxa"/>
          </w:tcPr>
          <w:p w14:paraId="15A1A0D3" w14:textId="77777777" w:rsidR="00F00BFD" w:rsidRDefault="00F00BFD" w:rsidP="00F00BFD">
            <w:pPr>
              <w:pStyle w:val="ES-table"/>
            </w:pPr>
            <w:r w:rsidRPr="0023743E">
              <w:t xml:space="preserve">In critically ill </w:t>
            </w:r>
            <w:r>
              <w:t>neonatal and paediatric</w:t>
            </w:r>
            <w:r w:rsidRPr="0023743E">
              <w:t xml:space="preserve"> patients, the effect of fibrinogen concentrate </w:t>
            </w:r>
            <w:r>
              <w:t xml:space="preserve">compared with a different </w:t>
            </w:r>
            <w:r w:rsidRPr="0023743E">
              <w:t>fibrinogen concentrate transfusion</w:t>
            </w:r>
            <w:r>
              <w:t xml:space="preserve"> strategy</w:t>
            </w:r>
            <w:r w:rsidRPr="00875584">
              <w:t xml:space="preserve"> on</w:t>
            </w:r>
            <w:r>
              <w:t xml:space="preserve"> </w:t>
            </w:r>
            <w:r w:rsidRPr="00875584">
              <w:t>transfusion-related serious adverse events</w:t>
            </w:r>
            <w:r w:rsidRPr="0023743E">
              <w:t xml:space="preserve"> is unknown</w:t>
            </w:r>
            <w:r>
              <w:t>.</w:t>
            </w:r>
          </w:p>
        </w:tc>
        <w:tc>
          <w:tcPr>
            <w:tcW w:w="809" w:type="dxa"/>
          </w:tcPr>
          <w:p w14:paraId="74A372BA" w14:textId="77777777" w:rsidR="00F00BFD" w:rsidRPr="00791A33" w:rsidRDefault="00F00BFD" w:rsidP="00F00BFD">
            <w:pPr>
              <w:pStyle w:val="T-ABCD"/>
            </w:pPr>
            <w:r>
              <w:t>NA</w:t>
            </w:r>
          </w:p>
        </w:tc>
        <w:tc>
          <w:tcPr>
            <w:tcW w:w="809" w:type="dxa"/>
          </w:tcPr>
          <w:p w14:paraId="3D752CA0" w14:textId="77777777" w:rsidR="00F00BFD" w:rsidRPr="00791A33" w:rsidRDefault="00F00BFD" w:rsidP="00F00BFD">
            <w:pPr>
              <w:pStyle w:val="T-ABCD"/>
            </w:pPr>
            <w:r>
              <w:t>NA</w:t>
            </w:r>
          </w:p>
        </w:tc>
        <w:tc>
          <w:tcPr>
            <w:tcW w:w="809" w:type="dxa"/>
          </w:tcPr>
          <w:p w14:paraId="533DD50F" w14:textId="77777777" w:rsidR="00F00BFD" w:rsidRPr="00791A33" w:rsidRDefault="00F00BFD" w:rsidP="00F00BFD">
            <w:pPr>
              <w:pStyle w:val="T-ABCD"/>
            </w:pPr>
            <w:r>
              <w:t>NA</w:t>
            </w:r>
          </w:p>
        </w:tc>
        <w:tc>
          <w:tcPr>
            <w:tcW w:w="809" w:type="dxa"/>
          </w:tcPr>
          <w:p w14:paraId="06237F9D" w14:textId="77777777" w:rsidR="00F00BFD" w:rsidRPr="00791A33" w:rsidRDefault="00F00BFD" w:rsidP="00F00BFD">
            <w:pPr>
              <w:pStyle w:val="T-ABCD"/>
            </w:pPr>
            <w:r>
              <w:t>NA</w:t>
            </w:r>
          </w:p>
        </w:tc>
        <w:tc>
          <w:tcPr>
            <w:tcW w:w="810" w:type="dxa"/>
          </w:tcPr>
          <w:p w14:paraId="1AE35160" w14:textId="77777777" w:rsidR="00F00BFD" w:rsidRPr="00791A33" w:rsidRDefault="00F00BFD" w:rsidP="00F00BFD">
            <w:pPr>
              <w:pStyle w:val="T-ABCD"/>
            </w:pPr>
            <w:r>
              <w:t xml:space="preserve">NA </w:t>
            </w:r>
          </w:p>
        </w:tc>
      </w:tr>
      <w:tr w:rsidR="00F00BFD" w:rsidRPr="00791A33" w14:paraId="6F7260B2" w14:textId="77777777" w:rsidTr="00F00BFD">
        <w:trPr>
          <w:cantSplit/>
        </w:trPr>
        <w:tc>
          <w:tcPr>
            <w:tcW w:w="851" w:type="dxa"/>
          </w:tcPr>
          <w:p w14:paraId="5990AD71" w14:textId="77777777" w:rsidR="00F00BFD" w:rsidRPr="008E6214" w:rsidRDefault="00F00BFD" w:rsidP="00F00BFD">
            <w:pPr>
              <w:pStyle w:val="Tabletextnoindent"/>
              <w:numPr>
                <w:ilvl w:val="0"/>
                <w:numId w:val="0"/>
              </w:numPr>
            </w:pPr>
            <w:r w:rsidRPr="004B250B">
              <w:t>ES3.107</w:t>
            </w:r>
          </w:p>
        </w:tc>
        <w:tc>
          <w:tcPr>
            <w:tcW w:w="3750" w:type="dxa"/>
          </w:tcPr>
          <w:p w14:paraId="1E5AA650" w14:textId="77777777" w:rsidR="00F00BFD" w:rsidRDefault="00F00BFD" w:rsidP="00F00BFD">
            <w:pPr>
              <w:pStyle w:val="ES-table"/>
            </w:pPr>
            <w:r w:rsidRPr="0023743E">
              <w:t xml:space="preserve">In </w:t>
            </w:r>
            <w:r w:rsidRPr="00132A0F">
              <w:t>critically</w:t>
            </w:r>
            <w:r w:rsidRPr="0023743E">
              <w:t xml:space="preserve"> ill </w:t>
            </w:r>
            <w:r>
              <w:t>neonatal and paediatric</w:t>
            </w:r>
            <w:r w:rsidRPr="0023743E">
              <w:t xml:space="preserve"> patients, the effect of fibrinogen concentrate </w:t>
            </w:r>
            <w:r>
              <w:t xml:space="preserve">compared with a different </w:t>
            </w:r>
            <w:r w:rsidRPr="0023743E">
              <w:t>fibrinogen concentrate transfusion</w:t>
            </w:r>
            <w:r>
              <w:t xml:space="preserve"> strategy</w:t>
            </w:r>
            <w:r w:rsidRPr="0023743E">
              <w:t xml:space="preserve"> on </w:t>
            </w:r>
            <w:r w:rsidRPr="00875584">
              <w:t xml:space="preserve">transfusion volume or incidence </w:t>
            </w:r>
            <w:r w:rsidRPr="0023743E">
              <w:t>is unknown</w:t>
            </w:r>
            <w:r>
              <w:t>.</w:t>
            </w:r>
          </w:p>
        </w:tc>
        <w:tc>
          <w:tcPr>
            <w:tcW w:w="809" w:type="dxa"/>
          </w:tcPr>
          <w:p w14:paraId="16AB11DF" w14:textId="77777777" w:rsidR="00F00BFD" w:rsidRPr="00791A33" w:rsidRDefault="00F00BFD" w:rsidP="00F00BFD">
            <w:pPr>
              <w:pStyle w:val="T-ABCD"/>
            </w:pPr>
            <w:r>
              <w:t>NA</w:t>
            </w:r>
          </w:p>
        </w:tc>
        <w:tc>
          <w:tcPr>
            <w:tcW w:w="809" w:type="dxa"/>
          </w:tcPr>
          <w:p w14:paraId="3BD96470" w14:textId="77777777" w:rsidR="00F00BFD" w:rsidRPr="00791A33" w:rsidRDefault="00F00BFD" w:rsidP="00F00BFD">
            <w:pPr>
              <w:pStyle w:val="T-ABCD"/>
            </w:pPr>
            <w:r>
              <w:t>NA</w:t>
            </w:r>
          </w:p>
        </w:tc>
        <w:tc>
          <w:tcPr>
            <w:tcW w:w="809" w:type="dxa"/>
          </w:tcPr>
          <w:p w14:paraId="1DEF0105" w14:textId="77777777" w:rsidR="00F00BFD" w:rsidRPr="00791A33" w:rsidRDefault="00F00BFD" w:rsidP="00F00BFD">
            <w:pPr>
              <w:pStyle w:val="T-ABCD"/>
            </w:pPr>
            <w:r>
              <w:t>NA</w:t>
            </w:r>
          </w:p>
        </w:tc>
        <w:tc>
          <w:tcPr>
            <w:tcW w:w="809" w:type="dxa"/>
          </w:tcPr>
          <w:p w14:paraId="7506D89B" w14:textId="77777777" w:rsidR="00F00BFD" w:rsidRPr="00791A33" w:rsidRDefault="00F00BFD" w:rsidP="00F00BFD">
            <w:pPr>
              <w:pStyle w:val="T-ABCD"/>
            </w:pPr>
            <w:r>
              <w:t>NA</w:t>
            </w:r>
          </w:p>
        </w:tc>
        <w:tc>
          <w:tcPr>
            <w:tcW w:w="810" w:type="dxa"/>
          </w:tcPr>
          <w:p w14:paraId="22B0B091" w14:textId="77777777" w:rsidR="00F00BFD" w:rsidRPr="00791A33" w:rsidRDefault="00F00BFD" w:rsidP="00F00BFD">
            <w:pPr>
              <w:pStyle w:val="T-ABCD"/>
            </w:pPr>
            <w:r>
              <w:t xml:space="preserve">NA </w:t>
            </w:r>
          </w:p>
        </w:tc>
      </w:tr>
      <w:tr w:rsidR="00F00BFD" w14:paraId="3B3F3142" w14:textId="77777777" w:rsidTr="00F00BFD">
        <w:trPr>
          <w:cantSplit/>
        </w:trPr>
        <w:tc>
          <w:tcPr>
            <w:tcW w:w="8647" w:type="dxa"/>
            <w:gridSpan w:val="7"/>
          </w:tcPr>
          <w:p w14:paraId="11F48B72" w14:textId="77777777" w:rsidR="00F00BFD" w:rsidRDefault="00F00BFD" w:rsidP="00F00BFD">
            <w:pPr>
              <w:pStyle w:val="ES-notes"/>
            </w:pPr>
            <w:r>
              <w:t>ES, evidence statement</w:t>
            </w:r>
          </w:p>
          <w:p w14:paraId="6D9654C6" w14:textId="77777777" w:rsidR="00F00BFD" w:rsidRDefault="00F00BFD" w:rsidP="00F00BFD">
            <w:pPr>
              <w:pStyle w:val="ES-notes"/>
            </w:pPr>
            <w:r w:rsidRPr="0004495C">
              <w:sym w:font="Symbol" w:char="F0D6"/>
            </w:r>
            <w:r w:rsidRPr="0004495C">
              <w:sym w:font="Symbol" w:char="F0D6"/>
            </w:r>
            <w:r w:rsidRPr="0004495C">
              <w:sym w:font="Symbol" w:char="F0D6"/>
            </w:r>
            <w:r>
              <w:t xml:space="preserve">=A; </w:t>
            </w:r>
            <w:r w:rsidRPr="0004495C">
              <w:sym w:font="Symbol" w:char="F0D6"/>
            </w:r>
            <w:r w:rsidRPr="0004495C">
              <w:sym w:font="Symbol" w:char="F0D6"/>
            </w:r>
            <w:r>
              <w:t xml:space="preserve">=B; </w:t>
            </w:r>
            <w:r w:rsidRPr="0004495C">
              <w:sym w:font="Symbol" w:char="F0D6"/>
            </w:r>
            <w:r>
              <w:t>=C; X=D; NA, not applicable</w:t>
            </w:r>
          </w:p>
        </w:tc>
      </w:tr>
    </w:tbl>
    <w:p w14:paraId="0251783D"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2E0F4317" w14:textId="77777777" w:rsidTr="00467EEA">
        <w:trPr>
          <w:cantSplit/>
        </w:trPr>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0A7E65AD" w14:textId="46A6F8A4" w:rsidR="00F00BFD" w:rsidRPr="00576BA0" w:rsidRDefault="00F00BFD" w:rsidP="00F00BFD">
            <w:pPr>
              <w:pStyle w:val="PP-heading"/>
              <w:rPr>
                <w:lang w:val="en-AU"/>
              </w:rPr>
            </w:pPr>
            <w:r w:rsidRPr="00F921CD">
              <w:t xml:space="preserve">Practice point – </w:t>
            </w:r>
            <w:r w:rsidR="005E38DA" w:rsidRPr="001810D9">
              <w:t xml:space="preserve">critically ill </w:t>
            </w:r>
            <w:r w:rsidR="005E38DA">
              <w:t>(fibrinogen concentrate)</w:t>
            </w:r>
          </w:p>
        </w:tc>
      </w:tr>
      <w:tr w:rsidR="00F00BFD" w:rsidRPr="00F921CD" w14:paraId="5D70AEE0" w14:textId="77777777" w:rsidTr="004E09B3">
        <w:trPr>
          <w:cantSplit/>
        </w:trPr>
        <w:tc>
          <w:tcPr>
            <w:tcW w:w="1117" w:type="dxa"/>
            <w:tcBorders>
              <w:right w:val="single" w:sz="4" w:space="0" w:color="auto"/>
            </w:tcBorders>
            <w:shd w:val="clear" w:color="auto" w:fill="auto"/>
          </w:tcPr>
          <w:p w14:paraId="1A8D9E64" w14:textId="77777777" w:rsidR="00F00BFD" w:rsidRPr="00F921CD" w:rsidRDefault="00F00BFD" w:rsidP="00E54FD7">
            <w:pPr>
              <w:pStyle w:val="PP"/>
            </w:pPr>
            <w:r w:rsidRPr="00F921CD">
              <w:t>PP</w:t>
            </w:r>
            <w:r>
              <w:t>28</w:t>
            </w:r>
          </w:p>
        </w:tc>
        <w:tc>
          <w:tcPr>
            <w:tcW w:w="7560" w:type="dxa"/>
            <w:tcBorders>
              <w:left w:val="single" w:sz="4" w:space="0" w:color="auto"/>
            </w:tcBorders>
            <w:shd w:val="clear" w:color="auto" w:fill="auto"/>
          </w:tcPr>
          <w:p w14:paraId="46023323" w14:textId="77777777" w:rsidR="00F00BFD" w:rsidRPr="00F921CD" w:rsidRDefault="00F00BFD" w:rsidP="00E54FD7">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413DD012" w14:textId="77777777" w:rsidTr="004E09B3">
        <w:trPr>
          <w:cantSplit/>
          <w:trHeight w:val="397"/>
        </w:trPr>
        <w:tc>
          <w:tcPr>
            <w:tcW w:w="8677" w:type="dxa"/>
            <w:gridSpan w:val="2"/>
            <w:shd w:val="clear" w:color="auto" w:fill="auto"/>
          </w:tcPr>
          <w:p w14:paraId="46F1B1C6" w14:textId="77777777" w:rsidR="00F00BFD" w:rsidRPr="00F921CD" w:rsidRDefault="00F00BFD" w:rsidP="00E54FD7">
            <w:pPr>
              <w:pStyle w:val="PP-note"/>
            </w:pPr>
            <w:r w:rsidRPr="00F921CD">
              <w:t>FFP, fresh frozen plasma; PP, practice point</w:t>
            </w:r>
          </w:p>
        </w:tc>
      </w:tr>
    </w:tbl>
    <w:p w14:paraId="7B6425E4" w14:textId="77777777" w:rsidR="00F00BFD" w:rsidRDefault="00F00BFD" w:rsidP="00F00BFD"/>
    <w:p w14:paraId="4C0E967C" w14:textId="77777777" w:rsidR="00F00BFD" w:rsidRDefault="00F00BFD" w:rsidP="00F00BFD">
      <w:pPr>
        <w:pStyle w:val="Heading4"/>
        <w:ind w:left="0" w:firstLine="720"/>
      </w:pPr>
      <w:r>
        <w:t>Summary of evidence</w:t>
      </w:r>
    </w:p>
    <w:p w14:paraId="081F3B1F" w14:textId="5C04A51F" w:rsidR="00F00BFD" w:rsidRPr="00E54FD7" w:rsidRDefault="00576BA0" w:rsidP="00576BA0">
      <w:pPr>
        <w:rPr>
          <w:lang w:val="en-GB" w:eastAsia="en-GB"/>
        </w:rPr>
      </w:pPr>
      <w:bookmarkStart w:id="154" w:name="OLE_LINK11"/>
      <w:bookmarkStart w:id="155" w:name="OLE_LINK12"/>
      <w:r>
        <w:rPr>
          <w:lang w:val="en-GB" w:eastAsia="en-GB"/>
        </w:rPr>
        <w:t>This review identified no</w:t>
      </w:r>
      <w:r w:rsidR="00F00BFD">
        <w:rPr>
          <w:lang w:val="en-GB" w:eastAsia="en-GB"/>
        </w:rPr>
        <w:t xml:space="preserve"> eligible studies </w:t>
      </w:r>
      <w:r>
        <w:rPr>
          <w:lang w:val="en-GB" w:eastAsia="en-GB"/>
        </w:rPr>
        <w:t>for this population.</w:t>
      </w:r>
      <w:r w:rsidR="00F00BFD">
        <w:rPr>
          <w:lang w:val="en-GB" w:eastAsia="en-GB"/>
        </w:rPr>
        <w:t xml:space="preserve"> </w:t>
      </w:r>
    </w:p>
    <w:bookmarkEnd w:id="154"/>
    <w:bookmarkEnd w:id="155"/>
    <w:p w14:paraId="312BC2A5" w14:textId="77777777" w:rsidR="00F00BFD" w:rsidRDefault="00F00BFD" w:rsidP="00F00BFD">
      <w:pPr>
        <w:pStyle w:val="Heading5"/>
      </w:pPr>
      <w:r>
        <w:t>Mortality</w:t>
      </w:r>
    </w:p>
    <w:p w14:paraId="76D6F820" w14:textId="7A237ECE" w:rsidR="00F00BFD" w:rsidRPr="0065649E" w:rsidRDefault="00E54FD7" w:rsidP="00E54FD7">
      <w:pPr>
        <w:rPr>
          <w:lang w:val="en-GB" w:eastAsia="en-GB"/>
        </w:rPr>
      </w:pPr>
      <w:r>
        <w:rPr>
          <w:lang w:val="en-GB" w:eastAsia="en-GB"/>
        </w:rPr>
        <w:t xml:space="preserve">No evidence was identified related to mortality. </w:t>
      </w:r>
    </w:p>
    <w:p w14:paraId="2FF9C8B4" w14:textId="16F3F9DE" w:rsidR="00F00BFD" w:rsidRDefault="00F00BFD" w:rsidP="00F00BFD">
      <w:pPr>
        <w:pStyle w:val="Heading5"/>
      </w:pPr>
      <w:r>
        <w:t xml:space="preserve">Bleeding </w:t>
      </w:r>
      <w:r w:rsidR="00E54FD7">
        <w:t>events</w:t>
      </w:r>
    </w:p>
    <w:p w14:paraId="1C957C95" w14:textId="33D6BED8" w:rsidR="00F00BFD" w:rsidRPr="0065649E" w:rsidRDefault="00E54FD7" w:rsidP="00E54FD7">
      <w:pPr>
        <w:rPr>
          <w:lang w:val="en-GB" w:eastAsia="en-GB"/>
        </w:rPr>
      </w:pPr>
      <w:r>
        <w:rPr>
          <w:lang w:val="en-GB" w:eastAsia="en-GB"/>
        </w:rPr>
        <w:t xml:space="preserve">No evidence was identified related to bleeding events. </w:t>
      </w:r>
    </w:p>
    <w:p w14:paraId="2DD915C7" w14:textId="63D89C20" w:rsidR="00F00BFD" w:rsidRDefault="00C25FBF" w:rsidP="00F00BFD">
      <w:pPr>
        <w:pStyle w:val="Heading5"/>
      </w:pPr>
      <w:r>
        <w:t>Transfusion</w:t>
      </w:r>
      <w:r>
        <w:rPr>
          <w:lang w:val="en-AU"/>
        </w:rPr>
        <w:t>-</w:t>
      </w:r>
      <w:r w:rsidR="00F00BFD">
        <w:t>related serious adverse events</w:t>
      </w:r>
    </w:p>
    <w:p w14:paraId="7C254F3A" w14:textId="652AD9FC" w:rsidR="00F00BFD" w:rsidRPr="0065649E" w:rsidRDefault="00FA6791" w:rsidP="00E54FD7">
      <w:pPr>
        <w:rPr>
          <w:lang w:val="en-GB" w:eastAsia="en-GB"/>
        </w:rPr>
      </w:pPr>
      <w:r>
        <w:rPr>
          <w:lang w:val="en-GB" w:eastAsia="en-GB"/>
        </w:rPr>
        <w:t>No studies reported</w:t>
      </w:r>
      <w:r w:rsidR="008F7398">
        <w:rPr>
          <w:lang w:val="en-GB" w:eastAsia="en-GB"/>
        </w:rPr>
        <w:t xml:space="preserve"> transfusion-related serious adverse events</w:t>
      </w:r>
      <w:r w:rsidR="00E54FD7">
        <w:rPr>
          <w:lang w:val="en-GB" w:eastAsia="en-GB"/>
        </w:rPr>
        <w:t xml:space="preserve">. </w:t>
      </w:r>
    </w:p>
    <w:p w14:paraId="3E5D5F67" w14:textId="77777777" w:rsidR="00F00BFD" w:rsidRDefault="00F00BFD" w:rsidP="00F00BFD">
      <w:pPr>
        <w:pStyle w:val="Heading5"/>
      </w:pPr>
      <w:r>
        <w:t>Transfusion volume or incidence</w:t>
      </w:r>
    </w:p>
    <w:p w14:paraId="1F21CBA9" w14:textId="7C9118FD" w:rsidR="00F00BFD" w:rsidRPr="0065649E" w:rsidRDefault="00FA6791" w:rsidP="00E54FD7">
      <w:pPr>
        <w:rPr>
          <w:lang w:val="en-GB" w:eastAsia="en-GB"/>
        </w:rPr>
      </w:pPr>
      <w:r>
        <w:rPr>
          <w:lang w:val="en-GB" w:eastAsia="en-GB"/>
        </w:rPr>
        <w:t>No studies reported</w:t>
      </w:r>
      <w:r w:rsidR="008F7398">
        <w:rPr>
          <w:lang w:val="en-GB" w:eastAsia="en-GB"/>
        </w:rPr>
        <w:t xml:space="preserve"> transfusion volume or incidence.</w:t>
      </w:r>
      <w:r w:rsidR="00E54FD7">
        <w:rPr>
          <w:lang w:val="en-GB" w:eastAsia="en-GB"/>
        </w:rPr>
        <w:t xml:space="preserve"> </w:t>
      </w:r>
    </w:p>
    <w:p w14:paraId="6E8ED2AE" w14:textId="1C921F79" w:rsidR="00F00BFD" w:rsidRDefault="00E54FD7" w:rsidP="00F96C85">
      <w:pPr>
        <w:pStyle w:val="BoxHeading"/>
      </w:pPr>
      <w:r w:rsidRPr="009C32A7">
        <w:t>Clinical commentary</w:t>
      </w:r>
      <w:r>
        <w:t xml:space="preserve"> – fibrinogen concentrate in critically ill neonatal and paediatric patients</w:t>
      </w:r>
    </w:p>
    <w:p w14:paraId="78355791" w14:textId="07EA6553" w:rsidR="00F00BFD" w:rsidRDefault="00F00BFD" w:rsidP="00F96C85">
      <w:pPr>
        <w:pStyle w:val="BoxText"/>
      </w:pPr>
      <w:r>
        <w:t xml:space="preserve">Fibrinogen concentrate has been shown to be a safe and effective treatment for correction of hypofibrinogenaemia with a low rate of </w:t>
      </w:r>
      <w:r w:rsidR="00C25FBF">
        <w:rPr>
          <w:lang w:val="en-AU"/>
        </w:rPr>
        <w:t>serious adverse events</w:t>
      </w:r>
      <w:r>
        <w:t>. In other countries, it is used exclusively as a replacement for cryoprecipitate.</w:t>
      </w:r>
      <w:r w:rsidR="00576BA0">
        <w:rPr>
          <w:rStyle w:val="FootnoteReference"/>
          <w:lang w:val="en-GB"/>
        </w:rPr>
        <w:footnoteReference w:id="12"/>
      </w:r>
      <w:r w:rsidR="00A935D4">
        <w:rPr>
          <w:rStyle w:val="FootnoteReference"/>
        </w:rPr>
        <w:footnoteReference w:id="13"/>
      </w:r>
    </w:p>
    <w:p w14:paraId="51B43308" w14:textId="3B4CF70B" w:rsidR="00576BA0" w:rsidRDefault="00576BA0" w:rsidP="00D93C65">
      <w:pPr>
        <w:pStyle w:val="Heading3"/>
        <w:numPr>
          <w:ilvl w:val="2"/>
          <w:numId w:val="47"/>
        </w:numPr>
      </w:pPr>
      <w:bookmarkStart w:id="156" w:name="_Toc427851353"/>
      <w:r>
        <w:rPr>
          <w:lang w:val="en-AU"/>
        </w:rPr>
        <w:t>Critically ill neonatal and paediatric patients – effects of combination therapy on outcomes</w:t>
      </w:r>
      <w:bookmarkEnd w:id="156"/>
      <w:r>
        <w:t xml:space="preserve"> </w:t>
      </w: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50"/>
        <w:gridCol w:w="809"/>
        <w:gridCol w:w="809"/>
        <w:gridCol w:w="809"/>
        <w:gridCol w:w="809"/>
        <w:gridCol w:w="810"/>
      </w:tblGrid>
      <w:tr w:rsidR="00F00BFD" w:rsidRPr="0004495C" w14:paraId="39BEC77B" w14:textId="77777777" w:rsidTr="00467EEA">
        <w:trPr>
          <w:cantSplit/>
          <w:trHeight w:val="2078"/>
          <w:tblHeader/>
        </w:trPr>
        <w:tc>
          <w:tcPr>
            <w:tcW w:w="4601" w:type="dxa"/>
            <w:gridSpan w:val="2"/>
            <w:tcBorders>
              <w:top w:val="single" w:sz="4" w:space="0" w:color="000000"/>
              <w:left w:val="single" w:sz="4" w:space="0" w:color="000000"/>
              <w:bottom w:val="single" w:sz="4" w:space="0" w:color="000000"/>
              <w:right w:val="single" w:sz="4" w:space="0" w:color="000000"/>
            </w:tcBorders>
            <w:shd w:val="clear" w:color="auto" w:fill="44A9C4"/>
          </w:tcPr>
          <w:p w14:paraId="4399B89E" w14:textId="463DD1A2" w:rsidR="00F00BFD" w:rsidRPr="006E5EFD" w:rsidRDefault="00F00BFD" w:rsidP="00C25FBF">
            <w:pPr>
              <w:pStyle w:val="PP-heading"/>
            </w:pPr>
            <w:r w:rsidRPr="006E5EFD">
              <w:t>Evidence statements</w:t>
            </w:r>
            <w:r w:rsidRPr="0004495C">
              <w:t xml:space="preserve"> </w:t>
            </w:r>
            <w:r>
              <w:t xml:space="preserve">– critically ill (combination of </w:t>
            </w:r>
            <w:r w:rsidR="00C25FBF">
              <w:rPr>
                <w:rFonts w:asciiTheme="minorHAnsi" w:hAnsiTheme="minorHAnsi"/>
                <w:lang w:val="en-AU"/>
              </w:rPr>
              <w:t>FFP</w:t>
            </w:r>
            <w:r w:rsidRPr="004605A0">
              <w:t>, cryoprecipitate, platelet transf</w:t>
            </w:r>
            <w:r>
              <w:t>usion or fibrinogen concentrate)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7B4C538C" w14:textId="77777777" w:rsidR="00F00BFD" w:rsidRPr="0004495C" w:rsidRDefault="00F00BFD" w:rsidP="00F00BFD">
            <w:pPr>
              <w:ind w:left="113" w:right="113"/>
              <w:jc w:val="center"/>
              <w:rPr>
                <w:b/>
              </w:rPr>
            </w:pPr>
            <w:r w:rsidRPr="0004495C">
              <w:rPr>
                <w:b/>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3A2E0D02" w14:textId="77777777" w:rsidR="00F00BFD" w:rsidRPr="0004495C" w:rsidRDefault="00F00BFD" w:rsidP="00F00BFD">
            <w:pPr>
              <w:ind w:left="113" w:right="113"/>
              <w:jc w:val="center"/>
              <w:rPr>
                <w:b/>
              </w:rPr>
            </w:pPr>
            <w:r w:rsidRPr="0004495C">
              <w:rPr>
                <w:b/>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3B5D5FA" w14:textId="77777777" w:rsidR="00F00BFD" w:rsidRPr="0004495C" w:rsidRDefault="00F00BFD" w:rsidP="00F00BFD">
            <w:pPr>
              <w:ind w:left="113" w:right="113"/>
              <w:jc w:val="center"/>
              <w:rPr>
                <w:b/>
              </w:rPr>
            </w:pPr>
            <w:r>
              <w:rPr>
                <w:b/>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41DE9FE7" w14:textId="77777777" w:rsidR="00F00BFD" w:rsidRPr="0004495C" w:rsidRDefault="00F00BFD" w:rsidP="00F00BFD">
            <w:pPr>
              <w:ind w:left="113" w:right="113"/>
              <w:jc w:val="center"/>
              <w:rPr>
                <w:b/>
              </w:rPr>
            </w:pPr>
            <w:r w:rsidRPr="0004495C">
              <w:rPr>
                <w:b/>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tcPr>
          <w:p w14:paraId="14A930B8" w14:textId="77777777" w:rsidR="00F00BFD" w:rsidRPr="0004495C" w:rsidRDefault="00F00BFD" w:rsidP="00F00BFD">
            <w:pPr>
              <w:ind w:left="113" w:right="113"/>
              <w:jc w:val="center"/>
              <w:rPr>
                <w:b/>
              </w:rPr>
            </w:pPr>
            <w:r w:rsidRPr="0004495C">
              <w:rPr>
                <w:b/>
              </w:rPr>
              <w:t>Applicability</w:t>
            </w:r>
          </w:p>
        </w:tc>
      </w:tr>
      <w:tr w:rsidR="00F00BFD" w:rsidRPr="00791A33" w14:paraId="446C2DC6" w14:textId="77777777" w:rsidTr="00F00BFD">
        <w:trPr>
          <w:cantSplit/>
        </w:trPr>
        <w:tc>
          <w:tcPr>
            <w:tcW w:w="851" w:type="dxa"/>
          </w:tcPr>
          <w:p w14:paraId="66F77BD8" w14:textId="77777777" w:rsidR="00F00BFD" w:rsidRPr="008E6214" w:rsidRDefault="00F00BFD" w:rsidP="00F00BFD">
            <w:pPr>
              <w:pStyle w:val="Tabletextnoindent"/>
              <w:numPr>
                <w:ilvl w:val="0"/>
                <w:numId w:val="0"/>
              </w:numPr>
            </w:pPr>
            <w:r w:rsidRPr="00C45BD7">
              <w:t>ES3.108</w:t>
            </w:r>
          </w:p>
        </w:tc>
        <w:tc>
          <w:tcPr>
            <w:tcW w:w="3750" w:type="dxa"/>
          </w:tcPr>
          <w:p w14:paraId="3F56F638" w14:textId="77777777" w:rsidR="00F00BFD" w:rsidRDefault="00F00BFD" w:rsidP="00F00BFD">
            <w:pPr>
              <w:pStyle w:val="ES-table"/>
            </w:pPr>
            <w:r w:rsidRPr="001810D9">
              <w:t xml:space="preserve">In critically ill </w:t>
            </w:r>
            <w:r>
              <w:t>neonatal and paediatric</w:t>
            </w:r>
            <w:r w:rsidRPr="001810D9">
              <w:t xml:space="preserve"> patients, the effect of </w:t>
            </w:r>
            <w:r>
              <w:t>a c</w:t>
            </w:r>
            <w:r w:rsidRPr="0023743E">
              <w:t xml:space="preserve">ombination of FFP, cryoprecipitate, platelet transfusion or fibrinogen concentrate </w:t>
            </w:r>
            <w:r>
              <w:t>compared with</w:t>
            </w:r>
            <w:r w:rsidRPr="0023743E">
              <w:t xml:space="preserve"> </w:t>
            </w:r>
            <w:r>
              <w:t xml:space="preserve">a </w:t>
            </w:r>
            <w:r w:rsidRPr="0023743E">
              <w:t>different combination</w:t>
            </w:r>
            <w:r>
              <w:t xml:space="preserve"> </w:t>
            </w:r>
            <w:r w:rsidRPr="001810D9">
              <w:t>on mortality is un</w:t>
            </w:r>
            <w:r>
              <w:t>known.</w:t>
            </w:r>
          </w:p>
        </w:tc>
        <w:tc>
          <w:tcPr>
            <w:tcW w:w="809" w:type="dxa"/>
          </w:tcPr>
          <w:p w14:paraId="063099A4" w14:textId="77777777" w:rsidR="00F00BFD" w:rsidRPr="00791A33" w:rsidRDefault="00F00BFD" w:rsidP="00F00BFD">
            <w:pPr>
              <w:pStyle w:val="T-ABCD"/>
            </w:pPr>
            <w:r>
              <w:t>NA</w:t>
            </w:r>
          </w:p>
        </w:tc>
        <w:tc>
          <w:tcPr>
            <w:tcW w:w="809" w:type="dxa"/>
          </w:tcPr>
          <w:p w14:paraId="1182CD25" w14:textId="77777777" w:rsidR="00F00BFD" w:rsidRPr="00791A33" w:rsidRDefault="00F00BFD" w:rsidP="00F00BFD">
            <w:pPr>
              <w:pStyle w:val="T-ABCD"/>
            </w:pPr>
            <w:r>
              <w:t>NA</w:t>
            </w:r>
          </w:p>
        </w:tc>
        <w:tc>
          <w:tcPr>
            <w:tcW w:w="809" w:type="dxa"/>
          </w:tcPr>
          <w:p w14:paraId="6204D07E" w14:textId="77777777" w:rsidR="00F00BFD" w:rsidRPr="00791A33" w:rsidRDefault="00F00BFD" w:rsidP="00F00BFD">
            <w:pPr>
              <w:pStyle w:val="T-ABCD"/>
            </w:pPr>
            <w:r>
              <w:t>NA</w:t>
            </w:r>
          </w:p>
        </w:tc>
        <w:tc>
          <w:tcPr>
            <w:tcW w:w="809" w:type="dxa"/>
          </w:tcPr>
          <w:p w14:paraId="6DBF599F" w14:textId="77777777" w:rsidR="00F00BFD" w:rsidRPr="00791A33" w:rsidRDefault="00F00BFD" w:rsidP="00F00BFD">
            <w:pPr>
              <w:pStyle w:val="T-ABCD"/>
            </w:pPr>
            <w:r>
              <w:t>NA</w:t>
            </w:r>
          </w:p>
        </w:tc>
        <w:tc>
          <w:tcPr>
            <w:tcW w:w="810" w:type="dxa"/>
          </w:tcPr>
          <w:p w14:paraId="60DE1F85" w14:textId="77777777" w:rsidR="00F00BFD" w:rsidRPr="00791A33" w:rsidRDefault="00F00BFD" w:rsidP="00F00BFD">
            <w:pPr>
              <w:pStyle w:val="T-ABCD"/>
            </w:pPr>
            <w:r>
              <w:t xml:space="preserve">NA </w:t>
            </w:r>
          </w:p>
        </w:tc>
      </w:tr>
      <w:tr w:rsidR="00F00BFD" w:rsidRPr="00791A33" w14:paraId="5D3ACDC9" w14:textId="77777777" w:rsidTr="00F00BFD">
        <w:trPr>
          <w:cantSplit/>
        </w:trPr>
        <w:tc>
          <w:tcPr>
            <w:tcW w:w="851" w:type="dxa"/>
          </w:tcPr>
          <w:p w14:paraId="0524D375" w14:textId="77777777" w:rsidR="00F00BFD" w:rsidRPr="008E6214" w:rsidRDefault="00F00BFD" w:rsidP="00F00BFD">
            <w:pPr>
              <w:pStyle w:val="Tabletextnoindent"/>
              <w:numPr>
                <w:ilvl w:val="0"/>
                <w:numId w:val="0"/>
              </w:numPr>
            </w:pPr>
            <w:r w:rsidRPr="00C45BD7">
              <w:t>ES3.109</w:t>
            </w:r>
          </w:p>
        </w:tc>
        <w:tc>
          <w:tcPr>
            <w:tcW w:w="3750" w:type="dxa"/>
          </w:tcPr>
          <w:p w14:paraId="70D0F0C4" w14:textId="77777777" w:rsidR="00F00BFD" w:rsidRDefault="00F00BFD" w:rsidP="00F00BFD">
            <w:pPr>
              <w:pStyle w:val="ES-table"/>
            </w:pPr>
            <w:r w:rsidRPr="0023743E">
              <w:t xml:space="preserve">In critically ill </w:t>
            </w:r>
            <w:r>
              <w:t>neonatal and paediatric</w:t>
            </w:r>
            <w:r w:rsidRPr="0023743E">
              <w:t xml:space="preserve"> patients, the effect of </w:t>
            </w:r>
            <w:r>
              <w:t>a c</w:t>
            </w:r>
            <w:r w:rsidRPr="0023743E">
              <w:t xml:space="preserve">ombination of FFP, cryoprecipitate, platelet transfusion or fibrinogen concentrate </w:t>
            </w:r>
            <w:r>
              <w:t>compared with</w:t>
            </w:r>
            <w:r w:rsidRPr="0023743E">
              <w:t xml:space="preserve"> </w:t>
            </w:r>
            <w:r>
              <w:t xml:space="preserve">a </w:t>
            </w:r>
            <w:r w:rsidRPr="0023743E">
              <w:t>different combination</w:t>
            </w:r>
            <w:r>
              <w:t xml:space="preserve"> </w:t>
            </w:r>
            <w:r w:rsidRPr="0023743E">
              <w:t>on bleeding events is unknown</w:t>
            </w:r>
            <w:r>
              <w:t>.</w:t>
            </w:r>
          </w:p>
        </w:tc>
        <w:tc>
          <w:tcPr>
            <w:tcW w:w="809" w:type="dxa"/>
          </w:tcPr>
          <w:p w14:paraId="1AB17110" w14:textId="77777777" w:rsidR="00F00BFD" w:rsidRPr="00791A33" w:rsidRDefault="00F00BFD" w:rsidP="00F00BFD">
            <w:pPr>
              <w:pStyle w:val="T-ABCD"/>
            </w:pPr>
            <w:r>
              <w:t>NA</w:t>
            </w:r>
          </w:p>
        </w:tc>
        <w:tc>
          <w:tcPr>
            <w:tcW w:w="809" w:type="dxa"/>
          </w:tcPr>
          <w:p w14:paraId="244B2EFB" w14:textId="77777777" w:rsidR="00F00BFD" w:rsidRPr="00791A33" w:rsidRDefault="00F00BFD" w:rsidP="00F00BFD">
            <w:pPr>
              <w:pStyle w:val="T-ABCD"/>
            </w:pPr>
            <w:r>
              <w:t>NA</w:t>
            </w:r>
          </w:p>
        </w:tc>
        <w:tc>
          <w:tcPr>
            <w:tcW w:w="809" w:type="dxa"/>
          </w:tcPr>
          <w:p w14:paraId="7356278D" w14:textId="77777777" w:rsidR="00F00BFD" w:rsidRPr="00791A33" w:rsidRDefault="00F00BFD" w:rsidP="00F00BFD">
            <w:pPr>
              <w:pStyle w:val="T-ABCD"/>
            </w:pPr>
            <w:r>
              <w:t>NA</w:t>
            </w:r>
          </w:p>
        </w:tc>
        <w:tc>
          <w:tcPr>
            <w:tcW w:w="809" w:type="dxa"/>
          </w:tcPr>
          <w:p w14:paraId="4B383A4B" w14:textId="77777777" w:rsidR="00F00BFD" w:rsidRPr="00791A33" w:rsidRDefault="00F00BFD" w:rsidP="00F00BFD">
            <w:pPr>
              <w:pStyle w:val="T-ABCD"/>
            </w:pPr>
            <w:r>
              <w:t>NA</w:t>
            </w:r>
          </w:p>
        </w:tc>
        <w:tc>
          <w:tcPr>
            <w:tcW w:w="810" w:type="dxa"/>
          </w:tcPr>
          <w:p w14:paraId="472122A4" w14:textId="77777777" w:rsidR="00F00BFD" w:rsidRPr="00791A33" w:rsidRDefault="00F00BFD" w:rsidP="00F00BFD">
            <w:pPr>
              <w:pStyle w:val="T-ABCD"/>
            </w:pPr>
            <w:r>
              <w:t xml:space="preserve">NA </w:t>
            </w:r>
          </w:p>
        </w:tc>
      </w:tr>
      <w:tr w:rsidR="00F00BFD" w:rsidRPr="00791A33" w14:paraId="0EF09AE8" w14:textId="77777777" w:rsidTr="00F00BFD">
        <w:trPr>
          <w:cantSplit/>
        </w:trPr>
        <w:tc>
          <w:tcPr>
            <w:tcW w:w="851" w:type="dxa"/>
          </w:tcPr>
          <w:p w14:paraId="33F57A8D" w14:textId="77777777" w:rsidR="00F00BFD" w:rsidRPr="008E6214" w:rsidRDefault="00F00BFD" w:rsidP="00F00BFD">
            <w:pPr>
              <w:pStyle w:val="Tabletextnoindent"/>
              <w:numPr>
                <w:ilvl w:val="0"/>
                <w:numId w:val="0"/>
              </w:numPr>
            </w:pPr>
            <w:r w:rsidRPr="00C45BD7">
              <w:t>ES3.110</w:t>
            </w:r>
          </w:p>
        </w:tc>
        <w:tc>
          <w:tcPr>
            <w:tcW w:w="3750" w:type="dxa"/>
          </w:tcPr>
          <w:p w14:paraId="6B6B4797" w14:textId="77777777" w:rsidR="00F00BFD" w:rsidRDefault="00F00BFD" w:rsidP="00F00BFD">
            <w:pPr>
              <w:pStyle w:val="ES-table"/>
            </w:pPr>
            <w:r w:rsidRPr="0023743E">
              <w:t xml:space="preserve">In critically ill </w:t>
            </w:r>
            <w:r>
              <w:t>neonatal and paediatric</w:t>
            </w:r>
            <w:r w:rsidRPr="0023743E">
              <w:t xml:space="preserve"> patients, the effect of </w:t>
            </w:r>
            <w:r>
              <w:t>a c</w:t>
            </w:r>
            <w:r w:rsidRPr="0023743E">
              <w:t xml:space="preserve">ombination of FFP, cryoprecipitate, platelet transfusion or fibrinogen concentrate </w:t>
            </w:r>
            <w:r>
              <w:t>compared with</w:t>
            </w:r>
            <w:r w:rsidRPr="0023743E">
              <w:t xml:space="preserve"> </w:t>
            </w:r>
            <w:r>
              <w:t xml:space="preserve">a </w:t>
            </w:r>
            <w:r w:rsidRPr="0023743E">
              <w:t>different combination</w:t>
            </w:r>
            <w:r>
              <w:t xml:space="preserve"> </w:t>
            </w:r>
            <w:r w:rsidRPr="00875584">
              <w:t>on</w:t>
            </w:r>
            <w:r>
              <w:t xml:space="preserve"> </w:t>
            </w:r>
            <w:r w:rsidRPr="00875584">
              <w:t>transfusion-related serious adverse events</w:t>
            </w:r>
            <w:r w:rsidRPr="0023743E">
              <w:t xml:space="preserve"> is unknown</w:t>
            </w:r>
            <w:r>
              <w:t>.</w:t>
            </w:r>
          </w:p>
        </w:tc>
        <w:tc>
          <w:tcPr>
            <w:tcW w:w="809" w:type="dxa"/>
          </w:tcPr>
          <w:p w14:paraId="0DA659EE" w14:textId="77777777" w:rsidR="00F00BFD" w:rsidRPr="00791A33" w:rsidRDefault="00F00BFD" w:rsidP="00F00BFD">
            <w:pPr>
              <w:pStyle w:val="T-ABCD"/>
            </w:pPr>
            <w:r>
              <w:t>NA</w:t>
            </w:r>
          </w:p>
        </w:tc>
        <w:tc>
          <w:tcPr>
            <w:tcW w:w="809" w:type="dxa"/>
          </w:tcPr>
          <w:p w14:paraId="41D4AC7E" w14:textId="77777777" w:rsidR="00F00BFD" w:rsidRPr="00791A33" w:rsidRDefault="00F00BFD" w:rsidP="00F00BFD">
            <w:pPr>
              <w:pStyle w:val="T-ABCD"/>
            </w:pPr>
            <w:r>
              <w:t>NA</w:t>
            </w:r>
          </w:p>
        </w:tc>
        <w:tc>
          <w:tcPr>
            <w:tcW w:w="809" w:type="dxa"/>
          </w:tcPr>
          <w:p w14:paraId="16EA3DFC" w14:textId="77777777" w:rsidR="00F00BFD" w:rsidRPr="00791A33" w:rsidRDefault="00F00BFD" w:rsidP="00F00BFD">
            <w:pPr>
              <w:pStyle w:val="T-ABCD"/>
            </w:pPr>
            <w:r>
              <w:t>NA</w:t>
            </w:r>
          </w:p>
        </w:tc>
        <w:tc>
          <w:tcPr>
            <w:tcW w:w="809" w:type="dxa"/>
          </w:tcPr>
          <w:p w14:paraId="3358A8B7" w14:textId="77777777" w:rsidR="00F00BFD" w:rsidRPr="00791A33" w:rsidRDefault="00F00BFD" w:rsidP="00F00BFD">
            <w:pPr>
              <w:pStyle w:val="T-ABCD"/>
            </w:pPr>
            <w:r>
              <w:t>NA</w:t>
            </w:r>
          </w:p>
        </w:tc>
        <w:tc>
          <w:tcPr>
            <w:tcW w:w="810" w:type="dxa"/>
          </w:tcPr>
          <w:p w14:paraId="6B4D48D9" w14:textId="77777777" w:rsidR="00F00BFD" w:rsidRPr="00791A33" w:rsidRDefault="00F00BFD" w:rsidP="00F00BFD">
            <w:pPr>
              <w:pStyle w:val="T-ABCD"/>
            </w:pPr>
            <w:r>
              <w:t xml:space="preserve">NA </w:t>
            </w:r>
          </w:p>
        </w:tc>
      </w:tr>
      <w:tr w:rsidR="00F00BFD" w:rsidRPr="00791A33" w14:paraId="263A7D3D" w14:textId="77777777" w:rsidTr="00F00BFD">
        <w:trPr>
          <w:cantSplit/>
        </w:trPr>
        <w:tc>
          <w:tcPr>
            <w:tcW w:w="851" w:type="dxa"/>
          </w:tcPr>
          <w:p w14:paraId="3F736350" w14:textId="77777777" w:rsidR="00F00BFD" w:rsidRPr="008E6214" w:rsidRDefault="00F00BFD" w:rsidP="00F00BFD">
            <w:pPr>
              <w:pStyle w:val="Tabletextnoindent"/>
              <w:numPr>
                <w:ilvl w:val="0"/>
                <w:numId w:val="0"/>
              </w:numPr>
            </w:pPr>
            <w:r w:rsidRPr="00C45BD7">
              <w:t>ES3.111</w:t>
            </w:r>
          </w:p>
        </w:tc>
        <w:tc>
          <w:tcPr>
            <w:tcW w:w="3750" w:type="dxa"/>
          </w:tcPr>
          <w:p w14:paraId="48B5D445" w14:textId="77777777" w:rsidR="00F00BFD" w:rsidRDefault="00F00BFD" w:rsidP="00F00BFD">
            <w:pPr>
              <w:pStyle w:val="ES-table"/>
            </w:pPr>
            <w:r w:rsidRPr="0023743E">
              <w:t xml:space="preserve">In critically ill </w:t>
            </w:r>
            <w:r>
              <w:t>neonatal and paediatric</w:t>
            </w:r>
            <w:r w:rsidRPr="0023743E">
              <w:t xml:space="preserve"> patients, the effect of </w:t>
            </w:r>
            <w:r>
              <w:t>a c</w:t>
            </w:r>
            <w:r w:rsidRPr="0023743E">
              <w:t xml:space="preserve">ombination of FFP, cryoprecipitate, platelet transfusion or fibrinogen concentrate </w:t>
            </w:r>
            <w:r>
              <w:t>compared with</w:t>
            </w:r>
            <w:r w:rsidRPr="0023743E">
              <w:t xml:space="preserve"> </w:t>
            </w:r>
            <w:r>
              <w:t xml:space="preserve">a </w:t>
            </w:r>
            <w:r w:rsidRPr="0023743E">
              <w:t xml:space="preserve">different </w:t>
            </w:r>
            <w:r w:rsidRPr="003279BA">
              <w:t>combination</w:t>
            </w:r>
            <w:r>
              <w:t xml:space="preserve"> </w:t>
            </w:r>
            <w:r w:rsidRPr="0023743E">
              <w:t xml:space="preserve">on </w:t>
            </w:r>
            <w:r w:rsidRPr="00875584">
              <w:t xml:space="preserve">transfusion volume or incidence </w:t>
            </w:r>
            <w:r w:rsidRPr="0023743E">
              <w:t>is unknown</w:t>
            </w:r>
            <w:r>
              <w:t>.</w:t>
            </w:r>
          </w:p>
        </w:tc>
        <w:tc>
          <w:tcPr>
            <w:tcW w:w="809" w:type="dxa"/>
          </w:tcPr>
          <w:p w14:paraId="029D3D9A" w14:textId="77777777" w:rsidR="00F00BFD" w:rsidRPr="00791A33" w:rsidRDefault="00F00BFD" w:rsidP="00F00BFD">
            <w:pPr>
              <w:pStyle w:val="T-ABCD"/>
            </w:pPr>
            <w:r>
              <w:t>NA</w:t>
            </w:r>
          </w:p>
        </w:tc>
        <w:tc>
          <w:tcPr>
            <w:tcW w:w="809" w:type="dxa"/>
          </w:tcPr>
          <w:p w14:paraId="6550EAF3" w14:textId="77777777" w:rsidR="00F00BFD" w:rsidRPr="00791A33" w:rsidRDefault="00F00BFD" w:rsidP="00F00BFD">
            <w:pPr>
              <w:pStyle w:val="T-ABCD"/>
            </w:pPr>
            <w:r>
              <w:t>NA</w:t>
            </w:r>
          </w:p>
        </w:tc>
        <w:tc>
          <w:tcPr>
            <w:tcW w:w="809" w:type="dxa"/>
          </w:tcPr>
          <w:p w14:paraId="6C525A59" w14:textId="77777777" w:rsidR="00F00BFD" w:rsidRPr="00791A33" w:rsidRDefault="00F00BFD" w:rsidP="00F00BFD">
            <w:pPr>
              <w:pStyle w:val="T-ABCD"/>
            </w:pPr>
            <w:r>
              <w:t>NA</w:t>
            </w:r>
          </w:p>
        </w:tc>
        <w:tc>
          <w:tcPr>
            <w:tcW w:w="809" w:type="dxa"/>
          </w:tcPr>
          <w:p w14:paraId="2E60F2A8" w14:textId="77777777" w:rsidR="00F00BFD" w:rsidRPr="00791A33" w:rsidRDefault="00F00BFD" w:rsidP="00F00BFD">
            <w:pPr>
              <w:pStyle w:val="T-ABCD"/>
            </w:pPr>
            <w:r>
              <w:t>NA</w:t>
            </w:r>
          </w:p>
        </w:tc>
        <w:tc>
          <w:tcPr>
            <w:tcW w:w="810" w:type="dxa"/>
          </w:tcPr>
          <w:p w14:paraId="5849E747" w14:textId="77777777" w:rsidR="00F00BFD" w:rsidRPr="00791A33" w:rsidRDefault="00F00BFD" w:rsidP="00F00BFD">
            <w:pPr>
              <w:pStyle w:val="T-ABCD"/>
            </w:pPr>
            <w:r>
              <w:t xml:space="preserve">NA </w:t>
            </w:r>
          </w:p>
        </w:tc>
      </w:tr>
      <w:tr w:rsidR="00F00BFD" w14:paraId="178FFE87" w14:textId="77777777" w:rsidTr="00F00BFD">
        <w:trPr>
          <w:cantSplit/>
        </w:trPr>
        <w:tc>
          <w:tcPr>
            <w:tcW w:w="8647" w:type="dxa"/>
            <w:gridSpan w:val="7"/>
          </w:tcPr>
          <w:p w14:paraId="2CE35CF6" w14:textId="0A6CA2CE" w:rsidR="00F00BFD" w:rsidRDefault="00F00BFD" w:rsidP="00F00BFD">
            <w:pPr>
              <w:pStyle w:val="ES-notes"/>
            </w:pPr>
            <w:r>
              <w:t>ES, evidence statement; FFP, fresh frozen plasma</w:t>
            </w:r>
            <w:r w:rsidR="004828DA">
              <w:t xml:space="preserve"> </w:t>
            </w:r>
          </w:p>
          <w:p w14:paraId="29720E01" w14:textId="77777777" w:rsidR="00F00BFD" w:rsidRDefault="00F00BFD" w:rsidP="00F00BFD">
            <w:pPr>
              <w:pStyle w:val="ES-notes"/>
            </w:pPr>
            <w:r w:rsidRPr="0004495C">
              <w:sym w:font="Symbol" w:char="F0D6"/>
            </w:r>
            <w:r w:rsidRPr="0004495C">
              <w:sym w:font="Symbol" w:char="F0D6"/>
            </w:r>
            <w:r w:rsidRPr="0004495C">
              <w:sym w:font="Symbol" w:char="F0D6"/>
            </w:r>
            <w:r>
              <w:t xml:space="preserve">=A; </w:t>
            </w:r>
            <w:r w:rsidRPr="0004495C">
              <w:sym w:font="Symbol" w:char="F0D6"/>
            </w:r>
            <w:r w:rsidRPr="0004495C">
              <w:sym w:font="Symbol" w:char="F0D6"/>
            </w:r>
            <w:r>
              <w:t xml:space="preserve">=B; </w:t>
            </w:r>
            <w:r w:rsidRPr="0004495C">
              <w:sym w:font="Symbol" w:char="F0D6"/>
            </w:r>
            <w:r>
              <w:t>=C; X=D; NA, not applicable</w:t>
            </w:r>
          </w:p>
        </w:tc>
      </w:tr>
    </w:tbl>
    <w:p w14:paraId="0A24436F" w14:textId="77777777" w:rsidR="00F00BFD" w:rsidRDefault="00F00BFD" w:rsidP="00F00BFD"/>
    <w:tbl>
      <w:tblPr>
        <w:tblW w:w="8677"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17"/>
        <w:gridCol w:w="7560"/>
      </w:tblGrid>
      <w:tr w:rsidR="00F00BFD" w:rsidRPr="00F921CD" w14:paraId="07FF4A8C" w14:textId="77777777" w:rsidTr="00467EEA">
        <w:tc>
          <w:tcPr>
            <w:tcW w:w="8677" w:type="dxa"/>
            <w:gridSpan w:val="2"/>
            <w:tcBorders>
              <w:top w:val="single" w:sz="4" w:space="0" w:color="000000"/>
              <w:left w:val="single" w:sz="4" w:space="0" w:color="000000"/>
              <w:bottom w:val="single" w:sz="4" w:space="0" w:color="000000"/>
              <w:right w:val="single" w:sz="4" w:space="0" w:color="000000"/>
            </w:tcBorders>
            <w:shd w:val="clear" w:color="auto" w:fill="ABE9FF"/>
          </w:tcPr>
          <w:p w14:paraId="2C3BAA41" w14:textId="0E9D8C77" w:rsidR="00F00BFD" w:rsidRPr="00576BA0" w:rsidRDefault="00F00BFD" w:rsidP="005E38DA">
            <w:pPr>
              <w:pStyle w:val="PP-heading"/>
              <w:rPr>
                <w:lang w:val="en-AU"/>
              </w:rPr>
            </w:pPr>
            <w:r w:rsidRPr="00F921CD">
              <w:t xml:space="preserve">Practice point – </w:t>
            </w:r>
            <w:r w:rsidR="00576BA0">
              <w:rPr>
                <w:lang w:val="en-AU"/>
              </w:rPr>
              <w:t>critically ill (combination therapy)</w:t>
            </w:r>
          </w:p>
        </w:tc>
      </w:tr>
      <w:tr w:rsidR="00F00BFD" w:rsidRPr="00F921CD" w14:paraId="16564285" w14:textId="77777777" w:rsidTr="00576BA0">
        <w:tc>
          <w:tcPr>
            <w:tcW w:w="1117" w:type="dxa"/>
            <w:tcBorders>
              <w:right w:val="single" w:sz="4" w:space="0" w:color="auto"/>
            </w:tcBorders>
            <w:shd w:val="clear" w:color="auto" w:fill="auto"/>
          </w:tcPr>
          <w:p w14:paraId="67DB828C" w14:textId="77777777" w:rsidR="00F00BFD" w:rsidRPr="00F921CD" w:rsidRDefault="00F00BFD" w:rsidP="00576BA0">
            <w:pPr>
              <w:pStyle w:val="PP"/>
            </w:pPr>
            <w:r w:rsidRPr="00F921CD">
              <w:t>PP</w:t>
            </w:r>
            <w:r>
              <w:t>28</w:t>
            </w:r>
          </w:p>
        </w:tc>
        <w:tc>
          <w:tcPr>
            <w:tcW w:w="7560" w:type="dxa"/>
            <w:tcBorders>
              <w:left w:val="single" w:sz="4" w:space="0" w:color="auto"/>
            </w:tcBorders>
            <w:shd w:val="clear" w:color="auto" w:fill="auto"/>
          </w:tcPr>
          <w:p w14:paraId="6B2C1CB5" w14:textId="77777777" w:rsidR="00F00BFD" w:rsidRPr="00F921CD" w:rsidRDefault="00F00BFD" w:rsidP="00576BA0">
            <w:pPr>
              <w:pStyle w:val="PP"/>
            </w:pPr>
            <w:r w:rsidRPr="00F921CD">
              <w:t>In neonatal and paediatric patients, the decision to transfuse cryoprecipitate, FFP, fibrinogen concentrate and platelets should take into account the potential risks and benefits. The decision should be based not only on laboratory investigations but also on assessment of the patient’s clinical condition. Factors that may influence the decision include active bleeding, medications affecting platelet function and coagulation status, and congenital and acquired bleeding disorders.</w:t>
            </w:r>
          </w:p>
        </w:tc>
      </w:tr>
      <w:tr w:rsidR="00F00BFD" w:rsidRPr="00F921CD" w14:paraId="43CFD2E2" w14:textId="77777777" w:rsidTr="00576BA0">
        <w:trPr>
          <w:trHeight w:val="397"/>
        </w:trPr>
        <w:tc>
          <w:tcPr>
            <w:tcW w:w="8677" w:type="dxa"/>
            <w:gridSpan w:val="2"/>
            <w:shd w:val="clear" w:color="auto" w:fill="auto"/>
          </w:tcPr>
          <w:p w14:paraId="0642980D" w14:textId="77777777" w:rsidR="00F00BFD" w:rsidRPr="00F921CD" w:rsidRDefault="00F00BFD" w:rsidP="00576BA0">
            <w:pPr>
              <w:pStyle w:val="PP-note"/>
            </w:pPr>
            <w:r w:rsidRPr="00F921CD">
              <w:t>FFP, fresh frozen plasma; PP, practice point</w:t>
            </w:r>
          </w:p>
        </w:tc>
      </w:tr>
    </w:tbl>
    <w:p w14:paraId="211DA5EB" w14:textId="77777777" w:rsidR="00C115C0" w:rsidRDefault="00C115C0" w:rsidP="00C115C0"/>
    <w:p w14:paraId="469A346D" w14:textId="77777777" w:rsidR="00F00BFD" w:rsidRDefault="00F00BFD" w:rsidP="00F00BFD">
      <w:pPr>
        <w:pStyle w:val="Heading4"/>
        <w:ind w:left="0" w:firstLine="720"/>
      </w:pPr>
      <w:r>
        <w:t>Summary of evidence</w:t>
      </w:r>
    </w:p>
    <w:p w14:paraId="3C64003B" w14:textId="77777777" w:rsidR="00576BA0" w:rsidRDefault="00576BA0" w:rsidP="00576BA0">
      <w:pPr>
        <w:rPr>
          <w:lang w:val="en-GB" w:eastAsia="en-GB"/>
        </w:rPr>
      </w:pPr>
      <w:bookmarkStart w:id="157" w:name="OLE_LINK13"/>
      <w:bookmarkStart w:id="158" w:name="OLE_LINK14"/>
      <w:r>
        <w:rPr>
          <w:lang w:val="en-GB" w:eastAsia="en-GB"/>
        </w:rPr>
        <w:t xml:space="preserve">This review identified no eligible studies for this population. </w:t>
      </w:r>
    </w:p>
    <w:bookmarkEnd w:id="157"/>
    <w:bookmarkEnd w:id="158"/>
    <w:p w14:paraId="1152A75A" w14:textId="77777777" w:rsidR="00F00BFD" w:rsidRDefault="00F00BFD" w:rsidP="00F00BFD">
      <w:pPr>
        <w:pStyle w:val="Heading5"/>
      </w:pPr>
      <w:r>
        <w:t>Mortality</w:t>
      </w:r>
    </w:p>
    <w:p w14:paraId="2AEAD3E8" w14:textId="16664C48" w:rsidR="00F00BFD" w:rsidRPr="0065649E" w:rsidRDefault="00576BA0" w:rsidP="00576BA0">
      <w:pPr>
        <w:rPr>
          <w:lang w:val="en-GB" w:eastAsia="en-GB"/>
        </w:rPr>
      </w:pPr>
      <w:r>
        <w:rPr>
          <w:lang w:val="en-GB" w:eastAsia="en-GB"/>
        </w:rPr>
        <w:t xml:space="preserve">No evidence was identified related to mortality. </w:t>
      </w:r>
    </w:p>
    <w:p w14:paraId="0DD02534" w14:textId="408F232D" w:rsidR="00F00BFD" w:rsidRDefault="00F00BFD" w:rsidP="00F00BFD">
      <w:pPr>
        <w:pStyle w:val="Heading5"/>
      </w:pPr>
      <w:r>
        <w:t xml:space="preserve">Bleeding </w:t>
      </w:r>
      <w:r w:rsidR="00576BA0">
        <w:t>events</w:t>
      </w:r>
    </w:p>
    <w:p w14:paraId="052FFF08" w14:textId="7826620A" w:rsidR="00F00BFD" w:rsidRPr="0065649E" w:rsidRDefault="00576BA0" w:rsidP="00576BA0">
      <w:pPr>
        <w:rPr>
          <w:lang w:val="en-GB" w:eastAsia="en-GB"/>
        </w:rPr>
      </w:pPr>
      <w:r>
        <w:rPr>
          <w:lang w:val="en-GB" w:eastAsia="en-GB"/>
        </w:rPr>
        <w:t xml:space="preserve">No evidence was identified related to bleeding events. </w:t>
      </w:r>
    </w:p>
    <w:p w14:paraId="1D577FCB" w14:textId="4C9FFB55" w:rsidR="00F00BFD" w:rsidRDefault="00C25FBF" w:rsidP="00F00BFD">
      <w:pPr>
        <w:pStyle w:val="Heading5"/>
      </w:pPr>
      <w:r>
        <w:t>Transfusion</w:t>
      </w:r>
      <w:r>
        <w:rPr>
          <w:lang w:val="en-AU"/>
        </w:rPr>
        <w:t>-</w:t>
      </w:r>
      <w:r w:rsidR="00F00BFD">
        <w:t>related serious adverse events</w:t>
      </w:r>
    </w:p>
    <w:p w14:paraId="40CE56D4" w14:textId="5F94086B" w:rsidR="00F00BFD" w:rsidRPr="0065649E" w:rsidRDefault="00FA6791" w:rsidP="00576BA0">
      <w:pPr>
        <w:rPr>
          <w:lang w:val="en-GB" w:eastAsia="en-GB"/>
        </w:rPr>
      </w:pPr>
      <w:r>
        <w:rPr>
          <w:lang w:val="en-GB" w:eastAsia="en-GB"/>
        </w:rPr>
        <w:t>No studies reported</w:t>
      </w:r>
      <w:r w:rsidR="008F7398">
        <w:rPr>
          <w:lang w:val="en-GB" w:eastAsia="en-GB"/>
        </w:rPr>
        <w:t xml:space="preserve"> transfusion-related serious adverse events</w:t>
      </w:r>
      <w:r w:rsidR="00576BA0">
        <w:rPr>
          <w:lang w:val="en-GB" w:eastAsia="en-GB"/>
        </w:rPr>
        <w:t xml:space="preserve">. </w:t>
      </w:r>
    </w:p>
    <w:p w14:paraId="46E5D2D0" w14:textId="77777777" w:rsidR="00F00BFD" w:rsidRDefault="00F00BFD" w:rsidP="00F00BFD">
      <w:pPr>
        <w:pStyle w:val="Heading5"/>
      </w:pPr>
      <w:r>
        <w:t>Transfusion volume or incidence</w:t>
      </w:r>
    </w:p>
    <w:p w14:paraId="09E6367A" w14:textId="0ED27192" w:rsidR="00F00BFD" w:rsidRDefault="00FA6791" w:rsidP="00576BA0">
      <w:pPr>
        <w:rPr>
          <w:lang w:val="en-GB" w:eastAsia="en-GB"/>
        </w:rPr>
      </w:pPr>
      <w:r>
        <w:rPr>
          <w:lang w:val="en-GB" w:eastAsia="en-GB"/>
        </w:rPr>
        <w:t>No studies reported</w:t>
      </w:r>
      <w:r w:rsidR="008F7398">
        <w:rPr>
          <w:lang w:val="en-GB" w:eastAsia="en-GB"/>
        </w:rPr>
        <w:t xml:space="preserve"> transfusion volume or incidence.</w:t>
      </w:r>
      <w:r w:rsidR="00576BA0">
        <w:rPr>
          <w:lang w:val="en-GB" w:eastAsia="en-GB"/>
        </w:rPr>
        <w:t xml:space="preserve"> </w:t>
      </w:r>
    </w:p>
    <w:p w14:paraId="5FC4A8C8" w14:textId="03BA7A87" w:rsidR="00F00BFD" w:rsidRPr="00576BA0" w:rsidRDefault="00576BA0" w:rsidP="00F96C85">
      <w:pPr>
        <w:pStyle w:val="BoxHeading"/>
      </w:pPr>
      <w:r w:rsidRPr="009C32A7">
        <w:t>Clinical commentary</w:t>
      </w:r>
      <w:r>
        <w:t xml:space="preserve"> </w:t>
      </w:r>
      <w:r w:rsidR="00406BA1">
        <w:t>– combination therapy in critically</w:t>
      </w:r>
      <w:r w:rsidR="00406BA1" w:rsidRPr="00406BA1">
        <w:t xml:space="preserve"> </w:t>
      </w:r>
      <w:r w:rsidR="00406BA1">
        <w:t>ill neonatal and paediatric patients</w:t>
      </w:r>
    </w:p>
    <w:p w14:paraId="478FC192" w14:textId="7EDACC55" w:rsidR="00F00BFD" w:rsidRDefault="00F00BFD" w:rsidP="00F96C85">
      <w:pPr>
        <w:pStyle w:val="BoxText"/>
      </w:pPr>
      <w:r>
        <w:t xml:space="preserve">Combined use of cryoprecipitate, platelets and FFP may be appropriate in settings where there is active bleeding and evidence of coagulopathy and thrombocytopaenia (or platelet dysfunction). Use should be guided by clinical assessment in association with </w:t>
      </w:r>
      <w:r w:rsidR="00093A02">
        <w:rPr>
          <w:lang w:val="en-AU"/>
        </w:rPr>
        <w:t xml:space="preserve">viscoelastometric </w:t>
      </w:r>
      <w:r>
        <w:t>POC testing or laboratory results (or both).</w:t>
      </w:r>
      <w:r w:rsidR="00A625ED">
        <w:t xml:space="preserve"> </w:t>
      </w:r>
    </w:p>
    <w:p w14:paraId="1448B4EC" w14:textId="6867D1DB" w:rsidR="009860F2" w:rsidRPr="009860F2" w:rsidRDefault="001C033E" w:rsidP="009860F2">
      <w:pPr>
        <w:pStyle w:val="Heading2"/>
      </w:pPr>
      <w:bookmarkStart w:id="159" w:name="_Toc427851354"/>
      <w:bookmarkEnd w:id="137"/>
      <w:r>
        <w:t>3.</w:t>
      </w:r>
      <w:r w:rsidR="00C879F6">
        <w:t>5</w:t>
      </w:r>
      <w:r w:rsidR="00C879F6">
        <w:tab/>
      </w:r>
      <w:r w:rsidR="00E64DE6">
        <w:t>Use of blood conservation strategies</w:t>
      </w:r>
      <w:bookmarkEnd w:id="159"/>
    </w:p>
    <w:p w14:paraId="44517E94" w14:textId="77777777" w:rsidR="006A6E85" w:rsidRDefault="003643AD" w:rsidP="001C033E">
      <w:pPr>
        <w:pStyle w:val="BoxHeading"/>
      </w:pPr>
      <w:r>
        <w:t xml:space="preserve">Question </w:t>
      </w:r>
      <w:r w:rsidR="00061A3E">
        <w:t>4</w:t>
      </w:r>
      <w:r>
        <w:t xml:space="preserve"> </w:t>
      </w:r>
      <w:r w:rsidR="00EE6F9A">
        <w:t>(Interventional</w:t>
      </w:r>
      <w:r>
        <w:t>)</w:t>
      </w:r>
    </w:p>
    <w:p w14:paraId="0571BA21" w14:textId="77777777" w:rsidR="0079028D" w:rsidRDefault="0079028D" w:rsidP="0079028D">
      <w:pPr>
        <w:pStyle w:val="BoxText"/>
        <w:rPr>
          <w:rFonts w:eastAsia="Calibri"/>
        </w:rPr>
      </w:pPr>
      <w:r w:rsidRPr="00E62B86">
        <w:t>In neonates/paediatric patients</w:t>
      </w:r>
      <w:r>
        <w:t>, what is the effect of strategies that minimise blood loss and/or reduce the need for RBC transfusion</w:t>
      </w:r>
      <w:r>
        <w:rPr>
          <w:rFonts w:eastAsia="Calibri"/>
        </w:rPr>
        <w:t>?</w:t>
      </w:r>
    </w:p>
    <w:p w14:paraId="76FE269A" w14:textId="77777777" w:rsidR="0079028D" w:rsidRPr="0079028D" w:rsidRDefault="0079028D" w:rsidP="0079028D">
      <w:pPr>
        <w:pStyle w:val="BoxNotes"/>
        <w:rPr>
          <w:rFonts w:eastAsia="Calibri"/>
          <w:lang w:val="en-AU"/>
        </w:rPr>
      </w:pPr>
      <w:r>
        <w:rPr>
          <w:rFonts w:eastAsia="Calibri"/>
          <w:lang w:val="en-AU"/>
        </w:rPr>
        <w:t>RBC, red blood cell</w:t>
      </w:r>
    </w:p>
    <w:p w14:paraId="394614FD" w14:textId="3BB8C0C8" w:rsidR="00175B8E" w:rsidRDefault="00175B8E" w:rsidP="00175B8E">
      <w:pPr>
        <w:rPr>
          <w:lang w:val="en-GB" w:eastAsia="en-GB"/>
        </w:rPr>
      </w:pPr>
      <w:bookmarkStart w:id="160" w:name="_Toc372020856"/>
      <w:bookmarkStart w:id="161" w:name="_Ref395781670"/>
      <w:bookmarkStart w:id="162" w:name="_Ref395781675"/>
      <w:bookmarkStart w:id="163" w:name="_Toc395872110"/>
      <w:bookmarkStart w:id="164" w:name="_Toc265585334"/>
      <w:bookmarkStart w:id="165" w:name="_Toc282672318"/>
      <w:r>
        <w:rPr>
          <w:lang w:val="en-GB" w:eastAsia="en-GB"/>
        </w:rPr>
        <w:t xml:space="preserve">Neonatal and paediatric patients have smaller absolute blood volumes and red cell mass than older patients. Therefore, depletion of </w:t>
      </w:r>
      <w:r w:rsidR="00BB78D3">
        <w:rPr>
          <w:lang w:val="en-GB" w:eastAsia="en-GB"/>
        </w:rPr>
        <w:t>RBCs</w:t>
      </w:r>
      <w:r>
        <w:rPr>
          <w:lang w:val="en-GB" w:eastAsia="en-GB"/>
        </w:rPr>
        <w:t xml:space="preserve"> through blood loss or haemolysis can have a proportionately greater influence on the patient’s subsequent </w:t>
      </w:r>
      <w:r w:rsidR="00A41D9F">
        <w:rPr>
          <w:lang w:val="en-GB" w:eastAsia="en-GB"/>
        </w:rPr>
        <w:t>incidence of tr</w:t>
      </w:r>
      <w:r>
        <w:rPr>
          <w:lang w:val="en-GB" w:eastAsia="en-GB"/>
        </w:rPr>
        <w:t xml:space="preserve">ansfusion. </w:t>
      </w:r>
    </w:p>
    <w:p w14:paraId="50A00773" w14:textId="0BAFCAAE" w:rsidR="00175B8E" w:rsidRPr="003B72D2" w:rsidRDefault="00175B8E" w:rsidP="00175B8E">
      <w:pPr>
        <w:rPr>
          <w:lang w:val="en-GB" w:eastAsia="en-GB"/>
        </w:rPr>
      </w:pPr>
      <w:r>
        <w:rPr>
          <w:lang w:val="en-GB" w:eastAsia="en-GB"/>
        </w:rPr>
        <w:t>Many hospitalised neonatal and paediatric patients are at risk of blood loss, which places them at risk for transfusion. Three</w:t>
      </w:r>
      <w:r w:rsidRPr="003B72D2">
        <w:rPr>
          <w:lang w:val="en-GB" w:eastAsia="en-GB"/>
        </w:rPr>
        <w:t xml:space="preserve"> populations were considered </w:t>
      </w:r>
      <w:r>
        <w:rPr>
          <w:lang w:val="en-GB" w:eastAsia="en-GB"/>
        </w:rPr>
        <w:t>for Question 4</w:t>
      </w:r>
      <w:r w:rsidRPr="003B72D2">
        <w:rPr>
          <w:lang w:val="en-GB" w:eastAsia="en-GB"/>
        </w:rPr>
        <w:t>: preterm</w:t>
      </w:r>
      <w:r>
        <w:rPr>
          <w:lang w:val="en-GB" w:eastAsia="en-GB"/>
        </w:rPr>
        <w:t xml:space="preserve"> and term infants needing neonatal intensive care, neonatal and</w:t>
      </w:r>
      <w:r w:rsidRPr="003B72D2">
        <w:rPr>
          <w:lang w:val="en-GB" w:eastAsia="en-GB"/>
        </w:rPr>
        <w:t xml:space="preserve"> paediatric patients </w:t>
      </w:r>
      <w:r w:rsidR="001944D9">
        <w:rPr>
          <w:lang w:val="en-GB" w:eastAsia="en-GB"/>
        </w:rPr>
        <w:t>undergoing</w:t>
      </w:r>
      <w:r w:rsidRPr="003B72D2">
        <w:rPr>
          <w:lang w:val="en-GB" w:eastAsia="en-GB"/>
        </w:rPr>
        <w:t xml:space="preserve"> surgery</w:t>
      </w:r>
      <w:r>
        <w:rPr>
          <w:lang w:val="en-GB" w:eastAsia="en-GB"/>
        </w:rPr>
        <w:t xml:space="preserve">, and </w:t>
      </w:r>
      <w:r w:rsidRPr="003B72D2">
        <w:rPr>
          <w:lang w:val="en-GB" w:eastAsia="en-GB"/>
        </w:rPr>
        <w:t>critically ill neonatal and paediatric patients.</w:t>
      </w:r>
    </w:p>
    <w:p w14:paraId="264AA2F1" w14:textId="77777777" w:rsidR="00175B8E" w:rsidRDefault="00175B8E" w:rsidP="00FF2787">
      <w:pPr>
        <w:pStyle w:val="Normalbeforebullet"/>
      </w:pPr>
      <w:r>
        <w:t xml:space="preserve">The following interventions were considered for their potential to improve outcomes and reduce transfusion requirements: </w:t>
      </w:r>
    </w:p>
    <w:p w14:paraId="1859BB10" w14:textId="37A17213" w:rsidR="00175B8E" w:rsidRDefault="00175B8E" w:rsidP="00175B8E">
      <w:pPr>
        <w:pStyle w:val="Bullet6"/>
      </w:pPr>
      <w:r>
        <w:t xml:space="preserve">two specific to neonates: </w:t>
      </w:r>
    </w:p>
    <w:p w14:paraId="456A218A" w14:textId="77777777" w:rsidR="00175B8E" w:rsidRDefault="00175B8E" w:rsidP="00175B8E">
      <w:pPr>
        <w:pStyle w:val="Dash6"/>
      </w:pPr>
      <w:r>
        <w:t>placental transfusion to increase the circulating blood volume and red cell mass</w:t>
      </w:r>
    </w:p>
    <w:p w14:paraId="139584FA" w14:textId="39C8999D" w:rsidR="00175B8E" w:rsidRDefault="00175B8E" w:rsidP="00175B8E">
      <w:pPr>
        <w:pStyle w:val="Dash6"/>
      </w:pPr>
      <w:r>
        <w:t>intravenous immunoglobulin (</w:t>
      </w:r>
      <w:r w:rsidR="00274815">
        <w:t>IVIg</w:t>
      </w:r>
      <w:r>
        <w:t>) to reduce haemolysis in infants born with neonatal alloimmune haemolysis (widely known as haemolytic disease of the fetus and newborn (HDFN)</w:t>
      </w:r>
    </w:p>
    <w:p w14:paraId="6A1B1620" w14:textId="3196E709" w:rsidR="00175B8E" w:rsidRDefault="00175B8E" w:rsidP="00175B8E">
      <w:pPr>
        <w:pStyle w:val="Bullet6"/>
      </w:pPr>
      <w:r>
        <w:t>several pertaining to all neonatal and paediatric patients undergoing surgery:</w:t>
      </w:r>
    </w:p>
    <w:p w14:paraId="2C2CC961" w14:textId="77777777" w:rsidR="00175B8E" w:rsidRDefault="00175B8E" w:rsidP="00175B8E">
      <w:pPr>
        <w:pStyle w:val="Dash6"/>
      </w:pPr>
      <w:r w:rsidRPr="003B72D2">
        <w:t>prevention of hypothermia</w:t>
      </w:r>
    </w:p>
    <w:p w14:paraId="4D365C77" w14:textId="77777777" w:rsidR="00175B8E" w:rsidRDefault="00175B8E" w:rsidP="00175B8E">
      <w:pPr>
        <w:pStyle w:val="Dash6"/>
      </w:pPr>
      <w:r w:rsidRPr="003B72D2">
        <w:t xml:space="preserve">controlled induced hypotension </w:t>
      </w:r>
      <w:r>
        <w:t>compared with</w:t>
      </w:r>
      <w:r w:rsidRPr="003B72D2">
        <w:t xml:space="preserve"> no induced hypotension</w:t>
      </w:r>
    </w:p>
    <w:p w14:paraId="39860CFC" w14:textId="593825C1" w:rsidR="00175B8E" w:rsidRDefault="00175B8E" w:rsidP="00175B8E">
      <w:pPr>
        <w:pStyle w:val="Dash6"/>
      </w:pPr>
      <w:r w:rsidRPr="003B72D2">
        <w:t>acute normovol</w:t>
      </w:r>
      <w:r w:rsidR="00C25FBF">
        <w:t>a</w:t>
      </w:r>
      <w:r w:rsidRPr="003B72D2">
        <w:t xml:space="preserve">emic haemodilution (ANH) </w:t>
      </w:r>
    </w:p>
    <w:p w14:paraId="66ACEB86" w14:textId="77777777" w:rsidR="00175B8E" w:rsidRDefault="00175B8E" w:rsidP="00175B8E">
      <w:pPr>
        <w:pStyle w:val="Dash6"/>
      </w:pPr>
      <w:r w:rsidRPr="003B72D2">
        <w:t xml:space="preserve">intraoperative cell salvage </w:t>
      </w:r>
    </w:p>
    <w:p w14:paraId="12D45491" w14:textId="77777777" w:rsidR="00175B8E" w:rsidRDefault="00175B8E" w:rsidP="00175B8E">
      <w:pPr>
        <w:pStyle w:val="Dash6"/>
      </w:pPr>
      <w:r>
        <w:t xml:space="preserve">viscoelastometric </w:t>
      </w:r>
      <w:r w:rsidRPr="003B72D2">
        <w:t>point-of-care (POC) testing</w:t>
      </w:r>
    </w:p>
    <w:p w14:paraId="76BCECD4" w14:textId="5FB9F785" w:rsidR="00175B8E" w:rsidRDefault="00175B8E" w:rsidP="00175B8E">
      <w:pPr>
        <w:pStyle w:val="Dash6"/>
      </w:pPr>
      <w:r w:rsidRPr="003B72D2">
        <w:t>antifibrinolytics</w:t>
      </w:r>
    </w:p>
    <w:p w14:paraId="48D67D06" w14:textId="158A1359" w:rsidR="00175B8E" w:rsidRDefault="00175B8E" w:rsidP="00175B8E">
      <w:pPr>
        <w:pStyle w:val="Dash6"/>
      </w:pPr>
      <w:r w:rsidRPr="003B72D2">
        <w:t xml:space="preserve">recombinant activated factor VII (rFVIIa) </w:t>
      </w:r>
      <w:r>
        <w:t>(</w:t>
      </w:r>
      <w:r w:rsidRPr="003B72D2">
        <w:t xml:space="preserve">cardiac and extracorporeal membrane oxygenation </w:t>
      </w:r>
      <w:r w:rsidR="00C25FBF">
        <w:t>[</w:t>
      </w:r>
      <w:r w:rsidRPr="003B72D2">
        <w:t>ECMO</w:t>
      </w:r>
      <w:r w:rsidR="00C25FBF">
        <w:t>]</w:t>
      </w:r>
      <w:r w:rsidR="00C25FBF" w:rsidRPr="003B72D2">
        <w:t xml:space="preserve"> </w:t>
      </w:r>
      <w:r w:rsidRPr="003B72D2">
        <w:t>patients only</w:t>
      </w:r>
      <w:r>
        <w:t>)</w:t>
      </w:r>
    </w:p>
    <w:p w14:paraId="67871A55" w14:textId="6D14ED82" w:rsidR="00175B8E" w:rsidRPr="003B72D2" w:rsidRDefault="00175B8E" w:rsidP="00175B8E">
      <w:pPr>
        <w:pStyle w:val="Dash6"/>
      </w:pPr>
      <w:r>
        <w:t>miniaturised</w:t>
      </w:r>
      <w:r w:rsidRPr="003B72D2">
        <w:t xml:space="preserve"> </w:t>
      </w:r>
      <w:r>
        <w:t>CPB</w:t>
      </w:r>
      <w:r w:rsidRPr="003B72D2">
        <w:t xml:space="preserve"> systems </w:t>
      </w:r>
      <w:r>
        <w:t>compared with</w:t>
      </w:r>
      <w:r w:rsidRPr="003B72D2">
        <w:t xml:space="preserve"> standard</w:t>
      </w:r>
      <w:r w:rsidR="004A3599">
        <w:t>-</w:t>
      </w:r>
      <w:r w:rsidRPr="003B72D2">
        <w:t>sized systems</w:t>
      </w:r>
    </w:p>
    <w:p w14:paraId="450A0FD6" w14:textId="322AAA27" w:rsidR="00175B8E" w:rsidRDefault="00175B8E" w:rsidP="00175B8E">
      <w:pPr>
        <w:pStyle w:val="Bullet6"/>
        <w:rPr>
          <w:lang w:val="en-GB" w:eastAsia="en-GB"/>
        </w:rPr>
      </w:pPr>
      <w:r>
        <w:t>two interventions f</w:t>
      </w:r>
      <w:r w:rsidRPr="003B72D2">
        <w:t>or critically ill paediatric patients were</w:t>
      </w:r>
      <w:r>
        <w:rPr>
          <w:lang w:val="en-GB" w:eastAsia="en-GB"/>
        </w:rPr>
        <w:t xml:space="preserve"> assessed:</w:t>
      </w:r>
    </w:p>
    <w:p w14:paraId="2E0E603B" w14:textId="77777777" w:rsidR="00175B8E" w:rsidRDefault="00175B8E" w:rsidP="00175B8E">
      <w:pPr>
        <w:pStyle w:val="Dash6"/>
        <w:rPr>
          <w:lang w:val="en-GB" w:eastAsia="en-GB"/>
        </w:rPr>
      </w:pPr>
      <w:r>
        <w:rPr>
          <w:lang w:val="en-GB" w:eastAsia="en-GB"/>
        </w:rPr>
        <w:t>rFVIIa compared with no rFVIIa (cardiac and ECMO patients only)</w:t>
      </w:r>
    </w:p>
    <w:p w14:paraId="788E88F4" w14:textId="4C0E3C9D" w:rsidR="00175B8E" w:rsidRDefault="00175B8E" w:rsidP="00175B8E">
      <w:pPr>
        <w:pStyle w:val="Dash12"/>
        <w:rPr>
          <w:lang w:val="en-GB" w:eastAsia="en-GB"/>
        </w:rPr>
      </w:pPr>
      <w:r>
        <w:t xml:space="preserve">viscoelastometric </w:t>
      </w:r>
      <w:r>
        <w:rPr>
          <w:lang w:val="en-GB" w:eastAsia="en-GB"/>
        </w:rPr>
        <w:t>POC testing</w:t>
      </w:r>
      <w:r w:rsidR="00C25FBF">
        <w:rPr>
          <w:lang w:val="en-GB" w:eastAsia="en-GB"/>
        </w:rPr>
        <w:t>.</w:t>
      </w:r>
    </w:p>
    <w:p w14:paraId="2FB7610C" w14:textId="29CE7117" w:rsidR="00175B8E" w:rsidRPr="00175B8E" w:rsidRDefault="00175B8E" w:rsidP="00175B8E">
      <w:r w:rsidRPr="00915681">
        <w:t>The search</w:t>
      </w:r>
      <w:r>
        <w:t xml:space="preserve"> identified no </w:t>
      </w:r>
      <w:r w:rsidRPr="00915681">
        <w:t xml:space="preserve">literature </w:t>
      </w:r>
      <w:r>
        <w:t xml:space="preserve">specifically </w:t>
      </w:r>
      <w:r w:rsidRPr="00915681">
        <w:t>pertaining to Australia’s Aboriginal and Torres Strait Islander peoples rele</w:t>
      </w:r>
      <w:r>
        <w:t>vant to this research question.</w:t>
      </w:r>
    </w:p>
    <w:p w14:paraId="53751AC7" w14:textId="608B7181" w:rsidR="00175B8E" w:rsidRPr="001D1222" w:rsidRDefault="00175B8E" w:rsidP="001D1222">
      <w:pPr>
        <w:pStyle w:val="Heading3"/>
        <w:ind w:left="0" w:firstLine="0"/>
        <w:rPr>
          <w:lang w:val="en-AU" w:eastAsia="en-GB"/>
        </w:rPr>
      </w:pPr>
      <w:bookmarkStart w:id="166" w:name="_Toc427851355"/>
      <w:bookmarkEnd w:id="160"/>
      <w:bookmarkEnd w:id="161"/>
      <w:bookmarkEnd w:id="162"/>
      <w:bookmarkEnd w:id="163"/>
      <w:r>
        <w:rPr>
          <w:lang w:val="en-AU"/>
        </w:rPr>
        <w:t>3.5.1</w:t>
      </w:r>
      <w:r>
        <w:rPr>
          <w:lang w:val="en-AU"/>
        </w:rPr>
        <w:tab/>
      </w:r>
      <w:r w:rsidR="001D1222">
        <w:t>Preterm</w:t>
      </w:r>
      <w:r>
        <w:rPr>
          <w:lang w:eastAsia="en-GB"/>
        </w:rPr>
        <w:t xml:space="preserve"> and term infants</w:t>
      </w:r>
      <w:r w:rsidR="001D1222">
        <w:rPr>
          <w:lang w:val="en-AU" w:eastAsia="en-GB"/>
        </w:rPr>
        <w:t xml:space="preserve"> – effects of placental transfusion on outcomes</w:t>
      </w:r>
      <w:bookmarkEnd w:id="166"/>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884"/>
        <w:gridCol w:w="810"/>
        <w:gridCol w:w="911"/>
        <w:gridCol w:w="793"/>
        <w:gridCol w:w="793"/>
        <w:gridCol w:w="740"/>
      </w:tblGrid>
      <w:tr w:rsidR="00175B8E" w14:paraId="5E3F6EBA"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4E912866" w14:textId="3AB22E9C" w:rsidR="00175B8E" w:rsidRDefault="00175B8E" w:rsidP="00175B8E">
            <w:pPr>
              <w:pStyle w:val="PP-heading"/>
              <w:spacing w:line="276" w:lineRule="auto"/>
              <w:rPr>
                <w:lang w:val="en-US" w:eastAsia="en-US"/>
              </w:rPr>
            </w:pPr>
            <w:r>
              <w:rPr>
                <w:lang w:val="en-US" w:eastAsia="en-US"/>
              </w:rPr>
              <w:t xml:space="preserve">Evidence statements – </w:t>
            </w:r>
            <w:r w:rsidR="005E38DA">
              <w:rPr>
                <w:lang w:val="en-US" w:eastAsia="en-US"/>
              </w:rPr>
              <w:t>preterm and term infants (</w:t>
            </w:r>
            <w:r>
              <w:rPr>
                <w:lang w:val="en-US" w:eastAsia="en-US"/>
              </w:rPr>
              <w:t>placental transfusion</w:t>
            </w:r>
            <w:r w:rsidR="005E38DA">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1C79E4F"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210FA97"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06A4E0A"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940D802"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4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7ABA0AB"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3EB1AFEA" w14:textId="77777777" w:rsidTr="00175B8E">
        <w:trPr>
          <w:cantSplit/>
        </w:trPr>
        <w:tc>
          <w:tcPr>
            <w:tcW w:w="709" w:type="dxa"/>
            <w:tcBorders>
              <w:top w:val="single" w:sz="4" w:space="0" w:color="000000"/>
              <w:left w:val="single" w:sz="4" w:space="0" w:color="000000"/>
              <w:bottom w:val="single" w:sz="4" w:space="0" w:color="000000"/>
              <w:right w:val="single" w:sz="4" w:space="0" w:color="000000"/>
            </w:tcBorders>
          </w:tcPr>
          <w:p w14:paraId="4287AEA9" w14:textId="77777777" w:rsidR="00175B8E" w:rsidRDefault="00175B8E" w:rsidP="00175B8E">
            <w:pPr>
              <w:pStyle w:val="Tabletextnoindent"/>
              <w:numPr>
                <w:ilvl w:val="0"/>
                <w:numId w:val="0"/>
              </w:numPr>
              <w:spacing w:line="276" w:lineRule="auto"/>
              <w:rPr>
                <w:lang w:val="en-US" w:eastAsia="en-US"/>
              </w:rPr>
            </w:pPr>
            <w:r w:rsidRPr="0027717F">
              <w:t>ES4.1</w:t>
            </w:r>
          </w:p>
        </w:tc>
        <w:tc>
          <w:tcPr>
            <w:tcW w:w="3884" w:type="dxa"/>
            <w:tcBorders>
              <w:top w:val="single" w:sz="4" w:space="0" w:color="000000"/>
              <w:left w:val="single" w:sz="4" w:space="0" w:color="000000"/>
              <w:bottom w:val="single" w:sz="4" w:space="0" w:color="000000"/>
              <w:right w:val="single" w:sz="4" w:space="0" w:color="000000"/>
            </w:tcBorders>
            <w:hideMark/>
          </w:tcPr>
          <w:p w14:paraId="6A44621B" w14:textId="77777777" w:rsidR="00175B8E" w:rsidRDefault="00175B8E" w:rsidP="00175B8E">
            <w:pPr>
              <w:pStyle w:val="ES-table"/>
              <w:spacing w:line="276" w:lineRule="auto"/>
              <w:rPr>
                <w:rFonts w:eastAsia="Arial Unicode MS" w:cs="Arial"/>
                <w:color w:val="auto"/>
                <w:lang w:val="en-US" w:eastAsia="ja-JP"/>
              </w:rPr>
            </w:pPr>
            <w:r>
              <w:rPr>
                <w:lang w:val="en-US" w:eastAsia="en-US"/>
              </w:rPr>
              <w:t>In preterm infants, placental transfusion compared with no placental transfusion may reduce transfusion volume and incidence.</w:t>
            </w:r>
          </w:p>
          <w:p w14:paraId="5C74A868" w14:textId="77777777" w:rsidR="00175B8E" w:rsidRDefault="00175B8E" w:rsidP="00175B8E">
            <w:pPr>
              <w:pStyle w:val="ES-notes"/>
              <w:spacing w:line="276" w:lineRule="auto"/>
              <w:rPr>
                <w:lang w:val="en-US" w:eastAsia="en-US"/>
              </w:rPr>
            </w:pPr>
            <w:r>
              <w:rPr>
                <w:lang w:val="en-US" w:eastAsia="en-US"/>
              </w:rPr>
              <w:t>(See evidence matrix D4.A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026D8EA1" w14:textId="77777777" w:rsidR="00175B8E" w:rsidRDefault="00175B8E" w:rsidP="00175B8E">
            <w:pPr>
              <w:pStyle w:val="T-ABCD"/>
              <w:spacing w:line="276" w:lineRule="auto"/>
              <w:rPr>
                <w:lang w:val="en-US" w:eastAsia="en-US"/>
              </w:rPr>
            </w:pPr>
            <w:r>
              <w:rPr>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400558BB"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793" w:type="dxa"/>
            <w:tcBorders>
              <w:top w:val="single" w:sz="4" w:space="0" w:color="000000"/>
              <w:left w:val="single" w:sz="4" w:space="0" w:color="000000"/>
              <w:bottom w:val="single" w:sz="4" w:space="0" w:color="000000"/>
              <w:right w:val="single" w:sz="4" w:space="0" w:color="000000"/>
            </w:tcBorders>
            <w:hideMark/>
          </w:tcPr>
          <w:p w14:paraId="2829D827"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793" w:type="dxa"/>
            <w:tcBorders>
              <w:top w:val="single" w:sz="4" w:space="0" w:color="000000"/>
              <w:left w:val="single" w:sz="4" w:space="0" w:color="000000"/>
              <w:bottom w:val="single" w:sz="4" w:space="0" w:color="000000"/>
              <w:right w:val="single" w:sz="4" w:space="0" w:color="000000"/>
            </w:tcBorders>
            <w:hideMark/>
          </w:tcPr>
          <w:p w14:paraId="68560EF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4888AF16"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7FEBD409" w14:textId="77777777" w:rsidTr="00175B8E">
        <w:trPr>
          <w:cantSplit/>
        </w:trPr>
        <w:tc>
          <w:tcPr>
            <w:tcW w:w="709" w:type="dxa"/>
            <w:tcBorders>
              <w:top w:val="single" w:sz="4" w:space="0" w:color="000000"/>
              <w:left w:val="single" w:sz="4" w:space="0" w:color="000000"/>
              <w:bottom w:val="single" w:sz="4" w:space="0" w:color="000000"/>
              <w:right w:val="single" w:sz="4" w:space="0" w:color="000000"/>
            </w:tcBorders>
          </w:tcPr>
          <w:p w14:paraId="41B68471" w14:textId="77777777" w:rsidR="00175B8E" w:rsidRDefault="00175B8E" w:rsidP="00175B8E">
            <w:pPr>
              <w:pStyle w:val="Tabletextnoindent"/>
              <w:numPr>
                <w:ilvl w:val="0"/>
                <w:numId w:val="0"/>
              </w:numPr>
              <w:spacing w:line="276" w:lineRule="auto"/>
              <w:rPr>
                <w:lang w:val="en-US" w:eastAsia="en-US"/>
              </w:rPr>
            </w:pPr>
            <w:r w:rsidRPr="0027717F">
              <w:t>ES4.2</w:t>
            </w:r>
          </w:p>
        </w:tc>
        <w:tc>
          <w:tcPr>
            <w:tcW w:w="3884" w:type="dxa"/>
            <w:tcBorders>
              <w:top w:val="single" w:sz="4" w:space="0" w:color="000000"/>
              <w:left w:val="single" w:sz="4" w:space="0" w:color="000000"/>
              <w:bottom w:val="single" w:sz="4" w:space="0" w:color="000000"/>
              <w:right w:val="single" w:sz="4" w:space="0" w:color="000000"/>
            </w:tcBorders>
            <w:hideMark/>
          </w:tcPr>
          <w:p w14:paraId="1203B420" w14:textId="77777777" w:rsidR="00175B8E" w:rsidRDefault="00175B8E" w:rsidP="00175B8E">
            <w:pPr>
              <w:pStyle w:val="ES-table"/>
              <w:spacing w:line="276" w:lineRule="auto"/>
              <w:rPr>
                <w:rFonts w:eastAsia="Arial Unicode MS" w:cs="Arial"/>
                <w:color w:val="auto"/>
                <w:lang w:val="en-US" w:eastAsia="ja-JP"/>
              </w:rPr>
            </w:pPr>
            <w:r>
              <w:rPr>
                <w:lang w:val="en-US" w:eastAsia="en-US"/>
              </w:rPr>
              <w:t>In preterm and term infants, the effect of placental transfusion compared with no placental transfusion on mortality is uncertain.</w:t>
            </w:r>
          </w:p>
          <w:p w14:paraId="3321F7A2" w14:textId="77777777" w:rsidR="00175B8E" w:rsidRDefault="00175B8E" w:rsidP="00175B8E">
            <w:pPr>
              <w:pStyle w:val="ES-notes"/>
              <w:spacing w:line="276" w:lineRule="auto"/>
              <w:rPr>
                <w:lang w:val="en-US" w:eastAsia="en-US"/>
              </w:rPr>
            </w:pPr>
            <w:r>
              <w:rPr>
                <w:lang w:val="en-US" w:eastAsia="en-US"/>
              </w:rPr>
              <w:t>(See evidence matrix D4.B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3925CAAF" w14:textId="77777777" w:rsidR="00175B8E" w:rsidRDefault="00175B8E" w:rsidP="00175B8E">
            <w:pPr>
              <w:pStyle w:val="T-ABCD"/>
              <w:spacing w:line="276" w:lineRule="auto"/>
              <w:rPr>
                <w:lang w:val="en-US" w:eastAsia="en-US"/>
              </w:rPr>
            </w:pPr>
            <w:r>
              <w:rPr>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79DD6454" w14:textId="77777777" w:rsidR="00175B8E" w:rsidRDefault="00175B8E" w:rsidP="00175B8E">
            <w:pPr>
              <w:pStyle w:val="T-ABCD"/>
              <w:spacing w:line="276" w:lineRule="auto"/>
              <w:rPr>
                <w:lang w:val="en-US" w:eastAsia="en-US"/>
              </w:rPr>
            </w:pPr>
            <w:r>
              <w:rPr>
                <w:lang w:val="en-US" w:eastAsia="en-US"/>
              </w:rPr>
              <w:sym w:font="Symbol" w:char="F0D6"/>
            </w:r>
          </w:p>
        </w:tc>
        <w:tc>
          <w:tcPr>
            <w:tcW w:w="793" w:type="dxa"/>
            <w:tcBorders>
              <w:top w:val="single" w:sz="4" w:space="0" w:color="000000"/>
              <w:left w:val="single" w:sz="4" w:space="0" w:color="000000"/>
              <w:bottom w:val="single" w:sz="4" w:space="0" w:color="000000"/>
              <w:right w:val="single" w:sz="4" w:space="0" w:color="000000"/>
            </w:tcBorders>
            <w:hideMark/>
          </w:tcPr>
          <w:p w14:paraId="3D5ED2AB" w14:textId="77777777" w:rsidR="00175B8E" w:rsidRDefault="00175B8E" w:rsidP="00175B8E">
            <w:pPr>
              <w:pStyle w:val="T-ABCD"/>
              <w:spacing w:line="276" w:lineRule="auto"/>
              <w:rPr>
                <w:lang w:val="en-US" w:eastAsia="en-US"/>
              </w:rPr>
            </w:pPr>
            <w:r>
              <w:rPr>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79C4B02D"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09A7A82F"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1CCB6899"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1532499E" w14:textId="77777777" w:rsidR="00175B8E" w:rsidRDefault="00175B8E" w:rsidP="00175B8E">
            <w:pPr>
              <w:pStyle w:val="ES-notes"/>
              <w:spacing w:line="276" w:lineRule="auto"/>
              <w:rPr>
                <w:lang w:val="en-US" w:eastAsia="en-US"/>
              </w:rPr>
            </w:pPr>
            <w:r>
              <w:rPr>
                <w:lang w:val="en-US" w:eastAsia="en-US"/>
              </w:rPr>
              <w:t xml:space="preserve">ES, evidence statement </w:t>
            </w:r>
          </w:p>
          <w:p w14:paraId="453EFF0D"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42786503" w14:textId="77777777" w:rsidR="00175B8E" w:rsidRDefault="00175B8E" w:rsidP="00175B8E">
      <w:pPr>
        <w:pStyle w:val="BodyText"/>
      </w:pPr>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993"/>
        <w:gridCol w:w="7655"/>
      </w:tblGrid>
      <w:tr w:rsidR="00175B8E" w14:paraId="5645C68E" w14:textId="77777777" w:rsidTr="00467EEA">
        <w:trPr>
          <w:cantSplit/>
        </w:trPr>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1FC7FD1B" w14:textId="5BC830F3" w:rsidR="00175B8E" w:rsidRDefault="00175B8E" w:rsidP="00175B8E">
            <w:pPr>
              <w:pStyle w:val="PP-heading"/>
              <w:spacing w:line="276" w:lineRule="auto"/>
              <w:rPr>
                <w:lang w:val="en-US" w:eastAsia="en-US"/>
              </w:rPr>
            </w:pPr>
            <w:r>
              <w:rPr>
                <w:lang w:val="en-US" w:eastAsia="en-US"/>
              </w:rPr>
              <w:t xml:space="preserve">Practice points – </w:t>
            </w:r>
            <w:r w:rsidR="00FF7804">
              <w:t>preterm</w:t>
            </w:r>
            <w:r w:rsidR="00FF7804">
              <w:rPr>
                <w:lang w:eastAsia="en-GB"/>
              </w:rPr>
              <w:t xml:space="preserve"> and term infants</w:t>
            </w:r>
            <w:r w:rsidR="00FF7804">
              <w:rPr>
                <w:lang w:val="en-AU" w:eastAsia="en-GB"/>
              </w:rPr>
              <w:t xml:space="preserve"> (</w:t>
            </w:r>
            <w:r>
              <w:rPr>
                <w:lang w:val="en-US" w:eastAsia="en-US"/>
              </w:rPr>
              <w:t>placental transfusion</w:t>
            </w:r>
            <w:r w:rsidR="00FF7804">
              <w:rPr>
                <w:lang w:val="en-US" w:eastAsia="en-US"/>
              </w:rPr>
              <w:t>)</w:t>
            </w:r>
          </w:p>
        </w:tc>
      </w:tr>
      <w:tr w:rsidR="00175B8E" w14:paraId="459C1EF2" w14:textId="77777777" w:rsidTr="004E09B3">
        <w:trPr>
          <w:cantSplit/>
        </w:trPr>
        <w:tc>
          <w:tcPr>
            <w:tcW w:w="993" w:type="dxa"/>
            <w:tcBorders>
              <w:top w:val="single" w:sz="4" w:space="0" w:color="000000"/>
              <w:left w:val="single" w:sz="4" w:space="0" w:color="000000"/>
              <w:bottom w:val="single" w:sz="4" w:space="0" w:color="000000"/>
              <w:right w:val="single" w:sz="4" w:space="0" w:color="auto"/>
            </w:tcBorders>
            <w:hideMark/>
          </w:tcPr>
          <w:p w14:paraId="4DDF15F1" w14:textId="77777777" w:rsidR="00175B8E" w:rsidRDefault="00175B8E" w:rsidP="00765D7C">
            <w:pPr>
              <w:pStyle w:val="PP"/>
            </w:pPr>
            <w:r>
              <w:t>PP31</w:t>
            </w:r>
          </w:p>
        </w:tc>
        <w:tc>
          <w:tcPr>
            <w:tcW w:w="7655" w:type="dxa"/>
            <w:tcBorders>
              <w:top w:val="single" w:sz="4" w:space="0" w:color="000000"/>
              <w:left w:val="single" w:sz="4" w:space="0" w:color="auto"/>
              <w:bottom w:val="single" w:sz="4" w:space="0" w:color="000000"/>
              <w:right w:val="single" w:sz="4" w:space="0" w:color="000000"/>
            </w:tcBorders>
            <w:hideMark/>
          </w:tcPr>
          <w:p w14:paraId="0259AF06" w14:textId="77777777" w:rsidR="00175B8E" w:rsidRDefault="00175B8E" w:rsidP="00765D7C">
            <w:pPr>
              <w:pStyle w:val="PP"/>
            </w:pPr>
            <w:r>
              <w:t xml:space="preserve">In preterm infants, deferring cord clamping for between 30 seconds and 3 minutes may reduce transfusion volume and incidence, and incidence of IVH. However, the effect of this practice on other outcomes (death, major morbidity and neurodevelopmental outcomes) is uncertain or unknown, particularly in extremely preterm infants (e.g. &lt;28 weeks) and in those who require active resuscitation. </w:t>
            </w:r>
          </w:p>
        </w:tc>
      </w:tr>
      <w:tr w:rsidR="00175B8E" w14:paraId="754363C2" w14:textId="77777777" w:rsidTr="004E09B3">
        <w:trPr>
          <w:cantSplit/>
        </w:trPr>
        <w:tc>
          <w:tcPr>
            <w:tcW w:w="993" w:type="dxa"/>
            <w:tcBorders>
              <w:top w:val="single" w:sz="4" w:space="0" w:color="000000"/>
              <w:left w:val="single" w:sz="4" w:space="0" w:color="000000"/>
              <w:bottom w:val="single" w:sz="4" w:space="0" w:color="000000"/>
              <w:right w:val="single" w:sz="4" w:space="0" w:color="auto"/>
            </w:tcBorders>
            <w:hideMark/>
          </w:tcPr>
          <w:p w14:paraId="115BF260" w14:textId="77777777" w:rsidR="00175B8E" w:rsidRDefault="00175B8E" w:rsidP="005E38DA">
            <w:pPr>
              <w:pStyle w:val="PP"/>
              <w:keepNext/>
            </w:pPr>
            <w:r>
              <w:t>PP32</w:t>
            </w:r>
          </w:p>
        </w:tc>
        <w:tc>
          <w:tcPr>
            <w:tcW w:w="7655" w:type="dxa"/>
            <w:tcBorders>
              <w:top w:val="single" w:sz="4" w:space="0" w:color="000000"/>
              <w:left w:val="single" w:sz="4" w:space="0" w:color="auto"/>
              <w:bottom w:val="single" w:sz="4" w:space="0" w:color="000000"/>
              <w:right w:val="single" w:sz="4" w:space="0" w:color="000000"/>
            </w:tcBorders>
            <w:hideMark/>
          </w:tcPr>
          <w:p w14:paraId="0F6E09CC" w14:textId="77777777" w:rsidR="00175B8E" w:rsidRDefault="00175B8E" w:rsidP="005E38DA">
            <w:pPr>
              <w:pStyle w:val="PP"/>
              <w:keepNext/>
            </w:pPr>
            <w:r>
              <w:t>In term infants, deferring cord clamping for at least 1 minute is likely to reduce the risk of iron deficiency at 3–6 months. This intervention should be considered in infants who do not require active resuscitation, provided that access to phototherapy for jaundice is available.</w:t>
            </w:r>
            <w:r w:rsidRPr="00B82BEB">
              <w:rPr>
                <w:vertAlign w:val="superscript"/>
              </w:rPr>
              <w:t>a</w:t>
            </w:r>
          </w:p>
          <w:p w14:paraId="0B7A7E13" w14:textId="561490DC" w:rsidR="00175B8E" w:rsidRDefault="00175B8E" w:rsidP="00E62798">
            <w:pPr>
              <w:pStyle w:val="PP-note"/>
              <w:keepNext/>
              <w:rPr>
                <w:lang w:eastAsia="en-US"/>
              </w:rPr>
            </w:pPr>
            <w:r w:rsidRPr="00A52193">
              <w:rPr>
                <w:vertAlign w:val="superscript"/>
                <w:lang w:eastAsia="en-US"/>
              </w:rPr>
              <w:t>a</w:t>
            </w:r>
            <w:r>
              <w:rPr>
                <w:vertAlign w:val="superscript"/>
                <w:lang w:eastAsia="en-US"/>
              </w:rPr>
              <w:t xml:space="preserve"> </w:t>
            </w:r>
            <w:r w:rsidRPr="00A52193">
              <w:rPr>
                <w:lang w:eastAsia="en-US"/>
              </w:rPr>
              <w:t>See</w:t>
            </w:r>
            <w:r>
              <w:rPr>
                <w:lang w:eastAsia="en-US"/>
              </w:rPr>
              <w:t xml:space="preserve"> McDonald et al (2013)</w:t>
            </w:r>
            <w:hyperlink w:anchor="_ENREF_19" w:tooltip="McDonald, 2013 #732" w:history="1">
              <w:r w:rsidR="00E62798">
                <w:rPr>
                  <w:lang w:eastAsia="en-US"/>
                </w:rPr>
                <w:fldChar w:fldCharType="begin"/>
              </w:r>
              <w:r w:rsidR="00E62798">
                <w:rPr>
                  <w:lang w:eastAsia="en-US"/>
                </w:rPr>
                <w:instrText xml:space="preserve"> ADDIN EN.CITE &lt;EndNote&gt;&lt;Cite&gt;&lt;Author&gt;McDonald&lt;/Author&gt;&lt;Year&gt;2013&lt;/Year&gt;&lt;RecNum&gt;732&lt;/RecNum&gt;&lt;DisplayText&gt;&lt;style face="superscript"&gt;19&lt;/style&gt;&lt;/DisplayText&gt;&lt;record&gt;&lt;rec-number&gt;732&lt;/rec-number&gt;&lt;foreign-keys&gt;&lt;key app="EN" db-id="9edve2wadsavt5ewavaxtda4f2tavzvts9ee" timestamp="1431561770"&gt;732&lt;/key&gt;&lt;/foreign-keys&gt;&lt;ref-type name="Journal Article"&gt;17&lt;/ref-type&gt;&lt;contributors&gt;&lt;authors&gt;&lt;author&gt;McDonald, S. J.&lt;/author&gt;&lt;author&gt;Middleton, P.&lt;/author&gt;&lt;author&gt;Dowswell, T.&lt;/author&gt;&lt;author&gt;Morris, P. S.&lt;/author&gt;&lt;/authors&gt;&lt;/contributors&gt;&lt;auth-address&gt;Midwifery Professorial Unit, La Trobe University/Mercy Hospital for Women, Melbourne, Australia. s.mcdonald@latrobe.edu.au&lt;/auth-address&gt;&lt;titles&gt;&lt;title&gt;Effect of timing of umbilical cord clamping of term infants on maternal and neonatal outcomes&lt;/title&gt;&lt;secondary-title&gt;Cochrane Database Syst Rev&lt;/secondary-title&gt;&lt;/titles&gt;&lt;periodical&gt;&lt;full-title&gt;Cochrane Database Syst Rev&lt;/full-title&gt;&lt;abbr-1&gt;The Cochrane database of systematic reviews&lt;/abbr-1&gt;&lt;/periodical&gt;&lt;pages&gt;CD004074&lt;/pages&gt;&lt;volume&gt;7&lt;/volume&gt;&lt;keywords&gt;&lt;keyword&gt;Constriction&lt;/keyword&gt;&lt;keyword&gt;Female&lt;/keyword&gt;&lt;keyword&gt;Humans&lt;/keyword&gt;&lt;keyword&gt;Infant, Newborn&lt;/keyword&gt;&lt;keyword&gt;Iron/blood&lt;/keyword&gt;&lt;keyword&gt;Jaundice, Neonatal/*etiology/therapy&lt;/keyword&gt;&lt;keyword&gt;Labor Stage, Third&lt;/keyword&gt;&lt;keyword&gt;Phototherapy&lt;/keyword&gt;&lt;keyword&gt;Placental Circulation/physiology&lt;/keyword&gt;&lt;keyword&gt;Postpartum Hemorrhage/*prevention &amp;amp; control&lt;/keyword&gt;&lt;keyword&gt;Pregnancy&lt;/keyword&gt;&lt;keyword&gt;Randomized Controlled Trials as Topic&lt;/keyword&gt;&lt;keyword&gt;Time Factors&lt;/keyword&gt;&lt;keyword&gt;*Umbilical Cord&lt;/keyword&gt;&lt;/keywords&gt;&lt;dates&gt;&lt;year&gt;2013&lt;/year&gt;&lt;/dates&gt;&lt;isbn&gt;1469-493X (Electronic)&amp;#xD;1361-6137 (Linking)&lt;/isbn&gt;&lt;accession-num&gt;23843134&lt;/accession-num&gt;&lt;urls&gt;&lt;related-urls&gt;&lt;url&gt;http://www.ncbi.nlm.nih.gov/pubmed/23843134&lt;/url&gt;&lt;/related-urls&gt;&lt;/urls&gt;&lt;electronic-resource-num&gt;10.1002/14651858.CD004074.pub3&lt;/electronic-resource-num&gt;&lt;/record&gt;&lt;/Cite&gt;&lt;/EndNote&gt;</w:instrText>
              </w:r>
              <w:r w:rsidR="00E62798">
                <w:rPr>
                  <w:lang w:eastAsia="en-US"/>
                </w:rPr>
                <w:fldChar w:fldCharType="separate"/>
              </w:r>
              <w:r w:rsidR="00E62798" w:rsidRPr="00E62798">
                <w:rPr>
                  <w:noProof/>
                  <w:vertAlign w:val="superscript"/>
                  <w:lang w:eastAsia="en-US"/>
                </w:rPr>
                <w:t>19</w:t>
              </w:r>
              <w:r w:rsidR="00E62798">
                <w:rPr>
                  <w:lang w:eastAsia="en-US"/>
                </w:rPr>
                <w:fldChar w:fldCharType="end"/>
              </w:r>
            </w:hyperlink>
          </w:p>
        </w:tc>
      </w:tr>
      <w:tr w:rsidR="00175B8E" w14:paraId="66B0CED1" w14:textId="77777777" w:rsidTr="004E09B3">
        <w:trPr>
          <w:cantSplit/>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355706E8" w14:textId="77777777" w:rsidR="00175B8E" w:rsidRDefault="00175B8E" w:rsidP="00C25FBF">
            <w:pPr>
              <w:pStyle w:val="PP-note"/>
              <w:rPr>
                <w:lang w:val="en-US" w:eastAsia="en-US"/>
              </w:rPr>
            </w:pPr>
            <w:r>
              <w:rPr>
                <w:lang w:val="en-US" w:eastAsia="en-US"/>
              </w:rPr>
              <w:t>IVH, intraventricular haemorrhage; PP, practice point</w:t>
            </w:r>
          </w:p>
        </w:tc>
      </w:tr>
    </w:tbl>
    <w:p w14:paraId="27FB0E48" w14:textId="77777777" w:rsidR="00175B8E" w:rsidRPr="00A52193" w:rsidRDefault="00175B8E" w:rsidP="00175B8E">
      <w:pPr>
        <w:rPr>
          <w:lang w:val="en-GB" w:eastAsia="en-GB"/>
        </w:rPr>
      </w:pPr>
    </w:p>
    <w:p w14:paraId="655F9847" w14:textId="77777777" w:rsidR="00175B8E" w:rsidRDefault="00175B8E" w:rsidP="00FF7804">
      <w:pPr>
        <w:pStyle w:val="Heading4"/>
      </w:pPr>
      <w:r>
        <w:t>Background</w:t>
      </w:r>
    </w:p>
    <w:p w14:paraId="1F61B782" w14:textId="5DAEBBE7" w:rsidR="00175B8E" w:rsidRDefault="00175B8E" w:rsidP="00765D7C">
      <w:r w:rsidRPr="00E34D1C">
        <w:t>In newborn infants, the n</w:t>
      </w:r>
      <w:r>
        <w:t xml:space="preserve">umber of RBCs in </w:t>
      </w:r>
      <w:r w:rsidRPr="00E34D1C">
        <w:t xml:space="preserve">circulation decreases after birth. </w:t>
      </w:r>
      <w:r>
        <w:t>I</w:t>
      </w:r>
      <w:r w:rsidRPr="00E34D1C">
        <w:t xml:space="preserve">nfants born before term </w:t>
      </w:r>
      <w:r>
        <w:t xml:space="preserve">have an </w:t>
      </w:r>
      <w:r w:rsidRPr="00E34D1C">
        <w:t>exaggerated</w:t>
      </w:r>
      <w:r>
        <w:t xml:space="preserve"> decrease</w:t>
      </w:r>
      <w:r w:rsidRPr="00E34D1C">
        <w:t xml:space="preserve"> </w:t>
      </w:r>
      <w:r>
        <w:t xml:space="preserve">in Hb due to several factors, including loss of RBCs due to shortened red cell survival and </w:t>
      </w:r>
      <w:r w:rsidRPr="00E34D1C">
        <w:t xml:space="preserve">frequent withdrawal of blood, </w:t>
      </w:r>
      <w:r>
        <w:t>reduced erythropoietin response to anaemia due to immaturity and, in some cases, severity of illness</w:t>
      </w:r>
      <w:r w:rsidRPr="00E34D1C">
        <w:t>.</w:t>
      </w:r>
      <w:r>
        <w:t xml:space="preserve"> In addition, rapid growth – faster in the second and early third trimester of pregnancy than at any other time of life – contributes to anaemia of prematurity. Placental transfusion may provide the infant with additional blood volume and RBCs, and thus protect against such anaemia. The amount of blood returned to the infant depends on when the cord is clamped. There is uncertainty about whether the level at which the infant is held (above or below the mother’s abdomen) before clamping is important.</w:t>
      </w:r>
      <w:hyperlink w:anchor="_ENREF_157" w:tooltip="Vain, 2014 #1070" w:history="1">
        <w:r w:rsidR="00E62798">
          <w:fldChar w:fldCharType="begin">
            <w:fldData xml:space="preserve">PEVuZE5vdGU+PENpdGU+PEF1dGhvcj5WYWluPC9BdXRob3I+PFllYXI+MjAxNDwvWWVhcj48UmVj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</w:fldData>
          </w:fldChar>
        </w:r>
        <w:r w:rsidR="00E62798">
          <w:instrText xml:space="preserve"> ADDIN EN.CITE </w:instrText>
        </w:r>
        <w:r w:rsidR="00E62798">
          <w:fldChar w:fldCharType="begin">
            <w:fldData xml:space="preserve">PEVuZE5vdGU+PENpdGU+PEF1dGhvcj5WYWluPC9BdXRob3I+PFllYXI+MjAxNDwvWWVhcj48UmVj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157-158</w:t>
        </w:r>
        <w:r w:rsidR="00E62798">
          <w:fldChar w:fldCharType="end"/>
        </w:r>
      </w:hyperlink>
    </w:p>
    <w:p w14:paraId="02C9B64B" w14:textId="77777777" w:rsidR="00175B8E" w:rsidRDefault="00175B8E" w:rsidP="00FF7804">
      <w:pPr>
        <w:pStyle w:val="Heading4"/>
      </w:pPr>
      <w:r w:rsidRPr="007F0A9C">
        <w:t>Summary of evidence</w:t>
      </w:r>
    </w:p>
    <w:p w14:paraId="67F62CD5" w14:textId="3A7A5DCB" w:rsidR="00175B8E" w:rsidRDefault="00175B8E" w:rsidP="00765D7C">
      <w:r>
        <w:t>This review identified five relevant Level I studies of varying quality</w:t>
      </w:r>
      <w:r w:rsidR="00765D7C">
        <w:t>.</w:t>
      </w:r>
      <w:r w:rsidR="00E62798">
        <w:fldChar w:fldCharType="begin">
          <w:fldData xml:space="preserve">PEVuZE5vdGU+PENpdGU+PEF1dGhvcj5CYWNrZXM8L0F1dGhvcj48WWVhcj4yMDE0PC9ZZWFyPjxS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</w:fldData>
        </w:fldChar>
      </w:r>
      <w:r w:rsidR="00E62798">
        <w:instrText xml:space="preserve"> ADDIN EN.CITE </w:instrText>
      </w:r>
      <w:r w:rsidR="00E62798">
        <w:fldChar w:fldCharType="begin">
          <w:fldData xml:space="preserve">PEVuZE5vdGU+PENpdGU+PEF1dGhvcj5CYWNrZXM8L0F1dGhvcj48WWVhcj4yMDE0PC9ZZWFyPjxS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</w:fldData>
        </w:fldChar>
      </w:r>
      <w:r w:rsidR="00E62798">
        <w:instrText xml:space="preserve"> ADDIN EN.CITE.DATA </w:instrText>
      </w:r>
      <w:r w:rsidR="00E62798">
        <w:fldChar w:fldCharType="end"/>
      </w:r>
      <w:r w:rsidR="00E62798">
        <w:fldChar w:fldCharType="separate"/>
      </w:r>
      <w:hyperlink w:anchor="_ENREF_19" w:tooltip="McDonald, 2013 #732" w:history="1">
        <w:r w:rsidR="00E62798" w:rsidRPr="00E62798">
          <w:rPr>
            <w:noProof/>
            <w:vertAlign w:val="superscript"/>
          </w:rPr>
          <w:t>19</w:t>
        </w:r>
      </w:hyperlink>
      <w:r w:rsidR="00E62798" w:rsidRPr="00E62798">
        <w:rPr>
          <w:noProof/>
          <w:vertAlign w:val="superscript"/>
        </w:rPr>
        <w:t xml:space="preserve">; </w:t>
      </w:r>
      <w:hyperlink w:anchor="_ENREF_159" w:tooltip="Backes, 2014 #845" w:history="1">
        <w:r w:rsidR="00E62798" w:rsidRPr="00E62798">
          <w:rPr>
            <w:noProof/>
            <w:vertAlign w:val="superscript"/>
          </w:rPr>
          <w:t>159-162</w:t>
        </w:r>
      </w:hyperlink>
      <w:r w:rsidR="00E62798">
        <w:fldChar w:fldCharType="end"/>
      </w:r>
      <w:r>
        <w:t xml:space="preserve"> </w:t>
      </w:r>
      <w:r w:rsidR="00765D7C">
        <w:t>Two studies were of good quality,</w:t>
      </w:r>
      <w:r>
        <w:t xml:space="preserve"> and provided the most comprehensive evidence for preterm infants.</w:t>
      </w:r>
      <w:r w:rsidR="00E62798">
        <w:fldChar w:fldCharType="begin">
          <w:fldData xml:space="preserve">PEVuZE5vdGU+PENpdGU+PEF1dGhvcj5CYWNrZXM8L0F1dGhvcj48WWVhcj4yMDE0PC9ZZWFyPjxS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</w:fldData>
        </w:fldChar>
      </w:r>
      <w:r w:rsidR="00E62798">
        <w:instrText xml:space="preserve"> ADDIN EN.CITE </w:instrText>
      </w:r>
      <w:r w:rsidR="00E62798">
        <w:fldChar w:fldCharType="begin">
          <w:fldData xml:space="preserve">PEVuZE5vdGU+PENpdGU+PEF1dGhvcj5CYWNrZXM8L0F1dGhvcj48WWVhcj4yMDE0PC9ZZWFyPjxS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</w:fldData>
        </w:fldChar>
      </w:r>
      <w:r w:rsidR="00E62798">
        <w:instrText xml:space="preserve"> ADDIN EN.CITE.DATA </w:instrText>
      </w:r>
      <w:r w:rsidR="00E62798">
        <w:fldChar w:fldCharType="end"/>
      </w:r>
      <w:r w:rsidR="00E62798">
        <w:fldChar w:fldCharType="separate"/>
      </w:r>
      <w:hyperlink w:anchor="_ENREF_159" w:tooltip="Backes, 2014 #845" w:history="1">
        <w:r w:rsidR="00E62798" w:rsidRPr="00E62798">
          <w:rPr>
            <w:noProof/>
            <w:vertAlign w:val="superscript"/>
          </w:rPr>
          <w:t>159</w:t>
        </w:r>
      </w:hyperlink>
      <w:r w:rsidR="00E62798" w:rsidRPr="00E62798">
        <w:rPr>
          <w:noProof/>
          <w:vertAlign w:val="superscript"/>
        </w:rPr>
        <w:t xml:space="preserve">; </w:t>
      </w:r>
      <w:hyperlink w:anchor="_ENREF_162" w:tooltip="Rabe, 2012 #910" w:history="1">
        <w:r w:rsidR="00E62798" w:rsidRPr="00E62798">
          <w:rPr>
            <w:noProof/>
            <w:vertAlign w:val="superscript"/>
          </w:rPr>
          <w:t>162</w:t>
        </w:r>
      </w:hyperlink>
      <w:r w:rsidR="00E62798">
        <w:fldChar w:fldCharType="end"/>
      </w:r>
      <w:r>
        <w:t xml:space="preserve"> </w:t>
      </w:r>
      <w:r w:rsidR="00765D7C">
        <w:t>The included Level I studies assessed</w:t>
      </w:r>
      <w:r>
        <w:t xml:space="preserve"> 20 Level II studies that reported outcomes relevant to the research question. This systematic review identified two</w:t>
      </w:r>
      <w:r w:rsidRPr="00875128">
        <w:t xml:space="preserve"> additional </w:t>
      </w:r>
      <w:r w:rsidRPr="00915681">
        <w:t>Level II studies</w:t>
      </w:r>
      <w:r w:rsidR="00765D7C">
        <w:t>.</w:t>
      </w:r>
      <w:hyperlink w:anchor="_ENREF_163" w:tooltip="Alan, 2014 #841" w:history="1">
        <w:r w:rsidR="00E62798">
          <w:fldChar w:fldCharType="begin">
            <w:fldData xml:space="preserve">PEVuZE5vdGU+PENpdGU+PEF1dGhvcj5BbGFuPC9BdXRob3I+PFllYXI+MjAxNDwvWWVhcj48UmVj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</w:fldData>
          </w:fldChar>
        </w:r>
        <w:r w:rsidR="00E62798">
          <w:instrText xml:space="preserve"> ADDIN EN.CITE </w:instrText>
        </w:r>
        <w:r w:rsidR="00E62798">
          <w:fldChar w:fldCharType="begin">
            <w:fldData xml:space="preserve">PEVuZE5vdGU+PENpdGU+PEF1dGhvcj5BbGFuPC9BdXRob3I+PFllYXI+MjAxNDwvWWVhcj48UmVj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163-164</w:t>
        </w:r>
        <w:r w:rsidR="00E62798">
          <w:fldChar w:fldCharType="end"/>
        </w:r>
      </w:hyperlink>
      <w:r w:rsidRPr="00915681">
        <w:t xml:space="preserve"> </w:t>
      </w:r>
    </w:p>
    <w:p w14:paraId="6A22E52E" w14:textId="77777777" w:rsidR="00175B8E" w:rsidRDefault="00175B8E" w:rsidP="00FF7804">
      <w:pPr>
        <w:pStyle w:val="StyleHeading5Heading5nonumLeft0cmFirstline127cm"/>
      </w:pPr>
      <w:r w:rsidRPr="007F5653">
        <w:t xml:space="preserve">Transfusion </w:t>
      </w:r>
      <w:r>
        <w:t xml:space="preserve">incidence and volume </w:t>
      </w:r>
    </w:p>
    <w:p w14:paraId="5893255C" w14:textId="30F2CA79" w:rsidR="00175B8E" w:rsidRDefault="00175B8E" w:rsidP="00765D7C">
      <w:pPr>
        <w:rPr>
          <w:rFonts w:eastAsia="Arial Unicode MS"/>
          <w:lang w:val="en-GB" w:eastAsia="ja-JP"/>
        </w:rPr>
      </w:pPr>
      <w:r>
        <w:rPr>
          <w:lang w:eastAsia="en-GB"/>
        </w:rPr>
        <w:t xml:space="preserve">This review performed a </w:t>
      </w:r>
      <w:r w:rsidRPr="00BD2C24">
        <w:rPr>
          <w:rFonts w:eastAsia="Arial Unicode MS"/>
          <w:lang w:val="en-GB" w:eastAsia="ja-JP"/>
        </w:rPr>
        <w:t>meta-analysis to</w:t>
      </w:r>
      <w:r>
        <w:rPr>
          <w:rFonts w:eastAsia="Arial Unicode MS"/>
          <w:lang w:val="en-GB" w:eastAsia="ja-JP"/>
        </w:rPr>
        <w:t xml:space="preserve"> evaluate</w:t>
      </w:r>
      <w:r w:rsidRPr="00BD2C24">
        <w:rPr>
          <w:rFonts w:eastAsia="Arial Unicode MS"/>
          <w:lang w:val="en-GB" w:eastAsia="ja-JP"/>
        </w:rPr>
        <w:t xml:space="preserve"> </w:t>
      </w:r>
      <w:r>
        <w:rPr>
          <w:rFonts w:eastAsia="Arial Unicode MS"/>
          <w:lang w:val="en-GB" w:eastAsia="ja-JP"/>
        </w:rPr>
        <w:t xml:space="preserve">all studies (including the two additional RCTs identified). </w:t>
      </w:r>
      <w:r w:rsidRPr="007F0348">
        <w:rPr>
          <w:rFonts w:eastAsia="Arial Unicode MS"/>
          <w:lang w:val="en-GB" w:eastAsia="ja-JP"/>
        </w:rPr>
        <w:t>Th</w:t>
      </w:r>
      <w:r>
        <w:rPr>
          <w:rFonts w:eastAsia="Arial Unicode MS"/>
          <w:lang w:val="en-GB" w:eastAsia="ja-JP"/>
        </w:rPr>
        <w:t>e</w:t>
      </w:r>
      <w:r w:rsidRPr="007F0348">
        <w:rPr>
          <w:rFonts w:eastAsia="Arial Unicode MS"/>
          <w:lang w:val="en-GB" w:eastAsia="ja-JP"/>
        </w:rPr>
        <w:t xml:space="preserve"> analysis showed that placental transfusion significantly reduced the </w:t>
      </w:r>
      <w:r>
        <w:rPr>
          <w:rFonts w:eastAsia="Arial Unicode MS"/>
          <w:lang w:val="en-GB" w:eastAsia="ja-JP"/>
        </w:rPr>
        <w:t>incidence</w:t>
      </w:r>
      <w:r w:rsidRPr="007F0348">
        <w:rPr>
          <w:rFonts w:eastAsia="Arial Unicode MS"/>
          <w:lang w:val="en-GB" w:eastAsia="ja-JP"/>
        </w:rPr>
        <w:t xml:space="preserve"> of RBC transfusions </w:t>
      </w:r>
      <w:r w:rsidR="00765D7C">
        <w:rPr>
          <w:rFonts w:eastAsia="Arial Unicode MS"/>
          <w:lang w:val="en-GB" w:eastAsia="ja-JP"/>
        </w:rPr>
        <w:t>and the</w:t>
      </w:r>
      <w:r w:rsidRPr="007F0348">
        <w:rPr>
          <w:rFonts w:eastAsia="Arial Unicode MS"/>
          <w:lang w:val="en-GB" w:eastAsia="ja-JP"/>
        </w:rPr>
        <w:t xml:space="preserve"> </w:t>
      </w:r>
      <w:r w:rsidR="00765D7C">
        <w:rPr>
          <w:rFonts w:eastAsia="Arial Unicode MS"/>
          <w:lang w:val="en-GB" w:eastAsia="ja-JP"/>
        </w:rPr>
        <w:t xml:space="preserve">mean number of RBC transfusions. </w:t>
      </w:r>
      <w:r>
        <w:rPr>
          <w:rFonts w:eastAsia="Arial Unicode MS"/>
          <w:lang w:val="en-GB" w:eastAsia="ja-JP"/>
        </w:rPr>
        <w:t>No significant differences in transfusion volume were reported in any of the included studies.</w:t>
      </w:r>
    </w:p>
    <w:p w14:paraId="200D2306" w14:textId="77777777" w:rsidR="00175B8E" w:rsidRDefault="00175B8E" w:rsidP="00FF7804">
      <w:pPr>
        <w:pStyle w:val="StyleHeading5Heading5nonumLeft0cmFirstline127cm"/>
      </w:pPr>
      <w:r>
        <w:t>Mortality</w:t>
      </w:r>
    </w:p>
    <w:p w14:paraId="33056689" w14:textId="28A23CFF" w:rsidR="00175B8E" w:rsidRPr="00067F75" w:rsidRDefault="00175B8E" w:rsidP="00765D7C">
      <w:pPr>
        <w:rPr>
          <w:rFonts w:eastAsia="Arial Unicode MS"/>
          <w:lang w:val="en-GB" w:eastAsia="ja-JP"/>
        </w:rPr>
      </w:pPr>
      <w:r>
        <w:rPr>
          <w:rFonts w:eastAsia="Arial Unicode MS"/>
          <w:lang w:val="en-GB" w:eastAsia="ja-JP"/>
        </w:rPr>
        <w:t xml:space="preserve">An updated meta-analysis that evaluated </w:t>
      </w:r>
      <w:r w:rsidRPr="00BD2C24">
        <w:rPr>
          <w:rFonts w:eastAsia="Arial Unicode MS"/>
          <w:lang w:val="en-GB" w:eastAsia="ja-JP"/>
        </w:rPr>
        <w:t xml:space="preserve">the effect of </w:t>
      </w:r>
      <w:r>
        <w:rPr>
          <w:rFonts w:eastAsia="Arial Unicode MS"/>
          <w:lang w:val="en-GB" w:eastAsia="ja-JP"/>
        </w:rPr>
        <w:t>placental transfusion on mortality in preterm infants demonstrated</w:t>
      </w:r>
      <w:r w:rsidRPr="00BD2C24">
        <w:rPr>
          <w:rFonts w:eastAsia="Arial Unicode MS"/>
          <w:lang w:val="en-GB" w:eastAsia="ja-JP"/>
        </w:rPr>
        <w:t xml:space="preserve"> </w:t>
      </w:r>
      <w:r>
        <w:rPr>
          <w:rFonts w:eastAsia="Arial Unicode MS"/>
          <w:lang w:val="en-GB" w:eastAsia="ja-JP"/>
        </w:rPr>
        <w:t>no significant difference in mortality fol</w:t>
      </w:r>
      <w:r w:rsidR="00765D7C">
        <w:rPr>
          <w:rFonts w:eastAsia="Arial Unicode MS"/>
          <w:lang w:val="en-GB" w:eastAsia="ja-JP"/>
        </w:rPr>
        <w:t>lowing placental transfusion.</w:t>
      </w:r>
      <w:r>
        <w:rPr>
          <w:rFonts w:eastAsia="Arial Unicode MS"/>
          <w:lang w:val="en-GB" w:eastAsia="ja-JP"/>
        </w:rPr>
        <w:t xml:space="preserve"> </w:t>
      </w:r>
    </w:p>
    <w:p w14:paraId="713B68F0" w14:textId="32653F5D" w:rsidR="00175B8E" w:rsidRPr="00C25FBF" w:rsidRDefault="00C25FBF" w:rsidP="00FF7804">
      <w:pPr>
        <w:pStyle w:val="StyleHeading5Heading5nonumLeft0cmFirstline127cm"/>
        <w:rPr>
          <w:lang w:val="en-AU"/>
        </w:rPr>
      </w:pPr>
      <w:r>
        <w:rPr>
          <w:lang w:val="en-AU"/>
        </w:rPr>
        <w:t>IVH</w:t>
      </w:r>
    </w:p>
    <w:p w14:paraId="6914E6E3" w14:textId="4E3226EC" w:rsidR="005E38DA" w:rsidRDefault="00FF2787" w:rsidP="00C25FBF">
      <w:pPr>
        <w:rPr>
          <w:rFonts w:cs="Times New Roman"/>
          <w:b/>
          <w:bCs/>
          <w:lang w:val="x-none" w:eastAsia="x-none"/>
        </w:rPr>
      </w:pPr>
      <w:r>
        <w:rPr>
          <w:rFonts w:asciiTheme="minorHAnsi" w:eastAsia="Arial Unicode MS" w:hAnsiTheme="minorHAnsi" w:cstheme="minorHAnsi"/>
          <w:bCs/>
          <w:lang w:val="en-GB" w:eastAsia="ja-JP"/>
        </w:rPr>
        <w:t xml:space="preserve">This review performed a </w:t>
      </w:r>
      <w:r w:rsidR="00175B8E">
        <w:rPr>
          <w:rFonts w:asciiTheme="minorHAnsi" w:eastAsia="Arial Unicode MS" w:hAnsiTheme="minorHAnsi" w:cstheme="minorHAnsi"/>
          <w:bCs/>
          <w:lang w:val="en-GB" w:eastAsia="ja-JP"/>
        </w:rPr>
        <w:t>meta</w:t>
      </w:r>
      <w:r w:rsidR="00175B8E" w:rsidRPr="00C910AD">
        <w:rPr>
          <w:rFonts w:asciiTheme="minorHAnsi" w:eastAsia="Arial Unicode MS" w:hAnsiTheme="minorHAnsi" w:cstheme="minorHAnsi"/>
          <w:bCs/>
          <w:lang w:val="en-GB" w:eastAsia="ja-JP"/>
        </w:rPr>
        <w:t>-analysis</w:t>
      </w:r>
      <w:r w:rsidR="00175B8E">
        <w:rPr>
          <w:rFonts w:asciiTheme="minorHAnsi" w:eastAsia="Arial Unicode MS" w:hAnsiTheme="minorHAnsi" w:cstheme="minorHAnsi"/>
          <w:bCs/>
          <w:lang w:val="en-GB" w:eastAsia="ja-JP"/>
        </w:rPr>
        <w:t xml:space="preserve"> that included all identified </w:t>
      </w:r>
      <w:r>
        <w:rPr>
          <w:rFonts w:asciiTheme="minorHAnsi" w:eastAsia="Arial Unicode MS" w:hAnsiTheme="minorHAnsi" w:cstheme="minorHAnsi"/>
          <w:bCs/>
          <w:lang w:val="en-GB" w:eastAsia="ja-JP"/>
        </w:rPr>
        <w:t>RCTs and that ass</w:t>
      </w:r>
      <w:r w:rsidR="00175B8E">
        <w:rPr>
          <w:rFonts w:asciiTheme="minorHAnsi" w:eastAsia="Arial Unicode MS" w:hAnsiTheme="minorHAnsi" w:cstheme="minorHAnsi"/>
          <w:bCs/>
          <w:lang w:val="en-GB" w:eastAsia="ja-JP"/>
        </w:rPr>
        <w:t xml:space="preserve">essed the effect of placental transfusion in preterm infants on IVH (all grades) grouped by gestational age </w:t>
      </w:r>
      <w:r>
        <w:rPr>
          <w:rFonts w:asciiTheme="minorHAnsi" w:eastAsia="Arial Unicode MS" w:hAnsiTheme="minorHAnsi" w:cstheme="minorHAnsi"/>
          <w:bCs/>
          <w:lang w:val="en-GB" w:eastAsia="ja-JP"/>
        </w:rPr>
        <w:t xml:space="preserve">at birth. </w:t>
      </w:r>
      <w:r w:rsidR="00175B8E">
        <w:rPr>
          <w:rFonts w:asciiTheme="minorHAnsi" w:eastAsia="Arial Unicode MS" w:hAnsiTheme="minorHAnsi" w:cstheme="minorHAnsi"/>
          <w:bCs/>
          <w:lang w:val="en-GB" w:eastAsia="ja-JP"/>
        </w:rPr>
        <w:t>The analyses showed a significant effect favouring placental transfusion on the incidence of IVH (all grades) but not severe IVH</w:t>
      </w:r>
      <w:r>
        <w:rPr>
          <w:rFonts w:asciiTheme="minorHAnsi" w:eastAsia="Arial Unicode MS" w:hAnsiTheme="minorHAnsi" w:cstheme="minorHAnsi"/>
          <w:bCs/>
          <w:lang w:val="en-GB" w:eastAsia="ja-JP"/>
        </w:rPr>
        <w:t>.</w:t>
      </w:r>
    </w:p>
    <w:p w14:paraId="19CE8A2B" w14:textId="38B73FBC" w:rsidR="00175B8E" w:rsidRPr="00FF2787" w:rsidRDefault="00175B8E" w:rsidP="00F96C85">
      <w:pPr>
        <w:pStyle w:val="BoxHeading"/>
      </w:pPr>
      <w:r w:rsidRPr="00B14DCD">
        <w:t xml:space="preserve">Clinical </w:t>
      </w:r>
      <w:r w:rsidR="00FF2787" w:rsidRPr="00B14DCD">
        <w:t>commentary</w:t>
      </w:r>
      <w:r w:rsidR="00FF2787">
        <w:t xml:space="preserve"> – placental transfusion in preterm and term infants</w:t>
      </w:r>
    </w:p>
    <w:p w14:paraId="23974779" w14:textId="72D3F72B" w:rsidR="00175B8E" w:rsidRDefault="00175B8E" w:rsidP="00F96C85">
      <w:pPr>
        <w:pStyle w:val="BoxText"/>
      </w:pPr>
      <w:r>
        <w:t xml:space="preserve">In preterm infants, </w:t>
      </w:r>
      <w:r w:rsidRPr="00F96C85">
        <w:t>deferred cord clamping appears to reduce the incidence of subsequent transfusion, through mechanisms that may include i</w:t>
      </w:r>
      <w:r w:rsidR="00FF2787" w:rsidRPr="00F96C85">
        <w:t>ncreasing blood volume at birth</w:t>
      </w:r>
      <w:r w:rsidRPr="00F96C85">
        <w:t xml:space="preserve"> or decreasing severity of illness. However, concerns remain about the risks and benefits of routinely deferring cord clamping</w:t>
      </w:r>
      <w:r>
        <w:t xml:space="preserve"> for all preterm infants. These concern</w:t>
      </w:r>
      <w:r w:rsidR="00F96C85">
        <w:t>s can be summarised as follows.</w:t>
      </w:r>
    </w:p>
    <w:p w14:paraId="135A2F91" w14:textId="77777777" w:rsidR="00FF2787" w:rsidRDefault="00175B8E" w:rsidP="00F96C85">
      <w:pPr>
        <w:pStyle w:val="BoxText"/>
      </w:pPr>
      <w:r w:rsidRPr="00B82BEB">
        <w:rPr>
          <w:i/>
        </w:rPr>
        <w:t>Trial quality and selection bias.</w:t>
      </w:r>
      <w:r>
        <w:t xml:space="preserve"> T</w:t>
      </w:r>
      <w:r w:rsidRPr="00B82BEB">
        <w:t>he evidence in relation to</w:t>
      </w:r>
      <w:r>
        <w:t xml:space="preserve"> preterm</w:t>
      </w:r>
      <w:r w:rsidRPr="00B82BEB">
        <w:t xml:space="preserve"> infants comprises a number of small</w:t>
      </w:r>
      <w:r w:rsidR="00FF2787">
        <w:rPr>
          <w:lang w:val="en-AU"/>
        </w:rPr>
        <w:t>, underpowered</w:t>
      </w:r>
      <w:r w:rsidRPr="00B82BEB">
        <w:t xml:space="preserve"> trials of variable quality</w:t>
      </w:r>
      <w:r w:rsidR="00FF2787">
        <w:t>.</w:t>
      </w:r>
      <w:r w:rsidRPr="00B82BEB">
        <w:t xml:space="preserve"> The inclusion and exclusion criteria varied, but several studies specifically excluded multiple births, infants born by caesarean section and infants who were compromised in utero or were judged to be depressed at birth</w:t>
      </w:r>
      <w:r>
        <w:t>. These are clinically and</w:t>
      </w:r>
      <w:r w:rsidRPr="00B82BEB">
        <w:t xml:space="preserve"> numerically important subgroups of </w:t>
      </w:r>
      <w:r>
        <w:t xml:space="preserve">preterm births. </w:t>
      </w:r>
    </w:p>
    <w:p w14:paraId="7D9DBB1B" w14:textId="58FF3CEB" w:rsidR="00175B8E" w:rsidRDefault="00FF2787" w:rsidP="00F96C85">
      <w:pPr>
        <w:pStyle w:val="BoxText"/>
      </w:pPr>
      <w:r>
        <w:rPr>
          <w:i/>
          <w:lang w:val="en-AU"/>
        </w:rPr>
        <w:t>High t</w:t>
      </w:r>
      <w:r w:rsidR="00175B8E" w:rsidRPr="00B82BEB">
        <w:rPr>
          <w:i/>
        </w:rPr>
        <w:t xml:space="preserve">ransfusion rates </w:t>
      </w:r>
      <w:r>
        <w:rPr>
          <w:i/>
          <w:lang w:val="en-AU"/>
        </w:rPr>
        <w:t>in the</w:t>
      </w:r>
      <w:r w:rsidR="00175B8E" w:rsidRPr="00B82BEB">
        <w:rPr>
          <w:i/>
        </w:rPr>
        <w:t xml:space="preserve"> included studies.</w:t>
      </w:r>
      <w:r w:rsidR="00175B8E">
        <w:t xml:space="preserve"> The incidence of transfusion in &lt;32 week infants in this review was 49% in the group who had deferred cord clamping or cord milking to achieve placental transfusion,</w:t>
      </w:r>
      <w:r w:rsidR="00175B8E" w:rsidRPr="00750DF9">
        <w:t xml:space="preserve"> </w:t>
      </w:r>
      <w:r w:rsidR="00175B8E">
        <w:t>and 66% in the immediate cord clamping group. A population-based study in New South Wales, where deferred cord clamping was not routinely practised, identified a transfusion rate of 33%.</w:t>
      </w:r>
      <w:hyperlink w:anchor="_ENREF_165" w:tooltip="Bowen, 2015 #1071" w:history="1">
        <w:r w:rsidR="00E62798">
          <w:fldChar w:fldCharType="begin"/>
        </w:r>
        <w:r w:rsidR="00E62798">
          <w:instrText xml:space="preserve"> ADDIN EN.CITE &lt;EndNote&gt;&lt;Cite&gt;&lt;Author&gt;Bowen&lt;/Author&gt;&lt;Year&gt;2015&lt;/Year&gt;&lt;RecNum&gt;1071&lt;/RecNum&gt;&lt;DisplayText&gt;&lt;style face="superscript"&gt;165&lt;/style&gt;&lt;/DisplayText&gt;&lt;record&gt;&lt;rec-number&gt;1071&lt;/rec-number&gt;&lt;foreign-keys&gt;&lt;key app="EN" db-id="9edve2wadsavt5ewavaxtda4f2tavzvts9ee" timestamp="1439268107"&gt;1071&lt;/key&gt;&lt;/foreign-keys&gt;&lt;ref-type name="Journal Article"&gt;17&lt;/ref-type&gt;&lt;contributors&gt;&lt;authors&gt;&lt;author&gt;Bowen, J. R.&lt;/author&gt;&lt;author&gt;Patterson, J. A.&lt;/author&gt;&lt;author&gt;Roberts, C. L.&lt;/author&gt;&lt;author&gt;Isbister, J. P.&lt;/author&gt;&lt;author&gt;Irving, D. O.&lt;/author&gt;&lt;author&gt;Ford, J. B.&lt;/author&gt;&lt;/authors&gt;&lt;/contributors&gt;&lt;auth-address&gt;Department of Neonatology, Royal North Shore Hospital, St Leonards, New South Wales, Australia University of Sydney, Sydney, New South Wales, Australia.&amp;#xD;Clinical and Population Perinatal Health Research, Kolling Institute, University of Sydney, Sydney, New South Wales, Australia.&amp;#xD;University of Sydney, Sydney, New South Wales, Australia.&amp;#xD;Department of Research and Development, Australian Red Cross Blood Service, Sydney, New South Wales, Australia.&lt;/auth-address&gt;&lt;titles&gt;&lt;title&gt;Red cell and platelet transfusions in neonates: a population-based study&lt;/title&gt;&lt;secondary-title&gt;Arch Dis Child Fetal Neonatal Ed&lt;/secondary-title&gt;&lt;/titles&gt;&lt;periodical&gt;&lt;full-title&gt;Arch Dis Child Fetal Neonatal Ed&lt;/full-title&gt;&lt;abbr-1&gt;Archives of disease in childhood. Fetal and neonatal edition&lt;/abbr-1&gt;&lt;/periodical&gt;&lt;keywords&gt;&lt;keyword&gt;Epidemiology&lt;/keyword&gt;&lt;keyword&gt;Haematology&lt;/keyword&gt;&lt;keyword&gt;Neonatology&lt;/keyword&gt;&lt;/keywords&gt;&lt;dates&gt;&lt;year&gt;2015&lt;/year&gt;&lt;pub-dates&gt;&lt;date&gt;May 14&lt;/date&gt;&lt;/pub-dates&gt;&lt;/dates&gt;&lt;isbn&gt;1468-2052 (Electronic)&amp;#xD;1359-2998 (Linking)&lt;/isbn&gt;&lt;accession-num&gt;25977265&lt;/accession-num&gt;&lt;urls&gt;&lt;related-urls&gt;&lt;url&gt;http://www.ncbi.nlm.nih.gov/pubmed/25977265&lt;/url&gt;&lt;/related-urls&gt;&lt;/urls&gt;&lt;electronic-resource-num&gt;10.1136/archdischild-2014-307716&lt;/electronic-resource-num&gt;&lt;/record&gt;&lt;/Cite&gt;&lt;/EndNote&gt;</w:instrText>
        </w:r>
        <w:r w:rsidR="00E62798">
          <w:fldChar w:fldCharType="separate"/>
        </w:r>
        <w:r w:rsidR="00E62798" w:rsidRPr="00E62798">
          <w:rPr>
            <w:noProof/>
            <w:vertAlign w:val="superscript"/>
          </w:rPr>
          <w:t>165</w:t>
        </w:r>
        <w:r w:rsidR="00E62798">
          <w:fldChar w:fldCharType="end"/>
        </w:r>
      </w:hyperlink>
      <w:r w:rsidR="00175B8E">
        <w:t xml:space="preserve"> These findings suggest that more restrictive transfusion strategies, or other practices in Australian neonatal units that affect transfusion incidence, will result in a smaller effect of deferred cord clamping on subsequent transfusion than is indicated by th</w:t>
      </w:r>
      <w:r>
        <w:rPr>
          <w:lang w:val="en-AU"/>
        </w:rPr>
        <w:t>is</w:t>
      </w:r>
      <w:r w:rsidR="00175B8E">
        <w:t xml:space="preserve"> review. </w:t>
      </w:r>
    </w:p>
    <w:p w14:paraId="684A6087" w14:textId="77777777" w:rsidR="00C25FBF" w:rsidRDefault="00C25FBF">
      <w:pPr>
        <w:spacing w:after="0"/>
        <w:ind w:left="0"/>
        <w:rPr>
          <w:rFonts w:cs="Times New Roman"/>
          <w:i/>
          <w:lang w:val="x-none" w:eastAsia="x-none"/>
        </w:rPr>
      </w:pPr>
      <w:r>
        <w:rPr>
          <w:i/>
        </w:rPr>
        <w:br w:type="page"/>
      </w:r>
    </w:p>
    <w:p w14:paraId="1D8CA0AF" w14:textId="713C9E76" w:rsidR="00F96C85" w:rsidRPr="00FF2787" w:rsidRDefault="00175B8E" w:rsidP="00F96C85">
      <w:pPr>
        <w:pStyle w:val="BoxText"/>
      </w:pPr>
      <w:r w:rsidRPr="00B82BEB">
        <w:rPr>
          <w:i/>
        </w:rPr>
        <w:t>Timing of cord clamping in relation to onset of breathing.</w:t>
      </w:r>
      <w:r>
        <w:t xml:space="preserve"> </w:t>
      </w:r>
      <w:r w:rsidRPr="00535073">
        <w:t>T</w:t>
      </w:r>
      <w:r w:rsidRPr="00B82BEB">
        <w:t>he published randomised trials have not taken o</w:t>
      </w:r>
      <w:r w:rsidRPr="00FF2787">
        <w:t xml:space="preserve">nset of breathing into account as a potential confounder. </w:t>
      </w:r>
      <w:r w:rsidR="00FF2787">
        <w:rPr>
          <w:lang w:val="en-AU"/>
        </w:rPr>
        <w:t>Trials are underway to address some of the c</w:t>
      </w:r>
      <w:r w:rsidRPr="00FF2787">
        <w:t>onsiderable uncertainty</w:t>
      </w:r>
      <w:r>
        <w:rPr>
          <w:lang w:val="en-AU"/>
        </w:rPr>
        <w:t xml:space="preserve"> </w:t>
      </w:r>
      <w:r w:rsidR="00FF2787">
        <w:rPr>
          <w:lang w:val="en-AU"/>
        </w:rPr>
        <w:t xml:space="preserve">that </w:t>
      </w:r>
      <w:r>
        <w:rPr>
          <w:lang w:val="en-AU"/>
        </w:rPr>
        <w:t xml:space="preserve">remains </w:t>
      </w:r>
      <w:r w:rsidRPr="00BD3E1F">
        <w:rPr>
          <w:lang w:val="en-AU"/>
        </w:rPr>
        <w:t>as to the balance of risks and benefits in infants who do not start to breathe effectively within the first 30</w:t>
      </w:r>
      <w:r>
        <w:rPr>
          <w:lang w:val="en-AU"/>
        </w:rPr>
        <w:t>–</w:t>
      </w:r>
      <w:r w:rsidR="00C25FBF" w:rsidRPr="00BD3E1F">
        <w:rPr>
          <w:lang w:val="en-AU"/>
        </w:rPr>
        <w:t>60</w:t>
      </w:r>
      <w:r w:rsidR="00C25FBF">
        <w:rPr>
          <w:lang w:val="en-AU"/>
        </w:rPr>
        <w:t> </w:t>
      </w:r>
      <w:r w:rsidRPr="00BD3E1F">
        <w:rPr>
          <w:lang w:val="en-AU"/>
        </w:rPr>
        <w:t>second</w:t>
      </w:r>
      <w:r w:rsidR="00FF2787">
        <w:rPr>
          <w:lang w:val="en-AU"/>
        </w:rPr>
        <w:t>s after birth, in relation to whether:</w:t>
      </w:r>
    </w:p>
    <w:p w14:paraId="2BAD70D6" w14:textId="43E51EF6" w:rsidR="00FF2787" w:rsidRDefault="00175B8E" w:rsidP="00F96C85">
      <w:pPr>
        <w:pStyle w:val="BoxBullet"/>
      </w:pPr>
      <w:r w:rsidRPr="00BD3E1F">
        <w:t xml:space="preserve">deferred cord clamping </w:t>
      </w:r>
      <w:r>
        <w:t xml:space="preserve">should </w:t>
      </w:r>
      <w:r w:rsidRPr="00BD3E1F">
        <w:t>take precedence over manoeuvres to support breathing or not</w:t>
      </w:r>
    </w:p>
    <w:p w14:paraId="356AF4C3" w14:textId="47E1A3CD" w:rsidR="00FF2787" w:rsidRDefault="00175B8E" w:rsidP="00F96C85">
      <w:pPr>
        <w:pStyle w:val="BoxBullet"/>
      </w:pPr>
      <w:r w:rsidRPr="00BD3E1F">
        <w:t xml:space="preserve">assisted ventilation (and other resuscitation steps, if needed) </w:t>
      </w:r>
      <w:r>
        <w:t xml:space="preserve">can and should </w:t>
      </w:r>
      <w:r w:rsidRPr="00BD3E1F">
        <w:t>be provided while the cord remains unclamped</w:t>
      </w:r>
    </w:p>
    <w:p w14:paraId="271FE5F5" w14:textId="20264594" w:rsidR="00175B8E" w:rsidRDefault="00175B8E" w:rsidP="00F96C85">
      <w:pPr>
        <w:pStyle w:val="BoxBullet"/>
      </w:pPr>
      <w:r w:rsidRPr="00BD3E1F">
        <w:t xml:space="preserve">cord milking (either before clamping the cord or from a long segment of cord that remains attached to the baby) </w:t>
      </w:r>
      <w:r>
        <w:t xml:space="preserve">is </w:t>
      </w:r>
      <w:r w:rsidRPr="00BD3E1F">
        <w:t>a safe and effective alternative to deferred cord clamping.</w:t>
      </w:r>
      <w:r>
        <w:t xml:space="preserve"> </w:t>
      </w:r>
    </w:p>
    <w:p w14:paraId="594BA55A" w14:textId="3834DD4B" w:rsidR="00FF2787" w:rsidRPr="00175B8E" w:rsidRDefault="00175B8E" w:rsidP="00F96C85">
      <w:pPr>
        <w:pStyle w:val="BoxText"/>
      </w:pPr>
      <w:r w:rsidRPr="00B82BEB">
        <w:t>This review found that the effect of deferred cord clamping on mortality is uncertain, but there was a benefit in reducing IVH (of any grade). However, the effect of deferred cord clamping on other neurodevelopmental outcomes, particularly longer term outcomes, remains unknown.</w:t>
      </w:r>
      <w:r w:rsidR="00F848F2">
        <w:t xml:space="preserve"> </w:t>
      </w:r>
    </w:p>
    <w:p w14:paraId="46134F8D" w14:textId="3D98003D" w:rsidR="00FF2787" w:rsidRPr="001D1222" w:rsidRDefault="00FF2787" w:rsidP="00FF2787">
      <w:pPr>
        <w:pStyle w:val="Heading3"/>
        <w:ind w:left="0" w:firstLine="0"/>
        <w:rPr>
          <w:lang w:val="en-AU" w:eastAsia="en-GB"/>
        </w:rPr>
      </w:pPr>
      <w:bookmarkStart w:id="167" w:name="_Toc427851356"/>
      <w:r>
        <w:rPr>
          <w:lang w:val="en-AU"/>
        </w:rPr>
        <w:t>3.5.2</w:t>
      </w:r>
      <w:r>
        <w:rPr>
          <w:lang w:val="en-AU"/>
        </w:rPr>
        <w:tab/>
      </w:r>
      <w:r>
        <w:t>Preterm</w:t>
      </w:r>
      <w:r>
        <w:rPr>
          <w:lang w:eastAsia="en-GB"/>
        </w:rPr>
        <w:t xml:space="preserve"> and term infants</w:t>
      </w:r>
      <w:r>
        <w:rPr>
          <w:lang w:val="en-AU" w:eastAsia="en-GB"/>
        </w:rPr>
        <w:t xml:space="preserve"> – effects of </w:t>
      </w:r>
      <w:r w:rsidR="00274815">
        <w:rPr>
          <w:lang w:val="en-AU" w:eastAsia="en-GB"/>
        </w:rPr>
        <w:t>IVIg</w:t>
      </w:r>
      <w:r>
        <w:rPr>
          <w:lang w:val="en-AU" w:eastAsia="en-GB"/>
        </w:rPr>
        <w:t xml:space="preserve"> for haemolytic disease on outcomes</w:t>
      </w:r>
      <w:bookmarkEnd w:id="167"/>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2"/>
        <w:gridCol w:w="810"/>
        <w:gridCol w:w="911"/>
        <w:gridCol w:w="793"/>
        <w:gridCol w:w="793"/>
        <w:gridCol w:w="740"/>
      </w:tblGrid>
      <w:tr w:rsidR="00175B8E" w14:paraId="19034A21"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5B294576" w14:textId="0B4E093E" w:rsidR="00175B8E" w:rsidRDefault="00175B8E" w:rsidP="005E38DA">
            <w:pPr>
              <w:pStyle w:val="PP-heading"/>
              <w:spacing w:line="276" w:lineRule="auto"/>
              <w:rPr>
                <w:lang w:val="en-US" w:eastAsia="en-US"/>
              </w:rPr>
            </w:pPr>
            <w:r>
              <w:rPr>
                <w:lang w:val="en-US" w:eastAsia="en-US"/>
              </w:rPr>
              <w:t xml:space="preserve">Evidence statements – </w:t>
            </w:r>
            <w:r w:rsidR="005E38DA">
              <w:rPr>
                <w:lang w:val="en-AU"/>
              </w:rPr>
              <w:t xml:space="preserve">haemolytic disease </w:t>
            </w:r>
            <w:r w:rsidR="005E38DA">
              <w:rPr>
                <w:lang w:val="en-AU" w:eastAsia="en-GB"/>
              </w:rPr>
              <w:t>(</w:t>
            </w:r>
            <w:r w:rsidR="00274815">
              <w:rPr>
                <w:lang w:val="en-US" w:eastAsia="en-US"/>
              </w:rPr>
              <w:t>IVIg</w:t>
            </w:r>
            <w:r w:rsidR="005E38DA">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95AAAF0"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65CA8AF"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BBFFFD7"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FC6B2C5"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4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4C51D57"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2658269B"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2E3F9E52" w14:textId="77777777" w:rsidR="00175B8E" w:rsidRDefault="00175B8E" w:rsidP="00175B8E">
            <w:pPr>
              <w:pStyle w:val="Tabletextnoindent"/>
              <w:numPr>
                <w:ilvl w:val="0"/>
                <w:numId w:val="0"/>
              </w:numPr>
              <w:spacing w:line="276" w:lineRule="auto"/>
              <w:rPr>
                <w:lang w:val="en-US" w:eastAsia="en-US"/>
              </w:rPr>
            </w:pPr>
            <w:r w:rsidRPr="000A1E98">
              <w:t>ES4.</w:t>
            </w:r>
            <w:r>
              <w:t>3</w:t>
            </w:r>
          </w:p>
        </w:tc>
        <w:tc>
          <w:tcPr>
            <w:tcW w:w="3742" w:type="dxa"/>
            <w:tcBorders>
              <w:top w:val="single" w:sz="4" w:space="0" w:color="000000"/>
              <w:left w:val="single" w:sz="4" w:space="0" w:color="000000"/>
              <w:bottom w:val="single" w:sz="4" w:space="0" w:color="000000"/>
              <w:right w:val="single" w:sz="4" w:space="0" w:color="000000"/>
            </w:tcBorders>
            <w:hideMark/>
          </w:tcPr>
          <w:p w14:paraId="59A96A75" w14:textId="69D90679" w:rsidR="00175B8E" w:rsidRDefault="00175B8E" w:rsidP="00175B8E">
            <w:pPr>
              <w:pStyle w:val="Tabletext0"/>
              <w:spacing w:line="276" w:lineRule="auto"/>
              <w:rPr>
                <w:lang w:val="en-US"/>
              </w:rPr>
            </w:pPr>
            <w:r>
              <w:rPr>
                <w:lang w:val="en-US"/>
              </w:rPr>
              <w:t xml:space="preserve">In infants with alloimmune haemolytic disease, the effect of </w:t>
            </w:r>
            <w:r w:rsidR="00274815">
              <w:rPr>
                <w:lang w:val="en-US"/>
              </w:rPr>
              <w:t>IVIg</w:t>
            </w:r>
            <w:r>
              <w:rPr>
                <w:lang w:val="en-US"/>
              </w:rPr>
              <w:t xml:space="preserve"> compared with no </w:t>
            </w:r>
            <w:r w:rsidR="00274815">
              <w:rPr>
                <w:lang w:val="en-US"/>
              </w:rPr>
              <w:t>IVIg</w:t>
            </w:r>
            <w:r>
              <w:rPr>
                <w:lang w:val="en-US"/>
              </w:rPr>
              <w:t xml:space="preserve"> on exchange transfusion incidence is uncertain.</w:t>
            </w:r>
          </w:p>
          <w:p w14:paraId="5365ECF5" w14:textId="77777777" w:rsidR="00175B8E" w:rsidRDefault="00175B8E" w:rsidP="00175B8E">
            <w:pPr>
              <w:pStyle w:val="ES-notes"/>
              <w:spacing w:line="276" w:lineRule="auto"/>
              <w:rPr>
                <w:lang w:val="en-US" w:eastAsia="en-US"/>
              </w:rPr>
            </w:pPr>
            <w:r>
              <w:rPr>
                <w:lang w:val="en-US" w:eastAsia="en-US"/>
              </w:rPr>
              <w:t>(See evidence matrix D4.C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084066C6"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29B35F6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793" w:type="dxa"/>
            <w:tcBorders>
              <w:top w:val="single" w:sz="4" w:space="0" w:color="000000"/>
              <w:left w:val="single" w:sz="4" w:space="0" w:color="000000"/>
              <w:bottom w:val="single" w:sz="4" w:space="0" w:color="000000"/>
              <w:right w:val="single" w:sz="4" w:space="0" w:color="000000"/>
            </w:tcBorders>
            <w:hideMark/>
          </w:tcPr>
          <w:p w14:paraId="615F78A3" w14:textId="77777777" w:rsidR="00175B8E" w:rsidRDefault="00175B8E" w:rsidP="00175B8E">
            <w:pPr>
              <w:pStyle w:val="T-ABCD"/>
              <w:spacing w:line="276" w:lineRule="auto"/>
              <w:rPr>
                <w:lang w:val="en-US" w:eastAsia="en-US"/>
              </w:rPr>
            </w:pPr>
            <w:r>
              <w:rPr>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26A3E1FA"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782108B6"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52473D9E"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1ECDBEC9" w14:textId="77777777" w:rsidR="00175B8E" w:rsidRDefault="00175B8E" w:rsidP="00175B8E">
            <w:pPr>
              <w:pStyle w:val="Tabletextnoindent"/>
              <w:numPr>
                <w:ilvl w:val="0"/>
                <w:numId w:val="0"/>
              </w:numPr>
              <w:spacing w:line="276" w:lineRule="auto"/>
              <w:rPr>
                <w:lang w:val="en-US" w:eastAsia="en-US"/>
              </w:rPr>
            </w:pPr>
            <w:r w:rsidRPr="000A1E98">
              <w:t>ES4.</w:t>
            </w:r>
            <w:r>
              <w:t>4</w:t>
            </w:r>
          </w:p>
        </w:tc>
        <w:tc>
          <w:tcPr>
            <w:tcW w:w="3742" w:type="dxa"/>
            <w:tcBorders>
              <w:top w:val="single" w:sz="4" w:space="0" w:color="000000"/>
              <w:left w:val="single" w:sz="4" w:space="0" w:color="000000"/>
              <w:bottom w:val="single" w:sz="4" w:space="0" w:color="000000"/>
              <w:right w:val="single" w:sz="4" w:space="0" w:color="000000"/>
            </w:tcBorders>
            <w:hideMark/>
          </w:tcPr>
          <w:p w14:paraId="561CDA84" w14:textId="5E70DE0C" w:rsidR="00175B8E" w:rsidRDefault="00175B8E" w:rsidP="00175B8E">
            <w:pPr>
              <w:pStyle w:val="Tabletext0"/>
              <w:spacing w:line="276" w:lineRule="auto"/>
              <w:rPr>
                <w:lang w:val="en-US"/>
              </w:rPr>
            </w:pPr>
            <w:r>
              <w:rPr>
                <w:lang w:val="en-US"/>
              </w:rPr>
              <w:t xml:space="preserve">In infants with alloimmune haemolytic disease, the effect of </w:t>
            </w:r>
            <w:r w:rsidR="00274815">
              <w:rPr>
                <w:lang w:val="en-US"/>
              </w:rPr>
              <w:t>IVIg</w:t>
            </w:r>
            <w:r>
              <w:rPr>
                <w:lang w:val="en-US"/>
              </w:rPr>
              <w:t xml:space="preserve"> compared with no </w:t>
            </w:r>
            <w:r w:rsidR="00274815">
              <w:rPr>
                <w:lang w:val="en-US"/>
              </w:rPr>
              <w:t>IVIg</w:t>
            </w:r>
            <w:r>
              <w:rPr>
                <w:lang w:val="en-US"/>
              </w:rPr>
              <w:t xml:space="preserve"> on mortality is uncertain.</w:t>
            </w:r>
          </w:p>
          <w:p w14:paraId="2BF7EE51" w14:textId="77777777" w:rsidR="00175B8E" w:rsidRDefault="00175B8E" w:rsidP="00175B8E">
            <w:pPr>
              <w:pStyle w:val="ES-notes"/>
              <w:spacing w:line="276" w:lineRule="auto"/>
              <w:rPr>
                <w:lang w:val="en-US" w:eastAsia="en-US"/>
              </w:rPr>
            </w:pPr>
            <w:r>
              <w:rPr>
                <w:lang w:val="en-US" w:eastAsia="en-US"/>
              </w:rPr>
              <w:t>(See evidence matrix D4.D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17E76A3"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4B9A238E"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793" w:type="dxa"/>
            <w:tcBorders>
              <w:top w:val="single" w:sz="4" w:space="0" w:color="000000"/>
              <w:left w:val="single" w:sz="4" w:space="0" w:color="000000"/>
              <w:bottom w:val="single" w:sz="4" w:space="0" w:color="000000"/>
              <w:right w:val="single" w:sz="4" w:space="0" w:color="000000"/>
            </w:tcBorders>
            <w:hideMark/>
          </w:tcPr>
          <w:p w14:paraId="7352DE57" w14:textId="77777777" w:rsidR="00175B8E" w:rsidRDefault="00175B8E" w:rsidP="00175B8E">
            <w:pPr>
              <w:pStyle w:val="T-ABCD"/>
              <w:spacing w:line="276" w:lineRule="auto"/>
              <w:rPr>
                <w:lang w:val="en-US" w:eastAsia="en-US"/>
              </w:rPr>
            </w:pPr>
            <w:r>
              <w:rPr>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4D28B50D"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2DB6A0E5"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0D6BDE77"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1213BABB" w14:textId="2B034EF9" w:rsidR="00175B8E" w:rsidRDefault="00175B8E" w:rsidP="00175B8E">
            <w:pPr>
              <w:pStyle w:val="ES-notes"/>
              <w:spacing w:line="276" w:lineRule="auto"/>
              <w:rPr>
                <w:rFonts w:eastAsiaTheme="minorHAnsi"/>
                <w:lang w:val="en-US" w:eastAsia="en-US"/>
              </w:rPr>
            </w:pPr>
            <w:r>
              <w:rPr>
                <w:lang w:val="en-US" w:eastAsia="en-US"/>
              </w:rPr>
              <w:t xml:space="preserve">ES, evidence statement; </w:t>
            </w:r>
            <w:r w:rsidR="00274815">
              <w:rPr>
                <w:lang w:val="en-US" w:eastAsia="en-US"/>
              </w:rPr>
              <w:t>IVIg</w:t>
            </w:r>
            <w:r w:rsidR="00A45BC6">
              <w:rPr>
                <w:lang w:val="en-US" w:eastAsia="en-US"/>
              </w:rPr>
              <w:t>, intravenous immunoglobulin</w:t>
            </w:r>
          </w:p>
          <w:p w14:paraId="19EF53BB"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7E42312D" w14:textId="77777777" w:rsidR="00175B8E" w:rsidRDefault="00175B8E" w:rsidP="00175B8E">
      <w:pPr>
        <w:pStyle w:val="BodyText"/>
      </w:pPr>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35"/>
        <w:gridCol w:w="7513"/>
      </w:tblGrid>
      <w:tr w:rsidR="00175B8E" w14:paraId="6D658074"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hideMark/>
          </w:tcPr>
          <w:p w14:paraId="4C658328" w14:textId="38F96D6A" w:rsidR="00175B8E" w:rsidRDefault="00175B8E" w:rsidP="0027733F">
            <w:pPr>
              <w:pStyle w:val="Recommendation"/>
              <w:spacing w:line="276" w:lineRule="auto"/>
              <w:rPr>
                <w:rFonts w:eastAsia="Times New Roman"/>
              </w:rPr>
            </w:pPr>
            <w:r>
              <w:t xml:space="preserve">Recommendation – </w:t>
            </w:r>
            <w:r w:rsidR="005E38DA">
              <w:rPr>
                <w:lang w:val="en-AU"/>
              </w:rPr>
              <w:t>haemolytic disease (</w:t>
            </w:r>
            <w:r w:rsidR="00274815">
              <w:rPr>
                <w:lang w:val="en-US" w:eastAsia="en-US"/>
              </w:rPr>
              <w:t>IVIg</w:t>
            </w:r>
            <w:r w:rsidR="005E38DA">
              <w:rPr>
                <w:lang w:val="en-US" w:eastAsia="en-US"/>
              </w:rPr>
              <w:t>)</w:t>
            </w:r>
          </w:p>
        </w:tc>
      </w:tr>
      <w:tr w:rsidR="00175B8E" w14:paraId="0720182C"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474970AF" w14:textId="53E755DF" w:rsidR="00175B8E" w:rsidRDefault="00175B8E" w:rsidP="00C25FBF">
            <w:pPr>
              <w:pStyle w:val="PP"/>
            </w:pPr>
            <w:r>
              <w:t>R7</w:t>
            </w:r>
            <w:r w:rsidR="00C25FBF" w:rsidDel="00C25FBF">
              <w:t xml:space="preserve"> </w:t>
            </w:r>
            <w:r w:rsidR="00C25FBF">
              <w:br/>
            </w:r>
            <w:r>
              <w:t>(Grade B)</w:t>
            </w:r>
          </w:p>
        </w:tc>
        <w:tc>
          <w:tcPr>
            <w:tcW w:w="7513" w:type="dxa"/>
            <w:tcBorders>
              <w:top w:val="single" w:sz="4" w:space="0" w:color="000000"/>
              <w:left w:val="single" w:sz="4" w:space="0" w:color="auto"/>
              <w:bottom w:val="single" w:sz="4" w:space="0" w:color="000000"/>
              <w:right w:val="single" w:sz="4" w:space="0" w:color="000000"/>
            </w:tcBorders>
            <w:hideMark/>
          </w:tcPr>
          <w:p w14:paraId="6774CE6D" w14:textId="6CD62819" w:rsidR="00175B8E" w:rsidRDefault="00175B8E" w:rsidP="0027733F">
            <w:pPr>
              <w:pStyle w:val="PP"/>
            </w:pPr>
            <w:r>
              <w:t xml:space="preserve">In infants with </w:t>
            </w:r>
            <w:r w:rsidR="0027733F">
              <w:rPr>
                <w:lang w:val="en-AU"/>
              </w:rPr>
              <w:t>HDFN</w:t>
            </w:r>
            <w:r>
              <w:t xml:space="preserve">, the </w:t>
            </w:r>
            <w:r>
              <w:rPr>
                <w:i/>
              </w:rPr>
              <w:t xml:space="preserve">routine </w:t>
            </w:r>
            <w:r>
              <w:t xml:space="preserve">use of </w:t>
            </w:r>
            <w:r w:rsidR="00274815">
              <w:t>IVIg</w:t>
            </w:r>
            <w:r>
              <w:t xml:space="preserve"> is not recommended. </w:t>
            </w:r>
          </w:p>
        </w:tc>
      </w:tr>
      <w:tr w:rsidR="00175B8E" w14:paraId="014FEA7B"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754C0B06" w14:textId="6ECD29FC" w:rsidR="00175B8E" w:rsidRPr="0027733F" w:rsidRDefault="00175B8E" w:rsidP="0027733F">
            <w:pPr>
              <w:pStyle w:val="PP-heading"/>
              <w:spacing w:line="276" w:lineRule="auto"/>
              <w:rPr>
                <w:lang w:val="en-AU" w:eastAsia="en-US"/>
              </w:rPr>
            </w:pPr>
            <w:r>
              <w:rPr>
                <w:lang w:val="en-US" w:eastAsia="en-US"/>
              </w:rPr>
              <w:t xml:space="preserve">Practice point – </w:t>
            </w:r>
            <w:r w:rsidR="005E38DA">
              <w:rPr>
                <w:lang w:val="en-AU"/>
              </w:rPr>
              <w:t xml:space="preserve">haemolytic disease </w:t>
            </w:r>
            <w:r w:rsidR="005E38DA">
              <w:rPr>
                <w:lang w:val="en-AU" w:eastAsia="en-GB"/>
              </w:rPr>
              <w:t>(</w:t>
            </w:r>
            <w:r w:rsidR="00274815">
              <w:rPr>
                <w:lang w:val="en-US" w:eastAsia="en-US"/>
              </w:rPr>
              <w:t>IVIg</w:t>
            </w:r>
            <w:r w:rsidR="005E38DA">
              <w:rPr>
                <w:lang w:val="en-US" w:eastAsia="en-US"/>
              </w:rPr>
              <w:t>)</w:t>
            </w:r>
          </w:p>
        </w:tc>
      </w:tr>
      <w:tr w:rsidR="00175B8E" w14:paraId="3E4309BB"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71E3298D" w14:textId="77777777" w:rsidR="00175B8E" w:rsidRDefault="00175B8E" w:rsidP="00FF2787">
            <w:pPr>
              <w:pStyle w:val="PP"/>
            </w:pPr>
            <w:r>
              <w:t>PP33</w:t>
            </w:r>
          </w:p>
        </w:tc>
        <w:tc>
          <w:tcPr>
            <w:tcW w:w="7513" w:type="dxa"/>
            <w:tcBorders>
              <w:top w:val="single" w:sz="4" w:space="0" w:color="000000"/>
              <w:left w:val="single" w:sz="4" w:space="0" w:color="auto"/>
              <w:bottom w:val="single" w:sz="4" w:space="0" w:color="000000"/>
              <w:right w:val="single" w:sz="4" w:space="0" w:color="000000"/>
            </w:tcBorders>
            <w:hideMark/>
          </w:tcPr>
          <w:p w14:paraId="32BE0142" w14:textId="2A4A2BAB" w:rsidR="00175B8E" w:rsidRDefault="00175B8E" w:rsidP="0027733F">
            <w:pPr>
              <w:pStyle w:val="PP"/>
            </w:pPr>
            <w:r>
              <w:t xml:space="preserve">Infants at risk of </w:t>
            </w:r>
            <w:r w:rsidR="0027733F">
              <w:rPr>
                <w:lang w:val="en-AU"/>
              </w:rPr>
              <w:t>HDFN</w:t>
            </w:r>
            <w:r>
              <w:t xml:space="preserve"> should be promptly assessed after birth. Those at high risk of severe jaundice should receive intensive phototherapy. </w:t>
            </w:r>
          </w:p>
        </w:tc>
      </w:tr>
      <w:tr w:rsidR="00175B8E" w14:paraId="238998E7"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CD93316" w14:textId="4FD09FC2" w:rsidR="00175B8E" w:rsidRPr="0027733F" w:rsidRDefault="00175B8E" w:rsidP="0027733F">
            <w:pPr>
              <w:pStyle w:val="PP-heading"/>
              <w:spacing w:line="276" w:lineRule="auto"/>
              <w:rPr>
                <w:lang w:val="en-AU" w:eastAsia="en-US"/>
              </w:rPr>
            </w:pPr>
            <w:r>
              <w:rPr>
                <w:lang w:val="en-US" w:eastAsia="en-US"/>
              </w:rPr>
              <w:t xml:space="preserve">Expert opinion point – </w:t>
            </w:r>
            <w:r w:rsidR="005E38DA">
              <w:rPr>
                <w:lang w:val="en-AU"/>
              </w:rPr>
              <w:t xml:space="preserve">haemolytic disease </w:t>
            </w:r>
            <w:r w:rsidR="005E38DA">
              <w:rPr>
                <w:lang w:val="en-AU" w:eastAsia="en-GB"/>
              </w:rPr>
              <w:t>(</w:t>
            </w:r>
            <w:r w:rsidR="00274815">
              <w:rPr>
                <w:lang w:val="en-US" w:eastAsia="en-US"/>
              </w:rPr>
              <w:t>IVIg</w:t>
            </w:r>
            <w:r w:rsidR="005E38DA">
              <w:rPr>
                <w:lang w:val="en-US" w:eastAsia="en-US"/>
              </w:rPr>
              <w:t>)</w:t>
            </w:r>
          </w:p>
        </w:tc>
      </w:tr>
      <w:tr w:rsidR="00175B8E" w14:paraId="1927ADE7"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70BB9B73" w14:textId="77777777" w:rsidR="00175B8E" w:rsidRDefault="00175B8E" w:rsidP="00FF2787">
            <w:pPr>
              <w:pStyle w:val="PP"/>
            </w:pPr>
            <w:r>
              <w:t>EOP4</w:t>
            </w:r>
          </w:p>
        </w:tc>
        <w:tc>
          <w:tcPr>
            <w:tcW w:w="7513" w:type="dxa"/>
            <w:tcBorders>
              <w:top w:val="single" w:sz="4" w:space="0" w:color="000000"/>
              <w:left w:val="single" w:sz="4" w:space="0" w:color="auto"/>
              <w:bottom w:val="single" w:sz="4" w:space="0" w:color="000000"/>
              <w:right w:val="single" w:sz="4" w:space="0" w:color="000000"/>
            </w:tcBorders>
            <w:hideMark/>
          </w:tcPr>
          <w:p w14:paraId="68477A32" w14:textId="118DAF05" w:rsidR="00175B8E" w:rsidRDefault="00175B8E" w:rsidP="0027733F">
            <w:pPr>
              <w:pStyle w:val="PP"/>
            </w:pPr>
            <w:r>
              <w:t xml:space="preserve">In maternity patients with a fetus affected by </w:t>
            </w:r>
            <w:r w:rsidR="0027733F">
              <w:rPr>
                <w:lang w:val="en-AU"/>
              </w:rPr>
              <w:t>HDFN</w:t>
            </w:r>
            <w:r>
              <w:t xml:space="preserve"> who is at high risk of early fetal hydrops or death, a course of weekly </w:t>
            </w:r>
            <w:r w:rsidR="00274815">
              <w:t>IVIg</w:t>
            </w:r>
            <w:r>
              <w:t xml:space="preserve"> should be considered. </w:t>
            </w:r>
          </w:p>
        </w:tc>
      </w:tr>
      <w:tr w:rsidR="00175B8E" w14:paraId="208846FA"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22473350" w14:textId="61D758E8" w:rsidR="00175B8E" w:rsidRDefault="00175B8E" w:rsidP="0027733F">
            <w:pPr>
              <w:pStyle w:val="PP-note"/>
              <w:rPr>
                <w:lang w:val="en-US" w:eastAsia="en-US"/>
              </w:rPr>
            </w:pPr>
            <w:r>
              <w:rPr>
                <w:lang w:val="en-US" w:eastAsia="en-US"/>
              </w:rPr>
              <w:t>EOP, expert opinion point;</w:t>
            </w:r>
            <w:r w:rsidR="0027733F">
              <w:rPr>
                <w:lang w:val="en-US" w:eastAsia="en-US"/>
              </w:rPr>
              <w:t xml:space="preserve"> HDFN, haemolytic disease of the fetus and newborn;</w:t>
            </w:r>
            <w:r>
              <w:rPr>
                <w:lang w:val="en-US" w:eastAsia="en-US"/>
              </w:rPr>
              <w:t xml:space="preserve"> </w:t>
            </w:r>
            <w:r w:rsidR="00274815">
              <w:rPr>
                <w:lang w:val="en-US" w:eastAsia="en-US"/>
              </w:rPr>
              <w:t>IVIg</w:t>
            </w:r>
            <w:r w:rsidR="00A45BC6">
              <w:rPr>
                <w:lang w:val="en-US" w:eastAsia="en-US"/>
              </w:rPr>
              <w:t>, intravenous immunoglobulin</w:t>
            </w:r>
            <w:r>
              <w:rPr>
                <w:lang w:val="en-US" w:eastAsia="en-US"/>
              </w:rPr>
              <w:t>; PP, practice point, R, recommendation</w:t>
            </w:r>
          </w:p>
        </w:tc>
      </w:tr>
    </w:tbl>
    <w:p w14:paraId="2717A02A" w14:textId="77777777" w:rsidR="00175B8E" w:rsidRDefault="00175B8E" w:rsidP="00B14F36">
      <w:pPr>
        <w:pStyle w:val="Heading4"/>
      </w:pPr>
      <w:r>
        <w:t>Background</w:t>
      </w:r>
    </w:p>
    <w:p w14:paraId="68F72B77" w14:textId="77777777" w:rsidR="00564B95" w:rsidRDefault="00175B8E" w:rsidP="00FF2787">
      <w:r>
        <w:t xml:space="preserve">Haemolytic disease of the fetus and newborn (HDFN) is characterised by a breakdown of RBCs by maternal antibodies. During pregnancy, some of the mother’s antibodies are transported across the placenta and enter the fetal circulation. Antibodies to the RhD, Rhc and Kell antigen are the most common causes of severe HDFN in Australia. </w:t>
      </w:r>
    </w:p>
    <w:p w14:paraId="50683FB4" w14:textId="668F535A" w:rsidR="00175B8E" w:rsidRDefault="00175B8E" w:rsidP="00FF2787">
      <w:r>
        <w:t xml:space="preserve">Anaemia is the most significant problem in utero (see Section 4.2.1) because excess fetal bilirubin crosses the placenta and is eliminated by the mother. However, bilirubin levels can rise rapidly after birth, leading to the need for intensive phototherapy and exchange transfusion. Exchange transfusions </w:t>
      </w:r>
      <w:r w:rsidRPr="00405186">
        <w:t>are</w:t>
      </w:r>
      <w:r>
        <w:t xml:space="preserve"> associated with an increased risk of neonatal morbidity and mortality</w:t>
      </w:r>
      <w:r w:rsidRPr="00C912EB">
        <w:t>.</w:t>
      </w:r>
      <w:r>
        <w:t xml:space="preserve"> Since </w:t>
      </w:r>
      <w:r w:rsidR="00274815">
        <w:t>IVIg</w:t>
      </w:r>
      <w:r>
        <w:t xml:space="preserve"> can compete with alloantibodies for Fc receptors on cells that mediate RBC breakdown</w:t>
      </w:r>
      <w:r w:rsidR="00564B95">
        <w:t>,</w:t>
      </w:r>
      <w:hyperlink w:anchor="_ENREF_166" w:tooltip="Hammerman, 1996 #1077" w:history="1">
        <w:r w:rsidR="00E62798">
          <w:fldChar w:fldCharType="begin"/>
        </w:r>
        <w:r w:rsidR="00E62798">
          <w:instrText xml:space="preserve"> ADDIN EN.CITE &lt;EndNote&gt;&lt;Cite&gt;&lt;Author&gt;Hammerman&lt;/Author&gt;&lt;Year&gt;1996&lt;/Year&gt;&lt;RecNum&gt;1077&lt;/RecNum&gt;&lt;DisplayText&gt;&lt;style face="superscript"&gt;166&lt;/style&gt;&lt;/DisplayText&gt;&lt;record&gt;&lt;rec-number&gt;1077&lt;/rec-number&gt;&lt;foreign-keys&gt;&lt;key app="EN" db-id="9edve2wadsavt5ewavaxtda4f2tavzvts9ee" timestamp="1439268468"&gt;1077&lt;/key&gt;&lt;/foreign-keys&gt;&lt;ref-type name="Journal Article"&gt;17&lt;/ref-type&gt;&lt;contributors&gt;&lt;authors&gt;&lt;author&gt;Hammerman, C.&lt;/author&gt;&lt;author&gt;Vreman, H. J.&lt;/author&gt;&lt;author&gt;Kaplan, M.&lt;/author&gt;&lt;author&gt;Stevenson, D. K.&lt;/author&gt;&lt;/authors&gt;&lt;/contributors&gt;&lt;auth-address&gt;Department of Neonatology, Shaare Zedek Medical Center, Jerusalem, Israel.&lt;/auth-address&gt;&lt;titles&gt;&lt;title&gt;Intravenous immune globulin in neonatal immune hemolytic disease: does it reduce hemolysis?&lt;/title&gt;&lt;secondary-title&gt;Acta Paediatr&lt;/secondary-title&gt;&lt;/titles&gt;&lt;periodical&gt;&lt;full-title&gt;Acta Paediatr&lt;/full-title&gt;&lt;abbr-1&gt;Acta paediatrica&lt;/abbr-1&gt;&lt;/periodical&gt;&lt;pages&gt;1351-3&lt;/pages&gt;&lt;volume&gt;85&lt;/volume&gt;&lt;number&gt;11&lt;/number&gt;&lt;keywords&gt;&lt;keyword&gt;Erythroblastosis, Fetal/physiopathology/*therapy&lt;/keyword&gt;&lt;keyword&gt;Hemolysis/*drug effects&lt;/keyword&gt;&lt;keyword&gt;Humans&lt;/keyword&gt;&lt;keyword&gt;Immunoglobulins, Intravenous/*pharmacology/therapeutic use&lt;/keyword&gt;&lt;keyword&gt;Infant, Newborn&lt;/keyword&gt;&lt;/keywords&gt;&lt;dates&gt;&lt;year&gt;1996&lt;/year&gt;&lt;pub-dates&gt;&lt;date&gt;Nov&lt;/date&gt;&lt;/pub-dates&gt;&lt;/dates&gt;&lt;isbn&gt;0803-5253 (Print)&amp;#xD;0803-5253 (Linking)&lt;/isbn&gt;&lt;accession-num&gt;8955465&lt;/accession-num&gt;&lt;urls&gt;&lt;related-urls&gt;&lt;url&gt;http://www.ncbi.nlm.nih.gov/pubmed/8955465&lt;/url&gt;&lt;/related-urls&gt;&lt;/urls&gt;&lt;/record&gt;&lt;/Cite&gt;&lt;/EndNote&gt;</w:instrText>
        </w:r>
        <w:r w:rsidR="00E62798">
          <w:fldChar w:fldCharType="separate"/>
        </w:r>
        <w:r w:rsidR="00E62798" w:rsidRPr="00E62798">
          <w:rPr>
            <w:noProof/>
            <w:vertAlign w:val="superscript"/>
          </w:rPr>
          <w:t>166</w:t>
        </w:r>
        <w:r w:rsidR="00E62798">
          <w:fldChar w:fldCharType="end"/>
        </w:r>
      </w:hyperlink>
      <w:r>
        <w:t xml:space="preserve"> it has been proposed that it can reduce the incidence of exchange transfusion.</w:t>
      </w:r>
    </w:p>
    <w:p w14:paraId="4A60AB11" w14:textId="77777777" w:rsidR="00175B8E" w:rsidRDefault="00175B8E" w:rsidP="00B14F36">
      <w:pPr>
        <w:pStyle w:val="Heading4"/>
      </w:pPr>
      <w:r w:rsidRPr="007F0A9C">
        <w:t>Summary of evidence</w:t>
      </w:r>
    </w:p>
    <w:p w14:paraId="798F7A5F" w14:textId="2CF6196D" w:rsidR="00175B8E" w:rsidRDefault="00564B95" w:rsidP="00564B95">
      <w:r>
        <w:t xml:space="preserve">One good-quality Level I study </w:t>
      </w:r>
      <w:r w:rsidR="00175B8E">
        <w:t xml:space="preserve">that included 12 RCTs </w:t>
      </w:r>
      <w:r w:rsidR="00175B8E" w:rsidRPr="00405186">
        <w:t>w</w:t>
      </w:r>
      <w:r w:rsidR="00175B8E">
        <w:t xml:space="preserve">as </w:t>
      </w:r>
      <w:r w:rsidR="00175B8E" w:rsidRPr="00405186">
        <w:t>identified</w:t>
      </w:r>
      <w:r w:rsidR="00175B8E">
        <w:t>.</w:t>
      </w:r>
      <w:hyperlink w:anchor="_ENREF_167" w:tooltip="Louis, 2014 #894" w:history="1">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 </w:instrText>
        </w:r>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167</w:t>
        </w:r>
        <w:r w:rsidR="00E62798">
          <w:fldChar w:fldCharType="end"/>
        </w:r>
      </w:hyperlink>
      <w:r w:rsidR="00175B8E" w:rsidRPr="00405186">
        <w:t xml:space="preserve"> </w:t>
      </w:r>
      <w:r w:rsidR="00175B8E">
        <w:t>No additional Level II studies were identified.</w:t>
      </w:r>
    </w:p>
    <w:p w14:paraId="10568E7E" w14:textId="77777777" w:rsidR="00175B8E" w:rsidRDefault="00175B8E" w:rsidP="00B14F36">
      <w:pPr>
        <w:pStyle w:val="Heading5"/>
      </w:pPr>
      <w:r w:rsidRPr="007F5653">
        <w:t>Exchange transfusion incidence</w:t>
      </w:r>
    </w:p>
    <w:p w14:paraId="63A5348A" w14:textId="7B351B43" w:rsidR="00175B8E" w:rsidRDefault="00564B95" w:rsidP="00564B95">
      <w:pPr>
        <w:rPr>
          <w:rFonts w:asciiTheme="minorHAnsi" w:eastAsia="Arial Unicode MS" w:hAnsiTheme="minorHAnsi" w:cstheme="minorHAnsi"/>
          <w:bCs/>
          <w:lang w:val="en-GB" w:eastAsia="ja-JP"/>
        </w:rPr>
      </w:pPr>
      <w:r>
        <w:rPr>
          <w:lang w:val="en-GB" w:eastAsia="en-GB"/>
        </w:rPr>
        <w:t>The systematic review</w:t>
      </w:r>
      <w:r w:rsidR="00175B8E">
        <w:rPr>
          <w:lang w:val="en-GB" w:eastAsia="en-GB"/>
        </w:rPr>
        <w:t xml:space="preserve"> assessed the effect of </w:t>
      </w:r>
      <w:r w:rsidR="00274815">
        <w:rPr>
          <w:lang w:val="en-GB" w:eastAsia="en-GB"/>
        </w:rPr>
        <w:t>IVIg</w:t>
      </w:r>
      <w:r w:rsidR="00175B8E">
        <w:rPr>
          <w:lang w:val="en-GB" w:eastAsia="en-GB"/>
        </w:rPr>
        <w:t xml:space="preserve"> on the incidence of exchange transfusion in </w:t>
      </w:r>
      <w:r w:rsidR="00175B8E" w:rsidRPr="00672555">
        <w:rPr>
          <w:lang w:val="en-GB" w:eastAsia="en-GB"/>
        </w:rPr>
        <w:t xml:space="preserve">term and preterm neonates with </w:t>
      </w:r>
      <w:r w:rsidR="0027733F">
        <w:rPr>
          <w:lang w:val="en-GB" w:eastAsia="en-GB"/>
        </w:rPr>
        <w:t>HDFN</w:t>
      </w:r>
      <w:r w:rsidR="00175B8E" w:rsidRPr="00672555">
        <w:rPr>
          <w:lang w:val="en-GB" w:eastAsia="en-GB"/>
        </w:rPr>
        <w:t xml:space="preserve"> secondary to Rh </w:t>
      </w:r>
      <w:r w:rsidR="00175B8E">
        <w:rPr>
          <w:lang w:val="en-GB" w:eastAsia="en-GB"/>
        </w:rPr>
        <w:t xml:space="preserve">or ABO </w:t>
      </w:r>
      <w:r w:rsidR="00175B8E" w:rsidRPr="00672555">
        <w:rPr>
          <w:lang w:val="en-GB" w:eastAsia="en-GB"/>
        </w:rPr>
        <w:t>incompatibility.</w:t>
      </w:r>
      <w:hyperlink w:anchor="_ENREF_167" w:tooltip="Louis, 2014 #894" w:history="1">
        <w:r w:rsidR="00E62798">
          <w:rPr>
            <w:lang w:val="en-GB" w:eastAsia="en-GB"/>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lang w:val="en-GB" w:eastAsia="en-GB"/>
          </w:rPr>
          <w:instrText xml:space="preserve"> ADDIN EN.CITE </w:instrText>
        </w:r>
        <w:r w:rsidR="00E62798">
          <w:rPr>
            <w:lang w:val="en-GB" w:eastAsia="en-GB"/>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167</w:t>
        </w:r>
        <w:r w:rsidR="00E62798">
          <w:rPr>
            <w:lang w:val="en-GB" w:eastAsia="en-GB"/>
          </w:rPr>
          <w:fldChar w:fldCharType="end"/>
        </w:r>
      </w:hyperlink>
      <w:r w:rsidR="00175B8E" w:rsidRPr="00672555">
        <w:rPr>
          <w:lang w:val="en-GB" w:eastAsia="en-GB"/>
        </w:rPr>
        <w:t xml:space="preserve"> </w:t>
      </w:r>
      <w:r>
        <w:rPr>
          <w:lang w:val="en-GB" w:eastAsia="en-GB"/>
        </w:rPr>
        <w:t>It</w:t>
      </w:r>
      <w:r w:rsidR="00175B8E">
        <w:rPr>
          <w:lang w:val="en-GB" w:eastAsia="en-GB"/>
        </w:rPr>
        <w:t xml:space="preserve"> performed separate meta-analyses in Rh and ABO incompatible patients.</w:t>
      </w:r>
      <w:r w:rsidR="004828DA">
        <w:rPr>
          <w:lang w:val="en-GB" w:eastAsia="en-GB"/>
        </w:rPr>
        <w:t xml:space="preserve"> </w:t>
      </w:r>
      <w:r w:rsidR="00175B8E">
        <w:rPr>
          <w:lang w:val="en-GB" w:eastAsia="en-GB"/>
        </w:rPr>
        <w:t xml:space="preserve">A </w:t>
      </w:r>
      <w:r w:rsidR="00175B8E">
        <w:rPr>
          <w:rFonts w:asciiTheme="minorHAnsi" w:eastAsia="Arial Unicode MS" w:hAnsiTheme="minorHAnsi" w:cstheme="minorHAnsi"/>
          <w:bCs/>
          <w:lang w:val="en-GB" w:eastAsia="ja-JP"/>
        </w:rPr>
        <w:t>significant reduction in exchange transfusion incidence following</w:t>
      </w:r>
      <w:r w:rsidR="004828DA">
        <w:rPr>
          <w:rFonts w:asciiTheme="minorHAnsi" w:eastAsia="Arial Unicode MS" w:hAnsiTheme="minorHAnsi" w:cstheme="minorHAnsi"/>
          <w:bCs/>
          <w:lang w:val="en-GB" w:eastAsia="ja-JP"/>
        </w:rPr>
        <w:t xml:space="preserve"> </w:t>
      </w:r>
      <w:r w:rsidR="00274815">
        <w:rPr>
          <w:rFonts w:asciiTheme="minorHAnsi" w:eastAsia="Arial Unicode MS" w:hAnsiTheme="minorHAnsi" w:cstheme="minorHAnsi"/>
          <w:bCs/>
          <w:lang w:val="en-GB" w:eastAsia="ja-JP"/>
        </w:rPr>
        <w:t>IVIg</w:t>
      </w:r>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was reported (</w:t>
      </w:r>
      <w:r w:rsidR="00C25FBF">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&lt;0.00001);</w:t>
      </w:r>
      <w:r w:rsidR="00FF7804">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however, in</w:t>
      </w:r>
      <w:r w:rsidR="00175B8E">
        <w:rPr>
          <w:rFonts w:asciiTheme="minorHAnsi" w:eastAsia="Arial Unicode MS" w:hAnsiTheme="minorHAnsi" w:cstheme="minorHAnsi"/>
          <w:bCs/>
          <w:lang w:val="en-GB" w:eastAsia="ja-JP"/>
        </w:rPr>
        <w:t xml:space="preserve"> a sensitivity analysis that included only</w:t>
      </w:r>
      <w:r w:rsidR="004828DA">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RCTs assessed to ha</w:t>
      </w:r>
      <w:r>
        <w:rPr>
          <w:rFonts w:asciiTheme="minorHAnsi" w:eastAsia="Arial Unicode MS" w:hAnsiTheme="minorHAnsi" w:cstheme="minorHAnsi"/>
          <w:bCs/>
          <w:lang w:val="en-GB" w:eastAsia="ja-JP"/>
        </w:rPr>
        <w:t xml:space="preserve">ve an overall low risk of bias, </w:t>
      </w:r>
      <w:r w:rsidR="00175B8E">
        <w:rPr>
          <w:rFonts w:asciiTheme="minorHAnsi" w:eastAsia="Arial Unicode MS" w:hAnsiTheme="minorHAnsi" w:cstheme="minorHAnsi"/>
          <w:bCs/>
          <w:lang w:val="en-GB" w:eastAsia="ja-JP"/>
        </w:rPr>
        <w:t>the significant difference was not observed (</w:t>
      </w:r>
      <w:r w:rsidR="00C25FBF">
        <w:rPr>
          <w:rFonts w:asciiTheme="minorHAnsi" w:eastAsia="Arial Unicode MS" w:hAnsiTheme="minorHAnsi" w:cstheme="minorHAnsi"/>
          <w:bCs/>
          <w:lang w:val="en-GB" w:eastAsia="ja-JP"/>
        </w:rPr>
        <w:t>p</w:t>
      </w:r>
      <w:r w:rsidR="00175B8E" w:rsidRPr="00A91E1C">
        <w:rPr>
          <w:rFonts w:asciiTheme="minorHAnsi" w:eastAsia="Arial Unicode MS" w:hAnsiTheme="minorHAnsi" w:cstheme="minorHAnsi"/>
          <w:bCs/>
          <w:lang w:val="en-GB" w:eastAsia="ja-JP"/>
        </w:rPr>
        <w:t>=0.37).</w:t>
      </w:r>
      <w:r>
        <w:rPr>
          <w:rFonts w:asciiTheme="minorHAnsi" w:eastAsia="Arial Unicode MS" w:hAnsiTheme="minorHAnsi" w:cstheme="minorHAnsi"/>
          <w:bCs/>
          <w:lang w:val="en-GB" w:eastAsia="ja-JP"/>
        </w:rPr>
        <w:t xml:space="preserve"> In a sub</w:t>
      </w:r>
      <w:r w:rsidR="00175B8E">
        <w:rPr>
          <w:rFonts w:asciiTheme="minorHAnsi" w:eastAsia="Arial Unicode MS" w:hAnsiTheme="minorHAnsi" w:cstheme="minorHAnsi"/>
          <w:bCs/>
          <w:lang w:val="en-GB" w:eastAsia="ja-JP"/>
        </w:rPr>
        <w:t>analysis of RCTs involving preterm neonates only, there was no significant difference between treatment groups for</w:t>
      </w:r>
      <w:r w:rsidR="00175B8E" w:rsidRPr="00F82DC5">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the inc</w:t>
      </w:r>
      <w:r>
        <w:rPr>
          <w:rFonts w:asciiTheme="minorHAnsi" w:eastAsia="Arial Unicode MS" w:hAnsiTheme="minorHAnsi" w:cstheme="minorHAnsi"/>
          <w:bCs/>
          <w:lang w:val="en-GB" w:eastAsia="ja-JP"/>
        </w:rPr>
        <w:t>idence of exchange transfusions.</w:t>
      </w:r>
    </w:p>
    <w:p w14:paraId="53DD77E2" w14:textId="10545CB3" w:rsidR="00175B8E" w:rsidRDefault="00FD3518" w:rsidP="00FD3518">
      <w:pPr>
        <w:rPr>
          <w:rFonts w:eastAsia="Arial Unicode MS"/>
          <w:lang w:val="en-GB" w:eastAsia="ja-JP"/>
        </w:rPr>
      </w:pPr>
      <w:r>
        <w:rPr>
          <w:rFonts w:eastAsia="Arial Unicode MS"/>
          <w:lang w:val="en-GB" w:eastAsia="ja-JP"/>
        </w:rPr>
        <w:t>The review</w:t>
      </w:r>
      <w:r w:rsidR="00175B8E">
        <w:rPr>
          <w:rFonts w:eastAsia="Arial Unicode MS"/>
          <w:lang w:val="en-GB" w:eastAsia="ja-JP"/>
        </w:rPr>
        <w:t xml:space="preserve"> also assessed number of exchange transfusions per infant.</w:t>
      </w:r>
      <w:hyperlink w:anchor="_ENREF_167" w:tooltip="Louis, 2014 #894" w:history="1">
        <w:r w:rsidR="00E62798">
          <w:rPr>
            <w:rFonts w:eastAsia="Arial Unicode MS"/>
            <w:lang w:val="en-GB" w:eastAsia="ja-JP"/>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rFonts w:eastAsia="Arial Unicode MS"/>
            <w:lang w:val="en-GB" w:eastAsia="ja-JP"/>
          </w:rPr>
          <w:instrText xml:space="preserve"> ADDIN EN.CITE </w:instrText>
        </w:r>
        <w:r w:rsidR="00E62798">
          <w:rPr>
            <w:rFonts w:eastAsia="Arial Unicode MS"/>
            <w:lang w:val="en-GB" w:eastAsia="ja-JP"/>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rFonts w:eastAsia="Arial Unicode MS"/>
            <w:lang w:val="en-GB" w:eastAsia="ja-JP"/>
          </w:rPr>
          <w:instrText xml:space="preserve"> ADDIN EN.CITE.DATA </w:instrText>
        </w:r>
        <w:r w:rsidR="00E62798">
          <w:rPr>
            <w:rFonts w:eastAsia="Arial Unicode MS"/>
            <w:lang w:val="en-GB" w:eastAsia="ja-JP"/>
          </w:rPr>
        </w:r>
        <w:r w:rsidR="00E62798">
          <w:rPr>
            <w:rFonts w:eastAsia="Arial Unicode MS"/>
            <w:lang w:val="en-GB" w:eastAsia="ja-JP"/>
          </w:rPr>
          <w:fldChar w:fldCharType="end"/>
        </w:r>
        <w:r w:rsidR="00E62798">
          <w:rPr>
            <w:rFonts w:eastAsia="Arial Unicode MS"/>
            <w:lang w:val="en-GB" w:eastAsia="ja-JP"/>
          </w:rPr>
        </w:r>
        <w:r w:rsidR="00E62798">
          <w:rPr>
            <w:rFonts w:eastAsia="Arial Unicode MS"/>
            <w:lang w:val="en-GB" w:eastAsia="ja-JP"/>
          </w:rPr>
          <w:fldChar w:fldCharType="separate"/>
        </w:r>
        <w:r w:rsidR="00E62798" w:rsidRPr="00E62798">
          <w:rPr>
            <w:rFonts w:eastAsia="Arial Unicode MS"/>
            <w:noProof/>
            <w:vertAlign w:val="superscript"/>
            <w:lang w:val="en-GB" w:eastAsia="ja-JP"/>
          </w:rPr>
          <w:t>167</w:t>
        </w:r>
        <w:r w:rsidR="00E62798">
          <w:rPr>
            <w:rFonts w:eastAsia="Arial Unicode MS"/>
            <w:lang w:val="en-GB" w:eastAsia="ja-JP"/>
          </w:rPr>
          <w:fldChar w:fldCharType="end"/>
        </w:r>
      </w:hyperlink>
      <w:r w:rsidR="00175B8E">
        <w:rPr>
          <w:rFonts w:eastAsia="Arial Unicode MS"/>
          <w:lang w:val="en-GB" w:eastAsia="ja-JP"/>
        </w:rPr>
        <w:t xml:space="preserve"> </w:t>
      </w:r>
      <w:r>
        <w:rPr>
          <w:lang w:val="en-GB" w:eastAsia="en-GB"/>
        </w:rPr>
        <w:t>A</w:t>
      </w:r>
      <w:r w:rsidR="00175B8E">
        <w:rPr>
          <w:lang w:val="en-GB" w:eastAsia="en-GB"/>
        </w:rPr>
        <w:t xml:space="preserve"> sensitivity analysis of RCTs </w:t>
      </w:r>
      <w:r w:rsidR="00175B8E">
        <w:rPr>
          <w:rFonts w:eastAsia="Arial Unicode MS"/>
          <w:lang w:val="en-GB" w:eastAsia="ja-JP"/>
        </w:rPr>
        <w:t>assessed to have an overall low risk of bias</w:t>
      </w:r>
      <w:r>
        <w:rPr>
          <w:rFonts w:eastAsia="Arial Unicode MS"/>
          <w:lang w:val="en-GB" w:eastAsia="ja-JP"/>
        </w:rPr>
        <w:t xml:space="preserve"> found</w:t>
      </w:r>
      <w:r w:rsidR="00175B8E">
        <w:rPr>
          <w:lang w:val="en-GB" w:eastAsia="en-GB"/>
        </w:rPr>
        <w:t xml:space="preserve"> </w:t>
      </w:r>
      <w:r w:rsidR="00175B8E" w:rsidRPr="00A26118">
        <w:rPr>
          <w:rFonts w:eastAsia="Arial Unicode MS"/>
          <w:lang w:val="en-GB" w:eastAsia="ja-JP"/>
        </w:rPr>
        <w:t xml:space="preserve">no </w:t>
      </w:r>
      <w:r w:rsidR="00175B8E">
        <w:rPr>
          <w:rFonts w:eastAsia="Arial Unicode MS"/>
          <w:lang w:val="en-GB" w:eastAsia="ja-JP"/>
        </w:rPr>
        <w:t xml:space="preserve">significant </w:t>
      </w:r>
      <w:r w:rsidR="00175B8E" w:rsidRPr="00A26118">
        <w:rPr>
          <w:rFonts w:eastAsia="Arial Unicode MS"/>
          <w:lang w:val="en-GB" w:eastAsia="ja-JP"/>
        </w:rPr>
        <w:t>difference</w:t>
      </w:r>
      <w:r w:rsidR="00175B8E">
        <w:rPr>
          <w:rFonts w:eastAsia="Arial Unicode MS"/>
          <w:lang w:val="en-GB" w:eastAsia="ja-JP"/>
        </w:rPr>
        <w:t xml:space="preserve"> on the number of exchange transfusions per infant</w:t>
      </w:r>
      <w:r>
        <w:rPr>
          <w:rFonts w:eastAsia="Arial Unicode MS"/>
          <w:lang w:val="en-GB" w:eastAsia="ja-JP"/>
        </w:rPr>
        <w:t>.</w:t>
      </w:r>
    </w:p>
    <w:p w14:paraId="724D0C90" w14:textId="77777777" w:rsidR="00175B8E" w:rsidRPr="007F5653" w:rsidRDefault="00175B8E" w:rsidP="00B14F36">
      <w:pPr>
        <w:pStyle w:val="Heading5"/>
      </w:pPr>
      <w:r w:rsidRPr="007F5653">
        <w:t>Mortality</w:t>
      </w:r>
    </w:p>
    <w:p w14:paraId="2CAB7F41" w14:textId="008ED568" w:rsidR="00FD3518" w:rsidRDefault="00FD3518" w:rsidP="00FD3518">
      <w:pPr>
        <w:rPr>
          <w:rFonts w:eastAsia="Arial Unicode MS"/>
          <w:lang w:val="en-GB" w:eastAsia="ja-JP"/>
        </w:rPr>
      </w:pPr>
      <w:r>
        <w:rPr>
          <w:rFonts w:eastAsia="Arial Unicode MS"/>
          <w:lang w:val="en-GB" w:eastAsia="ja-JP"/>
        </w:rPr>
        <w:t>No deaths were</w:t>
      </w:r>
      <w:r w:rsidR="00175B8E">
        <w:rPr>
          <w:rFonts w:eastAsia="Arial Unicode MS"/>
          <w:lang w:val="en-GB" w:eastAsia="ja-JP"/>
        </w:rPr>
        <w:t xml:space="preserve"> reported </w:t>
      </w:r>
      <w:r>
        <w:rPr>
          <w:rFonts w:eastAsia="Arial Unicode MS"/>
          <w:lang w:val="en-GB" w:eastAsia="ja-JP"/>
        </w:rPr>
        <w:t>in</w:t>
      </w:r>
      <w:r w:rsidR="00175B8E">
        <w:rPr>
          <w:rFonts w:eastAsia="Arial Unicode MS"/>
          <w:lang w:val="en-GB" w:eastAsia="ja-JP"/>
        </w:rPr>
        <w:t xml:space="preserve"> the included studies.</w:t>
      </w:r>
      <w:hyperlink w:anchor="_ENREF_167" w:tooltip="Louis, 2014 #894" w:history="1">
        <w:r w:rsidR="00E62798">
          <w:rPr>
            <w:rFonts w:eastAsia="Arial Unicode MS"/>
            <w:lang w:val="en-GB" w:eastAsia="ja-JP"/>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rFonts w:eastAsia="Arial Unicode MS"/>
            <w:lang w:val="en-GB" w:eastAsia="ja-JP"/>
          </w:rPr>
          <w:instrText xml:space="preserve"> ADDIN EN.CITE </w:instrText>
        </w:r>
        <w:r w:rsidR="00E62798">
          <w:rPr>
            <w:rFonts w:eastAsia="Arial Unicode MS"/>
            <w:lang w:val="en-GB" w:eastAsia="ja-JP"/>
          </w:rPr>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rPr>
            <w:rFonts w:eastAsia="Arial Unicode MS"/>
            <w:lang w:val="en-GB" w:eastAsia="ja-JP"/>
          </w:rPr>
          <w:instrText xml:space="preserve"> ADDIN EN.CITE.DATA </w:instrText>
        </w:r>
        <w:r w:rsidR="00E62798">
          <w:rPr>
            <w:rFonts w:eastAsia="Arial Unicode MS"/>
            <w:lang w:val="en-GB" w:eastAsia="ja-JP"/>
          </w:rPr>
        </w:r>
        <w:r w:rsidR="00E62798">
          <w:rPr>
            <w:rFonts w:eastAsia="Arial Unicode MS"/>
            <w:lang w:val="en-GB" w:eastAsia="ja-JP"/>
          </w:rPr>
          <w:fldChar w:fldCharType="end"/>
        </w:r>
        <w:r w:rsidR="00E62798">
          <w:rPr>
            <w:rFonts w:eastAsia="Arial Unicode MS"/>
            <w:lang w:val="en-GB" w:eastAsia="ja-JP"/>
          </w:rPr>
        </w:r>
        <w:r w:rsidR="00E62798">
          <w:rPr>
            <w:rFonts w:eastAsia="Arial Unicode MS"/>
            <w:lang w:val="en-GB" w:eastAsia="ja-JP"/>
          </w:rPr>
          <w:fldChar w:fldCharType="separate"/>
        </w:r>
        <w:r w:rsidR="00E62798" w:rsidRPr="00E62798">
          <w:rPr>
            <w:rFonts w:eastAsia="Arial Unicode MS"/>
            <w:noProof/>
            <w:vertAlign w:val="superscript"/>
            <w:lang w:val="en-GB" w:eastAsia="ja-JP"/>
          </w:rPr>
          <w:t>167</w:t>
        </w:r>
        <w:r w:rsidR="00E62798">
          <w:rPr>
            <w:rFonts w:eastAsia="Arial Unicode MS"/>
            <w:lang w:val="en-GB" w:eastAsia="ja-JP"/>
          </w:rPr>
          <w:fldChar w:fldCharType="end"/>
        </w:r>
      </w:hyperlink>
      <w:r w:rsidR="00175B8E">
        <w:rPr>
          <w:rFonts w:eastAsia="Arial Unicode MS"/>
          <w:lang w:val="en-GB" w:eastAsia="ja-JP"/>
        </w:rPr>
        <w:t xml:space="preserve"> </w:t>
      </w:r>
    </w:p>
    <w:p w14:paraId="2C7BAFB4" w14:textId="5F30D566" w:rsidR="00175B8E" w:rsidRPr="00FD3518" w:rsidRDefault="00FD3518" w:rsidP="00397071">
      <w:pPr>
        <w:pStyle w:val="BoxHeading"/>
      </w:pPr>
      <w:r>
        <w:t>C</w:t>
      </w:r>
      <w:r w:rsidR="00175B8E" w:rsidRPr="002E7F41">
        <w:t>linical commentary</w:t>
      </w:r>
      <w:r>
        <w:t xml:space="preserve"> – </w:t>
      </w:r>
      <w:r w:rsidR="00274815">
        <w:t>IVIg</w:t>
      </w:r>
      <w:r>
        <w:t xml:space="preserve"> for haemolytic disease in preterm and term infants</w:t>
      </w:r>
    </w:p>
    <w:p w14:paraId="201067A8" w14:textId="5C322743" w:rsidR="00175B8E" w:rsidRPr="00B82BEB" w:rsidRDefault="00175B8E" w:rsidP="00397071">
      <w:pPr>
        <w:pStyle w:val="BoxText"/>
      </w:pPr>
      <w:r>
        <w:t xml:space="preserve">Administering </w:t>
      </w:r>
      <w:r w:rsidR="00274815">
        <w:t>IVIg</w:t>
      </w:r>
      <w:r>
        <w:t xml:space="preserve"> to newborns has been postulated to reduce the severity of haemolysis with HDFN. T</w:t>
      </w:r>
      <w:r w:rsidRPr="00B82BEB">
        <w:t xml:space="preserve">he combined results of all trials suggest that </w:t>
      </w:r>
      <w:r w:rsidR="00274815">
        <w:t>IVIg</w:t>
      </w:r>
      <w:r w:rsidRPr="00B82BEB">
        <w:t xml:space="preserve"> can reduce the incidence of </w:t>
      </w:r>
      <w:r>
        <w:t>exchange transfusion (ET)</w:t>
      </w:r>
      <w:r w:rsidRPr="00B82BEB">
        <w:t xml:space="preserve"> in infants with HDFN</w:t>
      </w:r>
      <w:r>
        <w:t xml:space="preserve">; however, </w:t>
      </w:r>
      <w:r w:rsidRPr="00B82BEB">
        <w:t xml:space="preserve">the earlier trials </w:t>
      </w:r>
      <w:r>
        <w:t>we</w:t>
      </w:r>
      <w:r w:rsidRPr="00B82BEB">
        <w:t>re generally of low quality.</w:t>
      </w:r>
      <w:hyperlink w:anchor="_ENREF_167" w:tooltip="Louis, 2014 #894" w:history="1">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 </w:instrText>
        </w:r>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167</w:t>
        </w:r>
        <w:r w:rsidR="00E62798">
          <w:fldChar w:fldCharType="end"/>
        </w:r>
      </w:hyperlink>
      <w:r w:rsidRPr="00B82BEB">
        <w:t xml:space="preserve"> When only the trials at low risk of bias </w:t>
      </w:r>
      <w:r w:rsidR="0084103E">
        <w:t>we</w:t>
      </w:r>
      <w:r w:rsidRPr="00B82BEB">
        <w:t xml:space="preserve">re considered, there </w:t>
      </w:r>
      <w:r w:rsidR="0084103E">
        <w:t>was</w:t>
      </w:r>
      <w:r w:rsidRPr="00B82BEB">
        <w:t xml:space="preserve"> no effect of </w:t>
      </w:r>
      <w:r w:rsidR="00274815">
        <w:t>IVIg</w:t>
      </w:r>
      <w:r w:rsidRPr="00B82BEB">
        <w:t xml:space="preserve"> on reducing incidence of ET or any other outcome of importance (</w:t>
      </w:r>
      <w:r>
        <w:t>e.g.</w:t>
      </w:r>
      <w:r w:rsidRPr="00B82BEB">
        <w:t xml:space="preserve"> peak bilirubin, duration of phototherapy or need for top-up transfusion). None of the trials was powered to assess rare (but potentially life-threatening) adverse effects such as TRALI, </w:t>
      </w:r>
      <w:r w:rsidR="0084103E">
        <w:t>the risk of which is likely to increase with transfusion of plasma products</w:t>
      </w:r>
      <w:r w:rsidRPr="00B82BEB">
        <w:t xml:space="preserve">. </w:t>
      </w:r>
      <w:r>
        <w:t xml:space="preserve">The recent, high-quality trials specified the use of intensive phototherapy, which is the most effective neonatal treatment to reduce the need for ET. </w:t>
      </w:r>
    </w:p>
    <w:p w14:paraId="306554A6" w14:textId="28556CE6" w:rsidR="00175B8E" w:rsidRDefault="00175B8E" w:rsidP="00397071">
      <w:pPr>
        <w:pStyle w:val="BoxText"/>
        <w:rPr>
          <w:b/>
        </w:rPr>
      </w:pPr>
      <w:r w:rsidRPr="00B82BEB">
        <w:t xml:space="preserve">Although the review suggested a benefit of </w:t>
      </w:r>
      <w:r w:rsidR="00274815">
        <w:t>IVIg</w:t>
      </w:r>
      <w:r w:rsidRPr="00B82BEB">
        <w:t xml:space="preserve"> in reducing ET for jaundice due to ABO incompatibility, the studies </w:t>
      </w:r>
      <w:r>
        <w:t>we</w:t>
      </w:r>
      <w:r w:rsidRPr="00B82BEB">
        <w:t>re also of low quality.</w:t>
      </w:r>
      <w:hyperlink w:anchor="_ENREF_167" w:tooltip="Louis, 2014 #894" w:history="1">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 </w:instrText>
        </w:r>
        <w:r w:rsidR="00E62798">
          <w:fldChar w:fldCharType="begin">
            <w:fldData xml:space="preserve">PEVuZE5vdGU+PENpdGU+PEF1dGhvcj5Mb3VpczwvQXV0aG9yPjxZZWFyPjIwMTQ8L1llYXI+PFJl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==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167</w:t>
        </w:r>
        <w:r w:rsidR="00E62798">
          <w:fldChar w:fldCharType="end"/>
        </w:r>
      </w:hyperlink>
      <w:r w:rsidRPr="00B82BEB">
        <w:t xml:space="preserve"> It seems unlikely that </w:t>
      </w:r>
      <w:r w:rsidR="00274815">
        <w:t>IVIg</w:t>
      </w:r>
      <w:r w:rsidRPr="00B82BEB">
        <w:t xml:space="preserve"> would be </w:t>
      </w:r>
      <w:r>
        <w:t>of benefit</w:t>
      </w:r>
      <w:r w:rsidRPr="00B82BEB">
        <w:t xml:space="preserve"> in ABO haemolysis</w:t>
      </w:r>
      <w:r>
        <w:t xml:space="preserve"> (which is typically milder)</w:t>
      </w:r>
      <w:r w:rsidRPr="00B82BEB">
        <w:t xml:space="preserve"> if there is no benefit in RhD HDFN. With the availability of intensive phototherapy, ABO incompatibility has become an increasingly uncommon indication for ET in Australia.</w:t>
      </w:r>
      <w:hyperlink w:anchor="_ENREF_168" w:tooltip="Chitty, 2013 #1081" w:history="1">
        <w:r w:rsidR="00E62798">
          <w:fldChar w:fldCharType="begin"/>
        </w:r>
        <w:r w:rsidR="00E62798">
          <w:instrText xml:space="preserve"> ADDIN EN.CITE &lt;EndNote&gt;&lt;Cite&gt;&lt;Author&gt;Chitty&lt;/Author&gt;&lt;Year&gt;2013&lt;/Year&gt;&lt;RecNum&gt;1081&lt;/RecNum&gt;&lt;DisplayText&gt;&lt;style face="superscript"&gt;168&lt;/style&gt;&lt;/DisplayText&gt;&lt;record&gt;&lt;rec-number&gt;1081&lt;/rec-number&gt;&lt;foreign-keys&gt;&lt;key app="EN" db-id="9edve2wadsavt5ewavaxtda4f2tavzvts9ee" timestamp="1439268885"&gt;1081&lt;/key&gt;&lt;/foreign-keys&gt;&lt;ref-type name="Journal Article"&gt;17&lt;/ref-type&gt;&lt;contributors&gt;&lt;authors&gt;&lt;author&gt;Chitty, H. E.&lt;/author&gt;&lt;author&gt;Ziegler, N.&lt;/author&gt;&lt;author&gt;Savoia, H.&lt;/author&gt;&lt;author&gt;Doyle, L. W.&lt;/author&gt;&lt;author&gt;Fox, L. M.&lt;/author&gt;&lt;/authors&gt;&lt;/contributors&gt;&lt;auth-address&gt;Department of Newborn Services, The Royal Women&amp;apos;s Hospital, Melbourne, Victoria, Australia.&lt;/auth-address&gt;&lt;titles&gt;&lt;title&gt;Neonatal exchange transfusions in the 21st century: a single hospital study&lt;/title&gt;&lt;secondary-title&gt;J Paediatr Child Health&lt;/secondary-title&gt;&lt;/titles&gt;&lt;periodical&gt;&lt;full-title&gt;J Paediatr Child Health&lt;/full-title&gt;&lt;/periodical&gt;&lt;pages&gt;825-32&lt;/pages&gt;&lt;volume&gt;49&lt;/volume&gt;&lt;number&gt;10&lt;/number&gt;&lt;keywords&gt;&lt;keyword&gt;Australia&lt;/keyword&gt;&lt;keyword&gt;Blood Group Incompatibility/*therapy&lt;/keyword&gt;&lt;keyword&gt;Exchange Transfusion, Whole Blood/adverse effects/*statistics &amp;amp; numerical&lt;/keyword&gt;&lt;keyword&gt;data/trends&lt;/keyword&gt;&lt;keyword&gt;Female&lt;/keyword&gt;&lt;keyword&gt;Humans&lt;/keyword&gt;&lt;keyword&gt;Hyperbilirubinemia/therapy&lt;/keyword&gt;&lt;keyword&gt;Infant, Newborn&lt;/keyword&gt;&lt;keyword&gt;Infant, Premature&lt;/keyword&gt;&lt;keyword&gt;Infant, Premature, Diseases/*therapy&lt;/keyword&gt;&lt;keyword&gt;Male&lt;/keyword&gt;&lt;keyword&gt;Retrospective Studies&lt;/keyword&gt;&lt;keyword&gt;exchange transfusion&lt;/keyword&gt;&lt;keyword&gt;hyperbilirubinaemia&lt;/keyword&gt;&lt;keyword&gt;mortality&lt;/keyword&gt;&lt;keyword&gt;procedural complication&lt;/keyword&gt;&lt;keyword&gt;rhesus isoimmunisation&lt;/keyword&gt;&lt;/keywords&gt;&lt;dates&gt;&lt;year&gt;2013&lt;/year&gt;&lt;pub-dates&gt;&lt;date&gt;Oct&lt;/date&gt;&lt;/pub-dates&gt;&lt;/dates&gt;&lt;isbn&gt;1440-1754 (Electronic)&amp;#xD;1034-4810 (Linking)&lt;/isbn&gt;&lt;accession-num&gt;23834341&lt;/accession-num&gt;&lt;urls&gt;&lt;related-urls&gt;&lt;url&gt;http://www.ncbi.nlm.nih.gov/pubmed/23834341&lt;/url&gt;&lt;/related-urls&gt;&lt;/urls&gt;&lt;electronic-resource-num&gt;10.1111/jpc.12290&lt;/electronic-resource-num&gt;&lt;/record&gt;&lt;/Cite&gt;&lt;/EndNote&gt;</w:instrText>
        </w:r>
        <w:r w:rsidR="00E62798">
          <w:fldChar w:fldCharType="separate"/>
        </w:r>
        <w:r w:rsidR="00E62798" w:rsidRPr="00E62798">
          <w:rPr>
            <w:noProof/>
            <w:vertAlign w:val="superscript"/>
          </w:rPr>
          <w:t>168</w:t>
        </w:r>
        <w:r w:rsidR="00E62798">
          <w:fldChar w:fldCharType="end"/>
        </w:r>
      </w:hyperlink>
      <w:r w:rsidRPr="00B82BEB">
        <w:t xml:space="preserve"> It is a rare cause of top-up transfusion</w:t>
      </w:r>
      <w:r>
        <w:t>.</w:t>
      </w:r>
      <w:hyperlink w:anchor="_ENREF_169" w:tooltip="Liley, 2015 #1082" w:history="1">
        <w:r w:rsidR="00E62798">
          <w:fldChar w:fldCharType="begin"/>
        </w:r>
        <w:r w:rsidR="00E62798">
          <w:instrText xml:space="preserve"> ADDIN EN.CITE &lt;EndNote&gt;&lt;Cite&gt;&lt;Author&gt;Liley&lt;/Author&gt;&lt;Year&gt;2015&lt;/Year&gt;&lt;RecNum&gt;1082&lt;/RecNum&gt;&lt;DisplayText&gt;&lt;style face="superscript"&gt;169&lt;/style&gt;&lt;/DisplayText&gt;&lt;record&gt;&lt;rec-number&gt;1082&lt;/rec-number&gt;&lt;foreign-keys&gt;&lt;key app="EN" db-id="9edve2wadsavt5ewavaxtda4f2tavzvts9ee" timestamp="1439269320"&gt;1082&lt;/key&gt;&lt;/foreign-keys&gt;&lt;ref-type name="Book Section"&gt;5&lt;/ref-type&gt;&lt;contributors&gt;&lt;authors&gt;&lt;author&gt;Liley, H.G&lt;/author&gt;&lt;author&gt;Gardener, G.&lt;/author&gt;&lt;author&gt;Lopriore, E.&lt;/author&gt;&lt;author&gt;Smits-Wintjens, V.&lt;/author&gt;&lt;/authors&gt;&lt;secondary-authors&gt;&lt;author&gt;Orkin, S.H.&lt;/author&gt;&lt;author&gt;Nathan, D.G.&lt;/author&gt;&lt;author&gt;Ginsburg, D&lt;/author&gt;&lt;author&gt;Look, A. T.&lt;/author&gt;&lt;author&gt;Fisher, D.E.&lt;/author&gt;&lt;author&gt;Lux, S&lt;/author&gt;&lt;/secondary-authors&gt;&lt;/contributors&gt;&lt;titles&gt;&lt;title&gt;Immune Hemolytic Disease&lt;/title&gt;&lt;secondary-title&gt;Nathan and Oskit&amp;apos;s Hematology and Oncology of Infancy and Childhood, 8th Edition&lt;/secondary-title&gt;&lt;/titles&gt;&lt;dates&gt;&lt;year&gt;2015&lt;/year&gt;&lt;/dates&gt;&lt;publisher&gt;Elsevier&lt;/publisher&gt;&lt;urls&gt;&lt;/urls&gt;&lt;/record&gt;&lt;/Cite&gt;&lt;/EndNote&gt;</w:instrText>
        </w:r>
        <w:r w:rsidR="00E62798">
          <w:fldChar w:fldCharType="separate"/>
        </w:r>
        <w:r w:rsidR="00E62798" w:rsidRPr="00E62798">
          <w:rPr>
            <w:noProof/>
            <w:vertAlign w:val="superscript"/>
          </w:rPr>
          <w:t>169</w:t>
        </w:r>
        <w:r w:rsidR="00E62798">
          <w:fldChar w:fldCharType="end"/>
        </w:r>
      </w:hyperlink>
    </w:p>
    <w:p w14:paraId="0F0474A5" w14:textId="74D47CBF" w:rsidR="0084103E" w:rsidRPr="0084103E" w:rsidRDefault="0084103E" w:rsidP="0084103E">
      <w:pPr>
        <w:pStyle w:val="Heading3"/>
        <w:rPr>
          <w:lang w:val="en-GB"/>
        </w:rPr>
      </w:pPr>
      <w:bookmarkStart w:id="168" w:name="_Toc427851357"/>
      <w:r>
        <w:t>3.5.</w:t>
      </w:r>
      <w:r>
        <w:rPr>
          <w:lang w:val="en-AU"/>
        </w:rPr>
        <w:t>3</w:t>
      </w:r>
      <w:r>
        <w:tab/>
      </w:r>
      <w:bookmarkStart w:id="169" w:name="OLE_LINK17"/>
      <w:bookmarkStart w:id="170" w:name="OLE_LINK18"/>
      <w:r w:rsidR="00FF7804">
        <w:rPr>
          <w:rFonts w:cs="Tahoma"/>
          <w:szCs w:val="21"/>
          <w:lang w:val="en-GB" w:eastAsia="en-GB"/>
        </w:rPr>
        <w:t>N</w:t>
      </w:r>
      <w:r w:rsidRPr="00EA4E11">
        <w:rPr>
          <w:rFonts w:cs="Tahoma"/>
          <w:szCs w:val="21"/>
          <w:lang w:val="en-GB" w:eastAsia="en-GB"/>
        </w:rPr>
        <w:t xml:space="preserve">eonatal </w:t>
      </w:r>
      <w:r w:rsidR="00FF7804">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w:t>
      </w:r>
      <w:bookmarkEnd w:id="169"/>
      <w:bookmarkEnd w:id="170"/>
      <w:r>
        <w:rPr>
          <w:rFonts w:cs="Tahoma"/>
          <w:szCs w:val="21"/>
          <w:lang w:val="en-GB" w:eastAsia="en-GB"/>
        </w:rPr>
        <w:t xml:space="preserve">undergoing surgery – </w:t>
      </w:r>
      <w:r>
        <w:t xml:space="preserve">effects of </w:t>
      </w:r>
      <w:r>
        <w:rPr>
          <w:lang w:val="en-AU"/>
        </w:rPr>
        <w:t>prevention of hypothermia</w:t>
      </w:r>
      <w:r>
        <w:t xml:space="preserve"> on outcomes</w:t>
      </w:r>
      <w:bookmarkEnd w:id="168"/>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3"/>
        <w:gridCol w:w="809"/>
        <w:gridCol w:w="911"/>
        <w:gridCol w:w="793"/>
        <w:gridCol w:w="793"/>
        <w:gridCol w:w="740"/>
      </w:tblGrid>
      <w:tr w:rsidR="00175B8E" w14:paraId="5D3ED53A" w14:textId="77777777" w:rsidTr="00467EEA">
        <w:trPr>
          <w:cantSplit/>
          <w:trHeight w:val="2078"/>
          <w:tblHeader/>
        </w:trPr>
        <w:tc>
          <w:tcPr>
            <w:tcW w:w="4594"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51A97DE0" w14:textId="20F1810E" w:rsidR="00175B8E" w:rsidRPr="005E38DA" w:rsidRDefault="00175B8E" w:rsidP="005E38DA">
            <w:pPr>
              <w:pStyle w:val="PP-heading"/>
              <w:rPr>
                <w:lang w:val="en-AU" w:eastAsia="en-US"/>
              </w:rPr>
            </w:pPr>
            <w:r>
              <w:rPr>
                <w:lang w:eastAsia="en-US"/>
              </w:rPr>
              <w:t xml:space="preserve">Evidence statements – </w:t>
            </w:r>
            <w:r w:rsidR="005E38DA">
              <w:rPr>
                <w:lang w:val="en-AU" w:eastAsia="en-US"/>
              </w:rPr>
              <w:t>surgical (</w:t>
            </w:r>
            <w:r>
              <w:rPr>
                <w:lang w:eastAsia="en-US"/>
              </w:rPr>
              <w:t>prevention of hypothermia</w:t>
            </w:r>
            <w:r w:rsidR="005E38DA">
              <w:rPr>
                <w:lang w:val="en-AU" w:eastAsia="en-US"/>
              </w:rPr>
              <w: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E4EE4D8"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3AE36F1"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D7E9AC9"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D04E5B0"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4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FEC7484"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37DADCF7"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4E86F3DA" w14:textId="77777777" w:rsidR="00175B8E" w:rsidRPr="00010EC7" w:rsidRDefault="00175B8E" w:rsidP="00C25FBF">
            <w:pPr>
              <w:pStyle w:val="ES-table"/>
              <w:keepNext w:val="0"/>
              <w:rPr>
                <w:lang w:val="en-US" w:eastAsia="en-US"/>
              </w:rPr>
            </w:pPr>
            <w:r w:rsidRPr="009379C8">
              <w:t>ES4.5</w:t>
            </w:r>
          </w:p>
        </w:tc>
        <w:tc>
          <w:tcPr>
            <w:tcW w:w="3743" w:type="dxa"/>
            <w:tcBorders>
              <w:top w:val="single" w:sz="4" w:space="0" w:color="000000"/>
              <w:left w:val="single" w:sz="4" w:space="0" w:color="000000"/>
              <w:bottom w:val="single" w:sz="4" w:space="0" w:color="000000"/>
              <w:right w:val="single" w:sz="4" w:space="0" w:color="000000"/>
            </w:tcBorders>
            <w:hideMark/>
          </w:tcPr>
          <w:p w14:paraId="2A45CD9C" w14:textId="77777777" w:rsidR="00175B8E" w:rsidRDefault="00175B8E" w:rsidP="00C25FBF">
            <w:pPr>
              <w:pStyle w:val="ES-table"/>
              <w:keepNext w:val="0"/>
              <w:spacing w:line="276" w:lineRule="auto"/>
              <w:rPr>
                <w:rFonts w:eastAsia="Arial Unicode MS"/>
                <w:lang w:val="en-US" w:eastAsia="en-US"/>
              </w:rPr>
            </w:pPr>
            <w:r>
              <w:rPr>
                <w:rFonts w:eastAsia="Arial Unicode MS"/>
                <w:lang w:val="en-US" w:eastAsia="en-US"/>
              </w:rPr>
              <w:t>In paediatric patients undergoing cardiac surgery with CPB, the effect of preventing hypothermia compared with no prevention of hypothermia on mortality is uncertain.</w:t>
            </w:r>
          </w:p>
          <w:p w14:paraId="52EDA43A" w14:textId="77777777" w:rsidR="00175B8E" w:rsidRDefault="00175B8E" w:rsidP="00C25FBF">
            <w:pPr>
              <w:pStyle w:val="ES-notes"/>
              <w:keepNext w:val="0"/>
              <w:spacing w:line="276" w:lineRule="auto"/>
              <w:rPr>
                <w:lang w:val="en-US" w:eastAsia="en-US"/>
              </w:rPr>
            </w:pPr>
            <w:r>
              <w:rPr>
                <w:lang w:val="en-US" w:eastAsia="en-US"/>
              </w:rPr>
              <w:t>(See evidence matrix D4.E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01C214A6"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0D9ED40A"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21392BCD"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29520960"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r>
              <w:rPr>
                <w:rFonts w:ascii="Arial Narrow" w:hAnsi="Arial Narrow"/>
                <w:sz w:val="20"/>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4B3E80AA"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p>
        </w:tc>
      </w:tr>
      <w:tr w:rsidR="00175B8E" w14:paraId="3460FBBF"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625BB616" w14:textId="77777777" w:rsidR="00175B8E" w:rsidRDefault="00175B8E" w:rsidP="00C25FBF">
            <w:pPr>
              <w:pStyle w:val="ES-table"/>
              <w:keepNext w:val="0"/>
              <w:rPr>
                <w:lang w:val="en-US" w:eastAsia="en-US"/>
              </w:rPr>
            </w:pPr>
            <w:r w:rsidRPr="009379C8">
              <w:t>ES4.6</w:t>
            </w:r>
          </w:p>
        </w:tc>
        <w:tc>
          <w:tcPr>
            <w:tcW w:w="3743" w:type="dxa"/>
            <w:tcBorders>
              <w:top w:val="single" w:sz="4" w:space="0" w:color="000000"/>
              <w:left w:val="single" w:sz="4" w:space="0" w:color="000000"/>
              <w:bottom w:val="single" w:sz="4" w:space="0" w:color="000000"/>
              <w:right w:val="single" w:sz="4" w:space="0" w:color="000000"/>
            </w:tcBorders>
            <w:hideMark/>
          </w:tcPr>
          <w:p w14:paraId="73655955" w14:textId="77777777" w:rsidR="00175B8E" w:rsidRDefault="00175B8E" w:rsidP="00C25FBF">
            <w:pPr>
              <w:pStyle w:val="ES-table"/>
              <w:keepNext w:val="0"/>
              <w:spacing w:line="276" w:lineRule="auto"/>
              <w:rPr>
                <w:rFonts w:eastAsia="Arial Unicode MS"/>
                <w:lang w:val="en-US" w:eastAsia="ja-JP"/>
              </w:rPr>
            </w:pPr>
            <w:r>
              <w:rPr>
                <w:rFonts w:eastAsia="Arial Unicode MS"/>
                <w:lang w:val="en-US" w:eastAsia="ja-JP"/>
              </w:rPr>
              <w:t>In paediatric patients undergoing noncardiac surgery, the effect of preventing hypothermia compared with no prevention of hypothermia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12210EF0"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911" w:type="dxa"/>
            <w:tcBorders>
              <w:top w:val="single" w:sz="4" w:space="0" w:color="000000"/>
              <w:left w:val="single" w:sz="4" w:space="0" w:color="000000"/>
              <w:bottom w:val="single" w:sz="4" w:space="0" w:color="000000"/>
              <w:right w:val="single" w:sz="4" w:space="0" w:color="000000"/>
            </w:tcBorders>
            <w:hideMark/>
          </w:tcPr>
          <w:p w14:paraId="1946C6CF"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4B45C0D3"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4E033F62"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40" w:type="dxa"/>
            <w:tcBorders>
              <w:top w:val="single" w:sz="4" w:space="0" w:color="000000"/>
              <w:left w:val="single" w:sz="4" w:space="0" w:color="000000"/>
              <w:bottom w:val="single" w:sz="4" w:space="0" w:color="000000"/>
              <w:right w:val="single" w:sz="4" w:space="0" w:color="000000"/>
            </w:tcBorders>
            <w:hideMark/>
          </w:tcPr>
          <w:p w14:paraId="6DA37F8B" w14:textId="77777777" w:rsidR="00175B8E" w:rsidRDefault="00175B8E" w:rsidP="00C25FBF">
            <w:pPr>
              <w:spacing w:after="0" w:line="276" w:lineRule="auto"/>
              <w:ind w:left="162"/>
              <w:rPr>
                <w:rFonts w:ascii="Arial Narrow" w:hAnsi="Arial Narrow"/>
                <w:sz w:val="20"/>
                <w:lang w:val="en-US" w:eastAsia="en-US"/>
              </w:rPr>
            </w:pPr>
            <w:r>
              <w:rPr>
                <w:rFonts w:ascii="Arial Narrow" w:hAnsi="Arial Narrow"/>
                <w:sz w:val="20"/>
                <w:lang w:val="en-US" w:eastAsia="en-US"/>
              </w:rPr>
              <w:t xml:space="preserve">NA </w:t>
            </w:r>
          </w:p>
        </w:tc>
      </w:tr>
      <w:tr w:rsidR="00175B8E" w14:paraId="4334968C"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07A698CB" w14:textId="77777777" w:rsidR="00175B8E" w:rsidRDefault="00175B8E" w:rsidP="00175B8E">
            <w:pPr>
              <w:pStyle w:val="ES-table"/>
              <w:rPr>
                <w:lang w:val="en-US" w:eastAsia="en-US"/>
              </w:rPr>
            </w:pPr>
            <w:r w:rsidRPr="009379C8">
              <w:t>ES4.7</w:t>
            </w:r>
          </w:p>
        </w:tc>
        <w:tc>
          <w:tcPr>
            <w:tcW w:w="3743" w:type="dxa"/>
            <w:tcBorders>
              <w:top w:val="single" w:sz="4" w:space="0" w:color="000000"/>
              <w:left w:val="single" w:sz="4" w:space="0" w:color="000000"/>
              <w:bottom w:val="single" w:sz="4" w:space="0" w:color="000000"/>
              <w:right w:val="single" w:sz="4" w:space="0" w:color="000000"/>
            </w:tcBorders>
            <w:hideMark/>
          </w:tcPr>
          <w:p w14:paraId="1D406563" w14:textId="77777777" w:rsidR="00175B8E" w:rsidRDefault="00175B8E" w:rsidP="00175B8E">
            <w:pPr>
              <w:pStyle w:val="ES-table"/>
              <w:spacing w:line="276" w:lineRule="auto"/>
              <w:rPr>
                <w:rFonts w:eastAsia="Arial Unicode MS"/>
                <w:lang w:val="en-US" w:eastAsia="ja-JP"/>
              </w:rPr>
            </w:pPr>
            <w:r>
              <w:rPr>
                <w:rFonts w:eastAsia="Arial Unicode MS"/>
                <w:lang w:val="en-US" w:eastAsia="ja-JP"/>
              </w:rPr>
              <w:t>In paediatric patients undergoing cardiac surgery with CPB, the effect of preventing hypothermia compared with no prevention of hypothermia on transfusion volume or incidence is uncertain.</w:t>
            </w:r>
          </w:p>
          <w:p w14:paraId="4A7E3EF0" w14:textId="77777777" w:rsidR="00175B8E" w:rsidRDefault="00175B8E" w:rsidP="00175B8E">
            <w:pPr>
              <w:pStyle w:val="ES-notes"/>
              <w:spacing w:line="276" w:lineRule="auto"/>
              <w:rPr>
                <w:b/>
                <w:lang w:val="en-US" w:eastAsia="en-US"/>
              </w:rPr>
            </w:pPr>
            <w:r>
              <w:rPr>
                <w:lang w:val="en-US" w:eastAsia="en-US"/>
              </w:rPr>
              <w:t>(See evidence matrix D4.F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68414AF6"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p>
        </w:tc>
        <w:tc>
          <w:tcPr>
            <w:tcW w:w="911" w:type="dxa"/>
            <w:tcBorders>
              <w:top w:val="single" w:sz="4" w:space="0" w:color="000000"/>
              <w:left w:val="single" w:sz="4" w:space="0" w:color="000000"/>
              <w:bottom w:val="single" w:sz="4" w:space="0" w:color="000000"/>
              <w:right w:val="single" w:sz="4" w:space="0" w:color="000000"/>
            </w:tcBorders>
            <w:hideMark/>
          </w:tcPr>
          <w:p w14:paraId="2BE5AE0A"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255273FA"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6737F617"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r>
              <w:rPr>
                <w:rFonts w:ascii="Arial Narrow" w:hAnsi="Arial Narrow"/>
                <w:sz w:val="20"/>
                <w:lang w:val="en-US" w:eastAsia="en-US"/>
              </w:rPr>
              <w:sym w:font="Symbol" w:char="F0D6"/>
            </w:r>
          </w:p>
        </w:tc>
        <w:tc>
          <w:tcPr>
            <w:tcW w:w="740" w:type="dxa"/>
            <w:tcBorders>
              <w:top w:val="single" w:sz="4" w:space="0" w:color="000000"/>
              <w:left w:val="single" w:sz="4" w:space="0" w:color="000000"/>
              <w:bottom w:val="single" w:sz="4" w:space="0" w:color="000000"/>
              <w:right w:val="single" w:sz="4" w:space="0" w:color="000000"/>
            </w:tcBorders>
            <w:hideMark/>
          </w:tcPr>
          <w:p w14:paraId="68E8BA01"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sym w:font="Symbol" w:char="F0D6"/>
            </w:r>
            <w:r>
              <w:rPr>
                <w:rFonts w:ascii="Arial Narrow" w:hAnsi="Arial Narrow"/>
                <w:sz w:val="20"/>
                <w:lang w:val="en-US" w:eastAsia="en-US"/>
              </w:rPr>
              <w:sym w:font="Symbol" w:char="F0D6"/>
            </w:r>
          </w:p>
        </w:tc>
      </w:tr>
      <w:tr w:rsidR="00175B8E" w14:paraId="3FD85624"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53805F10" w14:textId="77777777" w:rsidR="00175B8E" w:rsidRDefault="00175B8E" w:rsidP="00175B8E">
            <w:pPr>
              <w:pStyle w:val="ES-table"/>
              <w:rPr>
                <w:lang w:val="en-US" w:eastAsia="en-US"/>
              </w:rPr>
            </w:pPr>
            <w:r w:rsidRPr="009379C8">
              <w:t>ES4.8</w:t>
            </w:r>
          </w:p>
        </w:tc>
        <w:tc>
          <w:tcPr>
            <w:tcW w:w="3743" w:type="dxa"/>
            <w:tcBorders>
              <w:top w:val="single" w:sz="4" w:space="0" w:color="000000"/>
              <w:left w:val="single" w:sz="4" w:space="0" w:color="000000"/>
              <w:bottom w:val="single" w:sz="4" w:space="0" w:color="000000"/>
              <w:right w:val="single" w:sz="4" w:space="0" w:color="000000"/>
            </w:tcBorders>
            <w:hideMark/>
          </w:tcPr>
          <w:p w14:paraId="7ECBB95B" w14:textId="77777777" w:rsidR="00175B8E" w:rsidRDefault="00175B8E" w:rsidP="00175B8E">
            <w:pPr>
              <w:pStyle w:val="ES-table"/>
              <w:spacing w:line="276" w:lineRule="auto"/>
              <w:rPr>
                <w:rFonts w:eastAsia="Arial Unicode MS"/>
                <w:lang w:val="en-US" w:eastAsia="ja-JP"/>
              </w:rPr>
            </w:pPr>
            <w:r>
              <w:rPr>
                <w:rFonts w:eastAsia="Arial Unicode MS"/>
                <w:lang w:val="en-US" w:eastAsia="ja-JP"/>
              </w:rPr>
              <w:t>In paediatric patients undergoing noncardiac surgery, the effect of preventing hypothermia compared with no prevention of hypothermia on transfusion volume or incidence is unknown.</w:t>
            </w:r>
          </w:p>
        </w:tc>
        <w:tc>
          <w:tcPr>
            <w:tcW w:w="809" w:type="dxa"/>
            <w:tcBorders>
              <w:top w:val="single" w:sz="4" w:space="0" w:color="000000"/>
              <w:left w:val="single" w:sz="4" w:space="0" w:color="000000"/>
              <w:bottom w:val="single" w:sz="4" w:space="0" w:color="000000"/>
              <w:right w:val="single" w:sz="4" w:space="0" w:color="000000"/>
            </w:tcBorders>
            <w:hideMark/>
          </w:tcPr>
          <w:p w14:paraId="6892E260"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911" w:type="dxa"/>
            <w:tcBorders>
              <w:top w:val="single" w:sz="4" w:space="0" w:color="000000"/>
              <w:left w:val="single" w:sz="4" w:space="0" w:color="000000"/>
              <w:bottom w:val="single" w:sz="4" w:space="0" w:color="000000"/>
              <w:right w:val="single" w:sz="4" w:space="0" w:color="000000"/>
            </w:tcBorders>
            <w:hideMark/>
          </w:tcPr>
          <w:p w14:paraId="660362B3"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2AEE6776"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93" w:type="dxa"/>
            <w:tcBorders>
              <w:top w:val="single" w:sz="4" w:space="0" w:color="000000"/>
              <w:left w:val="single" w:sz="4" w:space="0" w:color="000000"/>
              <w:bottom w:val="single" w:sz="4" w:space="0" w:color="000000"/>
              <w:right w:val="single" w:sz="4" w:space="0" w:color="000000"/>
            </w:tcBorders>
            <w:hideMark/>
          </w:tcPr>
          <w:p w14:paraId="1703EC11"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NA</w:t>
            </w:r>
          </w:p>
        </w:tc>
        <w:tc>
          <w:tcPr>
            <w:tcW w:w="740" w:type="dxa"/>
            <w:tcBorders>
              <w:top w:val="single" w:sz="4" w:space="0" w:color="000000"/>
              <w:left w:val="single" w:sz="4" w:space="0" w:color="000000"/>
              <w:bottom w:val="single" w:sz="4" w:space="0" w:color="000000"/>
              <w:right w:val="single" w:sz="4" w:space="0" w:color="000000"/>
            </w:tcBorders>
            <w:hideMark/>
          </w:tcPr>
          <w:p w14:paraId="0C84059F" w14:textId="77777777" w:rsidR="00175B8E" w:rsidRDefault="00175B8E" w:rsidP="00175B8E">
            <w:pPr>
              <w:spacing w:after="0" w:line="276" w:lineRule="auto"/>
              <w:ind w:left="162"/>
              <w:rPr>
                <w:rFonts w:ascii="Arial Narrow" w:hAnsi="Arial Narrow"/>
                <w:sz w:val="20"/>
                <w:lang w:val="en-US" w:eastAsia="en-US"/>
              </w:rPr>
            </w:pPr>
            <w:r>
              <w:rPr>
                <w:rFonts w:ascii="Arial Narrow" w:hAnsi="Arial Narrow"/>
                <w:sz w:val="20"/>
                <w:lang w:val="en-US" w:eastAsia="en-US"/>
              </w:rPr>
              <w:t xml:space="preserve">NA </w:t>
            </w:r>
          </w:p>
        </w:tc>
      </w:tr>
      <w:tr w:rsidR="00175B8E" w14:paraId="5444D71D"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696D7173" w14:textId="77777777" w:rsidR="00175B8E" w:rsidRDefault="00175B8E" w:rsidP="00175B8E">
            <w:pPr>
              <w:pStyle w:val="ES-notes"/>
              <w:spacing w:line="276" w:lineRule="auto"/>
              <w:rPr>
                <w:lang w:val="en-US" w:eastAsia="en-US"/>
              </w:rPr>
            </w:pPr>
            <w:r>
              <w:rPr>
                <w:lang w:val="en-US" w:eastAsia="en-US"/>
              </w:rPr>
              <w:t xml:space="preserve">CPB, cardiopulmonary bypass; ES, evidence statement </w:t>
            </w:r>
          </w:p>
          <w:p w14:paraId="26A648D5"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6FFD552A" w14:textId="77777777" w:rsidR="00175B8E" w:rsidRDefault="00175B8E" w:rsidP="00175B8E">
      <w:pPr>
        <w:pStyle w:val="BodyText"/>
      </w:pPr>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89"/>
        <w:gridCol w:w="7459"/>
      </w:tblGrid>
      <w:tr w:rsidR="00175B8E" w14:paraId="2D113207"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hideMark/>
          </w:tcPr>
          <w:p w14:paraId="64B92018" w14:textId="7D5DF8B6" w:rsidR="00175B8E" w:rsidRDefault="00175B8E" w:rsidP="0007284D">
            <w:pPr>
              <w:pStyle w:val="Recommendation"/>
              <w:spacing w:line="276" w:lineRule="auto"/>
              <w:rPr>
                <w:rFonts w:eastAsia="Times New Roman"/>
              </w:rPr>
            </w:pPr>
            <w:r>
              <w:t xml:space="preserve">Recommendation – </w:t>
            </w:r>
            <w:r w:rsidR="0007284D">
              <w:t>surgical</w:t>
            </w:r>
            <w:r w:rsidR="00FF7804">
              <w:t xml:space="preserve"> (</w:t>
            </w:r>
            <w:r>
              <w:t>prevention of hypothermia</w:t>
            </w:r>
            <w:r w:rsidR="00FF7804">
              <w:t>)</w:t>
            </w:r>
          </w:p>
        </w:tc>
      </w:tr>
      <w:tr w:rsidR="00175B8E" w14:paraId="53C2EC2C" w14:textId="77777777" w:rsidTr="0084103E">
        <w:tc>
          <w:tcPr>
            <w:tcW w:w="1189" w:type="dxa"/>
            <w:tcBorders>
              <w:top w:val="single" w:sz="4" w:space="0" w:color="000000"/>
              <w:left w:val="single" w:sz="4" w:space="0" w:color="000000"/>
              <w:bottom w:val="single" w:sz="4" w:space="0" w:color="000000"/>
              <w:right w:val="single" w:sz="4" w:space="0" w:color="auto"/>
            </w:tcBorders>
            <w:hideMark/>
          </w:tcPr>
          <w:p w14:paraId="62266C3A" w14:textId="04826BB8" w:rsidR="00175B8E" w:rsidRDefault="00175B8E" w:rsidP="00C25FBF">
            <w:pPr>
              <w:pStyle w:val="PP"/>
            </w:pPr>
            <w:r>
              <w:t>R8</w:t>
            </w:r>
            <w:r w:rsidR="00C25FBF" w:rsidDel="00C25FBF">
              <w:t xml:space="preserve"> </w:t>
            </w:r>
            <w:r w:rsidR="00C25FBF">
              <w:br/>
            </w:r>
            <w:r>
              <w:t>(Grade B)</w:t>
            </w:r>
          </w:p>
        </w:tc>
        <w:tc>
          <w:tcPr>
            <w:tcW w:w="7459" w:type="dxa"/>
            <w:tcBorders>
              <w:top w:val="single" w:sz="4" w:space="0" w:color="000000"/>
              <w:left w:val="single" w:sz="4" w:space="0" w:color="auto"/>
              <w:bottom w:val="single" w:sz="4" w:space="0" w:color="000000"/>
              <w:right w:val="single" w:sz="4" w:space="0" w:color="000000"/>
            </w:tcBorders>
            <w:hideMark/>
          </w:tcPr>
          <w:p w14:paraId="7712E58D" w14:textId="77777777" w:rsidR="00175B8E" w:rsidRDefault="00175B8E" w:rsidP="0084103E">
            <w:pPr>
              <w:pStyle w:val="PP"/>
            </w:pPr>
            <w:r>
              <w:t>In paediatric patients undergoing surgery, measures to prevent hypothermia should be used.</w:t>
            </w:r>
            <w:r>
              <w:rPr>
                <w:vertAlign w:val="superscript"/>
              </w:rPr>
              <w:t>a</w:t>
            </w:r>
            <w:r>
              <w:t xml:space="preserve"> </w:t>
            </w:r>
          </w:p>
          <w:p w14:paraId="2AFD556C" w14:textId="35234F5D" w:rsidR="00175B8E" w:rsidRDefault="00175B8E" w:rsidP="00E62798">
            <w:pPr>
              <w:pStyle w:val="PP-note"/>
              <w:rPr>
                <w:lang w:eastAsia="en-US"/>
              </w:rPr>
            </w:pPr>
            <w:r>
              <w:rPr>
                <w:vertAlign w:val="superscript"/>
                <w:lang w:eastAsia="en-US"/>
              </w:rPr>
              <w:t>a</w:t>
            </w:r>
            <w:r>
              <w:rPr>
                <w:lang w:eastAsia="en-US"/>
              </w:rPr>
              <w:t xml:space="preserve"> </w:t>
            </w:r>
            <w:r w:rsidR="00CE5AC9">
              <w:rPr>
                <w:lang w:eastAsia="en-US"/>
              </w:rPr>
              <w:t>See</w:t>
            </w:r>
            <w:r>
              <w:rPr>
                <w:lang w:eastAsia="en-US"/>
              </w:rPr>
              <w:t xml:space="preserve"> R12 in </w:t>
            </w:r>
            <w:r>
              <w:rPr>
                <w:i/>
                <w:lang w:eastAsia="en-US"/>
              </w:rPr>
              <w:t>Patient Blood Management Guidelines: Module 2 – Perioperative</w:t>
            </w:r>
            <w:r w:rsidR="00C25FBF">
              <w:rPr>
                <w:lang w:eastAsia="en-US"/>
              </w:rPr>
              <w:t>.</w:t>
            </w:r>
            <w:hyperlink w:anchor="_ENREF_2" w:tooltip="National Blood Authority (NBA), 2012 #198" w:history="1">
              <w:r w:rsidR="00E62798">
                <w:rPr>
                  <w:lang w:eastAsia="en-US"/>
                </w:rPr>
                <w:fldChar w:fldCharType="begin"/>
              </w:r>
              <w:r w:rsidR="00E62798">
                <w:rPr>
                  <w:lang w:eastAsia="en-US"/>
                </w:rPr>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rPr>
                  <w:lang w:eastAsia="en-US"/>
                </w:rPr>
                <w:fldChar w:fldCharType="separate"/>
              </w:r>
              <w:r w:rsidR="00E62798" w:rsidRPr="00E62798">
                <w:rPr>
                  <w:noProof/>
                  <w:vertAlign w:val="superscript"/>
                  <w:lang w:eastAsia="en-US"/>
                </w:rPr>
                <w:t>2</w:t>
              </w:r>
              <w:r w:rsidR="00E62798">
                <w:rPr>
                  <w:lang w:eastAsia="en-US"/>
                </w:rPr>
                <w:fldChar w:fldCharType="end"/>
              </w:r>
            </w:hyperlink>
          </w:p>
        </w:tc>
      </w:tr>
      <w:tr w:rsidR="00175B8E" w14:paraId="138EF1BC" w14:textId="77777777" w:rsidTr="0084103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77EB28F3" w14:textId="77777777" w:rsidR="00175B8E" w:rsidRDefault="00175B8E" w:rsidP="00FF7804">
            <w:pPr>
              <w:pStyle w:val="PP-note"/>
              <w:rPr>
                <w:lang w:val="en-US" w:eastAsia="en-US"/>
              </w:rPr>
            </w:pPr>
            <w:r>
              <w:rPr>
                <w:lang w:val="en-US" w:eastAsia="en-US"/>
              </w:rPr>
              <w:t>R, recommendation</w:t>
            </w:r>
          </w:p>
        </w:tc>
      </w:tr>
    </w:tbl>
    <w:p w14:paraId="6DDC6BB9" w14:textId="77777777" w:rsidR="00175B8E" w:rsidRDefault="00175B8E" w:rsidP="00175B8E">
      <w:pPr>
        <w:pStyle w:val="BodyText"/>
      </w:pPr>
    </w:p>
    <w:p w14:paraId="3C1D7B6A" w14:textId="77777777" w:rsidR="00175B8E" w:rsidRDefault="00175B8E" w:rsidP="00AD5158">
      <w:pPr>
        <w:pStyle w:val="Heading4"/>
      </w:pPr>
      <w:r>
        <w:t>Background</w:t>
      </w:r>
    </w:p>
    <w:p w14:paraId="521457DD" w14:textId="2FECACFB" w:rsidR="00175B8E" w:rsidRDefault="00175B8E" w:rsidP="0084103E">
      <w:r>
        <w:t>Prevention of hypothermia in patients undergoing surgery is an important part of good perioperative care. Anaesthesia alters thermoregulatory mechanisms, which can lead to hypothermia if active warming techniques are not used. Even mild hypothermia can cause adverse effects in adult surgical patients, including substantial increases in adverse cardiac outcomes, surgical blood loss, allogeneic transfusion and surgical site infections (see Section 3.6.2</w:t>
      </w:r>
      <w:r w:rsidR="00CD1750">
        <w:t xml:space="preserve"> and R12 in </w:t>
      </w:r>
      <w:r w:rsidR="004E09B3">
        <w:t>Module 2 (</w:t>
      </w:r>
      <w:r w:rsidR="004E09B3" w:rsidRPr="00FF7804">
        <w:rPr>
          <w:i/>
        </w:rPr>
        <w:t>Perioperative</w:t>
      </w:r>
      <w:r w:rsidR="004E09B3">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t>). Up to 20% of adult surgical patients experience unintended perioperative hypothermia, defined as a core temperature below 36°C. Paediatric patients are more vulnerable to perioperative hypothermia because they have a reduced weight-to-surface-area ratio, lower stores of subcutaneous fat and greater loss of heat from the head compared with adults</w:t>
      </w:r>
      <w:r w:rsidR="00CD1750">
        <w:t>; hence, they</w:t>
      </w:r>
      <w:r>
        <w:t xml:space="preserve"> require a vigilant proactive approach to maintenance of normothermia.</w:t>
      </w:r>
      <w:r w:rsidRPr="00D466B4">
        <w:t xml:space="preserve"> </w:t>
      </w:r>
    </w:p>
    <w:p w14:paraId="717BA8A0" w14:textId="77777777" w:rsidR="00175B8E" w:rsidRDefault="00175B8E" w:rsidP="00CD1750">
      <w:pPr>
        <w:pStyle w:val="Heading4"/>
      </w:pPr>
      <w:r>
        <w:t>Summary of evidence</w:t>
      </w:r>
    </w:p>
    <w:p w14:paraId="3000FF2E" w14:textId="760D1274" w:rsidR="00175B8E" w:rsidRDefault="00175B8E" w:rsidP="00CD1750">
      <w:r>
        <w:t>O</w:t>
      </w:r>
      <w:r w:rsidRPr="005737FF">
        <w:t xml:space="preserve">ne </w:t>
      </w:r>
      <w:r>
        <w:t xml:space="preserve">good-quality </w:t>
      </w:r>
      <w:r w:rsidRPr="005737FF">
        <w:t xml:space="preserve">Level II study </w:t>
      </w:r>
      <w:r>
        <w:t>was</w:t>
      </w:r>
      <w:r w:rsidRPr="006D10AC">
        <w:t xml:space="preserve"> </w:t>
      </w:r>
      <w:r>
        <w:t xml:space="preserve">identified: an RCT of 59 paediatric patients undergoing cardiac surgery </w:t>
      </w:r>
      <w:r w:rsidR="00CD1750">
        <w:t>with CPB</w:t>
      </w:r>
      <w:r>
        <w:t>.</w:t>
      </w:r>
      <w:hyperlink w:anchor="_ENREF_170" w:tooltip="Caputo, 2011 #852" w:history="1">
        <w:r w:rsidR="00E62798">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instrText xml:space="preserve"> ADDIN EN.CITE </w:instrText>
        </w:r>
        <w:r w:rsidR="00E62798">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170</w:t>
        </w:r>
        <w:r w:rsidR="00E62798">
          <w:fldChar w:fldCharType="end"/>
        </w:r>
      </w:hyperlink>
      <w:r>
        <w:t xml:space="preserve"> </w:t>
      </w:r>
      <w:r w:rsidRPr="005737FF">
        <w:t xml:space="preserve">The authors examined the effect of </w:t>
      </w:r>
      <w:r>
        <w:t>normothermia (body temperature maintained at 35</w:t>
      </w:r>
      <w:r w:rsidR="00CD1750">
        <w:t>–</w:t>
      </w:r>
      <w:r>
        <w:t>37</w:t>
      </w:r>
      <w:r>
        <w:rPr>
          <w:rFonts w:cs="Calibri"/>
        </w:rPr>
        <w:t>°</w:t>
      </w:r>
      <w:r>
        <w:t>C) compared with hypothermia (body temperature maintained at 28</w:t>
      </w:r>
      <w:r>
        <w:rPr>
          <w:rFonts w:cs="Calibri"/>
        </w:rPr>
        <w:t>°</w:t>
      </w:r>
      <w:r>
        <w:t>C) on all-cause in-hospital mortality, and RBC transfusion volume and incidence.</w:t>
      </w:r>
    </w:p>
    <w:p w14:paraId="314A67B2" w14:textId="77777777" w:rsidR="00175B8E" w:rsidRDefault="00175B8E" w:rsidP="00CD1750">
      <w:pPr>
        <w:pStyle w:val="StyleHeading5Heading5nonumLeft0cmFirstline127cm"/>
      </w:pPr>
      <w:r w:rsidRPr="00D87DED">
        <w:t>Mortality</w:t>
      </w:r>
    </w:p>
    <w:p w14:paraId="0E78E54B" w14:textId="5AF57FFE" w:rsidR="00175B8E" w:rsidRDefault="00CD1750" w:rsidP="00CD1750">
      <w:pPr>
        <w:rPr>
          <w:rFonts w:eastAsia="Arial Unicode MS"/>
          <w:lang w:val="en-GB" w:eastAsia="ja-JP"/>
        </w:rPr>
      </w:pPr>
      <w:r>
        <w:rPr>
          <w:rFonts w:eastAsia="Arial Unicode MS"/>
          <w:lang w:val="en-GB" w:eastAsia="ja-JP"/>
        </w:rPr>
        <w:t>The study</w:t>
      </w:r>
      <w:r w:rsidR="00175B8E" w:rsidRPr="003619E1">
        <w:rPr>
          <w:rFonts w:eastAsia="Arial Unicode MS"/>
          <w:lang w:val="en-GB" w:eastAsia="ja-JP"/>
        </w:rPr>
        <w:t xml:space="preserve"> assessed all-cause mortality among 59 paediatric patients undergoing cardiac surgery with </w:t>
      </w:r>
      <w:r w:rsidR="00175B8E">
        <w:rPr>
          <w:rFonts w:eastAsia="Arial Unicode MS"/>
          <w:lang w:val="en-GB" w:eastAsia="ja-JP"/>
        </w:rPr>
        <w:t>CPB</w:t>
      </w:r>
      <w:r w:rsidR="00175B8E" w:rsidRPr="003619E1">
        <w:rPr>
          <w:rFonts w:eastAsia="Arial Unicode MS"/>
          <w:lang w:val="en-GB" w:eastAsia="ja-JP"/>
        </w:rPr>
        <w:t>.</w:t>
      </w:r>
      <w:hyperlink w:anchor="_ENREF_170" w:tooltip="Caputo, 2011 #852" w:history="1">
        <w:r w:rsidR="00E62798">
          <w:rPr>
            <w:rFonts w:eastAsia="Arial Unicode MS"/>
            <w:lang w:val="en-GB" w:eastAsia="ja-JP"/>
          </w:rPr>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rPr>
            <w:rFonts w:eastAsia="Arial Unicode MS"/>
            <w:lang w:val="en-GB" w:eastAsia="ja-JP"/>
          </w:rPr>
          <w:instrText xml:space="preserve"> ADDIN EN.CITE </w:instrText>
        </w:r>
        <w:r w:rsidR="00E62798">
          <w:rPr>
            <w:rFonts w:eastAsia="Arial Unicode MS"/>
            <w:lang w:val="en-GB" w:eastAsia="ja-JP"/>
          </w:rPr>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rPr>
            <w:rFonts w:eastAsia="Arial Unicode MS"/>
            <w:lang w:val="en-GB" w:eastAsia="ja-JP"/>
          </w:rPr>
          <w:instrText xml:space="preserve"> ADDIN EN.CITE.DATA </w:instrText>
        </w:r>
        <w:r w:rsidR="00E62798">
          <w:rPr>
            <w:rFonts w:eastAsia="Arial Unicode MS"/>
            <w:lang w:val="en-GB" w:eastAsia="ja-JP"/>
          </w:rPr>
        </w:r>
        <w:r w:rsidR="00E62798">
          <w:rPr>
            <w:rFonts w:eastAsia="Arial Unicode MS"/>
            <w:lang w:val="en-GB" w:eastAsia="ja-JP"/>
          </w:rPr>
          <w:fldChar w:fldCharType="end"/>
        </w:r>
        <w:r w:rsidR="00E62798">
          <w:rPr>
            <w:rFonts w:eastAsia="Arial Unicode MS"/>
            <w:lang w:val="en-GB" w:eastAsia="ja-JP"/>
          </w:rPr>
        </w:r>
        <w:r w:rsidR="00E62798">
          <w:rPr>
            <w:rFonts w:eastAsia="Arial Unicode MS"/>
            <w:lang w:val="en-GB" w:eastAsia="ja-JP"/>
          </w:rPr>
          <w:fldChar w:fldCharType="separate"/>
        </w:r>
        <w:r w:rsidR="00E62798" w:rsidRPr="00E62798">
          <w:rPr>
            <w:rFonts w:eastAsia="Arial Unicode MS"/>
            <w:noProof/>
            <w:vertAlign w:val="superscript"/>
            <w:lang w:val="en-GB" w:eastAsia="ja-JP"/>
          </w:rPr>
          <w:t>170</w:t>
        </w:r>
        <w:r w:rsidR="00E62798">
          <w:rPr>
            <w:rFonts w:eastAsia="Arial Unicode MS"/>
            <w:lang w:val="en-GB" w:eastAsia="ja-JP"/>
          </w:rPr>
          <w:fldChar w:fldCharType="end"/>
        </w:r>
      </w:hyperlink>
      <w:r w:rsidR="00175B8E" w:rsidRPr="003619E1">
        <w:rPr>
          <w:rFonts w:eastAsia="Arial Unicode MS"/>
          <w:lang w:val="en-GB" w:eastAsia="ja-JP"/>
        </w:rPr>
        <w:t xml:space="preserve"> </w:t>
      </w:r>
      <w:r w:rsidR="00175B8E">
        <w:rPr>
          <w:rFonts w:eastAsia="Arial Unicode MS"/>
          <w:lang w:val="en-GB" w:eastAsia="ja-JP"/>
        </w:rPr>
        <w:t>N</w:t>
      </w:r>
      <w:r w:rsidR="00175B8E" w:rsidRPr="003619E1">
        <w:rPr>
          <w:rFonts w:eastAsia="Arial Unicode MS"/>
          <w:lang w:val="en-GB" w:eastAsia="ja-JP"/>
        </w:rPr>
        <w:t>o deaths</w:t>
      </w:r>
      <w:r w:rsidR="00175B8E">
        <w:rPr>
          <w:rFonts w:eastAsia="Arial Unicode MS"/>
          <w:lang w:val="en-GB" w:eastAsia="ja-JP"/>
        </w:rPr>
        <w:t xml:space="preserve"> were</w:t>
      </w:r>
      <w:r w:rsidR="00175B8E" w:rsidRPr="003619E1">
        <w:rPr>
          <w:rFonts w:eastAsia="Arial Unicode MS"/>
          <w:lang w:val="en-GB" w:eastAsia="ja-JP"/>
        </w:rPr>
        <w:t xml:space="preserve"> recorded during the study</w:t>
      </w:r>
      <w:r>
        <w:rPr>
          <w:rFonts w:eastAsia="Arial Unicode MS"/>
          <w:lang w:val="en-GB" w:eastAsia="ja-JP"/>
        </w:rPr>
        <w:t xml:space="preserve">, but it was underpowered </w:t>
      </w:r>
      <w:r w:rsidR="00175B8E">
        <w:rPr>
          <w:rFonts w:eastAsia="Arial Unicode MS"/>
          <w:lang w:val="en-GB" w:eastAsia="ja-JP"/>
        </w:rPr>
        <w:t>for this outcome</w:t>
      </w:r>
      <w:r w:rsidR="00175B8E" w:rsidRPr="003619E1">
        <w:rPr>
          <w:rFonts w:eastAsia="Arial Unicode MS"/>
          <w:lang w:val="en-GB" w:eastAsia="ja-JP"/>
        </w:rPr>
        <w:t xml:space="preserve">. </w:t>
      </w:r>
    </w:p>
    <w:p w14:paraId="4F01289D" w14:textId="77777777" w:rsidR="00175B8E" w:rsidRDefault="00175B8E" w:rsidP="00CD1750">
      <w:pPr>
        <w:pStyle w:val="StyleHeading5Heading5nonumLeft0cmFirstline127cm"/>
      </w:pPr>
      <w:r>
        <w:t>T</w:t>
      </w:r>
      <w:r w:rsidRPr="00D87DED">
        <w:t xml:space="preserve">ransfusion </w:t>
      </w:r>
      <w:r>
        <w:t>volume and incidence</w:t>
      </w:r>
    </w:p>
    <w:p w14:paraId="7A7FFBFA" w14:textId="037F024A" w:rsidR="00175B8E" w:rsidRDefault="00CD1750" w:rsidP="00CD1750">
      <w:r>
        <w:t xml:space="preserve">The study </w:t>
      </w:r>
      <w:r w:rsidR="00175B8E">
        <w:t>assessed transfusion volume (mL/kg) and incidence among 59 paediatric patients undergoing cardiac surgery with CPB.</w:t>
      </w:r>
      <w:hyperlink w:anchor="_ENREF_170" w:tooltip="Caputo, 2011 #852" w:history="1">
        <w:r w:rsidR="00E62798">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instrText xml:space="preserve"> ADDIN EN.CITE </w:instrText>
        </w:r>
        <w:r w:rsidR="00E62798">
          <w:fldChar w:fldCharType="begin">
            <w:fldData xml:space="preserve">PEVuZE5vdGU+PENpdGU+PEF1dGhvcj5DYXB1dG88L0F1dGhvcj48WWVhcj4yMDExPC9ZZWFyPjxS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170</w:t>
        </w:r>
        <w:r w:rsidR="00E62798">
          <w:fldChar w:fldCharType="end"/>
        </w:r>
      </w:hyperlink>
      <w:r w:rsidR="00175B8E">
        <w:t xml:space="preserve"> No significant differences between groups were reported for RBC transfusion incidence and median RBC t</w:t>
      </w:r>
      <w:r>
        <w:t>ransfusion volume (9.6 versus 9.5)</w:t>
      </w:r>
      <w:r w:rsidR="00175B8E">
        <w:t>.</w:t>
      </w:r>
    </w:p>
    <w:p w14:paraId="1AF2AA12" w14:textId="4478A39A" w:rsidR="00175B8E" w:rsidRPr="00CD1750" w:rsidRDefault="00175B8E" w:rsidP="00397071">
      <w:pPr>
        <w:pStyle w:val="BoxHeading"/>
        <w:rPr>
          <w:lang w:val="en-AU"/>
        </w:rPr>
      </w:pPr>
      <w:r>
        <w:t>Clinical commentary</w:t>
      </w:r>
      <w:r w:rsidR="00CD1750">
        <w:rPr>
          <w:lang w:val="en-AU"/>
        </w:rPr>
        <w:t xml:space="preserve"> –</w:t>
      </w:r>
      <w:r w:rsidR="00CD1750">
        <w:t xml:space="preserve"> prevent</w:t>
      </w:r>
      <w:r w:rsidR="00CD1750">
        <w:rPr>
          <w:lang w:val="en-AU"/>
        </w:rPr>
        <w:t>ion of hypothermia</w:t>
      </w:r>
      <w:r w:rsidR="00CD1750">
        <w:t xml:space="preserve"> in </w:t>
      </w:r>
      <w:r w:rsidR="00A41D9F">
        <w:t>neonatal and paediatric</w:t>
      </w:r>
      <w:r w:rsidR="00CD1750" w:rsidRPr="00EA4E11">
        <w:t xml:space="preserve"> patients</w:t>
      </w:r>
      <w:r w:rsidR="00CD1750">
        <w:t xml:space="preserve"> undergoing surgery </w:t>
      </w:r>
    </w:p>
    <w:p w14:paraId="6A733EF1" w14:textId="47E38681" w:rsidR="00175B8E" w:rsidRDefault="00175B8E" w:rsidP="00397071">
      <w:pPr>
        <w:pStyle w:val="BoxText"/>
      </w:pPr>
      <w:r>
        <w:t xml:space="preserve">Based on the good evidence in the adult population, active measures to prevent unintentional hypothermia </w:t>
      </w:r>
      <w:r w:rsidR="00CD1750">
        <w:t>i</w:t>
      </w:r>
      <w:r>
        <w:t>n children are recommended. It is unlikely that RCTs examining the effects of hypothermia on RBC transfusion in children would be ethically acceptable.</w:t>
      </w:r>
    </w:p>
    <w:p w14:paraId="62428B8D" w14:textId="64C7CC54" w:rsidR="00175B8E" w:rsidRPr="00AA42FC" w:rsidRDefault="00AA42FC" w:rsidP="00AA42FC">
      <w:pPr>
        <w:pStyle w:val="Heading3"/>
        <w:rPr>
          <w:lang w:val="en-AU"/>
        </w:rPr>
      </w:pPr>
      <w:bookmarkStart w:id="171" w:name="_Toc427851358"/>
      <w:r>
        <w:rPr>
          <w:rFonts w:cs="Tahoma"/>
          <w:szCs w:val="21"/>
          <w:lang w:val="en-GB" w:eastAsia="en-GB"/>
        </w:rPr>
        <w:t>3.5.4</w:t>
      </w:r>
      <w:r>
        <w:rPr>
          <w:rFonts w:cs="Tahoma"/>
          <w:szCs w:val="21"/>
          <w:lang w:val="en-GB" w:eastAsia="en-GB"/>
        </w:rPr>
        <w:tab/>
      </w:r>
      <w:r w:rsidR="006D763D">
        <w:rPr>
          <w:rFonts w:cs="Tahoma"/>
          <w:szCs w:val="21"/>
          <w:lang w:val="en-GB" w:eastAsia="en-GB"/>
        </w:rPr>
        <w:t>Neonatal and paediatric</w:t>
      </w:r>
      <w:r w:rsidRPr="00EA4E11">
        <w:rPr>
          <w:rFonts w:cs="Tahoma"/>
          <w:szCs w:val="21"/>
          <w:lang w:val="en-GB" w:eastAsia="en-GB"/>
        </w:rPr>
        <w:t xml:space="preserve"> patients</w:t>
      </w:r>
      <w:r>
        <w:rPr>
          <w:rFonts w:cs="Tahoma"/>
          <w:szCs w:val="21"/>
          <w:lang w:val="en-GB" w:eastAsia="en-GB"/>
        </w:rPr>
        <w:t xml:space="preserve"> undergoing surgery – </w:t>
      </w:r>
      <w:r>
        <w:t xml:space="preserve">effects of </w:t>
      </w:r>
      <w:r>
        <w:rPr>
          <w:lang w:val="en-AU"/>
        </w:rPr>
        <w:t>prevention of controlled</w:t>
      </w:r>
      <w:r w:rsidR="00175B8E">
        <w:t xml:space="preserve"> induced hypotension</w:t>
      </w:r>
      <w:r>
        <w:rPr>
          <w:lang w:val="en-AU"/>
        </w:rPr>
        <w:t xml:space="preserve"> on outcomes</w:t>
      </w:r>
      <w:bookmarkEnd w:id="171"/>
    </w:p>
    <w:tbl>
      <w:tblPr>
        <w:tblW w:w="870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5"/>
        <w:gridCol w:w="810"/>
        <w:gridCol w:w="912"/>
        <w:gridCol w:w="794"/>
        <w:gridCol w:w="794"/>
        <w:gridCol w:w="794"/>
      </w:tblGrid>
      <w:tr w:rsidR="00175B8E" w14:paraId="11F54D48" w14:textId="77777777" w:rsidTr="00467EEA">
        <w:trPr>
          <w:cantSplit/>
          <w:trHeight w:val="2078"/>
          <w:tblHeader/>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2DF07E8F" w14:textId="48F2EDA3" w:rsidR="00175B8E" w:rsidRDefault="00175B8E" w:rsidP="00175B8E">
            <w:pPr>
              <w:pStyle w:val="PP-heading"/>
              <w:spacing w:line="276" w:lineRule="auto"/>
              <w:rPr>
                <w:lang w:val="en-US" w:eastAsia="en-US"/>
              </w:rPr>
            </w:pPr>
            <w:r>
              <w:rPr>
                <w:lang w:val="en-US" w:eastAsia="en-US"/>
              </w:rPr>
              <w:t xml:space="preserve">Evidence statements – </w:t>
            </w:r>
            <w:r w:rsidR="0007284D">
              <w:rPr>
                <w:lang w:val="en-US" w:eastAsia="en-US"/>
              </w:rPr>
              <w:t>surgical (</w:t>
            </w:r>
            <w:r>
              <w:rPr>
                <w:lang w:val="en-US" w:eastAsia="en-US"/>
              </w:rPr>
              <w:t>deliberate/controlled induced hypotension</w:t>
            </w:r>
            <w:r w:rsidR="0007284D">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E3401B9"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2"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C3304E1"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C4EEA27"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A79BFC5"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BBECE18"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4E38F577"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0AA27FA1" w14:textId="77777777" w:rsidR="00175B8E" w:rsidRDefault="00175B8E" w:rsidP="000513D7">
            <w:pPr>
              <w:pStyle w:val="Tabletextnoindent"/>
              <w:keepNext w:val="0"/>
              <w:numPr>
                <w:ilvl w:val="0"/>
                <w:numId w:val="0"/>
              </w:numPr>
              <w:spacing w:line="276" w:lineRule="auto"/>
              <w:rPr>
                <w:lang w:val="en-US" w:eastAsia="en-US"/>
              </w:rPr>
            </w:pPr>
            <w:r w:rsidRPr="001A41A2">
              <w:t>ES4.9</w:t>
            </w:r>
          </w:p>
        </w:tc>
        <w:tc>
          <w:tcPr>
            <w:tcW w:w="3745" w:type="dxa"/>
            <w:tcBorders>
              <w:top w:val="single" w:sz="4" w:space="0" w:color="000000"/>
              <w:left w:val="single" w:sz="4" w:space="0" w:color="000000"/>
              <w:bottom w:val="single" w:sz="4" w:space="0" w:color="000000"/>
              <w:right w:val="single" w:sz="4" w:space="0" w:color="000000"/>
            </w:tcBorders>
            <w:hideMark/>
          </w:tcPr>
          <w:p w14:paraId="1706E702" w14:textId="77777777" w:rsidR="00175B8E" w:rsidRDefault="00175B8E" w:rsidP="000513D7">
            <w:pPr>
              <w:pStyle w:val="ES-table"/>
              <w:keepNext w:val="0"/>
              <w:spacing w:line="276" w:lineRule="auto"/>
              <w:rPr>
                <w:rFonts w:eastAsiaTheme="minorHAnsi"/>
                <w:lang w:val="en-US" w:eastAsia="en-US"/>
              </w:rPr>
            </w:pPr>
            <w:r>
              <w:rPr>
                <w:lang w:val="en-US" w:eastAsia="en-US"/>
              </w:rPr>
              <w:t>In paediatric patients undergoing surgery, the effect of deliberate induced hypotension compared with no deliberate induced hypotension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7ED8EEF2" w14:textId="77777777" w:rsidR="00175B8E" w:rsidRDefault="00175B8E" w:rsidP="000513D7">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6353B518" w14:textId="77777777" w:rsidR="00175B8E" w:rsidRDefault="00175B8E" w:rsidP="000513D7">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1D574B3D" w14:textId="77777777" w:rsidR="00175B8E" w:rsidRDefault="00175B8E" w:rsidP="000513D7">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8EE1DC1" w14:textId="77777777" w:rsidR="00175B8E" w:rsidRDefault="00175B8E" w:rsidP="000513D7">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21F8509A" w14:textId="77777777" w:rsidR="00175B8E" w:rsidRDefault="00175B8E" w:rsidP="000513D7">
            <w:pPr>
              <w:pStyle w:val="T-ABCD"/>
              <w:spacing w:line="276" w:lineRule="auto"/>
              <w:rPr>
                <w:lang w:val="en-US" w:eastAsia="en-US"/>
              </w:rPr>
            </w:pPr>
            <w:r>
              <w:rPr>
                <w:lang w:val="en-US" w:eastAsia="en-US"/>
              </w:rPr>
              <w:t xml:space="preserve">NA </w:t>
            </w:r>
          </w:p>
        </w:tc>
      </w:tr>
      <w:tr w:rsidR="00175B8E" w14:paraId="3F1A5DA9"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7A2DC80B" w14:textId="77777777" w:rsidR="00175B8E" w:rsidRDefault="00175B8E" w:rsidP="000513D7">
            <w:pPr>
              <w:pStyle w:val="Tabletextnoindent"/>
              <w:keepNext w:val="0"/>
              <w:numPr>
                <w:ilvl w:val="0"/>
                <w:numId w:val="0"/>
              </w:numPr>
              <w:spacing w:line="276" w:lineRule="auto"/>
              <w:rPr>
                <w:lang w:val="en-US" w:eastAsia="en-US"/>
              </w:rPr>
            </w:pPr>
            <w:r w:rsidRPr="001A41A2">
              <w:t>ES4.10</w:t>
            </w:r>
          </w:p>
        </w:tc>
        <w:tc>
          <w:tcPr>
            <w:tcW w:w="3745" w:type="dxa"/>
            <w:tcBorders>
              <w:top w:val="single" w:sz="4" w:space="0" w:color="000000"/>
              <w:left w:val="single" w:sz="4" w:space="0" w:color="000000"/>
              <w:bottom w:val="single" w:sz="4" w:space="0" w:color="000000"/>
              <w:right w:val="single" w:sz="4" w:space="0" w:color="000000"/>
            </w:tcBorders>
            <w:hideMark/>
          </w:tcPr>
          <w:p w14:paraId="49604AD4" w14:textId="77777777" w:rsidR="00175B8E" w:rsidRDefault="00175B8E" w:rsidP="000513D7">
            <w:pPr>
              <w:pStyle w:val="ES-table"/>
              <w:keepNext w:val="0"/>
              <w:spacing w:line="276" w:lineRule="auto"/>
              <w:rPr>
                <w:rFonts w:eastAsia="Arial Unicode MS" w:cs="Arial"/>
                <w:color w:val="auto"/>
                <w:lang w:val="en-US" w:eastAsia="ja-JP"/>
              </w:rPr>
            </w:pPr>
            <w:r>
              <w:rPr>
                <w:lang w:val="en-US" w:eastAsia="en-US"/>
              </w:rPr>
              <w:t>In paediatric patients undergoing surgery, the effect of deliberate induced hypotension compared with no deliberate induced hypotension on transfusion incidence is uncertain.</w:t>
            </w:r>
          </w:p>
          <w:p w14:paraId="0E23722C" w14:textId="77777777" w:rsidR="00175B8E" w:rsidRDefault="00175B8E" w:rsidP="000513D7">
            <w:pPr>
              <w:pStyle w:val="ES-notes"/>
              <w:keepNext w:val="0"/>
              <w:spacing w:line="276" w:lineRule="auto"/>
              <w:rPr>
                <w:lang w:val="en-US" w:eastAsia="en-US"/>
              </w:rPr>
            </w:pPr>
            <w:r>
              <w:rPr>
                <w:lang w:val="en-US" w:eastAsia="en-US"/>
              </w:rPr>
              <w:t>(See evidence matrix D4.G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00DFBC95" w14:textId="77777777" w:rsidR="00175B8E" w:rsidRDefault="00175B8E" w:rsidP="000513D7">
            <w:pPr>
              <w:pStyle w:val="T-ABCD"/>
              <w:spacing w:line="276" w:lineRule="auto"/>
              <w:rPr>
                <w:lang w:val="en-US" w:eastAsia="en-US"/>
              </w:rPr>
            </w:pPr>
            <w:r>
              <w:rPr>
                <w:lang w:val="en-US" w:eastAsia="en-US"/>
              </w:rPr>
              <w:t>X</w:t>
            </w:r>
          </w:p>
        </w:tc>
        <w:tc>
          <w:tcPr>
            <w:tcW w:w="912" w:type="dxa"/>
            <w:tcBorders>
              <w:top w:val="single" w:sz="4" w:space="0" w:color="000000"/>
              <w:left w:val="single" w:sz="4" w:space="0" w:color="000000"/>
              <w:bottom w:val="single" w:sz="4" w:space="0" w:color="000000"/>
              <w:right w:val="single" w:sz="4" w:space="0" w:color="000000"/>
            </w:tcBorders>
            <w:hideMark/>
          </w:tcPr>
          <w:p w14:paraId="22525541" w14:textId="77777777" w:rsidR="00175B8E" w:rsidRDefault="00175B8E" w:rsidP="000513D7">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4B9D7023" w14:textId="77777777" w:rsidR="00175B8E" w:rsidRDefault="00175B8E" w:rsidP="000513D7">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71E3C5AB" w14:textId="77777777" w:rsidR="00175B8E" w:rsidRDefault="00175B8E" w:rsidP="000513D7">
            <w:pPr>
              <w:pStyle w:val="T-ABCD"/>
              <w:spacing w:line="276" w:lineRule="auto"/>
              <w:rPr>
                <w:lang w:val="en-US" w:eastAsia="en-US"/>
              </w:rPr>
            </w:pPr>
            <w:r>
              <w:rPr>
                <w:lang w:val="en-US" w:eastAsia="en-US"/>
              </w:rPr>
              <w:sym w:font="Symbol" w:char="F0D6"/>
            </w:r>
            <w:r>
              <w:rPr>
                <w:lang w:val="en-US" w:eastAsia="en-US"/>
              </w:rPr>
              <w:sym w:font="Symbol" w:char="F0D6"/>
            </w:r>
          </w:p>
        </w:tc>
        <w:tc>
          <w:tcPr>
            <w:tcW w:w="794" w:type="dxa"/>
            <w:tcBorders>
              <w:top w:val="single" w:sz="4" w:space="0" w:color="000000"/>
              <w:left w:val="single" w:sz="4" w:space="0" w:color="000000"/>
              <w:bottom w:val="single" w:sz="4" w:space="0" w:color="000000"/>
              <w:right w:val="single" w:sz="4" w:space="0" w:color="000000"/>
            </w:tcBorders>
            <w:hideMark/>
          </w:tcPr>
          <w:p w14:paraId="4A231646" w14:textId="77777777" w:rsidR="00175B8E" w:rsidRDefault="00175B8E" w:rsidP="000513D7">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46946915"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7187FB40" w14:textId="77777777" w:rsidR="00175B8E" w:rsidRDefault="00175B8E" w:rsidP="00175B8E">
            <w:pPr>
              <w:pStyle w:val="Tabletextnoindent"/>
              <w:numPr>
                <w:ilvl w:val="0"/>
                <w:numId w:val="0"/>
              </w:numPr>
              <w:spacing w:line="276" w:lineRule="auto"/>
              <w:rPr>
                <w:lang w:val="en-US" w:eastAsia="en-US"/>
              </w:rPr>
            </w:pPr>
            <w:r w:rsidRPr="001A41A2">
              <w:t>ES4.11</w:t>
            </w:r>
          </w:p>
        </w:tc>
        <w:tc>
          <w:tcPr>
            <w:tcW w:w="3745" w:type="dxa"/>
            <w:tcBorders>
              <w:top w:val="single" w:sz="4" w:space="0" w:color="000000"/>
              <w:left w:val="single" w:sz="4" w:space="0" w:color="000000"/>
              <w:bottom w:val="single" w:sz="4" w:space="0" w:color="000000"/>
              <w:right w:val="single" w:sz="4" w:space="0" w:color="000000"/>
            </w:tcBorders>
            <w:hideMark/>
          </w:tcPr>
          <w:p w14:paraId="08BEC4CF"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surgery, the effect of deliberate induced hypotension compared with no deliberate induced hypotension on transfusion volume is unknown.</w:t>
            </w:r>
          </w:p>
        </w:tc>
        <w:tc>
          <w:tcPr>
            <w:tcW w:w="810" w:type="dxa"/>
            <w:tcBorders>
              <w:top w:val="single" w:sz="4" w:space="0" w:color="000000"/>
              <w:left w:val="single" w:sz="4" w:space="0" w:color="000000"/>
              <w:bottom w:val="single" w:sz="4" w:space="0" w:color="000000"/>
              <w:right w:val="single" w:sz="4" w:space="0" w:color="000000"/>
            </w:tcBorders>
            <w:hideMark/>
          </w:tcPr>
          <w:p w14:paraId="1990E4BC"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66A3C83A"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445414C"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5FE6CD7C"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465F5D3"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4A56AF5"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469024C4" w14:textId="77777777" w:rsidR="00175B8E" w:rsidRDefault="00175B8E" w:rsidP="00175B8E">
            <w:pPr>
              <w:pStyle w:val="Tabletextnoindent"/>
              <w:numPr>
                <w:ilvl w:val="0"/>
                <w:numId w:val="0"/>
              </w:numPr>
              <w:spacing w:line="276" w:lineRule="auto"/>
              <w:rPr>
                <w:lang w:val="en-US" w:eastAsia="en-US"/>
              </w:rPr>
            </w:pPr>
            <w:r w:rsidRPr="001A41A2">
              <w:t>ES4.12</w:t>
            </w:r>
          </w:p>
        </w:tc>
        <w:tc>
          <w:tcPr>
            <w:tcW w:w="3745" w:type="dxa"/>
            <w:tcBorders>
              <w:top w:val="single" w:sz="4" w:space="0" w:color="000000"/>
              <w:left w:val="single" w:sz="4" w:space="0" w:color="000000"/>
              <w:bottom w:val="single" w:sz="4" w:space="0" w:color="000000"/>
              <w:right w:val="single" w:sz="4" w:space="0" w:color="000000"/>
            </w:tcBorders>
            <w:hideMark/>
          </w:tcPr>
          <w:p w14:paraId="22DF60C0"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surgery, the effect of deliberate induced hypotension compared with no deliberate induced hypotension on bleeding events is uncertain.</w:t>
            </w:r>
          </w:p>
          <w:p w14:paraId="6E8F6EA7" w14:textId="77777777" w:rsidR="00175B8E" w:rsidRDefault="00175B8E" w:rsidP="00175B8E">
            <w:pPr>
              <w:pStyle w:val="ES-notes"/>
              <w:spacing w:line="276" w:lineRule="auto"/>
              <w:rPr>
                <w:lang w:val="en-US" w:eastAsia="en-US"/>
              </w:rPr>
            </w:pPr>
            <w:r>
              <w:rPr>
                <w:lang w:val="en-US" w:eastAsia="en-US"/>
              </w:rPr>
              <w:t>(See evidence matrix D4.H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0F94F2C2" w14:textId="77777777" w:rsidR="00175B8E" w:rsidRDefault="00175B8E" w:rsidP="00175B8E">
            <w:pPr>
              <w:pStyle w:val="T-ABCD"/>
              <w:spacing w:line="276" w:lineRule="auto"/>
              <w:rPr>
                <w:lang w:val="en-US" w:eastAsia="en-US"/>
              </w:rPr>
            </w:pPr>
            <w:r>
              <w:rPr>
                <w:lang w:val="en-US" w:eastAsia="en-US"/>
              </w:rPr>
              <w:t>X</w:t>
            </w:r>
          </w:p>
        </w:tc>
        <w:tc>
          <w:tcPr>
            <w:tcW w:w="912" w:type="dxa"/>
            <w:tcBorders>
              <w:top w:val="single" w:sz="4" w:space="0" w:color="000000"/>
              <w:left w:val="single" w:sz="4" w:space="0" w:color="000000"/>
              <w:bottom w:val="single" w:sz="4" w:space="0" w:color="000000"/>
              <w:right w:val="single" w:sz="4" w:space="0" w:color="000000"/>
            </w:tcBorders>
            <w:hideMark/>
          </w:tcPr>
          <w:p w14:paraId="6031BA24"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6EBEE3B9" w14:textId="77777777" w:rsidR="00175B8E" w:rsidRDefault="00175B8E" w:rsidP="00175B8E">
            <w:pPr>
              <w:pStyle w:val="T-ABCD"/>
              <w:spacing w:line="276" w:lineRule="auto"/>
              <w:rPr>
                <w:lang w:val="en-US" w:eastAsia="en-US"/>
              </w:rPr>
            </w:pPr>
            <w:r>
              <w:rPr>
                <w:lang w:val="en-US" w:eastAsia="en-US"/>
              </w:rPr>
              <w:sym w:font="Symbol" w:char="F0D6"/>
            </w:r>
          </w:p>
        </w:tc>
        <w:tc>
          <w:tcPr>
            <w:tcW w:w="794" w:type="dxa"/>
            <w:tcBorders>
              <w:top w:val="single" w:sz="4" w:space="0" w:color="000000"/>
              <w:left w:val="single" w:sz="4" w:space="0" w:color="000000"/>
              <w:bottom w:val="single" w:sz="4" w:space="0" w:color="000000"/>
              <w:right w:val="single" w:sz="4" w:space="0" w:color="000000"/>
            </w:tcBorders>
            <w:hideMark/>
          </w:tcPr>
          <w:p w14:paraId="2C33189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794" w:type="dxa"/>
            <w:tcBorders>
              <w:top w:val="single" w:sz="4" w:space="0" w:color="000000"/>
              <w:left w:val="single" w:sz="4" w:space="0" w:color="000000"/>
              <w:bottom w:val="single" w:sz="4" w:space="0" w:color="000000"/>
              <w:right w:val="single" w:sz="4" w:space="0" w:color="000000"/>
            </w:tcBorders>
            <w:hideMark/>
          </w:tcPr>
          <w:p w14:paraId="3F42E704"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08449D56" w14:textId="77777777" w:rsidTr="00175B8E">
        <w:trPr>
          <w:cantSplit/>
        </w:trPr>
        <w:tc>
          <w:tcPr>
            <w:tcW w:w="8700" w:type="dxa"/>
            <w:gridSpan w:val="7"/>
            <w:tcBorders>
              <w:top w:val="single" w:sz="4" w:space="0" w:color="000000"/>
              <w:left w:val="single" w:sz="4" w:space="0" w:color="000000"/>
              <w:bottom w:val="single" w:sz="4" w:space="0" w:color="000000"/>
              <w:right w:val="single" w:sz="4" w:space="0" w:color="000000"/>
            </w:tcBorders>
            <w:hideMark/>
          </w:tcPr>
          <w:p w14:paraId="5904FF10" w14:textId="77777777" w:rsidR="00175B8E" w:rsidRDefault="00175B8E" w:rsidP="00175B8E">
            <w:pPr>
              <w:pStyle w:val="ES-notes"/>
              <w:spacing w:line="276" w:lineRule="auto"/>
              <w:rPr>
                <w:lang w:val="en-US" w:eastAsia="en-US"/>
              </w:rPr>
            </w:pPr>
            <w:r>
              <w:rPr>
                <w:lang w:val="en-US" w:eastAsia="en-US"/>
              </w:rPr>
              <w:t xml:space="preserve">ES, evidence statement </w:t>
            </w:r>
          </w:p>
          <w:p w14:paraId="2FB9DC49"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4B54A44A" w14:textId="77777777" w:rsidR="00175B8E" w:rsidRPr="00A52193" w:rsidRDefault="00175B8E" w:rsidP="00175B8E">
      <w:pPr>
        <w:rPr>
          <w:lang w:val="en-GB" w:eastAsia="en-GB"/>
        </w:rPr>
      </w:pPr>
    </w:p>
    <w:p w14:paraId="092F7FA1" w14:textId="77777777" w:rsidR="00175B8E" w:rsidRDefault="00175B8E" w:rsidP="00AA42FC">
      <w:pPr>
        <w:pStyle w:val="Heading4"/>
      </w:pPr>
      <w:r>
        <w:t>Background</w:t>
      </w:r>
    </w:p>
    <w:p w14:paraId="7E4007AB" w14:textId="77777777" w:rsidR="00175B8E" w:rsidRDefault="00175B8E" w:rsidP="00AA42FC">
      <w:pPr>
        <w:rPr>
          <w:lang w:val="en-GB" w:eastAsia="en-GB"/>
        </w:rPr>
      </w:pPr>
      <w:r>
        <w:rPr>
          <w:lang w:val="en-GB" w:eastAsia="en-GB"/>
        </w:rPr>
        <w:t xml:space="preserve">Controlled induced hypotension </w:t>
      </w:r>
      <w:r w:rsidRPr="00AC0F5F">
        <w:rPr>
          <w:lang w:val="en-GB" w:eastAsia="en-GB"/>
        </w:rPr>
        <w:t>in</w:t>
      </w:r>
      <w:r>
        <w:rPr>
          <w:lang w:val="en-GB" w:eastAsia="en-GB"/>
        </w:rPr>
        <w:t>volves deliberately lowering a</w:t>
      </w:r>
      <w:r w:rsidRPr="00AC0F5F">
        <w:rPr>
          <w:lang w:val="en-GB" w:eastAsia="en-GB"/>
        </w:rPr>
        <w:t xml:space="preserve"> patient's</w:t>
      </w:r>
      <w:r>
        <w:rPr>
          <w:lang w:val="en-GB" w:eastAsia="en-GB"/>
        </w:rPr>
        <w:t xml:space="preserve"> mean arterial blood pressure to below normal, aiming </w:t>
      </w:r>
      <w:r w:rsidRPr="00AC0F5F">
        <w:rPr>
          <w:lang w:val="en-GB" w:eastAsia="en-GB"/>
        </w:rPr>
        <w:t xml:space="preserve">to </w:t>
      </w:r>
      <w:r>
        <w:rPr>
          <w:lang w:val="en-GB" w:eastAsia="en-GB"/>
        </w:rPr>
        <w:t xml:space="preserve">limit blood loss or </w:t>
      </w:r>
      <w:r w:rsidRPr="00AC0F5F">
        <w:rPr>
          <w:lang w:val="en-GB" w:eastAsia="en-GB"/>
        </w:rPr>
        <w:t>improv</w:t>
      </w:r>
      <w:r>
        <w:rPr>
          <w:lang w:val="en-GB" w:eastAsia="en-GB"/>
        </w:rPr>
        <w:t>e the surgical field. In paediatrics, its use is common in scoliosis surgery.</w:t>
      </w:r>
    </w:p>
    <w:p w14:paraId="7973368F" w14:textId="77777777" w:rsidR="00175B8E" w:rsidRDefault="00175B8E" w:rsidP="00AA42FC">
      <w:pPr>
        <w:pStyle w:val="Heading4"/>
      </w:pPr>
      <w:r>
        <w:t>Summary of evidence</w:t>
      </w:r>
    </w:p>
    <w:p w14:paraId="54010D80" w14:textId="7CEBE78C" w:rsidR="00175B8E" w:rsidRDefault="00175B8E" w:rsidP="00175B8E">
      <w:r>
        <w:t>O</w:t>
      </w:r>
      <w:r w:rsidR="00E6680C">
        <w:t xml:space="preserve">ne poor-quality Level II study </w:t>
      </w:r>
      <w:r>
        <w:t xml:space="preserve">was </w:t>
      </w:r>
      <w:r w:rsidRPr="009C183B">
        <w:t>identified</w:t>
      </w:r>
      <w:r>
        <w:t>.</w:t>
      </w:r>
      <w:hyperlink w:anchor="_ENREF_171" w:tooltip="Precious, 1996 #937" w:history="1">
        <w:r w:rsidR="00E62798">
          <w:fldChar w:fldCharType="begin"/>
        </w:r>
        <w:r w:rsidR="00E62798">
          <w:instrText xml:space="preserve"> ADDIN EN.CITE &lt;EndNote&gt;&lt;Cite&gt;&lt;Author&gt;Precious&lt;/Author&gt;&lt;Year&gt;1996&lt;/Year&gt;&lt;RecNum&gt;937&lt;/RecNum&gt;&lt;DisplayText&gt;&lt;style face="superscript"&gt;171&lt;/style&gt;&lt;/DisplayText&gt;&lt;record&gt;&lt;rec-number&gt;937&lt;/rec-number&gt;&lt;foreign-keys&gt;&lt;key app="EN" db-id="9edve2wadsavt5ewavaxtda4f2tavzvts9ee" timestamp="1435709514"&gt;937&lt;/key&gt;&lt;/foreign-keys&gt;&lt;ref-type name="Journal Article"&gt;17&lt;/ref-type&gt;&lt;contributors&gt;&lt;authors&gt;&lt;author&gt;Precious, D. S.&lt;/author&gt;&lt;author&gt;Splinter, W.&lt;/author&gt;&lt;author&gt;Bosco, D.&lt;/author&gt;&lt;/authors&gt;&lt;/contributors&gt;&lt;titles&gt;&lt;title&gt;Induced hypotensive anesthesia for adolescent orthognathic surgery patients&lt;/title&gt;&lt;secondary-title&gt;Journal of Oral and Maxillofacial Surgery&lt;/secondary-title&gt;&lt;alt-title&gt;J. Oral Maxillofac. Surg.&lt;/alt-title&gt;&lt;/titles&gt;&lt;periodical&gt;&lt;full-title&gt;Journal of Oral and Maxillofacial Surgery&lt;/full-title&gt;&lt;abbr-1&gt;J. Oral Maxillofac. Surg.&lt;/abbr-1&gt;&lt;/periodical&gt;&lt;alt-periodical&gt;&lt;full-title&gt;Journal of Oral and Maxillofacial Surgery&lt;/full-title&gt;&lt;abbr-1&gt;J. Oral Maxillofac. Surg.&lt;/abbr-1&gt;&lt;/alt-periodical&gt;&lt;pages&gt;680–683, discussion 683–684&lt;/pages&gt;&lt;volume&gt;54&lt;/volume&gt;&lt;number&gt;6&lt;/number&gt;&lt;dates&gt;&lt;year&gt;1996&lt;/year&gt;&lt;/dates&gt;&lt;isbn&gt;0278-2391&lt;/isbn&gt;&lt;urls&gt;&lt;related-urls&gt;&lt;url&gt;http://www.joms.org/article/S0278-2391(96)90679-5/abstract&lt;/url&gt;&lt;/related-urls&gt;&lt;/urls&gt;&lt;electronic-resource-num&gt;DOI:10.1016/S0278-2391(96)90679-5&lt;/electronic-resource-num&gt;&lt;/record&gt;&lt;/Cite&gt;&lt;/EndNote&gt;</w:instrText>
        </w:r>
        <w:r w:rsidR="00E62798">
          <w:fldChar w:fldCharType="separate"/>
        </w:r>
        <w:r w:rsidR="00E62798" w:rsidRPr="00E62798">
          <w:rPr>
            <w:noProof/>
            <w:vertAlign w:val="superscript"/>
          </w:rPr>
          <w:t>171</w:t>
        </w:r>
        <w:r w:rsidR="00E62798">
          <w:fldChar w:fldCharType="end"/>
        </w:r>
      </w:hyperlink>
      <w:r>
        <w:t xml:space="preserve"> The study enrolled 50</w:t>
      </w:r>
      <w:r w:rsidR="003F341F">
        <w:t xml:space="preserve"> adolescent patients aged 13–</w:t>
      </w:r>
      <w:r>
        <w:t>15 years who were undergoing osteotomy or genioplasty.</w:t>
      </w:r>
    </w:p>
    <w:p w14:paraId="476FC396" w14:textId="77777777" w:rsidR="00175B8E" w:rsidRDefault="00175B8E" w:rsidP="00AA42FC">
      <w:pPr>
        <w:pStyle w:val="StyleHeading5Heading5nonumLeft0cmFirstline127cm"/>
      </w:pPr>
      <w:r w:rsidRPr="00B2388C">
        <w:t xml:space="preserve">Transfusion volume or incidence </w:t>
      </w:r>
    </w:p>
    <w:p w14:paraId="25AF3466" w14:textId="12988C05" w:rsidR="00175B8E" w:rsidRDefault="00FA6791" w:rsidP="00AA42FC">
      <w:r>
        <w:t>No studies reported</w:t>
      </w:r>
      <w:r w:rsidR="008F7398">
        <w:t xml:space="preserve"> transfusion volume or incidence.</w:t>
      </w:r>
      <w:r w:rsidR="003F341F">
        <w:t>.</w:t>
      </w:r>
    </w:p>
    <w:p w14:paraId="4D79FDE7" w14:textId="77777777" w:rsidR="00175B8E" w:rsidRDefault="00175B8E" w:rsidP="00AA42FC">
      <w:pPr>
        <w:pStyle w:val="StyleHeading5Heading5nonumLeft0cmFirstline127cm"/>
      </w:pPr>
      <w:r w:rsidRPr="00A11BF0">
        <w:t>Bleeding events</w:t>
      </w:r>
    </w:p>
    <w:p w14:paraId="5C0E6062" w14:textId="39FC5A20" w:rsidR="00175B8E" w:rsidRDefault="00175B8E" w:rsidP="00175B8E">
      <w:pPr>
        <w:rPr>
          <w:lang w:val="en-GB" w:eastAsia="en-GB"/>
        </w:rPr>
      </w:pPr>
      <w:r w:rsidRPr="00180545">
        <w:t>A significant difference favouring induced hypotension was reported for estimated blood</w:t>
      </w:r>
      <w:r>
        <w:t xml:space="preserve"> loss by surgeon </w:t>
      </w:r>
      <w:r w:rsidR="00AA42FC">
        <w:t xml:space="preserve">and by the anaesthetist. </w:t>
      </w:r>
      <w:r w:rsidRPr="00180545">
        <w:t>A significant difference favouring induced hypotension was also reported for average esti</w:t>
      </w:r>
      <w:r>
        <w:t xml:space="preserve">mated blood loss </w:t>
      </w:r>
      <w:r w:rsidRPr="00180545">
        <w:t>and surg</w:t>
      </w:r>
      <w:r>
        <w:t>ical field ra</w:t>
      </w:r>
      <w:r w:rsidR="00AA42FC">
        <w:t>ting.</w:t>
      </w:r>
    </w:p>
    <w:p w14:paraId="2E9464CC" w14:textId="66858E24" w:rsidR="00175B8E" w:rsidRPr="00AA42FC" w:rsidRDefault="00175B8E" w:rsidP="00397071">
      <w:pPr>
        <w:pStyle w:val="BoxHeading"/>
        <w:rPr>
          <w:lang w:val="en-AU"/>
        </w:rPr>
      </w:pPr>
      <w:r w:rsidRPr="001A129D">
        <w:t>Clinical commentary</w:t>
      </w:r>
      <w:r w:rsidR="00AA42FC">
        <w:rPr>
          <w:lang w:val="en-AU"/>
        </w:rPr>
        <w:t xml:space="preserve"> –</w:t>
      </w:r>
      <w:r w:rsidR="00AA42FC">
        <w:rPr>
          <w:rFonts w:cs="Tahoma"/>
          <w:szCs w:val="21"/>
        </w:rPr>
        <w:t xml:space="preserve"> </w:t>
      </w:r>
      <w:r w:rsidR="00AA42FC">
        <w:rPr>
          <w:lang w:val="en-AU"/>
        </w:rPr>
        <w:t>controlled</w:t>
      </w:r>
      <w:r w:rsidR="00AA42FC">
        <w:t xml:space="preserve"> induced </w:t>
      </w:r>
      <w:r w:rsidR="00AA42FC">
        <w:rPr>
          <w:lang w:val="en-AU"/>
        </w:rPr>
        <w:t xml:space="preserve">hypotension in </w:t>
      </w:r>
      <w:r w:rsidR="00AA42FC" w:rsidRPr="00EA4E11">
        <w:rPr>
          <w:rFonts w:cs="Tahoma"/>
          <w:szCs w:val="21"/>
        </w:rPr>
        <w:t xml:space="preserve">neonatal </w:t>
      </w:r>
      <w:r w:rsidR="00AA42FC">
        <w:rPr>
          <w:rFonts w:cs="Tahoma"/>
          <w:szCs w:val="21"/>
        </w:rPr>
        <w:t xml:space="preserve">and paediatric </w:t>
      </w:r>
      <w:r w:rsidR="00AA42FC" w:rsidRPr="00EA4E11">
        <w:rPr>
          <w:rFonts w:cs="Tahoma"/>
          <w:szCs w:val="21"/>
        </w:rPr>
        <w:t>patients</w:t>
      </w:r>
      <w:r w:rsidR="00AA42FC">
        <w:rPr>
          <w:rFonts w:cs="Tahoma"/>
          <w:szCs w:val="21"/>
        </w:rPr>
        <w:t xml:space="preserve"> undergoing surgery</w:t>
      </w:r>
    </w:p>
    <w:p w14:paraId="0DEBADBF" w14:textId="2CAAD91D" w:rsidR="00175B8E" w:rsidRDefault="00175B8E" w:rsidP="00397071">
      <w:pPr>
        <w:pStyle w:val="BoxText"/>
      </w:pPr>
      <w:r>
        <w:t>There is little evidence on safety and efficacy to guide the use of controlled induced hypotension in paediatric surgery. It is difficult to extrapolate evidence from the adult population to the paediatric population</w:t>
      </w:r>
      <w:r w:rsidR="00AA42FC">
        <w:t>,</w:t>
      </w:r>
      <w:r>
        <w:t xml:space="preserve"> because the types of surgery where controlled induced hypotension is advantageous in adults are not relevant in paediatrics. </w:t>
      </w:r>
    </w:p>
    <w:p w14:paraId="25751E61" w14:textId="77777777" w:rsidR="00175B8E" w:rsidRDefault="00175B8E" w:rsidP="00397071">
      <w:pPr>
        <w:pStyle w:val="BoxText"/>
      </w:pPr>
      <w:r>
        <w:t>In spinal surgery, the use of controlled hypotension needs to be balanced against the risk of causing reduced perfusion</w:t>
      </w:r>
      <w:r w:rsidRPr="00D329E9">
        <w:t xml:space="preserve"> </w:t>
      </w:r>
      <w:r>
        <w:t xml:space="preserve">of the spinal cord and other organs. </w:t>
      </w:r>
    </w:p>
    <w:p w14:paraId="191B263D" w14:textId="21FEBD52" w:rsidR="00175B8E" w:rsidRPr="008B42AF" w:rsidRDefault="008B42AF" w:rsidP="008B42AF">
      <w:pPr>
        <w:pStyle w:val="Heading3"/>
        <w:rPr>
          <w:lang w:val="en-AU"/>
        </w:rPr>
      </w:pPr>
      <w:bookmarkStart w:id="172" w:name="_Toc427851359"/>
      <w:r>
        <w:rPr>
          <w:lang w:val="en-AU"/>
        </w:rPr>
        <w:t>3.</w:t>
      </w:r>
      <w:r w:rsidR="00333C23">
        <w:rPr>
          <w:lang w:val="en-AU"/>
        </w:rPr>
        <w:t>5</w:t>
      </w:r>
      <w:r>
        <w:rPr>
          <w:lang w:val="en-AU"/>
        </w:rPr>
        <w:t>.5</w:t>
      </w:r>
      <w:r>
        <w:rPr>
          <w:lang w:val="en-AU"/>
        </w:rPr>
        <w:tab/>
      </w:r>
      <w:r w:rsidRPr="00EA4E11">
        <w:rPr>
          <w:rFonts w:cs="Tahoma"/>
          <w:szCs w:val="21"/>
          <w:lang w:val="en-GB" w:eastAsia="en-GB"/>
        </w:rPr>
        <w:t xml:space="preserve">Neonatal </w:t>
      </w:r>
      <w:r>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undergoing surgery</w:t>
      </w:r>
      <w:r>
        <w:t xml:space="preserve"> </w:t>
      </w:r>
      <w:r>
        <w:rPr>
          <w:lang w:val="en-AU"/>
        </w:rPr>
        <w:t xml:space="preserve">– effects of </w:t>
      </w:r>
      <w:r w:rsidR="00333C23">
        <w:rPr>
          <w:lang w:val="en-AU"/>
        </w:rPr>
        <w:t xml:space="preserve">ANH </w:t>
      </w:r>
      <w:r>
        <w:rPr>
          <w:lang w:val="en-AU"/>
        </w:rPr>
        <w:t>on outcomes</w:t>
      </w:r>
      <w:bookmarkEnd w:id="172"/>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3575"/>
        <w:gridCol w:w="809"/>
        <w:gridCol w:w="809"/>
        <w:gridCol w:w="809"/>
        <w:gridCol w:w="809"/>
        <w:gridCol w:w="810"/>
      </w:tblGrid>
      <w:tr w:rsidR="00175B8E" w14:paraId="3B413ECE" w14:textId="77777777" w:rsidTr="00467EEA">
        <w:trPr>
          <w:cantSplit/>
          <w:trHeight w:val="2078"/>
          <w:tblHeader/>
        </w:trPr>
        <w:tc>
          <w:tcPr>
            <w:tcW w:w="4594"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4196B213" w14:textId="5973DEDC" w:rsidR="00175B8E" w:rsidRDefault="00175B8E" w:rsidP="00333C23">
            <w:pPr>
              <w:pStyle w:val="PP-heading"/>
              <w:spacing w:line="276" w:lineRule="auto"/>
              <w:rPr>
                <w:lang w:val="en-US" w:eastAsia="en-US"/>
              </w:rPr>
            </w:pPr>
            <w:r>
              <w:rPr>
                <w:lang w:val="en-US" w:eastAsia="en-US"/>
              </w:rPr>
              <w:t xml:space="preserve">Evidence statements – </w:t>
            </w:r>
            <w:r w:rsidR="0007284D">
              <w:rPr>
                <w:lang w:val="en-US" w:eastAsia="en-US"/>
              </w:rPr>
              <w:t xml:space="preserve">surgical </w:t>
            </w:r>
            <w:r w:rsidR="00333C23">
              <w:rPr>
                <w:lang w:val="en-US" w:eastAsia="en-US"/>
              </w:rPr>
              <w:t>ANH</w:t>
            </w:r>
            <w:r w:rsidR="0007284D">
              <w:rPr>
                <w:lang w:val="en-US" w:eastAsia="en-US"/>
              </w:rPr>
              <w: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D3A5A6B"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2AB9AB4"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C5AD172"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321C506"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1906361"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6F028C97"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51133203" w14:textId="77777777" w:rsidR="00175B8E" w:rsidRDefault="00175B8E" w:rsidP="00175B8E">
            <w:pPr>
              <w:pStyle w:val="Tabletextnoindent"/>
              <w:numPr>
                <w:ilvl w:val="0"/>
                <w:numId w:val="0"/>
              </w:numPr>
              <w:spacing w:line="276" w:lineRule="auto"/>
              <w:rPr>
                <w:lang w:val="en-US" w:eastAsia="en-US"/>
              </w:rPr>
            </w:pPr>
            <w:r w:rsidRPr="009328C9">
              <w:t>ES4.1</w:t>
            </w:r>
            <w:r>
              <w:t>3</w:t>
            </w:r>
          </w:p>
        </w:tc>
        <w:tc>
          <w:tcPr>
            <w:tcW w:w="3575" w:type="dxa"/>
            <w:tcBorders>
              <w:top w:val="single" w:sz="4" w:space="0" w:color="000000"/>
              <w:left w:val="single" w:sz="4" w:space="0" w:color="000000"/>
              <w:bottom w:val="single" w:sz="4" w:space="0" w:color="000000"/>
              <w:right w:val="single" w:sz="4" w:space="0" w:color="000000"/>
            </w:tcBorders>
            <w:hideMark/>
          </w:tcPr>
          <w:p w14:paraId="68727A60"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surgery, the effect of ANH compared with no ANH on mortality is unknown.</w:t>
            </w:r>
          </w:p>
        </w:tc>
        <w:tc>
          <w:tcPr>
            <w:tcW w:w="809" w:type="dxa"/>
            <w:tcBorders>
              <w:top w:val="single" w:sz="4" w:space="0" w:color="000000"/>
              <w:left w:val="single" w:sz="4" w:space="0" w:color="000000"/>
              <w:bottom w:val="single" w:sz="4" w:space="0" w:color="000000"/>
              <w:right w:val="single" w:sz="4" w:space="0" w:color="000000"/>
            </w:tcBorders>
            <w:hideMark/>
          </w:tcPr>
          <w:p w14:paraId="0ACD9430"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BBAAAB7"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333E794"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947DBFA"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64CEDD09"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8751F0B"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4FD87364" w14:textId="77777777" w:rsidR="00175B8E" w:rsidRDefault="00175B8E" w:rsidP="00175B8E">
            <w:pPr>
              <w:pStyle w:val="Tabletextnoindent"/>
              <w:numPr>
                <w:ilvl w:val="0"/>
                <w:numId w:val="0"/>
              </w:numPr>
              <w:spacing w:line="276" w:lineRule="auto"/>
              <w:rPr>
                <w:lang w:val="en-US" w:eastAsia="en-US"/>
              </w:rPr>
            </w:pPr>
            <w:r w:rsidRPr="009328C9">
              <w:t>ES4.</w:t>
            </w:r>
            <w:r>
              <w:t>14</w:t>
            </w:r>
          </w:p>
        </w:tc>
        <w:tc>
          <w:tcPr>
            <w:tcW w:w="3575" w:type="dxa"/>
            <w:tcBorders>
              <w:top w:val="single" w:sz="4" w:space="0" w:color="000000"/>
              <w:left w:val="single" w:sz="4" w:space="0" w:color="000000"/>
              <w:bottom w:val="single" w:sz="4" w:space="0" w:color="000000"/>
              <w:right w:val="single" w:sz="4" w:space="0" w:color="000000"/>
            </w:tcBorders>
            <w:hideMark/>
          </w:tcPr>
          <w:p w14:paraId="3DCFAAF4"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surgery, the effect of ANH compared with no ANH on transfusion volume and incidence is uncertain.</w:t>
            </w:r>
          </w:p>
          <w:p w14:paraId="62DE347F" w14:textId="77777777" w:rsidR="00175B8E" w:rsidRDefault="00175B8E" w:rsidP="00175B8E">
            <w:pPr>
              <w:pStyle w:val="ES-notes"/>
              <w:spacing w:line="276" w:lineRule="auto"/>
              <w:rPr>
                <w:lang w:val="en-US" w:eastAsia="en-US"/>
              </w:rPr>
            </w:pPr>
            <w:r>
              <w:rPr>
                <w:lang w:val="en-US" w:eastAsia="en-US"/>
              </w:rPr>
              <w:t>(See evidence matrix D4.I in Volume 2 of the technical report.)</w:t>
            </w:r>
          </w:p>
        </w:tc>
        <w:tc>
          <w:tcPr>
            <w:tcW w:w="809" w:type="dxa"/>
            <w:tcBorders>
              <w:top w:val="single" w:sz="4" w:space="0" w:color="000000"/>
              <w:left w:val="single" w:sz="4" w:space="0" w:color="000000"/>
              <w:bottom w:val="single" w:sz="4" w:space="0" w:color="000000"/>
              <w:right w:val="single" w:sz="4" w:space="0" w:color="000000"/>
            </w:tcBorders>
            <w:hideMark/>
          </w:tcPr>
          <w:p w14:paraId="0190CE86"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2B4F8AC0"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258AB7B4"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5B62C19"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48C6AA03"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2F61D1D8"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10349655" w14:textId="481C17A4" w:rsidR="00175B8E" w:rsidRDefault="00175B8E" w:rsidP="00175B8E">
            <w:pPr>
              <w:pStyle w:val="ES-notes"/>
              <w:spacing w:line="276" w:lineRule="auto"/>
              <w:rPr>
                <w:lang w:val="en-US" w:eastAsia="en-US"/>
              </w:rPr>
            </w:pPr>
            <w:r>
              <w:rPr>
                <w:lang w:val="en-US" w:eastAsia="en-US"/>
              </w:rPr>
              <w:t>ANH, acute normovol</w:t>
            </w:r>
            <w:r w:rsidR="00333C23">
              <w:rPr>
                <w:lang w:val="en-US" w:eastAsia="en-US"/>
              </w:rPr>
              <w:t>a</w:t>
            </w:r>
            <w:r>
              <w:rPr>
                <w:lang w:val="en-US" w:eastAsia="en-US"/>
              </w:rPr>
              <w:t xml:space="preserve">emic haemodilution; ES, evidence statement </w:t>
            </w:r>
          </w:p>
          <w:p w14:paraId="4C77EA3C"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56BC2156" w14:textId="77777777" w:rsidR="00175B8E" w:rsidRDefault="00175B8E" w:rsidP="00175B8E">
      <w:pPr>
        <w:pStyle w:val="BodyText"/>
      </w:pPr>
    </w:p>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797"/>
        <w:gridCol w:w="7851"/>
      </w:tblGrid>
      <w:tr w:rsidR="00175B8E" w14:paraId="63763EB2"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0A57C03B" w14:textId="4D398C71" w:rsidR="00175B8E" w:rsidRDefault="000E35F6" w:rsidP="00333C23">
            <w:pPr>
              <w:pStyle w:val="PP-heading"/>
              <w:spacing w:line="276" w:lineRule="auto"/>
              <w:rPr>
                <w:lang w:val="en-US" w:eastAsia="en-US"/>
              </w:rPr>
            </w:pPr>
            <w:r>
              <w:rPr>
                <w:lang w:val="en-US" w:eastAsia="en-US"/>
              </w:rPr>
              <w:t>Practice point</w:t>
            </w:r>
            <w:r w:rsidR="00175B8E">
              <w:rPr>
                <w:lang w:val="en-US" w:eastAsia="en-US"/>
              </w:rPr>
              <w:t xml:space="preserve"> – </w:t>
            </w:r>
            <w:r w:rsidR="0007284D">
              <w:rPr>
                <w:lang w:val="en-US" w:eastAsia="en-US"/>
              </w:rPr>
              <w:t>surgical (</w:t>
            </w:r>
            <w:r w:rsidR="00333C23">
              <w:rPr>
                <w:lang w:val="en-US" w:eastAsia="en-US"/>
              </w:rPr>
              <w:t>ANH</w:t>
            </w:r>
            <w:r w:rsidR="0007284D">
              <w:rPr>
                <w:lang w:val="en-US" w:eastAsia="en-US"/>
              </w:rPr>
              <w:t>)</w:t>
            </w:r>
          </w:p>
        </w:tc>
      </w:tr>
      <w:tr w:rsidR="00175B8E" w14:paraId="4276A91A" w14:textId="77777777" w:rsidTr="00175B8E">
        <w:tc>
          <w:tcPr>
            <w:tcW w:w="797" w:type="dxa"/>
            <w:tcBorders>
              <w:top w:val="single" w:sz="4" w:space="0" w:color="000000"/>
              <w:left w:val="single" w:sz="4" w:space="0" w:color="000000"/>
              <w:bottom w:val="single" w:sz="4" w:space="0" w:color="000000"/>
              <w:right w:val="single" w:sz="4" w:space="0" w:color="auto"/>
            </w:tcBorders>
            <w:hideMark/>
          </w:tcPr>
          <w:p w14:paraId="4A501365" w14:textId="77777777" w:rsidR="00175B8E" w:rsidRDefault="00175B8E" w:rsidP="008B42AF">
            <w:pPr>
              <w:pStyle w:val="PP"/>
            </w:pPr>
            <w:r>
              <w:t>PP34</w:t>
            </w:r>
          </w:p>
        </w:tc>
        <w:tc>
          <w:tcPr>
            <w:tcW w:w="7851" w:type="dxa"/>
            <w:tcBorders>
              <w:top w:val="single" w:sz="4" w:space="0" w:color="000000"/>
              <w:left w:val="single" w:sz="4" w:space="0" w:color="auto"/>
              <w:bottom w:val="single" w:sz="4" w:space="0" w:color="000000"/>
              <w:right w:val="single" w:sz="4" w:space="0" w:color="000000"/>
            </w:tcBorders>
            <w:hideMark/>
          </w:tcPr>
          <w:p w14:paraId="7D04F6A2" w14:textId="77777777" w:rsidR="00175B8E" w:rsidRDefault="00175B8E" w:rsidP="008B42AF">
            <w:pPr>
              <w:pStyle w:val="PP"/>
            </w:pPr>
            <w:r>
              <w:t>In paediatric patients, ANH has not been shown to reduce transfusion or improve clinical outcomes. However, if ANH is used, it requires a local procedural guideline that addresses patient selection, vascular access, volume of blood withdrawn, choice of replacement fluid, blood storage and handling, and timing of reinfusion.</w:t>
            </w:r>
          </w:p>
        </w:tc>
      </w:tr>
      <w:tr w:rsidR="00175B8E" w14:paraId="4B26B0D5"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5D4214D9" w14:textId="17BA93B3" w:rsidR="00175B8E" w:rsidRDefault="00175B8E" w:rsidP="008B42AF">
            <w:pPr>
              <w:pStyle w:val="PP-note"/>
              <w:rPr>
                <w:lang w:val="en-US" w:eastAsia="en-US"/>
              </w:rPr>
            </w:pPr>
            <w:r>
              <w:rPr>
                <w:lang w:val="en-US" w:eastAsia="en-US"/>
              </w:rPr>
              <w:t>ANH, acute normovol</w:t>
            </w:r>
            <w:r w:rsidR="003F341F">
              <w:rPr>
                <w:lang w:val="en-US" w:eastAsia="en-US"/>
              </w:rPr>
              <w:t>a</w:t>
            </w:r>
            <w:r>
              <w:rPr>
                <w:lang w:val="en-US" w:eastAsia="en-US"/>
              </w:rPr>
              <w:t xml:space="preserve">emic haemodilution; PP, practice point </w:t>
            </w:r>
          </w:p>
        </w:tc>
      </w:tr>
    </w:tbl>
    <w:p w14:paraId="265AB9B7" w14:textId="77777777" w:rsidR="00175B8E" w:rsidRPr="00A52193" w:rsidRDefault="00175B8E" w:rsidP="00175B8E">
      <w:pPr>
        <w:rPr>
          <w:lang w:val="en-GB" w:eastAsia="en-GB"/>
        </w:rPr>
      </w:pPr>
    </w:p>
    <w:p w14:paraId="01936F43" w14:textId="77777777" w:rsidR="00175B8E" w:rsidRDefault="00175B8E" w:rsidP="008B42AF">
      <w:pPr>
        <w:pStyle w:val="Heading4"/>
      </w:pPr>
      <w:r>
        <w:t>Background</w:t>
      </w:r>
    </w:p>
    <w:p w14:paraId="101FFF49" w14:textId="25DC6260" w:rsidR="00175B8E" w:rsidRDefault="00175B8E" w:rsidP="008B42AF">
      <w:r w:rsidRPr="00E56724">
        <w:t>ANH is a blood</w:t>
      </w:r>
      <w:r w:rsidR="00333C23">
        <w:t xml:space="preserve"> </w:t>
      </w:r>
      <w:r w:rsidRPr="00E56724">
        <w:t>conservation technique that aim</w:t>
      </w:r>
      <w:r>
        <w:t>s</w:t>
      </w:r>
      <w:r w:rsidRPr="00E56724">
        <w:t xml:space="preserve"> to reduce allo</w:t>
      </w:r>
      <w:r>
        <w:t xml:space="preserve">geneic transfusion requirements in patients scheduled for elective surgery. For the purposes of this review, ANH was defined as the </w:t>
      </w:r>
      <w:r w:rsidRPr="00E56724">
        <w:t>removal of a patient’s blood shortly after induction of anaesthesia, with maintenance of normovolaemia using crystalloid or colloid replacement</w:t>
      </w:r>
      <w:r>
        <w:t>, then reinfusion of the patient’s blood</w:t>
      </w:r>
      <w:r w:rsidRPr="00E56724">
        <w:t xml:space="preserve"> during or shortly after surgery</w:t>
      </w:r>
      <w:r>
        <w:t>. This autologous whole blood (which is kept at room temperature) has a greater concentration of better functioning platelets and clotting factors than banked blood. Hence, it may be helpful in correcting coagulopathy</w:t>
      </w:r>
      <w:r w:rsidR="008B42AF">
        <w:t xml:space="preserve"> as well as improving Hct</w:t>
      </w:r>
      <w:r>
        <w:t xml:space="preserve"> and decreasing the risk of allogeneic transfusion. </w:t>
      </w:r>
    </w:p>
    <w:p w14:paraId="369151DD" w14:textId="513B841E" w:rsidR="00175B8E" w:rsidRDefault="00175B8E" w:rsidP="008B42AF">
      <w:r>
        <w:t xml:space="preserve">In infants, particularly those </w:t>
      </w:r>
      <w:r w:rsidR="00333C23">
        <w:t xml:space="preserve">aged </w:t>
      </w:r>
      <w:r>
        <w:t>under 6 months, there may be greater safety issues with ANH because of their inability to compensate for acute anaemia or blood loss.</w:t>
      </w:r>
    </w:p>
    <w:p w14:paraId="7FFE4F0E" w14:textId="77777777" w:rsidR="00175B8E" w:rsidRDefault="00175B8E" w:rsidP="008B42AF">
      <w:pPr>
        <w:pStyle w:val="Heading4"/>
      </w:pPr>
      <w:r>
        <w:t>Summary of evidence</w:t>
      </w:r>
    </w:p>
    <w:p w14:paraId="0430205A" w14:textId="537DC50A" w:rsidR="008B42AF" w:rsidRDefault="00175B8E" w:rsidP="001813C1">
      <w:pPr>
        <w:pStyle w:val="Normalbeforebullet"/>
        <w:rPr>
          <w:b/>
        </w:rPr>
      </w:pPr>
      <w:r>
        <w:t>T</w:t>
      </w:r>
      <w:r w:rsidRPr="009C183B">
        <w:t xml:space="preserve">he systematic review </w:t>
      </w:r>
      <w:r>
        <w:t>ide</w:t>
      </w:r>
      <w:r w:rsidR="008B42AF">
        <w:t>ntified three Level II studies</w:t>
      </w:r>
      <w:r>
        <w:t xml:space="preserve"> that </w:t>
      </w:r>
      <w:r w:rsidRPr="00C04F13">
        <w:t xml:space="preserve">examined the </w:t>
      </w:r>
      <w:r w:rsidRPr="001813C1">
        <w:t>s</w:t>
      </w:r>
      <w:r>
        <w:t xml:space="preserve">afety and </w:t>
      </w:r>
      <w:r w:rsidRPr="00C04F13">
        <w:t>effect</w:t>
      </w:r>
      <w:r>
        <w:t>iveness</w:t>
      </w:r>
      <w:r w:rsidRPr="00C04F13">
        <w:t xml:space="preserve"> of </w:t>
      </w:r>
      <w:r>
        <w:t>ANH in paediatric patients</w:t>
      </w:r>
      <w:r w:rsidRPr="00C04F13">
        <w:t xml:space="preserve"> </w:t>
      </w:r>
      <w:r>
        <w:t>undergoing surgery</w:t>
      </w:r>
      <w:r w:rsidR="008B42AF">
        <w:rPr>
          <w:b/>
        </w:rPr>
        <w:t>:</w:t>
      </w:r>
    </w:p>
    <w:p w14:paraId="01857C9E" w14:textId="3059E368" w:rsidR="008B42AF" w:rsidRDefault="008B42AF" w:rsidP="00B60DBE">
      <w:pPr>
        <w:pStyle w:val="Bullet6"/>
      </w:pPr>
      <w:r>
        <w:rPr>
          <w:lang w:val="en-AU"/>
        </w:rPr>
        <w:t>one of</w:t>
      </w:r>
      <w:r>
        <w:t xml:space="preserve"> fair quality,</w:t>
      </w:r>
      <w:r w:rsidR="00175B8E">
        <w:t xml:space="preserve"> conducted in paediatric patients undergoing cardiac surgery</w:t>
      </w:r>
      <w:hyperlink w:anchor="_ENREF_172" w:tooltip="Friesen, 2006 #875" w:history="1">
        <w:r w:rsidR="00E62798">
          <w:fldChar w:fldCharType="begin"/>
        </w:r>
        <w:r w:rsidR="00E62798">
          <w:instrText xml:space="preserve"> ADDIN EN.CITE &lt;EndNote&gt;&lt;Cite&gt;&lt;Author&gt;Friesen&lt;/Author&gt;&lt;Year&gt;2006&lt;/Year&gt;&lt;RecNum&gt;875&lt;/RecNum&gt;&lt;DisplayText&gt;&lt;style face="superscript"&gt;172&lt;/style&gt;&lt;/DisplayText&gt;&lt;record&gt;&lt;rec-number&gt;875&lt;/rec-number&gt;&lt;foreign-keys&gt;&lt;key app="EN" db-id="9edve2wadsavt5ewavaxtda4f2tavzvts9ee" timestamp="1435036188"&gt;875&lt;/key&gt;&lt;/foreign-keys&gt;&lt;ref-type name="Generic"&gt;13&lt;/ref-type&gt;&lt;contributors&gt;&lt;authors&gt;&lt;author&gt;Friesen, R. H.&lt;/author&gt;&lt;author&gt;Perryman, K. M.&lt;/author&gt;&lt;author&gt;Weigers, K. R.&lt;/author&gt;&lt;author&gt;Mitchell, M. B.&lt;/author&gt;&lt;author&gt;et al.,&lt;/author&gt;&lt;/authors&gt;&lt;/contributors&gt;&lt;titles&gt;&lt;title&gt;A trial of fresh autologous whole blood to treat dilutional coagulopathy following cardiopulmonary bypass in infants&lt;/title&gt;&lt;/titles&gt;&lt;pages&gt;429–435&lt;/pages&gt;&lt;volume&gt;16&lt;/volume&gt;&lt;reprint-edition&gt;NOT IN FILE&lt;/reprint-edition&gt;&lt;keywords&gt;&lt;keyword&gt;blood&lt;/keyword&gt;&lt;keyword&gt;cardiopulmonary bypass&lt;/keyword&gt;&lt;/keywords&gt;&lt;dates&gt;&lt;year&gt;2006&lt;/year&gt;&lt;/dates&gt;&lt;urls&gt;&lt;/urls&gt;&lt;/record&gt;&lt;/Cite&gt;&lt;/EndNote&gt;</w:instrText>
        </w:r>
        <w:r w:rsidR="00E62798">
          <w:fldChar w:fldCharType="separate"/>
        </w:r>
        <w:r w:rsidR="00E62798" w:rsidRPr="00E62798">
          <w:rPr>
            <w:noProof/>
            <w:vertAlign w:val="superscript"/>
          </w:rPr>
          <w:t>172</w:t>
        </w:r>
        <w:r w:rsidR="00E62798">
          <w:fldChar w:fldCharType="end"/>
        </w:r>
      </w:hyperlink>
      <w:r w:rsidR="00175B8E">
        <w:t xml:space="preserve"> </w:t>
      </w:r>
    </w:p>
    <w:p w14:paraId="07B92956" w14:textId="653ED1B2" w:rsidR="008B42AF" w:rsidRDefault="008B42AF" w:rsidP="00B60DBE">
      <w:pPr>
        <w:pStyle w:val="Bullet6"/>
      </w:pPr>
      <w:r>
        <w:rPr>
          <w:lang w:val="en-AU"/>
        </w:rPr>
        <w:t xml:space="preserve">one of </w:t>
      </w:r>
      <w:r w:rsidR="00175B8E">
        <w:t>poor quality</w:t>
      </w:r>
      <w:r>
        <w:rPr>
          <w:lang w:val="en-AU"/>
        </w:rPr>
        <w:t>,</w:t>
      </w:r>
      <w:r w:rsidR="00175B8E">
        <w:t xml:space="preserve"> conducted in </w:t>
      </w:r>
      <w:r w:rsidR="003F341F">
        <w:t>paediatric</w:t>
      </w:r>
      <w:r w:rsidR="00175B8E">
        <w:t xml:space="preserve"> patients undergoing craniofacial repair surgery</w:t>
      </w:r>
      <w:hyperlink w:anchor="_ENREF_173" w:tooltip="Hans, 2000 #938" w:history="1">
        <w:r w:rsidR="00E62798">
          <w:fldChar w:fldCharType="begin"/>
        </w:r>
        <w:r w:rsidR="00E62798">
          <w:instrText xml:space="preserve"> ADDIN EN.CITE &lt;EndNote&gt;&lt;Cite&gt;&lt;Author&gt;Hans&lt;/Author&gt;&lt;Year&gt;2000&lt;/Year&gt;&lt;RecNum&gt;938&lt;/RecNum&gt;&lt;DisplayText&gt;&lt;style face="superscript"&gt;173&lt;/style&gt;&lt;/DisplayText&gt;&lt;record&gt;&lt;rec-number&gt;938&lt;/rec-number&gt;&lt;foreign-keys&gt;&lt;key app="EN" db-id="9edve2wadsavt5ewavaxtda4f2tavzvts9ee" timestamp="1435709514"&gt;938&lt;/key&gt;&lt;/foreign-keys&gt;&lt;ref-type name="Journal Article"&gt;17&lt;/ref-type&gt;&lt;contributors&gt;&lt;authors&gt;&lt;author&gt;Hans, P.&lt;/author&gt;&lt;author&gt;Collin, V.&lt;/author&gt;&lt;author&gt;Bonhomme, V.&lt;/author&gt;&lt;author&gt;Damas, F.&lt;/author&gt;&lt;author&gt;Born, J. D.&lt;/author&gt;&lt;author&gt;Lamy, M.&lt;/author&gt;&lt;/authors&gt;&lt;/contributors&gt;&lt;titles&gt;&lt;title&gt;Evaluation of acute normovolemic hemodilution for surgical repair of craniosynostosis&lt;/title&gt;&lt;secondary-title&gt;Journal of Neurosurgical Anesthesiology&lt;/secondary-title&gt;&lt;alt-title&gt;J. Neurosurg. Anesthesiol.&lt;/alt-title&gt;&lt;/titles&gt;&lt;periodical&gt;&lt;full-title&gt;Journal of Neurosurgical Anesthesiology&lt;/full-title&gt;&lt;abbr-1&gt;J. Neurosurg. Anesthesiol.&lt;/abbr-1&gt;&lt;/periodical&gt;&lt;alt-periodical&gt;&lt;full-title&gt;Journal of Neurosurgical Anesthesiology&lt;/full-title&gt;&lt;abbr-1&gt;J. Neurosurg. Anesthesiol.&lt;/abbr-1&gt;&lt;/alt-periodical&gt;&lt;pages&gt;33–36&lt;/pages&gt;&lt;volume&gt;12&lt;/volume&gt;&lt;number&gt;1&lt;/number&gt;&lt;dates&gt;&lt;year&gt;2000&lt;/year&gt;&lt;/dates&gt;&lt;isbn&gt;0898-4921&lt;/isbn&gt;&lt;urls&gt;&lt;/urls&gt;&lt;electronic-resource-num&gt;DOI:10.1097/00008506-200001000-00007&lt;/electronic-resource-num&gt;&lt;/record&gt;&lt;/Cite&gt;&lt;/EndNote&gt;</w:instrText>
        </w:r>
        <w:r w:rsidR="00E62798">
          <w:fldChar w:fldCharType="separate"/>
        </w:r>
        <w:r w:rsidR="00E62798" w:rsidRPr="00E62798">
          <w:rPr>
            <w:noProof/>
            <w:vertAlign w:val="superscript"/>
          </w:rPr>
          <w:t>173</w:t>
        </w:r>
        <w:r w:rsidR="00E62798">
          <w:fldChar w:fldCharType="end"/>
        </w:r>
      </w:hyperlink>
    </w:p>
    <w:p w14:paraId="5A2BC46B" w14:textId="683D8B73" w:rsidR="00175B8E" w:rsidRDefault="00075ED6" w:rsidP="008B42AF">
      <w:pPr>
        <w:pStyle w:val="Bullet12"/>
      </w:pPr>
      <w:r>
        <w:rPr>
          <w:lang w:val="en-AU"/>
        </w:rPr>
        <w:t>one of</w:t>
      </w:r>
      <w:r w:rsidR="00175B8E">
        <w:t xml:space="preserve"> poor quality</w:t>
      </w:r>
      <w:r>
        <w:rPr>
          <w:lang w:val="en-AU"/>
        </w:rPr>
        <w:t xml:space="preserve">, studying </w:t>
      </w:r>
      <w:r w:rsidR="00175B8E">
        <w:t>adolescents undergoing surgery for scoliosis</w:t>
      </w:r>
      <w:r w:rsidR="00175B8E" w:rsidRPr="00C76AF7">
        <w:t xml:space="preserve"> </w:t>
      </w:r>
      <w:r w:rsidR="00175B8E">
        <w:t>concentration.</w:t>
      </w:r>
      <w:hyperlink w:anchor="_ENREF_174" w:tooltip="Lisander, 1996 #939" w:history="1">
        <w:r w:rsidR="00E62798">
          <w:fldChar w:fldCharType="begin"/>
        </w:r>
        <w:r w:rsidR="00E62798">
          <w:instrText xml:space="preserve"> ADDIN EN.CITE &lt;EndNote&gt;&lt;Cite&gt;&lt;Author&gt;Lisander&lt;/Author&gt;&lt;Year&gt;1996&lt;/Year&gt;&lt;RecNum&gt;939&lt;/RecNum&gt;&lt;DisplayText&gt;&lt;style face="superscript"&gt;174&lt;/style&gt;&lt;/DisplayText&gt;&lt;record&gt;&lt;rec-number&gt;939&lt;/rec-number&gt;&lt;foreign-keys&gt;&lt;key app="EN" db-id="9edve2wadsavt5ewavaxtda4f2tavzvts9ee" timestamp="1435709514"&gt;939&lt;/key&gt;&lt;/foreign-keys&gt;&lt;ref-type name="Journal Article"&gt;17&lt;/ref-type&gt;&lt;contributors&gt;&lt;authors&gt;&lt;author&gt;Lisander, B.&lt;/author&gt;&lt;author&gt;Jonsson, R.&lt;/author&gt;&lt;author&gt;Nordwall, A.&lt;/author&gt;&lt;/authors&gt;&lt;/contributors&gt;&lt;titles&gt;&lt;title&gt;Combination of blood-saving methods decreases homologous blood requirements in scoliosis surgery&lt;/title&gt;&lt;secondary-title&gt;Anaesthesia and Intensive Care&lt;/secondary-title&gt;&lt;alt-title&gt;Anaesth. Intensive Care&lt;/alt-title&gt;&lt;/titles&gt;&lt;periodical&gt;&lt;full-title&gt;Anaesthesia and Intensive Care&lt;/full-title&gt;&lt;abbr-1&gt;Anaesth. Intensive Care&lt;/abbr-1&gt;&lt;/periodical&gt;&lt;alt-periodical&gt;&lt;full-title&gt;Anaesthesia and Intensive Care&lt;/full-title&gt;&lt;abbr-1&gt;Anaesth. Intensive Care&lt;/abbr-1&gt;&lt;/alt-periodical&gt;&lt;pages&gt;555–558&lt;/pages&gt;&lt;volume&gt;24&lt;/volume&gt;&lt;number&gt;5&lt;/number&gt;&lt;dates&gt;&lt;year&gt;1996&lt;/year&gt;&lt;/dates&gt;&lt;isbn&gt;0310-057X&lt;/isbn&gt;&lt;urls&gt;&lt;/urls&gt;&lt;/record&gt;&lt;/Cite&gt;&lt;/EndNote&gt;</w:instrText>
        </w:r>
        <w:r w:rsidR="00E62798">
          <w:fldChar w:fldCharType="separate"/>
        </w:r>
        <w:r w:rsidR="00E62798" w:rsidRPr="00E62798">
          <w:rPr>
            <w:noProof/>
            <w:vertAlign w:val="superscript"/>
          </w:rPr>
          <w:t>174</w:t>
        </w:r>
        <w:r w:rsidR="00E62798">
          <w:fldChar w:fldCharType="end"/>
        </w:r>
      </w:hyperlink>
      <w:r w:rsidR="00175B8E">
        <w:t xml:space="preserve"> </w:t>
      </w:r>
    </w:p>
    <w:p w14:paraId="5C1B3248" w14:textId="77777777" w:rsidR="00175B8E" w:rsidRPr="00966D80" w:rsidRDefault="00175B8E" w:rsidP="00075ED6">
      <w:pPr>
        <w:pStyle w:val="StyleHeading5Heading5nonumLeft0cmFirstline127cm"/>
      </w:pPr>
      <w:r w:rsidRPr="00966D80">
        <w:t>Mortality</w:t>
      </w:r>
    </w:p>
    <w:p w14:paraId="1A64E633" w14:textId="3CA022C1" w:rsidR="00175B8E" w:rsidRDefault="00175B8E" w:rsidP="00075ED6">
      <w:r>
        <w:t xml:space="preserve">No studies reported the effect of ANH on mortality </w:t>
      </w:r>
      <w:r w:rsidRPr="009C183B">
        <w:t xml:space="preserve">in </w:t>
      </w:r>
      <w:r w:rsidR="00A41D9F">
        <w:t>neonatal and paediatric</w:t>
      </w:r>
      <w:r w:rsidRPr="009C183B">
        <w:t xml:space="preserve"> patients</w:t>
      </w:r>
      <w:r>
        <w:t xml:space="preserve"> undergoing surgery</w:t>
      </w:r>
      <w:r w:rsidRPr="009C183B">
        <w:t>.</w:t>
      </w:r>
    </w:p>
    <w:p w14:paraId="2BDFF78A" w14:textId="77777777" w:rsidR="00175B8E" w:rsidRDefault="00175B8E" w:rsidP="00075ED6">
      <w:pPr>
        <w:pStyle w:val="StyleHeading5Heading5nonumLeft0cmFirstline127cm"/>
      </w:pPr>
      <w:r w:rsidRPr="00966D80">
        <w:t xml:space="preserve">Transfusion </w:t>
      </w:r>
      <w:r>
        <w:t>volume and incidence</w:t>
      </w:r>
    </w:p>
    <w:p w14:paraId="4A2827C6" w14:textId="7651A7C2" w:rsidR="00175B8E" w:rsidRPr="00AF65EE" w:rsidRDefault="00075ED6" w:rsidP="00075ED6">
      <w:pPr>
        <w:rPr>
          <w:lang w:val="en-GB" w:eastAsia="en-GB"/>
        </w:rPr>
      </w:pPr>
      <w:r>
        <w:rPr>
          <w:lang w:val="en-GB" w:eastAsia="en-GB"/>
        </w:rPr>
        <w:t>Friesen et al (2006)</w:t>
      </w:r>
      <w:hyperlink w:anchor="_ENREF_172" w:tooltip="Friesen, 2006 #875" w:history="1">
        <w:r w:rsidR="00E62798">
          <w:rPr>
            <w:lang w:val="en-GB" w:eastAsia="en-GB"/>
          </w:rPr>
          <w:fldChar w:fldCharType="begin"/>
        </w:r>
        <w:r w:rsidR="00E62798">
          <w:rPr>
            <w:lang w:val="en-GB" w:eastAsia="en-GB"/>
          </w:rPr>
          <w:instrText xml:space="preserve"> ADDIN EN.CITE &lt;EndNote&gt;&lt;Cite&gt;&lt;Author&gt;Friesen&lt;/Author&gt;&lt;Year&gt;2006&lt;/Year&gt;&lt;RecNum&gt;875&lt;/RecNum&gt;&lt;DisplayText&gt;&lt;style face="superscript"&gt;172&lt;/style&gt;&lt;/DisplayText&gt;&lt;record&gt;&lt;rec-number&gt;875&lt;/rec-number&gt;&lt;foreign-keys&gt;&lt;key app="EN" db-id="9edve2wadsavt5ewavaxtda4f2tavzvts9ee" timestamp="1435036188"&gt;875&lt;/key&gt;&lt;/foreign-keys&gt;&lt;ref-type name="Generic"&gt;13&lt;/ref-type&gt;&lt;contributors&gt;&lt;authors&gt;&lt;author&gt;Friesen, R. H.&lt;/author&gt;&lt;author&gt;Perryman, K. M.&lt;/author&gt;&lt;author&gt;Weigers, K. R.&lt;/author&gt;&lt;author&gt;Mitchell, M. B.&lt;/author&gt;&lt;author&gt;et al.,&lt;/author&gt;&lt;/authors&gt;&lt;/contributors&gt;&lt;titles&gt;&lt;title&gt;A trial of fresh autologous whole blood to treat dilutional coagulopathy following cardiopulmonary bypass in infants&lt;/title&gt;&lt;/titles&gt;&lt;pages&gt;429–435&lt;/pages&gt;&lt;volume&gt;16&lt;/volume&gt;&lt;reprint-edition&gt;NOT IN FILE&lt;/reprint-edition&gt;&lt;keywords&gt;&lt;keyword&gt;blood&lt;/keyword&gt;&lt;keyword&gt;cardiopulmonary bypass&lt;/keyword&gt;&lt;/keywords&gt;&lt;dates&gt;&lt;year&gt;2006&lt;/year&gt;&lt;/dates&gt;&lt;urls&gt;&lt;/urls&gt;&lt;/record&gt;&lt;/Cite&gt;&lt;/EndNote&gt;</w:instrText>
        </w:r>
        <w:r w:rsidR="00E62798">
          <w:rPr>
            <w:lang w:val="en-GB" w:eastAsia="en-GB"/>
          </w:rPr>
          <w:fldChar w:fldCharType="separate"/>
        </w:r>
        <w:r w:rsidR="00E62798" w:rsidRPr="00E62798">
          <w:rPr>
            <w:noProof/>
            <w:vertAlign w:val="superscript"/>
            <w:lang w:val="en-GB" w:eastAsia="en-GB"/>
          </w:rPr>
          <w:t>172</w:t>
        </w:r>
        <w:r w:rsidR="00E62798">
          <w:rPr>
            <w:lang w:val="en-GB" w:eastAsia="en-GB"/>
          </w:rPr>
          <w:fldChar w:fldCharType="end"/>
        </w:r>
      </w:hyperlink>
      <w:r w:rsidR="00175B8E">
        <w:rPr>
          <w:lang w:val="en-GB" w:eastAsia="en-GB"/>
        </w:rPr>
        <w:t xml:space="preserve"> </w:t>
      </w:r>
      <w:r w:rsidR="00175B8E" w:rsidRPr="00AF65EE">
        <w:rPr>
          <w:lang w:val="en-GB" w:eastAsia="en-GB"/>
        </w:rPr>
        <w:t>reported no significant difference in RBC transfusion incidence during</w:t>
      </w:r>
      <w:r w:rsidR="00175B8E">
        <w:rPr>
          <w:lang w:val="en-GB" w:eastAsia="en-GB"/>
        </w:rPr>
        <w:t xml:space="preserve"> surgery with CPB</w:t>
      </w:r>
      <w:r w:rsidR="00175B8E" w:rsidRPr="00AF65EE">
        <w:rPr>
          <w:lang w:val="en-GB" w:eastAsia="en-GB"/>
        </w:rPr>
        <w:t xml:space="preserve"> </w:t>
      </w:r>
      <w:r w:rsidR="00175B8E">
        <w:rPr>
          <w:lang w:val="en-GB" w:eastAsia="en-GB"/>
        </w:rPr>
        <w:t>or</w:t>
      </w:r>
      <w:r w:rsidR="00175B8E" w:rsidRPr="00AF65EE">
        <w:rPr>
          <w:lang w:val="en-GB" w:eastAsia="en-GB"/>
        </w:rPr>
        <w:t xml:space="preserve"> </w:t>
      </w:r>
      <w:r w:rsidR="00175B8E">
        <w:rPr>
          <w:lang w:val="en-GB" w:eastAsia="en-GB"/>
        </w:rPr>
        <w:t xml:space="preserve">after surgery with </w:t>
      </w:r>
      <w:r>
        <w:rPr>
          <w:lang w:val="en-GB" w:eastAsia="en-GB"/>
        </w:rPr>
        <w:t>CPB.</w:t>
      </w:r>
      <w:hyperlink w:anchor="_ENREF_172" w:tooltip="Friesen, 2006 #875" w:history="1">
        <w:r w:rsidR="00E62798">
          <w:rPr>
            <w:lang w:val="en-GB" w:eastAsia="en-GB"/>
          </w:rPr>
          <w:fldChar w:fldCharType="begin"/>
        </w:r>
        <w:r w:rsidR="00E62798">
          <w:rPr>
            <w:lang w:val="en-GB" w:eastAsia="en-GB"/>
          </w:rPr>
          <w:instrText xml:space="preserve"> ADDIN EN.CITE &lt;EndNote&gt;&lt;Cite&gt;&lt;Author&gt;Friesen&lt;/Author&gt;&lt;Year&gt;2006&lt;/Year&gt;&lt;RecNum&gt;875&lt;/RecNum&gt;&lt;DisplayText&gt;&lt;style face="superscript"&gt;172&lt;/style&gt;&lt;/DisplayText&gt;&lt;record&gt;&lt;rec-number&gt;875&lt;/rec-number&gt;&lt;foreign-keys&gt;&lt;key app="EN" db-id="9edve2wadsavt5ewavaxtda4f2tavzvts9ee" timestamp="1435036188"&gt;875&lt;/key&gt;&lt;/foreign-keys&gt;&lt;ref-type name="Generic"&gt;13&lt;/ref-type&gt;&lt;contributors&gt;&lt;authors&gt;&lt;author&gt;Friesen, R. H.&lt;/author&gt;&lt;author&gt;Perryman, K. M.&lt;/author&gt;&lt;author&gt;Weigers, K. R.&lt;/author&gt;&lt;author&gt;Mitchell, M. B.&lt;/author&gt;&lt;author&gt;et al.,&lt;/author&gt;&lt;/authors&gt;&lt;/contributors&gt;&lt;titles&gt;&lt;title&gt;A trial of fresh autologous whole blood to treat dilutional coagulopathy following cardiopulmonary bypass in infants&lt;/title&gt;&lt;/titles&gt;&lt;pages&gt;429–435&lt;/pages&gt;&lt;volume&gt;16&lt;/volume&gt;&lt;reprint-edition&gt;NOT IN FILE&lt;/reprint-edition&gt;&lt;keywords&gt;&lt;keyword&gt;blood&lt;/keyword&gt;&lt;keyword&gt;cardiopulmonary bypass&lt;/keyword&gt;&lt;/keywords&gt;&lt;dates&gt;&lt;year&gt;2006&lt;/year&gt;&lt;/dates&gt;&lt;urls&gt;&lt;/urls&gt;&lt;/record&gt;&lt;/Cite&gt;&lt;/EndNote&gt;</w:instrText>
        </w:r>
        <w:r w:rsidR="00E62798">
          <w:rPr>
            <w:lang w:val="en-GB" w:eastAsia="en-GB"/>
          </w:rPr>
          <w:fldChar w:fldCharType="separate"/>
        </w:r>
        <w:r w:rsidR="00E62798" w:rsidRPr="00E62798">
          <w:rPr>
            <w:noProof/>
            <w:vertAlign w:val="superscript"/>
            <w:lang w:val="en-GB" w:eastAsia="en-GB"/>
          </w:rPr>
          <w:t>172</w:t>
        </w:r>
        <w:r w:rsidR="00E62798">
          <w:rPr>
            <w:lang w:val="en-GB" w:eastAsia="en-GB"/>
          </w:rPr>
          <w:fldChar w:fldCharType="end"/>
        </w:r>
      </w:hyperlink>
    </w:p>
    <w:p w14:paraId="018AAB14" w14:textId="3AD314A2" w:rsidR="00175B8E" w:rsidRDefault="00175B8E" w:rsidP="00075ED6">
      <w:pPr>
        <w:rPr>
          <w:rFonts w:asciiTheme="minorHAnsi" w:hAnsiTheme="minorHAnsi" w:cstheme="minorHAnsi"/>
          <w:lang w:val="en-GB" w:eastAsia="en-GB"/>
        </w:rPr>
      </w:pPr>
      <w:r>
        <w:rPr>
          <w:lang w:val="en-GB" w:eastAsia="en-GB"/>
        </w:rPr>
        <w:t>Hans</w:t>
      </w:r>
      <w:r w:rsidR="00075ED6">
        <w:rPr>
          <w:lang w:val="en-GB" w:eastAsia="en-GB"/>
        </w:rPr>
        <w:t xml:space="preserve"> et al</w:t>
      </w:r>
      <w:r w:rsidRPr="00A14DC5">
        <w:rPr>
          <w:lang w:val="en-GB" w:eastAsia="en-GB"/>
        </w:rPr>
        <w:t xml:space="preserve"> (2000)</w:t>
      </w:r>
      <w:hyperlink w:anchor="_ENREF_173" w:tooltip="Hans, 2000 #938" w:history="1">
        <w:r w:rsidR="00E62798">
          <w:rPr>
            <w:lang w:val="en-GB" w:eastAsia="en-GB"/>
          </w:rPr>
          <w:fldChar w:fldCharType="begin"/>
        </w:r>
        <w:r w:rsidR="00E62798">
          <w:rPr>
            <w:lang w:val="en-GB" w:eastAsia="en-GB"/>
          </w:rPr>
          <w:instrText xml:space="preserve"> ADDIN EN.CITE &lt;EndNote&gt;&lt;Cite&gt;&lt;Author&gt;Hans&lt;/Author&gt;&lt;Year&gt;2000&lt;/Year&gt;&lt;RecNum&gt;938&lt;/RecNum&gt;&lt;DisplayText&gt;&lt;style face="superscript"&gt;173&lt;/style&gt;&lt;/DisplayText&gt;&lt;record&gt;&lt;rec-number&gt;938&lt;/rec-number&gt;&lt;foreign-keys&gt;&lt;key app="EN" db-id="9edve2wadsavt5ewavaxtda4f2tavzvts9ee" timestamp="1435709514"&gt;938&lt;/key&gt;&lt;/foreign-keys&gt;&lt;ref-type name="Journal Article"&gt;17&lt;/ref-type&gt;&lt;contributors&gt;&lt;authors&gt;&lt;author&gt;Hans, P.&lt;/author&gt;&lt;author&gt;Collin, V.&lt;/author&gt;&lt;author&gt;Bonhomme, V.&lt;/author&gt;&lt;author&gt;Damas, F.&lt;/author&gt;&lt;author&gt;Born, J. D.&lt;/author&gt;&lt;author&gt;Lamy, M.&lt;/author&gt;&lt;/authors&gt;&lt;/contributors&gt;&lt;titles&gt;&lt;title&gt;Evaluation of acute normovolemic hemodilution for surgical repair of craniosynostosis&lt;/title&gt;&lt;secondary-title&gt;Journal of Neurosurgical Anesthesiology&lt;/secondary-title&gt;&lt;alt-title&gt;J. Neurosurg. Anesthesiol.&lt;/alt-title&gt;&lt;/titles&gt;&lt;periodical&gt;&lt;full-title&gt;Journal of Neurosurgical Anesthesiology&lt;/full-title&gt;&lt;abbr-1&gt;J. Neurosurg. Anesthesiol.&lt;/abbr-1&gt;&lt;/periodical&gt;&lt;alt-periodical&gt;&lt;full-title&gt;Journal of Neurosurgical Anesthesiology&lt;/full-title&gt;&lt;abbr-1&gt;J. Neurosurg. Anesthesiol.&lt;/abbr-1&gt;&lt;/alt-periodical&gt;&lt;pages&gt;33–36&lt;/pages&gt;&lt;volume&gt;12&lt;/volume&gt;&lt;number&gt;1&lt;/number&gt;&lt;dates&gt;&lt;year&gt;2000&lt;/year&gt;&lt;/dates&gt;&lt;isbn&gt;0898-4921&lt;/isbn&gt;&lt;urls&gt;&lt;/urls&gt;&lt;electronic-resource-num&gt;DOI:10.1097/00008506-200001000-00007&lt;/electronic-resource-num&gt;&lt;/record&gt;&lt;/Cite&gt;&lt;/EndNote&gt;</w:instrText>
        </w:r>
        <w:r w:rsidR="00E62798">
          <w:rPr>
            <w:lang w:val="en-GB" w:eastAsia="en-GB"/>
          </w:rPr>
          <w:fldChar w:fldCharType="separate"/>
        </w:r>
        <w:r w:rsidR="00E62798" w:rsidRPr="00E62798">
          <w:rPr>
            <w:noProof/>
            <w:vertAlign w:val="superscript"/>
            <w:lang w:val="en-GB" w:eastAsia="en-GB"/>
          </w:rPr>
          <w:t>173</w:t>
        </w:r>
        <w:r w:rsidR="00E62798">
          <w:rPr>
            <w:lang w:val="en-GB" w:eastAsia="en-GB"/>
          </w:rPr>
          <w:fldChar w:fldCharType="end"/>
        </w:r>
      </w:hyperlink>
      <w:r w:rsidRPr="00A14DC5">
        <w:rPr>
          <w:lang w:val="en-GB" w:eastAsia="en-GB"/>
        </w:rPr>
        <w:t xml:space="preserve"> assessed transfusion </w:t>
      </w:r>
      <w:r>
        <w:rPr>
          <w:lang w:val="en-GB" w:eastAsia="en-GB"/>
        </w:rPr>
        <w:t xml:space="preserve">volume and incidence </w:t>
      </w:r>
      <w:r w:rsidRPr="00A14DC5">
        <w:rPr>
          <w:lang w:val="en-GB" w:eastAsia="en-GB"/>
        </w:rPr>
        <w:t>in 34 paediatric patients scheduled for surgical repair for scaphocephaly or pachycephaly. No significant difference was reported for tran</w:t>
      </w:r>
      <w:r>
        <w:rPr>
          <w:lang w:val="en-GB" w:eastAsia="en-GB"/>
        </w:rPr>
        <w:t xml:space="preserve">sfusion incidence </w:t>
      </w:r>
      <w:r w:rsidRPr="00A14DC5">
        <w:rPr>
          <w:lang w:val="en-GB" w:eastAsia="en-GB"/>
        </w:rPr>
        <w:t>or tr</w:t>
      </w:r>
      <w:r w:rsidR="00075ED6">
        <w:rPr>
          <w:lang w:val="en-GB" w:eastAsia="en-GB"/>
        </w:rPr>
        <w:t>ansfusion volume.</w:t>
      </w:r>
    </w:p>
    <w:p w14:paraId="3FD1D111" w14:textId="0302EF47" w:rsidR="00175B8E" w:rsidRDefault="00175B8E" w:rsidP="00075ED6">
      <w:pPr>
        <w:rPr>
          <w:lang w:val="en-GB" w:eastAsia="en-GB"/>
        </w:rPr>
      </w:pPr>
      <w:r>
        <w:rPr>
          <w:lang w:val="en-GB" w:eastAsia="en-GB"/>
        </w:rPr>
        <w:t xml:space="preserve">Lisander </w:t>
      </w:r>
      <w:r w:rsidR="00075ED6">
        <w:rPr>
          <w:lang w:val="en-GB" w:eastAsia="en-GB"/>
        </w:rPr>
        <w:t>et al (1996)</w:t>
      </w:r>
      <w:hyperlink w:anchor="_ENREF_174" w:tooltip="Lisander, 1996 #939" w:history="1">
        <w:r w:rsidR="00E62798">
          <w:rPr>
            <w:lang w:val="en-GB" w:eastAsia="en-GB"/>
          </w:rPr>
          <w:fldChar w:fldCharType="begin"/>
        </w:r>
        <w:r w:rsidR="00E62798">
          <w:rPr>
            <w:lang w:val="en-GB" w:eastAsia="en-GB"/>
          </w:rPr>
          <w:instrText xml:space="preserve"> ADDIN EN.CITE &lt;EndNote&gt;&lt;Cite&gt;&lt;Author&gt;Lisander&lt;/Author&gt;&lt;Year&gt;1996&lt;/Year&gt;&lt;RecNum&gt;939&lt;/RecNum&gt;&lt;DisplayText&gt;&lt;style face="superscript"&gt;174&lt;/style&gt;&lt;/DisplayText&gt;&lt;record&gt;&lt;rec-number&gt;939&lt;/rec-number&gt;&lt;foreign-keys&gt;&lt;key app="EN" db-id="9edve2wadsavt5ewavaxtda4f2tavzvts9ee" timestamp="1435709514"&gt;939&lt;/key&gt;&lt;/foreign-keys&gt;&lt;ref-type name="Journal Article"&gt;17&lt;/ref-type&gt;&lt;contributors&gt;&lt;authors&gt;&lt;author&gt;Lisander, B.&lt;/author&gt;&lt;author&gt;Jonsson, R.&lt;/author&gt;&lt;author&gt;Nordwall, A.&lt;/author&gt;&lt;/authors&gt;&lt;/contributors&gt;&lt;titles&gt;&lt;title&gt;Combination of blood-saving methods decreases homologous blood requirements in scoliosis surgery&lt;/title&gt;&lt;secondary-title&gt;Anaesthesia and Intensive Care&lt;/secondary-title&gt;&lt;alt-title&gt;Anaesth. Intensive Care&lt;/alt-title&gt;&lt;/titles&gt;&lt;periodical&gt;&lt;full-title&gt;Anaesthesia and Intensive Care&lt;/full-title&gt;&lt;abbr-1&gt;Anaesth. Intensive Care&lt;/abbr-1&gt;&lt;/periodical&gt;&lt;alt-periodical&gt;&lt;full-title&gt;Anaesthesia and Intensive Care&lt;/full-title&gt;&lt;abbr-1&gt;Anaesth. Intensive Care&lt;/abbr-1&gt;&lt;/alt-periodical&gt;&lt;pages&gt;555–558&lt;/pages&gt;&lt;volume&gt;24&lt;/volume&gt;&lt;number&gt;5&lt;/number&gt;&lt;dates&gt;&lt;year&gt;1996&lt;/year&gt;&lt;/dates&gt;&lt;isbn&gt;0310-057X&lt;/isbn&gt;&lt;urls&gt;&lt;/urls&gt;&lt;/record&gt;&lt;/Cite&gt;&lt;/EndNote&gt;</w:instrText>
        </w:r>
        <w:r w:rsidR="00E62798">
          <w:rPr>
            <w:lang w:val="en-GB" w:eastAsia="en-GB"/>
          </w:rPr>
          <w:fldChar w:fldCharType="separate"/>
        </w:r>
        <w:r w:rsidR="00E62798" w:rsidRPr="00E62798">
          <w:rPr>
            <w:noProof/>
            <w:vertAlign w:val="superscript"/>
            <w:lang w:val="en-GB" w:eastAsia="en-GB"/>
          </w:rPr>
          <w:t>174</w:t>
        </w:r>
        <w:r w:rsidR="00E62798">
          <w:rPr>
            <w:lang w:val="en-GB" w:eastAsia="en-GB"/>
          </w:rPr>
          <w:fldChar w:fldCharType="end"/>
        </w:r>
      </w:hyperlink>
      <w:r w:rsidR="00075ED6">
        <w:rPr>
          <w:lang w:val="en-GB" w:eastAsia="en-GB"/>
        </w:rPr>
        <w:t xml:space="preserve"> </w:t>
      </w:r>
      <w:r>
        <w:rPr>
          <w:lang w:val="en-GB" w:eastAsia="en-GB"/>
        </w:rPr>
        <w:t>assessed transfusion volume in 23 adolescents undergoing scoliosis surgery and found no significant difference in the number of donor blood units transfused</w:t>
      </w:r>
      <w:r w:rsidR="00075ED6">
        <w:rPr>
          <w:lang w:val="en-GB" w:eastAsia="en-GB"/>
        </w:rPr>
        <w:t>.</w:t>
      </w:r>
    </w:p>
    <w:p w14:paraId="7213B79E" w14:textId="366C54EB" w:rsidR="00075ED6" w:rsidRPr="008B42AF" w:rsidRDefault="00175B8E" w:rsidP="00397071">
      <w:pPr>
        <w:pStyle w:val="BoxHeading"/>
        <w:rPr>
          <w:lang w:val="en-AU"/>
        </w:rPr>
      </w:pPr>
      <w:r>
        <w:t>Clinical commentary</w:t>
      </w:r>
      <w:r w:rsidR="00075ED6">
        <w:rPr>
          <w:lang w:val="en-AU"/>
        </w:rPr>
        <w:t xml:space="preserve"> – </w:t>
      </w:r>
      <w:r w:rsidR="00333C23">
        <w:rPr>
          <w:lang w:val="en-AU"/>
        </w:rPr>
        <w:t>ANH</w:t>
      </w:r>
      <w:r w:rsidR="00075ED6">
        <w:rPr>
          <w:lang w:val="en-AU"/>
        </w:rPr>
        <w:t xml:space="preserve"> in n</w:t>
      </w:r>
      <w:r w:rsidR="00075ED6" w:rsidRPr="00EA4E11">
        <w:rPr>
          <w:rFonts w:cs="Tahoma"/>
          <w:szCs w:val="21"/>
          <w:lang w:val="en-GB"/>
        </w:rPr>
        <w:t xml:space="preserve">eonatal </w:t>
      </w:r>
      <w:r w:rsidR="00075ED6">
        <w:rPr>
          <w:rFonts w:cs="Tahoma"/>
          <w:szCs w:val="21"/>
          <w:lang w:val="en-GB"/>
        </w:rPr>
        <w:t xml:space="preserve">and paediatric </w:t>
      </w:r>
      <w:r w:rsidR="00075ED6" w:rsidRPr="00EA4E11">
        <w:rPr>
          <w:rFonts w:cs="Tahoma"/>
          <w:szCs w:val="21"/>
          <w:lang w:val="en-GB"/>
        </w:rPr>
        <w:t>patients</w:t>
      </w:r>
      <w:r w:rsidR="00075ED6">
        <w:rPr>
          <w:rFonts w:cs="Tahoma"/>
          <w:szCs w:val="21"/>
          <w:lang w:val="en-GB"/>
        </w:rPr>
        <w:t xml:space="preserve"> undergoing surgery</w:t>
      </w:r>
    </w:p>
    <w:p w14:paraId="2BB3D381" w14:textId="7A81AF33" w:rsidR="00175B8E" w:rsidRDefault="00175B8E" w:rsidP="00397071">
      <w:pPr>
        <w:pStyle w:val="BoxText"/>
      </w:pPr>
      <w:r>
        <w:t xml:space="preserve">There is little evidence on the use of ANH in paediatric surgery; therefore, the effect on transfusion incidence or volume is uncertain. If this technique is used, a local procedural guideline needs to be in place to ensure patient safety (see R14 and PP12 in </w:t>
      </w:r>
      <w:r w:rsidR="004E09B3">
        <w:t>Module 2 (</w:t>
      </w:r>
      <w:r w:rsidR="004E09B3" w:rsidRPr="003F341F">
        <w:rPr>
          <w:i/>
        </w:rPr>
        <w:t>Perioperative</w:t>
      </w:r>
      <w:r w:rsidR="004E09B3">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rsidR="004E09B3">
        <w:t>).</w:t>
      </w:r>
    </w:p>
    <w:p w14:paraId="2CC5BEC7" w14:textId="451E2A4A" w:rsidR="00175B8E" w:rsidRPr="005A5A05" w:rsidRDefault="005A5A05" w:rsidP="005A5A05">
      <w:pPr>
        <w:pStyle w:val="Heading3"/>
        <w:rPr>
          <w:lang w:val="en-AU"/>
        </w:rPr>
      </w:pPr>
      <w:bookmarkStart w:id="173" w:name="_Toc427851360"/>
      <w:r>
        <w:rPr>
          <w:lang w:val="en-AU"/>
        </w:rPr>
        <w:t>3.5.6</w:t>
      </w:r>
      <w:r>
        <w:rPr>
          <w:lang w:val="en-AU"/>
        </w:rPr>
        <w:tab/>
      </w:r>
      <w:r w:rsidRPr="00EA4E11">
        <w:rPr>
          <w:rFonts w:cs="Tahoma"/>
          <w:szCs w:val="21"/>
          <w:lang w:val="en-GB" w:eastAsia="en-GB"/>
        </w:rPr>
        <w:t xml:space="preserve">Neonatal </w:t>
      </w:r>
      <w:r>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undergoing surgery</w:t>
      </w:r>
      <w:r>
        <w:t xml:space="preserve"> </w:t>
      </w:r>
      <w:r>
        <w:rPr>
          <w:lang w:val="en-AU"/>
        </w:rPr>
        <w:t>– effects of intraoperative cell salvage on outcomes</w:t>
      </w:r>
      <w:bookmarkEnd w:id="173"/>
    </w:p>
    <w:tbl>
      <w:tblPr>
        <w:tblW w:w="8655"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605"/>
        <w:gridCol w:w="811"/>
        <w:gridCol w:w="811"/>
        <w:gridCol w:w="811"/>
        <w:gridCol w:w="811"/>
        <w:gridCol w:w="813"/>
      </w:tblGrid>
      <w:tr w:rsidR="00175B8E" w14:paraId="08608EB5" w14:textId="77777777" w:rsidTr="00467EEA">
        <w:trPr>
          <w:cantSplit/>
          <w:trHeight w:val="2078"/>
          <w:tblHeader/>
        </w:trPr>
        <w:tc>
          <w:tcPr>
            <w:tcW w:w="4598"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393493A3" w14:textId="0DACD2A8" w:rsidR="00175B8E" w:rsidRDefault="00175B8E" w:rsidP="00175B8E">
            <w:pPr>
              <w:pStyle w:val="PP-heading"/>
              <w:spacing w:line="276" w:lineRule="auto"/>
              <w:rPr>
                <w:lang w:val="en-US" w:eastAsia="en-US"/>
              </w:rPr>
            </w:pPr>
            <w:r>
              <w:rPr>
                <w:lang w:val="en-US" w:eastAsia="en-US"/>
              </w:rPr>
              <w:t xml:space="preserve">Evidence statements – </w:t>
            </w:r>
            <w:r w:rsidR="0007284D">
              <w:rPr>
                <w:lang w:val="en-US" w:eastAsia="en-US"/>
              </w:rPr>
              <w:t>surgical (</w:t>
            </w:r>
            <w:r>
              <w:rPr>
                <w:lang w:val="en-US" w:eastAsia="en-US"/>
              </w:rPr>
              <w:t>intraoperative cell salvage</w:t>
            </w:r>
            <w:r w:rsidR="0007284D">
              <w:rPr>
                <w:lang w:val="en-US" w:eastAsia="en-US"/>
              </w:rPr>
              <w:t>)</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110A8A9"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7232A11"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B11C3BD"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11"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38F0347"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3"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07D7790"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089820E7" w14:textId="77777777" w:rsidTr="00175B8E">
        <w:trPr>
          <w:cantSplit/>
        </w:trPr>
        <w:tc>
          <w:tcPr>
            <w:tcW w:w="993" w:type="dxa"/>
            <w:tcBorders>
              <w:top w:val="single" w:sz="4" w:space="0" w:color="000000"/>
              <w:left w:val="single" w:sz="4" w:space="0" w:color="000000"/>
              <w:bottom w:val="single" w:sz="4" w:space="0" w:color="000000"/>
              <w:right w:val="single" w:sz="4" w:space="0" w:color="000000"/>
            </w:tcBorders>
          </w:tcPr>
          <w:p w14:paraId="7B4F5C7D" w14:textId="77777777" w:rsidR="00175B8E" w:rsidRDefault="00175B8E" w:rsidP="00333C23">
            <w:pPr>
              <w:pStyle w:val="Tabletextnoindent"/>
              <w:keepNext w:val="0"/>
              <w:numPr>
                <w:ilvl w:val="0"/>
                <w:numId w:val="0"/>
              </w:numPr>
              <w:spacing w:line="276" w:lineRule="auto"/>
              <w:rPr>
                <w:lang w:val="en-US" w:eastAsia="en-US"/>
              </w:rPr>
            </w:pPr>
            <w:r w:rsidRPr="00271657">
              <w:t>ES4.15</w:t>
            </w:r>
          </w:p>
        </w:tc>
        <w:tc>
          <w:tcPr>
            <w:tcW w:w="3605" w:type="dxa"/>
            <w:tcBorders>
              <w:top w:val="single" w:sz="4" w:space="0" w:color="000000"/>
              <w:left w:val="single" w:sz="4" w:space="0" w:color="000000"/>
              <w:bottom w:val="single" w:sz="4" w:space="0" w:color="000000"/>
              <w:right w:val="single" w:sz="4" w:space="0" w:color="000000"/>
            </w:tcBorders>
            <w:hideMark/>
          </w:tcPr>
          <w:p w14:paraId="2E9C2418" w14:textId="77777777" w:rsidR="00175B8E" w:rsidRDefault="00175B8E" w:rsidP="00333C23">
            <w:pPr>
              <w:pStyle w:val="ES-table"/>
              <w:keepNext w:val="0"/>
              <w:spacing w:line="276" w:lineRule="auto"/>
              <w:rPr>
                <w:rFonts w:eastAsia="Arial Unicode MS" w:cs="Arial"/>
                <w:color w:val="auto"/>
                <w:lang w:val="en-US" w:eastAsia="ja-JP"/>
              </w:rPr>
            </w:pPr>
            <w:r>
              <w:rPr>
                <w:lang w:val="en-US" w:eastAsia="en-US"/>
              </w:rPr>
              <w:t>In paediatric patients undergoing cardiac surgery with CPB, the effect of intraoperative cell salvage compared with no intraoperative cell salvage on mortality is uncertain.</w:t>
            </w:r>
          </w:p>
          <w:p w14:paraId="372169C9" w14:textId="77777777" w:rsidR="00175B8E" w:rsidRDefault="00175B8E" w:rsidP="00333C23">
            <w:pPr>
              <w:pStyle w:val="ES-notes"/>
              <w:keepNext w:val="0"/>
              <w:spacing w:line="276" w:lineRule="auto"/>
              <w:rPr>
                <w:lang w:val="en-US" w:eastAsia="en-US"/>
              </w:rPr>
            </w:pPr>
            <w:r>
              <w:rPr>
                <w:lang w:val="en-US" w:eastAsia="en-US"/>
              </w:rPr>
              <w:t>(See evidence matrix D4.J in Volume 2 of the technical report.)</w:t>
            </w:r>
          </w:p>
        </w:tc>
        <w:tc>
          <w:tcPr>
            <w:tcW w:w="811" w:type="dxa"/>
            <w:tcBorders>
              <w:top w:val="single" w:sz="4" w:space="0" w:color="000000"/>
              <w:left w:val="single" w:sz="4" w:space="0" w:color="000000"/>
              <w:bottom w:val="single" w:sz="4" w:space="0" w:color="000000"/>
              <w:right w:val="single" w:sz="4" w:space="0" w:color="000000"/>
            </w:tcBorders>
            <w:hideMark/>
          </w:tcPr>
          <w:p w14:paraId="17E41F49" w14:textId="77777777" w:rsidR="00175B8E" w:rsidRDefault="00175B8E" w:rsidP="00333C23">
            <w:pPr>
              <w:pStyle w:val="T-ABCD"/>
              <w:spacing w:line="276" w:lineRule="auto"/>
              <w:rPr>
                <w:lang w:val="en-US" w:eastAsia="en-US"/>
              </w:rPr>
            </w:pPr>
            <w:r>
              <w:rPr>
                <w:lang w:val="en-US" w:eastAsia="en-US"/>
              </w:rPr>
              <w:sym w:font="Symbol" w:char="F0D6"/>
            </w:r>
            <w:r>
              <w:rPr>
                <w:lang w:val="en-US" w:eastAsia="en-US"/>
              </w:rPr>
              <w:sym w:font="Symbol" w:char="F0D6"/>
            </w:r>
          </w:p>
        </w:tc>
        <w:tc>
          <w:tcPr>
            <w:tcW w:w="811" w:type="dxa"/>
            <w:tcBorders>
              <w:top w:val="single" w:sz="4" w:space="0" w:color="000000"/>
              <w:left w:val="single" w:sz="4" w:space="0" w:color="000000"/>
              <w:bottom w:val="single" w:sz="4" w:space="0" w:color="000000"/>
              <w:right w:val="single" w:sz="4" w:space="0" w:color="000000"/>
            </w:tcBorders>
            <w:hideMark/>
          </w:tcPr>
          <w:p w14:paraId="2590F023" w14:textId="77777777" w:rsidR="00175B8E" w:rsidRDefault="00175B8E" w:rsidP="00333C23">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1" w:type="dxa"/>
            <w:tcBorders>
              <w:top w:val="single" w:sz="4" w:space="0" w:color="000000"/>
              <w:left w:val="single" w:sz="4" w:space="0" w:color="000000"/>
              <w:bottom w:val="single" w:sz="4" w:space="0" w:color="000000"/>
              <w:right w:val="single" w:sz="4" w:space="0" w:color="000000"/>
            </w:tcBorders>
            <w:hideMark/>
          </w:tcPr>
          <w:p w14:paraId="44594688" w14:textId="77777777" w:rsidR="00175B8E" w:rsidRDefault="00175B8E" w:rsidP="00333C23">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2FF3A4C0" w14:textId="77777777" w:rsidR="00175B8E" w:rsidRDefault="00175B8E" w:rsidP="00333C23">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3" w:type="dxa"/>
            <w:tcBorders>
              <w:top w:val="single" w:sz="4" w:space="0" w:color="000000"/>
              <w:left w:val="single" w:sz="4" w:space="0" w:color="000000"/>
              <w:bottom w:val="single" w:sz="4" w:space="0" w:color="000000"/>
              <w:right w:val="single" w:sz="4" w:space="0" w:color="000000"/>
            </w:tcBorders>
            <w:hideMark/>
          </w:tcPr>
          <w:p w14:paraId="31042F52" w14:textId="77777777" w:rsidR="00175B8E" w:rsidRDefault="00175B8E" w:rsidP="00333C23">
            <w:pPr>
              <w:pStyle w:val="T-ABCD"/>
              <w:spacing w:line="276" w:lineRule="auto"/>
              <w:rPr>
                <w:lang w:val="en-US" w:eastAsia="en-US"/>
              </w:rPr>
            </w:pPr>
            <w:r>
              <w:rPr>
                <w:lang w:val="en-US" w:eastAsia="en-US"/>
              </w:rPr>
              <w:sym w:font="Symbol" w:char="F0D6"/>
            </w:r>
          </w:p>
        </w:tc>
      </w:tr>
      <w:tr w:rsidR="00175B8E" w14:paraId="34DB550C" w14:textId="77777777" w:rsidTr="00175B8E">
        <w:trPr>
          <w:cantSplit/>
        </w:trPr>
        <w:tc>
          <w:tcPr>
            <w:tcW w:w="993" w:type="dxa"/>
            <w:tcBorders>
              <w:top w:val="single" w:sz="4" w:space="0" w:color="000000"/>
              <w:left w:val="single" w:sz="4" w:space="0" w:color="000000"/>
              <w:bottom w:val="single" w:sz="4" w:space="0" w:color="000000"/>
              <w:right w:val="single" w:sz="4" w:space="0" w:color="000000"/>
            </w:tcBorders>
          </w:tcPr>
          <w:p w14:paraId="4F32F5AA" w14:textId="77777777" w:rsidR="00175B8E" w:rsidRDefault="00175B8E" w:rsidP="00333C23">
            <w:pPr>
              <w:pStyle w:val="Tabletextnoindent"/>
              <w:keepNext w:val="0"/>
              <w:numPr>
                <w:ilvl w:val="0"/>
                <w:numId w:val="0"/>
              </w:numPr>
              <w:spacing w:line="276" w:lineRule="auto"/>
              <w:rPr>
                <w:lang w:val="en-US" w:eastAsia="en-US"/>
              </w:rPr>
            </w:pPr>
            <w:r w:rsidRPr="00271657">
              <w:t>ES4.16</w:t>
            </w:r>
          </w:p>
        </w:tc>
        <w:tc>
          <w:tcPr>
            <w:tcW w:w="3605" w:type="dxa"/>
            <w:tcBorders>
              <w:top w:val="single" w:sz="4" w:space="0" w:color="000000"/>
              <w:left w:val="single" w:sz="4" w:space="0" w:color="000000"/>
              <w:bottom w:val="single" w:sz="4" w:space="0" w:color="000000"/>
              <w:right w:val="single" w:sz="4" w:space="0" w:color="000000"/>
            </w:tcBorders>
            <w:hideMark/>
          </w:tcPr>
          <w:p w14:paraId="710759FD" w14:textId="77777777" w:rsidR="00175B8E" w:rsidRDefault="00175B8E" w:rsidP="00333C23">
            <w:pPr>
              <w:pStyle w:val="ES-table"/>
              <w:keepNext w:val="0"/>
              <w:spacing w:line="276" w:lineRule="auto"/>
              <w:rPr>
                <w:rFonts w:eastAsiaTheme="minorHAnsi"/>
                <w:lang w:val="en-US" w:eastAsia="en-US"/>
              </w:rPr>
            </w:pPr>
            <w:r>
              <w:rPr>
                <w:lang w:val="en-US" w:eastAsia="en-US"/>
              </w:rPr>
              <w:t>In paediatric patients undergoing noncardiac surgery, the effect of intraoperative cell salvage compared with no intraoperative cell salvage on mortality is unknown.</w:t>
            </w:r>
          </w:p>
        </w:tc>
        <w:tc>
          <w:tcPr>
            <w:tcW w:w="811" w:type="dxa"/>
            <w:tcBorders>
              <w:top w:val="single" w:sz="4" w:space="0" w:color="000000"/>
              <w:left w:val="single" w:sz="4" w:space="0" w:color="000000"/>
              <w:bottom w:val="single" w:sz="4" w:space="0" w:color="000000"/>
              <w:right w:val="single" w:sz="4" w:space="0" w:color="000000"/>
            </w:tcBorders>
            <w:hideMark/>
          </w:tcPr>
          <w:p w14:paraId="421439F1" w14:textId="77777777" w:rsidR="00175B8E" w:rsidRDefault="00175B8E" w:rsidP="00333C23">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1CFFB648" w14:textId="77777777" w:rsidR="00175B8E" w:rsidRDefault="00175B8E" w:rsidP="00333C23">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1900B8EF" w14:textId="77777777" w:rsidR="00175B8E" w:rsidRDefault="00175B8E" w:rsidP="00333C23">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4BC354F5" w14:textId="77777777" w:rsidR="00175B8E" w:rsidRDefault="00175B8E" w:rsidP="00333C23">
            <w:pPr>
              <w:pStyle w:val="T-ABCD"/>
              <w:spacing w:line="276" w:lineRule="auto"/>
              <w:rPr>
                <w:lang w:val="en-US" w:eastAsia="en-US"/>
              </w:rPr>
            </w:pPr>
            <w:r>
              <w:rPr>
                <w:lang w:val="en-US" w:eastAsia="en-US"/>
              </w:rPr>
              <w:t>NA</w:t>
            </w:r>
          </w:p>
        </w:tc>
        <w:tc>
          <w:tcPr>
            <w:tcW w:w="813" w:type="dxa"/>
            <w:tcBorders>
              <w:top w:val="single" w:sz="4" w:space="0" w:color="000000"/>
              <w:left w:val="single" w:sz="4" w:space="0" w:color="000000"/>
              <w:bottom w:val="single" w:sz="4" w:space="0" w:color="000000"/>
              <w:right w:val="single" w:sz="4" w:space="0" w:color="000000"/>
            </w:tcBorders>
            <w:hideMark/>
          </w:tcPr>
          <w:p w14:paraId="1F9F1452" w14:textId="77777777" w:rsidR="00175B8E" w:rsidRDefault="00175B8E" w:rsidP="00333C23">
            <w:pPr>
              <w:pStyle w:val="T-ABCD"/>
              <w:spacing w:line="276" w:lineRule="auto"/>
              <w:rPr>
                <w:lang w:val="en-US" w:eastAsia="en-US"/>
              </w:rPr>
            </w:pPr>
            <w:r>
              <w:rPr>
                <w:lang w:val="en-US" w:eastAsia="en-US"/>
              </w:rPr>
              <w:t xml:space="preserve">NA </w:t>
            </w:r>
          </w:p>
        </w:tc>
      </w:tr>
      <w:tr w:rsidR="00175B8E" w14:paraId="1222D08A" w14:textId="77777777" w:rsidTr="00175B8E">
        <w:trPr>
          <w:cantSplit/>
        </w:trPr>
        <w:tc>
          <w:tcPr>
            <w:tcW w:w="993" w:type="dxa"/>
            <w:tcBorders>
              <w:top w:val="single" w:sz="4" w:space="0" w:color="000000"/>
              <w:left w:val="single" w:sz="4" w:space="0" w:color="000000"/>
              <w:bottom w:val="single" w:sz="4" w:space="0" w:color="000000"/>
              <w:right w:val="single" w:sz="4" w:space="0" w:color="000000"/>
            </w:tcBorders>
          </w:tcPr>
          <w:p w14:paraId="5D5A7D3B" w14:textId="77777777" w:rsidR="00175B8E" w:rsidRDefault="00175B8E" w:rsidP="00333C23">
            <w:pPr>
              <w:pStyle w:val="Tabletextnoindent"/>
              <w:keepNext w:val="0"/>
              <w:numPr>
                <w:ilvl w:val="0"/>
                <w:numId w:val="0"/>
              </w:numPr>
              <w:spacing w:line="276" w:lineRule="auto"/>
              <w:rPr>
                <w:lang w:val="en-US" w:eastAsia="en-US"/>
              </w:rPr>
            </w:pPr>
            <w:r w:rsidRPr="00271657">
              <w:t>ES4.17</w:t>
            </w:r>
          </w:p>
        </w:tc>
        <w:tc>
          <w:tcPr>
            <w:tcW w:w="3605" w:type="dxa"/>
            <w:tcBorders>
              <w:top w:val="single" w:sz="4" w:space="0" w:color="000000"/>
              <w:left w:val="single" w:sz="4" w:space="0" w:color="000000"/>
              <w:bottom w:val="single" w:sz="4" w:space="0" w:color="000000"/>
              <w:right w:val="single" w:sz="4" w:space="0" w:color="000000"/>
            </w:tcBorders>
            <w:hideMark/>
          </w:tcPr>
          <w:p w14:paraId="73833266" w14:textId="77777777" w:rsidR="00175B8E" w:rsidRDefault="00175B8E" w:rsidP="00333C23">
            <w:pPr>
              <w:pStyle w:val="ES-table"/>
              <w:keepNext w:val="0"/>
              <w:spacing w:line="276" w:lineRule="auto"/>
              <w:rPr>
                <w:rFonts w:eastAsia="Arial Unicode MS" w:cs="Arial"/>
                <w:color w:val="auto"/>
                <w:lang w:val="en-US" w:eastAsia="ja-JP"/>
              </w:rPr>
            </w:pPr>
            <w:r>
              <w:rPr>
                <w:lang w:val="en-US" w:eastAsia="en-US"/>
              </w:rPr>
              <w:t>In paediatric patients undergoing cardiac surgery with CPB, intraoperative cell salvage compared with no intraoperative cell salvage may reduce transfusion volume and incidence.</w:t>
            </w:r>
          </w:p>
          <w:p w14:paraId="0B315776" w14:textId="77777777" w:rsidR="00175B8E" w:rsidRDefault="00175B8E" w:rsidP="00333C23">
            <w:pPr>
              <w:pStyle w:val="ES-notes"/>
              <w:keepNext w:val="0"/>
              <w:spacing w:line="276" w:lineRule="auto"/>
              <w:rPr>
                <w:lang w:val="en-US" w:eastAsia="en-US"/>
              </w:rPr>
            </w:pPr>
            <w:r>
              <w:rPr>
                <w:lang w:val="en-US" w:eastAsia="en-US"/>
              </w:rPr>
              <w:t>(See evidence matrix D4.K in Volume 2 of the technical report.)</w:t>
            </w:r>
          </w:p>
        </w:tc>
        <w:tc>
          <w:tcPr>
            <w:tcW w:w="811" w:type="dxa"/>
            <w:tcBorders>
              <w:top w:val="single" w:sz="4" w:space="0" w:color="000000"/>
              <w:left w:val="single" w:sz="4" w:space="0" w:color="000000"/>
              <w:bottom w:val="single" w:sz="4" w:space="0" w:color="000000"/>
              <w:right w:val="single" w:sz="4" w:space="0" w:color="000000"/>
            </w:tcBorders>
            <w:hideMark/>
          </w:tcPr>
          <w:p w14:paraId="7EF50CA0" w14:textId="77777777" w:rsidR="00175B8E" w:rsidRDefault="00175B8E" w:rsidP="00333C23">
            <w:pPr>
              <w:pStyle w:val="T-ABCD"/>
              <w:spacing w:line="276" w:lineRule="auto"/>
              <w:rPr>
                <w:lang w:val="en-US" w:eastAsia="en-US"/>
              </w:rPr>
            </w:pPr>
            <w:r>
              <w:rPr>
                <w:lang w:val="en-US" w:eastAsia="en-US"/>
              </w:rPr>
              <w:sym w:font="Symbol" w:char="F0D6"/>
            </w:r>
          </w:p>
        </w:tc>
        <w:tc>
          <w:tcPr>
            <w:tcW w:w="811" w:type="dxa"/>
            <w:tcBorders>
              <w:top w:val="single" w:sz="4" w:space="0" w:color="000000"/>
              <w:left w:val="single" w:sz="4" w:space="0" w:color="000000"/>
              <w:bottom w:val="single" w:sz="4" w:space="0" w:color="000000"/>
              <w:right w:val="single" w:sz="4" w:space="0" w:color="000000"/>
            </w:tcBorders>
            <w:hideMark/>
          </w:tcPr>
          <w:p w14:paraId="19F25043" w14:textId="77777777" w:rsidR="00175B8E" w:rsidRDefault="00175B8E" w:rsidP="00333C23">
            <w:pPr>
              <w:pStyle w:val="T-ABCD"/>
              <w:spacing w:line="276" w:lineRule="auto"/>
              <w:rPr>
                <w:lang w:val="en-US" w:eastAsia="en-US"/>
              </w:rPr>
            </w:pPr>
            <w:r>
              <w:rPr>
                <w:lang w:val="en-US" w:eastAsia="en-US"/>
              </w:rPr>
              <w:sym w:font="Symbol" w:char="F0D6"/>
            </w:r>
            <w:r>
              <w:rPr>
                <w:lang w:val="en-US" w:eastAsia="en-US"/>
              </w:rPr>
              <w:sym w:font="Symbol" w:char="F0D6"/>
            </w:r>
          </w:p>
        </w:tc>
        <w:tc>
          <w:tcPr>
            <w:tcW w:w="811" w:type="dxa"/>
            <w:tcBorders>
              <w:top w:val="single" w:sz="4" w:space="0" w:color="000000"/>
              <w:left w:val="single" w:sz="4" w:space="0" w:color="000000"/>
              <w:bottom w:val="single" w:sz="4" w:space="0" w:color="000000"/>
              <w:right w:val="single" w:sz="4" w:space="0" w:color="000000"/>
            </w:tcBorders>
            <w:hideMark/>
          </w:tcPr>
          <w:p w14:paraId="7FFDD0CF" w14:textId="77777777" w:rsidR="00175B8E" w:rsidRDefault="00175B8E" w:rsidP="00333C23">
            <w:pPr>
              <w:pStyle w:val="T-ABCD"/>
              <w:spacing w:line="276" w:lineRule="auto"/>
              <w:rPr>
                <w:lang w:val="en-US" w:eastAsia="en-US"/>
              </w:rPr>
            </w:pPr>
            <w:r>
              <w:rPr>
                <w:lang w:val="en-US" w:eastAsia="en-US"/>
              </w:rPr>
              <w:sym w:font="Symbol" w:char="F0D6"/>
            </w:r>
          </w:p>
        </w:tc>
        <w:tc>
          <w:tcPr>
            <w:tcW w:w="811" w:type="dxa"/>
            <w:tcBorders>
              <w:top w:val="single" w:sz="4" w:space="0" w:color="000000"/>
              <w:left w:val="single" w:sz="4" w:space="0" w:color="000000"/>
              <w:bottom w:val="single" w:sz="4" w:space="0" w:color="000000"/>
              <w:right w:val="single" w:sz="4" w:space="0" w:color="000000"/>
            </w:tcBorders>
            <w:hideMark/>
          </w:tcPr>
          <w:p w14:paraId="4740976D" w14:textId="77777777" w:rsidR="00175B8E" w:rsidRDefault="00175B8E" w:rsidP="00333C23">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3" w:type="dxa"/>
            <w:tcBorders>
              <w:top w:val="single" w:sz="4" w:space="0" w:color="000000"/>
              <w:left w:val="single" w:sz="4" w:space="0" w:color="000000"/>
              <w:bottom w:val="single" w:sz="4" w:space="0" w:color="000000"/>
              <w:right w:val="single" w:sz="4" w:space="0" w:color="000000"/>
            </w:tcBorders>
            <w:hideMark/>
          </w:tcPr>
          <w:p w14:paraId="13FDFEC0" w14:textId="77777777" w:rsidR="00175B8E" w:rsidRDefault="00175B8E" w:rsidP="00333C23">
            <w:pPr>
              <w:pStyle w:val="T-ABCD"/>
              <w:spacing w:line="276" w:lineRule="auto"/>
              <w:rPr>
                <w:lang w:val="en-US" w:eastAsia="en-US"/>
              </w:rPr>
            </w:pPr>
            <w:r>
              <w:rPr>
                <w:lang w:val="en-US" w:eastAsia="en-US"/>
              </w:rPr>
              <w:sym w:font="Symbol" w:char="F0D6"/>
            </w:r>
          </w:p>
        </w:tc>
      </w:tr>
      <w:tr w:rsidR="00175B8E" w14:paraId="12F3A5D2" w14:textId="77777777" w:rsidTr="00175B8E">
        <w:trPr>
          <w:cantSplit/>
        </w:trPr>
        <w:tc>
          <w:tcPr>
            <w:tcW w:w="993" w:type="dxa"/>
            <w:tcBorders>
              <w:top w:val="single" w:sz="4" w:space="0" w:color="000000"/>
              <w:left w:val="single" w:sz="4" w:space="0" w:color="000000"/>
              <w:bottom w:val="single" w:sz="4" w:space="0" w:color="000000"/>
              <w:right w:val="single" w:sz="4" w:space="0" w:color="000000"/>
            </w:tcBorders>
          </w:tcPr>
          <w:p w14:paraId="5CA6E7DE" w14:textId="77777777" w:rsidR="00175B8E" w:rsidRDefault="00175B8E" w:rsidP="00175B8E">
            <w:pPr>
              <w:pStyle w:val="Tabletextnoindent"/>
              <w:numPr>
                <w:ilvl w:val="0"/>
                <w:numId w:val="0"/>
              </w:numPr>
              <w:spacing w:line="276" w:lineRule="auto"/>
              <w:rPr>
                <w:lang w:val="en-US" w:eastAsia="en-US"/>
              </w:rPr>
            </w:pPr>
            <w:r w:rsidRPr="00271657">
              <w:t>ES4.18</w:t>
            </w:r>
          </w:p>
        </w:tc>
        <w:tc>
          <w:tcPr>
            <w:tcW w:w="3605" w:type="dxa"/>
            <w:tcBorders>
              <w:top w:val="single" w:sz="4" w:space="0" w:color="000000"/>
              <w:left w:val="single" w:sz="4" w:space="0" w:color="000000"/>
              <w:bottom w:val="single" w:sz="4" w:space="0" w:color="000000"/>
              <w:right w:val="single" w:sz="4" w:space="0" w:color="000000"/>
            </w:tcBorders>
            <w:hideMark/>
          </w:tcPr>
          <w:p w14:paraId="0A1A1029"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noncardiac surgery, the effect of intraoperative cell salvage compared with no intraoperative cell salvage on transfusion volume and incidence is uncertain.</w:t>
            </w:r>
          </w:p>
          <w:p w14:paraId="24EAA693" w14:textId="77777777" w:rsidR="00175B8E" w:rsidRDefault="00175B8E" w:rsidP="00175B8E">
            <w:pPr>
              <w:pStyle w:val="ES-notes"/>
              <w:spacing w:line="276" w:lineRule="auto"/>
              <w:rPr>
                <w:lang w:val="en-US" w:eastAsia="en-US"/>
              </w:rPr>
            </w:pPr>
            <w:r>
              <w:rPr>
                <w:lang w:val="en-US" w:eastAsia="en-US"/>
              </w:rPr>
              <w:t>(See evidence matrix D4.K in Volume 2 of the technical report.)</w:t>
            </w:r>
          </w:p>
        </w:tc>
        <w:tc>
          <w:tcPr>
            <w:tcW w:w="811" w:type="dxa"/>
            <w:tcBorders>
              <w:top w:val="single" w:sz="4" w:space="0" w:color="000000"/>
              <w:left w:val="single" w:sz="4" w:space="0" w:color="000000"/>
              <w:bottom w:val="single" w:sz="4" w:space="0" w:color="000000"/>
              <w:right w:val="single" w:sz="4" w:space="0" w:color="000000"/>
            </w:tcBorders>
            <w:hideMark/>
          </w:tcPr>
          <w:p w14:paraId="59051949" w14:textId="77777777" w:rsidR="00175B8E" w:rsidRDefault="00175B8E" w:rsidP="00175B8E">
            <w:pPr>
              <w:pStyle w:val="T-ABCD"/>
              <w:spacing w:line="276" w:lineRule="auto"/>
              <w:rPr>
                <w:lang w:val="en-US" w:eastAsia="en-US"/>
              </w:rPr>
            </w:pPr>
            <w:r>
              <w:rPr>
                <w:lang w:val="en-US" w:eastAsia="en-US"/>
              </w:rPr>
              <w:t>X</w:t>
            </w:r>
          </w:p>
        </w:tc>
        <w:tc>
          <w:tcPr>
            <w:tcW w:w="811" w:type="dxa"/>
            <w:tcBorders>
              <w:top w:val="single" w:sz="4" w:space="0" w:color="000000"/>
              <w:left w:val="single" w:sz="4" w:space="0" w:color="000000"/>
              <w:bottom w:val="single" w:sz="4" w:space="0" w:color="000000"/>
              <w:right w:val="single" w:sz="4" w:space="0" w:color="000000"/>
            </w:tcBorders>
            <w:hideMark/>
          </w:tcPr>
          <w:p w14:paraId="33A7F517" w14:textId="77777777" w:rsidR="00175B8E" w:rsidRDefault="00175B8E" w:rsidP="00175B8E">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4D723897" w14:textId="77777777" w:rsidR="00175B8E" w:rsidRDefault="00175B8E" w:rsidP="00175B8E">
            <w:pPr>
              <w:pStyle w:val="T-ABCD"/>
              <w:spacing w:line="276" w:lineRule="auto"/>
              <w:rPr>
                <w:lang w:val="en-US" w:eastAsia="en-US"/>
              </w:rPr>
            </w:pPr>
            <w:r>
              <w:rPr>
                <w:lang w:val="en-US" w:eastAsia="en-US"/>
              </w:rPr>
              <w:t>NA</w:t>
            </w:r>
          </w:p>
        </w:tc>
        <w:tc>
          <w:tcPr>
            <w:tcW w:w="811" w:type="dxa"/>
            <w:tcBorders>
              <w:top w:val="single" w:sz="4" w:space="0" w:color="000000"/>
              <w:left w:val="single" w:sz="4" w:space="0" w:color="000000"/>
              <w:bottom w:val="single" w:sz="4" w:space="0" w:color="000000"/>
              <w:right w:val="single" w:sz="4" w:space="0" w:color="000000"/>
            </w:tcBorders>
            <w:hideMark/>
          </w:tcPr>
          <w:p w14:paraId="31F1CC67" w14:textId="77777777" w:rsidR="00175B8E" w:rsidRDefault="00175B8E" w:rsidP="00175B8E">
            <w:pPr>
              <w:pStyle w:val="T-ABCD"/>
              <w:spacing w:line="276" w:lineRule="auto"/>
              <w:rPr>
                <w:lang w:val="en-US" w:eastAsia="en-US"/>
              </w:rPr>
            </w:pPr>
            <w:r>
              <w:rPr>
                <w:lang w:val="en-US" w:eastAsia="en-US"/>
              </w:rPr>
              <w:sym w:font="Symbol" w:char="F0D6"/>
            </w:r>
          </w:p>
        </w:tc>
        <w:tc>
          <w:tcPr>
            <w:tcW w:w="813" w:type="dxa"/>
            <w:tcBorders>
              <w:top w:val="single" w:sz="4" w:space="0" w:color="000000"/>
              <w:left w:val="single" w:sz="4" w:space="0" w:color="000000"/>
              <w:bottom w:val="single" w:sz="4" w:space="0" w:color="000000"/>
              <w:right w:val="single" w:sz="4" w:space="0" w:color="000000"/>
            </w:tcBorders>
            <w:hideMark/>
          </w:tcPr>
          <w:p w14:paraId="243B5334"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5664C7A7" w14:textId="77777777" w:rsidTr="00175B8E">
        <w:trPr>
          <w:cantSplit/>
        </w:trPr>
        <w:tc>
          <w:tcPr>
            <w:tcW w:w="8655" w:type="dxa"/>
            <w:gridSpan w:val="7"/>
            <w:tcBorders>
              <w:top w:val="single" w:sz="4" w:space="0" w:color="000000"/>
              <w:left w:val="single" w:sz="4" w:space="0" w:color="000000"/>
              <w:bottom w:val="single" w:sz="4" w:space="0" w:color="000000"/>
              <w:right w:val="single" w:sz="4" w:space="0" w:color="000000"/>
            </w:tcBorders>
            <w:hideMark/>
          </w:tcPr>
          <w:p w14:paraId="282D180C" w14:textId="77777777" w:rsidR="00175B8E" w:rsidRDefault="00175B8E" w:rsidP="00175B8E">
            <w:pPr>
              <w:pStyle w:val="ES-notes"/>
              <w:spacing w:line="276" w:lineRule="auto"/>
              <w:rPr>
                <w:lang w:val="en-US" w:eastAsia="en-US"/>
              </w:rPr>
            </w:pPr>
            <w:r>
              <w:rPr>
                <w:lang w:val="en-US" w:eastAsia="en-US"/>
              </w:rPr>
              <w:t xml:space="preserve">CPB, cardiopulmonary bypass; ES, evidence statement </w:t>
            </w:r>
          </w:p>
          <w:p w14:paraId="65004505" w14:textId="77777777" w:rsidR="00175B8E" w:rsidRDefault="00175B8E" w:rsidP="00175B8E">
            <w:pPr>
              <w:pStyle w:val="ES-notes"/>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734C2EA7" w14:textId="77777777" w:rsidR="00175B8E" w:rsidRDefault="00175B8E" w:rsidP="00175B8E"/>
    <w:tbl>
      <w:tblPr>
        <w:tblW w:w="8655"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994"/>
        <w:gridCol w:w="7661"/>
      </w:tblGrid>
      <w:tr w:rsidR="00175B8E" w14:paraId="304D0F5A"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4CA6A677" w14:textId="005B3EF7" w:rsidR="00175B8E" w:rsidRDefault="000E35F6" w:rsidP="000E35F6">
            <w:pPr>
              <w:pStyle w:val="PP-heading"/>
              <w:spacing w:line="276" w:lineRule="auto"/>
              <w:rPr>
                <w:lang w:val="en-US" w:eastAsia="en-US"/>
              </w:rPr>
            </w:pPr>
            <w:r>
              <w:rPr>
                <w:lang w:val="en-US" w:eastAsia="en-US"/>
              </w:rPr>
              <w:t>Practice point</w:t>
            </w:r>
            <w:r w:rsidR="00175B8E">
              <w:rPr>
                <w:lang w:val="en-US" w:eastAsia="en-US"/>
              </w:rPr>
              <w:t xml:space="preserve"> –</w:t>
            </w:r>
            <w:r>
              <w:rPr>
                <w:lang w:val="en-US" w:eastAsia="en-US"/>
              </w:rPr>
              <w:t xml:space="preserve"> </w:t>
            </w:r>
            <w:r w:rsidR="0007284D">
              <w:rPr>
                <w:lang w:val="en-US" w:eastAsia="en-US"/>
              </w:rPr>
              <w:t>surgical (intraoperative cell salvage)</w:t>
            </w:r>
          </w:p>
        </w:tc>
      </w:tr>
      <w:tr w:rsidR="00175B8E" w14:paraId="7FF6AE6C" w14:textId="77777777" w:rsidTr="00175B8E">
        <w:tc>
          <w:tcPr>
            <w:tcW w:w="993" w:type="dxa"/>
            <w:tcBorders>
              <w:top w:val="single" w:sz="4" w:space="0" w:color="000000"/>
              <w:left w:val="single" w:sz="4" w:space="0" w:color="000000"/>
              <w:bottom w:val="single" w:sz="4" w:space="0" w:color="000000"/>
              <w:right w:val="single" w:sz="4" w:space="0" w:color="auto"/>
            </w:tcBorders>
            <w:hideMark/>
          </w:tcPr>
          <w:p w14:paraId="1752CDA8" w14:textId="77777777" w:rsidR="00175B8E" w:rsidRDefault="00175B8E" w:rsidP="005A5A05">
            <w:pPr>
              <w:pStyle w:val="PP"/>
            </w:pPr>
            <w:r>
              <w:t>PP35</w:t>
            </w:r>
          </w:p>
        </w:tc>
        <w:tc>
          <w:tcPr>
            <w:tcW w:w="7655" w:type="dxa"/>
            <w:tcBorders>
              <w:top w:val="single" w:sz="4" w:space="0" w:color="000000"/>
              <w:left w:val="single" w:sz="4" w:space="0" w:color="auto"/>
              <w:bottom w:val="single" w:sz="4" w:space="0" w:color="000000"/>
              <w:right w:val="single" w:sz="4" w:space="0" w:color="000000"/>
            </w:tcBorders>
            <w:hideMark/>
          </w:tcPr>
          <w:p w14:paraId="5EA87754" w14:textId="75029C2D" w:rsidR="00175B8E" w:rsidRDefault="00175B8E" w:rsidP="00333C23">
            <w:pPr>
              <w:pStyle w:val="PP"/>
            </w:pPr>
            <w:r>
              <w:t>In paediatric patients undergoing cardiac surgery with</w:t>
            </w:r>
            <w:r w:rsidR="00333C23">
              <w:rPr>
                <w:lang w:val="en-AU"/>
              </w:rPr>
              <w:t xml:space="preserve"> CPB</w:t>
            </w:r>
            <w:r>
              <w:t>, intraoperative cell salvage may be considered. If intraoperative cell salvage is used, it requires a local procedural guideline that should include patient selection, use of equipment and reinfusion. All staff operating cell salvage devices should receive appropriate training, to ensure knowledge of the technique and proficiency in using it.</w:t>
            </w:r>
          </w:p>
        </w:tc>
      </w:tr>
      <w:tr w:rsidR="00175B8E" w14:paraId="342F3BEB"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358E6E6E" w14:textId="17727C64" w:rsidR="00175B8E" w:rsidRDefault="00333C23" w:rsidP="005A5A05">
            <w:pPr>
              <w:pStyle w:val="PP-note"/>
              <w:rPr>
                <w:lang w:val="en-US" w:eastAsia="en-US"/>
              </w:rPr>
            </w:pPr>
            <w:r>
              <w:rPr>
                <w:lang w:val="en-US" w:eastAsia="en-US"/>
              </w:rPr>
              <w:t xml:space="preserve">CPB, </w:t>
            </w:r>
            <w:r>
              <w:t>cardiopulmonary bypass</w:t>
            </w:r>
            <w:r>
              <w:rPr>
                <w:lang w:val="en-US" w:eastAsia="en-US"/>
              </w:rPr>
              <w:t xml:space="preserve">; </w:t>
            </w:r>
            <w:r w:rsidR="00175B8E">
              <w:rPr>
                <w:lang w:val="en-US" w:eastAsia="en-US"/>
              </w:rPr>
              <w:t>PP, practice point</w:t>
            </w:r>
          </w:p>
        </w:tc>
      </w:tr>
    </w:tbl>
    <w:p w14:paraId="131A6491" w14:textId="77777777" w:rsidR="00175B8E" w:rsidRPr="00A52193" w:rsidRDefault="00175B8E" w:rsidP="00175B8E">
      <w:pPr>
        <w:rPr>
          <w:lang w:val="en-GB" w:eastAsia="en-GB"/>
        </w:rPr>
      </w:pPr>
    </w:p>
    <w:p w14:paraId="7690B902" w14:textId="77777777" w:rsidR="00175B8E" w:rsidRDefault="00175B8E" w:rsidP="005A5A05">
      <w:pPr>
        <w:pStyle w:val="Heading4"/>
      </w:pPr>
      <w:r>
        <w:t>Background</w:t>
      </w:r>
    </w:p>
    <w:p w14:paraId="2916739F" w14:textId="0430FFF8" w:rsidR="00175B8E" w:rsidRPr="005C1D0C" w:rsidRDefault="00175B8E" w:rsidP="005A5A05">
      <w:r w:rsidRPr="005C1D0C">
        <w:t>Intraoperative cell salvage involves collection of blood lost during surgery</w:t>
      </w:r>
      <w:r>
        <w:t>. In patients undergoing CPB, the residual volume of blood in the circuit can also be salvaged</w:t>
      </w:r>
      <w:r w:rsidRPr="005C1D0C">
        <w:t xml:space="preserve">. </w:t>
      </w:r>
      <w:r>
        <w:t>The collected blood</w:t>
      </w:r>
      <w:r w:rsidRPr="005C1D0C">
        <w:t xml:space="preserve"> is then</w:t>
      </w:r>
      <w:r>
        <w:t xml:space="preserve"> mixed with an anticoagulant solution containing either heparin or citrate to prevent clotting. As blood enters the collection reservoir, it is filtered to remove large particulate debris. Before salvaged blood can be reinfused back into the patient, it must be</w:t>
      </w:r>
      <w:r w:rsidRPr="005C1D0C">
        <w:t xml:space="preserve"> centrifuged </w:t>
      </w:r>
      <w:r>
        <w:t xml:space="preserve">and washed to produce </w:t>
      </w:r>
      <w:r w:rsidR="00A45BC6">
        <w:t>RBCs</w:t>
      </w:r>
      <w:r>
        <w:t xml:space="preserve"> </w:t>
      </w:r>
      <w:r w:rsidRPr="00A77567">
        <w:t xml:space="preserve">suspended in saline. </w:t>
      </w:r>
    </w:p>
    <w:p w14:paraId="067645A1" w14:textId="77777777" w:rsidR="00175B8E" w:rsidRDefault="00175B8E" w:rsidP="005A5A05">
      <w:pPr>
        <w:pStyle w:val="Heading4"/>
      </w:pPr>
      <w:r>
        <w:t>Summary of evidence</w:t>
      </w:r>
    </w:p>
    <w:p w14:paraId="0259DE86" w14:textId="5CBA1BC1" w:rsidR="00175B8E" w:rsidRPr="00C04F13" w:rsidRDefault="005A5A05" w:rsidP="005A5A05">
      <w:pPr>
        <w:rPr>
          <w:lang w:val="en-GB" w:eastAsia="en-GB"/>
        </w:rPr>
      </w:pPr>
      <w:r>
        <w:t xml:space="preserve">This review identified three Level II studies: one of </w:t>
      </w:r>
      <w:r w:rsidR="00175B8E">
        <w:t>good quality</w:t>
      </w:r>
      <w:hyperlink w:anchor="_ENREF_175" w:tooltip="Cholette, 2013 #940" w:history="1">
        <w:r w:rsidR="00E62798">
          <w:fldChar w:fldCharType="begin"/>
        </w:r>
        <w:r w:rsidR="00E62798">
          <w:instrText xml:space="preserve"> ADDIN EN.CITE &lt;EndNote&gt;&lt;Cite&gt;&lt;Author&gt;Cholette&lt;/Author&gt;&lt;Year&gt;2013&lt;/Year&gt;&lt;RecNum&gt;940&lt;/RecNum&gt;&lt;DisplayText&gt;&lt;style face="superscript"&gt;175&lt;/style&gt;&lt;/DisplayText&gt;&lt;record&gt;&lt;rec-number&gt;940&lt;/rec-number&gt;&lt;foreign-keys&gt;&lt;key app="EN" db-id="9edve2wadsavt5ewavaxtda4f2tavzvts9ee" timestamp="1435709514"&gt;940&lt;/key&gt;&lt;/foreign-keys&gt;&lt;ref-type name="Journal Article"&gt;17&lt;/ref-type&gt;&lt;contributors&gt;&lt;authors&gt;&lt;author&gt;Cholette, J. M.&lt;/author&gt;&lt;author&gt;Powers, K. S.&lt;/author&gt;&lt;author&gt;Alfieris, G. M.&lt;/author&gt;&lt;author&gt;Angona, R.&lt;/author&gt;&lt;author&gt;Henrichs, K. F.&lt;/author&gt;&lt;author&gt;Masel, D.&lt;/author&gt;&lt;author&gt;Swartz, M. F.&lt;/author&gt;&lt;author&gt;Daugherty, L. E.&lt;/author&gt;&lt;author&gt;Belmont, K.&lt;/author&gt;&lt;author&gt;Blumberg, N.&lt;/author&gt;&lt;/authors&gt;&lt;/contributors&gt;&lt;titles&gt;&lt;title&gt;Transfusion of cell saver salvaged blood in neonates and infants undergoing open heart surgery significantly reduces RBC and coagulant product transfusions and donor exposures: results of a prospective, randomized, clinical trial&lt;/title&gt;&lt;secondary-title&gt;Pediatric Critical Care Medicine&lt;/secondary-title&gt;&lt;alt-title&gt;Pediatr. Crit. Care Med.&lt;/alt-title&gt;&lt;/titles&gt;&lt;periodical&gt;&lt;full-title&gt;Pediatric Critical Care Medicine&lt;/full-title&gt;&lt;/periodical&gt;&lt;pages&gt;137–147&lt;/pages&gt;&lt;volume&gt;14&lt;/volume&gt;&lt;number&gt;2&lt;/number&gt;&lt;dates&gt;&lt;year&gt;2013&lt;/year&gt;&lt;/dates&gt;&lt;isbn&gt;1529-7535&lt;/isbn&gt;&lt;urls&gt;&lt;related-urls&gt;&lt;url&gt;http://www.ncbi.nlm.nih.gov/pmc/articles/PMC3671922/pdf/nihms463601.pdf&lt;/url&gt;&lt;/related-urls&gt;&lt;/urls&gt;&lt;electronic-resource-num&gt;DOI:10.1097/PCC.0b013e31826e741c&lt;/electronic-resource-num&gt;&lt;/record&gt;&lt;/Cite&gt;&lt;/EndNote&gt;</w:instrText>
        </w:r>
        <w:r w:rsidR="00E62798">
          <w:fldChar w:fldCharType="separate"/>
        </w:r>
        <w:r w:rsidR="00E62798" w:rsidRPr="00E62798">
          <w:rPr>
            <w:noProof/>
            <w:vertAlign w:val="superscript"/>
          </w:rPr>
          <w:t>175</w:t>
        </w:r>
        <w:r w:rsidR="00E62798">
          <w:fldChar w:fldCharType="end"/>
        </w:r>
      </w:hyperlink>
      <w:r w:rsidR="00175B8E">
        <w:t xml:space="preserve"> </w:t>
      </w:r>
      <w:r>
        <w:t>and two of</w:t>
      </w:r>
      <w:r w:rsidR="00175B8E">
        <w:t xml:space="preserve"> poor qu</w:t>
      </w:r>
      <w:r>
        <w:t>ality.</w:t>
      </w:r>
      <w:r w:rsidR="00E62798">
        <w:fldChar w:fldCharType="begin">
          <w:fldData xml:space="preserve">PEVuZE5vdGU+PENpdGU+PEF1dGhvcj5ZZTwvQXV0aG9yPjxZZWFyPjIwMTM8L1llYXI+PFJlY051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</w:fldData>
        </w:fldChar>
      </w:r>
      <w:r w:rsidR="00E62798">
        <w:instrText xml:space="preserve"> ADDIN EN.CITE </w:instrText>
      </w:r>
      <w:r w:rsidR="00E62798">
        <w:fldChar w:fldCharType="begin">
          <w:fldData xml:space="preserve">PEVuZE5vdGU+PENpdGU+PEF1dGhvcj5ZZTwvQXV0aG9yPjxZZWFyPjIwMTM8L1llYXI+PFJlY051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</w:fldData>
        </w:fldChar>
      </w:r>
      <w:r w:rsidR="00E62798">
        <w:instrText xml:space="preserve"> ADDIN EN.CITE.DATA </w:instrText>
      </w:r>
      <w:r w:rsidR="00E62798">
        <w:fldChar w:fldCharType="end"/>
      </w:r>
      <w:r w:rsidR="00E62798">
        <w:fldChar w:fldCharType="separate"/>
      </w:r>
      <w:hyperlink w:anchor="_ENREF_174" w:tooltip="Lisander, 1996 #939" w:history="1">
        <w:r w:rsidR="00E62798" w:rsidRPr="00E62798">
          <w:rPr>
            <w:noProof/>
            <w:vertAlign w:val="superscript"/>
          </w:rPr>
          <w:t>174</w:t>
        </w:r>
      </w:hyperlink>
      <w:r w:rsidR="00E62798" w:rsidRPr="00E62798">
        <w:rPr>
          <w:noProof/>
          <w:vertAlign w:val="superscript"/>
        </w:rPr>
        <w:t xml:space="preserve">; </w:t>
      </w:r>
      <w:hyperlink w:anchor="_ENREF_176" w:tooltip="Ye, 2013 #941" w:history="1">
        <w:r w:rsidR="00E62798" w:rsidRPr="00E62798">
          <w:rPr>
            <w:noProof/>
            <w:vertAlign w:val="superscript"/>
          </w:rPr>
          <w:t>176</w:t>
        </w:r>
      </w:hyperlink>
      <w:r w:rsidR="00E62798">
        <w:fldChar w:fldCharType="end"/>
      </w:r>
    </w:p>
    <w:p w14:paraId="28151B37" w14:textId="77777777" w:rsidR="00175B8E" w:rsidRDefault="00175B8E" w:rsidP="005A5A05">
      <w:pPr>
        <w:pStyle w:val="StyleHeading5Heading5nonumLeft0cmFirstline127cm"/>
      </w:pPr>
      <w:r w:rsidRPr="00102A1C">
        <w:t>Mortality</w:t>
      </w:r>
    </w:p>
    <w:p w14:paraId="4CC1D1FD" w14:textId="77777777" w:rsidR="00175B8E" w:rsidRDefault="00175B8E" w:rsidP="005A5A05">
      <w:pPr>
        <w:rPr>
          <w:lang w:val="en-GB" w:eastAsia="en-GB"/>
        </w:rPr>
      </w:pPr>
      <w:r>
        <w:rPr>
          <w:lang w:val="en-GB" w:eastAsia="en-GB"/>
        </w:rPr>
        <w:t>None of the three included studies were sufficiently powered to detect any difference in mortality.</w:t>
      </w:r>
    </w:p>
    <w:p w14:paraId="42A1BBEA" w14:textId="77777777" w:rsidR="00175B8E" w:rsidRPr="00102A1C" w:rsidRDefault="00175B8E" w:rsidP="005A5A05">
      <w:pPr>
        <w:pStyle w:val="StyleHeading5Heading5nonumLeft0cmFirstline127cm"/>
      </w:pPr>
      <w:r w:rsidRPr="00102A1C">
        <w:t xml:space="preserve">Transfusion </w:t>
      </w:r>
      <w:r>
        <w:t>volume and incidence</w:t>
      </w:r>
    </w:p>
    <w:p w14:paraId="51B2D427" w14:textId="7B2F3000" w:rsidR="00175B8E" w:rsidRPr="00215D3C" w:rsidRDefault="00175B8E" w:rsidP="005A5A05">
      <w:pPr>
        <w:rPr>
          <w:lang w:val="en-GB" w:eastAsia="en-GB"/>
        </w:rPr>
      </w:pPr>
      <w:r>
        <w:rPr>
          <w:lang w:val="en-GB" w:eastAsia="en-GB"/>
        </w:rPr>
        <w:t xml:space="preserve">Cholette </w:t>
      </w:r>
      <w:r w:rsidR="005A5A05">
        <w:rPr>
          <w:lang w:val="en-GB" w:eastAsia="en-GB"/>
        </w:rPr>
        <w:t xml:space="preserve">et al </w:t>
      </w:r>
      <w:r>
        <w:rPr>
          <w:lang w:val="en-GB" w:eastAsia="en-GB"/>
        </w:rPr>
        <w:t>(2013)</w:t>
      </w:r>
      <w:hyperlink w:anchor="_ENREF_175" w:tooltip="Cholette, 2013 #940" w:history="1">
        <w:r w:rsidR="00E62798">
          <w:rPr>
            <w:lang w:val="en-GB" w:eastAsia="en-GB"/>
          </w:rPr>
          <w:fldChar w:fldCharType="begin"/>
        </w:r>
        <w:r w:rsidR="00E62798">
          <w:rPr>
            <w:lang w:val="en-GB" w:eastAsia="en-GB"/>
          </w:rPr>
          <w:instrText xml:space="preserve"> ADDIN EN.CITE &lt;EndNote&gt;&lt;Cite&gt;&lt;Author&gt;Cholette&lt;/Author&gt;&lt;Year&gt;2013&lt;/Year&gt;&lt;RecNum&gt;940&lt;/RecNum&gt;&lt;DisplayText&gt;&lt;style face="superscript"&gt;175&lt;/style&gt;&lt;/DisplayText&gt;&lt;record&gt;&lt;rec-number&gt;940&lt;/rec-number&gt;&lt;foreign-keys&gt;&lt;key app="EN" db-id="9edve2wadsavt5ewavaxtda4f2tavzvts9ee" timestamp="1435709514"&gt;940&lt;/key&gt;&lt;/foreign-keys&gt;&lt;ref-type name="Journal Article"&gt;17&lt;/ref-type&gt;&lt;contributors&gt;&lt;authors&gt;&lt;author&gt;Cholette, J. M.&lt;/author&gt;&lt;author&gt;Powers, K. S.&lt;/author&gt;&lt;author&gt;Alfieris, G. M.&lt;/author&gt;&lt;author&gt;Angona, R.&lt;/author&gt;&lt;author&gt;Henrichs, K. F.&lt;/author&gt;&lt;author&gt;Masel, D.&lt;/author&gt;&lt;author&gt;Swartz, M. F.&lt;/author&gt;&lt;author&gt;Daugherty, L. E.&lt;/author&gt;&lt;author&gt;Belmont, K.&lt;/author&gt;&lt;author&gt;Blumberg, N.&lt;/author&gt;&lt;/authors&gt;&lt;/contributors&gt;&lt;titles&gt;&lt;title&gt;Transfusion of cell saver salvaged blood in neonates and infants undergoing open heart surgery significantly reduces RBC and coagulant product transfusions and donor exposures: results of a prospective, randomized, clinical trial&lt;/title&gt;&lt;secondary-title&gt;Pediatric Critical Care Medicine&lt;/secondary-title&gt;&lt;alt-title&gt;Pediatr. Crit. Care Med.&lt;/alt-title&gt;&lt;/titles&gt;&lt;periodical&gt;&lt;full-title&gt;Pediatric Critical Care Medicine&lt;/full-title&gt;&lt;/periodical&gt;&lt;pages&gt;137–147&lt;/pages&gt;&lt;volume&gt;14&lt;/volume&gt;&lt;number&gt;2&lt;/number&gt;&lt;dates&gt;&lt;year&gt;2013&lt;/year&gt;&lt;/dates&gt;&lt;isbn&gt;1529-7535&lt;/isbn&gt;&lt;urls&gt;&lt;related-urls&gt;&lt;url&gt;http://www.ncbi.nlm.nih.gov/pmc/articles/PMC3671922/pdf/nihms463601.pdf&lt;/url&gt;&lt;/related-urls&gt;&lt;/urls&gt;&lt;electronic-resource-num&gt;DOI:10.1097/PCC.0b013e31826e741c&lt;/electronic-resource-num&gt;&lt;/record&gt;&lt;/Cite&gt;&lt;/EndNote&gt;</w:instrText>
        </w:r>
        <w:r w:rsidR="00E62798">
          <w:rPr>
            <w:lang w:val="en-GB" w:eastAsia="en-GB"/>
          </w:rPr>
          <w:fldChar w:fldCharType="separate"/>
        </w:r>
        <w:r w:rsidR="00E62798" w:rsidRPr="00E62798">
          <w:rPr>
            <w:noProof/>
            <w:vertAlign w:val="superscript"/>
            <w:lang w:val="en-GB" w:eastAsia="en-GB"/>
          </w:rPr>
          <w:t>175</w:t>
        </w:r>
        <w:r w:rsidR="00E62798">
          <w:rPr>
            <w:lang w:val="en-GB" w:eastAsia="en-GB"/>
          </w:rPr>
          <w:fldChar w:fldCharType="end"/>
        </w:r>
      </w:hyperlink>
      <w:r>
        <w:rPr>
          <w:lang w:val="en-GB" w:eastAsia="en-GB"/>
        </w:rPr>
        <w:t xml:space="preserve"> assessed transfusion needs among 106 children scheduled for cardiac surgery with CPB. Cell salvage (including use of residual CPB circuit volume) reduced the mean number of RBCs transfused within 24 hours post-surgery</w:t>
      </w:r>
      <w:r w:rsidRPr="00215D3C">
        <w:rPr>
          <w:lang w:val="en-GB" w:eastAsia="en-GB"/>
        </w:rPr>
        <w:t xml:space="preserve"> and 48 hours post-sur</w:t>
      </w:r>
      <w:r w:rsidR="005A5A05">
        <w:rPr>
          <w:lang w:val="en-GB" w:eastAsia="en-GB"/>
        </w:rPr>
        <w:t xml:space="preserve">gery; </w:t>
      </w:r>
      <w:r>
        <w:rPr>
          <w:lang w:val="en-GB" w:eastAsia="en-GB"/>
        </w:rPr>
        <w:t>however, the effect did not remain statistically significant at</w:t>
      </w:r>
      <w:r w:rsidR="005A5A05">
        <w:rPr>
          <w:lang w:val="en-GB" w:eastAsia="en-GB"/>
        </w:rPr>
        <w:t xml:space="preserve"> 7 days post-surgery. </w:t>
      </w:r>
      <w:r>
        <w:rPr>
          <w:lang w:val="en-GB" w:eastAsia="en-GB"/>
        </w:rPr>
        <w:t>In this study, the cell saver blood was safely stored and used for 24 hours after collection.</w:t>
      </w:r>
    </w:p>
    <w:p w14:paraId="5481B555" w14:textId="5A2515A6" w:rsidR="00175B8E" w:rsidRDefault="00175B8E" w:rsidP="005A5A05">
      <w:pPr>
        <w:rPr>
          <w:lang w:val="en-GB" w:eastAsia="en-GB"/>
        </w:rPr>
      </w:pPr>
      <w:r>
        <w:rPr>
          <w:lang w:val="en-GB" w:eastAsia="en-GB"/>
        </w:rPr>
        <w:t xml:space="preserve">Lisander </w:t>
      </w:r>
      <w:r w:rsidR="005A5A05">
        <w:rPr>
          <w:lang w:val="en-GB" w:eastAsia="en-GB"/>
        </w:rPr>
        <w:t xml:space="preserve">et al </w:t>
      </w:r>
      <w:r>
        <w:rPr>
          <w:lang w:val="en-GB" w:eastAsia="en-GB"/>
        </w:rPr>
        <w:t>(1996)</w:t>
      </w:r>
      <w:hyperlink w:anchor="_ENREF_174" w:tooltip="Lisander, 1996 #939" w:history="1">
        <w:r w:rsidR="00E62798">
          <w:rPr>
            <w:lang w:val="en-GB" w:eastAsia="en-GB"/>
          </w:rPr>
          <w:fldChar w:fldCharType="begin"/>
        </w:r>
        <w:r w:rsidR="00E62798">
          <w:rPr>
            <w:lang w:val="en-GB" w:eastAsia="en-GB"/>
          </w:rPr>
          <w:instrText xml:space="preserve"> ADDIN EN.CITE &lt;EndNote&gt;&lt;Cite&gt;&lt;Author&gt;Lisander&lt;/Author&gt;&lt;Year&gt;1996&lt;/Year&gt;&lt;RecNum&gt;939&lt;/RecNum&gt;&lt;DisplayText&gt;&lt;style face="superscript"&gt;174&lt;/style&gt;&lt;/DisplayText&gt;&lt;record&gt;&lt;rec-number&gt;939&lt;/rec-number&gt;&lt;foreign-keys&gt;&lt;key app="EN" db-id="9edve2wadsavt5ewavaxtda4f2tavzvts9ee" timestamp="1435709514"&gt;939&lt;/key&gt;&lt;/foreign-keys&gt;&lt;ref-type name="Journal Article"&gt;17&lt;/ref-type&gt;&lt;contributors&gt;&lt;authors&gt;&lt;author&gt;Lisander, B.&lt;/author&gt;&lt;author&gt;Jonsson, R.&lt;/author&gt;&lt;author&gt;Nordwall, A.&lt;/author&gt;&lt;/authors&gt;&lt;/contributors&gt;&lt;titles&gt;&lt;title&gt;Combination of blood-saving methods decreases homologous blood requirements in scoliosis surgery&lt;/title&gt;&lt;secondary-title&gt;Anaesthesia and Intensive Care&lt;/secondary-title&gt;&lt;alt-title&gt;Anaesth. Intensive Care&lt;/alt-title&gt;&lt;/titles&gt;&lt;periodical&gt;&lt;full-title&gt;Anaesthesia and Intensive Care&lt;/full-title&gt;&lt;abbr-1&gt;Anaesth. Intensive Care&lt;/abbr-1&gt;&lt;/periodical&gt;&lt;alt-periodical&gt;&lt;full-title&gt;Anaesthesia and Intensive Care&lt;/full-title&gt;&lt;abbr-1&gt;Anaesth. Intensive Care&lt;/abbr-1&gt;&lt;/alt-periodical&gt;&lt;pages&gt;555–558&lt;/pages&gt;&lt;volume&gt;24&lt;/volume&gt;&lt;number&gt;5&lt;/number&gt;&lt;dates&gt;&lt;year&gt;1996&lt;/year&gt;&lt;/dates&gt;&lt;isbn&gt;0310-057X&lt;/isbn&gt;&lt;urls&gt;&lt;/urls&gt;&lt;/record&gt;&lt;/Cite&gt;&lt;/EndNote&gt;</w:instrText>
        </w:r>
        <w:r w:rsidR="00E62798">
          <w:rPr>
            <w:lang w:val="en-GB" w:eastAsia="en-GB"/>
          </w:rPr>
          <w:fldChar w:fldCharType="separate"/>
        </w:r>
        <w:r w:rsidR="00E62798" w:rsidRPr="00E62798">
          <w:rPr>
            <w:noProof/>
            <w:vertAlign w:val="superscript"/>
            <w:lang w:val="en-GB" w:eastAsia="en-GB"/>
          </w:rPr>
          <w:t>174</w:t>
        </w:r>
        <w:r w:rsidR="00E62798">
          <w:rPr>
            <w:lang w:val="en-GB" w:eastAsia="en-GB"/>
          </w:rPr>
          <w:fldChar w:fldCharType="end"/>
        </w:r>
      </w:hyperlink>
      <w:r>
        <w:rPr>
          <w:lang w:val="en-GB" w:eastAsia="en-GB"/>
        </w:rPr>
        <w:t xml:space="preserve"> reported no significant difference in the mean number of donor blood units transfused among 24 adolescents u</w:t>
      </w:r>
      <w:r w:rsidR="005A5A05">
        <w:rPr>
          <w:lang w:val="en-GB" w:eastAsia="en-GB"/>
        </w:rPr>
        <w:t>ndergoing surgery for scoliosis. Being</w:t>
      </w:r>
      <w:r w:rsidR="005A5A05">
        <w:t xml:space="preserve"> a pilot, this study </w:t>
      </w:r>
      <w:r w:rsidRPr="0046187A">
        <w:t>was not powered to assess differences in clinical outcomes</w:t>
      </w:r>
      <w:r>
        <w:t>.</w:t>
      </w:r>
    </w:p>
    <w:p w14:paraId="0F165D91" w14:textId="191C3C66" w:rsidR="00175B8E" w:rsidRDefault="00175B8E" w:rsidP="005A5A05">
      <w:pPr>
        <w:rPr>
          <w:lang w:val="en-GB" w:eastAsia="en-GB"/>
        </w:rPr>
      </w:pPr>
      <w:r>
        <w:rPr>
          <w:lang w:val="en-GB" w:eastAsia="en-GB"/>
        </w:rPr>
        <w:t xml:space="preserve">Ye </w:t>
      </w:r>
      <w:r w:rsidR="005A5A05">
        <w:rPr>
          <w:lang w:val="en-GB" w:eastAsia="en-GB"/>
        </w:rPr>
        <w:t xml:space="preserve">et al </w:t>
      </w:r>
      <w:r>
        <w:rPr>
          <w:lang w:val="en-GB" w:eastAsia="en-GB"/>
        </w:rPr>
        <w:t>(2013)</w:t>
      </w:r>
      <w:hyperlink w:anchor="_ENREF_176" w:tooltip="Ye, 2013 #941" w:history="1">
        <w:r w:rsidR="00E62798">
          <w:rPr>
            <w:lang w:val="en-GB" w:eastAsia="en-GB"/>
          </w:rPr>
          <w:fldChar w:fldCharType="begin"/>
        </w:r>
        <w:r w:rsidR="00E62798">
          <w:rPr>
            <w:lang w:val="en-GB" w:eastAsia="en-GB"/>
          </w:rPr>
          <w:instrText xml:space="preserve"> ADDIN EN.CITE &lt;EndNote&gt;&lt;Cite&gt;&lt;Author&gt;Ye&lt;/Author&gt;&lt;Year&gt;2013&lt;/Year&gt;&lt;RecNum&gt;941&lt;/RecNum&gt;&lt;DisplayText&gt;&lt;style face="superscript"&gt;176&lt;/style&gt;&lt;/DisplayText&gt;&lt;record&gt;&lt;rec-number&gt;941&lt;/rec-number&gt;&lt;foreign-keys&gt;&lt;key app="EN" db-id="9edve2wadsavt5ewavaxtda4f2tavzvts9ee" timestamp="1435709514"&gt;941&lt;/key&gt;&lt;/foreign-keys&gt;&lt;ref-type name="Journal Article"&gt;17&lt;/ref-type&gt;&lt;contributors&gt;&lt;authors&gt;&lt;author&gt;Ye, L.&lt;/author&gt;&lt;author&gt;Lin, R.&lt;/author&gt;&lt;author&gt;Fan, Y.&lt;/author&gt;&lt;author&gt;Yang, L.&lt;/author&gt;&lt;author&gt;Hu, J.&lt;/author&gt;&lt;author&gt;Shu, Q.&lt;/author&gt;&lt;/authors&gt;&lt;/contributors&gt;&lt;titles&gt;&lt;title&gt;Effects of circuit residual volume salvage reinfusion on the postoperative clinical outcome for pediatric patients undergoing cardiac surgery&lt;/title&gt;&lt;secondary-title&gt;Pediatric Cardiology&lt;/secondary-title&gt;&lt;alt-title&gt;Pediatr. Cardiol.&lt;/alt-title&gt;&lt;/titles&gt;&lt;periodical&gt;&lt;full-title&gt;Pediatric Cardiology&lt;/full-title&gt;&lt;abbr-1&gt;Pediatr. Cardiol.&lt;/abbr-1&gt;&lt;/periodical&gt;&lt;alt-periodical&gt;&lt;full-title&gt;Pediatric Cardiology&lt;/full-title&gt;&lt;abbr-1&gt;Pediatr. Cardiol.&lt;/abbr-1&gt;&lt;/alt-periodical&gt;&lt;pages&gt;1088–1093&lt;/pages&gt;&lt;volume&gt;34&lt;/volume&gt;&lt;number&gt;5&lt;/number&gt;&lt;dates&gt;&lt;year&gt;2013&lt;/year&gt;&lt;/dates&gt;&lt;isbn&gt;0172-0643&lt;/isbn&gt;&lt;urls&gt;&lt;related-urls&gt;&lt;url&gt;http://link.springer.com/article/10.1007%2Fs00246-012-0606-z&lt;/url&gt;&lt;/related-urls&gt;&lt;/urls&gt;&lt;electronic-resource-num&gt;DOI:10.1007/s00246-012-0606-z&lt;/electronic-resource-num&gt;&lt;/record&gt;&lt;/Cite&gt;&lt;/EndNote&gt;</w:instrText>
        </w:r>
        <w:r w:rsidR="00E62798">
          <w:rPr>
            <w:lang w:val="en-GB" w:eastAsia="en-GB"/>
          </w:rPr>
          <w:fldChar w:fldCharType="separate"/>
        </w:r>
        <w:r w:rsidR="00E62798" w:rsidRPr="00E62798">
          <w:rPr>
            <w:noProof/>
            <w:vertAlign w:val="superscript"/>
            <w:lang w:val="en-GB" w:eastAsia="en-GB"/>
          </w:rPr>
          <w:t>176</w:t>
        </w:r>
        <w:r w:rsidR="00E62798">
          <w:rPr>
            <w:lang w:val="en-GB" w:eastAsia="en-GB"/>
          </w:rPr>
          <w:fldChar w:fldCharType="end"/>
        </w:r>
      </w:hyperlink>
      <w:r>
        <w:rPr>
          <w:lang w:val="en-GB" w:eastAsia="en-GB"/>
        </w:rPr>
        <w:t xml:space="preserve"> assessed the median volume of perioperative allogeneic RBC transfused in 309 paediatric patients scheduled for open heart surgery with CPB and reported a significant effect favouring cell salvage (1.5 v</w:t>
      </w:r>
      <w:r w:rsidR="003F341F">
        <w:rPr>
          <w:lang w:val="en-GB" w:eastAsia="en-GB"/>
        </w:rPr>
        <w:t>ersus</w:t>
      </w:r>
      <w:r>
        <w:rPr>
          <w:lang w:val="en-GB" w:eastAsia="en-GB"/>
        </w:rPr>
        <w:t xml:space="preserve"> 2.5, </w:t>
      </w:r>
      <w:r w:rsidR="00333C23">
        <w:rPr>
          <w:lang w:val="en-GB" w:eastAsia="en-GB"/>
        </w:rPr>
        <w:t>p</w:t>
      </w:r>
      <w:r>
        <w:rPr>
          <w:lang w:val="en-GB" w:eastAsia="en-GB"/>
        </w:rPr>
        <w:t>=0.000).</w:t>
      </w:r>
    </w:p>
    <w:p w14:paraId="6810356D" w14:textId="7DEE2DD6" w:rsidR="00175B8E" w:rsidRPr="005A5A05" w:rsidRDefault="00175B8E" w:rsidP="00397071">
      <w:pPr>
        <w:pStyle w:val="BoxHeading"/>
        <w:rPr>
          <w:lang w:val="en-AU"/>
        </w:rPr>
      </w:pPr>
      <w:r>
        <w:t>Clinical commentary</w:t>
      </w:r>
      <w:r w:rsidR="005A5A05">
        <w:rPr>
          <w:lang w:val="en-AU"/>
        </w:rPr>
        <w:t xml:space="preserve"> – intraoperative cell salvage</w:t>
      </w:r>
      <w:r w:rsidR="004828DA">
        <w:rPr>
          <w:lang w:val="en-AU"/>
        </w:rPr>
        <w:t xml:space="preserve"> </w:t>
      </w:r>
      <w:r w:rsidR="005A5A05">
        <w:rPr>
          <w:lang w:val="en-AU"/>
        </w:rPr>
        <w:t>in n</w:t>
      </w:r>
      <w:r w:rsidR="005A5A05" w:rsidRPr="00EA4E11">
        <w:rPr>
          <w:rFonts w:cs="Tahoma"/>
          <w:szCs w:val="21"/>
        </w:rPr>
        <w:t xml:space="preserve">eonatal </w:t>
      </w:r>
      <w:r w:rsidR="005A5A05">
        <w:rPr>
          <w:rFonts w:cs="Tahoma"/>
          <w:szCs w:val="21"/>
        </w:rPr>
        <w:t xml:space="preserve">and paediatric </w:t>
      </w:r>
      <w:r w:rsidR="005A5A05" w:rsidRPr="00EA4E11">
        <w:rPr>
          <w:rFonts w:cs="Tahoma"/>
          <w:szCs w:val="21"/>
        </w:rPr>
        <w:t>patients</w:t>
      </w:r>
      <w:r w:rsidR="005A5A05">
        <w:rPr>
          <w:rFonts w:cs="Tahoma"/>
          <w:szCs w:val="21"/>
        </w:rPr>
        <w:t xml:space="preserve"> undergoing surgery</w:t>
      </w:r>
    </w:p>
    <w:p w14:paraId="50DE87D0" w14:textId="350B085A" w:rsidR="00175B8E" w:rsidRDefault="00175B8E" w:rsidP="00397071">
      <w:pPr>
        <w:pStyle w:val="BoxText"/>
      </w:pPr>
      <w:r>
        <w:t>Limited evidence in paediatric cardiac surgical patients undergoing CPB suggests a reduction in RBC transfusion incidence</w:t>
      </w:r>
      <w:r w:rsidR="00B60DBE">
        <w:t xml:space="preserve"> and</w:t>
      </w:r>
      <w:r>
        <w:t xml:space="preserve"> coagulant product administration</w:t>
      </w:r>
      <w:r w:rsidR="00B60DBE">
        <w:t>,</w:t>
      </w:r>
      <w:r>
        <w:t xml:space="preserve"> and fewer donor exposures in the first 48 hours in the cell salvage group. Further studies are required before the routine use of this technique could be advised</w:t>
      </w:r>
      <w:r w:rsidR="00B60DBE">
        <w:t xml:space="preserve"> (see </w:t>
      </w:r>
      <w:r>
        <w:t xml:space="preserve">R15 and PP13 </w:t>
      </w:r>
      <w:r w:rsidR="004E09B3">
        <w:t>in Module 2 (</w:t>
      </w:r>
      <w:r w:rsidR="004E09B3" w:rsidRPr="003F341F">
        <w:rPr>
          <w:i/>
        </w:rPr>
        <w:t>Perioperative</w:t>
      </w:r>
      <w:r w:rsidR="004E09B3">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r w:rsidR="004E09B3">
        <w:t>).</w:t>
      </w:r>
    </w:p>
    <w:p w14:paraId="040D2203" w14:textId="0DE30A2F" w:rsidR="00175B8E" w:rsidRPr="00B60DBE" w:rsidRDefault="00B60DBE" w:rsidP="00B60DBE">
      <w:pPr>
        <w:pStyle w:val="Heading3"/>
        <w:rPr>
          <w:lang w:val="en-AU"/>
        </w:rPr>
      </w:pPr>
      <w:bookmarkStart w:id="174" w:name="_Toc427851361"/>
      <w:r>
        <w:rPr>
          <w:lang w:val="en-AU"/>
        </w:rPr>
        <w:t>3.5.7</w:t>
      </w:r>
      <w:r>
        <w:rPr>
          <w:lang w:val="en-AU"/>
        </w:rPr>
        <w:tab/>
        <w:t>N</w:t>
      </w:r>
      <w:r w:rsidRPr="00EA4E11">
        <w:rPr>
          <w:rFonts w:cs="Tahoma"/>
          <w:szCs w:val="21"/>
          <w:lang w:val="en-GB" w:eastAsia="en-GB"/>
        </w:rPr>
        <w:t xml:space="preserve">eonatal </w:t>
      </w:r>
      <w:r>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undergoing surgery</w:t>
      </w:r>
      <w:r>
        <w:t xml:space="preserve"> </w:t>
      </w:r>
      <w:r w:rsidR="006D763D">
        <w:rPr>
          <w:lang w:val="en-AU"/>
        </w:rPr>
        <w:t xml:space="preserve">– effects of </w:t>
      </w:r>
      <w:r w:rsidR="006D763D">
        <w:t>viscoelastometric</w:t>
      </w:r>
      <w:r w:rsidR="00175B8E">
        <w:t xml:space="preserve"> </w:t>
      </w:r>
      <w:r w:rsidR="00333C23">
        <w:rPr>
          <w:lang w:val="en-AU"/>
        </w:rPr>
        <w:t>POC</w:t>
      </w:r>
      <w:r w:rsidR="00175B8E">
        <w:t xml:space="preserve"> testing</w:t>
      </w:r>
      <w:r>
        <w:rPr>
          <w:lang w:val="en-AU"/>
        </w:rPr>
        <w:t xml:space="preserve"> on outcomes</w:t>
      </w:r>
      <w:bookmarkEnd w:id="174"/>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601"/>
        <w:gridCol w:w="810"/>
        <w:gridCol w:w="809"/>
        <w:gridCol w:w="809"/>
        <w:gridCol w:w="809"/>
        <w:gridCol w:w="810"/>
      </w:tblGrid>
      <w:tr w:rsidR="00175B8E" w14:paraId="2D82DFB8"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06DE92B4" w14:textId="4BA0B343" w:rsidR="00175B8E" w:rsidRDefault="00175B8E" w:rsidP="0007284D">
            <w:pPr>
              <w:pStyle w:val="PP-heading"/>
              <w:spacing w:line="276" w:lineRule="auto"/>
              <w:rPr>
                <w:lang w:val="en-US" w:eastAsia="en-US"/>
              </w:rPr>
            </w:pPr>
            <w:r>
              <w:rPr>
                <w:lang w:val="en-US" w:eastAsia="en-US"/>
              </w:rPr>
              <w:t xml:space="preserve">Evidence statements – </w:t>
            </w:r>
            <w:r w:rsidR="0007284D">
              <w:rPr>
                <w:lang w:val="en-US" w:eastAsia="en-US"/>
              </w:rPr>
              <w:t>surgical (</w:t>
            </w:r>
            <w:r>
              <w:rPr>
                <w:lang w:val="en-US" w:eastAsia="en-US"/>
              </w:rPr>
              <w:t xml:space="preserve">viscoelastometric </w:t>
            </w:r>
            <w:r w:rsidR="0007284D">
              <w:rPr>
                <w:lang w:val="en-US" w:eastAsia="en-US"/>
              </w:rPr>
              <w:t>POC</w:t>
            </w:r>
            <w:r>
              <w:rPr>
                <w:lang w:val="en-US" w:eastAsia="en-US"/>
              </w:rPr>
              <w:t xml:space="preserve"> testing</w:t>
            </w:r>
            <w:r w:rsidR="0007284D">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3AEAD0E"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F31A542"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E9DD781"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8613385"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4027658"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3E481760"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10CD4FD7" w14:textId="77777777" w:rsidR="00175B8E" w:rsidRDefault="00175B8E" w:rsidP="00175B8E">
            <w:pPr>
              <w:pStyle w:val="Tabletextnoindent"/>
              <w:numPr>
                <w:ilvl w:val="0"/>
                <w:numId w:val="0"/>
              </w:numPr>
              <w:spacing w:line="276" w:lineRule="auto"/>
              <w:rPr>
                <w:lang w:val="en-US" w:eastAsia="en-US"/>
              </w:rPr>
            </w:pPr>
            <w:r w:rsidRPr="00D56CD9">
              <w:t>ES4.19</w:t>
            </w:r>
          </w:p>
        </w:tc>
        <w:tc>
          <w:tcPr>
            <w:tcW w:w="3601" w:type="dxa"/>
            <w:tcBorders>
              <w:top w:val="single" w:sz="4" w:space="0" w:color="000000"/>
              <w:left w:val="single" w:sz="4" w:space="0" w:color="000000"/>
              <w:bottom w:val="single" w:sz="4" w:space="0" w:color="000000"/>
              <w:right w:val="single" w:sz="4" w:space="0" w:color="000000"/>
            </w:tcBorders>
            <w:hideMark/>
          </w:tcPr>
          <w:p w14:paraId="2F7CB536"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surgery, the effect of viscoelastometric POC testing compared with no viscoelastometric POC testing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5E40A4BE"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70FCFBD7"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45659BF"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6FBDCAED"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5F1EDE6E"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0FAB0DD"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EB5898D" w14:textId="77777777" w:rsidR="00175B8E" w:rsidRDefault="00175B8E" w:rsidP="00175B8E">
            <w:pPr>
              <w:pStyle w:val="Tabletextnoindent"/>
              <w:numPr>
                <w:ilvl w:val="0"/>
                <w:numId w:val="0"/>
              </w:numPr>
              <w:spacing w:line="276" w:lineRule="auto"/>
              <w:rPr>
                <w:lang w:val="en-US" w:eastAsia="en-US"/>
              </w:rPr>
            </w:pPr>
            <w:r w:rsidRPr="00D56CD9">
              <w:t>ES4.20</w:t>
            </w:r>
          </w:p>
        </w:tc>
        <w:tc>
          <w:tcPr>
            <w:tcW w:w="3601" w:type="dxa"/>
            <w:tcBorders>
              <w:top w:val="single" w:sz="4" w:space="0" w:color="000000"/>
              <w:left w:val="single" w:sz="4" w:space="0" w:color="000000"/>
              <w:bottom w:val="single" w:sz="4" w:space="0" w:color="000000"/>
              <w:right w:val="single" w:sz="4" w:space="0" w:color="000000"/>
            </w:tcBorders>
            <w:hideMark/>
          </w:tcPr>
          <w:p w14:paraId="456AD198"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surgery, the effect of viscoelastometric POC testing compared with no viscoelastometric POC testing on transfusion volume or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2DF7994C"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EC0D3BA"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6873541"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C12B84F"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5535834B" w14:textId="77777777" w:rsidR="00175B8E" w:rsidRDefault="00175B8E" w:rsidP="00175B8E">
            <w:pPr>
              <w:pStyle w:val="T-ABCD"/>
              <w:spacing w:line="276" w:lineRule="auto"/>
              <w:rPr>
                <w:lang w:val="en-US" w:eastAsia="en-US"/>
              </w:rPr>
            </w:pPr>
            <w:r>
              <w:rPr>
                <w:lang w:val="en-US" w:eastAsia="en-US"/>
              </w:rPr>
              <w:t xml:space="preserve">NA </w:t>
            </w:r>
          </w:p>
        </w:tc>
      </w:tr>
      <w:tr w:rsidR="00175B8E" w14:paraId="36EA67F9"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2C5FAEE1" w14:textId="77777777" w:rsidR="00175B8E" w:rsidRDefault="00175B8E" w:rsidP="00175B8E">
            <w:pPr>
              <w:pStyle w:val="Tabletextnoindent"/>
              <w:numPr>
                <w:ilvl w:val="0"/>
                <w:numId w:val="0"/>
              </w:numPr>
              <w:spacing w:line="276" w:lineRule="auto"/>
              <w:rPr>
                <w:lang w:val="en-US" w:eastAsia="en-US"/>
              </w:rPr>
            </w:pPr>
            <w:r w:rsidRPr="00D56CD9">
              <w:t>ES4.21</w:t>
            </w:r>
          </w:p>
        </w:tc>
        <w:tc>
          <w:tcPr>
            <w:tcW w:w="3601" w:type="dxa"/>
            <w:tcBorders>
              <w:top w:val="single" w:sz="4" w:space="0" w:color="000000"/>
              <w:left w:val="single" w:sz="4" w:space="0" w:color="000000"/>
              <w:bottom w:val="single" w:sz="4" w:space="0" w:color="000000"/>
              <w:right w:val="single" w:sz="4" w:space="0" w:color="000000"/>
            </w:tcBorders>
            <w:hideMark/>
          </w:tcPr>
          <w:p w14:paraId="6DC4C81A"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surgery, the effect of viscoelastometric POC testing compared with no viscoelastometric POC testing on bleeding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313D7509"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DBFA59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C3FC0EE"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4D96413"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72E0D8CF"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9A3F684"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59A38F27" w14:textId="77777777" w:rsidR="00175B8E" w:rsidRDefault="00175B8E" w:rsidP="00175B8E">
            <w:pPr>
              <w:pStyle w:val="ES-notes"/>
              <w:spacing w:line="276" w:lineRule="auto"/>
              <w:rPr>
                <w:rFonts w:eastAsiaTheme="minorHAnsi"/>
                <w:lang w:val="en-US" w:eastAsia="en-US"/>
              </w:rPr>
            </w:pPr>
            <w:r>
              <w:rPr>
                <w:lang w:val="en-US" w:eastAsia="en-US"/>
              </w:rPr>
              <w:t>ES, evidence statement; POC, point of care</w:t>
            </w:r>
          </w:p>
          <w:p w14:paraId="72B7A0E2"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7234D588" w14:textId="77777777" w:rsidR="00175B8E" w:rsidRDefault="00175B8E" w:rsidP="00175B8E"/>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135"/>
        <w:gridCol w:w="7513"/>
      </w:tblGrid>
      <w:tr w:rsidR="00175B8E" w14:paraId="7E9DF813"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6FF0A95B" w14:textId="55B22C62" w:rsidR="00175B8E" w:rsidRDefault="000E35F6" w:rsidP="00175B8E">
            <w:pPr>
              <w:pStyle w:val="PP-heading"/>
              <w:spacing w:line="276" w:lineRule="auto"/>
              <w:rPr>
                <w:lang w:val="en-US" w:eastAsia="en-US"/>
              </w:rPr>
            </w:pPr>
            <w:r>
              <w:rPr>
                <w:lang w:val="en-US" w:eastAsia="en-US"/>
              </w:rPr>
              <w:t>Practice point</w:t>
            </w:r>
            <w:r w:rsidR="00175B8E">
              <w:rPr>
                <w:lang w:val="en-US" w:eastAsia="en-US"/>
              </w:rPr>
              <w:t xml:space="preserve"> – </w:t>
            </w:r>
            <w:r w:rsidR="0007284D">
              <w:rPr>
                <w:lang w:val="en-US" w:eastAsia="en-US"/>
              </w:rPr>
              <w:t>surgical (viscoelastometric POC testing)</w:t>
            </w:r>
          </w:p>
        </w:tc>
      </w:tr>
      <w:tr w:rsidR="00175B8E" w14:paraId="5ED65ADF"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0D42E006" w14:textId="77777777" w:rsidR="00175B8E" w:rsidRDefault="00175B8E" w:rsidP="00B60DBE">
            <w:pPr>
              <w:pStyle w:val="PP"/>
            </w:pPr>
            <w:r>
              <w:t>PP36</w:t>
            </w:r>
          </w:p>
        </w:tc>
        <w:tc>
          <w:tcPr>
            <w:tcW w:w="7513" w:type="dxa"/>
            <w:tcBorders>
              <w:top w:val="single" w:sz="4" w:space="0" w:color="000000"/>
              <w:left w:val="single" w:sz="4" w:space="0" w:color="auto"/>
              <w:bottom w:val="single" w:sz="4" w:space="0" w:color="000000"/>
              <w:right w:val="single" w:sz="4" w:space="0" w:color="000000"/>
            </w:tcBorders>
            <w:hideMark/>
          </w:tcPr>
          <w:p w14:paraId="5999080A" w14:textId="5A0A5862" w:rsidR="00175B8E" w:rsidRDefault="00175B8E" w:rsidP="00333C23">
            <w:pPr>
              <w:pStyle w:val="PP"/>
            </w:pPr>
            <w:r>
              <w:t>In paediatric patients undergoing cardiac surgery with</w:t>
            </w:r>
            <w:r w:rsidR="00333C23">
              <w:rPr>
                <w:lang w:val="en-AU"/>
              </w:rPr>
              <w:t xml:space="preserve"> CPB</w:t>
            </w:r>
            <w:r>
              <w:t>, viscoelastometric POC testing may be considered.</w:t>
            </w:r>
          </w:p>
        </w:tc>
      </w:tr>
      <w:tr w:rsidR="00175B8E" w14:paraId="37E982D0"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606904C9" w14:textId="16900B5F" w:rsidR="00175B8E" w:rsidRDefault="00333C23" w:rsidP="00B60DBE">
            <w:pPr>
              <w:pStyle w:val="PP-note"/>
              <w:rPr>
                <w:lang w:val="en-US" w:eastAsia="en-US"/>
              </w:rPr>
            </w:pPr>
            <w:r>
              <w:rPr>
                <w:lang w:val="en-US" w:eastAsia="en-US"/>
              </w:rPr>
              <w:t xml:space="preserve">CPB, </w:t>
            </w:r>
            <w:r>
              <w:t>cardiopulmonary bypass</w:t>
            </w:r>
            <w:r>
              <w:rPr>
                <w:lang w:val="en-US" w:eastAsia="en-US"/>
              </w:rPr>
              <w:t xml:space="preserve">; </w:t>
            </w:r>
            <w:r w:rsidR="00175B8E">
              <w:rPr>
                <w:lang w:val="en-US" w:eastAsia="en-US"/>
              </w:rPr>
              <w:t>POC, point of care; PP, practice point</w:t>
            </w:r>
          </w:p>
        </w:tc>
      </w:tr>
    </w:tbl>
    <w:p w14:paraId="144C3FB4" w14:textId="77777777" w:rsidR="00175B8E" w:rsidRDefault="00175B8E" w:rsidP="00B60DBE"/>
    <w:p w14:paraId="4C34A392" w14:textId="77777777" w:rsidR="00175B8E" w:rsidRDefault="00175B8E" w:rsidP="00B60DBE">
      <w:pPr>
        <w:pStyle w:val="Heading4"/>
      </w:pPr>
      <w:r>
        <w:t>Background</w:t>
      </w:r>
    </w:p>
    <w:p w14:paraId="1A74074F" w14:textId="65BFEE7C" w:rsidR="00175B8E" w:rsidRPr="00616D43" w:rsidRDefault="00175B8E" w:rsidP="00B60DBE">
      <w:r w:rsidRPr="00616D43">
        <w:t xml:space="preserve">Viscoelastometric </w:t>
      </w:r>
      <w:r w:rsidR="00B60DBE">
        <w:t>POC</w:t>
      </w:r>
      <w:r w:rsidRPr="00616D43">
        <w:t xml:space="preserve"> testing includes thromboelastography (TEG) and rotational thromboelastometry (ROTEM). </w:t>
      </w:r>
      <w:r>
        <w:t>These</w:t>
      </w:r>
      <w:r w:rsidR="00B60DBE">
        <w:t xml:space="preserve"> tests</w:t>
      </w:r>
      <w:r>
        <w:t xml:space="preserve"> measure clot development, stabilisation and dissolution (fibrinolysis), which reflect in vivo haemostasis. </w:t>
      </w:r>
      <w:r w:rsidRPr="00616D43">
        <w:t xml:space="preserve">In </w:t>
      </w:r>
      <w:r>
        <w:t xml:space="preserve">paediatric </w:t>
      </w:r>
      <w:r w:rsidRPr="00616D43">
        <w:t>patients</w:t>
      </w:r>
      <w:r>
        <w:t xml:space="preserve"> </w:t>
      </w:r>
      <w:r w:rsidR="001944D9">
        <w:t>undergoing</w:t>
      </w:r>
      <w:r>
        <w:t xml:space="preserve"> surgery</w:t>
      </w:r>
      <w:r w:rsidRPr="00616D43">
        <w:t xml:space="preserve">, </w:t>
      </w:r>
      <w:r>
        <w:t>these techniques</w:t>
      </w:r>
      <w:r w:rsidRPr="00616D43">
        <w:t xml:space="preserve"> </w:t>
      </w:r>
      <w:r>
        <w:t>offer improvements over traditional laboratory testing</w:t>
      </w:r>
      <w:r w:rsidRPr="00616D43">
        <w:t xml:space="preserve"> </w:t>
      </w:r>
      <w:r>
        <w:t>in the assessment</w:t>
      </w:r>
      <w:r w:rsidRPr="00616D43">
        <w:t xml:space="preserve"> of </w:t>
      </w:r>
      <w:r>
        <w:t>bleeding patients.</w:t>
      </w:r>
      <w:r w:rsidRPr="00616D43">
        <w:t xml:space="preserve"> </w:t>
      </w:r>
    </w:p>
    <w:p w14:paraId="7049316C" w14:textId="77777777" w:rsidR="00175B8E" w:rsidRDefault="00175B8E" w:rsidP="00B60DBE">
      <w:pPr>
        <w:pStyle w:val="Heading4"/>
      </w:pPr>
      <w:r>
        <w:t>Summary of evidence</w:t>
      </w:r>
    </w:p>
    <w:p w14:paraId="42F9E044" w14:textId="77777777" w:rsidR="00175B8E" w:rsidRDefault="00175B8E" w:rsidP="00B60DBE">
      <w:r>
        <w:t>This review identified no eligible studies.</w:t>
      </w:r>
    </w:p>
    <w:p w14:paraId="071D5711" w14:textId="59ED8F5B" w:rsidR="00175B8E" w:rsidRPr="00B60DBE" w:rsidRDefault="00175B8E" w:rsidP="00397071">
      <w:pPr>
        <w:pStyle w:val="BoxHeading"/>
        <w:keepLines/>
        <w:ind w:left="805" w:right="57"/>
        <w:rPr>
          <w:lang w:val="en-AU"/>
        </w:rPr>
      </w:pPr>
      <w:r>
        <w:t>Clinical commentary</w:t>
      </w:r>
      <w:r w:rsidR="00B60DBE">
        <w:rPr>
          <w:lang w:val="en-AU"/>
        </w:rPr>
        <w:t xml:space="preserve"> – v</w:t>
      </w:r>
      <w:r w:rsidR="00B60DBE">
        <w:t xml:space="preserve">iscoelastometric </w:t>
      </w:r>
      <w:r w:rsidR="00437696">
        <w:rPr>
          <w:lang w:val="en-AU"/>
        </w:rPr>
        <w:t>POC</w:t>
      </w:r>
      <w:r w:rsidR="00B60DBE">
        <w:t xml:space="preserve"> testing</w:t>
      </w:r>
      <w:r w:rsidR="00B60DBE" w:rsidRPr="00B60DBE">
        <w:rPr>
          <w:lang w:val="en-AU"/>
        </w:rPr>
        <w:t xml:space="preserve"> </w:t>
      </w:r>
      <w:r w:rsidR="00B60DBE">
        <w:rPr>
          <w:lang w:val="en-AU"/>
        </w:rPr>
        <w:t>in n</w:t>
      </w:r>
      <w:r w:rsidR="00B60DBE" w:rsidRPr="00EA4E11">
        <w:rPr>
          <w:rFonts w:cs="Tahoma"/>
          <w:szCs w:val="21"/>
          <w:lang w:val="en-GB"/>
        </w:rPr>
        <w:t xml:space="preserve">eonatal </w:t>
      </w:r>
      <w:r w:rsidR="00B60DBE">
        <w:rPr>
          <w:rFonts w:cs="Tahoma"/>
          <w:szCs w:val="21"/>
          <w:lang w:val="en-GB"/>
        </w:rPr>
        <w:t xml:space="preserve">and paediatric </w:t>
      </w:r>
      <w:r w:rsidR="00B60DBE" w:rsidRPr="00EA4E11">
        <w:rPr>
          <w:rFonts w:cs="Tahoma"/>
          <w:szCs w:val="21"/>
          <w:lang w:val="en-GB"/>
        </w:rPr>
        <w:t>patients</w:t>
      </w:r>
      <w:r w:rsidR="00B60DBE">
        <w:rPr>
          <w:rFonts w:cs="Tahoma"/>
          <w:szCs w:val="21"/>
          <w:lang w:val="en-GB"/>
        </w:rPr>
        <w:t xml:space="preserve"> undergoing surgery</w:t>
      </w:r>
    </w:p>
    <w:p w14:paraId="0BA1C9CC" w14:textId="4B37B346" w:rsidR="00175B8E" w:rsidRDefault="00175B8E" w:rsidP="00397071">
      <w:pPr>
        <w:pStyle w:val="BoxText"/>
        <w:keepNext/>
        <w:keepLines/>
        <w:ind w:left="805" w:right="57"/>
        <w:rPr>
          <w:lang w:val="en-GB" w:eastAsia="en-GB"/>
        </w:rPr>
      </w:pPr>
      <w:r>
        <w:rPr>
          <w:lang w:val="en-GB" w:eastAsia="en-GB"/>
        </w:rPr>
        <w:t xml:space="preserve">One small RCT that evaluated the use of </w:t>
      </w:r>
      <w:r w:rsidRPr="00616D43">
        <w:t xml:space="preserve">viscoelastometric </w:t>
      </w:r>
      <w:r>
        <w:t>POC testing in paediatric patients undergoing cardiac surgery with CPB was published after the cut-off</w:t>
      </w:r>
      <w:r w:rsidR="00B60DBE">
        <w:t xml:space="preserve"> date of this systematic review.</w:t>
      </w:r>
      <w:hyperlink w:anchor="_ENREF_177" w:tooltip="Nakayama, 2015 #758" w:history="1">
        <w:r w:rsidR="00E62798">
          <w:fldChar w:fldCharType="begin">
            <w:fldData xml:space="preserve">PEVuZE5vdGU+PENpdGU+PEF1dGhvcj5OYWtheWFtYTwvQXV0aG9yPjxZZWFyPjIwMTU8L1llYXI+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</w:fldData>
          </w:fldChar>
        </w:r>
        <w:r w:rsidR="00E62798">
          <w:instrText xml:space="preserve"> ADDIN EN.CITE </w:instrText>
        </w:r>
        <w:r w:rsidR="00E62798">
          <w:fldChar w:fldCharType="begin">
            <w:fldData xml:space="preserve">PEVuZE5vdGU+PENpdGU+PEF1dGhvcj5OYWtheWFtYTwvQXV0aG9yPjxZZWFyPjIwMTU8L1llYXI+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177</w:t>
        </w:r>
        <w:r w:rsidR="00E62798">
          <w:fldChar w:fldCharType="end"/>
        </w:r>
      </w:hyperlink>
      <w:r w:rsidR="00B60DBE">
        <w:t xml:space="preserve"> </w:t>
      </w:r>
      <w:r>
        <w:t xml:space="preserve">The study demonstrated a reduction in postoperative transfusion requirements with algorithm-guided blood product management that included </w:t>
      </w:r>
      <w:r w:rsidRPr="00616D43">
        <w:t xml:space="preserve">viscoelastometric </w:t>
      </w:r>
      <w:r>
        <w:t>POC testing.</w:t>
      </w:r>
      <w:r w:rsidRPr="00845565">
        <w:rPr>
          <w:lang w:val="en-GB" w:eastAsia="en-GB"/>
        </w:rPr>
        <w:t xml:space="preserve"> </w:t>
      </w:r>
      <w:r>
        <w:rPr>
          <w:lang w:val="en-GB" w:eastAsia="en-GB"/>
        </w:rPr>
        <w:t>Further studies are required to clarify the role of this technology.</w:t>
      </w:r>
    </w:p>
    <w:p w14:paraId="58C74770" w14:textId="2BA05869" w:rsidR="00175B8E" w:rsidRPr="007F5653" w:rsidRDefault="00B60DBE" w:rsidP="00B60DBE">
      <w:pPr>
        <w:pStyle w:val="Heading3"/>
      </w:pPr>
      <w:bookmarkStart w:id="175" w:name="_Toc427851362"/>
      <w:r>
        <w:rPr>
          <w:lang w:val="en-AU"/>
        </w:rPr>
        <w:t>3.5.8</w:t>
      </w:r>
      <w:r>
        <w:rPr>
          <w:lang w:val="en-AU"/>
        </w:rPr>
        <w:tab/>
        <w:t>N</w:t>
      </w:r>
      <w:r w:rsidRPr="00EA4E11">
        <w:rPr>
          <w:rFonts w:cs="Tahoma"/>
          <w:szCs w:val="21"/>
          <w:lang w:val="en-GB" w:eastAsia="en-GB"/>
        </w:rPr>
        <w:t xml:space="preserve">eonatal </w:t>
      </w:r>
      <w:r>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undergoing surgery</w:t>
      </w:r>
      <w:r>
        <w:t xml:space="preserve"> </w:t>
      </w:r>
      <w:r>
        <w:rPr>
          <w:lang w:val="en-AU"/>
        </w:rPr>
        <w:t xml:space="preserve">– effects of </w:t>
      </w:r>
      <w:r>
        <w:t>antifibrinolytics on outcomes</w:t>
      </w:r>
      <w:bookmarkEnd w:id="175"/>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601"/>
        <w:gridCol w:w="810"/>
        <w:gridCol w:w="809"/>
        <w:gridCol w:w="809"/>
        <w:gridCol w:w="809"/>
        <w:gridCol w:w="810"/>
      </w:tblGrid>
      <w:tr w:rsidR="00175B8E" w14:paraId="295C0E50"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700C7398" w14:textId="3439562D" w:rsidR="00175B8E" w:rsidRDefault="00175B8E" w:rsidP="00175B8E">
            <w:pPr>
              <w:pStyle w:val="PP-heading"/>
              <w:spacing w:line="276" w:lineRule="auto"/>
              <w:rPr>
                <w:lang w:val="en-US" w:eastAsia="en-US"/>
              </w:rPr>
            </w:pPr>
            <w:r>
              <w:rPr>
                <w:lang w:val="en-US" w:eastAsia="en-US"/>
              </w:rPr>
              <w:t xml:space="preserve">Evidence statements – </w:t>
            </w:r>
            <w:r w:rsidR="0007284D">
              <w:rPr>
                <w:lang w:val="en-US" w:eastAsia="en-US"/>
              </w:rPr>
              <w:t>surgical (</w:t>
            </w:r>
            <w:r>
              <w:rPr>
                <w:lang w:val="en-US" w:eastAsia="en-US"/>
              </w:rPr>
              <w:t>antifibrinolytics</w:t>
            </w:r>
            <w:r w:rsidR="0007284D">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28BB7B3E"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B73B817"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16A1788"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E1599B1"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5DB5FA9C"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7AFA641F"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B9DCC28" w14:textId="77777777" w:rsidR="00175B8E" w:rsidRDefault="00175B8E" w:rsidP="00397071">
            <w:pPr>
              <w:pStyle w:val="Tabletextnoindent"/>
              <w:keepNext w:val="0"/>
              <w:numPr>
                <w:ilvl w:val="0"/>
                <w:numId w:val="0"/>
              </w:numPr>
              <w:spacing w:line="276" w:lineRule="auto"/>
              <w:rPr>
                <w:lang w:val="en-US" w:eastAsia="en-US"/>
              </w:rPr>
            </w:pPr>
            <w:r w:rsidRPr="00B302A7">
              <w:t>ES4.22</w:t>
            </w:r>
          </w:p>
        </w:tc>
        <w:tc>
          <w:tcPr>
            <w:tcW w:w="3601" w:type="dxa"/>
            <w:tcBorders>
              <w:top w:val="single" w:sz="4" w:space="0" w:color="000000"/>
              <w:left w:val="single" w:sz="4" w:space="0" w:color="000000"/>
              <w:bottom w:val="single" w:sz="4" w:space="0" w:color="000000"/>
              <w:right w:val="single" w:sz="4" w:space="0" w:color="000000"/>
            </w:tcBorders>
            <w:hideMark/>
          </w:tcPr>
          <w:p w14:paraId="7FAE041A" w14:textId="77777777" w:rsidR="00175B8E" w:rsidRDefault="00175B8E" w:rsidP="00397071">
            <w:pPr>
              <w:pStyle w:val="ES-table"/>
              <w:keepNext w:val="0"/>
              <w:spacing w:line="276" w:lineRule="auto"/>
              <w:rPr>
                <w:rFonts w:eastAsia="Arial Unicode MS" w:cs="Arial"/>
                <w:color w:val="auto"/>
                <w:lang w:val="en-US" w:eastAsia="ja-JP"/>
              </w:rPr>
            </w:pPr>
            <w:r>
              <w:rPr>
                <w:lang w:val="en-US" w:eastAsia="en-US"/>
              </w:rPr>
              <w:t>In paediatric patients undergoing surgery, the effect of antifibrinolytics compared with no antifibrinolytics on mortality is uncertain.</w:t>
            </w:r>
          </w:p>
          <w:p w14:paraId="51E05706" w14:textId="77777777" w:rsidR="00175B8E" w:rsidRDefault="00175B8E" w:rsidP="00397071">
            <w:pPr>
              <w:pStyle w:val="ES-notes"/>
              <w:keepNext w:val="0"/>
              <w:spacing w:line="276" w:lineRule="auto"/>
              <w:rPr>
                <w:lang w:val="en-US" w:eastAsia="en-US"/>
              </w:rPr>
            </w:pPr>
            <w:r>
              <w:rPr>
                <w:lang w:val="en-US" w:eastAsia="en-US"/>
              </w:rPr>
              <w:t>(See evidence matrix D4.L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26776B81"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4E640409"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6DFBB4BE" w14:textId="77777777" w:rsidR="00175B8E" w:rsidRDefault="00175B8E" w:rsidP="00397071">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6C51D74E"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1ABDB5F6" w14:textId="77777777" w:rsidR="00175B8E" w:rsidRDefault="00175B8E" w:rsidP="00397071">
            <w:pPr>
              <w:pStyle w:val="T-ABCD"/>
              <w:spacing w:line="276" w:lineRule="auto"/>
              <w:rPr>
                <w:lang w:val="en-US" w:eastAsia="en-US"/>
              </w:rPr>
            </w:pPr>
            <w:r>
              <w:rPr>
                <w:lang w:val="en-US" w:eastAsia="en-US"/>
              </w:rPr>
              <w:sym w:font="Symbol" w:char="F0D6"/>
            </w:r>
          </w:p>
        </w:tc>
      </w:tr>
      <w:tr w:rsidR="00175B8E" w14:paraId="17EB8926"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72DFFD95" w14:textId="77777777" w:rsidR="00175B8E" w:rsidRDefault="00175B8E" w:rsidP="00397071">
            <w:pPr>
              <w:pStyle w:val="Tabletextnoindent"/>
              <w:keepNext w:val="0"/>
              <w:numPr>
                <w:ilvl w:val="0"/>
                <w:numId w:val="0"/>
              </w:numPr>
              <w:spacing w:line="276" w:lineRule="auto"/>
              <w:rPr>
                <w:lang w:val="en-US" w:eastAsia="en-US"/>
              </w:rPr>
            </w:pPr>
            <w:r w:rsidRPr="00B302A7">
              <w:t>ES4.23</w:t>
            </w:r>
          </w:p>
        </w:tc>
        <w:tc>
          <w:tcPr>
            <w:tcW w:w="3601" w:type="dxa"/>
            <w:tcBorders>
              <w:top w:val="single" w:sz="4" w:space="0" w:color="000000"/>
              <w:left w:val="single" w:sz="4" w:space="0" w:color="000000"/>
              <w:bottom w:val="single" w:sz="4" w:space="0" w:color="000000"/>
              <w:right w:val="single" w:sz="4" w:space="0" w:color="000000"/>
            </w:tcBorders>
            <w:hideMark/>
          </w:tcPr>
          <w:p w14:paraId="161034F1" w14:textId="77777777" w:rsidR="00175B8E" w:rsidRDefault="00175B8E" w:rsidP="00397071">
            <w:pPr>
              <w:pStyle w:val="ES-table"/>
              <w:keepNext w:val="0"/>
              <w:spacing w:line="276" w:lineRule="auto"/>
              <w:rPr>
                <w:rFonts w:eastAsia="Arial Unicode MS" w:cs="Arial"/>
                <w:color w:val="auto"/>
                <w:lang w:val="en-US" w:eastAsia="ja-JP"/>
              </w:rPr>
            </w:pPr>
            <w:r>
              <w:rPr>
                <w:lang w:val="en-US" w:eastAsia="en-US"/>
              </w:rPr>
              <w:t>In paediatric patients undergoing cardiac surgery, antifibrinolytics compared with no antifibrinolytics reduce transfusion volume and incidence.</w:t>
            </w:r>
          </w:p>
          <w:p w14:paraId="06CBC61D" w14:textId="77777777" w:rsidR="00175B8E" w:rsidRDefault="00175B8E" w:rsidP="00397071">
            <w:pPr>
              <w:pStyle w:val="ES-notes"/>
              <w:keepNext w:val="0"/>
              <w:spacing w:line="276" w:lineRule="auto"/>
              <w:rPr>
                <w:lang w:val="en-US" w:eastAsia="en-US"/>
              </w:rPr>
            </w:pPr>
            <w:r>
              <w:rPr>
                <w:lang w:val="en-US" w:eastAsia="en-US"/>
              </w:rPr>
              <w:t>(See evidence matrix D4.M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527C01BA"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7A5B2970"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1651AAF8" w14:textId="77777777" w:rsidR="00175B8E" w:rsidRDefault="00175B8E" w:rsidP="00397071">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618BA8B"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0DB94728" w14:textId="77777777" w:rsidR="00175B8E" w:rsidRDefault="00175B8E" w:rsidP="00397071">
            <w:pPr>
              <w:pStyle w:val="T-ABCD"/>
              <w:spacing w:line="276" w:lineRule="auto"/>
              <w:rPr>
                <w:lang w:val="en-US" w:eastAsia="en-US"/>
              </w:rPr>
            </w:pPr>
            <w:r>
              <w:rPr>
                <w:lang w:val="en-US" w:eastAsia="en-US"/>
              </w:rPr>
              <w:sym w:font="Symbol" w:char="F0D6"/>
            </w:r>
          </w:p>
        </w:tc>
      </w:tr>
      <w:tr w:rsidR="00175B8E" w14:paraId="78A1CB09"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1F93273" w14:textId="77777777" w:rsidR="00175B8E" w:rsidRDefault="00175B8E" w:rsidP="00397071">
            <w:pPr>
              <w:pStyle w:val="Tabletextnoindent"/>
              <w:keepNext w:val="0"/>
              <w:numPr>
                <w:ilvl w:val="0"/>
                <w:numId w:val="0"/>
              </w:numPr>
              <w:spacing w:line="276" w:lineRule="auto"/>
              <w:rPr>
                <w:lang w:val="en-US" w:eastAsia="en-US"/>
              </w:rPr>
            </w:pPr>
            <w:r w:rsidRPr="00B302A7">
              <w:t>ES4.24</w:t>
            </w:r>
          </w:p>
        </w:tc>
        <w:tc>
          <w:tcPr>
            <w:tcW w:w="3601" w:type="dxa"/>
            <w:tcBorders>
              <w:top w:val="single" w:sz="4" w:space="0" w:color="000000"/>
              <w:left w:val="single" w:sz="4" w:space="0" w:color="000000"/>
              <w:bottom w:val="single" w:sz="4" w:space="0" w:color="000000"/>
              <w:right w:val="single" w:sz="4" w:space="0" w:color="000000"/>
            </w:tcBorders>
            <w:hideMark/>
          </w:tcPr>
          <w:p w14:paraId="10112FBC" w14:textId="77777777" w:rsidR="00175B8E" w:rsidRDefault="00175B8E" w:rsidP="00397071">
            <w:pPr>
              <w:pStyle w:val="ES-table"/>
              <w:keepNext w:val="0"/>
              <w:spacing w:line="276" w:lineRule="auto"/>
              <w:rPr>
                <w:rFonts w:eastAsia="Arial Unicode MS" w:cs="Arial"/>
                <w:color w:val="auto"/>
                <w:lang w:val="en-US" w:eastAsia="ja-JP"/>
              </w:rPr>
            </w:pPr>
            <w:r>
              <w:rPr>
                <w:lang w:val="en-US" w:eastAsia="en-US"/>
              </w:rPr>
              <w:t>In paediatric patients undergoing surgery for scoliosis, antifibrinolytics compared with no antifibrinolytics may reduce transfusion volume.</w:t>
            </w:r>
          </w:p>
          <w:p w14:paraId="7E60FD7C" w14:textId="77777777" w:rsidR="00175B8E" w:rsidRDefault="00175B8E" w:rsidP="00397071">
            <w:pPr>
              <w:pStyle w:val="ES-notes"/>
              <w:keepNext w:val="0"/>
              <w:spacing w:line="276" w:lineRule="auto"/>
              <w:rPr>
                <w:lang w:val="en-US" w:eastAsia="en-US"/>
              </w:rPr>
            </w:pPr>
            <w:r>
              <w:rPr>
                <w:lang w:val="en-US" w:eastAsia="en-US"/>
              </w:rPr>
              <w:t>(See evidence matrix D4.N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9E9751B"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3C3E7EC6"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44925655" w14:textId="77777777" w:rsidR="00175B8E" w:rsidRDefault="00175B8E" w:rsidP="00397071">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3D06E401"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4C65CE22"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198A46D3"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71F70C8E" w14:textId="77777777" w:rsidR="00175B8E" w:rsidRDefault="00175B8E" w:rsidP="00397071">
            <w:pPr>
              <w:pStyle w:val="Tabletextnoindent"/>
              <w:keepNext w:val="0"/>
              <w:numPr>
                <w:ilvl w:val="0"/>
                <w:numId w:val="0"/>
              </w:numPr>
              <w:spacing w:line="276" w:lineRule="auto"/>
              <w:rPr>
                <w:lang w:val="en-US" w:eastAsia="en-US"/>
              </w:rPr>
            </w:pPr>
            <w:r w:rsidRPr="00B302A7">
              <w:t>ES4.25</w:t>
            </w:r>
          </w:p>
        </w:tc>
        <w:tc>
          <w:tcPr>
            <w:tcW w:w="3601" w:type="dxa"/>
            <w:tcBorders>
              <w:top w:val="single" w:sz="4" w:space="0" w:color="000000"/>
              <w:left w:val="single" w:sz="4" w:space="0" w:color="000000"/>
              <w:bottom w:val="single" w:sz="4" w:space="0" w:color="000000"/>
              <w:right w:val="single" w:sz="4" w:space="0" w:color="000000"/>
            </w:tcBorders>
            <w:hideMark/>
          </w:tcPr>
          <w:p w14:paraId="2DA9A031" w14:textId="77777777" w:rsidR="00175B8E" w:rsidRDefault="00175B8E" w:rsidP="00397071">
            <w:pPr>
              <w:pStyle w:val="ES-table"/>
              <w:keepNext w:val="0"/>
              <w:spacing w:line="276" w:lineRule="auto"/>
              <w:rPr>
                <w:rFonts w:eastAsia="Arial Unicode MS" w:cs="Arial"/>
                <w:color w:val="auto"/>
                <w:lang w:val="en-US" w:eastAsia="ja-JP"/>
              </w:rPr>
            </w:pPr>
            <w:r>
              <w:rPr>
                <w:lang w:val="en-US" w:eastAsia="en-US"/>
              </w:rPr>
              <w:t>In paediatric patients undergoing surgery for scoliosis, the effect of antifibrinolytics compared with no antifibrinolytics on transfusion incidence is uncertain.</w:t>
            </w:r>
          </w:p>
          <w:p w14:paraId="5F735456" w14:textId="77777777" w:rsidR="00175B8E" w:rsidRDefault="00175B8E" w:rsidP="00397071">
            <w:pPr>
              <w:pStyle w:val="ES-notes"/>
              <w:keepNext w:val="0"/>
              <w:spacing w:line="276" w:lineRule="auto"/>
              <w:rPr>
                <w:lang w:val="en-US" w:eastAsia="en-US"/>
              </w:rPr>
            </w:pPr>
            <w:r>
              <w:rPr>
                <w:lang w:val="en-US" w:eastAsia="en-US"/>
              </w:rPr>
              <w:t>(See evidence matrix D4.N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6774D98"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09E89EB5"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3C1D3B1A" w14:textId="77777777" w:rsidR="00175B8E" w:rsidRDefault="00175B8E" w:rsidP="00397071">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8713ADF"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3AEC6277" w14:textId="77777777" w:rsidR="00175B8E" w:rsidRDefault="00175B8E" w:rsidP="00397071">
            <w:pPr>
              <w:pStyle w:val="T-ABCD"/>
              <w:spacing w:line="276" w:lineRule="auto"/>
              <w:ind w:left="0"/>
              <w:jc w:val="center"/>
              <w:rPr>
                <w:lang w:val="en-US" w:eastAsia="en-US"/>
              </w:rPr>
            </w:pPr>
            <w:r>
              <w:rPr>
                <w:lang w:val="en-US" w:eastAsia="en-US"/>
              </w:rPr>
              <w:sym w:font="Symbol" w:char="F0D6"/>
            </w:r>
            <w:r>
              <w:rPr>
                <w:lang w:val="en-US" w:eastAsia="en-US"/>
              </w:rPr>
              <w:sym w:font="Symbol" w:char="F0D6"/>
            </w:r>
          </w:p>
        </w:tc>
      </w:tr>
      <w:tr w:rsidR="00175B8E" w14:paraId="12574205"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8CBCD17" w14:textId="77777777" w:rsidR="00175B8E" w:rsidRDefault="00175B8E" w:rsidP="00397071">
            <w:pPr>
              <w:pStyle w:val="Tabletextnoindent"/>
              <w:keepNext w:val="0"/>
              <w:numPr>
                <w:ilvl w:val="0"/>
                <w:numId w:val="0"/>
              </w:numPr>
              <w:spacing w:line="276" w:lineRule="auto"/>
              <w:rPr>
                <w:lang w:val="en-US" w:eastAsia="en-US"/>
              </w:rPr>
            </w:pPr>
            <w:r w:rsidRPr="00B302A7">
              <w:t>ES4.26</w:t>
            </w:r>
          </w:p>
        </w:tc>
        <w:tc>
          <w:tcPr>
            <w:tcW w:w="3601" w:type="dxa"/>
            <w:tcBorders>
              <w:top w:val="single" w:sz="4" w:space="0" w:color="000000"/>
              <w:left w:val="single" w:sz="4" w:space="0" w:color="000000"/>
              <w:bottom w:val="single" w:sz="4" w:space="0" w:color="000000"/>
              <w:right w:val="single" w:sz="4" w:space="0" w:color="000000"/>
            </w:tcBorders>
            <w:hideMark/>
          </w:tcPr>
          <w:p w14:paraId="6D87CD49" w14:textId="77777777" w:rsidR="00175B8E" w:rsidRDefault="00175B8E" w:rsidP="00397071">
            <w:pPr>
              <w:pStyle w:val="ES-table"/>
              <w:keepNext w:val="0"/>
              <w:spacing w:line="276" w:lineRule="auto"/>
              <w:rPr>
                <w:rFonts w:eastAsia="Arial Unicode MS" w:cs="Arial"/>
                <w:color w:val="auto"/>
                <w:lang w:val="en-US" w:eastAsia="ja-JP"/>
              </w:rPr>
            </w:pPr>
            <w:r>
              <w:rPr>
                <w:lang w:val="en-US" w:eastAsia="en-US"/>
              </w:rPr>
              <w:t>In paediatric patients undergoing craniofacial surgery, antifibrinolytics compared with no antifibrinolytics may reduce transfusion volume.</w:t>
            </w:r>
          </w:p>
          <w:p w14:paraId="0DDB52DF" w14:textId="77777777" w:rsidR="00175B8E" w:rsidRDefault="00175B8E" w:rsidP="00397071">
            <w:pPr>
              <w:pStyle w:val="ES-notes"/>
              <w:keepNext w:val="0"/>
              <w:spacing w:line="276" w:lineRule="auto"/>
              <w:rPr>
                <w:lang w:val="en-US" w:eastAsia="en-US"/>
              </w:rPr>
            </w:pPr>
            <w:r>
              <w:rPr>
                <w:lang w:val="en-US" w:eastAsia="en-US"/>
              </w:rPr>
              <w:t>(See evidence matrix D4.O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3206F779"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050BB37"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442B1A27" w14:textId="77777777" w:rsidR="00175B8E" w:rsidRDefault="00175B8E" w:rsidP="00397071">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44971698"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734AA98C" w14:textId="77777777" w:rsidR="00175B8E" w:rsidRDefault="00175B8E" w:rsidP="00397071">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11C8F8A7"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388C6B7F" w14:textId="77777777" w:rsidR="00175B8E" w:rsidRDefault="00175B8E" w:rsidP="00175B8E">
            <w:pPr>
              <w:pStyle w:val="Tabletextnoindent"/>
              <w:keepNext w:val="0"/>
              <w:numPr>
                <w:ilvl w:val="0"/>
                <w:numId w:val="0"/>
              </w:numPr>
              <w:spacing w:line="276" w:lineRule="auto"/>
              <w:rPr>
                <w:lang w:val="en-US" w:eastAsia="en-US"/>
              </w:rPr>
            </w:pPr>
            <w:r w:rsidRPr="00B302A7">
              <w:t>ES4.27</w:t>
            </w:r>
          </w:p>
        </w:tc>
        <w:tc>
          <w:tcPr>
            <w:tcW w:w="3601" w:type="dxa"/>
            <w:tcBorders>
              <w:top w:val="single" w:sz="4" w:space="0" w:color="000000"/>
              <w:left w:val="single" w:sz="4" w:space="0" w:color="000000"/>
              <w:bottom w:val="single" w:sz="4" w:space="0" w:color="000000"/>
              <w:right w:val="single" w:sz="4" w:space="0" w:color="000000"/>
            </w:tcBorders>
            <w:hideMark/>
          </w:tcPr>
          <w:p w14:paraId="7E04AB05" w14:textId="77777777" w:rsidR="00175B8E" w:rsidRDefault="00175B8E" w:rsidP="00175B8E">
            <w:pPr>
              <w:pStyle w:val="ES-table"/>
              <w:keepNext w:val="0"/>
              <w:spacing w:line="276" w:lineRule="auto"/>
              <w:rPr>
                <w:rFonts w:eastAsia="Arial Unicode MS" w:cs="Arial"/>
                <w:color w:val="auto"/>
                <w:lang w:val="en-US" w:eastAsia="ja-JP"/>
              </w:rPr>
            </w:pPr>
            <w:r>
              <w:rPr>
                <w:lang w:val="en-US" w:eastAsia="en-US"/>
              </w:rPr>
              <w:t>In paediatric patients undergoing craniofacial surgery, the effect of antifibrinolytics compared with no antifibrinolytics on transfusion incidence is uncertain.</w:t>
            </w:r>
          </w:p>
          <w:p w14:paraId="1421CE63" w14:textId="77777777" w:rsidR="00175B8E" w:rsidRDefault="00175B8E" w:rsidP="00175B8E">
            <w:pPr>
              <w:pStyle w:val="ES-notes"/>
              <w:keepNext w:val="0"/>
              <w:spacing w:line="276" w:lineRule="auto"/>
              <w:rPr>
                <w:lang w:val="en-US" w:eastAsia="en-US"/>
              </w:rPr>
            </w:pPr>
            <w:r>
              <w:rPr>
                <w:lang w:val="en-US" w:eastAsia="en-US"/>
              </w:rPr>
              <w:t>(See evidence matrix D4.O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FF7714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02C164F2"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04A5B9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FA7F111"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78D801C6"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212A41C3"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5F7CB8C" w14:textId="77777777" w:rsidR="00175B8E" w:rsidRDefault="00175B8E" w:rsidP="00175B8E">
            <w:pPr>
              <w:pStyle w:val="Tabletextnoindent"/>
              <w:keepNext w:val="0"/>
              <w:numPr>
                <w:ilvl w:val="0"/>
                <w:numId w:val="0"/>
              </w:numPr>
              <w:spacing w:line="276" w:lineRule="auto"/>
              <w:rPr>
                <w:lang w:val="en-US" w:eastAsia="en-US"/>
              </w:rPr>
            </w:pPr>
            <w:r w:rsidRPr="00B302A7">
              <w:t>ES4.28</w:t>
            </w:r>
          </w:p>
        </w:tc>
        <w:tc>
          <w:tcPr>
            <w:tcW w:w="3601" w:type="dxa"/>
            <w:tcBorders>
              <w:top w:val="single" w:sz="4" w:space="0" w:color="000000"/>
              <w:left w:val="single" w:sz="4" w:space="0" w:color="000000"/>
              <w:bottom w:val="single" w:sz="4" w:space="0" w:color="000000"/>
              <w:right w:val="single" w:sz="4" w:space="0" w:color="000000"/>
            </w:tcBorders>
            <w:hideMark/>
          </w:tcPr>
          <w:p w14:paraId="6E48B27E" w14:textId="15C6A8C2" w:rsidR="00175B8E" w:rsidRDefault="00175B8E" w:rsidP="00175B8E">
            <w:pPr>
              <w:pStyle w:val="ES-table"/>
              <w:keepNext w:val="0"/>
              <w:spacing w:line="276" w:lineRule="auto"/>
              <w:rPr>
                <w:rFonts w:eastAsia="Arial Unicode MS" w:cs="Arial"/>
                <w:color w:val="auto"/>
                <w:lang w:val="en-US" w:eastAsia="ja-JP"/>
              </w:rPr>
            </w:pPr>
            <w:r>
              <w:rPr>
                <w:lang w:val="en-US" w:eastAsia="en-US"/>
              </w:rPr>
              <w:t xml:space="preserve">In paediatric patients undergoing primary adenoidectomy, the effect of topical </w:t>
            </w:r>
            <w:r w:rsidR="00437696">
              <w:rPr>
                <w:lang w:val="en-US" w:eastAsia="en-US"/>
              </w:rPr>
              <w:t xml:space="preserve">TXA </w:t>
            </w:r>
            <w:r>
              <w:rPr>
                <w:lang w:val="en-US" w:eastAsia="en-US"/>
              </w:rPr>
              <w:t xml:space="preserve">compared with no </w:t>
            </w:r>
            <w:r w:rsidR="00437696">
              <w:rPr>
                <w:lang w:val="en-US" w:eastAsia="en-US"/>
              </w:rPr>
              <w:t>TXA</w:t>
            </w:r>
            <w:r>
              <w:rPr>
                <w:lang w:val="en-US" w:eastAsia="en-US"/>
              </w:rPr>
              <w:t xml:space="preserve"> on transfusion incidence is uncertain.</w:t>
            </w:r>
          </w:p>
          <w:p w14:paraId="75F4768B" w14:textId="77777777" w:rsidR="00175B8E" w:rsidRDefault="00175B8E" w:rsidP="00175B8E">
            <w:pPr>
              <w:pStyle w:val="ES-notes"/>
              <w:keepNext w:val="0"/>
              <w:spacing w:line="276" w:lineRule="auto"/>
              <w:rPr>
                <w:lang w:val="en-US" w:eastAsia="en-US"/>
              </w:rPr>
            </w:pPr>
            <w:r>
              <w:rPr>
                <w:lang w:val="en-US" w:eastAsia="en-US"/>
              </w:rPr>
              <w:t>(See evidence matrix D4.P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3E74AC8E"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1D0C9962"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764F742"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76E4A5C"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6D278BC7"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4B9C5E72"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D29A20A" w14:textId="77777777" w:rsidR="00175B8E" w:rsidRDefault="00175B8E" w:rsidP="00175B8E">
            <w:pPr>
              <w:pStyle w:val="Tabletextnoindent"/>
              <w:keepNext w:val="0"/>
              <w:numPr>
                <w:ilvl w:val="0"/>
                <w:numId w:val="0"/>
              </w:numPr>
              <w:spacing w:line="276" w:lineRule="auto"/>
              <w:rPr>
                <w:lang w:val="en-US" w:eastAsia="en-US"/>
              </w:rPr>
            </w:pPr>
            <w:r w:rsidRPr="00B302A7">
              <w:t>ES4.29</w:t>
            </w:r>
          </w:p>
        </w:tc>
        <w:tc>
          <w:tcPr>
            <w:tcW w:w="3601" w:type="dxa"/>
            <w:tcBorders>
              <w:top w:val="single" w:sz="4" w:space="0" w:color="000000"/>
              <w:left w:val="single" w:sz="4" w:space="0" w:color="000000"/>
              <w:bottom w:val="single" w:sz="4" w:space="0" w:color="000000"/>
              <w:right w:val="single" w:sz="4" w:space="0" w:color="000000"/>
            </w:tcBorders>
            <w:hideMark/>
          </w:tcPr>
          <w:p w14:paraId="713A4F6B" w14:textId="77777777" w:rsidR="00175B8E" w:rsidRDefault="00175B8E" w:rsidP="00175B8E">
            <w:pPr>
              <w:pStyle w:val="ES-table"/>
              <w:keepNext w:val="0"/>
              <w:spacing w:line="276" w:lineRule="auto"/>
              <w:rPr>
                <w:rFonts w:eastAsia="Arial Unicode MS" w:cs="Arial"/>
                <w:color w:val="auto"/>
                <w:lang w:val="en-US" w:eastAsia="ja-JP"/>
              </w:rPr>
            </w:pPr>
            <w:r>
              <w:rPr>
                <w:lang w:val="en-US" w:eastAsia="en-US"/>
              </w:rPr>
              <w:t>In paediatric patients undergoing surgery, the effect of antifibrinolytics compared with no antifibrinolytics on thromboembolic events is uncertain.</w:t>
            </w:r>
          </w:p>
          <w:p w14:paraId="6505AA63" w14:textId="77777777" w:rsidR="00175B8E" w:rsidRDefault="00175B8E" w:rsidP="00175B8E">
            <w:pPr>
              <w:pStyle w:val="ES-notes"/>
              <w:keepNext w:val="0"/>
              <w:spacing w:line="276" w:lineRule="auto"/>
              <w:rPr>
                <w:rFonts w:eastAsiaTheme="minorHAnsi"/>
                <w:lang w:val="en-US" w:eastAsia="en-US"/>
              </w:rPr>
            </w:pPr>
            <w:r>
              <w:rPr>
                <w:lang w:val="en-US" w:eastAsia="en-US"/>
              </w:rPr>
              <w:t>(See evidence matrix D4.Q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2566952C"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6B758077"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15CE3A0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3944468"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0A110FEB"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52BB03D7"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8E01E78" w14:textId="77777777" w:rsidR="00175B8E" w:rsidRDefault="00175B8E" w:rsidP="00175B8E">
            <w:pPr>
              <w:pStyle w:val="Tabletextnoindent"/>
              <w:keepNext w:val="0"/>
              <w:numPr>
                <w:ilvl w:val="0"/>
                <w:numId w:val="0"/>
              </w:numPr>
              <w:spacing w:line="276" w:lineRule="auto"/>
              <w:rPr>
                <w:lang w:val="en-US" w:eastAsia="en-US"/>
              </w:rPr>
            </w:pPr>
            <w:r w:rsidRPr="00B302A7">
              <w:t>ES4.30</w:t>
            </w:r>
          </w:p>
        </w:tc>
        <w:tc>
          <w:tcPr>
            <w:tcW w:w="3601" w:type="dxa"/>
            <w:tcBorders>
              <w:top w:val="single" w:sz="4" w:space="0" w:color="000000"/>
              <w:left w:val="single" w:sz="4" w:space="0" w:color="000000"/>
              <w:bottom w:val="single" w:sz="4" w:space="0" w:color="000000"/>
              <w:right w:val="single" w:sz="4" w:space="0" w:color="000000"/>
            </w:tcBorders>
            <w:hideMark/>
          </w:tcPr>
          <w:p w14:paraId="58FDC060" w14:textId="77777777" w:rsidR="00175B8E" w:rsidRDefault="00175B8E" w:rsidP="00175B8E">
            <w:pPr>
              <w:pStyle w:val="ES-table"/>
              <w:keepNext w:val="0"/>
              <w:spacing w:line="276" w:lineRule="auto"/>
              <w:rPr>
                <w:rFonts w:eastAsia="Arial Unicode MS" w:cs="Arial"/>
                <w:color w:val="auto"/>
                <w:lang w:val="en-US" w:eastAsia="ja-JP"/>
              </w:rPr>
            </w:pPr>
            <w:r>
              <w:rPr>
                <w:lang w:val="en-US" w:eastAsia="en-US"/>
              </w:rPr>
              <w:t>In paediatric patients undergoing cardiac surgery, the effect of antifibrinolytics compared with no antifibrinolytics on postoperative blood loss in uncertain.</w:t>
            </w:r>
          </w:p>
          <w:p w14:paraId="19CA1A77" w14:textId="77777777" w:rsidR="00175B8E" w:rsidRDefault="00175B8E" w:rsidP="00175B8E">
            <w:pPr>
              <w:pStyle w:val="ES-notes"/>
              <w:keepNext w:val="0"/>
              <w:spacing w:line="276" w:lineRule="auto"/>
              <w:rPr>
                <w:lang w:val="en-US" w:eastAsia="en-US"/>
              </w:rPr>
            </w:pPr>
            <w:r>
              <w:rPr>
                <w:lang w:val="en-US" w:eastAsia="en-US"/>
              </w:rPr>
              <w:t>(See evidence matrix D4.R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7965F6CF"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7BA4A26"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20BB83D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4BCFE5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7175E40F"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1BF55020"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B8F3AA0" w14:textId="77777777" w:rsidR="00175B8E" w:rsidRDefault="00175B8E" w:rsidP="00175B8E">
            <w:pPr>
              <w:pStyle w:val="Tabletextnoindent"/>
              <w:numPr>
                <w:ilvl w:val="0"/>
                <w:numId w:val="0"/>
              </w:numPr>
              <w:spacing w:line="276" w:lineRule="auto"/>
              <w:rPr>
                <w:lang w:val="en-US" w:eastAsia="en-US"/>
              </w:rPr>
            </w:pPr>
            <w:r w:rsidRPr="00B302A7">
              <w:t>ES4.31</w:t>
            </w:r>
          </w:p>
        </w:tc>
        <w:tc>
          <w:tcPr>
            <w:tcW w:w="3601" w:type="dxa"/>
            <w:tcBorders>
              <w:top w:val="single" w:sz="4" w:space="0" w:color="000000"/>
              <w:left w:val="single" w:sz="4" w:space="0" w:color="000000"/>
              <w:bottom w:val="single" w:sz="4" w:space="0" w:color="000000"/>
              <w:right w:val="single" w:sz="4" w:space="0" w:color="000000"/>
            </w:tcBorders>
            <w:hideMark/>
          </w:tcPr>
          <w:p w14:paraId="70C8FF10"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surgery for scoliosis, antifibrinolytics compared with no antifibrinolytics may reduce blood loss.</w:t>
            </w:r>
          </w:p>
          <w:p w14:paraId="69EDFB3A" w14:textId="77777777" w:rsidR="00175B8E" w:rsidRDefault="00175B8E" w:rsidP="00175B8E">
            <w:pPr>
              <w:pStyle w:val="ES-notes"/>
              <w:spacing w:line="276" w:lineRule="auto"/>
              <w:rPr>
                <w:lang w:val="en-US" w:eastAsia="en-US"/>
              </w:rPr>
            </w:pPr>
            <w:r>
              <w:rPr>
                <w:lang w:val="en-US" w:eastAsia="en-US"/>
              </w:rPr>
              <w:t>(See evidence matrix D4.S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9CBC7FE"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49C45901"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0C974D43"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237BCB46"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5F31FE4A"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r>
      <w:tr w:rsidR="00175B8E" w14:paraId="0266FA61"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2D0F9D0A" w14:textId="77777777" w:rsidR="00175B8E" w:rsidRDefault="00175B8E" w:rsidP="00175B8E">
            <w:pPr>
              <w:pStyle w:val="Tabletextnoindent"/>
              <w:numPr>
                <w:ilvl w:val="0"/>
                <w:numId w:val="0"/>
              </w:numPr>
              <w:spacing w:line="276" w:lineRule="auto"/>
              <w:rPr>
                <w:lang w:val="en-US" w:eastAsia="en-US"/>
              </w:rPr>
            </w:pPr>
            <w:r w:rsidRPr="00B302A7">
              <w:t>ES4.32</w:t>
            </w:r>
          </w:p>
        </w:tc>
        <w:tc>
          <w:tcPr>
            <w:tcW w:w="3601" w:type="dxa"/>
            <w:tcBorders>
              <w:top w:val="single" w:sz="4" w:space="0" w:color="000000"/>
              <w:left w:val="single" w:sz="4" w:space="0" w:color="000000"/>
              <w:bottom w:val="single" w:sz="4" w:space="0" w:color="000000"/>
              <w:right w:val="single" w:sz="4" w:space="0" w:color="000000"/>
            </w:tcBorders>
            <w:hideMark/>
          </w:tcPr>
          <w:p w14:paraId="4B085210"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craniofacial surgery, antifibrinolytics compared with no antifibrinolytics reduce perioperative blood loss.</w:t>
            </w:r>
          </w:p>
          <w:p w14:paraId="194109F4" w14:textId="77777777" w:rsidR="00175B8E" w:rsidRDefault="00175B8E" w:rsidP="00175B8E">
            <w:pPr>
              <w:pStyle w:val="ES-notes"/>
              <w:spacing w:line="276" w:lineRule="auto"/>
              <w:rPr>
                <w:lang w:val="en-US" w:eastAsia="en-US"/>
              </w:rPr>
            </w:pPr>
            <w:r>
              <w:rPr>
                <w:lang w:val="en-US" w:eastAsia="en-US"/>
              </w:rPr>
              <w:t>(See evidence matrix D4.T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F279CD2"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5DB8138E"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79D324BF"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34359E63"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0809FE21"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214486E3"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3A00C2B" w14:textId="77777777" w:rsidR="00175B8E" w:rsidRDefault="00175B8E" w:rsidP="00175B8E">
            <w:pPr>
              <w:pStyle w:val="Tabletextnoindent"/>
              <w:numPr>
                <w:ilvl w:val="0"/>
                <w:numId w:val="0"/>
              </w:numPr>
              <w:spacing w:line="276" w:lineRule="auto"/>
              <w:rPr>
                <w:lang w:val="en-US" w:eastAsia="en-US"/>
              </w:rPr>
            </w:pPr>
            <w:r w:rsidRPr="00B302A7">
              <w:t>ES4.33</w:t>
            </w:r>
          </w:p>
        </w:tc>
        <w:tc>
          <w:tcPr>
            <w:tcW w:w="3601" w:type="dxa"/>
            <w:tcBorders>
              <w:top w:val="single" w:sz="4" w:space="0" w:color="000000"/>
              <w:left w:val="single" w:sz="4" w:space="0" w:color="000000"/>
              <w:bottom w:val="single" w:sz="4" w:space="0" w:color="000000"/>
              <w:right w:val="single" w:sz="4" w:space="0" w:color="000000"/>
            </w:tcBorders>
            <w:hideMark/>
          </w:tcPr>
          <w:p w14:paraId="6DFF988D" w14:textId="77777777" w:rsidR="00175B8E" w:rsidRDefault="00175B8E" w:rsidP="00175B8E">
            <w:pPr>
              <w:pStyle w:val="ES-table"/>
              <w:spacing w:line="276" w:lineRule="auto"/>
              <w:rPr>
                <w:rFonts w:eastAsia="Arial Unicode MS" w:cs="Arial"/>
                <w:color w:val="auto"/>
                <w:lang w:val="en-US" w:eastAsia="ja-JP"/>
              </w:rPr>
            </w:pPr>
            <w:r>
              <w:rPr>
                <w:lang w:val="en-US" w:eastAsia="en-US"/>
              </w:rPr>
              <w:t>In paediatric patients undergoing ENT surgery, antifibrinolytics compared with no antifibrinolytics may reduce perioperative blood loss.</w:t>
            </w:r>
          </w:p>
          <w:p w14:paraId="018C3C48" w14:textId="77777777" w:rsidR="00175B8E" w:rsidRDefault="00175B8E" w:rsidP="00175B8E">
            <w:pPr>
              <w:pStyle w:val="ES-notes"/>
              <w:spacing w:line="276" w:lineRule="auto"/>
              <w:rPr>
                <w:lang w:val="en-US" w:eastAsia="en-US"/>
              </w:rPr>
            </w:pPr>
            <w:r>
              <w:rPr>
                <w:lang w:val="en-US" w:eastAsia="en-US"/>
              </w:rPr>
              <w:t>(See evidence matrix D4.U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7BF14EB9"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736614BA"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2E36232D" w14:textId="77777777" w:rsidR="00175B8E" w:rsidRDefault="00175B8E" w:rsidP="00175B8E">
            <w:pPr>
              <w:pStyle w:val="T-ABCD"/>
              <w:spacing w:line="276" w:lineRule="auto"/>
              <w:rPr>
                <w:lang w:val="en-US" w:eastAsia="en-US"/>
              </w:rPr>
            </w:pPr>
            <w:r>
              <w:rPr>
                <w:lang w:val="en-US" w:eastAsia="en-US"/>
              </w:rPr>
              <w:t>X</w:t>
            </w:r>
          </w:p>
        </w:tc>
        <w:tc>
          <w:tcPr>
            <w:tcW w:w="809" w:type="dxa"/>
            <w:tcBorders>
              <w:top w:val="single" w:sz="4" w:space="0" w:color="000000"/>
              <w:left w:val="single" w:sz="4" w:space="0" w:color="000000"/>
              <w:bottom w:val="single" w:sz="4" w:space="0" w:color="000000"/>
              <w:right w:val="single" w:sz="4" w:space="0" w:color="000000"/>
            </w:tcBorders>
            <w:hideMark/>
          </w:tcPr>
          <w:p w14:paraId="6DF035B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33496215"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006448A9"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5CF78256" w14:textId="0144D6F3" w:rsidR="00175B8E" w:rsidRDefault="00175B8E" w:rsidP="00175B8E">
            <w:pPr>
              <w:pStyle w:val="ES-notes"/>
              <w:spacing w:line="276" w:lineRule="auto"/>
              <w:rPr>
                <w:rFonts w:eastAsiaTheme="minorHAnsi"/>
                <w:lang w:val="en-US" w:eastAsia="en-US"/>
              </w:rPr>
            </w:pPr>
            <w:r>
              <w:rPr>
                <w:lang w:val="en-US" w:eastAsia="en-US"/>
              </w:rPr>
              <w:t>ENT, ear</w:t>
            </w:r>
            <w:r w:rsidR="00AB5F0E">
              <w:rPr>
                <w:lang w:val="en-US" w:eastAsia="en-US"/>
              </w:rPr>
              <w:t>,</w:t>
            </w:r>
            <w:r>
              <w:rPr>
                <w:lang w:val="en-US" w:eastAsia="en-US"/>
              </w:rPr>
              <w:t xml:space="preserve"> nose</w:t>
            </w:r>
            <w:r w:rsidR="00AB5F0E">
              <w:rPr>
                <w:lang w:val="en-US" w:eastAsia="en-US"/>
              </w:rPr>
              <w:t xml:space="preserve"> and</w:t>
            </w:r>
            <w:r>
              <w:rPr>
                <w:lang w:val="en-US" w:eastAsia="en-US"/>
              </w:rPr>
              <w:t xml:space="preserve"> throat; ES, evidence statement</w:t>
            </w:r>
            <w:r w:rsidR="00437696">
              <w:rPr>
                <w:lang w:val="en-US" w:eastAsia="en-US"/>
              </w:rPr>
              <w:t>; TXA, tranexamic acid</w:t>
            </w:r>
          </w:p>
          <w:p w14:paraId="1E500F36"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22443E28" w14:textId="77777777" w:rsidR="00175B8E" w:rsidRDefault="00175B8E" w:rsidP="00175B8E"/>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17"/>
        <w:gridCol w:w="7531"/>
      </w:tblGrid>
      <w:tr w:rsidR="00175B8E" w14:paraId="47756D0C"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hideMark/>
          </w:tcPr>
          <w:p w14:paraId="2F11584E" w14:textId="05D325B2" w:rsidR="00175B8E" w:rsidRDefault="00175B8E" w:rsidP="00175B8E">
            <w:pPr>
              <w:pStyle w:val="Recommendation"/>
              <w:spacing w:line="276" w:lineRule="auto"/>
              <w:rPr>
                <w:rFonts w:eastAsia="Times New Roman"/>
              </w:rPr>
            </w:pPr>
            <w:r>
              <w:t xml:space="preserve">Recommendation – </w:t>
            </w:r>
            <w:r w:rsidR="0007284D">
              <w:rPr>
                <w:lang w:val="en-US" w:eastAsia="en-US"/>
              </w:rPr>
              <w:t>surgical (antifibrinolytics)</w:t>
            </w:r>
          </w:p>
        </w:tc>
      </w:tr>
      <w:tr w:rsidR="00175B8E" w14:paraId="65F53AF0" w14:textId="77777777" w:rsidTr="00175B8E">
        <w:tc>
          <w:tcPr>
            <w:tcW w:w="1117" w:type="dxa"/>
            <w:tcBorders>
              <w:top w:val="single" w:sz="4" w:space="0" w:color="000000"/>
              <w:left w:val="single" w:sz="4" w:space="0" w:color="000000"/>
              <w:bottom w:val="single" w:sz="4" w:space="0" w:color="000000"/>
              <w:right w:val="single" w:sz="4" w:space="0" w:color="auto"/>
            </w:tcBorders>
            <w:hideMark/>
          </w:tcPr>
          <w:p w14:paraId="7EE52E7C" w14:textId="77777777" w:rsidR="00175B8E" w:rsidRDefault="00175B8E" w:rsidP="00B60DBE">
            <w:pPr>
              <w:pStyle w:val="PP"/>
            </w:pPr>
            <w:r>
              <w:t>R9</w:t>
            </w:r>
          </w:p>
          <w:p w14:paraId="3935560A" w14:textId="77777777" w:rsidR="00175B8E" w:rsidRDefault="00175B8E" w:rsidP="00B60DBE">
            <w:pPr>
              <w:pStyle w:val="PP"/>
            </w:pPr>
            <w:r>
              <w:t>(Grade B)</w:t>
            </w:r>
          </w:p>
        </w:tc>
        <w:tc>
          <w:tcPr>
            <w:tcW w:w="7531" w:type="dxa"/>
            <w:tcBorders>
              <w:top w:val="single" w:sz="4" w:space="0" w:color="000000"/>
              <w:left w:val="single" w:sz="4" w:space="0" w:color="auto"/>
              <w:bottom w:val="single" w:sz="4" w:space="0" w:color="000000"/>
              <w:right w:val="single" w:sz="4" w:space="0" w:color="000000"/>
            </w:tcBorders>
            <w:hideMark/>
          </w:tcPr>
          <w:p w14:paraId="4E329560" w14:textId="48F6CBCB" w:rsidR="00175B8E" w:rsidRDefault="00175B8E" w:rsidP="00B60DBE">
            <w:pPr>
              <w:pStyle w:val="PP"/>
            </w:pPr>
            <w:r>
              <w:t>In paediatric patients undergoing cardiac surgery with</w:t>
            </w:r>
            <w:r w:rsidR="00437696">
              <w:rPr>
                <w:lang w:val="en-AU"/>
              </w:rPr>
              <w:t xml:space="preserve"> CPB</w:t>
            </w:r>
            <w:r>
              <w:t>, the routine use of antifibrinolytics is recommended.</w:t>
            </w:r>
            <w:r>
              <w:rPr>
                <w:vertAlign w:val="superscript"/>
              </w:rPr>
              <w:t>a</w:t>
            </w:r>
            <w:r>
              <w:t xml:space="preserve"> </w:t>
            </w:r>
          </w:p>
          <w:p w14:paraId="05995241" w14:textId="3EF50855" w:rsidR="00175B8E" w:rsidRDefault="00175B8E" w:rsidP="00437696">
            <w:pPr>
              <w:pStyle w:val="PP-note"/>
              <w:rPr>
                <w:lang w:eastAsia="en-US"/>
              </w:rPr>
            </w:pPr>
            <w:r>
              <w:rPr>
                <w:vertAlign w:val="superscript"/>
                <w:lang w:eastAsia="en-US"/>
              </w:rPr>
              <w:t xml:space="preserve">a </w:t>
            </w:r>
            <w:r w:rsidR="00437696">
              <w:rPr>
                <w:lang w:eastAsia="en-US"/>
              </w:rPr>
              <w:t>TXA</w:t>
            </w:r>
            <w:r>
              <w:rPr>
                <w:lang w:eastAsia="en-US"/>
              </w:rPr>
              <w:t xml:space="preserve"> in this context is approved in Australia. The use of aprotinin in this context is considered off label in Australia. EACA is not licensed for use in Australia.</w:t>
            </w:r>
          </w:p>
        </w:tc>
      </w:tr>
      <w:tr w:rsidR="00175B8E" w14:paraId="489E077C" w14:textId="77777777" w:rsidTr="00175B8E">
        <w:tc>
          <w:tcPr>
            <w:tcW w:w="1117" w:type="dxa"/>
            <w:tcBorders>
              <w:top w:val="single" w:sz="4" w:space="0" w:color="000000"/>
              <w:left w:val="single" w:sz="4" w:space="0" w:color="000000"/>
              <w:bottom w:val="single" w:sz="4" w:space="0" w:color="000000"/>
              <w:right w:val="single" w:sz="4" w:space="0" w:color="auto"/>
            </w:tcBorders>
            <w:hideMark/>
          </w:tcPr>
          <w:p w14:paraId="0BE2F34A" w14:textId="77777777" w:rsidR="00175B8E" w:rsidRDefault="00175B8E" w:rsidP="00B60DBE">
            <w:pPr>
              <w:pStyle w:val="PP"/>
            </w:pPr>
            <w:r>
              <w:t>R10</w:t>
            </w:r>
          </w:p>
          <w:p w14:paraId="1C9C1927" w14:textId="77777777" w:rsidR="00175B8E" w:rsidRDefault="00175B8E" w:rsidP="00B60DBE">
            <w:pPr>
              <w:pStyle w:val="PP"/>
            </w:pPr>
            <w:r>
              <w:t>(Grade C)</w:t>
            </w:r>
          </w:p>
        </w:tc>
        <w:tc>
          <w:tcPr>
            <w:tcW w:w="7531" w:type="dxa"/>
            <w:tcBorders>
              <w:top w:val="single" w:sz="4" w:space="0" w:color="000000"/>
              <w:left w:val="single" w:sz="4" w:space="0" w:color="auto"/>
              <w:bottom w:val="single" w:sz="4" w:space="0" w:color="000000"/>
              <w:right w:val="single" w:sz="4" w:space="0" w:color="000000"/>
            </w:tcBorders>
            <w:hideMark/>
          </w:tcPr>
          <w:p w14:paraId="2B7DBAA5" w14:textId="77777777" w:rsidR="00175B8E" w:rsidRDefault="00175B8E" w:rsidP="00B60DBE">
            <w:pPr>
              <w:pStyle w:val="PP"/>
            </w:pPr>
            <w:r>
              <w:t xml:space="preserve">In paediatric patients undergoing surgery for scoliosis in whom substantial blood loss is anticipated, the use of antifibrinolytics should be considered. </w:t>
            </w:r>
          </w:p>
          <w:p w14:paraId="116E1EBE" w14:textId="594D8529" w:rsidR="00175B8E" w:rsidRDefault="00175B8E" w:rsidP="00437696">
            <w:pPr>
              <w:pStyle w:val="PP-note"/>
              <w:rPr>
                <w:lang w:eastAsia="en-US"/>
              </w:rPr>
            </w:pPr>
            <w:r>
              <w:rPr>
                <w:vertAlign w:val="superscript"/>
                <w:lang w:eastAsia="en-US"/>
              </w:rPr>
              <w:t xml:space="preserve">a </w:t>
            </w:r>
            <w:r w:rsidR="00437696">
              <w:rPr>
                <w:lang w:eastAsia="en-US"/>
              </w:rPr>
              <w:t>TXA</w:t>
            </w:r>
            <w:r>
              <w:rPr>
                <w:lang w:eastAsia="en-US"/>
              </w:rPr>
              <w:t xml:space="preserve"> in this context is approved in Australia. The use of aprotinin in this context is considered off label in Australia. EACA is not licensed for use in Australia.</w:t>
            </w:r>
          </w:p>
        </w:tc>
      </w:tr>
      <w:tr w:rsidR="00175B8E" w14:paraId="0A1D7E0B" w14:textId="77777777" w:rsidTr="00175B8E">
        <w:tc>
          <w:tcPr>
            <w:tcW w:w="1117" w:type="dxa"/>
            <w:tcBorders>
              <w:top w:val="single" w:sz="4" w:space="0" w:color="000000"/>
              <w:left w:val="single" w:sz="4" w:space="0" w:color="000000"/>
              <w:bottom w:val="single" w:sz="4" w:space="0" w:color="000000"/>
              <w:right w:val="single" w:sz="4" w:space="0" w:color="auto"/>
            </w:tcBorders>
            <w:hideMark/>
          </w:tcPr>
          <w:p w14:paraId="7191FD2E" w14:textId="77777777" w:rsidR="00175B8E" w:rsidRDefault="00175B8E" w:rsidP="00B60DBE">
            <w:pPr>
              <w:pStyle w:val="PP"/>
            </w:pPr>
            <w:r>
              <w:t>R11</w:t>
            </w:r>
          </w:p>
          <w:p w14:paraId="08AAC573" w14:textId="77777777" w:rsidR="00175B8E" w:rsidRDefault="00175B8E" w:rsidP="00B60DBE">
            <w:pPr>
              <w:pStyle w:val="PP"/>
            </w:pPr>
            <w:r>
              <w:t>(Grade C)</w:t>
            </w:r>
          </w:p>
        </w:tc>
        <w:tc>
          <w:tcPr>
            <w:tcW w:w="7531" w:type="dxa"/>
            <w:tcBorders>
              <w:top w:val="single" w:sz="4" w:space="0" w:color="000000"/>
              <w:left w:val="single" w:sz="4" w:space="0" w:color="auto"/>
              <w:bottom w:val="single" w:sz="4" w:space="0" w:color="000000"/>
              <w:right w:val="single" w:sz="4" w:space="0" w:color="000000"/>
            </w:tcBorders>
            <w:hideMark/>
          </w:tcPr>
          <w:p w14:paraId="1A658A72" w14:textId="77777777" w:rsidR="00175B8E" w:rsidRDefault="00175B8E" w:rsidP="00B60DBE">
            <w:pPr>
              <w:pStyle w:val="PP"/>
            </w:pPr>
            <w:r>
              <w:t xml:space="preserve">In paediatric patients undergoing craniofacial surgery in whom substantial blood loss is anticipated, the use of antifibrinolytics should be considered. </w:t>
            </w:r>
          </w:p>
          <w:p w14:paraId="447CFDB2" w14:textId="0DFA5F66" w:rsidR="00175B8E" w:rsidRDefault="00175B8E" w:rsidP="00437696">
            <w:pPr>
              <w:pStyle w:val="PP-note"/>
              <w:rPr>
                <w:lang w:eastAsia="en-US"/>
              </w:rPr>
            </w:pPr>
            <w:r>
              <w:rPr>
                <w:vertAlign w:val="superscript"/>
                <w:lang w:eastAsia="en-US"/>
              </w:rPr>
              <w:t xml:space="preserve">a </w:t>
            </w:r>
            <w:r w:rsidR="00437696">
              <w:rPr>
                <w:lang w:eastAsia="en-US"/>
              </w:rPr>
              <w:t>TXA</w:t>
            </w:r>
            <w:r>
              <w:rPr>
                <w:lang w:eastAsia="en-US"/>
              </w:rPr>
              <w:t xml:space="preserve"> in this context is approved in Australia. The use of aprotinin in this context is considered off label in Australia. EACA is not licensed for use in Australia.</w:t>
            </w:r>
          </w:p>
        </w:tc>
      </w:tr>
      <w:tr w:rsidR="00175B8E" w14:paraId="49DE94F3"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28792073" w14:textId="5E57BF2A" w:rsidR="00175B8E" w:rsidRDefault="00175B8E" w:rsidP="00175B8E">
            <w:pPr>
              <w:pStyle w:val="PP-heading"/>
              <w:spacing w:line="276" w:lineRule="auto"/>
              <w:rPr>
                <w:lang w:val="en-US" w:eastAsia="en-US"/>
              </w:rPr>
            </w:pPr>
            <w:r>
              <w:rPr>
                <w:lang w:val="en-US" w:eastAsia="en-US"/>
              </w:rPr>
              <w:t xml:space="preserve">Practice points – </w:t>
            </w:r>
            <w:r w:rsidR="0007284D">
              <w:rPr>
                <w:lang w:val="en-US" w:eastAsia="en-US"/>
              </w:rPr>
              <w:t>surgical (antifibrinolytics)</w:t>
            </w:r>
          </w:p>
        </w:tc>
      </w:tr>
      <w:tr w:rsidR="00175B8E" w14:paraId="130D39AE" w14:textId="77777777" w:rsidTr="00175B8E">
        <w:tc>
          <w:tcPr>
            <w:tcW w:w="1117" w:type="dxa"/>
            <w:tcBorders>
              <w:top w:val="single" w:sz="4" w:space="0" w:color="000000"/>
              <w:left w:val="single" w:sz="4" w:space="0" w:color="000000"/>
              <w:bottom w:val="single" w:sz="4" w:space="0" w:color="000000"/>
              <w:right w:val="single" w:sz="4" w:space="0" w:color="auto"/>
            </w:tcBorders>
            <w:hideMark/>
          </w:tcPr>
          <w:p w14:paraId="7B04F874" w14:textId="77777777" w:rsidR="00175B8E" w:rsidRDefault="00175B8E" w:rsidP="00B60DBE">
            <w:pPr>
              <w:pStyle w:val="PP"/>
            </w:pPr>
            <w:r>
              <w:t>PP37</w:t>
            </w:r>
          </w:p>
        </w:tc>
        <w:tc>
          <w:tcPr>
            <w:tcW w:w="7531" w:type="dxa"/>
            <w:tcBorders>
              <w:top w:val="single" w:sz="4" w:space="0" w:color="000000"/>
              <w:left w:val="single" w:sz="4" w:space="0" w:color="auto"/>
              <w:bottom w:val="single" w:sz="4" w:space="0" w:color="000000"/>
              <w:right w:val="single" w:sz="4" w:space="0" w:color="000000"/>
            </w:tcBorders>
            <w:hideMark/>
          </w:tcPr>
          <w:p w14:paraId="08BC739A" w14:textId="77777777" w:rsidR="00175B8E" w:rsidRDefault="00175B8E" w:rsidP="00B60DBE">
            <w:pPr>
              <w:pStyle w:val="PP"/>
              <w:rPr>
                <w:vertAlign w:val="superscript"/>
              </w:rPr>
            </w:pPr>
            <w:r>
              <w:t>In acutely bleeding critically ill paediatric trauma patients, tranexamic acid should be administered within 3 hours of injury.</w:t>
            </w:r>
            <w:r>
              <w:rPr>
                <w:vertAlign w:val="superscript"/>
              </w:rPr>
              <w:t>a</w:t>
            </w:r>
            <w:r>
              <w:t xml:space="preserve"> </w:t>
            </w:r>
          </w:p>
          <w:p w14:paraId="40AB9F5B" w14:textId="47590CE9" w:rsidR="00175B8E" w:rsidRDefault="00CE5AC9" w:rsidP="00E62798">
            <w:pPr>
              <w:pStyle w:val="PP-note"/>
            </w:pPr>
            <w:r>
              <w:t>See</w:t>
            </w:r>
            <w:r w:rsidR="00175B8E">
              <w:t xml:space="preserve"> R3 in </w:t>
            </w:r>
            <w:r w:rsidR="00175B8E" w:rsidRPr="00B60DBE">
              <w:rPr>
                <w:i/>
              </w:rPr>
              <w:t>Patient Blood Management Guidelines: Module 4 – Critical Care</w:t>
            </w:r>
            <w:hyperlink w:anchor="_ENREF_4" w:tooltip="National Blood Authority (NBA), 2013 #196" w:history="1">
              <w:r w:rsidR="00E62798">
                <w:fldChar w:fldCharType="begin"/>
              </w:r>
              <w:r w:rsidR="00E62798">
                <w:instrText xml:space="preserve"> ADDIN EN.CITE &lt;EndNote&gt;&lt;Cite&gt;&lt;Author&gt;National Blood Authority (NBA)&lt;/Author&gt;&lt;Year&gt;2013&lt;/Year&gt;&lt;RecNum&gt;196&lt;/RecNum&gt;&lt;DisplayText&gt;&lt;style face="superscript"&gt;4&lt;/style&gt;&lt;/DisplayText&gt;&lt;record&gt;&lt;rec-number&gt;196&lt;/rec-number&gt;&lt;foreign-keys&gt;&lt;key app="EN" db-id="9edve2wadsavt5ewavaxtda4f2tavzvts9ee" timestamp="1426642642"&gt;196&lt;/key&gt;&lt;/foreign-keys&gt;&lt;ref-type name="Government Document"&gt;46&lt;/ref-type&gt;&lt;contributors&gt;&lt;authors&gt;&lt;author&gt;National Blood Authority (NBA),&lt;/author&gt;&lt;/authors&gt;&lt;/contributors&gt;&lt;titles&gt;&lt;title&gt;Patient Blood Management Guidelines: Module 4 – Critical Care&lt;/title&gt;&lt;/titles&gt;&lt;dates&gt;&lt;year&gt;2013&lt;/year&gt;&lt;/dates&gt;&lt;pub-location&gt;Canberra, Australia&lt;/pub-location&gt;&lt;publisher&gt;NBA&lt;/publisher&gt;&lt;urls&gt;&lt;related-urls&gt;&lt;url&gt;http://www.blood.gov.au/pbm-module-4&lt;/url&gt;&lt;/related-urls&gt;&lt;/urls&gt;&lt;access-date&gt;1 February 2014&lt;/access-date&gt;&lt;/record&gt;&lt;/Cite&gt;&lt;/EndNote&gt;</w:instrText>
              </w:r>
              <w:r w:rsidR="00E62798">
                <w:fldChar w:fldCharType="separate"/>
              </w:r>
              <w:r w:rsidR="00E62798" w:rsidRPr="00E62798">
                <w:rPr>
                  <w:noProof/>
                  <w:vertAlign w:val="superscript"/>
                </w:rPr>
                <w:t>4</w:t>
              </w:r>
              <w:r w:rsidR="00E62798">
                <w:fldChar w:fldCharType="end"/>
              </w:r>
            </w:hyperlink>
            <w:r w:rsidR="00175B8E">
              <w:t xml:space="preserve"> </w:t>
            </w:r>
          </w:p>
        </w:tc>
      </w:tr>
      <w:tr w:rsidR="00175B8E" w14:paraId="5C7AEFA9" w14:textId="77777777" w:rsidTr="00175B8E">
        <w:tc>
          <w:tcPr>
            <w:tcW w:w="1117" w:type="dxa"/>
            <w:tcBorders>
              <w:top w:val="single" w:sz="4" w:space="0" w:color="000000"/>
              <w:left w:val="single" w:sz="4" w:space="0" w:color="000000"/>
              <w:bottom w:val="single" w:sz="4" w:space="0" w:color="000000"/>
              <w:right w:val="single" w:sz="4" w:space="0" w:color="auto"/>
            </w:tcBorders>
            <w:hideMark/>
          </w:tcPr>
          <w:p w14:paraId="7D6A96F5" w14:textId="77777777" w:rsidR="00175B8E" w:rsidRDefault="00175B8E" w:rsidP="00B60DBE">
            <w:pPr>
              <w:pStyle w:val="PP"/>
            </w:pPr>
            <w:r>
              <w:t>PP38</w:t>
            </w:r>
          </w:p>
        </w:tc>
        <w:tc>
          <w:tcPr>
            <w:tcW w:w="7531" w:type="dxa"/>
            <w:tcBorders>
              <w:top w:val="single" w:sz="4" w:space="0" w:color="000000"/>
              <w:left w:val="single" w:sz="4" w:space="0" w:color="auto"/>
              <w:bottom w:val="single" w:sz="4" w:space="0" w:color="000000"/>
              <w:right w:val="single" w:sz="4" w:space="0" w:color="000000"/>
            </w:tcBorders>
            <w:hideMark/>
          </w:tcPr>
          <w:p w14:paraId="7D2E3188" w14:textId="161B722A" w:rsidR="00175B8E" w:rsidRDefault="00175B8E" w:rsidP="00B60DBE">
            <w:pPr>
              <w:pStyle w:val="PP"/>
            </w:pPr>
            <w:r>
              <w:t xml:space="preserve">In paediatric trauma patients </w:t>
            </w:r>
            <w:r w:rsidR="00B60DBE">
              <w:rPr>
                <w:lang w:val="en-AU"/>
              </w:rPr>
              <w:t>under</w:t>
            </w:r>
            <w:r>
              <w:t xml:space="preserve"> 12 years of age, a </w:t>
            </w:r>
            <w:r w:rsidR="000730DD">
              <w:rPr>
                <w:lang w:val="en-AU"/>
              </w:rPr>
              <w:t xml:space="preserve">tranexemic acid </w:t>
            </w:r>
            <w:r>
              <w:t>dose of 15 mg/kg (maximum 1000 mg) infused intravenously over 10 minutes, followed by 2 mg/kg/hour (maximum 125 mg/hour) until bleeding is controlled or for up to 8</w:t>
            </w:r>
            <w:r w:rsidR="00DF6F46">
              <w:rPr>
                <w:lang w:val="en-AU"/>
              </w:rPr>
              <w:t> </w:t>
            </w:r>
            <w:r>
              <w:t>hours is suggested.</w:t>
            </w:r>
            <w:r w:rsidR="00437696">
              <w:rPr>
                <w:vertAlign w:val="superscript"/>
                <w:lang w:val="en-AU"/>
              </w:rPr>
              <w:t>a</w:t>
            </w:r>
          </w:p>
          <w:p w14:paraId="702F2A69" w14:textId="3EC5893A" w:rsidR="00175B8E" w:rsidRDefault="00437696" w:rsidP="00DF6F46">
            <w:pPr>
              <w:pStyle w:val="PP-note"/>
              <w:rPr>
                <w:lang w:eastAsia="en-US"/>
              </w:rPr>
            </w:pPr>
            <w:r>
              <w:rPr>
                <w:vertAlign w:val="superscript"/>
                <w:lang w:eastAsia="en-US"/>
              </w:rPr>
              <w:t>a</w:t>
            </w:r>
            <w:r>
              <w:rPr>
                <w:lang w:eastAsia="en-US"/>
              </w:rPr>
              <w:t xml:space="preserve"> </w:t>
            </w:r>
            <w:r w:rsidR="00DF6F46">
              <w:rPr>
                <w:lang w:eastAsia="en-US"/>
              </w:rPr>
              <w:t xml:space="preserve">See </w:t>
            </w:r>
            <w:r w:rsidR="00DF6F46">
              <w:t>t</w:t>
            </w:r>
            <w:r w:rsidR="00DF6F46" w:rsidRPr="00A21FE4">
              <w:t xml:space="preserve">he template </w:t>
            </w:r>
            <w:r w:rsidR="00DF6F46">
              <w:t>given in Appendix K (</w:t>
            </w:r>
            <w:r w:rsidR="00DF6F46">
              <w:rPr>
                <w:i/>
              </w:rPr>
              <w:t>Critical bleeding protocol</w:t>
            </w:r>
            <w:r w:rsidR="00DF6F46">
              <w:t xml:space="preserve">), which </w:t>
            </w:r>
            <w:r w:rsidR="00DF6F46" w:rsidRPr="00A21FE4">
              <w:t>is intended for local adaptation.</w:t>
            </w:r>
            <w:r w:rsidR="004828DA">
              <w:t xml:space="preserve"> </w:t>
            </w:r>
          </w:p>
        </w:tc>
      </w:tr>
      <w:tr w:rsidR="00175B8E" w14:paraId="53AEC30D"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7349076D" w14:textId="639D24A6" w:rsidR="00175B8E" w:rsidRDefault="00437696" w:rsidP="00B60DBE">
            <w:pPr>
              <w:pStyle w:val="PP-note"/>
              <w:rPr>
                <w:lang w:val="en-US" w:eastAsia="en-US"/>
              </w:rPr>
            </w:pPr>
            <w:r>
              <w:rPr>
                <w:lang w:val="en-US" w:eastAsia="en-US"/>
              </w:rPr>
              <w:t xml:space="preserve">CPB, </w:t>
            </w:r>
            <w:r>
              <w:t>cardiopulmonary bypass</w:t>
            </w:r>
            <w:r>
              <w:rPr>
                <w:lang w:val="en-US" w:eastAsia="en-US"/>
              </w:rPr>
              <w:t xml:space="preserve">; </w:t>
            </w:r>
            <w:r w:rsidR="00175B8E">
              <w:rPr>
                <w:lang w:val="en-US" w:eastAsia="en-US"/>
              </w:rPr>
              <w:t>EACA, epsilon</w:t>
            </w:r>
            <w:r w:rsidR="00B467F6">
              <w:rPr>
                <w:lang w:val="en-US" w:eastAsia="en-US"/>
              </w:rPr>
              <w:t>-</w:t>
            </w:r>
            <w:r w:rsidR="00175B8E">
              <w:rPr>
                <w:lang w:val="en-US" w:eastAsia="en-US"/>
              </w:rPr>
              <w:t>aminocaproic acid; PP, practice point; R, recommendation</w:t>
            </w:r>
            <w:r>
              <w:rPr>
                <w:lang w:val="en-US" w:eastAsia="en-US"/>
              </w:rPr>
              <w:t>; TXA, tranexamic acid</w:t>
            </w:r>
          </w:p>
        </w:tc>
      </w:tr>
    </w:tbl>
    <w:p w14:paraId="727DBDA2" w14:textId="77777777" w:rsidR="00175B8E" w:rsidRDefault="00175B8E" w:rsidP="00175B8E">
      <w:pPr>
        <w:rPr>
          <w:lang w:val="en-GB" w:eastAsia="en-GB"/>
        </w:rPr>
      </w:pPr>
    </w:p>
    <w:p w14:paraId="5CE0EFFA" w14:textId="77777777" w:rsidR="00175B8E" w:rsidRDefault="00175B8E" w:rsidP="00B60DBE">
      <w:pPr>
        <w:pStyle w:val="Heading4"/>
      </w:pPr>
      <w:r>
        <w:t>Background</w:t>
      </w:r>
    </w:p>
    <w:p w14:paraId="3C633B0A" w14:textId="77777777" w:rsidR="00175B8E" w:rsidRDefault="00175B8E" w:rsidP="00B60DBE">
      <w:r w:rsidRPr="00DE4454">
        <w:t xml:space="preserve">Antifibrinolytics such as </w:t>
      </w:r>
      <w:r>
        <w:t>aprotin</w:t>
      </w:r>
      <w:r w:rsidRPr="00B60DBE">
        <w:t>i</w:t>
      </w:r>
      <w:r>
        <w:t xml:space="preserve">n, </w:t>
      </w:r>
      <w:r w:rsidRPr="00DE4454">
        <w:t xml:space="preserve">tranexamic acid </w:t>
      </w:r>
      <w:r>
        <w:t>(TXA) and epsilon-</w:t>
      </w:r>
      <w:r w:rsidRPr="00DE4454">
        <w:t xml:space="preserve">aminocaproic acid </w:t>
      </w:r>
      <w:r>
        <w:t xml:space="preserve">(EACA) may </w:t>
      </w:r>
      <w:r w:rsidRPr="00DE4454">
        <w:t>reduce perioperative bleeding b</w:t>
      </w:r>
      <w:r>
        <w:t xml:space="preserve">y inhibiting fibrin degradation. </w:t>
      </w:r>
    </w:p>
    <w:p w14:paraId="45DCB3B7" w14:textId="29EA7580" w:rsidR="00175B8E" w:rsidRDefault="00175B8E" w:rsidP="00B60DBE">
      <w:r>
        <w:t>Aprotinin inhibits fibrinolysis by inactivation of plasmin and other proteolytic enzymes. Before 2007, aprotinin was commonly used in bot</w:t>
      </w:r>
      <w:r w:rsidR="00B60DBE">
        <w:t>h cardiac surgery and major non</w:t>
      </w:r>
      <w:r>
        <w:t>cardiac surgery to reduce blood loss and blood transfusion. However, it was withdrawn from the market following t</w:t>
      </w:r>
      <w:r w:rsidR="00B60DBE">
        <w:t xml:space="preserve">he release of results from the </w:t>
      </w:r>
      <w:r>
        <w:t>Blood Conservation Using Antifibr</w:t>
      </w:r>
      <w:r w:rsidR="00B60DBE">
        <w:t>inolytics in a Randomised Trial</w:t>
      </w:r>
      <w:r>
        <w:t xml:space="preserve"> (BART</w:t>
      </w:r>
      <w:r w:rsidR="00B467F6">
        <w:t>)</w:t>
      </w:r>
      <w:r w:rsidR="00B60DBE">
        <w:t>,</w:t>
      </w:r>
      <w:r>
        <w:t xml:space="preserve"> which showed that in high-risk adult cardiac surgical patients undergoing complex cardiac surgery, mortality was higher with aprotinin </w:t>
      </w:r>
      <w:r w:rsidR="00B60DBE">
        <w:t>than</w:t>
      </w:r>
      <w:r>
        <w:t xml:space="preserve"> with lysine analogues</w:t>
      </w:r>
      <w:r w:rsidR="00B60DBE">
        <w:t>. This finding resulted</w:t>
      </w:r>
      <w:r>
        <w:t xml:space="preserve"> in the early termination of this study. However, there has been subsequent criticism of the design of the BART and controversy over its findings.</w:t>
      </w:r>
    </w:p>
    <w:p w14:paraId="3EE75F74" w14:textId="42E19D99" w:rsidR="00175B8E" w:rsidRDefault="00175B8E" w:rsidP="00B60DBE">
      <w:r>
        <w:t xml:space="preserve">Aprotinin remains on the Australian Register of Therapeutic Goods </w:t>
      </w:r>
      <w:r w:rsidR="00E874B3">
        <w:t>but is not being supplied or marketed by the Australian sponsor.</w:t>
      </w:r>
    </w:p>
    <w:p w14:paraId="4D45B52A" w14:textId="22AA71E3" w:rsidR="00175B8E" w:rsidRDefault="00B60DBE" w:rsidP="00B60DBE">
      <w:r>
        <w:t xml:space="preserve">TXA </w:t>
      </w:r>
      <w:r w:rsidR="00175B8E">
        <w:t>inhibits</w:t>
      </w:r>
      <w:r w:rsidR="00175B8E" w:rsidRPr="00E9614B">
        <w:t xml:space="preserve"> the activation of plasminogen to plasmi</w:t>
      </w:r>
      <w:r w:rsidR="00175B8E">
        <w:t xml:space="preserve">n, thus reducing fibrin degradation. The use of TXA is recommended in adult patients undergoing cardiac surgery or noncardiac surgery in which significant blood loss is anticipated. </w:t>
      </w:r>
      <w:r w:rsidR="0097590E">
        <w:t>TXA</w:t>
      </w:r>
      <w:r w:rsidR="00175B8E" w:rsidRPr="00E9614B">
        <w:t xml:space="preserve"> tablets and solution for injection are approved in Australia for a number of indicat</w:t>
      </w:r>
      <w:r w:rsidR="00175B8E">
        <w:t>ions including cardiac surgery</w:t>
      </w:r>
      <w:r w:rsidR="00175B8E" w:rsidRPr="00E9614B">
        <w:t>, traumatic hyphaema and patients with coagulopath</w:t>
      </w:r>
      <w:r w:rsidR="00175B8E">
        <w:t>y</w:t>
      </w:r>
      <w:r w:rsidR="00175B8E" w:rsidRPr="00E9614B">
        <w:t xml:space="preserve"> undergoing minor surgery. </w:t>
      </w:r>
    </w:p>
    <w:p w14:paraId="0643E5CD" w14:textId="7D34D2D4" w:rsidR="00175B8E" w:rsidRDefault="00B60DBE" w:rsidP="00B60DBE">
      <w:r>
        <w:t>EACA</w:t>
      </w:r>
      <w:r w:rsidR="00175B8E" w:rsidRPr="00DE4454">
        <w:t xml:space="preserve"> </w:t>
      </w:r>
      <w:r w:rsidR="00175B8E">
        <w:t xml:space="preserve">reduces fibrinolysis by inhibiting proteolytic </w:t>
      </w:r>
      <w:r w:rsidR="00175B8E" w:rsidRPr="00DF07A0">
        <w:t>enzymes</w:t>
      </w:r>
      <w:r w:rsidR="00175B8E">
        <w:t xml:space="preserve">. It reduces allogeneic blood transfusion in adult cardiac surgery patients. However, it is not available or </w:t>
      </w:r>
      <w:r w:rsidR="0097590E">
        <w:t xml:space="preserve">licensed </w:t>
      </w:r>
      <w:r w:rsidR="00175B8E">
        <w:t>for use in Australia.</w:t>
      </w:r>
    </w:p>
    <w:p w14:paraId="529203F0" w14:textId="77777777" w:rsidR="00175B8E" w:rsidRDefault="00175B8E" w:rsidP="00B60DBE">
      <w:pPr>
        <w:pStyle w:val="Heading4"/>
      </w:pPr>
      <w:r>
        <w:t>Summary of evidence</w:t>
      </w:r>
    </w:p>
    <w:p w14:paraId="46AE015A" w14:textId="05416C3B" w:rsidR="00175B8E" w:rsidRDefault="00175B8E" w:rsidP="009E34D1">
      <w:pPr>
        <w:pStyle w:val="Normalbeforebullet"/>
      </w:pPr>
      <w:r>
        <w:t>Six</w:t>
      </w:r>
      <w:r w:rsidRPr="002B1B71">
        <w:t xml:space="preserve"> Level I studies </w:t>
      </w:r>
      <w:r w:rsidRPr="00CF595E">
        <w:t xml:space="preserve">that assessed the safety and effectiveness </w:t>
      </w:r>
      <w:r w:rsidRPr="002B1B71">
        <w:t xml:space="preserve">of </w:t>
      </w:r>
      <w:r>
        <w:t xml:space="preserve">antifibrinolytics (aprotinin, TXA or EACA) in </w:t>
      </w:r>
      <w:r w:rsidRPr="00CF595E">
        <w:t>paediatric patients undergoing surgery</w:t>
      </w:r>
      <w:r>
        <w:t xml:space="preserve"> were identified</w:t>
      </w:r>
      <w:r w:rsidRPr="002B1B71">
        <w:t>.</w:t>
      </w:r>
      <w:hyperlink w:anchor="_ENREF_178" w:tooltip="Arnold, 2006 #844" w:history="1">
        <w:r w:rsidR="00E62798">
          <w:fldChar w:fldCharType="begin">
            <w:fldData xml:space="preserve">PEVuZE5vdGU+PENpdGU+PEF1dGhvcj5Bcm5vbGQ8L0F1dGhvcj48WWVhcj4yMDA2PC9ZZWFyPjxS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</w:fldData>
          </w:fldChar>
        </w:r>
        <w:r w:rsidR="00E62798">
          <w:instrText xml:space="preserve"> ADDIN EN.CITE </w:instrText>
        </w:r>
        <w:r w:rsidR="00E62798">
          <w:fldChar w:fldCharType="begin">
            <w:fldData xml:space="preserve">PEVuZE5vdGU+PENpdGU+PEF1dGhvcj5Bcm5vbGQ8L0F1dGhvcj48WWVhcj4yMDA2PC9ZZWFyPjxS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178-183</w:t>
        </w:r>
        <w:r w:rsidR="00E62798">
          <w:fldChar w:fldCharType="end"/>
        </w:r>
      </w:hyperlink>
      <w:r w:rsidRPr="002B1B71">
        <w:t xml:space="preserve"> </w:t>
      </w:r>
      <w:r w:rsidR="007C0583" w:rsidRPr="007C0583">
        <w:t>A further two Level I studies</w:t>
      </w:r>
      <w:hyperlink w:anchor="_ENREF_184" w:tooltip="Basta, 2012 #1117" w:history="1">
        <w:r w:rsidR="00E62798">
          <w:fldChar w:fldCharType="begin">
            <w:fldData xml:space="preserve">PEVuZE5vdGU+PENpdGU+PEF1dGhvcj5CYXN0YTwvQXV0aG9yPjxZZWFyPjIwMTI8L1llYXI+PFJl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</w:fldData>
          </w:fldChar>
        </w:r>
        <w:r w:rsidR="00E62798">
          <w:instrText xml:space="preserve"> ADDIN EN.CITE </w:instrText>
        </w:r>
        <w:r w:rsidR="00E62798">
          <w:fldChar w:fldCharType="begin">
            <w:fldData xml:space="preserve">PEVuZE5vdGU+PENpdGU+PEF1dGhvcj5CYXN0YTwvQXV0aG9yPjxZZWFyPjIwMTI8L1llYXI+PFJl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184-185</w:t>
        </w:r>
        <w:r w:rsidR="00E62798">
          <w:fldChar w:fldCharType="end"/>
        </w:r>
      </w:hyperlink>
      <w:r w:rsidR="007C0583">
        <w:t xml:space="preserve"> </w:t>
      </w:r>
      <w:r w:rsidR="007C0583" w:rsidRPr="007C0583">
        <w:t>were identified in the review but did not provide any data additional to the included Level I studies. Thirty included Level II studies reviewed the evidence for the use of antifibrinolytics in paediatric patients undergoing a variety of surgeries including cardiac, scoliosis, craniofacial, and ear, nose and throat (ENT) surgery.</w:t>
      </w:r>
    </w:p>
    <w:p w14:paraId="11DDB46B" w14:textId="44B266E3" w:rsidR="00175B8E" w:rsidRDefault="00175B8E" w:rsidP="009E34D1">
      <w:pPr>
        <w:pStyle w:val="Bullet6"/>
        <w:rPr>
          <w:lang w:val="en-GB" w:eastAsia="en-GB"/>
        </w:rPr>
      </w:pPr>
      <w:r w:rsidRPr="009E34D1">
        <w:rPr>
          <w:i/>
        </w:rPr>
        <w:t>Cardiac surgery</w:t>
      </w:r>
      <w:r w:rsidR="009E34D1">
        <w:rPr>
          <w:lang w:val="en-AU"/>
        </w:rPr>
        <w:t xml:space="preserve"> – </w:t>
      </w:r>
      <w:r>
        <w:rPr>
          <w:lang w:val="en-GB" w:eastAsia="en-GB"/>
        </w:rPr>
        <w:t>T</w:t>
      </w:r>
      <w:r w:rsidR="00FF1963">
        <w:rPr>
          <w:lang w:val="en-GB" w:eastAsia="en-GB"/>
        </w:rPr>
        <w:t>hree</w:t>
      </w:r>
      <w:r w:rsidR="009E34D1">
        <w:rPr>
          <w:lang w:val="en-GB" w:eastAsia="en-GB"/>
        </w:rPr>
        <w:t xml:space="preserve"> good-quality Level I studies </w:t>
      </w:r>
      <w:r>
        <w:rPr>
          <w:lang w:val="en-GB" w:eastAsia="en-GB"/>
        </w:rPr>
        <w:t>provided the evidence</w:t>
      </w:r>
      <w:r w:rsidRPr="00E0237E">
        <w:rPr>
          <w:lang w:val="en-GB" w:eastAsia="en-GB"/>
        </w:rPr>
        <w:t xml:space="preserve"> </w:t>
      </w:r>
      <w:r>
        <w:rPr>
          <w:lang w:val="en-GB" w:eastAsia="en-GB"/>
        </w:rPr>
        <w:t>for paediatric patients undergoing cardiac surgery.</w:t>
      </w:r>
      <w:r w:rsidR="00E62798">
        <w:rPr>
          <w:lang w:val="en-GB" w:eastAsia="en-GB"/>
        </w:rPr>
        <w:fldChar w:fldCharType="begin">
          <w:fldData xml:space="preserve">PEVuZE5vdGU+PENpdGU+PEF1dGhvcj5GYXJhb25pPC9BdXRob3I+PFllYXI+MjAxNDwvWWVhcj48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</w:fldData>
        </w:fldChar>
      </w:r>
      <w:r w:rsidR="00E62798">
        <w:rPr>
          <w:lang w:val="en-GB" w:eastAsia="en-GB"/>
        </w:rPr>
        <w:instrText xml:space="preserve"> ADDIN EN.CITE </w:instrText>
      </w:r>
      <w:r w:rsidR="00E62798">
        <w:rPr>
          <w:lang w:val="en-GB" w:eastAsia="en-GB"/>
        </w:rPr>
        <w:fldChar w:fldCharType="begin">
          <w:fldData xml:space="preserve">PEVuZE5vdGU+PENpdGU+PEF1dGhvcj5GYXJhb25pPC9BdXRob3I+PFllYXI+MjAxNDwvWWVhcj48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hyperlink w:anchor="_ENREF_178" w:tooltip="Arnold, 2006 #844" w:history="1">
        <w:r w:rsidR="00E62798" w:rsidRPr="00E62798">
          <w:rPr>
            <w:noProof/>
            <w:vertAlign w:val="superscript"/>
            <w:lang w:val="en-GB" w:eastAsia="en-GB"/>
          </w:rPr>
          <w:t>178-179</w:t>
        </w:r>
      </w:hyperlink>
      <w:r w:rsidR="00E62798" w:rsidRPr="00E62798">
        <w:rPr>
          <w:noProof/>
          <w:vertAlign w:val="superscript"/>
          <w:lang w:val="en-GB" w:eastAsia="en-GB"/>
        </w:rPr>
        <w:t xml:space="preserve">; </w:t>
      </w:r>
      <w:hyperlink w:anchor="_ENREF_181" w:tooltip="Schouten, 2009 #916" w:history="1">
        <w:r w:rsidR="00E62798" w:rsidRPr="00E62798">
          <w:rPr>
            <w:noProof/>
            <w:vertAlign w:val="superscript"/>
            <w:lang w:val="en-GB" w:eastAsia="en-GB"/>
          </w:rPr>
          <w:t>181</w:t>
        </w:r>
      </w:hyperlink>
      <w:r w:rsidR="00E62798">
        <w:rPr>
          <w:lang w:val="en-GB" w:eastAsia="en-GB"/>
        </w:rPr>
        <w:fldChar w:fldCharType="end"/>
      </w:r>
      <w:r>
        <w:rPr>
          <w:lang w:val="en-GB" w:eastAsia="en-GB"/>
        </w:rPr>
        <w:t xml:space="preserve"> </w:t>
      </w:r>
      <w:r w:rsidR="009E34D1">
        <w:rPr>
          <w:lang w:val="en-GB" w:eastAsia="en-GB"/>
        </w:rPr>
        <w:t xml:space="preserve">One </w:t>
      </w:r>
      <w:r>
        <w:rPr>
          <w:lang w:val="en-GB" w:eastAsia="en-GB"/>
        </w:rPr>
        <w:t xml:space="preserve">assessed aprotinin in paediatric patients aged </w:t>
      </w:r>
      <w:r w:rsidR="009E34D1">
        <w:rPr>
          <w:lang w:val="en-GB" w:eastAsia="en-GB"/>
        </w:rPr>
        <w:t>under</w:t>
      </w:r>
      <w:r>
        <w:rPr>
          <w:lang w:val="en-GB" w:eastAsia="en-GB"/>
        </w:rPr>
        <w:t xml:space="preserve"> 18 years with CHD undergoing open heart surgery with CPB.</w:t>
      </w:r>
      <w:hyperlink w:anchor="_ENREF_178" w:tooltip="Arnold, 2006 #844" w:history="1">
        <w:r w:rsidR="00E62798">
          <w:rPr>
            <w:lang w:val="en-GB" w:eastAsia="en-GB"/>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lang w:val="en-GB" w:eastAsia="en-GB"/>
          </w:rPr>
          <w:instrText xml:space="preserve"> ADDIN EN.CITE </w:instrText>
        </w:r>
        <w:r w:rsidR="00E62798">
          <w:rPr>
            <w:lang w:val="en-GB" w:eastAsia="en-GB"/>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178</w:t>
        </w:r>
        <w:r w:rsidR="00E62798">
          <w:rPr>
            <w:lang w:val="en-GB" w:eastAsia="en-GB"/>
          </w:rPr>
          <w:fldChar w:fldCharType="end"/>
        </w:r>
      </w:hyperlink>
      <w:r>
        <w:rPr>
          <w:lang w:val="en-GB" w:eastAsia="en-GB"/>
        </w:rPr>
        <w:t xml:space="preserve"> </w:t>
      </w:r>
      <w:r w:rsidR="009E34D1">
        <w:rPr>
          <w:lang w:val="en-GB" w:eastAsia="en-GB"/>
        </w:rPr>
        <w:t>It</w:t>
      </w:r>
      <w:r>
        <w:rPr>
          <w:lang w:val="en-GB" w:eastAsia="en-GB"/>
        </w:rPr>
        <w:t xml:space="preserve"> included 12</w:t>
      </w:r>
      <w:r w:rsidRPr="00E0237E">
        <w:rPr>
          <w:lang w:val="en-GB" w:eastAsia="en-GB"/>
        </w:rPr>
        <w:t xml:space="preserve"> RCTs </w:t>
      </w:r>
      <w:r>
        <w:rPr>
          <w:lang w:val="en-GB" w:eastAsia="en-GB"/>
        </w:rPr>
        <w:t xml:space="preserve">involving 626 infants and children. </w:t>
      </w:r>
      <w:r w:rsidR="009E34D1">
        <w:rPr>
          <w:lang w:val="en-GB" w:eastAsia="en-GB"/>
        </w:rPr>
        <w:t>The other</w:t>
      </w:r>
      <w:r>
        <w:rPr>
          <w:lang w:val="en-GB" w:eastAsia="en-GB"/>
        </w:rPr>
        <w:t xml:space="preserve"> assessed TXA in paediatric patients </w:t>
      </w:r>
      <w:r w:rsidR="009E34D1">
        <w:rPr>
          <w:lang w:val="en-GB" w:eastAsia="en-GB"/>
        </w:rPr>
        <w:t>aged under</w:t>
      </w:r>
      <w:r>
        <w:rPr>
          <w:lang w:val="en-GB" w:eastAsia="en-GB"/>
        </w:rPr>
        <w:t xml:space="preserve"> 18 years undergoing cardiac surgery and included data from </w:t>
      </w:r>
      <w:r w:rsidR="009E34D1">
        <w:rPr>
          <w:lang w:val="en-GB" w:eastAsia="en-GB"/>
        </w:rPr>
        <w:t>eight</w:t>
      </w:r>
      <w:r>
        <w:rPr>
          <w:lang w:val="en-GB" w:eastAsia="en-GB"/>
        </w:rPr>
        <w:t xml:space="preserve"> RCTs involving </w:t>
      </w:r>
      <w:r w:rsidRPr="00E0237E">
        <w:rPr>
          <w:lang w:val="en-GB" w:eastAsia="en-GB"/>
        </w:rPr>
        <w:t xml:space="preserve">848 </w:t>
      </w:r>
      <w:r>
        <w:rPr>
          <w:lang w:val="en-GB" w:eastAsia="en-GB"/>
        </w:rPr>
        <w:t>infants and children.</w:t>
      </w:r>
      <w:hyperlink w:anchor="_ENREF_179" w:tooltip="Faraoni, 2014 #871" w:history="1">
        <w:r w:rsidR="00E62798">
          <w:rPr>
            <w:lang w:val="en-GB" w:eastAsia="en-GB"/>
          </w:rPr>
          <w:fldChar w:fldCharType="begin">
            <w:fldData xml:space="preserve">PEVuZE5vdGU+PENpdGU+PEF1dGhvcj5GYXJhb25pPC9BdXRob3I+PFllYXI+MjAxNDwvWWVhcj48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=
</w:fldData>
          </w:fldChar>
        </w:r>
        <w:r w:rsidR="00E62798">
          <w:rPr>
            <w:lang w:val="en-GB" w:eastAsia="en-GB"/>
          </w:rPr>
          <w:instrText xml:space="preserve"> ADDIN EN.CITE </w:instrText>
        </w:r>
        <w:r w:rsidR="00E62798">
          <w:rPr>
            <w:lang w:val="en-GB" w:eastAsia="en-GB"/>
          </w:rPr>
          <w:fldChar w:fldCharType="begin">
            <w:fldData xml:space="preserve">PEVuZE5vdGU+PENpdGU+PEF1dGhvcj5GYXJhb25pPC9BdXRob3I+PFllYXI+MjAxNDwvWWVhcj48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=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179</w:t>
        </w:r>
        <w:r w:rsidR="00E62798">
          <w:rPr>
            <w:lang w:val="en-GB" w:eastAsia="en-GB"/>
          </w:rPr>
          <w:fldChar w:fldCharType="end"/>
        </w:r>
      </w:hyperlink>
      <w:r>
        <w:rPr>
          <w:lang w:val="en-GB" w:eastAsia="en-GB"/>
        </w:rPr>
        <w:t xml:space="preserve"> </w:t>
      </w:r>
    </w:p>
    <w:p w14:paraId="3965E822" w14:textId="3DEE3EE8" w:rsidR="00175B8E" w:rsidRPr="009E34D1" w:rsidRDefault="00175B8E" w:rsidP="00820A5E">
      <w:pPr>
        <w:pStyle w:val="Bullet6"/>
        <w:rPr>
          <w:lang w:val="en-GB" w:eastAsia="en-GB"/>
        </w:rPr>
      </w:pPr>
      <w:r w:rsidRPr="009E34D1">
        <w:rPr>
          <w:i/>
        </w:rPr>
        <w:t>Scoliosis surgery</w:t>
      </w:r>
      <w:r w:rsidDel="00966ECA">
        <w:t xml:space="preserve"> </w:t>
      </w:r>
      <w:r w:rsidR="009E34D1" w:rsidRPr="009E34D1">
        <w:rPr>
          <w:lang w:val="en-AU"/>
        </w:rPr>
        <w:t>–</w:t>
      </w:r>
      <w:r w:rsidR="009E34D1">
        <w:rPr>
          <w:lang w:val="en-AU"/>
        </w:rPr>
        <w:t xml:space="preserve"> </w:t>
      </w:r>
      <w:r w:rsidR="009E34D1" w:rsidRPr="009E34D1">
        <w:rPr>
          <w:lang w:val="en-GB" w:eastAsia="en-GB"/>
        </w:rPr>
        <w:t>One good-</w:t>
      </w:r>
      <w:r w:rsidRPr="009E34D1">
        <w:rPr>
          <w:lang w:val="en-GB" w:eastAsia="en-GB"/>
        </w:rPr>
        <w:t xml:space="preserve">quality </w:t>
      </w:r>
      <w:r w:rsidR="009E34D1" w:rsidRPr="009E34D1">
        <w:rPr>
          <w:lang w:val="en-GB" w:eastAsia="en-GB"/>
        </w:rPr>
        <w:t xml:space="preserve">Level I study </w:t>
      </w:r>
      <w:r w:rsidRPr="009E34D1">
        <w:rPr>
          <w:lang w:val="en-GB" w:eastAsia="en-GB"/>
        </w:rPr>
        <w:t>provide</w:t>
      </w:r>
      <w:r w:rsidR="009E34D1" w:rsidRPr="009E34D1">
        <w:rPr>
          <w:lang w:val="en-GB" w:eastAsia="en-GB"/>
        </w:rPr>
        <w:t xml:space="preserve">d evidence for </w:t>
      </w:r>
      <w:r w:rsidRPr="009E34D1">
        <w:rPr>
          <w:lang w:val="en-GB" w:eastAsia="en-GB"/>
        </w:rPr>
        <w:t>the effect of antifibrinolytics (aprotinin, TXA or EACA) in paediatric patient</w:t>
      </w:r>
      <w:r w:rsidR="009E34D1" w:rsidRPr="009E34D1">
        <w:rPr>
          <w:lang w:val="en-GB" w:eastAsia="en-GB"/>
        </w:rPr>
        <w:t>s undergoing scoliosis surgery.</w:t>
      </w:r>
      <w:hyperlink w:anchor="_ENREF_183" w:tooltip="Tzortzopoulou, 2008 #926" w:history="1">
        <w:r w:rsidR="00E62798">
          <w:rPr>
            <w:lang w:val="en-GB" w:eastAsia="en-GB"/>
          </w:rPr>
          <w:fldChar w:fldCharType="begin"/>
        </w:r>
        <w:r w:rsidR="00E62798">
          <w:rPr>
            <w:lang w:val="en-GB" w:eastAsia="en-GB"/>
          </w:rPr>
          <w:instrText xml:space="preserve"> ADDIN EN.CITE &lt;EndNote&gt;&lt;Cite&gt;&lt;Author&gt;Tzortzopoulou&lt;/Author&gt;&lt;Year&gt;2008&lt;/Year&gt;&lt;RecNum&gt;926&lt;/RecNum&gt;&lt;DisplayText&gt;&lt;style face="superscript"&gt;183&lt;/style&gt;&lt;/DisplayText&gt;&lt;record&gt;&lt;rec-number&gt;926&lt;/rec-number&gt;&lt;foreign-keys&gt;&lt;key app="EN" db-id="9edve2wadsavt5ewavaxtda4f2tavzvts9ee" timestamp="1435036188"&gt;926&lt;/key&gt;&lt;/foreign-keys&gt;&lt;ref-type name="Journal Article"&gt;17&lt;/ref-type&gt;&lt;contributors&gt;&lt;authors&gt;&lt;author&gt;Tzortzopoulou, Aikaterini&lt;/author&gt;&lt;author&gt;Cepeda, M. Soledad&lt;/author&gt;&lt;author&gt;Schumann, Roman&lt;/author&gt;&lt;author&gt;Carr, Daniel B.&lt;/author&gt;&lt;/authors&gt;&lt;/contributors&gt;&lt;titles&gt;&lt;title&gt;Antifibrinolytic agents for reducing blood loss in scoliosis surgery in children&lt;/title&gt;&lt;secondary-title&gt;Cochrane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FILE&lt;/reprint-edition&gt;&lt;keywords&gt;&lt;keyword&gt;age&lt;/keyword&gt;&lt;keyword&gt;aminocaproic acid&lt;/keyword&gt;&lt;keyword&gt;antifibrinolytic agent&lt;/keyword&gt;&lt;keyword&gt;aprotinin&lt;/keyword&gt;&lt;keyword&gt;blood&lt;/keyword&gt;&lt;keyword&gt;blood transfusion&lt;/keyword&gt;&lt;keyword&gt;clinical trial&lt;/keyword&gt;&lt;keyword&gt;Cochrane Library&lt;/keyword&gt;&lt;keyword&gt;Cochrane Reviews&lt;/keyword&gt;&lt;keyword&gt;Cochrane12Mar14&lt;/keyword&gt;&lt;keyword&gt;data extraction&lt;/keyword&gt;&lt;keyword&gt;death&lt;/keyword&gt;&lt;keyword&gt;Embase&lt;/keyword&gt;&lt;keyword&gt;language&lt;/keyword&gt;&lt;keyword&gt;Medline&lt;/keyword&gt;&lt;keyword&gt;mortality&lt;/keyword&gt;&lt;keyword&gt;patient&lt;/keyword&gt;&lt;keyword&gt;placebo&lt;/keyword&gt;&lt;keyword&gt;publication&lt;/keyword&gt;&lt;keyword&gt;randomized controlled trial&lt;/keyword&gt;&lt;keyword&gt;review&lt;/keyword&gt;&lt;keyword&gt;risk&lt;/keyword&gt;&lt;keyword&gt;safety&lt;/keyword&gt;&lt;keyword&gt;scoliosis&lt;/keyword&gt;&lt;keyword&gt;surgery&lt;/keyword&gt;&lt;keyword&gt;systematic review&lt;/keyword&gt;&lt;keyword&gt;tranexamic acid&lt;/keyword&gt;&lt;keyword&gt;transfusion&lt;/keyword&gt;&lt;/keywords&gt;&lt;dates&gt;&lt;year&gt;2008&lt;/year&gt;&lt;/dates&gt;&lt;urls&gt;&lt;/urls&gt;&lt;/record&gt;&lt;/Cite&gt;&lt;/EndNote&gt;</w:instrText>
        </w:r>
        <w:r w:rsidR="00E62798">
          <w:rPr>
            <w:lang w:val="en-GB" w:eastAsia="en-GB"/>
          </w:rPr>
          <w:fldChar w:fldCharType="separate"/>
        </w:r>
        <w:r w:rsidR="00E62798" w:rsidRPr="00E62798">
          <w:rPr>
            <w:noProof/>
            <w:vertAlign w:val="superscript"/>
            <w:lang w:val="en-GB" w:eastAsia="en-GB"/>
          </w:rPr>
          <w:t>183</w:t>
        </w:r>
        <w:r w:rsidR="00E62798">
          <w:rPr>
            <w:lang w:val="en-GB" w:eastAsia="en-GB"/>
          </w:rPr>
          <w:fldChar w:fldCharType="end"/>
        </w:r>
      </w:hyperlink>
    </w:p>
    <w:p w14:paraId="005D209B" w14:textId="3F00B3D4" w:rsidR="00175B8E" w:rsidRDefault="00175B8E" w:rsidP="009E34D1">
      <w:pPr>
        <w:pStyle w:val="Bullet6"/>
        <w:rPr>
          <w:lang w:val="en-GB" w:eastAsia="en-GB"/>
        </w:rPr>
      </w:pPr>
      <w:r w:rsidRPr="009E34D1">
        <w:rPr>
          <w:i/>
        </w:rPr>
        <w:t>Craniofacial surgery</w:t>
      </w:r>
      <w:r w:rsidR="009E34D1">
        <w:rPr>
          <w:lang w:val="en-AU"/>
        </w:rPr>
        <w:t xml:space="preserve"> – One </w:t>
      </w:r>
      <w:r w:rsidR="009E34D1">
        <w:rPr>
          <w:lang w:val="en-GB" w:eastAsia="en-GB"/>
        </w:rPr>
        <w:t xml:space="preserve">fair-quality Level I study </w:t>
      </w:r>
      <w:r>
        <w:rPr>
          <w:lang w:val="en-GB" w:eastAsia="en-GB"/>
        </w:rPr>
        <w:t>provided evidence for the effect of antifibrinolytics in paediatric patients undergoing craniofacial surgery.</w:t>
      </w:r>
      <w:hyperlink w:anchor="_ENREF_182" w:tooltip="Song, 2013 #923" w:history="1">
        <w:r w:rsidR="00E62798">
          <w:rPr>
            <w:lang w:val="en-GB" w:eastAsia="en-GB"/>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lang w:val="en-GB" w:eastAsia="en-GB"/>
          </w:rPr>
          <w:instrText xml:space="preserve"> ADDIN EN.CITE </w:instrText>
        </w:r>
        <w:r w:rsidR="00E62798">
          <w:rPr>
            <w:lang w:val="en-GB" w:eastAsia="en-GB"/>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182</w:t>
        </w:r>
        <w:r w:rsidR="00E62798">
          <w:rPr>
            <w:lang w:val="en-GB" w:eastAsia="en-GB"/>
          </w:rPr>
          <w:fldChar w:fldCharType="end"/>
        </w:r>
      </w:hyperlink>
    </w:p>
    <w:p w14:paraId="335B49C4" w14:textId="1F71744B" w:rsidR="00175B8E" w:rsidRDefault="00175B8E" w:rsidP="00915542">
      <w:pPr>
        <w:pStyle w:val="Bullet12"/>
      </w:pPr>
      <w:r w:rsidRPr="009E34D1">
        <w:rPr>
          <w:i/>
        </w:rPr>
        <w:t>ENT surgery</w:t>
      </w:r>
      <w:r>
        <w:t xml:space="preserve"> </w:t>
      </w:r>
      <w:r w:rsidR="009E34D1">
        <w:t>– One good-quality Level I study a</w:t>
      </w:r>
      <w:r>
        <w:t>ssessed the effect of t</w:t>
      </w:r>
      <w:r w:rsidRPr="00966ECA">
        <w:t xml:space="preserve">opical administration of TXA </w:t>
      </w:r>
      <w:r>
        <w:t xml:space="preserve">in patients of any </w:t>
      </w:r>
      <w:r w:rsidRPr="00966ECA">
        <w:t xml:space="preserve">age </w:t>
      </w:r>
      <w:r>
        <w:t>undergoing ENT surgery</w:t>
      </w:r>
      <w:r w:rsidRPr="00966ECA">
        <w:t>.</w:t>
      </w:r>
      <w:hyperlink w:anchor="_ENREF_180" w:tooltip="Ker, 2013 #889" w:history="1">
        <w:r w:rsidR="00E62798">
          <w:fldChar w:fldCharType="begin"/>
        </w:r>
        <w:r w:rsidR="00E62798">
          <w:instrText xml:space="preserve"> ADDIN EN.CITE &lt;EndNote&gt;&lt;Cite&gt;&lt;Author&gt;Ker&lt;/Author&gt;&lt;Year&gt;2013&lt;/Year&gt;&lt;RecNum&gt;889&lt;/RecNum&gt;&lt;DisplayText&gt;&lt;style face="superscript"&gt;180&lt;/style&gt;&lt;/DisplayText&gt;&lt;record&gt;&lt;rec-number&gt;889&lt;/rec-number&gt;&lt;foreign-keys&gt;&lt;key app="EN" db-id="9edve2wadsavt5ewavaxtda4f2tavzvts9ee" timestamp="1435036188"&gt;889&lt;/key&gt;&lt;/foreign-keys&gt;&lt;ref-type name="Journal Article"&gt;17&lt;/ref-type&gt;&lt;contributors&gt;&lt;authors&gt;&lt;author&gt;Ker, K.&lt;/author&gt;&lt;author&gt;Beecher, D.&lt;/author&gt;&lt;author&gt;Roberts, I.&lt;/author&gt;&lt;/authors&gt;&lt;/contributors&gt;&lt;titles&gt;&lt;title&gt;Topical application of tranexamic acid for the reduction of bleeding&lt;/title&gt;&lt;secondary-title&gt;Cochrane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FILE&lt;/reprint-edition&gt;&lt;keywords&gt;&lt;keyword&gt;Administration,Topical&lt;/keyword&gt;&lt;keyword&gt;Antifibrinolytic Agents .administration &amp;amp; dosage&lt;/keyword&gt;&lt;keyword&gt;bleeding&lt;/keyword&gt;&lt;keyword&gt;blood&lt;/keyword&gt;&lt;keyword&gt;Blood Loss,Surgical .prevention &amp;amp; control&lt;/keyword&gt;&lt;keyword&gt;blood transfusion&lt;/keyword&gt;&lt;keyword&gt;Cochrane Library&lt;/keyword&gt;&lt;keyword&gt;Cochrane Reviews 4Nov2014&lt;/keyword&gt;&lt;keyword&gt;confidence interval&lt;/keyword&gt;&lt;keyword&gt;control&lt;/keyword&gt;&lt;keyword&gt;death&lt;/keyword&gt;&lt;keyword&gt;deep vein thrombosis&lt;/keyword&gt;&lt;keyword&gt;Embase&lt;/keyword&gt;&lt;keyword&gt;epistaxis&lt;/keyword&gt;&lt;keyword&gt;Epistaxis .drug therapy&lt;/keyword&gt;&lt;keyword&gt;Hemorrhage .drug therapy&lt;/keyword&gt;&lt;keyword&gt;Humans.checkword&lt;/keyword&gt;&lt;keyword&gt;injury&lt;/keyword&gt;&lt;keyword&gt;mortality&lt;/keyword&gt;&lt;keyword&gt;patient&lt;/keyword&gt;&lt;keyword&gt;placebo&lt;/keyword&gt;&lt;keyword&gt;Randomized Controlled Trials as Topic&lt;/keyword&gt;&lt;keyword&gt;register&lt;/keyword&gt;&lt;keyword&gt;risk&lt;/keyword&gt;&lt;keyword&gt;surgery&lt;/keyword&gt;&lt;keyword&gt;surgical patient&lt;/keyword&gt;&lt;keyword&gt;thrombosis&lt;/keyword&gt;&lt;keyword&gt;tranexamic acid&lt;/keyword&gt;&lt;keyword&gt;Tranexamic Acid .administration &amp;amp; dosage&lt;/keyword&gt;&lt;keyword&gt;transfusion&lt;/keyword&gt;&lt;keyword&gt;vein thrombosis&lt;/keyword&gt;&lt;/keywords&gt;&lt;dates&gt;&lt;year&gt;2013&lt;/year&gt;&lt;/dates&gt;&lt;urls&gt;&lt;/urls&gt;&lt;/record&gt;&lt;/Cite&gt;&lt;/EndNote&gt;</w:instrText>
        </w:r>
        <w:r w:rsidR="00E62798">
          <w:fldChar w:fldCharType="separate"/>
        </w:r>
        <w:r w:rsidR="00E62798" w:rsidRPr="00E62798">
          <w:rPr>
            <w:noProof/>
            <w:vertAlign w:val="superscript"/>
          </w:rPr>
          <w:t>180</w:t>
        </w:r>
        <w:r w:rsidR="00E62798">
          <w:fldChar w:fldCharType="end"/>
        </w:r>
      </w:hyperlink>
      <w:r>
        <w:t xml:space="preserve"> </w:t>
      </w:r>
      <w:r w:rsidR="009E34D1">
        <w:t>It</w:t>
      </w:r>
      <w:r>
        <w:t xml:space="preserve"> identified 29 RCTs, only one of which was in paediatric patients. </w:t>
      </w:r>
      <w:r w:rsidR="009E34D1">
        <w:t xml:space="preserve">It </w:t>
      </w:r>
      <w:r w:rsidR="00915542">
        <w:t xml:space="preserve">enrolled </w:t>
      </w:r>
      <w:r>
        <w:t xml:space="preserve">400 children undergoing primary isolated adenoidectomy and provided evidence for the effect of TXA in ENT surgery on transfusion incidence and blood loss. </w:t>
      </w:r>
    </w:p>
    <w:p w14:paraId="5029BE2C" w14:textId="5DD0B326" w:rsidR="00175B8E" w:rsidRDefault="00175B8E" w:rsidP="00915542">
      <w:pPr>
        <w:pStyle w:val="Normalbeforebullet"/>
      </w:pPr>
      <w:r>
        <w:t xml:space="preserve">The systematic review identified </w:t>
      </w:r>
      <w:r w:rsidR="009E34D1">
        <w:t>12 Level II studies, additional</w:t>
      </w:r>
      <w:r>
        <w:t xml:space="preserve"> to the 30 Level II studies identified and assessed by t</w:t>
      </w:r>
      <w:r w:rsidR="00915542">
        <w:t>he included Level I studies. Those</w:t>
      </w:r>
      <w:r>
        <w:t xml:space="preserve"> studies were in patients undergoing either cardiac, scoliosis, craniofacial or ENT surgery</w:t>
      </w:r>
      <w:r w:rsidR="0097590E">
        <w:t>.</w:t>
      </w:r>
    </w:p>
    <w:p w14:paraId="6C718575" w14:textId="24D79C86" w:rsidR="00175B8E" w:rsidRDefault="00175B8E" w:rsidP="009E34D1">
      <w:pPr>
        <w:pStyle w:val="Bullet6"/>
      </w:pPr>
      <w:r>
        <w:t>Seven additional Level II studies provided evidence for paediatric patients undergoing cardiac surgery.</w:t>
      </w:r>
      <w:hyperlink w:anchor="_ENREF_186" w:tooltip="Aggarwal, 2012 #838" w:history="1">
        <w:r w:rsidR="00E62798">
          <w:fldChar w:fldCharType="begin">
            <w:fldData xml:space="preserve">PEVuZE5vdGU+PENpdGU+PEF1dGhvcj5BZ2dhcndhbDwvQXV0aG9yPjxZZWFyPjIwMTI8L1llYXI+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</w:fldData>
          </w:fldChar>
        </w:r>
        <w:r w:rsidR="00E62798">
          <w:instrText xml:space="preserve"> ADDIN EN.CITE </w:instrText>
        </w:r>
        <w:r w:rsidR="00E62798">
          <w:fldChar w:fldCharType="begin">
            <w:fldData xml:space="preserve">PEVuZE5vdGU+PENpdGU+PEF1dGhvcj5BZ2dhcndhbDwvQXV0aG9yPjxZZWFyPjIwMTI8L1llYXI+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186-192</w:t>
        </w:r>
        <w:r w:rsidR="00E62798">
          <w:fldChar w:fldCharType="end"/>
        </w:r>
      </w:hyperlink>
      <w:r>
        <w:t xml:space="preserve"> All were fair to poor quality. </w:t>
      </w:r>
    </w:p>
    <w:p w14:paraId="5A19D3C9" w14:textId="32233958" w:rsidR="00175B8E" w:rsidRDefault="00175B8E" w:rsidP="009E34D1">
      <w:pPr>
        <w:pStyle w:val="Bullet6"/>
      </w:pPr>
      <w:r>
        <w:t>T</w:t>
      </w:r>
      <w:r w:rsidR="00915542">
        <w:t xml:space="preserve">wo additional Level II studies </w:t>
      </w:r>
      <w:r>
        <w:t>provided evidence for paediatric patients undergoing scoliosis surgery</w:t>
      </w:r>
      <w:r w:rsidR="00915542">
        <w:rPr>
          <w:lang w:val="en-AU"/>
        </w:rPr>
        <w:t>, one of p</w:t>
      </w:r>
      <w:r>
        <w:t>oor quality</w:t>
      </w:r>
      <w:hyperlink w:anchor="_ENREF_193" w:tooltip="Thompson, 2005 #925" w:history="1">
        <w:r w:rsidR="00E62798">
          <w:fldChar w:fldCharType="begin"/>
        </w:r>
        <w:r w:rsidR="00E62798">
          <w:instrText xml:space="preserve"> ADDIN EN.CITE &lt;EndNote&gt;&lt;Cite&gt;&lt;Author&gt;Thompson&lt;/Author&gt;&lt;Year&gt;2005&lt;/Year&gt;&lt;RecNum&gt;925&lt;/RecNum&gt;&lt;DisplayText&gt;&lt;style face="superscript"&gt;193&lt;/style&gt;&lt;/DisplayText&gt;&lt;record&gt;&lt;rec-number&gt;925&lt;/rec-number&gt;&lt;foreign-keys&gt;&lt;key app="EN" db-id="9edve2wadsavt5ewavaxtda4f2tavzvts9ee" timestamp="1435036188"&gt;925&lt;/key&gt;&lt;/foreign-keys&gt;&lt;ref-type name="Generic"&gt;13&lt;/ref-type&gt;&lt;contributors&gt;&lt;authors&gt;&lt;author&gt;Thompson, G. H.&lt;/author&gt;&lt;author&gt;Florentino-Pineda, I.&lt;/author&gt;&lt;author&gt;Poe-Kochert, C.&lt;/author&gt;&lt;/authors&gt;&lt;/contributors&gt;&lt;titles&gt;&lt;title&gt;The Role of Amicar in Decreasing Perioperative Blood Loss in Idiopathic Scoliosis  &lt;/title&gt;&lt;/titles&gt;&lt;pages&gt;S94–S99&lt;/pages&gt;&lt;volume&gt;30&lt;/volume&gt;&lt;reprint-edition&gt;NOT IN FILE&lt;/reprint-edition&gt;&lt;keywords&gt;&lt;keyword&gt;blood&lt;/keyword&gt;&lt;keyword&gt;scoliosis&lt;/keyword&gt;&lt;/keywords&gt;&lt;dates&gt;&lt;year&gt;2005&lt;/year&gt;&lt;/dates&gt;&lt;urls&gt;&lt;/urls&gt;&lt;/record&gt;&lt;/Cite&gt;&lt;/EndNote&gt;</w:instrText>
        </w:r>
        <w:r w:rsidR="00E62798">
          <w:fldChar w:fldCharType="separate"/>
        </w:r>
        <w:r w:rsidR="00E62798" w:rsidRPr="00E62798">
          <w:rPr>
            <w:noProof/>
            <w:vertAlign w:val="superscript"/>
          </w:rPr>
          <w:t>193</w:t>
        </w:r>
        <w:r w:rsidR="00E62798">
          <w:fldChar w:fldCharType="end"/>
        </w:r>
      </w:hyperlink>
      <w:r>
        <w:t xml:space="preserve"> </w:t>
      </w:r>
      <w:r w:rsidR="00915542">
        <w:rPr>
          <w:lang w:val="en-AU"/>
        </w:rPr>
        <w:t xml:space="preserve">and one </w:t>
      </w:r>
      <w:r>
        <w:t>of good quality</w:t>
      </w:r>
      <w:r w:rsidR="00820A5E">
        <w:rPr>
          <w:lang w:val="en-AU"/>
        </w:rPr>
        <w:t>.</w:t>
      </w:r>
      <w:hyperlink w:anchor="_ENREF_194" w:tooltip="Verma, 2014 #930" w:history="1">
        <w:r w:rsidR="00E62798">
          <w:rPr>
            <w:lang w:val="en-AU"/>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lang w:val="en-AU"/>
          </w:rPr>
          <w:instrText xml:space="preserve"> ADDIN EN.CITE </w:instrText>
        </w:r>
        <w:r w:rsidR="00E62798">
          <w:rPr>
            <w:lang w:val="en-AU"/>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lang w:val="en-AU"/>
          </w:rPr>
          <w:instrText xml:space="preserve"> ADDIN EN.CITE.DATA </w:instrText>
        </w:r>
        <w:r w:rsidR="00E62798">
          <w:rPr>
            <w:lang w:val="en-AU"/>
          </w:rPr>
        </w:r>
        <w:r w:rsidR="00E62798">
          <w:rPr>
            <w:lang w:val="en-AU"/>
          </w:rPr>
          <w:fldChar w:fldCharType="end"/>
        </w:r>
        <w:r w:rsidR="00E62798">
          <w:rPr>
            <w:lang w:val="en-AU"/>
          </w:rPr>
        </w:r>
        <w:r w:rsidR="00E62798">
          <w:rPr>
            <w:lang w:val="en-AU"/>
          </w:rPr>
          <w:fldChar w:fldCharType="separate"/>
        </w:r>
        <w:r w:rsidR="00E62798" w:rsidRPr="00E62798">
          <w:rPr>
            <w:noProof/>
            <w:vertAlign w:val="superscript"/>
            <w:lang w:val="en-AU"/>
          </w:rPr>
          <w:t>194</w:t>
        </w:r>
        <w:r w:rsidR="00E62798">
          <w:rPr>
            <w:lang w:val="en-AU"/>
          </w:rPr>
          <w:fldChar w:fldCharType="end"/>
        </w:r>
      </w:hyperlink>
      <w:r>
        <w:t xml:space="preserve"> </w:t>
      </w:r>
    </w:p>
    <w:p w14:paraId="2BDEB0A5" w14:textId="1ABA3BF6" w:rsidR="00175B8E" w:rsidRDefault="00175B8E" w:rsidP="009E34D1">
      <w:pPr>
        <w:pStyle w:val="Bullet6"/>
      </w:pPr>
      <w:r>
        <w:t>Two additional Level II studies provided evidence for paediatric patients undergoing craniofacial surgery</w:t>
      </w:r>
      <w:r w:rsidR="00820A5E">
        <w:rPr>
          <w:lang w:val="en-AU"/>
        </w:rPr>
        <w:t>:</w:t>
      </w:r>
      <w:r>
        <w:t xml:space="preserve"> a </w:t>
      </w:r>
      <w:r w:rsidR="0097590E">
        <w:t>fair</w:t>
      </w:r>
      <w:r w:rsidR="0097590E">
        <w:rPr>
          <w:lang w:val="en-AU"/>
        </w:rPr>
        <w:t>-</w:t>
      </w:r>
      <w:r>
        <w:t>quality RCT</w:t>
      </w:r>
      <w:hyperlink w:anchor="_ENREF_195" w:tooltip="Ahmed, 2014 #839" w:history="1">
        <w:r w:rsidR="00E62798">
          <w:fldChar w:fldCharType="begin"/>
        </w:r>
        <w:r w:rsidR="00E62798">
          <w:instrText xml:space="preserve"> ADDIN EN.CITE &lt;EndNote&gt;&lt;Cite&gt;&lt;Author&gt;Ahmed&lt;/Author&gt;&lt;Year&gt;2014&lt;/Year&gt;&lt;RecNum&gt;839&lt;/RecNum&gt;&lt;DisplayText&gt;&lt;style face="superscript"&gt;195&lt;/style&gt;&lt;/DisplayText&gt;&lt;record&gt;&lt;rec-number&gt;839&lt;/rec-number&gt;&lt;foreign-keys&gt;&lt;key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EndNote&gt;</w:instrText>
        </w:r>
        <w:r w:rsidR="00E62798">
          <w:fldChar w:fldCharType="separate"/>
        </w:r>
        <w:r w:rsidR="00E62798" w:rsidRPr="00E62798">
          <w:rPr>
            <w:noProof/>
            <w:vertAlign w:val="superscript"/>
          </w:rPr>
          <w:t>195</w:t>
        </w:r>
        <w:r w:rsidR="00E62798">
          <w:fldChar w:fldCharType="end"/>
        </w:r>
      </w:hyperlink>
      <w:r>
        <w:t xml:space="preserve"> and </w:t>
      </w:r>
      <w:r w:rsidR="00820A5E">
        <w:rPr>
          <w:lang w:val="en-AU"/>
        </w:rPr>
        <w:t>a</w:t>
      </w:r>
      <w:r w:rsidR="00820A5E">
        <w:t xml:space="preserve"> good-</w:t>
      </w:r>
      <w:r>
        <w:t>quality RCT.</w:t>
      </w:r>
      <w:hyperlink w:anchor="_ENREF_196" w:tooltip="D'Errico, 2003 #862" w:history="1">
        <w:r w:rsidR="00E62798">
          <w:fldChar w:fldCharType="begin"/>
        </w:r>
        <w:r w:rsidR="00E62798">
          <w:instrText xml:space="preserve"> ADDIN EN.CITE &lt;EndNote&gt;&lt;Cite&gt;&lt;Author&gt;D&amp;apos;Errico&lt;/Author&gt;&lt;Year&gt;2003&lt;/Year&gt;&lt;RecNum&gt;862&lt;/RecNum&gt;&lt;DisplayText&gt;&lt;style face="superscript"&gt;196&lt;/style&gt;&lt;/DisplayText&gt;&lt;record&gt;&lt;rec-number&gt;862&lt;/rec-number&gt;&lt;foreign-keys&gt;&lt;key app="EN" db-id="9edve2wadsavt5ewavaxtda4f2tavzvts9ee" timestamp="1435036188"&gt;862&lt;/key&gt;&lt;/foreign-keys&gt;&lt;ref-type name="Generic"&gt;13&lt;/ref-type&gt;&lt;contributors&gt;&lt;authors&gt;&lt;author&gt;D&amp;apos;Errico, C. C.&lt;/author&gt;&lt;author&gt;Munro, H. M.&lt;/author&gt;&lt;author&gt;Buchman, S. R.&lt;/author&gt;&lt;author&gt;Wagner, D.&lt;/author&gt;&lt;author&gt;Muraszko, K. M.&lt;/author&gt;&lt;/authors&gt;&lt;/contributors&gt;&lt;titles&gt;&lt;title&gt;Efficacy of aprotinin in children undergoing craniofacial surgery&lt;/title&gt;&lt;/titles&gt;&lt;pages&gt;287–290&lt;/pages&gt;&lt;volume&gt;99&lt;/volume&gt;&lt;reprint-edition&gt;NOT IN FILE&lt;/reprint-edition&gt;&lt;keywords&gt;&lt;keyword&gt;aprotinin&lt;/keyword&gt;&lt;/keywords&gt;&lt;dates&gt;&lt;year&gt;2003&lt;/year&gt;&lt;/dates&gt;&lt;urls&gt;&lt;/urls&gt;&lt;/record&gt;&lt;/Cite&gt;&lt;/EndNote&gt;</w:instrText>
        </w:r>
        <w:r w:rsidR="00E62798">
          <w:fldChar w:fldCharType="separate"/>
        </w:r>
        <w:r w:rsidR="00E62798" w:rsidRPr="00E62798">
          <w:rPr>
            <w:noProof/>
            <w:vertAlign w:val="superscript"/>
          </w:rPr>
          <w:t>196</w:t>
        </w:r>
        <w:r w:rsidR="00E62798">
          <w:fldChar w:fldCharType="end"/>
        </w:r>
      </w:hyperlink>
      <w:r>
        <w:t xml:space="preserve"> </w:t>
      </w:r>
    </w:p>
    <w:p w14:paraId="192B6FA1" w14:textId="65DCAE83" w:rsidR="00175B8E" w:rsidRDefault="00175B8E" w:rsidP="00820A5E">
      <w:pPr>
        <w:pStyle w:val="Bullet6"/>
      </w:pPr>
      <w:r>
        <w:t>T</w:t>
      </w:r>
      <w:r w:rsidR="00FF1963">
        <w:t>wo additional Level II studies p</w:t>
      </w:r>
      <w:r>
        <w:t>rovided evidence for paediatric patients undergoing ENT surgery</w:t>
      </w:r>
      <w:r w:rsidR="00820A5E">
        <w:rPr>
          <w:lang w:val="en-AU"/>
        </w:rPr>
        <w:t>: a</w:t>
      </w:r>
      <w:r>
        <w:t xml:space="preserve"> good</w:t>
      </w:r>
      <w:r w:rsidR="00820A5E">
        <w:rPr>
          <w:lang w:val="en-AU"/>
        </w:rPr>
        <w:t>-</w:t>
      </w:r>
      <w:r>
        <w:t xml:space="preserve">quality RCT and </w:t>
      </w:r>
      <w:r w:rsidR="00820A5E">
        <w:rPr>
          <w:lang w:val="en-AU"/>
        </w:rPr>
        <w:t xml:space="preserve">a </w:t>
      </w:r>
      <w:r>
        <w:t>fair</w:t>
      </w:r>
      <w:r w:rsidR="00820A5E">
        <w:rPr>
          <w:lang w:val="en-AU"/>
        </w:rPr>
        <w:t>-</w:t>
      </w:r>
      <w:r>
        <w:t>quality RCT.</w:t>
      </w:r>
      <w:hyperlink w:anchor="_ENREF_197" w:tooltip="Eldaba, 2013 #869" w:history="1">
        <w:r w:rsidR="00E62798">
          <w:fldChar w:fldCharType="begin"/>
        </w:r>
        <w:r w:rsidR="00E62798">
          <w:instrText xml:space="preserve"> ADDIN EN.CITE &lt;EndNote&gt;&lt;Cite&gt;&lt;Author&gt;Eldaba&lt;/Author&gt;&lt;Year&gt;2013&lt;/Year&gt;&lt;RecNum&gt;869&lt;/RecNum&gt;&lt;DisplayText&gt;&lt;style face="superscript"&gt;197&lt;/style&gt;&lt;/DisplayText&gt;&lt;record&gt;&lt;rec-number&gt;869&lt;/rec-number&gt;&lt;foreign-keys&gt;&lt;key app="EN" db-id="9edve2wadsavt5ewavaxtda4f2tavzvts9ee" timestamp="1435036188"&gt;869&lt;/key&gt;&lt;/foreign-keys&gt;&lt;ref-type name="Journal Article"&gt;17&lt;/ref-type&gt;&lt;contributors&gt;&lt;authors&gt;&lt;author&gt;Eldaba, A. A.&lt;/author&gt;&lt;author&gt;Amr, Y. M.&lt;/author&gt;&lt;author&gt;Albirmawy, O. A.&lt;/author&gt;&lt;/authors&gt;&lt;/contributors&gt;&lt;titles&gt;&lt;title&gt;Effects of tranexamic acid during endoscopic sinsus surgery in children&lt;/title&gt;&lt;secondary-title&gt;Saudi Journal of Anaesthesia&lt;/secondary-title&gt;&lt;/titles&gt;&lt;periodical&gt;&lt;full-title&gt;Saudi Journal of Anaesthesia&lt;/full-title&gt;&lt;/periodical&gt;&lt;pages&gt;229–233&lt;/pages&gt;&lt;volume&gt;7&lt;/volume&gt;&lt;reprint-edition&gt;NOT IN FILE&lt;/reprint-edition&gt;&lt;keywords&gt;&lt;keyword&gt;Cochrane Trials 4Nov2014&lt;/keyword&gt;&lt;keyword&gt;surgery&lt;/keyword&gt;&lt;keyword&gt;tranexamic acid&lt;/keyword&gt;&lt;/keywords&gt;&lt;dates&gt;&lt;year&gt;2013&lt;/year&gt;&lt;/dates&gt;&lt;urls&gt;&lt;related-urls&gt;&lt;url&gt;http://www.saudija.org/article.asp?issn=1658-354X;year=2013;volume=7;issue=3;spage=229;epage=233;aulast=Eldaba&lt;/url&gt;&lt;/related-urls&gt;&lt;/urls&gt;&lt;/record&gt;&lt;/Cite&gt;&lt;/EndNote&gt;</w:instrText>
        </w:r>
        <w:r w:rsidR="00E62798">
          <w:fldChar w:fldCharType="separate"/>
        </w:r>
        <w:r w:rsidR="00E62798" w:rsidRPr="00E62798">
          <w:rPr>
            <w:noProof/>
            <w:vertAlign w:val="superscript"/>
          </w:rPr>
          <w:t>197</w:t>
        </w:r>
        <w:r w:rsidR="00E62798">
          <w:fldChar w:fldCharType="end"/>
        </w:r>
      </w:hyperlink>
      <w:r>
        <w:t xml:space="preserve"> </w:t>
      </w:r>
    </w:p>
    <w:p w14:paraId="13846852" w14:textId="77777777" w:rsidR="00175B8E" w:rsidRPr="00957184" w:rsidRDefault="00175B8E" w:rsidP="00957184">
      <w:pPr>
        <w:pStyle w:val="Heading5"/>
      </w:pPr>
      <w:r w:rsidRPr="007F7EFE">
        <w:t>Mortality</w:t>
      </w:r>
    </w:p>
    <w:p w14:paraId="59A2C7F6" w14:textId="77777777" w:rsidR="00175B8E" w:rsidRPr="00E97877" w:rsidRDefault="00175B8E" w:rsidP="009E34D1">
      <w:pPr>
        <w:pStyle w:val="H6"/>
      </w:pPr>
      <w:r>
        <w:t>Cardiac surgery</w:t>
      </w:r>
    </w:p>
    <w:p w14:paraId="54DE0EB8" w14:textId="77777777" w:rsidR="00175B8E" w:rsidRDefault="00175B8E" w:rsidP="00175B8E">
      <w:r>
        <w:t>No included study reported a significant difference in mortality.</w:t>
      </w:r>
    </w:p>
    <w:p w14:paraId="65E78754" w14:textId="77777777" w:rsidR="00175B8E" w:rsidRPr="00E97877" w:rsidRDefault="00175B8E" w:rsidP="009E34D1">
      <w:pPr>
        <w:pStyle w:val="H6"/>
      </w:pPr>
      <w:r>
        <w:t>Scoliosis surgery</w:t>
      </w:r>
    </w:p>
    <w:p w14:paraId="7E3F7D39" w14:textId="77777777" w:rsidR="00175B8E" w:rsidRDefault="00175B8E" w:rsidP="00175B8E">
      <w:r>
        <w:t>N</w:t>
      </w:r>
      <w:r w:rsidRPr="00A214E8">
        <w:t xml:space="preserve">o deaths </w:t>
      </w:r>
      <w:r>
        <w:t>were reported in the included studies.</w:t>
      </w:r>
      <w:r w:rsidRPr="00A214E8">
        <w:t xml:space="preserve"> </w:t>
      </w:r>
    </w:p>
    <w:p w14:paraId="64B4007F" w14:textId="77777777" w:rsidR="00175B8E" w:rsidRPr="00E97877" w:rsidRDefault="00175B8E" w:rsidP="009E34D1">
      <w:pPr>
        <w:pStyle w:val="H6"/>
      </w:pPr>
      <w:r>
        <w:t>Craniofacial surgery</w:t>
      </w:r>
    </w:p>
    <w:p w14:paraId="6883EDAA" w14:textId="77777777" w:rsidR="00175B8E" w:rsidRDefault="00175B8E" w:rsidP="00175B8E">
      <w:r>
        <w:t>N</w:t>
      </w:r>
      <w:r w:rsidRPr="00A214E8">
        <w:t xml:space="preserve">o deaths </w:t>
      </w:r>
      <w:r>
        <w:t>were reported in the included studies.</w:t>
      </w:r>
      <w:r w:rsidRPr="00A214E8">
        <w:t xml:space="preserve"> </w:t>
      </w:r>
    </w:p>
    <w:p w14:paraId="28417152" w14:textId="77777777" w:rsidR="00175B8E" w:rsidRDefault="00175B8E" w:rsidP="009E34D1">
      <w:pPr>
        <w:pStyle w:val="H6"/>
      </w:pPr>
      <w:r w:rsidRPr="00B2388C">
        <w:t>ENT surgery</w:t>
      </w:r>
    </w:p>
    <w:p w14:paraId="71A5131B" w14:textId="77777777" w:rsidR="00175B8E" w:rsidRPr="000415E6" w:rsidRDefault="00175B8E" w:rsidP="00175B8E">
      <w:r>
        <w:t>No deaths were reported in the included study.</w:t>
      </w:r>
    </w:p>
    <w:p w14:paraId="64DAD51D" w14:textId="77777777" w:rsidR="00175B8E" w:rsidRDefault="00175B8E" w:rsidP="00957184">
      <w:pPr>
        <w:pStyle w:val="Heading5"/>
      </w:pPr>
      <w:r>
        <w:t xml:space="preserve">Transfusion volume and incidence </w:t>
      </w:r>
    </w:p>
    <w:p w14:paraId="3A2E9F5D" w14:textId="77777777" w:rsidR="00175B8E" w:rsidRDefault="00175B8E" w:rsidP="009E34D1">
      <w:pPr>
        <w:pStyle w:val="H6"/>
      </w:pPr>
      <w:r>
        <w:t xml:space="preserve">Cardiac surgery </w:t>
      </w:r>
    </w:p>
    <w:p w14:paraId="29A486DB" w14:textId="77777777" w:rsidR="00175B8E" w:rsidRPr="005C3DC7" w:rsidRDefault="00175B8E" w:rsidP="009E34D1">
      <w:pPr>
        <w:pStyle w:val="H7"/>
      </w:pPr>
      <w:r w:rsidRPr="005C3DC7">
        <w:t>Transfusion volume</w:t>
      </w:r>
    </w:p>
    <w:p w14:paraId="27D651C2" w14:textId="53212345" w:rsidR="00175B8E" w:rsidRDefault="00820A5E" w:rsidP="009E34D1">
      <w:pPr>
        <w:pStyle w:val="Bullet6"/>
        <w:rPr>
          <w:rFonts w:eastAsia="Arial Unicode MS"/>
        </w:rPr>
      </w:pPr>
      <w:r>
        <w:rPr>
          <w:lang w:val="en-AU" w:eastAsia="en-GB"/>
        </w:rPr>
        <w:t>A</w:t>
      </w:r>
      <w:r w:rsidR="00175B8E">
        <w:rPr>
          <w:rFonts w:eastAsia="Arial Unicode MS"/>
        </w:rPr>
        <w:t xml:space="preserve"> </w:t>
      </w:r>
      <w:r w:rsidR="00175B8E">
        <w:rPr>
          <w:lang w:eastAsia="en-GB"/>
        </w:rPr>
        <w:t>meta-analysis of</w:t>
      </w:r>
      <w:r w:rsidR="009E34D1">
        <w:rPr>
          <w:lang w:eastAsia="en-GB"/>
        </w:rPr>
        <w:t xml:space="preserve"> six</w:t>
      </w:r>
      <w:r w:rsidR="00175B8E" w:rsidRPr="00A57088">
        <w:rPr>
          <w:lang w:eastAsia="en-GB"/>
        </w:rPr>
        <w:t xml:space="preserve"> trials</w:t>
      </w:r>
      <w:r w:rsidR="00175B8E">
        <w:rPr>
          <w:rFonts w:eastAsia="Arial Unicode MS"/>
        </w:rPr>
        <w:t xml:space="preserve"> reported no </w:t>
      </w:r>
      <w:r w:rsidR="00175B8E" w:rsidRPr="00554A9C">
        <w:rPr>
          <w:rFonts w:eastAsia="Arial Unicode MS"/>
        </w:rPr>
        <w:t xml:space="preserve">significant difference in </w:t>
      </w:r>
      <w:r w:rsidR="00175B8E">
        <w:rPr>
          <w:rFonts w:eastAsia="Arial Unicode MS"/>
        </w:rPr>
        <w:t>blood transfusion volume</w:t>
      </w:r>
      <w:r w:rsidR="009E34D1">
        <w:rPr>
          <w:rFonts w:eastAsia="Arial Unicode MS"/>
        </w:rPr>
        <w:t>.</w:t>
      </w:r>
      <w:hyperlink w:anchor="_ENREF_178" w:tooltip="Arnold, 2006 #844" w:history="1">
        <w:r w:rsidR="00E62798">
          <w:rPr>
            <w:rFonts w:eastAsia="Arial Unicode MS"/>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eastAsia="Arial Unicode MS"/>
          </w:rPr>
          <w:instrText xml:space="preserve"> ADDIN EN.CITE </w:instrText>
        </w:r>
        <w:r w:rsidR="00E62798">
          <w:rPr>
            <w:rFonts w:eastAsia="Arial Unicode MS"/>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eastAsia="Arial Unicode MS"/>
          </w:rPr>
          <w:instrText xml:space="preserve"> ADDIN EN.CITE.DATA </w:instrText>
        </w:r>
        <w:r w:rsidR="00E62798">
          <w:rPr>
            <w:rFonts w:eastAsia="Arial Unicode MS"/>
          </w:rPr>
        </w:r>
        <w:r w:rsidR="00E62798">
          <w:rPr>
            <w:rFonts w:eastAsia="Arial Unicode MS"/>
          </w:rPr>
          <w:fldChar w:fldCharType="end"/>
        </w:r>
        <w:r w:rsidR="00E62798">
          <w:rPr>
            <w:rFonts w:eastAsia="Arial Unicode MS"/>
          </w:rPr>
        </w:r>
        <w:r w:rsidR="00E62798">
          <w:rPr>
            <w:rFonts w:eastAsia="Arial Unicode MS"/>
          </w:rPr>
          <w:fldChar w:fldCharType="separate"/>
        </w:r>
        <w:r w:rsidR="00E62798" w:rsidRPr="00E62798">
          <w:rPr>
            <w:rFonts w:eastAsia="Arial Unicode MS"/>
            <w:noProof/>
            <w:vertAlign w:val="superscript"/>
          </w:rPr>
          <w:t>178</w:t>
        </w:r>
        <w:r w:rsidR="00E62798">
          <w:rPr>
            <w:rFonts w:eastAsia="Arial Unicode MS"/>
          </w:rPr>
          <w:fldChar w:fldCharType="end"/>
        </w:r>
      </w:hyperlink>
    </w:p>
    <w:p w14:paraId="640B3CEA" w14:textId="219E1480" w:rsidR="00175B8E" w:rsidRDefault="00175B8E" w:rsidP="009E34D1">
      <w:pPr>
        <w:pStyle w:val="Bullet6"/>
        <w:rPr>
          <w:rFonts w:eastAsia="Arial Unicode MS"/>
        </w:rPr>
      </w:pPr>
      <w:r w:rsidRPr="00A6763A">
        <w:rPr>
          <w:lang w:eastAsia="en-GB"/>
        </w:rPr>
        <w:t>Faraoni</w:t>
      </w:r>
      <w:r w:rsidR="00820A5E">
        <w:rPr>
          <w:lang w:val="en-AU" w:eastAsia="en-GB"/>
        </w:rPr>
        <w:t xml:space="preserve"> et al</w:t>
      </w:r>
      <w:r w:rsidRPr="00A6763A">
        <w:rPr>
          <w:lang w:eastAsia="en-GB"/>
        </w:rPr>
        <w:t xml:space="preserve"> (</w:t>
      </w:r>
      <w:r>
        <w:rPr>
          <w:rFonts w:eastAsia="Arial Unicode MS"/>
        </w:rPr>
        <w:t>2012)</w:t>
      </w:r>
      <w:hyperlink w:anchor="_ENREF_179" w:tooltip="Faraoni, 2014 #871" w:history="1">
        <w:r w:rsidR="00E62798">
          <w:rPr>
            <w:rFonts w:eastAsia="Arial Unicode MS"/>
          </w:rPr>
          <w:fldChar w:fldCharType="begin">
            <w:fldData xml:space="preserve">PEVuZE5vdGU+PENpdGU+PEF1dGhvcj5GYXJhb25pPC9BdXRob3I+PFllYXI+MjAxNDwvWWVhcj48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=
</w:fldData>
          </w:fldChar>
        </w:r>
        <w:r w:rsidR="00E62798">
          <w:rPr>
            <w:rFonts w:eastAsia="Arial Unicode MS"/>
          </w:rPr>
          <w:instrText xml:space="preserve"> ADDIN EN.CITE </w:instrText>
        </w:r>
        <w:r w:rsidR="00E62798">
          <w:rPr>
            <w:rFonts w:eastAsia="Arial Unicode MS"/>
          </w:rPr>
          <w:fldChar w:fldCharType="begin">
            <w:fldData xml:space="preserve">PEVuZE5vdGU+PENpdGU+PEF1dGhvcj5GYXJhb25pPC9BdXRob3I+PFllYXI+MjAxNDwvWWVhcj48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=
</w:fldData>
          </w:fldChar>
        </w:r>
        <w:r w:rsidR="00E62798">
          <w:rPr>
            <w:rFonts w:eastAsia="Arial Unicode MS"/>
          </w:rPr>
          <w:instrText xml:space="preserve"> ADDIN EN.CITE.DATA </w:instrText>
        </w:r>
        <w:r w:rsidR="00E62798">
          <w:rPr>
            <w:rFonts w:eastAsia="Arial Unicode MS"/>
          </w:rPr>
        </w:r>
        <w:r w:rsidR="00E62798">
          <w:rPr>
            <w:rFonts w:eastAsia="Arial Unicode MS"/>
          </w:rPr>
          <w:fldChar w:fldCharType="end"/>
        </w:r>
        <w:r w:rsidR="00E62798">
          <w:rPr>
            <w:rFonts w:eastAsia="Arial Unicode MS"/>
          </w:rPr>
        </w:r>
        <w:r w:rsidR="00E62798">
          <w:rPr>
            <w:rFonts w:eastAsia="Arial Unicode MS"/>
          </w:rPr>
          <w:fldChar w:fldCharType="separate"/>
        </w:r>
        <w:r w:rsidR="00E62798" w:rsidRPr="00E62798">
          <w:rPr>
            <w:rFonts w:eastAsia="Arial Unicode MS"/>
            <w:noProof/>
            <w:vertAlign w:val="superscript"/>
          </w:rPr>
          <w:t>179</w:t>
        </w:r>
        <w:r w:rsidR="00E62798">
          <w:rPr>
            <w:rFonts w:eastAsia="Arial Unicode MS"/>
          </w:rPr>
          <w:fldChar w:fldCharType="end"/>
        </w:r>
      </w:hyperlink>
      <w:r>
        <w:rPr>
          <w:rFonts w:eastAsia="Arial Unicode MS"/>
        </w:rPr>
        <w:t xml:space="preserve"> conducted several</w:t>
      </w:r>
      <w:r w:rsidR="00820A5E">
        <w:rPr>
          <w:rFonts w:eastAsia="Arial Unicode MS"/>
        </w:rPr>
        <w:t xml:space="preserve"> meta-analyses investigating 24-</w:t>
      </w:r>
      <w:r>
        <w:rPr>
          <w:rFonts w:eastAsia="Arial Unicode MS"/>
        </w:rPr>
        <w:t>hour postoperative transfusion volume. No difference in transfusion volume was observed when studies with a high risk of bias were excluded.</w:t>
      </w:r>
      <w:r w:rsidR="004828DA">
        <w:rPr>
          <w:rFonts w:eastAsia="Arial Unicode MS"/>
        </w:rPr>
        <w:t xml:space="preserve"> </w:t>
      </w:r>
    </w:p>
    <w:p w14:paraId="1E2CDB1D" w14:textId="73AF450C" w:rsidR="00175B8E" w:rsidRDefault="00175B8E" w:rsidP="009E34D1">
      <w:pPr>
        <w:pStyle w:val="Bullet6"/>
      </w:pPr>
      <w:r w:rsidRPr="007231CB">
        <w:rPr>
          <w:rFonts w:eastAsia="Arial Unicode MS"/>
        </w:rPr>
        <w:t xml:space="preserve">Schouten </w:t>
      </w:r>
      <w:r w:rsidR="00820A5E">
        <w:rPr>
          <w:rFonts w:eastAsia="Arial Unicode MS"/>
          <w:lang w:val="en-AU"/>
        </w:rPr>
        <w:t xml:space="preserve">et al </w:t>
      </w:r>
      <w:r w:rsidRPr="007231CB">
        <w:rPr>
          <w:rFonts w:eastAsia="Arial Unicode MS"/>
        </w:rPr>
        <w:t>(2009)</w:t>
      </w:r>
      <w:hyperlink w:anchor="_ENREF_181" w:tooltip="Schouten, 2009 #916" w:history="1">
        <w:r w:rsidR="00E62798">
          <w:rPr>
            <w:rFonts w:eastAsia="Arial Unicode MS"/>
          </w:rPr>
          <w:fldChar w:fldCharType="begin">
            <w:fldData xml:space="preserve">PEVuZE5vdGU+PENpdGU+PEF1dGhvcj5TY2hvdXRlbjwvQXV0aG9yPjxZZWFyPjIwMDk8L1llYXI+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</w:fldData>
          </w:fldChar>
        </w:r>
        <w:r w:rsidR="00E62798">
          <w:rPr>
            <w:rFonts w:eastAsia="Arial Unicode MS"/>
          </w:rPr>
          <w:instrText xml:space="preserve"> ADDIN EN.CITE </w:instrText>
        </w:r>
        <w:r w:rsidR="00E62798">
          <w:rPr>
            <w:rFonts w:eastAsia="Arial Unicode MS"/>
          </w:rPr>
          <w:fldChar w:fldCharType="begin">
            <w:fldData xml:space="preserve">PEVuZE5vdGU+PENpdGU+PEF1dGhvcj5TY2hvdXRlbjwvQXV0aG9yPjxZZWFyPjIwMDk8L1llYXI+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</w:fldData>
          </w:fldChar>
        </w:r>
        <w:r w:rsidR="00E62798">
          <w:rPr>
            <w:rFonts w:eastAsia="Arial Unicode MS"/>
          </w:rPr>
          <w:instrText xml:space="preserve"> ADDIN EN.CITE.DATA </w:instrText>
        </w:r>
        <w:r w:rsidR="00E62798">
          <w:rPr>
            <w:rFonts w:eastAsia="Arial Unicode MS"/>
          </w:rPr>
        </w:r>
        <w:r w:rsidR="00E62798">
          <w:rPr>
            <w:rFonts w:eastAsia="Arial Unicode MS"/>
          </w:rPr>
          <w:fldChar w:fldCharType="end"/>
        </w:r>
        <w:r w:rsidR="00E62798">
          <w:rPr>
            <w:rFonts w:eastAsia="Arial Unicode MS"/>
          </w:rPr>
        </w:r>
        <w:r w:rsidR="00E62798">
          <w:rPr>
            <w:rFonts w:eastAsia="Arial Unicode MS"/>
          </w:rPr>
          <w:fldChar w:fldCharType="separate"/>
        </w:r>
        <w:r w:rsidR="00E62798" w:rsidRPr="00E62798">
          <w:rPr>
            <w:rFonts w:eastAsia="Arial Unicode MS"/>
            <w:noProof/>
            <w:vertAlign w:val="superscript"/>
          </w:rPr>
          <w:t>181</w:t>
        </w:r>
        <w:r w:rsidR="00E62798">
          <w:rPr>
            <w:rFonts w:eastAsia="Arial Unicode MS"/>
          </w:rPr>
          <w:fldChar w:fldCharType="end"/>
        </w:r>
      </w:hyperlink>
      <w:r w:rsidRPr="007231CB">
        <w:rPr>
          <w:rFonts w:eastAsia="Arial Unicode MS"/>
        </w:rPr>
        <w:t xml:space="preserve"> </w:t>
      </w:r>
      <w:r>
        <w:rPr>
          <w:rFonts w:eastAsia="Arial Unicode MS"/>
        </w:rPr>
        <w:t xml:space="preserve">reported a </w:t>
      </w:r>
      <w:r w:rsidRPr="007231CB">
        <w:rPr>
          <w:rFonts w:eastAsia="Arial Unicode MS"/>
        </w:rPr>
        <w:t xml:space="preserve">significant difference in </w:t>
      </w:r>
      <w:r>
        <w:rPr>
          <w:rFonts w:eastAsia="Arial Unicode MS"/>
        </w:rPr>
        <w:t>RBC</w:t>
      </w:r>
      <w:r w:rsidRPr="007231CB">
        <w:rPr>
          <w:rFonts w:eastAsia="Arial Unicode MS"/>
        </w:rPr>
        <w:t xml:space="preserve"> transfusion volume</w:t>
      </w:r>
      <w:r>
        <w:rPr>
          <w:rFonts w:eastAsia="Arial Unicode MS"/>
        </w:rPr>
        <w:t xml:space="preserve"> favour</w:t>
      </w:r>
      <w:r w:rsidR="00820A5E">
        <w:rPr>
          <w:rFonts w:eastAsia="Arial Unicode MS"/>
          <w:lang w:val="en-AU"/>
        </w:rPr>
        <w:t>ing</w:t>
      </w:r>
      <w:r w:rsidRPr="007231CB">
        <w:rPr>
          <w:rFonts w:eastAsia="Arial Unicode MS"/>
        </w:rPr>
        <w:t xml:space="preserve"> </w:t>
      </w:r>
      <w:r w:rsidR="00820A5E">
        <w:rPr>
          <w:rFonts w:eastAsia="Arial Unicode MS"/>
        </w:rPr>
        <w:t>aprotinin.</w:t>
      </w:r>
    </w:p>
    <w:p w14:paraId="39DEB5E9" w14:textId="0FE13061" w:rsidR="00175B8E" w:rsidRDefault="00175B8E" w:rsidP="009E34D1">
      <w:pPr>
        <w:pStyle w:val="Bullet6"/>
        <w:rPr>
          <w:rFonts w:cs="Calibri"/>
        </w:rPr>
      </w:pPr>
      <w:r>
        <w:t xml:space="preserve">Ferreira </w:t>
      </w:r>
      <w:r w:rsidR="00820A5E">
        <w:rPr>
          <w:lang w:val="en-AU"/>
        </w:rPr>
        <w:t xml:space="preserve">et al </w:t>
      </w:r>
      <w:r>
        <w:t>(2010)</w:t>
      </w:r>
      <w:hyperlink w:anchor="_ENREF_188" w:tooltip="Ferreira, 2010 #872" w:history="1">
        <w:r w:rsidR="00E62798">
          <w:fldChar w:fldCharType="begin">
            <w:fldData xml:space="preserve">PEVuZE5vdGU+PENpdGU+PEF1dGhvcj5GZXJyZWlyYTwvQXV0aG9yPjxZZWFyPjIwMTA8L1llYXI+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</w:fldData>
          </w:fldChar>
        </w:r>
        <w:r w:rsidR="00E62798">
          <w:instrText xml:space="preserve"> ADDIN EN.CITE </w:instrText>
        </w:r>
        <w:r w:rsidR="00E62798">
          <w:fldChar w:fldCharType="begin">
            <w:fldData xml:space="preserve">PEVuZE5vdGU+PENpdGU+PEF1dGhvcj5GZXJyZWlyYTwvQXV0aG9yPjxZZWFyPjIwMTA8L1llYXI+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188</w:t>
        </w:r>
        <w:r w:rsidR="00E62798">
          <w:fldChar w:fldCharType="end"/>
        </w:r>
      </w:hyperlink>
      <w:r>
        <w:t xml:space="preserve"> reported no significant difference in intraoperative RBC transfusion volume</w:t>
      </w:r>
      <w:r w:rsidR="00820A5E">
        <w:rPr>
          <w:lang w:val="en-AU"/>
        </w:rPr>
        <w:t>.</w:t>
      </w:r>
    </w:p>
    <w:p w14:paraId="2FF58556" w14:textId="0979B22F" w:rsidR="00175B8E" w:rsidRDefault="00175B8E" w:rsidP="009E34D1">
      <w:pPr>
        <w:pStyle w:val="Bullet6"/>
        <w:rPr>
          <w:rFonts w:cs="Calibri"/>
        </w:rPr>
      </w:pPr>
      <w:r>
        <w:rPr>
          <w:rFonts w:cs="Calibri"/>
        </w:rPr>
        <w:t>Flaujac</w:t>
      </w:r>
      <w:r w:rsidR="00820A5E">
        <w:rPr>
          <w:rFonts w:cs="Calibri"/>
          <w:lang w:val="en-AU"/>
        </w:rPr>
        <w:t xml:space="preserve"> et al </w:t>
      </w:r>
      <w:r>
        <w:rPr>
          <w:rFonts w:cs="Calibri"/>
        </w:rPr>
        <w:t>(2007)</w:t>
      </w:r>
      <w:hyperlink w:anchor="_ENREF_189" w:tooltip="Flaujac, 2007 #873" w:history="1">
        <w:r w:rsidR="00E62798">
          <w:rPr>
            <w:rFonts w:cs="Calibri"/>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rFonts w:cs="Calibri"/>
          </w:rPr>
          <w:instrText xml:space="preserve"> ADDIN EN.CITE </w:instrText>
        </w:r>
        <w:r w:rsidR="00E62798">
          <w:rPr>
            <w:rFonts w:cs="Calibri"/>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189</w:t>
        </w:r>
        <w:r w:rsidR="00E62798">
          <w:rPr>
            <w:rFonts w:cs="Calibri"/>
          </w:rPr>
          <w:fldChar w:fldCharType="end"/>
        </w:r>
      </w:hyperlink>
      <w:r>
        <w:rPr>
          <w:rFonts w:cs="Calibri"/>
        </w:rPr>
        <w:t xml:space="preserve"> reported a significant </w:t>
      </w:r>
      <w:r w:rsidR="00820A5E">
        <w:rPr>
          <w:rFonts w:cs="Calibri"/>
        </w:rPr>
        <w:t>difference in 24-</w:t>
      </w:r>
      <w:r>
        <w:rPr>
          <w:rFonts w:cs="Calibri"/>
        </w:rPr>
        <w:t xml:space="preserve">hour postoperative transfusion volume </w:t>
      </w:r>
      <w:r w:rsidR="00820A5E">
        <w:rPr>
          <w:rFonts w:cs="Calibri"/>
          <w:lang w:val="en-AU"/>
        </w:rPr>
        <w:t>favouring</w:t>
      </w:r>
      <w:r>
        <w:rPr>
          <w:rFonts w:cs="Calibri"/>
        </w:rPr>
        <w:t xml:space="preserve"> aprotinin (18 ml/kg </w:t>
      </w:r>
      <w:r w:rsidR="0097590E">
        <w:rPr>
          <w:rFonts w:cs="Calibri"/>
        </w:rPr>
        <w:t>v</w:t>
      </w:r>
      <w:r w:rsidR="0097590E">
        <w:rPr>
          <w:rFonts w:cs="Calibri"/>
          <w:lang w:val="en-AU"/>
        </w:rPr>
        <w:t>ersus</w:t>
      </w:r>
      <w:r w:rsidR="0097590E">
        <w:rPr>
          <w:rFonts w:cs="Calibri"/>
        </w:rPr>
        <w:t xml:space="preserve"> </w:t>
      </w:r>
      <w:r>
        <w:rPr>
          <w:rFonts w:cs="Calibri"/>
        </w:rPr>
        <w:t xml:space="preserve">30 ml/kg, </w:t>
      </w:r>
      <w:r w:rsidR="0097590E">
        <w:rPr>
          <w:rFonts w:cs="Calibri"/>
          <w:lang w:val="en-AU"/>
        </w:rPr>
        <w:t>p</w:t>
      </w:r>
      <w:r>
        <w:rPr>
          <w:rFonts w:cs="Calibri"/>
        </w:rPr>
        <w:t>=0.01).</w:t>
      </w:r>
    </w:p>
    <w:p w14:paraId="7908F7F9" w14:textId="44AFB876" w:rsidR="00175B8E" w:rsidRDefault="00175B8E" w:rsidP="009E34D1">
      <w:pPr>
        <w:pStyle w:val="Bullet6"/>
        <w:rPr>
          <w:rFonts w:cs="Calibri"/>
        </w:rPr>
      </w:pPr>
      <w:r>
        <w:rPr>
          <w:rFonts w:cs="Calibri"/>
        </w:rPr>
        <w:t xml:space="preserve">Sarupria </w:t>
      </w:r>
      <w:r w:rsidR="00820A5E">
        <w:rPr>
          <w:rFonts w:cs="Calibri"/>
          <w:lang w:val="en-AU"/>
        </w:rPr>
        <w:t xml:space="preserve">et al </w:t>
      </w:r>
      <w:r>
        <w:rPr>
          <w:rFonts w:cs="Calibri"/>
        </w:rPr>
        <w:t>(2013)</w:t>
      </w:r>
      <w:hyperlink w:anchor="_ENREF_190" w:tooltip="Sarupria, 2013 #915" w:history="1">
        <w:r w:rsidR="00E62798">
          <w:rPr>
            <w:rFonts w:cs="Calibri"/>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cs="Calibri"/>
          </w:rPr>
          <w:instrText xml:space="preserve"> ADDIN EN.CITE </w:instrText>
        </w:r>
        <w:r w:rsidR="00E62798">
          <w:rPr>
            <w:rFonts w:cs="Calibri"/>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190</w:t>
        </w:r>
        <w:r w:rsidR="00E62798">
          <w:rPr>
            <w:rFonts w:cs="Calibri"/>
          </w:rPr>
          <w:fldChar w:fldCharType="end"/>
        </w:r>
      </w:hyperlink>
      <w:r>
        <w:rPr>
          <w:rFonts w:cs="Calibri"/>
        </w:rPr>
        <w:t xml:space="preserve"> reported a significant difference favouring high dose EACA over placebo for intrao</w:t>
      </w:r>
      <w:r w:rsidR="00820A5E">
        <w:rPr>
          <w:rFonts w:cs="Calibri"/>
        </w:rPr>
        <w:t xml:space="preserve">perative transfusion volume of </w:t>
      </w:r>
      <w:r>
        <w:rPr>
          <w:rFonts w:cs="Calibri"/>
        </w:rPr>
        <w:t xml:space="preserve">RBCs </w:t>
      </w:r>
      <w:r w:rsidR="00820A5E">
        <w:rPr>
          <w:rFonts w:cs="Calibri"/>
        </w:rPr>
        <w:t xml:space="preserve">and FFP </w:t>
      </w:r>
      <w:r>
        <w:rPr>
          <w:rFonts w:cs="Calibri"/>
        </w:rPr>
        <w:t>a</w:t>
      </w:r>
      <w:r w:rsidR="00820A5E">
        <w:rPr>
          <w:rFonts w:cs="Calibri"/>
        </w:rPr>
        <w:t xml:space="preserve">nd total transfusion volume of </w:t>
      </w:r>
      <w:r>
        <w:rPr>
          <w:rFonts w:cs="Calibri"/>
        </w:rPr>
        <w:t>RBCs and FFP</w:t>
      </w:r>
      <w:r w:rsidR="00820A5E">
        <w:rPr>
          <w:rFonts w:cs="Calibri"/>
          <w:lang w:val="en-AU"/>
        </w:rPr>
        <w:t>.</w:t>
      </w:r>
      <w:r>
        <w:rPr>
          <w:rFonts w:cs="Calibri"/>
        </w:rPr>
        <w:t xml:space="preserve"> </w:t>
      </w:r>
    </w:p>
    <w:p w14:paraId="681E1373" w14:textId="65847890" w:rsidR="00175B8E" w:rsidRDefault="00175B8E" w:rsidP="009E34D1">
      <w:pPr>
        <w:pStyle w:val="Bullet6"/>
        <w:rPr>
          <w:rFonts w:cs="Calibri"/>
        </w:rPr>
      </w:pPr>
      <w:r>
        <w:rPr>
          <w:rFonts w:cs="Calibri"/>
        </w:rPr>
        <w:t xml:space="preserve">Singh </w:t>
      </w:r>
      <w:r w:rsidR="00820A5E">
        <w:rPr>
          <w:rFonts w:cs="Calibri"/>
          <w:lang w:val="en-AU"/>
        </w:rPr>
        <w:t xml:space="preserve">et al </w:t>
      </w:r>
      <w:r>
        <w:rPr>
          <w:rFonts w:cs="Calibri"/>
        </w:rPr>
        <w:t>(2001)</w:t>
      </w:r>
      <w:hyperlink w:anchor="_ENREF_191" w:tooltip="Singh, 2001 #921" w:history="1">
        <w:r w:rsidR="00E62798">
          <w:rPr>
            <w:rFonts w:cs="Calibri"/>
          </w:rPr>
          <w:fldChar w:fldCharType="begin">
            <w:fldData xml:space="preserve">PEVuZE5vdGU+PENpdGU+PEF1dGhvcj5TaW5naDwvQXV0aG9yPjxZZWFyPjIwMDE8L1llYXI+PFJl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</w:fldData>
          </w:fldChar>
        </w:r>
        <w:r w:rsidR="00E62798">
          <w:rPr>
            <w:rFonts w:cs="Calibri"/>
          </w:rPr>
          <w:instrText xml:space="preserve"> ADDIN EN.CITE </w:instrText>
        </w:r>
        <w:r w:rsidR="00E62798">
          <w:rPr>
            <w:rFonts w:cs="Calibri"/>
          </w:rPr>
          <w:fldChar w:fldCharType="begin">
            <w:fldData xml:space="preserve">PEVuZE5vdGU+PENpdGU+PEF1dGhvcj5TaW5naDwvQXV0aG9yPjxZZWFyPjIwMDE8L1llYXI+PFJl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191</w:t>
        </w:r>
        <w:r w:rsidR="00E62798">
          <w:rPr>
            <w:rFonts w:cs="Calibri"/>
          </w:rPr>
          <w:fldChar w:fldCharType="end"/>
        </w:r>
      </w:hyperlink>
      <w:r>
        <w:rPr>
          <w:rFonts w:cs="Calibri"/>
        </w:rPr>
        <w:t xml:space="preserve"> compared two doses of aprotinin in 75 paediatric cyanotic patients with tetralogy of Fallot undergoing total correction with CPB. A significant difference favouring aprotinin was reported for blood transfusion volume (two doses: 1.1 </w:t>
      </w:r>
      <w:r w:rsidR="004E2E70">
        <w:rPr>
          <w:rFonts w:cs="Calibri"/>
        </w:rPr>
        <w:t xml:space="preserve">± </w:t>
      </w:r>
      <w:r>
        <w:t xml:space="preserve">1.1, one dose: 0.91 </w:t>
      </w:r>
      <w:r w:rsidR="004E2E70">
        <w:rPr>
          <w:rFonts w:cs="Calibri"/>
        </w:rPr>
        <w:t xml:space="preserve">± </w:t>
      </w:r>
      <w:r>
        <w:rPr>
          <w:rFonts w:cs="Calibri"/>
        </w:rPr>
        <w:t xml:space="preserve">0.75 </w:t>
      </w:r>
      <w:r w:rsidR="0097590E">
        <w:rPr>
          <w:rFonts w:cs="Calibri"/>
        </w:rPr>
        <w:t>v</w:t>
      </w:r>
      <w:r w:rsidR="0097590E">
        <w:rPr>
          <w:rFonts w:cs="Calibri"/>
          <w:lang w:val="en-AU"/>
        </w:rPr>
        <w:t>ersus</w:t>
      </w:r>
      <w:r w:rsidR="0097590E">
        <w:rPr>
          <w:rFonts w:cs="Calibri"/>
        </w:rPr>
        <w:t xml:space="preserve"> </w:t>
      </w:r>
      <w:r>
        <w:rPr>
          <w:rFonts w:cs="Calibri"/>
        </w:rPr>
        <w:t xml:space="preserve">2.2 </w:t>
      </w:r>
      <w:r w:rsidR="004E2E70">
        <w:rPr>
          <w:rFonts w:cs="Calibri"/>
        </w:rPr>
        <w:t xml:space="preserve">± </w:t>
      </w:r>
      <w:r>
        <w:rPr>
          <w:rFonts w:cs="Calibri"/>
        </w:rPr>
        <w:t xml:space="preserve">1.0, </w:t>
      </w:r>
      <w:r w:rsidR="0097590E">
        <w:rPr>
          <w:rFonts w:cs="Calibri"/>
          <w:lang w:val="en-AU"/>
        </w:rPr>
        <w:t>p</w:t>
      </w:r>
      <w:r>
        <w:rPr>
          <w:rFonts w:cs="Calibri"/>
        </w:rPr>
        <w:t>&lt;0.05).</w:t>
      </w:r>
    </w:p>
    <w:p w14:paraId="64DD16B1" w14:textId="77777777" w:rsidR="00175B8E" w:rsidRDefault="00175B8E" w:rsidP="00175B8E">
      <w:pPr>
        <w:pStyle w:val="H7"/>
        <w:rPr>
          <w:lang w:val="en-GB" w:eastAsia="en-GB"/>
        </w:rPr>
      </w:pPr>
      <w:r>
        <w:rPr>
          <w:lang w:val="en-GB" w:eastAsia="en-GB"/>
        </w:rPr>
        <w:t>Transfusion incidence</w:t>
      </w:r>
    </w:p>
    <w:p w14:paraId="10BC5E11" w14:textId="0168E08D" w:rsidR="00175B8E" w:rsidRPr="00797EB2" w:rsidRDefault="00820A5E" w:rsidP="00175B8E">
      <w:pPr>
        <w:spacing w:after="200" w:line="276" w:lineRule="auto"/>
        <w:rPr>
          <w:rFonts w:asciiTheme="minorHAnsi" w:eastAsia="Arial Unicode MS" w:hAnsiTheme="minorHAnsi" w:cstheme="minorHAnsi"/>
          <w:bCs/>
          <w:lang w:val="en-GB" w:eastAsia="ja-JP"/>
        </w:rPr>
      </w:pPr>
      <w:r>
        <w:rPr>
          <w:rFonts w:asciiTheme="minorHAnsi" w:hAnsiTheme="minorHAnsi" w:cstheme="minorHAnsi"/>
          <w:lang w:val="en-GB" w:eastAsia="en-GB"/>
        </w:rPr>
        <w:t>A</w:t>
      </w:r>
      <w:r w:rsidR="00175B8E">
        <w:rPr>
          <w:rFonts w:asciiTheme="minorHAnsi" w:hAnsiTheme="minorHAnsi" w:cstheme="minorHAnsi"/>
          <w:lang w:val="en-GB" w:eastAsia="en-GB"/>
        </w:rPr>
        <w:t xml:space="preserve"> meta</w:t>
      </w:r>
      <w:r w:rsidR="003F341F">
        <w:rPr>
          <w:rFonts w:asciiTheme="minorHAnsi" w:hAnsiTheme="minorHAnsi" w:cstheme="minorHAnsi"/>
          <w:lang w:val="en-GB" w:eastAsia="en-GB"/>
        </w:rPr>
        <w:t>-</w:t>
      </w:r>
      <w:r w:rsidR="00175B8E">
        <w:rPr>
          <w:rFonts w:asciiTheme="minorHAnsi" w:hAnsiTheme="minorHAnsi" w:cstheme="minorHAnsi"/>
          <w:lang w:val="en-GB" w:eastAsia="en-GB"/>
        </w:rPr>
        <w:t>analysis</w:t>
      </w:r>
      <w:r w:rsidR="003F341F">
        <w:rPr>
          <w:rFonts w:asciiTheme="minorHAnsi" w:hAnsiTheme="minorHAnsi" w:cstheme="minorHAnsi"/>
          <w:lang w:val="en-GB" w:eastAsia="en-GB"/>
        </w:rPr>
        <w:t xml:space="preserve"> (</w:t>
      </w:r>
      <w:r w:rsidR="00175B8E">
        <w:rPr>
          <w:rFonts w:asciiTheme="minorHAnsi" w:hAnsiTheme="minorHAnsi" w:cstheme="minorHAnsi"/>
          <w:lang w:val="en-GB" w:eastAsia="en-GB"/>
        </w:rPr>
        <w:t>including several sen</w:t>
      </w:r>
      <w:r w:rsidR="003F341F">
        <w:rPr>
          <w:rFonts w:asciiTheme="minorHAnsi" w:hAnsiTheme="minorHAnsi" w:cstheme="minorHAnsi"/>
          <w:lang w:val="en-GB" w:eastAsia="en-GB"/>
        </w:rPr>
        <w:t xml:space="preserve">sitivity and subgroup analyses) </w:t>
      </w:r>
      <w:r w:rsidR="00175B8E">
        <w:rPr>
          <w:rFonts w:asciiTheme="minorHAnsi" w:eastAsia="Arial Unicode MS" w:hAnsiTheme="minorHAnsi" w:cstheme="minorHAnsi"/>
          <w:bCs/>
          <w:lang w:val="en-GB" w:eastAsia="ja-JP"/>
        </w:rPr>
        <w:t>of 404 paediatric patients with congenital heart disease undergoing open heart surgery with CPB</w:t>
      </w:r>
      <w:r>
        <w:rPr>
          <w:rFonts w:asciiTheme="minorHAnsi" w:eastAsia="Arial Unicode MS" w:hAnsiTheme="minorHAnsi" w:cstheme="minorHAnsi"/>
          <w:bCs/>
          <w:lang w:val="en-GB" w:eastAsia="ja-JP"/>
        </w:rPr>
        <w:t xml:space="preserve"> was conducted</w:t>
      </w:r>
      <w:r w:rsidR="00175B8E">
        <w:rPr>
          <w:rFonts w:asciiTheme="minorHAnsi" w:eastAsia="Arial Unicode MS" w:hAnsiTheme="minorHAnsi" w:cstheme="minorHAnsi"/>
          <w:bCs/>
          <w:lang w:val="en-GB" w:eastAsia="ja-JP"/>
        </w:rPr>
        <w:t>.</w:t>
      </w:r>
      <w:hyperlink w:anchor="_ENREF_178" w:tooltip="Arnold, 2006 #844" w:history="1">
        <w:r w:rsidR="00E62798">
          <w:rPr>
            <w:rFonts w:asciiTheme="minorHAnsi" w:eastAsia="Arial Unicode MS" w:hAnsiTheme="minorHAnsi" w:cstheme="minorHAnsi"/>
            <w:bCs/>
            <w:lang w:val="en-GB" w:eastAsia="ja-JP"/>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178</w:t>
        </w:r>
        <w:r w:rsidR="00E62798">
          <w:rPr>
            <w:rFonts w:asciiTheme="minorHAnsi" w:eastAsia="Arial Unicode MS" w:hAnsiTheme="minorHAnsi" w:cstheme="minorHAnsi"/>
            <w:bCs/>
            <w:lang w:val="en-GB" w:eastAsia="ja-JP"/>
          </w:rPr>
          <w:fldChar w:fldCharType="end"/>
        </w:r>
      </w:hyperlink>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An</w:t>
      </w:r>
      <w:r w:rsidR="00175B8E">
        <w:rPr>
          <w:rFonts w:asciiTheme="minorHAnsi" w:eastAsia="Arial Unicode MS" w:hAnsiTheme="minorHAnsi" w:cstheme="minorHAnsi"/>
          <w:bCs/>
          <w:lang w:val="en-GB" w:eastAsia="ja-JP"/>
        </w:rPr>
        <w:t xml:space="preserve"> analys</w:t>
      </w:r>
      <w:r>
        <w:rPr>
          <w:rFonts w:asciiTheme="minorHAnsi" w:eastAsia="Arial Unicode MS" w:hAnsiTheme="minorHAnsi" w:cstheme="minorHAnsi"/>
          <w:bCs/>
          <w:lang w:val="en-GB" w:eastAsia="ja-JP"/>
        </w:rPr>
        <w:t>i</w:t>
      </w:r>
      <w:r w:rsidR="00175B8E">
        <w:rPr>
          <w:rFonts w:asciiTheme="minorHAnsi" w:eastAsia="Arial Unicode MS" w:hAnsiTheme="minorHAnsi" w:cstheme="minorHAnsi"/>
          <w:bCs/>
          <w:lang w:val="en-GB" w:eastAsia="ja-JP"/>
        </w:rPr>
        <w:t>s</w:t>
      </w:r>
      <w:r w:rsidR="00175B8E" w:rsidRPr="009075CD">
        <w:rPr>
          <w:rFonts w:asciiTheme="minorHAnsi" w:eastAsia="Arial Unicode MS" w:hAnsiTheme="minorHAnsi" w:cstheme="minorHAnsi"/>
          <w:bCs/>
          <w:lang w:val="en-GB" w:eastAsia="ja-JP"/>
        </w:rPr>
        <w:t xml:space="preserve"> of good</w:t>
      </w:r>
      <w:r>
        <w:rPr>
          <w:rFonts w:asciiTheme="minorHAnsi" w:eastAsia="Arial Unicode MS" w:hAnsiTheme="minorHAnsi" w:cstheme="minorHAnsi"/>
          <w:bCs/>
          <w:lang w:val="en-GB" w:eastAsia="ja-JP"/>
        </w:rPr>
        <w:t>-</w:t>
      </w:r>
      <w:r w:rsidR="00175B8E" w:rsidRPr="009075CD">
        <w:rPr>
          <w:rFonts w:asciiTheme="minorHAnsi" w:eastAsia="Arial Unicode MS" w:hAnsiTheme="minorHAnsi" w:cstheme="minorHAnsi"/>
          <w:bCs/>
          <w:lang w:val="en-GB" w:eastAsia="ja-JP"/>
        </w:rPr>
        <w:t xml:space="preserve">quality studies </w:t>
      </w:r>
      <w:r w:rsidR="00175B8E">
        <w:rPr>
          <w:rFonts w:asciiTheme="minorHAnsi" w:eastAsia="Arial Unicode MS" w:hAnsiTheme="minorHAnsi" w:cstheme="minorHAnsi"/>
          <w:bCs/>
          <w:lang w:val="en-GB" w:eastAsia="ja-JP"/>
        </w:rPr>
        <w:t xml:space="preserve">and </w:t>
      </w:r>
      <w:r w:rsidR="00175B8E" w:rsidRPr="009075CD">
        <w:rPr>
          <w:rFonts w:asciiTheme="minorHAnsi" w:eastAsia="Arial Unicode MS" w:hAnsiTheme="minorHAnsi" w:cstheme="minorHAnsi"/>
          <w:bCs/>
          <w:lang w:val="en-GB" w:eastAsia="ja-JP"/>
        </w:rPr>
        <w:t>studies with an objective transfusion protocol</w:t>
      </w:r>
      <w:r>
        <w:rPr>
          <w:rFonts w:asciiTheme="minorHAnsi" w:eastAsia="Arial Unicode MS" w:hAnsiTheme="minorHAnsi" w:cstheme="minorHAnsi"/>
          <w:bCs/>
          <w:lang w:val="en-GB" w:eastAsia="ja-JP"/>
        </w:rPr>
        <w:t xml:space="preserve"> found </w:t>
      </w:r>
      <w:r w:rsidR="00175B8E">
        <w:rPr>
          <w:rFonts w:asciiTheme="minorHAnsi" w:eastAsia="Arial Unicode MS" w:hAnsiTheme="minorHAnsi" w:cstheme="minorHAnsi"/>
          <w:bCs/>
          <w:lang w:val="en-GB" w:eastAsia="ja-JP"/>
        </w:rPr>
        <w:t>significant differences</w:t>
      </w:r>
      <w:r>
        <w:rPr>
          <w:rFonts w:asciiTheme="minorHAnsi" w:eastAsia="Arial Unicode MS" w:hAnsiTheme="minorHAnsi" w:cstheme="minorHAnsi"/>
          <w:bCs/>
          <w:lang w:val="en-GB" w:eastAsia="ja-JP"/>
        </w:rPr>
        <w:t xml:space="preserve"> favouring the use of aprotinin.</w:t>
      </w:r>
    </w:p>
    <w:p w14:paraId="25717CE2" w14:textId="3E59C152" w:rsidR="00175B8E" w:rsidRDefault="00820A5E" w:rsidP="00175B8E">
      <w:pPr>
        <w:spacing w:after="200" w:line="276" w:lineRule="auto"/>
        <w:rPr>
          <w:rFonts w:cs="Calibri"/>
        </w:rPr>
      </w:pPr>
      <w:r>
        <w:rPr>
          <w:rFonts w:cs="Calibri"/>
        </w:rPr>
        <w:t>An assessment of</w:t>
      </w:r>
      <w:r w:rsidR="00175B8E">
        <w:rPr>
          <w:rFonts w:cs="Calibri"/>
        </w:rPr>
        <w:t xml:space="preserve"> postoperative transfusion volume and incidence in 20 infants undergoing primary corrective cardiac surgery with CPB</w:t>
      </w:r>
      <w:r>
        <w:rPr>
          <w:rFonts w:cs="Calibri"/>
        </w:rPr>
        <w:t xml:space="preserve"> reported no</w:t>
      </w:r>
      <w:r w:rsidR="00175B8E">
        <w:rPr>
          <w:rFonts w:cs="Calibri"/>
        </w:rPr>
        <w:t xml:space="preserve"> significant difference for 24</w:t>
      </w:r>
      <w:r>
        <w:rPr>
          <w:rFonts w:cs="Calibri"/>
        </w:rPr>
        <w:t>-</w:t>
      </w:r>
      <w:r w:rsidR="00175B8E">
        <w:rPr>
          <w:rFonts w:cs="Calibri"/>
        </w:rPr>
        <w:t xml:space="preserve">hour postoperative transfusion incidence </w:t>
      </w:r>
      <w:r w:rsidR="002829EF">
        <w:rPr>
          <w:rFonts w:cs="Calibri"/>
        </w:rPr>
        <w:t xml:space="preserve">of </w:t>
      </w:r>
      <w:r>
        <w:rPr>
          <w:rFonts w:cs="Calibri"/>
        </w:rPr>
        <w:t xml:space="preserve">RBCs (60% </w:t>
      </w:r>
      <w:r w:rsidR="0097590E">
        <w:rPr>
          <w:rFonts w:cs="Calibri"/>
        </w:rPr>
        <w:t xml:space="preserve">versus </w:t>
      </w:r>
      <w:r>
        <w:rPr>
          <w:rFonts w:cs="Calibri"/>
        </w:rPr>
        <w:t xml:space="preserve">100%, </w:t>
      </w:r>
      <w:r w:rsidR="0097590E">
        <w:rPr>
          <w:rFonts w:cs="Calibri"/>
        </w:rPr>
        <w:t>p</w:t>
      </w:r>
      <w:r>
        <w:rPr>
          <w:rFonts w:cs="Calibri"/>
        </w:rPr>
        <w:t>=0.06).</w:t>
      </w:r>
      <w:hyperlink w:anchor="_ENREF_189" w:tooltip="Flaujac, 2007 #873" w:history="1">
        <w:r w:rsidR="00E62798">
          <w:rPr>
            <w:rFonts w:cs="Calibri"/>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rFonts w:cs="Calibri"/>
          </w:rPr>
          <w:instrText xml:space="preserve"> ADDIN EN.CITE </w:instrText>
        </w:r>
        <w:r w:rsidR="00E62798">
          <w:rPr>
            <w:rFonts w:cs="Calibri"/>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189</w:t>
        </w:r>
        <w:r w:rsidR="00E62798">
          <w:rPr>
            <w:rFonts w:cs="Calibri"/>
          </w:rPr>
          <w:fldChar w:fldCharType="end"/>
        </w:r>
      </w:hyperlink>
    </w:p>
    <w:p w14:paraId="0DD0A141" w14:textId="5D785EE5" w:rsidR="00175B8E" w:rsidRDefault="00820A5E" w:rsidP="00175B8E">
      <w:pPr>
        <w:spacing w:after="200" w:line="276" w:lineRule="auto"/>
        <w:rPr>
          <w:rFonts w:cs="Calibri"/>
        </w:rPr>
      </w:pPr>
      <w:r>
        <w:rPr>
          <w:rFonts w:cs="Calibri"/>
        </w:rPr>
        <w:t>An assessment of</w:t>
      </w:r>
      <w:r w:rsidR="00175B8E">
        <w:rPr>
          <w:rFonts w:cs="Calibri"/>
        </w:rPr>
        <w:t xml:space="preserve"> 120 paediatric patients with </w:t>
      </w:r>
      <w:r>
        <w:rPr>
          <w:rFonts w:cs="Calibri"/>
        </w:rPr>
        <w:t xml:space="preserve">tetralogy </w:t>
      </w:r>
      <w:r w:rsidR="00175B8E">
        <w:rPr>
          <w:rFonts w:cs="Calibri"/>
        </w:rPr>
        <w:t>of Fallot</w:t>
      </w:r>
      <w:r>
        <w:rPr>
          <w:rFonts w:cs="Calibri"/>
        </w:rPr>
        <w:t xml:space="preserve"> undergoing corrective surgery found that</w:t>
      </w:r>
      <w:r w:rsidR="00175B8E">
        <w:rPr>
          <w:rFonts w:cs="Calibri"/>
        </w:rPr>
        <w:t xml:space="preserve"> EACA reduced the</w:t>
      </w:r>
      <w:r w:rsidR="004828DA">
        <w:rPr>
          <w:rFonts w:cs="Calibri"/>
        </w:rPr>
        <w:t xml:space="preserve"> </w:t>
      </w:r>
      <w:r w:rsidR="00175B8E">
        <w:rPr>
          <w:rFonts w:cs="Calibri"/>
        </w:rPr>
        <w:t>incidence of RBC transfusion (75.0% v</w:t>
      </w:r>
      <w:r>
        <w:rPr>
          <w:rFonts w:cs="Calibri"/>
        </w:rPr>
        <w:t>ersus</w:t>
      </w:r>
      <w:r w:rsidR="00175B8E">
        <w:rPr>
          <w:rFonts w:cs="Calibri"/>
        </w:rPr>
        <w:t xml:space="preserve"> 97.3%, </w:t>
      </w:r>
      <w:r w:rsidR="0097590E">
        <w:rPr>
          <w:rFonts w:cs="Calibri"/>
        </w:rPr>
        <w:t>p</w:t>
      </w:r>
      <w:r w:rsidR="00175B8E">
        <w:rPr>
          <w:rFonts w:cs="Calibri"/>
        </w:rPr>
        <w:t>=0.01).</w:t>
      </w:r>
      <w:hyperlink w:anchor="_ENREF_190" w:tooltip="Sarupria, 2013 #915" w:history="1">
        <w:r w:rsidR="00E62798">
          <w:rPr>
            <w:rFonts w:cs="Calibri"/>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cs="Calibri"/>
          </w:rPr>
          <w:instrText xml:space="preserve"> ADDIN EN.CITE </w:instrText>
        </w:r>
        <w:r w:rsidR="00E62798">
          <w:rPr>
            <w:rFonts w:cs="Calibri"/>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190</w:t>
        </w:r>
        <w:r w:rsidR="00E62798">
          <w:rPr>
            <w:rFonts w:cs="Calibri"/>
          </w:rPr>
          <w:fldChar w:fldCharType="end"/>
        </w:r>
      </w:hyperlink>
    </w:p>
    <w:p w14:paraId="17C6E21A" w14:textId="77777777" w:rsidR="00175B8E" w:rsidRDefault="00175B8E" w:rsidP="00957184">
      <w:pPr>
        <w:pStyle w:val="H6"/>
      </w:pPr>
      <w:r>
        <w:t>S</w:t>
      </w:r>
      <w:r w:rsidRPr="007F0A9C">
        <w:t>coliosis</w:t>
      </w:r>
      <w:r>
        <w:t xml:space="preserve"> surgery </w:t>
      </w:r>
    </w:p>
    <w:p w14:paraId="43DCCEB8" w14:textId="77777777" w:rsidR="00175B8E" w:rsidRDefault="00175B8E" w:rsidP="00175B8E">
      <w:pPr>
        <w:pStyle w:val="H7"/>
        <w:rPr>
          <w:lang w:val="en-GB" w:eastAsia="en-GB"/>
        </w:rPr>
      </w:pPr>
      <w:r>
        <w:rPr>
          <w:lang w:val="en-GB" w:eastAsia="en-GB"/>
        </w:rPr>
        <w:t>Transfusion volume</w:t>
      </w:r>
    </w:p>
    <w:p w14:paraId="08F3496E" w14:textId="6AD2497B" w:rsidR="00175B8E" w:rsidRDefault="00820A5E" w:rsidP="00820A5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w:t>
      </w:r>
      <w:r w:rsidR="00175B8E">
        <w:rPr>
          <w:rFonts w:asciiTheme="minorHAnsi" w:eastAsia="Arial Unicode MS" w:hAnsiTheme="minorHAnsi" w:cstheme="minorHAnsi"/>
          <w:bCs/>
          <w:lang w:val="en-GB" w:eastAsia="ja-JP"/>
        </w:rPr>
        <w:t xml:space="preserve"> meta-analysis of </w:t>
      </w:r>
      <w:r w:rsidR="002100AC">
        <w:rPr>
          <w:rFonts w:asciiTheme="minorHAnsi" w:eastAsia="Arial Unicode MS" w:hAnsiTheme="minorHAnsi" w:cstheme="minorHAnsi"/>
          <w:bCs/>
          <w:lang w:val="en-GB" w:eastAsia="ja-JP"/>
        </w:rPr>
        <w:t>five</w:t>
      </w:r>
      <w:r w:rsidR="00175B8E">
        <w:rPr>
          <w:rFonts w:asciiTheme="minorHAnsi" w:eastAsia="Arial Unicode MS" w:hAnsiTheme="minorHAnsi" w:cstheme="minorHAnsi"/>
          <w:bCs/>
          <w:lang w:val="en-GB" w:eastAsia="ja-JP"/>
        </w:rPr>
        <w:t xml:space="preserve"> trials with 207 paediatric patients</w:t>
      </w:r>
      <w:r w:rsidR="00175B8E" w:rsidRPr="00022613">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reported a significant reduction of volume of blood transfused following the administration antifibrinolytics (aprotinin, TXA or EACA</w:t>
      </w:r>
      <w:r w:rsidR="0097590E">
        <w:rPr>
          <w:rFonts w:asciiTheme="minorHAnsi" w:eastAsia="Arial Unicode MS" w:hAnsiTheme="minorHAnsi" w:cstheme="minorHAnsi"/>
          <w:bCs/>
          <w:lang w:val="en-GB" w:eastAsia="ja-JP"/>
        </w:rPr>
        <w:t>)</w:t>
      </w:r>
      <w:r w:rsidR="00175B8E">
        <w:rPr>
          <w:rFonts w:asciiTheme="minorHAnsi" w:eastAsia="Arial Unicode MS" w:hAnsiTheme="minorHAnsi" w:cstheme="minorHAnsi"/>
          <w:bCs/>
          <w:lang w:val="en-GB" w:eastAsia="ja-JP"/>
        </w:rPr>
        <w:t>.</w:t>
      </w:r>
      <w:hyperlink w:anchor="_ENREF_183" w:tooltip="Tzortzopoulou, 2008 #926"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&lt;EndNote&gt;&lt;Cite&gt;&lt;Author&gt;Tzortzopoulou&lt;/Author&gt;&lt;Year&gt;2008&lt;/Year&gt;&lt;RecNum&gt;926&lt;/RecNum&gt;&lt;DisplayText&gt;&lt;style face="superscript"&gt;183&lt;/style&gt;&lt;/DisplayText&gt;&lt;record&gt;&lt;rec-number&gt;926&lt;/rec-number&gt;&lt;foreign-keys&gt;&lt;key app="EN" db-id="9edve2wadsavt5ewavaxtda4f2tavzvts9ee" timestamp="1435036188"&gt;926&lt;/key&gt;&lt;/foreign-keys&gt;&lt;ref-type name="Journal Article"&gt;17&lt;/ref-type&gt;&lt;contributors&gt;&lt;authors&gt;&lt;author&gt;Tzortzopoulou, Aikaterini&lt;/author&gt;&lt;author&gt;Cepeda, M. Soledad&lt;/author&gt;&lt;author&gt;Schumann, Roman&lt;/author&gt;&lt;author&gt;Carr, Daniel B.&lt;/author&gt;&lt;/authors&gt;&lt;/contributors&gt;&lt;titles&gt;&lt;title&gt;Antifibrinolytic agents for reducing blood loss in scoliosis surgery in children&lt;/title&gt;&lt;secondary-title&gt;Cochrane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FILE&lt;/reprint-edition&gt;&lt;keywords&gt;&lt;keyword&gt;age&lt;/keyword&gt;&lt;keyword&gt;aminocaproic acid&lt;/keyword&gt;&lt;keyword&gt;antifibrinolytic agent&lt;/keyword&gt;&lt;keyword&gt;aprotinin&lt;/keyword&gt;&lt;keyword&gt;blood&lt;/keyword&gt;&lt;keyword&gt;blood transfusion&lt;/keyword&gt;&lt;keyword&gt;clinical trial&lt;/keyword&gt;&lt;keyword&gt;Cochrane Library&lt;/keyword&gt;&lt;keyword&gt;Cochrane Reviews&lt;/keyword&gt;&lt;keyword&gt;Cochrane12Mar14&lt;/keyword&gt;&lt;keyword&gt;data extraction&lt;/keyword&gt;&lt;keyword&gt;death&lt;/keyword&gt;&lt;keyword&gt;Embase&lt;/keyword&gt;&lt;keyword&gt;language&lt;/keyword&gt;&lt;keyword&gt;Medline&lt;/keyword&gt;&lt;keyword&gt;mortality&lt;/keyword&gt;&lt;keyword&gt;patient&lt;/keyword&gt;&lt;keyword&gt;placebo&lt;/keyword&gt;&lt;keyword&gt;publication&lt;/keyword&gt;&lt;keyword&gt;randomized controlled trial&lt;/keyword&gt;&lt;keyword&gt;review&lt;/keyword&gt;&lt;keyword&gt;risk&lt;/keyword&gt;&lt;keyword&gt;safety&lt;/keyword&gt;&lt;keyword&gt;scoliosis&lt;/keyword&gt;&lt;keyword&gt;surgery&lt;/keyword&gt;&lt;keyword&gt;systematic review&lt;/keyword&gt;&lt;keyword&gt;tranexamic acid&lt;/keyword&gt;&lt;keyword&gt;transfusion&lt;/keyword&gt;&lt;/keywords&gt;&lt;dates&gt;&lt;year&gt;2008&lt;/year&gt;&lt;/dates&gt;&lt;urls&gt;&lt;/urls&gt;&lt;/record&gt;&lt;/Cite&gt;&lt;/EndNote&gt;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183</w:t>
        </w:r>
        <w:r w:rsidR="00E62798">
          <w:rPr>
            <w:rFonts w:asciiTheme="minorHAnsi" w:eastAsia="Arial Unicode MS" w:hAnsiTheme="minorHAnsi" w:cstheme="minorHAnsi"/>
            <w:bCs/>
            <w:lang w:val="en-GB" w:eastAsia="ja-JP"/>
          </w:rPr>
          <w:fldChar w:fldCharType="end"/>
        </w:r>
      </w:hyperlink>
      <w:r>
        <w:rPr>
          <w:rFonts w:asciiTheme="minorHAnsi" w:eastAsia="Arial Unicode MS" w:hAnsiTheme="minorHAnsi" w:cstheme="minorHAnsi"/>
          <w:bCs/>
          <w:lang w:val="en-GB" w:eastAsia="ja-JP"/>
        </w:rPr>
        <w:t xml:space="preserve"> Sub</w:t>
      </w:r>
      <w:r w:rsidR="00175B8E">
        <w:rPr>
          <w:rFonts w:asciiTheme="minorHAnsi" w:eastAsia="Arial Unicode MS" w:hAnsiTheme="minorHAnsi" w:cstheme="minorHAnsi"/>
          <w:bCs/>
          <w:lang w:val="en-GB" w:eastAsia="ja-JP"/>
        </w:rPr>
        <w:t>analyses of the different antifibrinolytic agents</w:t>
      </w:r>
      <w:r>
        <w:rPr>
          <w:rFonts w:asciiTheme="minorHAnsi" w:eastAsia="Arial Unicode MS" w:hAnsiTheme="minorHAnsi" w:cstheme="minorHAnsi"/>
          <w:bCs/>
          <w:lang w:val="en-GB" w:eastAsia="ja-JP"/>
        </w:rPr>
        <w:t xml:space="preserve"> found that all reduced transfusion volume</w:t>
      </w:r>
      <w:r w:rsidR="00175B8E">
        <w:rPr>
          <w:rFonts w:asciiTheme="minorHAnsi" w:eastAsia="Arial Unicode MS" w:hAnsiTheme="minorHAnsi" w:cstheme="minorHAnsi"/>
          <w:bCs/>
          <w:lang w:val="en-GB" w:eastAsia="ja-JP"/>
        </w:rPr>
        <w:t>: aprotinin (</w:t>
      </w:r>
      <w:r w:rsidR="0097590E">
        <w:rPr>
          <w:rFonts w:asciiTheme="minorHAnsi" w:eastAsia="Arial Unicode MS" w:hAnsiTheme="minorHAnsi" w:cstheme="minorHAnsi"/>
          <w:bCs/>
          <w:lang w:val="en-GB" w:eastAsia="ja-JP"/>
        </w:rPr>
        <w:t>p</w:t>
      </w:r>
      <w:r w:rsidR="00175B8E">
        <w:rPr>
          <w:rFonts w:asciiTheme="minorHAnsi" w:eastAsia="Arial Unicode MS" w:hAnsiTheme="minorHAnsi" w:cstheme="minorHAnsi"/>
          <w:bCs/>
          <w:lang w:val="en-GB" w:eastAsia="ja-JP"/>
        </w:rPr>
        <w:t>=0.0015), TXA (</w:t>
      </w:r>
      <w:r w:rsidR="0097590E">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=0.0081) and EACA (</w:t>
      </w:r>
      <w:r w:rsidR="0097590E">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=0.042).</w:t>
      </w:r>
    </w:p>
    <w:p w14:paraId="7854B99B" w14:textId="36873248" w:rsidR="00175B8E" w:rsidRDefault="00175B8E" w:rsidP="00175B8E">
      <w:pPr>
        <w:spacing w:after="200" w:line="276" w:lineRule="auto"/>
        <w:rPr>
          <w:lang w:val="en-GB" w:eastAsia="en-GB"/>
        </w:rPr>
      </w:pPr>
      <w:r>
        <w:rPr>
          <w:lang w:val="en-GB" w:eastAsia="en-GB"/>
        </w:rPr>
        <w:t>One additio</w:t>
      </w:r>
      <w:r w:rsidR="002100AC">
        <w:rPr>
          <w:lang w:val="en-GB" w:eastAsia="en-GB"/>
        </w:rPr>
        <w:t xml:space="preserve">nal RCT </w:t>
      </w:r>
      <w:r>
        <w:rPr>
          <w:lang w:val="en-GB" w:eastAsia="en-GB"/>
        </w:rPr>
        <w:t>provided evidence for transfusion volume.</w:t>
      </w:r>
      <w:hyperlink w:anchor="_ENREF_193" w:tooltip="Thompson, 2005 #925" w:history="1">
        <w:r w:rsidR="00E62798">
          <w:rPr>
            <w:lang w:val="en-GB" w:eastAsia="en-GB"/>
          </w:rPr>
          <w:fldChar w:fldCharType="begin"/>
        </w:r>
        <w:r w:rsidR="00E62798">
          <w:rPr>
            <w:lang w:val="en-GB" w:eastAsia="en-GB"/>
          </w:rPr>
          <w:instrText xml:space="preserve"> ADDIN EN.CITE &lt;EndNote&gt;&lt;Cite&gt;&lt;Author&gt;Thompson&lt;/Author&gt;&lt;Year&gt;2005&lt;/Year&gt;&lt;RecNum&gt;925&lt;/RecNum&gt;&lt;DisplayText&gt;&lt;style face="superscript"&gt;193&lt;/style&gt;&lt;/DisplayText&gt;&lt;record&gt;&lt;rec-number&gt;925&lt;/rec-number&gt;&lt;foreign-keys&gt;&lt;key app="EN" db-id="9edve2wadsavt5ewavaxtda4f2tavzvts9ee" timestamp="1435036188"&gt;925&lt;/key&gt;&lt;/foreign-keys&gt;&lt;ref-type name="Generic"&gt;13&lt;/ref-type&gt;&lt;contributors&gt;&lt;authors&gt;&lt;author&gt;Thompson, G. H.&lt;/author&gt;&lt;author&gt;Florentino-Pineda, I.&lt;/author&gt;&lt;author&gt;Poe-Kochert, C.&lt;/author&gt;&lt;/authors&gt;&lt;/contributors&gt;&lt;titles&gt;&lt;title&gt;The Role of Amicar in Decreasing Perioperative Blood Loss in Idiopathic Scoliosis  &lt;/title&gt;&lt;/titles&gt;&lt;pages&gt;S94–S99&lt;/pages&gt;&lt;volume&gt;30&lt;/volume&gt;&lt;reprint-edition&gt;NOT IN FILE&lt;/reprint-edition&gt;&lt;keywords&gt;&lt;keyword&gt;blood&lt;/keyword&gt;&lt;keyword&gt;scoliosis&lt;/keyword&gt;&lt;/keywords&gt;&lt;dates&gt;&lt;year&gt;2005&lt;/year&gt;&lt;/dates&gt;&lt;urls&gt;&lt;/urls&gt;&lt;/record&gt;&lt;/Cite&gt;&lt;/EndNote&gt;</w:instrText>
        </w:r>
        <w:r w:rsidR="00E62798">
          <w:rPr>
            <w:lang w:val="en-GB" w:eastAsia="en-GB"/>
          </w:rPr>
          <w:fldChar w:fldCharType="separate"/>
        </w:r>
        <w:r w:rsidR="00E62798" w:rsidRPr="00E62798">
          <w:rPr>
            <w:noProof/>
            <w:vertAlign w:val="superscript"/>
            <w:lang w:val="en-GB" w:eastAsia="en-GB"/>
          </w:rPr>
          <w:t>193</w:t>
        </w:r>
        <w:r w:rsidR="00E62798">
          <w:rPr>
            <w:lang w:val="en-GB" w:eastAsia="en-GB"/>
          </w:rPr>
          <w:fldChar w:fldCharType="end"/>
        </w:r>
      </w:hyperlink>
      <w:r>
        <w:rPr>
          <w:lang w:val="en-GB" w:eastAsia="en-GB"/>
        </w:rPr>
        <w:t xml:space="preserve"> </w:t>
      </w:r>
      <w:r w:rsidR="00D055F2">
        <w:rPr>
          <w:lang w:val="en-GB" w:eastAsia="en-GB"/>
        </w:rPr>
        <w:t>It</w:t>
      </w:r>
      <w:r>
        <w:rPr>
          <w:lang w:val="en-GB" w:eastAsia="en-GB"/>
        </w:rPr>
        <w:t xml:space="preserve"> reported a significant difference in au</w:t>
      </w:r>
      <w:r w:rsidR="00D055F2">
        <w:rPr>
          <w:lang w:val="en-GB" w:eastAsia="en-GB"/>
        </w:rPr>
        <w:t xml:space="preserve">tologous blood units transfused, </w:t>
      </w:r>
      <w:r>
        <w:rPr>
          <w:lang w:val="en-GB" w:eastAsia="en-GB"/>
        </w:rPr>
        <w:t>favour</w:t>
      </w:r>
      <w:r w:rsidR="00D055F2">
        <w:rPr>
          <w:lang w:val="en-GB" w:eastAsia="en-GB"/>
        </w:rPr>
        <w:t>ing</w:t>
      </w:r>
      <w:r>
        <w:rPr>
          <w:lang w:val="en-GB" w:eastAsia="en-GB"/>
        </w:rPr>
        <w:t xml:space="preserve"> EACA (</w:t>
      </w:r>
      <w:r w:rsidR="0097590E">
        <w:rPr>
          <w:lang w:val="en-GB" w:eastAsia="en-GB"/>
        </w:rPr>
        <w:t>p</w:t>
      </w:r>
      <w:r>
        <w:rPr>
          <w:lang w:val="en-GB" w:eastAsia="en-GB"/>
        </w:rPr>
        <w:t>=0.002).</w:t>
      </w:r>
    </w:p>
    <w:p w14:paraId="6561556F" w14:textId="77777777" w:rsidR="00175B8E" w:rsidRPr="00C64512" w:rsidRDefault="00175B8E" w:rsidP="00175B8E">
      <w:pPr>
        <w:pStyle w:val="H7"/>
        <w:rPr>
          <w:lang w:val="en-GB" w:eastAsia="en-GB"/>
        </w:rPr>
      </w:pPr>
      <w:r>
        <w:rPr>
          <w:lang w:val="en-GB" w:eastAsia="en-GB"/>
        </w:rPr>
        <w:t>Transfusion incidence</w:t>
      </w:r>
    </w:p>
    <w:p w14:paraId="62177357" w14:textId="18AB4CAE" w:rsidR="00175B8E" w:rsidRDefault="00D055F2"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w:t>
      </w:r>
      <w:r w:rsidR="00175B8E">
        <w:rPr>
          <w:rFonts w:asciiTheme="minorHAnsi" w:eastAsia="Arial Unicode MS" w:hAnsiTheme="minorHAnsi" w:cstheme="minorHAnsi"/>
          <w:bCs/>
          <w:lang w:val="en-GB" w:eastAsia="ja-JP"/>
        </w:rPr>
        <w:t xml:space="preserve"> meta-analysis of </w:t>
      </w:r>
      <w:r>
        <w:rPr>
          <w:rFonts w:asciiTheme="minorHAnsi" w:eastAsia="Arial Unicode MS" w:hAnsiTheme="minorHAnsi" w:cstheme="minorHAnsi"/>
          <w:bCs/>
          <w:lang w:val="en-GB" w:eastAsia="ja-JP"/>
        </w:rPr>
        <w:t>four</w:t>
      </w:r>
      <w:r w:rsidR="00175B8E" w:rsidRPr="00022613">
        <w:rPr>
          <w:rFonts w:asciiTheme="minorHAnsi" w:eastAsia="Arial Unicode MS" w:hAnsiTheme="minorHAnsi" w:cstheme="minorHAnsi"/>
          <w:bCs/>
          <w:lang w:val="en-GB" w:eastAsia="ja-JP"/>
        </w:rPr>
        <w:t xml:space="preserve"> trials</w:t>
      </w:r>
      <w:r w:rsidR="00175B8E">
        <w:rPr>
          <w:rFonts w:asciiTheme="minorHAnsi" w:eastAsia="Arial Unicode MS" w:hAnsiTheme="minorHAnsi" w:cstheme="minorHAnsi"/>
          <w:bCs/>
          <w:lang w:val="en-GB" w:eastAsia="ja-JP"/>
        </w:rPr>
        <w:t xml:space="preserve"> with 163 patients</w:t>
      </w:r>
      <w:r w:rsidR="00175B8E" w:rsidRPr="00022613">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found</w:t>
      </w:r>
      <w:r w:rsidR="00175B8E">
        <w:rPr>
          <w:rFonts w:asciiTheme="minorHAnsi" w:eastAsia="Arial Unicode MS" w:hAnsiTheme="minorHAnsi" w:cstheme="minorHAnsi"/>
          <w:bCs/>
          <w:lang w:val="en-GB" w:eastAsia="ja-JP"/>
        </w:rPr>
        <w:t xml:space="preserve"> no significant difference in transfusion incidence (</w:t>
      </w:r>
      <w:r w:rsidR="0097590E" w:rsidRPr="00022613">
        <w:rPr>
          <w:rFonts w:asciiTheme="minorHAnsi" w:eastAsia="Arial Unicode MS" w:hAnsiTheme="minorHAnsi" w:cstheme="minorHAnsi"/>
          <w:bCs/>
          <w:lang w:val="en-GB" w:eastAsia="ja-JP"/>
        </w:rPr>
        <w:t>p</w:t>
      </w:r>
      <w:r w:rsidR="00175B8E" w:rsidRPr="00022613">
        <w:rPr>
          <w:rFonts w:asciiTheme="minorHAnsi" w:eastAsia="Arial Unicode MS" w:hAnsiTheme="minorHAnsi" w:cstheme="minorHAnsi"/>
          <w:bCs/>
          <w:lang w:val="en-GB" w:eastAsia="ja-JP"/>
        </w:rPr>
        <w:t>=0.28).</w:t>
      </w:r>
      <w:hyperlink w:anchor="_ENREF_198" w:tooltip="Florentino-Pineda, 2004 #874" w:history="1">
        <w:r w:rsidR="00E62798">
          <w:rPr>
            <w:rFonts w:asciiTheme="minorHAnsi" w:eastAsia="Arial Unicode MS" w:hAnsiTheme="minorHAnsi" w:cstheme="minorHAnsi"/>
            <w:bCs/>
            <w:lang w:val="en-GB" w:eastAsia="ja-JP"/>
          </w:rPr>
          <w:fldChar w:fldCharType="begin">
            <w:fldData xml:space="preserve">PEVuZE5vdGU+PENpdGU+PEF1dGhvcj5GbG9yZW50aW5vLVBpbmVkYTwvQXV0aG9yPjxZZWFyPjIw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PEVuZE5vdGU+PENpdGU+PEF1dGhvcj5GbG9yZW50aW5vLVBpbmVkYTwvQXV0aG9yPjxZZWFyPjIw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198-201</w:t>
        </w:r>
        <w:r w:rsidR="00E62798">
          <w:rPr>
            <w:rFonts w:asciiTheme="minorHAnsi" w:eastAsia="Arial Unicode MS" w:hAnsiTheme="minorHAnsi" w:cstheme="minorHAnsi"/>
            <w:bCs/>
            <w:lang w:val="en-GB" w:eastAsia="ja-JP"/>
          </w:rPr>
          <w:fldChar w:fldCharType="end"/>
        </w:r>
      </w:hyperlink>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No significant difference in transfusion incidence for</w:t>
      </w:r>
      <w:r w:rsidR="00175B8E">
        <w:rPr>
          <w:rFonts w:asciiTheme="minorHAnsi" w:eastAsia="Arial Unicode MS" w:hAnsiTheme="minorHAnsi" w:cstheme="minorHAnsi"/>
          <w:bCs/>
          <w:lang w:val="en-GB" w:eastAsia="ja-JP"/>
        </w:rPr>
        <w:t xml:space="preserve"> the different antifibrinolytic agents </w:t>
      </w:r>
      <w:r>
        <w:rPr>
          <w:rFonts w:asciiTheme="minorHAnsi" w:eastAsia="Arial Unicode MS" w:hAnsiTheme="minorHAnsi" w:cstheme="minorHAnsi"/>
          <w:bCs/>
          <w:lang w:val="en-GB" w:eastAsia="ja-JP"/>
        </w:rPr>
        <w:t>was found in</w:t>
      </w:r>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sub</w:t>
      </w:r>
      <w:r w:rsidR="00175B8E">
        <w:rPr>
          <w:rFonts w:asciiTheme="minorHAnsi" w:eastAsia="Arial Unicode MS" w:hAnsiTheme="minorHAnsi" w:cstheme="minorHAnsi"/>
          <w:bCs/>
          <w:lang w:val="en-GB" w:eastAsia="ja-JP"/>
        </w:rPr>
        <w:t>analys</w:t>
      </w:r>
      <w:r>
        <w:rPr>
          <w:rFonts w:asciiTheme="minorHAnsi" w:eastAsia="Arial Unicode MS" w:hAnsiTheme="minorHAnsi" w:cstheme="minorHAnsi"/>
          <w:bCs/>
          <w:lang w:val="en-GB" w:eastAsia="ja-JP"/>
        </w:rPr>
        <w:t>e</w:t>
      </w:r>
      <w:r w:rsidR="00175B8E">
        <w:rPr>
          <w:rFonts w:asciiTheme="minorHAnsi" w:eastAsia="Arial Unicode MS" w:hAnsiTheme="minorHAnsi" w:cstheme="minorHAnsi"/>
          <w:bCs/>
          <w:lang w:val="en-GB" w:eastAsia="ja-JP"/>
        </w:rPr>
        <w:t xml:space="preserve">s. For allogeneic transfusion incidence, there was a significant </w:t>
      </w:r>
      <w:r>
        <w:rPr>
          <w:rFonts w:asciiTheme="minorHAnsi" w:eastAsia="Arial Unicode MS" w:hAnsiTheme="minorHAnsi" w:cstheme="minorHAnsi"/>
          <w:bCs/>
          <w:lang w:val="en-GB" w:eastAsia="ja-JP"/>
        </w:rPr>
        <w:t>difference favouring aprotinin</w:t>
      </w:r>
      <w:r w:rsidR="00175B8E">
        <w:rPr>
          <w:rFonts w:asciiTheme="minorHAnsi" w:eastAsia="Arial Unicode MS" w:hAnsiTheme="minorHAnsi" w:cstheme="minorHAnsi"/>
          <w:bCs/>
          <w:lang w:val="en-GB" w:eastAsia="ja-JP"/>
        </w:rPr>
        <w:t>, but not TXA or EACA.</w:t>
      </w:r>
    </w:p>
    <w:p w14:paraId="38B0BFA6" w14:textId="3C80448D" w:rsidR="00175B8E" w:rsidRPr="009D1F52" w:rsidRDefault="00175B8E" w:rsidP="00175B8E">
      <w:pPr>
        <w:spacing w:after="200" w:line="276" w:lineRule="auto"/>
        <w:rPr>
          <w:lang w:val="en-GB" w:eastAsia="en-GB"/>
        </w:rPr>
      </w:pPr>
      <w:r>
        <w:rPr>
          <w:lang w:val="en-GB" w:eastAsia="en-GB"/>
        </w:rPr>
        <w:t>In</w:t>
      </w:r>
      <w:r w:rsidR="00D055F2">
        <w:rPr>
          <w:lang w:val="en-GB" w:eastAsia="en-GB"/>
        </w:rPr>
        <w:t xml:space="preserve"> paediatric patients aged 11–</w:t>
      </w:r>
      <w:r>
        <w:rPr>
          <w:lang w:val="en-GB" w:eastAsia="en-GB"/>
        </w:rPr>
        <w:t>18 years with idiopathic scoliosis who were schedul</w:t>
      </w:r>
      <w:r w:rsidR="00D055F2">
        <w:rPr>
          <w:lang w:val="en-GB" w:eastAsia="en-GB"/>
        </w:rPr>
        <w:t xml:space="preserve">ed for posterior spinal fusion, </w:t>
      </w:r>
      <w:r>
        <w:rPr>
          <w:lang w:val="en-GB" w:eastAsia="en-GB"/>
        </w:rPr>
        <w:t>there was no difference in allogeneic transfusion incidence (no events in either group).</w:t>
      </w:r>
      <w:hyperlink w:anchor="_ENREF_193" w:tooltip="Thompson, 2005 #925" w:history="1">
        <w:r w:rsidR="00E62798">
          <w:rPr>
            <w:lang w:val="en-GB" w:eastAsia="en-GB"/>
          </w:rPr>
          <w:fldChar w:fldCharType="begin"/>
        </w:r>
        <w:r w:rsidR="00E62798">
          <w:rPr>
            <w:lang w:val="en-GB" w:eastAsia="en-GB"/>
          </w:rPr>
          <w:instrText xml:space="preserve"> ADDIN EN.CITE &lt;EndNote&gt;&lt;Cite&gt;&lt;Author&gt;Thompson&lt;/Author&gt;&lt;Year&gt;2005&lt;/Year&gt;&lt;RecNum&gt;925&lt;/RecNum&gt;&lt;DisplayText&gt;&lt;style face="superscript"&gt;193&lt;/style&gt;&lt;/DisplayText&gt;&lt;record&gt;&lt;rec-number&gt;925&lt;/rec-number&gt;&lt;foreign-keys&gt;&lt;key app="EN" db-id="9edve2wadsavt5ewavaxtda4f2tavzvts9ee" timestamp="1435036188"&gt;925&lt;/key&gt;&lt;/foreign-keys&gt;&lt;ref-type name="Generic"&gt;13&lt;/ref-type&gt;&lt;contributors&gt;&lt;authors&gt;&lt;author&gt;Thompson, G. H.&lt;/author&gt;&lt;author&gt;Florentino-Pineda, I.&lt;/author&gt;&lt;author&gt;Poe-Kochert, C.&lt;/author&gt;&lt;/authors&gt;&lt;/contributors&gt;&lt;titles&gt;&lt;title&gt;The Role of Amicar in Decreasing Perioperative Blood Loss in Idiopathic Scoliosis  &lt;/title&gt;&lt;/titles&gt;&lt;pages&gt;S94–S99&lt;/pages&gt;&lt;volume&gt;30&lt;/volume&gt;&lt;reprint-edition&gt;NOT IN FILE&lt;/reprint-edition&gt;&lt;keywords&gt;&lt;keyword&gt;blood&lt;/keyword&gt;&lt;keyword&gt;scoliosis&lt;/keyword&gt;&lt;/keywords&gt;&lt;dates&gt;&lt;year&gt;2005&lt;/year&gt;&lt;/dates&gt;&lt;urls&gt;&lt;/urls&gt;&lt;/record&gt;&lt;/Cite&gt;&lt;/EndNote&gt;</w:instrText>
        </w:r>
        <w:r w:rsidR="00E62798">
          <w:rPr>
            <w:lang w:val="en-GB" w:eastAsia="en-GB"/>
          </w:rPr>
          <w:fldChar w:fldCharType="separate"/>
        </w:r>
        <w:r w:rsidR="00E62798" w:rsidRPr="00E62798">
          <w:rPr>
            <w:noProof/>
            <w:vertAlign w:val="superscript"/>
            <w:lang w:val="en-GB" w:eastAsia="en-GB"/>
          </w:rPr>
          <w:t>193</w:t>
        </w:r>
        <w:r w:rsidR="00E62798">
          <w:rPr>
            <w:lang w:val="en-GB" w:eastAsia="en-GB"/>
          </w:rPr>
          <w:fldChar w:fldCharType="end"/>
        </w:r>
      </w:hyperlink>
    </w:p>
    <w:p w14:paraId="6FB5247C" w14:textId="77777777" w:rsidR="00175B8E" w:rsidRDefault="00175B8E" w:rsidP="00D62B17">
      <w:pPr>
        <w:pStyle w:val="H6"/>
      </w:pPr>
      <w:r>
        <w:t xml:space="preserve">Craniofacial surgery </w:t>
      </w:r>
    </w:p>
    <w:p w14:paraId="13459971" w14:textId="7315EEB0" w:rsidR="00175B8E" w:rsidRPr="00987D9E" w:rsidRDefault="00175B8E" w:rsidP="00175B8E">
      <w:pPr>
        <w:spacing w:after="200" w:line="276" w:lineRule="auto"/>
        <w:rPr>
          <w:rFonts w:asciiTheme="minorHAnsi" w:hAnsiTheme="minorHAnsi" w:cstheme="minorHAnsi"/>
          <w:lang w:val="en-GB" w:eastAsia="en-GB"/>
        </w:rPr>
      </w:pPr>
      <w:r>
        <w:rPr>
          <w:rFonts w:asciiTheme="minorHAnsi" w:hAnsiTheme="minorHAnsi" w:cstheme="minorHAnsi"/>
          <w:lang w:val="en-GB" w:eastAsia="en-GB"/>
        </w:rPr>
        <w:t>One systematic review</w:t>
      </w:r>
      <w:hyperlink w:anchor="_ENREF_182" w:tooltip="Song, 2013 #923" w:history="1">
        <w:r w:rsidR="00E62798">
          <w:rPr>
            <w:rFonts w:asciiTheme="minorHAnsi" w:hAnsiTheme="minorHAnsi" w:cstheme="minorHAnsi"/>
            <w:lang w:val="en-GB" w:eastAsia="en-GB"/>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hAnsiTheme="minorHAnsi" w:cstheme="minorHAnsi"/>
            <w:lang w:val="en-GB" w:eastAsia="en-GB"/>
          </w:rPr>
          <w:instrText xml:space="preserve"> ADDIN EN.CITE </w:instrText>
        </w:r>
        <w:r w:rsidR="00E62798">
          <w:rPr>
            <w:rFonts w:asciiTheme="minorHAnsi" w:hAnsiTheme="minorHAnsi" w:cstheme="minorHAnsi"/>
            <w:lang w:val="en-GB" w:eastAsia="en-GB"/>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hAnsiTheme="minorHAnsi" w:cstheme="minorHAnsi"/>
            <w:lang w:val="en-GB" w:eastAsia="en-GB"/>
          </w:rPr>
          <w:instrText xml:space="preserve"> ADDIN EN.CITE.DATA </w:instrText>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end"/>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182</w:t>
        </w:r>
        <w:r w:rsidR="00E62798">
          <w:rPr>
            <w:rFonts w:asciiTheme="minorHAnsi" w:hAnsiTheme="minorHAnsi" w:cstheme="minorHAnsi"/>
            <w:lang w:val="en-GB" w:eastAsia="en-GB"/>
          </w:rPr>
          <w:fldChar w:fldCharType="end"/>
        </w:r>
      </w:hyperlink>
      <w:r w:rsidR="00D055F2">
        <w:rPr>
          <w:rFonts w:asciiTheme="minorHAnsi" w:hAnsiTheme="minorHAnsi" w:cstheme="minorHAnsi"/>
          <w:lang w:val="en-GB" w:eastAsia="en-GB"/>
        </w:rPr>
        <w:t xml:space="preserve"> </w:t>
      </w:r>
      <w:r>
        <w:rPr>
          <w:rFonts w:asciiTheme="minorHAnsi" w:hAnsiTheme="minorHAnsi" w:cstheme="minorHAnsi"/>
          <w:lang w:val="en-GB" w:eastAsia="en-GB"/>
        </w:rPr>
        <w:t>included data from</w:t>
      </w:r>
      <w:r w:rsidRPr="00B10B96">
        <w:rPr>
          <w:rFonts w:asciiTheme="minorHAnsi" w:hAnsiTheme="minorHAnsi" w:cstheme="minorHAnsi"/>
          <w:lang w:val="en-GB" w:eastAsia="en-GB"/>
        </w:rPr>
        <w:t xml:space="preserve"> </w:t>
      </w:r>
      <w:r w:rsidR="00D055F2">
        <w:rPr>
          <w:rFonts w:asciiTheme="minorHAnsi" w:hAnsiTheme="minorHAnsi" w:cstheme="minorHAnsi"/>
          <w:lang w:val="en-GB" w:eastAsia="en-GB"/>
        </w:rPr>
        <w:t>two</w:t>
      </w:r>
      <w:r>
        <w:rPr>
          <w:rFonts w:asciiTheme="minorHAnsi" w:hAnsiTheme="minorHAnsi" w:cstheme="minorHAnsi"/>
          <w:lang w:val="en-GB" w:eastAsia="en-GB"/>
        </w:rPr>
        <w:t xml:space="preserve"> Level II studies</w:t>
      </w:r>
      <w:hyperlink w:anchor="_ENREF_202" w:tooltip="Dadure, 2011 #863" w:history="1">
        <w:r w:rsidR="00E62798">
          <w:rPr>
            <w:rFonts w:asciiTheme="minorHAnsi" w:hAnsiTheme="minorHAnsi" w:cstheme="minorHAnsi"/>
            <w:lang w:val="en-GB" w:eastAsia="en-GB"/>
          </w:rPr>
          <w:fldChar w:fldCharType="begin">
            <w:fldData xml:space="preserve">PEVuZE5vdGU+PENpdGU+PEF1dGhvcj5EYWR1cmU8L0F1dGhvcj48WWVhcj4yMDExPC9ZZWFyPjxS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</w:fldData>
          </w:fldChar>
        </w:r>
        <w:r w:rsidR="00E62798">
          <w:rPr>
            <w:rFonts w:asciiTheme="minorHAnsi" w:hAnsiTheme="minorHAnsi" w:cstheme="minorHAnsi"/>
            <w:lang w:val="en-GB" w:eastAsia="en-GB"/>
          </w:rPr>
          <w:instrText xml:space="preserve"> ADDIN EN.CITE </w:instrText>
        </w:r>
        <w:r w:rsidR="00E62798">
          <w:rPr>
            <w:rFonts w:asciiTheme="minorHAnsi" w:hAnsiTheme="minorHAnsi" w:cstheme="minorHAnsi"/>
            <w:lang w:val="en-GB" w:eastAsia="en-GB"/>
          </w:rPr>
          <w:fldChar w:fldCharType="begin">
            <w:fldData xml:space="preserve">PEVuZE5vdGU+PENpdGU+PEF1dGhvcj5EYWR1cmU8L0F1dGhvcj48WWVhcj4yMDExPC9ZZWFyPjxS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</w:fldData>
          </w:fldChar>
        </w:r>
        <w:r w:rsidR="00E62798">
          <w:rPr>
            <w:rFonts w:asciiTheme="minorHAnsi" w:hAnsiTheme="minorHAnsi" w:cstheme="minorHAnsi"/>
            <w:lang w:val="en-GB" w:eastAsia="en-GB"/>
          </w:rPr>
          <w:instrText xml:space="preserve"> ADDIN EN.CITE.DATA </w:instrText>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end"/>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202-203</w:t>
        </w:r>
        <w:r w:rsidR="00E62798">
          <w:rPr>
            <w:rFonts w:asciiTheme="minorHAnsi" w:hAnsiTheme="minorHAnsi" w:cstheme="minorHAnsi"/>
            <w:lang w:val="en-GB" w:eastAsia="en-GB"/>
          </w:rPr>
          <w:fldChar w:fldCharType="end"/>
        </w:r>
      </w:hyperlink>
      <w:r w:rsidR="00D055F2">
        <w:rPr>
          <w:rFonts w:asciiTheme="minorHAnsi" w:hAnsiTheme="minorHAnsi" w:cstheme="minorHAnsi"/>
          <w:lang w:val="en-GB" w:eastAsia="en-GB"/>
        </w:rPr>
        <w:t xml:space="preserve"> </w:t>
      </w:r>
      <w:r>
        <w:rPr>
          <w:rFonts w:asciiTheme="minorHAnsi" w:hAnsiTheme="minorHAnsi" w:cstheme="minorHAnsi"/>
          <w:lang w:val="en-GB" w:eastAsia="en-GB"/>
        </w:rPr>
        <w:t xml:space="preserve">and </w:t>
      </w:r>
      <w:r w:rsidR="00FF1963">
        <w:rPr>
          <w:rFonts w:asciiTheme="minorHAnsi" w:hAnsiTheme="minorHAnsi" w:cstheme="minorHAnsi"/>
          <w:lang w:val="en-GB" w:eastAsia="en-GB"/>
        </w:rPr>
        <w:t>one</w:t>
      </w:r>
      <w:r>
        <w:rPr>
          <w:rFonts w:asciiTheme="minorHAnsi" w:hAnsiTheme="minorHAnsi" w:cstheme="minorHAnsi"/>
          <w:lang w:val="en-GB" w:eastAsia="en-GB"/>
        </w:rPr>
        <w:t xml:space="preserve"> Level III </w:t>
      </w:r>
      <w:r w:rsidRPr="00614F78">
        <w:rPr>
          <w:rFonts w:asciiTheme="minorHAnsi" w:hAnsiTheme="minorHAnsi" w:cstheme="minorHAnsi"/>
          <w:lang w:val="en-GB" w:eastAsia="en-GB"/>
        </w:rPr>
        <w:t>stud</w:t>
      </w:r>
      <w:r w:rsidR="00FF1963">
        <w:rPr>
          <w:rFonts w:asciiTheme="minorHAnsi" w:hAnsiTheme="minorHAnsi" w:cstheme="minorHAnsi"/>
          <w:lang w:val="en-GB" w:eastAsia="en-GB"/>
        </w:rPr>
        <w:t>y.</w:t>
      </w:r>
      <w:hyperlink w:anchor="_ENREF_204" w:tooltip="Maugans, 2011 #1118" w:history="1">
        <w:r w:rsidR="00E62798">
          <w:rPr>
            <w:rFonts w:asciiTheme="minorHAnsi" w:hAnsiTheme="minorHAnsi" w:cstheme="minorHAnsi"/>
            <w:lang w:val="en-GB" w:eastAsia="en-GB"/>
          </w:rPr>
          <w:fldChar w:fldCharType="begin"/>
        </w:r>
        <w:r w:rsidR="00E62798">
          <w:rPr>
            <w:rFonts w:asciiTheme="minorHAnsi" w:hAnsiTheme="minorHAnsi" w:cstheme="minorHAnsi"/>
            <w:lang w:val="en-GB" w:eastAsia="en-GB"/>
          </w:rPr>
          <w:instrText xml:space="preserve"> ADDIN EN.CITE &lt;EndNote&gt;&lt;Cite&gt;&lt;Author&gt;Maugans&lt;/Author&gt;&lt;Year&gt;2011&lt;/Year&gt;&lt;RecNum&gt;1118&lt;/RecNum&gt;&lt;DisplayText&gt;&lt;style face="superscript"&gt;204&lt;/style&gt;&lt;/DisplayText&gt;&lt;record&gt;&lt;rec-number&gt;1118&lt;/rec-number&gt;&lt;foreign-keys&gt;&lt;key app="EN" db-id="9edve2wadsavt5ewavaxtda4f2tavzvts9ee" timestamp="1439379026"&gt;1118&lt;/key&gt;&lt;/foreign-keys&gt;&lt;ref-type name="Journal Article"&gt;17&lt;/ref-type&gt;&lt;contributors&gt;&lt;authors&gt;&lt;author&gt;Maugans, T. A.&lt;/author&gt;&lt;author&gt;Martin, D.&lt;/author&gt;&lt;author&gt;Taylor, J.&lt;/author&gt;&lt;author&gt;Salisbury, S.&lt;/author&gt;&lt;author&gt;Istaphanous, G.&lt;/author&gt;&lt;/authors&gt;&lt;/contributors&gt;&lt;auth-address&gt;Cincinnati Children&amp;apos;s Hospital Medical Center, Cincinnati, OH 45229-3039, USA. todd.maugans@cchmc.org&lt;/auth-address&gt;&lt;titles&gt;&lt;title&gt;Comparative analysis of tranexamic acid use in minimally invasive versus open craniosynostosis procedures&lt;/title&gt;&lt;secondary-title&gt;J Craniofac Surg&lt;/secondary-title&gt;&lt;/titles&gt;&lt;periodical&gt;&lt;full-title&gt;J Craniofac Surg&lt;/full-title&gt;&lt;/periodical&gt;&lt;pages&gt;1772-8&lt;/pages&gt;&lt;volume&gt;22&lt;/volume&gt;&lt;number&gt;5&lt;/number&gt;&lt;keywords&gt;&lt;keyword&gt;Antifibrinolytic Agents/*administration &amp;amp; dosage&lt;/keyword&gt;&lt;keyword&gt;Blood Loss, Surgical/*prevention &amp;amp; control&lt;/keyword&gt;&lt;keyword&gt;Chi-Square Distribution&lt;/keyword&gt;&lt;keyword&gt;Child&lt;/keyword&gt;&lt;keyword&gt;Craniosynostoses/*surgery&lt;/keyword&gt;&lt;keyword&gt;Female&lt;/keyword&gt;&lt;keyword&gt;Humans&lt;/keyword&gt;&lt;keyword&gt;Intraoperative Care&lt;/keyword&gt;&lt;keyword&gt;Male&lt;/keyword&gt;&lt;keyword&gt;Minimally Invasive Surgical Procedures&lt;/keyword&gt;&lt;keyword&gt;Monte Carlo Method&lt;/keyword&gt;&lt;keyword&gt;Retrospective Studies&lt;/keyword&gt;&lt;keyword&gt;Statistics, Nonparametric&lt;/keyword&gt;&lt;keyword&gt;Tranexamic Acid/*administration &amp;amp; dosage&lt;/keyword&gt;&lt;keyword&gt;Treatment Outcome&lt;/keyword&gt;&lt;/keywords&gt;&lt;dates&gt;&lt;year&gt;2011&lt;/year&gt;&lt;pub-dates&gt;&lt;date&gt;Sep&lt;/date&gt;&lt;/pub-dates&gt;&lt;/dates&gt;&lt;isbn&gt;1536-3732 (Electronic)&amp;#xD;1049-2275 (Linking)&lt;/isbn&gt;&lt;accession-num&gt;21959429&lt;/accession-num&gt;&lt;urls&gt;&lt;related-urls&gt;&lt;url&gt;http://www.ncbi.nlm.nih.gov/pubmed/21959429&lt;/url&gt;&lt;/related-urls&gt;&lt;/urls&gt;&lt;electronic-resource-num&gt;10.1097/SCS.0b013e31822e6283&lt;/electronic-resource-num&gt;&lt;/record&gt;&lt;/Cite&gt;&lt;/EndNote&gt;</w:instrText>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204</w:t>
        </w:r>
        <w:r w:rsidR="00E62798">
          <w:rPr>
            <w:rFonts w:asciiTheme="minorHAnsi" w:hAnsiTheme="minorHAnsi" w:cstheme="minorHAnsi"/>
            <w:lang w:val="en-GB" w:eastAsia="en-GB"/>
          </w:rPr>
          <w:fldChar w:fldCharType="end"/>
        </w:r>
      </w:hyperlink>
      <w:r w:rsidR="00FF1963">
        <w:rPr>
          <w:rFonts w:asciiTheme="minorHAnsi" w:hAnsiTheme="minorHAnsi" w:cstheme="minorHAnsi"/>
          <w:lang w:val="en-GB" w:eastAsia="en-GB"/>
        </w:rPr>
        <w:t xml:space="preserve"> </w:t>
      </w:r>
      <w:r>
        <w:rPr>
          <w:rFonts w:asciiTheme="minorHAnsi" w:hAnsiTheme="minorHAnsi" w:cstheme="minorHAnsi"/>
          <w:lang w:val="en-GB" w:eastAsia="en-GB"/>
        </w:rPr>
        <w:t>A</w:t>
      </w:r>
      <w:r w:rsidRPr="00614F78">
        <w:rPr>
          <w:rFonts w:asciiTheme="minorHAnsi" w:hAnsiTheme="minorHAnsi" w:cstheme="minorHAnsi"/>
          <w:lang w:val="en-GB" w:eastAsia="en-GB"/>
        </w:rPr>
        <w:t>n additional</w:t>
      </w:r>
      <w:r w:rsidR="00D055F2">
        <w:rPr>
          <w:rFonts w:asciiTheme="minorHAnsi" w:hAnsiTheme="minorHAnsi" w:cstheme="minorHAnsi"/>
          <w:lang w:val="en-GB" w:eastAsia="en-GB"/>
        </w:rPr>
        <w:t xml:space="preserve"> two Level II studies were identified.</w:t>
      </w:r>
      <w:hyperlink w:anchor="_ENREF_195" w:tooltip="Ahmed, 2014 #839" w:history="1">
        <w:r w:rsidR="00E62798">
          <w:rPr>
            <w:rFonts w:asciiTheme="minorHAnsi" w:hAnsiTheme="minorHAnsi" w:cstheme="minorHAnsi"/>
            <w:lang w:val="en-GB" w:eastAsia="en-GB"/>
          </w:rPr>
          <w:fldChar w:fldCharType="begin"/>
        </w:r>
        <w:r w:rsidR="00E62798">
          <w:rPr>
            <w:rFonts w:asciiTheme="minorHAnsi" w:hAnsiTheme="minorHAnsi" w:cstheme="minorHAnsi"/>
            <w:lang w:val="en-GB" w:eastAsia="en-GB"/>
          </w:rPr>
          <w:instrText xml:space="preserve"> ADDIN EN.CITE &lt;EndNote&gt;&lt;Cite&gt;&lt;Author&gt;Ahmed&lt;/Author&gt;&lt;Year&gt;2014&lt;/Year&gt;&lt;RecNum&gt;839&lt;/RecNum&gt;&lt;DisplayText&gt;&lt;style face="superscript"&gt;195-196&lt;/style&gt;&lt;/DisplayText&gt;&lt;record&gt;&lt;rec-number&gt;839&lt;/rec-number&gt;&lt;foreign-keys&gt;&lt;key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Cite&gt;&lt;Author&gt;D&amp;apos;Errico&lt;/Author&gt;&lt;Year&gt;2003&lt;/Year&gt;&lt;RecNum&gt;862&lt;/RecNum&gt;&lt;record&gt;&lt;rec-number&gt;862&lt;/rec-number&gt;&lt;foreign-keys&gt;&lt;key app="EN" db-id="9edve2wadsavt5ewavaxtda4f2tavzvts9ee" timestamp="1435036188"&gt;862&lt;/key&gt;&lt;/foreign-keys&gt;&lt;ref-type name="Generic"&gt;13&lt;/ref-type&gt;&lt;contributors&gt;&lt;authors&gt;&lt;author&gt;D&amp;apos;Errico, C. C.&lt;/author&gt;&lt;author&gt;Munro, H. M.&lt;/author&gt;&lt;author&gt;Buchman, S. R.&lt;/author&gt;&lt;author&gt;Wagner, D.&lt;/author&gt;&lt;author&gt;Muraszko, K. M.&lt;/author&gt;&lt;/authors&gt;&lt;/contributors&gt;&lt;titles&gt;&lt;title&gt;Efficacy of aprotinin in children undergoing craniofacial surgery&lt;/title&gt;&lt;/titles&gt;&lt;pages&gt;287–290&lt;/pages&gt;&lt;volume&gt;99&lt;/volume&gt;&lt;reprint-edition&gt;NOT IN FILE&lt;/reprint-edition&gt;&lt;keywords&gt;&lt;keyword&gt;aprotinin&lt;/keyword&gt;&lt;/keywords&gt;&lt;dates&gt;&lt;year&gt;2003&lt;/year&gt;&lt;/dates&gt;&lt;urls&gt;&lt;/urls&gt;&lt;/record&gt;&lt;/Cite&gt;&lt;/EndNote&gt;</w:instrText>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195-196</w:t>
        </w:r>
        <w:r w:rsidR="00E62798">
          <w:rPr>
            <w:rFonts w:asciiTheme="minorHAnsi" w:hAnsiTheme="minorHAnsi" w:cstheme="minorHAnsi"/>
            <w:lang w:val="en-GB" w:eastAsia="en-GB"/>
          </w:rPr>
          <w:fldChar w:fldCharType="end"/>
        </w:r>
      </w:hyperlink>
    </w:p>
    <w:p w14:paraId="701C4935" w14:textId="77777777" w:rsidR="00175B8E" w:rsidRPr="001F61A4" w:rsidRDefault="00175B8E" w:rsidP="00175B8E">
      <w:pPr>
        <w:pStyle w:val="H7"/>
        <w:rPr>
          <w:rFonts w:eastAsia="Arial Unicode MS"/>
          <w:lang w:val="en-GB" w:eastAsia="ja-JP"/>
        </w:rPr>
      </w:pPr>
      <w:r>
        <w:rPr>
          <w:rFonts w:eastAsia="Arial Unicode MS"/>
          <w:lang w:val="en-GB" w:eastAsia="ja-JP"/>
        </w:rPr>
        <w:t>Transfusion volume</w:t>
      </w:r>
    </w:p>
    <w:p w14:paraId="08316933" w14:textId="49BD9A52" w:rsidR="00175B8E" w:rsidRDefault="00D055F2"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 study of</w:t>
      </w:r>
      <w:r w:rsidR="00175B8E">
        <w:rPr>
          <w:rFonts w:asciiTheme="minorHAnsi" w:eastAsia="Arial Unicode MS" w:hAnsiTheme="minorHAnsi" w:cstheme="minorHAnsi"/>
          <w:bCs/>
          <w:lang w:val="en-GB" w:eastAsia="ja-JP"/>
        </w:rPr>
        <w:t xml:space="preserve"> 138 children undergoing craniosynostosis surgery</w:t>
      </w:r>
      <w:r>
        <w:rPr>
          <w:rFonts w:asciiTheme="minorHAnsi" w:eastAsia="Arial Unicode MS" w:hAnsiTheme="minorHAnsi" w:cstheme="minorHAnsi"/>
          <w:bCs/>
          <w:lang w:val="en-GB" w:eastAsia="ja-JP"/>
        </w:rPr>
        <w:t xml:space="preserve"> included a meta-analysis to assess R</w:t>
      </w:r>
      <w:r w:rsidR="00175B8E">
        <w:rPr>
          <w:rFonts w:asciiTheme="minorHAnsi" w:eastAsia="Arial Unicode MS" w:hAnsiTheme="minorHAnsi" w:cstheme="minorHAnsi"/>
          <w:bCs/>
          <w:lang w:val="en-GB" w:eastAsia="ja-JP"/>
        </w:rPr>
        <w:t xml:space="preserve">BC transfusion volume, and found a significant difference favouring TXA </w:t>
      </w:r>
      <w:r>
        <w:rPr>
          <w:rFonts w:asciiTheme="minorHAnsi" w:eastAsia="Arial Unicode MS" w:hAnsiTheme="minorHAnsi" w:cstheme="minorHAnsi"/>
          <w:bCs/>
          <w:lang w:val="en-GB" w:eastAsia="ja-JP"/>
        </w:rPr>
        <w:t>(</w:t>
      </w:r>
      <w:r w:rsidR="0097590E">
        <w:rPr>
          <w:rFonts w:asciiTheme="minorHAnsi" w:eastAsia="Arial Unicode MS" w:hAnsiTheme="minorHAnsi" w:cstheme="minorHAnsi"/>
          <w:bCs/>
          <w:lang w:val="en-GB" w:eastAsia="ja-JP"/>
        </w:rPr>
        <w:t>p=</w:t>
      </w:r>
      <w:r w:rsidR="00175B8E">
        <w:rPr>
          <w:rFonts w:asciiTheme="minorHAnsi" w:eastAsia="Arial Unicode MS" w:hAnsiTheme="minorHAnsi" w:cstheme="minorHAnsi"/>
          <w:bCs/>
          <w:lang w:val="en-GB" w:eastAsia="ja-JP"/>
        </w:rPr>
        <w:t>0.0004).</w:t>
      </w:r>
      <w:hyperlink w:anchor="_ENREF_182" w:tooltip="Song, 2013 #923" w:history="1">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182</w:t>
        </w:r>
        <w:r w:rsidR="00E62798">
          <w:rPr>
            <w:rFonts w:asciiTheme="minorHAnsi" w:eastAsia="Arial Unicode MS" w:hAnsiTheme="minorHAnsi" w:cstheme="minorHAnsi"/>
            <w:bCs/>
            <w:lang w:val="en-GB" w:eastAsia="ja-JP"/>
          </w:rPr>
          <w:fldChar w:fldCharType="end"/>
        </w:r>
      </w:hyperlink>
      <w:r w:rsidR="00175B8E">
        <w:rPr>
          <w:rFonts w:asciiTheme="minorHAnsi" w:eastAsia="Arial Unicode MS" w:hAnsiTheme="minorHAnsi" w:cstheme="minorHAnsi"/>
          <w:bCs/>
          <w:lang w:val="en-GB" w:eastAsia="ja-JP"/>
        </w:rPr>
        <w:t xml:space="preserve"> </w:t>
      </w:r>
    </w:p>
    <w:p w14:paraId="6A9D6F37" w14:textId="50D47127" w:rsidR="00175B8E" w:rsidRDefault="00175B8E" w:rsidP="00175B8E">
      <w:pPr>
        <w:spacing w:after="200" w:line="276" w:lineRule="auto"/>
      </w:pPr>
      <w:r>
        <w:t>T</w:t>
      </w:r>
      <w:r w:rsidR="00D055F2">
        <w:t xml:space="preserve">wo additional Level II studies </w:t>
      </w:r>
      <w:r>
        <w:t>provided evidence for transfusion volume.</w:t>
      </w:r>
      <w:hyperlink w:anchor="_ENREF_182" w:tooltip="Song, 2013 #923" w:history="1">
        <w:r w:rsidR="00E62798">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instrText xml:space="preserve"> ADDIN EN.CITE </w:instrText>
        </w:r>
        <w:r w:rsidR="00E62798">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182</w:t>
        </w:r>
        <w:r w:rsidR="00E62798">
          <w:fldChar w:fldCharType="end"/>
        </w:r>
      </w:hyperlink>
      <w:r>
        <w:t xml:space="preserve"> </w:t>
      </w:r>
      <w:r w:rsidR="0097590E">
        <w:t>One study</w:t>
      </w:r>
      <w:r>
        <w:t xml:space="preserve"> reported significant differences </w:t>
      </w:r>
      <w:r w:rsidR="00D055F2">
        <w:t xml:space="preserve">for total intraoperative </w:t>
      </w:r>
      <w:r>
        <w:t>RBC transfusion volume (380</w:t>
      </w:r>
      <w:r>
        <w:rPr>
          <w:rFonts w:cs="Calibri"/>
        </w:rPr>
        <w:t xml:space="preserve"> </w:t>
      </w:r>
      <w:r w:rsidR="004E2E70">
        <w:rPr>
          <w:rFonts w:cs="Calibri"/>
        </w:rPr>
        <w:t xml:space="preserve">± </w:t>
      </w:r>
      <w:r>
        <w:rPr>
          <w:rFonts w:cs="Calibri"/>
        </w:rPr>
        <w:t>90 v</w:t>
      </w:r>
      <w:r w:rsidR="00D055F2">
        <w:rPr>
          <w:rFonts w:cs="Calibri"/>
        </w:rPr>
        <w:t>ersu</w:t>
      </w:r>
      <w:r>
        <w:rPr>
          <w:rFonts w:cs="Calibri"/>
        </w:rPr>
        <w:t xml:space="preserve">s 550 </w:t>
      </w:r>
      <w:r w:rsidR="004E2E70">
        <w:rPr>
          <w:rFonts w:cs="Calibri"/>
        </w:rPr>
        <w:t xml:space="preserve">± </w:t>
      </w:r>
      <w:r>
        <w:rPr>
          <w:rFonts w:cs="Calibri"/>
        </w:rPr>
        <w:t>20</w:t>
      </w:r>
      <w:r w:rsidR="00D055F2">
        <w:rPr>
          <w:rFonts w:cs="Calibri"/>
        </w:rPr>
        <w:t xml:space="preserve">0, </w:t>
      </w:r>
      <w:r w:rsidR="0097590E">
        <w:rPr>
          <w:rFonts w:cs="Calibri"/>
        </w:rPr>
        <w:t>p</w:t>
      </w:r>
      <w:r w:rsidR="00D055F2">
        <w:rPr>
          <w:rFonts w:cs="Calibri"/>
        </w:rPr>
        <w:t xml:space="preserve">=0.004) and intraoperative </w:t>
      </w:r>
      <w:r>
        <w:rPr>
          <w:rFonts w:cs="Calibri"/>
        </w:rPr>
        <w:t>RBC transfusion volume by weight</w:t>
      </w:r>
      <w:r>
        <w:t xml:space="preserve"> (40 </w:t>
      </w:r>
      <w:r w:rsidR="004E2E70">
        <w:rPr>
          <w:rFonts w:cs="Calibri"/>
        </w:rPr>
        <w:t xml:space="preserve">± </w:t>
      </w:r>
      <w:r>
        <w:rPr>
          <w:rFonts w:cs="Calibri"/>
        </w:rPr>
        <w:t xml:space="preserve">10 </w:t>
      </w:r>
      <w:r w:rsidR="0097590E">
        <w:rPr>
          <w:rFonts w:cs="Calibri"/>
        </w:rPr>
        <w:t>versus</w:t>
      </w:r>
      <w:r>
        <w:rPr>
          <w:rFonts w:cs="Calibri"/>
        </w:rPr>
        <w:t xml:space="preserve"> 60 </w:t>
      </w:r>
      <w:r w:rsidR="004E2E70">
        <w:rPr>
          <w:rFonts w:cs="Calibri"/>
        </w:rPr>
        <w:t xml:space="preserve">± </w:t>
      </w:r>
      <w:r w:rsidR="00D055F2">
        <w:t xml:space="preserve">20, </w:t>
      </w:r>
      <w:r w:rsidR="0097590E">
        <w:t>p</w:t>
      </w:r>
      <w:r w:rsidR="00D055F2">
        <w:t xml:space="preserve">=0.05), favouring </w:t>
      </w:r>
      <w:r>
        <w:t>aprotinin.</w:t>
      </w:r>
      <w:hyperlink w:anchor="_ENREF_195" w:tooltip="Ahmed, 2014 #839" w:history="1">
        <w:r w:rsidR="00E62798">
          <w:fldChar w:fldCharType="begin"/>
        </w:r>
        <w:r w:rsidR="00E62798">
          <w:instrText xml:space="preserve"> ADDIN EN.CITE &lt;EndNote&gt;&lt;Cite&gt;&lt;Author&gt;Ahmed&lt;/Author&gt;&lt;Year&gt;2014&lt;/Year&gt;&lt;RecNum&gt;839&lt;/RecNum&gt;&lt;DisplayText&gt;&lt;style face="superscript"&gt;195&lt;/style&gt;&lt;/DisplayText&gt;&lt;record&gt;&lt;rec-number&gt;839&lt;/rec-number&gt;&lt;foreign-keys&gt;&lt;key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EndNote&gt;</w:instrText>
        </w:r>
        <w:r w:rsidR="00E62798">
          <w:fldChar w:fldCharType="separate"/>
        </w:r>
        <w:r w:rsidR="00E62798" w:rsidRPr="00E62798">
          <w:rPr>
            <w:noProof/>
            <w:vertAlign w:val="superscript"/>
          </w:rPr>
          <w:t>195</w:t>
        </w:r>
        <w:r w:rsidR="00E62798">
          <w:fldChar w:fldCharType="end"/>
        </w:r>
      </w:hyperlink>
      <w:r>
        <w:t xml:space="preserve"> </w:t>
      </w:r>
      <w:r w:rsidR="0097590E">
        <w:t>The other study</w:t>
      </w:r>
      <w:r>
        <w:t xml:space="preserve"> reported significant differences in intraoperative blood transfusion volume (32 </w:t>
      </w:r>
      <w:r w:rsidR="004E2E70">
        <w:rPr>
          <w:rFonts w:cs="Calibri"/>
        </w:rPr>
        <w:t xml:space="preserve">± </w:t>
      </w:r>
      <w:r>
        <w:t xml:space="preserve">25 </w:t>
      </w:r>
      <w:r w:rsidR="0097590E">
        <w:t>versus</w:t>
      </w:r>
      <w:r>
        <w:t xml:space="preserve"> 52 </w:t>
      </w:r>
      <w:r w:rsidR="004E2E70">
        <w:rPr>
          <w:rFonts w:cs="Calibri"/>
        </w:rPr>
        <w:t xml:space="preserve">± </w:t>
      </w:r>
      <w:r w:rsidR="002829EF">
        <w:t xml:space="preserve">34, </w:t>
      </w:r>
      <w:r w:rsidR="0097590E">
        <w:t>p=</w:t>
      </w:r>
      <w:r w:rsidR="002829EF">
        <w:t xml:space="preserve">0.04) and postoperative </w:t>
      </w:r>
      <w:r>
        <w:t xml:space="preserve">RBC transfusion volume (33 </w:t>
      </w:r>
      <w:r w:rsidR="004E2E70">
        <w:rPr>
          <w:rFonts w:cs="Calibri"/>
        </w:rPr>
        <w:t xml:space="preserve">± </w:t>
      </w:r>
      <w:r>
        <w:t xml:space="preserve">24 </w:t>
      </w:r>
      <w:r w:rsidR="0097590E">
        <w:t>versus</w:t>
      </w:r>
      <w:r>
        <w:t xml:space="preserve"> 57 </w:t>
      </w:r>
      <w:r w:rsidR="004E2E70">
        <w:rPr>
          <w:rFonts w:cs="Calibri"/>
        </w:rPr>
        <w:t xml:space="preserve">± </w:t>
      </w:r>
      <w:r>
        <w:t xml:space="preserve">38, </w:t>
      </w:r>
      <w:r w:rsidR="0097590E">
        <w:t>p</w:t>
      </w:r>
      <w:r>
        <w:t>=0.03) which favoured aprotinin.</w:t>
      </w:r>
      <w:hyperlink w:anchor="_ENREF_196" w:tooltip="D'Errico, 2003 #862" w:history="1">
        <w:r w:rsidR="00E62798">
          <w:fldChar w:fldCharType="begin"/>
        </w:r>
        <w:r w:rsidR="00E62798">
          <w:instrText xml:space="preserve"> ADDIN EN.CITE &lt;EndNote&gt;&lt;Cite&gt;&lt;Author&gt;D&amp;apos;Errico&lt;/Author&gt;&lt;Year&gt;2003&lt;/Year&gt;&lt;RecNum&gt;862&lt;/RecNum&gt;&lt;DisplayText&gt;&lt;style face="superscript"&gt;196&lt;/style&gt;&lt;/DisplayText&gt;&lt;record&gt;&lt;rec-number&gt;862&lt;/rec-number&gt;&lt;foreign-keys&gt;&lt;key app="EN" db-id="9edve2wadsavt5ewavaxtda4f2tavzvts9ee" timestamp="1435036188"&gt;862&lt;/key&gt;&lt;/foreign-keys&gt;&lt;ref-type name="Generic"&gt;13&lt;/ref-type&gt;&lt;contributors&gt;&lt;authors&gt;&lt;author&gt;D&amp;apos;Errico, C. C.&lt;/author&gt;&lt;author&gt;Munro, H. M.&lt;/author&gt;&lt;author&gt;Buchman, S. R.&lt;/author&gt;&lt;author&gt;Wagner, D.&lt;/author&gt;&lt;author&gt;Muraszko, K. M.&lt;/author&gt;&lt;/authors&gt;&lt;/contributors&gt;&lt;titles&gt;&lt;title&gt;Efficacy of aprotinin in children undergoing craniofacial surgery&lt;/title&gt;&lt;/titles&gt;&lt;pages&gt;287–290&lt;/pages&gt;&lt;volume&gt;99&lt;/volume&gt;&lt;reprint-edition&gt;NOT IN FILE&lt;/reprint-edition&gt;&lt;keywords&gt;&lt;keyword&gt;aprotinin&lt;/keyword&gt;&lt;/keywords&gt;&lt;dates&gt;&lt;year&gt;2003&lt;/year&gt;&lt;/dates&gt;&lt;urls&gt;&lt;/urls&gt;&lt;/record&gt;&lt;/Cite&gt;&lt;/EndNote&gt;</w:instrText>
        </w:r>
        <w:r w:rsidR="00E62798">
          <w:fldChar w:fldCharType="separate"/>
        </w:r>
        <w:r w:rsidR="00E62798" w:rsidRPr="00E62798">
          <w:rPr>
            <w:noProof/>
            <w:vertAlign w:val="superscript"/>
          </w:rPr>
          <w:t>196</w:t>
        </w:r>
        <w:r w:rsidR="00E62798">
          <w:fldChar w:fldCharType="end"/>
        </w:r>
      </w:hyperlink>
    </w:p>
    <w:p w14:paraId="34C078D5" w14:textId="2A98F66C" w:rsidR="00175B8E" w:rsidRPr="00EA520D" w:rsidRDefault="00175B8E" w:rsidP="00175B8E">
      <w:pPr>
        <w:spacing w:after="200" w:line="276" w:lineRule="auto"/>
      </w:pPr>
      <w:r>
        <w:t>An updated meta</w:t>
      </w:r>
      <w:r w:rsidR="002100AC">
        <w:t>-</w:t>
      </w:r>
      <w:r>
        <w:t>analysis was perform</w:t>
      </w:r>
      <w:r w:rsidR="002100AC">
        <w:t xml:space="preserve">ed. A significant reduction in </w:t>
      </w:r>
      <w:r>
        <w:t>RBC transfusi</w:t>
      </w:r>
      <w:r w:rsidR="002100AC">
        <w:t>on volume was demonstrated.</w:t>
      </w:r>
    </w:p>
    <w:p w14:paraId="56E853C7" w14:textId="77777777" w:rsidR="00175B8E" w:rsidRPr="001F61A4" w:rsidRDefault="00175B8E" w:rsidP="00175B8E">
      <w:pPr>
        <w:pStyle w:val="H7"/>
        <w:rPr>
          <w:rFonts w:eastAsia="Arial Unicode MS"/>
          <w:lang w:val="en-GB" w:eastAsia="ja-JP"/>
        </w:rPr>
      </w:pPr>
      <w:r>
        <w:rPr>
          <w:rFonts w:eastAsia="Arial Unicode MS"/>
          <w:lang w:val="en-GB" w:eastAsia="ja-JP"/>
        </w:rPr>
        <w:t>Transfusion incidence</w:t>
      </w:r>
    </w:p>
    <w:p w14:paraId="29E2CF50" w14:textId="7B5569D9" w:rsidR="00175B8E" w:rsidRDefault="002100AC" w:rsidP="00175B8E">
      <w:pPr>
        <w:spacing w:after="200" w:line="276" w:lineRule="auto"/>
      </w:pPr>
      <w:r>
        <w:t>One study</w:t>
      </w:r>
      <w:r w:rsidR="00175B8E">
        <w:t xml:space="preserve"> assessed transfusion incidence in 26 paediatric patients undergoing major reconstructive craniofacial surgery.</w:t>
      </w:r>
      <w:hyperlink w:anchor="_ENREF_195" w:tooltip="Ahmed, 2014 #839" w:history="1">
        <w:r w:rsidR="00E62798">
          <w:fldChar w:fldCharType="begin"/>
        </w:r>
        <w:r w:rsidR="00E62798">
          <w:instrText xml:space="preserve"> ADDIN EN.CITE &lt;EndNote&gt;&lt;Cite&gt;&lt;Author&gt;Ahmed&lt;/Author&gt;&lt;Year&gt;2014&lt;/Year&gt;&lt;RecNum&gt;839&lt;/RecNum&gt;&lt;DisplayText&gt;&lt;style face="superscript"&gt;195&lt;/style&gt;&lt;/DisplayText&gt;&lt;record&gt;&lt;rec-number&gt;839&lt;/rec-number&gt;&lt;foreign-keys&gt;&lt;key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EndNote&gt;</w:instrText>
        </w:r>
        <w:r w:rsidR="00E62798">
          <w:fldChar w:fldCharType="separate"/>
        </w:r>
        <w:r w:rsidR="00E62798" w:rsidRPr="00E62798">
          <w:rPr>
            <w:noProof/>
            <w:vertAlign w:val="superscript"/>
          </w:rPr>
          <w:t>195</w:t>
        </w:r>
        <w:r w:rsidR="00E62798">
          <w:fldChar w:fldCharType="end"/>
        </w:r>
      </w:hyperlink>
      <w:r w:rsidR="00175B8E">
        <w:t xml:space="preserve"> No difference in postoperative </w:t>
      </w:r>
      <w:r w:rsidR="002829EF">
        <w:t>RBC</w:t>
      </w:r>
      <w:r w:rsidR="00175B8E">
        <w:t xml:space="preserve"> was demonstrated.</w:t>
      </w:r>
    </w:p>
    <w:p w14:paraId="7D37F79E" w14:textId="30790CE7" w:rsidR="00175B8E" w:rsidRDefault="002100AC" w:rsidP="00175B8E">
      <w:pPr>
        <w:spacing w:after="200" w:line="276" w:lineRule="auto"/>
      </w:pPr>
      <w:r>
        <w:t>One study</w:t>
      </w:r>
      <w:r w:rsidR="00175B8E">
        <w:t xml:space="preserve"> </w:t>
      </w:r>
      <w:r>
        <w:t xml:space="preserve">in the USA </w:t>
      </w:r>
      <w:r w:rsidR="00175B8E">
        <w:t>assessed transfusion incidence in 39 paediatric patients aged 1 month to 12 years who were undergoing craniofacial reconstruction.</w:t>
      </w:r>
      <w:hyperlink w:anchor="_ENREF_196" w:tooltip="D'Errico, 2003 #862" w:history="1">
        <w:r w:rsidR="00E62798">
          <w:fldChar w:fldCharType="begin"/>
        </w:r>
        <w:r w:rsidR="00E62798">
          <w:instrText xml:space="preserve"> ADDIN EN.CITE &lt;EndNote&gt;&lt;Cite&gt;&lt;Author&gt;D&amp;apos;Errico&lt;/Author&gt;&lt;Year&gt;2003&lt;/Year&gt;&lt;RecNum&gt;862&lt;/RecNum&gt;&lt;DisplayText&gt;&lt;style face="superscript"&gt;196&lt;/style&gt;&lt;/DisplayText&gt;&lt;record&gt;&lt;rec-number&gt;862&lt;/rec-number&gt;&lt;foreign-keys&gt;&lt;key app="EN" db-id="9edve2wadsavt5ewavaxtda4f2tavzvts9ee" timestamp="1435036188"&gt;862&lt;/key&gt;&lt;/foreign-keys&gt;&lt;ref-type name="Generic"&gt;13&lt;/ref-type&gt;&lt;contributors&gt;&lt;authors&gt;&lt;author&gt;D&amp;apos;Errico, C. C.&lt;/author&gt;&lt;author&gt;Munro, H. M.&lt;/author&gt;&lt;author&gt;Buchman, S. R.&lt;/author&gt;&lt;author&gt;Wagner, D.&lt;/author&gt;&lt;author&gt;Muraszko, K. M.&lt;/author&gt;&lt;/authors&gt;&lt;/contributors&gt;&lt;titles&gt;&lt;title&gt;Efficacy of aprotinin in children undergoing craniofacial surgery&lt;/title&gt;&lt;/titles&gt;&lt;pages&gt;287–290&lt;/pages&gt;&lt;volume&gt;99&lt;/volume&gt;&lt;reprint-edition&gt;NOT IN FILE&lt;/reprint-edition&gt;&lt;keywords&gt;&lt;keyword&gt;aprotinin&lt;/keyword&gt;&lt;/keywords&gt;&lt;dates&gt;&lt;year&gt;2003&lt;/year&gt;&lt;/dates&gt;&lt;urls&gt;&lt;/urls&gt;&lt;/record&gt;&lt;/Cite&gt;&lt;/EndNote&gt;</w:instrText>
        </w:r>
        <w:r w:rsidR="00E62798">
          <w:fldChar w:fldCharType="separate"/>
        </w:r>
        <w:r w:rsidR="00E62798" w:rsidRPr="00E62798">
          <w:rPr>
            <w:noProof/>
            <w:vertAlign w:val="superscript"/>
          </w:rPr>
          <w:t>196</w:t>
        </w:r>
        <w:r w:rsidR="00E62798">
          <w:fldChar w:fldCharType="end"/>
        </w:r>
      </w:hyperlink>
      <w:r w:rsidR="00175B8E">
        <w:t xml:space="preserve"> No significant difference was observed.</w:t>
      </w:r>
    </w:p>
    <w:p w14:paraId="67235425" w14:textId="3E4D22C8" w:rsidR="00175B8E" w:rsidRDefault="0097590E" w:rsidP="00D62B17">
      <w:pPr>
        <w:pStyle w:val="H6"/>
      </w:pPr>
      <w:r>
        <w:t>ENT</w:t>
      </w:r>
      <w:r w:rsidR="00175B8E">
        <w:t xml:space="preserve"> surgery </w:t>
      </w:r>
    </w:p>
    <w:p w14:paraId="515FF112" w14:textId="6CAF3336" w:rsidR="00175B8E" w:rsidRPr="00987D9E" w:rsidRDefault="00175B8E" w:rsidP="00175B8E">
      <w:pPr>
        <w:spacing w:after="200" w:line="276" w:lineRule="auto"/>
        <w:rPr>
          <w:rFonts w:asciiTheme="minorHAnsi" w:hAnsiTheme="minorHAnsi" w:cstheme="minorHAnsi"/>
          <w:lang w:val="en-GB" w:eastAsia="en-GB"/>
        </w:rPr>
      </w:pPr>
      <w:r>
        <w:rPr>
          <w:rFonts w:asciiTheme="minorHAnsi" w:hAnsiTheme="minorHAnsi" w:cstheme="minorHAnsi"/>
          <w:lang w:val="en-GB" w:eastAsia="en-GB"/>
        </w:rPr>
        <w:t xml:space="preserve">One </w:t>
      </w:r>
      <w:r w:rsidRPr="00987D9E">
        <w:rPr>
          <w:rFonts w:asciiTheme="minorHAnsi" w:hAnsiTheme="minorHAnsi" w:cstheme="minorHAnsi"/>
          <w:lang w:val="en-GB" w:eastAsia="en-GB"/>
        </w:rPr>
        <w:t>Level I</w:t>
      </w:r>
      <w:r>
        <w:rPr>
          <w:rFonts w:asciiTheme="minorHAnsi" w:hAnsiTheme="minorHAnsi" w:cstheme="minorHAnsi"/>
          <w:lang w:val="en-GB" w:eastAsia="en-GB"/>
        </w:rPr>
        <w:t xml:space="preserve"> study</w:t>
      </w:r>
      <w:hyperlink w:anchor="_ENREF_180" w:tooltip="Ker, 2013 #889" w:history="1">
        <w:r w:rsidR="00E62798">
          <w:rPr>
            <w:rFonts w:asciiTheme="minorHAnsi" w:hAnsiTheme="minorHAnsi" w:cstheme="minorHAnsi"/>
            <w:lang w:val="en-GB" w:eastAsia="en-GB"/>
          </w:rPr>
          <w:fldChar w:fldCharType="begin"/>
        </w:r>
        <w:r w:rsidR="00E62798">
          <w:rPr>
            <w:rFonts w:asciiTheme="minorHAnsi" w:hAnsiTheme="minorHAnsi" w:cstheme="minorHAnsi"/>
            <w:lang w:val="en-GB" w:eastAsia="en-GB"/>
          </w:rPr>
          <w:instrText xml:space="preserve"> ADDIN EN.CITE &lt;EndNote&gt;&lt;Cite&gt;&lt;Author&gt;Ker&lt;/Author&gt;&lt;Year&gt;2013&lt;/Year&gt;&lt;RecNum&gt;889&lt;/RecNum&gt;&lt;DisplayText&gt;&lt;style face="superscript"&gt;180&lt;/style&gt;&lt;/DisplayText&gt;&lt;record&gt;&lt;rec-number&gt;889&lt;/rec-number&gt;&lt;foreign-keys&gt;&lt;key app="EN" db-id="9edve2wadsavt5ewavaxtda4f2tavzvts9ee" timestamp="1435036188"&gt;889&lt;/key&gt;&lt;/foreign-keys&gt;&lt;ref-type name="Journal Article"&gt;17&lt;/ref-type&gt;&lt;contributors&gt;&lt;authors&gt;&lt;author&gt;Ker, K.&lt;/author&gt;&lt;author&gt;Beecher, D.&lt;/author&gt;&lt;author&gt;Roberts, I.&lt;/author&gt;&lt;/authors&gt;&lt;/contributors&gt;&lt;titles&gt;&lt;title&gt;Topical application of tranexamic acid for the reduction of bleeding&lt;/title&gt;&lt;secondary-title&gt;Cochrane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FILE&lt;/reprint-edition&gt;&lt;keywords&gt;&lt;keyword&gt;Administration,Topical&lt;/keyword&gt;&lt;keyword&gt;Antifibrinolytic Agents .administration &amp;amp; dosage&lt;/keyword&gt;&lt;keyword&gt;bleeding&lt;/keyword&gt;&lt;keyword&gt;blood&lt;/keyword&gt;&lt;keyword&gt;Blood Loss,Surgical .prevention &amp;amp; control&lt;/keyword&gt;&lt;keyword&gt;blood transfusion&lt;/keyword&gt;&lt;keyword&gt;Cochrane Library&lt;/keyword&gt;&lt;keyword&gt;Cochrane Reviews 4Nov2014&lt;/keyword&gt;&lt;keyword&gt;confidence interval&lt;/keyword&gt;&lt;keyword&gt;control&lt;/keyword&gt;&lt;keyword&gt;death&lt;/keyword&gt;&lt;keyword&gt;deep vein thrombosis&lt;/keyword&gt;&lt;keyword&gt;Embase&lt;/keyword&gt;&lt;keyword&gt;epistaxis&lt;/keyword&gt;&lt;keyword&gt;Epistaxis .drug therapy&lt;/keyword&gt;&lt;keyword&gt;Hemorrhage .drug therapy&lt;/keyword&gt;&lt;keyword&gt;Humans.checkword&lt;/keyword&gt;&lt;keyword&gt;injury&lt;/keyword&gt;&lt;keyword&gt;mortality&lt;/keyword&gt;&lt;keyword&gt;patient&lt;/keyword&gt;&lt;keyword&gt;placebo&lt;/keyword&gt;&lt;keyword&gt;Randomized Controlled Trials as Topic&lt;/keyword&gt;&lt;keyword&gt;register&lt;/keyword&gt;&lt;keyword&gt;risk&lt;/keyword&gt;&lt;keyword&gt;surgery&lt;/keyword&gt;&lt;keyword&gt;surgical patient&lt;/keyword&gt;&lt;keyword&gt;thrombosis&lt;/keyword&gt;&lt;keyword&gt;tranexamic acid&lt;/keyword&gt;&lt;keyword&gt;Tranexamic Acid .administration &amp;amp; dosage&lt;/keyword&gt;&lt;keyword&gt;transfusion&lt;/keyword&gt;&lt;keyword&gt;vein thrombosis&lt;/keyword&gt;&lt;/keywords&gt;&lt;dates&gt;&lt;year&gt;2013&lt;/year&gt;&lt;/dates&gt;&lt;urls&gt;&lt;/urls&gt;&lt;/record&gt;&lt;/Cite&gt;&lt;/EndNote&gt;</w:instrText>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180</w:t>
        </w:r>
        <w:r w:rsidR="00E62798">
          <w:rPr>
            <w:rFonts w:asciiTheme="minorHAnsi" w:hAnsiTheme="minorHAnsi" w:cstheme="minorHAnsi"/>
            <w:lang w:val="en-GB" w:eastAsia="en-GB"/>
          </w:rPr>
          <w:fldChar w:fldCharType="end"/>
        </w:r>
      </w:hyperlink>
      <w:r w:rsidR="002100AC">
        <w:rPr>
          <w:rFonts w:asciiTheme="minorHAnsi" w:hAnsiTheme="minorHAnsi" w:cstheme="minorHAnsi"/>
          <w:lang w:val="en-GB" w:eastAsia="en-GB"/>
        </w:rPr>
        <w:t xml:space="preserve"> that </w:t>
      </w:r>
      <w:r w:rsidRPr="00B10B96">
        <w:rPr>
          <w:rFonts w:asciiTheme="minorHAnsi" w:hAnsiTheme="minorHAnsi" w:cstheme="minorHAnsi"/>
          <w:lang w:val="en-GB" w:eastAsia="en-GB"/>
        </w:rPr>
        <w:t xml:space="preserve">included </w:t>
      </w:r>
      <w:r>
        <w:rPr>
          <w:rFonts w:asciiTheme="minorHAnsi" w:hAnsiTheme="minorHAnsi" w:cstheme="minorHAnsi"/>
          <w:lang w:val="en-GB" w:eastAsia="en-GB"/>
        </w:rPr>
        <w:t>evidence from one Level II study</w:t>
      </w:r>
      <w:hyperlink w:anchor="_ENREF_205" w:tooltip="Albirmawy, 2013 #842" w:history="1">
        <w:r w:rsidR="00E62798">
          <w:rPr>
            <w:rFonts w:asciiTheme="minorHAnsi" w:hAnsiTheme="minorHAnsi" w:cstheme="minorHAnsi"/>
            <w:lang w:val="en-GB" w:eastAsia="en-GB"/>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hAnsiTheme="minorHAnsi" w:cstheme="minorHAnsi"/>
            <w:lang w:val="en-GB" w:eastAsia="en-GB"/>
          </w:rPr>
          <w:instrText xml:space="preserve"> ADDIN EN.CITE </w:instrText>
        </w:r>
        <w:r w:rsidR="00E62798">
          <w:rPr>
            <w:rFonts w:asciiTheme="minorHAnsi" w:hAnsiTheme="minorHAnsi" w:cstheme="minorHAnsi"/>
            <w:lang w:val="en-GB" w:eastAsia="en-GB"/>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hAnsiTheme="minorHAnsi" w:cstheme="minorHAnsi"/>
            <w:lang w:val="en-GB" w:eastAsia="en-GB"/>
          </w:rPr>
          <w:instrText xml:space="preserve"> ADDIN EN.CITE.DATA </w:instrText>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end"/>
        </w:r>
        <w:r w:rsidR="00E62798">
          <w:rPr>
            <w:rFonts w:asciiTheme="minorHAnsi" w:hAnsiTheme="minorHAnsi" w:cstheme="minorHAnsi"/>
            <w:lang w:val="en-GB" w:eastAsia="en-GB"/>
          </w:rPr>
        </w:r>
        <w:r w:rsidR="00E62798">
          <w:rPr>
            <w:rFonts w:asciiTheme="minorHAnsi" w:hAnsiTheme="minorHAnsi" w:cstheme="minorHAnsi"/>
            <w:lang w:val="en-GB" w:eastAsia="en-GB"/>
          </w:rPr>
          <w:fldChar w:fldCharType="separate"/>
        </w:r>
        <w:r w:rsidR="00E62798" w:rsidRPr="00E62798">
          <w:rPr>
            <w:rFonts w:asciiTheme="minorHAnsi" w:hAnsiTheme="minorHAnsi" w:cstheme="minorHAnsi"/>
            <w:noProof/>
            <w:vertAlign w:val="superscript"/>
            <w:lang w:val="en-GB" w:eastAsia="en-GB"/>
          </w:rPr>
          <w:t>205</w:t>
        </w:r>
        <w:r w:rsidR="00E62798">
          <w:rPr>
            <w:rFonts w:asciiTheme="minorHAnsi" w:hAnsiTheme="minorHAnsi" w:cstheme="minorHAnsi"/>
            <w:lang w:val="en-GB" w:eastAsia="en-GB"/>
          </w:rPr>
          <w:fldChar w:fldCharType="end"/>
        </w:r>
      </w:hyperlink>
      <w:r>
        <w:rPr>
          <w:rFonts w:asciiTheme="minorHAnsi" w:hAnsiTheme="minorHAnsi" w:cstheme="minorHAnsi"/>
          <w:lang w:val="en-GB" w:eastAsia="en-GB"/>
        </w:rPr>
        <w:t xml:space="preserve"> provided evidence for transfusion volume or incidence in paediatric patients undergoing </w:t>
      </w:r>
      <w:r w:rsidR="0097590E">
        <w:t>ENT</w:t>
      </w:r>
      <w:r>
        <w:rPr>
          <w:rFonts w:asciiTheme="minorHAnsi" w:hAnsiTheme="minorHAnsi" w:cstheme="minorHAnsi"/>
          <w:lang w:val="en-GB" w:eastAsia="en-GB"/>
        </w:rPr>
        <w:t xml:space="preserve"> surgery.</w:t>
      </w:r>
    </w:p>
    <w:p w14:paraId="68B03360" w14:textId="77777777" w:rsidR="00175B8E" w:rsidRPr="00BF53A1" w:rsidRDefault="00175B8E" w:rsidP="00175B8E">
      <w:pPr>
        <w:pStyle w:val="H7"/>
        <w:rPr>
          <w:lang w:val="en-GB" w:eastAsia="en-GB"/>
        </w:rPr>
      </w:pPr>
      <w:r>
        <w:rPr>
          <w:lang w:val="en-GB" w:eastAsia="en-GB"/>
        </w:rPr>
        <w:t>Transfusion incidence</w:t>
      </w:r>
    </w:p>
    <w:p w14:paraId="4AAFE309" w14:textId="2A02627A" w:rsidR="00175B8E" w:rsidRDefault="002100AC" w:rsidP="00175B8E">
      <w:pPr>
        <w:spacing w:after="200" w:line="276" w:lineRule="auto"/>
        <w:rPr>
          <w:rFonts w:asciiTheme="minorHAnsi" w:eastAsia="Arial Unicode MS" w:hAnsiTheme="minorHAnsi" w:cstheme="minorHAnsi"/>
          <w:bCs/>
          <w:lang w:val="en-GB" w:eastAsia="ja-JP"/>
        </w:rPr>
      </w:pPr>
      <w:r>
        <w:rPr>
          <w:rFonts w:asciiTheme="minorHAnsi" w:hAnsiTheme="minorHAnsi" w:cstheme="minorHAnsi"/>
          <w:lang w:val="en-GB" w:eastAsia="en-GB"/>
        </w:rPr>
        <w:t>One study of</w:t>
      </w:r>
      <w:r w:rsidR="00175B8E" w:rsidRPr="00CC5147">
        <w:rPr>
          <w:rFonts w:asciiTheme="minorHAnsi" w:eastAsia="Arial Unicode MS" w:hAnsiTheme="minorHAnsi" w:cstheme="minorHAnsi"/>
          <w:bCs/>
          <w:lang w:val="en-GB" w:eastAsia="ja-JP"/>
        </w:rPr>
        <w:t xml:space="preserve"> 400 children undergoing primary isolated adenoidectomy</w:t>
      </w:r>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found no</w:t>
      </w:r>
      <w:r w:rsidR="00175B8E">
        <w:rPr>
          <w:rFonts w:asciiTheme="minorHAnsi" w:eastAsia="Arial Unicode MS" w:hAnsiTheme="minorHAnsi" w:cstheme="minorHAnsi"/>
          <w:bCs/>
          <w:lang w:val="en-GB" w:eastAsia="ja-JP"/>
        </w:rPr>
        <w:t xml:space="preserve"> significant difference in transfusion incidence between the topical TXA and placebo groups</w:t>
      </w:r>
      <w:r>
        <w:rPr>
          <w:rFonts w:asciiTheme="minorHAnsi" w:eastAsia="Arial Unicode MS" w:hAnsiTheme="minorHAnsi" w:cstheme="minorHAnsi"/>
          <w:bCs/>
          <w:lang w:val="en-GB" w:eastAsia="ja-JP"/>
        </w:rPr>
        <w:t>.</w:t>
      </w:r>
      <w:hyperlink w:anchor="_ENREF_205" w:tooltip="Albirmawy, 2013 #842" w:history="1">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205</w:t>
        </w:r>
        <w:r w:rsidR="00E62798">
          <w:rPr>
            <w:rFonts w:asciiTheme="minorHAnsi" w:eastAsia="Arial Unicode MS" w:hAnsiTheme="minorHAnsi" w:cstheme="minorHAnsi"/>
            <w:bCs/>
            <w:lang w:val="en-GB" w:eastAsia="ja-JP"/>
          </w:rPr>
          <w:fldChar w:fldCharType="end"/>
        </w:r>
      </w:hyperlink>
    </w:p>
    <w:p w14:paraId="58A59F18" w14:textId="77777777" w:rsidR="00175B8E" w:rsidRDefault="00175B8E" w:rsidP="00D62B17">
      <w:pPr>
        <w:pStyle w:val="Heading5"/>
      </w:pPr>
      <w:r w:rsidRPr="007F7EFE">
        <w:t>Thromboembolic events</w:t>
      </w:r>
    </w:p>
    <w:p w14:paraId="64D538DA" w14:textId="0FE43702" w:rsidR="00175B8E" w:rsidRDefault="00175B8E" w:rsidP="00175B8E">
      <w:pPr>
        <w:rPr>
          <w:lang w:val="en-GB" w:eastAsia="en-GB"/>
        </w:rPr>
      </w:pPr>
      <w:r>
        <w:rPr>
          <w:lang w:val="en-GB" w:eastAsia="en-GB"/>
        </w:rPr>
        <w:t>One Level I study</w:t>
      </w:r>
      <w:r w:rsidR="002100AC">
        <w:rPr>
          <w:lang w:val="en-GB" w:eastAsia="en-GB"/>
        </w:rPr>
        <w:t>,</w:t>
      </w:r>
      <w:hyperlink w:anchor="_ENREF_183" w:tooltip="Tzortzopoulou, 2008 #926" w:history="1">
        <w:r w:rsidR="00E62798">
          <w:rPr>
            <w:lang w:val="en-GB" w:eastAsia="en-GB"/>
          </w:rPr>
          <w:fldChar w:fldCharType="begin"/>
        </w:r>
        <w:r w:rsidR="00E62798">
          <w:rPr>
            <w:lang w:val="en-GB" w:eastAsia="en-GB"/>
          </w:rPr>
          <w:instrText xml:space="preserve"> ADDIN EN.CITE &lt;EndNote&gt;&lt;Cite&gt;&lt;Author&gt;Tzortzopoulou&lt;/Author&gt;&lt;Year&gt;2008&lt;/Year&gt;&lt;RecNum&gt;926&lt;/RecNum&gt;&lt;DisplayText&gt;&lt;style face="superscript"&gt;183&lt;/style&gt;&lt;/DisplayText&gt;&lt;record&gt;&lt;rec-number&gt;926&lt;/rec-number&gt;&lt;foreign-keys&gt;&lt;key app="EN" db-id="9edve2wadsavt5ewavaxtda4f2tavzvts9ee" timestamp="1435036188"&gt;926&lt;/key&gt;&lt;/foreign-keys&gt;&lt;ref-type name="Journal Article"&gt;17&lt;/ref-type&gt;&lt;contributors&gt;&lt;authors&gt;&lt;author&gt;Tzortzopoulou, Aikaterini&lt;/author&gt;&lt;author&gt;Cepeda, M. Soledad&lt;/author&gt;&lt;author&gt;Schumann, Roman&lt;/author&gt;&lt;author&gt;Carr, Daniel B.&lt;/author&gt;&lt;/authors&gt;&lt;/contributors&gt;&lt;titles&gt;&lt;title&gt;Antifibrinolytic agents for reducing blood loss in scoliosis surgery in children&lt;/title&gt;&lt;secondary-title&gt;Cochrane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FILE&lt;/reprint-edition&gt;&lt;keywords&gt;&lt;keyword&gt;age&lt;/keyword&gt;&lt;keyword&gt;aminocaproic acid&lt;/keyword&gt;&lt;keyword&gt;antifibrinolytic agent&lt;/keyword&gt;&lt;keyword&gt;aprotinin&lt;/keyword&gt;&lt;keyword&gt;blood&lt;/keyword&gt;&lt;keyword&gt;blood transfusion&lt;/keyword&gt;&lt;keyword&gt;clinical trial&lt;/keyword&gt;&lt;keyword&gt;Cochrane Library&lt;/keyword&gt;&lt;keyword&gt;Cochrane Reviews&lt;/keyword&gt;&lt;keyword&gt;Cochrane12Mar14&lt;/keyword&gt;&lt;keyword&gt;data extraction&lt;/keyword&gt;&lt;keyword&gt;death&lt;/keyword&gt;&lt;keyword&gt;Embase&lt;/keyword&gt;&lt;keyword&gt;language&lt;/keyword&gt;&lt;keyword&gt;Medline&lt;/keyword&gt;&lt;keyword&gt;mortality&lt;/keyword&gt;&lt;keyword&gt;patient&lt;/keyword&gt;&lt;keyword&gt;placebo&lt;/keyword&gt;&lt;keyword&gt;publication&lt;/keyword&gt;&lt;keyword&gt;randomized controlled trial&lt;/keyword&gt;&lt;keyword&gt;review&lt;/keyword&gt;&lt;keyword&gt;risk&lt;/keyword&gt;&lt;keyword&gt;safety&lt;/keyword&gt;&lt;keyword&gt;scoliosis&lt;/keyword&gt;&lt;keyword&gt;surgery&lt;/keyword&gt;&lt;keyword&gt;systematic review&lt;/keyword&gt;&lt;keyword&gt;tranexamic acid&lt;/keyword&gt;&lt;keyword&gt;transfusion&lt;/keyword&gt;&lt;/keywords&gt;&lt;dates&gt;&lt;year&gt;2008&lt;/year&gt;&lt;/dates&gt;&lt;urls&gt;&lt;/urls&gt;&lt;/record&gt;&lt;/Cite&gt;&lt;/EndNote&gt;</w:instrText>
        </w:r>
        <w:r w:rsidR="00E62798">
          <w:rPr>
            <w:lang w:val="en-GB" w:eastAsia="en-GB"/>
          </w:rPr>
          <w:fldChar w:fldCharType="separate"/>
        </w:r>
        <w:r w:rsidR="00E62798" w:rsidRPr="00E62798">
          <w:rPr>
            <w:noProof/>
            <w:vertAlign w:val="superscript"/>
            <w:lang w:val="en-GB" w:eastAsia="en-GB"/>
          </w:rPr>
          <w:t>183</w:t>
        </w:r>
        <w:r w:rsidR="00E62798">
          <w:rPr>
            <w:lang w:val="en-GB" w:eastAsia="en-GB"/>
          </w:rPr>
          <w:fldChar w:fldCharType="end"/>
        </w:r>
      </w:hyperlink>
      <w:r w:rsidR="002100AC">
        <w:rPr>
          <w:lang w:val="en-GB" w:eastAsia="en-GB"/>
        </w:rPr>
        <w:t xml:space="preserve"> </w:t>
      </w:r>
      <w:r>
        <w:rPr>
          <w:lang w:val="en-GB" w:eastAsia="en-GB"/>
        </w:rPr>
        <w:t xml:space="preserve">which included </w:t>
      </w:r>
      <w:r w:rsidR="002100AC">
        <w:rPr>
          <w:lang w:val="en-GB" w:eastAsia="en-GB"/>
        </w:rPr>
        <w:t>one</w:t>
      </w:r>
      <w:r>
        <w:rPr>
          <w:lang w:val="en-GB" w:eastAsia="en-GB"/>
        </w:rPr>
        <w:t xml:space="preserve"> Level II study</w:t>
      </w:r>
      <w:hyperlink w:anchor="_ENREF_206" w:tooltip="Cole, 2003 #859" w:history="1">
        <w:r w:rsidR="00E62798">
          <w:rPr>
            <w:lang w:val="en-GB" w:eastAsia="en-GB"/>
          </w:rPr>
          <w:fldChar w:fldCharType="begin"/>
        </w:r>
        <w:r w:rsidR="00E62798">
          <w:rPr>
            <w:lang w:val="en-GB" w:eastAsia="en-GB"/>
          </w:rPr>
          <w:instrText xml:space="preserve"> ADDIN EN.CITE &lt;EndNote&gt;&lt;Cite&gt;&lt;Author&gt;Cole&lt;/Author&gt;&lt;Year&gt;2003&lt;/Year&gt;&lt;RecNum&gt;859&lt;/RecNum&gt;&lt;DisplayText&gt;&lt;style face="superscript"&gt;206&lt;/style&gt;&lt;/DisplayText&gt;&lt;record&gt;&lt;rec-number&gt;859&lt;/rec-number&gt;&lt;foreign-keys&gt;&lt;key app="EN" db-id="9edve2wadsavt5ewavaxtda4f2tavzvts9ee" timestamp="1435036188"&gt;859&lt;/key&gt;&lt;/foreign-keys&gt;&lt;ref-type name="Generic"&gt;13&lt;/ref-type&gt;&lt;contributors&gt;&lt;authors&gt;&lt;author&gt;Cole, J. W.&lt;/author&gt;&lt;author&gt;Murray, D. J.&lt;/author&gt;&lt;author&gt;Snider, R. J.&lt;/author&gt;&lt;author&gt;Bassett, G. S.&lt;/author&gt;&lt;author&gt;Bridwell, K. H.&lt;/author&gt;&lt;author&gt;Lenke, L. G.&lt;/author&gt;&lt;/authors&gt;&lt;/contributors&gt;&lt;titles&gt;&lt;title&gt;Aprotinin reduces blood loss during spinal surgery in children&lt;/title&gt;&lt;/titles&gt;&lt;pages&gt;2482–2485&lt;/pages&gt;&lt;volume&gt;28&lt;/volume&gt;&lt;reprint-edition&gt;NOT IN FILE&lt;/reprint-edition&gt;&lt;keywords&gt;&lt;keyword&gt;aprotinin&lt;/keyword&gt;&lt;keyword&gt;blood&lt;/keyword&gt;&lt;keyword&gt;surgery&lt;/keyword&gt;&lt;/keywords&gt;&lt;dates&gt;&lt;year&gt;2003&lt;/year&gt;&lt;/dates&gt;&lt;urls&gt;&lt;/urls&gt;&lt;/record&gt;&lt;/Cite&gt;&lt;/EndNote&gt;</w:instrText>
        </w:r>
        <w:r w:rsidR="00E62798">
          <w:rPr>
            <w:lang w:val="en-GB" w:eastAsia="en-GB"/>
          </w:rPr>
          <w:fldChar w:fldCharType="separate"/>
        </w:r>
        <w:r w:rsidR="00E62798" w:rsidRPr="00E62798">
          <w:rPr>
            <w:noProof/>
            <w:vertAlign w:val="superscript"/>
            <w:lang w:val="en-GB" w:eastAsia="en-GB"/>
          </w:rPr>
          <w:t>206</w:t>
        </w:r>
        <w:r w:rsidR="00E62798">
          <w:rPr>
            <w:lang w:val="en-GB" w:eastAsia="en-GB"/>
          </w:rPr>
          <w:fldChar w:fldCharType="end"/>
        </w:r>
      </w:hyperlink>
      <w:r>
        <w:rPr>
          <w:lang w:val="en-GB" w:eastAsia="en-GB"/>
        </w:rPr>
        <w:t xml:space="preserve"> </w:t>
      </w:r>
      <w:r w:rsidR="002100AC">
        <w:rPr>
          <w:lang w:val="en-GB" w:eastAsia="en-GB"/>
        </w:rPr>
        <w:t>and</w:t>
      </w:r>
      <w:r>
        <w:rPr>
          <w:lang w:val="en-GB" w:eastAsia="en-GB"/>
        </w:rPr>
        <w:t xml:space="preserve"> </w:t>
      </w:r>
      <w:r w:rsidR="002100AC">
        <w:rPr>
          <w:lang w:val="en-GB" w:eastAsia="en-GB"/>
        </w:rPr>
        <w:t>three</w:t>
      </w:r>
      <w:r>
        <w:rPr>
          <w:lang w:val="en-GB" w:eastAsia="en-GB"/>
        </w:rPr>
        <w:t xml:space="preserve"> Level II studies</w:t>
      </w:r>
      <w:r w:rsidR="0097590E">
        <w:rPr>
          <w:lang w:val="en-GB" w:eastAsia="en-GB"/>
        </w:rPr>
        <w:t>,</w:t>
      </w:r>
      <w:r w:rsidR="00E62798">
        <w:rPr>
          <w:lang w:val="en-GB" w:eastAsia="en-GB"/>
        </w:rPr>
        <w:fldChar w:fldCharType="begin">
          <w:fldData xml:space="preserve">PEVuZE5vdGU+PENpdGU+PEF1dGhvcj5BaG1lZDwvQXV0aG9yPjxZZWFyPjIwMTQ8L1llYXI+PFJl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</w:fldData>
        </w:fldChar>
      </w:r>
      <w:r w:rsidR="00E62798">
        <w:rPr>
          <w:lang w:val="en-GB" w:eastAsia="en-GB"/>
        </w:rPr>
        <w:instrText xml:space="preserve"> ADDIN EN.CITE </w:instrText>
      </w:r>
      <w:r w:rsidR="00E62798">
        <w:rPr>
          <w:lang w:val="en-GB" w:eastAsia="en-GB"/>
        </w:rPr>
        <w:fldChar w:fldCharType="begin">
          <w:fldData xml:space="preserve">PEVuZE5vdGU+PENpdGU+PEF1dGhvcj5BaG1lZDwvQXV0aG9yPjxZZWFyPjIwMTQ8L1llYXI+PFJl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hyperlink w:anchor="_ENREF_189" w:tooltip="Flaujac, 2007 #873" w:history="1">
        <w:r w:rsidR="00E62798" w:rsidRPr="00E62798">
          <w:rPr>
            <w:noProof/>
            <w:vertAlign w:val="superscript"/>
            <w:lang w:val="en-GB" w:eastAsia="en-GB"/>
          </w:rPr>
          <w:t>189</w:t>
        </w:r>
      </w:hyperlink>
      <w:r w:rsidR="00E62798" w:rsidRPr="00E62798">
        <w:rPr>
          <w:noProof/>
          <w:vertAlign w:val="superscript"/>
          <w:lang w:val="en-GB" w:eastAsia="en-GB"/>
        </w:rPr>
        <w:t xml:space="preserve">; </w:t>
      </w:r>
      <w:hyperlink w:anchor="_ENREF_193" w:tooltip="Thompson, 2005 #925" w:history="1">
        <w:r w:rsidR="00E62798" w:rsidRPr="00E62798">
          <w:rPr>
            <w:noProof/>
            <w:vertAlign w:val="superscript"/>
            <w:lang w:val="en-GB" w:eastAsia="en-GB"/>
          </w:rPr>
          <w:t>193</w:t>
        </w:r>
      </w:hyperlink>
      <w:r w:rsidR="00E62798" w:rsidRPr="00E62798">
        <w:rPr>
          <w:noProof/>
          <w:vertAlign w:val="superscript"/>
          <w:lang w:val="en-GB" w:eastAsia="en-GB"/>
        </w:rPr>
        <w:t xml:space="preserve">; </w:t>
      </w:r>
      <w:hyperlink w:anchor="_ENREF_195" w:tooltip="Ahmed, 2014 #839" w:history="1">
        <w:r w:rsidR="00E62798" w:rsidRPr="00E62798">
          <w:rPr>
            <w:noProof/>
            <w:vertAlign w:val="superscript"/>
            <w:lang w:val="en-GB" w:eastAsia="en-GB"/>
          </w:rPr>
          <w:t>195</w:t>
        </w:r>
      </w:hyperlink>
      <w:r w:rsidR="00E62798">
        <w:rPr>
          <w:lang w:val="en-GB" w:eastAsia="en-GB"/>
        </w:rPr>
        <w:fldChar w:fldCharType="end"/>
      </w:r>
      <w:r w:rsidR="002100AC">
        <w:rPr>
          <w:lang w:val="en-GB" w:eastAsia="en-GB"/>
        </w:rPr>
        <w:t xml:space="preserve"> </w:t>
      </w:r>
      <w:r>
        <w:rPr>
          <w:lang w:val="en-GB" w:eastAsia="en-GB"/>
        </w:rPr>
        <w:t>provided evidence for thromboembolic events.</w:t>
      </w:r>
    </w:p>
    <w:p w14:paraId="62F2FAEE" w14:textId="76DD4F79" w:rsidR="00175B8E" w:rsidRDefault="00B1663A" w:rsidP="00175B8E">
      <w:pPr>
        <w:rPr>
          <w:lang w:val="en-GB" w:eastAsia="en-GB"/>
        </w:rPr>
      </w:pPr>
      <w:r>
        <w:rPr>
          <w:lang w:val="en-GB" w:eastAsia="en-GB"/>
        </w:rPr>
        <w:t>One study</w:t>
      </w:r>
      <w:r w:rsidR="00175B8E">
        <w:rPr>
          <w:lang w:val="en-GB" w:eastAsia="en-GB"/>
        </w:rPr>
        <w:t xml:space="preserve"> assessed thromboembolic events in paediatric patients undergoing cardiac surgery.</w:t>
      </w:r>
      <w:hyperlink w:anchor="_ENREF_189" w:tooltip="Flaujac, 2007 #873" w:history="1">
        <w:r w:rsidR="00E62798">
          <w:rPr>
            <w:lang w:val="en-GB" w:eastAsia="en-GB"/>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lang w:val="en-GB" w:eastAsia="en-GB"/>
          </w:rPr>
          <w:instrText xml:space="preserve"> ADDIN EN.CITE </w:instrText>
        </w:r>
        <w:r w:rsidR="00E62798">
          <w:rPr>
            <w:lang w:val="en-GB" w:eastAsia="en-GB"/>
          </w:rPr>
          <w:fldChar w:fldCharType="begin">
            <w:fldData xml:space="preserve">PEVuZE5vdGU+PENpdGU+PEF1dGhvcj5GbGF1amFjPC9BdXRob3I+PFllYXI+MjAwNzwvWWVhcj48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189</w:t>
        </w:r>
        <w:r w:rsidR="00E62798">
          <w:rPr>
            <w:lang w:val="en-GB" w:eastAsia="en-GB"/>
          </w:rPr>
          <w:fldChar w:fldCharType="end"/>
        </w:r>
      </w:hyperlink>
      <w:r w:rsidR="00175B8E">
        <w:rPr>
          <w:lang w:val="en-GB" w:eastAsia="en-GB"/>
        </w:rPr>
        <w:t xml:space="preserve"> </w:t>
      </w:r>
      <w:r>
        <w:rPr>
          <w:lang w:val="en-GB" w:eastAsia="en-GB"/>
        </w:rPr>
        <w:t>It</w:t>
      </w:r>
      <w:r w:rsidR="00175B8E">
        <w:rPr>
          <w:lang w:val="en-GB" w:eastAsia="en-GB"/>
        </w:rPr>
        <w:t xml:space="preserve"> included 20 infants undergoing primary corrective cardiac surgery with CPB</w:t>
      </w:r>
      <w:r>
        <w:rPr>
          <w:lang w:val="en-GB" w:eastAsia="en-GB"/>
        </w:rPr>
        <w:t xml:space="preserve">. </w:t>
      </w:r>
      <w:r w:rsidR="00175B8E">
        <w:rPr>
          <w:lang w:val="en-GB" w:eastAsia="en-GB"/>
        </w:rPr>
        <w:t xml:space="preserve">No thrombotic events were reported in either study group. </w:t>
      </w:r>
    </w:p>
    <w:p w14:paraId="1E916058" w14:textId="4A795392" w:rsidR="00175B8E" w:rsidRDefault="00B1663A" w:rsidP="00175B8E">
      <w:pPr>
        <w:rPr>
          <w:lang w:val="en-GB" w:eastAsia="en-GB"/>
        </w:rPr>
      </w:pPr>
      <w:r>
        <w:rPr>
          <w:lang w:val="en-GB" w:eastAsia="en-GB"/>
        </w:rPr>
        <w:t>Two studies</w:t>
      </w:r>
      <w:r w:rsidR="00175B8E">
        <w:rPr>
          <w:lang w:val="en-GB" w:eastAsia="en-GB"/>
        </w:rPr>
        <w:t xml:space="preserve"> assessed paediatric patients undergoing scoliosis surgery.</w:t>
      </w:r>
      <w:r w:rsidR="00E62798">
        <w:rPr>
          <w:lang w:val="en-GB" w:eastAsia="en-GB"/>
        </w:rPr>
        <w:fldChar w:fldCharType="begin"/>
      </w:r>
      <w:r w:rsidR="00E62798">
        <w:rPr>
          <w:lang w:val="en-GB" w:eastAsia="en-GB"/>
        </w:rPr>
        <w:instrText xml:space="preserve"> ADDIN EN.CITE &lt;EndNote&gt;&lt;Cite&gt;&lt;Author&gt;Cole&lt;/Author&gt;&lt;Year&gt;2003&lt;/Year&gt;&lt;RecNum&gt;859&lt;/RecNum&gt;&lt;DisplayText&gt;&lt;style face="superscript"&gt;193; 206&lt;/style&gt;&lt;/DisplayText&gt;&lt;record&gt;&lt;rec-number&gt;859&lt;/rec-number&gt;&lt;foreign-keys&gt;&lt;key app="EN" db-id="9edve2wadsavt5ewavaxtda4f2tavzvts9ee" timestamp="1435036188"&gt;859&lt;/key&gt;&lt;/foreign-keys&gt;&lt;ref-type name="Generic"&gt;13&lt;/ref-type&gt;&lt;contributors&gt;&lt;authors&gt;&lt;author&gt;Cole, J. W.&lt;/author&gt;&lt;author&gt;Murray, D. J.&lt;/author&gt;&lt;author&gt;Snider, R. J.&lt;/author&gt;&lt;author&gt;Bassett, G. S.&lt;/author&gt;&lt;author&gt;Bridwell, K. H.&lt;/author&gt;&lt;author&gt;Lenke, L. G.&lt;/author&gt;&lt;/authors&gt;&lt;/contributors&gt;&lt;titles&gt;&lt;title&gt;Aprotinin reduces blood loss during spinal surgery in children&lt;/title&gt;&lt;/titles&gt;&lt;pages&gt;2482–2485&lt;/pages&gt;&lt;volume&gt;28&lt;/volume&gt;&lt;reprint-edition&gt;NOT IN FILE&lt;/reprint-edition&gt;&lt;keywords&gt;&lt;keyword&gt;aprotinin&lt;/keyword&gt;&lt;keyword&gt;blood&lt;/keyword&gt;&lt;keyword&gt;surgery&lt;/keyword&gt;&lt;/keywords&gt;&lt;dates&gt;&lt;year&gt;2003&lt;/year&gt;&lt;/dates&gt;&lt;urls&gt;&lt;/urls&gt;&lt;/record&gt;&lt;/Cite&gt;&lt;Cite&gt;&lt;Author&gt;Thompson&lt;/Author&gt;&lt;Year&gt;2005&lt;/Year&gt;&lt;RecNum&gt;925&lt;/RecNum&gt;&lt;record&gt;&lt;rec-number&gt;925&lt;/rec-number&gt;&lt;foreign-keys&gt;&lt;key app="EN" db-id="9edve2wadsavt5ewavaxtda4f2tavzvts9ee" timestamp="1435036188"&gt;925&lt;/key&gt;&lt;/foreign-keys&gt;&lt;ref-type name="Generic"&gt;13&lt;/ref-type&gt;&lt;contributors&gt;&lt;authors&gt;&lt;author&gt;Thompson, G. H.&lt;/author&gt;&lt;author&gt;Florentino-Pineda, I.&lt;/author&gt;&lt;author&gt;Poe-Kochert, C.&lt;/author&gt;&lt;/authors&gt;&lt;/contributors&gt;&lt;titles&gt;&lt;title&gt;The Role of Amicar in Decreasing Perioperative Blood Loss in Idiopathic Scoliosis  &lt;/title&gt;&lt;/titles&gt;&lt;pages&gt;S94–S99&lt;/pages&gt;&lt;volume&gt;30&lt;/volume&gt;&lt;reprint-edition&gt;NOT IN FILE&lt;/reprint-edition&gt;&lt;keywords&gt;&lt;keyword&gt;blood&lt;/keyword&gt;&lt;keyword&gt;scoliosis&lt;/keyword&gt;&lt;/keywords&gt;&lt;dates&gt;&lt;year&gt;2005&lt;/year&gt;&lt;/dates&gt;&lt;urls&gt;&lt;/urls&gt;&lt;/record&gt;&lt;/Cite&gt;&lt;/EndNote&gt;</w:instrText>
      </w:r>
      <w:r w:rsidR="00E62798">
        <w:rPr>
          <w:lang w:val="en-GB" w:eastAsia="en-GB"/>
        </w:rPr>
        <w:fldChar w:fldCharType="separate"/>
      </w:r>
      <w:hyperlink w:anchor="_ENREF_193" w:tooltip="Thompson, 2005 #925" w:history="1">
        <w:r w:rsidR="00E62798" w:rsidRPr="00E62798">
          <w:rPr>
            <w:noProof/>
            <w:vertAlign w:val="superscript"/>
            <w:lang w:val="en-GB" w:eastAsia="en-GB"/>
          </w:rPr>
          <w:t>193</w:t>
        </w:r>
      </w:hyperlink>
      <w:r w:rsidR="00E62798" w:rsidRPr="00E62798">
        <w:rPr>
          <w:noProof/>
          <w:vertAlign w:val="superscript"/>
          <w:lang w:val="en-GB" w:eastAsia="en-GB"/>
        </w:rPr>
        <w:t xml:space="preserve">; </w:t>
      </w:r>
      <w:hyperlink w:anchor="_ENREF_206" w:tooltip="Cole, 2003 #859" w:history="1">
        <w:r w:rsidR="00E62798" w:rsidRPr="00E62798">
          <w:rPr>
            <w:noProof/>
            <w:vertAlign w:val="superscript"/>
            <w:lang w:val="en-GB" w:eastAsia="en-GB"/>
          </w:rPr>
          <w:t>206</w:t>
        </w:r>
      </w:hyperlink>
      <w:r w:rsidR="00E62798">
        <w:rPr>
          <w:lang w:val="en-GB" w:eastAsia="en-GB"/>
        </w:rPr>
        <w:fldChar w:fldCharType="end"/>
      </w:r>
      <w:r w:rsidR="00175B8E">
        <w:rPr>
          <w:lang w:val="en-GB" w:eastAsia="en-GB"/>
        </w:rPr>
        <w:t xml:space="preserve"> In </w:t>
      </w:r>
      <w:r>
        <w:rPr>
          <w:lang w:val="en-GB" w:eastAsia="en-GB"/>
        </w:rPr>
        <w:t>one study,</w:t>
      </w:r>
      <w:r w:rsidR="00175B8E">
        <w:rPr>
          <w:lang w:val="en-GB" w:eastAsia="en-GB"/>
        </w:rPr>
        <w:t xml:space="preserve"> no </w:t>
      </w:r>
      <w:r w:rsidR="0097590E">
        <w:rPr>
          <w:lang w:val="en-GB" w:eastAsia="en-GB"/>
        </w:rPr>
        <w:t>deep venous thrombosis</w:t>
      </w:r>
      <w:r w:rsidR="004E2E70">
        <w:rPr>
          <w:lang w:val="en-GB" w:eastAsia="en-GB"/>
        </w:rPr>
        <w:t xml:space="preserve"> (DVT)</w:t>
      </w:r>
      <w:r w:rsidR="0097590E">
        <w:rPr>
          <w:lang w:val="en-GB" w:eastAsia="en-GB"/>
        </w:rPr>
        <w:t xml:space="preserve"> </w:t>
      </w:r>
      <w:r w:rsidR="00175B8E">
        <w:rPr>
          <w:lang w:val="en-GB" w:eastAsia="en-GB"/>
        </w:rPr>
        <w:t xml:space="preserve">occurred in the aprotinin group (0%) compared with </w:t>
      </w:r>
      <w:r>
        <w:rPr>
          <w:lang w:val="en-GB" w:eastAsia="en-GB"/>
        </w:rPr>
        <w:t>three</w:t>
      </w:r>
      <w:r w:rsidR="00175B8E">
        <w:rPr>
          <w:lang w:val="en-GB" w:eastAsia="en-GB"/>
        </w:rPr>
        <w:t xml:space="preserve"> </w:t>
      </w:r>
      <w:r w:rsidR="004E2E70">
        <w:rPr>
          <w:lang w:val="en-GB" w:eastAsia="en-GB"/>
        </w:rPr>
        <w:t xml:space="preserve">DVTs </w:t>
      </w:r>
      <w:r w:rsidR="00175B8E">
        <w:rPr>
          <w:lang w:val="en-GB" w:eastAsia="en-GB"/>
        </w:rPr>
        <w:t>in the placebo group (13%).</w:t>
      </w:r>
      <w:hyperlink w:anchor="_ENREF_206" w:tooltip="Cole, 2003 #859" w:history="1">
        <w:r w:rsidR="00E62798">
          <w:rPr>
            <w:lang w:val="en-GB" w:eastAsia="en-GB"/>
          </w:rPr>
          <w:fldChar w:fldCharType="begin"/>
        </w:r>
        <w:r w:rsidR="00E62798">
          <w:rPr>
            <w:lang w:val="en-GB" w:eastAsia="en-GB"/>
          </w:rPr>
          <w:instrText xml:space="preserve"> ADDIN EN.CITE &lt;EndNote&gt;&lt;Cite&gt;&lt;Author&gt;Cole&lt;/Author&gt;&lt;Year&gt;2003&lt;/Year&gt;&lt;RecNum&gt;859&lt;/RecNum&gt;&lt;DisplayText&gt;&lt;style face="superscript"&gt;206&lt;/style&gt;&lt;/DisplayText&gt;&lt;record&gt;&lt;rec-number&gt;859&lt;/rec-number&gt;&lt;foreign-keys&gt;&lt;key app="EN" db-id="9edve2wadsavt5ewavaxtda4f2tavzvts9ee" timestamp="1435036188"&gt;859&lt;/key&gt;&lt;/foreign-keys&gt;&lt;ref-type name="Generic"&gt;13&lt;/ref-type&gt;&lt;contributors&gt;&lt;authors&gt;&lt;author&gt;Cole, J. W.&lt;/author&gt;&lt;author&gt;Murray, D. J.&lt;/author&gt;&lt;author&gt;Snider, R. J.&lt;/author&gt;&lt;author&gt;Bassett, G. S.&lt;/author&gt;&lt;author&gt;Bridwell, K. H.&lt;/author&gt;&lt;author&gt;Lenke, L. G.&lt;/author&gt;&lt;/authors&gt;&lt;/contributors&gt;&lt;titles&gt;&lt;title&gt;Aprotinin reduces blood loss during spinal surgery in children&lt;/title&gt;&lt;/titles&gt;&lt;pages&gt;2482–2485&lt;/pages&gt;&lt;volume&gt;28&lt;/volume&gt;&lt;reprint-edition&gt;NOT IN FILE&lt;/reprint-edition&gt;&lt;keywords&gt;&lt;keyword&gt;aprotinin&lt;/keyword&gt;&lt;keyword&gt;blood&lt;/keyword&gt;&lt;keyword&gt;surgery&lt;/keyword&gt;&lt;/keywords&gt;&lt;dates&gt;&lt;year&gt;2003&lt;/year&gt;&lt;/dates&gt;&lt;urls&gt;&lt;/urls&gt;&lt;/record&gt;&lt;/Cite&gt;&lt;/EndNote&gt;</w:instrText>
        </w:r>
        <w:r w:rsidR="00E62798">
          <w:rPr>
            <w:lang w:val="en-GB" w:eastAsia="en-GB"/>
          </w:rPr>
          <w:fldChar w:fldCharType="separate"/>
        </w:r>
        <w:r w:rsidR="00E62798" w:rsidRPr="00E62798">
          <w:rPr>
            <w:noProof/>
            <w:vertAlign w:val="superscript"/>
            <w:lang w:val="en-GB" w:eastAsia="en-GB"/>
          </w:rPr>
          <w:t>206</w:t>
        </w:r>
        <w:r w:rsidR="00E62798">
          <w:rPr>
            <w:lang w:val="en-GB" w:eastAsia="en-GB"/>
          </w:rPr>
          <w:fldChar w:fldCharType="end"/>
        </w:r>
      </w:hyperlink>
      <w:r w:rsidR="00175B8E">
        <w:rPr>
          <w:lang w:val="en-GB" w:eastAsia="en-GB"/>
        </w:rPr>
        <w:t xml:space="preserve"> Th</w:t>
      </w:r>
      <w:r>
        <w:rPr>
          <w:lang w:val="en-GB" w:eastAsia="en-GB"/>
        </w:rPr>
        <w:t>is</w:t>
      </w:r>
      <w:r w:rsidR="00175B8E">
        <w:rPr>
          <w:lang w:val="en-GB" w:eastAsia="en-GB"/>
        </w:rPr>
        <w:t xml:space="preserve"> result was not significant (</w:t>
      </w:r>
      <w:r w:rsidR="0097590E">
        <w:rPr>
          <w:lang w:val="en-GB" w:eastAsia="en-GB"/>
        </w:rPr>
        <w:t>p=</w:t>
      </w:r>
      <w:r w:rsidR="00175B8E">
        <w:rPr>
          <w:lang w:val="en-GB" w:eastAsia="en-GB"/>
        </w:rPr>
        <w:t xml:space="preserve">0.21). </w:t>
      </w:r>
      <w:r>
        <w:rPr>
          <w:lang w:val="en-GB" w:eastAsia="en-GB"/>
        </w:rPr>
        <w:t>The other study</w:t>
      </w:r>
      <w:r w:rsidR="00175B8E">
        <w:rPr>
          <w:lang w:val="en-GB" w:eastAsia="en-GB"/>
        </w:rPr>
        <w:t xml:space="preserve"> reported no events of venous thrombosis or thromboemboli during the study period.</w:t>
      </w:r>
      <w:hyperlink w:anchor="_ENREF_193" w:tooltip="Thompson, 2005 #925" w:history="1">
        <w:r w:rsidR="00E62798">
          <w:rPr>
            <w:lang w:val="en-GB" w:eastAsia="en-GB"/>
          </w:rPr>
          <w:fldChar w:fldCharType="begin"/>
        </w:r>
        <w:r w:rsidR="00E62798">
          <w:rPr>
            <w:lang w:val="en-GB" w:eastAsia="en-GB"/>
          </w:rPr>
          <w:instrText xml:space="preserve"> ADDIN EN.CITE &lt;EndNote&gt;&lt;Cite&gt;&lt;Author&gt;Thompson&lt;/Author&gt;&lt;Year&gt;2005&lt;/Year&gt;&lt;RecNum&gt;925&lt;/RecNum&gt;&lt;DisplayText&gt;&lt;style face="superscript"&gt;193&lt;/style&gt;&lt;/DisplayText&gt;&lt;record&gt;&lt;rec-number&gt;925&lt;/rec-number&gt;&lt;foreign-keys&gt;&lt;key app="EN" db-id="9edve2wadsavt5ewavaxtda4f2tavzvts9ee" timestamp="1435036188"&gt;925&lt;/key&gt;&lt;/foreign-keys&gt;&lt;ref-type name="Generic"&gt;13&lt;/ref-type&gt;&lt;contributors&gt;&lt;authors&gt;&lt;author&gt;Thompson, G. H.&lt;/author&gt;&lt;author&gt;Florentino-Pineda, I.&lt;/author&gt;&lt;author&gt;Poe-Kochert, C.&lt;/author&gt;&lt;/authors&gt;&lt;/contributors&gt;&lt;titles&gt;&lt;title&gt;The Role of Amicar in Decreasing Perioperative Blood Loss in Idiopathic Scoliosis  &lt;/title&gt;&lt;/titles&gt;&lt;pages&gt;S94–S99&lt;/pages&gt;&lt;volume&gt;30&lt;/volume&gt;&lt;reprint-edition&gt;NOT IN FILE&lt;/reprint-edition&gt;&lt;keywords&gt;&lt;keyword&gt;blood&lt;/keyword&gt;&lt;keyword&gt;scoliosis&lt;/keyword&gt;&lt;/keywords&gt;&lt;dates&gt;&lt;year&gt;2005&lt;/year&gt;&lt;/dates&gt;&lt;urls&gt;&lt;/urls&gt;&lt;/record&gt;&lt;/Cite&gt;&lt;/EndNote&gt;</w:instrText>
        </w:r>
        <w:r w:rsidR="00E62798">
          <w:rPr>
            <w:lang w:val="en-GB" w:eastAsia="en-GB"/>
          </w:rPr>
          <w:fldChar w:fldCharType="separate"/>
        </w:r>
        <w:r w:rsidR="00E62798" w:rsidRPr="00E62798">
          <w:rPr>
            <w:noProof/>
            <w:vertAlign w:val="superscript"/>
            <w:lang w:val="en-GB" w:eastAsia="en-GB"/>
          </w:rPr>
          <w:t>193</w:t>
        </w:r>
        <w:r w:rsidR="00E62798">
          <w:rPr>
            <w:lang w:val="en-GB" w:eastAsia="en-GB"/>
          </w:rPr>
          <w:fldChar w:fldCharType="end"/>
        </w:r>
      </w:hyperlink>
    </w:p>
    <w:p w14:paraId="4A29C851" w14:textId="743FCDBB" w:rsidR="00175B8E" w:rsidRDefault="00957184" w:rsidP="00175B8E">
      <w:pPr>
        <w:rPr>
          <w:lang w:val="en-GB" w:eastAsia="en-GB"/>
        </w:rPr>
      </w:pPr>
      <w:r>
        <w:rPr>
          <w:lang w:val="en-GB" w:eastAsia="en-GB"/>
        </w:rPr>
        <w:t>One study</w:t>
      </w:r>
      <w:r w:rsidR="00175B8E">
        <w:rPr>
          <w:lang w:val="en-GB" w:eastAsia="en-GB"/>
        </w:rPr>
        <w:t xml:space="preserve"> measured thrombotic complications in 26 paediatric patients undergoing major reconstructive craniofacial surgery.</w:t>
      </w:r>
      <w:hyperlink w:anchor="_ENREF_195" w:tooltip="Ahmed, 2014 #839" w:history="1">
        <w:r w:rsidR="00E62798">
          <w:rPr>
            <w:lang w:val="en-GB" w:eastAsia="en-GB"/>
          </w:rPr>
          <w:fldChar w:fldCharType="begin"/>
        </w:r>
        <w:r w:rsidR="00E62798">
          <w:rPr>
            <w:lang w:val="en-GB" w:eastAsia="en-GB"/>
          </w:rPr>
          <w:instrText xml:space="preserve"> ADDIN EN.CITE &lt;EndNote&gt;&lt;Cite&gt;&lt;Author&gt;Ahmed&lt;/Author&gt;&lt;Year&gt;2014&lt;/Year&gt;&lt;RecNum&gt;839&lt;/RecNum&gt;&lt;DisplayText&gt;&lt;style face="superscript"&gt;195&lt;/style&gt;&lt;/DisplayText&gt;&lt;record&gt;&lt;rec-number&gt;839&lt;/rec-number&gt;&lt;foreign-keys&gt;&lt;key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EndNote&gt;</w:instrText>
        </w:r>
        <w:r w:rsidR="00E62798">
          <w:rPr>
            <w:lang w:val="en-GB" w:eastAsia="en-GB"/>
          </w:rPr>
          <w:fldChar w:fldCharType="separate"/>
        </w:r>
        <w:r w:rsidR="00E62798" w:rsidRPr="00E62798">
          <w:rPr>
            <w:noProof/>
            <w:vertAlign w:val="superscript"/>
            <w:lang w:val="en-GB" w:eastAsia="en-GB"/>
          </w:rPr>
          <w:t>195</w:t>
        </w:r>
        <w:r w:rsidR="00E62798">
          <w:rPr>
            <w:lang w:val="en-GB" w:eastAsia="en-GB"/>
          </w:rPr>
          <w:fldChar w:fldCharType="end"/>
        </w:r>
      </w:hyperlink>
      <w:r w:rsidR="00175B8E">
        <w:rPr>
          <w:lang w:val="en-GB" w:eastAsia="en-GB"/>
        </w:rPr>
        <w:t xml:space="preserve"> No events were reported.</w:t>
      </w:r>
    </w:p>
    <w:p w14:paraId="3FF695AE" w14:textId="77777777" w:rsidR="00175B8E" w:rsidRDefault="00175B8E" w:rsidP="00D62B17">
      <w:pPr>
        <w:pStyle w:val="Heading5"/>
      </w:pPr>
      <w:r>
        <w:t>Bleeding events</w:t>
      </w:r>
    </w:p>
    <w:p w14:paraId="71D90E46" w14:textId="77777777" w:rsidR="00175B8E" w:rsidRDefault="00175B8E" w:rsidP="00D62B17">
      <w:pPr>
        <w:pStyle w:val="H6"/>
      </w:pPr>
      <w:r>
        <w:t xml:space="preserve">Cardiac surgery </w:t>
      </w:r>
    </w:p>
    <w:p w14:paraId="2F057A02" w14:textId="5091C949" w:rsidR="00175B8E" w:rsidRPr="00D62B17" w:rsidRDefault="00FF1963" w:rsidP="00D62B17">
      <w:pPr>
        <w:rPr>
          <w:rFonts w:eastAsia="Arial Unicode MS"/>
          <w:lang w:val="en-GB" w:eastAsia="ja-JP"/>
        </w:rPr>
      </w:pPr>
      <w:r>
        <w:rPr>
          <w:rFonts w:eastAsia="Arial Unicode MS"/>
          <w:lang w:val="en-GB" w:eastAsia="ja-JP"/>
        </w:rPr>
        <w:t>Two Level I studies p</w:t>
      </w:r>
      <w:r w:rsidR="00D62B17" w:rsidRPr="00123B4C">
        <w:rPr>
          <w:rFonts w:eastAsia="Arial Unicode MS"/>
          <w:lang w:val="en-GB" w:eastAsia="ja-JP"/>
        </w:rPr>
        <w:t xml:space="preserve">rovided evidence for </w:t>
      </w:r>
      <w:r w:rsidR="00D62B17">
        <w:rPr>
          <w:rFonts w:eastAsia="Arial Unicode MS"/>
          <w:lang w:val="en-GB" w:eastAsia="ja-JP"/>
        </w:rPr>
        <w:t>blood loss</w:t>
      </w:r>
      <w:r w:rsidR="00D62B17" w:rsidRPr="00123B4C">
        <w:rPr>
          <w:rFonts w:eastAsia="Arial Unicode MS"/>
          <w:lang w:val="en-GB" w:eastAsia="ja-JP"/>
        </w:rPr>
        <w:t xml:space="preserve"> in paediatric patients undergoing cardiac surgery.</w:t>
      </w:r>
      <w:hyperlink w:anchor="_ENREF_178" w:tooltip="Arnold, 2006 #844" w:history="1">
        <w:r w:rsidR="00E62798">
          <w:rPr>
            <w:rFonts w:eastAsia="Arial Unicode MS"/>
            <w:lang w:val="en-GB" w:eastAsia="ja-JP"/>
          </w:rPr>
          <w:fldChar w:fldCharType="begin">
            <w:fldData xml:space="preserve">PEVuZE5vdGU+PENpdGU+PEF1dGhvcj5Bcm5vbGQ8L0F1dGhvcj48WWVhcj4yMDA2PC9ZZWFyPjxS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</w:fldData>
          </w:fldChar>
        </w:r>
        <w:r w:rsidR="00E62798">
          <w:rPr>
            <w:rFonts w:eastAsia="Arial Unicode MS"/>
            <w:lang w:val="en-GB" w:eastAsia="ja-JP"/>
          </w:rPr>
          <w:instrText xml:space="preserve"> ADDIN EN.CITE </w:instrText>
        </w:r>
        <w:r w:rsidR="00E62798">
          <w:rPr>
            <w:rFonts w:eastAsia="Arial Unicode MS"/>
            <w:lang w:val="en-GB" w:eastAsia="ja-JP"/>
          </w:rPr>
          <w:fldChar w:fldCharType="begin">
            <w:fldData xml:space="preserve">PEVuZE5vdGU+PENpdGU+PEF1dGhvcj5Bcm5vbGQ8L0F1dGhvcj48WWVhcj4yMDA2PC9ZZWFyPjxS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</w:fldData>
          </w:fldChar>
        </w:r>
        <w:r w:rsidR="00E62798">
          <w:rPr>
            <w:rFonts w:eastAsia="Arial Unicode MS"/>
            <w:lang w:val="en-GB" w:eastAsia="ja-JP"/>
          </w:rPr>
          <w:instrText xml:space="preserve"> ADDIN EN.CITE.DATA </w:instrText>
        </w:r>
        <w:r w:rsidR="00E62798">
          <w:rPr>
            <w:rFonts w:eastAsia="Arial Unicode MS"/>
            <w:lang w:val="en-GB" w:eastAsia="ja-JP"/>
          </w:rPr>
        </w:r>
        <w:r w:rsidR="00E62798">
          <w:rPr>
            <w:rFonts w:eastAsia="Arial Unicode MS"/>
            <w:lang w:val="en-GB" w:eastAsia="ja-JP"/>
          </w:rPr>
          <w:fldChar w:fldCharType="end"/>
        </w:r>
        <w:r w:rsidR="00E62798">
          <w:rPr>
            <w:rFonts w:eastAsia="Arial Unicode MS"/>
            <w:lang w:val="en-GB" w:eastAsia="ja-JP"/>
          </w:rPr>
        </w:r>
        <w:r w:rsidR="00E62798">
          <w:rPr>
            <w:rFonts w:eastAsia="Arial Unicode MS"/>
            <w:lang w:val="en-GB" w:eastAsia="ja-JP"/>
          </w:rPr>
          <w:fldChar w:fldCharType="separate"/>
        </w:r>
        <w:r w:rsidR="00E62798" w:rsidRPr="00E62798">
          <w:rPr>
            <w:rFonts w:eastAsia="Arial Unicode MS"/>
            <w:noProof/>
            <w:vertAlign w:val="superscript"/>
            <w:lang w:val="en-GB" w:eastAsia="ja-JP"/>
          </w:rPr>
          <w:t>178-179</w:t>
        </w:r>
        <w:r w:rsidR="00E62798">
          <w:rPr>
            <w:rFonts w:eastAsia="Arial Unicode MS"/>
            <w:lang w:val="en-GB" w:eastAsia="ja-JP"/>
          </w:rPr>
          <w:fldChar w:fldCharType="end"/>
        </w:r>
      </w:hyperlink>
      <w:r w:rsidR="00D62B17" w:rsidRPr="00123B4C">
        <w:rPr>
          <w:rFonts w:eastAsia="Arial Unicode MS"/>
          <w:lang w:val="en-GB" w:eastAsia="ja-JP"/>
        </w:rPr>
        <w:t xml:space="preserve"> </w:t>
      </w:r>
    </w:p>
    <w:p w14:paraId="00266BD5" w14:textId="571DF04E" w:rsidR="00175B8E" w:rsidRPr="00123B4C" w:rsidRDefault="00175B8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N</w:t>
      </w:r>
      <w:r w:rsidRPr="00123B4C">
        <w:rPr>
          <w:rFonts w:asciiTheme="minorHAnsi" w:eastAsia="Arial Unicode MS" w:hAnsiTheme="minorHAnsi" w:cstheme="minorHAnsi"/>
          <w:bCs/>
          <w:lang w:val="en-GB" w:eastAsia="ja-JP"/>
        </w:rPr>
        <w:t xml:space="preserve">o significant difference in </w:t>
      </w:r>
      <w:r w:rsidR="00D62B17">
        <w:rPr>
          <w:rFonts w:asciiTheme="minorHAnsi" w:eastAsia="Arial Unicode MS" w:hAnsiTheme="minorHAnsi" w:cstheme="minorHAnsi"/>
          <w:bCs/>
          <w:lang w:val="en-GB" w:eastAsia="ja-JP"/>
        </w:rPr>
        <w:t>posto</w:t>
      </w:r>
      <w:r>
        <w:rPr>
          <w:rFonts w:asciiTheme="minorHAnsi" w:eastAsia="Arial Unicode MS" w:hAnsiTheme="minorHAnsi" w:cstheme="minorHAnsi"/>
          <w:bCs/>
          <w:lang w:val="en-GB" w:eastAsia="ja-JP"/>
        </w:rPr>
        <w:t xml:space="preserve">perative </w:t>
      </w:r>
      <w:r w:rsidRPr="00123B4C">
        <w:rPr>
          <w:rFonts w:asciiTheme="minorHAnsi" w:eastAsia="Arial Unicode MS" w:hAnsiTheme="minorHAnsi" w:cstheme="minorHAnsi"/>
          <w:bCs/>
          <w:lang w:val="en-GB" w:eastAsia="ja-JP"/>
        </w:rPr>
        <w:t>ches</w:t>
      </w:r>
      <w:r w:rsidR="00D62B17">
        <w:rPr>
          <w:rFonts w:asciiTheme="minorHAnsi" w:eastAsia="Arial Unicode MS" w:hAnsiTheme="minorHAnsi" w:cstheme="minorHAnsi"/>
          <w:bCs/>
          <w:lang w:val="en-GB" w:eastAsia="ja-JP"/>
        </w:rPr>
        <w:t>t tube drainage</w:t>
      </w:r>
      <w:r>
        <w:rPr>
          <w:rFonts w:asciiTheme="minorHAnsi" w:eastAsia="Arial Unicode MS" w:hAnsiTheme="minorHAnsi" w:cstheme="minorHAnsi"/>
          <w:bCs/>
          <w:lang w:val="en-GB" w:eastAsia="ja-JP"/>
        </w:rPr>
        <w:t xml:space="preserve"> was reported in </w:t>
      </w:r>
      <w:r w:rsidRPr="00123B4C">
        <w:rPr>
          <w:rFonts w:asciiTheme="minorHAnsi" w:eastAsia="Arial Unicode MS" w:hAnsiTheme="minorHAnsi" w:cstheme="minorHAnsi"/>
          <w:bCs/>
          <w:lang w:val="en-GB" w:eastAsia="ja-JP"/>
        </w:rPr>
        <w:t>a meta-analysis of 11 trials</w:t>
      </w:r>
      <w:r w:rsidR="004828DA">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that </w:t>
      </w:r>
      <w:r w:rsidRPr="00123B4C">
        <w:rPr>
          <w:rFonts w:asciiTheme="minorHAnsi" w:eastAsia="Arial Unicode MS" w:hAnsiTheme="minorHAnsi" w:cstheme="minorHAnsi"/>
          <w:bCs/>
          <w:lang w:val="en-GB" w:eastAsia="ja-JP"/>
        </w:rPr>
        <w:t>includ</w:t>
      </w:r>
      <w:r>
        <w:rPr>
          <w:rFonts w:asciiTheme="minorHAnsi" w:eastAsia="Arial Unicode MS" w:hAnsiTheme="minorHAnsi" w:cstheme="minorHAnsi"/>
          <w:bCs/>
          <w:lang w:val="en-GB" w:eastAsia="ja-JP"/>
        </w:rPr>
        <w:t>ed</w:t>
      </w:r>
      <w:r w:rsidRPr="00123B4C">
        <w:rPr>
          <w:rFonts w:asciiTheme="minorHAnsi" w:eastAsia="Arial Unicode MS" w:hAnsiTheme="minorHAnsi" w:cstheme="minorHAnsi"/>
          <w:bCs/>
          <w:lang w:val="en-GB" w:eastAsia="ja-JP"/>
        </w:rPr>
        <w:t xml:space="preserve"> 571 paediatric patients with congenital heart disease undergoing open heart surgery with </w:t>
      </w:r>
      <w:r>
        <w:rPr>
          <w:rFonts w:asciiTheme="minorHAnsi" w:eastAsia="Arial Unicode MS" w:hAnsiTheme="minorHAnsi" w:cstheme="minorHAnsi"/>
          <w:bCs/>
          <w:lang w:val="en-GB" w:eastAsia="ja-JP"/>
        </w:rPr>
        <w:t>CPB</w:t>
      </w:r>
      <w:r w:rsidRPr="00123B4C">
        <w:rPr>
          <w:rFonts w:asciiTheme="minorHAnsi" w:eastAsia="Arial Unicode MS" w:hAnsiTheme="minorHAnsi" w:cstheme="minorHAnsi"/>
          <w:bCs/>
          <w:lang w:val="en-GB" w:eastAsia="ja-JP"/>
        </w:rPr>
        <w:t>.</w:t>
      </w:r>
      <w:hyperlink w:anchor="_ENREF_178" w:tooltip="Arnold, 2006 #844" w:history="1">
        <w:r w:rsidR="00E62798">
          <w:rPr>
            <w:rFonts w:asciiTheme="minorHAnsi" w:eastAsia="Arial Unicode MS" w:hAnsiTheme="minorHAnsi" w:cstheme="minorHAnsi"/>
            <w:bCs/>
            <w:lang w:val="en-GB" w:eastAsia="ja-JP"/>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PEVuZE5vdGU+PENpdGU+PEF1dGhvcj5Bcm5vbGQ8L0F1dGhvcj48WWVhcj4yMDA2PC9ZZWFyPjxS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178</w:t>
        </w:r>
        <w:r w:rsidR="00E62798">
          <w:rPr>
            <w:rFonts w:asciiTheme="minorHAnsi" w:eastAsia="Arial Unicode MS" w:hAnsiTheme="minorHAnsi" w:cstheme="minorHAnsi"/>
            <w:bCs/>
            <w:lang w:val="en-GB" w:eastAsia="ja-JP"/>
          </w:rPr>
          <w:fldChar w:fldCharType="end"/>
        </w:r>
      </w:hyperlink>
      <w:r w:rsidRPr="00123B4C">
        <w:rPr>
          <w:rFonts w:asciiTheme="minorHAnsi" w:eastAsia="Arial Unicode MS" w:hAnsiTheme="minorHAnsi" w:cstheme="minorHAnsi"/>
          <w:bCs/>
          <w:lang w:val="en-GB" w:eastAsia="ja-JP"/>
        </w:rPr>
        <w:t xml:space="preserve"> </w:t>
      </w:r>
    </w:p>
    <w:p w14:paraId="5D037A55" w14:textId="264D5ADE" w:rsidR="00175B8E" w:rsidRPr="00123B4C" w:rsidRDefault="00D62B17" w:rsidP="00D62B17">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w:t>
      </w:r>
      <w:r w:rsidR="00175B8E" w:rsidRPr="00123B4C">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meta-analysis of</w:t>
      </w:r>
      <w:r w:rsidR="00175B8E">
        <w:rPr>
          <w:rFonts w:asciiTheme="minorHAnsi" w:eastAsia="Arial Unicode MS" w:hAnsiTheme="minorHAnsi" w:cstheme="minorHAnsi"/>
          <w:bCs/>
          <w:lang w:val="en-GB" w:eastAsia="ja-JP"/>
        </w:rPr>
        <w:t xml:space="preserve"> trials of 848 p</w:t>
      </w:r>
      <w:r>
        <w:rPr>
          <w:rFonts w:asciiTheme="minorHAnsi" w:eastAsia="Arial Unicode MS" w:hAnsiTheme="minorHAnsi" w:cstheme="minorHAnsi"/>
          <w:bCs/>
          <w:lang w:val="en-GB" w:eastAsia="ja-JP"/>
        </w:rPr>
        <w:t>aediatric patients reporting 24-</w:t>
      </w:r>
      <w:r w:rsidR="00175B8E">
        <w:rPr>
          <w:rFonts w:asciiTheme="minorHAnsi" w:eastAsia="Arial Unicode MS" w:hAnsiTheme="minorHAnsi" w:cstheme="minorHAnsi"/>
          <w:bCs/>
          <w:lang w:val="en-GB" w:eastAsia="ja-JP"/>
        </w:rPr>
        <w:t>hour postoperative blood loss found no significant difference between the TXA and placebo groups (</w:t>
      </w:r>
      <w:r w:rsidR="0097590E">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0.11).</w:t>
      </w:r>
      <w:hyperlink w:anchor="_ENREF_207" w:tooltip="Faraoni, 2012 #870" w:history="1">
        <w:r w:rsidR="00E62798">
          <w:rPr>
            <w:rFonts w:asciiTheme="minorHAnsi" w:eastAsia="Arial Unicode MS" w:hAnsiTheme="minorHAnsi" w:cstheme="minorHAnsi"/>
            <w:bCs/>
            <w:lang w:val="en-GB" w:eastAsia="ja-JP"/>
          </w:rPr>
          <w:fldChar w:fldCharType="begin">
            <w:fldData xml:space="preserve">PEVuZE5vdGU+PENpdGU+PEF1dGhvcj5GYXJhb25pPC9BdXRob3I+PFllYXI+MjAxMjwvWWVhcj48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PEVuZE5vdGU+PENpdGU+PEF1dGhvcj5GYXJhb25pPC9BdXRob3I+PFllYXI+MjAxMjwvWWVhcj48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207</w:t>
        </w:r>
        <w:r w:rsidR="00E62798">
          <w:rPr>
            <w:rFonts w:asciiTheme="minorHAnsi" w:eastAsia="Arial Unicode MS" w:hAnsiTheme="minorHAnsi" w:cstheme="minorHAnsi"/>
            <w:bCs/>
            <w:lang w:val="en-GB" w:eastAsia="ja-JP"/>
          </w:rPr>
          <w:fldChar w:fldCharType="end"/>
        </w:r>
      </w:hyperlink>
      <w:r>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Two sensitivity analyses were also conducted; the first excluded </w:t>
      </w:r>
      <w:r>
        <w:rPr>
          <w:rFonts w:asciiTheme="minorHAnsi" w:eastAsia="Arial Unicode MS" w:hAnsiTheme="minorHAnsi" w:cstheme="minorHAnsi"/>
          <w:bCs/>
          <w:lang w:val="en-GB" w:eastAsia="ja-JP"/>
        </w:rPr>
        <w:t xml:space="preserve">a study by </w:t>
      </w:r>
      <w:r w:rsidR="00175B8E" w:rsidRPr="00123B4C">
        <w:rPr>
          <w:rFonts w:asciiTheme="minorHAnsi" w:eastAsia="Arial Unicode MS" w:hAnsiTheme="minorHAnsi" w:cstheme="minorHAnsi"/>
          <w:bCs/>
          <w:lang w:val="en-GB" w:eastAsia="ja-JP"/>
        </w:rPr>
        <w:t xml:space="preserve">Chauhan </w:t>
      </w:r>
      <w:r>
        <w:rPr>
          <w:rFonts w:asciiTheme="minorHAnsi" w:eastAsia="Arial Unicode MS" w:hAnsiTheme="minorHAnsi" w:cstheme="minorHAnsi"/>
          <w:bCs/>
          <w:lang w:val="en-GB" w:eastAsia="ja-JP"/>
        </w:rPr>
        <w:t>et al (2004a)</w:t>
      </w:r>
      <w:hyperlink w:anchor="_ENREF_208" w:tooltip="Chauhan, 2004a #856" w:history="1">
        <w:r w:rsidR="00E62798">
          <w:rPr>
            <w:rFonts w:asciiTheme="minorHAnsi" w:eastAsia="Arial Unicode MS" w:hAnsiTheme="minorHAnsi" w:cstheme="minorHAnsi"/>
            <w:bCs/>
            <w:lang w:val="en-GB" w:eastAsia="ja-JP"/>
          </w:rPr>
          <w:fldChar w:fldCharType="begin">
            <w:fldData xml:space="preserve">PEVuZE5vdGU+PENpdGU+PEF1dGhvcj5DaGF1aGFuPC9BdXRob3I+PFllYXI+MjAwNGE8L1llYXI+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PEVuZE5vdGU+PENpdGU+PEF1dGhvcj5DaGF1aGFuPC9BdXRob3I+PFllYXI+MjAwNGE8L1llYXI+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208</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and the second excluded all studies by Chauhan</w:t>
      </w:r>
      <w:r w:rsidR="00175B8E">
        <w:rPr>
          <w:rFonts w:asciiTheme="minorHAnsi" w:eastAsia="Arial Unicode MS" w:hAnsiTheme="minorHAnsi" w:cstheme="minorHAnsi"/>
          <w:bCs/>
          <w:lang w:val="en-GB" w:eastAsia="ja-JP"/>
        </w:rPr>
        <w:t xml:space="preserve"> and colleagues</w:t>
      </w:r>
      <w:r w:rsidR="00175B8E" w:rsidRPr="00123B4C">
        <w:rPr>
          <w:rFonts w:asciiTheme="minorHAnsi" w:eastAsia="Arial Unicode MS" w:hAnsiTheme="minorHAnsi" w:cstheme="minorHAnsi"/>
          <w:bCs/>
          <w:lang w:val="en-GB" w:eastAsia="ja-JP"/>
        </w:rPr>
        <w:t xml:space="preserve">. This was to reduce possible bias introduced by these authors, whose studies dominated the original meta-analysis. </w:t>
      </w:r>
      <w:r>
        <w:rPr>
          <w:rFonts w:asciiTheme="minorHAnsi" w:eastAsia="Arial Unicode MS" w:hAnsiTheme="minorHAnsi" w:cstheme="minorHAnsi"/>
          <w:bCs/>
          <w:lang w:val="en-GB" w:eastAsia="ja-JP"/>
        </w:rPr>
        <w:t>Two</w:t>
      </w:r>
      <w:r w:rsidR="00175B8E" w:rsidRPr="00123B4C">
        <w:rPr>
          <w:rFonts w:asciiTheme="minorHAnsi" w:eastAsia="Arial Unicode MS" w:hAnsiTheme="minorHAnsi" w:cstheme="minorHAnsi"/>
          <w:bCs/>
          <w:lang w:val="en-GB" w:eastAsia="ja-JP"/>
        </w:rPr>
        <w:t xml:space="preserve"> sensitivity analy</w:t>
      </w:r>
      <w:r>
        <w:rPr>
          <w:rFonts w:asciiTheme="minorHAnsi" w:eastAsia="Arial Unicode MS" w:hAnsiTheme="minorHAnsi" w:cstheme="minorHAnsi"/>
          <w:bCs/>
          <w:lang w:val="en-GB" w:eastAsia="ja-JP"/>
        </w:rPr>
        <w:t>ses (one of which</w:t>
      </w:r>
      <w:r w:rsidR="00175B8E" w:rsidRPr="00123B4C">
        <w:rPr>
          <w:rFonts w:asciiTheme="minorHAnsi" w:eastAsia="Arial Unicode MS" w:hAnsiTheme="minorHAnsi" w:cstheme="minorHAnsi"/>
          <w:bCs/>
          <w:lang w:val="en-GB" w:eastAsia="ja-JP"/>
        </w:rPr>
        <w:t xml:space="preserve"> i</w:t>
      </w:r>
      <w:r w:rsidR="00175B8E">
        <w:rPr>
          <w:rFonts w:asciiTheme="minorHAnsi" w:eastAsia="Arial Unicode MS" w:hAnsiTheme="minorHAnsi" w:cstheme="minorHAnsi"/>
          <w:bCs/>
          <w:lang w:val="en-GB" w:eastAsia="ja-JP"/>
        </w:rPr>
        <w:t xml:space="preserve">ncluded </w:t>
      </w:r>
      <w:r>
        <w:rPr>
          <w:rFonts w:asciiTheme="minorHAnsi" w:eastAsia="Arial Unicode MS" w:hAnsiTheme="minorHAnsi" w:cstheme="minorHAnsi"/>
          <w:bCs/>
          <w:lang w:val="en-GB" w:eastAsia="ja-JP"/>
        </w:rPr>
        <w:t xml:space="preserve">seven trials </w:t>
      </w:r>
      <w:r w:rsidR="00175B8E" w:rsidRPr="00123B4C">
        <w:rPr>
          <w:rFonts w:asciiTheme="minorHAnsi" w:eastAsia="Arial Unicode MS" w:hAnsiTheme="minorHAnsi" w:cstheme="minorHAnsi"/>
          <w:bCs/>
          <w:lang w:val="en-GB" w:eastAsia="ja-JP"/>
        </w:rPr>
        <w:t xml:space="preserve">and the </w:t>
      </w:r>
      <w:r>
        <w:rPr>
          <w:rFonts w:asciiTheme="minorHAnsi" w:eastAsia="Arial Unicode MS" w:hAnsiTheme="minorHAnsi" w:cstheme="minorHAnsi"/>
          <w:bCs/>
          <w:lang w:val="en-GB" w:eastAsia="ja-JP"/>
        </w:rPr>
        <w:t>other</w:t>
      </w:r>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five trials) </w:t>
      </w:r>
      <w:r w:rsidR="00175B8E" w:rsidRPr="00123B4C">
        <w:rPr>
          <w:rFonts w:asciiTheme="minorHAnsi" w:eastAsia="Arial Unicode MS" w:hAnsiTheme="minorHAnsi" w:cstheme="minorHAnsi"/>
          <w:bCs/>
          <w:lang w:val="en-GB" w:eastAsia="ja-JP"/>
        </w:rPr>
        <w:t xml:space="preserve">favoured TXA. </w:t>
      </w:r>
      <w:r>
        <w:rPr>
          <w:rFonts w:asciiTheme="minorHAnsi" w:eastAsia="Arial Unicode MS" w:hAnsiTheme="minorHAnsi" w:cstheme="minorHAnsi"/>
          <w:bCs/>
          <w:lang w:val="en-GB" w:eastAsia="ja-JP"/>
        </w:rPr>
        <w:t xml:space="preserve">A </w:t>
      </w:r>
      <w:r w:rsidR="00175B8E" w:rsidRPr="00123B4C">
        <w:rPr>
          <w:rFonts w:asciiTheme="minorHAnsi" w:eastAsia="Arial Unicode MS" w:hAnsiTheme="minorHAnsi" w:cstheme="minorHAnsi"/>
          <w:bCs/>
          <w:lang w:val="en-GB" w:eastAsia="ja-JP"/>
        </w:rPr>
        <w:t>subgroup analysis of acyanotic patients showed no significant difference (</w:t>
      </w:r>
      <w:r w:rsidR="0097590E">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0.47).</w:t>
      </w:r>
      <w:hyperlink w:anchor="_ENREF_207" w:tooltip="Faraoni, 2012 #870" w:history="1">
        <w:r w:rsidR="00E62798">
          <w:rPr>
            <w:rFonts w:asciiTheme="minorHAnsi" w:eastAsia="Arial Unicode MS" w:hAnsiTheme="minorHAnsi" w:cstheme="minorHAnsi"/>
            <w:bCs/>
            <w:lang w:val="en-GB" w:eastAsia="ja-JP"/>
          </w:rPr>
          <w:fldChar w:fldCharType="begin">
            <w:fldData xml:space="preserve">PEVuZE5vdGU+PENpdGU+PEF1dGhvcj5GYXJhb25pPC9BdXRob3I+PFllYXI+MjAxMjwvWWVhcj48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PEVuZE5vdGU+PENpdGU+PEF1dGhvcj5GYXJhb25pPC9BdXRob3I+PFllYXI+MjAxMjwvWWVhcj48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207</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w:t>
      </w:r>
    </w:p>
    <w:p w14:paraId="6978F24F" w14:textId="77777777" w:rsidR="00175B8E" w:rsidRDefault="00175B8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Five additional Level II studies provided evidence for postoperative blood loss.</w:t>
      </w:r>
    </w:p>
    <w:p w14:paraId="5FF4AA59" w14:textId="6C72B9FE" w:rsidR="00175B8E" w:rsidRDefault="00D62B17"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One study</w:t>
      </w:r>
      <w:r w:rsidR="00175B8E" w:rsidRPr="00123B4C">
        <w:rPr>
          <w:rFonts w:asciiTheme="minorHAnsi" w:eastAsia="Arial Unicode MS" w:hAnsiTheme="minorHAnsi" w:cstheme="minorHAnsi"/>
          <w:bCs/>
          <w:lang w:val="en-GB" w:eastAsia="ja-JP"/>
        </w:rPr>
        <w:t xml:space="preserve"> assessed </w:t>
      </w:r>
      <w:r w:rsidR="00175B8E">
        <w:rPr>
          <w:rFonts w:asciiTheme="minorHAnsi" w:eastAsia="Arial Unicode MS" w:hAnsiTheme="minorHAnsi" w:cstheme="minorHAnsi"/>
          <w:bCs/>
          <w:lang w:val="en-GB" w:eastAsia="ja-JP"/>
        </w:rPr>
        <w:t>blood loss</w:t>
      </w:r>
      <w:r w:rsidR="00175B8E" w:rsidRPr="00123B4C">
        <w:rPr>
          <w:rFonts w:asciiTheme="minorHAnsi" w:eastAsia="Arial Unicode MS" w:hAnsiTheme="minorHAnsi" w:cstheme="minorHAnsi"/>
          <w:bCs/>
          <w:lang w:val="en-GB" w:eastAsia="ja-JP"/>
        </w:rPr>
        <w:t xml:space="preserve"> in 80 children with tetralogy of Fallot undergoing intracardiac repair.</w:t>
      </w:r>
      <w:hyperlink w:anchor="_ENREF_186" w:tooltip="Aggarwal, 2012 #838"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&lt;EndNote&gt;&lt;Cite&gt;&lt;Author&gt;Aggarwal&lt;/Author&gt;&lt;Year&gt;2012&lt;/Year&gt;&lt;RecNum&gt;838&lt;/RecNum&gt;&lt;DisplayText&gt;&lt;style face="superscript"&gt;186&lt;/style&gt;&lt;/DisplayText&gt;&lt;record&gt;&lt;rec-number&gt;838&lt;/rec-number&gt;&lt;foreign-keys&gt;&lt;key app="EN" db-id="9edve2wadsavt5ewavaxtda4f2tavzvts9ee" timestamp="1435036188"&gt;838&lt;/key&gt;&lt;/foreign-keys&gt;&lt;ref-type name="Generic"&gt;13&lt;/ref-type&gt;&lt;contributors&gt;&lt;authors&gt;&lt;author&gt;Aggarwal, V.&lt;/author&gt;&lt;author&gt;Kapoor, P. M.&lt;/author&gt;&lt;author&gt;Choudhury, M.&lt;/author&gt;&lt;author&gt;Kiran, U.&lt;/author&gt;&lt;author&gt;Chowdhury, U.&lt;/author&gt;&lt;/authors&gt;&lt;/contributors&gt;&lt;titles&gt;&lt;title&gt;Utility of sonoclot analysis and tranexamic acid in tetralogy of Fallot patients undergoing intracardiac repair&lt;/title&gt;&lt;/titles&gt;&lt;pages&gt;26–31&lt;/pages&gt;&lt;volume&gt;15&lt;/volume&gt;&lt;reprint-edition&gt;NOT IN FILE&lt;/reprint-edition&gt;&lt;keywords&gt;&lt;keyword&gt;tranexamic acid&lt;/keyword&gt;&lt;keyword&gt;acid&lt;/keyword&gt;&lt;keyword&gt;patient&lt;/keyword&gt;&lt;/keywords&gt;&lt;dates&gt;&lt;year&gt;2012&lt;/year&gt;&lt;/dates&gt;&lt;urls&gt;&lt;/urls&gt;&lt;/record&gt;&lt;/Cite&gt;&lt;/EndNote&gt;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186</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It found a significant difference in 24-</w:t>
      </w:r>
      <w:r w:rsidR="00175B8E" w:rsidRPr="00123B4C">
        <w:rPr>
          <w:rFonts w:asciiTheme="minorHAnsi" w:eastAsia="Arial Unicode MS" w:hAnsiTheme="minorHAnsi" w:cstheme="minorHAnsi"/>
          <w:bCs/>
          <w:lang w:val="en-GB" w:eastAsia="ja-JP"/>
        </w:rPr>
        <w:t>hour pos</w:t>
      </w:r>
      <w:r>
        <w:rPr>
          <w:rFonts w:asciiTheme="minorHAnsi" w:eastAsia="Arial Unicode MS" w:hAnsiTheme="minorHAnsi" w:cstheme="minorHAnsi"/>
          <w:bCs/>
          <w:lang w:val="en-GB" w:eastAsia="ja-JP"/>
        </w:rPr>
        <w:t xml:space="preserve">toperative blood loss favouring </w:t>
      </w:r>
      <w:r w:rsidR="00175B8E">
        <w:rPr>
          <w:rFonts w:asciiTheme="minorHAnsi" w:eastAsia="Arial Unicode MS" w:hAnsiTheme="minorHAnsi" w:cstheme="minorHAnsi"/>
          <w:bCs/>
          <w:lang w:val="en-GB" w:eastAsia="ja-JP"/>
        </w:rPr>
        <w:t>TXA (</w:t>
      </w:r>
      <w:r w:rsidR="004E2E70" w:rsidRPr="00123B4C">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 xml:space="preserve">&lt;0.01). In the TXA group, there were </w:t>
      </w:r>
      <w:r>
        <w:rPr>
          <w:rFonts w:asciiTheme="minorHAnsi" w:eastAsia="Arial Unicode MS" w:hAnsiTheme="minorHAnsi" w:cstheme="minorHAnsi"/>
          <w:bCs/>
          <w:lang w:val="en-GB" w:eastAsia="ja-JP"/>
        </w:rPr>
        <w:t>two</w:t>
      </w:r>
      <w:r w:rsidR="00175B8E" w:rsidRPr="00123B4C">
        <w:rPr>
          <w:rFonts w:asciiTheme="minorHAnsi" w:eastAsia="Arial Unicode MS" w:hAnsiTheme="minorHAnsi" w:cstheme="minorHAnsi"/>
          <w:bCs/>
          <w:lang w:val="en-GB" w:eastAsia="ja-JP"/>
        </w:rPr>
        <w:t xml:space="preserve"> cases (5.0%) of excessive bleeding </w:t>
      </w:r>
      <w:r>
        <w:rPr>
          <w:rFonts w:asciiTheme="minorHAnsi" w:eastAsia="Arial Unicode MS" w:hAnsiTheme="minorHAnsi" w:cstheme="minorHAnsi"/>
          <w:bCs/>
          <w:lang w:val="en-GB" w:eastAsia="ja-JP"/>
        </w:rPr>
        <w:t>(&gt;5 mL</w:t>
      </w:r>
      <w:r w:rsidR="00175B8E">
        <w:rPr>
          <w:rFonts w:asciiTheme="minorHAnsi" w:eastAsia="Arial Unicode MS" w:hAnsiTheme="minorHAnsi" w:cstheme="minorHAnsi"/>
          <w:bCs/>
          <w:lang w:val="en-GB" w:eastAsia="ja-JP"/>
        </w:rPr>
        <w:t xml:space="preserve">/kg) </w:t>
      </w:r>
      <w:r w:rsidR="00175B8E" w:rsidRPr="00123B4C">
        <w:rPr>
          <w:rFonts w:asciiTheme="minorHAnsi" w:eastAsia="Arial Unicode MS" w:hAnsiTheme="minorHAnsi" w:cstheme="minorHAnsi"/>
          <w:bCs/>
          <w:lang w:val="en-GB" w:eastAsia="ja-JP"/>
        </w:rPr>
        <w:t xml:space="preserve">due to hyperfibrinolysis, compared to </w:t>
      </w:r>
      <w:r>
        <w:rPr>
          <w:rFonts w:asciiTheme="minorHAnsi" w:eastAsia="Arial Unicode MS" w:hAnsiTheme="minorHAnsi" w:cstheme="minorHAnsi"/>
          <w:bCs/>
          <w:lang w:val="en-GB" w:eastAsia="ja-JP"/>
        </w:rPr>
        <w:t>five</w:t>
      </w:r>
      <w:r w:rsidR="00175B8E" w:rsidRPr="00123B4C">
        <w:rPr>
          <w:rFonts w:asciiTheme="minorHAnsi" w:eastAsia="Arial Unicode MS" w:hAnsiTheme="minorHAnsi" w:cstheme="minorHAnsi"/>
          <w:bCs/>
          <w:lang w:val="en-GB" w:eastAsia="ja-JP"/>
        </w:rPr>
        <w:t xml:space="preserve"> cases (12.5%) in the control grou</w:t>
      </w:r>
      <w:r w:rsidR="00175B8E">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 xml:space="preserve"> This result was not significant.</w:t>
      </w:r>
    </w:p>
    <w:p w14:paraId="4837F684" w14:textId="5C5A47CD" w:rsidR="00175B8E" w:rsidRPr="00123B4C" w:rsidRDefault="00D62B17"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 study</w:t>
      </w:r>
      <w:r w:rsidR="00175B8E" w:rsidRPr="00123B4C">
        <w:rPr>
          <w:rFonts w:asciiTheme="minorHAnsi" w:eastAsia="Arial Unicode MS" w:hAnsiTheme="minorHAnsi" w:cstheme="minorHAnsi"/>
          <w:bCs/>
          <w:lang w:val="en-GB" w:eastAsia="ja-JP"/>
        </w:rPr>
        <w:t xml:space="preserve"> measur</w:t>
      </w:r>
      <w:r>
        <w:rPr>
          <w:rFonts w:asciiTheme="minorHAnsi" w:eastAsia="Arial Unicode MS" w:hAnsiTheme="minorHAnsi" w:cstheme="minorHAnsi"/>
          <w:bCs/>
          <w:lang w:val="en-GB" w:eastAsia="ja-JP"/>
        </w:rPr>
        <w:t>ing 48-</w:t>
      </w:r>
      <w:r w:rsidR="00175B8E" w:rsidRPr="00123B4C">
        <w:rPr>
          <w:rFonts w:asciiTheme="minorHAnsi" w:eastAsia="Arial Unicode MS" w:hAnsiTheme="minorHAnsi" w:cstheme="minorHAnsi"/>
          <w:bCs/>
          <w:lang w:val="en-GB" w:eastAsia="ja-JP"/>
        </w:rPr>
        <w:t xml:space="preserve">hour postoperative bleeding in 19 paediatric patients with congenital heart disease undergoing cardiac surgery with </w:t>
      </w:r>
      <w:r w:rsidR="00175B8E">
        <w:rPr>
          <w:rFonts w:asciiTheme="minorHAnsi" w:eastAsia="Arial Unicode MS" w:hAnsiTheme="minorHAnsi" w:cstheme="minorHAnsi"/>
          <w:bCs/>
          <w:lang w:val="en-GB" w:eastAsia="ja-JP"/>
        </w:rPr>
        <w:t>CPB</w:t>
      </w:r>
      <w:r>
        <w:rPr>
          <w:rFonts w:asciiTheme="minorHAnsi" w:eastAsia="Arial Unicode MS" w:hAnsiTheme="minorHAnsi" w:cstheme="minorHAnsi"/>
          <w:bCs/>
          <w:lang w:val="en-GB" w:eastAsia="ja-JP"/>
        </w:rPr>
        <w:t xml:space="preserve"> found no significant difference.</w:t>
      </w:r>
      <w:hyperlink w:anchor="_ENREF_188" w:tooltip="Ferreira, 2010 #872" w:history="1">
        <w:r w:rsidR="00E62798">
          <w:rPr>
            <w:rFonts w:asciiTheme="minorHAnsi" w:eastAsia="Arial Unicode MS" w:hAnsiTheme="minorHAnsi" w:cstheme="minorHAnsi"/>
            <w:bCs/>
            <w:lang w:val="en-GB" w:eastAsia="ja-JP"/>
          </w:rPr>
          <w:fldChar w:fldCharType="begin">
            <w:fldData xml:space="preserve">PEVuZE5vdGU+PENpdGU+PEF1dGhvcj5GZXJyZWlyYTwvQXV0aG9yPjxZZWFyPjIwMTA8L1llYXI+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PEVuZE5vdGU+PENpdGU+PEF1dGhvcj5GZXJyZWlyYTwvQXV0aG9yPjxZZWFyPjIwMTA8L1llYXI+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188</w:t>
        </w:r>
        <w:r w:rsidR="00E62798">
          <w:rPr>
            <w:rFonts w:asciiTheme="minorHAnsi" w:eastAsia="Arial Unicode MS" w:hAnsiTheme="minorHAnsi" w:cstheme="minorHAnsi"/>
            <w:bCs/>
            <w:lang w:val="en-GB" w:eastAsia="ja-JP"/>
          </w:rPr>
          <w:fldChar w:fldCharType="end"/>
        </w:r>
      </w:hyperlink>
    </w:p>
    <w:p w14:paraId="25F90C28" w14:textId="3261E270" w:rsidR="00175B8E" w:rsidRPr="00123B4C" w:rsidRDefault="00D62B17"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Blood loss was assessed</w:t>
      </w:r>
      <w:r w:rsidR="00175B8E" w:rsidRPr="00123B4C">
        <w:rPr>
          <w:rFonts w:asciiTheme="minorHAnsi" w:eastAsia="Arial Unicode MS" w:hAnsiTheme="minorHAnsi" w:cstheme="minorHAnsi"/>
          <w:bCs/>
          <w:lang w:val="en-GB" w:eastAsia="ja-JP"/>
        </w:rPr>
        <w:t xml:space="preserve"> in 120 paediatric patients undergoing cardiac surgery with </w:t>
      </w:r>
      <w:r w:rsidR="00175B8E">
        <w:rPr>
          <w:rFonts w:asciiTheme="minorHAnsi" w:eastAsia="Arial Unicode MS" w:hAnsiTheme="minorHAnsi" w:cstheme="minorHAnsi"/>
          <w:bCs/>
          <w:lang w:val="en-GB" w:eastAsia="ja-JP"/>
        </w:rPr>
        <w:t>CPB</w:t>
      </w:r>
      <w:r w:rsidR="00175B8E" w:rsidRPr="00123B4C">
        <w:rPr>
          <w:rFonts w:asciiTheme="minorHAnsi" w:eastAsia="Arial Unicode MS" w:hAnsiTheme="minorHAnsi" w:cstheme="minorHAnsi"/>
          <w:bCs/>
          <w:lang w:val="en-GB" w:eastAsia="ja-JP"/>
        </w:rPr>
        <w:t xml:space="preserve"> for tetralogy of Fallot </w:t>
      </w:r>
      <w:r>
        <w:rPr>
          <w:rFonts w:asciiTheme="minorHAnsi" w:eastAsia="Arial Unicode MS" w:hAnsiTheme="minorHAnsi" w:cstheme="minorHAnsi"/>
          <w:bCs/>
          <w:lang w:val="en-GB" w:eastAsia="ja-JP"/>
        </w:rPr>
        <w:t>in a three-arm study of high-dose EACA, low-</w:t>
      </w:r>
      <w:r w:rsidR="00175B8E">
        <w:rPr>
          <w:rFonts w:asciiTheme="minorHAnsi" w:eastAsia="Arial Unicode MS" w:hAnsiTheme="minorHAnsi" w:cstheme="minorHAnsi"/>
          <w:bCs/>
          <w:lang w:val="en-GB" w:eastAsia="ja-JP"/>
        </w:rPr>
        <w:t xml:space="preserve">dose EACA and </w:t>
      </w:r>
      <w:r w:rsidR="00175B8E" w:rsidRPr="00123B4C">
        <w:rPr>
          <w:rFonts w:asciiTheme="minorHAnsi" w:eastAsia="Arial Unicode MS" w:hAnsiTheme="minorHAnsi" w:cstheme="minorHAnsi"/>
          <w:bCs/>
          <w:lang w:val="en-GB" w:eastAsia="ja-JP"/>
        </w:rPr>
        <w:t>placebo.</w:t>
      </w:r>
      <w:hyperlink w:anchor="_ENREF_190" w:tooltip="Sarupria, 2013 #915" w:history="1">
        <w:r w:rsidR="00E62798">
          <w:rPr>
            <w:rFonts w:asciiTheme="minorHAnsi" w:eastAsia="Arial Unicode MS" w:hAnsiTheme="minorHAnsi" w:cstheme="minorHAnsi"/>
            <w:bCs/>
            <w:lang w:val="en-GB" w:eastAsia="ja-JP"/>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PEVuZE5vdGU+PENpdGU+PEF1dGhvcj5TYXJ1cHJpYTwvQXV0aG9yPjxZZWFyPjIwMTM8L1llYXI+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190</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When high</w:t>
      </w:r>
      <w:r w:rsidR="004E2E70">
        <w:rPr>
          <w:rFonts w:asciiTheme="minorHAnsi" w:eastAsia="Arial Unicode MS" w:hAnsiTheme="minorHAnsi" w:cstheme="minorHAnsi"/>
          <w:bCs/>
          <w:lang w:val="en-GB" w:eastAsia="ja-JP"/>
        </w:rPr>
        <w:t>-dose</w:t>
      </w:r>
      <w:r w:rsidR="00175B8E" w:rsidRPr="00123B4C">
        <w:rPr>
          <w:rFonts w:asciiTheme="minorHAnsi" w:eastAsia="Arial Unicode MS" w:hAnsiTheme="minorHAnsi" w:cstheme="minorHAnsi"/>
          <w:bCs/>
          <w:lang w:val="en-GB" w:eastAsia="ja-JP"/>
        </w:rPr>
        <w:t xml:space="preserve"> and </w:t>
      </w:r>
      <w:r w:rsidR="004E2E70" w:rsidRPr="00123B4C">
        <w:rPr>
          <w:rFonts w:asciiTheme="minorHAnsi" w:eastAsia="Arial Unicode MS" w:hAnsiTheme="minorHAnsi" w:cstheme="minorHAnsi"/>
          <w:bCs/>
          <w:lang w:val="en-GB" w:eastAsia="ja-JP"/>
        </w:rPr>
        <w:t>low</w:t>
      </w:r>
      <w:r w:rsidR="004E2E70">
        <w:rPr>
          <w:rFonts w:asciiTheme="minorHAnsi" w:eastAsia="Arial Unicode MS" w:hAnsiTheme="minorHAnsi" w:cstheme="minorHAnsi"/>
          <w:bCs/>
          <w:lang w:val="en-GB" w:eastAsia="ja-JP"/>
        </w:rPr>
        <w:t>-</w:t>
      </w:r>
      <w:r w:rsidR="00175B8E" w:rsidRPr="00123B4C">
        <w:rPr>
          <w:rFonts w:asciiTheme="minorHAnsi" w:eastAsia="Arial Unicode MS" w:hAnsiTheme="minorHAnsi" w:cstheme="minorHAnsi"/>
          <w:bCs/>
          <w:lang w:val="en-GB" w:eastAsia="ja-JP"/>
        </w:rPr>
        <w:t xml:space="preserve">dose EACA were compared, significant differences were found in </w:t>
      </w:r>
      <w:r>
        <w:rPr>
          <w:rFonts w:asciiTheme="minorHAnsi" w:eastAsia="Arial Unicode MS" w:hAnsiTheme="minorHAnsi" w:cstheme="minorHAnsi"/>
          <w:bCs/>
          <w:lang w:val="en-GB" w:eastAsia="ja-JP"/>
        </w:rPr>
        <w:t>favour of low-</w:t>
      </w:r>
      <w:r w:rsidR="00175B8E" w:rsidRPr="00123B4C">
        <w:rPr>
          <w:rFonts w:asciiTheme="minorHAnsi" w:eastAsia="Arial Unicode MS" w:hAnsiTheme="minorHAnsi" w:cstheme="minorHAnsi"/>
          <w:bCs/>
          <w:lang w:val="en-GB" w:eastAsia="ja-JP"/>
        </w:rPr>
        <w:t>dose EACA for 6</w:t>
      </w:r>
      <w:r w:rsidR="004E2E70">
        <w:rPr>
          <w:rFonts w:asciiTheme="minorHAnsi" w:eastAsia="Arial Unicode MS" w:hAnsiTheme="minorHAnsi" w:cstheme="minorHAnsi"/>
          <w:bCs/>
          <w:lang w:val="en-GB" w:eastAsia="ja-JP"/>
        </w:rPr>
        <w:t>-</w:t>
      </w:r>
      <w:r w:rsidR="00175B8E" w:rsidRPr="00123B4C">
        <w:rPr>
          <w:rFonts w:asciiTheme="minorHAnsi" w:eastAsia="Arial Unicode MS" w:hAnsiTheme="minorHAnsi" w:cstheme="minorHAnsi"/>
          <w:bCs/>
          <w:lang w:val="en-GB" w:eastAsia="ja-JP"/>
        </w:rPr>
        <w:t xml:space="preserve">hour postoperative blood loss (108.45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61.45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32.75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26.02, </w:t>
      </w:r>
      <w:r w:rsidR="004E2E70">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&lt;0.01), cumulative 12-</w:t>
      </w:r>
      <w:r w:rsidR="00175B8E" w:rsidRPr="00123B4C">
        <w:rPr>
          <w:rFonts w:asciiTheme="minorHAnsi" w:eastAsia="Arial Unicode MS" w:hAnsiTheme="minorHAnsi" w:cstheme="minorHAnsi"/>
          <w:bCs/>
          <w:lang w:val="en-GB" w:eastAsia="ja-JP"/>
        </w:rPr>
        <w:t xml:space="preserve">hour postoperative blood loss (172.37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71.56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50.50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4</w:t>
      </w:r>
      <w:r>
        <w:rPr>
          <w:rFonts w:asciiTheme="minorHAnsi" w:eastAsia="Arial Unicode MS" w:hAnsiTheme="minorHAnsi" w:cstheme="minorHAnsi"/>
          <w:bCs/>
          <w:lang w:val="en-GB" w:eastAsia="ja-JP"/>
        </w:rPr>
        <w:t xml:space="preserve">2.30, </w:t>
      </w:r>
      <w:r w:rsidR="004E2E70">
        <w:rPr>
          <w:rFonts w:asciiTheme="minorHAnsi" w:eastAsia="Arial Unicode MS" w:hAnsiTheme="minorHAnsi" w:cstheme="minorHAnsi"/>
          <w:bCs/>
          <w:lang w:val="en-GB" w:eastAsia="ja-JP"/>
        </w:rPr>
        <w:t>p</w:t>
      </w:r>
      <w:r>
        <w:rPr>
          <w:rFonts w:asciiTheme="minorHAnsi" w:eastAsia="Arial Unicode MS" w:hAnsiTheme="minorHAnsi" w:cstheme="minorHAnsi"/>
          <w:bCs/>
          <w:lang w:val="en-GB" w:eastAsia="ja-JP"/>
        </w:rPr>
        <w:t>&lt;0.01) and cumulative 24-</w:t>
      </w:r>
      <w:r w:rsidR="00175B8E" w:rsidRPr="00123B4C">
        <w:rPr>
          <w:rFonts w:asciiTheme="minorHAnsi" w:eastAsia="Arial Unicode MS" w:hAnsiTheme="minorHAnsi" w:cstheme="minorHAnsi"/>
          <w:bCs/>
          <w:lang w:val="en-GB" w:eastAsia="ja-JP"/>
        </w:rPr>
        <w:t xml:space="preserve">hour postoperative blood loss (223.95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83.96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69.00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50.01, </w:t>
      </w:r>
      <w:r w:rsidR="004E2E70" w:rsidRPr="00123B4C">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&lt;0.01). However</w:t>
      </w:r>
      <w:r>
        <w:rPr>
          <w:rFonts w:asciiTheme="minorHAnsi" w:eastAsia="Arial Unicode MS" w:hAnsiTheme="minorHAnsi" w:cstheme="minorHAnsi"/>
          <w:bCs/>
          <w:lang w:val="en-GB" w:eastAsia="ja-JP"/>
        </w:rPr>
        <w:t>, when high-</w:t>
      </w:r>
      <w:r w:rsidR="00175B8E" w:rsidRPr="00123B4C">
        <w:rPr>
          <w:rFonts w:asciiTheme="minorHAnsi" w:eastAsia="Arial Unicode MS" w:hAnsiTheme="minorHAnsi" w:cstheme="minorHAnsi"/>
          <w:bCs/>
          <w:lang w:val="en-GB" w:eastAsia="ja-JP"/>
        </w:rPr>
        <w:t xml:space="preserve">dose EACA </w:t>
      </w:r>
      <w:r>
        <w:rPr>
          <w:rFonts w:asciiTheme="minorHAnsi" w:eastAsia="Arial Unicode MS" w:hAnsiTheme="minorHAnsi" w:cstheme="minorHAnsi"/>
          <w:bCs/>
          <w:lang w:val="en-GB" w:eastAsia="ja-JP"/>
        </w:rPr>
        <w:t>was compared to placebo, only 6-</w:t>
      </w:r>
      <w:r w:rsidR="00175B8E" w:rsidRPr="00123B4C">
        <w:rPr>
          <w:rFonts w:asciiTheme="minorHAnsi" w:eastAsia="Arial Unicode MS" w:hAnsiTheme="minorHAnsi" w:cstheme="minorHAnsi"/>
          <w:bCs/>
          <w:lang w:val="en-GB" w:eastAsia="ja-JP"/>
        </w:rPr>
        <w:t xml:space="preserve">hour postoperative blood loss reached significance in favour of EACA (108.45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61.45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137.84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52.50, </w:t>
      </w:r>
      <w:r w:rsidR="004E2E70" w:rsidRPr="00123B4C">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&lt;0.05). No significant differ</w:t>
      </w:r>
      <w:r>
        <w:rPr>
          <w:rFonts w:asciiTheme="minorHAnsi" w:eastAsia="Arial Unicode MS" w:hAnsiTheme="minorHAnsi" w:cstheme="minorHAnsi"/>
          <w:bCs/>
          <w:lang w:val="en-GB" w:eastAsia="ja-JP"/>
        </w:rPr>
        <w:t>ence was found in cumulative 12-</w:t>
      </w:r>
      <w:r w:rsidR="00175B8E" w:rsidRPr="00123B4C">
        <w:rPr>
          <w:rFonts w:asciiTheme="minorHAnsi" w:eastAsia="Arial Unicode MS" w:hAnsiTheme="minorHAnsi" w:cstheme="minorHAnsi"/>
          <w:bCs/>
          <w:lang w:val="en-GB" w:eastAsia="ja-JP"/>
        </w:rPr>
        <w:t xml:space="preserve">hour </w:t>
      </w:r>
      <w:r>
        <w:rPr>
          <w:rFonts w:asciiTheme="minorHAnsi" w:eastAsia="Arial Unicode MS" w:hAnsiTheme="minorHAnsi" w:cstheme="minorHAnsi"/>
          <w:bCs/>
          <w:lang w:val="en-GB" w:eastAsia="ja-JP"/>
        </w:rPr>
        <w:t>or 24-</w:t>
      </w:r>
      <w:r w:rsidR="00175B8E" w:rsidRPr="00123B4C">
        <w:rPr>
          <w:rFonts w:asciiTheme="minorHAnsi" w:eastAsia="Arial Unicode MS" w:hAnsiTheme="minorHAnsi" w:cstheme="minorHAnsi"/>
          <w:bCs/>
          <w:lang w:val="en-GB" w:eastAsia="ja-JP"/>
        </w:rPr>
        <w:t>hou</w:t>
      </w:r>
      <w:r>
        <w:rPr>
          <w:rFonts w:asciiTheme="minorHAnsi" w:eastAsia="Arial Unicode MS" w:hAnsiTheme="minorHAnsi" w:cstheme="minorHAnsi"/>
          <w:bCs/>
          <w:lang w:val="en-GB" w:eastAsia="ja-JP"/>
        </w:rPr>
        <w:t>r postoperative blood loss.</w:t>
      </w:r>
      <w:r w:rsidR="00175B8E" w:rsidRPr="00123B4C">
        <w:rPr>
          <w:rFonts w:asciiTheme="minorHAnsi" w:eastAsia="Arial Unicode MS" w:hAnsiTheme="minorHAnsi" w:cstheme="minorHAnsi"/>
          <w:bCs/>
          <w:lang w:val="en-GB" w:eastAsia="ja-JP"/>
        </w:rPr>
        <w:t xml:space="preserve"> </w:t>
      </w:r>
    </w:p>
    <w:p w14:paraId="5E542B14" w14:textId="0D37826D" w:rsidR="00175B8E" w:rsidRPr="00123B4C" w:rsidRDefault="00D62B17"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One study assessed total blood loss and 24-</w:t>
      </w:r>
      <w:r w:rsidR="00175B8E" w:rsidRPr="00123B4C">
        <w:rPr>
          <w:rFonts w:asciiTheme="minorHAnsi" w:eastAsia="Arial Unicode MS" w:hAnsiTheme="minorHAnsi" w:cstheme="minorHAnsi"/>
          <w:bCs/>
          <w:lang w:val="en-GB" w:eastAsia="ja-JP"/>
        </w:rPr>
        <w:t xml:space="preserve">hour chest tube drainage among 75 paediatric cyanotic patients with tetralogy of Fallot undergoing total correction with </w:t>
      </w:r>
      <w:r w:rsidR="00175B8E">
        <w:rPr>
          <w:rFonts w:asciiTheme="minorHAnsi" w:eastAsia="Arial Unicode MS" w:hAnsiTheme="minorHAnsi" w:cstheme="minorHAnsi"/>
          <w:bCs/>
          <w:lang w:val="en-GB" w:eastAsia="ja-JP"/>
        </w:rPr>
        <w:t>CPB</w:t>
      </w:r>
      <w:r w:rsidR="00175B8E" w:rsidRPr="00123B4C">
        <w:rPr>
          <w:rFonts w:asciiTheme="minorHAnsi" w:eastAsia="Arial Unicode MS" w:hAnsiTheme="minorHAnsi" w:cstheme="minorHAnsi"/>
          <w:bCs/>
          <w:lang w:val="en-GB" w:eastAsia="ja-JP"/>
        </w:rPr>
        <w:t xml:space="preserve"> using either one or two doses of aprotinin.</w:t>
      </w:r>
      <w:hyperlink w:anchor="_ENREF_191" w:tooltip="Singh, 2001 #921" w:history="1">
        <w:r w:rsidR="00E62798">
          <w:rPr>
            <w:rFonts w:asciiTheme="minorHAnsi" w:eastAsia="Arial Unicode MS" w:hAnsiTheme="minorHAnsi" w:cstheme="minorHAnsi"/>
            <w:bCs/>
            <w:lang w:val="en-GB" w:eastAsia="ja-JP"/>
          </w:rPr>
          <w:fldChar w:fldCharType="begin">
            <w:fldData xml:space="preserve">PEVuZE5vdGU+PENpdGU+PEF1dGhvcj5TaW5naDwvQXV0aG9yPjxZZWFyPjIwMDE8L1llYXI+PFJl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PEVuZE5vdGU+PENpdGU+PEF1dGhvcj5TaW5naDwvQXV0aG9yPjxZZWFyPjIwMDE8L1llYXI+PFJl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191</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There was </w:t>
      </w:r>
      <w:r w:rsidR="00175B8E">
        <w:rPr>
          <w:rFonts w:asciiTheme="minorHAnsi" w:eastAsia="Arial Unicode MS" w:hAnsiTheme="minorHAnsi" w:cstheme="minorHAnsi"/>
          <w:bCs/>
          <w:lang w:val="en-GB" w:eastAsia="ja-JP"/>
        </w:rPr>
        <w:t>a significant difference in</w:t>
      </w:r>
      <w:r w:rsidR="00175B8E" w:rsidRPr="00123B4C">
        <w:rPr>
          <w:rFonts w:asciiTheme="minorHAnsi" w:eastAsia="Arial Unicode MS" w:hAnsiTheme="minorHAnsi" w:cstheme="minorHAnsi"/>
          <w:bCs/>
          <w:lang w:val="en-GB" w:eastAsia="ja-JP"/>
        </w:rPr>
        <w:t xml:space="preserve"> total blood loss (two doses: 221.4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60.3, one dose: 254.2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22.6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426.0 </w:t>
      </w:r>
      <w:r w:rsidR="004E2E70">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92.0;</w:t>
      </w:r>
      <w:r>
        <w:rPr>
          <w:rFonts w:asciiTheme="minorHAnsi" w:eastAsia="Arial Unicode MS" w:hAnsiTheme="minorHAnsi" w:cstheme="minorHAnsi"/>
          <w:bCs/>
          <w:lang w:val="en-GB" w:eastAsia="ja-JP"/>
        </w:rPr>
        <w:t xml:space="preserve"> </w:t>
      </w:r>
      <w:r w:rsidR="004E2E70">
        <w:rPr>
          <w:rFonts w:asciiTheme="minorHAnsi" w:eastAsia="Arial Unicode MS" w:hAnsiTheme="minorHAnsi" w:cstheme="minorHAnsi"/>
          <w:bCs/>
          <w:lang w:val="en-GB" w:eastAsia="ja-JP"/>
        </w:rPr>
        <w:t>p&lt;</w:t>
      </w:r>
      <w:r>
        <w:rPr>
          <w:rFonts w:asciiTheme="minorHAnsi" w:eastAsia="Arial Unicode MS" w:hAnsiTheme="minorHAnsi" w:cstheme="minorHAnsi"/>
          <w:bCs/>
          <w:lang w:val="en-GB" w:eastAsia="ja-JP"/>
        </w:rPr>
        <w:t>0.05) and 24-</w:t>
      </w:r>
      <w:r w:rsidR="00175B8E" w:rsidRPr="00123B4C">
        <w:rPr>
          <w:rFonts w:asciiTheme="minorHAnsi" w:eastAsia="Arial Unicode MS" w:hAnsiTheme="minorHAnsi" w:cstheme="minorHAnsi"/>
          <w:bCs/>
          <w:lang w:val="en-GB" w:eastAsia="ja-JP"/>
        </w:rPr>
        <w:t xml:space="preserve">hour chest tube drainage (two doses: 164.3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25.7, one dose: 145.</w:t>
      </w:r>
      <w:r>
        <w:rPr>
          <w:rFonts w:asciiTheme="minorHAnsi" w:eastAsia="Arial Unicode MS" w:hAnsiTheme="minorHAnsi" w:cstheme="minorHAnsi"/>
          <w:bCs/>
          <w:lang w:val="en-GB" w:eastAsia="ja-JP"/>
        </w:rPr>
        <w:t xml:space="preserve">2 </w:t>
      </w:r>
      <w:r w:rsidR="004E2E70">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20.5 </w:t>
      </w:r>
      <w:r w:rsidR="0097590E">
        <w:rPr>
          <w:rFonts w:asciiTheme="minorHAnsi" w:eastAsia="Arial Unicode MS" w:hAnsiTheme="minorHAnsi" w:cstheme="minorHAnsi"/>
          <w:bCs/>
          <w:lang w:val="en-GB" w:eastAsia="ja-JP"/>
        </w:rPr>
        <w:t>versus</w:t>
      </w:r>
      <w:r>
        <w:rPr>
          <w:rFonts w:asciiTheme="minorHAnsi" w:eastAsia="Arial Unicode MS" w:hAnsiTheme="minorHAnsi" w:cstheme="minorHAnsi"/>
          <w:bCs/>
          <w:lang w:val="en-GB" w:eastAsia="ja-JP"/>
        </w:rPr>
        <w:t xml:space="preserve"> 321.0 </w:t>
      </w:r>
      <w:r w:rsidR="004E2E70">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23.0, </w:t>
      </w:r>
      <w:r w:rsidR="004E2E70">
        <w:rPr>
          <w:rFonts w:asciiTheme="minorHAnsi" w:eastAsia="Arial Unicode MS" w:hAnsiTheme="minorHAnsi" w:cstheme="minorHAnsi"/>
          <w:bCs/>
          <w:lang w:val="en-GB" w:eastAsia="ja-JP"/>
        </w:rPr>
        <w:t>p&lt;</w:t>
      </w:r>
      <w:r>
        <w:rPr>
          <w:rFonts w:asciiTheme="minorHAnsi" w:eastAsia="Arial Unicode MS" w:hAnsiTheme="minorHAnsi" w:cstheme="minorHAnsi"/>
          <w:bCs/>
          <w:lang w:val="en-GB" w:eastAsia="ja-JP"/>
        </w:rPr>
        <w:t xml:space="preserve">0.05), favouring </w:t>
      </w:r>
      <w:r w:rsidR="00175B8E" w:rsidRPr="00123B4C">
        <w:rPr>
          <w:rFonts w:asciiTheme="minorHAnsi" w:eastAsia="Arial Unicode MS" w:hAnsiTheme="minorHAnsi" w:cstheme="minorHAnsi"/>
          <w:bCs/>
          <w:lang w:val="en-GB" w:eastAsia="ja-JP"/>
        </w:rPr>
        <w:t xml:space="preserve">aprotinin. </w:t>
      </w:r>
    </w:p>
    <w:p w14:paraId="5E058238" w14:textId="2647FBEE" w:rsidR="00175B8E" w:rsidRDefault="00D62B17"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B</w:t>
      </w:r>
      <w:r w:rsidR="00175B8E">
        <w:rPr>
          <w:rFonts w:asciiTheme="minorHAnsi" w:eastAsia="Arial Unicode MS" w:hAnsiTheme="minorHAnsi" w:cstheme="minorHAnsi"/>
          <w:bCs/>
          <w:lang w:val="en-GB" w:eastAsia="ja-JP"/>
        </w:rPr>
        <w:t>lood loss</w:t>
      </w:r>
      <w:r w:rsidR="00175B8E" w:rsidRPr="00123B4C">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was measured in </w:t>
      </w:r>
      <w:r w:rsidR="00175B8E" w:rsidRPr="00123B4C">
        <w:rPr>
          <w:rFonts w:asciiTheme="minorHAnsi" w:eastAsia="Arial Unicode MS" w:hAnsiTheme="minorHAnsi" w:cstheme="minorHAnsi"/>
          <w:bCs/>
          <w:lang w:val="en-GB" w:eastAsia="ja-JP"/>
        </w:rPr>
        <w:t>62 paediatric patients with cyanotic congenital heart disease and a right-to-left shunt undergoing open heart surgery.</w:t>
      </w:r>
      <w:hyperlink w:anchor="_ENREF_192" w:tooltip="Vacharaksa, 2002 #928" w:history="1">
        <w:r w:rsidR="00E62798">
          <w:rPr>
            <w:rFonts w:asciiTheme="minorHAnsi" w:eastAsia="Arial Unicode MS" w:hAnsiTheme="minorHAnsi" w:cstheme="minorHAnsi"/>
            <w:bCs/>
            <w:lang w:val="en-GB" w:eastAsia="ja-JP"/>
          </w:rPr>
          <w:fldChar w:fldCharType="begin">
            <w:fldData xml:space="preserve">PEVuZE5vdGU+PENpdGU+PEF1dGhvcj5WYWNoYXJha3NhPC9BdXRob3I+PFllYXI+MjAwMjwvWWVh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PEVuZE5vdGU+PENpdGU+PEF1dGhvcj5WYWNoYXJha3NhPC9BdXRob3I+PFllYXI+MjAwMjwvWWVh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192</w:t>
        </w:r>
        <w:r w:rsidR="00E62798">
          <w:rPr>
            <w:rFonts w:asciiTheme="minorHAnsi" w:eastAsia="Arial Unicode MS" w:hAnsiTheme="minorHAnsi" w:cstheme="minorHAnsi"/>
            <w:bCs/>
            <w:lang w:val="en-GB" w:eastAsia="ja-JP"/>
          </w:rPr>
          <w:fldChar w:fldCharType="end"/>
        </w:r>
      </w:hyperlink>
      <w:r w:rsidR="00175B8E" w:rsidRPr="00123B4C">
        <w:rPr>
          <w:rFonts w:asciiTheme="minorHAnsi" w:eastAsia="Arial Unicode MS" w:hAnsiTheme="minorHAnsi" w:cstheme="minorHAnsi"/>
          <w:bCs/>
          <w:lang w:val="en-GB" w:eastAsia="ja-JP"/>
        </w:rPr>
        <w:t xml:space="preserve"> There was no significant difference in total postoperative blood loss (195.63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188.03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186.30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163.78, </w:t>
      </w:r>
      <w:r w:rsidR="0097590E">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0.5) or postoperative blood loss</w:t>
      </w:r>
      <w:r w:rsidR="00175B8E">
        <w:rPr>
          <w:rFonts w:asciiTheme="minorHAnsi" w:eastAsia="Arial Unicode MS" w:hAnsiTheme="minorHAnsi" w:cstheme="minorHAnsi"/>
          <w:bCs/>
          <w:lang w:val="en-GB" w:eastAsia="ja-JP"/>
        </w:rPr>
        <w:t xml:space="preserve"> by weight</w:t>
      </w:r>
      <w:r w:rsidR="00175B8E" w:rsidRPr="00123B4C">
        <w:rPr>
          <w:rFonts w:asciiTheme="minorHAnsi" w:eastAsia="Arial Unicode MS" w:hAnsiTheme="minorHAnsi" w:cstheme="minorHAnsi"/>
          <w:bCs/>
          <w:lang w:val="en-GB" w:eastAsia="ja-JP"/>
        </w:rPr>
        <w:t xml:space="preserve"> (12.51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13.20 </w:t>
      </w:r>
      <w:r w:rsidR="0097590E">
        <w:rPr>
          <w:rFonts w:asciiTheme="minorHAnsi" w:eastAsia="Arial Unicode MS" w:hAnsiTheme="minorHAnsi" w:cstheme="minorHAnsi"/>
          <w:bCs/>
          <w:lang w:val="en-GB" w:eastAsia="ja-JP"/>
        </w:rPr>
        <w:t>versus</w:t>
      </w:r>
      <w:r w:rsidR="00175B8E" w:rsidRPr="00123B4C">
        <w:rPr>
          <w:rFonts w:asciiTheme="minorHAnsi" w:eastAsia="Arial Unicode MS" w:hAnsiTheme="minorHAnsi" w:cstheme="minorHAnsi"/>
          <w:bCs/>
          <w:lang w:val="en-GB" w:eastAsia="ja-JP"/>
        </w:rPr>
        <w:t xml:space="preserve"> 10.68 </w:t>
      </w:r>
      <w:r w:rsidR="004E2E70">
        <w:rPr>
          <w:rFonts w:asciiTheme="minorHAnsi" w:eastAsia="Arial Unicode MS" w:hAnsiTheme="minorHAnsi" w:cstheme="minorHAnsi"/>
          <w:bCs/>
          <w:lang w:val="en-GB" w:eastAsia="ja-JP"/>
        </w:rPr>
        <w:t xml:space="preserve">± </w:t>
      </w:r>
      <w:r w:rsidR="00175B8E" w:rsidRPr="00123B4C">
        <w:rPr>
          <w:rFonts w:asciiTheme="minorHAnsi" w:eastAsia="Arial Unicode MS" w:hAnsiTheme="minorHAnsi" w:cstheme="minorHAnsi"/>
          <w:bCs/>
          <w:lang w:val="en-GB" w:eastAsia="ja-JP"/>
        </w:rPr>
        <w:t xml:space="preserve">6.38, </w:t>
      </w:r>
      <w:r w:rsidR="0097590E">
        <w:rPr>
          <w:rFonts w:asciiTheme="minorHAnsi" w:eastAsia="Arial Unicode MS" w:hAnsiTheme="minorHAnsi" w:cstheme="minorHAnsi"/>
          <w:bCs/>
          <w:lang w:val="en-GB" w:eastAsia="ja-JP"/>
        </w:rPr>
        <w:t>p=</w:t>
      </w:r>
      <w:r w:rsidR="00175B8E" w:rsidRPr="00123B4C">
        <w:rPr>
          <w:rFonts w:asciiTheme="minorHAnsi" w:eastAsia="Arial Unicode MS" w:hAnsiTheme="minorHAnsi" w:cstheme="minorHAnsi"/>
          <w:bCs/>
          <w:lang w:val="en-GB" w:eastAsia="ja-JP"/>
        </w:rPr>
        <w:t xml:space="preserve">0.5). </w:t>
      </w:r>
    </w:p>
    <w:p w14:paraId="14618406" w14:textId="77777777" w:rsidR="00175B8E" w:rsidRDefault="00175B8E" w:rsidP="005C1354">
      <w:pPr>
        <w:pStyle w:val="H6"/>
      </w:pPr>
      <w:r>
        <w:t>Scoliosis surgery</w:t>
      </w:r>
    </w:p>
    <w:p w14:paraId="7C12A04F" w14:textId="724C5C6B" w:rsidR="00175B8E" w:rsidRDefault="005C1354"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w:t>
      </w:r>
      <w:r w:rsidR="00175B8E" w:rsidRPr="00E85B4D">
        <w:rPr>
          <w:rFonts w:asciiTheme="minorHAnsi" w:eastAsia="Arial Unicode MS" w:hAnsiTheme="minorHAnsi" w:cstheme="minorHAnsi"/>
          <w:bCs/>
          <w:lang w:val="en-GB" w:eastAsia="ja-JP"/>
        </w:rPr>
        <w:t xml:space="preserve"> meta-analysis of </w:t>
      </w:r>
      <w:r>
        <w:rPr>
          <w:rFonts w:asciiTheme="minorHAnsi" w:eastAsia="Arial Unicode MS" w:hAnsiTheme="minorHAnsi" w:cstheme="minorHAnsi"/>
          <w:bCs/>
          <w:lang w:val="en-GB" w:eastAsia="ja-JP"/>
        </w:rPr>
        <w:t>five</w:t>
      </w:r>
      <w:r w:rsidR="00175B8E" w:rsidRPr="00E85B4D">
        <w:rPr>
          <w:rFonts w:asciiTheme="minorHAnsi" w:eastAsia="Arial Unicode MS" w:hAnsiTheme="minorHAnsi" w:cstheme="minorHAnsi"/>
          <w:bCs/>
          <w:lang w:val="en-GB" w:eastAsia="ja-JP"/>
        </w:rPr>
        <w:t xml:space="preserve"> trials</w:t>
      </w:r>
      <w:r w:rsidR="004828DA">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that enrolled</w:t>
      </w:r>
      <w:r w:rsidR="00175B8E" w:rsidRPr="00E85B4D">
        <w:rPr>
          <w:rFonts w:asciiTheme="minorHAnsi" w:eastAsia="Arial Unicode MS" w:hAnsiTheme="minorHAnsi" w:cstheme="minorHAnsi"/>
          <w:bCs/>
          <w:lang w:val="en-GB" w:eastAsia="ja-JP"/>
        </w:rPr>
        <w:t xml:space="preserve"> 163 paediatric patients undergoing scoliosis surgery</w:t>
      </w:r>
      <w:r>
        <w:rPr>
          <w:rFonts w:asciiTheme="minorHAnsi" w:eastAsia="Arial Unicode MS" w:hAnsiTheme="minorHAnsi" w:cstheme="minorHAnsi"/>
          <w:bCs/>
          <w:lang w:val="en-GB" w:eastAsia="ja-JP"/>
        </w:rPr>
        <w:t xml:space="preserve"> found a</w:t>
      </w:r>
      <w:r w:rsidR="00175B8E" w:rsidRPr="00E85B4D">
        <w:rPr>
          <w:rFonts w:asciiTheme="minorHAnsi" w:eastAsia="Arial Unicode MS" w:hAnsiTheme="minorHAnsi" w:cstheme="minorHAnsi"/>
          <w:bCs/>
          <w:lang w:val="en-GB" w:eastAsia="ja-JP"/>
        </w:rPr>
        <w:t xml:space="preserve"> significant difference </w:t>
      </w:r>
      <w:r>
        <w:rPr>
          <w:rFonts w:asciiTheme="minorHAnsi" w:eastAsia="Arial Unicode MS" w:hAnsiTheme="minorHAnsi" w:cstheme="minorHAnsi"/>
          <w:bCs/>
          <w:lang w:val="en-GB" w:eastAsia="ja-JP"/>
        </w:rPr>
        <w:t>for total blood loss, favouring a</w:t>
      </w:r>
      <w:r w:rsidR="00175B8E" w:rsidRPr="00E85B4D">
        <w:rPr>
          <w:rFonts w:asciiTheme="minorHAnsi" w:eastAsia="Arial Unicode MS" w:hAnsiTheme="minorHAnsi" w:cstheme="minorHAnsi"/>
          <w:bCs/>
          <w:lang w:val="en-GB" w:eastAsia="ja-JP"/>
        </w:rPr>
        <w:t>ntifibrinolytics</w:t>
      </w:r>
      <w:r w:rsidR="00175B8E">
        <w:rPr>
          <w:rFonts w:asciiTheme="minorHAnsi" w:eastAsia="Arial Unicode MS" w:hAnsiTheme="minorHAnsi" w:cstheme="minorHAnsi"/>
          <w:bCs/>
          <w:lang w:val="en-GB" w:eastAsia="ja-JP"/>
        </w:rPr>
        <w:t xml:space="preserve"> (aprotinin, TXA or </w:t>
      </w:r>
      <w:r w:rsidR="00175B8E" w:rsidRPr="00E85B4D">
        <w:rPr>
          <w:rFonts w:asciiTheme="minorHAnsi" w:eastAsia="Arial Unicode MS" w:hAnsiTheme="minorHAnsi" w:cstheme="minorHAnsi"/>
          <w:bCs/>
          <w:lang w:val="en-GB" w:eastAsia="ja-JP"/>
        </w:rPr>
        <w:t>EACA)</w:t>
      </w:r>
      <w:r w:rsidR="00175B8E">
        <w:rPr>
          <w:rFonts w:asciiTheme="minorHAnsi" w:eastAsia="Arial Unicode MS" w:hAnsiTheme="minorHAnsi" w:cstheme="minorHAnsi"/>
          <w:bCs/>
          <w:lang w:val="en-GB" w:eastAsia="ja-JP"/>
        </w:rPr>
        <w:t xml:space="preserve"> (</w:t>
      </w:r>
      <w:r w:rsidR="004E2E70">
        <w:rPr>
          <w:rFonts w:asciiTheme="minorHAnsi" w:eastAsia="Arial Unicode MS" w:hAnsiTheme="minorHAnsi" w:cstheme="minorHAnsi"/>
          <w:bCs/>
          <w:lang w:val="en-GB" w:eastAsia="ja-JP"/>
        </w:rPr>
        <w:t>p&lt;</w:t>
      </w:r>
      <w:r>
        <w:rPr>
          <w:rFonts w:asciiTheme="minorHAnsi" w:eastAsia="Arial Unicode MS" w:hAnsiTheme="minorHAnsi" w:cstheme="minorHAnsi"/>
          <w:bCs/>
          <w:lang w:val="en-GB" w:eastAsia="ja-JP"/>
        </w:rPr>
        <w:t>0.00001).</w:t>
      </w:r>
      <w:hyperlink w:anchor="_ENREF_183" w:tooltip="Tzortzopoulou, 2008 #926"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&lt;EndNote&gt;&lt;Cite&gt;&lt;Author&gt;Tzortzopoulou&lt;/Author&gt;&lt;Year&gt;2008&lt;/Year&gt;&lt;RecNum&gt;926&lt;/RecNum&gt;&lt;DisplayText&gt;&lt;style face="superscript"&gt;183&lt;/style&gt;&lt;/DisplayText&gt;&lt;record&gt;&lt;rec-number&gt;926&lt;/rec-number&gt;&lt;foreign-keys&gt;&lt;key app="EN" db-id="9edve2wadsavt5ewavaxtda4f2tavzvts9ee" timestamp="1435036188"&gt;926&lt;/key&gt;&lt;/foreign-keys&gt;&lt;ref-type name="Journal Article"&gt;17&lt;/ref-type&gt;&lt;contributors&gt;&lt;authors&gt;&lt;author&gt;Tzortzopoulou, Aikaterini&lt;/author&gt;&lt;author&gt;Cepeda, M. Soledad&lt;/author&gt;&lt;author&gt;Schumann, Roman&lt;/author&gt;&lt;author&gt;Carr, Daniel B.&lt;/author&gt;&lt;/authors&gt;&lt;/contributors&gt;&lt;titles&gt;&lt;title&gt;Antifibrinolytic agents for reducing blood loss in scoliosis surgery in children&lt;/title&gt;&lt;secondary-title&gt;Cochrane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FILE&lt;/reprint-edition&gt;&lt;keywords&gt;&lt;keyword&gt;age&lt;/keyword&gt;&lt;keyword&gt;aminocaproic acid&lt;/keyword&gt;&lt;keyword&gt;antifibrinolytic agent&lt;/keyword&gt;&lt;keyword&gt;aprotinin&lt;/keyword&gt;&lt;keyword&gt;blood&lt;/keyword&gt;&lt;keyword&gt;blood transfusion&lt;/keyword&gt;&lt;keyword&gt;clinical trial&lt;/keyword&gt;&lt;keyword&gt;Cochrane Library&lt;/keyword&gt;&lt;keyword&gt;Cochrane Reviews&lt;/keyword&gt;&lt;keyword&gt;Cochrane12Mar14&lt;/keyword&gt;&lt;keyword&gt;data extraction&lt;/keyword&gt;&lt;keyword&gt;death&lt;/keyword&gt;&lt;keyword&gt;Embase&lt;/keyword&gt;&lt;keyword&gt;language&lt;/keyword&gt;&lt;keyword&gt;Medline&lt;/keyword&gt;&lt;keyword&gt;mortality&lt;/keyword&gt;&lt;keyword&gt;patient&lt;/keyword&gt;&lt;keyword&gt;placebo&lt;/keyword&gt;&lt;keyword&gt;publication&lt;/keyword&gt;&lt;keyword&gt;randomized controlled trial&lt;/keyword&gt;&lt;keyword&gt;review&lt;/keyword&gt;&lt;keyword&gt;risk&lt;/keyword&gt;&lt;keyword&gt;safety&lt;/keyword&gt;&lt;keyword&gt;scoliosis&lt;/keyword&gt;&lt;keyword&gt;surgery&lt;/keyword&gt;&lt;keyword&gt;systematic review&lt;/keyword&gt;&lt;keyword&gt;tranexamic acid&lt;/keyword&gt;&lt;keyword&gt;transfusion&lt;/keyword&gt;&lt;/keywords&gt;&lt;dates&gt;&lt;year&gt;2008&lt;/year&gt;&lt;/dates&gt;&lt;urls&gt;&lt;/urls&gt;&lt;/record&gt;&lt;/Cite&gt;&lt;/EndNote&gt;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183</w:t>
        </w:r>
        <w:r w:rsidR="00E62798">
          <w:rPr>
            <w:rFonts w:asciiTheme="minorHAnsi" w:eastAsia="Arial Unicode MS" w:hAnsiTheme="minorHAnsi" w:cstheme="minorHAnsi"/>
            <w:bCs/>
            <w:lang w:val="en-GB" w:eastAsia="ja-JP"/>
          </w:rPr>
          <w:fldChar w:fldCharType="end"/>
        </w:r>
      </w:hyperlink>
      <w:r w:rsidRPr="00E85B4D">
        <w:rPr>
          <w:rFonts w:asciiTheme="minorHAnsi" w:eastAsia="Arial Unicode MS" w:hAnsiTheme="minorHAnsi" w:cstheme="minorHAnsi"/>
          <w:bCs/>
          <w:lang w:val="en-GB" w:eastAsia="ja-JP"/>
        </w:rPr>
        <w:t xml:space="preserve"> </w:t>
      </w:r>
    </w:p>
    <w:p w14:paraId="2DCFCCA2" w14:textId="613DA090" w:rsidR="00175B8E" w:rsidRDefault="004E2E70" w:rsidP="005C1354">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One study</w:t>
      </w:r>
      <w:hyperlink w:anchor="_ENREF_194" w:tooltip="Verma, 2014 #930" w:history="1">
        <w:r w:rsidR="00E62798">
          <w:rPr>
            <w:rFonts w:asciiTheme="minorHAnsi" w:eastAsia="Arial Unicode MS" w:hAnsiTheme="minorHAnsi" w:cstheme="minorHAnsi"/>
            <w:bCs/>
            <w:lang w:val="en-GB" w:eastAsia="ja-JP"/>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194</w:t>
        </w:r>
        <w:r w:rsidR="00E62798">
          <w:rPr>
            <w:rFonts w:asciiTheme="minorHAnsi" w:eastAsia="Arial Unicode MS" w:hAnsiTheme="minorHAnsi" w:cstheme="minorHAnsi"/>
            <w:bCs/>
            <w:lang w:val="en-GB" w:eastAsia="ja-JP"/>
          </w:rPr>
          <w:fldChar w:fldCharType="end"/>
        </w:r>
      </w:hyperlink>
      <w:r w:rsidR="00175B8E" w:rsidRPr="00E85B4D">
        <w:rPr>
          <w:rFonts w:asciiTheme="minorHAnsi" w:eastAsia="Arial Unicode MS" w:hAnsiTheme="minorHAnsi" w:cstheme="minorHAnsi"/>
          <w:bCs/>
          <w:lang w:val="en-GB" w:eastAsia="ja-JP"/>
        </w:rPr>
        <w:t xml:space="preserve"> assessed 125 patients with adolescent idiopathic scoliosis undergoing posterior spinal arthrodesis</w:t>
      </w:r>
      <w:r w:rsidR="00175B8E">
        <w:rPr>
          <w:rFonts w:asciiTheme="minorHAnsi" w:eastAsia="Arial Unicode MS" w:hAnsiTheme="minorHAnsi" w:cstheme="minorHAnsi"/>
          <w:bCs/>
          <w:lang w:val="en-GB" w:eastAsia="ja-JP"/>
        </w:rPr>
        <w:t xml:space="preserve"> in a three-armed RCT</w:t>
      </w:r>
      <w:r w:rsidR="00175B8E" w:rsidRPr="00E85B4D">
        <w:rPr>
          <w:rFonts w:asciiTheme="minorHAnsi" w:eastAsia="Arial Unicode MS" w:hAnsiTheme="minorHAnsi" w:cstheme="minorHAnsi"/>
          <w:bCs/>
          <w:lang w:val="en-GB" w:eastAsia="ja-JP"/>
        </w:rPr>
        <w:t>. When TXA or EACA were compared to placebo, there was no significant difference in drain volume</w:t>
      </w:r>
      <w:r w:rsidR="005C1354">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However, there were</w:t>
      </w:r>
      <w:r w:rsidR="00175B8E" w:rsidRPr="00E85B4D">
        <w:rPr>
          <w:rFonts w:asciiTheme="minorHAnsi" w:eastAsia="Arial Unicode MS" w:hAnsiTheme="minorHAnsi" w:cstheme="minorHAnsi"/>
          <w:bCs/>
          <w:lang w:val="en-GB" w:eastAsia="ja-JP"/>
        </w:rPr>
        <w:t xml:space="preserve"> significant difference</w:t>
      </w:r>
      <w:r w:rsidR="00175B8E">
        <w:rPr>
          <w:rFonts w:asciiTheme="minorHAnsi" w:eastAsia="Arial Unicode MS" w:hAnsiTheme="minorHAnsi" w:cstheme="minorHAnsi"/>
          <w:bCs/>
          <w:lang w:val="en-GB" w:eastAsia="ja-JP"/>
        </w:rPr>
        <w:t>s</w:t>
      </w:r>
      <w:r w:rsidR="00175B8E" w:rsidRPr="00E85B4D">
        <w:rPr>
          <w:rFonts w:asciiTheme="minorHAnsi" w:eastAsia="Arial Unicode MS" w:hAnsiTheme="minorHAnsi" w:cstheme="minorHAnsi"/>
          <w:bCs/>
          <w:lang w:val="en-GB" w:eastAsia="ja-JP"/>
        </w:rPr>
        <w:t xml:space="preserve"> in total blood loss (1663.0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882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2116.0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1202,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 xml:space="preserve">0.019) and intraoperative estimated blood loss (776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 xml:space="preserve">1080, </w:t>
      </w:r>
      <w:r w:rsidR="0097590E">
        <w:rPr>
          <w:rFonts w:asciiTheme="minorHAnsi" w:eastAsia="Arial Unicode MS" w:hAnsiTheme="minorHAnsi" w:cstheme="minorHAnsi"/>
          <w:bCs/>
          <w:lang w:val="en-GB" w:eastAsia="ja-JP"/>
        </w:rPr>
        <w:t>p=</w:t>
      </w:r>
      <w:r w:rsidR="00175B8E">
        <w:rPr>
          <w:rFonts w:asciiTheme="minorHAnsi" w:eastAsia="Arial Unicode MS" w:hAnsiTheme="minorHAnsi" w:cstheme="minorHAnsi"/>
          <w:bCs/>
          <w:lang w:val="en-GB" w:eastAsia="ja-JP"/>
        </w:rPr>
        <w:t>0.019)</w:t>
      </w:r>
      <w:r w:rsidR="005C1354">
        <w:rPr>
          <w:rFonts w:asciiTheme="minorHAnsi" w:eastAsia="Arial Unicode MS" w:hAnsiTheme="minorHAnsi" w:cstheme="minorHAnsi"/>
          <w:bCs/>
          <w:lang w:val="en-GB" w:eastAsia="ja-JP"/>
        </w:rPr>
        <w:t xml:space="preserve">, favouring </w:t>
      </w:r>
      <w:r w:rsidR="00175B8E" w:rsidRPr="00E85B4D">
        <w:rPr>
          <w:rFonts w:asciiTheme="minorHAnsi" w:eastAsia="Arial Unicode MS" w:hAnsiTheme="minorHAnsi" w:cstheme="minorHAnsi"/>
          <w:bCs/>
          <w:lang w:val="en-GB" w:eastAsia="ja-JP"/>
        </w:rPr>
        <w:t xml:space="preserve">TXA or EACA. </w:t>
      </w:r>
      <w:r w:rsidR="005C1354">
        <w:rPr>
          <w:rFonts w:asciiTheme="minorHAnsi" w:eastAsia="Arial Unicode MS" w:hAnsiTheme="minorHAnsi" w:cstheme="minorHAnsi"/>
          <w:bCs/>
          <w:lang w:val="en-GB" w:eastAsia="ja-JP"/>
        </w:rPr>
        <w:t>That study</w:t>
      </w:r>
      <w:r w:rsidR="00175B8E" w:rsidRPr="00E85B4D">
        <w:rPr>
          <w:rFonts w:asciiTheme="minorHAnsi" w:eastAsia="Arial Unicode MS" w:hAnsiTheme="minorHAnsi" w:cstheme="minorHAnsi"/>
          <w:bCs/>
          <w:lang w:val="en-GB" w:eastAsia="ja-JP"/>
        </w:rPr>
        <w:t xml:space="preserve"> also compared TXA with placebo and EACA with placebo.</w:t>
      </w:r>
      <w:hyperlink w:anchor="_ENREF_194" w:tooltip="Verma, 2014 #930" w:history="1">
        <w:r w:rsidR="00E62798">
          <w:rPr>
            <w:rFonts w:asciiTheme="minorHAnsi" w:eastAsia="Arial Unicode MS" w:hAnsiTheme="minorHAnsi" w:cstheme="minorHAnsi"/>
            <w:bCs/>
            <w:lang w:val="en-GB" w:eastAsia="ja-JP"/>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PEVuZE5vdGU+PENpdGU+PEF1dGhvcj5WZXJtYTwvQXV0aG9yPjxZZWFyPjIwMTQ8L1llYXI+PFJl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=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194</w:t>
        </w:r>
        <w:r w:rsidR="00E62798">
          <w:rPr>
            <w:rFonts w:asciiTheme="minorHAnsi" w:eastAsia="Arial Unicode MS" w:hAnsiTheme="minorHAnsi" w:cstheme="minorHAnsi"/>
            <w:bCs/>
            <w:lang w:val="en-GB" w:eastAsia="ja-JP"/>
          </w:rPr>
          <w:fldChar w:fldCharType="end"/>
        </w:r>
      </w:hyperlink>
      <w:r w:rsidR="00175B8E" w:rsidRPr="00E85B4D">
        <w:rPr>
          <w:rFonts w:asciiTheme="minorHAnsi" w:eastAsia="Arial Unicode MS" w:hAnsiTheme="minorHAnsi" w:cstheme="minorHAnsi"/>
          <w:bCs/>
          <w:lang w:val="en-GB" w:eastAsia="ja-JP"/>
        </w:rPr>
        <w:t xml:space="preserve"> For TXA, there was no significant difference in intr</w:t>
      </w:r>
      <w:r w:rsidR="005C1354">
        <w:rPr>
          <w:rFonts w:asciiTheme="minorHAnsi" w:eastAsia="Arial Unicode MS" w:hAnsiTheme="minorHAnsi" w:cstheme="minorHAnsi"/>
          <w:bCs/>
          <w:lang w:val="en-GB" w:eastAsia="ja-JP"/>
        </w:rPr>
        <w:t xml:space="preserve">aoperative estimated blood loss, </w:t>
      </w:r>
      <w:r w:rsidR="00175B8E" w:rsidRPr="00E85B4D">
        <w:rPr>
          <w:rFonts w:asciiTheme="minorHAnsi" w:eastAsia="Arial Unicode MS" w:hAnsiTheme="minorHAnsi" w:cstheme="minorHAnsi"/>
          <w:bCs/>
          <w:lang w:val="en-GB" w:eastAsia="ja-JP"/>
        </w:rPr>
        <w:t xml:space="preserve">but significant differences were observed for total blood loss (1531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911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2116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1201,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 xml:space="preserve">0.015), drain volume (789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449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1034 </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559,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0.027) and intraoperative estimated blood loss with mean arterial pressure &lt;75</w:t>
      </w:r>
      <w:r w:rsidR="00175B8E">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mmHg (715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1124,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0.042)</w:t>
      </w:r>
      <w:r w:rsidR="00175B8E">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all favouring TXA. For EACA, the only significant difference was in intraoperative estimated b</w:t>
      </w:r>
      <w:r w:rsidR="005C1354">
        <w:rPr>
          <w:rFonts w:asciiTheme="minorHAnsi" w:eastAsia="Arial Unicode MS" w:hAnsiTheme="minorHAnsi" w:cstheme="minorHAnsi"/>
          <w:bCs/>
          <w:lang w:val="en-GB" w:eastAsia="ja-JP"/>
        </w:rPr>
        <w:t xml:space="preserve">lood loss (769 </w:t>
      </w:r>
      <w:r>
        <w:rPr>
          <w:rFonts w:asciiTheme="minorHAnsi" w:eastAsia="Arial Unicode MS" w:hAnsiTheme="minorHAnsi" w:cstheme="minorHAnsi"/>
          <w:bCs/>
          <w:lang w:val="en-GB" w:eastAsia="ja-JP"/>
        </w:rPr>
        <w:t xml:space="preserve">± </w:t>
      </w:r>
      <w:r w:rsidR="005C1354">
        <w:rPr>
          <w:rFonts w:asciiTheme="minorHAnsi" w:eastAsia="Arial Unicode MS" w:hAnsiTheme="minorHAnsi" w:cstheme="minorHAnsi"/>
          <w:bCs/>
          <w:lang w:val="en-GB" w:eastAsia="ja-JP"/>
        </w:rPr>
        <w:t xml:space="preserve">1080, </w:t>
      </w:r>
      <w:r w:rsidR="0097590E">
        <w:rPr>
          <w:rFonts w:asciiTheme="minorHAnsi" w:eastAsia="Arial Unicode MS" w:hAnsiTheme="minorHAnsi" w:cstheme="minorHAnsi"/>
          <w:bCs/>
          <w:lang w:val="en-GB" w:eastAsia="ja-JP"/>
        </w:rPr>
        <w:t>p=</w:t>
      </w:r>
      <w:r w:rsidR="005C1354">
        <w:rPr>
          <w:rFonts w:asciiTheme="minorHAnsi" w:eastAsia="Arial Unicode MS" w:hAnsiTheme="minorHAnsi" w:cstheme="minorHAnsi"/>
          <w:bCs/>
          <w:lang w:val="en-GB" w:eastAsia="ja-JP"/>
        </w:rPr>
        <w:t xml:space="preserve">0.037), favouring </w:t>
      </w:r>
      <w:r w:rsidR="00175B8E" w:rsidRPr="00E85B4D">
        <w:rPr>
          <w:rFonts w:asciiTheme="minorHAnsi" w:eastAsia="Arial Unicode MS" w:hAnsiTheme="minorHAnsi" w:cstheme="minorHAnsi"/>
          <w:bCs/>
          <w:lang w:val="en-GB" w:eastAsia="ja-JP"/>
        </w:rPr>
        <w:t xml:space="preserve">EACA. No significant differences were </w:t>
      </w:r>
      <w:r w:rsidR="00175B8E">
        <w:rPr>
          <w:rFonts w:asciiTheme="minorHAnsi" w:eastAsia="Arial Unicode MS" w:hAnsiTheme="minorHAnsi" w:cstheme="minorHAnsi"/>
          <w:bCs/>
          <w:lang w:val="en-GB" w:eastAsia="ja-JP"/>
        </w:rPr>
        <w:t>observed</w:t>
      </w:r>
      <w:r w:rsidR="005C1354">
        <w:rPr>
          <w:rFonts w:asciiTheme="minorHAnsi" w:eastAsia="Arial Unicode MS" w:hAnsiTheme="minorHAnsi" w:cstheme="minorHAnsi"/>
          <w:bCs/>
          <w:lang w:val="en-GB" w:eastAsia="ja-JP"/>
        </w:rPr>
        <w:t xml:space="preserve"> for total blood loss</w:t>
      </w:r>
      <w:r w:rsidR="00175B8E" w:rsidRPr="00E85B4D">
        <w:rPr>
          <w:rFonts w:asciiTheme="minorHAnsi" w:eastAsia="Arial Unicode MS" w:hAnsiTheme="minorHAnsi" w:cstheme="minorHAnsi"/>
          <w:bCs/>
          <w:lang w:val="en-GB" w:eastAsia="ja-JP"/>
        </w:rPr>
        <w:t>, drain volume or intraoperative estimated blood loss with mean arterial pressure &lt;75</w:t>
      </w:r>
      <w:r w:rsidR="00175B8E">
        <w:rPr>
          <w:rFonts w:asciiTheme="minorHAnsi" w:eastAsia="Arial Unicode MS" w:hAnsiTheme="minorHAnsi" w:cstheme="minorHAnsi"/>
          <w:bCs/>
          <w:lang w:val="en-GB" w:eastAsia="ja-JP"/>
        </w:rPr>
        <w:t xml:space="preserve"> </w:t>
      </w:r>
      <w:r w:rsidR="005C1354">
        <w:rPr>
          <w:rFonts w:asciiTheme="minorHAnsi" w:eastAsia="Arial Unicode MS" w:hAnsiTheme="minorHAnsi" w:cstheme="minorHAnsi"/>
          <w:bCs/>
          <w:lang w:val="en-GB" w:eastAsia="ja-JP"/>
        </w:rPr>
        <w:t>mmHg.</w:t>
      </w:r>
      <w:r w:rsidR="00175B8E" w:rsidRPr="00E85B4D">
        <w:rPr>
          <w:rFonts w:asciiTheme="minorHAnsi" w:eastAsia="Arial Unicode MS" w:hAnsiTheme="minorHAnsi" w:cstheme="minorHAnsi"/>
          <w:bCs/>
          <w:lang w:val="en-GB" w:eastAsia="ja-JP"/>
        </w:rPr>
        <w:t xml:space="preserve"> </w:t>
      </w:r>
    </w:p>
    <w:p w14:paraId="17EA2252" w14:textId="77777777" w:rsidR="00175B8E" w:rsidRDefault="00175B8E" w:rsidP="00433E5E">
      <w:pPr>
        <w:pStyle w:val="H6"/>
      </w:pPr>
      <w:r>
        <w:t xml:space="preserve">Craniofacial surgery </w:t>
      </w:r>
    </w:p>
    <w:p w14:paraId="0C335180" w14:textId="5B434236" w:rsidR="00175B8E" w:rsidRPr="00E85B4D" w:rsidRDefault="00433E5E" w:rsidP="009B42A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One poor-</w:t>
      </w:r>
      <w:r w:rsidR="00175B8E">
        <w:rPr>
          <w:rFonts w:asciiTheme="minorHAnsi" w:eastAsia="Arial Unicode MS" w:hAnsiTheme="minorHAnsi" w:cstheme="minorHAnsi"/>
          <w:bCs/>
          <w:lang w:val="en-GB" w:eastAsia="ja-JP"/>
        </w:rPr>
        <w:t>quality Level I study</w:t>
      </w:r>
      <w:hyperlink w:anchor="_ENREF_182" w:tooltip="Song, 2013 #923" w:history="1">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182</w:t>
        </w:r>
        <w:r w:rsidR="00E62798">
          <w:rPr>
            <w:rFonts w:asciiTheme="minorHAnsi" w:eastAsia="Arial Unicode MS" w:hAnsiTheme="minorHAnsi" w:cstheme="minorHAnsi"/>
            <w:bCs/>
            <w:lang w:val="en-GB" w:eastAsia="ja-JP"/>
          </w:rPr>
          <w:fldChar w:fldCharType="end"/>
        </w:r>
      </w:hyperlink>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that</w:t>
      </w:r>
      <w:r w:rsidR="00175B8E" w:rsidRPr="00E85B4D">
        <w:rPr>
          <w:rFonts w:asciiTheme="minorHAnsi" w:eastAsia="Arial Unicode MS" w:hAnsiTheme="minorHAnsi" w:cstheme="minorHAnsi"/>
          <w:bCs/>
          <w:lang w:val="en-GB" w:eastAsia="ja-JP"/>
        </w:rPr>
        <w:t xml:space="preserve"> included </w:t>
      </w:r>
      <w:r>
        <w:rPr>
          <w:rFonts w:asciiTheme="minorHAnsi" w:eastAsia="Arial Unicode MS" w:hAnsiTheme="minorHAnsi" w:cstheme="minorHAnsi"/>
          <w:bCs/>
          <w:lang w:val="en-GB" w:eastAsia="ja-JP"/>
        </w:rPr>
        <w:t>two</w:t>
      </w:r>
      <w:r w:rsidR="00175B8E">
        <w:rPr>
          <w:rFonts w:asciiTheme="minorHAnsi" w:eastAsia="Arial Unicode MS" w:hAnsiTheme="minorHAnsi" w:cstheme="minorHAnsi"/>
          <w:bCs/>
          <w:lang w:val="en-GB" w:eastAsia="ja-JP"/>
        </w:rPr>
        <w:t xml:space="preserve"> Level II studies </w:t>
      </w:r>
      <w:r w:rsidR="00175B8E" w:rsidRPr="00B44191">
        <w:rPr>
          <w:rFonts w:asciiTheme="minorHAnsi" w:eastAsia="Arial Unicode MS" w:hAnsiTheme="minorHAnsi" w:cstheme="minorHAnsi"/>
          <w:bCs/>
          <w:lang w:val="en-GB" w:eastAsia="ja-JP"/>
        </w:rPr>
        <w:t xml:space="preserve">and </w:t>
      </w:r>
      <w:r>
        <w:rPr>
          <w:rFonts w:asciiTheme="minorHAnsi" w:eastAsia="Arial Unicode MS" w:hAnsiTheme="minorHAnsi" w:cstheme="minorHAnsi"/>
          <w:bCs/>
          <w:lang w:val="en-GB" w:eastAsia="ja-JP"/>
        </w:rPr>
        <w:t>two</w:t>
      </w:r>
      <w:r w:rsidR="00175B8E" w:rsidRPr="00B44191">
        <w:rPr>
          <w:rFonts w:asciiTheme="minorHAnsi" w:eastAsia="Arial Unicode MS" w:hAnsiTheme="minorHAnsi" w:cstheme="minorHAnsi"/>
          <w:bCs/>
          <w:lang w:val="en-GB" w:eastAsia="ja-JP"/>
        </w:rPr>
        <w:t xml:space="preserve"> Level III studies, plus an</w:t>
      </w:r>
      <w:r w:rsidR="00175B8E">
        <w:rPr>
          <w:rFonts w:asciiTheme="minorHAnsi" w:eastAsia="Arial Unicode MS" w:hAnsiTheme="minorHAnsi" w:cstheme="minorHAnsi"/>
          <w:bCs/>
          <w:lang w:val="en-GB" w:eastAsia="ja-JP"/>
        </w:rPr>
        <w:t xml:space="preserve"> additional </w:t>
      </w:r>
      <w:r>
        <w:rPr>
          <w:rFonts w:asciiTheme="minorHAnsi" w:eastAsia="Arial Unicode MS" w:hAnsiTheme="minorHAnsi" w:cstheme="minorHAnsi"/>
          <w:bCs/>
          <w:lang w:val="en-GB" w:eastAsia="ja-JP"/>
        </w:rPr>
        <w:t>two</w:t>
      </w:r>
      <w:r w:rsidR="00175B8E" w:rsidRPr="00E85B4D">
        <w:rPr>
          <w:rFonts w:asciiTheme="minorHAnsi" w:eastAsia="Arial Unicode MS" w:hAnsiTheme="minorHAnsi" w:cstheme="minorHAnsi"/>
          <w:bCs/>
          <w:lang w:val="en-GB" w:eastAsia="ja-JP"/>
        </w:rPr>
        <w:t xml:space="preserve"> Level II studies</w:t>
      </w:r>
      <w:r w:rsidR="009B42AE">
        <w:rPr>
          <w:rFonts w:asciiTheme="minorHAnsi" w:eastAsia="Arial Unicode MS" w:hAnsiTheme="minorHAnsi" w:cstheme="minorHAnsi"/>
          <w:bCs/>
          <w:lang w:val="en-GB" w:eastAsia="ja-JP"/>
        </w:rPr>
        <w:t xml:space="preserve"> </w:t>
      </w:r>
      <w:hyperlink w:anchor="_ENREF_195" w:tooltip="Ahmed, 2014 #839"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&lt;EndNote&gt;&lt;Cite&gt;&lt;Author&gt;Ahmed&lt;/Author&gt;&lt;Year&gt;2014&lt;/Year&gt;&lt;RecNum&gt;839&lt;/RecNum&gt;&lt;DisplayText&gt;&lt;style face="superscript"&gt;195-196&lt;/style&gt;&lt;/DisplayText&gt;&lt;record&gt;&lt;rec-number&gt;839&lt;/rec-number&gt;&lt;foreign-keys&gt;&lt;key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Cite&gt;&lt;Author&gt;D&amp;apos;Errico&lt;/Author&gt;&lt;Year&gt;2003&lt;/Year&gt;&lt;RecNum&gt;862&lt;/RecNum&gt;&lt;record&gt;&lt;rec-number&gt;862&lt;/rec-number&gt;&lt;foreign-keys&gt;&lt;key app="EN" db-id="9edve2wadsavt5ewavaxtda4f2tavzvts9ee" timestamp="1435036188"&gt;862&lt;/key&gt;&lt;/foreign-keys&gt;&lt;ref-type name="Generic"&gt;13&lt;/ref-type&gt;&lt;contributors&gt;&lt;authors&gt;&lt;author&gt;D&amp;apos;Errico, C. C.&lt;/author&gt;&lt;author&gt;Munro, H. M.&lt;/author&gt;&lt;author&gt;Buchman, S. R.&lt;/author&gt;&lt;author&gt;Wagner, D.&lt;/author&gt;&lt;author&gt;Muraszko, K. M.&lt;/author&gt;&lt;/authors&gt;&lt;/contributors&gt;&lt;titles&gt;&lt;title&gt;Efficacy of aprotinin in children undergoing craniofacial surgery&lt;/title&gt;&lt;/titles&gt;&lt;pages&gt;287–290&lt;/pages&gt;&lt;volume&gt;99&lt;/volume&gt;&lt;reprint-edition&gt;NOT IN FILE&lt;/reprint-edition&gt;&lt;keywords&gt;&lt;keyword&gt;aprotinin&lt;/keyword&gt;&lt;/keywords&gt;&lt;dates&gt;&lt;year&gt;2003&lt;/year&gt;&lt;/dates&gt;&lt;urls&gt;&lt;/urls&gt;&lt;/record&gt;&lt;/Cite&gt;&lt;/EndNote&gt;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195-196</w:t>
        </w:r>
        <w:r w:rsidR="00E62798">
          <w:rPr>
            <w:rFonts w:asciiTheme="minorHAnsi" w:eastAsia="Arial Unicode MS" w:hAnsiTheme="minorHAnsi" w:cstheme="minorHAnsi"/>
            <w:bCs/>
            <w:lang w:val="en-GB" w:eastAsia="ja-JP"/>
          </w:rPr>
          <w:fldChar w:fldCharType="end"/>
        </w:r>
      </w:hyperlink>
      <w:r w:rsidR="00175B8E" w:rsidRPr="00E85B4D">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 xml:space="preserve">were </w:t>
      </w:r>
      <w:r w:rsidR="009B42AE">
        <w:rPr>
          <w:rFonts w:asciiTheme="minorHAnsi" w:eastAsia="Arial Unicode MS" w:hAnsiTheme="minorHAnsi" w:cstheme="minorHAnsi"/>
          <w:bCs/>
          <w:lang w:val="en-GB" w:eastAsia="ja-JP"/>
        </w:rPr>
        <w:t>identified.</w:t>
      </w:r>
      <w:r w:rsidR="004828DA">
        <w:rPr>
          <w:rFonts w:asciiTheme="minorHAnsi" w:eastAsia="Arial Unicode MS" w:hAnsiTheme="minorHAnsi" w:cstheme="minorHAnsi"/>
          <w:bCs/>
          <w:lang w:val="en-GB" w:eastAsia="ja-JP"/>
        </w:rPr>
        <w:t xml:space="preserve"> </w:t>
      </w:r>
    </w:p>
    <w:p w14:paraId="27CA4756" w14:textId="50F0294C" w:rsidR="00175B8E" w:rsidRPr="00E85B4D" w:rsidRDefault="00433E5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 meta-analysis of</w:t>
      </w:r>
      <w:r w:rsidR="00175B8E">
        <w:rPr>
          <w:rFonts w:asciiTheme="minorHAnsi" w:eastAsia="Arial Unicode MS" w:hAnsiTheme="minorHAnsi" w:cstheme="minorHAnsi"/>
          <w:bCs/>
          <w:lang w:val="en-GB" w:eastAsia="ja-JP"/>
        </w:rPr>
        <w:t xml:space="preserve"> 138 children undergoing craniosynostosis surgery to assess perioperative blood loss found a significant difference favouring TXA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0.0006).</w:t>
      </w:r>
      <w:hyperlink w:anchor="_ENREF_182" w:tooltip="Song, 2013 #923" w:history="1">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182</w:t>
        </w:r>
        <w:r w:rsidR="00E62798">
          <w:rPr>
            <w:rFonts w:asciiTheme="minorHAnsi" w:eastAsia="Arial Unicode MS" w:hAnsiTheme="minorHAnsi" w:cstheme="minorHAnsi"/>
            <w:bCs/>
            <w:lang w:val="en-GB" w:eastAsia="ja-JP"/>
          </w:rPr>
          <w:fldChar w:fldCharType="end"/>
        </w:r>
      </w:hyperlink>
      <w:r w:rsidR="00175B8E" w:rsidRPr="00E85B4D">
        <w:rPr>
          <w:rFonts w:asciiTheme="minorHAnsi" w:eastAsia="Arial Unicode MS" w:hAnsiTheme="minorHAnsi" w:cstheme="minorHAnsi"/>
          <w:bCs/>
          <w:lang w:val="en-GB" w:eastAsia="ja-JP"/>
        </w:rPr>
        <w:t xml:space="preserve"> </w:t>
      </w:r>
    </w:p>
    <w:p w14:paraId="161F6BB0" w14:textId="3928B35C" w:rsidR="00175B8E" w:rsidRDefault="00433E5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D</w:t>
      </w:r>
      <w:r w:rsidR="00175B8E">
        <w:rPr>
          <w:rFonts w:asciiTheme="minorHAnsi" w:eastAsia="Arial Unicode MS" w:hAnsiTheme="minorHAnsi" w:cstheme="minorHAnsi"/>
          <w:bCs/>
          <w:lang w:val="en-GB" w:eastAsia="ja-JP"/>
        </w:rPr>
        <w:t>rain output (ml)</w:t>
      </w:r>
      <w:r w:rsidR="00175B8E" w:rsidRPr="00E85B4D">
        <w:rPr>
          <w:rFonts w:asciiTheme="minorHAnsi" w:eastAsia="Arial Unicode MS" w:hAnsiTheme="minorHAnsi" w:cstheme="minorHAnsi"/>
          <w:bCs/>
          <w:lang w:val="en-GB" w:eastAsia="ja-JP"/>
        </w:rPr>
        <w:t xml:space="preserve"> at </w:t>
      </w:r>
      <w:r>
        <w:rPr>
          <w:rFonts w:asciiTheme="minorHAnsi" w:eastAsia="Arial Unicode MS" w:hAnsiTheme="minorHAnsi" w:cstheme="minorHAnsi"/>
          <w:bCs/>
          <w:lang w:val="en-GB" w:eastAsia="ja-JP"/>
        </w:rPr>
        <w:t>various times following surgery was measured</w:t>
      </w:r>
      <w:r w:rsidR="00175B8E" w:rsidRPr="00E85B4D">
        <w:rPr>
          <w:rFonts w:asciiTheme="minorHAnsi" w:eastAsia="Arial Unicode MS" w:hAnsiTheme="minorHAnsi" w:cstheme="minorHAnsi"/>
          <w:bCs/>
          <w:lang w:val="en-GB" w:eastAsia="ja-JP"/>
        </w:rPr>
        <w:t xml:space="preserve"> in 26 paediatric patients undergoing major reconstructive craniofacial surgery.</w:t>
      </w:r>
      <w:hyperlink w:anchor="_ENREF_195" w:tooltip="Ahmed, 2014 #839"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&lt;EndNote&gt;&lt;Cite&gt;&lt;Author&gt;Ahmed&lt;/Author&gt;&lt;Year&gt;2014&lt;/Year&gt;&lt;RecNum&gt;839&lt;/RecNum&gt;&lt;DisplayText&gt;&lt;style face="superscript"&gt;195&lt;/style&gt;&lt;/DisplayText&gt;&lt;record&gt;&lt;rec-number&gt;839&lt;/rec-number&gt;&lt;foreign-keys&gt;&lt;key app="EN" db-id="9edve2wadsavt5ewavaxtda4f2tavzvts9ee" timestamp="1435036188"&gt;839&lt;/key&gt;&lt;/foreign-keys&gt;&lt;ref-type name="Generic"&gt;13&lt;/ref-type&gt;&lt;contributors&gt;&lt;authors&gt;&lt;author&gt;Ahmed, Z.&lt;/author&gt;&lt;author&gt;Stricker, L.&lt;/author&gt;&lt;author&gt;Rozzelle, A.&lt;/author&gt;&lt;author&gt;Zestos, M.&lt;/author&gt;&lt;/authors&gt;&lt;/contributors&gt;&lt;titles&gt;&lt;title&gt;Aprotinin and transfusion requirements in pediatric craniofacial surgery&lt;/title&gt;&lt;/titles&gt;&lt;pages&gt;141–145&lt;/pages&gt;&lt;volume&gt;24&lt;/volume&gt;&lt;reprint-edition&gt;NOT IN FILE&lt;/reprint-edition&gt;&lt;keywords&gt;&lt;keyword&gt;aprotinin&lt;/keyword&gt;&lt;keyword&gt;pediatric&lt;/keyword&gt;&lt;keyword&gt;transfusion&lt;/keyword&gt;&lt;/keywords&gt;&lt;dates&gt;&lt;year&gt;2014&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195</w:t>
        </w:r>
        <w:r w:rsidR="00E62798">
          <w:rPr>
            <w:rFonts w:asciiTheme="minorHAnsi" w:eastAsia="Arial Unicode MS" w:hAnsiTheme="minorHAnsi" w:cstheme="minorHAnsi"/>
            <w:bCs/>
            <w:lang w:val="en-GB" w:eastAsia="ja-JP"/>
          </w:rPr>
          <w:fldChar w:fldCharType="end"/>
        </w:r>
      </w:hyperlink>
      <w:r w:rsidR="00175B8E" w:rsidRPr="00E85B4D">
        <w:rPr>
          <w:rFonts w:asciiTheme="minorHAnsi" w:eastAsia="Arial Unicode MS" w:hAnsiTheme="minorHAnsi" w:cstheme="minorHAnsi"/>
          <w:bCs/>
          <w:lang w:val="en-GB" w:eastAsia="ja-JP"/>
        </w:rPr>
        <w:t xml:space="preserve"> No significant differences were reported.</w:t>
      </w:r>
    </w:p>
    <w:p w14:paraId="4E72F051" w14:textId="1203F458" w:rsidR="00175B8E" w:rsidRDefault="00175B8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 xml:space="preserve">Since Level III evidence did not meet the inclusion criteria for this overview, we performed our own meta-analysis of Level II studies, which excluded the Level III studies included in the </w:t>
      </w:r>
      <w:r w:rsidR="004E2E70">
        <w:rPr>
          <w:rFonts w:asciiTheme="minorHAnsi" w:eastAsia="Arial Unicode MS" w:hAnsiTheme="minorHAnsi" w:cstheme="minorHAnsi"/>
          <w:bCs/>
          <w:lang w:val="en-GB" w:eastAsia="ja-JP"/>
        </w:rPr>
        <w:t>Level I study</w:t>
      </w:r>
      <w:r>
        <w:rPr>
          <w:rFonts w:asciiTheme="minorHAnsi" w:eastAsia="Arial Unicode MS" w:hAnsiTheme="minorHAnsi" w:cstheme="minorHAnsi"/>
          <w:bCs/>
          <w:lang w:val="en-GB" w:eastAsia="ja-JP"/>
        </w:rPr>
        <w:t>.</w:t>
      </w:r>
      <w:hyperlink w:anchor="_ENREF_182" w:tooltip="Song, 2013 #923" w:history="1">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PEVuZE5vdGU+PENpdGU+PEF1dGhvcj5Tb25nPC9BdXRob3I+PFllYXI+MjAxMzwvWWVhcj48UmVj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182</w:t>
        </w:r>
        <w:r w:rsidR="00E62798">
          <w:rPr>
            <w:rFonts w:asciiTheme="minorHAnsi" w:eastAsia="Arial Unicode MS" w:hAnsiTheme="minorHAnsi" w:cstheme="minorHAnsi"/>
            <w:bCs/>
            <w:lang w:val="en-GB" w:eastAsia="ja-JP"/>
          </w:rPr>
          <w:fldChar w:fldCharType="end"/>
        </w:r>
      </w:hyperlink>
      <w:r w:rsidR="00433E5E">
        <w:t xml:space="preserve"> This analysis demonstrated a significant reduction in postoperative blood loss</w:t>
      </w:r>
      <w:r w:rsidR="004828DA">
        <w:t xml:space="preserve"> </w:t>
      </w:r>
      <w:r w:rsidR="00433E5E">
        <w:t>(p&lt;0.0001).</w:t>
      </w:r>
    </w:p>
    <w:p w14:paraId="2A7A21CD" w14:textId="5DB7246D" w:rsidR="00175B8E" w:rsidRDefault="004E2E70" w:rsidP="00433E5E">
      <w:pPr>
        <w:pStyle w:val="H6"/>
      </w:pPr>
      <w:r>
        <w:t>ENT</w:t>
      </w:r>
      <w:r w:rsidR="00175B8E">
        <w:t xml:space="preserve"> surgery </w:t>
      </w:r>
    </w:p>
    <w:p w14:paraId="2A6F8F2A" w14:textId="2823251D" w:rsidR="00175B8E" w:rsidRDefault="00433E5E"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This review identified one</w:t>
      </w:r>
      <w:r w:rsidR="00175B8E">
        <w:rPr>
          <w:rFonts w:asciiTheme="minorHAnsi" w:eastAsia="Arial Unicode MS" w:hAnsiTheme="minorHAnsi" w:cstheme="minorHAnsi"/>
          <w:bCs/>
          <w:lang w:val="en-GB" w:eastAsia="ja-JP"/>
        </w:rPr>
        <w:t xml:space="preserve"> Level I study</w:t>
      </w:r>
      <w:hyperlink w:anchor="_ENREF_180" w:tooltip="Ker, 2013 #889"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&lt;EndNote&gt;&lt;Cite&gt;&lt;Author&gt;Ker&lt;/Author&gt;&lt;Year&gt;2013&lt;/Year&gt;&lt;RecNum&gt;889&lt;/RecNum&gt;&lt;DisplayText&gt;&lt;style face="superscript"&gt;180&lt;/style&gt;&lt;/DisplayText&gt;&lt;record&gt;&lt;rec-number&gt;889&lt;/rec-number&gt;&lt;foreign-keys&gt;&lt;key app="EN" db-id="9edve2wadsavt5ewavaxtda4f2tavzvts9ee" timestamp="1435036188"&gt;889&lt;/key&gt;&lt;/foreign-keys&gt;&lt;ref-type name="Journal Article"&gt;17&lt;/ref-type&gt;&lt;contributors&gt;&lt;authors&gt;&lt;author&gt;Ker, K.&lt;/author&gt;&lt;author&gt;Beecher, D.&lt;/author&gt;&lt;author&gt;Roberts, I.&lt;/author&gt;&lt;/authors&gt;&lt;/contributors&gt;&lt;titles&gt;&lt;title&gt;Topical application of tranexamic acid for the reduction of bleeding&lt;/title&gt;&lt;secondary-title&gt;Cochrane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FILE&lt;/reprint-edition&gt;&lt;keywords&gt;&lt;keyword&gt;Administration,Topical&lt;/keyword&gt;&lt;keyword&gt;Antifibrinolytic Agents .administration &amp;amp; dosage&lt;/keyword&gt;&lt;keyword&gt;bleeding&lt;/keyword&gt;&lt;keyword&gt;blood&lt;/keyword&gt;&lt;keyword&gt;Blood Loss,Surgical .prevention &amp;amp; control&lt;/keyword&gt;&lt;keyword&gt;blood transfusion&lt;/keyword&gt;&lt;keyword&gt;Cochrane Library&lt;/keyword&gt;&lt;keyword&gt;Cochrane Reviews 4Nov2014&lt;/keyword&gt;&lt;keyword&gt;confidence interval&lt;/keyword&gt;&lt;keyword&gt;control&lt;/keyword&gt;&lt;keyword&gt;death&lt;/keyword&gt;&lt;keyword&gt;deep vein thrombosis&lt;/keyword&gt;&lt;keyword&gt;Embase&lt;/keyword&gt;&lt;keyword&gt;epistaxis&lt;/keyword&gt;&lt;keyword&gt;Epistaxis .drug therapy&lt;/keyword&gt;&lt;keyword&gt;Hemorrhage .drug therapy&lt;/keyword&gt;&lt;keyword&gt;Humans.checkword&lt;/keyword&gt;&lt;keyword&gt;injury&lt;/keyword&gt;&lt;keyword&gt;mortality&lt;/keyword&gt;&lt;keyword&gt;patient&lt;/keyword&gt;&lt;keyword&gt;placebo&lt;/keyword&gt;&lt;keyword&gt;Randomized Controlled Trials as Topic&lt;/keyword&gt;&lt;keyword&gt;register&lt;/keyword&gt;&lt;keyword&gt;risk&lt;/keyword&gt;&lt;keyword&gt;surgery&lt;/keyword&gt;&lt;keyword&gt;surgical patient&lt;/keyword&gt;&lt;keyword&gt;thrombosis&lt;/keyword&gt;&lt;keyword&gt;tranexamic acid&lt;/keyword&gt;&lt;keyword&gt;Tranexamic Acid .administration &amp;amp; dosage&lt;/keyword&gt;&lt;keyword&gt;transfusion&lt;/keyword&gt;&lt;keyword&gt;vein thrombosis&lt;/keyword&gt;&lt;/keywords&gt;&lt;dates&gt;&lt;year&gt;2013&lt;/year&gt;&lt;/dates&gt;&lt;urls&gt;&lt;/urls&gt;&lt;/record&gt;&lt;/Cite&gt;&lt;/EndNote&gt;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180</w:t>
        </w:r>
        <w:r w:rsidR="00E62798">
          <w:rPr>
            <w:rFonts w:asciiTheme="minorHAnsi" w:eastAsia="Arial Unicode MS" w:hAnsiTheme="minorHAnsi" w:cstheme="minorHAnsi"/>
            <w:bCs/>
            <w:lang w:val="en-GB" w:eastAsia="ja-JP"/>
          </w:rPr>
          <w:fldChar w:fldCharType="end"/>
        </w:r>
      </w:hyperlink>
      <w:r>
        <w:rPr>
          <w:rFonts w:asciiTheme="minorHAnsi" w:eastAsia="Arial Unicode MS" w:hAnsiTheme="minorHAnsi" w:cstheme="minorHAnsi"/>
          <w:bCs/>
          <w:lang w:val="en-GB" w:eastAsia="ja-JP"/>
        </w:rPr>
        <w:t xml:space="preserve"> that </w:t>
      </w:r>
      <w:r w:rsidR="00175B8E" w:rsidRPr="00E85B4D">
        <w:rPr>
          <w:rFonts w:asciiTheme="minorHAnsi" w:eastAsia="Arial Unicode MS" w:hAnsiTheme="minorHAnsi" w:cstheme="minorHAnsi"/>
          <w:bCs/>
          <w:lang w:val="en-GB" w:eastAsia="ja-JP"/>
        </w:rPr>
        <w:t xml:space="preserve">included </w:t>
      </w:r>
      <w:r>
        <w:rPr>
          <w:rFonts w:asciiTheme="minorHAnsi" w:eastAsia="Arial Unicode MS" w:hAnsiTheme="minorHAnsi" w:cstheme="minorHAnsi"/>
          <w:bCs/>
          <w:lang w:val="en-GB" w:eastAsia="ja-JP"/>
        </w:rPr>
        <w:t>one</w:t>
      </w:r>
      <w:r w:rsidR="00175B8E">
        <w:rPr>
          <w:rFonts w:asciiTheme="minorHAnsi" w:eastAsia="Arial Unicode MS" w:hAnsiTheme="minorHAnsi" w:cstheme="minorHAnsi"/>
          <w:bCs/>
          <w:lang w:val="en-GB" w:eastAsia="ja-JP"/>
        </w:rPr>
        <w:t xml:space="preserve"> Level II study</w:t>
      </w:r>
      <w:hyperlink w:anchor="_ENREF_205" w:tooltip="Albirmawy, 2013 #842" w:history="1">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205</w:t>
        </w:r>
        <w:r w:rsidR="00E62798">
          <w:rPr>
            <w:rFonts w:asciiTheme="minorHAnsi" w:eastAsia="Arial Unicode MS" w:hAnsiTheme="minorHAnsi" w:cstheme="minorHAnsi"/>
            <w:bCs/>
            <w:lang w:val="en-GB" w:eastAsia="ja-JP"/>
          </w:rPr>
          <w:fldChar w:fldCharType="end"/>
        </w:r>
      </w:hyperlink>
      <w:r w:rsidR="00175B8E">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 xml:space="preserve">and two </w:t>
      </w:r>
      <w:r w:rsidR="00175B8E" w:rsidRPr="00E85B4D">
        <w:rPr>
          <w:rFonts w:asciiTheme="minorHAnsi" w:eastAsia="Arial Unicode MS" w:hAnsiTheme="minorHAnsi" w:cstheme="minorHAnsi"/>
          <w:bCs/>
          <w:lang w:val="en-GB" w:eastAsia="ja-JP"/>
        </w:rPr>
        <w:t>Level II studies</w:t>
      </w:r>
      <w:r w:rsidR="00E62798">
        <w:rPr>
          <w:rFonts w:asciiTheme="minorHAnsi" w:eastAsia="Arial Unicode MS" w:hAnsiTheme="minorHAnsi" w:cstheme="minorHAnsi"/>
          <w:bCs/>
          <w:lang w:val="en-GB" w:eastAsia="ja-JP"/>
        </w:rPr>
        <w:fldChar w:fldCharType="begin">
          <w:fldData xml:space="preserve">PEVuZE5vdGU+PENpdGU+PEF1dGhvcj5CcnVtPC9BdXRob3I+PFllYXI+MjAxMjwvWWVhcj48UmVj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PEVuZE5vdGU+PENpdGU+PEF1dGhvcj5CcnVtPC9BdXRob3I+PFllYXI+MjAxMjwvWWVhcj48UmVj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hyperlink w:anchor="_ENREF_197" w:tooltip="Eldaba, 2013 #869" w:history="1">
        <w:r w:rsidR="00E62798" w:rsidRPr="00E62798">
          <w:rPr>
            <w:rFonts w:asciiTheme="minorHAnsi" w:eastAsia="Arial Unicode MS" w:hAnsiTheme="minorHAnsi" w:cstheme="minorHAnsi"/>
            <w:bCs/>
            <w:noProof/>
            <w:vertAlign w:val="superscript"/>
            <w:lang w:val="en-GB" w:eastAsia="ja-JP"/>
          </w:rPr>
          <w:t>197</w:t>
        </w:r>
      </w:hyperlink>
      <w:r w:rsidR="00E62798" w:rsidRPr="00E62798">
        <w:rPr>
          <w:rFonts w:asciiTheme="minorHAnsi" w:eastAsia="Arial Unicode MS" w:hAnsiTheme="minorHAnsi" w:cstheme="minorHAnsi"/>
          <w:bCs/>
          <w:noProof/>
          <w:vertAlign w:val="superscript"/>
          <w:lang w:val="en-GB" w:eastAsia="ja-JP"/>
        </w:rPr>
        <w:t xml:space="preserve">; </w:t>
      </w:r>
      <w:hyperlink w:anchor="_ENREF_209" w:tooltip="Brum, 2012 #850" w:history="1">
        <w:r w:rsidR="00E62798" w:rsidRPr="00E62798">
          <w:rPr>
            <w:rFonts w:asciiTheme="minorHAnsi" w:eastAsia="Arial Unicode MS" w:hAnsiTheme="minorHAnsi" w:cstheme="minorHAnsi"/>
            <w:bCs/>
            <w:noProof/>
            <w:vertAlign w:val="superscript"/>
            <w:lang w:val="en-GB" w:eastAsia="ja-JP"/>
          </w:rPr>
          <w:t>209</w:t>
        </w:r>
      </w:hyperlink>
      <w:r w:rsidR="00E62798">
        <w:rPr>
          <w:rFonts w:asciiTheme="minorHAnsi" w:eastAsia="Arial Unicode MS" w:hAnsiTheme="minorHAnsi" w:cstheme="minorHAnsi"/>
          <w:bCs/>
          <w:lang w:val="en-GB" w:eastAsia="ja-JP"/>
        </w:rPr>
        <w:fldChar w:fldCharType="end"/>
      </w:r>
      <w:r w:rsidR="00175B8E" w:rsidRPr="00E85B4D">
        <w:rPr>
          <w:rFonts w:asciiTheme="minorHAnsi" w:eastAsia="Arial Unicode MS" w:hAnsiTheme="minorHAnsi" w:cstheme="minorHAnsi"/>
          <w:bCs/>
          <w:lang w:val="en-GB" w:eastAsia="ja-JP"/>
        </w:rPr>
        <w:t xml:space="preserve"> </w:t>
      </w:r>
      <w:r>
        <w:rPr>
          <w:rFonts w:asciiTheme="minorHAnsi" w:eastAsia="Arial Unicode MS" w:hAnsiTheme="minorHAnsi" w:cstheme="minorHAnsi"/>
          <w:bCs/>
          <w:lang w:val="en-GB" w:eastAsia="ja-JP"/>
        </w:rPr>
        <w:t>for ENT surgery.</w:t>
      </w:r>
    </w:p>
    <w:p w14:paraId="14D401FF" w14:textId="59B7839A" w:rsidR="00175B8E" w:rsidRDefault="00433E5E" w:rsidP="00175B8E">
      <w:pPr>
        <w:spacing w:after="200" w:line="276" w:lineRule="auto"/>
        <w:rPr>
          <w:rFonts w:asciiTheme="minorHAnsi" w:eastAsia="Arial Unicode MS" w:hAnsiTheme="minorHAnsi" w:cstheme="minorHAnsi"/>
          <w:bCs/>
          <w:lang w:val="en-GB" w:eastAsia="ja-JP"/>
        </w:rPr>
      </w:pPr>
      <w:r>
        <w:rPr>
          <w:rFonts w:asciiTheme="minorHAnsi" w:hAnsiTheme="minorHAnsi" w:cstheme="minorHAnsi"/>
          <w:lang w:val="en-GB" w:eastAsia="en-GB"/>
        </w:rPr>
        <w:t>A study of</w:t>
      </w:r>
      <w:r w:rsidR="00175B8E" w:rsidRPr="00CC5147">
        <w:rPr>
          <w:rFonts w:asciiTheme="minorHAnsi" w:eastAsia="Arial Unicode MS" w:hAnsiTheme="minorHAnsi" w:cstheme="minorHAnsi"/>
          <w:bCs/>
          <w:lang w:val="en-GB" w:eastAsia="ja-JP"/>
        </w:rPr>
        <w:t xml:space="preserve"> 400 children undergoing primary isolated adenoidectomy</w:t>
      </w:r>
      <w:r>
        <w:rPr>
          <w:rFonts w:asciiTheme="minorHAnsi" w:eastAsia="Arial Unicode MS" w:hAnsiTheme="minorHAnsi" w:cstheme="minorHAnsi"/>
          <w:bCs/>
          <w:lang w:val="en-GB" w:eastAsia="ja-JP"/>
        </w:rPr>
        <w:t xml:space="preserve"> found a</w:t>
      </w:r>
      <w:r w:rsidR="00175B8E">
        <w:rPr>
          <w:rFonts w:asciiTheme="minorHAnsi" w:eastAsia="Arial Unicode MS" w:hAnsiTheme="minorHAnsi" w:cstheme="minorHAnsi"/>
          <w:bCs/>
          <w:lang w:val="en-GB" w:eastAsia="ja-JP"/>
        </w:rPr>
        <w:t xml:space="preserve"> signi</w:t>
      </w:r>
      <w:r>
        <w:rPr>
          <w:rFonts w:asciiTheme="minorHAnsi" w:eastAsia="Arial Unicode MS" w:hAnsiTheme="minorHAnsi" w:cstheme="minorHAnsi"/>
          <w:bCs/>
          <w:lang w:val="en-GB" w:eastAsia="ja-JP"/>
        </w:rPr>
        <w:t>ficant difference in blood loss, favouring topical TXA.</w:t>
      </w:r>
      <w:hyperlink w:anchor="_ENREF_205" w:tooltip="Albirmawy, 2013 #842" w:history="1">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PEVuZE5vdGU+PENpdGU+PEF1dGhvcj5BbGJpcm1hd3k8L0F1dGhvcj48WWVhcj4yMDEzPC9ZZWFy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205</w:t>
        </w:r>
        <w:r w:rsidR="00E62798">
          <w:rPr>
            <w:rFonts w:asciiTheme="minorHAnsi" w:eastAsia="Arial Unicode MS" w:hAnsiTheme="minorHAnsi" w:cstheme="minorHAnsi"/>
            <w:bCs/>
            <w:lang w:val="en-GB" w:eastAsia="ja-JP"/>
          </w:rPr>
          <w:fldChar w:fldCharType="end"/>
        </w:r>
      </w:hyperlink>
    </w:p>
    <w:p w14:paraId="245D4EE8" w14:textId="6558927B" w:rsidR="00175B8E" w:rsidRPr="00E85B4D" w:rsidRDefault="00CD65E3"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In an assessment of</w:t>
      </w:r>
      <w:r w:rsidR="00175B8E" w:rsidRPr="00E85B4D">
        <w:rPr>
          <w:rFonts w:asciiTheme="minorHAnsi" w:eastAsia="Arial Unicode MS" w:hAnsiTheme="minorHAnsi" w:cstheme="minorHAnsi"/>
          <w:bCs/>
          <w:lang w:val="en-GB" w:eastAsia="ja-JP"/>
        </w:rPr>
        <w:t xml:space="preserve"> </w:t>
      </w:r>
      <w:r w:rsidR="00175B8E">
        <w:rPr>
          <w:rFonts w:asciiTheme="minorHAnsi" w:eastAsia="Arial Unicode MS" w:hAnsiTheme="minorHAnsi" w:cstheme="minorHAnsi"/>
          <w:bCs/>
          <w:lang w:val="en-GB" w:eastAsia="ja-JP"/>
        </w:rPr>
        <w:t>blood loss</w:t>
      </w:r>
      <w:r w:rsidR="00175B8E" w:rsidRPr="00E85B4D">
        <w:rPr>
          <w:rFonts w:asciiTheme="minorHAnsi" w:eastAsia="Arial Unicode MS" w:hAnsiTheme="minorHAnsi" w:cstheme="minorHAnsi"/>
          <w:bCs/>
          <w:lang w:val="en-GB" w:eastAsia="ja-JP"/>
        </w:rPr>
        <w:t xml:space="preserve"> in 95 children s</w:t>
      </w:r>
      <w:r>
        <w:rPr>
          <w:rFonts w:asciiTheme="minorHAnsi" w:eastAsia="Arial Unicode MS" w:hAnsiTheme="minorHAnsi" w:cstheme="minorHAnsi"/>
          <w:bCs/>
          <w:lang w:val="en-GB" w:eastAsia="ja-JP"/>
        </w:rPr>
        <w:t>cheduled for adenotonsillectomy, a</w:t>
      </w:r>
      <w:r w:rsidR="00175B8E" w:rsidRPr="00E85B4D">
        <w:rPr>
          <w:rFonts w:asciiTheme="minorHAnsi" w:eastAsia="Arial Unicode MS" w:hAnsiTheme="minorHAnsi" w:cstheme="minorHAnsi"/>
          <w:bCs/>
          <w:lang w:val="en-GB" w:eastAsia="ja-JP"/>
        </w:rPr>
        <w:t>n intention-to-treat analysis of total intraoperative bleeding show</w:t>
      </w:r>
      <w:r>
        <w:rPr>
          <w:rFonts w:asciiTheme="minorHAnsi" w:eastAsia="Arial Unicode MS" w:hAnsiTheme="minorHAnsi" w:cstheme="minorHAnsi"/>
          <w:bCs/>
          <w:lang w:val="en-GB" w:eastAsia="ja-JP"/>
        </w:rPr>
        <w:t>ed no difference between groups.</w:t>
      </w:r>
      <w:hyperlink w:anchor="_ENREF_209" w:tooltip="Brum, 2012 #850" w:history="1">
        <w:r w:rsidR="00E62798">
          <w:rPr>
            <w:rFonts w:asciiTheme="minorHAnsi" w:eastAsia="Arial Unicode MS" w:hAnsiTheme="minorHAnsi" w:cstheme="minorHAnsi"/>
            <w:bCs/>
            <w:lang w:val="en-GB" w:eastAsia="ja-JP"/>
          </w:rPr>
          <w:fldChar w:fldCharType="begin">
            <w:fldData xml:space="preserve">PEVuZE5vdGU+PENpdGU+PEF1dGhvcj5CcnVtPC9BdXRob3I+PFllYXI+MjAxMjwvWWVhcj48UmVj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</w:fldData>
          </w:fldChar>
        </w:r>
        <w:r w:rsidR="00E62798">
          <w:rPr>
            <w:rFonts w:asciiTheme="minorHAnsi" w:eastAsia="Arial Unicode MS" w:hAnsiTheme="minorHAnsi" w:cstheme="minorHAnsi"/>
            <w:bCs/>
            <w:lang w:val="en-GB" w:eastAsia="ja-JP"/>
          </w:rPr>
          <w:instrText xml:space="preserve"> ADDIN EN.CITE </w:instrText>
        </w:r>
        <w:r w:rsidR="00E62798">
          <w:rPr>
            <w:rFonts w:asciiTheme="minorHAnsi" w:eastAsia="Arial Unicode MS" w:hAnsiTheme="minorHAnsi" w:cstheme="minorHAnsi"/>
            <w:bCs/>
            <w:lang w:val="en-GB" w:eastAsia="ja-JP"/>
          </w:rPr>
          <w:fldChar w:fldCharType="begin">
            <w:fldData xml:space="preserve">PEVuZE5vdGU+PENpdGU+PEF1dGhvcj5CcnVtPC9BdXRob3I+PFllYXI+MjAxMjwvWWVhcj48UmVj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</w:fldData>
          </w:fldChar>
        </w:r>
        <w:r w:rsidR="00E62798">
          <w:rPr>
            <w:rFonts w:asciiTheme="minorHAnsi" w:eastAsia="Arial Unicode MS" w:hAnsiTheme="minorHAnsi" w:cstheme="minorHAnsi"/>
            <w:bCs/>
            <w:lang w:val="en-GB" w:eastAsia="ja-JP"/>
          </w:rPr>
          <w:instrText xml:space="preserve"> ADDIN EN.CITE.DATA </w:instrText>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end"/>
        </w:r>
        <w:r w:rsidR="00E62798">
          <w:rPr>
            <w:rFonts w:asciiTheme="minorHAnsi" w:eastAsia="Arial Unicode MS" w:hAnsiTheme="minorHAnsi" w:cstheme="minorHAnsi"/>
            <w:bCs/>
            <w:lang w:val="en-GB" w:eastAsia="ja-JP"/>
          </w:rPr>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209</w:t>
        </w:r>
        <w:r w:rsidR="00E62798">
          <w:rPr>
            <w:rFonts w:asciiTheme="minorHAnsi" w:eastAsia="Arial Unicode MS" w:hAnsiTheme="minorHAnsi" w:cstheme="minorHAnsi"/>
            <w:bCs/>
            <w:lang w:val="en-GB" w:eastAsia="ja-JP"/>
          </w:rPr>
          <w:fldChar w:fldCharType="end"/>
        </w:r>
      </w:hyperlink>
    </w:p>
    <w:p w14:paraId="2AA8E7C2" w14:textId="3311907C" w:rsidR="00175B8E" w:rsidRDefault="00CD65E3" w:rsidP="00175B8E">
      <w:pPr>
        <w:spacing w:after="200" w:line="276" w:lineRule="auto"/>
        <w:rPr>
          <w:rFonts w:asciiTheme="minorHAnsi" w:eastAsia="Arial Unicode MS" w:hAnsiTheme="minorHAnsi" w:cstheme="minorHAnsi"/>
          <w:bCs/>
          <w:lang w:val="en-GB" w:eastAsia="ja-JP"/>
        </w:rPr>
      </w:pPr>
      <w:r>
        <w:rPr>
          <w:rFonts w:asciiTheme="minorHAnsi" w:eastAsia="Arial Unicode MS" w:hAnsiTheme="minorHAnsi" w:cstheme="minorHAnsi"/>
          <w:bCs/>
          <w:lang w:val="en-GB" w:eastAsia="ja-JP"/>
        </w:rPr>
        <w:t>An assessment of</w:t>
      </w:r>
      <w:r w:rsidR="00175B8E" w:rsidRPr="00E85B4D">
        <w:rPr>
          <w:rFonts w:asciiTheme="minorHAnsi" w:eastAsia="Arial Unicode MS" w:hAnsiTheme="minorHAnsi" w:cstheme="minorHAnsi"/>
          <w:bCs/>
          <w:lang w:val="en-GB" w:eastAsia="ja-JP"/>
        </w:rPr>
        <w:t xml:space="preserve"> surgical field ratings among children with chronic rhinosinusitis undergoing endoscopic sinus surgery</w:t>
      </w:r>
      <w:r>
        <w:rPr>
          <w:rFonts w:asciiTheme="minorHAnsi" w:eastAsia="Arial Unicode MS" w:hAnsiTheme="minorHAnsi" w:cstheme="minorHAnsi"/>
          <w:bCs/>
          <w:lang w:val="en-GB" w:eastAsia="ja-JP"/>
        </w:rPr>
        <w:t xml:space="preserve"> found a </w:t>
      </w:r>
      <w:r w:rsidR="00175B8E">
        <w:rPr>
          <w:rFonts w:asciiTheme="minorHAnsi" w:eastAsia="Arial Unicode MS" w:hAnsiTheme="minorHAnsi" w:cstheme="minorHAnsi"/>
          <w:bCs/>
          <w:lang w:val="en-GB" w:eastAsia="ja-JP"/>
        </w:rPr>
        <w:t>reduction in moderate bleeding (</w:t>
      </w:r>
      <w:r w:rsidR="00175B8E" w:rsidRPr="00E85B4D">
        <w:rPr>
          <w:rFonts w:asciiTheme="minorHAnsi" w:eastAsia="Arial Unicode MS" w:hAnsiTheme="minorHAnsi" w:cstheme="minorHAnsi"/>
          <w:bCs/>
          <w:lang w:val="en-GB" w:eastAsia="ja-JP"/>
        </w:rPr>
        <w:t xml:space="preserve">surgical field rating </w:t>
      </w:r>
      <w:r w:rsidR="004E2E70" w:rsidRPr="00E85B4D">
        <w:rPr>
          <w:rFonts w:asciiTheme="minorHAnsi" w:eastAsia="Arial Unicode MS" w:hAnsiTheme="minorHAnsi" w:cstheme="minorHAnsi"/>
          <w:bCs/>
          <w:lang w:val="en-GB" w:eastAsia="ja-JP"/>
        </w:rPr>
        <w:t>grade</w:t>
      </w:r>
      <w:r w:rsidR="004E2E70">
        <w:rPr>
          <w:rFonts w:asciiTheme="minorHAnsi" w:eastAsia="Arial Unicode MS" w:hAnsiTheme="minorHAnsi" w:cstheme="minorHAnsi"/>
          <w:bCs/>
          <w:lang w:val="en-GB" w:eastAsia="ja-JP"/>
        </w:rPr>
        <w:t> 3</w:t>
      </w:r>
      <w:r w:rsidR="00175B8E">
        <w:rPr>
          <w:rFonts w:asciiTheme="minorHAnsi" w:eastAsia="Arial Unicode MS" w:hAnsiTheme="minorHAnsi" w:cstheme="minorHAnsi"/>
          <w:bCs/>
          <w:lang w:val="en-GB" w:eastAsia="ja-JP"/>
        </w:rPr>
        <w:t>)</w:t>
      </w:r>
      <w:r w:rsidR="00175B8E" w:rsidRPr="00E85B4D">
        <w:rPr>
          <w:rFonts w:asciiTheme="minorHAnsi" w:eastAsia="Arial Unicode MS" w:hAnsiTheme="minorHAnsi" w:cstheme="minorHAnsi"/>
          <w:bCs/>
          <w:lang w:val="en-GB" w:eastAsia="ja-JP"/>
        </w:rPr>
        <w:t xml:space="preserve"> favour</w:t>
      </w:r>
      <w:r>
        <w:rPr>
          <w:rFonts w:asciiTheme="minorHAnsi" w:eastAsia="Arial Unicode MS" w:hAnsiTheme="minorHAnsi" w:cstheme="minorHAnsi"/>
          <w:bCs/>
          <w:lang w:val="en-GB" w:eastAsia="ja-JP"/>
        </w:rPr>
        <w:t>ing</w:t>
      </w:r>
      <w:r w:rsidR="00175B8E" w:rsidRPr="00E85B4D">
        <w:rPr>
          <w:rFonts w:asciiTheme="minorHAnsi" w:eastAsia="Arial Unicode MS" w:hAnsiTheme="minorHAnsi" w:cstheme="minorHAnsi"/>
          <w:bCs/>
          <w:lang w:val="en-GB" w:eastAsia="ja-JP"/>
        </w:rPr>
        <w:t xml:space="preserve"> TXA at 15 minutes (16.0%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48.0%, </w:t>
      </w:r>
      <w:r w:rsidR="0097590E">
        <w:rPr>
          <w:rFonts w:asciiTheme="minorHAnsi" w:eastAsia="Arial Unicode MS" w:hAnsiTheme="minorHAnsi" w:cstheme="minorHAnsi"/>
          <w:bCs/>
          <w:lang w:val="en-GB" w:eastAsia="ja-JP"/>
        </w:rPr>
        <w:t>p=</w:t>
      </w:r>
      <w:r w:rsidR="00175B8E" w:rsidRPr="00E85B4D">
        <w:rPr>
          <w:rFonts w:asciiTheme="minorHAnsi" w:eastAsia="Arial Unicode MS" w:hAnsiTheme="minorHAnsi" w:cstheme="minorHAnsi"/>
          <w:bCs/>
          <w:lang w:val="en-GB" w:eastAsia="ja-JP"/>
        </w:rPr>
        <w:t xml:space="preserve">0.0006) and 30 minutes after beginning surgery (4.0%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42.0%, </w:t>
      </w:r>
      <w:r w:rsidR="004E2E70">
        <w:rPr>
          <w:rFonts w:asciiTheme="minorHAnsi" w:eastAsia="Arial Unicode MS" w:hAnsiTheme="minorHAnsi" w:cstheme="minorHAnsi"/>
          <w:bCs/>
          <w:lang w:val="en-GB" w:eastAsia="ja-JP"/>
        </w:rPr>
        <w:t>p&lt;</w:t>
      </w:r>
      <w:r w:rsidR="00175B8E" w:rsidRPr="00E85B4D">
        <w:rPr>
          <w:rFonts w:asciiTheme="minorHAnsi" w:eastAsia="Arial Unicode MS" w:hAnsiTheme="minorHAnsi" w:cstheme="minorHAnsi"/>
          <w:bCs/>
          <w:lang w:val="en-GB" w:eastAsia="ja-JP"/>
        </w:rPr>
        <w:t>0.0001).</w:t>
      </w:r>
      <w:hyperlink w:anchor="_ENREF_197" w:tooltip="Eldaba, 2013 #869" w:history="1">
        <w:r w:rsidR="00E62798">
          <w:rPr>
            <w:rFonts w:asciiTheme="minorHAnsi" w:eastAsia="Arial Unicode MS" w:hAnsiTheme="minorHAnsi" w:cstheme="minorHAnsi"/>
            <w:bCs/>
            <w:lang w:val="en-GB" w:eastAsia="ja-JP"/>
          </w:rPr>
          <w:fldChar w:fldCharType="begin"/>
        </w:r>
        <w:r w:rsidR="00E62798">
          <w:rPr>
            <w:rFonts w:asciiTheme="minorHAnsi" w:eastAsia="Arial Unicode MS" w:hAnsiTheme="minorHAnsi" w:cstheme="minorHAnsi"/>
            <w:bCs/>
            <w:lang w:val="en-GB" w:eastAsia="ja-JP"/>
          </w:rPr>
          <w:instrText xml:space="preserve"> ADDIN EN.CITE &lt;EndNote&gt;&lt;Cite&gt;&lt;Author&gt;Eldaba&lt;/Author&gt;&lt;Year&gt;2013&lt;/Year&gt;&lt;RecNum&gt;869&lt;/RecNum&gt;&lt;DisplayText&gt;&lt;style face="superscript"&gt;197&lt;/style&gt;&lt;/DisplayText&gt;&lt;record&gt;&lt;rec-number&gt;869&lt;/rec-number&gt;&lt;foreign-keys&gt;&lt;key app="EN" db-id="9edve2wadsavt5ewavaxtda4f2tavzvts9ee" timestamp="1435036188"&gt;869&lt;/key&gt;&lt;/foreign-keys&gt;&lt;ref-type name="Journal Article"&gt;17&lt;/ref-type&gt;&lt;contributors&gt;&lt;authors&gt;&lt;author&gt;Eldaba, A. A.&lt;/author&gt;&lt;author&gt;Amr, Y. M.&lt;/author&gt;&lt;author&gt;Albirmawy, O. A.&lt;/author&gt;&lt;/authors&gt;&lt;/contributors&gt;&lt;titles&gt;&lt;title&gt;Effects of tranexamic acid during endoscopic sinsus surgery in children&lt;/title&gt;&lt;secondary-title&gt;Saudi Journal of Anaesthesia&lt;/secondary-title&gt;&lt;/titles&gt;&lt;periodical&gt;&lt;full-title&gt;Saudi Journal of Anaesthesia&lt;/full-title&gt;&lt;/periodical&gt;&lt;pages&gt;229–233&lt;/pages&gt;&lt;volume&gt;7&lt;/volume&gt;&lt;reprint-edition&gt;NOT IN FILE&lt;/reprint-edition&gt;&lt;keywords&gt;&lt;keyword&gt;Cochrane Trials 4Nov2014&lt;/keyword&gt;&lt;keyword&gt;surgery&lt;/keyword&gt;&lt;keyword&gt;tranexamic acid&lt;/keyword&gt;&lt;/keywords&gt;&lt;dates&gt;&lt;year&gt;2013&lt;/year&gt;&lt;/dates&gt;&lt;urls&gt;&lt;related-urls&gt;&lt;url&gt;http://www.saudija.org/article.asp?issn=1658-354X;year=2013;volume=7;issue=3;spage=229;epage=233;aulast=Eldaba&lt;/url&gt;&lt;/related-urls&gt;&lt;/urls&gt;&lt;/record&gt;&lt;/Cite&gt;&lt;/EndNote&gt;</w:instrText>
        </w:r>
        <w:r w:rsidR="00E62798">
          <w:rPr>
            <w:rFonts w:asciiTheme="minorHAnsi" w:eastAsia="Arial Unicode MS" w:hAnsiTheme="minorHAnsi" w:cstheme="minorHAnsi"/>
            <w:bCs/>
            <w:lang w:val="en-GB" w:eastAsia="ja-JP"/>
          </w:rPr>
          <w:fldChar w:fldCharType="separate"/>
        </w:r>
        <w:r w:rsidR="00E62798" w:rsidRPr="00E62798">
          <w:rPr>
            <w:rFonts w:asciiTheme="minorHAnsi" w:eastAsia="Arial Unicode MS" w:hAnsiTheme="minorHAnsi" w:cstheme="minorHAnsi"/>
            <w:bCs/>
            <w:noProof/>
            <w:vertAlign w:val="superscript"/>
            <w:lang w:val="en-GB" w:eastAsia="ja-JP"/>
          </w:rPr>
          <w:t>197</w:t>
        </w:r>
        <w:r w:rsidR="00E62798">
          <w:rPr>
            <w:rFonts w:asciiTheme="minorHAnsi" w:eastAsia="Arial Unicode MS" w:hAnsiTheme="minorHAnsi" w:cstheme="minorHAnsi"/>
            <w:bCs/>
            <w:lang w:val="en-GB" w:eastAsia="ja-JP"/>
          </w:rPr>
          <w:fldChar w:fldCharType="end"/>
        </w:r>
      </w:hyperlink>
      <w:r w:rsidR="004828DA">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There was also a significant difference in bleeding volume</w:t>
      </w:r>
      <w:r>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favour</w:t>
      </w:r>
      <w:r>
        <w:rPr>
          <w:rFonts w:asciiTheme="minorHAnsi" w:eastAsia="Arial Unicode MS" w:hAnsiTheme="minorHAnsi" w:cstheme="minorHAnsi"/>
          <w:bCs/>
          <w:lang w:val="en-GB" w:eastAsia="ja-JP"/>
        </w:rPr>
        <w:t>ing</w:t>
      </w:r>
      <w:r w:rsidR="00175B8E" w:rsidRPr="00E85B4D">
        <w:rPr>
          <w:rFonts w:asciiTheme="minorHAnsi" w:eastAsia="Arial Unicode MS" w:hAnsiTheme="minorHAnsi" w:cstheme="minorHAnsi"/>
          <w:bCs/>
          <w:lang w:val="en-GB" w:eastAsia="ja-JP"/>
        </w:rPr>
        <w:t xml:space="preserve"> TXA (102 </w:t>
      </w:r>
      <w:r w:rsidR="004E2E70">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19 </w:t>
      </w:r>
      <w:r w:rsidR="0097590E">
        <w:rPr>
          <w:rFonts w:asciiTheme="minorHAnsi" w:eastAsia="Arial Unicode MS" w:hAnsiTheme="minorHAnsi" w:cstheme="minorHAnsi"/>
          <w:bCs/>
          <w:lang w:val="en-GB" w:eastAsia="ja-JP"/>
        </w:rPr>
        <w:t>versus</w:t>
      </w:r>
      <w:r w:rsidR="00175B8E" w:rsidRPr="00E85B4D">
        <w:rPr>
          <w:rFonts w:asciiTheme="minorHAnsi" w:eastAsia="Arial Unicode MS" w:hAnsiTheme="minorHAnsi" w:cstheme="minorHAnsi"/>
          <w:bCs/>
          <w:lang w:val="en-GB" w:eastAsia="ja-JP"/>
        </w:rPr>
        <w:t xml:space="preserve"> 153 </w:t>
      </w:r>
      <w:r w:rsidR="004E2E70">
        <w:rPr>
          <w:rFonts w:asciiTheme="minorHAnsi" w:eastAsia="Arial Unicode MS" w:hAnsiTheme="minorHAnsi" w:cstheme="minorHAnsi"/>
          <w:bCs/>
          <w:lang w:val="en-GB" w:eastAsia="ja-JP"/>
        </w:rPr>
        <w:t xml:space="preserve">± </w:t>
      </w:r>
      <w:r w:rsidR="00175B8E" w:rsidRPr="00E85B4D">
        <w:rPr>
          <w:rFonts w:asciiTheme="minorHAnsi" w:eastAsia="Arial Unicode MS" w:hAnsiTheme="minorHAnsi" w:cstheme="minorHAnsi"/>
          <w:bCs/>
          <w:lang w:val="en-GB" w:eastAsia="ja-JP"/>
        </w:rPr>
        <w:t xml:space="preserve">23, </w:t>
      </w:r>
      <w:r w:rsidR="004E2E70">
        <w:rPr>
          <w:rFonts w:asciiTheme="minorHAnsi" w:eastAsia="Arial Unicode MS" w:hAnsiTheme="minorHAnsi" w:cstheme="minorHAnsi"/>
          <w:bCs/>
          <w:lang w:val="en-GB" w:eastAsia="ja-JP"/>
        </w:rPr>
        <w:t>p&lt;</w:t>
      </w:r>
      <w:r w:rsidR="00175B8E" w:rsidRPr="00E85B4D">
        <w:rPr>
          <w:rFonts w:asciiTheme="minorHAnsi" w:eastAsia="Arial Unicode MS" w:hAnsiTheme="minorHAnsi" w:cstheme="minorHAnsi"/>
          <w:bCs/>
          <w:lang w:val="en-GB" w:eastAsia="ja-JP"/>
        </w:rPr>
        <w:t xml:space="preserve">0.0001). </w:t>
      </w:r>
    </w:p>
    <w:p w14:paraId="2CCFD046" w14:textId="6693C1F9" w:rsidR="00175B8E" w:rsidRPr="009E34D1" w:rsidRDefault="00175B8E" w:rsidP="005B21C2">
      <w:pPr>
        <w:pStyle w:val="BoxHeading"/>
        <w:rPr>
          <w:rFonts w:eastAsia="Arial Unicode MS"/>
          <w:lang w:val="en-AU" w:eastAsia="ja-JP"/>
        </w:rPr>
      </w:pPr>
      <w:r>
        <w:rPr>
          <w:rFonts w:eastAsia="Arial Unicode MS"/>
          <w:lang w:eastAsia="ja-JP"/>
        </w:rPr>
        <w:t>Clinical commentary</w:t>
      </w:r>
      <w:r w:rsidR="00E07AE4">
        <w:rPr>
          <w:rFonts w:eastAsia="Arial Unicode MS"/>
          <w:lang w:val="en-AU" w:eastAsia="ja-JP"/>
        </w:rPr>
        <w:t xml:space="preserve"> </w:t>
      </w:r>
      <w:r w:rsidR="00E07AE4">
        <w:rPr>
          <w:lang w:val="en-AU"/>
        </w:rPr>
        <w:t>–</w:t>
      </w:r>
      <w:r w:rsidR="004E2E70">
        <w:rPr>
          <w:lang w:val="en-AU"/>
        </w:rPr>
        <w:t xml:space="preserve"> </w:t>
      </w:r>
      <w:r w:rsidR="00E07AE4">
        <w:t xml:space="preserve">antifibrinolytics </w:t>
      </w:r>
      <w:r w:rsidR="00E07AE4">
        <w:rPr>
          <w:lang w:val="en-AU"/>
        </w:rPr>
        <w:t>in n</w:t>
      </w:r>
      <w:r w:rsidR="00E07AE4" w:rsidRPr="00EA4E11">
        <w:t xml:space="preserve">eonatal </w:t>
      </w:r>
      <w:r w:rsidR="00E07AE4">
        <w:t xml:space="preserve">and paediatric </w:t>
      </w:r>
      <w:r w:rsidR="00E07AE4" w:rsidRPr="00EA4E11">
        <w:t>patients</w:t>
      </w:r>
      <w:r w:rsidR="00E07AE4">
        <w:t xml:space="preserve"> undergoing surgery</w:t>
      </w:r>
    </w:p>
    <w:p w14:paraId="3B75DC41" w14:textId="14D617D0" w:rsidR="00175B8E" w:rsidRDefault="00175B8E" w:rsidP="005B21C2">
      <w:pPr>
        <w:pStyle w:val="BoxText"/>
        <w:rPr>
          <w:rFonts w:eastAsia="Arial Unicode MS"/>
          <w:lang w:val="en-GB" w:eastAsia="ja-JP"/>
        </w:rPr>
      </w:pPr>
      <w:r>
        <w:rPr>
          <w:rFonts w:eastAsia="Arial Unicode MS"/>
          <w:lang w:val="en-GB" w:eastAsia="ja-JP"/>
        </w:rPr>
        <w:t xml:space="preserve">The </w:t>
      </w:r>
      <w:r w:rsidRPr="005B21C2">
        <w:rPr>
          <w:rFonts w:eastAsia="Arial Unicode MS"/>
        </w:rPr>
        <w:t xml:space="preserve">effect of antifibrinolytics on mortality in </w:t>
      </w:r>
      <w:r w:rsidR="0084118A">
        <w:rPr>
          <w:rFonts w:eastAsia="Arial Unicode MS"/>
          <w:lang w:val="en-AU"/>
        </w:rPr>
        <w:t xml:space="preserve">neonatal and </w:t>
      </w:r>
      <w:r w:rsidRPr="005B21C2">
        <w:rPr>
          <w:rFonts w:eastAsia="Arial Unicode MS"/>
        </w:rPr>
        <w:t xml:space="preserve">paediatric patients is unknown. The included studies found no difference in mortality but were underpowered. </w:t>
      </w:r>
      <w:r w:rsidR="00E07AE4" w:rsidRPr="005B21C2">
        <w:rPr>
          <w:rFonts w:eastAsia="Arial Unicode MS"/>
        </w:rPr>
        <w:t>Effects on transfusion volume were as follows</w:t>
      </w:r>
      <w:r w:rsidR="00E07AE4">
        <w:rPr>
          <w:rFonts w:eastAsia="Arial Unicode MS"/>
          <w:lang w:val="en-GB" w:eastAsia="ja-JP"/>
        </w:rPr>
        <w:t>:</w:t>
      </w:r>
    </w:p>
    <w:p w14:paraId="338F86C0" w14:textId="77777777" w:rsidR="00175B8E" w:rsidRDefault="00175B8E" w:rsidP="005B21C2">
      <w:pPr>
        <w:pStyle w:val="BoxBullet"/>
        <w:rPr>
          <w:rFonts w:eastAsia="Arial Unicode MS"/>
        </w:rPr>
      </w:pPr>
      <w:r>
        <w:rPr>
          <w:rFonts w:eastAsia="Arial Unicode MS"/>
        </w:rPr>
        <w:t>In paediatric cardiac surgery, the use of antifibrinolytics reduced transfusion volume. The strong evidence in the adult cardiac surgery population provides additional support to the recommendation that paediatric patients undergoing cardiac surgery should receive TXA.</w:t>
      </w:r>
    </w:p>
    <w:p w14:paraId="24314520" w14:textId="77777777" w:rsidR="00175B8E" w:rsidRDefault="00175B8E" w:rsidP="005B21C2">
      <w:pPr>
        <w:pStyle w:val="BoxBullet"/>
        <w:rPr>
          <w:rFonts w:eastAsia="Arial Unicode MS"/>
        </w:rPr>
      </w:pPr>
      <w:r>
        <w:rPr>
          <w:rFonts w:eastAsia="Arial Unicode MS"/>
        </w:rPr>
        <w:t>In scoliosis surgery,</w:t>
      </w:r>
      <w:r w:rsidRPr="00A4255B">
        <w:rPr>
          <w:rFonts w:eastAsia="Arial Unicode MS"/>
        </w:rPr>
        <w:t xml:space="preserve"> </w:t>
      </w:r>
      <w:r>
        <w:rPr>
          <w:rFonts w:eastAsia="Arial Unicode MS"/>
        </w:rPr>
        <w:t>antifibrinolytics reduce transfusion volume. The reduction was clinically significant, and was similar for aprotinin, TXA and EACA.</w:t>
      </w:r>
    </w:p>
    <w:p w14:paraId="11359A25" w14:textId="77777777" w:rsidR="00175B8E" w:rsidRDefault="00175B8E" w:rsidP="005B21C2">
      <w:pPr>
        <w:pStyle w:val="BoxBullet"/>
        <w:rPr>
          <w:rFonts w:eastAsia="Arial Unicode MS"/>
        </w:rPr>
      </w:pPr>
      <w:r>
        <w:rPr>
          <w:rFonts w:eastAsia="Arial Unicode MS"/>
        </w:rPr>
        <w:t xml:space="preserve">In craniofacial surgery, aprotinin and TXA reduce transfusion volume. </w:t>
      </w:r>
    </w:p>
    <w:p w14:paraId="506735C9" w14:textId="77777777" w:rsidR="00175B8E" w:rsidRDefault="00175B8E" w:rsidP="005B21C2">
      <w:pPr>
        <w:pStyle w:val="BoxBullet"/>
        <w:rPr>
          <w:rFonts w:eastAsia="Arial Unicode MS"/>
        </w:rPr>
      </w:pPr>
      <w:r>
        <w:rPr>
          <w:rFonts w:eastAsia="Arial Unicode MS"/>
        </w:rPr>
        <w:t>In ENT surgery, topical TXA did not reduce transfusion incidence.</w:t>
      </w:r>
    </w:p>
    <w:p w14:paraId="228750A4" w14:textId="31366D10" w:rsidR="00175B8E" w:rsidRDefault="00175B8E" w:rsidP="005B21C2">
      <w:pPr>
        <w:pStyle w:val="BoxText"/>
        <w:rPr>
          <w:rFonts w:eastAsia="Arial Unicode MS"/>
        </w:rPr>
      </w:pPr>
      <w:r>
        <w:rPr>
          <w:rFonts w:eastAsia="Arial Unicode MS"/>
        </w:rPr>
        <w:t xml:space="preserve">There are dose-dependent safety concerns for the use of antifibrinolytic drugs in adults; these include increased mortality, renal dysfunction, thrombosis, seizures and hypersensitivity. It is uncertain whether these concerns extend to the paediatric population. Neonates and those with central venous access devices in place may be at increased risk of thrombosis. However, the studies </w:t>
      </w:r>
      <w:r w:rsidR="00FF1963">
        <w:rPr>
          <w:rFonts w:eastAsia="Arial Unicode MS"/>
        </w:rPr>
        <w:t xml:space="preserve">included in this review were </w:t>
      </w:r>
      <w:r>
        <w:rPr>
          <w:rFonts w:eastAsia="Arial Unicode MS"/>
        </w:rPr>
        <w:t xml:space="preserve">underpowered to determine the risk of these adverse events. </w:t>
      </w:r>
    </w:p>
    <w:p w14:paraId="3C2D5747" w14:textId="20C66AAE" w:rsidR="00175B8E" w:rsidRDefault="00175B8E" w:rsidP="005B21C2">
      <w:pPr>
        <w:pStyle w:val="BoxText"/>
        <w:rPr>
          <w:rFonts w:eastAsia="Arial Unicode MS"/>
        </w:rPr>
      </w:pPr>
      <w:r>
        <w:rPr>
          <w:rFonts w:eastAsia="Arial Unicode MS"/>
        </w:rPr>
        <w:t>A large retrospective cohort study in children undergoing congenital heart surgery did not find any difference in mortality or need for dialysis in children receiving aprotinin compared to those not receiving aprotinin.</w:t>
      </w:r>
      <w:hyperlink w:anchor="_ENREF_210" w:tooltip="Pasquali, 2012 #1121" w:history="1">
        <w:r w:rsidR="00E62798">
          <w:rPr>
            <w:rFonts w:eastAsia="Arial Unicode MS"/>
          </w:rPr>
          <w:fldChar w:fldCharType="begin">
            <w:fldData xml:space="preserve">PEVuZE5vdGU+PENpdGU+PEF1dGhvcj5QYXNxdWFsaTwvQXV0aG9yPjxZZWFyPjIwMTI8L1llYXI+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</w:fldData>
          </w:fldChar>
        </w:r>
        <w:r w:rsidR="00E62798">
          <w:rPr>
            <w:rFonts w:eastAsia="Arial Unicode MS"/>
          </w:rPr>
          <w:instrText xml:space="preserve"> ADDIN EN.CITE </w:instrText>
        </w:r>
        <w:r w:rsidR="00E62798">
          <w:rPr>
            <w:rFonts w:eastAsia="Arial Unicode MS"/>
          </w:rPr>
          <w:fldChar w:fldCharType="begin">
            <w:fldData xml:space="preserve">PEVuZE5vdGU+PENpdGU+PEF1dGhvcj5QYXNxdWFsaTwvQXV0aG9yPjxZZWFyPjIwMTI8L1llYXI+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</w:fldData>
          </w:fldChar>
        </w:r>
        <w:r w:rsidR="00E62798">
          <w:rPr>
            <w:rFonts w:eastAsia="Arial Unicode MS"/>
          </w:rPr>
          <w:instrText xml:space="preserve"> ADDIN EN.CITE.DATA </w:instrText>
        </w:r>
        <w:r w:rsidR="00E62798">
          <w:rPr>
            <w:rFonts w:eastAsia="Arial Unicode MS"/>
          </w:rPr>
        </w:r>
        <w:r w:rsidR="00E62798">
          <w:rPr>
            <w:rFonts w:eastAsia="Arial Unicode MS"/>
          </w:rPr>
          <w:fldChar w:fldCharType="end"/>
        </w:r>
        <w:r w:rsidR="00E62798">
          <w:rPr>
            <w:rFonts w:eastAsia="Arial Unicode MS"/>
          </w:rPr>
        </w:r>
        <w:r w:rsidR="00E62798">
          <w:rPr>
            <w:rFonts w:eastAsia="Arial Unicode MS"/>
          </w:rPr>
          <w:fldChar w:fldCharType="separate"/>
        </w:r>
        <w:r w:rsidR="00E62798" w:rsidRPr="00E62798">
          <w:rPr>
            <w:rFonts w:eastAsia="Arial Unicode MS"/>
            <w:noProof/>
            <w:vertAlign w:val="superscript"/>
          </w:rPr>
          <w:t>210</w:t>
        </w:r>
        <w:r w:rsidR="00E62798">
          <w:rPr>
            <w:rFonts w:eastAsia="Arial Unicode MS"/>
          </w:rPr>
          <w:fldChar w:fldCharType="end"/>
        </w:r>
      </w:hyperlink>
    </w:p>
    <w:p w14:paraId="327A255F" w14:textId="443559FF" w:rsidR="00175B8E" w:rsidRDefault="00175B8E" w:rsidP="005B21C2">
      <w:pPr>
        <w:pStyle w:val="BoxText"/>
        <w:rPr>
          <w:rFonts w:eastAsia="Arial Unicode MS"/>
        </w:rPr>
      </w:pPr>
      <w:r>
        <w:rPr>
          <w:rFonts w:eastAsia="Arial Unicode MS"/>
        </w:rPr>
        <w:t xml:space="preserve">Antifibrinolytics should be used at a dose that results in the </w:t>
      </w:r>
      <w:r w:rsidR="00E07AE4">
        <w:rPr>
          <w:rFonts w:eastAsia="Arial Unicode MS"/>
        </w:rPr>
        <w:t>greatest</w:t>
      </w:r>
      <w:r>
        <w:rPr>
          <w:rFonts w:eastAsia="Arial Unicode MS"/>
        </w:rPr>
        <w:t xml:space="preserve"> reduction of blood loss with the fewest side effects. The regimes of antifibrinolytics in this systematic review varied markedly between studies in dose, timing of boluses and use of infusions. There is little </w:t>
      </w:r>
      <w:r w:rsidR="00E07AE4">
        <w:rPr>
          <w:rFonts w:eastAsia="Arial Unicode MS"/>
        </w:rPr>
        <w:t>information on</w:t>
      </w:r>
      <w:r>
        <w:rPr>
          <w:rFonts w:eastAsia="Arial Unicode MS"/>
        </w:rPr>
        <w:t xml:space="preserve"> pharmacokinetics and pharmacodynamics of aprotinin in paediatrics. Data on TXA pharmacokinetics and dose required to inhibit hyperfibrinolysis in paediatrics are now emerging in craniofacial and cardiac surgery</w:t>
      </w:r>
      <w:r w:rsidR="00B1334F">
        <w:rPr>
          <w:rFonts w:eastAsia="Arial Unicode MS"/>
        </w:rPr>
        <w:t>.</w:t>
      </w:r>
      <w:hyperlink w:anchor="_ENREF_211" w:tooltip="Goobie, 2013 #1044" w:history="1">
        <w:r w:rsidR="00E62798">
          <w:rPr>
            <w:rFonts w:eastAsia="Arial Unicode MS"/>
          </w:rPr>
          <w:fldChar w:fldCharType="begin">
            <w:fldData xml:space="preserve">PEVuZE5vdGU+PENpdGU+PEF1dGhvcj5Hb29iaWU8L0F1dGhvcj48WWVhcj4yMDEzPC9ZZWFyPjxS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</w:fldData>
          </w:fldChar>
        </w:r>
        <w:r w:rsidR="00E62798">
          <w:rPr>
            <w:rFonts w:eastAsia="Arial Unicode MS"/>
          </w:rPr>
          <w:instrText xml:space="preserve"> ADDIN EN.CITE </w:instrText>
        </w:r>
        <w:r w:rsidR="00E62798">
          <w:rPr>
            <w:rFonts w:eastAsia="Arial Unicode MS"/>
          </w:rPr>
          <w:fldChar w:fldCharType="begin">
            <w:fldData xml:space="preserve">PEVuZE5vdGU+PENpdGU+PEF1dGhvcj5Hb29iaWU8L0F1dGhvcj48WWVhcj4yMDEzPC9ZZWFyPjxS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</w:fldData>
          </w:fldChar>
        </w:r>
        <w:r w:rsidR="00E62798">
          <w:rPr>
            <w:rFonts w:eastAsia="Arial Unicode MS"/>
          </w:rPr>
          <w:instrText xml:space="preserve"> ADDIN EN.CITE.DATA </w:instrText>
        </w:r>
        <w:r w:rsidR="00E62798">
          <w:rPr>
            <w:rFonts w:eastAsia="Arial Unicode MS"/>
          </w:rPr>
        </w:r>
        <w:r w:rsidR="00E62798">
          <w:rPr>
            <w:rFonts w:eastAsia="Arial Unicode MS"/>
          </w:rPr>
          <w:fldChar w:fldCharType="end"/>
        </w:r>
        <w:r w:rsidR="00E62798">
          <w:rPr>
            <w:rFonts w:eastAsia="Arial Unicode MS"/>
          </w:rPr>
        </w:r>
        <w:r w:rsidR="00E62798">
          <w:rPr>
            <w:rFonts w:eastAsia="Arial Unicode MS"/>
          </w:rPr>
          <w:fldChar w:fldCharType="separate"/>
        </w:r>
        <w:r w:rsidR="00E62798" w:rsidRPr="00E62798">
          <w:rPr>
            <w:rFonts w:eastAsia="Arial Unicode MS"/>
            <w:noProof/>
            <w:vertAlign w:val="superscript"/>
          </w:rPr>
          <w:t>211-212</w:t>
        </w:r>
        <w:r w:rsidR="00E62798">
          <w:rPr>
            <w:rFonts w:eastAsia="Arial Unicode MS"/>
          </w:rPr>
          <w:fldChar w:fldCharType="end"/>
        </w:r>
      </w:hyperlink>
      <w:r w:rsidR="00B1334F">
        <w:rPr>
          <w:rFonts w:eastAsia="Arial Unicode MS"/>
        </w:rPr>
        <w:t xml:space="preserve"> </w:t>
      </w:r>
      <w:r>
        <w:rPr>
          <w:rFonts w:eastAsia="Arial Unicode MS"/>
        </w:rPr>
        <w:t xml:space="preserve">Future dose </w:t>
      </w:r>
      <w:r w:rsidR="00093A02">
        <w:rPr>
          <w:rFonts w:eastAsia="Arial Unicode MS"/>
          <w:lang w:val="en-AU"/>
        </w:rPr>
        <w:t>regimens</w:t>
      </w:r>
      <w:r w:rsidR="00093A02">
        <w:rPr>
          <w:rFonts w:eastAsia="Arial Unicode MS"/>
        </w:rPr>
        <w:t xml:space="preserve"> </w:t>
      </w:r>
      <w:r>
        <w:rPr>
          <w:rFonts w:eastAsia="Arial Unicode MS"/>
        </w:rPr>
        <w:t xml:space="preserve">will </w:t>
      </w:r>
      <w:r w:rsidR="00E07AE4">
        <w:rPr>
          <w:rFonts w:eastAsia="Arial Unicode MS"/>
        </w:rPr>
        <w:t>probably</w:t>
      </w:r>
      <w:r>
        <w:rPr>
          <w:rFonts w:eastAsia="Arial Unicode MS"/>
        </w:rPr>
        <w:t xml:space="preserve"> be based on age and weight.</w:t>
      </w:r>
    </w:p>
    <w:p w14:paraId="12F87A8B" w14:textId="77777777" w:rsidR="00175B8E" w:rsidRDefault="00175B8E" w:rsidP="00175B8E">
      <w:pPr>
        <w:spacing w:after="200" w:line="276" w:lineRule="auto"/>
        <w:rPr>
          <w:rFonts w:asciiTheme="minorHAnsi" w:eastAsia="Arial Unicode MS" w:hAnsiTheme="minorHAnsi" w:cstheme="minorHAnsi"/>
          <w:bCs/>
          <w:lang w:val="en-GB" w:eastAsia="ja-JP"/>
        </w:rPr>
      </w:pPr>
    </w:p>
    <w:p w14:paraId="6181CF7B" w14:textId="3C9543B1" w:rsidR="00175B8E" w:rsidRPr="00E07AE4" w:rsidRDefault="00E07AE4" w:rsidP="00E07AE4">
      <w:pPr>
        <w:pStyle w:val="Heading3"/>
        <w:rPr>
          <w:lang w:val="en-AU"/>
        </w:rPr>
      </w:pPr>
      <w:bookmarkStart w:id="176" w:name="_Toc427851363"/>
      <w:r>
        <w:rPr>
          <w:lang w:val="en-AU"/>
        </w:rPr>
        <w:t>3.5.9</w:t>
      </w:r>
      <w:r>
        <w:rPr>
          <w:lang w:val="en-AU"/>
        </w:rPr>
        <w:tab/>
        <w:t>N</w:t>
      </w:r>
      <w:r w:rsidRPr="00EA4E11">
        <w:rPr>
          <w:rFonts w:cs="Tahoma"/>
          <w:szCs w:val="21"/>
          <w:lang w:val="en-GB" w:eastAsia="en-GB"/>
        </w:rPr>
        <w:t xml:space="preserve">eonatal </w:t>
      </w:r>
      <w:r>
        <w:rPr>
          <w:rFonts w:cs="Tahoma"/>
          <w:szCs w:val="21"/>
          <w:lang w:val="en-GB" w:eastAsia="en-GB"/>
        </w:rPr>
        <w:t xml:space="preserve">and paediatric </w:t>
      </w:r>
      <w:r w:rsidRPr="00EA4E11">
        <w:rPr>
          <w:rFonts w:cs="Tahoma"/>
          <w:szCs w:val="21"/>
          <w:lang w:val="en-GB" w:eastAsia="en-GB"/>
        </w:rPr>
        <w:t>patients</w:t>
      </w:r>
      <w:r>
        <w:rPr>
          <w:rFonts w:cs="Tahoma"/>
          <w:szCs w:val="21"/>
          <w:lang w:val="en-GB" w:eastAsia="en-GB"/>
        </w:rPr>
        <w:t xml:space="preserve"> undergoing surgery</w:t>
      </w:r>
      <w:r>
        <w:t xml:space="preserve"> </w:t>
      </w:r>
      <w:r>
        <w:rPr>
          <w:lang w:val="en-AU"/>
        </w:rPr>
        <w:t xml:space="preserve">– effects of </w:t>
      </w:r>
      <w:r w:rsidR="0084118A">
        <w:rPr>
          <w:lang w:val="en-AU"/>
        </w:rPr>
        <w:t>rF</w:t>
      </w:r>
      <w:r w:rsidR="00175B8E">
        <w:t>VII</w:t>
      </w:r>
      <w:r w:rsidR="0084118A">
        <w:rPr>
          <w:lang w:val="en-AU"/>
        </w:rPr>
        <w:t>a</w:t>
      </w:r>
      <w:r>
        <w:rPr>
          <w:lang w:val="en-AU"/>
        </w:rPr>
        <w:t xml:space="preserve"> on outcomes</w:t>
      </w:r>
      <w:bookmarkEnd w:id="176"/>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601"/>
        <w:gridCol w:w="810"/>
        <w:gridCol w:w="809"/>
        <w:gridCol w:w="809"/>
        <w:gridCol w:w="809"/>
        <w:gridCol w:w="810"/>
      </w:tblGrid>
      <w:tr w:rsidR="00175B8E" w14:paraId="3CCE1457"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4C01893C" w14:textId="4552BDBC" w:rsidR="00175B8E" w:rsidRDefault="00175B8E" w:rsidP="0007284D">
            <w:pPr>
              <w:pStyle w:val="PP-heading"/>
              <w:spacing w:line="276" w:lineRule="auto"/>
              <w:rPr>
                <w:lang w:val="en-US" w:eastAsia="en-US"/>
              </w:rPr>
            </w:pPr>
            <w:r>
              <w:rPr>
                <w:lang w:val="en-US" w:eastAsia="en-US"/>
              </w:rPr>
              <w:t xml:space="preserve">Evidence statements – </w:t>
            </w:r>
            <w:r w:rsidR="0007284D">
              <w:rPr>
                <w:lang w:val="en-US" w:eastAsia="en-US"/>
              </w:rPr>
              <w:t>surgical (r</w:t>
            </w:r>
            <w:r w:rsidR="0084118A">
              <w:rPr>
                <w:lang w:val="en-US" w:eastAsia="en-US"/>
              </w:rPr>
              <w:t>F</w:t>
            </w:r>
            <w:r>
              <w:rPr>
                <w:lang w:val="en-US" w:eastAsia="en-US"/>
              </w:rPr>
              <w:t>VIIa</w:t>
            </w:r>
            <w:r w:rsidR="0007284D">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1FA9DAF"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6802914"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DB4AA52"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6F7059F"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D9F8C17"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29C7DAFA"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8EF1A1B" w14:textId="77777777" w:rsidR="00175B8E" w:rsidRDefault="00175B8E" w:rsidP="0007284D">
            <w:pPr>
              <w:pStyle w:val="Tabletextnoindent"/>
              <w:keepNext w:val="0"/>
              <w:numPr>
                <w:ilvl w:val="0"/>
                <w:numId w:val="0"/>
              </w:numPr>
              <w:spacing w:line="276" w:lineRule="auto"/>
              <w:rPr>
                <w:lang w:val="en-US" w:eastAsia="en-US"/>
              </w:rPr>
            </w:pPr>
            <w:r w:rsidRPr="00B0112A">
              <w:t>ES4.34</w:t>
            </w:r>
          </w:p>
        </w:tc>
        <w:tc>
          <w:tcPr>
            <w:tcW w:w="3601" w:type="dxa"/>
            <w:tcBorders>
              <w:top w:val="single" w:sz="4" w:space="0" w:color="000000"/>
              <w:left w:val="single" w:sz="4" w:space="0" w:color="000000"/>
              <w:bottom w:val="single" w:sz="4" w:space="0" w:color="000000"/>
              <w:right w:val="single" w:sz="4" w:space="0" w:color="000000"/>
            </w:tcBorders>
            <w:hideMark/>
          </w:tcPr>
          <w:p w14:paraId="17C9691C" w14:textId="77777777" w:rsidR="00175B8E" w:rsidRDefault="00175B8E" w:rsidP="0007284D">
            <w:pPr>
              <w:pStyle w:val="ES-table"/>
              <w:keepNext w:val="0"/>
              <w:spacing w:line="276" w:lineRule="auto"/>
              <w:rPr>
                <w:rFonts w:eastAsia="Arial Unicode MS" w:cs="Arial"/>
                <w:color w:val="auto"/>
                <w:lang w:val="en-US" w:eastAsia="ja-JP"/>
              </w:rPr>
            </w:pPr>
            <w:r>
              <w:rPr>
                <w:lang w:val="en-US" w:eastAsia="en-US"/>
              </w:rPr>
              <w:t>In infants aged &lt;1 year requiring cardiac surgery with CPB, the effect of prophylactic rFVIIa compared with no rFVIIa on mortality is uncertain.</w:t>
            </w:r>
          </w:p>
          <w:p w14:paraId="24D20ED8" w14:textId="77777777" w:rsidR="00175B8E" w:rsidRDefault="00175B8E" w:rsidP="0007284D">
            <w:pPr>
              <w:pStyle w:val="ES-notes"/>
              <w:keepNext w:val="0"/>
              <w:spacing w:line="276" w:lineRule="auto"/>
              <w:rPr>
                <w:lang w:val="en-US" w:eastAsia="en-US"/>
              </w:rPr>
            </w:pPr>
            <w:r>
              <w:rPr>
                <w:lang w:val="en-US" w:eastAsia="en-US"/>
              </w:rPr>
              <w:t>(See evidence matrix D4.V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29904CBC"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1FDCA117"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6E1CAC32"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D06E6E2"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6CD45B84"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r>
      <w:tr w:rsidR="00175B8E" w14:paraId="3DAA4FBB"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732884C1" w14:textId="77777777" w:rsidR="00175B8E" w:rsidRDefault="00175B8E" w:rsidP="0007284D">
            <w:pPr>
              <w:pStyle w:val="Tabletextnoindent"/>
              <w:keepNext w:val="0"/>
              <w:numPr>
                <w:ilvl w:val="0"/>
                <w:numId w:val="0"/>
              </w:numPr>
              <w:spacing w:line="276" w:lineRule="auto"/>
              <w:rPr>
                <w:lang w:val="en-US" w:eastAsia="en-US"/>
              </w:rPr>
            </w:pPr>
            <w:r w:rsidRPr="00B0112A">
              <w:t>ES4.35</w:t>
            </w:r>
          </w:p>
        </w:tc>
        <w:tc>
          <w:tcPr>
            <w:tcW w:w="3601" w:type="dxa"/>
            <w:tcBorders>
              <w:top w:val="single" w:sz="4" w:space="0" w:color="000000"/>
              <w:left w:val="single" w:sz="4" w:space="0" w:color="000000"/>
              <w:bottom w:val="single" w:sz="4" w:space="0" w:color="000000"/>
              <w:right w:val="single" w:sz="4" w:space="0" w:color="000000"/>
            </w:tcBorders>
            <w:hideMark/>
          </w:tcPr>
          <w:p w14:paraId="7479DB71" w14:textId="77777777" w:rsidR="00175B8E" w:rsidRDefault="00175B8E" w:rsidP="0007284D">
            <w:pPr>
              <w:pStyle w:val="ES-table"/>
              <w:keepNext w:val="0"/>
              <w:spacing w:line="276" w:lineRule="auto"/>
              <w:rPr>
                <w:rFonts w:eastAsiaTheme="minorHAnsi"/>
                <w:lang w:val="en-US" w:eastAsia="en-US"/>
              </w:rPr>
            </w:pPr>
            <w:r>
              <w:rPr>
                <w:lang w:val="en-US" w:eastAsia="en-US"/>
              </w:rPr>
              <w:t>In paediatric patients aged &gt;1 year undergoing cardiac surgery, the effect of rFVIIa compared with no rFVIIa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01E47DA8"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5B55665"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8C03BA9"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1BD7A24" w14:textId="77777777" w:rsidR="00175B8E" w:rsidRDefault="00175B8E" w:rsidP="0007284D">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6D03964F" w14:textId="77777777" w:rsidR="00175B8E" w:rsidRDefault="00175B8E" w:rsidP="0007284D">
            <w:pPr>
              <w:pStyle w:val="T-ABCD"/>
              <w:spacing w:line="276" w:lineRule="auto"/>
              <w:rPr>
                <w:lang w:val="en-US" w:eastAsia="en-US"/>
              </w:rPr>
            </w:pPr>
            <w:r>
              <w:rPr>
                <w:lang w:val="en-US" w:eastAsia="en-US"/>
              </w:rPr>
              <w:t xml:space="preserve">NA </w:t>
            </w:r>
          </w:p>
        </w:tc>
      </w:tr>
      <w:tr w:rsidR="00175B8E" w14:paraId="26EE5A5B"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9C19CAA" w14:textId="77777777" w:rsidR="00175B8E" w:rsidRDefault="00175B8E" w:rsidP="0007284D">
            <w:pPr>
              <w:pStyle w:val="Tabletextnoindent"/>
              <w:keepNext w:val="0"/>
              <w:numPr>
                <w:ilvl w:val="0"/>
                <w:numId w:val="0"/>
              </w:numPr>
              <w:spacing w:line="276" w:lineRule="auto"/>
              <w:rPr>
                <w:lang w:val="en-US" w:eastAsia="en-US"/>
              </w:rPr>
            </w:pPr>
            <w:r w:rsidRPr="00B0112A">
              <w:t>ES4.36</w:t>
            </w:r>
          </w:p>
        </w:tc>
        <w:tc>
          <w:tcPr>
            <w:tcW w:w="3601" w:type="dxa"/>
            <w:tcBorders>
              <w:top w:val="single" w:sz="4" w:space="0" w:color="000000"/>
              <w:left w:val="single" w:sz="4" w:space="0" w:color="000000"/>
              <w:bottom w:val="single" w:sz="4" w:space="0" w:color="000000"/>
              <w:right w:val="single" w:sz="4" w:space="0" w:color="000000"/>
            </w:tcBorders>
            <w:hideMark/>
          </w:tcPr>
          <w:p w14:paraId="23A3F688" w14:textId="77777777" w:rsidR="00175B8E" w:rsidRDefault="00175B8E" w:rsidP="0007284D">
            <w:pPr>
              <w:pStyle w:val="ES-table"/>
              <w:keepNext w:val="0"/>
              <w:spacing w:line="276" w:lineRule="auto"/>
              <w:rPr>
                <w:rFonts w:eastAsia="Arial Unicode MS" w:cs="Arial"/>
                <w:color w:val="auto"/>
                <w:lang w:val="en-US" w:eastAsia="ja-JP"/>
              </w:rPr>
            </w:pPr>
            <w:r>
              <w:rPr>
                <w:lang w:val="en-US" w:eastAsia="en-US"/>
              </w:rPr>
              <w:t xml:space="preserve">In infants aged &lt;1 year requiring cardiac surgery with CPB, the effect of prophylactic rFVIIa compared with no rFVIIa on transfusion incidence is uncertain. </w:t>
            </w:r>
          </w:p>
          <w:p w14:paraId="643591E7" w14:textId="77777777" w:rsidR="00175B8E" w:rsidRDefault="00175B8E" w:rsidP="0007284D">
            <w:pPr>
              <w:pStyle w:val="ES-notes"/>
              <w:keepNext w:val="0"/>
              <w:spacing w:line="276" w:lineRule="auto"/>
              <w:rPr>
                <w:lang w:val="en-US" w:eastAsia="en-US"/>
              </w:rPr>
            </w:pPr>
            <w:r>
              <w:rPr>
                <w:lang w:val="en-US" w:eastAsia="en-US"/>
              </w:rPr>
              <w:t>(See evidence matrix D4.W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762B243B"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7019D90D"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AA8BE09" w14:textId="77777777" w:rsidR="00175B8E" w:rsidRDefault="00175B8E" w:rsidP="0007284D">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68F31EB"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5E7AC542" w14:textId="77777777" w:rsidR="00175B8E" w:rsidRDefault="00175B8E" w:rsidP="0007284D">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r>
      <w:tr w:rsidR="00175B8E" w14:paraId="59F5EABB"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210D25AF" w14:textId="77777777" w:rsidR="00175B8E" w:rsidRDefault="00175B8E" w:rsidP="00175B8E">
            <w:pPr>
              <w:pStyle w:val="Tabletextnoindent"/>
              <w:numPr>
                <w:ilvl w:val="0"/>
                <w:numId w:val="0"/>
              </w:numPr>
              <w:spacing w:line="276" w:lineRule="auto"/>
              <w:rPr>
                <w:lang w:val="en-US" w:eastAsia="en-US"/>
              </w:rPr>
            </w:pPr>
            <w:r w:rsidRPr="00B0112A">
              <w:t>ES4.37</w:t>
            </w:r>
          </w:p>
        </w:tc>
        <w:tc>
          <w:tcPr>
            <w:tcW w:w="3601" w:type="dxa"/>
            <w:tcBorders>
              <w:top w:val="single" w:sz="4" w:space="0" w:color="000000"/>
              <w:left w:val="single" w:sz="4" w:space="0" w:color="000000"/>
              <w:bottom w:val="single" w:sz="4" w:space="0" w:color="000000"/>
              <w:right w:val="single" w:sz="4" w:space="0" w:color="000000"/>
            </w:tcBorders>
            <w:hideMark/>
          </w:tcPr>
          <w:p w14:paraId="106B6F23" w14:textId="77777777" w:rsidR="00175B8E" w:rsidRDefault="00175B8E" w:rsidP="00175B8E">
            <w:pPr>
              <w:pStyle w:val="ES-table"/>
              <w:spacing w:line="276" w:lineRule="auto"/>
              <w:rPr>
                <w:rFonts w:eastAsiaTheme="minorHAnsi"/>
                <w:lang w:val="en-US" w:eastAsia="en-US"/>
              </w:rPr>
            </w:pPr>
            <w:r>
              <w:rPr>
                <w:lang w:val="en-US" w:eastAsia="en-US"/>
              </w:rPr>
              <w:t>In paediatric patients aged &gt;1 year undergoing cardiac surgery, the effect of rFVIIa compared with no rFVIIa on transfusion volume and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04934CEA"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1FA4D27"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A6EA816"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2332272"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1EBD29B6" w14:textId="77777777" w:rsidR="00175B8E" w:rsidRDefault="00175B8E" w:rsidP="00175B8E">
            <w:pPr>
              <w:pStyle w:val="T-ABCD"/>
              <w:spacing w:line="276" w:lineRule="auto"/>
              <w:rPr>
                <w:lang w:val="en-US" w:eastAsia="en-US"/>
              </w:rPr>
            </w:pPr>
            <w:r>
              <w:rPr>
                <w:lang w:val="en-US" w:eastAsia="en-US"/>
              </w:rPr>
              <w:t xml:space="preserve">NA </w:t>
            </w:r>
          </w:p>
        </w:tc>
      </w:tr>
      <w:tr w:rsidR="00175B8E" w14:paraId="22F5A9EA"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A3AE9F1" w14:textId="77777777" w:rsidR="00175B8E" w:rsidRDefault="00175B8E" w:rsidP="00175B8E">
            <w:pPr>
              <w:pStyle w:val="Tabletextnoindent"/>
              <w:numPr>
                <w:ilvl w:val="0"/>
                <w:numId w:val="0"/>
              </w:numPr>
              <w:spacing w:line="276" w:lineRule="auto"/>
              <w:rPr>
                <w:lang w:val="en-US" w:eastAsia="en-US"/>
              </w:rPr>
            </w:pPr>
            <w:r w:rsidRPr="00B0112A">
              <w:t>ES4.38</w:t>
            </w:r>
          </w:p>
        </w:tc>
        <w:tc>
          <w:tcPr>
            <w:tcW w:w="3601" w:type="dxa"/>
            <w:tcBorders>
              <w:top w:val="single" w:sz="4" w:space="0" w:color="000000"/>
              <w:left w:val="single" w:sz="4" w:space="0" w:color="000000"/>
              <w:bottom w:val="single" w:sz="4" w:space="0" w:color="000000"/>
              <w:right w:val="single" w:sz="4" w:space="0" w:color="000000"/>
            </w:tcBorders>
            <w:hideMark/>
          </w:tcPr>
          <w:p w14:paraId="512D8C81" w14:textId="77777777" w:rsidR="00175B8E" w:rsidRDefault="00175B8E" w:rsidP="00175B8E">
            <w:pPr>
              <w:pStyle w:val="ES-table"/>
              <w:spacing w:line="276" w:lineRule="auto"/>
              <w:rPr>
                <w:rFonts w:eastAsia="Arial Unicode MS" w:cs="Arial"/>
                <w:color w:val="auto"/>
                <w:lang w:val="en-US" w:eastAsia="ja-JP"/>
              </w:rPr>
            </w:pPr>
            <w:r>
              <w:rPr>
                <w:lang w:val="en-US" w:eastAsia="en-US"/>
              </w:rPr>
              <w:t>In infants aged &lt;1 year requiring cardiac surgery with CPB, the effect of prophylactic rFVIIa compared with no rFVIIa on thromboembolic events is uncertain.</w:t>
            </w:r>
          </w:p>
          <w:p w14:paraId="5B74156A" w14:textId="77777777" w:rsidR="00175B8E" w:rsidRDefault="00175B8E" w:rsidP="00175B8E">
            <w:pPr>
              <w:pStyle w:val="ES-notes"/>
              <w:spacing w:line="276" w:lineRule="auto"/>
              <w:rPr>
                <w:lang w:val="en-US" w:eastAsia="en-US"/>
              </w:rPr>
            </w:pPr>
            <w:r>
              <w:rPr>
                <w:lang w:val="en-US" w:eastAsia="en-US"/>
              </w:rPr>
              <w:t>(See evidence matrix D4.X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0F667A92"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6978FE91"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61CADE1C"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EB7C56B"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2B1D6D45"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r>
      <w:tr w:rsidR="00175B8E" w14:paraId="7A500B06"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584322D" w14:textId="77777777" w:rsidR="00175B8E" w:rsidRDefault="00175B8E" w:rsidP="00175B8E">
            <w:pPr>
              <w:pStyle w:val="Tabletextnoindent"/>
              <w:numPr>
                <w:ilvl w:val="0"/>
                <w:numId w:val="0"/>
              </w:numPr>
              <w:spacing w:line="276" w:lineRule="auto"/>
              <w:rPr>
                <w:lang w:val="en-US" w:eastAsia="en-US"/>
              </w:rPr>
            </w:pPr>
            <w:r w:rsidRPr="00B0112A">
              <w:t>ES4.39</w:t>
            </w:r>
          </w:p>
        </w:tc>
        <w:tc>
          <w:tcPr>
            <w:tcW w:w="3601" w:type="dxa"/>
            <w:tcBorders>
              <w:top w:val="single" w:sz="4" w:space="0" w:color="000000"/>
              <w:left w:val="single" w:sz="4" w:space="0" w:color="000000"/>
              <w:bottom w:val="single" w:sz="4" w:space="0" w:color="000000"/>
              <w:right w:val="single" w:sz="4" w:space="0" w:color="000000"/>
            </w:tcBorders>
            <w:hideMark/>
          </w:tcPr>
          <w:p w14:paraId="7B85BCB7" w14:textId="77777777" w:rsidR="00175B8E" w:rsidRDefault="00175B8E" w:rsidP="00175B8E">
            <w:pPr>
              <w:pStyle w:val="ES-table"/>
              <w:spacing w:line="276" w:lineRule="auto"/>
              <w:rPr>
                <w:rFonts w:eastAsiaTheme="minorHAnsi"/>
                <w:lang w:val="en-US" w:eastAsia="en-US"/>
              </w:rPr>
            </w:pPr>
            <w:r>
              <w:rPr>
                <w:lang w:val="en-US" w:eastAsia="en-US"/>
              </w:rPr>
              <w:t>In paediatric patients aged &gt;1 year undergoing cardiac surgery, the effect of rFVIIa compared with no rFVIIa on thromboembolic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54A5A68D"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71F3429D"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C4F879C"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21227D7"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7D8F3779"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2489204"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6BC3DEF0" w14:textId="77777777" w:rsidR="00175B8E" w:rsidRDefault="00175B8E" w:rsidP="00175B8E">
            <w:pPr>
              <w:pStyle w:val="Tabletextnoindent"/>
              <w:numPr>
                <w:ilvl w:val="0"/>
                <w:numId w:val="0"/>
              </w:numPr>
              <w:spacing w:line="276" w:lineRule="auto"/>
              <w:rPr>
                <w:lang w:val="en-US" w:eastAsia="en-US"/>
              </w:rPr>
            </w:pPr>
            <w:r w:rsidRPr="00B0112A">
              <w:t>ES4.40</w:t>
            </w:r>
          </w:p>
        </w:tc>
        <w:tc>
          <w:tcPr>
            <w:tcW w:w="3601" w:type="dxa"/>
            <w:tcBorders>
              <w:top w:val="single" w:sz="4" w:space="0" w:color="000000"/>
              <w:left w:val="single" w:sz="4" w:space="0" w:color="000000"/>
              <w:bottom w:val="single" w:sz="4" w:space="0" w:color="000000"/>
              <w:right w:val="single" w:sz="4" w:space="0" w:color="000000"/>
            </w:tcBorders>
            <w:hideMark/>
          </w:tcPr>
          <w:p w14:paraId="544C7D78" w14:textId="77777777" w:rsidR="00175B8E" w:rsidRDefault="00175B8E" w:rsidP="00175B8E">
            <w:pPr>
              <w:pStyle w:val="ES-table"/>
              <w:spacing w:line="276" w:lineRule="auto"/>
              <w:rPr>
                <w:rFonts w:eastAsiaTheme="minorHAnsi"/>
                <w:lang w:val="en-US" w:eastAsia="en-US"/>
              </w:rPr>
            </w:pPr>
            <w:r>
              <w:rPr>
                <w:lang w:val="en-US" w:eastAsia="en-US"/>
              </w:rPr>
              <w:t>In paediatric patients undergoing cardiac surgery, the effect of rFVIIa compared with no rFVIIa on bleeding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15764E2C"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76A19ED6"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1576211"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059F66E"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164F7BAE" w14:textId="77777777" w:rsidR="00175B8E" w:rsidRDefault="00175B8E" w:rsidP="00175B8E">
            <w:pPr>
              <w:pStyle w:val="T-ABCD"/>
              <w:spacing w:line="276" w:lineRule="auto"/>
              <w:rPr>
                <w:lang w:val="en-US" w:eastAsia="en-US"/>
              </w:rPr>
            </w:pPr>
            <w:r>
              <w:rPr>
                <w:lang w:val="en-US" w:eastAsia="en-US"/>
              </w:rPr>
              <w:t xml:space="preserve">NA </w:t>
            </w:r>
          </w:p>
        </w:tc>
      </w:tr>
      <w:tr w:rsidR="00175B8E" w14:paraId="35855C34"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35165018" w14:textId="1245A65F" w:rsidR="00175B8E" w:rsidRDefault="00175B8E" w:rsidP="00175B8E">
            <w:pPr>
              <w:pStyle w:val="ES-notes"/>
              <w:spacing w:line="276" w:lineRule="auto"/>
              <w:rPr>
                <w:rFonts w:eastAsiaTheme="minorHAnsi"/>
                <w:lang w:val="en-US" w:eastAsia="en-US"/>
              </w:rPr>
            </w:pPr>
            <w:r>
              <w:rPr>
                <w:lang w:val="en-US" w:eastAsia="en-US"/>
              </w:rPr>
              <w:t xml:space="preserve">CPB, cardiopulmonary bypass; ES, evidence statement; rFVIIa, recombinant </w:t>
            </w:r>
            <w:r w:rsidR="0084118A">
              <w:rPr>
                <w:lang w:val="en-US" w:eastAsia="en-US"/>
              </w:rPr>
              <w:t xml:space="preserve">activated </w:t>
            </w:r>
            <w:r>
              <w:rPr>
                <w:lang w:val="en-US" w:eastAsia="en-US"/>
              </w:rPr>
              <w:t>factor VII</w:t>
            </w:r>
          </w:p>
          <w:p w14:paraId="340B6DF0"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582F0813" w14:textId="77777777" w:rsidR="00175B8E" w:rsidRDefault="00175B8E" w:rsidP="0007284D"/>
    <w:tbl>
      <w:tblPr>
        <w:tblW w:w="8648" w:type="dxa"/>
        <w:tblInd w:w="81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7513"/>
      </w:tblGrid>
      <w:tr w:rsidR="00175B8E" w14:paraId="33E18864"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00B0F0"/>
            <w:hideMark/>
          </w:tcPr>
          <w:p w14:paraId="1F55A682" w14:textId="150C5285" w:rsidR="00175B8E" w:rsidRDefault="00175B8E" w:rsidP="0007284D">
            <w:pPr>
              <w:pStyle w:val="Recommendation"/>
              <w:keepLines/>
              <w:spacing w:line="276" w:lineRule="auto"/>
              <w:rPr>
                <w:rFonts w:eastAsia="Times New Roman"/>
              </w:rPr>
            </w:pPr>
            <w:r>
              <w:t xml:space="preserve">Recommendation – </w:t>
            </w:r>
            <w:r w:rsidR="0007284D">
              <w:rPr>
                <w:lang w:val="en-US" w:eastAsia="en-US"/>
              </w:rPr>
              <w:t>surgical (</w:t>
            </w:r>
            <w:r w:rsidR="0084118A">
              <w:rPr>
                <w:lang w:val="en-US" w:eastAsia="en-US"/>
              </w:rPr>
              <w:t>rFV</w:t>
            </w:r>
            <w:r w:rsidR="0007284D">
              <w:rPr>
                <w:lang w:val="en-US" w:eastAsia="en-US"/>
              </w:rPr>
              <w:t>IIa)</w:t>
            </w:r>
          </w:p>
        </w:tc>
      </w:tr>
      <w:tr w:rsidR="00175B8E" w14:paraId="0F1DA717"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4C24E125" w14:textId="14C68126" w:rsidR="00175B8E" w:rsidRDefault="00175B8E" w:rsidP="0084118A">
            <w:pPr>
              <w:pStyle w:val="PP"/>
              <w:keepNext/>
              <w:keepLines/>
            </w:pPr>
            <w:r>
              <w:t>R12</w:t>
            </w:r>
            <w:r w:rsidR="0084118A" w:rsidDel="0084118A">
              <w:t xml:space="preserve"> </w:t>
            </w:r>
            <w:r w:rsidR="0084118A">
              <w:br/>
            </w:r>
            <w:r>
              <w:t>(Grade C)</w:t>
            </w:r>
          </w:p>
        </w:tc>
        <w:tc>
          <w:tcPr>
            <w:tcW w:w="7513" w:type="dxa"/>
            <w:tcBorders>
              <w:top w:val="single" w:sz="4" w:space="0" w:color="000000"/>
              <w:left w:val="single" w:sz="4" w:space="0" w:color="auto"/>
              <w:bottom w:val="single" w:sz="4" w:space="0" w:color="000000"/>
              <w:right w:val="single" w:sz="4" w:space="0" w:color="000000"/>
            </w:tcBorders>
            <w:hideMark/>
          </w:tcPr>
          <w:p w14:paraId="3DDE2AD3" w14:textId="1E555790" w:rsidR="00175B8E" w:rsidRDefault="00175B8E" w:rsidP="0084118A">
            <w:pPr>
              <w:pStyle w:val="PP"/>
              <w:keepNext/>
              <w:keepLines/>
            </w:pPr>
            <w:r>
              <w:t xml:space="preserve">In paediatric patients undergoing cardiac surgery with </w:t>
            </w:r>
            <w:r w:rsidR="0084118A">
              <w:rPr>
                <w:lang w:val="en-AU"/>
              </w:rPr>
              <w:t xml:space="preserve">CPB, </w:t>
            </w:r>
            <w:r>
              <w:t xml:space="preserve">the </w:t>
            </w:r>
            <w:r>
              <w:rPr>
                <w:i/>
              </w:rPr>
              <w:t xml:space="preserve">routine </w:t>
            </w:r>
            <w:r>
              <w:t xml:space="preserve">use of rFVIIa is not recommended. </w:t>
            </w:r>
          </w:p>
        </w:tc>
      </w:tr>
      <w:tr w:rsidR="00175B8E" w14:paraId="23192BB2" w14:textId="77777777" w:rsidTr="00467EEA">
        <w:tc>
          <w:tcPr>
            <w:tcW w:w="8648" w:type="dxa"/>
            <w:gridSpan w:val="2"/>
            <w:tcBorders>
              <w:top w:val="single" w:sz="4" w:space="0" w:color="000000"/>
              <w:left w:val="single" w:sz="4" w:space="0" w:color="000000"/>
              <w:bottom w:val="single" w:sz="4" w:space="0" w:color="000000"/>
              <w:right w:val="single" w:sz="4" w:space="0" w:color="000000"/>
            </w:tcBorders>
            <w:shd w:val="clear" w:color="auto" w:fill="ABE9FF"/>
            <w:hideMark/>
          </w:tcPr>
          <w:p w14:paraId="2F9FDE20" w14:textId="4B0CF119" w:rsidR="00175B8E" w:rsidRDefault="000E35F6" w:rsidP="0007284D">
            <w:pPr>
              <w:pStyle w:val="PP-heading"/>
              <w:keepLines/>
              <w:spacing w:line="276" w:lineRule="auto"/>
              <w:rPr>
                <w:lang w:val="en-US" w:eastAsia="en-US"/>
              </w:rPr>
            </w:pPr>
            <w:r>
              <w:rPr>
                <w:lang w:val="en-US" w:eastAsia="en-US"/>
              </w:rPr>
              <w:t>Practice point</w:t>
            </w:r>
            <w:r w:rsidR="00175B8E">
              <w:rPr>
                <w:lang w:val="en-US" w:eastAsia="en-US"/>
              </w:rPr>
              <w:t xml:space="preserve"> –</w:t>
            </w:r>
            <w:r w:rsidR="005E2FA0">
              <w:t xml:space="preserve"> </w:t>
            </w:r>
            <w:r w:rsidR="0007284D">
              <w:rPr>
                <w:lang w:val="en-US" w:eastAsia="en-US"/>
              </w:rPr>
              <w:t>surgical (</w:t>
            </w:r>
            <w:r w:rsidR="0084118A">
              <w:rPr>
                <w:lang w:val="en-US" w:eastAsia="en-US"/>
              </w:rPr>
              <w:t>rFV</w:t>
            </w:r>
            <w:r w:rsidR="0007284D">
              <w:rPr>
                <w:lang w:val="en-US" w:eastAsia="en-US"/>
              </w:rPr>
              <w:t>IIa)</w:t>
            </w:r>
          </w:p>
        </w:tc>
      </w:tr>
      <w:tr w:rsidR="00175B8E" w14:paraId="1950D6F4" w14:textId="77777777" w:rsidTr="00175B8E">
        <w:tc>
          <w:tcPr>
            <w:tcW w:w="1135" w:type="dxa"/>
            <w:tcBorders>
              <w:top w:val="single" w:sz="4" w:space="0" w:color="000000"/>
              <w:left w:val="single" w:sz="4" w:space="0" w:color="000000"/>
              <w:bottom w:val="single" w:sz="4" w:space="0" w:color="000000"/>
              <w:right w:val="single" w:sz="4" w:space="0" w:color="auto"/>
            </w:tcBorders>
            <w:hideMark/>
          </w:tcPr>
          <w:p w14:paraId="17AE1CBD" w14:textId="77777777" w:rsidR="00175B8E" w:rsidRDefault="00175B8E" w:rsidP="0007284D">
            <w:pPr>
              <w:pStyle w:val="PP"/>
              <w:keepNext/>
              <w:keepLines/>
            </w:pPr>
            <w:r>
              <w:t>PP39</w:t>
            </w:r>
          </w:p>
        </w:tc>
        <w:tc>
          <w:tcPr>
            <w:tcW w:w="7513" w:type="dxa"/>
            <w:tcBorders>
              <w:top w:val="single" w:sz="4" w:space="0" w:color="000000"/>
              <w:left w:val="single" w:sz="4" w:space="0" w:color="auto"/>
              <w:bottom w:val="single" w:sz="4" w:space="0" w:color="000000"/>
              <w:right w:val="single" w:sz="4" w:space="0" w:color="000000"/>
            </w:tcBorders>
            <w:hideMark/>
          </w:tcPr>
          <w:p w14:paraId="53044484" w14:textId="3E5E48F4" w:rsidR="00175B8E" w:rsidRDefault="00175B8E" w:rsidP="0007284D">
            <w:pPr>
              <w:pStyle w:val="PP"/>
              <w:keepNext/>
              <w:keepLines/>
              <w:rPr>
                <w:vertAlign w:val="superscript"/>
                <w:lang w:val="en-AU"/>
              </w:rPr>
            </w:pPr>
            <w:r>
              <w:t>The administration of rFVIIa may be considered in the perioperative patient with life-threatening haemorrhage after conventional measures, including surgical haemostasis, use of antifibrinolytics and appropriate blood component therapy have failed.</w:t>
            </w:r>
            <w:r w:rsidR="008075FA">
              <w:rPr>
                <w:vertAlign w:val="superscript"/>
                <w:lang w:val="en-AU"/>
              </w:rPr>
              <w:t>a</w:t>
            </w:r>
            <w:r w:rsidR="000B1BFE">
              <w:rPr>
                <w:vertAlign w:val="superscript"/>
                <w:lang w:val="en-AU"/>
              </w:rPr>
              <w:t>,b</w:t>
            </w:r>
          </w:p>
          <w:p w14:paraId="0D9146AB" w14:textId="173C6784" w:rsidR="000B1BFE" w:rsidRPr="000B1BFE" w:rsidRDefault="008075FA" w:rsidP="00E62798">
            <w:pPr>
              <w:pStyle w:val="PP-note"/>
              <w:keepNext/>
              <w:keepLines/>
            </w:pPr>
            <w:r>
              <w:rPr>
                <w:vertAlign w:val="superscript"/>
              </w:rPr>
              <w:t>a</w:t>
            </w:r>
            <w:r w:rsidR="00D92E23">
              <w:rPr>
                <w:vertAlign w:val="superscript"/>
              </w:rPr>
              <w:t xml:space="preserve"> </w:t>
            </w:r>
            <w:r w:rsidR="00D92E23" w:rsidRPr="00D92E23">
              <w:t>rFVIIa is not licensed for this use</w:t>
            </w:r>
            <w:r w:rsidR="00D92E23">
              <w:t>; i</w:t>
            </w:r>
            <w:r w:rsidR="00D92E23" w:rsidRPr="00D92E23">
              <w:t>ts use should only be considered in exceptional circumstances.</w:t>
            </w:r>
            <w:r w:rsidR="0084118A" w:rsidDel="0084118A">
              <w:t xml:space="preserve"> </w:t>
            </w:r>
            <w:r w:rsidR="0084118A">
              <w:br/>
            </w:r>
            <w:r w:rsidR="000B1BFE">
              <w:rPr>
                <w:vertAlign w:val="superscript"/>
              </w:rPr>
              <w:t xml:space="preserve">b </w:t>
            </w:r>
            <w:r w:rsidR="000B1BFE">
              <w:t>See R22 and PP20</w:t>
            </w:r>
            <w:r w:rsidR="000B1BFE" w:rsidRPr="00A21FE4">
              <w:t xml:space="preserve"> in </w:t>
            </w:r>
            <w:r w:rsidR="000B1BFE" w:rsidRPr="00A21FE4">
              <w:rPr>
                <w:i/>
              </w:rPr>
              <w:t>Patient Blood Management Guidelines: Module 2</w:t>
            </w:r>
            <w:r w:rsidR="000B1BFE">
              <w:rPr>
                <w:i/>
              </w:rPr>
              <w:t xml:space="preserve"> </w:t>
            </w:r>
            <w:r w:rsidR="000B1BFE" w:rsidRPr="00A21FE4">
              <w:rPr>
                <w:i/>
              </w:rPr>
              <w:t>– Perioperative</w:t>
            </w:r>
            <w:r w:rsidR="000B1BFE">
              <w:t>.</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tc>
      </w:tr>
      <w:tr w:rsidR="00175B8E" w14:paraId="07B565D8" w14:textId="77777777" w:rsidTr="00175B8E">
        <w:trPr>
          <w:trHeight w:val="397"/>
        </w:trPr>
        <w:tc>
          <w:tcPr>
            <w:tcW w:w="8648" w:type="dxa"/>
            <w:gridSpan w:val="2"/>
            <w:tcBorders>
              <w:top w:val="single" w:sz="4" w:space="0" w:color="000000"/>
              <w:left w:val="single" w:sz="4" w:space="0" w:color="000000"/>
              <w:bottom w:val="single" w:sz="4" w:space="0" w:color="000000"/>
              <w:right w:val="single" w:sz="4" w:space="0" w:color="000000"/>
            </w:tcBorders>
            <w:hideMark/>
          </w:tcPr>
          <w:p w14:paraId="4D531765" w14:textId="33A0C098" w:rsidR="00175B8E" w:rsidRDefault="0084118A" w:rsidP="0007284D">
            <w:pPr>
              <w:pStyle w:val="PP-note"/>
              <w:keepNext/>
              <w:keepLines/>
              <w:rPr>
                <w:lang w:val="en-US" w:eastAsia="en-US"/>
              </w:rPr>
            </w:pPr>
            <w:r>
              <w:rPr>
                <w:lang w:val="en-US" w:eastAsia="en-US"/>
              </w:rPr>
              <w:t xml:space="preserve">CPB, </w:t>
            </w:r>
            <w:r>
              <w:t xml:space="preserve">cardiopulmonary bypass; </w:t>
            </w:r>
            <w:r w:rsidR="00175B8E">
              <w:rPr>
                <w:lang w:val="en-US" w:eastAsia="en-US"/>
              </w:rPr>
              <w:t xml:space="preserve">PP, practice point, R, recommendation; rFVIIa, recombinant </w:t>
            </w:r>
            <w:r>
              <w:rPr>
                <w:lang w:val="en-US" w:eastAsia="en-US"/>
              </w:rPr>
              <w:t xml:space="preserve">activated </w:t>
            </w:r>
            <w:r w:rsidR="00175B8E">
              <w:rPr>
                <w:lang w:val="en-US" w:eastAsia="en-US"/>
              </w:rPr>
              <w:t>factor VII</w:t>
            </w:r>
          </w:p>
        </w:tc>
      </w:tr>
    </w:tbl>
    <w:p w14:paraId="5510D560" w14:textId="77777777" w:rsidR="00175B8E" w:rsidRDefault="00175B8E" w:rsidP="00E07AE4"/>
    <w:p w14:paraId="01D6AFC7" w14:textId="77777777" w:rsidR="00175B8E" w:rsidRDefault="00175B8E" w:rsidP="00E07AE4">
      <w:pPr>
        <w:pStyle w:val="Heading4"/>
      </w:pPr>
      <w:r>
        <w:t>Background</w:t>
      </w:r>
    </w:p>
    <w:p w14:paraId="242207FD" w14:textId="11C31D16" w:rsidR="00175B8E" w:rsidRPr="00BE4E23" w:rsidRDefault="00E07AE4" w:rsidP="00175B8E">
      <w:r>
        <w:t>rFVIIa</w:t>
      </w:r>
      <w:r w:rsidR="00175B8E" w:rsidRPr="004C64BE">
        <w:t xml:space="preserve"> </w:t>
      </w:r>
      <w:r w:rsidR="00175B8E">
        <w:t>activates</w:t>
      </w:r>
      <w:r w:rsidR="00175B8E" w:rsidRPr="00BE4E23">
        <w:t xml:space="preserve"> </w:t>
      </w:r>
      <w:r w:rsidR="00175B8E">
        <w:t xml:space="preserve">the </w:t>
      </w:r>
      <w:r w:rsidR="00175B8E" w:rsidRPr="00BE4E23">
        <w:t>formation of prothrombinase compl</w:t>
      </w:r>
      <w:r w:rsidR="00175B8E">
        <w:t>ex.</w:t>
      </w:r>
      <w:r w:rsidR="00175B8E" w:rsidRPr="00BE4E23">
        <w:t xml:space="preserve"> </w:t>
      </w:r>
      <w:r w:rsidR="00175B8E">
        <w:t>It has a local mode of a</w:t>
      </w:r>
      <w:r w:rsidR="00175B8E" w:rsidRPr="00BE4E23">
        <w:t>ction in a</w:t>
      </w:r>
      <w:r w:rsidR="00175B8E">
        <w:t xml:space="preserve">reas where tissue factor </w:t>
      </w:r>
      <w:r w:rsidR="00175B8E" w:rsidRPr="00BE4E23">
        <w:t xml:space="preserve">or </w:t>
      </w:r>
      <w:r w:rsidR="00175B8E">
        <w:t>phospholipid are</w:t>
      </w:r>
      <w:r w:rsidR="00175B8E" w:rsidRPr="00BE4E23">
        <w:t xml:space="preserve"> exposed. At pharmacological doses, rFVIIa bypasses conventional steps in </w:t>
      </w:r>
      <w:r w:rsidR="00175B8E">
        <w:t xml:space="preserve">the </w:t>
      </w:r>
      <w:r w:rsidR="00175B8E" w:rsidRPr="00BE4E23">
        <w:t xml:space="preserve">coagulation cascade and </w:t>
      </w:r>
      <w:r w:rsidR="00175B8E">
        <w:t>acts directly on activated platelets at the injury site, leading to the generation of a fully stabili</w:t>
      </w:r>
      <w:r>
        <w:t>s</w:t>
      </w:r>
      <w:r w:rsidR="00175B8E">
        <w:t xml:space="preserve">ed fibrin clot. </w:t>
      </w:r>
    </w:p>
    <w:p w14:paraId="48992C36" w14:textId="77777777" w:rsidR="00175B8E" w:rsidRDefault="00175B8E" w:rsidP="008075FA">
      <w:pPr>
        <w:pStyle w:val="Heading4"/>
      </w:pPr>
      <w:r>
        <w:t>Summary of evidence</w:t>
      </w:r>
    </w:p>
    <w:p w14:paraId="3741E00B" w14:textId="2A8AD512" w:rsidR="00175B8E" w:rsidRPr="000A3A54" w:rsidRDefault="00E07AE4" w:rsidP="00175B8E">
      <w:pPr>
        <w:rPr>
          <w:lang w:val="en-GB" w:eastAsia="en-GB"/>
        </w:rPr>
      </w:pPr>
      <w:r>
        <w:rPr>
          <w:lang w:val="en-GB" w:eastAsia="en-GB"/>
        </w:rPr>
        <w:t>One good</w:t>
      </w:r>
      <w:r w:rsidR="006D763D">
        <w:rPr>
          <w:lang w:val="en-GB" w:eastAsia="en-GB"/>
        </w:rPr>
        <w:t>-</w:t>
      </w:r>
      <w:r>
        <w:rPr>
          <w:lang w:val="en-GB" w:eastAsia="en-GB"/>
        </w:rPr>
        <w:t>quality systematic review</w:t>
      </w:r>
      <w:hyperlink w:anchor="_ENREF_213" w:tooltip="Simpson, 2012 #920" w:history="1">
        <w:r w:rsidR="00E62798">
          <w:rPr>
            <w:lang w:val="en-GB" w:eastAsia="en-GB"/>
          </w:rPr>
          <w:fldChar w:fldCharType="begin"/>
        </w:r>
        <w:r w:rsidR="00E62798">
          <w:rPr>
            <w:lang w:val="en-GB" w:eastAsia="en-GB"/>
          </w:rPr>
          <w:instrText xml:space="preserve"> ADDIN EN.CITE &lt;EndNote&gt;&lt;Cite&gt;&lt;Author&gt;Simpson&lt;/Author&gt;&lt;Year&gt;2012&lt;/Year&gt;&lt;RecNum&gt;920&lt;/RecNum&gt;&lt;DisplayText&gt;&lt;style face="superscript"&gt;213&lt;/style&gt;&lt;/DisplayText&gt;&lt;record&gt;&lt;rec-number&gt;920&lt;/rec-number&gt;&lt;foreign-keys&gt;&lt;key app="EN" db-id="9edve2wadsavt5ewavaxtda4f2tavzvts9ee" timestamp="1435036188"&gt;920&lt;/key&gt;&lt;/foreign-keys&gt;&lt;ref-type name="Journal Article"&gt;17&lt;/ref-type&gt;&lt;contributors&gt;&lt;authors&gt;&lt;author&gt;Simpson, Ewurabena&lt;/author&gt;&lt;author&gt;Lin, Yulia&lt;/author&gt;&lt;author&gt;Stanworth, Simon&lt;/author&gt;&lt;author&gt;Birchall, Janet&lt;/author&gt;&lt;author&gt;Doree, Carolyn&lt;/author&gt;&lt;author&gt;Hyde, Chris&lt;/author&gt;&lt;/authors&gt;&lt;/contributors&gt;&lt;titles&gt;&lt;title&gt;Recombinant factor VIIa for the prevention and treatment of bleeding in patients without haemophilia&lt;/title&gt;&lt;secondary-title&gt;Cochrane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FILE&lt;/reprint-edition&gt;&lt;keywords&gt;&lt;keyword&gt;alloantibody&lt;/keyword&gt;&lt;keyword&gt;bleeding&lt;/keyword&gt;&lt;keyword&gt;blood&lt;/keyword&gt;&lt;keyword&gt;clinical trial&lt;/keyword&gt;&lt;keyword&gt;Cochrane Reviews&lt;/keyword&gt;&lt;keyword&gt;Cochrane12Mar14&lt;/keyword&gt;&lt;keyword&gt;confidence interval&lt;/keyword&gt;&lt;keyword&gt;Embase&lt;/keyword&gt;&lt;keyword&gt;Medline&lt;/keyword&gt;&lt;keyword&gt;mortality&lt;/keyword&gt;&lt;keyword&gt;patient&lt;/keyword&gt;&lt;keyword&gt;placebo&lt;/keyword&gt;&lt;keyword&gt;population&lt;/keyword&gt;&lt;keyword&gt;prevention&lt;/keyword&gt;&lt;keyword&gt;prophylaxis&lt;/keyword&gt;&lt;keyword&gt;register&lt;/keyword&gt;&lt;keyword&gt;review&lt;/keyword&gt;&lt;keyword&gt;risk&lt;/keyword&gt;&lt;keyword&gt;transfusion&lt;/keyword&gt;&lt;keyword&gt;validity&lt;/keyword&gt;&lt;/keywords&gt;&lt;dates&gt;&lt;year&gt;2012&lt;/year&gt;&lt;/dates&gt;&lt;urls&gt;&lt;/urls&gt;&lt;/record&gt;&lt;/Cite&gt;&lt;/EndNote&gt;</w:instrText>
        </w:r>
        <w:r w:rsidR="00E62798">
          <w:rPr>
            <w:lang w:val="en-GB" w:eastAsia="en-GB"/>
          </w:rPr>
          <w:fldChar w:fldCharType="separate"/>
        </w:r>
        <w:r w:rsidR="00E62798" w:rsidRPr="00E62798">
          <w:rPr>
            <w:noProof/>
            <w:vertAlign w:val="superscript"/>
            <w:lang w:val="en-GB" w:eastAsia="en-GB"/>
          </w:rPr>
          <w:t>213</w:t>
        </w:r>
        <w:r w:rsidR="00E62798">
          <w:rPr>
            <w:lang w:val="en-GB" w:eastAsia="en-GB"/>
          </w:rPr>
          <w:fldChar w:fldCharType="end"/>
        </w:r>
      </w:hyperlink>
      <w:r w:rsidR="00175B8E">
        <w:rPr>
          <w:lang w:val="en-GB" w:eastAsia="en-GB"/>
        </w:rPr>
        <w:t xml:space="preserve"> </w:t>
      </w:r>
      <w:r>
        <w:rPr>
          <w:lang w:val="en-GB" w:eastAsia="en-GB"/>
        </w:rPr>
        <w:t>that</w:t>
      </w:r>
      <w:r w:rsidR="00175B8E">
        <w:rPr>
          <w:lang w:val="en-GB" w:eastAsia="en-GB"/>
        </w:rPr>
        <w:t xml:space="preserve"> included one RCT</w:t>
      </w:r>
      <w:hyperlink w:anchor="_ENREF_214" w:tooltip="Ekert, 2006 #867" w:history="1">
        <w:r w:rsidR="00E62798">
          <w:rPr>
            <w:lang w:val="en-GB" w:eastAsia="en-GB"/>
          </w:rPr>
          <w:fldChar w:fldCharType="begin">
            <w:fldData xml:space="preserve">PEVuZE5vdGU+PENpdGU+PEF1dGhvcj5Fa2VydDwvQXV0aG9yPjxZZWFyPjIwMDY8L1llYXI+PFJl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</w:fldData>
          </w:fldChar>
        </w:r>
        <w:r w:rsidR="00E62798">
          <w:rPr>
            <w:lang w:val="en-GB" w:eastAsia="en-GB"/>
          </w:rPr>
          <w:instrText xml:space="preserve"> ADDIN EN.CITE </w:instrText>
        </w:r>
        <w:r w:rsidR="00E62798">
          <w:rPr>
            <w:lang w:val="en-GB" w:eastAsia="en-GB"/>
          </w:rPr>
          <w:fldChar w:fldCharType="begin">
            <w:fldData xml:space="preserve">PEVuZE5vdGU+PENpdGU+PEF1dGhvcj5Fa2VydDwvQXV0aG9yPjxZZWFyPjIwMDY8L1llYXI+PFJl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214</w:t>
        </w:r>
        <w:r w:rsidR="00E62798">
          <w:rPr>
            <w:lang w:val="en-GB" w:eastAsia="en-GB"/>
          </w:rPr>
          <w:fldChar w:fldCharType="end"/>
        </w:r>
      </w:hyperlink>
      <w:r>
        <w:rPr>
          <w:lang w:val="en-GB" w:eastAsia="en-GB"/>
        </w:rPr>
        <w:t xml:space="preserve"> </w:t>
      </w:r>
      <w:r w:rsidR="00175B8E">
        <w:rPr>
          <w:lang w:val="en-GB" w:eastAsia="en-GB"/>
        </w:rPr>
        <w:t>was identified.</w:t>
      </w:r>
      <w:r>
        <w:rPr>
          <w:lang w:val="en-GB" w:eastAsia="en-GB"/>
        </w:rPr>
        <w:t xml:space="preserve"> </w:t>
      </w:r>
      <w:r w:rsidR="00175B8E">
        <w:rPr>
          <w:lang w:val="en-GB" w:eastAsia="en-GB"/>
        </w:rPr>
        <w:t xml:space="preserve">Patients </w:t>
      </w:r>
      <w:r>
        <w:rPr>
          <w:lang w:val="en-GB" w:eastAsia="en-GB"/>
        </w:rPr>
        <w:t>in the RCT</w:t>
      </w:r>
      <w:r w:rsidR="00175B8E">
        <w:rPr>
          <w:lang w:val="en-GB" w:eastAsia="en-GB"/>
        </w:rPr>
        <w:t xml:space="preserve"> were infants </w:t>
      </w:r>
      <w:r>
        <w:rPr>
          <w:lang w:val="en-GB" w:eastAsia="en-GB"/>
        </w:rPr>
        <w:t>under 1</w:t>
      </w:r>
      <w:r w:rsidR="00175B8E">
        <w:rPr>
          <w:lang w:val="en-GB" w:eastAsia="en-GB"/>
        </w:rPr>
        <w:t xml:space="preserve"> year of age with congenital heart disease who required</w:t>
      </w:r>
      <w:r>
        <w:rPr>
          <w:lang w:val="en-GB" w:eastAsia="en-GB"/>
        </w:rPr>
        <w:t xml:space="preserve"> surgery with CPB.</w:t>
      </w:r>
    </w:p>
    <w:p w14:paraId="753CEA52" w14:textId="77777777" w:rsidR="00175B8E" w:rsidRDefault="00175B8E" w:rsidP="008075FA">
      <w:pPr>
        <w:pStyle w:val="Heading5"/>
      </w:pPr>
      <w:r w:rsidRPr="00446E03">
        <w:t>Mortality</w:t>
      </w:r>
    </w:p>
    <w:p w14:paraId="3CF6544F" w14:textId="77777777" w:rsidR="00175B8E" w:rsidRDefault="00175B8E" w:rsidP="00175B8E">
      <w:pPr>
        <w:rPr>
          <w:lang w:val="en-GB" w:eastAsia="en-GB"/>
        </w:rPr>
      </w:pPr>
      <w:r>
        <w:rPr>
          <w:lang w:val="en-GB" w:eastAsia="en-GB"/>
        </w:rPr>
        <w:t>No deaths were reported in the included study.</w:t>
      </w:r>
    </w:p>
    <w:p w14:paraId="510D32BD" w14:textId="77777777" w:rsidR="00175B8E" w:rsidRDefault="00175B8E" w:rsidP="008075FA">
      <w:pPr>
        <w:pStyle w:val="Heading5"/>
      </w:pPr>
      <w:r>
        <w:t>T</w:t>
      </w:r>
      <w:r w:rsidRPr="00446E03">
        <w:t>ransfusion</w:t>
      </w:r>
      <w:r>
        <w:t xml:space="preserve"> volume and</w:t>
      </w:r>
      <w:r w:rsidRPr="00446E03">
        <w:t xml:space="preserve"> </w:t>
      </w:r>
      <w:r>
        <w:t>incidence</w:t>
      </w:r>
    </w:p>
    <w:p w14:paraId="026066EA" w14:textId="0FB2434A" w:rsidR="00175B8E" w:rsidRDefault="00E07AE4" w:rsidP="00175B8E">
      <w:pPr>
        <w:rPr>
          <w:lang w:eastAsia="en-GB"/>
        </w:rPr>
      </w:pPr>
      <w:r>
        <w:rPr>
          <w:lang w:val="en-GB" w:eastAsia="en-GB"/>
        </w:rPr>
        <w:t>The study reported</w:t>
      </w:r>
      <w:r w:rsidR="00175B8E">
        <w:rPr>
          <w:lang w:val="en-GB" w:eastAsia="en-GB"/>
        </w:rPr>
        <w:t xml:space="preserve"> no difference in transfusion </w:t>
      </w:r>
      <w:r>
        <w:rPr>
          <w:lang w:val="en-GB" w:eastAsia="en-GB"/>
        </w:rPr>
        <w:t>incidence</w:t>
      </w:r>
      <w:r w:rsidR="00175B8E">
        <w:rPr>
          <w:lang w:eastAsia="en-GB"/>
        </w:rPr>
        <w:t>.</w:t>
      </w:r>
      <w:hyperlink w:anchor="_ENREF_214" w:tooltip="Ekert, 2006 #867" w:history="1">
        <w:r w:rsidR="00E62798">
          <w:rPr>
            <w:lang w:eastAsia="en-GB"/>
          </w:rPr>
          <w:fldChar w:fldCharType="begin">
            <w:fldData xml:space="preserve">PEVuZE5vdGU+PENpdGU+PEF1dGhvcj5Fa2VydDwvQXV0aG9yPjxZZWFyPjIwMDY8L1llYXI+PFJl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</w:fldData>
          </w:fldChar>
        </w:r>
        <w:r w:rsidR="00E62798">
          <w:rPr>
            <w:lang w:eastAsia="en-GB"/>
          </w:rPr>
          <w:instrText xml:space="preserve"> ADDIN EN.CITE </w:instrText>
        </w:r>
        <w:r w:rsidR="00E62798">
          <w:rPr>
            <w:lang w:eastAsia="en-GB"/>
          </w:rPr>
          <w:fldChar w:fldCharType="begin">
            <w:fldData xml:space="preserve">PEVuZE5vdGU+PENpdGU+PEF1dGhvcj5Fa2VydDwvQXV0aG9yPjxZZWFyPjIwMDY8L1llYXI+PFJl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</w:fldData>
          </w:fldChar>
        </w:r>
        <w:r w:rsidR="00E62798">
          <w:rPr>
            <w:lang w:eastAsia="en-GB"/>
          </w:rPr>
          <w:instrText xml:space="preserve"> ADDIN EN.CITE.DATA </w:instrText>
        </w:r>
        <w:r w:rsidR="00E62798">
          <w:rPr>
            <w:lang w:eastAsia="en-GB"/>
          </w:rPr>
        </w:r>
        <w:r w:rsidR="00E62798">
          <w:rPr>
            <w:lang w:eastAsia="en-GB"/>
          </w:rPr>
          <w:fldChar w:fldCharType="end"/>
        </w:r>
        <w:r w:rsidR="00E62798">
          <w:rPr>
            <w:lang w:eastAsia="en-GB"/>
          </w:rPr>
        </w:r>
        <w:r w:rsidR="00E62798">
          <w:rPr>
            <w:lang w:eastAsia="en-GB"/>
          </w:rPr>
          <w:fldChar w:fldCharType="separate"/>
        </w:r>
        <w:r w:rsidR="00E62798" w:rsidRPr="00E62798">
          <w:rPr>
            <w:noProof/>
            <w:vertAlign w:val="superscript"/>
            <w:lang w:eastAsia="en-GB"/>
          </w:rPr>
          <w:t>214</w:t>
        </w:r>
        <w:r w:rsidR="00E62798">
          <w:rPr>
            <w:lang w:eastAsia="en-GB"/>
          </w:rPr>
          <w:fldChar w:fldCharType="end"/>
        </w:r>
      </w:hyperlink>
      <w:r w:rsidR="00175B8E">
        <w:rPr>
          <w:lang w:eastAsia="en-GB"/>
        </w:rPr>
        <w:t xml:space="preserve"> Transfusion volume was not reported.</w:t>
      </w:r>
    </w:p>
    <w:p w14:paraId="4758C1D9" w14:textId="77777777" w:rsidR="00175B8E" w:rsidRDefault="00175B8E" w:rsidP="008075FA">
      <w:pPr>
        <w:pStyle w:val="Heading5"/>
      </w:pPr>
      <w:r w:rsidRPr="00446E03">
        <w:t>Thromboembolic events</w:t>
      </w:r>
    </w:p>
    <w:p w14:paraId="33118D6F" w14:textId="77777777" w:rsidR="00175B8E" w:rsidRDefault="00175B8E" w:rsidP="00175B8E">
      <w:pPr>
        <w:rPr>
          <w:lang w:val="en-GB" w:eastAsia="en-GB"/>
        </w:rPr>
      </w:pPr>
      <w:r>
        <w:rPr>
          <w:lang w:val="en-GB" w:eastAsia="en-GB"/>
        </w:rPr>
        <w:t>No thromboembolic events were reported in the included studies.</w:t>
      </w:r>
    </w:p>
    <w:p w14:paraId="436B9F82" w14:textId="77777777" w:rsidR="00175B8E" w:rsidRDefault="00175B8E" w:rsidP="008075FA">
      <w:pPr>
        <w:pStyle w:val="Heading5"/>
      </w:pPr>
      <w:r w:rsidRPr="00446E03">
        <w:t>Bleeding events</w:t>
      </w:r>
    </w:p>
    <w:p w14:paraId="12D3234F" w14:textId="1349CFAF" w:rsidR="00175B8E" w:rsidRDefault="00175B8E" w:rsidP="007D0394">
      <w:pPr>
        <w:rPr>
          <w:lang w:val="en-GB" w:eastAsia="en-GB"/>
        </w:rPr>
      </w:pPr>
      <w:r>
        <w:rPr>
          <w:lang w:val="en-GB" w:eastAsia="en-GB"/>
        </w:rPr>
        <w:t xml:space="preserve">No </w:t>
      </w:r>
      <w:r w:rsidR="00974F6B">
        <w:rPr>
          <w:lang w:val="en-GB" w:eastAsia="en-GB"/>
        </w:rPr>
        <w:t>bleeding events were reported in the included studies</w:t>
      </w:r>
      <w:r w:rsidRPr="004162BF">
        <w:rPr>
          <w:lang w:val="en-GB" w:eastAsia="en-GB"/>
        </w:rPr>
        <w:t>.</w:t>
      </w:r>
    </w:p>
    <w:p w14:paraId="48FE4273" w14:textId="35596B17" w:rsidR="00175B8E" w:rsidRPr="00E07AE4" w:rsidRDefault="00837B30" w:rsidP="00647CA0">
      <w:pPr>
        <w:pStyle w:val="BoxHeading"/>
        <w:rPr>
          <w:lang w:val="en-AU"/>
        </w:rPr>
      </w:pPr>
      <w:r>
        <w:br w:type="column"/>
      </w:r>
      <w:r w:rsidR="00175B8E">
        <w:t>Clinical commentary</w:t>
      </w:r>
      <w:r w:rsidR="008075FA">
        <w:rPr>
          <w:lang w:val="en-AU"/>
        </w:rPr>
        <w:t xml:space="preserve"> – </w:t>
      </w:r>
      <w:r w:rsidR="0084118A">
        <w:rPr>
          <w:lang w:val="en-AU"/>
        </w:rPr>
        <w:t>rF</w:t>
      </w:r>
      <w:r w:rsidR="008075FA">
        <w:t>VII</w:t>
      </w:r>
      <w:r w:rsidR="0084118A">
        <w:rPr>
          <w:lang w:val="en-AU"/>
        </w:rPr>
        <w:t>a</w:t>
      </w:r>
      <w:r w:rsidR="008075FA">
        <w:rPr>
          <w:lang w:val="en-AU"/>
        </w:rPr>
        <w:t xml:space="preserve"> in n</w:t>
      </w:r>
      <w:r w:rsidR="008075FA" w:rsidRPr="00EA4E11">
        <w:rPr>
          <w:rFonts w:cs="Tahoma"/>
          <w:szCs w:val="21"/>
          <w:lang w:val="en-GB"/>
        </w:rPr>
        <w:t xml:space="preserve">eonatal </w:t>
      </w:r>
      <w:r w:rsidR="008075FA">
        <w:rPr>
          <w:rFonts w:cs="Tahoma"/>
          <w:szCs w:val="21"/>
          <w:lang w:val="en-GB"/>
        </w:rPr>
        <w:t xml:space="preserve">and paediatric </w:t>
      </w:r>
      <w:r w:rsidR="008075FA" w:rsidRPr="00EA4E11">
        <w:rPr>
          <w:rFonts w:cs="Tahoma"/>
          <w:szCs w:val="21"/>
          <w:lang w:val="en-GB"/>
        </w:rPr>
        <w:t>patients</w:t>
      </w:r>
      <w:r w:rsidR="008075FA">
        <w:rPr>
          <w:rFonts w:cs="Tahoma"/>
          <w:szCs w:val="21"/>
          <w:lang w:val="en-GB"/>
        </w:rPr>
        <w:t xml:space="preserve"> undergoing surgery</w:t>
      </w:r>
    </w:p>
    <w:p w14:paraId="5D480AD2" w14:textId="034D2EAD" w:rsidR="00175B8E" w:rsidRDefault="00175B8E" w:rsidP="00647CA0">
      <w:pPr>
        <w:pStyle w:val="BoxText"/>
      </w:pPr>
      <w:r>
        <w:t xml:space="preserve">There is limited evidence regarding the use of rFVIIa in paediatric patients. There are concerns about safety, particularly about thromboembolic events. Its routine use is not advised; however, it may have a role in patients with life-threatening haemorrhage, where conventional measures have been ineffective. </w:t>
      </w:r>
      <w:r w:rsidR="00837B30" w:rsidRPr="00837B30">
        <w:t>In Australia, rFVIIa is not licensed for use in major bleeding</w:t>
      </w:r>
      <w:r w:rsidR="00837B30">
        <w:rPr>
          <w:lang w:val="en-AU"/>
        </w:rPr>
        <w:t>,</w:t>
      </w:r>
      <w:r w:rsidR="00837B30" w:rsidRPr="00837B30">
        <w:t xml:space="preserve"> and its role should be limited</w:t>
      </w:r>
      <w:r w:rsidR="00837B30">
        <w:t xml:space="preserve"> to exceptional circumstances. </w:t>
      </w:r>
    </w:p>
    <w:p w14:paraId="2FD3FA59" w14:textId="426E2D25" w:rsidR="00175B8E" w:rsidRPr="006D763D" w:rsidRDefault="008075FA" w:rsidP="008075FA">
      <w:pPr>
        <w:pStyle w:val="Heading3"/>
        <w:rPr>
          <w:lang w:val="en-AU"/>
        </w:rPr>
      </w:pPr>
      <w:bookmarkStart w:id="177" w:name="_Toc427851364"/>
      <w:r>
        <w:rPr>
          <w:lang w:val="en-AU"/>
        </w:rPr>
        <w:t>3.5.10</w:t>
      </w:r>
      <w:r>
        <w:rPr>
          <w:lang w:val="en-AU"/>
        </w:rPr>
        <w:tab/>
      </w:r>
      <w:r w:rsidR="006D763D">
        <w:rPr>
          <w:lang w:val="en-AU"/>
        </w:rPr>
        <w:t>N</w:t>
      </w:r>
      <w:r w:rsidR="006D763D" w:rsidRPr="00EA4E11">
        <w:rPr>
          <w:rFonts w:cs="Tahoma"/>
          <w:szCs w:val="21"/>
          <w:lang w:val="en-GB" w:eastAsia="en-GB"/>
        </w:rPr>
        <w:t xml:space="preserve">eonatal </w:t>
      </w:r>
      <w:r w:rsidR="006D763D">
        <w:rPr>
          <w:rFonts w:cs="Tahoma"/>
          <w:szCs w:val="21"/>
          <w:lang w:val="en-GB" w:eastAsia="en-GB"/>
        </w:rPr>
        <w:t xml:space="preserve">and paediatric </w:t>
      </w:r>
      <w:r w:rsidR="006D763D" w:rsidRPr="00EA4E11">
        <w:rPr>
          <w:rFonts w:cs="Tahoma"/>
          <w:szCs w:val="21"/>
          <w:lang w:val="en-GB" w:eastAsia="en-GB"/>
        </w:rPr>
        <w:t>patients</w:t>
      </w:r>
      <w:r w:rsidR="006D763D">
        <w:rPr>
          <w:rFonts w:cs="Tahoma"/>
          <w:szCs w:val="21"/>
          <w:lang w:val="en-GB" w:eastAsia="en-GB"/>
        </w:rPr>
        <w:t xml:space="preserve"> undergoing surgery</w:t>
      </w:r>
      <w:r w:rsidR="006D763D">
        <w:t xml:space="preserve"> </w:t>
      </w:r>
      <w:r w:rsidR="006D763D">
        <w:rPr>
          <w:lang w:val="en-AU"/>
        </w:rPr>
        <w:t xml:space="preserve">– effects of </w:t>
      </w:r>
      <w:r w:rsidR="006D763D" w:rsidRPr="00B2388C">
        <w:t xml:space="preserve">miniaturised </w:t>
      </w:r>
      <w:r w:rsidR="0084118A">
        <w:rPr>
          <w:lang w:val="en-AU"/>
        </w:rPr>
        <w:t>CPB</w:t>
      </w:r>
      <w:r w:rsidR="00175B8E" w:rsidRPr="00B2388C">
        <w:t xml:space="preserve"> systems</w:t>
      </w:r>
      <w:r w:rsidR="006D763D">
        <w:rPr>
          <w:lang w:val="en-AU"/>
        </w:rPr>
        <w:t xml:space="preserve"> on outcomes</w:t>
      </w:r>
      <w:bookmarkEnd w:id="177"/>
    </w:p>
    <w:tbl>
      <w:tblPr>
        <w:tblW w:w="86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742"/>
        <w:gridCol w:w="810"/>
        <w:gridCol w:w="809"/>
        <w:gridCol w:w="809"/>
        <w:gridCol w:w="809"/>
        <w:gridCol w:w="810"/>
      </w:tblGrid>
      <w:tr w:rsidR="00175B8E" w14:paraId="5E3E73BB" w14:textId="77777777" w:rsidTr="00467EEA">
        <w:trPr>
          <w:cantSplit/>
          <w:trHeight w:val="2078"/>
          <w:tblHeader/>
        </w:trPr>
        <w:tc>
          <w:tcPr>
            <w:tcW w:w="4593"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7237FCEC" w14:textId="259EB15A" w:rsidR="00175B8E" w:rsidRDefault="00175B8E" w:rsidP="0007284D">
            <w:pPr>
              <w:pStyle w:val="PP-heading"/>
              <w:spacing w:line="276" w:lineRule="auto"/>
              <w:rPr>
                <w:lang w:val="en-US" w:eastAsia="en-US"/>
              </w:rPr>
            </w:pPr>
            <w:r>
              <w:rPr>
                <w:lang w:val="en-US" w:eastAsia="en-US"/>
              </w:rPr>
              <w:t xml:space="preserve">Evidence statements – </w:t>
            </w:r>
            <w:r w:rsidR="0007284D">
              <w:rPr>
                <w:lang w:val="en-US" w:eastAsia="en-US"/>
              </w:rPr>
              <w:t>surgical (</w:t>
            </w:r>
            <w:r>
              <w:rPr>
                <w:lang w:val="en-US" w:eastAsia="en-US"/>
              </w:rPr>
              <w:t xml:space="preserve">miniaturised </w:t>
            </w:r>
            <w:r w:rsidR="0007284D">
              <w:rPr>
                <w:lang w:val="en-US" w:eastAsia="en-US"/>
              </w:rPr>
              <w:t>CPB</w:t>
            </w:r>
            <w:r>
              <w:rPr>
                <w:lang w:val="en-US" w:eastAsia="en-US"/>
              </w:rPr>
              <w:t xml:space="preserve"> systems</w:t>
            </w:r>
            <w:r w:rsidR="0007284D">
              <w:rPr>
                <w:lang w:val="en-US" w:eastAsia="en-US"/>
              </w:rPr>
              <w:t>)</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8EEECB5" w14:textId="77777777" w:rsidR="00175B8E" w:rsidRDefault="00175B8E" w:rsidP="00175B8E">
            <w:pPr>
              <w:spacing w:line="276" w:lineRule="auto"/>
              <w:ind w:left="113" w:right="113"/>
              <w:jc w:val="center"/>
              <w:rPr>
                <w:b/>
                <w:lang w:val="en-US" w:eastAsia="en-US"/>
              </w:rPr>
            </w:pPr>
            <w:r>
              <w:rPr>
                <w:b/>
                <w:lang w:val="en-US" w:eastAsia="en-US"/>
              </w:rPr>
              <w:t>Evidence</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0FBC913"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465DB844"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809"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472E4CB"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16BFFC4A"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1BFB1155"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1CEAA667" w14:textId="77777777" w:rsidR="00175B8E" w:rsidRDefault="00175B8E" w:rsidP="00175B8E">
            <w:pPr>
              <w:pStyle w:val="Tabletextnoindent"/>
              <w:numPr>
                <w:ilvl w:val="0"/>
                <w:numId w:val="0"/>
              </w:numPr>
              <w:spacing w:line="276" w:lineRule="auto"/>
              <w:rPr>
                <w:lang w:val="en-US" w:eastAsia="en-US"/>
              </w:rPr>
            </w:pPr>
            <w:r w:rsidRPr="00B55C02">
              <w:t>ES4.41</w:t>
            </w:r>
          </w:p>
        </w:tc>
        <w:tc>
          <w:tcPr>
            <w:tcW w:w="3742" w:type="dxa"/>
            <w:tcBorders>
              <w:top w:val="single" w:sz="4" w:space="0" w:color="000000"/>
              <w:left w:val="single" w:sz="4" w:space="0" w:color="000000"/>
              <w:bottom w:val="single" w:sz="4" w:space="0" w:color="000000"/>
              <w:right w:val="single" w:sz="4" w:space="0" w:color="000000"/>
            </w:tcBorders>
            <w:hideMark/>
          </w:tcPr>
          <w:p w14:paraId="70FE6C3F" w14:textId="77777777" w:rsidR="00175B8E" w:rsidRDefault="00175B8E" w:rsidP="00175B8E">
            <w:pPr>
              <w:pStyle w:val="ES-table"/>
              <w:spacing w:line="276" w:lineRule="auto"/>
              <w:rPr>
                <w:rFonts w:eastAsia="Arial Unicode MS" w:cs="Arial"/>
                <w:color w:val="auto"/>
                <w:lang w:val="en-US" w:eastAsia="ja-JP"/>
              </w:rPr>
            </w:pPr>
            <w:r>
              <w:rPr>
                <w:lang w:val="en-US" w:eastAsia="en-US"/>
              </w:rPr>
              <w:t>In infants aged &lt;1 year undergoing cardiac surgery with CPB and extracorporeal circulation support, the effect of a miniaturised CPB system compared with a standard-sized system on mortality is uncertain.</w:t>
            </w:r>
          </w:p>
          <w:p w14:paraId="6B8B9AE1" w14:textId="77777777" w:rsidR="00175B8E" w:rsidRDefault="00175B8E" w:rsidP="00175B8E">
            <w:pPr>
              <w:pStyle w:val="ES-notes"/>
              <w:spacing w:line="276" w:lineRule="auto"/>
              <w:rPr>
                <w:lang w:val="en-US" w:eastAsia="en-US"/>
              </w:rPr>
            </w:pPr>
            <w:r>
              <w:rPr>
                <w:lang w:val="en-US" w:eastAsia="en-US"/>
              </w:rPr>
              <w:t>(See evidence matrix D4.Y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65C19C74" w14:textId="77777777" w:rsidR="00175B8E" w:rsidRDefault="00175B8E" w:rsidP="00175B8E">
            <w:pPr>
              <w:pStyle w:val="T-ABCD"/>
              <w:spacing w:line="276" w:lineRule="auto"/>
              <w:rPr>
                <w:lang w:val="en-US" w:eastAsia="en-US"/>
              </w:rPr>
            </w:pPr>
            <w:r>
              <w:rPr>
                <w:lang w:val="en-US" w:eastAsia="en-US"/>
              </w:rPr>
              <w:t>X</w:t>
            </w:r>
          </w:p>
        </w:tc>
        <w:tc>
          <w:tcPr>
            <w:tcW w:w="809" w:type="dxa"/>
            <w:tcBorders>
              <w:top w:val="single" w:sz="4" w:space="0" w:color="000000"/>
              <w:left w:val="single" w:sz="4" w:space="0" w:color="000000"/>
              <w:bottom w:val="single" w:sz="4" w:space="0" w:color="000000"/>
              <w:right w:val="single" w:sz="4" w:space="0" w:color="000000"/>
            </w:tcBorders>
            <w:hideMark/>
          </w:tcPr>
          <w:p w14:paraId="4F9BEB9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BA953A6"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19FADAB4"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47A4E53C"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1DF7DB7D"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09D497E3" w14:textId="77777777" w:rsidR="00175B8E" w:rsidRDefault="00175B8E" w:rsidP="00175B8E">
            <w:pPr>
              <w:pStyle w:val="Tabletextnoindent"/>
              <w:numPr>
                <w:ilvl w:val="0"/>
                <w:numId w:val="0"/>
              </w:numPr>
              <w:spacing w:line="276" w:lineRule="auto"/>
              <w:rPr>
                <w:lang w:val="en-US" w:eastAsia="en-US"/>
              </w:rPr>
            </w:pPr>
            <w:r w:rsidRPr="00B55C02">
              <w:t>ES4.42</w:t>
            </w:r>
          </w:p>
        </w:tc>
        <w:tc>
          <w:tcPr>
            <w:tcW w:w="3742" w:type="dxa"/>
            <w:tcBorders>
              <w:top w:val="single" w:sz="4" w:space="0" w:color="000000"/>
              <w:left w:val="single" w:sz="4" w:space="0" w:color="000000"/>
              <w:bottom w:val="single" w:sz="4" w:space="0" w:color="000000"/>
              <w:right w:val="single" w:sz="4" w:space="0" w:color="000000"/>
            </w:tcBorders>
            <w:hideMark/>
          </w:tcPr>
          <w:p w14:paraId="3BD3A72C" w14:textId="77777777" w:rsidR="00175B8E" w:rsidRDefault="00175B8E" w:rsidP="00175B8E">
            <w:pPr>
              <w:pStyle w:val="ES-table"/>
              <w:spacing w:line="276" w:lineRule="auto"/>
              <w:rPr>
                <w:rFonts w:eastAsiaTheme="minorHAnsi"/>
                <w:lang w:val="en-US" w:eastAsia="en-US"/>
              </w:rPr>
            </w:pPr>
            <w:r>
              <w:rPr>
                <w:lang w:val="en-US" w:eastAsia="en-US"/>
              </w:rPr>
              <w:t>In paediatric patients aged &gt;1 year undergoing cardiac surgery with CPB, the effect of a miniaturised CPB system compared with a standard-sized system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41C1164E"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7818794"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F3AF90E"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4716216"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0CCC8ADC" w14:textId="77777777" w:rsidR="00175B8E" w:rsidRDefault="00175B8E" w:rsidP="00175B8E">
            <w:pPr>
              <w:pStyle w:val="T-ABCD"/>
              <w:spacing w:line="276" w:lineRule="auto"/>
              <w:rPr>
                <w:lang w:val="en-US" w:eastAsia="en-US"/>
              </w:rPr>
            </w:pPr>
            <w:r>
              <w:rPr>
                <w:lang w:val="en-US" w:eastAsia="en-US"/>
              </w:rPr>
              <w:t xml:space="preserve">NA </w:t>
            </w:r>
          </w:p>
        </w:tc>
      </w:tr>
      <w:tr w:rsidR="00175B8E" w14:paraId="5D5E58EE"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48ABFB6A" w14:textId="77777777" w:rsidR="00175B8E" w:rsidRDefault="00175B8E" w:rsidP="00175B8E">
            <w:pPr>
              <w:pStyle w:val="Tabletextnoindent"/>
              <w:numPr>
                <w:ilvl w:val="0"/>
                <w:numId w:val="0"/>
              </w:numPr>
              <w:spacing w:line="276" w:lineRule="auto"/>
              <w:rPr>
                <w:lang w:val="en-US" w:eastAsia="en-US"/>
              </w:rPr>
            </w:pPr>
            <w:r w:rsidRPr="00B55C02">
              <w:t>ES4.43</w:t>
            </w:r>
          </w:p>
        </w:tc>
        <w:tc>
          <w:tcPr>
            <w:tcW w:w="3742" w:type="dxa"/>
            <w:tcBorders>
              <w:top w:val="single" w:sz="4" w:space="0" w:color="000000"/>
              <w:left w:val="single" w:sz="4" w:space="0" w:color="000000"/>
              <w:bottom w:val="single" w:sz="4" w:space="0" w:color="000000"/>
              <w:right w:val="single" w:sz="4" w:space="0" w:color="000000"/>
            </w:tcBorders>
            <w:hideMark/>
          </w:tcPr>
          <w:p w14:paraId="08D8E368" w14:textId="77777777" w:rsidR="00175B8E" w:rsidRDefault="00175B8E" w:rsidP="00175B8E">
            <w:pPr>
              <w:pStyle w:val="ES-table"/>
              <w:spacing w:line="276" w:lineRule="auto"/>
              <w:rPr>
                <w:rFonts w:eastAsia="Arial Unicode MS" w:cs="Arial"/>
                <w:color w:val="auto"/>
                <w:lang w:val="en-US" w:eastAsia="ja-JP"/>
              </w:rPr>
            </w:pPr>
            <w:r>
              <w:rPr>
                <w:lang w:val="en-US" w:eastAsia="en-US"/>
              </w:rPr>
              <w:t>In infants aged &lt;1 year undergoing cardiac surgery with CPB and extracorporeal circulation support, the effect of a miniaturised CPB system compared with a standard-sized system on transfusion volume is uncertain.</w:t>
            </w:r>
          </w:p>
          <w:p w14:paraId="0398D4B7" w14:textId="77777777" w:rsidR="00175B8E" w:rsidRDefault="00175B8E" w:rsidP="00175B8E">
            <w:pPr>
              <w:pStyle w:val="ES-notes"/>
              <w:spacing w:line="276" w:lineRule="auto"/>
              <w:rPr>
                <w:lang w:val="en-US" w:eastAsia="en-US"/>
              </w:rPr>
            </w:pPr>
            <w:r>
              <w:rPr>
                <w:lang w:val="en-US" w:eastAsia="en-US"/>
              </w:rPr>
              <w:t>(See evidence matrix D4.Z in Volume 2 of the technical report.)</w:t>
            </w:r>
          </w:p>
        </w:tc>
        <w:tc>
          <w:tcPr>
            <w:tcW w:w="810" w:type="dxa"/>
            <w:tcBorders>
              <w:top w:val="single" w:sz="4" w:space="0" w:color="000000"/>
              <w:left w:val="single" w:sz="4" w:space="0" w:color="000000"/>
              <w:bottom w:val="single" w:sz="4" w:space="0" w:color="000000"/>
              <w:right w:val="single" w:sz="4" w:space="0" w:color="000000"/>
            </w:tcBorders>
            <w:hideMark/>
          </w:tcPr>
          <w:p w14:paraId="19253258" w14:textId="77777777" w:rsidR="00175B8E" w:rsidRDefault="00175B8E" w:rsidP="00175B8E">
            <w:pPr>
              <w:pStyle w:val="T-ABCD"/>
              <w:spacing w:line="276" w:lineRule="auto"/>
              <w:rPr>
                <w:lang w:val="en-US" w:eastAsia="en-US"/>
              </w:rPr>
            </w:pPr>
            <w:r>
              <w:rPr>
                <w:lang w:val="en-US" w:eastAsia="en-US"/>
              </w:rPr>
              <w:t>X</w:t>
            </w:r>
          </w:p>
        </w:tc>
        <w:tc>
          <w:tcPr>
            <w:tcW w:w="809" w:type="dxa"/>
            <w:tcBorders>
              <w:top w:val="single" w:sz="4" w:space="0" w:color="000000"/>
              <w:left w:val="single" w:sz="4" w:space="0" w:color="000000"/>
              <w:bottom w:val="single" w:sz="4" w:space="0" w:color="000000"/>
              <w:right w:val="single" w:sz="4" w:space="0" w:color="000000"/>
            </w:tcBorders>
            <w:hideMark/>
          </w:tcPr>
          <w:p w14:paraId="430926D8"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5124143E" w14:textId="77777777" w:rsidR="00175B8E" w:rsidRDefault="00175B8E" w:rsidP="00175B8E">
            <w:pPr>
              <w:pStyle w:val="T-ABCD"/>
              <w:spacing w:line="276" w:lineRule="auto"/>
              <w:rPr>
                <w:lang w:val="en-US" w:eastAsia="en-US"/>
              </w:rPr>
            </w:pPr>
            <w:r>
              <w:rPr>
                <w:lang w:val="en-US" w:eastAsia="en-US"/>
              </w:rPr>
              <w:sym w:font="Symbol" w:char="F0D6"/>
            </w:r>
          </w:p>
        </w:tc>
        <w:tc>
          <w:tcPr>
            <w:tcW w:w="809" w:type="dxa"/>
            <w:tcBorders>
              <w:top w:val="single" w:sz="4" w:space="0" w:color="000000"/>
              <w:left w:val="single" w:sz="4" w:space="0" w:color="000000"/>
              <w:bottom w:val="single" w:sz="4" w:space="0" w:color="000000"/>
              <w:right w:val="single" w:sz="4" w:space="0" w:color="000000"/>
            </w:tcBorders>
            <w:hideMark/>
          </w:tcPr>
          <w:p w14:paraId="70297E50" w14:textId="77777777" w:rsidR="00175B8E" w:rsidRDefault="00175B8E" w:rsidP="00175B8E">
            <w:pPr>
              <w:pStyle w:val="T-ABCD"/>
              <w:spacing w:line="276" w:lineRule="auto"/>
              <w:rPr>
                <w:lang w:val="en-US" w:eastAsia="en-US"/>
              </w:rPr>
            </w:pPr>
            <w:r>
              <w:rPr>
                <w:lang w:val="en-US" w:eastAsia="en-US"/>
              </w:rPr>
              <w:sym w:font="Symbol" w:char="F0D6"/>
            </w:r>
            <w:r>
              <w:rPr>
                <w:lang w:val="en-US" w:eastAsia="en-US"/>
              </w:rPr>
              <w:sym w:font="Symbol" w:char="F0D6"/>
            </w:r>
            <w:r>
              <w:rPr>
                <w:lang w:val="en-US" w:eastAsia="en-US"/>
              </w:rPr>
              <w:sym w:font="Symbol" w:char="F0D6"/>
            </w:r>
          </w:p>
        </w:tc>
        <w:tc>
          <w:tcPr>
            <w:tcW w:w="810" w:type="dxa"/>
            <w:tcBorders>
              <w:top w:val="single" w:sz="4" w:space="0" w:color="000000"/>
              <w:left w:val="single" w:sz="4" w:space="0" w:color="000000"/>
              <w:bottom w:val="single" w:sz="4" w:space="0" w:color="000000"/>
              <w:right w:val="single" w:sz="4" w:space="0" w:color="000000"/>
            </w:tcBorders>
            <w:hideMark/>
          </w:tcPr>
          <w:p w14:paraId="02DFC392" w14:textId="77777777" w:rsidR="00175B8E" w:rsidRDefault="00175B8E" w:rsidP="00175B8E">
            <w:pPr>
              <w:pStyle w:val="T-ABCD"/>
              <w:spacing w:line="276" w:lineRule="auto"/>
              <w:rPr>
                <w:lang w:val="en-US" w:eastAsia="en-US"/>
              </w:rPr>
            </w:pPr>
            <w:r>
              <w:rPr>
                <w:lang w:val="en-US" w:eastAsia="en-US"/>
              </w:rPr>
              <w:sym w:font="Symbol" w:char="F0D6"/>
            </w:r>
          </w:p>
        </w:tc>
      </w:tr>
      <w:tr w:rsidR="00175B8E" w14:paraId="2DEB9400"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078698B4" w14:textId="77777777" w:rsidR="00175B8E" w:rsidRDefault="00175B8E" w:rsidP="00175B8E">
            <w:pPr>
              <w:pStyle w:val="Tabletextnoindent"/>
              <w:numPr>
                <w:ilvl w:val="0"/>
                <w:numId w:val="0"/>
              </w:numPr>
              <w:spacing w:line="276" w:lineRule="auto"/>
              <w:rPr>
                <w:lang w:val="en-US" w:eastAsia="en-US"/>
              </w:rPr>
            </w:pPr>
            <w:r w:rsidRPr="00B55C02">
              <w:t>ES4.44</w:t>
            </w:r>
          </w:p>
        </w:tc>
        <w:tc>
          <w:tcPr>
            <w:tcW w:w="3742" w:type="dxa"/>
            <w:tcBorders>
              <w:top w:val="single" w:sz="4" w:space="0" w:color="000000"/>
              <w:left w:val="single" w:sz="4" w:space="0" w:color="000000"/>
              <w:bottom w:val="single" w:sz="4" w:space="0" w:color="000000"/>
              <w:right w:val="single" w:sz="4" w:space="0" w:color="000000"/>
            </w:tcBorders>
            <w:hideMark/>
          </w:tcPr>
          <w:p w14:paraId="519CEDA2" w14:textId="77777777" w:rsidR="00175B8E" w:rsidRDefault="00175B8E" w:rsidP="00175B8E">
            <w:pPr>
              <w:pStyle w:val="ES-table"/>
              <w:spacing w:line="276" w:lineRule="auto"/>
              <w:rPr>
                <w:rFonts w:eastAsiaTheme="minorHAnsi"/>
                <w:lang w:val="en-US" w:eastAsia="en-US"/>
              </w:rPr>
            </w:pPr>
            <w:r>
              <w:rPr>
                <w:lang w:val="en-US" w:eastAsia="en-US"/>
              </w:rPr>
              <w:t>In infants aged &lt;1 year undergoing cardiac surgery with CPB and extracorporeal circulation support, the effect of a miniaturised CPB system compared with a standard-sized system on transfusion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0C553B31"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3CCC8A63"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0DE5CBAA"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3C2E81D"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274F7295" w14:textId="77777777" w:rsidR="00175B8E" w:rsidRDefault="00175B8E" w:rsidP="00175B8E">
            <w:pPr>
              <w:pStyle w:val="T-ABCD"/>
              <w:spacing w:line="276" w:lineRule="auto"/>
              <w:rPr>
                <w:lang w:val="en-US" w:eastAsia="en-US"/>
              </w:rPr>
            </w:pPr>
            <w:r>
              <w:rPr>
                <w:lang w:val="en-US" w:eastAsia="en-US"/>
              </w:rPr>
              <w:t xml:space="preserve">NA </w:t>
            </w:r>
          </w:p>
        </w:tc>
      </w:tr>
      <w:tr w:rsidR="00175B8E" w14:paraId="7003A483" w14:textId="77777777" w:rsidTr="00175B8E">
        <w:trPr>
          <w:cantSplit/>
        </w:trPr>
        <w:tc>
          <w:tcPr>
            <w:tcW w:w="851" w:type="dxa"/>
            <w:tcBorders>
              <w:top w:val="single" w:sz="4" w:space="0" w:color="000000"/>
              <w:left w:val="single" w:sz="4" w:space="0" w:color="000000"/>
              <w:bottom w:val="single" w:sz="4" w:space="0" w:color="000000"/>
              <w:right w:val="single" w:sz="4" w:space="0" w:color="000000"/>
            </w:tcBorders>
          </w:tcPr>
          <w:p w14:paraId="41997D9F" w14:textId="77777777" w:rsidR="00175B8E" w:rsidRDefault="00175B8E" w:rsidP="00175B8E">
            <w:pPr>
              <w:pStyle w:val="Tabletextnoindent"/>
              <w:numPr>
                <w:ilvl w:val="0"/>
                <w:numId w:val="0"/>
              </w:numPr>
              <w:spacing w:line="276" w:lineRule="auto"/>
              <w:rPr>
                <w:lang w:val="en-US" w:eastAsia="en-US"/>
              </w:rPr>
            </w:pPr>
            <w:r w:rsidRPr="00B55C02">
              <w:t>ES4.45</w:t>
            </w:r>
          </w:p>
        </w:tc>
        <w:tc>
          <w:tcPr>
            <w:tcW w:w="3742" w:type="dxa"/>
            <w:tcBorders>
              <w:top w:val="single" w:sz="4" w:space="0" w:color="000000"/>
              <w:left w:val="single" w:sz="4" w:space="0" w:color="000000"/>
              <w:bottom w:val="single" w:sz="4" w:space="0" w:color="000000"/>
              <w:right w:val="single" w:sz="4" w:space="0" w:color="000000"/>
            </w:tcBorders>
            <w:hideMark/>
          </w:tcPr>
          <w:p w14:paraId="38750A63" w14:textId="77777777" w:rsidR="00175B8E" w:rsidRDefault="00175B8E" w:rsidP="00175B8E">
            <w:pPr>
              <w:pStyle w:val="ES-table"/>
              <w:spacing w:line="276" w:lineRule="auto"/>
              <w:rPr>
                <w:rFonts w:eastAsiaTheme="minorHAnsi"/>
                <w:lang w:val="en-US" w:eastAsia="en-US"/>
              </w:rPr>
            </w:pPr>
            <w:r>
              <w:rPr>
                <w:lang w:val="en-US" w:eastAsia="en-US"/>
              </w:rPr>
              <w:t>In paediatric patients aged &gt;1 year undergoing cardiac surgery with CPB, the effect of a miniaturised CPB system compared with a standard-sized system on transfusion volume and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7D1C58B2"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4383919C"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975EBB5" w14:textId="77777777" w:rsidR="00175B8E" w:rsidRDefault="00175B8E" w:rsidP="00175B8E">
            <w:pPr>
              <w:pStyle w:val="T-ABCD"/>
              <w:spacing w:line="276" w:lineRule="auto"/>
              <w:rPr>
                <w:lang w:val="en-US" w:eastAsia="en-US"/>
              </w:rPr>
            </w:pPr>
            <w:r>
              <w:rPr>
                <w:lang w:val="en-US" w:eastAsia="en-US"/>
              </w:rPr>
              <w:t>NA</w:t>
            </w:r>
          </w:p>
        </w:tc>
        <w:tc>
          <w:tcPr>
            <w:tcW w:w="809" w:type="dxa"/>
            <w:tcBorders>
              <w:top w:val="single" w:sz="4" w:space="0" w:color="000000"/>
              <w:left w:val="single" w:sz="4" w:space="0" w:color="000000"/>
              <w:bottom w:val="single" w:sz="4" w:space="0" w:color="000000"/>
              <w:right w:val="single" w:sz="4" w:space="0" w:color="000000"/>
            </w:tcBorders>
            <w:hideMark/>
          </w:tcPr>
          <w:p w14:paraId="2BE05705" w14:textId="77777777" w:rsidR="00175B8E" w:rsidRDefault="00175B8E" w:rsidP="00175B8E">
            <w:pPr>
              <w:pStyle w:val="T-ABCD"/>
              <w:spacing w:line="276" w:lineRule="auto"/>
              <w:rPr>
                <w:lang w:val="en-US" w:eastAsia="en-US"/>
              </w:rPr>
            </w:pPr>
            <w:r>
              <w:rPr>
                <w:lang w:val="en-US" w:eastAsia="en-US"/>
              </w:rPr>
              <w:t>NA</w:t>
            </w:r>
          </w:p>
        </w:tc>
        <w:tc>
          <w:tcPr>
            <w:tcW w:w="810" w:type="dxa"/>
            <w:tcBorders>
              <w:top w:val="single" w:sz="4" w:space="0" w:color="000000"/>
              <w:left w:val="single" w:sz="4" w:space="0" w:color="000000"/>
              <w:bottom w:val="single" w:sz="4" w:space="0" w:color="000000"/>
              <w:right w:val="single" w:sz="4" w:space="0" w:color="000000"/>
            </w:tcBorders>
            <w:hideMark/>
          </w:tcPr>
          <w:p w14:paraId="5877339B" w14:textId="77777777" w:rsidR="00175B8E" w:rsidRDefault="00175B8E" w:rsidP="00175B8E">
            <w:pPr>
              <w:pStyle w:val="T-ABCD"/>
              <w:spacing w:line="276" w:lineRule="auto"/>
              <w:rPr>
                <w:lang w:val="en-US" w:eastAsia="en-US"/>
              </w:rPr>
            </w:pPr>
            <w:r>
              <w:rPr>
                <w:lang w:val="en-US" w:eastAsia="en-US"/>
              </w:rPr>
              <w:t xml:space="preserve">NA </w:t>
            </w:r>
          </w:p>
        </w:tc>
      </w:tr>
      <w:tr w:rsidR="00175B8E" w14:paraId="1C0CFC90" w14:textId="77777777" w:rsidTr="00175B8E">
        <w:trPr>
          <w:cantSplit/>
        </w:trPr>
        <w:tc>
          <w:tcPr>
            <w:tcW w:w="8640" w:type="dxa"/>
            <w:gridSpan w:val="7"/>
            <w:tcBorders>
              <w:top w:val="single" w:sz="4" w:space="0" w:color="000000"/>
              <w:left w:val="single" w:sz="4" w:space="0" w:color="000000"/>
              <w:bottom w:val="single" w:sz="4" w:space="0" w:color="000000"/>
              <w:right w:val="single" w:sz="4" w:space="0" w:color="000000"/>
            </w:tcBorders>
            <w:hideMark/>
          </w:tcPr>
          <w:p w14:paraId="56CB224F" w14:textId="77777777" w:rsidR="00175B8E" w:rsidRDefault="00175B8E" w:rsidP="00175B8E">
            <w:pPr>
              <w:pStyle w:val="ES-notes"/>
              <w:spacing w:line="276" w:lineRule="auto"/>
              <w:rPr>
                <w:rFonts w:eastAsiaTheme="minorHAnsi"/>
                <w:lang w:val="en-US" w:eastAsia="en-US"/>
              </w:rPr>
            </w:pPr>
            <w:r>
              <w:rPr>
                <w:lang w:val="en-US" w:eastAsia="en-US"/>
              </w:rPr>
              <w:t xml:space="preserve">CPB, cardiopulmonary bypass; ES, evidence statement </w:t>
            </w:r>
          </w:p>
          <w:p w14:paraId="49F0201E"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3941D5BD" w14:textId="77777777" w:rsidR="00175B8E" w:rsidRPr="00A52193" w:rsidRDefault="00175B8E" w:rsidP="00175B8E">
      <w:pPr>
        <w:rPr>
          <w:lang w:val="en-GB" w:eastAsia="en-GB"/>
        </w:rPr>
      </w:pPr>
    </w:p>
    <w:p w14:paraId="2DB17AB2" w14:textId="77777777" w:rsidR="00175B8E" w:rsidRDefault="00175B8E" w:rsidP="008075FA">
      <w:pPr>
        <w:pStyle w:val="Heading4"/>
      </w:pPr>
      <w:r>
        <w:t>Background</w:t>
      </w:r>
    </w:p>
    <w:p w14:paraId="0CBCB9A3" w14:textId="3BAD224A" w:rsidR="00175B8E" w:rsidRPr="004C64BE" w:rsidRDefault="00175B8E" w:rsidP="008075FA">
      <w:r>
        <w:t>Miniaturised</w:t>
      </w:r>
      <w:r w:rsidRPr="004C64BE">
        <w:t xml:space="preserve"> CPB systems </w:t>
      </w:r>
      <w:r>
        <w:t>may</w:t>
      </w:r>
      <w:r w:rsidRPr="004C64BE">
        <w:t xml:space="preserve"> reduce the systemic inflammatory response, haemodilution and coagulopathy often see</w:t>
      </w:r>
      <w:r>
        <w:t xml:space="preserve">n with </w:t>
      </w:r>
      <w:r w:rsidR="006F68C5">
        <w:t>standard-</w:t>
      </w:r>
      <w:r>
        <w:t>sized CPB systems. In paediatric patients undergoing surgery this may lead to reduced transfusion volume or incidence and risk of mortality.</w:t>
      </w:r>
    </w:p>
    <w:p w14:paraId="3F2A53D1" w14:textId="77777777" w:rsidR="00175B8E" w:rsidRDefault="00175B8E" w:rsidP="008075FA">
      <w:pPr>
        <w:pStyle w:val="Heading4"/>
      </w:pPr>
      <w:r>
        <w:t>Summary of evidence</w:t>
      </w:r>
    </w:p>
    <w:p w14:paraId="55DE5C34" w14:textId="3CA4908D" w:rsidR="00175B8E" w:rsidRPr="00F54692" w:rsidRDefault="008075FA" w:rsidP="008075FA">
      <w:pPr>
        <w:rPr>
          <w:lang w:val="en-GB" w:eastAsia="en-GB"/>
        </w:rPr>
      </w:pPr>
      <w:r>
        <w:rPr>
          <w:lang w:val="en-GB" w:eastAsia="en-GB"/>
        </w:rPr>
        <w:t xml:space="preserve">One poor-quality RCT </w:t>
      </w:r>
      <w:r w:rsidR="00175B8E">
        <w:rPr>
          <w:lang w:val="en-GB" w:eastAsia="en-GB"/>
        </w:rPr>
        <w:t xml:space="preserve">involving 60 paediatric patients </w:t>
      </w:r>
      <w:r>
        <w:rPr>
          <w:lang w:val="en-GB" w:eastAsia="en-GB"/>
        </w:rPr>
        <w:t>under 1</w:t>
      </w:r>
      <w:r w:rsidR="00175B8E">
        <w:rPr>
          <w:lang w:val="en-GB" w:eastAsia="en-GB"/>
        </w:rPr>
        <w:t xml:space="preserve"> year of age scheduled for cardiac surgery with CPB was identified.</w:t>
      </w:r>
      <w:hyperlink w:anchor="_ENREF_215" w:tooltip="Mozol, 2008 #904" w:history="1">
        <w:r w:rsidR="00E62798">
          <w:rPr>
            <w:lang w:val="en-GB" w:eastAsia="en-GB"/>
          </w:rPr>
          <w:fldChar w:fldCharType="begin">
            <w:fldData xml:space="preserve">PEVuZE5vdGU+PENpdGU+PEF1dGhvcj5Nb3pvbDwvQXV0aG9yPjxZZWFyPjIwMDg8L1llYXI+PFJl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==
</w:fldData>
          </w:fldChar>
        </w:r>
        <w:r w:rsidR="00E62798">
          <w:rPr>
            <w:lang w:val="en-GB" w:eastAsia="en-GB"/>
          </w:rPr>
          <w:instrText xml:space="preserve"> ADDIN EN.CITE </w:instrText>
        </w:r>
        <w:r w:rsidR="00E62798">
          <w:rPr>
            <w:lang w:val="en-GB" w:eastAsia="en-GB"/>
          </w:rPr>
          <w:fldChar w:fldCharType="begin">
            <w:fldData xml:space="preserve">PEVuZE5vdGU+PENpdGU+PEF1dGhvcj5Nb3pvbDwvQXV0aG9yPjxZZWFyPjIwMDg8L1llYXI+PFJl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==
</w:fldData>
          </w:fldChar>
        </w:r>
        <w:r w:rsidR="00E62798">
          <w:rPr>
            <w:lang w:val="en-GB" w:eastAsia="en-GB"/>
          </w:rPr>
          <w:instrText xml:space="preserve"> ADDIN EN.CITE.DATA </w:instrText>
        </w:r>
        <w:r w:rsidR="00E62798">
          <w:rPr>
            <w:lang w:val="en-GB" w:eastAsia="en-GB"/>
          </w:rPr>
        </w:r>
        <w:r w:rsidR="00E62798">
          <w:rPr>
            <w:lang w:val="en-GB" w:eastAsia="en-GB"/>
          </w:rPr>
          <w:fldChar w:fldCharType="end"/>
        </w:r>
        <w:r w:rsidR="00E62798">
          <w:rPr>
            <w:lang w:val="en-GB" w:eastAsia="en-GB"/>
          </w:rPr>
        </w:r>
        <w:r w:rsidR="00E62798">
          <w:rPr>
            <w:lang w:val="en-GB" w:eastAsia="en-GB"/>
          </w:rPr>
          <w:fldChar w:fldCharType="separate"/>
        </w:r>
        <w:r w:rsidR="00E62798" w:rsidRPr="00E62798">
          <w:rPr>
            <w:noProof/>
            <w:vertAlign w:val="superscript"/>
            <w:lang w:val="en-GB" w:eastAsia="en-GB"/>
          </w:rPr>
          <w:t>215</w:t>
        </w:r>
        <w:r w:rsidR="00E62798">
          <w:rPr>
            <w:lang w:val="en-GB" w:eastAsia="en-GB"/>
          </w:rPr>
          <w:fldChar w:fldCharType="end"/>
        </w:r>
      </w:hyperlink>
    </w:p>
    <w:p w14:paraId="4E842A94" w14:textId="77777777" w:rsidR="00175B8E" w:rsidRDefault="00175B8E" w:rsidP="008075FA">
      <w:pPr>
        <w:pStyle w:val="Heading5"/>
      </w:pPr>
      <w:r w:rsidRPr="00497228">
        <w:t>Mortality</w:t>
      </w:r>
    </w:p>
    <w:p w14:paraId="3F625AFD" w14:textId="77777777" w:rsidR="00175B8E" w:rsidRDefault="00175B8E" w:rsidP="00175B8E">
      <w:pPr>
        <w:rPr>
          <w:lang w:val="en-GB" w:eastAsia="en-GB"/>
        </w:rPr>
      </w:pPr>
      <w:r>
        <w:rPr>
          <w:lang w:val="en-GB" w:eastAsia="en-GB"/>
        </w:rPr>
        <w:t>No deaths were reported in the included study.</w:t>
      </w:r>
    </w:p>
    <w:p w14:paraId="3B4972FA" w14:textId="77777777" w:rsidR="00175B8E" w:rsidRDefault="00175B8E" w:rsidP="008075FA">
      <w:pPr>
        <w:pStyle w:val="Heading5"/>
      </w:pPr>
      <w:r>
        <w:t>T</w:t>
      </w:r>
      <w:r w:rsidRPr="00446E03">
        <w:t xml:space="preserve">ransfusion </w:t>
      </w:r>
      <w:r>
        <w:t>volume and incidence</w:t>
      </w:r>
    </w:p>
    <w:p w14:paraId="0BCCBD36" w14:textId="025DDB3F" w:rsidR="00175B8E" w:rsidRDefault="008075FA" w:rsidP="008075FA">
      <w:r>
        <w:rPr>
          <w:lang w:val="en-GB" w:eastAsia="en-GB"/>
        </w:rPr>
        <w:t>The study reported</w:t>
      </w:r>
      <w:r w:rsidR="00175B8E">
        <w:rPr>
          <w:lang w:val="en-GB" w:eastAsia="en-GB"/>
        </w:rPr>
        <w:t xml:space="preserve"> no significa</w:t>
      </w:r>
      <w:r>
        <w:rPr>
          <w:lang w:val="en-GB" w:eastAsia="en-GB"/>
        </w:rPr>
        <w:t xml:space="preserve">nt difference in the volume of </w:t>
      </w:r>
      <w:r w:rsidR="00175B8E">
        <w:rPr>
          <w:lang w:val="en-GB" w:eastAsia="en-GB"/>
        </w:rPr>
        <w:t>RBCs transfused</w:t>
      </w:r>
      <w:r w:rsidR="00175B8E">
        <w:t>.</w:t>
      </w:r>
      <w:hyperlink w:anchor="_ENREF_215" w:tooltip="Mozol, 2008 #904" w:history="1">
        <w:r w:rsidR="00E62798">
          <w:fldChar w:fldCharType="begin">
            <w:fldData xml:space="preserve">PEVuZE5vdGU+PENpdGU+PEF1dGhvcj5Nb3pvbDwvQXV0aG9yPjxZZWFyPjIwMDg8L1llYXI+PFJl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==
</w:fldData>
          </w:fldChar>
        </w:r>
        <w:r w:rsidR="00E62798">
          <w:instrText xml:space="preserve"> ADDIN EN.CITE </w:instrText>
        </w:r>
        <w:r w:rsidR="00E62798">
          <w:fldChar w:fldCharType="begin">
            <w:fldData xml:space="preserve">PEVuZE5vdGU+PENpdGU+PEF1dGhvcj5Nb3pvbDwvQXV0aG9yPjxZZWFyPjIwMDg8L1llYXI+PFJl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==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215</w:t>
        </w:r>
        <w:r w:rsidR="00E62798">
          <w:fldChar w:fldCharType="end"/>
        </w:r>
      </w:hyperlink>
      <w:r w:rsidR="00175B8E">
        <w:t xml:space="preserve"> </w:t>
      </w:r>
    </w:p>
    <w:p w14:paraId="386E8FCC" w14:textId="74C64403" w:rsidR="00175B8E" w:rsidRPr="006D763D" w:rsidRDefault="006D763D" w:rsidP="006F68C5">
      <w:pPr>
        <w:pStyle w:val="Heading3"/>
      </w:pPr>
      <w:bookmarkStart w:id="178" w:name="_Toc427851365"/>
      <w:r>
        <w:rPr>
          <w:lang w:val="en-AU"/>
        </w:rPr>
        <w:t>3.5.11</w:t>
      </w:r>
      <w:r>
        <w:rPr>
          <w:lang w:val="en-AU"/>
        </w:rPr>
        <w:tab/>
        <w:t>Critically ill neonatal and p</w:t>
      </w:r>
      <w:r>
        <w:rPr>
          <w:rFonts w:cs="Tahoma"/>
          <w:szCs w:val="21"/>
          <w:lang w:val="en-GB" w:eastAsia="en-GB"/>
        </w:rPr>
        <w:t xml:space="preserve">aediatric </w:t>
      </w:r>
      <w:r w:rsidRPr="00EA4E11">
        <w:rPr>
          <w:rFonts w:cs="Tahoma"/>
          <w:szCs w:val="21"/>
          <w:lang w:val="en-GB" w:eastAsia="en-GB"/>
        </w:rPr>
        <w:t>patients</w:t>
      </w:r>
      <w:r>
        <w:rPr>
          <w:rFonts w:cs="Tahoma"/>
          <w:szCs w:val="21"/>
          <w:lang w:val="en-GB" w:eastAsia="en-GB"/>
        </w:rPr>
        <w:t xml:space="preserve"> </w:t>
      </w:r>
      <w:r>
        <w:rPr>
          <w:lang w:val="en-AU"/>
        </w:rPr>
        <w:t xml:space="preserve">– effects of </w:t>
      </w:r>
      <w:r w:rsidR="006F68C5">
        <w:rPr>
          <w:lang w:val="en-GB" w:eastAsia="en-GB"/>
        </w:rPr>
        <w:t>rFVIIa</w:t>
      </w:r>
      <w:r>
        <w:rPr>
          <w:lang w:val="en-GB" w:eastAsia="en-GB"/>
        </w:rPr>
        <w:t xml:space="preserve"> on outcomes</w:t>
      </w:r>
      <w:bookmarkEnd w:id="178"/>
    </w:p>
    <w:tbl>
      <w:tblPr>
        <w:tblW w:w="870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3577"/>
        <w:gridCol w:w="810"/>
        <w:gridCol w:w="912"/>
        <w:gridCol w:w="794"/>
        <w:gridCol w:w="794"/>
        <w:gridCol w:w="794"/>
      </w:tblGrid>
      <w:tr w:rsidR="00175B8E" w14:paraId="571D97AB" w14:textId="77777777" w:rsidTr="00467EEA">
        <w:trPr>
          <w:cantSplit/>
          <w:trHeight w:val="2078"/>
          <w:tblHeader/>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048F4C5F" w14:textId="38E3C5E4" w:rsidR="00175B8E" w:rsidRDefault="00175B8E" w:rsidP="00237FB7">
            <w:pPr>
              <w:pStyle w:val="PP-heading"/>
              <w:spacing w:line="276" w:lineRule="auto"/>
              <w:rPr>
                <w:lang w:val="en-US" w:eastAsia="en-US"/>
              </w:rPr>
            </w:pPr>
            <w:r>
              <w:rPr>
                <w:lang w:val="en-US" w:eastAsia="en-US"/>
              </w:rPr>
              <w:t xml:space="preserve">Evidence statements – </w:t>
            </w:r>
            <w:r w:rsidRPr="00A52193">
              <w:rPr>
                <w:lang w:val="en-US" w:eastAsia="en-US"/>
              </w:rPr>
              <w:t xml:space="preserve">critically ill </w:t>
            </w:r>
            <w:r>
              <w:rPr>
                <w:lang w:val="en-US" w:eastAsia="en-US"/>
              </w:rPr>
              <w:t>(</w:t>
            </w:r>
            <w:r w:rsidR="0084118A">
              <w:rPr>
                <w:lang w:val="en-US" w:eastAsia="en-US"/>
              </w:rPr>
              <w:t>rFV</w:t>
            </w:r>
            <w:r>
              <w:rPr>
                <w:lang w:val="en-US" w:eastAsia="en-US"/>
              </w:rPr>
              <w:t>IIa)</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8718207"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2"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595EBC9"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3833C0F"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3CA3F493"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8EA7F2B"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4EB29841"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25506F7D" w14:textId="77777777" w:rsidR="00175B8E" w:rsidRDefault="00175B8E" w:rsidP="00175B8E">
            <w:pPr>
              <w:pStyle w:val="Tabletextnoindent"/>
              <w:numPr>
                <w:ilvl w:val="0"/>
                <w:numId w:val="0"/>
              </w:numPr>
              <w:spacing w:line="276" w:lineRule="auto"/>
              <w:rPr>
                <w:lang w:val="en-US" w:eastAsia="en-US"/>
              </w:rPr>
            </w:pPr>
            <w:r w:rsidRPr="003A555A">
              <w:t>ES4.46</w:t>
            </w:r>
          </w:p>
        </w:tc>
        <w:tc>
          <w:tcPr>
            <w:tcW w:w="3577" w:type="dxa"/>
            <w:tcBorders>
              <w:top w:val="single" w:sz="4" w:space="0" w:color="000000"/>
              <w:left w:val="single" w:sz="4" w:space="0" w:color="000000"/>
              <w:bottom w:val="single" w:sz="4" w:space="0" w:color="000000"/>
              <w:right w:val="single" w:sz="4" w:space="0" w:color="000000"/>
            </w:tcBorders>
            <w:hideMark/>
          </w:tcPr>
          <w:p w14:paraId="19D1C543"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rFVIIa compared with no rFVIIa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1F894D52"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7167FC2E"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D427629"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9BBC9B4"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7435CAD1" w14:textId="77777777" w:rsidR="00175B8E" w:rsidRDefault="00175B8E" w:rsidP="00175B8E">
            <w:pPr>
              <w:pStyle w:val="T-ABCD"/>
              <w:spacing w:line="276" w:lineRule="auto"/>
              <w:rPr>
                <w:lang w:val="en-US" w:eastAsia="en-US"/>
              </w:rPr>
            </w:pPr>
            <w:r>
              <w:rPr>
                <w:lang w:val="en-US" w:eastAsia="en-US"/>
              </w:rPr>
              <w:t xml:space="preserve">NA </w:t>
            </w:r>
          </w:p>
        </w:tc>
      </w:tr>
      <w:tr w:rsidR="00175B8E" w14:paraId="36F4A54F"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3487D7D8" w14:textId="77777777" w:rsidR="00175B8E" w:rsidRDefault="00175B8E" w:rsidP="00175B8E">
            <w:pPr>
              <w:pStyle w:val="Tabletextnoindent"/>
              <w:numPr>
                <w:ilvl w:val="0"/>
                <w:numId w:val="0"/>
              </w:numPr>
              <w:spacing w:line="276" w:lineRule="auto"/>
              <w:rPr>
                <w:lang w:val="en-US" w:eastAsia="en-US"/>
              </w:rPr>
            </w:pPr>
            <w:r w:rsidRPr="003A555A">
              <w:t>ES4.47</w:t>
            </w:r>
          </w:p>
        </w:tc>
        <w:tc>
          <w:tcPr>
            <w:tcW w:w="3577" w:type="dxa"/>
            <w:tcBorders>
              <w:top w:val="single" w:sz="4" w:space="0" w:color="000000"/>
              <w:left w:val="single" w:sz="4" w:space="0" w:color="000000"/>
              <w:bottom w:val="single" w:sz="4" w:space="0" w:color="000000"/>
              <w:right w:val="single" w:sz="4" w:space="0" w:color="000000"/>
            </w:tcBorders>
            <w:hideMark/>
          </w:tcPr>
          <w:p w14:paraId="5A705854"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rFVIIa compared with no rFVIIa on transfusion volume or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22F966B5"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54E5FF93"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168A91BB"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5D0578EA"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5FC9BE0" w14:textId="77777777" w:rsidR="00175B8E" w:rsidRDefault="00175B8E" w:rsidP="00175B8E">
            <w:pPr>
              <w:pStyle w:val="T-ABCD"/>
              <w:spacing w:line="276" w:lineRule="auto"/>
              <w:rPr>
                <w:lang w:val="en-US" w:eastAsia="en-US"/>
              </w:rPr>
            </w:pPr>
            <w:r>
              <w:rPr>
                <w:lang w:val="en-US" w:eastAsia="en-US"/>
              </w:rPr>
              <w:t xml:space="preserve">NA </w:t>
            </w:r>
          </w:p>
        </w:tc>
      </w:tr>
      <w:tr w:rsidR="00175B8E" w14:paraId="5A93AECA"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6276A5BC" w14:textId="77777777" w:rsidR="00175B8E" w:rsidRDefault="00175B8E" w:rsidP="00175B8E">
            <w:pPr>
              <w:pStyle w:val="Tabletextnoindent"/>
              <w:numPr>
                <w:ilvl w:val="0"/>
                <w:numId w:val="0"/>
              </w:numPr>
              <w:spacing w:line="276" w:lineRule="auto"/>
              <w:rPr>
                <w:lang w:val="en-US" w:eastAsia="en-US"/>
              </w:rPr>
            </w:pPr>
            <w:r w:rsidRPr="003A555A">
              <w:t>ES4.48</w:t>
            </w:r>
          </w:p>
        </w:tc>
        <w:tc>
          <w:tcPr>
            <w:tcW w:w="3577" w:type="dxa"/>
            <w:tcBorders>
              <w:top w:val="single" w:sz="4" w:space="0" w:color="000000"/>
              <w:left w:val="single" w:sz="4" w:space="0" w:color="000000"/>
              <w:bottom w:val="single" w:sz="4" w:space="0" w:color="000000"/>
              <w:right w:val="single" w:sz="4" w:space="0" w:color="000000"/>
            </w:tcBorders>
            <w:hideMark/>
          </w:tcPr>
          <w:p w14:paraId="7CC0F58F"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rFVIIa compared with no rFVIIa on thromboembolic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11996E1B"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4621BEBA"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179EB2E6"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E41E66A"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01314794" w14:textId="77777777" w:rsidR="00175B8E" w:rsidRDefault="00175B8E" w:rsidP="00175B8E">
            <w:pPr>
              <w:pStyle w:val="T-ABCD"/>
              <w:spacing w:line="276" w:lineRule="auto"/>
              <w:rPr>
                <w:lang w:val="en-US" w:eastAsia="en-US"/>
              </w:rPr>
            </w:pPr>
            <w:r>
              <w:rPr>
                <w:lang w:val="en-US" w:eastAsia="en-US"/>
              </w:rPr>
              <w:t xml:space="preserve">NA </w:t>
            </w:r>
          </w:p>
        </w:tc>
      </w:tr>
      <w:tr w:rsidR="00175B8E" w14:paraId="2D89C42D" w14:textId="77777777" w:rsidTr="00175B8E">
        <w:trPr>
          <w:cantSplit/>
        </w:trPr>
        <w:tc>
          <w:tcPr>
            <w:tcW w:w="1019" w:type="dxa"/>
            <w:tcBorders>
              <w:top w:val="single" w:sz="4" w:space="0" w:color="000000"/>
              <w:left w:val="single" w:sz="4" w:space="0" w:color="000000"/>
              <w:bottom w:val="single" w:sz="4" w:space="0" w:color="000000"/>
              <w:right w:val="single" w:sz="4" w:space="0" w:color="000000"/>
            </w:tcBorders>
          </w:tcPr>
          <w:p w14:paraId="6EA553CC" w14:textId="77777777" w:rsidR="00175B8E" w:rsidRDefault="00175B8E" w:rsidP="00175B8E">
            <w:pPr>
              <w:pStyle w:val="Tabletextnoindent"/>
              <w:numPr>
                <w:ilvl w:val="0"/>
                <w:numId w:val="0"/>
              </w:numPr>
              <w:spacing w:line="276" w:lineRule="auto"/>
              <w:rPr>
                <w:lang w:val="en-US" w:eastAsia="en-US"/>
              </w:rPr>
            </w:pPr>
            <w:r w:rsidRPr="003A555A">
              <w:t>ES4.49</w:t>
            </w:r>
          </w:p>
        </w:tc>
        <w:tc>
          <w:tcPr>
            <w:tcW w:w="3577" w:type="dxa"/>
            <w:tcBorders>
              <w:top w:val="single" w:sz="4" w:space="0" w:color="000000"/>
              <w:left w:val="single" w:sz="4" w:space="0" w:color="000000"/>
              <w:bottom w:val="single" w:sz="4" w:space="0" w:color="000000"/>
              <w:right w:val="single" w:sz="4" w:space="0" w:color="000000"/>
            </w:tcBorders>
            <w:hideMark/>
          </w:tcPr>
          <w:p w14:paraId="578CAB4D"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rFVIIa compared with no rFVIIa on bleeding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4A947BEB"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3D62C322"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10E4C440"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3497702"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24676491"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CBDF3D7" w14:textId="77777777" w:rsidTr="00175B8E">
        <w:trPr>
          <w:cantSplit/>
        </w:trPr>
        <w:tc>
          <w:tcPr>
            <w:tcW w:w="8700" w:type="dxa"/>
            <w:gridSpan w:val="7"/>
            <w:tcBorders>
              <w:top w:val="single" w:sz="4" w:space="0" w:color="000000"/>
              <w:left w:val="single" w:sz="4" w:space="0" w:color="000000"/>
              <w:bottom w:val="single" w:sz="4" w:space="0" w:color="000000"/>
              <w:right w:val="single" w:sz="4" w:space="0" w:color="000000"/>
            </w:tcBorders>
            <w:hideMark/>
          </w:tcPr>
          <w:p w14:paraId="1937C05A" w14:textId="152B97C5" w:rsidR="00175B8E" w:rsidRDefault="00175B8E" w:rsidP="00175B8E">
            <w:pPr>
              <w:pStyle w:val="ES-notes"/>
              <w:spacing w:line="276" w:lineRule="auto"/>
              <w:rPr>
                <w:rFonts w:eastAsiaTheme="minorHAnsi"/>
                <w:lang w:val="en-US" w:eastAsia="en-US"/>
              </w:rPr>
            </w:pPr>
            <w:r>
              <w:rPr>
                <w:lang w:val="en-US" w:eastAsia="en-US"/>
              </w:rPr>
              <w:t xml:space="preserve">ES, evidence statement; rFVIIa, recombinant </w:t>
            </w:r>
            <w:r w:rsidR="006F68C5">
              <w:rPr>
                <w:lang w:val="en-US" w:eastAsia="en-US"/>
              </w:rPr>
              <w:t xml:space="preserve">activated </w:t>
            </w:r>
            <w:r>
              <w:rPr>
                <w:lang w:val="en-US" w:eastAsia="en-US"/>
              </w:rPr>
              <w:t>factor VII</w:t>
            </w:r>
          </w:p>
          <w:p w14:paraId="0ADAF38C"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6E40387F" w14:textId="77777777" w:rsidR="00175B8E" w:rsidRPr="00A52193" w:rsidRDefault="00175B8E" w:rsidP="00175B8E">
      <w:pPr>
        <w:rPr>
          <w:lang w:val="en-GB" w:eastAsia="en-GB"/>
        </w:rPr>
      </w:pPr>
    </w:p>
    <w:p w14:paraId="30C46596" w14:textId="77777777" w:rsidR="00175B8E" w:rsidRDefault="00175B8E" w:rsidP="006D763D">
      <w:pPr>
        <w:pStyle w:val="Heading4"/>
      </w:pPr>
      <w:r>
        <w:t>Background</w:t>
      </w:r>
    </w:p>
    <w:p w14:paraId="4D726AFD" w14:textId="77777777" w:rsidR="006D763D" w:rsidRPr="00BE4E23" w:rsidRDefault="006D763D" w:rsidP="006D763D">
      <w:r>
        <w:t>rFVIIa</w:t>
      </w:r>
      <w:r w:rsidRPr="004C64BE">
        <w:t xml:space="preserve"> </w:t>
      </w:r>
      <w:r>
        <w:t>activates</w:t>
      </w:r>
      <w:r w:rsidRPr="00BE4E23">
        <w:t xml:space="preserve"> </w:t>
      </w:r>
      <w:r>
        <w:t xml:space="preserve">the </w:t>
      </w:r>
      <w:r w:rsidRPr="00BE4E23">
        <w:t>formation of prothrombinase compl</w:t>
      </w:r>
      <w:r>
        <w:t>ex.</w:t>
      </w:r>
      <w:r w:rsidRPr="00BE4E23">
        <w:t xml:space="preserve"> </w:t>
      </w:r>
      <w:r>
        <w:t>It has a local mode of a</w:t>
      </w:r>
      <w:r w:rsidRPr="00BE4E23">
        <w:t>ction in a</w:t>
      </w:r>
      <w:r>
        <w:t xml:space="preserve">reas where tissue factor </w:t>
      </w:r>
      <w:r w:rsidRPr="00BE4E23">
        <w:t xml:space="preserve">or </w:t>
      </w:r>
      <w:r>
        <w:t>phospholipid are</w:t>
      </w:r>
      <w:r w:rsidRPr="00BE4E23">
        <w:t xml:space="preserve"> exposed. At pharmacological doses, rFVIIa bypasses conventional steps in </w:t>
      </w:r>
      <w:r>
        <w:t xml:space="preserve">the </w:t>
      </w:r>
      <w:r w:rsidRPr="00BE4E23">
        <w:t xml:space="preserve">coagulation cascade and </w:t>
      </w:r>
      <w:r>
        <w:t xml:space="preserve">acts directly on activated platelets at the injury site, leading to the generation of a fully stabilised fibrin clot. </w:t>
      </w:r>
    </w:p>
    <w:p w14:paraId="06206D63" w14:textId="77777777" w:rsidR="00175B8E" w:rsidRDefault="00175B8E" w:rsidP="006D763D">
      <w:pPr>
        <w:pStyle w:val="Heading4"/>
      </w:pPr>
      <w:r>
        <w:t>Summary of evidence</w:t>
      </w:r>
    </w:p>
    <w:p w14:paraId="25112AC2" w14:textId="77777777" w:rsidR="00175B8E" w:rsidRDefault="00175B8E" w:rsidP="006D763D">
      <w:r>
        <w:t>This review did not identify any eligible Level I or Level II studies</w:t>
      </w:r>
      <w:r w:rsidRPr="009C183B">
        <w:t>.</w:t>
      </w:r>
    </w:p>
    <w:p w14:paraId="397F4992" w14:textId="3E98DAA3" w:rsidR="006D763D" w:rsidRPr="006D763D" w:rsidRDefault="006D763D" w:rsidP="00647CA0">
      <w:pPr>
        <w:pStyle w:val="BoxHeading"/>
        <w:rPr>
          <w:lang w:val="en-AU"/>
        </w:rPr>
      </w:pPr>
      <w:r>
        <w:t>Clinical commentary</w:t>
      </w:r>
      <w:r>
        <w:rPr>
          <w:lang w:val="en-AU"/>
        </w:rPr>
        <w:t xml:space="preserve"> – </w:t>
      </w:r>
      <w:r w:rsidR="006F68C5">
        <w:rPr>
          <w:lang w:val="en-AU"/>
        </w:rPr>
        <w:t>rFVIIa</w:t>
      </w:r>
      <w:r>
        <w:t xml:space="preserve"> in critically ill </w:t>
      </w:r>
      <w:r>
        <w:rPr>
          <w:rFonts w:cs="Tahoma"/>
          <w:szCs w:val="21"/>
        </w:rPr>
        <w:t xml:space="preserve">paediatric </w:t>
      </w:r>
      <w:r w:rsidRPr="00EA4E11">
        <w:rPr>
          <w:rFonts w:cs="Tahoma"/>
          <w:szCs w:val="21"/>
        </w:rPr>
        <w:t>patients</w:t>
      </w:r>
    </w:p>
    <w:p w14:paraId="1EA22C5F" w14:textId="786D0003" w:rsidR="00175B8E" w:rsidRDefault="00175B8E" w:rsidP="00647CA0">
      <w:pPr>
        <w:pStyle w:val="BoxText"/>
      </w:pPr>
      <w:r>
        <w:t xml:space="preserve">There is limited evidence regarding the use of rFVIIa in paediatric patients. There are concerns about safety, particularly about thromboembolic events. Its routine use is not advised; however, it may have a role in patients with life-threatening haemorrhage, including trauma patients and those on extracorporeal life support (ECLS), where conventional measures have been ineffective. </w:t>
      </w:r>
      <w:r w:rsidR="00DF3BC7" w:rsidRPr="00DF3BC7">
        <w:t>In Australia, rFVIIa is not licensed for use in major bleeding</w:t>
      </w:r>
      <w:r w:rsidR="00DF3BC7">
        <w:rPr>
          <w:lang w:val="en-AU"/>
        </w:rPr>
        <w:t>,</w:t>
      </w:r>
      <w:r w:rsidR="00DF3BC7" w:rsidRPr="00DF3BC7">
        <w:t xml:space="preserve"> and its role should be limited</w:t>
      </w:r>
      <w:r w:rsidR="00DF3BC7">
        <w:t xml:space="preserve"> to exceptional circumstances. </w:t>
      </w:r>
    </w:p>
    <w:p w14:paraId="468A45E9" w14:textId="12E74E90" w:rsidR="00175B8E" w:rsidRPr="006D763D" w:rsidRDefault="006D763D" w:rsidP="006D763D">
      <w:pPr>
        <w:pStyle w:val="Heading3"/>
        <w:rPr>
          <w:lang w:val="en-AU"/>
        </w:rPr>
      </w:pPr>
      <w:bookmarkStart w:id="179" w:name="_Toc427851366"/>
      <w:r>
        <w:t>3.5.1</w:t>
      </w:r>
      <w:r>
        <w:rPr>
          <w:lang w:val="en-AU"/>
        </w:rPr>
        <w:t>2</w:t>
      </w:r>
      <w:r>
        <w:tab/>
      </w:r>
      <w:r>
        <w:rPr>
          <w:lang w:val="en-US" w:eastAsia="en-US"/>
        </w:rPr>
        <w:t>Critically ill neonatal and paediatric patients – effects of v</w:t>
      </w:r>
      <w:r w:rsidR="00175B8E">
        <w:t xml:space="preserve">iscoelastometric </w:t>
      </w:r>
      <w:r w:rsidR="006F68C5">
        <w:rPr>
          <w:lang w:val="en-AU"/>
        </w:rPr>
        <w:t>POC</w:t>
      </w:r>
      <w:r w:rsidR="00175B8E">
        <w:t xml:space="preserve"> testing</w:t>
      </w:r>
      <w:r>
        <w:rPr>
          <w:lang w:val="en-AU"/>
        </w:rPr>
        <w:t xml:space="preserve"> on outcomes</w:t>
      </w:r>
      <w:bookmarkEnd w:id="179"/>
      <w:r>
        <w:rPr>
          <w:lang w:val="en-AU"/>
        </w:rPr>
        <w:t xml:space="preserve"> </w:t>
      </w:r>
    </w:p>
    <w:tbl>
      <w:tblPr>
        <w:tblW w:w="870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604"/>
        <w:gridCol w:w="810"/>
        <w:gridCol w:w="912"/>
        <w:gridCol w:w="794"/>
        <w:gridCol w:w="794"/>
        <w:gridCol w:w="794"/>
      </w:tblGrid>
      <w:tr w:rsidR="00175B8E" w14:paraId="4B0302D8" w14:textId="77777777" w:rsidTr="00467EEA">
        <w:trPr>
          <w:cantSplit/>
          <w:trHeight w:val="2078"/>
          <w:tblHeader/>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44A9C4"/>
            <w:hideMark/>
          </w:tcPr>
          <w:p w14:paraId="41A8D63C" w14:textId="7FBDB8DC" w:rsidR="00175B8E" w:rsidRDefault="00175B8E" w:rsidP="00237FB7">
            <w:pPr>
              <w:pStyle w:val="PP-heading"/>
              <w:spacing w:line="276" w:lineRule="auto"/>
              <w:rPr>
                <w:lang w:val="en-US" w:eastAsia="en-US"/>
              </w:rPr>
            </w:pPr>
            <w:r>
              <w:rPr>
                <w:lang w:val="en-US" w:eastAsia="en-US"/>
              </w:rPr>
              <w:t xml:space="preserve">Evidence statements – critically ill (viscoelastometric </w:t>
            </w:r>
            <w:r w:rsidR="00237FB7">
              <w:rPr>
                <w:lang w:val="en-US" w:eastAsia="en-US"/>
              </w:rPr>
              <w:t>POC</w:t>
            </w:r>
            <w:r>
              <w:rPr>
                <w:lang w:val="en-US" w:eastAsia="en-US"/>
              </w:rPr>
              <w:t xml:space="preserve"> testing)</w:t>
            </w:r>
          </w:p>
        </w:tc>
        <w:tc>
          <w:tcPr>
            <w:tcW w:w="810"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52F866E" w14:textId="77777777" w:rsidR="00175B8E" w:rsidRDefault="00175B8E" w:rsidP="00175B8E">
            <w:pPr>
              <w:spacing w:line="276" w:lineRule="auto"/>
              <w:ind w:left="113" w:right="113"/>
              <w:jc w:val="center"/>
              <w:rPr>
                <w:b/>
                <w:lang w:val="en-US" w:eastAsia="en-US"/>
              </w:rPr>
            </w:pPr>
            <w:r>
              <w:rPr>
                <w:b/>
                <w:lang w:val="en-US" w:eastAsia="en-US"/>
              </w:rPr>
              <w:t>Evidence</w:t>
            </w:r>
          </w:p>
        </w:tc>
        <w:tc>
          <w:tcPr>
            <w:tcW w:w="912"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B44DA25" w14:textId="77777777" w:rsidR="00175B8E" w:rsidRDefault="00175B8E" w:rsidP="00175B8E">
            <w:pPr>
              <w:spacing w:line="276" w:lineRule="auto"/>
              <w:ind w:left="113" w:right="113"/>
              <w:jc w:val="center"/>
              <w:rPr>
                <w:b/>
                <w:lang w:val="en-US" w:eastAsia="en-US"/>
              </w:rPr>
            </w:pPr>
            <w:r>
              <w:rPr>
                <w:b/>
                <w:lang w:val="en-US" w:eastAsia="en-US"/>
              </w:rPr>
              <w:t>Consistency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6B71690C" w14:textId="77777777" w:rsidR="00175B8E" w:rsidRDefault="00175B8E" w:rsidP="00175B8E">
            <w:pPr>
              <w:spacing w:line="276" w:lineRule="auto"/>
              <w:ind w:left="113" w:right="113"/>
              <w:jc w:val="center"/>
              <w:rPr>
                <w:b/>
                <w:lang w:val="en-US" w:eastAsia="en-US"/>
              </w:rPr>
            </w:pPr>
            <w:r>
              <w:rPr>
                <w:b/>
                <w:lang w:val="en-US" w:eastAsia="en-US"/>
              </w:rPr>
              <w:t>Clinical impact</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78D7E69E" w14:textId="77777777" w:rsidR="00175B8E" w:rsidRDefault="00175B8E" w:rsidP="00175B8E">
            <w:pPr>
              <w:spacing w:line="276" w:lineRule="auto"/>
              <w:ind w:left="113" w:right="113"/>
              <w:jc w:val="center"/>
              <w:rPr>
                <w:b/>
                <w:lang w:val="en-US" w:eastAsia="en-US"/>
              </w:rPr>
            </w:pPr>
            <w:r>
              <w:rPr>
                <w:b/>
                <w:lang w:val="en-US" w:eastAsia="en-US"/>
              </w:rPr>
              <w:t>Generalisability</w:t>
            </w:r>
          </w:p>
        </w:tc>
        <w:tc>
          <w:tcPr>
            <w:tcW w:w="794" w:type="dxa"/>
            <w:tcBorders>
              <w:top w:val="single" w:sz="4" w:space="0" w:color="000000"/>
              <w:left w:val="single" w:sz="4" w:space="0" w:color="000000"/>
              <w:bottom w:val="single" w:sz="4" w:space="0" w:color="000000"/>
              <w:right w:val="single" w:sz="4" w:space="0" w:color="000000"/>
            </w:tcBorders>
            <w:shd w:val="clear" w:color="auto" w:fill="44A9C4"/>
            <w:textDirection w:val="btLr"/>
            <w:hideMark/>
          </w:tcPr>
          <w:p w14:paraId="0DB745F2" w14:textId="77777777" w:rsidR="00175B8E" w:rsidRDefault="00175B8E" w:rsidP="00175B8E">
            <w:pPr>
              <w:spacing w:line="276" w:lineRule="auto"/>
              <w:ind w:left="113" w:right="113"/>
              <w:jc w:val="center"/>
              <w:rPr>
                <w:b/>
                <w:lang w:val="en-US" w:eastAsia="en-US"/>
              </w:rPr>
            </w:pPr>
            <w:r>
              <w:rPr>
                <w:b/>
                <w:lang w:val="en-US" w:eastAsia="en-US"/>
              </w:rPr>
              <w:t>Applicability</w:t>
            </w:r>
          </w:p>
        </w:tc>
      </w:tr>
      <w:tr w:rsidR="00175B8E" w14:paraId="25F0FE6D"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D90FF92" w14:textId="77777777" w:rsidR="00175B8E" w:rsidRDefault="00175B8E" w:rsidP="00175B8E">
            <w:pPr>
              <w:pStyle w:val="Tabletextnoindent"/>
              <w:numPr>
                <w:ilvl w:val="0"/>
                <w:numId w:val="0"/>
              </w:numPr>
              <w:spacing w:line="276" w:lineRule="auto"/>
              <w:rPr>
                <w:lang w:val="en-US" w:eastAsia="en-US"/>
              </w:rPr>
            </w:pPr>
            <w:r w:rsidRPr="00503600">
              <w:t>ES4.</w:t>
            </w:r>
            <w:r>
              <w:t>50</w:t>
            </w:r>
          </w:p>
        </w:tc>
        <w:tc>
          <w:tcPr>
            <w:tcW w:w="3604" w:type="dxa"/>
            <w:tcBorders>
              <w:top w:val="single" w:sz="4" w:space="0" w:color="000000"/>
              <w:left w:val="single" w:sz="4" w:space="0" w:color="000000"/>
              <w:bottom w:val="single" w:sz="4" w:space="0" w:color="000000"/>
              <w:right w:val="single" w:sz="4" w:space="0" w:color="000000"/>
            </w:tcBorders>
            <w:hideMark/>
          </w:tcPr>
          <w:p w14:paraId="4EA95B7B"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viscoelastometric POC testing compared with no viscoelastometric POC testing on mortality is unknown.</w:t>
            </w:r>
          </w:p>
        </w:tc>
        <w:tc>
          <w:tcPr>
            <w:tcW w:w="810" w:type="dxa"/>
            <w:tcBorders>
              <w:top w:val="single" w:sz="4" w:space="0" w:color="000000"/>
              <w:left w:val="single" w:sz="4" w:space="0" w:color="000000"/>
              <w:bottom w:val="single" w:sz="4" w:space="0" w:color="000000"/>
              <w:right w:val="single" w:sz="4" w:space="0" w:color="000000"/>
            </w:tcBorders>
            <w:hideMark/>
          </w:tcPr>
          <w:p w14:paraId="5227568C" w14:textId="77777777" w:rsidR="00175B8E" w:rsidRDefault="00175B8E" w:rsidP="00175B8E">
            <w:pPr>
              <w:pStyle w:val="T-ABCD"/>
              <w:spacing w:line="276" w:lineRule="auto"/>
              <w:rPr>
                <w:rFonts w:eastAsiaTheme="minorHAnsi"/>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4A302308" w14:textId="77777777" w:rsidR="00175B8E" w:rsidRDefault="00175B8E" w:rsidP="00175B8E">
            <w:pPr>
              <w:pStyle w:val="T-ABCD"/>
              <w:spacing w:line="276" w:lineRule="auto"/>
              <w:rPr>
                <w:rFonts w:eastAsiaTheme="minorHAnsi"/>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33BCD282" w14:textId="77777777" w:rsidR="00175B8E" w:rsidRDefault="00175B8E" w:rsidP="00175B8E">
            <w:pPr>
              <w:pStyle w:val="T-ABCD"/>
              <w:spacing w:line="276" w:lineRule="auto"/>
              <w:rPr>
                <w:rFonts w:eastAsiaTheme="minorHAnsi"/>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6DE48E94" w14:textId="77777777" w:rsidR="00175B8E" w:rsidRDefault="00175B8E" w:rsidP="00175B8E">
            <w:pPr>
              <w:pStyle w:val="T-ABCD"/>
              <w:spacing w:line="276" w:lineRule="auto"/>
              <w:rPr>
                <w:rFonts w:eastAsiaTheme="minorHAnsi"/>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743EBD4C" w14:textId="77777777" w:rsidR="00175B8E" w:rsidRDefault="00175B8E" w:rsidP="00175B8E">
            <w:pPr>
              <w:pStyle w:val="T-ABCD"/>
              <w:spacing w:line="276" w:lineRule="auto"/>
              <w:rPr>
                <w:rFonts w:eastAsiaTheme="minorHAnsi"/>
                <w:lang w:val="en-US" w:eastAsia="en-US"/>
              </w:rPr>
            </w:pPr>
            <w:r>
              <w:rPr>
                <w:lang w:val="en-US" w:eastAsia="en-US"/>
              </w:rPr>
              <w:t xml:space="preserve">NA </w:t>
            </w:r>
          </w:p>
        </w:tc>
      </w:tr>
      <w:tr w:rsidR="00175B8E" w14:paraId="11674E2B"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295D7224" w14:textId="77777777" w:rsidR="00175B8E" w:rsidRDefault="00175B8E" w:rsidP="00175B8E">
            <w:pPr>
              <w:pStyle w:val="Tabletextnoindent"/>
              <w:numPr>
                <w:ilvl w:val="0"/>
                <w:numId w:val="0"/>
              </w:numPr>
              <w:spacing w:line="276" w:lineRule="auto"/>
              <w:rPr>
                <w:lang w:val="en-US" w:eastAsia="en-US"/>
              </w:rPr>
            </w:pPr>
            <w:r w:rsidRPr="00503600">
              <w:t>ES4.</w:t>
            </w:r>
            <w:r>
              <w:t>51</w:t>
            </w:r>
          </w:p>
        </w:tc>
        <w:tc>
          <w:tcPr>
            <w:tcW w:w="3604" w:type="dxa"/>
            <w:tcBorders>
              <w:top w:val="single" w:sz="4" w:space="0" w:color="000000"/>
              <w:left w:val="single" w:sz="4" w:space="0" w:color="000000"/>
              <w:bottom w:val="single" w:sz="4" w:space="0" w:color="000000"/>
              <w:right w:val="single" w:sz="4" w:space="0" w:color="000000"/>
            </w:tcBorders>
            <w:hideMark/>
          </w:tcPr>
          <w:p w14:paraId="00F0A10E"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viscoelastometric POC testing compared with no viscoelastometric POC testing on transfusion volume or incidence is unknown.</w:t>
            </w:r>
          </w:p>
        </w:tc>
        <w:tc>
          <w:tcPr>
            <w:tcW w:w="810" w:type="dxa"/>
            <w:tcBorders>
              <w:top w:val="single" w:sz="4" w:space="0" w:color="000000"/>
              <w:left w:val="single" w:sz="4" w:space="0" w:color="000000"/>
              <w:bottom w:val="single" w:sz="4" w:space="0" w:color="000000"/>
              <w:right w:val="single" w:sz="4" w:space="0" w:color="000000"/>
            </w:tcBorders>
            <w:hideMark/>
          </w:tcPr>
          <w:p w14:paraId="2A5F3EA0"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22F23DDF"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423C4667"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1D65A9F6"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6035F791" w14:textId="77777777" w:rsidR="00175B8E" w:rsidRDefault="00175B8E" w:rsidP="00175B8E">
            <w:pPr>
              <w:pStyle w:val="T-ABCD"/>
              <w:spacing w:line="276" w:lineRule="auto"/>
              <w:rPr>
                <w:lang w:val="en-US" w:eastAsia="en-US"/>
              </w:rPr>
            </w:pPr>
            <w:r>
              <w:rPr>
                <w:lang w:val="en-US" w:eastAsia="en-US"/>
              </w:rPr>
              <w:t xml:space="preserve">NA </w:t>
            </w:r>
          </w:p>
        </w:tc>
      </w:tr>
      <w:tr w:rsidR="00175B8E" w14:paraId="062B251E" w14:textId="77777777" w:rsidTr="00175B8E">
        <w:trPr>
          <w:cantSplit/>
        </w:trPr>
        <w:tc>
          <w:tcPr>
            <w:tcW w:w="992" w:type="dxa"/>
            <w:tcBorders>
              <w:top w:val="single" w:sz="4" w:space="0" w:color="000000"/>
              <w:left w:val="single" w:sz="4" w:space="0" w:color="000000"/>
              <w:bottom w:val="single" w:sz="4" w:space="0" w:color="000000"/>
              <w:right w:val="single" w:sz="4" w:space="0" w:color="000000"/>
            </w:tcBorders>
          </w:tcPr>
          <w:p w14:paraId="432E8EF4" w14:textId="77777777" w:rsidR="00175B8E" w:rsidRDefault="00175B8E" w:rsidP="00175B8E">
            <w:pPr>
              <w:pStyle w:val="Tabletextnoindent"/>
              <w:numPr>
                <w:ilvl w:val="0"/>
                <w:numId w:val="0"/>
              </w:numPr>
              <w:spacing w:line="276" w:lineRule="auto"/>
              <w:rPr>
                <w:lang w:val="en-US" w:eastAsia="en-US"/>
              </w:rPr>
            </w:pPr>
            <w:r w:rsidRPr="00503600">
              <w:t>ES4.</w:t>
            </w:r>
            <w:r>
              <w:t>52</w:t>
            </w:r>
          </w:p>
        </w:tc>
        <w:tc>
          <w:tcPr>
            <w:tcW w:w="3604" w:type="dxa"/>
            <w:tcBorders>
              <w:top w:val="single" w:sz="4" w:space="0" w:color="000000"/>
              <w:left w:val="single" w:sz="4" w:space="0" w:color="000000"/>
              <w:bottom w:val="single" w:sz="4" w:space="0" w:color="000000"/>
              <w:right w:val="single" w:sz="4" w:space="0" w:color="000000"/>
            </w:tcBorders>
            <w:hideMark/>
          </w:tcPr>
          <w:p w14:paraId="6C2EFD7B" w14:textId="77777777" w:rsidR="00175B8E" w:rsidRDefault="00175B8E" w:rsidP="00175B8E">
            <w:pPr>
              <w:pStyle w:val="ES-table"/>
              <w:spacing w:line="276" w:lineRule="auto"/>
              <w:rPr>
                <w:rFonts w:eastAsiaTheme="minorHAnsi"/>
                <w:lang w:val="en-US" w:eastAsia="en-US"/>
              </w:rPr>
            </w:pPr>
            <w:r>
              <w:rPr>
                <w:lang w:val="en-US" w:eastAsia="en-US"/>
              </w:rPr>
              <w:t>In critically ill paediatric patients, the effect of viscoelastometric POC testing compared with no viscoelastometric POC testing on bleeding events is unknown.</w:t>
            </w:r>
          </w:p>
        </w:tc>
        <w:tc>
          <w:tcPr>
            <w:tcW w:w="810" w:type="dxa"/>
            <w:tcBorders>
              <w:top w:val="single" w:sz="4" w:space="0" w:color="000000"/>
              <w:left w:val="single" w:sz="4" w:space="0" w:color="000000"/>
              <w:bottom w:val="single" w:sz="4" w:space="0" w:color="000000"/>
              <w:right w:val="single" w:sz="4" w:space="0" w:color="000000"/>
            </w:tcBorders>
            <w:hideMark/>
          </w:tcPr>
          <w:p w14:paraId="61BF4587" w14:textId="77777777" w:rsidR="00175B8E" w:rsidRDefault="00175B8E" w:rsidP="00175B8E">
            <w:pPr>
              <w:pStyle w:val="T-ABCD"/>
              <w:spacing w:line="276" w:lineRule="auto"/>
              <w:rPr>
                <w:lang w:val="en-US" w:eastAsia="en-US"/>
              </w:rPr>
            </w:pPr>
            <w:r>
              <w:rPr>
                <w:lang w:val="en-US" w:eastAsia="en-US"/>
              </w:rPr>
              <w:t>NA</w:t>
            </w:r>
          </w:p>
        </w:tc>
        <w:tc>
          <w:tcPr>
            <w:tcW w:w="912" w:type="dxa"/>
            <w:tcBorders>
              <w:top w:val="single" w:sz="4" w:space="0" w:color="000000"/>
              <w:left w:val="single" w:sz="4" w:space="0" w:color="000000"/>
              <w:bottom w:val="single" w:sz="4" w:space="0" w:color="000000"/>
              <w:right w:val="single" w:sz="4" w:space="0" w:color="000000"/>
            </w:tcBorders>
            <w:hideMark/>
          </w:tcPr>
          <w:p w14:paraId="01DB30FA"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50F28DA2"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04305D25" w14:textId="77777777" w:rsidR="00175B8E" w:rsidRDefault="00175B8E" w:rsidP="00175B8E">
            <w:pPr>
              <w:pStyle w:val="T-ABCD"/>
              <w:spacing w:line="276" w:lineRule="auto"/>
              <w:rPr>
                <w:lang w:val="en-US" w:eastAsia="en-US"/>
              </w:rPr>
            </w:pPr>
            <w:r>
              <w:rPr>
                <w:lang w:val="en-US" w:eastAsia="en-US"/>
              </w:rPr>
              <w:t>NA</w:t>
            </w:r>
          </w:p>
        </w:tc>
        <w:tc>
          <w:tcPr>
            <w:tcW w:w="794" w:type="dxa"/>
            <w:tcBorders>
              <w:top w:val="single" w:sz="4" w:space="0" w:color="000000"/>
              <w:left w:val="single" w:sz="4" w:space="0" w:color="000000"/>
              <w:bottom w:val="single" w:sz="4" w:space="0" w:color="000000"/>
              <w:right w:val="single" w:sz="4" w:space="0" w:color="000000"/>
            </w:tcBorders>
            <w:hideMark/>
          </w:tcPr>
          <w:p w14:paraId="4E71FE07" w14:textId="77777777" w:rsidR="00175B8E" w:rsidRDefault="00175B8E" w:rsidP="00175B8E">
            <w:pPr>
              <w:pStyle w:val="T-ABCD"/>
              <w:spacing w:line="276" w:lineRule="auto"/>
              <w:rPr>
                <w:lang w:val="en-US" w:eastAsia="en-US"/>
              </w:rPr>
            </w:pPr>
            <w:r>
              <w:rPr>
                <w:lang w:val="en-US" w:eastAsia="en-US"/>
              </w:rPr>
              <w:t xml:space="preserve">NA </w:t>
            </w:r>
          </w:p>
        </w:tc>
      </w:tr>
      <w:tr w:rsidR="00175B8E" w14:paraId="1C8D45D9" w14:textId="77777777" w:rsidTr="00175B8E">
        <w:trPr>
          <w:cantSplit/>
        </w:trPr>
        <w:tc>
          <w:tcPr>
            <w:tcW w:w="8700" w:type="dxa"/>
            <w:gridSpan w:val="7"/>
            <w:tcBorders>
              <w:top w:val="single" w:sz="4" w:space="0" w:color="000000"/>
              <w:left w:val="single" w:sz="4" w:space="0" w:color="000000"/>
              <w:bottom w:val="single" w:sz="4" w:space="0" w:color="000000"/>
              <w:right w:val="single" w:sz="4" w:space="0" w:color="000000"/>
            </w:tcBorders>
            <w:hideMark/>
          </w:tcPr>
          <w:p w14:paraId="403BA9D1" w14:textId="50A32D0C" w:rsidR="00175B8E" w:rsidRDefault="00175B8E" w:rsidP="00175B8E">
            <w:pPr>
              <w:pStyle w:val="ES-notes"/>
              <w:spacing w:line="276" w:lineRule="auto"/>
              <w:rPr>
                <w:rFonts w:eastAsiaTheme="minorHAnsi"/>
                <w:lang w:val="en-US" w:eastAsia="en-US"/>
              </w:rPr>
            </w:pPr>
            <w:r>
              <w:rPr>
                <w:lang w:val="en-US" w:eastAsia="en-US"/>
              </w:rPr>
              <w:t>ES, evidence statement; POC, point of care</w:t>
            </w:r>
            <w:r w:rsidR="004828DA">
              <w:rPr>
                <w:lang w:val="en-US" w:eastAsia="en-US"/>
              </w:rPr>
              <w:t xml:space="preserve"> </w:t>
            </w:r>
          </w:p>
          <w:p w14:paraId="4BEEA06D" w14:textId="77777777" w:rsidR="00175B8E" w:rsidRDefault="00175B8E" w:rsidP="00175B8E">
            <w:pPr>
              <w:pStyle w:val="ES-notes"/>
              <w:spacing w:line="276" w:lineRule="auto"/>
              <w:rPr>
                <w:rFonts w:eastAsiaTheme="minorHAnsi"/>
                <w:lang w:val="en-US" w:eastAsia="en-US"/>
              </w:rPr>
            </w:pPr>
            <w:r>
              <w:rPr>
                <w:lang w:val="en-US" w:eastAsia="en-US"/>
              </w:rPr>
              <w:sym w:font="Symbol" w:char="F0D6"/>
            </w:r>
            <w:r>
              <w:rPr>
                <w:lang w:val="en-US" w:eastAsia="en-US"/>
              </w:rPr>
              <w:sym w:font="Symbol" w:char="F0D6"/>
            </w:r>
            <w:r>
              <w:rPr>
                <w:lang w:val="en-US" w:eastAsia="en-US"/>
              </w:rPr>
              <w:sym w:font="Symbol" w:char="F0D6"/>
            </w:r>
            <w:r>
              <w:rPr>
                <w:lang w:val="en-US" w:eastAsia="en-US"/>
              </w:rPr>
              <w:t xml:space="preserve">=A; </w:t>
            </w:r>
            <w:r>
              <w:rPr>
                <w:lang w:val="en-US" w:eastAsia="en-US"/>
              </w:rPr>
              <w:sym w:font="Symbol" w:char="F0D6"/>
            </w:r>
            <w:r>
              <w:rPr>
                <w:lang w:val="en-US" w:eastAsia="en-US"/>
              </w:rPr>
              <w:sym w:font="Symbol" w:char="F0D6"/>
            </w:r>
            <w:r>
              <w:rPr>
                <w:lang w:val="en-US" w:eastAsia="en-US"/>
              </w:rPr>
              <w:t xml:space="preserve">=B; </w:t>
            </w:r>
            <w:r>
              <w:rPr>
                <w:lang w:val="en-US" w:eastAsia="en-US"/>
              </w:rPr>
              <w:sym w:font="Symbol" w:char="F0D6"/>
            </w:r>
            <w:r>
              <w:rPr>
                <w:lang w:val="en-US" w:eastAsia="en-US"/>
              </w:rPr>
              <w:t>=C; X=D; NA, not applicable</w:t>
            </w:r>
          </w:p>
        </w:tc>
      </w:tr>
    </w:tbl>
    <w:p w14:paraId="72BD5DE9" w14:textId="77777777" w:rsidR="00175B8E" w:rsidRDefault="00175B8E" w:rsidP="006D763D">
      <w:pPr>
        <w:pStyle w:val="Heading4"/>
      </w:pPr>
      <w:r>
        <w:t>Background</w:t>
      </w:r>
    </w:p>
    <w:p w14:paraId="1E2E972C" w14:textId="71B397D2" w:rsidR="006D763D" w:rsidRPr="00616D43" w:rsidRDefault="006D763D" w:rsidP="006D763D">
      <w:r w:rsidRPr="00616D43">
        <w:t xml:space="preserve">Viscoelastometric </w:t>
      </w:r>
      <w:r>
        <w:t>POC</w:t>
      </w:r>
      <w:r w:rsidRPr="00616D43">
        <w:t xml:space="preserve"> testing includes </w:t>
      </w:r>
      <w:r>
        <w:t>TEG</w:t>
      </w:r>
      <w:r w:rsidRPr="00616D43">
        <w:t xml:space="preserve"> and </w:t>
      </w:r>
      <w:r>
        <w:t>ROTEM</w:t>
      </w:r>
      <w:r w:rsidRPr="00616D43">
        <w:t xml:space="preserve">. </w:t>
      </w:r>
      <w:r>
        <w:t xml:space="preserve">These tests measure clot development, stabilisation and dissolution (fibrinolysis), which reflect in vivo haemostasis. </w:t>
      </w:r>
      <w:r w:rsidRPr="00616D43">
        <w:t xml:space="preserve">In </w:t>
      </w:r>
      <w:r w:rsidR="00DF3BC7">
        <w:t xml:space="preserve">critically ill </w:t>
      </w:r>
      <w:r>
        <w:t xml:space="preserve">paediatric </w:t>
      </w:r>
      <w:r w:rsidRPr="00616D43">
        <w:t xml:space="preserve">patients, </w:t>
      </w:r>
      <w:r>
        <w:t>these techniques</w:t>
      </w:r>
      <w:r w:rsidRPr="00616D43">
        <w:t xml:space="preserve"> </w:t>
      </w:r>
      <w:r>
        <w:t>offer improvements over traditional laboratory testing</w:t>
      </w:r>
      <w:r w:rsidRPr="00616D43">
        <w:t xml:space="preserve"> </w:t>
      </w:r>
      <w:r>
        <w:t>in the assessment</w:t>
      </w:r>
      <w:r w:rsidRPr="00616D43">
        <w:t xml:space="preserve"> of </w:t>
      </w:r>
      <w:r>
        <w:t>bleeding patients.</w:t>
      </w:r>
      <w:r w:rsidRPr="00616D43">
        <w:t xml:space="preserve"> </w:t>
      </w:r>
    </w:p>
    <w:p w14:paraId="203F69C7" w14:textId="77777777" w:rsidR="00175B8E" w:rsidRDefault="00175B8E" w:rsidP="006D763D">
      <w:pPr>
        <w:pStyle w:val="Heading4"/>
      </w:pPr>
      <w:r>
        <w:t>Summary of evidence</w:t>
      </w:r>
    </w:p>
    <w:p w14:paraId="3BC9B58F" w14:textId="77777777" w:rsidR="00175B8E" w:rsidRDefault="00175B8E" w:rsidP="006D763D">
      <w:r>
        <w:t>This review did not identify any eligible Level I or Level II studies.</w:t>
      </w:r>
    </w:p>
    <w:p w14:paraId="018965AB" w14:textId="4D0C6D7F" w:rsidR="006D763D" w:rsidRPr="006D763D" w:rsidRDefault="006D763D" w:rsidP="00647CA0">
      <w:pPr>
        <w:pStyle w:val="BoxHeading"/>
        <w:rPr>
          <w:lang w:val="en-AU"/>
        </w:rPr>
      </w:pPr>
      <w:r>
        <w:t>Clinical commentary</w:t>
      </w:r>
      <w:r>
        <w:rPr>
          <w:lang w:val="en-AU"/>
        </w:rPr>
        <w:t xml:space="preserve"> – </w:t>
      </w:r>
      <w:r>
        <w:rPr>
          <w:lang w:val="en-US" w:eastAsia="en-US"/>
        </w:rPr>
        <w:t>v</w:t>
      </w:r>
      <w:r>
        <w:t xml:space="preserve">iscoelastometric </w:t>
      </w:r>
      <w:r w:rsidR="00237FB7">
        <w:rPr>
          <w:lang w:val="en-AU"/>
        </w:rPr>
        <w:t>POC</w:t>
      </w:r>
      <w:r>
        <w:t xml:space="preserve"> testing</w:t>
      </w:r>
      <w:r>
        <w:rPr>
          <w:lang w:val="en-AU"/>
        </w:rPr>
        <w:t xml:space="preserve"> </w:t>
      </w:r>
      <w:r>
        <w:rPr>
          <w:lang w:val="en-GB" w:eastAsia="en-GB"/>
        </w:rPr>
        <w:t xml:space="preserve">in critically ill </w:t>
      </w:r>
      <w:r>
        <w:rPr>
          <w:rFonts w:cs="Tahoma"/>
          <w:szCs w:val="21"/>
          <w:lang w:val="en-GB" w:eastAsia="en-GB"/>
        </w:rPr>
        <w:t xml:space="preserve">paediatric </w:t>
      </w:r>
      <w:r w:rsidRPr="00EA4E11">
        <w:rPr>
          <w:rFonts w:cs="Tahoma"/>
          <w:szCs w:val="21"/>
          <w:lang w:val="en-GB" w:eastAsia="en-GB"/>
        </w:rPr>
        <w:t>patients</w:t>
      </w:r>
    </w:p>
    <w:p w14:paraId="5916623A" w14:textId="0F9A036A" w:rsidR="00175B8E" w:rsidRPr="006D763D" w:rsidRDefault="00175B8E" w:rsidP="00647CA0">
      <w:pPr>
        <w:pStyle w:val="BoxText"/>
      </w:pPr>
      <w:r>
        <w:t xml:space="preserve">Further studies are required to clarify the role of </w:t>
      </w:r>
      <w:r w:rsidRPr="00616D43">
        <w:t xml:space="preserve">viscoelastometric </w:t>
      </w:r>
      <w:r>
        <w:t>POC testing in neonatal and paediatric critical care patients, including those undergoing ECLS.</w:t>
      </w:r>
    </w:p>
    <w:p w14:paraId="7E5D5717" w14:textId="5546E5C4" w:rsidR="0015586E" w:rsidRPr="00B14F36" w:rsidRDefault="004C287C" w:rsidP="00B14F36">
      <w:pPr>
        <w:pStyle w:val="Heading2"/>
        <w:rPr>
          <w:lang w:val="en-AU"/>
        </w:rPr>
      </w:pPr>
      <w:bookmarkStart w:id="180" w:name="_Toc427851367"/>
      <w:r>
        <w:t>3.</w:t>
      </w:r>
      <w:r>
        <w:rPr>
          <w:lang w:val="en-AU"/>
        </w:rPr>
        <w:t>6</w:t>
      </w:r>
      <w:r>
        <w:tab/>
      </w:r>
      <w:r>
        <w:rPr>
          <w:lang w:val="en-AU"/>
        </w:rPr>
        <w:t>Considerations for Aboriginal and Torres Strait Islander neonates and children</w:t>
      </w:r>
      <w:bookmarkEnd w:id="180"/>
    </w:p>
    <w:p w14:paraId="3F329E39" w14:textId="77777777" w:rsidR="00B14F36" w:rsidRDefault="00B14F36" w:rsidP="00B14F36">
      <w:pPr>
        <w:pStyle w:val="Heading3"/>
      </w:pPr>
      <w:bookmarkStart w:id="181" w:name="_Toc427851368"/>
      <w:r>
        <w:rPr>
          <w:lang w:val="en-AU"/>
        </w:rPr>
        <w:t>3.6.1</w:t>
      </w:r>
      <w:r>
        <w:rPr>
          <w:lang w:val="en-AU"/>
        </w:rPr>
        <w:tab/>
      </w:r>
      <w:r>
        <w:t>Key points</w:t>
      </w:r>
      <w:bookmarkEnd w:id="181"/>
    </w:p>
    <w:p w14:paraId="13ECC155" w14:textId="1BE97463" w:rsidR="00B14F36" w:rsidRDefault="00B14F36" w:rsidP="00B14F36">
      <w:pPr>
        <w:rPr>
          <w:rFonts w:asciiTheme="minorHAnsi" w:hAnsiTheme="minorHAnsi"/>
        </w:rPr>
      </w:pPr>
      <w:r>
        <w:rPr>
          <w:rFonts w:asciiTheme="minorHAnsi" w:eastAsiaTheme="minorHAnsi" w:hAnsiTheme="minorHAnsi"/>
        </w:rPr>
        <w:t>As recipients of health care, Aboriginal and Torres Strait Islander (referred to hereafter as Indigenous) neonates and children are entitled to culturally safe health care</w:t>
      </w:r>
      <w:r>
        <w:rPr>
          <w:rFonts w:asciiTheme="minorHAnsi" w:hAnsiTheme="minorHAnsi"/>
        </w:rPr>
        <w:t>.</w:t>
      </w:r>
      <w:r>
        <w:rPr>
          <w:rStyle w:val="FootnoteReference"/>
          <w:rFonts w:asciiTheme="minorHAnsi" w:hAnsiTheme="minorHAnsi"/>
        </w:rPr>
        <w:footnoteReference w:id="14"/>
      </w:r>
      <w:r>
        <w:rPr>
          <w:rFonts w:asciiTheme="minorHAnsi" w:hAnsiTheme="minorHAnsi"/>
        </w:rPr>
        <w:t xml:space="preserve"> </w:t>
      </w:r>
      <w:r>
        <w:rPr>
          <w:rFonts w:asciiTheme="minorHAnsi" w:eastAsiaTheme="minorHAnsi" w:hAnsiTheme="minorHAnsi"/>
        </w:rPr>
        <w:t>Also, the distance between the neonate’s or child’s residence and the health</w:t>
      </w:r>
      <w:r>
        <w:rPr>
          <w:rFonts w:asciiTheme="minorHAnsi" w:hAnsiTheme="minorHAnsi"/>
        </w:rPr>
        <w:t>-</w:t>
      </w:r>
      <w:r>
        <w:rPr>
          <w:rFonts w:asciiTheme="minorHAnsi" w:eastAsiaTheme="minorHAnsi" w:hAnsiTheme="minorHAnsi"/>
        </w:rPr>
        <w:t xml:space="preserve">care service </w:t>
      </w:r>
      <w:r>
        <w:rPr>
          <w:rFonts w:asciiTheme="minorHAnsi" w:hAnsiTheme="minorHAnsi"/>
        </w:rPr>
        <w:t>should be considered</w:t>
      </w:r>
      <w:r>
        <w:rPr>
          <w:rFonts w:asciiTheme="minorHAnsi" w:eastAsiaTheme="minorHAnsi" w:hAnsiTheme="minorHAnsi"/>
        </w:rPr>
        <w:t xml:space="preserve">. These aspects apply to this and the previous five </w:t>
      </w:r>
      <w:r>
        <w:rPr>
          <w:rFonts w:asciiTheme="minorHAnsi" w:hAnsiTheme="minorHAnsi"/>
        </w:rPr>
        <w:t>m</w:t>
      </w:r>
      <w:r>
        <w:rPr>
          <w:rFonts w:asciiTheme="minorHAnsi" w:eastAsiaTheme="minorHAnsi" w:hAnsiTheme="minorHAnsi"/>
        </w:rPr>
        <w:t xml:space="preserve">odules in these </w:t>
      </w:r>
      <w:r>
        <w:rPr>
          <w:rFonts w:asciiTheme="minorHAnsi" w:hAnsiTheme="minorHAnsi"/>
        </w:rPr>
        <w:t>g</w:t>
      </w:r>
      <w:r>
        <w:rPr>
          <w:rFonts w:asciiTheme="minorHAnsi" w:eastAsiaTheme="minorHAnsi" w:hAnsiTheme="minorHAnsi"/>
        </w:rPr>
        <w:t>uidelines.</w:t>
      </w:r>
    </w:p>
    <w:p w14:paraId="7CC19E6F" w14:textId="77777777" w:rsidR="00B14F36" w:rsidRDefault="00B14F36" w:rsidP="00B14F36">
      <w:pPr>
        <w:rPr>
          <w:rFonts w:asciiTheme="minorHAnsi" w:eastAsiaTheme="minorHAnsi" w:hAnsiTheme="minorHAnsi"/>
        </w:rPr>
      </w:pPr>
      <w:r>
        <w:rPr>
          <w:rFonts w:asciiTheme="minorHAnsi" w:eastAsiaTheme="minorHAnsi" w:hAnsiTheme="minorHAnsi"/>
        </w:rPr>
        <w:t xml:space="preserve">All the recommendations, practice points and expert opinion points identified in this module apply to Indigenous neonates and children. Additional information is given here to highlight the effect of social determinants in relation to anaemia </w:t>
      </w:r>
      <w:r>
        <w:rPr>
          <w:rFonts w:asciiTheme="minorHAnsi" w:hAnsiTheme="minorHAnsi"/>
        </w:rPr>
        <w:t>in Indigenous children</w:t>
      </w:r>
      <w:r>
        <w:rPr>
          <w:rFonts w:asciiTheme="minorHAnsi" w:eastAsiaTheme="minorHAnsi" w:hAnsiTheme="minorHAnsi"/>
        </w:rPr>
        <w:t>.</w:t>
      </w:r>
    </w:p>
    <w:p w14:paraId="2AE8103F" w14:textId="7BEABD7F" w:rsidR="00B14F36" w:rsidRDefault="00B14F36" w:rsidP="00B14F36">
      <w:pPr>
        <w:pStyle w:val="Normalbeforebullet"/>
      </w:pPr>
      <w:r>
        <w:t>Indigenous women and babies in Australia continue to have poor maternal and infant outcomes.</w:t>
      </w:r>
      <w:hyperlink w:anchor="_ENREF_217" w:tooltip="Holland, 2015 #951" w:history="1">
        <w:r w:rsidR="00E62798">
          <w:fldChar w:fldCharType="begin"/>
        </w:r>
        <w:r w:rsidR="00E62798">
          <w:instrText xml:space="preserve"> ADDIN EN.CITE &lt;EndNote&gt;&lt;Cite&gt;&lt;Author&gt;Holland&lt;/Author&gt;&lt;Year&gt;2015&lt;/Year&gt;&lt;RecNum&gt;951&lt;/RecNum&gt;&lt;DisplayText&gt;&lt;style face="superscript"&gt;217&lt;/style&gt;&lt;/DisplayText&gt;&lt;record&gt;&lt;rec-number&gt;951&lt;/rec-number&gt;&lt;foreign-keys&gt;&lt;key app="EN" db-id="9edve2wadsavt5ewavaxtda4f2tavzvts9ee" timestamp="1436404775"&gt;951&lt;/key&gt;&lt;/foreign-keys&gt;&lt;ref-type name="Book"&gt;6&lt;/ref-type&gt;&lt;contributors&gt;&lt;authors&gt;&lt;author&gt;Holland, C.&lt;/author&gt;&lt;/authors&gt;&lt;/contributors&gt;&lt;titles&gt;&lt;title&gt;Close the gap: progress and priorities report 2015&lt;/title&gt;&lt;/titles&gt;&lt;dates&gt;&lt;year&gt;2015&lt;/year&gt;&lt;/dates&gt;&lt;pub-location&gt;Sydney&lt;/pub-location&gt;&lt;publisher&gt;Australian Human Rights Commission&lt;/publisher&gt;&lt;urls&gt;&lt;/urls&gt;&lt;/record&gt;&lt;/Cite&gt;&lt;/EndNote&gt;</w:instrText>
        </w:r>
        <w:r w:rsidR="00E62798">
          <w:fldChar w:fldCharType="separate"/>
        </w:r>
        <w:r w:rsidR="00E62798" w:rsidRPr="00E62798">
          <w:rPr>
            <w:noProof/>
            <w:vertAlign w:val="superscript"/>
          </w:rPr>
          <w:t>217</w:t>
        </w:r>
        <w:r w:rsidR="00E62798">
          <w:fldChar w:fldCharType="end"/>
        </w:r>
      </w:hyperlink>
      <w:r>
        <w:t xml:space="preserve"> Maternal factors affect the child’s risk of iron deficiency and anaemia. These factors include: </w:t>
      </w:r>
    </w:p>
    <w:p w14:paraId="23C4078C" w14:textId="0D6C8D38" w:rsidR="00B14F36" w:rsidRDefault="00B14F36" w:rsidP="00D93C65">
      <w:pPr>
        <w:pStyle w:val="Bullet6"/>
        <w:numPr>
          <w:ilvl w:val="0"/>
          <w:numId w:val="50"/>
        </w:numPr>
        <w:tabs>
          <w:tab w:val="clear" w:pos="360"/>
        </w:tabs>
        <w:ind w:left="1080" w:hanging="357"/>
        <w:rPr>
          <w:rFonts w:eastAsiaTheme="minorHAnsi"/>
        </w:rPr>
      </w:pPr>
      <w:r>
        <w:rPr>
          <w:rFonts w:eastAsiaTheme="minorHAnsi"/>
        </w:rPr>
        <w:t xml:space="preserve">higher fertility rate (2.6% Indigenous </w:t>
      </w:r>
      <w:r w:rsidR="0097590E">
        <w:rPr>
          <w:rFonts w:eastAsiaTheme="minorHAnsi"/>
        </w:rPr>
        <w:t>versus</w:t>
      </w:r>
      <w:r>
        <w:rPr>
          <w:rFonts w:eastAsiaTheme="minorHAnsi"/>
        </w:rPr>
        <w:t xml:space="preserve"> 1.9% non-Indigenous in 2009)</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r>
        <w:rPr>
          <w:rFonts w:eastAsiaTheme="minorHAnsi"/>
        </w:rPr>
        <w:t xml:space="preserve"> and higher parity </w:t>
      </w:r>
    </w:p>
    <w:p w14:paraId="3262445A" w14:textId="55FB8354" w:rsidR="00B14F36" w:rsidRDefault="00B14F36" w:rsidP="00D93C65">
      <w:pPr>
        <w:pStyle w:val="Bullet6"/>
        <w:numPr>
          <w:ilvl w:val="0"/>
          <w:numId w:val="50"/>
        </w:numPr>
        <w:tabs>
          <w:tab w:val="clear" w:pos="360"/>
        </w:tabs>
        <w:ind w:left="1080" w:hanging="357"/>
        <w:rPr>
          <w:rFonts w:eastAsiaTheme="minorHAnsi"/>
        </w:rPr>
      </w:pPr>
      <w:r>
        <w:rPr>
          <w:rFonts w:eastAsiaTheme="minorHAnsi"/>
        </w:rPr>
        <w:t xml:space="preserve">more frequent teenage births (21% Indigenous </w:t>
      </w:r>
      <w:r w:rsidR="0097590E">
        <w:rPr>
          <w:rFonts w:eastAsiaTheme="minorHAnsi"/>
        </w:rPr>
        <w:t>versus</w:t>
      </w:r>
      <w:r>
        <w:rPr>
          <w:rFonts w:eastAsiaTheme="minorHAnsi"/>
        </w:rPr>
        <w:t xml:space="preserve"> 4% non-Indigenous in 2009)</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p>
    <w:p w14:paraId="7EE4F6E6" w14:textId="0E2CEFA6" w:rsidR="00B14F36" w:rsidRDefault="00B14F36" w:rsidP="00D93C65">
      <w:pPr>
        <w:pStyle w:val="Bullet6"/>
        <w:numPr>
          <w:ilvl w:val="0"/>
          <w:numId w:val="50"/>
        </w:numPr>
        <w:tabs>
          <w:tab w:val="clear" w:pos="360"/>
        </w:tabs>
        <w:ind w:left="1080" w:hanging="357"/>
        <w:rPr>
          <w:rFonts w:eastAsiaTheme="minorHAnsi"/>
        </w:rPr>
      </w:pPr>
      <w:r>
        <w:rPr>
          <w:rFonts w:eastAsiaTheme="minorHAnsi"/>
        </w:rPr>
        <w:t>more limited access to affordable nutritious food</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p>
    <w:p w14:paraId="30E0DD53" w14:textId="0DAA4675" w:rsidR="00B14F36" w:rsidRDefault="00B14F36" w:rsidP="00D93C65">
      <w:pPr>
        <w:pStyle w:val="Bullet6"/>
        <w:numPr>
          <w:ilvl w:val="0"/>
          <w:numId w:val="50"/>
        </w:numPr>
        <w:tabs>
          <w:tab w:val="clear" w:pos="360"/>
        </w:tabs>
        <w:ind w:left="1080" w:hanging="357"/>
        <w:rPr>
          <w:rFonts w:eastAsiaTheme="minorHAnsi"/>
        </w:rPr>
      </w:pPr>
      <w:r>
        <w:rPr>
          <w:rFonts w:eastAsiaTheme="minorHAnsi"/>
        </w:rPr>
        <w:t>higher rates of medical comorbidities, such as chronic renal disease, diabetes, chronic vascular disease and rheumatic heart disease</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p>
    <w:p w14:paraId="3D979816" w14:textId="22B6FA10" w:rsidR="00B14F36" w:rsidRDefault="00B14F36" w:rsidP="00D93C65">
      <w:pPr>
        <w:pStyle w:val="Bullet6"/>
        <w:numPr>
          <w:ilvl w:val="0"/>
          <w:numId w:val="50"/>
        </w:numPr>
        <w:tabs>
          <w:tab w:val="clear" w:pos="360"/>
        </w:tabs>
        <w:ind w:left="1080" w:hanging="357"/>
        <w:rPr>
          <w:rFonts w:eastAsiaTheme="minorHAnsi"/>
        </w:rPr>
      </w:pPr>
      <w:r>
        <w:rPr>
          <w:rFonts w:eastAsiaTheme="minorHAnsi"/>
        </w:rPr>
        <w:t>higher rates of hookworm in certain communities</w:t>
      </w:r>
      <w:hyperlink w:anchor="_ENREF_227" w:tooltip="Holt, 2010 #1036" w:history="1">
        <w:r w:rsidR="00E62798">
          <w:rPr>
            <w:rFonts w:eastAsiaTheme="minorHAnsi"/>
          </w:rPr>
          <w:fldChar w:fldCharType="begin"/>
        </w:r>
        <w:r w:rsidR="00E62798">
          <w:rPr>
            <w:rFonts w:eastAsiaTheme="minorHAnsi"/>
          </w:rPr>
          <w:instrText xml:space="preserve"> ADDIN EN.CITE &lt;EndNote&gt;&lt;Cite&gt;&lt;Author&gt;Holt&lt;/Author&gt;&lt;Year&gt;2010&lt;/Year&gt;&lt;RecNum&gt;1036&lt;/RecNum&gt;&lt;DisplayText&gt;&lt;style face="superscript"&gt;227&lt;/style&gt;&lt;/DisplayText&gt;&lt;record&gt;&lt;rec-number&gt;1036&lt;/rec-number&gt;&lt;foreign-keys&gt;&lt;key app="EN" db-id="9edve2wadsavt5ewavaxtda4f2tavzvts9ee" timestamp="1438649706"&gt;1036&lt;/key&gt;&lt;/foreign-keys&gt;&lt;ref-type name="Journal Article"&gt;17&lt;/ref-type&gt;&lt;contributors&gt;&lt;authors&gt;&lt;author&gt;Holt, D. C.&lt;/author&gt;&lt;author&gt;McCarthy, J. S.&lt;/author&gt;&lt;author&gt;Carapetis, J. R.&lt;/author&gt;&lt;/authors&gt;&lt;/contributors&gt;&lt;auth-address&gt;Menzies School of Health Research, Charles Darwin University, Casuarina, Northern Territory 0811, Australia.&lt;/auth-address&gt;&lt;titles&gt;&lt;title&gt;Parasitic diseases of remote Indigenous communities in Australia&lt;/title&gt;&lt;secondary-title&gt;Int J Parasitol&lt;/secondary-title&gt;&lt;/titles&gt;&lt;periodical&gt;&lt;full-title&gt;Int J Parasitol&lt;/full-title&gt;&lt;/periodical&gt;&lt;pages&gt;1119-26&lt;/pages&gt;&lt;volume&gt;40&lt;/volume&gt;&lt;number&gt;10&lt;/number&gt;&lt;keywords&gt;&lt;keyword&gt;Australia/epidemiology&lt;/keyword&gt;&lt;keyword&gt;Communicable Disease Control/organization &amp;amp; administration&lt;/keyword&gt;&lt;keyword&gt;Community-Acquired Infections/prevention &amp;amp; control&lt;/keyword&gt;&lt;keyword&gt;Diarrhea/parasitology/prevention &amp;amp; control&lt;/keyword&gt;&lt;keyword&gt;Humans&lt;/keyword&gt;&lt;keyword&gt;*Oceanic Ancestry Group&lt;/keyword&gt;&lt;keyword&gt;Parasitic Diseases/*epidemiology/prevention &amp;amp; control&lt;/keyword&gt;&lt;/keywords&gt;&lt;dates&gt;&lt;year&gt;2010&lt;/year&gt;&lt;pub-dates&gt;&lt;date&gt;Aug 15&lt;/date&gt;&lt;/pub-dates&gt;&lt;/dates&gt;&lt;isbn&gt;1879-0135 (Electronic)&amp;#xD;0020-7519 (Linking)&lt;/isbn&gt;&lt;accession-num&gt;20412810&lt;/accession-num&gt;&lt;urls&gt;&lt;related-urls&gt;&lt;url&gt;http://www.ncbi.nlm.nih.gov/pubmed/20412810&lt;/url&gt;&lt;/related-urls&gt;&lt;/urls&gt;&lt;electronic-resource-num&gt;10.1016/j.ijpara.2010.04.002&lt;/electronic-resource-num&gt;&lt;/record&gt;&lt;/Cite&gt;&lt;/EndNote&gt;</w:instrText>
        </w:r>
        <w:r w:rsidR="00E62798">
          <w:rPr>
            <w:rFonts w:eastAsiaTheme="minorHAnsi"/>
          </w:rPr>
          <w:fldChar w:fldCharType="separate"/>
        </w:r>
        <w:r w:rsidR="00E62798" w:rsidRPr="00E62798">
          <w:rPr>
            <w:rFonts w:eastAsiaTheme="minorHAnsi"/>
            <w:noProof/>
            <w:vertAlign w:val="superscript"/>
          </w:rPr>
          <w:t>227</w:t>
        </w:r>
        <w:r w:rsidR="00E62798">
          <w:rPr>
            <w:rFonts w:eastAsiaTheme="minorHAnsi"/>
          </w:rPr>
          <w:fldChar w:fldCharType="end"/>
        </w:r>
      </w:hyperlink>
    </w:p>
    <w:p w14:paraId="7BB26326" w14:textId="217D9B07" w:rsidR="00B14F36" w:rsidRDefault="00B14F36" w:rsidP="00D93C65">
      <w:pPr>
        <w:pStyle w:val="Bullet12"/>
        <w:numPr>
          <w:ilvl w:val="0"/>
          <w:numId w:val="50"/>
        </w:numPr>
        <w:tabs>
          <w:tab w:val="clear" w:pos="360"/>
        </w:tabs>
        <w:ind w:left="1080" w:hanging="357"/>
        <w:rPr>
          <w:rFonts w:eastAsiaTheme="minorHAnsi"/>
        </w:rPr>
      </w:pPr>
      <w:r>
        <w:rPr>
          <w:rFonts w:eastAsiaTheme="minorHAnsi"/>
        </w:rPr>
        <w:t xml:space="preserve">higher rates of </w:t>
      </w:r>
      <w:r>
        <w:rPr>
          <w:rFonts w:eastAsiaTheme="minorHAnsi"/>
          <w:i/>
        </w:rPr>
        <w:t>H</w:t>
      </w:r>
      <w:r w:rsidR="006F68C5">
        <w:rPr>
          <w:rFonts w:eastAsiaTheme="minorHAnsi"/>
          <w:i/>
          <w:lang w:val="en-AU"/>
        </w:rPr>
        <w:t>elicobacter</w:t>
      </w:r>
      <w:r w:rsidR="006F68C5">
        <w:rPr>
          <w:rFonts w:eastAsiaTheme="minorHAnsi"/>
          <w:i/>
        </w:rPr>
        <w:t xml:space="preserve"> </w:t>
      </w:r>
      <w:r>
        <w:rPr>
          <w:rFonts w:eastAsiaTheme="minorHAnsi"/>
          <w:i/>
        </w:rPr>
        <w:t>pylori</w:t>
      </w:r>
      <w:r>
        <w:rPr>
          <w:rFonts w:eastAsiaTheme="minorHAnsi"/>
        </w:rPr>
        <w:t>.</w:t>
      </w:r>
      <w:hyperlink w:anchor="_ENREF_228" w:tooltip="Windsor, 2005 #1038" w:history="1">
        <w:r w:rsidR="00E62798">
          <w:rPr>
            <w:rFonts w:eastAsiaTheme="minorHAnsi"/>
          </w:rPr>
          <w:fldChar w:fldCharType="begin">
            <w:fldData xml:space="preserve">PEVuZE5vdGU+PENpdGU+PEF1dGhvcj5XaW5kc29yPC9BdXRob3I+PFllYXI+MjAwNTwvWWVhcj48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</w:fldData>
          </w:fldChar>
        </w:r>
        <w:r w:rsidR="00E62798">
          <w:rPr>
            <w:rFonts w:eastAsiaTheme="minorHAnsi"/>
          </w:rPr>
          <w:instrText xml:space="preserve"> ADDIN EN.CITE </w:instrText>
        </w:r>
        <w:r w:rsidR="00E62798">
          <w:rPr>
            <w:rFonts w:eastAsiaTheme="minorHAnsi"/>
          </w:rPr>
          <w:fldChar w:fldCharType="begin">
            <w:fldData xml:space="preserve">PEVuZE5vdGU+PENpdGU+PEF1dGhvcj5XaW5kc29yPC9BdXRob3I+PFllYXI+MjAwNTwvWWVhcj48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</w:fldData>
          </w:fldChar>
        </w:r>
        <w:r w:rsidR="00E62798">
          <w:rPr>
            <w:rFonts w:eastAsiaTheme="minorHAnsi"/>
          </w:rPr>
          <w:instrText xml:space="preserve"> ADDIN EN.CITE.DATA </w:instrText>
        </w:r>
        <w:r w:rsidR="00E62798">
          <w:rPr>
            <w:rFonts w:eastAsiaTheme="minorHAnsi"/>
          </w:rPr>
        </w:r>
        <w:r w:rsidR="00E62798">
          <w:rPr>
            <w:rFonts w:eastAsiaTheme="minorHAnsi"/>
          </w:rPr>
          <w:fldChar w:fldCharType="end"/>
        </w:r>
        <w:r w:rsidR="00E62798">
          <w:rPr>
            <w:rFonts w:eastAsiaTheme="minorHAnsi"/>
          </w:rPr>
        </w:r>
        <w:r w:rsidR="00E62798">
          <w:rPr>
            <w:rFonts w:eastAsiaTheme="minorHAnsi"/>
          </w:rPr>
          <w:fldChar w:fldCharType="separate"/>
        </w:r>
        <w:r w:rsidR="00E62798" w:rsidRPr="00E62798">
          <w:rPr>
            <w:rFonts w:eastAsiaTheme="minorHAnsi"/>
            <w:noProof/>
            <w:vertAlign w:val="superscript"/>
          </w:rPr>
          <w:t>228</w:t>
        </w:r>
        <w:r w:rsidR="00E62798">
          <w:rPr>
            <w:rFonts w:eastAsiaTheme="minorHAnsi"/>
          </w:rPr>
          <w:fldChar w:fldCharType="end"/>
        </w:r>
      </w:hyperlink>
    </w:p>
    <w:p w14:paraId="05929CDF" w14:textId="77777777" w:rsidR="00B14F36" w:rsidRDefault="00B14F36" w:rsidP="00B14F36">
      <w:pPr>
        <w:pStyle w:val="Normalbeforebullet"/>
        <w:rPr>
          <w:rFonts w:eastAsiaTheme="minorHAnsi"/>
        </w:rPr>
      </w:pPr>
      <w:r>
        <w:rPr>
          <w:rFonts w:eastAsiaTheme="minorHAnsi"/>
        </w:rPr>
        <w:t>Other factors that disproportionately affect Indigenous Australians include:</w:t>
      </w:r>
    </w:p>
    <w:p w14:paraId="6498D86C" w14:textId="51574E01" w:rsidR="00B14F36" w:rsidRDefault="00B14F36" w:rsidP="00D93C65">
      <w:pPr>
        <w:pStyle w:val="Bullet6"/>
        <w:numPr>
          <w:ilvl w:val="0"/>
          <w:numId w:val="50"/>
        </w:numPr>
        <w:tabs>
          <w:tab w:val="clear" w:pos="360"/>
        </w:tabs>
        <w:ind w:left="1080" w:hanging="357"/>
        <w:rPr>
          <w:rFonts w:eastAsiaTheme="minorHAnsi"/>
        </w:rPr>
      </w:pPr>
      <w:r>
        <w:rPr>
          <w:rFonts w:eastAsiaTheme="minorHAnsi"/>
        </w:rPr>
        <w:t>more likely to live in remote communities</w:t>
      </w:r>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 229&lt;/style&gt;&lt;/DisplayText&gt;&lt;record&gt;&lt;rec-number&gt;962&lt;/rec-number&gt;&lt;foreign-keys&gt;&lt;key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Cite&gt;&lt;Author&gt;Li&lt;/Author&gt;&lt;Year&gt;2011&lt;/Year&gt;&lt;RecNum&gt;1039&lt;/RecNum&gt;&lt;record&gt;&lt;rec-number&gt;1039&lt;/rec-number&gt;&lt;foreign-keys&gt;&lt;key app="EN" db-id="9edve2wadsavt5ewavaxtda4f2tavzvts9ee" timestamp="1438649937"&gt;1039&lt;/key&gt;&lt;/foreign-keys&gt;&lt;ref-type name="Report"&gt;27&lt;/ref-type&gt;&lt;contributors&gt;&lt;authors&gt;&lt;author&gt;Li, Z&lt;/author&gt;&lt;author&gt;Zeki, R.&lt;/author&gt;&lt;author&gt;Hilder L&lt;/author&gt;&lt;author&gt;Sullivan, E.A.&lt;/author&gt;&lt;/authors&gt;&lt;/contributors&gt;&lt;titles&gt;&lt;title&gt;Australia&amp;apos;s mothers and babies&lt;/title&gt;&lt;secondary-title&gt;Perinatal statistics series, No. 28&lt;/secondary-title&gt;&lt;/titles&gt;&lt;dates&gt;&lt;year&gt;2011&lt;/year&gt;&lt;/dates&gt;&lt;publisher&gt;Australian Institute of Health and Welfare&lt;/publisher&gt;&lt;urls&gt;&lt;/urls&gt;&lt;/record&gt;&lt;/Cite&gt;&lt;/EndNote&gt;</w:instrText>
      </w:r>
      <w:r w:rsidR="00E62798">
        <w:rPr>
          <w:rFonts w:eastAsiaTheme="minorHAnsi"/>
        </w:rPr>
        <w:fldChar w:fldCharType="separate"/>
      </w:r>
      <w:hyperlink w:anchor="_ENREF_226" w:tooltip="Australian Institute of Health and Welfare (AIHW), 2011 #962" w:history="1">
        <w:r w:rsidR="00E62798" w:rsidRPr="00E62798">
          <w:rPr>
            <w:rFonts w:eastAsiaTheme="minorHAnsi"/>
            <w:noProof/>
            <w:vertAlign w:val="superscript"/>
          </w:rPr>
          <w:t>226</w:t>
        </w:r>
      </w:hyperlink>
      <w:r w:rsidR="00E62798" w:rsidRPr="00E62798">
        <w:rPr>
          <w:rFonts w:eastAsiaTheme="minorHAnsi"/>
          <w:noProof/>
          <w:vertAlign w:val="superscript"/>
        </w:rPr>
        <w:t xml:space="preserve">; </w:t>
      </w:r>
      <w:hyperlink w:anchor="_ENREF_229" w:tooltip="Li, 2011 #1039" w:history="1">
        <w:r w:rsidR="00E62798" w:rsidRPr="00E62798">
          <w:rPr>
            <w:rFonts w:eastAsiaTheme="minorHAnsi"/>
            <w:noProof/>
            <w:vertAlign w:val="superscript"/>
          </w:rPr>
          <w:t>229</w:t>
        </w:r>
      </w:hyperlink>
      <w:r w:rsidR="00E62798">
        <w:rPr>
          <w:rFonts w:eastAsiaTheme="minorHAnsi"/>
        </w:rPr>
        <w:fldChar w:fldCharType="end"/>
      </w:r>
    </w:p>
    <w:p w14:paraId="56B39707" w14:textId="356FC698" w:rsidR="00B14F36" w:rsidRDefault="00B14F36" w:rsidP="00D93C65">
      <w:pPr>
        <w:pStyle w:val="Bullet6"/>
        <w:numPr>
          <w:ilvl w:val="0"/>
          <w:numId w:val="50"/>
        </w:numPr>
        <w:tabs>
          <w:tab w:val="clear" w:pos="360"/>
        </w:tabs>
        <w:ind w:left="1080" w:hanging="357"/>
        <w:rPr>
          <w:rFonts w:eastAsiaTheme="minorHAnsi"/>
        </w:rPr>
      </w:pPr>
      <w:r>
        <w:rPr>
          <w:rFonts w:eastAsiaTheme="minorHAnsi"/>
        </w:rPr>
        <w:t>less likely to participate in preventative health care</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p>
    <w:p w14:paraId="42B5C1AF" w14:textId="36621A1B" w:rsidR="00B14F36" w:rsidRDefault="00B14F36" w:rsidP="00D93C65">
      <w:pPr>
        <w:pStyle w:val="Bullet6"/>
        <w:numPr>
          <w:ilvl w:val="0"/>
          <w:numId w:val="50"/>
        </w:numPr>
        <w:tabs>
          <w:tab w:val="clear" w:pos="360"/>
        </w:tabs>
        <w:ind w:left="1080" w:hanging="357"/>
        <w:rPr>
          <w:rFonts w:eastAsiaTheme="minorHAnsi"/>
        </w:rPr>
      </w:pPr>
      <w:r>
        <w:rPr>
          <w:rFonts w:eastAsiaTheme="minorHAnsi"/>
        </w:rPr>
        <w:t>less engagement in antenatal care (due to a variety of factors including lack of culturally safe services, financial barriers, transport issues and other community or family commitments that take priority)</w:t>
      </w:r>
      <w:hyperlink w:anchor="_ENREF_229" w:tooltip="Li, 2011 #1039" w:history="1">
        <w:r w:rsidR="00E62798">
          <w:rPr>
            <w:rFonts w:eastAsiaTheme="minorHAnsi"/>
          </w:rPr>
          <w:fldChar w:fldCharType="begin"/>
        </w:r>
        <w:r w:rsidR="00E62798">
          <w:rPr>
            <w:rFonts w:eastAsiaTheme="minorHAnsi"/>
          </w:rPr>
          <w:instrText xml:space="preserve"> ADDIN EN.CITE &lt;EndNote&gt;&lt;Cite&gt;&lt;Author&gt;Li&lt;/Author&gt;&lt;Year&gt;2011&lt;/Year&gt;&lt;RecNum&gt;1039&lt;/RecNum&gt;&lt;DisplayText&gt;&lt;style face="superscript"&gt;229&lt;/style&gt;&lt;/DisplayText&gt;&lt;record&gt;&lt;rec-number&gt;1039&lt;/rec-number&gt;&lt;foreign-keys&gt;&lt;key app="EN" db-id="9edve2wadsavt5ewavaxtda4f2tavzvts9ee" timestamp="1438649937"&gt;1039&lt;/key&gt;&lt;/foreign-keys&gt;&lt;ref-type name="Report"&gt;27&lt;/ref-type&gt;&lt;contributors&gt;&lt;authors&gt;&lt;author&gt;Li, Z&lt;/author&gt;&lt;author&gt;Zeki, R.&lt;/author&gt;&lt;author&gt;Hilder L&lt;/author&gt;&lt;author&gt;Sullivan, E.A.&lt;/author&gt;&lt;/authors&gt;&lt;/contributors&gt;&lt;titles&gt;&lt;title&gt;Australia&amp;apos;s mothers and babies&lt;/title&gt;&lt;secondary-title&gt;Perinatal statistics series, No. 28&lt;/secondary-title&gt;&lt;/titles&gt;&lt;dates&gt;&lt;year&gt;2011&lt;/year&gt;&lt;/dates&gt;&lt;publisher&gt;Australian Institute of Health and Welfare&lt;/publisher&gt;&lt;urls&gt;&lt;/urls&gt;&lt;/record&gt;&lt;/Cite&gt;&lt;/EndNote&gt;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229</w:t>
        </w:r>
        <w:r w:rsidR="00E62798">
          <w:rPr>
            <w:rFonts w:eastAsiaTheme="minorHAnsi"/>
          </w:rPr>
          <w:fldChar w:fldCharType="end"/>
        </w:r>
      </w:hyperlink>
    </w:p>
    <w:p w14:paraId="51D41DC1" w14:textId="23D721E2" w:rsidR="00B14F36" w:rsidRDefault="00B14F36" w:rsidP="00D93C65">
      <w:pPr>
        <w:pStyle w:val="Bullet6"/>
        <w:numPr>
          <w:ilvl w:val="0"/>
          <w:numId w:val="50"/>
        </w:numPr>
        <w:tabs>
          <w:tab w:val="clear" w:pos="360"/>
        </w:tabs>
        <w:ind w:left="1080" w:hanging="357"/>
        <w:rPr>
          <w:rFonts w:eastAsiaTheme="minorHAnsi"/>
        </w:rPr>
      </w:pPr>
      <w:r>
        <w:rPr>
          <w:rFonts w:eastAsiaTheme="minorHAnsi"/>
        </w:rPr>
        <w:t>more frequent single-parent families</w:t>
      </w:r>
      <w:hyperlink w:anchor="_ENREF_226" w:tooltip="Australian Institute of Health and Welfare (AIHW), 2011 #962" w:history="1">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42&lt;/secondary-title&gt;&lt;/titles&gt;&lt;dates&gt;&lt;year&gt;2011&lt;/year&gt;&lt;/dates&gt;&lt;pub-location&gt;Canberra&lt;/pub-location&gt;&lt;publisher&gt;AIHW&lt;/publisher&gt;&lt;urls&gt;&lt;/urls&gt;&lt;/record&gt;&lt;/Cite&gt;&lt;/EndNote&gt;</w:instrText>
        </w:r>
        <w:r w:rsidR="00E62798">
          <w:rPr>
            <w:rFonts w:eastAsiaTheme="minorHAnsi"/>
          </w:rPr>
          <w:fldChar w:fldCharType="separate"/>
        </w:r>
        <w:r w:rsidR="00E62798" w:rsidRPr="00E62798">
          <w:rPr>
            <w:rFonts w:eastAsiaTheme="minorHAnsi"/>
            <w:noProof/>
            <w:vertAlign w:val="superscript"/>
          </w:rPr>
          <w:t>226</w:t>
        </w:r>
        <w:r w:rsidR="00E62798">
          <w:rPr>
            <w:rFonts w:eastAsiaTheme="minorHAnsi"/>
          </w:rPr>
          <w:fldChar w:fldCharType="end"/>
        </w:r>
      </w:hyperlink>
    </w:p>
    <w:p w14:paraId="51866462" w14:textId="62FF10FD" w:rsidR="00B14F36" w:rsidRDefault="00B14F36" w:rsidP="00D93C65">
      <w:pPr>
        <w:pStyle w:val="Bullet12"/>
        <w:numPr>
          <w:ilvl w:val="0"/>
          <w:numId w:val="50"/>
        </w:numPr>
        <w:tabs>
          <w:tab w:val="clear" w:pos="360"/>
        </w:tabs>
        <w:ind w:left="1080" w:hanging="357"/>
        <w:rPr>
          <w:rFonts w:eastAsiaTheme="minorHAnsi"/>
        </w:rPr>
      </w:pPr>
      <w:r>
        <w:rPr>
          <w:rFonts w:eastAsiaTheme="minorHAnsi"/>
        </w:rPr>
        <w:t>higher smoking rate.</w:t>
      </w:r>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 229&lt;/style&gt;&lt;/DisplayText&gt;&lt;record&gt;&lt;rec-number&gt;962&lt;/rec-number&gt;&lt;foreign-keys&gt;&lt;key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Cite&gt;&lt;Author&gt;Li&lt;/Author&gt;&lt;Year&gt;2011&lt;/Year&gt;&lt;RecNum&gt;1039&lt;/RecNum&gt;&lt;record&gt;&lt;rec-number&gt;1039&lt;/rec-number&gt;&lt;foreign-keys&gt;&lt;key app="EN" db-id="9edve2wadsavt5ewavaxtda4f2tavzvts9ee" timestamp="1438649937"&gt;1039&lt;/key&gt;&lt;/foreign-keys&gt;&lt;ref-type name="Report"&gt;27&lt;/ref-type&gt;&lt;contributors&gt;&lt;authors&gt;&lt;author&gt;Li, Z&lt;/author&gt;&lt;author&gt;Zeki, R.&lt;/author&gt;&lt;author&gt;Hilder L&lt;/author&gt;&lt;author&gt;Sullivan, E.A.&lt;/author&gt;&lt;/authors&gt;&lt;/contributors&gt;&lt;titles&gt;&lt;title&gt;Australia&amp;apos;s mothers and babies&lt;/title&gt;&lt;secondary-title&gt;Perinatal statistics series, No. 28&lt;/secondary-title&gt;&lt;/titles&gt;&lt;dates&gt;&lt;year&gt;2011&lt;/year&gt;&lt;/dates&gt;&lt;publisher&gt;Australian Institute of Health and Welfare&lt;/publisher&gt;&lt;urls&gt;&lt;/urls&gt;&lt;/record&gt;&lt;/Cite&gt;&lt;/EndNote&gt;</w:instrText>
      </w:r>
      <w:r w:rsidR="00E62798">
        <w:rPr>
          <w:rFonts w:eastAsiaTheme="minorHAnsi"/>
        </w:rPr>
        <w:fldChar w:fldCharType="separate"/>
      </w:r>
      <w:hyperlink w:anchor="_ENREF_226" w:tooltip="Australian Institute of Health and Welfare (AIHW), 2011 #962" w:history="1">
        <w:r w:rsidR="00E62798" w:rsidRPr="00E62798">
          <w:rPr>
            <w:rFonts w:eastAsiaTheme="minorHAnsi"/>
            <w:noProof/>
            <w:vertAlign w:val="superscript"/>
          </w:rPr>
          <w:t>226</w:t>
        </w:r>
      </w:hyperlink>
      <w:r w:rsidR="00E62798" w:rsidRPr="00E62798">
        <w:rPr>
          <w:rFonts w:eastAsiaTheme="minorHAnsi"/>
          <w:noProof/>
          <w:vertAlign w:val="superscript"/>
        </w:rPr>
        <w:t xml:space="preserve">; </w:t>
      </w:r>
      <w:hyperlink w:anchor="_ENREF_229" w:tooltip="Li, 2011 #1039" w:history="1">
        <w:r w:rsidR="00E62798" w:rsidRPr="00E62798">
          <w:rPr>
            <w:rFonts w:eastAsiaTheme="minorHAnsi"/>
            <w:noProof/>
            <w:vertAlign w:val="superscript"/>
          </w:rPr>
          <w:t>229</w:t>
        </w:r>
      </w:hyperlink>
      <w:r w:rsidR="00E62798">
        <w:rPr>
          <w:rFonts w:eastAsiaTheme="minorHAnsi"/>
        </w:rPr>
        <w:fldChar w:fldCharType="end"/>
      </w:r>
    </w:p>
    <w:p w14:paraId="5F48FB2E" w14:textId="3408F1DD" w:rsidR="00B14F36" w:rsidRDefault="00B14F36" w:rsidP="002F02AB">
      <w:pPr>
        <w:rPr>
          <w:rFonts w:eastAsiaTheme="minorHAnsi"/>
        </w:rPr>
      </w:pPr>
      <w:r>
        <w:rPr>
          <w:rFonts w:eastAsiaTheme="minorHAnsi"/>
        </w:rPr>
        <w:t>These factors may contribute to the</w:t>
      </w:r>
      <w:r w:rsidR="002F02AB">
        <w:rPr>
          <w:rFonts w:eastAsiaTheme="minorHAnsi"/>
        </w:rPr>
        <w:t xml:space="preserve"> </w:t>
      </w:r>
      <w:r>
        <w:rPr>
          <w:rFonts w:eastAsiaTheme="minorHAnsi"/>
        </w:rPr>
        <w:t xml:space="preserve">higher frequency of low birth weight and preterm birth than in non-Indigenous women (13.8% </w:t>
      </w:r>
      <w:r w:rsidR="0097590E">
        <w:rPr>
          <w:rFonts w:eastAsiaTheme="minorHAnsi"/>
        </w:rPr>
        <w:t>versus</w:t>
      </w:r>
      <w:r>
        <w:rPr>
          <w:rFonts w:eastAsiaTheme="minorHAnsi"/>
        </w:rPr>
        <w:t xml:space="preserve"> 8.1%)</w:t>
      </w:r>
      <w:r w:rsidR="006F68C5">
        <w:rPr>
          <w:rFonts w:eastAsiaTheme="minorHAnsi"/>
        </w:rPr>
        <w:t>.</w:t>
      </w:r>
      <w:r w:rsidR="00E62798">
        <w:rPr>
          <w:rFonts w:eastAsiaTheme="minorHAnsi"/>
        </w:rPr>
        <w:fldChar w:fldCharType="begin"/>
      </w:r>
      <w:r w:rsidR="00E62798">
        <w:rPr>
          <w:rFonts w:eastAsiaTheme="minorHAnsi"/>
        </w:rPr>
        <w:instrText xml:space="preserve"> ADDIN EN.CITE &lt;EndNote&gt;&lt;Cite&gt;&lt;Author&gt;Australian Institute of Health and Welfare (AIHW)&lt;/Author&gt;&lt;Year&gt;2011&lt;/Year&gt;&lt;RecNum&gt;962&lt;/RecNum&gt;&lt;DisplayText&gt;&lt;style face="superscript"&gt;226; 229&lt;/style&gt;&lt;/DisplayText&gt;&lt;record&gt;&lt;rec-number&gt;962&lt;/rec-number&gt;&lt;foreign-keys&gt;&lt;key app="EN" db-id="9edve2wadsavt5ewavaxtda4f2tavzvts9ee" timestamp="1436405465"&gt;962&lt;/key&gt;&lt;/foreign-keys&gt;&lt;ref-type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42&lt;/secondary-title&gt;&lt;/titles&gt;&lt;dates&gt;&lt;year&gt;2011&lt;/year&gt;&lt;/dates&gt;&lt;pub-location&gt;Canberra&lt;/pub-location&gt;&lt;publisher&gt;AIHW&lt;/publisher&gt;&lt;urls&gt;&lt;/urls&gt;&lt;/record&gt;&lt;/Cite&gt;&lt;Cite&gt;&lt;Author&gt;Li&lt;/Author&gt;&lt;Year&gt;2011&lt;/Year&gt;&lt;RecNum&gt;1039&lt;/RecNum&gt;&lt;record&gt;&lt;rec-number&gt;1039&lt;/rec-number&gt;&lt;foreign-keys&gt;&lt;key app="EN" db-id="9edve2wadsavt5ewavaxtda4f2tavzvts9ee" timestamp="1438649937"&gt;1039&lt;/key&gt;&lt;/foreign-keys&gt;&lt;ref-type name="Report"&gt;27&lt;/ref-type&gt;&lt;contributors&gt;&lt;authors&gt;&lt;author&gt;Li, Z&lt;/author&gt;&lt;author&gt;Zeki, R.&lt;/author&gt;&lt;author&gt;Hilder L&lt;/author&gt;&lt;author&gt;Sullivan, E.A.&lt;/author&gt;&lt;/authors&gt;&lt;/contributors&gt;&lt;titles&gt;&lt;title&gt;Australia&amp;apos;s mothers and babies&lt;/title&gt;&lt;secondary-title&gt;Perinatal statistics series, No. 28&lt;/secondary-title&gt;&lt;/titles&gt;&lt;dates&gt;&lt;year&gt;2011&lt;/year&gt;&lt;/dates&gt;&lt;publisher&gt;Australian Institute of Health and Welfare&lt;/publisher&gt;&lt;urls&gt;&lt;/urls&gt;&lt;/record&gt;&lt;/Cite&gt;&lt;/EndNote&gt;</w:instrText>
      </w:r>
      <w:r w:rsidR="00E62798">
        <w:rPr>
          <w:rFonts w:eastAsiaTheme="minorHAnsi"/>
        </w:rPr>
        <w:fldChar w:fldCharType="separate"/>
      </w:r>
      <w:hyperlink w:anchor="_ENREF_226" w:tooltip="Australian Institute of Health and Welfare (AIHW), 2011 #962" w:history="1">
        <w:r w:rsidR="00E62798" w:rsidRPr="00E62798">
          <w:rPr>
            <w:rFonts w:eastAsiaTheme="minorHAnsi"/>
            <w:noProof/>
            <w:vertAlign w:val="superscript"/>
          </w:rPr>
          <w:t>226</w:t>
        </w:r>
      </w:hyperlink>
      <w:r w:rsidR="00E62798" w:rsidRPr="00E62798">
        <w:rPr>
          <w:rFonts w:eastAsiaTheme="minorHAnsi"/>
          <w:noProof/>
          <w:vertAlign w:val="superscript"/>
        </w:rPr>
        <w:t xml:space="preserve">; </w:t>
      </w:r>
      <w:hyperlink w:anchor="_ENREF_229" w:tooltip="Li, 2011 #1039" w:history="1">
        <w:r w:rsidR="00E62798" w:rsidRPr="00E62798">
          <w:rPr>
            <w:rFonts w:eastAsiaTheme="minorHAnsi"/>
            <w:noProof/>
            <w:vertAlign w:val="superscript"/>
          </w:rPr>
          <w:t>229</w:t>
        </w:r>
      </w:hyperlink>
      <w:r w:rsidR="00E62798">
        <w:rPr>
          <w:rFonts w:eastAsiaTheme="minorHAnsi"/>
        </w:rPr>
        <w:fldChar w:fldCharType="end"/>
      </w:r>
    </w:p>
    <w:p w14:paraId="0DD9005C" w14:textId="09D08D7F" w:rsidR="00B14F36" w:rsidRDefault="00B14F36" w:rsidP="00B14F36">
      <w:pPr>
        <w:rPr>
          <w:rFonts w:asciiTheme="minorHAnsi" w:hAnsiTheme="minorHAnsi"/>
        </w:rPr>
      </w:pPr>
      <w:r>
        <w:rPr>
          <w:rFonts w:asciiTheme="minorHAnsi" w:hAnsiTheme="minorHAnsi"/>
        </w:rPr>
        <w:t>There is a high prevalence of</w:t>
      </w:r>
      <w:r w:rsidR="00225A02">
        <w:rPr>
          <w:rFonts w:asciiTheme="minorHAnsi" w:hAnsiTheme="minorHAnsi"/>
        </w:rPr>
        <w:t xml:space="preserve"> IDA</w:t>
      </w:r>
      <w:r w:rsidR="002F02AB">
        <w:rPr>
          <w:rFonts w:asciiTheme="minorHAnsi" w:hAnsiTheme="minorHAnsi"/>
        </w:rPr>
        <w:t xml:space="preserve"> </w:t>
      </w:r>
      <w:r>
        <w:rPr>
          <w:rFonts w:asciiTheme="minorHAnsi" w:hAnsiTheme="minorHAnsi"/>
        </w:rPr>
        <w:t>in children from remote</w:t>
      </w:r>
      <w:r w:rsidR="006F68C5">
        <w:rPr>
          <w:rFonts w:asciiTheme="minorHAnsi" w:hAnsiTheme="minorHAnsi"/>
        </w:rPr>
        <w:t xml:space="preserve"> Indigenous</w:t>
      </w:r>
      <w:r>
        <w:rPr>
          <w:rFonts w:asciiTheme="minorHAnsi" w:hAnsiTheme="minorHAnsi"/>
        </w:rPr>
        <w:t xml:space="preserve"> communities.</w:t>
      </w:r>
      <w:hyperlink w:anchor="_ENREF_28" w:tooltip="Brewster, 2004 #790" w:history="1">
        <w:r w:rsidR="00E62798">
          <w:rPr>
            <w:rFonts w:asciiTheme="minorHAnsi" w:hAnsiTheme="minorHAnsi"/>
          </w:rPr>
          <w:fldChar w:fldCharType="begin"/>
        </w:r>
        <w:r w:rsidR="00E62798">
          <w:rPr>
            <w:rFonts w:asciiTheme="minorHAnsi" w:hAnsiTheme="minorHAnsi"/>
          </w:rPr>
          <w:instrText xml:space="preserve"> ADDIN EN.CITE &lt;EndNote&gt;&lt;Cite&gt;&lt;Author&gt;Brewster&lt;/Author&gt;&lt;Year&gt;2004&lt;/Year&gt;&lt;RecNum&gt;790&lt;/RecNum&gt;&lt;DisplayText&gt;&lt;style face="superscript"&gt;28&lt;/style&gt;&lt;/DisplayText&gt;&lt;record&gt;&lt;rec-number&gt;790&lt;/rec-number&gt;&lt;foreign-keys&gt;&lt;key app="EN" db-id="9edve2wadsavt5ewavaxtda4f2tavzvts9ee" timestamp="1433318852"&gt;790&lt;/key&gt;&lt;/foreign-keys&gt;&lt;ref-type name="Journal Article"&gt;17&lt;/ref-type&gt;&lt;contributors&gt;&lt;authors&gt;&lt;author&gt;Brewster, D. R.&lt;/author&gt;&lt;/authors&gt;&lt;/contributors&gt;&lt;titles&gt;&lt;title&gt;Iron deficiency in minority groups in Australia&lt;/title&gt;&lt;secondary-title&gt;J Paediatr Child Health&lt;/secondary-title&gt;&lt;/titles&gt;&lt;periodical&gt;&lt;full-title&gt;J Paediatr Child Health&lt;/full-title&gt;&lt;/periodical&gt;&lt;pages&gt;422–3&lt;/pages&gt;&lt;volume&gt;40&lt;/volume&gt;&lt;number&gt;8&lt;/number&gt;&lt;keywords&gt;&lt;keyword&gt;Anemia, Iron-Deficiency/*epidemiology/ethnology&lt;/keyword&gt;&lt;keyword&gt;Australia/epidemiology&lt;/keyword&gt;&lt;keyword&gt;Food Supply&lt;/keyword&gt;&lt;keyword&gt;Humans&lt;/keyword&gt;&lt;keyword&gt;Infant&lt;/keyword&gt;&lt;keyword&gt;Iron/*deficiency&lt;/keyword&gt;&lt;keyword&gt;Refugees&lt;/keyword&gt;&lt;keyword&gt;Risk Factors&lt;/keyword&gt;&lt;keyword&gt;Vietnam/ethnology&lt;/keyword&gt;&lt;/keywords&gt;&lt;dates&gt;&lt;year&gt;2004&lt;/year&gt;&lt;pub-dates&gt;&lt;date&gt;Aug&lt;/date&gt;&lt;/pub-dates&gt;&lt;/dates&gt;&lt;isbn&gt;1034-4810 (Print)&amp;#xD;1034-4810 (Linking)&lt;/isbn&gt;&lt;accession-num&gt;15265180&lt;/accession-num&gt;&lt;urls&gt;&lt;related-urls&gt;&lt;url&gt;http://www.ncbi.nlm.nih.gov/pubmed/15265180&lt;/url&gt;&lt;/related-urls&gt;&lt;/urls&gt;&lt;electronic-resource-num&gt;10.1111/j.1440-1754.2004.00422.x&lt;/electronic-resource-num&gt;&lt;/record&gt;&lt;/Cite&gt;&lt;/EndNote&gt;</w:instrText>
        </w:r>
        <w:r w:rsidR="00E62798">
          <w:rPr>
            <w:rFonts w:asciiTheme="minorHAnsi" w:hAnsiTheme="minorHAnsi"/>
          </w:rPr>
          <w:fldChar w:fldCharType="separate"/>
        </w:r>
        <w:r w:rsidR="00E62798" w:rsidRPr="00E62798">
          <w:rPr>
            <w:rFonts w:asciiTheme="minorHAnsi" w:hAnsiTheme="minorHAnsi"/>
            <w:noProof/>
            <w:vertAlign w:val="superscript"/>
          </w:rPr>
          <w:t>28</w:t>
        </w:r>
        <w:r w:rsidR="00E62798">
          <w:rPr>
            <w:rFonts w:asciiTheme="minorHAnsi" w:hAnsiTheme="minorHAnsi"/>
          </w:rPr>
          <w:fldChar w:fldCharType="end"/>
        </w:r>
      </w:hyperlink>
      <w:r>
        <w:rPr>
          <w:rFonts w:asciiTheme="minorHAnsi" w:hAnsiTheme="minorHAnsi"/>
        </w:rPr>
        <w:t xml:space="preserve"> A retrospective cohort study of 398 </w:t>
      </w:r>
      <w:r w:rsidR="006F68C5">
        <w:rPr>
          <w:rFonts w:asciiTheme="minorHAnsi" w:hAnsiTheme="minorHAnsi"/>
        </w:rPr>
        <w:t xml:space="preserve">Indigenous </w:t>
      </w:r>
      <w:r>
        <w:rPr>
          <w:rFonts w:asciiTheme="minorHAnsi" w:hAnsiTheme="minorHAnsi"/>
        </w:rPr>
        <w:t>infants from remote northern Australia found that 68% of children were anaemic.</w:t>
      </w:r>
      <w:hyperlink w:anchor="_ENREF_27" w:tooltip="Bar-Zeeve, 2013 #787" w:history="1">
        <w:r w:rsidR="00E62798">
          <w:rPr>
            <w:rFonts w:asciiTheme="minorHAnsi" w:hAnsiTheme="minorHAnsi"/>
          </w:rPr>
          <w:fldChar w:fldCharType="begin"/>
        </w:r>
        <w:r w:rsidR="00E62798">
          <w:rPr>
            <w:rFonts w:asciiTheme="minorHAnsi" w:hAnsiTheme="minorHAnsi"/>
          </w:rPr>
          <w:instrText xml:space="preserve"> ADDIN EN.CITE &lt;EndNote&gt;&lt;Cite&gt;&lt;Author&gt;Bar-Zeeve&lt;/Author&gt;&lt;Year&gt;2013&lt;/Year&gt;&lt;RecNum&gt;787&lt;/RecNum&gt;&lt;DisplayText&gt;&lt;style face="superscript"&gt;27&lt;/style&gt;&lt;/DisplayText&gt;&lt;record&gt;&lt;rec-number&gt;787&lt;/rec-number&gt;&lt;foreign-keys&gt;&lt;key app="EN" db-id="9edve2wadsavt5ewavaxtda4f2tavzvts9ee" timestamp="1433318852"&gt;787&lt;/key&gt;&lt;/foreign-keys&gt;&lt;ref-type name="Journal Article"&gt;17&lt;/ref-type&gt;&lt;contributors&gt;&lt;authors&gt;&lt;author&gt;Bar-Zeeve, S. J.&lt;/author&gt;&lt;author&gt;Kruske, S. G.&lt;/author&gt;&lt;author&gt;Barclay, L. M.&lt;/author&gt;&lt;author&gt;Bar-Zeev, N.&lt;/author&gt;&lt;author&gt;Kildea, S. V.&lt;/author&gt;&lt;/authors&gt;&lt;/contributors&gt;&lt;titles&gt;&lt;title&gt;Adherence to management guidelines for growth faltering and anaemia in remote dwelling Australian Aboriginal infants and barriers to health service delivery&lt;/title&gt;&lt;secondary-title&gt;BMC Health Services Research&lt;/secondary-title&gt;&lt;alt-title&gt;BMC Health Serv. Res.&lt;/alt-title&gt;&lt;/titles&gt;&lt;periodical&gt;&lt;full-title&gt;BMC Health Services Research&lt;/full-title&gt;&lt;abbr-1&gt;BMC Health Serv. Res.&lt;/abbr-1&gt;&lt;/periodical&gt;&lt;alt-periodical&gt;&lt;full-title&gt;BMC Health Services Research&lt;/full-title&gt;&lt;abbr-1&gt;BMC Health Serv. Res.&lt;/abbr-1&gt;&lt;/alt-periodical&gt;&lt;pages&gt;1–12&lt;/pages&gt;&lt;volume&gt;13&lt;/volume&gt;&lt;number&gt;250&lt;/number&gt;&lt;dates&gt;&lt;year&gt;2013&lt;/year&gt;&lt;/dates&gt;&lt;isbn&gt;1472-6963&lt;/isbn&gt;&lt;urls&gt;&lt;related-urls&gt;&lt;url&gt;http://www.biomedcentral.com/content/pdf/1472-6963-13-250.pdf&lt;/url&gt;&lt;/related-urls&gt;&lt;/urls&gt;&lt;/record&gt;&lt;/Cite&gt;&lt;/EndNote&gt;</w:instrText>
        </w:r>
        <w:r w:rsidR="00E62798">
          <w:rPr>
            <w:rFonts w:asciiTheme="minorHAnsi" w:hAnsiTheme="minorHAnsi"/>
          </w:rPr>
          <w:fldChar w:fldCharType="separate"/>
        </w:r>
        <w:r w:rsidR="00E62798" w:rsidRPr="00E62798">
          <w:rPr>
            <w:rFonts w:asciiTheme="minorHAnsi" w:hAnsiTheme="minorHAnsi"/>
            <w:noProof/>
            <w:vertAlign w:val="superscript"/>
          </w:rPr>
          <w:t>27</w:t>
        </w:r>
        <w:r w:rsidR="00E62798">
          <w:rPr>
            <w:rFonts w:asciiTheme="minorHAnsi" w:hAnsiTheme="minorHAnsi"/>
          </w:rPr>
          <w:fldChar w:fldCharType="end"/>
        </w:r>
      </w:hyperlink>
      <w:r>
        <w:rPr>
          <w:rFonts w:asciiTheme="minorHAnsi" w:hAnsiTheme="minorHAnsi"/>
        </w:rPr>
        <w:t xml:space="preserve"> Also, the Early Childhood Nutrition and Anaemia Prevention Project found that nearly 90% of infants and young children were anaemic at least once between 6 months and 2 years of age.</w:t>
      </w:r>
      <w:hyperlink w:anchor="_ENREF_26" w:tooltip="Aquino, 2013 #786" w:history="1">
        <w:r w:rsidR="00E62798">
          <w:rPr>
            <w:rFonts w:asciiTheme="minorHAnsi" w:hAnsiTheme="minorHAnsi"/>
          </w:rPr>
          <w:fldChar w:fldCharType="begin"/>
        </w:r>
        <w:r w:rsidR="00E62798">
          <w:rPr>
            <w:rFonts w:asciiTheme="minorHAnsi" w:hAnsiTheme="minorHAnsi"/>
          </w:rPr>
          <w:instrText xml:space="preserve"> ADDIN EN.CITE &lt;EndNote&gt;&lt;Cite&gt;&lt;Author&gt;Aquino&lt;/Author&gt;&lt;Year&gt;2013&lt;/Year&gt;&lt;RecNum&gt;786&lt;/RecNum&gt;&lt;DisplayText&gt;&lt;style face="superscript"&gt;26&lt;/style&gt;&lt;/DisplayText&gt;&lt;record&gt;&lt;rec-number&gt;786&lt;/rec-number&gt;&lt;foreign-keys&gt;&lt;key app="EN" db-id="9edve2wadsavt5ewavaxtda4f2tavzvts9ee" timestamp="1433318852"&gt;786&lt;/key&gt;&lt;/foreign-keys&gt;&lt;ref-type name="Report"&gt;27&lt;/ref-type&gt;&lt;contributors&gt;&lt;authors&gt;&lt;author&gt;Aquino, D.&lt;/author&gt;&lt;author&gt;Marley, J.V.&lt;/author&gt;&lt;author&gt;Senior, K.&lt;/author&gt;&lt;author&gt;Leonard, D.&lt;/author&gt;&lt;author&gt;Helmer, J.&lt;/author&gt;&lt;author&gt;Joshua, A.&lt;/author&gt;&lt;author&gt;Huddleston, A.&lt;/author&gt;&lt;author&gt;Ferguson, H.&lt;/author&gt;&lt;author&gt;Hobson, V.&lt;/author&gt;&lt;author&gt;Hadgraft, N.&lt;/author&gt;&lt;/authors&gt;&lt;/contributors&gt;&lt;titles&gt;&lt;title&gt;Early Childhood Nutrition and Anaemia Prevention Project: Executive summary&lt;/title&gt;&lt;/titles&gt;&lt;dates&gt;&lt;year&gt;2013&lt;/year&gt;&lt;/dates&gt;&lt;pub-location&gt;Darwin&lt;/pub-location&gt;&lt;publisher&gt;The Fred Hollows Foundation, Indigenous Australia Program&lt;/publisher&gt;&lt;urls&gt;&lt;related-urls&gt;&lt;url&gt;http://www.kamsc.org.au/research/downloads/ECNAPP_Exec_Summary_for_web.pdf&lt;/url&gt;&lt;/related-urls&gt;&lt;/urls&gt;&lt;/record&gt;&lt;/Cite&gt;&lt;/EndNote&gt;</w:instrText>
        </w:r>
        <w:r w:rsidR="00E62798">
          <w:rPr>
            <w:rFonts w:asciiTheme="minorHAnsi" w:hAnsiTheme="minorHAnsi"/>
          </w:rPr>
          <w:fldChar w:fldCharType="separate"/>
        </w:r>
        <w:r w:rsidR="00E62798" w:rsidRPr="00E62798">
          <w:rPr>
            <w:rFonts w:asciiTheme="minorHAnsi" w:hAnsiTheme="minorHAnsi"/>
            <w:noProof/>
            <w:vertAlign w:val="superscript"/>
          </w:rPr>
          <w:t>26</w:t>
        </w:r>
        <w:r w:rsidR="00E62798">
          <w:rPr>
            <w:rFonts w:asciiTheme="minorHAnsi" w:hAnsiTheme="minorHAnsi"/>
          </w:rPr>
          <w:fldChar w:fldCharType="end"/>
        </w:r>
      </w:hyperlink>
      <w:r>
        <w:rPr>
          <w:rFonts w:asciiTheme="minorHAnsi" w:hAnsiTheme="minorHAnsi"/>
        </w:rPr>
        <w:t xml:space="preserve"> </w:t>
      </w:r>
    </w:p>
    <w:p w14:paraId="58EF8B6F" w14:textId="4426D016" w:rsidR="00B14F36" w:rsidRDefault="00B14F36" w:rsidP="00B14F36">
      <w:pPr>
        <w:rPr>
          <w:rFonts w:asciiTheme="minorHAnsi" w:hAnsiTheme="minorHAnsi"/>
        </w:rPr>
      </w:pPr>
      <w:r>
        <w:rPr>
          <w:rFonts w:asciiTheme="minorHAnsi" w:hAnsiTheme="minorHAnsi"/>
        </w:rPr>
        <w:t xml:space="preserve">Risk factors for </w:t>
      </w:r>
      <w:r w:rsidR="00A45BC6">
        <w:rPr>
          <w:rFonts w:asciiTheme="minorHAnsi" w:hAnsiTheme="minorHAnsi"/>
        </w:rPr>
        <w:t xml:space="preserve">Indigenous </w:t>
      </w:r>
      <w:r>
        <w:rPr>
          <w:rFonts w:asciiTheme="minorHAnsi" w:hAnsiTheme="minorHAnsi"/>
        </w:rPr>
        <w:t>children to develop iron deficiency include maternal iron deficiency, low birth weight, late or insufficient introduction of iron-rich solids and a higher burden of infectious disease such as hookworm infection.</w:t>
      </w:r>
      <w:r w:rsidR="00E62798">
        <w:rPr>
          <w:rFonts w:asciiTheme="minorHAnsi" w:hAnsiTheme="minorHAnsi"/>
        </w:rPr>
        <w:fldChar w:fldCharType="begin">
          <w:fldData xml:space="preserve">PEVuZE5vdGU+PENpdGU+PEF1dGhvcj5BdXN0cmFsaWFuIEluc3RpdHV0ZSBvZiBIZWFsdGggYW5k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=
</w:fldData>
        </w:fldChar>
      </w:r>
      <w:r w:rsidR="00E62798">
        <w:rPr>
          <w:rFonts w:asciiTheme="minorHAnsi" w:hAnsiTheme="minorHAnsi"/>
        </w:rPr>
        <w:instrText xml:space="preserve"> ADDIN EN.CITE </w:instrText>
      </w:r>
      <w:r w:rsidR="00E62798">
        <w:rPr>
          <w:rFonts w:asciiTheme="minorHAnsi" w:hAnsiTheme="minorHAnsi"/>
        </w:rPr>
        <w:fldChar w:fldCharType="begin">
          <w:fldData xml:space="preserve">PEVuZE5vdGU+PENpdGU+PEF1dGhvcj5BdXN0cmFsaWFuIEluc3RpdHV0ZSBvZiBIZWFsdGggYW5k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=
</w:fldData>
        </w:fldChar>
      </w:r>
      <w:r w:rsidR="00E62798">
        <w:rPr>
          <w:rFonts w:asciiTheme="minorHAnsi" w:hAnsiTheme="minorHAnsi"/>
        </w:rPr>
        <w:instrText xml:space="preserve"> ADDIN EN.CITE.DATA </w:instrText>
      </w:r>
      <w:r w:rsidR="00E62798">
        <w:rPr>
          <w:rFonts w:asciiTheme="minorHAnsi" w:hAnsiTheme="minorHAnsi"/>
        </w:rPr>
      </w:r>
      <w:r w:rsidR="00E62798">
        <w:rPr>
          <w:rFonts w:asciiTheme="minorHAnsi" w:hAnsiTheme="minorHAnsi"/>
        </w:rPr>
        <w:fldChar w:fldCharType="end"/>
      </w:r>
      <w:r w:rsidR="00E62798">
        <w:rPr>
          <w:rFonts w:asciiTheme="minorHAnsi" w:hAnsiTheme="minorHAnsi"/>
        </w:rPr>
      </w:r>
      <w:r w:rsidR="00E62798">
        <w:rPr>
          <w:rFonts w:asciiTheme="minorHAnsi" w:hAnsiTheme="minorHAnsi"/>
        </w:rPr>
        <w:fldChar w:fldCharType="separate"/>
      </w:r>
      <w:hyperlink w:anchor="_ENREF_28" w:tooltip="Brewster, 2004 #790" w:history="1">
        <w:r w:rsidR="00E62798" w:rsidRPr="00E62798">
          <w:rPr>
            <w:rFonts w:asciiTheme="minorHAnsi" w:hAnsiTheme="minorHAnsi"/>
            <w:noProof/>
            <w:vertAlign w:val="superscript"/>
          </w:rPr>
          <w:t>28</w:t>
        </w:r>
      </w:hyperlink>
      <w:r w:rsidR="00E62798" w:rsidRPr="00E62798">
        <w:rPr>
          <w:rFonts w:asciiTheme="minorHAnsi" w:hAnsiTheme="minorHAnsi"/>
          <w:noProof/>
          <w:vertAlign w:val="superscript"/>
        </w:rPr>
        <w:t xml:space="preserve">; </w:t>
      </w:r>
      <w:hyperlink w:anchor="_ENREF_30" w:tooltip="Hopkins, 1997 #806" w:history="1">
        <w:r w:rsidR="00E62798" w:rsidRPr="00E62798">
          <w:rPr>
            <w:rFonts w:asciiTheme="minorHAnsi" w:hAnsiTheme="minorHAnsi"/>
            <w:noProof/>
            <w:vertAlign w:val="superscript"/>
          </w:rPr>
          <w:t>30</w:t>
        </w:r>
      </w:hyperlink>
      <w:r w:rsidR="00E62798" w:rsidRPr="00E62798">
        <w:rPr>
          <w:rFonts w:asciiTheme="minorHAnsi" w:hAnsiTheme="minorHAnsi"/>
          <w:noProof/>
          <w:vertAlign w:val="superscript"/>
        </w:rPr>
        <w:t xml:space="preserve">; </w:t>
      </w:r>
      <w:hyperlink w:anchor="_ENREF_230" w:tooltip="Australian Institute of Health and Welfare (AIHW), 2015 #963" w:history="1">
        <w:r w:rsidR="00E62798" w:rsidRPr="00E62798">
          <w:rPr>
            <w:rFonts w:asciiTheme="minorHAnsi" w:hAnsiTheme="minorHAnsi"/>
            <w:noProof/>
            <w:vertAlign w:val="superscript"/>
          </w:rPr>
          <w:t>230</w:t>
        </w:r>
      </w:hyperlink>
      <w:r w:rsidR="00E62798">
        <w:rPr>
          <w:rFonts w:asciiTheme="minorHAnsi" w:hAnsiTheme="minorHAnsi"/>
        </w:rPr>
        <w:fldChar w:fldCharType="end"/>
      </w:r>
      <w:r>
        <w:rPr>
          <w:rFonts w:asciiTheme="minorHAnsi" w:hAnsiTheme="minorHAnsi"/>
        </w:rPr>
        <w:t xml:space="preserve"> Babies born to Indigenous women are twice as likely to be of low birth weight, which is a risk factor for iron deficiency and anaemia.</w:t>
      </w:r>
    </w:p>
    <w:p w14:paraId="78C4FC22" w14:textId="538EA70F" w:rsidR="00B14F36" w:rsidRDefault="00B14F36" w:rsidP="00B14F36">
      <w:pPr>
        <w:rPr>
          <w:rFonts w:asciiTheme="minorHAnsi" w:hAnsiTheme="minorHAnsi"/>
        </w:rPr>
      </w:pPr>
      <w:r>
        <w:rPr>
          <w:rFonts w:asciiTheme="minorHAnsi" w:hAnsiTheme="minorHAnsi"/>
        </w:rPr>
        <w:t>Maternal nutritional status exerts a significant influence on fetal iron status, emphasising the importance of maternal iron sufficiency in reducing the risk of anaemia in the child.</w:t>
      </w:r>
      <w:hyperlink w:anchor="_ENREF_231" w:tooltip="Kumar, 2005 #1040" w:history="1">
        <w:r w:rsidR="00E62798">
          <w:rPr>
            <w:rFonts w:asciiTheme="minorHAnsi" w:hAnsiTheme="minorHAnsi"/>
          </w:rPr>
          <w:fldChar w:fldCharType="begin"/>
        </w:r>
        <w:r w:rsidR="00E62798">
          <w:rPr>
            <w:rFonts w:asciiTheme="minorHAnsi" w:hAnsiTheme="minorHAnsi"/>
          </w:rPr>
          <w:instrText xml:space="preserve"> ADDIN EN.CITE &lt;EndNote&gt;&lt;Cite&gt;&lt;Author&gt;Kumar&lt;/Author&gt;&lt;Year&gt;2005&lt;/Year&gt;&lt;RecNum&gt;1040&lt;/RecNum&gt;&lt;DisplayText&gt;&lt;style face="superscript"&gt;231&lt;/style&gt;&lt;/DisplayText&gt;&lt;record&gt;&lt;rec-number&gt;1040&lt;/rec-number&gt;&lt;foreign-keys&gt;&lt;key app="EN" db-id="9edve2wadsavt5ewavaxtda4f2tavzvts9ee" timestamp="1438667670"&gt;1040&lt;/key&gt;&lt;/foreign-keys&gt;&lt;ref-type name="Journal Article"&gt;17&lt;/ref-type&gt;&lt;contributors&gt;&lt;authors&gt;&lt;author&gt;Kumar, A.&lt;/author&gt;&lt;author&gt;Jain, S.&lt;/author&gt;&lt;author&gt;Singh, N. P.&lt;/author&gt;&lt;author&gt;Singh, T.&lt;/author&gt;&lt;/authors&gt;&lt;/contributors&gt;&lt;titles&gt;&lt;title&gt;Oral versus high dose parenteral iron supplementation in pregnancy&lt;/title&gt;&lt;secondary-title&gt;International Journal of Gynaecology and Obstetrics: the Official Organ of the International Federation of Gynaecology and Obstetrics&lt;/secondary-title&gt;&lt;alt-title&gt;Int. J. Gynaecol. Obstet.&lt;/alt-title&gt;&lt;/titles&gt;&lt;periodical&gt;&lt;full-title&gt;International Journal of Gynaecology and Obstetrics: the Official Organ of the International Federation of Gynaecology and Obstetrics&lt;/full-title&gt;&lt;abbr-1&gt;Int. J. Gynaecol. Obstet.&lt;/abbr-1&gt;&lt;/periodical&gt;&lt;alt-periodical&gt;&lt;full-title&gt;International Journal of Gynaecology and Obstetrics: the Official Organ of the International Federation of Gynaecology and Obstetrics&lt;/full-title&gt;&lt;abbr-1&gt;Int. J. Gynaecol. Obstet.&lt;/abbr-1&gt;&lt;/alt-periodical&gt;&lt;pages&gt;7–13&lt;/pages&gt;&lt;volume&gt;89&lt;/volume&gt;&lt;number&gt;1&lt;/number&gt;&lt;dates&gt;&lt;year&gt;2005&lt;/year&gt;&lt;/dates&gt;&lt;isbn&gt;0020-7292&lt;/isbn&gt;&lt;urls&gt;&lt;/urls&gt;&lt;electronic-resource-num&gt;DOI:10.1016/j.ijgo.2005.01.016&lt;/electronic-resource-num&gt;&lt;/record&gt;&lt;/Cite&gt;&lt;/EndNote&gt;</w:instrText>
        </w:r>
        <w:r w:rsidR="00E62798">
          <w:rPr>
            <w:rFonts w:asciiTheme="minorHAnsi" w:hAnsiTheme="minorHAnsi"/>
          </w:rPr>
          <w:fldChar w:fldCharType="separate"/>
        </w:r>
        <w:r w:rsidR="00E62798" w:rsidRPr="00E62798">
          <w:rPr>
            <w:rFonts w:asciiTheme="minorHAnsi" w:hAnsiTheme="minorHAnsi"/>
            <w:noProof/>
            <w:vertAlign w:val="superscript"/>
          </w:rPr>
          <w:t>231</w:t>
        </w:r>
        <w:r w:rsidR="00E62798">
          <w:rPr>
            <w:rFonts w:asciiTheme="minorHAnsi" w:hAnsiTheme="minorHAnsi"/>
          </w:rPr>
          <w:fldChar w:fldCharType="end"/>
        </w:r>
      </w:hyperlink>
      <w:r>
        <w:rPr>
          <w:rFonts w:asciiTheme="minorHAnsi" w:hAnsiTheme="minorHAnsi"/>
        </w:rPr>
        <w:t xml:space="preserve"> Indigenous women who live in remote areas were significantly more likely to have low Hb levels than those in non-remote areas (10.1% compared with 6.9%).</w:t>
      </w:r>
      <w:hyperlink w:anchor="_ENREF_230" w:tooltip="Australian Institute of Health and Welfare (AIHW), 2015 #963" w:history="1">
        <w:r w:rsidR="00E62798">
          <w:rPr>
            <w:rFonts w:asciiTheme="minorHAnsi" w:hAnsiTheme="minorHAnsi"/>
          </w:rPr>
          <w:fldChar w:fldCharType="begin"/>
        </w:r>
        <w:r w:rsidR="00E62798">
          <w:rPr>
            <w:rFonts w:asciiTheme="minorHAnsi" w:hAnsiTheme="minorHAnsi"/>
          </w:rPr>
          <w:instrText xml:space="preserve"> ADDIN EN.CITE &lt;EndNote&gt;&lt;Cite&gt;&lt;Author&gt;Australian Institute of Health and Welfare (AIHW)&lt;/Author&gt;&lt;Year&gt;2015&lt;/Year&gt;&lt;RecNum&gt;963&lt;/RecNum&gt;&lt;DisplayText&gt;&lt;style face="superscript"&gt;230&lt;/style&gt;&lt;/DisplayText&gt;&lt;record&gt;&lt;rec-number&gt;963&lt;/rec-number&gt;&lt;foreign-keys&gt;&lt;key app="EN" db-id="9edve2wadsavt5ewavaxtda4f2tavzvts9ee" timestamp="1436405476"&gt;963&lt;/key&gt;&lt;/foreign-keys&gt;&lt;ref-type name="Report"&gt;27&lt;/ref-type&gt;&lt;contributors&gt;&lt;authors&gt;&lt;author&gt;Australian Institute of Health and Welfare (AIHW),&lt;/author&gt;&lt;/authors&gt;&lt;/contributors&gt;&lt;titles&gt;&lt;title&gt;The health and welfare of Australia’s Aboriginal and Torres Strait Islander people&lt;/title&gt;&lt;secondary-title&gt;Cat. No. IHW 147&lt;/secondary-title&gt;&lt;/titles&gt;&lt;dates&gt;&lt;year&gt;2015&lt;/year&gt;&lt;/dates&gt;&lt;pub-location&gt;Canberra&lt;/pub-location&gt;&lt;publisher&gt;AIHW&lt;/publisher&gt;&lt;urls&gt;&lt;/urls&gt;&lt;/record&gt;&lt;/Cite&gt;&lt;/EndNote&gt;</w:instrText>
        </w:r>
        <w:r w:rsidR="00E62798">
          <w:rPr>
            <w:rFonts w:asciiTheme="minorHAnsi" w:hAnsiTheme="minorHAnsi"/>
          </w:rPr>
          <w:fldChar w:fldCharType="separate"/>
        </w:r>
        <w:r w:rsidR="00E62798" w:rsidRPr="00E62798">
          <w:rPr>
            <w:rFonts w:asciiTheme="minorHAnsi" w:hAnsiTheme="minorHAnsi"/>
            <w:noProof/>
            <w:vertAlign w:val="superscript"/>
          </w:rPr>
          <w:t>230</w:t>
        </w:r>
        <w:r w:rsidR="00E62798">
          <w:rPr>
            <w:rFonts w:asciiTheme="minorHAnsi" w:hAnsiTheme="minorHAnsi"/>
          </w:rPr>
          <w:fldChar w:fldCharType="end"/>
        </w:r>
      </w:hyperlink>
      <w:r w:rsidR="00F848F2">
        <w:rPr>
          <w:rFonts w:asciiTheme="minorHAnsi" w:hAnsiTheme="minorHAnsi"/>
        </w:rPr>
        <w:t xml:space="preserve"> </w:t>
      </w:r>
      <w:r>
        <w:rPr>
          <w:rFonts w:asciiTheme="minorHAnsi" w:hAnsiTheme="minorHAnsi"/>
        </w:rPr>
        <w:t>Because Indigenous babies are considered to be at a higher risk of</w:t>
      </w:r>
      <w:r w:rsidR="00225A02">
        <w:rPr>
          <w:rFonts w:asciiTheme="minorHAnsi" w:hAnsiTheme="minorHAnsi"/>
        </w:rPr>
        <w:t xml:space="preserve"> IDA</w:t>
      </w:r>
      <w:r>
        <w:rPr>
          <w:rFonts w:asciiTheme="minorHAnsi" w:hAnsiTheme="minorHAnsi"/>
        </w:rPr>
        <w:t xml:space="preserve">, deferred cord clamping should be considered (see </w:t>
      </w:r>
      <w:r w:rsidRPr="00C31FAF">
        <w:rPr>
          <w:rFonts w:asciiTheme="minorHAnsi" w:hAnsiTheme="minorHAnsi"/>
        </w:rPr>
        <w:t>Section 3.</w:t>
      </w:r>
      <w:r w:rsidR="00C31FAF" w:rsidRPr="00C31FAF">
        <w:rPr>
          <w:rFonts w:asciiTheme="minorHAnsi" w:hAnsiTheme="minorHAnsi"/>
        </w:rPr>
        <w:t>5.1</w:t>
      </w:r>
      <w:r w:rsidRPr="00C31FAF">
        <w:rPr>
          <w:rFonts w:asciiTheme="minorHAnsi" w:hAnsiTheme="minorHAnsi"/>
        </w:rPr>
        <w:t>).</w:t>
      </w:r>
    </w:p>
    <w:p w14:paraId="3809AA40" w14:textId="1524F32B" w:rsidR="00B14F36" w:rsidRDefault="00B14F36" w:rsidP="00B14F36">
      <w:pPr>
        <w:rPr>
          <w:rFonts w:asciiTheme="minorHAnsi" w:eastAsiaTheme="minorHAnsi" w:hAnsiTheme="minorHAnsi" w:cstheme="minorBidi"/>
        </w:rPr>
      </w:pPr>
      <w:r>
        <w:rPr>
          <w:rFonts w:asciiTheme="minorHAnsi" w:eastAsiaTheme="minorHAnsi" w:hAnsiTheme="minorHAnsi" w:cstheme="minorBidi"/>
        </w:rPr>
        <w:t xml:space="preserve">A number of gaps in the evidence have been identified in this </w:t>
      </w:r>
      <w:r>
        <w:rPr>
          <w:rFonts w:asciiTheme="minorHAnsi" w:hAnsiTheme="minorHAnsi"/>
        </w:rPr>
        <w:t>m</w:t>
      </w:r>
      <w:r>
        <w:rPr>
          <w:rFonts w:asciiTheme="minorHAnsi" w:eastAsiaTheme="minorHAnsi" w:hAnsiTheme="minorHAnsi" w:cstheme="minorBidi"/>
        </w:rPr>
        <w:t>odule</w:t>
      </w:r>
      <w:r w:rsidR="002F02AB">
        <w:rPr>
          <w:rFonts w:asciiTheme="minorHAnsi" w:eastAsiaTheme="minorHAnsi" w:hAnsiTheme="minorHAnsi" w:cstheme="minorBidi"/>
        </w:rPr>
        <w:t>,</w:t>
      </w:r>
      <w:r>
        <w:rPr>
          <w:rFonts w:asciiTheme="minorHAnsi" w:eastAsiaTheme="minorHAnsi" w:hAnsiTheme="minorHAnsi" w:cstheme="minorBidi"/>
        </w:rPr>
        <w:t xml:space="preserve"> and an overriding consideration is the paucity of studies that specifically identify Indigenous neonates and children</w:t>
      </w:r>
      <w:r w:rsidR="00093A02">
        <w:rPr>
          <w:rFonts w:asciiTheme="minorHAnsi" w:eastAsiaTheme="minorHAnsi" w:hAnsiTheme="minorHAnsi" w:cstheme="minorBidi"/>
        </w:rPr>
        <w:t xml:space="preserve"> among the</w:t>
      </w:r>
      <w:r>
        <w:rPr>
          <w:rFonts w:asciiTheme="minorHAnsi" w:eastAsiaTheme="minorHAnsi" w:hAnsiTheme="minorHAnsi" w:cstheme="minorBidi"/>
        </w:rPr>
        <w:t xml:space="preserve"> participants.</w:t>
      </w:r>
    </w:p>
    <w:p w14:paraId="65D52381" w14:textId="0F928B6A" w:rsidR="00B14F36" w:rsidRDefault="00B14F36" w:rsidP="00B14F36">
      <w:pPr>
        <w:pStyle w:val="Normalbeforebullet"/>
        <w:rPr>
          <w:rFonts w:asciiTheme="minorHAnsi" w:hAnsiTheme="minorHAnsi" w:cs="Tahoma"/>
        </w:rPr>
      </w:pPr>
      <w:r>
        <w:t xml:space="preserve">The </w:t>
      </w:r>
      <w:r w:rsidR="006F68C5">
        <w:t xml:space="preserve">Congress </w:t>
      </w:r>
      <w:r>
        <w:t xml:space="preserve">of Aboriginal and Torres Strait Islander Nurses and Midwives (CATSINaM), </w:t>
      </w:r>
      <w:r w:rsidR="002F02AB">
        <w:t xml:space="preserve">the </w:t>
      </w:r>
      <w:r>
        <w:t>Australian College of Midwive</w:t>
      </w:r>
      <w:r>
        <w:rPr>
          <w:rStyle w:val="NormalbeforebulletChar"/>
        </w:rPr>
        <w:t>s</w:t>
      </w:r>
      <w:r>
        <w:t xml:space="preserve"> and CRANA Plus</w:t>
      </w:r>
      <w:r>
        <w:rPr>
          <w:rStyle w:val="FootnoteReference"/>
        </w:rPr>
        <w:footnoteReference w:id="15"/>
      </w:r>
      <w:r>
        <w:t xml:space="preserve"> provide the following points:</w:t>
      </w:r>
      <w:r w:rsidR="002F02AB">
        <w:rPr>
          <w:rStyle w:val="FootnoteReference"/>
        </w:rPr>
        <w:footnoteReference w:id="16"/>
      </w:r>
    </w:p>
    <w:p w14:paraId="3CBFE5ED" w14:textId="77777777" w:rsidR="00B14F36" w:rsidRDefault="00B14F36" w:rsidP="00D93C65">
      <w:pPr>
        <w:pStyle w:val="Bullet6"/>
        <w:numPr>
          <w:ilvl w:val="0"/>
          <w:numId w:val="50"/>
        </w:numPr>
        <w:tabs>
          <w:tab w:val="clear" w:pos="360"/>
        </w:tabs>
        <w:ind w:left="1080" w:hanging="357"/>
        <w:rPr>
          <w:b/>
        </w:rPr>
      </w:pPr>
      <w:r>
        <w:t>Care should be person-centred, with Australian Indigenous neonates, children and their families acknowledged as individuals with needs, values and preferences that must be considered within health-care decisions that are considered nonurgent.</w:t>
      </w:r>
    </w:p>
    <w:p w14:paraId="28E49BAD" w14:textId="2275F355" w:rsidR="00B14F36" w:rsidRDefault="00B14F36" w:rsidP="00D93C65">
      <w:pPr>
        <w:pStyle w:val="Bullet6"/>
        <w:numPr>
          <w:ilvl w:val="0"/>
          <w:numId w:val="50"/>
        </w:numPr>
        <w:tabs>
          <w:tab w:val="clear" w:pos="360"/>
        </w:tabs>
        <w:ind w:left="1080" w:hanging="357"/>
        <w:rPr>
          <w:b/>
        </w:rPr>
      </w:pPr>
      <w:r>
        <w:t xml:space="preserve">Care should be honest, with transparency of information and options around standard practices at the time of birthing (e.g. deferred cord clamping or collection of cord blood), so that Australian Indigenous women (and parents) can make informed choices that suit </w:t>
      </w:r>
      <w:r w:rsidR="002F02AB">
        <w:rPr>
          <w:lang w:val="en-AU"/>
        </w:rPr>
        <w:t>their infants and children</w:t>
      </w:r>
      <w:r>
        <w:t>.</w:t>
      </w:r>
    </w:p>
    <w:p w14:paraId="653508DF" w14:textId="77777777" w:rsidR="00B14F36" w:rsidRDefault="00B14F36" w:rsidP="00D93C65">
      <w:pPr>
        <w:pStyle w:val="Bullet6"/>
        <w:numPr>
          <w:ilvl w:val="0"/>
          <w:numId w:val="50"/>
        </w:numPr>
        <w:tabs>
          <w:tab w:val="clear" w:pos="360"/>
        </w:tabs>
        <w:ind w:left="1080" w:hanging="357"/>
        <w:rPr>
          <w:i/>
        </w:rPr>
      </w:pPr>
      <w:r>
        <w:t>Care should be respectful, with choice and flexibility for Australian Indigenous parents and legal guardians, and parents and guardians should be supported within those choices (e.g. through initiatives to increase safety away from health services, and to increase cultural aspects within services)</w:t>
      </w:r>
      <w:r>
        <w:rPr>
          <w:i/>
        </w:rPr>
        <w:t>.</w:t>
      </w:r>
    </w:p>
    <w:p w14:paraId="3EA248B9" w14:textId="77777777" w:rsidR="00B14F36" w:rsidRDefault="00B14F36" w:rsidP="00D93C65">
      <w:pPr>
        <w:pStyle w:val="Bullet6"/>
        <w:numPr>
          <w:ilvl w:val="0"/>
          <w:numId w:val="50"/>
        </w:numPr>
        <w:tabs>
          <w:tab w:val="clear" w:pos="360"/>
        </w:tabs>
        <w:ind w:left="1080" w:hanging="357"/>
        <w:rPr>
          <w:b/>
          <w:i/>
        </w:rPr>
      </w:pPr>
      <w:r>
        <w:t>Care should be provided with cultural integrity and safety, and coordinated according to the needs of the Australian Indigenous neonate and child; these should include cultural, emotional and psychosocial needs</w:t>
      </w:r>
      <w:r>
        <w:rPr>
          <w:rStyle w:val="Bullet6Char"/>
        </w:rPr>
        <w:t>,</w:t>
      </w:r>
      <w:r>
        <w:t xml:space="preserve"> as well as clinical needs.</w:t>
      </w:r>
    </w:p>
    <w:p w14:paraId="72CCC8C1" w14:textId="77777777" w:rsidR="00B14F36" w:rsidRDefault="00B14F36" w:rsidP="00D93C65">
      <w:pPr>
        <w:pStyle w:val="Bullet6"/>
        <w:numPr>
          <w:ilvl w:val="0"/>
          <w:numId w:val="50"/>
        </w:numPr>
        <w:tabs>
          <w:tab w:val="clear" w:pos="360"/>
        </w:tabs>
        <w:ind w:left="1080" w:hanging="357"/>
      </w:pPr>
      <w:r>
        <w:t>Care should be collaborative and multidisciplinary, with health professionals respectfully placing Australian Indigenous parents, legal guardians and families at the centre of the service being provided.</w:t>
      </w:r>
    </w:p>
    <w:p w14:paraId="100B18B9" w14:textId="77777777" w:rsidR="00B14F36" w:rsidRPr="00B14F36" w:rsidRDefault="00B14F36" w:rsidP="00B14F36">
      <w:pPr>
        <w:rPr>
          <w:lang w:val="x-none"/>
        </w:rPr>
        <w:sectPr w:rsidR="00B14F36" w:rsidRPr="00B14F36" w:rsidSect="00CD29C9">
          <w:headerReference w:type="even" r:id="rId40"/>
          <w:headerReference w:type="default" r:id="rId41"/>
          <w:headerReference w:type="first" r:id="rId42"/>
          <w:footnotePr>
            <w:numFmt w:val="lowerLetter"/>
          </w:footnotePr>
          <w:type w:val="oddPage"/>
          <w:pgSz w:w="11906" w:h="16838" w:code="9"/>
          <w:pgMar w:top="1440" w:right="1440" w:bottom="1440" w:left="1440" w:header="578" w:footer="578" w:gutter="0"/>
          <w:cols w:space="720"/>
          <w:titlePg/>
          <w:docGrid w:linePitch="360"/>
        </w:sectPr>
      </w:pPr>
    </w:p>
    <w:p w14:paraId="6212C0B1" w14:textId="77CC942C" w:rsidR="00CA6560" w:rsidRDefault="00BB2A41" w:rsidP="00CF02E7">
      <w:pPr>
        <w:pStyle w:val="Heading1"/>
        <w:spacing w:after="240"/>
        <w:rPr>
          <w:lang w:val="en-US"/>
        </w:rPr>
      </w:pPr>
      <w:bookmarkStart w:id="182" w:name="_Toc427851369"/>
      <w:r>
        <w:t>4</w:t>
      </w:r>
      <w:r w:rsidR="002070D5">
        <w:tab/>
      </w:r>
      <w:bookmarkEnd w:id="164"/>
      <w:r w:rsidR="004323ED">
        <w:rPr>
          <w:lang w:val="en-US"/>
        </w:rPr>
        <w:t>Background questions</w:t>
      </w:r>
      <w:bookmarkEnd w:id="182"/>
    </w:p>
    <w:p w14:paraId="34FD3D56" w14:textId="77777777" w:rsidR="00E81C80" w:rsidRDefault="00D93C65" w:rsidP="00E81C80">
      <w:pPr>
        <w:pStyle w:val="Normalbeforebullet"/>
      </w:pPr>
      <w:r>
        <w:t>The CRG developed background questions in relation to PBM for neonatal and paediatric patients. Key issues in relation to neona</w:t>
      </w:r>
      <w:r w:rsidR="00E81C80">
        <w:t>tal and paediatric patients are:</w:t>
      </w:r>
    </w:p>
    <w:p w14:paraId="0C184982" w14:textId="4BC3637F" w:rsidR="00E81C80" w:rsidRDefault="00D93C65" w:rsidP="00E81C80">
      <w:pPr>
        <w:pStyle w:val="Bullet6"/>
      </w:pPr>
      <w:r>
        <w:t xml:space="preserve">their changing body composition and physiology related to development and growth, which </w:t>
      </w:r>
      <w:r w:rsidR="00A45BC6">
        <w:rPr>
          <w:lang w:val="en-AU"/>
        </w:rPr>
        <w:t>means that the</w:t>
      </w:r>
      <w:r>
        <w:t xml:space="preserve"> risks and benefits </w:t>
      </w:r>
      <w:r w:rsidR="00A45BC6">
        <w:rPr>
          <w:lang w:val="en-AU"/>
        </w:rPr>
        <w:t>for this population can differ from those that apply</w:t>
      </w:r>
      <w:r>
        <w:t xml:space="preserve"> to adult patients</w:t>
      </w:r>
    </w:p>
    <w:p w14:paraId="74898FD3" w14:textId="03FB23C0" w:rsidR="00E81C80" w:rsidRDefault="00D93C65" w:rsidP="00E81C80">
      <w:pPr>
        <w:pStyle w:val="Bullet6"/>
      </w:pPr>
      <w:r>
        <w:t>the potential for lifelong consequences of treatments given during infancy and childhood</w:t>
      </w:r>
    </w:p>
    <w:p w14:paraId="1DF55A1E" w14:textId="5C5F8378" w:rsidR="00D93C65" w:rsidRDefault="00E81C80" w:rsidP="00E81C80">
      <w:pPr>
        <w:pStyle w:val="Bullet12"/>
      </w:pPr>
      <w:r>
        <w:t>certain</w:t>
      </w:r>
      <w:r w:rsidR="00D93C65">
        <w:t xml:space="preserve"> disorders that are unique to infancy and childhood. </w:t>
      </w:r>
    </w:p>
    <w:p w14:paraId="688EFF0C" w14:textId="1046F5CE" w:rsidR="00D93C65" w:rsidRDefault="00F848F2" w:rsidP="00E81C80">
      <w:r>
        <w:t>Background q</w:t>
      </w:r>
      <w:r w:rsidR="00D93C65">
        <w:t>uestions 1 and 3 address the special vulnerability of young patients. The first</w:t>
      </w:r>
      <w:r>
        <w:t xml:space="preserve"> question</w:t>
      </w:r>
      <w:r w:rsidR="00D93C65">
        <w:t xml:space="preserve"> addresses the circumstances in which the use of blood products that have been selected on the basis of specific characteristics or that have been specially treated may improve short or long-term outcomes.</w:t>
      </w:r>
      <w:r w:rsidR="00D93C65" w:rsidRPr="004A2393">
        <w:t xml:space="preserve"> </w:t>
      </w:r>
      <w:r w:rsidR="00D93C65">
        <w:t xml:space="preserve">The third question relates to the fact that </w:t>
      </w:r>
      <w:r>
        <w:t xml:space="preserve">blood loss due to phlebotomy and sampling lines can substantially contribute to the risk of anaemia and </w:t>
      </w:r>
      <w:r w:rsidR="00A41D9F">
        <w:t>incidence of tr</w:t>
      </w:r>
      <w:r>
        <w:t xml:space="preserve">ansfusion in </w:t>
      </w:r>
      <w:r w:rsidR="00D93C65">
        <w:t xml:space="preserve">neonatal and paediatric patients </w:t>
      </w:r>
      <w:r>
        <w:t xml:space="preserve">who </w:t>
      </w:r>
      <w:r w:rsidR="00D93C65">
        <w:t>und</w:t>
      </w:r>
      <w:r>
        <w:t xml:space="preserve">ergo prolonged hospitalisation, </w:t>
      </w:r>
      <w:r w:rsidR="00D93C65">
        <w:t>have high severity of illness or</w:t>
      </w:r>
      <w:r>
        <w:t xml:space="preserve"> have </w:t>
      </w:r>
      <w:r w:rsidR="00D93C65">
        <w:t>chronic con</w:t>
      </w:r>
      <w:r>
        <w:t>ditions</w:t>
      </w:r>
      <w:r w:rsidR="00D93C65">
        <w:t>. The question explores methods to miminise these losses.</w:t>
      </w:r>
    </w:p>
    <w:p w14:paraId="50DB5A82" w14:textId="48790BD6" w:rsidR="00D93C65" w:rsidRDefault="00F848F2" w:rsidP="00F848F2">
      <w:r>
        <w:t>Background q</w:t>
      </w:r>
      <w:r w:rsidR="00D93C65">
        <w:t>uestion</w:t>
      </w:r>
      <w:r>
        <w:t xml:space="preserve"> 2 addresses fetal transfusion,</w:t>
      </w:r>
      <w:r w:rsidR="00D93C65">
        <w:t xml:space="preserve"> which was the earliest form of fetal treatment and remains among the most successful. </w:t>
      </w:r>
    </w:p>
    <w:p w14:paraId="0A2BFD54" w14:textId="0B7FBD0F" w:rsidR="00D93C65" w:rsidRDefault="00F848F2" w:rsidP="00F848F2">
      <w:r>
        <w:t>Background questions 4 and 6</w:t>
      </w:r>
      <w:r w:rsidR="00D93C65">
        <w:t xml:space="preserve"> cover issues that have been addressed as general or specific questions for other modules, but </w:t>
      </w:r>
      <w:r>
        <w:t xml:space="preserve">in which </w:t>
      </w:r>
      <w:r w:rsidR="00D93C65">
        <w:t xml:space="preserve">there are substantial differences between adults and children that lead to uncertainties about whether adult evidence can be extrapolated. Because there are low levels of evidence in relation to children, these questions have been readdressed in this module as background questions. </w:t>
      </w:r>
      <w:r>
        <w:t>The main issues</w:t>
      </w:r>
      <w:r w:rsidR="00D93C65">
        <w:t xml:space="preserve"> are the use of haemostatic agents to prevent excessive blood loss in neonatal and paediatric patients undergoing major surgery (</w:t>
      </w:r>
      <w:r w:rsidR="0084267D">
        <w:t>Background question 4</w:t>
      </w:r>
      <w:r w:rsidR="00D93C65">
        <w:t xml:space="preserve">), </w:t>
      </w:r>
      <w:r>
        <w:t>and the need to adapt the massive transfusion protocol</w:t>
      </w:r>
      <w:r w:rsidR="00D93C65">
        <w:t xml:space="preserve"> developed in Module 1 (</w:t>
      </w:r>
      <w:r w:rsidR="00D93C65" w:rsidRPr="00F848F2">
        <w:rPr>
          <w:i/>
        </w:rPr>
        <w:t>Critical Bleeding/Massive Transfusion</w:t>
      </w:r>
      <w:hyperlink w:anchor="_ENREF_1" w:tooltip="National Blood Authority (NBA), 2011 #199" w:history="1">
        <w:r w:rsidR="00E62798">
          <w:fldChar w:fldCharType="begin"/>
        </w:r>
        <w:r w:rsidR="00E62798">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fldChar w:fldCharType="separate"/>
        </w:r>
        <w:r w:rsidR="00E62798" w:rsidRPr="00E62798">
          <w:rPr>
            <w:noProof/>
            <w:vertAlign w:val="superscript"/>
          </w:rPr>
          <w:t>1</w:t>
        </w:r>
        <w:r w:rsidR="00E62798">
          <w:fldChar w:fldCharType="end"/>
        </w:r>
      </w:hyperlink>
      <w:r w:rsidR="00D93C65">
        <w:t>) for neonatal and paediatric patients</w:t>
      </w:r>
      <w:r w:rsidR="0084267D">
        <w:t xml:space="preserve"> (Background question 6)</w:t>
      </w:r>
      <w:r w:rsidR="00D93C65">
        <w:t xml:space="preserve">. </w:t>
      </w:r>
      <w:r w:rsidR="0084267D">
        <w:t>The massive transfusion protocol</w:t>
      </w:r>
      <w:r w:rsidR="00D93C65">
        <w:t xml:space="preserve"> has been renamed </w:t>
      </w:r>
      <w:r>
        <w:t>here as a ‘critical bleeding protocol’</w:t>
      </w:r>
      <w:r w:rsidR="00D93C65">
        <w:t xml:space="preserve"> to more accurately reflect the clinical problem, rather than just one of the modalities used to address it. </w:t>
      </w:r>
    </w:p>
    <w:p w14:paraId="54A239A9" w14:textId="0300F3A6" w:rsidR="00D93C65" w:rsidRDefault="00D93C65" w:rsidP="00F848F2">
      <w:r>
        <w:t>Infants and children have particular risk factors for</w:t>
      </w:r>
      <w:r w:rsidR="00225A02">
        <w:t xml:space="preserve"> IDA</w:t>
      </w:r>
      <w:r>
        <w:t xml:space="preserve">. </w:t>
      </w:r>
      <w:r w:rsidR="0084267D">
        <w:t>Background q</w:t>
      </w:r>
      <w:r>
        <w:t xml:space="preserve">uestion 5 explores these risk factors and provides guidance about iron therapy. </w:t>
      </w:r>
    </w:p>
    <w:p w14:paraId="6E8AE06F" w14:textId="77777777" w:rsidR="00D93C65" w:rsidRPr="00B4567B" w:rsidRDefault="00D93C65" w:rsidP="00D93C65">
      <w:pPr>
        <w:pStyle w:val="NormalWeb"/>
        <w:spacing w:line="384" w:lineRule="atLeast"/>
        <w:rPr>
          <w:rFonts w:ascii="Lucida Sans" w:hAnsi="Lucida Sans" w:cs="Lucida Sans"/>
          <w:color w:val="000000"/>
          <w:sz w:val="20"/>
          <w:szCs w:val="20"/>
        </w:rPr>
        <w:sectPr w:rsidR="00D93C65" w:rsidRPr="00B4567B" w:rsidSect="006F2463">
          <w:footnotePr>
            <w:numFmt w:val="lowerLetter"/>
          </w:footnotePr>
          <w:endnotePr>
            <w:numFmt w:val="decimal"/>
          </w:endnotePr>
          <w:pgSz w:w="11900" w:h="16840"/>
          <w:pgMar w:top="1276" w:right="1800" w:bottom="1440" w:left="1800" w:header="708" w:footer="708" w:gutter="0"/>
          <w:cols w:space="708"/>
          <w:docGrid w:linePitch="360"/>
        </w:sectPr>
      </w:pPr>
    </w:p>
    <w:p w14:paraId="60D0EC92" w14:textId="3BE10729" w:rsidR="00D93C65" w:rsidRPr="00624FDE" w:rsidRDefault="00D93C65" w:rsidP="00D93C65">
      <w:pPr>
        <w:pStyle w:val="Heading2"/>
        <w:rPr>
          <w:rFonts w:eastAsia="Calibri"/>
          <w:lang w:val="en-AU"/>
        </w:rPr>
      </w:pPr>
      <w:bookmarkStart w:id="183" w:name="_Toc421124110"/>
      <w:bookmarkStart w:id="184" w:name="_Toc427851370"/>
      <w:r>
        <w:t>4.1</w:t>
      </w:r>
      <w:r>
        <w:tab/>
      </w:r>
      <w:bookmarkEnd w:id="183"/>
      <w:r w:rsidR="00624FDE">
        <w:rPr>
          <w:lang w:val="en-AU"/>
        </w:rPr>
        <w:t>Selection of blood products</w:t>
      </w:r>
      <w:bookmarkEnd w:id="184"/>
    </w:p>
    <w:p w14:paraId="4A108CC2" w14:textId="77777777" w:rsidR="00D93C65" w:rsidRDefault="00D93C65" w:rsidP="00D93C65">
      <w:pPr>
        <w:pStyle w:val="BoxHeading"/>
        <w:rPr>
          <w:rFonts w:eastAsia="Calibri"/>
        </w:rPr>
      </w:pPr>
      <w:r>
        <w:rPr>
          <w:rFonts w:eastAsia="Calibri"/>
        </w:rPr>
        <w:t>Background question 1</w:t>
      </w:r>
    </w:p>
    <w:p w14:paraId="77F4C1A5" w14:textId="1D2E1D87" w:rsidR="00D93C65" w:rsidRDefault="00D93C65" w:rsidP="00D93C65">
      <w:pPr>
        <w:pStyle w:val="BoxText"/>
        <w:rPr>
          <w:rFonts w:eastAsia="Calibri"/>
        </w:rPr>
      </w:pPr>
      <w:r w:rsidRPr="00B838CB">
        <w:rPr>
          <w:rFonts w:eastAsia="Calibri"/>
        </w:rPr>
        <w:t xml:space="preserve">For </w:t>
      </w:r>
      <w:r w:rsidR="0086731F">
        <w:rPr>
          <w:rFonts w:eastAsia="Calibri"/>
          <w:lang w:val="en-AU"/>
        </w:rPr>
        <w:t xml:space="preserve">fetal, neonatal or </w:t>
      </w:r>
      <w:r w:rsidRPr="00B838CB">
        <w:rPr>
          <w:rFonts w:eastAsia="Calibri"/>
        </w:rPr>
        <w:t>paediatric patients, does selection of specific blood products, when compared with routine blood products</w:t>
      </w:r>
      <w:r w:rsidR="00B42943">
        <w:rPr>
          <w:rFonts w:eastAsia="Calibri"/>
          <w:lang w:val="en-AU"/>
        </w:rPr>
        <w:t>,</w:t>
      </w:r>
      <w:r w:rsidRPr="00B838CB">
        <w:rPr>
          <w:rFonts w:eastAsia="Calibri"/>
        </w:rPr>
        <w:t xml:space="preserve"> improve outcomes?</w:t>
      </w:r>
      <w:bookmarkStart w:id="185" w:name="_Toc421124111"/>
    </w:p>
    <w:p w14:paraId="03B5C89D" w14:textId="77777777" w:rsidR="00D93C65" w:rsidRPr="003C115D" w:rsidRDefault="00D93C65" w:rsidP="00D93C65">
      <w:pPr>
        <w:pStyle w:val="Heading3"/>
        <w:rPr>
          <w:rFonts w:cs="Times"/>
        </w:rPr>
      </w:pPr>
      <w:bookmarkStart w:id="186" w:name="_Toc427851371"/>
      <w:r>
        <w:rPr>
          <w:rFonts w:eastAsia="Calibri"/>
        </w:rPr>
        <w:t>4.1.1</w:t>
      </w:r>
      <w:r>
        <w:rPr>
          <w:rFonts w:eastAsia="Calibri"/>
        </w:rPr>
        <w:tab/>
      </w:r>
      <w:r w:rsidRPr="005138C9">
        <w:rPr>
          <w:rFonts w:eastAsia="Calibri"/>
        </w:rPr>
        <w:t xml:space="preserve">Use of </w:t>
      </w:r>
      <w:r>
        <w:rPr>
          <w:rFonts w:eastAsia="Calibri"/>
        </w:rPr>
        <w:t>‘</w:t>
      </w:r>
      <w:r w:rsidRPr="005138C9">
        <w:rPr>
          <w:rFonts w:eastAsia="Calibri"/>
        </w:rPr>
        <w:t>fresh</w:t>
      </w:r>
      <w:r>
        <w:rPr>
          <w:rFonts w:eastAsia="Calibri"/>
        </w:rPr>
        <w:t>’</w:t>
      </w:r>
      <w:r w:rsidRPr="005138C9">
        <w:rPr>
          <w:rFonts w:eastAsia="Calibri"/>
        </w:rPr>
        <w:t xml:space="preserve"> </w:t>
      </w:r>
      <w:r>
        <w:rPr>
          <w:rFonts w:eastAsia="Calibri"/>
        </w:rPr>
        <w:t>RBC</w:t>
      </w:r>
      <w:r w:rsidRPr="005138C9">
        <w:rPr>
          <w:rFonts w:eastAsia="Calibri"/>
        </w:rPr>
        <w:t>s in fetal, neonatal or paediatric patients</w:t>
      </w:r>
      <w:bookmarkEnd w:id="185"/>
      <w:bookmarkEnd w:id="186"/>
    </w:p>
    <w:p w14:paraId="6FDDD146" w14:textId="44A98F32" w:rsidR="00D93C65" w:rsidRDefault="00D93C65" w:rsidP="00D93C65">
      <w:pPr>
        <w:pStyle w:val="BoxText"/>
        <w:rPr>
          <w:rFonts w:eastAsia="Calibri"/>
        </w:rPr>
      </w:pPr>
      <w:r w:rsidRPr="00F44283">
        <w:rPr>
          <w:rFonts w:eastAsia="Calibri"/>
        </w:rPr>
        <w:t xml:space="preserve">For </w:t>
      </w:r>
      <w:r w:rsidR="006F68C5">
        <w:rPr>
          <w:rFonts w:eastAsia="Calibri"/>
          <w:lang w:val="en-AU"/>
        </w:rPr>
        <w:t xml:space="preserve">fetal, neonatal or </w:t>
      </w:r>
      <w:r w:rsidR="006F68C5" w:rsidRPr="00B838CB">
        <w:rPr>
          <w:rFonts w:eastAsia="Calibri"/>
        </w:rPr>
        <w:t xml:space="preserve">paediatric </w:t>
      </w:r>
      <w:r w:rsidRPr="00F44283">
        <w:rPr>
          <w:rFonts w:eastAsia="Calibri"/>
        </w:rPr>
        <w:t xml:space="preserve">patients, </w:t>
      </w:r>
      <w:r w:rsidRPr="007A3698">
        <w:rPr>
          <w:rFonts w:eastAsia="Calibri"/>
        </w:rPr>
        <w:t xml:space="preserve">do ‘fresh’ (≤7 days) </w:t>
      </w:r>
      <w:r>
        <w:rPr>
          <w:rFonts w:eastAsia="Calibri"/>
        </w:rPr>
        <w:t>RBC</w:t>
      </w:r>
      <w:r w:rsidR="00B42943">
        <w:rPr>
          <w:rFonts w:eastAsia="Calibri"/>
          <w:lang w:val="en-AU"/>
        </w:rPr>
        <w:t>s</w:t>
      </w:r>
      <w:r w:rsidRPr="00F44283">
        <w:rPr>
          <w:rFonts w:eastAsia="Calibri"/>
        </w:rPr>
        <w:t xml:space="preserve">, when compared with older </w:t>
      </w:r>
      <w:r>
        <w:rPr>
          <w:rFonts w:eastAsia="Calibri"/>
        </w:rPr>
        <w:t>RBC</w:t>
      </w:r>
      <w:r w:rsidR="006F68C5">
        <w:rPr>
          <w:rFonts w:eastAsia="Calibri"/>
          <w:lang w:val="en-AU"/>
        </w:rPr>
        <w:t>s</w:t>
      </w:r>
      <w:r w:rsidRPr="00F44283">
        <w:rPr>
          <w:rFonts w:eastAsia="Calibri"/>
        </w:rPr>
        <w:t>, improve outcome</w:t>
      </w:r>
      <w:r>
        <w:rPr>
          <w:rFonts w:eastAsia="Calibri"/>
        </w:rPr>
        <w:t>s</w:t>
      </w:r>
      <w:r w:rsidRPr="00F44283">
        <w:rPr>
          <w:rFonts w:eastAsia="Calibri"/>
        </w:rPr>
        <w:t>?</w:t>
      </w:r>
    </w:p>
    <w:p w14:paraId="2BB26B02" w14:textId="04636C67" w:rsidR="00D93C65" w:rsidRPr="00F44283" w:rsidRDefault="00D93C65" w:rsidP="00D93C65">
      <w:pPr>
        <w:pStyle w:val="BoxNotes"/>
        <w:rPr>
          <w:rFonts w:eastAsia="Calibri"/>
        </w:rPr>
      </w:pPr>
      <w:r>
        <w:rPr>
          <w:rFonts w:eastAsia="Calibri"/>
        </w:rPr>
        <w:t>RBC,</w:t>
      </w:r>
      <w:r w:rsidR="00F848F2">
        <w:rPr>
          <w:rFonts w:eastAsia="Calibri"/>
        </w:rPr>
        <w:t xml:space="preserve"> </w:t>
      </w:r>
      <w:r>
        <w:rPr>
          <w:rFonts w:eastAsia="Calibri"/>
        </w:rPr>
        <w:t>red blood cells</w:t>
      </w:r>
    </w:p>
    <w:p w14:paraId="76BFF9E0" w14:textId="77777777" w:rsidR="00D93C65" w:rsidRPr="005138C9" w:rsidRDefault="00D93C65" w:rsidP="00F848F2">
      <w:pPr>
        <w:pStyle w:val="Normal-aftertable"/>
      </w:pPr>
      <w:r>
        <w:t xml:space="preserve">Retrospective and prospective studies have raised concerns that patients receiving older blood have an increased mortality compared to patients receiving newer stored units. </w:t>
      </w:r>
    </w:p>
    <w:p w14:paraId="77C7A655" w14:textId="5245572E" w:rsidR="0094036C" w:rsidRDefault="00D93C65" w:rsidP="0094036C">
      <w:pPr>
        <w:pStyle w:val="Normalbeforebullet"/>
      </w:pPr>
      <w:r w:rsidRPr="005138C9">
        <w:t xml:space="preserve">Refrigerated storage results in a </w:t>
      </w:r>
      <w:r>
        <w:t>‘</w:t>
      </w:r>
      <w:r w:rsidRPr="005138C9">
        <w:t>storage lesion</w:t>
      </w:r>
      <w:r>
        <w:t>’, characterised</w:t>
      </w:r>
      <w:r w:rsidRPr="005138C9">
        <w:t xml:space="preserve"> by metabolic derangements, </w:t>
      </w:r>
      <w:r>
        <w:t xml:space="preserve">changes in </w:t>
      </w:r>
      <w:r w:rsidR="00B42943">
        <w:t>RBC</w:t>
      </w:r>
      <w:r w:rsidRPr="005138C9">
        <w:t xml:space="preserve"> shape </w:t>
      </w:r>
      <w:r>
        <w:t>and rheology</w:t>
      </w:r>
      <w:r w:rsidRPr="005138C9">
        <w:t xml:space="preserve">, loss of membrane carbohydrates, oxidative injury to lipids and proteins, changes in oxygen affinity and delivery, increased adhesion of </w:t>
      </w:r>
      <w:r>
        <w:t>RBC</w:t>
      </w:r>
      <w:r w:rsidRPr="005138C9">
        <w:t>s to endothelial cells, and reduced lifespan</w:t>
      </w:r>
      <w:r>
        <w:t>.</w:t>
      </w:r>
      <w:hyperlink w:anchor="_ENREF_232" w:tooltip="Hess, 2002 #54" w:history="1">
        <w:r w:rsidR="00E62798">
          <w:fldChar w:fldCharType="begin"/>
        </w:r>
        <w:r w:rsidR="00E62798">
          <w:instrText xml:space="preserve"> ADDIN EN.CITE &lt;EndNote&gt;&lt;Cite&gt;&lt;Author&gt;Hess&lt;/Author&gt;&lt;Year&gt;2002&lt;/Year&gt;&lt;RecNum&gt;54&lt;/RecNum&gt;&lt;DisplayText&gt;&lt;style face="superscript"&gt;232&lt;/style&gt;&lt;/DisplayText&gt;&lt;record&gt;&lt;rec-number&gt;54&lt;/rec-number&gt;&lt;foreign-keys&gt;&lt;key app="EN" db-id="9edve2wadsavt5ewavaxtda4f2tavzvts9ee" timestamp="1424039257"&gt;54&lt;/key&gt;&lt;/foreign-keys&gt;&lt;ref-type name="Journal Article"&gt;17&lt;/ref-type&gt;&lt;contributors&gt;&lt;authors&gt;&lt;author&gt;Hess, J. R.&lt;/author&gt;&lt;author&gt;Greenwalt, T. G.&lt;/author&gt;&lt;/authors&gt;&lt;/contributors&gt;&lt;auth-address&gt;Blood Bank, University of Maryland Medical Center, Baltimore, MD, USA. jhess@umm.edu&lt;/auth-address&gt;&lt;titles&gt;&lt;title&gt;Storage of red blood cells: new approaches&lt;/title&gt;&lt;secondary-title&gt;Transfus Med Rev&lt;/secondary-title&gt;&lt;alt-title&gt;Transfusion medicine reviews&lt;/alt-title&gt;&lt;/titles&gt;&lt;periodical&gt;&lt;full-title&gt;Transfus Med Rev&lt;/full-title&gt;&lt;abbr-1&gt;Transfusion medicine reviews&lt;/abbr-1&gt;&lt;/periodical&gt;&lt;alt-periodical&gt;&lt;full-title&gt;Transfus Med Rev&lt;/full-title&gt;&lt;abbr-1&gt;Transfusion medicine reviews&lt;/abbr-1&gt;&lt;/alt-periodical&gt;&lt;pages&gt;283–95&lt;/pages&gt;&lt;volume&gt;16&lt;/volume&gt;&lt;number&gt;4&lt;/number&gt;&lt;keywords&gt;&lt;keyword&gt;2,3-Diphosphoglycerate&lt;/keyword&gt;&lt;keyword&gt;Adenosine Triphosphate&lt;/keyword&gt;&lt;keyword&gt;Blood Preservation/*methods&lt;/keyword&gt;&lt;keyword&gt;Erythrocyte Transfusion/standards&lt;/keyword&gt;&lt;keyword&gt;Erythrocytes/cytology/*metabolism&lt;/keyword&gt;&lt;keyword&gt;Humans&lt;/keyword&gt;&lt;keyword&gt;Pharmaceutic Aids/pharmacology&lt;/keyword&gt;&lt;/keywords&gt;&lt;dates&gt;&lt;year&gt;2002&lt;/year&gt;&lt;pub-dates&gt;&lt;date&gt;Oct&lt;/date&gt;&lt;/pub-dates&gt;&lt;/dates&gt;&lt;isbn&gt;0887-7963 (Print)&amp;#xD;0887-7963 (Linking)&lt;/isbn&gt;&lt;accession-num&gt;12415514&lt;/accession-num&gt;&lt;urls&gt;&lt;related-urls&gt;&lt;url&gt;http://www.ncbi.nlm.nih.gov/pubmed/12415514&lt;/url&gt;&lt;/related-urls&gt;&lt;/urls&gt;&lt;electronic-resource-num&gt;10.1053/tmrv.2002.35212&lt;/electronic-resource-num&gt;&lt;/record&gt;&lt;/Cite&gt;&lt;/EndNote&gt;</w:instrText>
        </w:r>
        <w:r w:rsidR="00E62798">
          <w:fldChar w:fldCharType="separate"/>
        </w:r>
        <w:r w:rsidR="00E62798" w:rsidRPr="00E62798">
          <w:rPr>
            <w:noProof/>
            <w:vertAlign w:val="superscript"/>
          </w:rPr>
          <w:t>232</w:t>
        </w:r>
        <w:r w:rsidR="00E62798">
          <w:fldChar w:fldCharType="end"/>
        </w:r>
      </w:hyperlink>
      <w:r w:rsidRPr="005138C9">
        <w:t xml:space="preserve"> </w:t>
      </w:r>
      <w:r>
        <w:t>There are also</w:t>
      </w:r>
      <w:r w:rsidRPr="005138C9">
        <w:t xml:space="preserve"> secondary risks of </w:t>
      </w:r>
      <w:r>
        <w:t>rising</w:t>
      </w:r>
      <w:r w:rsidRPr="005138C9">
        <w:t xml:space="preserve"> concentrations of potassium and plasticiser, and shedding of active proteins, lipids and microvesicles</w:t>
      </w:r>
      <w:r>
        <w:t>.</w:t>
      </w:r>
      <w:hyperlink w:anchor="_ENREF_232" w:tooltip="Hess, 2002 #54" w:history="1">
        <w:r w:rsidR="00E62798">
          <w:fldChar w:fldCharType="begin"/>
        </w:r>
        <w:r w:rsidR="00E62798">
          <w:instrText xml:space="preserve"> ADDIN EN.CITE &lt;EndNote&gt;&lt;Cite&gt;&lt;Author&gt;Hess&lt;/Author&gt;&lt;Year&gt;2002&lt;/Year&gt;&lt;RecNum&gt;54&lt;/RecNum&gt;&lt;DisplayText&gt;&lt;style face="superscript"&gt;232&lt;/style&gt;&lt;/DisplayText&gt;&lt;record&gt;&lt;rec-number&gt;54&lt;/rec-number&gt;&lt;foreign-keys&gt;&lt;key app="EN" db-id="9edve2wadsavt5ewavaxtda4f2tavzvts9ee" timestamp="1424039257"&gt;54&lt;/key&gt;&lt;/foreign-keys&gt;&lt;ref-type name="Journal Article"&gt;17&lt;/ref-type&gt;&lt;contributors&gt;&lt;authors&gt;&lt;author&gt;Hess, J. R.&lt;/author&gt;&lt;author&gt;Greenwalt, T. G.&lt;/author&gt;&lt;/authors&gt;&lt;/contributors&gt;&lt;auth-address&gt;Blood Bank, University of Maryland Medical Center, Baltimore, MD, USA. jhess@umm.edu&lt;/auth-address&gt;&lt;titles&gt;&lt;title&gt;Storage of red blood cells: new approaches&lt;/title&gt;&lt;secondary-title&gt;Transfus Med Rev&lt;/secondary-title&gt;&lt;alt-title&gt;Transfusion medicine reviews&lt;/alt-title&gt;&lt;/titles&gt;&lt;periodical&gt;&lt;full-title&gt;Transfus Med Rev&lt;/full-title&gt;&lt;abbr-1&gt;Transfusion medicine reviews&lt;/abbr-1&gt;&lt;/periodical&gt;&lt;alt-periodical&gt;&lt;full-title&gt;Transfus Med Rev&lt;/full-title&gt;&lt;abbr-1&gt;Transfusion medicine reviews&lt;/abbr-1&gt;&lt;/alt-periodical&gt;&lt;pages&gt;283–95&lt;/pages&gt;&lt;volume&gt;16&lt;/volume&gt;&lt;number&gt;4&lt;/number&gt;&lt;keywords&gt;&lt;keyword&gt;2,3-Diphosphoglycerate&lt;/keyword&gt;&lt;keyword&gt;Adenosine Triphosphate&lt;/keyword&gt;&lt;keyword&gt;Blood Preservation/*methods&lt;/keyword&gt;&lt;keyword&gt;Erythrocyte Transfusion/standards&lt;/keyword&gt;&lt;keyword&gt;Erythrocytes/cytology/*metabolism&lt;/keyword&gt;&lt;keyword&gt;Humans&lt;/keyword&gt;&lt;keyword&gt;Pharmaceutic Aids/pharmacology&lt;/keyword&gt;&lt;/keywords&gt;&lt;dates&gt;&lt;year&gt;2002&lt;/year&gt;&lt;pub-dates&gt;&lt;date&gt;Oct&lt;/date&gt;&lt;/pub-dates&gt;&lt;/dates&gt;&lt;isbn&gt;0887-7963 (Print)&amp;#xD;0887-7963 (Linking)&lt;/isbn&gt;&lt;accession-num&gt;12415514&lt;/accession-num&gt;&lt;urls&gt;&lt;related-urls&gt;&lt;url&gt;http://www.ncbi.nlm.nih.gov/pubmed/12415514&lt;/url&gt;&lt;/related-urls&gt;&lt;/urls&gt;&lt;electronic-resource-num&gt;10.1053/tmrv.2002.35212&lt;/electronic-resource-num&gt;&lt;/record&gt;&lt;/Cite&gt;&lt;/EndNote&gt;</w:instrText>
        </w:r>
        <w:r w:rsidR="00E62798">
          <w:fldChar w:fldCharType="separate"/>
        </w:r>
        <w:r w:rsidR="00E62798" w:rsidRPr="00E62798">
          <w:rPr>
            <w:noProof/>
            <w:vertAlign w:val="superscript"/>
          </w:rPr>
          <w:t>232</w:t>
        </w:r>
        <w:r w:rsidR="00E62798">
          <w:fldChar w:fldCharType="end"/>
        </w:r>
      </w:hyperlink>
      <w:r w:rsidRPr="005138C9">
        <w:rPr>
          <w:position w:val="8"/>
        </w:rPr>
        <w:t xml:space="preserve"> </w:t>
      </w:r>
      <w:r w:rsidRPr="005138C9">
        <w:t>T</w:t>
      </w:r>
      <w:r>
        <w:t>ogether, t</w:t>
      </w:r>
      <w:r w:rsidRPr="005138C9">
        <w:t xml:space="preserve">hese </w:t>
      </w:r>
      <w:r>
        <w:t xml:space="preserve">storage-related </w:t>
      </w:r>
      <w:r w:rsidRPr="005138C9">
        <w:t xml:space="preserve">changes </w:t>
      </w:r>
      <w:r>
        <w:t xml:space="preserve">could </w:t>
      </w:r>
      <w:r w:rsidRPr="005138C9">
        <w:t xml:space="preserve">increase </w:t>
      </w:r>
      <w:r>
        <w:t xml:space="preserve">the risks and reduce benefits of transfusion, but it is not clear </w:t>
      </w:r>
      <w:r w:rsidRPr="003C115D">
        <w:t xml:space="preserve">whether </w:t>
      </w:r>
      <w:r>
        <w:t>they have a sig</w:t>
      </w:r>
      <w:r w:rsidRPr="003C115D">
        <w:t>nificant effect on clinical outcomes</w:t>
      </w:r>
      <w:r>
        <w:t>.</w:t>
      </w:r>
      <w:hyperlink w:anchor="_ENREF_233" w:tooltip="Triulzi, 2010 #55" w:history="1">
        <w:r w:rsidR="00E62798">
          <w:fldChar w:fldCharType="begin"/>
        </w:r>
        <w:r w:rsidR="00E62798">
          <w:instrText xml:space="preserve"> ADDIN EN.CITE &lt;EndNote&gt;&lt;Cite&gt;&lt;Author&gt;Triulzi&lt;/Author&gt;&lt;Year&gt;2010&lt;/Year&gt;&lt;RecNum&gt;55&lt;/RecNum&gt;&lt;DisplayText&gt;&lt;style face="superscript"&gt;233&lt;/style&gt;&lt;/DisplayText&gt;&lt;record&gt;&lt;rec-number&gt;55&lt;/rec-number&gt;&lt;foreign-keys&gt;&lt;key app="EN" db-id="9edve2wadsavt5ewavaxtda4f2tavzvts9ee" timestamp="1424039257"&gt;55&lt;/key&gt;&lt;/foreign-keys&gt;&lt;ref-type name="Journal Article"&gt;17&lt;/ref-type&gt;&lt;contributors&gt;&lt;authors&gt;&lt;author&gt;Triulzi, D. J.&lt;/author&gt;&lt;author&gt;Yazer, M. H.&lt;/author&gt;&lt;/authors&gt;&lt;/contributors&gt;&lt;auth-address&gt;Division of Transfusion Medicine, Department of Pathology, University of Pittsburgh, PA, USA. tri0075lzi@pitt.edu&lt;/auth-address&gt;&lt;titles&gt;&lt;title&gt;Clinical studies of the effect of blood storage on patient outcomes&lt;/title&gt;&lt;secondary-title&gt;Transfus Apher Sci&lt;/secondary-title&gt;&lt;alt-title&gt;Transfusion and apheresis science : official journal of the World Apheresis Association : official journal of the European Society for Haemapheresis&lt;/alt-title&gt;&lt;/titles&gt;&lt;periodical&gt;&lt;full-title&gt;Transfus Apher Sci&lt;/full-title&gt;&lt;abbr-1&gt;Transfusion and apheresis science : official journal of the World Apheresis Association : official journal of the European Society for Haemapheresis&lt;/abbr-1&gt;&lt;/periodical&gt;&lt;alt-periodical&gt;&lt;full-title&gt;Transfus Apher Sci&lt;/full-title&gt;&lt;abbr-1&gt;Transfusion and apheresis science : official journal of the World Apheresis Association : official journal of the European Society for Haemapheresis&lt;/abbr-1&gt;&lt;/alt-periodical&gt;&lt;pages&gt;95–106&lt;/pages&gt;&lt;volume&gt;43&lt;/volume&gt;&lt;number&gt;1&lt;/number&gt;&lt;keywords&gt;&lt;keyword&gt;Blood Preservation/*methods&lt;/keyword&gt;&lt;keyword&gt;Erythrocyte Transfusion/methods&lt;/keyword&gt;&lt;keyword&gt;*Erythrocytes&lt;/keyword&gt;&lt;keyword&gt;Humans&lt;/keyword&gt;&lt;keyword&gt;Treatment Outcome&lt;/keyword&gt;&lt;/keywords&gt;&lt;dates&gt;&lt;year&gt;2010&lt;/year&gt;&lt;pub-dates&gt;&lt;date&gt;Aug&lt;/date&gt;&lt;/pub-dates&gt;&lt;/dates&gt;&lt;isbn&gt;1473-0502 (Print)&amp;#xD;1473-0502 (Linking)&lt;/isbn&gt;&lt;accession-num&gt;20656558&lt;/accession-num&gt;&lt;urls&gt;&lt;related-urls&gt;&lt;url&gt;http://www.ncbi.nlm.nih.gov/pubmed/20656558&lt;/url&gt;&lt;/related-urls&gt;&lt;/urls&gt;&lt;electronic-resource-num&gt;10.1016/j.transci.2010.05.013&lt;/electronic-resource-num&gt;&lt;/record&gt;&lt;/Cite&gt;&lt;/EndNote&gt;</w:instrText>
        </w:r>
        <w:r w:rsidR="00E62798">
          <w:fldChar w:fldCharType="separate"/>
        </w:r>
        <w:r w:rsidR="00E62798" w:rsidRPr="00E62798">
          <w:rPr>
            <w:noProof/>
            <w:vertAlign w:val="superscript"/>
          </w:rPr>
          <w:t>233</w:t>
        </w:r>
        <w:r w:rsidR="00E62798">
          <w:fldChar w:fldCharType="end"/>
        </w:r>
      </w:hyperlink>
      <w:r>
        <w:t xml:space="preserve"> The circumstances in which guidelines have suggested use of fresher </w:t>
      </w:r>
      <w:r w:rsidR="00B42943">
        <w:t>RBCs</w:t>
      </w:r>
      <w:r>
        <w:t xml:space="preserve"> are those in which</w:t>
      </w:r>
      <w:r w:rsidR="0094036C">
        <w:t>:</w:t>
      </w:r>
    </w:p>
    <w:p w14:paraId="062131A2" w14:textId="77777777" w:rsidR="0094036C" w:rsidRDefault="00D93C65" w:rsidP="0094036C">
      <w:pPr>
        <w:pStyle w:val="Bullet6"/>
      </w:pPr>
      <w:r>
        <w:t>toxic effects may be magnified by the patient’s immaturity or by the size, rapidity or frequency of transfusion</w:t>
      </w:r>
    </w:p>
    <w:p w14:paraId="3DE1F186" w14:textId="4060579C" w:rsidR="00D93C65" w:rsidRDefault="00D93C65" w:rsidP="0094036C">
      <w:pPr>
        <w:pStyle w:val="Bullet12"/>
      </w:pPr>
      <w:r>
        <w:t xml:space="preserve">even small increases in the longevity of the transfused </w:t>
      </w:r>
      <w:r w:rsidR="00B42943">
        <w:rPr>
          <w:lang w:val="en-AU"/>
        </w:rPr>
        <w:t>RBCs</w:t>
      </w:r>
      <w:r>
        <w:t xml:space="preserve"> may be a major advantage. </w:t>
      </w:r>
    </w:p>
    <w:p w14:paraId="3FB2ED8B" w14:textId="37E73C78" w:rsidR="008169C8" w:rsidRDefault="00D93C65" w:rsidP="008169C8">
      <w:pPr>
        <w:pStyle w:val="Normalbeforebullet"/>
      </w:pPr>
      <w:r>
        <w:t xml:space="preserve">There is insufficient evidence on which to base strong recommendations for the use of ‘fresh’ RBCs in fetal, neonatal or paediatric patients. Nevertheless, the circumstances in which ‘fresh’ </w:t>
      </w:r>
      <w:r w:rsidR="00BB78D3">
        <w:t>RBCs</w:t>
      </w:r>
      <w:r>
        <w:t xml:space="preserve"> are recommended</w:t>
      </w:r>
      <w:r w:rsidR="008169C8">
        <w:t xml:space="preserve"> in previous guidelines include:</w:t>
      </w:r>
    </w:p>
    <w:p w14:paraId="0C213C39" w14:textId="76E1E735" w:rsidR="008169C8" w:rsidRPr="008169C8" w:rsidRDefault="00D93C65" w:rsidP="008169C8">
      <w:pPr>
        <w:pStyle w:val="Bullet6"/>
        <w:rPr>
          <w:iCs/>
        </w:rPr>
      </w:pPr>
      <w:r w:rsidRPr="005138C9">
        <w:t>fetal intrauterine transfusion</w:t>
      </w:r>
      <w:r w:rsidR="006F68C5">
        <w:rPr>
          <w:lang w:val="en-AU"/>
        </w:rPr>
        <w:t xml:space="preserve"> (IUT)</w:t>
      </w:r>
      <w:hyperlink w:anchor="_ENREF_234" w:tooltip="Gibson, 2004 #56" w:history="1">
        <w:r w:rsidR="00E62798">
          <w:fldChar w:fldCharType="begin">
            <w:fldData xml:space="preserve">PEVuZE5vdGU+PENpdGU+PEF1dGhvcj5HaWJzb248L0F1dGhvcj48WWVhcj4yMDA0PC9ZZWFyPjxS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=
</w:fldData>
          </w:fldChar>
        </w:r>
        <w:r w:rsidR="00E62798">
          <w:instrText xml:space="preserve"> ADDIN EN.CITE </w:instrText>
        </w:r>
        <w:r w:rsidR="00E62798">
          <w:fldChar w:fldCharType="begin">
            <w:fldData xml:space="preserve">PEVuZE5vdGU+PENpdGU+PEF1dGhvcj5HaWJzb248L0F1dGhvcj48WWVhcj4yMDA0PC9ZZWFyPjxS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=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234-236</w:t>
        </w:r>
        <w:r w:rsidR="00E62798">
          <w:fldChar w:fldCharType="end"/>
        </w:r>
      </w:hyperlink>
    </w:p>
    <w:p w14:paraId="41AF977A" w14:textId="78E225C4" w:rsidR="008169C8" w:rsidRDefault="00D93C65" w:rsidP="008169C8">
      <w:pPr>
        <w:pStyle w:val="Bullet6"/>
        <w:rPr>
          <w:iCs/>
        </w:rPr>
      </w:pPr>
      <w:r w:rsidRPr="005138C9">
        <w:rPr>
          <w:iCs/>
        </w:rPr>
        <w:t>exchange transfusion and large</w:t>
      </w:r>
      <w:r>
        <w:rPr>
          <w:iCs/>
        </w:rPr>
        <w:t>-</w:t>
      </w:r>
      <w:r w:rsidRPr="005138C9">
        <w:rPr>
          <w:iCs/>
        </w:rPr>
        <w:t>volume</w:t>
      </w:r>
      <w:r>
        <w:rPr>
          <w:iCs/>
        </w:rPr>
        <w:t xml:space="preserve"> (e.g. &gt;25 mL/kg)</w:t>
      </w:r>
      <w:r w:rsidRPr="005138C9">
        <w:rPr>
          <w:iCs/>
        </w:rPr>
        <w:t xml:space="preserve"> transfusion of neonates and infants under 1 year of age</w:t>
      </w:r>
      <w:hyperlink w:anchor="_ENREF_237" w:tooltip=",  #1097" w:history="1">
        <w:r w:rsidR="00E62798">
          <w:rPr>
            <w:iCs/>
          </w:rPr>
          <w:fldChar w:fldCharType="begin">
            <w:fldData xml:space="preserve">PEVuZE5vdGU+PENpdGUgRXhjbHVkZUF1dGg9IjEiIEV4Y2x1ZGVZZWFyPSIxIj48UmVjTnVtPjEw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</w:fldData>
          </w:fldChar>
        </w:r>
        <w:r w:rsidR="00E62798">
          <w:rPr>
            <w:iCs/>
          </w:rPr>
          <w:instrText xml:space="preserve"> ADDIN EN.CITE </w:instrText>
        </w:r>
        <w:r w:rsidR="00E62798">
          <w:rPr>
            <w:iCs/>
          </w:rPr>
          <w:fldChar w:fldCharType="begin">
            <w:fldData xml:space="preserve">PEVuZE5vdGU+PENpdGUgRXhjbHVkZUF1dGg9IjEiIEV4Y2x1ZGVZZWFyPSIxIj48UmVjTnVtPjEw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</w:fldData>
          </w:fldChar>
        </w:r>
        <w:r w:rsidR="00E62798">
          <w:rPr>
            <w:iCs/>
          </w:rPr>
          <w:instrText xml:space="preserve"> ADDIN EN.CITE.DATA </w:instrText>
        </w:r>
        <w:r w:rsidR="00E62798">
          <w:rPr>
            <w:iCs/>
          </w:rPr>
        </w:r>
        <w:r w:rsidR="00E62798">
          <w:rPr>
            <w:iCs/>
          </w:rPr>
          <w:fldChar w:fldCharType="end"/>
        </w:r>
        <w:r w:rsidR="00E62798">
          <w:rPr>
            <w:iCs/>
          </w:rPr>
        </w:r>
        <w:r w:rsidR="00E62798">
          <w:rPr>
            <w:iCs/>
          </w:rPr>
          <w:fldChar w:fldCharType="separate"/>
        </w:r>
        <w:r w:rsidR="00E62798" w:rsidRPr="00E62798">
          <w:rPr>
            <w:iCs/>
            <w:noProof/>
            <w:vertAlign w:val="superscript"/>
          </w:rPr>
          <w:t>237-239</w:t>
        </w:r>
        <w:r w:rsidR="00E62798">
          <w:rPr>
            <w:iCs/>
          </w:rPr>
          <w:fldChar w:fldCharType="end"/>
        </w:r>
      </w:hyperlink>
      <w:r>
        <w:rPr>
          <w:iCs/>
        </w:rPr>
        <w:t xml:space="preserve"> </w:t>
      </w:r>
    </w:p>
    <w:p w14:paraId="69B3A114" w14:textId="77777777" w:rsidR="008169C8" w:rsidRPr="008169C8" w:rsidRDefault="00D93C65" w:rsidP="008169C8">
      <w:pPr>
        <w:pStyle w:val="Bullet6"/>
        <w:rPr>
          <w:iCs/>
        </w:rPr>
      </w:pPr>
      <w:r>
        <w:rPr>
          <w:iCs/>
        </w:rPr>
        <w:t xml:space="preserve">infants and children undergoing cardiac surgery using </w:t>
      </w:r>
      <w:r w:rsidR="008169C8">
        <w:rPr>
          <w:iCs/>
          <w:lang w:val="en-AU"/>
        </w:rPr>
        <w:t>CPB</w:t>
      </w:r>
    </w:p>
    <w:p w14:paraId="1FFB71EE" w14:textId="5452180E" w:rsidR="00D93C65" w:rsidRPr="005138C9" w:rsidRDefault="00D93C65" w:rsidP="008169C8">
      <w:pPr>
        <w:pStyle w:val="Bullet12"/>
      </w:pPr>
      <w:r>
        <w:t>chronically transfused patients.</w:t>
      </w:r>
      <w:hyperlink w:anchor="_ENREF_240" w:tooltip="ANZSBT, 2007 #759" w:history="1">
        <w:r w:rsidR="00E62798">
          <w:fldChar w:fldCharType="begin"/>
        </w:r>
        <w:r w:rsidR="00E62798">
          <w:instrText xml:space="preserve"> ADDIN EN.CITE &lt;EndNote&gt;&lt;Cite&gt;&lt;Author&gt;ANZSBT&lt;/Author&gt;&lt;Year&gt;2007&lt;/Year&gt;&lt;RecNum&gt;759&lt;/RecNum&gt;&lt;DisplayText&gt;&lt;style face="superscript"&gt;240&lt;/style&gt;&lt;/DisplayText&gt;&lt;record&gt;&lt;rec-number&gt;759&lt;/rec-number&gt;&lt;foreign-keys&gt;&lt;key app="EN" db-id="9edve2wadsavt5ewavaxtda4f2tavzvts9ee" timestamp="1431675091"&gt;759&lt;/key&gt;&lt;/foreign-keys&gt;&lt;ref-type name="Report"&gt;27&lt;/ref-type&gt;&lt;contributors&gt;&lt;authors&gt;&lt;author&gt;ANZSBT,&lt;/author&gt;&lt;/authors&gt;&lt;/contributors&gt;&lt;titles&gt;&lt;title&gt;Guidelines for pretransfusion laboratory practice&lt;/title&gt;&lt;secondary-title&gt;3rd Edition&lt;/secondary-title&gt;&lt;/titles&gt;&lt;dates&gt;&lt;year&gt;2007&lt;/year&gt;&lt;/dates&gt;&lt;publisher&gt;Australian &amp;amp; New Zealand Society of Blood Transfusion Inc (ANZSBT)&lt;/publisher&gt;&lt;urls&gt;&lt;related-urls&gt;&lt;url&gt;www.anzsbt.org.au/publications/documents/PLP_Guidelines_Mar07.pdf&lt;/url&gt;&lt;/related-urls&gt;&lt;/urls&gt;&lt;access-date&gt;21 May 2014&lt;/access-date&gt;&lt;/record&gt;&lt;/Cite&gt;&lt;/EndNote&gt;</w:instrText>
        </w:r>
        <w:r w:rsidR="00E62798">
          <w:fldChar w:fldCharType="separate"/>
        </w:r>
        <w:r w:rsidR="00E62798" w:rsidRPr="00E62798">
          <w:rPr>
            <w:noProof/>
            <w:vertAlign w:val="superscript"/>
          </w:rPr>
          <w:t>240</w:t>
        </w:r>
        <w:r w:rsidR="00E62798">
          <w:fldChar w:fldCharType="end"/>
        </w:r>
      </w:hyperlink>
      <w:r>
        <w:t xml:space="preserve"> </w:t>
      </w:r>
    </w:p>
    <w:p w14:paraId="0C4E7F8C" w14:textId="2E2F8835" w:rsidR="00D93C65" w:rsidRPr="00C627DB" w:rsidRDefault="00D93C65" w:rsidP="00D93C65">
      <w:pPr>
        <w:jc w:val="both"/>
        <w:rPr>
          <w:rFonts w:cs="Times New Roman"/>
          <w:iCs/>
        </w:rPr>
      </w:pPr>
      <w:r>
        <w:rPr>
          <w:rFonts w:cs="Times New Roman"/>
          <w:iCs/>
        </w:rPr>
        <w:t xml:space="preserve">For infants and children undergoing cardiac surgery using </w:t>
      </w:r>
      <w:r w:rsidR="008169C8">
        <w:rPr>
          <w:rFonts w:cs="Times New Roman"/>
          <w:iCs/>
        </w:rPr>
        <w:t>CPB</w:t>
      </w:r>
      <w:r>
        <w:rPr>
          <w:rFonts w:cs="Times New Roman"/>
          <w:iCs/>
        </w:rPr>
        <w:t xml:space="preserve">, a retrospective study reported lower rates of major complications in those in whom </w:t>
      </w:r>
      <w:r w:rsidRPr="007A3698">
        <w:rPr>
          <w:rFonts w:cs="Times New Roman"/>
          <w:iCs/>
        </w:rPr>
        <w:t>‘fresh blood’ (&lt;4 days old)</w:t>
      </w:r>
      <w:r>
        <w:rPr>
          <w:rFonts w:cs="Times New Roman"/>
          <w:iCs/>
        </w:rPr>
        <w:t xml:space="preserve"> was used to prime the CPB circuit.</w:t>
      </w:r>
      <w:hyperlink w:anchor="_ENREF_241" w:tooltip="Ranucci, 2009 #60" w:history="1">
        <w:r w:rsidR="00E62798">
          <w:rPr>
            <w:rFonts w:cs="Times New Roman"/>
            <w:iCs/>
          </w:rPr>
          <w:fldChar w:fldCharType="begin">
            <w:fldData xml:space="preserve">PEVuZE5vdGU+PENpdGU+PEF1dGhvcj5SYW51Y2NpPC9BdXRob3I+PFllYXI+MjAwOTwvWWVhcj48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</w:fldData>
          </w:fldChar>
        </w:r>
        <w:r w:rsidR="00E62798">
          <w:rPr>
            <w:rFonts w:cs="Times New Roman"/>
            <w:iCs/>
          </w:rPr>
          <w:instrText xml:space="preserve"> ADDIN EN.CITE </w:instrText>
        </w:r>
        <w:r w:rsidR="00E62798">
          <w:rPr>
            <w:rFonts w:cs="Times New Roman"/>
            <w:iCs/>
          </w:rPr>
          <w:fldChar w:fldCharType="begin">
            <w:fldData xml:space="preserve">PEVuZE5vdGU+PENpdGU+PEF1dGhvcj5SYW51Y2NpPC9BdXRob3I+PFllYXI+MjAwOTwvWWVhcj48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</w:fldData>
          </w:fldChar>
        </w:r>
        <w:r w:rsidR="00E62798">
          <w:rPr>
            <w:rFonts w:cs="Times New Roman"/>
            <w:iCs/>
          </w:rPr>
          <w:instrText xml:space="preserve"> ADDIN EN.CITE.DATA </w:instrText>
        </w:r>
        <w:r w:rsidR="00E62798">
          <w:rPr>
            <w:rFonts w:cs="Times New Roman"/>
            <w:iCs/>
          </w:rPr>
        </w:r>
        <w:r w:rsidR="00E62798">
          <w:rPr>
            <w:rFonts w:cs="Times New Roman"/>
            <w:iCs/>
          </w:rPr>
          <w:fldChar w:fldCharType="end"/>
        </w:r>
        <w:r w:rsidR="00E62798">
          <w:rPr>
            <w:rFonts w:cs="Times New Roman"/>
            <w:iCs/>
          </w:rPr>
        </w:r>
        <w:r w:rsidR="00E62798">
          <w:rPr>
            <w:rFonts w:cs="Times New Roman"/>
            <w:iCs/>
          </w:rPr>
          <w:fldChar w:fldCharType="separate"/>
        </w:r>
        <w:r w:rsidR="00E62798" w:rsidRPr="00E62798">
          <w:rPr>
            <w:rFonts w:cs="Times New Roman"/>
            <w:iCs/>
            <w:noProof/>
            <w:vertAlign w:val="superscript"/>
          </w:rPr>
          <w:t>241</w:t>
        </w:r>
        <w:r w:rsidR="00E62798">
          <w:rPr>
            <w:rFonts w:cs="Times New Roman"/>
            <w:iCs/>
          </w:rPr>
          <w:fldChar w:fldCharType="end"/>
        </w:r>
      </w:hyperlink>
    </w:p>
    <w:p w14:paraId="3A7FC74C" w14:textId="37AC4F26" w:rsidR="00D93C65" w:rsidRDefault="00D93C65" w:rsidP="0094036C">
      <w:pPr>
        <w:rPr>
          <w:rFonts w:eastAsia="Calibri"/>
        </w:rPr>
      </w:pPr>
      <w:r>
        <w:rPr>
          <w:rFonts w:eastAsia="Calibri"/>
        </w:rPr>
        <w:t>For neonatal patients undergoing top-up transfusion, a randomised trial found</w:t>
      </w:r>
      <w:r w:rsidRPr="005138C9">
        <w:t xml:space="preserve"> no difference in </w:t>
      </w:r>
      <w:r>
        <w:t>mortality or acute organ dysfunction between infants re</w:t>
      </w:r>
      <w:r w:rsidRPr="005138C9">
        <w:t xml:space="preserve">ceiving </w:t>
      </w:r>
      <w:r>
        <w:t>RBCs</w:t>
      </w:r>
      <w:r w:rsidRPr="005138C9">
        <w:t xml:space="preserve"> stored for </w:t>
      </w:r>
      <w:r>
        <w:t>&lt;</w:t>
      </w:r>
      <w:r w:rsidRPr="005138C9">
        <w:t>7</w:t>
      </w:r>
      <w:r>
        <w:t xml:space="preserve"> </w:t>
      </w:r>
      <w:r w:rsidRPr="005138C9">
        <w:t xml:space="preserve">days (mean 5.1 days) and those receiving older </w:t>
      </w:r>
      <w:r>
        <w:t>RBCs</w:t>
      </w:r>
      <w:r w:rsidRPr="005138C9">
        <w:t xml:space="preserve"> (mean 14.6 days)</w:t>
      </w:r>
      <w:r>
        <w:t>.</w:t>
      </w:r>
      <w:hyperlink w:anchor="_ENREF_242" w:tooltip="Fergusson, 2012 #63" w:history="1">
        <w:r w:rsidR="00E62798">
          <w:fldChar w:fldCharType="begin">
            <w:fldData xml:space="preserve">PEVuZE5vdGU+PENpdGU+PEF1dGhvcj5GZXJndXNzb248L0F1dGhvcj48WWVhcj4yMDEyPC9ZZWFy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</w:fldData>
          </w:fldChar>
        </w:r>
        <w:r w:rsidR="00E62798">
          <w:instrText xml:space="preserve"> ADDIN EN.CITE </w:instrText>
        </w:r>
        <w:r w:rsidR="00E62798">
          <w:fldChar w:fldCharType="begin">
            <w:fldData xml:space="preserve">PEVuZE5vdGU+PENpdGU+PEF1dGhvcj5GZXJndXNzb248L0F1dGhvcj48WWVhcj4yMDEyPC9ZZWFy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242</w:t>
        </w:r>
        <w:r w:rsidR="00E62798">
          <w:fldChar w:fldCharType="end"/>
        </w:r>
      </w:hyperlink>
      <w:r w:rsidRPr="005138C9">
        <w:t xml:space="preserve"> </w:t>
      </w:r>
      <w:r>
        <w:t>In contrast, in observational studies,</w:t>
      </w:r>
      <w:r>
        <w:rPr>
          <w:rFonts w:eastAsia="Calibri" w:cs="Times New Roman"/>
          <w:bCs/>
        </w:rPr>
        <w:t xml:space="preserve"> transfusion of older RBCs in PICU</w:t>
      </w:r>
      <w:r w:rsidR="007E5655">
        <w:rPr>
          <w:rFonts w:eastAsia="Calibri" w:cs="Times New Roman"/>
          <w:bCs/>
        </w:rPr>
        <w:t xml:space="preserve"> patients</w:t>
      </w:r>
      <w:r>
        <w:rPr>
          <w:rFonts w:eastAsia="Calibri" w:cs="Times New Roman"/>
          <w:bCs/>
        </w:rPr>
        <w:t xml:space="preserve"> has been associated with increased incidence of </w:t>
      </w:r>
      <w:r w:rsidR="007E5655">
        <w:rPr>
          <w:rFonts w:eastAsia="Calibri" w:cs="Times New Roman"/>
          <w:bCs/>
        </w:rPr>
        <w:t>multi</w:t>
      </w:r>
      <w:r>
        <w:rPr>
          <w:rFonts w:eastAsia="Calibri" w:cs="Times New Roman"/>
          <w:bCs/>
        </w:rPr>
        <w:t>organ failure and PICU length of stay.</w:t>
      </w:r>
      <w:hyperlink w:anchor="_ENREF_243" w:tooltip="Gauvin, 2010 #64" w:history="1">
        <w:r w:rsidR="00E62798">
          <w:rPr>
            <w:rFonts w:eastAsia="Calibri" w:cs="Times New Roman"/>
            <w:bCs/>
          </w:rPr>
          <w:fldChar w:fldCharType="begin">
            <w:fldData xml:space="preserve">PEVuZE5vdGU+PENpdGU+PEF1dGhvcj5HYXV2aW48L0F1dGhvcj48WWVhcj4yMDEwPC9ZZWFyPjxS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</w:fldData>
          </w:fldChar>
        </w:r>
        <w:r w:rsidR="00E62798">
          <w:rPr>
            <w:rFonts w:eastAsia="Calibri" w:cs="Times New Roman"/>
            <w:bCs/>
          </w:rPr>
          <w:instrText xml:space="preserve"> ADDIN EN.CITE </w:instrText>
        </w:r>
        <w:r w:rsidR="00E62798">
          <w:rPr>
            <w:rFonts w:eastAsia="Calibri" w:cs="Times New Roman"/>
            <w:bCs/>
          </w:rPr>
          <w:fldChar w:fldCharType="begin">
            <w:fldData xml:space="preserve">PEVuZE5vdGU+PENpdGU+PEF1dGhvcj5HYXV2aW48L0F1dGhvcj48WWVhcj4yMDEwPC9ZZWFyPjxS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</w:fldData>
          </w:fldChar>
        </w:r>
        <w:r w:rsidR="00E62798">
          <w:rPr>
            <w:rFonts w:eastAsia="Calibri" w:cs="Times New Roman"/>
            <w:bCs/>
          </w:rPr>
          <w:instrText xml:space="preserve"> ADDIN EN.CITE.DATA </w:instrText>
        </w:r>
        <w:r w:rsidR="00E62798">
          <w:rPr>
            <w:rFonts w:eastAsia="Calibri" w:cs="Times New Roman"/>
            <w:bCs/>
          </w:rPr>
        </w:r>
        <w:r w:rsidR="00E62798">
          <w:rPr>
            <w:rFonts w:eastAsia="Calibri" w:cs="Times New Roman"/>
            <w:bCs/>
          </w:rPr>
          <w:fldChar w:fldCharType="end"/>
        </w:r>
        <w:r w:rsidR="00E62798">
          <w:rPr>
            <w:rFonts w:eastAsia="Calibri" w:cs="Times New Roman"/>
            <w:bCs/>
          </w:rPr>
        </w:r>
        <w:r w:rsidR="00E62798">
          <w:rPr>
            <w:rFonts w:eastAsia="Calibri" w:cs="Times New Roman"/>
            <w:bCs/>
          </w:rPr>
          <w:fldChar w:fldCharType="separate"/>
        </w:r>
        <w:r w:rsidR="00E62798" w:rsidRPr="00E62798">
          <w:rPr>
            <w:rFonts w:eastAsia="Calibri" w:cs="Times New Roman"/>
            <w:bCs/>
            <w:noProof/>
            <w:vertAlign w:val="superscript"/>
          </w:rPr>
          <w:t>243-244</w:t>
        </w:r>
        <w:r w:rsidR="00E62798">
          <w:rPr>
            <w:rFonts w:eastAsia="Calibri" w:cs="Times New Roman"/>
            <w:bCs/>
          </w:rPr>
          <w:fldChar w:fldCharType="end"/>
        </w:r>
      </w:hyperlink>
      <w:r>
        <w:rPr>
          <w:rFonts w:eastAsia="Calibri" w:cs="Times New Roman"/>
          <w:bCs/>
        </w:rPr>
        <w:t xml:space="preserve"> </w:t>
      </w:r>
    </w:p>
    <w:p w14:paraId="530D733E" w14:textId="7ECDC639" w:rsidR="00D93C65" w:rsidRDefault="00D93C65" w:rsidP="00D93C65">
      <w:pPr>
        <w:jc w:val="both"/>
        <w:rPr>
          <w:rFonts w:eastAsia="Calibri" w:cs="Times New Roman"/>
          <w:b/>
          <w:bCs/>
        </w:rPr>
      </w:pPr>
      <w:r>
        <w:rPr>
          <w:rFonts w:eastAsia="Calibri"/>
        </w:rPr>
        <w:t>In the chronically transfused patient</w:t>
      </w:r>
      <w:r w:rsidR="007E5655">
        <w:rPr>
          <w:rFonts w:eastAsia="Calibri"/>
        </w:rPr>
        <w:t>,</w:t>
      </w:r>
      <w:r>
        <w:rPr>
          <w:rFonts w:eastAsia="Calibri"/>
        </w:rPr>
        <w:t xml:space="preserve"> it is desirable to maximise the RBC in</w:t>
      </w:r>
      <w:r w:rsidR="007E5655">
        <w:rPr>
          <w:rFonts w:eastAsia="Calibri"/>
        </w:rPr>
        <w:t xml:space="preserve"> </w:t>
      </w:r>
      <w:r>
        <w:rPr>
          <w:rFonts w:eastAsia="Calibri"/>
        </w:rPr>
        <w:t>vivo survival time. It is thought that by transfusing fresher RBC</w:t>
      </w:r>
      <w:r w:rsidR="007E5655">
        <w:rPr>
          <w:rFonts w:eastAsia="Calibri"/>
        </w:rPr>
        <w:t>s</w:t>
      </w:r>
      <w:r>
        <w:rPr>
          <w:rFonts w:eastAsia="Calibri"/>
        </w:rPr>
        <w:t>, the RBC will last for longer, potentially extending the transfusion interval.</w:t>
      </w:r>
      <w:r w:rsidR="00E62798">
        <w:rPr>
          <w:rFonts w:eastAsia="Calibri"/>
        </w:rPr>
        <w:fldChar w:fldCharType="begin">
          <w:fldData xml:space="preserve">PEVuZE5vdGU+PENpdGU+PEF1dGhvcj5BTlpTQlQ8L0F1dGhvcj48WWVhcj4yMDA3PC9ZZWFyPjxS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</w:fldData>
        </w:fldChar>
      </w:r>
      <w:r w:rsidR="00E62798">
        <w:rPr>
          <w:rFonts w:eastAsia="Calibri"/>
        </w:rPr>
        <w:instrText xml:space="preserve"> ADDIN EN.CITE </w:instrText>
      </w:r>
      <w:r w:rsidR="00E62798">
        <w:rPr>
          <w:rFonts w:eastAsia="Calibri"/>
        </w:rPr>
        <w:fldChar w:fldCharType="begin">
          <w:fldData xml:space="preserve">PEVuZE5vdGU+PENpdGU+PEF1dGhvcj5BTlpTQlQ8L0F1dGhvcj48WWVhcj4yMDA3PC9ZZWFyPjxS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</w:fldData>
        </w:fldChar>
      </w:r>
      <w:r w:rsidR="00E62798">
        <w:rPr>
          <w:rFonts w:eastAsia="Calibri"/>
        </w:rPr>
        <w:instrText xml:space="preserve"> ADDIN EN.CITE.DATA </w:instrText>
      </w:r>
      <w:r w:rsidR="00E62798">
        <w:rPr>
          <w:rFonts w:eastAsia="Calibri"/>
        </w:rPr>
      </w:r>
      <w:r w:rsidR="00E62798">
        <w:rPr>
          <w:rFonts w:eastAsia="Calibri"/>
        </w:rPr>
        <w:fldChar w:fldCharType="end"/>
      </w:r>
      <w:r w:rsidR="00E62798">
        <w:rPr>
          <w:rFonts w:eastAsia="Calibri"/>
        </w:rPr>
      </w:r>
      <w:r w:rsidR="00E62798">
        <w:rPr>
          <w:rFonts w:eastAsia="Calibri"/>
        </w:rPr>
        <w:fldChar w:fldCharType="separate"/>
      </w:r>
      <w:hyperlink w:anchor="_ENREF_241" w:tooltip="Ranucci, 2009 #60" w:history="1">
        <w:r w:rsidR="00E62798" w:rsidRPr="00E62798">
          <w:rPr>
            <w:rFonts w:eastAsia="Calibri"/>
            <w:noProof/>
            <w:vertAlign w:val="superscript"/>
          </w:rPr>
          <w:t>241-242</w:t>
        </w:r>
      </w:hyperlink>
      <w:r w:rsidR="00E62798" w:rsidRPr="00E62798">
        <w:rPr>
          <w:rFonts w:eastAsia="Calibri"/>
          <w:noProof/>
          <w:vertAlign w:val="superscript"/>
        </w:rPr>
        <w:t xml:space="preserve">; </w:t>
      </w:r>
      <w:hyperlink w:anchor="_ENREF_245" w:tooltip="ANZSBT, 2007 #66" w:history="1">
        <w:r w:rsidR="00E62798" w:rsidRPr="00E62798">
          <w:rPr>
            <w:rFonts w:eastAsia="Calibri"/>
            <w:noProof/>
            <w:vertAlign w:val="superscript"/>
          </w:rPr>
          <w:t>245</w:t>
        </w:r>
      </w:hyperlink>
      <w:r w:rsidR="00E62798">
        <w:rPr>
          <w:rFonts w:eastAsia="Calibri"/>
        </w:rPr>
        <w:fldChar w:fldCharType="end"/>
      </w:r>
      <w:r w:rsidR="00AB1355">
        <w:rPr>
          <w:rFonts w:eastAsia="Calibri" w:cs="Times New Roman"/>
          <w:b/>
          <w:bCs/>
        </w:rPr>
        <w:t xml:space="preserve"> </w:t>
      </w:r>
    </w:p>
    <w:tbl>
      <w:tblPr>
        <w:tblStyle w:val="TableGrid"/>
        <w:tblW w:w="8347" w:type="dxa"/>
        <w:tblInd w:w="720" w:type="dxa"/>
        <w:tblLook w:val="04A0" w:firstRow="1" w:lastRow="0" w:firstColumn="1" w:lastColumn="0" w:noHBand="0" w:noVBand="1"/>
      </w:tblPr>
      <w:tblGrid>
        <w:gridCol w:w="1231"/>
        <w:gridCol w:w="7116"/>
      </w:tblGrid>
      <w:tr w:rsidR="00D93C65" w14:paraId="2E27871C" w14:textId="77777777" w:rsidTr="00467EEA">
        <w:tc>
          <w:tcPr>
            <w:tcW w:w="8347" w:type="dxa"/>
            <w:gridSpan w:val="2"/>
            <w:shd w:val="clear" w:color="auto" w:fill="BFBFBF" w:themeFill="background1" w:themeFillShade="BF"/>
          </w:tcPr>
          <w:p w14:paraId="460AFA0C" w14:textId="77777777" w:rsidR="00D93C65" w:rsidRPr="00813FDC" w:rsidRDefault="00D93C65" w:rsidP="00DF3BC7">
            <w:pPr>
              <w:pStyle w:val="PP-heading"/>
            </w:pPr>
            <w:r>
              <w:t>Expert opinion point –</w:t>
            </w:r>
            <w:r w:rsidRPr="00813FDC">
              <w:t xml:space="preserve"> </w:t>
            </w:r>
            <w:r w:rsidRPr="0015406B">
              <w:t xml:space="preserve">‘fresh’ </w:t>
            </w:r>
            <w:r>
              <w:t>RBC</w:t>
            </w:r>
            <w:r w:rsidRPr="0015406B">
              <w:t>s in fetal, neonatal and paediatric</w:t>
            </w:r>
            <w:r>
              <w:t xml:space="preserve"> patients</w:t>
            </w:r>
          </w:p>
        </w:tc>
      </w:tr>
      <w:tr w:rsidR="00D93C65" w14:paraId="33C86572" w14:textId="77777777" w:rsidTr="00DF3BC7">
        <w:tc>
          <w:tcPr>
            <w:tcW w:w="1231" w:type="dxa"/>
          </w:tcPr>
          <w:p w14:paraId="3D771477" w14:textId="34314C38" w:rsidR="00D93C65" w:rsidRDefault="00D93C65" w:rsidP="007E5655">
            <w:pPr>
              <w:pStyle w:val="PP"/>
            </w:pPr>
            <w:r>
              <w:t>EOP</w:t>
            </w:r>
            <w:r w:rsidR="007E5655">
              <w:t>5</w:t>
            </w:r>
          </w:p>
        </w:tc>
        <w:tc>
          <w:tcPr>
            <w:tcW w:w="7116" w:type="dxa"/>
          </w:tcPr>
          <w:p w14:paraId="1C58E429" w14:textId="77777777" w:rsidR="00D93C65" w:rsidRDefault="00D93C65" w:rsidP="007E5655">
            <w:pPr>
              <w:pStyle w:val="PT-prebullet"/>
            </w:pPr>
            <w:r>
              <w:t>The routine use of ‘fresh’ (&lt;7 days) RBCs is not advocated for routine use, but may be considered in the following clinical situations:</w:t>
            </w:r>
          </w:p>
          <w:p w14:paraId="1935C4F3" w14:textId="77777777" w:rsidR="00D93C65" w:rsidRDefault="00D93C65" w:rsidP="007E5655">
            <w:pPr>
              <w:pStyle w:val="PT-bullets"/>
            </w:pPr>
            <w:r>
              <w:t>IUT (&lt;5 days, if available)</w:t>
            </w:r>
          </w:p>
          <w:p w14:paraId="3ED15FC4" w14:textId="3D079020" w:rsidR="00D93C65" w:rsidRDefault="006F68C5" w:rsidP="007E5655">
            <w:pPr>
              <w:pStyle w:val="PT-bullets"/>
            </w:pPr>
            <w:r>
              <w:t>large</w:t>
            </w:r>
            <w:r>
              <w:rPr>
                <w:lang w:val="en-AU"/>
              </w:rPr>
              <w:t>-</w:t>
            </w:r>
            <w:r w:rsidR="00D93C65">
              <w:t>volume transfusion (&gt;25 mL/kg)</w:t>
            </w:r>
          </w:p>
          <w:p w14:paraId="0153B29B" w14:textId="77777777" w:rsidR="00D93C65" w:rsidRDefault="00D93C65" w:rsidP="007E5655">
            <w:pPr>
              <w:pStyle w:val="PT-bullets"/>
            </w:pPr>
            <w:r>
              <w:t>exchange transfusion</w:t>
            </w:r>
          </w:p>
          <w:p w14:paraId="02F793F8" w14:textId="77777777" w:rsidR="00D93C65" w:rsidRDefault="00D93C65" w:rsidP="007E5655">
            <w:pPr>
              <w:pStyle w:val="PT-bullets"/>
            </w:pPr>
            <w:r>
              <w:t>cardiac surgery</w:t>
            </w:r>
          </w:p>
          <w:p w14:paraId="6EF43249" w14:textId="6630EEDE" w:rsidR="00D93C65" w:rsidRDefault="00D93C65" w:rsidP="007E5655">
            <w:pPr>
              <w:pStyle w:val="PT-bullets"/>
            </w:pPr>
            <w:r>
              <w:t>transfusion-dependent chronic anaemia (RBCs &lt;14 days)</w:t>
            </w:r>
          </w:p>
          <w:p w14:paraId="293A11C4" w14:textId="54202C73" w:rsidR="00D93C65" w:rsidRDefault="007E5655" w:rsidP="007E5655">
            <w:pPr>
              <w:pStyle w:val="PT-bullets"/>
            </w:pPr>
            <w:r>
              <w:t xml:space="preserve">where </w:t>
            </w:r>
            <w:r w:rsidR="00D93C65">
              <w:t>irradiated blood products are used</w:t>
            </w:r>
            <w:r w:rsidR="006F68C5">
              <w:rPr>
                <w:lang w:val="en-AU"/>
              </w:rPr>
              <w:t>.</w:t>
            </w:r>
          </w:p>
        </w:tc>
      </w:tr>
      <w:tr w:rsidR="00D93C65" w14:paraId="58847B62" w14:textId="77777777" w:rsidTr="00DF3BC7">
        <w:trPr>
          <w:trHeight w:val="381"/>
        </w:trPr>
        <w:tc>
          <w:tcPr>
            <w:tcW w:w="8347" w:type="dxa"/>
            <w:gridSpan w:val="2"/>
          </w:tcPr>
          <w:p w14:paraId="29E886B4" w14:textId="4612BBEE" w:rsidR="00D93C65" w:rsidRPr="00813FDC" w:rsidRDefault="00D93C65" w:rsidP="007E5655">
            <w:pPr>
              <w:pStyle w:val="PP-note"/>
            </w:pPr>
            <w:r w:rsidRPr="00813FDC">
              <w:t>EOP, expert opinion point</w:t>
            </w:r>
            <w:r>
              <w:t>; IUT, intrauterine transfusion; RBC, red blood cell</w:t>
            </w:r>
          </w:p>
        </w:tc>
      </w:tr>
    </w:tbl>
    <w:p w14:paraId="6D7E5031" w14:textId="77777777" w:rsidR="00D93C65" w:rsidRDefault="00D93C65" w:rsidP="00D93C65">
      <w:pPr>
        <w:pStyle w:val="Heading3"/>
      </w:pPr>
      <w:bookmarkStart w:id="187" w:name="_Toc421124112"/>
      <w:bookmarkStart w:id="188" w:name="_Toc427851372"/>
      <w:r>
        <w:t>4.1.2</w:t>
      </w:r>
      <w:r>
        <w:tab/>
        <w:t>Kell antigen system</w:t>
      </w:r>
      <w:bookmarkEnd w:id="187"/>
      <w:bookmarkEnd w:id="188"/>
    </w:p>
    <w:p w14:paraId="5A8D174E" w14:textId="6A311697" w:rsidR="007E5655" w:rsidRDefault="00D93C65" w:rsidP="00D93C65">
      <w:r>
        <w:t xml:space="preserve">Antibodies against Kell blood group antigens can cause severe transfusion reactions and </w:t>
      </w:r>
      <w:r w:rsidR="007E5655">
        <w:t>HDFN</w:t>
      </w:r>
      <w:r>
        <w:t>. Anti-K antibodies develop as a result of blood transfusion (50–88% of sensitisations), or through pr</w:t>
      </w:r>
      <w:r w:rsidR="007E5655">
        <w:t>egnancy.</w:t>
      </w:r>
      <w:hyperlink w:anchor="_ENREF_246" w:tooltip="van Wamelen, 2007 #608" w:history="1">
        <w:r w:rsidR="00E62798">
          <w:fldChar w:fldCharType="begin">
            <w:fldData xml:space="preserve">PEVuZE5vdGU+PENpdGU+PEF1dGhvcj52YW4gV2FtZWxlbjwvQXV0aG9yPjxZZWFyPjIwMDc8L1ll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</w:fldData>
          </w:fldChar>
        </w:r>
        <w:r w:rsidR="00E62798">
          <w:instrText xml:space="preserve"> ADDIN EN.CITE </w:instrText>
        </w:r>
        <w:r w:rsidR="00E62798">
          <w:fldChar w:fldCharType="begin">
            <w:fldData xml:space="preserve">PEVuZE5vdGU+PENpdGU+PEF1dGhvcj52YW4gV2FtZWxlbjwvQXV0aG9yPjxZZWFyPjIwMDc8L1ll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246-247</w:t>
        </w:r>
        <w:r w:rsidR="00E62798">
          <w:fldChar w:fldCharType="end"/>
        </w:r>
      </w:hyperlink>
    </w:p>
    <w:p w14:paraId="5C1A6A03" w14:textId="71C3E2C6" w:rsidR="00D93C65" w:rsidRDefault="00D93C65" w:rsidP="00D93C65">
      <w:r>
        <w:t>Avoiding transfusion-related Kell sensitisation of women and girls who may bear children is an important priority. Where possible, K-negative RBCs should be selected for transfusion for all females of childbearing potential who are K negative or whose K antigen status is unknown. In Australia, donor K status is generally indicated on the blood product label.</w:t>
      </w:r>
      <w:r w:rsidDel="006D7847">
        <w:t xml:space="preserve"> </w:t>
      </w:r>
    </w:p>
    <w:p w14:paraId="7C61CDF4" w14:textId="4FA0CF47" w:rsidR="00D93C65" w:rsidRPr="004F4EAD" w:rsidRDefault="007E5655" w:rsidP="00D93C65">
      <w:pPr>
        <w:rPr>
          <w:rFonts w:ascii="Verdana" w:hAnsi="Verdana" w:cs="Helvetica"/>
          <w:bCs/>
          <w:color w:val="303030"/>
          <w:sz w:val="19"/>
          <w:szCs w:val="19"/>
          <w:lang w:val="en"/>
        </w:rPr>
      </w:pPr>
      <w:r>
        <w:t>To reduce the risk of allo</w:t>
      </w:r>
      <w:r w:rsidR="00D93C65">
        <w:t>immunisation and transfusion reactions, both male and female chronically transfused patients (e.g. patients with haemoglobinopathies or congenital anaemia) should have an extended phenotype performed before their first RBC transfusion. Transfusions should be routinely matched for K and also Rh (D, C, c, E, e) antigens.</w:t>
      </w:r>
      <w:r w:rsidR="00E62798">
        <w:fldChar w:fldCharType="begin">
          <w:fldData xml:space="preserve">PEVuZE5vdGU+PENpdGUgRXhjbHVkZUF1dGg9IjEiPjxZZWFyPjIwMTM8L1llYXI+PFJlY051bT43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==
</w:fldData>
        </w:fldChar>
      </w:r>
      <w:r w:rsidR="00E62798">
        <w:instrText xml:space="preserve"> ADDIN EN.CITE </w:instrText>
      </w:r>
      <w:r w:rsidR="00E62798">
        <w:fldChar w:fldCharType="begin">
          <w:fldData xml:space="preserve">PEVuZE5vdGU+PENpdGUgRXhjbHVkZUF1dGg9IjEiPjxZZWFyPjIwMTM8L1llYXI+PFJlY051bT43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==
</w:fldData>
        </w:fldChar>
      </w:r>
      <w:r w:rsidR="00E62798">
        <w:instrText xml:space="preserve"> ADDIN EN.CITE.DATA </w:instrText>
      </w:r>
      <w:r w:rsidR="00E62798">
        <w:fldChar w:fldCharType="end"/>
      </w:r>
      <w:r w:rsidR="00E62798">
        <w:fldChar w:fldCharType="separate"/>
      </w:r>
      <w:hyperlink w:anchor="_ENREF_240" w:tooltip="ANZSBT, 2007 #759" w:history="1">
        <w:r w:rsidR="00E62798" w:rsidRPr="00E62798">
          <w:rPr>
            <w:noProof/>
            <w:vertAlign w:val="superscript"/>
          </w:rPr>
          <w:t>240</w:t>
        </w:r>
      </w:hyperlink>
      <w:r w:rsidR="00E62798" w:rsidRPr="00E62798">
        <w:rPr>
          <w:noProof/>
          <w:vertAlign w:val="superscript"/>
        </w:rPr>
        <w:t xml:space="preserve">; </w:t>
      </w:r>
      <w:hyperlink w:anchor="_ENREF_247" w:tooltip=", 2013 #71" w:history="1">
        <w:r w:rsidR="00E62798" w:rsidRPr="00E62798">
          <w:rPr>
            <w:noProof/>
            <w:vertAlign w:val="superscript"/>
          </w:rPr>
          <w:t>247</w:t>
        </w:r>
      </w:hyperlink>
      <w:r w:rsidR="00E62798">
        <w:fldChar w:fldCharType="end"/>
      </w:r>
    </w:p>
    <w:tbl>
      <w:tblPr>
        <w:tblStyle w:val="TableGrid"/>
        <w:tblW w:w="8347" w:type="dxa"/>
        <w:tblInd w:w="720" w:type="dxa"/>
        <w:tblLook w:val="04A0" w:firstRow="1" w:lastRow="0" w:firstColumn="1" w:lastColumn="0" w:noHBand="0" w:noVBand="1"/>
      </w:tblPr>
      <w:tblGrid>
        <w:gridCol w:w="1231"/>
        <w:gridCol w:w="7116"/>
      </w:tblGrid>
      <w:tr w:rsidR="00D93C65" w14:paraId="24645B3D" w14:textId="77777777" w:rsidTr="00467EEA">
        <w:tc>
          <w:tcPr>
            <w:tcW w:w="834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26F3D0" w14:textId="754E0745" w:rsidR="00D93C65" w:rsidRDefault="00D93C65" w:rsidP="00DF3BC7">
            <w:pPr>
              <w:pStyle w:val="PP-heading"/>
            </w:pPr>
            <w:r>
              <w:t>Expert opinion points</w:t>
            </w:r>
            <w:r w:rsidR="00F848F2">
              <w:t xml:space="preserve"> </w:t>
            </w:r>
            <w:r>
              <w:t>– Kell antigen system</w:t>
            </w:r>
          </w:p>
        </w:tc>
      </w:tr>
      <w:tr w:rsidR="00D93C65" w14:paraId="41BE39C3" w14:textId="77777777" w:rsidTr="00DF3BC7">
        <w:tc>
          <w:tcPr>
            <w:tcW w:w="1231" w:type="dxa"/>
            <w:tcBorders>
              <w:top w:val="single" w:sz="4" w:space="0" w:color="000000"/>
              <w:left w:val="single" w:sz="4" w:space="0" w:color="000000"/>
              <w:bottom w:val="single" w:sz="4" w:space="0" w:color="000000"/>
              <w:right w:val="single" w:sz="4" w:space="0" w:color="000000"/>
            </w:tcBorders>
            <w:hideMark/>
          </w:tcPr>
          <w:p w14:paraId="390D037C" w14:textId="47A49FDE" w:rsidR="00D93C65" w:rsidRPr="007E5655" w:rsidRDefault="00D93C65" w:rsidP="007E5655">
            <w:pPr>
              <w:pStyle w:val="PP"/>
              <w:rPr>
                <w:lang w:val="en-AU"/>
              </w:rPr>
            </w:pPr>
            <w:r>
              <w:t>EOP</w:t>
            </w:r>
            <w:r w:rsidR="007E5655">
              <w:rPr>
                <w:lang w:val="en-AU"/>
              </w:rPr>
              <w:t>6</w:t>
            </w:r>
          </w:p>
        </w:tc>
        <w:tc>
          <w:tcPr>
            <w:tcW w:w="7116" w:type="dxa"/>
            <w:tcBorders>
              <w:top w:val="single" w:sz="4" w:space="0" w:color="000000"/>
              <w:left w:val="single" w:sz="4" w:space="0" w:color="000000"/>
              <w:bottom w:val="single" w:sz="4" w:space="0" w:color="000000"/>
              <w:right w:val="single" w:sz="4" w:space="0" w:color="000000"/>
            </w:tcBorders>
            <w:hideMark/>
          </w:tcPr>
          <w:p w14:paraId="434B7B19" w14:textId="77777777" w:rsidR="00D93C65" w:rsidRDefault="00D93C65" w:rsidP="007E5655">
            <w:pPr>
              <w:pStyle w:val="PP"/>
            </w:pPr>
            <w:r>
              <w:t>Where possible, K-negative RBC should be selected for transfusion for all females of childbearing potential who are K negative or whose K antigen status is unknown. This includes fetal transfusion.</w:t>
            </w:r>
          </w:p>
        </w:tc>
      </w:tr>
      <w:tr w:rsidR="00D93C65" w14:paraId="2F41CCE3" w14:textId="77777777" w:rsidTr="00DF3BC7">
        <w:tc>
          <w:tcPr>
            <w:tcW w:w="1231" w:type="dxa"/>
            <w:tcBorders>
              <w:top w:val="single" w:sz="4" w:space="0" w:color="000000"/>
              <w:left w:val="single" w:sz="4" w:space="0" w:color="000000"/>
              <w:bottom w:val="single" w:sz="4" w:space="0" w:color="000000"/>
              <w:right w:val="single" w:sz="4" w:space="0" w:color="000000"/>
            </w:tcBorders>
          </w:tcPr>
          <w:p w14:paraId="39BAB2D9" w14:textId="40AFEAC9" w:rsidR="00D93C65" w:rsidRPr="007E5655" w:rsidRDefault="00D93C65" w:rsidP="007E5655">
            <w:pPr>
              <w:pStyle w:val="PP"/>
              <w:rPr>
                <w:lang w:val="en-AU"/>
              </w:rPr>
            </w:pPr>
            <w:r>
              <w:t>EOP</w:t>
            </w:r>
            <w:r w:rsidR="007E5655">
              <w:rPr>
                <w:lang w:val="en-AU"/>
              </w:rPr>
              <w:t>7</w:t>
            </w:r>
          </w:p>
        </w:tc>
        <w:tc>
          <w:tcPr>
            <w:tcW w:w="7116" w:type="dxa"/>
            <w:tcBorders>
              <w:top w:val="single" w:sz="4" w:space="0" w:color="000000"/>
              <w:left w:val="single" w:sz="4" w:space="0" w:color="000000"/>
              <w:bottom w:val="single" w:sz="4" w:space="0" w:color="000000"/>
              <w:right w:val="single" w:sz="4" w:space="0" w:color="000000"/>
            </w:tcBorders>
          </w:tcPr>
          <w:p w14:paraId="4A6C13D6" w14:textId="77777777" w:rsidR="00D93C65" w:rsidRDefault="00D93C65" w:rsidP="007E5655">
            <w:pPr>
              <w:pStyle w:val="PP"/>
            </w:pPr>
            <w:r>
              <w:t>In both male and female chronically transfused patients, RBC should be selected to match RhD, RhC/c, RhE/e and Kell antigen status.</w:t>
            </w:r>
          </w:p>
        </w:tc>
      </w:tr>
      <w:tr w:rsidR="00D93C65" w14:paraId="523E752C" w14:textId="77777777" w:rsidTr="00DF3BC7">
        <w:trPr>
          <w:trHeight w:val="381"/>
        </w:trPr>
        <w:tc>
          <w:tcPr>
            <w:tcW w:w="8347" w:type="dxa"/>
            <w:gridSpan w:val="2"/>
            <w:tcBorders>
              <w:top w:val="single" w:sz="4" w:space="0" w:color="000000"/>
              <w:left w:val="single" w:sz="4" w:space="0" w:color="000000"/>
              <w:bottom w:val="single" w:sz="4" w:space="0" w:color="000000"/>
              <w:right w:val="single" w:sz="4" w:space="0" w:color="000000"/>
            </w:tcBorders>
            <w:hideMark/>
          </w:tcPr>
          <w:p w14:paraId="0A5DF9A2" w14:textId="57C06D28" w:rsidR="00D93C65" w:rsidRDefault="00D93C65" w:rsidP="006F68C5">
            <w:pPr>
              <w:pStyle w:val="PP-note"/>
            </w:pPr>
            <w:r>
              <w:t>EOP, expert opinion point; K, Kell; RBC, red blood cell</w:t>
            </w:r>
          </w:p>
        </w:tc>
      </w:tr>
    </w:tbl>
    <w:p w14:paraId="4121F11A" w14:textId="77777777" w:rsidR="00D93C65" w:rsidRDefault="00D93C65" w:rsidP="00D93C65"/>
    <w:p w14:paraId="4E2B3D4C" w14:textId="77777777" w:rsidR="00D93C65" w:rsidRPr="00162A0E" w:rsidRDefault="00D93C65" w:rsidP="00D93C65">
      <w:pPr>
        <w:pStyle w:val="Heading3"/>
        <w:rPr>
          <w:rFonts w:cs="Times"/>
        </w:rPr>
      </w:pPr>
      <w:bookmarkStart w:id="189" w:name="_Toc421124113"/>
      <w:bookmarkStart w:id="190" w:name="_Toc427851373"/>
      <w:bookmarkStart w:id="191" w:name="_Toc421124115"/>
      <w:r>
        <w:rPr>
          <w:rFonts w:eastAsia="Calibri"/>
        </w:rPr>
        <w:t>4.1.3</w:t>
      </w:r>
      <w:r>
        <w:rPr>
          <w:rFonts w:eastAsia="Calibri"/>
        </w:rPr>
        <w:tab/>
      </w:r>
      <w:r w:rsidRPr="00162A0E">
        <w:t>Use of irradiated cellular blood pr</w:t>
      </w:r>
      <w:r>
        <w:t>oducts in neonates and children</w:t>
      </w:r>
      <w:bookmarkEnd w:id="189"/>
      <w:bookmarkEnd w:id="190"/>
    </w:p>
    <w:p w14:paraId="6BDB780E" w14:textId="01D61C3F" w:rsidR="00D93C65" w:rsidRPr="00162A0E" w:rsidRDefault="007E5655" w:rsidP="00D93C65">
      <w:r>
        <w:t>TAGVHD</w:t>
      </w:r>
      <w:r w:rsidR="00D93C65" w:rsidRPr="00162A0E">
        <w:t xml:space="preserve"> is a rare </w:t>
      </w:r>
      <w:r w:rsidR="00D93C65">
        <w:t xml:space="preserve">and usually fatal </w:t>
      </w:r>
      <w:r w:rsidR="00D93C65" w:rsidRPr="00162A0E">
        <w:t>complication of transfusion of cellular blood products. It is caused by failure to destroy donor T lymphocytes, which then proliferate and cause an immune response. TAGVHD occurs in immunocompromised recipients</w:t>
      </w:r>
      <w:r w:rsidR="00D93C65">
        <w:t xml:space="preserve">; it </w:t>
      </w:r>
      <w:r w:rsidR="00D93C65" w:rsidRPr="00162A0E">
        <w:t xml:space="preserve">may also occur in immunocompetent recipients of products from a related or </w:t>
      </w:r>
      <w:r w:rsidR="003F290F">
        <w:t>human leucocyte antigen (</w:t>
      </w:r>
      <w:r w:rsidR="00D93C65" w:rsidRPr="00162A0E">
        <w:t>HLA</w:t>
      </w:r>
      <w:r w:rsidR="003F290F">
        <w:t>)</w:t>
      </w:r>
      <w:r w:rsidR="00D93C65" w:rsidRPr="00162A0E">
        <w:t>-matched donor.</w:t>
      </w:r>
    </w:p>
    <w:p w14:paraId="5D999D0E" w14:textId="05F4024D" w:rsidR="00D93C65" w:rsidRPr="00162A0E" w:rsidRDefault="00D93C65" w:rsidP="00D93C65">
      <w:r w:rsidRPr="00162A0E">
        <w:t xml:space="preserve">TAGVHD is prevented by </w:t>
      </w:r>
      <w:r>
        <w:t>using</w:t>
      </w:r>
      <w:r w:rsidRPr="00162A0E">
        <w:t xml:space="preserve"> </w:t>
      </w:r>
      <w:r>
        <w:t xml:space="preserve">irradiated (with </w:t>
      </w:r>
      <w:r w:rsidRPr="00B32391">
        <w:t>25 Gy gamma radiation</w:t>
      </w:r>
      <w:r>
        <w:t>)</w:t>
      </w:r>
      <w:r w:rsidRPr="00B32391">
        <w:t xml:space="preserve"> </w:t>
      </w:r>
      <w:r w:rsidRPr="00162A0E">
        <w:t xml:space="preserve">cellular blood components; leucodepletion alone is insufficient. It is not necessary to </w:t>
      </w:r>
      <w:r>
        <w:t xml:space="preserve">irradiate </w:t>
      </w:r>
      <w:r w:rsidRPr="00162A0E">
        <w:t xml:space="preserve">acellular products </w:t>
      </w:r>
      <w:r>
        <w:t xml:space="preserve">such as </w:t>
      </w:r>
      <w:r w:rsidRPr="00162A0E">
        <w:t xml:space="preserve">FFP, cryoprecipitate, </w:t>
      </w:r>
      <w:r w:rsidR="00274815">
        <w:t>IVIg</w:t>
      </w:r>
      <w:r w:rsidRPr="00162A0E">
        <w:t xml:space="preserve">, albumin and factor concentrates. </w:t>
      </w:r>
      <w:r>
        <w:t xml:space="preserve">Blood stem cells for the purposes of transplantation must not be irradiated. </w:t>
      </w:r>
    </w:p>
    <w:p w14:paraId="692B188C" w14:textId="147B0732" w:rsidR="00D93C65" w:rsidRDefault="007E5655" w:rsidP="007E5655">
      <w:pPr>
        <w:pStyle w:val="TableName"/>
      </w:pPr>
      <w:bookmarkStart w:id="192" w:name="_Toc427758393"/>
      <w:r>
        <w:t>Table 4.1</w:t>
      </w:r>
      <w:r>
        <w:tab/>
      </w:r>
      <w:r w:rsidR="00D93C65" w:rsidRPr="00162A0E">
        <w:t>Indications for irradiation of cellular products</w:t>
      </w:r>
      <w:bookmarkEnd w:id="192"/>
    </w:p>
    <w:tbl>
      <w:tblPr>
        <w:tblStyle w:val="TableGrid"/>
        <w:tblW w:w="8347" w:type="dxa"/>
        <w:tblInd w:w="720" w:type="dxa"/>
        <w:tblLayout w:type="fixed"/>
        <w:tblLook w:val="04A0" w:firstRow="1" w:lastRow="0" w:firstColumn="1" w:lastColumn="0" w:noHBand="0" w:noVBand="1"/>
      </w:tblPr>
      <w:tblGrid>
        <w:gridCol w:w="1685"/>
        <w:gridCol w:w="3119"/>
        <w:gridCol w:w="3543"/>
      </w:tblGrid>
      <w:tr w:rsidR="00D93C65" w14:paraId="57E9B524" w14:textId="77777777" w:rsidTr="00FE1B78">
        <w:tc>
          <w:tcPr>
            <w:tcW w:w="1685" w:type="dxa"/>
          </w:tcPr>
          <w:p w14:paraId="3559935E" w14:textId="77777777" w:rsidR="00D93C65" w:rsidRDefault="00D93C65" w:rsidP="007E5655">
            <w:pPr>
              <w:pStyle w:val="TableHeading"/>
            </w:pPr>
          </w:p>
        </w:tc>
        <w:tc>
          <w:tcPr>
            <w:tcW w:w="3119" w:type="dxa"/>
          </w:tcPr>
          <w:p w14:paraId="7E309492" w14:textId="77777777" w:rsidR="007E5655" w:rsidRDefault="00D93C65" w:rsidP="007E5655">
            <w:pPr>
              <w:pStyle w:val="TableHeading"/>
            </w:pPr>
            <w:r w:rsidRPr="009F44D7">
              <w:t>Absolute indications</w:t>
            </w:r>
          </w:p>
          <w:p w14:paraId="48775530" w14:textId="3DA58E45" w:rsidR="00D93C65" w:rsidRDefault="00D93C65" w:rsidP="00AB1355">
            <w:pPr>
              <w:pStyle w:val="TableText"/>
            </w:pPr>
            <w:r>
              <w:t>(</w:t>
            </w:r>
            <w:r w:rsidR="00AB1355">
              <w:t>RBCs</w:t>
            </w:r>
            <w:r>
              <w:t>, platelets and granulocytes must be irradiated)</w:t>
            </w:r>
          </w:p>
        </w:tc>
        <w:tc>
          <w:tcPr>
            <w:tcW w:w="3543" w:type="dxa"/>
          </w:tcPr>
          <w:p w14:paraId="54EC021F" w14:textId="77777777" w:rsidR="007E5655" w:rsidRDefault="00D93C65" w:rsidP="007E5655">
            <w:pPr>
              <w:pStyle w:val="TableHeading"/>
            </w:pPr>
            <w:r w:rsidRPr="009F44D7">
              <w:t>Relative indications</w:t>
            </w:r>
            <w:r>
              <w:t xml:space="preserve"> </w:t>
            </w:r>
          </w:p>
          <w:p w14:paraId="250BFCB0" w14:textId="7D1A320E" w:rsidR="00D93C65" w:rsidRDefault="00D93C65" w:rsidP="007E5655">
            <w:pPr>
              <w:pStyle w:val="TableText"/>
            </w:pPr>
            <w:r>
              <w:t>(irradiation of cellular products may be considered)</w:t>
            </w:r>
          </w:p>
        </w:tc>
      </w:tr>
      <w:tr w:rsidR="00D93C65" w14:paraId="5F0DDACD" w14:textId="77777777" w:rsidTr="00FE1B78">
        <w:tc>
          <w:tcPr>
            <w:tcW w:w="1685" w:type="dxa"/>
          </w:tcPr>
          <w:p w14:paraId="3BD711AD" w14:textId="77777777" w:rsidR="00D93C65" w:rsidRPr="00CD5B70" w:rsidRDefault="00D93C65" w:rsidP="007E5655">
            <w:pPr>
              <w:pStyle w:val="TableHeading"/>
            </w:pPr>
            <w:r>
              <w:t xml:space="preserve">Fetus and </w:t>
            </w:r>
            <w:r w:rsidRPr="00CD5B70">
              <w:t>neonate</w:t>
            </w:r>
          </w:p>
          <w:p w14:paraId="44CDED65" w14:textId="77777777" w:rsidR="00D93C65" w:rsidRDefault="00D93C65" w:rsidP="007E5655">
            <w:pPr>
              <w:pStyle w:val="TableHeading"/>
            </w:pPr>
          </w:p>
        </w:tc>
        <w:tc>
          <w:tcPr>
            <w:tcW w:w="3119" w:type="dxa"/>
          </w:tcPr>
          <w:p w14:paraId="14D4D69D" w14:textId="47004179" w:rsidR="007E5655" w:rsidRDefault="00D93C65" w:rsidP="007E5655">
            <w:pPr>
              <w:pStyle w:val="TableBullet"/>
            </w:pPr>
            <w:r>
              <w:t>IUT</w:t>
            </w:r>
            <w:hyperlink w:anchor="_ENREF_17" w:tooltip="Treleaven, 2011 #70" w:history="1">
              <w:r w:rsidR="00E62798">
                <w:fldChar w:fldCharType="begin"/>
              </w:r>
              <w:r w:rsidR="00E62798">
                <w:instrText xml:space="preserve"> ADDIN EN.CITE &lt;EndNote&gt;&lt;Cite&gt;&lt;Author&gt;Treleaven&lt;/Author&gt;&lt;Year&gt;2011&lt;/Year&gt;&lt;RecNum&gt;70&lt;/RecNum&gt;&lt;DisplayText&gt;&lt;style face="superscript"&gt;17&lt;/style&gt;&lt;/DisplayText&gt;&lt;record&gt;&lt;rec-number&gt;70&lt;/rec-number&gt;&lt;foreign-keys&gt;&lt;key app="EN" db-id="9edve2wadsavt5ewavaxtda4f2tavzvts9ee" timestamp="1424041450"&gt;70&lt;/key&gt;&lt;/foreign-keys&gt;&lt;ref-type name="Journal Article"&gt;17&lt;/ref-type&gt;&lt;contributors&gt;&lt;authors&gt;&lt;author&gt;Treleaven, J.&lt;/author&gt;&lt;author&gt;Gennery, A.&lt;/author&gt;&lt;author&gt;Marsh, J.&lt;/author&gt;&lt;author&gt;Norfolk, D.&lt;/author&gt;&lt;author&gt;Page, L.&lt;/author&gt;&lt;author&gt;Parker, A.&lt;/author&gt;&lt;author&gt;Saran, F.&lt;/author&gt;&lt;author&gt;Thurston, J.&lt;/author&gt;&lt;author&gt;Webb, D.&lt;/author&gt;&lt;/authors&gt;&lt;/contributors&gt;&lt;titles&gt;&lt;title&gt;Guidelines on the use of irradiated blood components prepared by the British Committee for Standards in Haematology blood transfusion task force&lt;/title&gt;&lt;secondary-title&gt;British Journal of Haematology&lt;/secondary-title&gt;&lt;alt-title&gt;Br. J. Haematol.&lt;/alt-title&gt;&lt;/titles&gt;&lt;periodical&gt;&lt;full-title&gt;Br J Haematol&lt;/full-title&gt;&lt;abbr-1&gt;British journal of haematology&lt;/abbr-1&gt;&lt;/periodical&gt;&lt;pages&gt;35–51&lt;/pages&gt;&lt;volume&gt;152&lt;/volume&gt;&lt;number&gt;1&lt;/number&gt;&lt;dates&gt;&lt;year&gt;2011&lt;/year&gt;&lt;/dates&gt;&lt;isbn&gt;0007-1048&lt;/isbn&gt;&lt;urls&gt;&lt;related-urls&gt;&lt;url&gt;http://onlinelibrary.wiley.com/store/10.1111/j.1365-2141.2010.08444.x/asset/j.1365-2141.2010.08444.x.pdf?v=1&amp;amp;t=i6718wmk&amp;amp;s=e835b22ab47f0481e338307fd908768947388726&lt;/url&gt;&lt;/related-urls&gt;&lt;/urls&gt;&lt;electronic-resource-num&gt;DOI:10.1111/j.1365-2141.2010.08444.x&lt;/electronic-resource-num&gt;&lt;/record&gt;&lt;/Cite&gt;&lt;/EndNote&gt;</w:instrText>
              </w:r>
              <w:r w:rsidR="00E62798">
                <w:fldChar w:fldCharType="separate"/>
              </w:r>
              <w:r w:rsidR="00E62798" w:rsidRPr="00E62798">
                <w:rPr>
                  <w:noProof/>
                  <w:vertAlign w:val="superscript"/>
                </w:rPr>
                <w:t>17</w:t>
              </w:r>
              <w:r w:rsidR="00E62798">
                <w:fldChar w:fldCharType="end"/>
              </w:r>
            </w:hyperlink>
          </w:p>
          <w:p w14:paraId="79A7133E" w14:textId="039C3D42" w:rsidR="00D93C65" w:rsidRDefault="00D93C65" w:rsidP="00E62798">
            <w:pPr>
              <w:pStyle w:val="TableBullet"/>
            </w:pPr>
            <w:r w:rsidRPr="00CD5B70">
              <w:t>IUT and subsequent transfusions up to the age of 6</w:t>
            </w:r>
            <w:r w:rsidR="009A6933">
              <w:t> </w:t>
            </w:r>
            <w:r w:rsidRPr="00CD5B70">
              <w:t>months</w:t>
            </w:r>
            <w:hyperlink w:anchor="_ENREF_17" w:tooltip="Treleaven, 2011 #70" w:history="1">
              <w:r w:rsidR="00E62798">
                <w:fldChar w:fldCharType="begin"/>
              </w:r>
              <w:r w:rsidR="00E62798">
                <w:instrText xml:space="preserve"> ADDIN EN.CITE &lt;EndNote&gt;&lt;Cite&gt;&lt;Author&gt;Treleaven&lt;/Author&gt;&lt;Year&gt;2011&lt;/Year&gt;&lt;RecNum&gt;70&lt;/RecNum&gt;&lt;DisplayText&gt;&lt;style face="superscript"&gt;17&lt;/style&gt;&lt;/DisplayText&gt;&lt;record&gt;&lt;rec-number&gt;70&lt;/rec-number&gt;&lt;foreign-keys&gt;&lt;key app="EN" db-id="9edve2wadsavt5ewavaxtda4f2tavzvts9ee" timestamp="1424041450"&gt;70&lt;/key&gt;&lt;/foreign-keys&gt;&lt;ref-type name="Journal Article"&gt;17&lt;/ref-type&gt;&lt;contributors&gt;&lt;authors&gt;&lt;author&gt;Treleaven, J.&lt;/author&gt;&lt;author&gt;Gennery, A.&lt;/author&gt;&lt;author&gt;Marsh, J.&lt;/author&gt;&lt;author&gt;Norfolk, D.&lt;/author&gt;&lt;author&gt;Page, L.&lt;/author&gt;&lt;author&gt;Parker, A.&lt;/author&gt;&lt;author&gt;Saran, F.&lt;/author&gt;&lt;author&gt;Thurston, J.&lt;/author&gt;&lt;author&gt;Webb, D.&lt;/author&gt;&lt;/authors&gt;&lt;/contributors&gt;&lt;titles&gt;&lt;title&gt;Guidelines on the use of irradiated blood components prepared by the British Committee for Standards in Haematology blood transfusion task force&lt;/title&gt;&lt;secondary-title&gt;British Journal of Haematology&lt;/secondary-title&gt;&lt;alt-title&gt;Br. J. Haematol.&lt;/alt-title&gt;&lt;/titles&gt;&lt;periodical&gt;&lt;full-title&gt;Br J Haematol&lt;/full-title&gt;&lt;abbr-1&gt;British journal of haematology&lt;/abbr-1&gt;&lt;/periodical&gt;&lt;pages&gt;35–51&lt;/pages&gt;&lt;volume&gt;152&lt;/volume&gt;&lt;number&gt;1&lt;/number&gt;&lt;dates&gt;&lt;year&gt;2011&lt;/year&gt;&lt;/dates&gt;&lt;isbn&gt;0007-1048&lt;/isbn&gt;&lt;urls&gt;&lt;related-urls&gt;&lt;url&gt;http://onlinelibrary.wiley.com/store/10.1111/j.1365-2141.2010.08444.x/asset/j.1365-2141.2010.08444.x.pdf?v=1&amp;amp;t=i6718wmk&amp;amp;s=e835b22ab47f0481e338307fd908768947388726&lt;/url&gt;&lt;/related-urls&gt;&lt;/urls&gt;&lt;electronic-resource-num&gt;DOI:10.1111/j.1365-2141.2010.08444.x&lt;/electronic-resource-num&gt;&lt;/record&gt;&lt;/Cite&gt;&lt;/EndNote&gt;</w:instrText>
              </w:r>
              <w:r w:rsidR="00E62798">
                <w:fldChar w:fldCharType="separate"/>
              </w:r>
              <w:r w:rsidR="00E62798" w:rsidRPr="00E62798">
                <w:rPr>
                  <w:noProof/>
                  <w:vertAlign w:val="superscript"/>
                </w:rPr>
                <w:t>17</w:t>
              </w:r>
              <w:r w:rsidR="00E62798">
                <w:fldChar w:fldCharType="end"/>
              </w:r>
            </w:hyperlink>
            <w:r w:rsidRPr="00CD5B70">
              <w:t xml:space="preserve"> </w:t>
            </w:r>
          </w:p>
        </w:tc>
        <w:tc>
          <w:tcPr>
            <w:tcW w:w="3543" w:type="dxa"/>
          </w:tcPr>
          <w:p w14:paraId="199A2D02" w14:textId="77777777" w:rsidR="00D93C65" w:rsidRDefault="00D93C65" w:rsidP="007E5655">
            <w:pPr>
              <w:pStyle w:val="TableBullet"/>
            </w:pPr>
            <w:r>
              <w:t>Neonatal exchange transfusion (provided no critical delay in transfusion)</w:t>
            </w:r>
          </w:p>
          <w:p w14:paraId="4ABD6664" w14:textId="74DCB13B" w:rsidR="00D93C65" w:rsidRDefault="00D93C65" w:rsidP="00E62798">
            <w:pPr>
              <w:pStyle w:val="TableBullet"/>
            </w:pPr>
            <w:r w:rsidRPr="007E5655">
              <w:rPr>
                <w:color w:val="auto"/>
                <w:lang w:val="en-US"/>
              </w:rPr>
              <w:t>Neonates with a birth weight of ≤1300 g (especially if gestation &lt;28 weeks or birth weight &lt;900</w:t>
            </w:r>
            <w:r w:rsidR="007E5655">
              <w:rPr>
                <w:color w:val="auto"/>
                <w:lang w:val="en-US"/>
              </w:rPr>
              <w:t> g)</w:t>
            </w:r>
            <w:hyperlink w:anchor="_ENREF_17" w:tooltip="Treleaven, 2011 #70" w:history="1">
              <w:r w:rsidR="00E62798">
                <w:rPr>
                  <w:color w:val="auto"/>
                </w:rPr>
                <w:fldChar w:fldCharType="begin"/>
              </w:r>
              <w:r w:rsidR="00E62798">
                <w:rPr>
                  <w:color w:val="auto"/>
                </w:rPr>
                <w:instrText xml:space="preserve"> ADDIN EN.CITE &lt;EndNote&gt;&lt;Cite&gt;&lt;Author&gt;Treleaven&lt;/Author&gt;&lt;Year&gt;2011&lt;/Year&gt;&lt;RecNum&gt;70&lt;/RecNum&gt;&lt;DisplayText&gt;&lt;style face="superscript"&gt;17&lt;/style&gt;&lt;/DisplayText&gt;&lt;record&gt;&lt;rec-number&gt;70&lt;/rec-number&gt;&lt;foreign-keys&gt;&lt;key app="EN" db-id="9edve2wadsavt5ewavaxtda4f2tavzvts9ee" timestamp="1424041450"&gt;70&lt;/key&gt;&lt;/foreign-keys&gt;&lt;ref-type name="Journal Article"&gt;17&lt;/ref-type&gt;&lt;contributors&gt;&lt;authors&gt;&lt;author&gt;Treleaven, J.&lt;/author&gt;&lt;author&gt;Gennery, A.&lt;/author&gt;&lt;author&gt;Marsh, J.&lt;/author&gt;&lt;author&gt;Norfolk, D.&lt;/author&gt;&lt;author&gt;Page, L.&lt;/author&gt;&lt;author&gt;Parker, A.&lt;/author&gt;&lt;author&gt;Saran, F.&lt;/author&gt;&lt;author&gt;Thurston, J.&lt;/author&gt;&lt;author&gt;Webb, D.&lt;/author&gt;&lt;/authors&gt;&lt;/contributors&gt;&lt;titles&gt;&lt;title&gt;Guidelines on the use of irradiated blood components prepared by the British Committee for Standards in Haematology blood transfusion task force&lt;/title&gt;&lt;secondary-title&gt;British Journal of Haematology&lt;/secondary-title&gt;&lt;alt-title&gt;Br. J. Haematol.&lt;/alt-title&gt;&lt;/titles&gt;&lt;periodical&gt;&lt;full-title&gt;Br J Haematol&lt;/full-title&gt;&lt;abbr-1&gt;British journal of haematology&lt;/abbr-1&gt;&lt;/periodical&gt;&lt;pages&gt;35–51&lt;/pages&gt;&lt;volume&gt;152&lt;/volume&gt;&lt;number&gt;1&lt;/number&gt;&lt;dates&gt;&lt;year&gt;2011&lt;/year&gt;&lt;/dates&gt;&lt;isbn&gt;0007-1048&lt;/isbn&gt;&lt;urls&gt;&lt;related-urls&gt;&lt;url&gt;http://onlinelibrary.wiley.com/store/10.1111/j.1365-2141.2010.08444.x/asset/j.1365-2141.2010.08444.x.pdf?v=1&amp;amp;t=i6718wmk&amp;amp;s=e835b22ab47f0481e338307fd908768947388726&lt;/url&gt;&lt;/related-urls&gt;&lt;/urls&gt;&lt;electronic-resource-num&gt;DOI:10.1111/j.1365-2141.2010.08444.x&lt;/electronic-resource-num&gt;&lt;/record&gt;&lt;/Cite&gt;&lt;/EndNote&gt;</w:instrText>
              </w:r>
              <w:r w:rsidR="00E62798">
                <w:rPr>
                  <w:color w:val="auto"/>
                </w:rPr>
                <w:fldChar w:fldCharType="separate"/>
              </w:r>
              <w:r w:rsidR="00E62798" w:rsidRPr="00E62798">
                <w:rPr>
                  <w:noProof/>
                  <w:color w:val="auto"/>
                  <w:vertAlign w:val="superscript"/>
                </w:rPr>
                <w:t>17</w:t>
              </w:r>
              <w:r w:rsidR="00E62798">
                <w:rPr>
                  <w:color w:val="auto"/>
                </w:rPr>
                <w:fldChar w:fldCharType="end"/>
              </w:r>
            </w:hyperlink>
          </w:p>
        </w:tc>
      </w:tr>
      <w:tr w:rsidR="00D93C65" w14:paraId="3715F962" w14:textId="77777777" w:rsidTr="00FE1B78">
        <w:tc>
          <w:tcPr>
            <w:tcW w:w="1685" w:type="dxa"/>
          </w:tcPr>
          <w:p w14:paraId="318FC776" w14:textId="77777777" w:rsidR="00D93C65" w:rsidRPr="00CD5B70" w:rsidRDefault="00D93C65" w:rsidP="007E5655">
            <w:pPr>
              <w:pStyle w:val="TableHeading"/>
            </w:pPr>
            <w:r w:rsidRPr="00CD5B70">
              <w:t>Immunodeficiency</w:t>
            </w:r>
          </w:p>
          <w:p w14:paraId="73E3BD4D" w14:textId="77777777" w:rsidR="00D93C65" w:rsidRDefault="00D93C65" w:rsidP="007E5655">
            <w:pPr>
              <w:pStyle w:val="TableHeading"/>
            </w:pPr>
          </w:p>
        </w:tc>
        <w:tc>
          <w:tcPr>
            <w:tcW w:w="3119" w:type="dxa"/>
          </w:tcPr>
          <w:p w14:paraId="02E21F19" w14:textId="77777777" w:rsidR="00D93C65" w:rsidRDefault="00D93C65" w:rsidP="007E5655">
            <w:pPr>
              <w:pStyle w:val="TableBullet"/>
            </w:pPr>
            <w:r w:rsidRPr="00CD5B70">
              <w:t>Known or suspected congenital cellular immunodeficiency (e.g. SCID, Wiskott Aldrich syndrome, ataxia telangiectasia and 22q11 deletion syndromes)</w:t>
            </w:r>
          </w:p>
        </w:tc>
        <w:tc>
          <w:tcPr>
            <w:tcW w:w="3543" w:type="dxa"/>
          </w:tcPr>
          <w:p w14:paraId="37CFB9C1" w14:textId="77777777" w:rsidR="00D93C65" w:rsidRDefault="00D93C65" w:rsidP="007E5655"/>
        </w:tc>
      </w:tr>
      <w:tr w:rsidR="00D93C65" w14:paraId="09574225" w14:textId="77777777" w:rsidTr="00FE1B78">
        <w:tc>
          <w:tcPr>
            <w:tcW w:w="1685" w:type="dxa"/>
          </w:tcPr>
          <w:p w14:paraId="610CEE08" w14:textId="77777777" w:rsidR="00D93C65" w:rsidRPr="00762B29" w:rsidRDefault="00D93C65" w:rsidP="007E5655">
            <w:pPr>
              <w:pStyle w:val="TableHeading"/>
            </w:pPr>
            <w:r w:rsidRPr="000E43A3">
              <w:t xml:space="preserve">Specific blood </w:t>
            </w:r>
            <w:r>
              <w:t>products</w:t>
            </w:r>
          </w:p>
        </w:tc>
        <w:tc>
          <w:tcPr>
            <w:tcW w:w="3119" w:type="dxa"/>
          </w:tcPr>
          <w:p w14:paraId="4814830B" w14:textId="5B716F4D" w:rsidR="00D93C65" w:rsidRDefault="00D93C65" w:rsidP="007E5655">
            <w:pPr>
              <w:pStyle w:val="TableBullet"/>
            </w:pPr>
            <w:r w:rsidRPr="000E43A3">
              <w:t>HLA-matched cellular products other than stem cells</w:t>
            </w:r>
          </w:p>
          <w:p w14:paraId="55F42A8A" w14:textId="77777777" w:rsidR="00D93C65" w:rsidRDefault="00D93C65" w:rsidP="007E5655">
            <w:pPr>
              <w:pStyle w:val="TableBullet"/>
            </w:pPr>
            <w:r>
              <w:t>B</w:t>
            </w:r>
            <w:r w:rsidRPr="004116F1">
              <w:t>lood components donated by first or second</w:t>
            </w:r>
            <w:r>
              <w:t>-</w:t>
            </w:r>
            <w:r w:rsidRPr="004116F1">
              <w:t>degree relatives</w:t>
            </w:r>
          </w:p>
        </w:tc>
        <w:tc>
          <w:tcPr>
            <w:tcW w:w="3543" w:type="dxa"/>
          </w:tcPr>
          <w:p w14:paraId="1310DF68" w14:textId="77777777" w:rsidR="00D93C65" w:rsidRDefault="00D93C65" w:rsidP="007E5655"/>
        </w:tc>
      </w:tr>
      <w:tr w:rsidR="00D93C65" w14:paraId="3ABC4B82" w14:textId="77777777" w:rsidTr="00FE1B78">
        <w:tc>
          <w:tcPr>
            <w:tcW w:w="1685" w:type="dxa"/>
          </w:tcPr>
          <w:p w14:paraId="7391431B" w14:textId="77777777" w:rsidR="00D93C65" w:rsidRPr="00762B29" w:rsidRDefault="00D93C65" w:rsidP="007E5655">
            <w:pPr>
              <w:pStyle w:val="TableHeading"/>
            </w:pPr>
            <w:r w:rsidRPr="000E43A3">
              <w:t>Stem cell transplantation</w:t>
            </w:r>
          </w:p>
        </w:tc>
        <w:tc>
          <w:tcPr>
            <w:tcW w:w="3119" w:type="dxa"/>
          </w:tcPr>
          <w:p w14:paraId="26C84F75" w14:textId="77777777" w:rsidR="00D93C65" w:rsidRDefault="00D93C65" w:rsidP="007E5655">
            <w:pPr>
              <w:pStyle w:val="TableBullet"/>
            </w:pPr>
            <w:r>
              <w:t>A</w:t>
            </w:r>
            <w:r w:rsidRPr="009F44D7">
              <w:t>llogeneic and autologous transplantation</w:t>
            </w:r>
          </w:p>
        </w:tc>
        <w:tc>
          <w:tcPr>
            <w:tcW w:w="3543" w:type="dxa"/>
          </w:tcPr>
          <w:p w14:paraId="6D9CFDAA" w14:textId="7617BE54" w:rsidR="00D93C65" w:rsidRDefault="00D93C65" w:rsidP="00E62798">
            <w:pPr>
              <w:pStyle w:val="TableBullet"/>
            </w:pPr>
            <w:r w:rsidRPr="009F44D7">
              <w:t>See relevant guidelines</w:t>
            </w:r>
            <w:r w:rsidR="00E62798">
              <w:fldChar w:fldCharType="begin">
                <w:fldData xml:space="preserve">PEVuZE5vdGU+PENpdGU+PEF1dGhvcj5UcmVsZWF2ZW48L0F1dGhvcj48WWVhcj4yMDExPC9ZZWFy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</w:fldData>
              </w:fldChar>
            </w:r>
            <w:r w:rsidR="00E62798">
              <w:instrText xml:space="preserve"> ADDIN EN.CITE </w:instrText>
            </w:r>
            <w:r w:rsidR="00E62798">
              <w:fldChar w:fldCharType="begin">
                <w:fldData xml:space="preserve">PEVuZE5vdGU+PENpdGU+PEF1dGhvcj5UcmVsZWF2ZW48L0F1dGhvcj48WWVhcj4yMDExPC9ZZWFy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</w:fldData>
              </w:fldChar>
            </w:r>
            <w:r w:rsidR="00E62798">
              <w:instrText xml:space="preserve"> ADDIN EN.CITE.DATA </w:instrText>
            </w:r>
            <w:r w:rsidR="00E62798">
              <w:fldChar w:fldCharType="end"/>
            </w:r>
            <w:r w:rsidR="00E62798">
              <w:fldChar w:fldCharType="separate"/>
            </w:r>
            <w:hyperlink w:anchor="_ENREF_17" w:tooltip="Treleaven, 2011 #70" w:history="1">
              <w:r w:rsidR="00E62798" w:rsidRPr="00E62798">
                <w:rPr>
                  <w:noProof/>
                  <w:vertAlign w:val="superscript"/>
                </w:rPr>
                <w:t>17-18</w:t>
              </w:r>
            </w:hyperlink>
            <w:r w:rsidR="00E62798" w:rsidRPr="00E62798">
              <w:rPr>
                <w:noProof/>
                <w:vertAlign w:val="superscript"/>
              </w:rPr>
              <w:t xml:space="preserve">; </w:t>
            </w:r>
            <w:hyperlink w:anchor="_ENREF_247" w:tooltip=", 2013 #71" w:history="1">
              <w:r w:rsidR="00E62798" w:rsidRPr="00E62798">
                <w:rPr>
                  <w:noProof/>
                  <w:vertAlign w:val="superscript"/>
                </w:rPr>
                <w:t>247</w:t>
              </w:r>
            </w:hyperlink>
            <w:r w:rsidR="00E62798">
              <w:fldChar w:fldCharType="end"/>
            </w:r>
            <w:r w:rsidRPr="009F44D7">
              <w:t xml:space="preserve"> for </w:t>
            </w:r>
            <w:r>
              <w:t>advice on when use of irradiated products can cease</w:t>
            </w:r>
          </w:p>
        </w:tc>
      </w:tr>
      <w:tr w:rsidR="00D93C65" w14:paraId="5014F456" w14:textId="77777777" w:rsidTr="00FE1B78">
        <w:trPr>
          <w:trHeight w:val="3463"/>
        </w:trPr>
        <w:tc>
          <w:tcPr>
            <w:tcW w:w="1685" w:type="dxa"/>
          </w:tcPr>
          <w:p w14:paraId="64A991AA" w14:textId="24A3B295" w:rsidR="00D93C65" w:rsidRPr="009F44D7" w:rsidRDefault="00D93C65" w:rsidP="007E5655">
            <w:pPr>
              <w:pStyle w:val="TableHeading"/>
            </w:pPr>
            <w:r w:rsidRPr="009F44D7">
              <w:t>Chemotherapy and malignanc</w:t>
            </w:r>
            <w:r w:rsidRPr="003F290F">
              <w:t>y</w:t>
            </w:r>
            <w:hyperlink w:anchor="_ENREF_17" w:tooltip="Treleaven, 2011 #70" w:history="1">
              <w:r w:rsidR="00E62798">
                <w:fldChar w:fldCharType="begin"/>
              </w:r>
              <w:r w:rsidR="00E62798">
                <w:instrText xml:space="preserve"> ADDIN EN.CITE &lt;EndNote&gt;&lt;Cite&gt;&lt;Author&gt;Treleaven&lt;/Author&gt;&lt;Year&gt;2011&lt;/Year&gt;&lt;RecNum&gt;70&lt;/RecNum&gt;&lt;DisplayText&gt;&lt;style face="superscript"&gt;17&lt;/style&gt;&lt;/DisplayText&gt;&lt;record&gt;&lt;rec-number&gt;70&lt;/rec-number&gt;&lt;foreign-keys&gt;&lt;key app="EN" db-id="9edve2wadsavt5ewavaxtda4f2tavzvts9ee" timestamp="1424041450"&gt;70&lt;/key&gt;&lt;/foreign-keys&gt;&lt;ref-type name="Journal Article"&gt;17&lt;/ref-type&gt;&lt;contributors&gt;&lt;authors&gt;&lt;author&gt;Treleaven, J.&lt;/author&gt;&lt;author&gt;Gennery, A.&lt;/author&gt;&lt;author&gt;Marsh, J.&lt;/author&gt;&lt;author&gt;Norfolk, D.&lt;/author&gt;&lt;author&gt;Page, L.&lt;/author&gt;&lt;author&gt;Parker, A.&lt;/author&gt;&lt;author&gt;Saran, F.&lt;/author&gt;&lt;author&gt;Thurston, J.&lt;/author&gt;&lt;author&gt;Webb, D.&lt;/author&gt;&lt;/authors&gt;&lt;/contributors&gt;&lt;titles&gt;&lt;title&gt;Guidelines on the use of irradiated blood components prepared by the British Committee for Standards in Haematology blood transfusion task force&lt;/title&gt;&lt;secondary-title&gt;British Journal of Haematology&lt;/secondary-title&gt;&lt;alt-title&gt;Br. J. Haematol.&lt;/alt-title&gt;&lt;/titles&gt;&lt;periodical&gt;&lt;full-title&gt;Br J Haematol&lt;/full-title&gt;&lt;abbr-1&gt;British journal of haematology&lt;/abbr-1&gt;&lt;/periodical&gt;&lt;pages&gt;35–51&lt;/pages&gt;&lt;volume&gt;152&lt;/volume&gt;&lt;number&gt;1&lt;/number&gt;&lt;dates&gt;&lt;year&gt;2011&lt;/year&gt;&lt;/dates&gt;&lt;isbn&gt;0007-1048&lt;/isbn&gt;&lt;urls&gt;&lt;related-urls&gt;&lt;url&gt;http://onlinelibrary.wiley.com/store/10.1111/j.1365-2141.2010.08444.x/asset/j.1365-2141.2010.08444.x.pdf?v=1&amp;amp;t=i6718wmk&amp;amp;s=e835b22ab47f0481e338307fd908768947388726&lt;/url&gt;&lt;/related-urls&gt;&lt;/urls&gt;&lt;electronic-resource-num&gt;DOI:10.1111/j.1365-2141.2010.08444.x&lt;/electronic-resource-num&gt;&lt;/record&gt;&lt;/Cite&gt;&lt;/EndNote&gt;</w:instrText>
              </w:r>
              <w:r w:rsidR="00E62798">
                <w:fldChar w:fldCharType="separate"/>
              </w:r>
              <w:r w:rsidR="00E62798" w:rsidRPr="00E62798">
                <w:rPr>
                  <w:noProof/>
                  <w:vertAlign w:val="superscript"/>
                </w:rPr>
                <w:t>17</w:t>
              </w:r>
              <w:r w:rsidR="00E62798">
                <w:fldChar w:fldCharType="end"/>
              </w:r>
            </w:hyperlink>
          </w:p>
          <w:p w14:paraId="584625FC" w14:textId="77777777" w:rsidR="00D93C65" w:rsidRPr="009F44D7" w:rsidRDefault="00D93C65" w:rsidP="007E5655">
            <w:pPr>
              <w:pStyle w:val="TableHeading"/>
            </w:pPr>
          </w:p>
        </w:tc>
        <w:tc>
          <w:tcPr>
            <w:tcW w:w="3119" w:type="dxa"/>
          </w:tcPr>
          <w:p w14:paraId="162C1EB9" w14:textId="29C7D10A" w:rsidR="00D93C65" w:rsidRDefault="00D93C65" w:rsidP="007E5655">
            <w:pPr>
              <w:pStyle w:val="TableBullet"/>
            </w:pPr>
            <w:r w:rsidRPr="004116F1">
              <w:t>Hodgkin lymphoma</w:t>
            </w:r>
            <w:r>
              <w:t xml:space="preserve"> – indefinitely</w:t>
            </w:r>
          </w:p>
          <w:p w14:paraId="35A36172" w14:textId="77777777" w:rsidR="00D93C65" w:rsidRDefault="00D93C65" w:rsidP="007E5655">
            <w:pPr>
              <w:pStyle w:val="TableBullet"/>
            </w:pPr>
            <w:r>
              <w:t xml:space="preserve">Treatment with </w:t>
            </w:r>
            <w:r w:rsidRPr="004116F1">
              <w:t>purine analogues</w:t>
            </w:r>
            <w:r>
              <w:t xml:space="preserve"> – indefinitely</w:t>
            </w:r>
          </w:p>
          <w:p w14:paraId="57DE1BC5" w14:textId="77777777" w:rsidR="00D93C65" w:rsidRDefault="00D93C65" w:rsidP="007E5655">
            <w:pPr>
              <w:pStyle w:val="TableBullet"/>
            </w:pPr>
            <w:r>
              <w:t xml:space="preserve">Treatment </w:t>
            </w:r>
            <w:r w:rsidRPr="00D606DF">
              <w:t xml:space="preserve">with </w:t>
            </w:r>
            <w:r>
              <w:t>A</w:t>
            </w:r>
            <w:r w:rsidRPr="00D606DF">
              <w:t>lemtuzumab (anti-CD52) therapy</w:t>
            </w:r>
            <w:r>
              <w:t xml:space="preserve"> – at least 12 months from last dose</w:t>
            </w:r>
          </w:p>
          <w:p w14:paraId="7EDC27BC" w14:textId="71AB2DF8" w:rsidR="00D93C65" w:rsidRDefault="00D93C65" w:rsidP="003F290F">
            <w:pPr>
              <w:pStyle w:val="TableBullet"/>
            </w:pPr>
            <w:r>
              <w:t xml:space="preserve">Treatment with </w:t>
            </w:r>
            <w:r w:rsidR="003F290F">
              <w:t>ATG</w:t>
            </w:r>
            <w:r>
              <w:t xml:space="preserve"> – recommendations for duration are not available, consider indefinitely</w:t>
            </w:r>
          </w:p>
        </w:tc>
        <w:tc>
          <w:tcPr>
            <w:tcW w:w="3543" w:type="dxa"/>
          </w:tcPr>
          <w:p w14:paraId="5EED48F6" w14:textId="4F0F6BEB" w:rsidR="00D93C65" w:rsidRPr="004116F1" w:rsidRDefault="00D93C65" w:rsidP="007E5655">
            <w:pPr>
              <w:pStyle w:val="TableBullet"/>
            </w:pPr>
            <w:r>
              <w:t xml:space="preserve">All other </w:t>
            </w:r>
            <w:r w:rsidRPr="004116F1">
              <w:t>patients undergoing chemotherapy should be decided on an individual basis, taking into account the int</w:t>
            </w:r>
            <w:r>
              <w:t>ensity of the immunosuppression</w:t>
            </w:r>
          </w:p>
        </w:tc>
      </w:tr>
    </w:tbl>
    <w:p w14:paraId="4EEE6175" w14:textId="134FB620" w:rsidR="00D93C65" w:rsidRPr="00CD5B70" w:rsidRDefault="003F290F" w:rsidP="003F290F">
      <w:pPr>
        <w:pStyle w:val="TableFigNotes18"/>
      </w:pPr>
      <w:r>
        <w:t xml:space="preserve">ATG, antithymocyte globulin; HLA, human leucocyte antigen; IUT, intrauterine transfusion; </w:t>
      </w:r>
      <w:r w:rsidR="00AB1355">
        <w:t xml:space="preserve">RBC, red blood cell; </w:t>
      </w:r>
      <w:r>
        <w:t>SCID, severe combined immunodeficiency</w:t>
      </w:r>
    </w:p>
    <w:p w14:paraId="2A1D93A8" w14:textId="77777777" w:rsidR="00D93C65" w:rsidRDefault="00D93C65" w:rsidP="00D93C65">
      <w:pPr>
        <w:pStyle w:val="Heading4"/>
      </w:pPr>
      <w:r>
        <w:t xml:space="preserve">Circumstances where irradiated cellular blood products are not required. </w:t>
      </w:r>
    </w:p>
    <w:p w14:paraId="4BB658D1" w14:textId="77777777" w:rsidR="00D93C65" w:rsidRDefault="00D93C65" w:rsidP="00D93C65">
      <w:pPr>
        <w:pStyle w:val="Normalbeforebullet"/>
      </w:pPr>
      <w:r>
        <w:t>Irradiated cellular blood products are not required in:</w:t>
      </w:r>
    </w:p>
    <w:p w14:paraId="2D7A1A07" w14:textId="77777777" w:rsidR="00D93C65" w:rsidRDefault="00D93C65" w:rsidP="00D93C65">
      <w:pPr>
        <w:pStyle w:val="Bullet6"/>
        <w:numPr>
          <w:ilvl w:val="0"/>
          <w:numId w:val="3"/>
        </w:numPr>
        <w:tabs>
          <w:tab w:val="clear" w:pos="360"/>
          <w:tab w:val="clear" w:pos="1080"/>
          <w:tab w:val="num" w:pos="774"/>
          <w:tab w:val="left" w:pos="1134"/>
        </w:tabs>
        <w:ind w:left="1134"/>
      </w:pPr>
      <w:r w:rsidRPr="004116F1">
        <w:t>HIV infection</w:t>
      </w:r>
    </w:p>
    <w:p w14:paraId="404538B0" w14:textId="77777777" w:rsidR="00D93C65" w:rsidRDefault="00D93C65" w:rsidP="00D93C65">
      <w:pPr>
        <w:pStyle w:val="Bullet6"/>
        <w:numPr>
          <w:ilvl w:val="0"/>
          <w:numId w:val="3"/>
        </w:numPr>
        <w:tabs>
          <w:tab w:val="clear" w:pos="360"/>
          <w:tab w:val="clear" w:pos="1080"/>
          <w:tab w:val="num" w:pos="774"/>
          <w:tab w:val="left" w:pos="1134"/>
        </w:tabs>
        <w:ind w:left="1134"/>
      </w:pPr>
      <w:r>
        <w:t>humoral immunodeficiency</w:t>
      </w:r>
    </w:p>
    <w:p w14:paraId="3A9C8FFB" w14:textId="77777777" w:rsidR="00D93C65" w:rsidRDefault="00D93C65" w:rsidP="00D93C65">
      <w:pPr>
        <w:pStyle w:val="Bullet6"/>
        <w:numPr>
          <w:ilvl w:val="0"/>
          <w:numId w:val="3"/>
        </w:numPr>
        <w:tabs>
          <w:tab w:val="clear" w:pos="360"/>
          <w:tab w:val="clear" w:pos="1080"/>
          <w:tab w:val="num" w:pos="774"/>
          <w:tab w:val="left" w:pos="1134"/>
        </w:tabs>
        <w:ind w:left="1134"/>
      </w:pPr>
      <w:r>
        <w:t>patients treated with Rituximab</w:t>
      </w:r>
    </w:p>
    <w:p w14:paraId="234C5412" w14:textId="77777777" w:rsidR="00D93C65" w:rsidRDefault="00D93C65" w:rsidP="00D93C65">
      <w:pPr>
        <w:pStyle w:val="Bullet12"/>
        <w:numPr>
          <w:ilvl w:val="0"/>
          <w:numId w:val="3"/>
        </w:numPr>
        <w:tabs>
          <w:tab w:val="clear" w:pos="360"/>
          <w:tab w:val="clear" w:pos="1080"/>
          <w:tab w:val="num" w:pos="774"/>
          <w:tab w:val="left" w:pos="1134"/>
        </w:tabs>
        <w:ind w:left="1134"/>
      </w:pPr>
      <w:r>
        <w:t xml:space="preserve">patients </w:t>
      </w:r>
      <w:r w:rsidRPr="004116F1">
        <w:t>undergoing solid organ transplantation</w:t>
      </w:r>
      <w:r>
        <w:t>.</w:t>
      </w:r>
    </w:p>
    <w:p w14:paraId="4241FFBF" w14:textId="6A7CA897" w:rsidR="00D93C65" w:rsidRDefault="00D93C65" w:rsidP="006B16EE">
      <w:pPr>
        <w:pStyle w:val="Heading4"/>
      </w:pPr>
      <w:r w:rsidRPr="000E43A3">
        <w:t>Cautions in relation to use of irradiated cellular blood products</w:t>
      </w:r>
    </w:p>
    <w:p w14:paraId="78FD079E" w14:textId="77777777" w:rsidR="00D93C65" w:rsidRDefault="00D93C65" w:rsidP="006B16EE">
      <w:r>
        <w:t>Irradiation of</w:t>
      </w:r>
      <w:r w:rsidRPr="00B35896">
        <w:t xml:space="preserve"> </w:t>
      </w:r>
      <w:r>
        <w:t>RBCs used for</w:t>
      </w:r>
      <w:r w:rsidRPr="00B35896" w:rsidDel="007F2130">
        <w:t xml:space="preserve"> </w:t>
      </w:r>
      <w:r w:rsidRPr="00B35896">
        <w:t>large</w:t>
      </w:r>
      <w:r>
        <w:t>-</w:t>
      </w:r>
      <w:r w:rsidRPr="00B35896">
        <w:t xml:space="preserve">volume transfusion may </w:t>
      </w:r>
      <w:r>
        <w:t>increase the risk of</w:t>
      </w:r>
      <w:r w:rsidRPr="00B35896">
        <w:t xml:space="preserve"> hyperkalaemia</w:t>
      </w:r>
      <w:r>
        <w:t>; therefore, t</w:t>
      </w:r>
      <w:r w:rsidRPr="00B35896">
        <w:t xml:space="preserve">he </w:t>
      </w:r>
      <w:r>
        <w:t>risk of TAGVHD</w:t>
      </w:r>
      <w:r w:rsidRPr="00B35896">
        <w:t xml:space="preserve"> should be balanced against this risk</w:t>
      </w:r>
      <w:r>
        <w:t>. To minimise the risk of hyperkalaemia in large-volume transfusion, irradiated</w:t>
      </w:r>
      <w:r w:rsidRPr="00B35896">
        <w:t xml:space="preserve"> </w:t>
      </w:r>
      <w:r>
        <w:t>RBCs</w:t>
      </w:r>
      <w:r w:rsidRPr="00B35896">
        <w:t xml:space="preserve"> should be as fresh as possible (&lt;7 days old) and </w:t>
      </w:r>
      <w:r>
        <w:t xml:space="preserve">should be </w:t>
      </w:r>
      <w:r w:rsidRPr="00B35896">
        <w:t xml:space="preserve">transfused within 24 hours of irradiation. </w:t>
      </w:r>
    </w:p>
    <w:tbl>
      <w:tblPr>
        <w:tblStyle w:val="TableGrid"/>
        <w:tblW w:w="8347" w:type="dxa"/>
        <w:tblInd w:w="720" w:type="dxa"/>
        <w:tblLook w:val="04A0" w:firstRow="1" w:lastRow="0" w:firstColumn="1" w:lastColumn="0" w:noHBand="0" w:noVBand="1"/>
      </w:tblPr>
      <w:tblGrid>
        <w:gridCol w:w="1231"/>
        <w:gridCol w:w="7116"/>
      </w:tblGrid>
      <w:tr w:rsidR="00D93C65" w14:paraId="6E08C88E" w14:textId="77777777" w:rsidTr="00467EEA">
        <w:tc>
          <w:tcPr>
            <w:tcW w:w="8347" w:type="dxa"/>
            <w:gridSpan w:val="2"/>
            <w:shd w:val="clear" w:color="auto" w:fill="BFBFBF" w:themeFill="background1" w:themeFillShade="BF"/>
          </w:tcPr>
          <w:p w14:paraId="1E1A324F" w14:textId="77777777" w:rsidR="00D93C65" w:rsidRPr="00813FDC" w:rsidRDefault="00D93C65" w:rsidP="00C62C56">
            <w:pPr>
              <w:pStyle w:val="PP-heading"/>
            </w:pPr>
            <w:r>
              <w:t>Expert opinion points –</w:t>
            </w:r>
            <w:r w:rsidRPr="00813FDC">
              <w:t xml:space="preserve"> </w:t>
            </w:r>
            <w:r w:rsidRPr="00477BCE">
              <w:t>irradiated cellular blood products</w:t>
            </w:r>
          </w:p>
        </w:tc>
      </w:tr>
      <w:tr w:rsidR="00D93C65" w14:paraId="2E845E6F" w14:textId="77777777" w:rsidTr="006B16EE">
        <w:trPr>
          <w:trHeight w:val="416"/>
        </w:trPr>
        <w:tc>
          <w:tcPr>
            <w:tcW w:w="1231" w:type="dxa"/>
          </w:tcPr>
          <w:p w14:paraId="6202D0D7" w14:textId="13BF106A" w:rsidR="00D93C65" w:rsidRDefault="00D93C65" w:rsidP="006B16EE">
            <w:pPr>
              <w:pStyle w:val="PP"/>
            </w:pPr>
            <w:r>
              <w:t>EOP</w:t>
            </w:r>
            <w:r w:rsidR="006B16EE">
              <w:t>8</w:t>
            </w:r>
          </w:p>
        </w:tc>
        <w:tc>
          <w:tcPr>
            <w:tcW w:w="7116" w:type="dxa"/>
          </w:tcPr>
          <w:p w14:paraId="2112BF9E" w14:textId="789330C9" w:rsidR="00D93C65" w:rsidRDefault="00D93C65" w:rsidP="006B16EE">
            <w:pPr>
              <w:pStyle w:val="PT-prebullet"/>
              <w:rPr>
                <w:rStyle w:val="cit"/>
              </w:rPr>
            </w:pPr>
            <w:r>
              <w:rPr>
                <w:rStyle w:val="cit"/>
              </w:rPr>
              <w:t>Irradiated cellular blood products (</w:t>
            </w:r>
            <w:r w:rsidR="00AB1355">
              <w:rPr>
                <w:rStyle w:val="cit"/>
              </w:rPr>
              <w:t>RBCs</w:t>
            </w:r>
            <w:r>
              <w:rPr>
                <w:rStyle w:val="cit"/>
              </w:rPr>
              <w:t xml:space="preserve"> and platelets) are used to prevent TAGVHD, and are indicated for:</w:t>
            </w:r>
          </w:p>
          <w:p w14:paraId="674DDF5F" w14:textId="77777777" w:rsidR="00D93C65" w:rsidRDefault="00D93C65" w:rsidP="006B16EE">
            <w:pPr>
              <w:pStyle w:val="PP-bullets"/>
              <w:rPr>
                <w:rStyle w:val="cit"/>
              </w:rPr>
            </w:pPr>
            <w:r>
              <w:rPr>
                <w:rStyle w:val="cit"/>
              </w:rPr>
              <w:t xml:space="preserve">IUT, and recipients of prior IUT up to 6 months of age </w:t>
            </w:r>
          </w:p>
          <w:p w14:paraId="317F2A96" w14:textId="1DABF4B5" w:rsidR="00D93C65" w:rsidRDefault="00D93C65" w:rsidP="006B16EE">
            <w:pPr>
              <w:pStyle w:val="PP-bullets"/>
              <w:rPr>
                <w:rStyle w:val="cit"/>
              </w:rPr>
            </w:pPr>
            <w:r>
              <w:rPr>
                <w:rStyle w:val="cit"/>
              </w:rPr>
              <w:t xml:space="preserve">suspected or known severe congenital </w:t>
            </w:r>
            <w:r w:rsidR="006F68C5">
              <w:rPr>
                <w:rStyle w:val="cit"/>
              </w:rPr>
              <w:t>T</w:t>
            </w:r>
            <w:r w:rsidR="006F68C5">
              <w:rPr>
                <w:rStyle w:val="cit"/>
                <w:lang w:val="en-AU"/>
              </w:rPr>
              <w:t>-</w:t>
            </w:r>
            <w:r>
              <w:rPr>
                <w:rStyle w:val="cit"/>
              </w:rPr>
              <w:t>cell immunodeficiency (e.g.</w:t>
            </w:r>
            <w:r w:rsidR="006B16EE">
              <w:rPr>
                <w:rStyle w:val="cit"/>
                <w:lang w:val="en-AU"/>
              </w:rPr>
              <w:t xml:space="preserve"> SCID</w:t>
            </w:r>
            <w:r>
              <w:rPr>
                <w:rStyle w:val="cit"/>
              </w:rPr>
              <w:t>)</w:t>
            </w:r>
          </w:p>
          <w:p w14:paraId="7691859F" w14:textId="3A2D4180" w:rsidR="00D93C65" w:rsidRDefault="006B16EE" w:rsidP="006B16EE">
            <w:pPr>
              <w:pStyle w:val="PP-bullets"/>
              <w:rPr>
                <w:rStyle w:val="cit"/>
              </w:rPr>
            </w:pPr>
            <w:r>
              <w:rPr>
                <w:rStyle w:val="cit"/>
              </w:rPr>
              <w:t>severe acquired T-</w:t>
            </w:r>
            <w:r w:rsidR="00D93C65">
              <w:rPr>
                <w:rStyle w:val="cit"/>
              </w:rPr>
              <w:t>cell dysfunction, related to either disease or drug therapy (see published guidelines</w:t>
            </w:r>
            <w:hyperlink w:anchor="_ENREF_17" w:tooltip="Treleaven, 2011 #70" w:history="1">
              <w:r w:rsidR="00E62798">
                <w:rPr>
                  <w:rStyle w:val="cit"/>
                </w:rPr>
                <w:fldChar w:fldCharType="begin">
                  <w:fldData xml:space="preserve">PEVuZE5vdGU+PENpdGU+PEF1dGhvcj5UcmVsZWF2ZW48L0F1dGhvcj48WWVhcj4yMDExPC9ZZWFy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</w:fldData>
                </w:fldChar>
              </w:r>
              <w:r w:rsidR="00E62798">
                <w:rPr>
                  <w:rStyle w:val="cit"/>
                </w:rPr>
                <w:instrText xml:space="preserve"> ADDIN EN.CITE </w:instrText>
              </w:r>
              <w:r w:rsidR="00E62798">
                <w:rPr>
                  <w:rStyle w:val="cit"/>
                </w:rPr>
                <w:fldChar w:fldCharType="begin">
                  <w:fldData xml:space="preserve">PEVuZE5vdGU+PENpdGU+PEF1dGhvcj5UcmVsZWF2ZW48L0F1dGhvcj48WWVhcj4yMDExPC9ZZWFy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</w:fldData>
                </w:fldChar>
              </w:r>
              <w:r w:rsidR="00E62798">
                <w:rPr>
                  <w:rStyle w:val="cit"/>
                </w:rPr>
                <w:instrText xml:space="preserve"> ADDIN EN.CITE.DATA </w:instrText>
              </w:r>
              <w:r w:rsidR="00E62798">
                <w:rPr>
                  <w:rStyle w:val="cit"/>
                </w:rPr>
              </w:r>
              <w:r w:rsidR="00E62798">
                <w:rPr>
                  <w:rStyle w:val="cit"/>
                </w:rPr>
                <w:fldChar w:fldCharType="end"/>
              </w:r>
              <w:r w:rsidR="00E62798">
                <w:rPr>
                  <w:rStyle w:val="cit"/>
                </w:rPr>
              </w:r>
              <w:r w:rsidR="00E62798">
                <w:rPr>
                  <w:rStyle w:val="cit"/>
                </w:rPr>
                <w:fldChar w:fldCharType="separate"/>
              </w:r>
              <w:r w:rsidR="00E62798" w:rsidRPr="00E62798">
                <w:rPr>
                  <w:rStyle w:val="cit"/>
                  <w:noProof/>
                  <w:vertAlign w:val="superscript"/>
                </w:rPr>
                <w:t>17-18</w:t>
              </w:r>
              <w:r w:rsidR="00E62798">
                <w:rPr>
                  <w:rStyle w:val="cit"/>
                </w:rPr>
                <w:fldChar w:fldCharType="end"/>
              </w:r>
            </w:hyperlink>
            <w:r>
              <w:rPr>
                <w:rStyle w:val="cit"/>
                <w:lang w:val="en-AU"/>
              </w:rPr>
              <w:t>)</w:t>
            </w:r>
          </w:p>
          <w:p w14:paraId="47C00964" w14:textId="77777777" w:rsidR="00D93C65" w:rsidRDefault="00D93C65" w:rsidP="006B16EE">
            <w:pPr>
              <w:pStyle w:val="PP-bullets"/>
              <w:rPr>
                <w:rStyle w:val="cit"/>
              </w:rPr>
            </w:pPr>
            <w:r>
              <w:rPr>
                <w:rStyle w:val="cit"/>
              </w:rPr>
              <w:t xml:space="preserve">HLA-matched cellular blood products (RBCs, platelets and granulocytes). </w:t>
            </w:r>
          </w:p>
          <w:p w14:paraId="690F95E9" w14:textId="77777777" w:rsidR="00D93C65" w:rsidRDefault="00D93C65" w:rsidP="006B16EE">
            <w:pPr>
              <w:pStyle w:val="PT-prebullet"/>
              <w:rPr>
                <w:rStyle w:val="cit"/>
              </w:rPr>
            </w:pPr>
            <w:r>
              <w:rPr>
                <w:rStyle w:val="cit"/>
              </w:rPr>
              <w:t>They may also be considered for:</w:t>
            </w:r>
          </w:p>
          <w:p w14:paraId="15F70BB3" w14:textId="02C558A3" w:rsidR="00D93C65" w:rsidRDefault="00D93C65" w:rsidP="006B16EE">
            <w:pPr>
              <w:pStyle w:val="PP-bullets"/>
              <w:rPr>
                <w:rStyle w:val="cit"/>
              </w:rPr>
            </w:pPr>
            <w:r>
              <w:rPr>
                <w:rStyle w:val="cit"/>
              </w:rPr>
              <w:t>neonatal exchange transfusion, provided this do</w:t>
            </w:r>
            <w:r w:rsidR="00AB1355">
              <w:rPr>
                <w:rStyle w:val="cit"/>
              </w:rPr>
              <w:t>es not unduly delay transfusion</w:t>
            </w:r>
          </w:p>
          <w:p w14:paraId="418895C3" w14:textId="0897E8D3" w:rsidR="00D93C65" w:rsidRDefault="006F68C5" w:rsidP="006B16EE">
            <w:pPr>
              <w:pStyle w:val="PP-bullets"/>
              <w:rPr>
                <w:rStyle w:val="cit"/>
              </w:rPr>
            </w:pPr>
            <w:r>
              <w:rPr>
                <w:rStyle w:val="cit"/>
                <w:lang w:val="en-AU"/>
              </w:rPr>
              <w:t xml:space="preserve">very low birth weight </w:t>
            </w:r>
            <w:r w:rsidR="00D93C65">
              <w:rPr>
                <w:rStyle w:val="cit"/>
              </w:rPr>
              <w:t>neonates, especially extremely preterm (&lt;</w:t>
            </w:r>
            <w:r>
              <w:rPr>
                <w:rStyle w:val="cit"/>
              </w:rPr>
              <w:t>28</w:t>
            </w:r>
            <w:r>
              <w:rPr>
                <w:lang w:val="en-AU"/>
              </w:rPr>
              <w:t> </w:t>
            </w:r>
            <w:r w:rsidR="00D93C65">
              <w:rPr>
                <w:rStyle w:val="cit"/>
              </w:rPr>
              <w:t>weeks) or extremely low birth weight infants</w:t>
            </w:r>
          </w:p>
          <w:p w14:paraId="2FE63B79" w14:textId="385DB5BF" w:rsidR="00D93C65" w:rsidRPr="0085092E" w:rsidRDefault="006B16EE" w:rsidP="006B16EE">
            <w:pPr>
              <w:pStyle w:val="PP-bullets"/>
            </w:pPr>
            <w:r>
              <w:rPr>
                <w:rStyle w:val="cit"/>
              </w:rPr>
              <w:t xml:space="preserve">certain </w:t>
            </w:r>
            <w:r w:rsidR="00D93C65">
              <w:rPr>
                <w:rStyle w:val="cit"/>
              </w:rPr>
              <w:t>patients undergoing chemotherapy (depending on degree of immunosuppression)</w:t>
            </w:r>
            <w:r>
              <w:rPr>
                <w:rStyle w:val="cit"/>
                <w:lang w:val="en-AU"/>
              </w:rPr>
              <w:t>.</w:t>
            </w:r>
          </w:p>
        </w:tc>
      </w:tr>
      <w:tr w:rsidR="00D93C65" w14:paraId="28270021" w14:textId="77777777" w:rsidTr="006B16EE">
        <w:trPr>
          <w:trHeight w:val="273"/>
        </w:trPr>
        <w:tc>
          <w:tcPr>
            <w:tcW w:w="1231" w:type="dxa"/>
          </w:tcPr>
          <w:p w14:paraId="27279B1F" w14:textId="31DF8DB9" w:rsidR="00D93C65" w:rsidRDefault="00D93C65" w:rsidP="006B16EE">
            <w:pPr>
              <w:pStyle w:val="PP"/>
            </w:pPr>
            <w:r>
              <w:t>EOP</w:t>
            </w:r>
            <w:r w:rsidR="006B16EE">
              <w:t>9</w:t>
            </w:r>
          </w:p>
        </w:tc>
        <w:tc>
          <w:tcPr>
            <w:tcW w:w="7116" w:type="dxa"/>
          </w:tcPr>
          <w:p w14:paraId="3576C316" w14:textId="77777777" w:rsidR="00D93C65" w:rsidRPr="009F6254" w:rsidRDefault="00D93C65" w:rsidP="006B16EE">
            <w:pPr>
              <w:pStyle w:val="PP"/>
            </w:pPr>
            <w:r>
              <w:rPr>
                <w:rStyle w:val="cit"/>
              </w:rPr>
              <w:t>Stem cells must not be irradiated.</w:t>
            </w:r>
          </w:p>
        </w:tc>
      </w:tr>
      <w:tr w:rsidR="00D93C65" w14:paraId="05235CC3" w14:textId="77777777" w:rsidTr="006B16EE">
        <w:trPr>
          <w:trHeight w:val="465"/>
        </w:trPr>
        <w:tc>
          <w:tcPr>
            <w:tcW w:w="1231" w:type="dxa"/>
          </w:tcPr>
          <w:p w14:paraId="7B3CC35B" w14:textId="17B42A09" w:rsidR="00D93C65" w:rsidRDefault="00D93C65" w:rsidP="006B16EE">
            <w:pPr>
              <w:pStyle w:val="PP"/>
            </w:pPr>
            <w:r>
              <w:t>EOP</w:t>
            </w:r>
            <w:r w:rsidR="006B16EE">
              <w:t>10</w:t>
            </w:r>
          </w:p>
        </w:tc>
        <w:tc>
          <w:tcPr>
            <w:tcW w:w="7116" w:type="dxa"/>
          </w:tcPr>
          <w:p w14:paraId="651F844D" w14:textId="77777777" w:rsidR="00D93C65" w:rsidRDefault="00D93C65" w:rsidP="006B16EE">
            <w:pPr>
              <w:pStyle w:val="PP"/>
            </w:pPr>
            <w:r>
              <w:rPr>
                <w:rStyle w:val="cit"/>
              </w:rPr>
              <w:t xml:space="preserve">Hyperkalaemia may occur when large volumes of irradiated blood are transfused. In patients at risk, irradiated blood should be as fresh as possible (&lt;7 days) and used within 24 hours of irradiation. </w:t>
            </w:r>
          </w:p>
        </w:tc>
      </w:tr>
      <w:tr w:rsidR="00D93C65" w14:paraId="0695200D" w14:textId="77777777" w:rsidTr="006B16EE">
        <w:trPr>
          <w:trHeight w:val="465"/>
        </w:trPr>
        <w:tc>
          <w:tcPr>
            <w:tcW w:w="1231" w:type="dxa"/>
          </w:tcPr>
          <w:p w14:paraId="38AA4FB3" w14:textId="6EAD219C" w:rsidR="00D93C65" w:rsidRDefault="00D93C65" w:rsidP="006B16EE">
            <w:pPr>
              <w:pStyle w:val="PP"/>
            </w:pPr>
            <w:r>
              <w:t>EOP</w:t>
            </w:r>
            <w:r w:rsidR="006B16EE">
              <w:t>11</w:t>
            </w:r>
          </w:p>
        </w:tc>
        <w:tc>
          <w:tcPr>
            <w:tcW w:w="7116" w:type="dxa"/>
          </w:tcPr>
          <w:p w14:paraId="78C05BF8" w14:textId="6FCB38B5" w:rsidR="00D93C65" w:rsidRPr="002E1592" w:rsidRDefault="00D93C65" w:rsidP="006B16EE">
            <w:pPr>
              <w:pStyle w:val="PP"/>
              <w:rPr>
                <w:rStyle w:val="cit"/>
              </w:rPr>
            </w:pPr>
            <w:r w:rsidRPr="00D606DF">
              <w:t xml:space="preserve">Patients at </w:t>
            </w:r>
            <w:r>
              <w:t xml:space="preserve">high </w:t>
            </w:r>
            <w:r w:rsidRPr="00D606DF">
              <w:t>risk of TAG</w:t>
            </w:r>
            <w:r>
              <w:t>V</w:t>
            </w:r>
            <w:r w:rsidRPr="00D606DF">
              <w:t xml:space="preserve">HD </w:t>
            </w:r>
            <w:r w:rsidR="006B16EE">
              <w:t>(such as those with T-</w:t>
            </w:r>
            <w:r>
              <w:t xml:space="preserve">cell immunodeficiency) </w:t>
            </w:r>
            <w:r w:rsidRPr="00D606DF">
              <w:t>should be given clear written information</w:t>
            </w:r>
            <w:r>
              <w:t xml:space="preserve"> (e.g. in the form of p</w:t>
            </w:r>
            <w:r w:rsidRPr="00D606DF">
              <w:t>atient information leaflets</w:t>
            </w:r>
            <w:r>
              <w:t xml:space="preserve"> or</w:t>
            </w:r>
            <w:r w:rsidRPr="00D606DF">
              <w:t xml:space="preserve"> cards</w:t>
            </w:r>
            <w:r>
              <w:t xml:space="preserve">). Alerts should be incorporated in </w:t>
            </w:r>
            <w:r w:rsidRPr="00D606DF">
              <w:t xml:space="preserve">the hospital </w:t>
            </w:r>
            <w:r>
              <w:t>medical record and the blood bank or pharmacy IT system.</w:t>
            </w:r>
          </w:p>
        </w:tc>
      </w:tr>
      <w:tr w:rsidR="00D93C65" w14:paraId="3D540022" w14:textId="77777777" w:rsidTr="006B16EE">
        <w:trPr>
          <w:trHeight w:val="381"/>
        </w:trPr>
        <w:tc>
          <w:tcPr>
            <w:tcW w:w="8347" w:type="dxa"/>
            <w:gridSpan w:val="2"/>
          </w:tcPr>
          <w:p w14:paraId="21FB3604" w14:textId="0C9CAD63" w:rsidR="00D93C65" w:rsidRPr="00813FDC" w:rsidRDefault="00D93C65" w:rsidP="006F68C5">
            <w:pPr>
              <w:pStyle w:val="PP-note"/>
            </w:pPr>
            <w:r w:rsidRPr="00813FDC">
              <w:t>EOP, expert opinion point</w:t>
            </w:r>
            <w:r>
              <w:t xml:space="preserve">; HLA, human </w:t>
            </w:r>
            <w:r w:rsidR="006F68C5">
              <w:t xml:space="preserve">leucocyte </w:t>
            </w:r>
            <w:r>
              <w:t xml:space="preserve">antigen; IT, information technology; IUT, </w:t>
            </w:r>
            <w:r w:rsidRPr="008A51C0">
              <w:t>intrauterine transfusion</w:t>
            </w:r>
            <w:r>
              <w:t xml:space="preserve">; </w:t>
            </w:r>
            <w:r w:rsidR="006B16EE">
              <w:t xml:space="preserve">RBC, red blood cell; SCID, </w:t>
            </w:r>
            <w:r w:rsidR="006B16EE">
              <w:rPr>
                <w:rStyle w:val="cit"/>
              </w:rPr>
              <w:t>severe combined immunodeficiency</w:t>
            </w:r>
            <w:r w:rsidR="006B16EE">
              <w:t xml:space="preserve">; </w:t>
            </w:r>
            <w:r>
              <w:t xml:space="preserve">TAGVHD, </w:t>
            </w:r>
            <w:r w:rsidRPr="0086099C">
              <w:t>transfusion-associated graft</w:t>
            </w:r>
            <w:r w:rsidR="00AB1355">
              <w:t>-</w:t>
            </w:r>
            <w:r w:rsidRPr="0086099C">
              <w:t>versus</w:t>
            </w:r>
            <w:r w:rsidR="00AB1355">
              <w:t>-</w:t>
            </w:r>
            <w:r w:rsidRPr="0086099C">
              <w:t>host disease</w:t>
            </w:r>
          </w:p>
        </w:tc>
      </w:tr>
    </w:tbl>
    <w:p w14:paraId="5A95F988" w14:textId="77777777" w:rsidR="00D93C65" w:rsidRPr="006B16EE" w:rsidRDefault="00D93C65" w:rsidP="006B16EE">
      <w:pPr>
        <w:pStyle w:val="Heading3"/>
      </w:pPr>
      <w:bookmarkStart w:id="193" w:name="_Toc421124114"/>
      <w:bookmarkStart w:id="194" w:name="_Toc427851374"/>
      <w:r w:rsidRPr="006B16EE">
        <w:t>4.1.4</w:t>
      </w:r>
      <w:r w:rsidRPr="006B16EE">
        <w:tab/>
        <w:t>Use of CMV-negative blood products</w:t>
      </w:r>
      <w:bookmarkEnd w:id="193"/>
      <w:bookmarkEnd w:id="194"/>
    </w:p>
    <w:p w14:paraId="4692C6CC" w14:textId="71B466C9" w:rsidR="00D93C65" w:rsidRDefault="00D93C65" w:rsidP="00D93C65">
      <w:pPr>
        <w:pStyle w:val="BoxText"/>
      </w:pPr>
      <w:r w:rsidRPr="00CA2ED8">
        <w:t xml:space="preserve">For </w:t>
      </w:r>
      <w:r w:rsidR="006F68C5">
        <w:rPr>
          <w:rFonts w:eastAsia="Calibri"/>
          <w:lang w:val="en-AU"/>
        </w:rPr>
        <w:t xml:space="preserve">fetal, neonatal or </w:t>
      </w:r>
      <w:r w:rsidR="006F68C5" w:rsidRPr="00B838CB">
        <w:rPr>
          <w:rFonts w:eastAsia="Calibri"/>
        </w:rPr>
        <w:t xml:space="preserve">paediatric </w:t>
      </w:r>
      <w:r w:rsidRPr="00014193">
        <w:t>patients,</w:t>
      </w:r>
      <w:r w:rsidRPr="00CA2ED8">
        <w:t xml:space="preserve"> does selection of specific blood products (</w:t>
      </w:r>
      <w:r>
        <w:t xml:space="preserve">e.g. </w:t>
      </w:r>
      <w:r w:rsidRPr="00CA2ED8">
        <w:t>CMV</w:t>
      </w:r>
      <w:r>
        <w:t>-</w:t>
      </w:r>
      <w:r w:rsidRPr="00CA2ED8">
        <w:t>negative blood products), when compared with routine blood products</w:t>
      </w:r>
      <w:r>
        <w:t>,</w:t>
      </w:r>
      <w:r w:rsidRPr="00CA2ED8">
        <w:t xml:space="preserve"> improve outcomes?</w:t>
      </w:r>
      <w:r>
        <w:t xml:space="preserve"> </w:t>
      </w:r>
    </w:p>
    <w:p w14:paraId="07E16BA3" w14:textId="77777777" w:rsidR="00D93C65" w:rsidRPr="00CA2ED8" w:rsidRDefault="00D93C65" w:rsidP="00D93C65">
      <w:pPr>
        <w:pStyle w:val="BoxNotes"/>
      </w:pPr>
      <w:r>
        <w:t>CMV, cytomegalovirus</w:t>
      </w:r>
    </w:p>
    <w:p w14:paraId="6DEAF26D" w14:textId="49A8989B" w:rsidR="00D93C65" w:rsidRDefault="00D93C65" w:rsidP="006B16EE">
      <w:r w:rsidRPr="00CA2ED8">
        <w:t xml:space="preserve">Cytomegalovirus (CMV) </w:t>
      </w:r>
      <w:r>
        <w:t>is common; it gives</w:t>
      </w:r>
      <w:r w:rsidRPr="00CA2ED8">
        <w:t xml:space="preserve"> rise to chronic, persistent and </w:t>
      </w:r>
      <w:r>
        <w:t>(</w:t>
      </w:r>
      <w:r w:rsidRPr="00CA2ED8">
        <w:t>for the most part</w:t>
      </w:r>
      <w:r>
        <w:t>)</w:t>
      </w:r>
      <w:r w:rsidRPr="00CA2ED8">
        <w:t xml:space="preserve"> asymptomatic infection</w:t>
      </w:r>
      <w:r>
        <w:t>. However, CMV infection can be serious or life-threatening in the fetus or newborn</w:t>
      </w:r>
      <w:r w:rsidR="006B16EE">
        <w:t>, and in patients with severe T-</w:t>
      </w:r>
      <w:r>
        <w:t>cell deficiency. CMV can be transmitted by cellular blood products, but t</w:t>
      </w:r>
      <w:r w:rsidRPr="00CA2ED8">
        <w:t>he risk of transfusion</w:t>
      </w:r>
      <w:r>
        <w:t>-</w:t>
      </w:r>
      <w:r w:rsidRPr="00CA2ED8">
        <w:t xml:space="preserve">transmitted CMV infection has reduced </w:t>
      </w:r>
      <w:r>
        <w:t>as the use of</w:t>
      </w:r>
      <w:r w:rsidRPr="00CA2ED8">
        <w:t xml:space="preserve"> fresh whole blood </w:t>
      </w:r>
      <w:r>
        <w:t xml:space="preserve">has diminished </w:t>
      </w:r>
      <w:r w:rsidRPr="00CA2ED8">
        <w:t>and the use of leucodepleted blood components</w:t>
      </w:r>
      <w:r>
        <w:t xml:space="preserve"> has become routine</w:t>
      </w:r>
      <w:r w:rsidRPr="00CA2ED8">
        <w:t xml:space="preserve">. </w:t>
      </w:r>
    </w:p>
    <w:p w14:paraId="1223E719" w14:textId="3955FB4A" w:rsidR="006B16EE" w:rsidRDefault="00D93C65" w:rsidP="006B16EE">
      <w:r>
        <w:t>The risk of CMV transmission through</w:t>
      </w:r>
      <w:r w:rsidRPr="00CA2ED8">
        <w:t xml:space="preserve"> blood products</w:t>
      </w:r>
      <w:r>
        <w:t xml:space="preserve"> is significantly reduced by either donor screening for CMV or </w:t>
      </w:r>
      <w:r w:rsidRPr="00CA2ED8">
        <w:t>pre</w:t>
      </w:r>
      <w:r>
        <w:t>storage</w:t>
      </w:r>
      <w:r w:rsidRPr="00CA2ED8">
        <w:t xml:space="preserve"> leucod</w:t>
      </w:r>
      <w:r w:rsidRPr="00365343">
        <w:t>epletion.</w:t>
      </w:r>
      <w:hyperlink w:anchor="_ENREF_248" w:tooltip="Vamvakas, 2005 #76" w:history="1">
        <w:r w:rsidR="00E62798">
          <w:fldChar w:fldCharType="begin">
            <w:fldData xml:space="preserve">PEVuZE5vdGU+PENpdGU+PEF1dGhvcj5WYW12YWthczwvQXV0aG9yPjxZZWFyPjIwMDU8L1llYXI+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</w:fldData>
          </w:fldChar>
        </w:r>
        <w:r w:rsidR="00E62798">
          <w:instrText xml:space="preserve"> ADDIN EN.CITE </w:instrText>
        </w:r>
        <w:r w:rsidR="00E62798">
          <w:fldChar w:fldCharType="begin">
            <w:fldData xml:space="preserve">PEVuZE5vdGU+PENpdGU+PEF1dGhvcj5WYW12YWthczwvQXV0aG9yPjxZZWFyPjIwMDU8L1llYXI+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248-250</w:t>
        </w:r>
        <w:r w:rsidR="00E62798">
          <w:fldChar w:fldCharType="end"/>
        </w:r>
      </w:hyperlink>
      <w:r>
        <w:t xml:space="preserve"> However, </w:t>
      </w:r>
      <w:r w:rsidRPr="00CA2ED8">
        <w:t xml:space="preserve">CMV transmission </w:t>
      </w:r>
      <w:r>
        <w:t>can</w:t>
      </w:r>
      <w:r w:rsidRPr="00CA2ED8">
        <w:t xml:space="preserve"> </w:t>
      </w:r>
      <w:r w:rsidRPr="00365343">
        <w:t xml:space="preserve">still occur </w:t>
      </w:r>
      <w:r>
        <w:t>from</w:t>
      </w:r>
      <w:r w:rsidRPr="00365343">
        <w:t xml:space="preserve"> CMV-seronegative </w:t>
      </w:r>
      <w:r>
        <w:t>products due to collection from</w:t>
      </w:r>
      <w:r w:rsidRPr="00CA2ED8">
        <w:t xml:space="preserve"> </w:t>
      </w:r>
      <w:r>
        <w:t xml:space="preserve">donors who are in the </w:t>
      </w:r>
      <w:r w:rsidRPr="00CA2ED8">
        <w:t>window period</w:t>
      </w:r>
      <w:r>
        <w:t xml:space="preserve"> between acquisition of virus and seroconversion (who may have high viral load). Transmission from seropositive </w:t>
      </w:r>
      <w:r w:rsidRPr="00365343">
        <w:t xml:space="preserve">leucodepleted </w:t>
      </w:r>
      <w:r>
        <w:t>products can occur</w:t>
      </w:r>
      <w:r w:rsidRPr="00365343">
        <w:t xml:space="preserve"> due to</w:t>
      </w:r>
      <w:r w:rsidRPr="00865D2D">
        <w:t xml:space="preserve"> </w:t>
      </w:r>
      <w:r w:rsidR="006B16EE">
        <w:t xml:space="preserve">failure of the </w:t>
      </w:r>
      <w:r>
        <w:t xml:space="preserve">leucodepletion </w:t>
      </w:r>
      <w:r w:rsidR="006B16EE">
        <w:t>filter.</w:t>
      </w:r>
      <w:hyperlink w:anchor="_ENREF_251" w:tooltip="Seed, 2015 #1099" w:history="1">
        <w:r w:rsidR="00E62798">
          <w:fldChar w:fldCharType="begin">
            <w:fldData xml:space="preserve">PEVuZE5vdGU+PENpdGU+PEF1dGhvcj5TZWVkPC9BdXRob3I+PFllYXI+MjAxNTwvWWVhcj48UmVj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</w:fldData>
          </w:fldChar>
        </w:r>
        <w:r w:rsidR="00E62798">
          <w:instrText xml:space="preserve"> ADDIN EN.CITE </w:instrText>
        </w:r>
        <w:r w:rsidR="00E62798">
          <w:fldChar w:fldCharType="begin">
            <w:fldData xml:space="preserve">PEVuZE5vdGU+PENpdGU+PEF1dGhvcj5TZWVkPC9BdXRob3I+PFllYXI+MjAxNTwvWWVhcj48UmVj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251-252</w:t>
        </w:r>
        <w:r w:rsidR="00E62798">
          <w:fldChar w:fldCharType="end"/>
        </w:r>
      </w:hyperlink>
      <w:r w:rsidR="006B16EE">
        <w:t xml:space="preserve"> </w:t>
      </w:r>
    </w:p>
    <w:p w14:paraId="696331DC" w14:textId="066558FE" w:rsidR="00D93C65" w:rsidRPr="00CA2ED8" w:rsidRDefault="00D93C65" w:rsidP="006B16EE">
      <w:pPr>
        <w:pStyle w:val="Heading4"/>
      </w:pPr>
      <w:r w:rsidRPr="00CA2ED8">
        <w:t xml:space="preserve">Selection </w:t>
      </w:r>
      <w:r>
        <w:t>of CMV-negative blood products</w:t>
      </w:r>
    </w:p>
    <w:p w14:paraId="1D7CC547" w14:textId="69954020" w:rsidR="00D93C65" w:rsidRPr="0075044A" w:rsidRDefault="00D93C65" w:rsidP="00D93C65">
      <w:pPr>
        <w:pStyle w:val="Heading5"/>
      </w:pPr>
      <w:r w:rsidRPr="0075044A">
        <w:t xml:space="preserve">Neonates and </w:t>
      </w:r>
      <w:r w:rsidR="00093A02">
        <w:rPr>
          <w:lang w:val="en-AU"/>
        </w:rPr>
        <w:t>intrauterine transfusions</w:t>
      </w:r>
      <w:r w:rsidR="00093A02" w:rsidRPr="0075044A">
        <w:t xml:space="preserve"> </w:t>
      </w:r>
    </w:p>
    <w:p w14:paraId="56A8EE0A" w14:textId="752701CA" w:rsidR="00D93C65" w:rsidRPr="00762B29" w:rsidRDefault="00D93C65" w:rsidP="00D93C65">
      <w:pPr>
        <w:pStyle w:val="Normalbeforebullet"/>
      </w:pPr>
      <w:r>
        <w:t xml:space="preserve">Guidelines </w:t>
      </w:r>
      <w:r w:rsidRPr="00CA2ED8">
        <w:t xml:space="preserve">for neonates vary </w:t>
      </w:r>
      <w:r>
        <w:t>widely, and include recommendations both for and against routine use of CMV-seronegative products</w:t>
      </w:r>
      <w:r w:rsidR="003F290F">
        <w:t>.</w:t>
      </w:r>
      <w:r w:rsidR="00E62798">
        <w:fldChar w:fldCharType="begin">
          <w:fldData xml:space="preserve">PEVuZE5vdGU+PENpdGU+PEF1dGhvcj5HaWJzb248L0F1dGhvcj48WWVhcj4yMDA0PC9ZZWFyPjxS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cGFnZXM+NDMz4oCTNTM8L3BhZ2VzPjx2b2x1bWU+MTI0PC92b2x1bWU+PG51bWJlcj40PC9udW1i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</w:fldData>
        </w:fldChar>
      </w:r>
      <w:r w:rsidR="00E62798">
        <w:instrText xml:space="preserve"> ADDIN EN.CITE </w:instrText>
      </w:r>
      <w:r w:rsidR="00E62798">
        <w:fldChar w:fldCharType="begin">
          <w:fldData xml:space="preserve">PEVuZE5vdGU+PENpdGU+PEF1dGhvcj5HaWJzb248L0F1dGhvcj48WWVhcj4yMDA0PC9ZZWFyPjxS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</w:fldData>
        </w:fldChar>
      </w:r>
      <w:r w:rsidR="00E62798">
        <w:instrText xml:space="preserve"> ADDIN EN.CITE.DATA </w:instrText>
      </w:r>
      <w:r w:rsidR="00E62798">
        <w:fldChar w:fldCharType="end"/>
      </w:r>
      <w:r w:rsidR="00E62798">
        <w:fldChar w:fldCharType="separate"/>
      </w:r>
      <w:hyperlink w:anchor="_ENREF_234" w:tooltip="Gibson, 2004 #56" w:history="1">
        <w:r w:rsidR="00E62798" w:rsidRPr="00E62798">
          <w:rPr>
            <w:noProof/>
            <w:vertAlign w:val="superscript"/>
          </w:rPr>
          <w:t>234-235</w:t>
        </w:r>
      </w:hyperlink>
      <w:r w:rsidR="00E62798" w:rsidRPr="00E62798">
        <w:rPr>
          <w:noProof/>
          <w:vertAlign w:val="superscript"/>
        </w:rPr>
        <w:t xml:space="preserve">; </w:t>
      </w:r>
      <w:hyperlink w:anchor="_ENREF_253" w:tooltip="Canadian Blood Services, 2011 #88" w:history="1">
        <w:r w:rsidR="00E62798" w:rsidRPr="00E62798">
          <w:rPr>
            <w:noProof/>
            <w:vertAlign w:val="superscript"/>
          </w:rPr>
          <w:t>253-255</w:t>
        </w:r>
      </w:hyperlink>
      <w:r w:rsidR="00E62798">
        <w:fldChar w:fldCharType="end"/>
      </w:r>
      <w:r>
        <w:t xml:space="preserve"> With routine leucodepletion, it is likely that the risk of transmission from cellular blood products is low,</w:t>
      </w:r>
      <w:hyperlink w:anchor="_ENREF_251" w:tooltip="Seed, 2015 #1099" w:history="1">
        <w:r w:rsidR="00E62798">
          <w:fldChar w:fldCharType="begin"/>
        </w:r>
        <w:r w:rsidR="00E62798">
          <w:instrText xml:space="preserve"> ADDIN EN.CITE &lt;EndNote&gt;&lt;Cite&gt;&lt;Author&gt;Seed&lt;/Author&gt;&lt;Year&gt;2015&lt;/Year&gt;&lt;RecNum&gt;1099&lt;/RecNum&gt;&lt;DisplayText&gt;&lt;style face="superscript"&gt;251&lt;/style&gt;&lt;/DisplayText&gt;&lt;record&gt;&lt;rec-number&gt;1099&lt;/rec-number&gt;&lt;foreign-keys&gt;&lt;key app="EN" db-id="9edve2wadsavt5ewavaxtda4f2tavzvts9ee" timestamp="1439347742"&gt;1099&lt;/key&gt;&lt;/foreign-keys&gt;&lt;ref-type name="Journal Article"&gt;17&lt;/ref-type&gt;&lt;contributors&gt;&lt;authors&gt;&lt;author&gt;Seed, C. R.&lt;/author&gt;&lt;author&gt;Wong, J.&lt;/author&gt;&lt;author&gt;Polizzotto, M. N.&lt;/author&gt;&lt;author&gt;Faddy, H.&lt;/author&gt;&lt;author&gt;Keller, A. J.&lt;/author&gt;&lt;author&gt;Pink, J.&lt;/author&gt;&lt;/authors&gt;&lt;/contributors&gt;&lt;auth-address&gt;Australian Red Cross Blood Service, Perth, WA, Australia.&amp;#xD;Australian Red Cross Blood Service, Sydney, NSW, Australia.&amp;#xD;Department of Clinical Haematology, Monash University, Melbourne, Vic., Australia.&amp;#xD;Australian Red Cross Blood Service, Brisbane, Qld, Australia.&lt;/auth-address&gt;&lt;titles&gt;&lt;title&gt;The residual risk of transfusion-transmitted cytomegalovirus infection associated with leucodepleted blood components&lt;/title&gt;&lt;secondary-title&gt;Vox Sang&lt;/secondary-title&gt;&lt;/titles&gt;&lt;periodical&gt;&lt;full-title&gt;Vox Sang&lt;/full-title&gt;&lt;/periodical&gt;&lt;pages&gt;11-7&lt;/pages&gt;&lt;volume&gt;109&lt;/volume&gt;&lt;number&gt;1&lt;/number&gt;&lt;keywords&gt;&lt;keyword&gt;blood safety&lt;/keyword&gt;&lt;keyword&gt;leucodepletion&lt;/keyword&gt;&lt;keyword&gt;residual risk estimation&lt;/keyword&gt;&lt;keyword&gt;transfusion-transmissible infection&lt;/keyword&gt;&lt;/keywords&gt;&lt;dates&gt;&lt;year&gt;2015&lt;/year&gt;&lt;pub-dates&gt;&lt;date&gt;Jul&lt;/date&gt;&lt;/pub-dates&gt;&lt;/dates&gt;&lt;isbn&gt;1423-0410 (Electronic)&amp;#xD;0042-9007 (Linking)&lt;/isbn&gt;&lt;accession-num&gt;25854287&lt;/accession-num&gt;&lt;urls&gt;&lt;related-urls&gt;&lt;url&gt;http://www.ncbi.nlm.nih.gov/pubmed/25854287&lt;/url&gt;&lt;/related-urls&gt;&lt;/urls&gt;&lt;electronic-resource-num&gt;10.1111/vox.12250&lt;/electronic-resource-num&gt;&lt;/record&gt;&lt;/Cite&gt;&lt;/EndNote&gt;</w:instrText>
        </w:r>
        <w:r w:rsidR="00E62798">
          <w:fldChar w:fldCharType="separate"/>
        </w:r>
        <w:r w:rsidR="00E62798" w:rsidRPr="00E62798">
          <w:rPr>
            <w:noProof/>
            <w:vertAlign w:val="superscript"/>
          </w:rPr>
          <w:t>251</w:t>
        </w:r>
        <w:r w:rsidR="00E62798">
          <w:fldChar w:fldCharType="end"/>
        </w:r>
      </w:hyperlink>
      <w:r>
        <w:t xml:space="preserve"> whereas </w:t>
      </w:r>
      <w:r w:rsidRPr="00762B29">
        <w:t>maternal breast milk represent</w:t>
      </w:r>
      <w:r>
        <w:t>s</w:t>
      </w:r>
      <w:r w:rsidRPr="00762B29">
        <w:t xml:space="preserve"> a common source of infection</w:t>
      </w:r>
      <w:r>
        <w:t xml:space="preserve">. </w:t>
      </w:r>
    </w:p>
    <w:p w14:paraId="29C0C6C8" w14:textId="77777777" w:rsidR="00D93C65" w:rsidRPr="00762B29" w:rsidRDefault="00D93C65" w:rsidP="00D93C65">
      <w:pPr>
        <w:pStyle w:val="Heading5"/>
      </w:pPr>
      <w:r w:rsidRPr="00762B29">
        <w:t>Bone marrow transplant, solid organ transplant, and other haematology and oncology patients</w:t>
      </w:r>
    </w:p>
    <w:p w14:paraId="6396B5A1" w14:textId="7A1CD48E" w:rsidR="00D93C65" w:rsidRPr="00CA2ED8" w:rsidRDefault="00D93C65" w:rsidP="00D93C65">
      <w:r>
        <w:t xml:space="preserve">Use of </w:t>
      </w:r>
      <w:r w:rsidRPr="00CA2ED8">
        <w:t>CMV</w:t>
      </w:r>
      <w:r>
        <w:t>-</w:t>
      </w:r>
      <w:r w:rsidRPr="00CA2ED8">
        <w:t>seronegative screened blood components and leu</w:t>
      </w:r>
      <w:r>
        <w:t>c</w:t>
      </w:r>
      <w:r w:rsidRPr="00CA2ED8">
        <w:t xml:space="preserve">oreduced blood components </w:t>
      </w:r>
      <w:r>
        <w:t>are probably equivalent in these populations, and both result in a low rate of transmission</w:t>
      </w:r>
      <w:r w:rsidRPr="00CA2ED8">
        <w:t>.</w:t>
      </w:r>
      <w:hyperlink w:anchor="_ENREF_255" w:tooltip="Advisory Committee on the Safety of Blood, 2012 #90" w:history="1">
        <w:r w:rsidR="00E62798">
          <w:fldChar w:fldCharType="begin">
            <w:fldData xml:space="preserve">PEVuZE5vdGU+PENpdGU+PEF1dGhvcj5UaGllbGU8L0F1dGhvcj48WWVhcj4yMDExPC9ZZWFyPjxS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==
</w:fldData>
          </w:fldChar>
        </w:r>
        <w:r w:rsidR="00E62798">
          <w:instrText xml:space="preserve"> ADDIN EN.CITE </w:instrText>
        </w:r>
        <w:r w:rsidR="00E62798">
          <w:fldChar w:fldCharType="begin">
            <w:fldData xml:space="preserve">PEVuZE5vdGU+PENpdGU+PEF1dGhvcj5UaGllbGU8L0F1dGhvcj48WWVhcj4yMDExPC9ZZWFyPjxS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==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255-257</w:t>
        </w:r>
        <w:r w:rsidR="00E62798">
          <w:fldChar w:fldCharType="end"/>
        </w:r>
      </w:hyperlink>
      <w:r w:rsidRPr="00CA2ED8">
        <w:t xml:space="preserve"> The </w:t>
      </w:r>
      <w:r w:rsidR="003D0D74">
        <w:t xml:space="preserve">statement from the UK’s </w:t>
      </w:r>
      <w:r w:rsidR="003D0D74" w:rsidRPr="003D0D74">
        <w:t xml:space="preserve">Advisory Committee on the Safety of Blood, Tissues and Organs </w:t>
      </w:r>
      <w:r w:rsidR="003D0D74">
        <w:t>(</w:t>
      </w:r>
      <w:r w:rsidRPr="00CA2ED8">
        <w:t>SaBTO</w:t>
      </w:r>
      <w:r w:rsidR="003D0D74">
        <w:t>)</w:t>
      </w:r>
      <w:r w:rsidRPr="00CA2ED8">
        <w:t xml:space="preserve"> </w:t>
      </w:r>
      <w:r w:rsidR="00846EC8">
        <w:t>notes</w:t>
      </w:r>
      <w:r w:rsidRPr="00CA2ED8">
        <w:t xml:space="preserve"> </w:t>
      </w:r>
      <w:r>
        <w:t>that</w:t>
      </w:r>
      <w:r w:rsidRPr="00CA2ED8">
        <w:t xml:space="preserve"> CMV</w:t>
      </w:r>
      <w:r>
        <w:t>-</w:t>
      </w:r>
      <w:r w:rsidRPr="00CA2ED8">
        <w:t>seronegative</w:t>
      </w:r>
      <w:r>
        <w:t xml:space="preserve"> RBCs</w:t>
      </w:r>
      <w:r w:rsidRPr="00CA2ED8">
        <w:t xml:space="preserve"> and platelets can</w:t>
      </w:r>
      <w:r w:rsidR="003D0D74">
        <w:t xml:space="preserve"> be replaced with standard pre</w:t>
      </w:r>
      <w:r w:rsidRPr="00CA2ED8">
        <w:t>storage leucodepleted components for</w:t>
      </w:r>
      <w:r>
        <w:t xml:space="preserve"> all these patient groups, including those who may require a transplant in the future.</w:t>
      </w:r>
      <w:hyperlink w:anchor="_ENREF_255" w:tooltip="Advisory Committee on the Safety of Blood, 2012 #90" w:history="1">
        <w:r w:rsidR="00E62798">
          <w:fldChar w:fldCharType="begin"/>
        </w:r>
        <w:r w:rsidR="00E62798">
          <w:instrText xml:space="preserve"> ADDIN EN.CITE &lt;EndNote&gt;&lt;Cite&gt;&lt;Author&gt;Advisory Committee on the Safety of Blood&lt;/Author&gt;&lt;Year&gt;2012&lt;/Year&gt;&lt;RecNum&gt;90&lt;/RecNum&gt;&lt;DisplayText&gt;&lt;style face="superscript"&gt;255&lt;/style&gt;&lt;/DisplayText&gt;&lt;record&gt;&lt;rec-number&gt;90&lt;/rec-number&gt;&lt;foreign-keys&gt;&lt;key app="EN" db-id="9edve2wadsavt5ewavaxtda4f2tavzvts9ee" timestamp="1424148440"&gt;90&lt;/key&gt;&lt;/foreign-keys&gt;&lt;ref-type name="Report"&gt;27&lt;/ref-type&gt;&lt;contributors&gt;&lt;authors&gt;&lt;author&gt;Advisory Committee on the Safety of Blood,&lt;/author&gt;&lt;/authors&gt;&lt;/contributors&gt;&lt;titles&gt;&lt;title&gt;Cytomegalovirus tested blood components: Position Statement. SaBTO report of the Cytomegalovirus Steering Group&lt;/title&gt;&lt;/titles&gt;&lt;dates&gt;&lt;year&gt;2012&lt;/year&gt;&lt;/dates&gt;&lt;publisher&gt;Department of Health&lt;/publisher&gt;&lt;urls&gt;&lt;related-urls&gt;&lt;url&gt;https://www.gov.uk/government/uploads/system/uploads/attachment_data/file/215125/dh_133086.pdf&lt;/url&gt;&lt;/related-urls&gt;&lt;/urls&gt;&lt;/record&gt;&lt;/Cite&gt;&lt;/EndNote&gt;</w:instrText>
        </w:r>
        <w:r w:rsidR="00E62798">
          <w:fldChar w:fldCharType="separate"/>
        </w:r>
        <w:r w:rsidR="00E62798" w:rsidRPr="00E62798">
          <w:rPr>
            <w:noProof/>
            <w:vertAlign w:val="superscript"/>
          </w:rPr>
          <w:t>255</w:t>
        </w:r>
        <w:r w:rsidR="00E62798">
          <w:fldChar w:fldCharType="end"/>
        </w:r>
      </w:hyperlink>
    </w:p>
    <w:p w14:paraId="27C2CC90" w14:textId="77777777" w:rsidR="00D93C65" w:rsidRDefault="00D93C65" w:rsidP="00D93C65">
      <w:r>
        <w:t>The routine use of CMV PCR monitoring in seronegative bone marrow transplant patients (and their donors) allows early detection and treatment of CMV infection (either primary acquired or transfusion related).</w:t>
      </w:r>
    </w:p>
    <w:p w14:paraId="772E7971" w14:textId="77777777" w:rsidR="00D93C65" w:rsidRPr="00762B29" w:rsidRDefault="00D93C65" w:rsidP="008B24E5">
      <w:pPr>
        <w:pStyle w:val="Heading5"/>
      </w:pPr>
      <w:r w:rsidRPr="00762B29">
        <w:t>HIV and immunodeficient patients</w:t>
      </w:r>
    </w:p>
    <w:p w14:paraId="4CF5C8AE" w14:textId="741BFDAA" w:rsidR="00D93C65" w:rsidRDefault="00D93C65" w:rsidP="00D93C65">
      <w:r w:rsidRPr="002025C2">
        <w:t xml:space="preserve">The SaBTO </w:t>
      </w:r>
      <w:r>
        <w:t xml:space="preserve">statement concludes </w:t>
      </w:r>
      <w:r w:rsidR="008B24E5">
        <w:t>that pre</w:t>
      </w:r>
      <w:r w:rsidRPr="002025C2">
        <w:t>storage leucodepletion is sufficient to prevent the transmission of CMV</w:t>
      </w:r>
      <w:r w:rsidRPr="00CA2ED8">
        <w:t xml:space="preserve"> </w:t>
      </w:r>
      <w:r>
        <w:t xml:space="preserve">in HIV-infected patients. In patients with </w:t>
      </w:r>
      <w:r w:rsidR="00AB1355">
        <w:rPr>
          <w:rStyle w:val="cit"/>
        </w:rPr>
        <w:t>severe combined immunodeficiency</w:t>
      </w:r>
      <w:r w:rsidR="00AB1355">
        <w:t xml:space="preserve"> (</w:t>
      </w:r>
      <w:r>
        <w:t>SCID</w:t>
      </w:r>
      <w:r w:rsidR="00AB1355">
        <w:t>)</w:t>
      </w:r>
      <w:r>
        <w:t xml:space="preserve"> who are CMV negative, the use of CMV-negative products should be considered. </w:t>
      </w:r>
    </w:p>
    <w:p w14:paraId="0C2092F5" w14:textId="77777777" w:rsidR="00D93C65" w:rsidRPr="0075044A" w:rsidRDefault="00D93C65" w:rsidP="00D93C65">
      <w:pPr>
        <w:pStyle w:val="Heading5"/>
      </w:pPr>
      <w:r w:rsidRPr="0075044A">
        <w:t xml:space="preserve">Granulocyte transfusions </w:t>
      </w:r>
    </w:p>
    <w:p w14:paraId="58B26904" w14:textId="1CF10BA6" w:rsidR="00D93C65" w:rsidRDefault="00D93C65" w:rsidP="00D93C65">
      <w:r>
        <w:t xml:space="preserve">CMV-positive granulocyte transfusions have the potential to transmit large amounts of intracellular CMV. </w:t>
      </w:r>
      <w:r w:rsidR="008B24E5">
        <w:t>L</w:t>
      </w:r>
      <w:r>
        <w:t>eucodepletion is contraindicated (because it would deplete the granulocytes)</w:t>
      </w:r>
      <w:r w:rsidR="008B24E5">
        <w:t>; therefore,</w:t>
      </w:r>
      <w:r>
        <w:t xml:space="preserve"> </w:t>
      </w:r>
      <w:r w:rsidRPr="00CA2ED8">
        <w:t>CMV</w:t>
      </w:r>
      <w:r>
        <w:t>-</w:t>
      </w:r>
      <w:r w:rsidRPr="00CA2ED8">
        <w:t xml:space="preserve">seronegative granulocytes should be provided for </w:t>
      </w:r>
      <w:r>
        <w:t xml:space="preserve">recipients who are </w:t>
      </w:r>
      <w:r w:rsidRPr="00CA2ED8">
        <w:t>CMV</w:t>
      </w:r>
      <w:r>
        <w:t xml:space="preserve"> </w:t>
      </w:r>
      <w:r w:rsidRPr="00CA2ED8">
        <w:t>seronegative</w:t>
      </w:r>
      <w:r>
        <w:t xml:space="preserve"> or whose status is unknown</w:t>
      </w:r>
      <w:r w:rsidRPr="00CA2ED8">
        <w:t>.</w:t>
      </w:r>
      <w:hyperlink w:anchor="_ENREF_255" w:tooltip="Advisory Committee on the Safety of Blood, 2012 #90" w:history="1">
        <w:r w:rsidR="00E62798">
          <w:fldChar w:fldCharType="begin"/>
        </w:r>
        <w:r w:rsidR="00E62798">
          <w:instrText xml:space="preserve"> ADDIN EN.CITE &lt;EndNote&gt;&lt;Cite&gt;&lt;Author&gt;Advisory Committee on the Safety of Blood&lt;/Author&gt;&lt;Year&gt;2012&lt;/Year&gt;&lt;RecNum&gt;90&lt;/RecNum&gt;&lt;DisplayText&gt;&lt;style face="superscript"&gt;255&lt;/style&gt;&lt;/DisplayText&gt;&lt;record&gt;&lt;rec-number&gt;90&lt;/rec-number&gt;&lt;foreign-keys&gt;&lt;key app="EN" db-id="9edve2wadsavt5ewavaxtda4f2tavzvts9ee" timestamp="1424148440"&gt;90&lt;/key&gt;&lt;/foreign-keys&gt;&lt;ref-type name="Report"&gt;27&lt;/ref-type&gt;&lt;contributors&gt;&lt;authors&gt;&lt;author&gt;Advisory Committee on the Safety of Blood,&lt;/author&gt;&lt;/authors&gt;&lt;/contributors&gt;&lt;titles&gt;&lt;title&gt;Cytomegalovirus tested blood components: Position Statement. SaBTO report of the Cytomegalovirus Steering Group&lt;/title&gt;&lt;/titles&gt;&lt;dates&gt;&lt;year&gt;2012&lt;/year&gt;&lt;/dates&gt;&lt;publisher&gt;Department of Health&lt;/publisher&gt;&lt;urls&gt;&lt;related-urls&gt;&lt;url&gt;https://www.gov.uk/government/uploads/system/uploads/attachment_data/file/215125/dh_133086.pdf&lt;/url&gt;&lt;/related-urls&gt;&lt;/urls&gt;&lt;/record&gt;&lt;/Cite&gt;&lt;/EndNote&gt;</w:instrText>
        </w:r>
        <w:r w:rsidR="00E62798">
          <w:fldChar w:fldCharType="separate"/>
        </w:r>
        <w:r w:rsidR="00E62798" w:rsidRPr="00E62798">
          <w:rPr>
            <w:noProof/>
            <w:vertAlign w:val="superscript"/>
          </w:rPr>
          <w:t>255</w:t>
        </w:r>
        <w:r w:rsidR="00E62798">
          <w:fldChar w:fldCharType="end"/>
        </w:r>
      </w:hyperlink>
      <w:r w:rsidRPr="00CA2ED8">
        <w:t xml:space="preserve"> </w:t>
      </w:r>
    </w:p>
    <w:p w14:paraId="4F739824" w14:textId="77777777" w:rsidR="00D93C65" w:rsidRDefault="00D93C65" w:rsidP="00D93C65">
      <w:pPr>
        <w:spacing w:after="0"/>
        <w:jc w:val="both"/>
        <w:rPr>
          <w:rFonts w:ascii="Arial Narrow" w:hAnsi="Arial Narrow"/>
          <w:color w:val="FF0000"/>
          <w:sz w:val="20"/>
          <w:szCs w:val="20"/>
        </w:rPr>
      </w:pPr>
    </w:p>
    <w:tbl>
      <w:tblPr>
        <w:tblStyle w:val="TableGrid"/>
        <w:tblW w:w="8347" w:type="dxa"/>
        <w:tblInd w:w="720" w:type="dxa"/>
        <w:tblLook w:val="04A0" w:firstRow="1" w:lastRow="0" w:firstColumn="1" w:lastColumn="0" w:noHBand="0" w:noVBand="1"/>
      </w:tblPr>
      <w:tblGrid>
        <w:gridCol w:w="1206"/>
        <w:gridCol w:w="7141"/>
      </w:tblGrid>
      <w:tr w:rsidR="00D93C65" w14:paraId="496EAAFB" w14:textId="77777777" w:rsidTr="00467EEA">
        <w:trPr>
          <w:cantSplit/>
        </w:trPr>
        <w:tc>
          <w:tcPr>
            <w:tcW w:w="8347" w:type="dxa"/>
            <w:gridSpan w:val="2"/>
            <w:shd w:val="clear" w:color="auto" w:fill="BFBFBF" w:themeFill="background1" w:themeFillShade="BF"/>
          </w:tcPr>
          <w:p w14:paraId="20A0872E" w14:textId="77777777" w:rsidR="00D93C65" w:rsidRPr="00813FDC" w:rsidRDefault="00D93C65" w:rsidP="00C62C56">
            <w:pPr>
              <w:pStyle w:val="PP-heading"/>
            </w:pPr>
            <w:r w:rsidRPr="00813FDC">
              <w:t xml:space="preserve">Expert opinion points </w:t>
            </w:r>
            <w:r>
              <w:t>– CMV-negative cellular products</w:t>
            </w:r>
          </w:p>
        </w:tc>
      </w:tr>
      <w:tr w:rsidR="00D93C65" w14:paraId="6263948E" w14:textId="77777777" w:rsidTr="00C62C56">
        <w:trPr>
          <w:cantSplit/>
        </w:trPr>
        <w:tc>
          <w:tcPr>
            <w:tcW w:w="1206" w:type="dxa"/>
          </w:tcPr>
          <w:p w14:paraId="35A22CA9" w14:textId="0C50DD86" w:rsidR="00D93C65" w:rsidRDefault="00D93C65" w:rsidP="008B24E5">
            <w:pPr>
              <w:pStyle w:val="PP"/>
            </w:pPr>
            <w:r>
              <w:t>EOP</w:t>
            </w:r>
            <w:r w:rsidR="008B24E5">
              <w:t>12</w:t>
            </w:r>
          </w:p>
        </w:tc>
        <w:tc>
          <w:tcPr>
            <w:tcW w:w="7141" w:type="dxa"/>
          </w:tcPr>
          <w:p w14:paraId="29982231" w14:textId="77777777" w:rsidR="00D93C65" w:rsidRDefault="00D93C65" w:rsidP="008B24E5">
            <w:pPr>
              <w:pStyle w:val="PT-prebullet"/>
            </w:pPr>
            <w:r w:rsidRPr="00813FDC">
              <w:t xml:space="preserve">CMV-negative products </w:t>
            </w:r>
            <w:r>
              <w:t>may be considered in the following situations:</w:t>
            </w:r>
          </w:p>
          <w:p w14:paraId="4C6480A0" w14:textId="77777777" w:rsidR="00D93C65" w:rsidRDefault="00D93C65" w:rsidP="008B24E5">
            <w:pPr>
              <w:pStyle w:val="PP-bullets"/>
            </w:pPr>
            <w:r>
              <w:t>IUT</w:t>
            </w:r>
          </w:p>
          <w:p w14:paraId="46A75743" w14:textId="77777777" w:rsidR="00D93C65" w:rsidRDefault="00D93C65" w:rsidP="008B24E5">
            <w:pPr>
              <w:pStyle w:val="PP-bullets"/>
            </w:pPr>
            <w:r>
              <w:t xml:space="preserve">preterm </w:t>
            </w:r>
            <w:r w:rsidRPr="00813FDC">
              <w:t>neonates (up to 28 days after expected date of delivery)</w:t>
            </w:r>
          </w:p>
          <w:p w14:paraId="1CCB76B7" w14:textId="77777777" w:rsidR="00D93C65" w:rsidRDefault="00D93C65" w:rsidP="008B24E5">
            <w:pPr>
              <w:pStyle w:val="PP-bullets"/>
            </w:pPr>
            <w:r>
              <w:t>patients with SCID who are CMV negative</w:t>
            </w:r>
            <w:r w:rsidDel="002450FB">
              <w:t xml:space="preserve"> </w:t>
            </w:r>
          </w:p>
          <w:p w14:paraId="449607FF" w14:textId="64982591" w:rsidR="00D93C65" w:rsidRDefault="00D93C65" w:rsidP="008B24E5">
            <w:pPr>
              <w:pStyle w:val="PP-bullets"/>
            </w:pPr>
            <w:r>
              <w:t>stem cell transplantation where both donor and recipie</w:t>
            </w:r>
            <w:r w:rsidR="008B24E5">
              <w:t>nt are known to be CMV negative</w:t>
            </w:r>
          </w:p>
          <w:p w14:paraId="4ABDA059" w14:textId="3BE61507" w:rsidR="00D93C65" w:rsidRDefault="00D93C65" w:rsidP="008B24E5">
            <w:pPr>
              <w:pStyle w:val="PP-bullets"/>
            </w:pPr>
            <w:r w:rsidRPr="00813FDC">
              <w:t xml:space="preserve">granulocyte transfusions for </w:t>
            </w:r>
            <w:r>
              <w:t xml:space="preserve">recipients who are </w:t>
            </w:r>
            <w:r w:rsidRPr="00813FDC">
              <w:t>CMV</w:t>
            </w:r>
            <w:r>
              <w:t xml:space="preserve"> sero</w:t>
            </w:r>
            <w:r w:rsidRPr="00813FDC">
              <w:t>negative</w:t>
            </w:r>
            <w:r>
              <w:t>,</w:t>
            </w:r>
            <w:r w:rsidRPr="00813FDC">
              <w:t xml:space="preserve"> </w:t>
            </w:r>
            <w:r>
              <w:t>or</w:t>
            </w:r>
            <w:r w:rsidRPr="00813FDC">
              <w:t xml:space="preserve"> whose status is unknown</w:t>
            </w:r>
            <w:r w:rsidR="008B24E5">
              <w:rPr>
                <w:lang w:val="en-AU"/>
              </w:rPr>
              <w:t>.</w:t>
            </w:r>
            <w:r w:rsidDel="002450FB">
              <w:t xml:space="preserve"> </w:t>
            </w:r>
          </w:p>
          <w:p w14:paraId="67BD4095" w14:textId="77777777" w:rsidR="00D93C65" w:rsidRDefault="00D93C65" w:rsidP="006F2463">
            <w:pPr>
              <w:ind w:left="0"/>
            </w:pPr>
            <w:r w:rsidRPr="00813FDC">
              <w:t xml:space="preserve">CMV-negative products are </w:t>
            </w:r>
            <w:r>
              <w:t xml:space="preserve">generally </w:t>
            </w:r>
            <w:r w:rsidRPr="00813FDC">
              <w:t>not required in other clinical settings</w:t>
            </w:r>
            <w:r>
              <w:t>.</w:t>
            </w:r>
            <w:r w:rsidDel="002450FB">
              <w:t xml:space="preserve"> </w:t>
            </w:r>
          </w:p>
        </w:tc>
      </w:tr>
      <w:tr w:rsidR="00D93C65" w14:paraId="55F579DE" w14:textId="77777777" w:rsidTr="00C62C56">
        <w:trPr>
          <w:cantSplit/>
        </w:trPr>
        <w:tc>
          <w:tcPr>
            <w:tcW w:w="1206" w:type="dxa"/>
          </w:tcPr>
          <w:p w14:paraId="2146F22A" w14:textId="5E0B7BD3" w:rsidR="00D93C65" w:rsidRDefault="00D93C65" w:rsidP="008B24E5">
            <w:pPr>
              <w:pStyle w:val="PP"/>
            </w:pPr>
            <w:r w:rsidRPr="00A43255">
              <w:t>EOP</w:t>
            </w:r>
            <w:r w:rsidR="008B24E5">
              <w:t>13</w:t>
            </w:r>
          </w:p>
        </w:tc>
        <w:tc>
          <w:tcPr>
            <w:tcW w:w="7141" w:type="dxa"/>
          </w:tcPr>
          <w:p w14:paraId="39C50249" w14:textId="77777777" w:rsidR="00D93C65" w:rsidRDefault="00D93C65" w:rsidP="006F2463">
            <w:pPr>
              <w:ind w:left="0"/>
            </w:pPr>
            <w:r w:rsidRPr="00813FDC">
              <w:t>In urgent situations, if CMV-seronegative blood components are not available, CMV-unscreened leucodepleted components should be used to avoid delays</w:t>
            </w:r>
            <w:r>
              <w:t>.</w:t>
            </w:r>
          </w:p>
        </w:tc>
      </w:tr>
      <w:tr w:rsidR="00D93C65" w14:paraId="54737C6A" w14:textId="77777777" w:rsidTr="00C62C56">
        <w:trPr>
          <w:cantSplit/>
          <w:trHeight w:val="381"/>
        </w:trPr>
        <w:tc>
          <w:tcPr>
            <w:tcW w:w="8347" w:type="dxa"/>
            <w:gridSpan w:val="2"/>
          </w:tcPr>
          <w:p w14:paraId="45512133" w14:textId="60E2341F" w:rsidR="00D93C65" w:rsidRPr="00813FDC" w:rsidRDefault="00D93C65" w:rsidP="006F2463">
            <w:pPr>
              <w:spacing w:after="0"/>
              <w:ind w:left="0"/>
              <w:rPr>
                <w:sz w:val="18"/>
                <w:szCs w:val="18"/>
              </w:rPr>
            </w:pPr>
            <w:r>
              <w:rPr>
                <w:sz w:val="18"/>
                <w:szCs w:val="18"/>
              </w:rPr>
              <w:t xml:space="preserve">CMV, cytomegalovirus; EOP, expert opinion point; IUT, intrauterine transfusion; SCID, </w:t>
            </w:r>
            <w:r w:rsidR="008B24E5">
              <w:rPr>
                <w:sz w:val="18"/>
                <w:szCs w:val="18"/>
              </w:rPr>
              <w:t>severe combined i</w:t>
            </w:r>
            <w:r>
              <w:rPr>
                <w:sz w:val="18"/>
                <w:szCs w:val="18"/>
              </w:rPr>
              <w:t>mmunodeficiency</w:t>
            </w:r>
          </w:p>
        </w:tc>
      </w:tr>
    </w:tbl>
    <w:p w14:paraId="6D78D502" w14:textId="77777777" w:rsidR="00D93C65" w:rsidRDefault="00D93C65" w:rsidP="00D93C65"/>
    <w:p w14:paraId="4F909A26" w14:textId="77777777" w:rsidR="00D93C65" w:rsidRDefault="00D93C65" w:rsidP="00D93C65">
      <w:pPr>
        <w:pStyle w:val="Heading3"/>
      </w:pPr>
      <w:bookmarkStart w:id="195" w:name="_Toc427851375"/>
      <w:r>
        <w:t xml:space="preserve">4.1.5 </w:t>
      </w:r>
      <w:r>
        <w:tab/>
        <w:t>Use of human platelet antigen-matched platelets</w:t>
      </w:r>
      <w:bookmarkEnd w:id="191"/>
      <w:bookmarkEnd w:id="195"/>
    </w:p>
    <w:p w14:paraId="79767759" w14:textId="4167F2A7" w:rsidR="00D93C65" w:rsidRDefault="00D93C65" w:rsidP="00D93C65">
      <w:r>
        <w:t xml:space="preserve">The human platelet antigens (HPAs) are formed by single nucleotide polymorphisms (SNPs) in the platelet glycoprotein genes. These variant glycoproteins can lead to the formation of anti-HPA antibodies when </w:t>
      </w:r>
      <w:r w:rsidR="008B24E5">
        <w:t>people are</w:t>
      </w:r>
      <w:r>
        <w:t xml:space="preserve"> exposed to a glycoprotein that does not occur on </w:t>
      </w:r>
      <w:r w:rsidR="008B24E5">
        <w:t xml:space="preserve">their </w:t>
      </w:r>
      <w:r>
        <w:t>own platelets. These exposures are usually secondary to pregnancy or platelet transfusion.</w:t>
      </w:r>
    </w:p>
    <w:p w14:paraId="50CD7F7A" w14:textId="3F76C5CE" w:rsidR="00D93C65" w:rsidRDefault="00D93C65" w:rsidP="00D93C65">
      <w:r>
        <w:t>Numerous HPAs have been reported.</w:t>
      </w:r>
      <w:hyperlink w:anchor="_ENREF_258" w:tooltip="Curtis, 2014 #610" w:history="1">
        <w:r w:rsidR="00E62798">
          <w:fldChar w:fldCharType="begin"/>
        </w:r>
        <w:r w:rsidR="00E62798">
          <w:instrText xml:space="preserve"> ADDIN EN.CITE &lt;EndNote&gt;&lt;Cite&gt;&lt;Author&gt;Curtis&lt;/Author&gt;&lt;Year&gt;2014&lt;/Year&gt;&lt;RecNum&gt;610&lt;/RecNum&gt;&lt;DisplayText&gt;&lt;style face="superscript"&gt;258&lt;/style&gt;&lt;/DisplayText&gt;&lt;record&gt;&lt;rec-number&gt;610&lt;/rec-number&gt;&lt;foreign-keys&gt;&lt;key app="EN" db-id="9edve2wadsavt5ewavaxtda4f2tavzvts9ee" timestamp="1429948665"&gt;610&lt;/key&gt;&lt;/foreign-keys&gt;&lt;ref-type name="Journal Article"&gt;17&lt;/ref-type&gt;&lt;contributors&gt;&lt;authors&gt;&lt;author&gt;Curtis, B. R.&lt;/author&gt;&lt;author&gt;McFarland, J. G.&lt;/author&gt;&lt;/authors&gt;&lt;/contributors&gt;&lt;auth-address&gt;Platelet &amp;amp; Neutrophil Immunology Laboratory, BloodCenter of Wisconsin, Milwaukee, WI, USA.&lt;/auth-address&gt;&lt;titles&gt;&lt;title&gt;Human platelet antigens - 2013&lt;/title&gt;&lt;secondary-title&gt;Vox Sang&lt;/secondary-title&gt;&lt;/titles&gt;&lt;periodical&gt;&lt;full-title&gt;Vox Sang&lt;/full-title&gt;&lt;/periodical&gt;&lt;pages&gt;93–102&lt;/pages&gt;&lt;volume&gt;106&lt;/volume&gt;&lt;number&gt;2&lt;/number&gt;&lt;keywords&gt;&lt;keyword&gt;Alleles&lt;/keyword&gt;&lt;keyword&gt;Antigens, Human Platelet/*genetics/*metabolism&lt;/keyword&gt;&lt;keyword&gt;Genotyping Techniques&lt;/keyword&gt;&lt;keyword&gt;Humans&lt;/keyword&gt;&lt;keyword&gt;Platelet Glycoprotein GPIIb-IIIa Complex/genetics/immunology/metabolism&lt;/keyword&gt;&lt;keyword&gt;Platelet Membrane Glycoproteins/genetics/metabolism&lt;/keyword&gt;&lt;keyword&gt;Polymorphism, Single Nucleotide&lt;/keyword&gt;&lt;keyword&gt;neonatal alloimmune thrombocytopenia&lt;/keyword&gt;&lt;keyword&gt;platelet antigens&lt;/keyword&gt;&lt;keyword&gt;platelet refractoriness&lt;/keyword&gt;&lt;/keywords&gt;&lt;dates&gt;&lt;year&gt;2014&lt;/year&gt;&lt;pub-dates&gt;&lt;date&gt;Feb&lt;/date&gt;&lt;/pub-dates&gt;&lt;/dates&gt;&lt;isbn&gt;1423-0410 (Electronic)&amp;#xD;0042-9007 (Linking)&lt;/isbn&gt;&lt;accession-num&gt;24102564&lt;/accession-num&gt;&lt;urls&gt;&lt;related-urls&gt;&lt;url&gt;http://www.ncbi.nlm.nih.gov/pubmed/24102564&lt;/url&gt;&lt;/related-urls&gt;&lt;/urls&gt;&lt;electronic-resource-num&gt;10.1111/vox.12085&lt;/electronic-resource-num&gt;&lt;/record&gt;&lt;/Cite&gt;&lt;/EndNote&gt;</w:instrText>
        </w:r>
        <w:r w:rsidR="00E62798">
          <w:fldChar w:fldCharType="separate"/>
        </w:r>
        <w:r w:rsidR="00E62798" w:rsidRPr="00E62798">
          <w:rPr>
            <w:noProof/>
            <w:vertAlign w:val="superscript"/>
          </w:rPr>
          <w:t>258</w:t>
        </w:r>
        <w:r w:rsidR="00E62798">
          <w:fldChar w:fldCharType="end"/>
        </w:r>
      </w:hyperlink>
      <w:r>
        <w:t xml:space="preserve"> In Caucasian populations, the most common alloantibodies are directed against HPA-1a, followed by anti-HPA-5b.</w:t>
      </w:r>
      <w:hyperlink w:anchor="_ENREF_259" w:tooltip="Mueller-Eckhardt C, 1989 #611" w:history="1">
        <w:r w:rsidR="00E62798">
          <w:fldChar w:fldCharType="begin"/>
        </w:r>
        <w:r w:rsidR="00E62798">
          <w:instrText xml:space="preserve"> ADDIN EN.CITE &lt;EndNote&gt;&lt;Cite&gt;&lt;Author&gt;Mueller-Eckhardt C&lt;/Author&gt;&lt;Year&gt;1989&lt;/Year&gt;&lt;RecNum&gt;611&lt;/RecNum&gt;&lt;DisplayText&gt;&lt;style face="superscript"&gt;259-260&lt;/style&gt;&lt;/DisplayText&gt;&lt;record&gt;&lt;rec-number&gt;611&lt;/rec-number&gt;&lt;foreign-keys&gt;&lt;key app="EN" db-id="9edve2wadsavt5ewavaxtda4f2tavzvts9ee" timestamp="1429949188"&gt;611&lt;/key&gt;&lt;/foreign-keys&gt;&lt;ref-type name="Journal Article"&gt;17&lt;/ref-type&gt;&lt;contributors&gt;&lt;authors&gt;&lt;author&gt;Mueller-Eckhardt C, Kiefel V, Grubert A et al.&lt;/author&gt;&lt;/authors&gt;&lt;/contributors&gt;&lt;titles&gt;&lt;title&gt;348 cases of suspected neonatal alloimmune thrombocytopenia&lt;/title&gt;&lt;secondary-title&gt;The Lancet&lt;/secondary-title&gt;&lt;/titles&gt;&lt;periodical&gt;&lt;full-title&gt;The Lancet&lt;/full-title&gt;&lt;/periodical&gt;&lt;pages&gt;363–6&lt;/pages&gt;&lt;volume&gt;1&lt;/volume&gt;&lt;dates&gt;&lt;year&gt;1989&lt;/year&gt;&lt;/dates&gt;&lt;urls&gt;&lt;/urls&gt;&lt;/record&gt;&lt;/Cite&gt;&lt;Cite&gt;&lt;Author&gt;Davoren A&lt;/Author&gt;&lt;Year&gt;2004&lt;/Year&gt;&lt;RecNum&gt;612&lt;/RecNum&gt;&lt;record&gt;&lt;rec-number&gt;612&lt;/rec-number&gt;&lt;foreign-keys&gt;&lt;key app="EN" db-id="9edve2wadsavt5ewavaxtda4f2tavzvts9ee" timestamp="1429949188"&gt;612&lt;/key&gt;&lt;/foreign-keys&gt;&lt;ref-type name="Journal Article"&gt;17&lt;/ref-type&gt;&lt;contributors&gt;&lt;authors&gt;&lt;author&gt;Davoren A, Curtis B.R, Aster R.H, McFarland J.G&lt;/author&gt;&lt;/authors&gt;&lt;/contributors&gt;&lt;titles&gt;&lt;title&gt;Human platelet antigen-specific alloantibodies implicated in 1162 cases of neonatal alloimmune thrombocytopenia&lt;/title&gt;&lt;secondary-title&gt;Transfusion&lt;/secondary-title&gt;&lt;/titles&gt;&lt;periodical&gt;&lt;full-title&gt;Transfusion&lt;/full-title&gt;&lt;abbr-1&gt;Transfusion&lt;/abbr-1&gt;&lt;/periodical&gt;&lt;pages&gt;1220–1225&lt;/pages&gt;&lt;volume&gt;44&lt;/volume&gt;&lt;dates&gt;&lt;year&gt;2004&lt;/year&gt;&lt;/dates&gt;&lt;urls&gt;&lt;/urls&gt;&lt;/record&gt;&lt;/Cite&gt;&lt;/EndNote&gt;</w:instrText>
        </w:r>
        <w:r w:rsidR="00E62798">
          <w:fldChar w:fldCharType="separate"/>
        </w:r>
        <w:r w:rsidR="00E62798" w:rsidRPr="00E62798">
          <w:rPr>
            <w:noProof/>
            <w:vertAlign w:val="superscript"/>
          </w:rPr>
          <w:t>259-260</w:t>
        </w:r>
        <w:r w:rsidR="00E62798">
          <w:fldChar w:fldCharType="end"/>
        </w:r>
      </w:hyperlink>
      <w:r>
        <w:t xml:space="preserve"> </w:t>
      </w:r>
      <w:r>
        <w:rPr>
          <w:noProof/>
        </w:rPr>
        <w:t>Other alloantibodies may occur more frequently in non-Caucasian populations.</w:t>
      </w:r>
      <w:hyperlink w:anchor="_ENREF_261" w:tooltip="Bennett, 2002 #479" w:history="1">
        <w:r w:rsidR="00E62798">
          <w:rPr>
            <w:noProof/>
          </w:rPr>
          <w:fldChar w:fldCharType="begin"/>
        </w:r>
        <w:r w:rsidR="00E62798">
          <w:rPr>
            <w:noProof/>
          </w:rPr>
          <w:instrText xml:space="preserve"> ADDIN EN.CITE &lt;EndNote&gt;&lt;Cite&gt;&lt;Author&gt;Bennett&lt;/Author&gt;&lt;Year&gt;2002&lt;/Year&gt;&lt;RecNum&gt;479&lt;/RecNum&gt;&lt;DisplayText&gt;&lt;style face="superscript"&gt;261&lt;/style&gt;&lt;/DisplayText&gt;&lt;record&gt;&lt;rec-number&gt;479&lt;/rec-number&gt;&lt;foreign-keys&gt;&lt;key app="EN" db-id="9edve2wadsavt5ewavaxtda4f2tavzvts9ee" timestamp="1429932259"&gt;479&lt;/key&gt;&lt;/foreign-keys&gt;&lt;ref-type name="Journal Article"&gt;17&lt;/ref-type&gt;&lt;contributors&gt;&lt;authors&gt;&lt;author&gt;Bennett, J. A.&lt;/author&gt;&lt;author&gt;Palmer, L. J.&lt;/author&gt;&lt;author&gt;Musk, A. W.&lt;/author&gt;&lt;author&gt;Erber, W. N.&lt;/author&gt;&lt;/authors&gt;&lt;/contributors&gt;&lt;auth-address&gt;Haematology Department, Western Australian Centre for Pathology and Medical Research (PathCentre), Perth, Nedlands, Western Australia 6009, Australia.&lt;/auth-address&gt;&lt;titles&gt;&lt;title&gt;Gene frequencies of human platelet antigens 1-5 in indigenous Australians in Western Australia&lt;/title&gt;&lt;secondary-title&gt;Transfus Med&lt;/secondary-title&gt;&lt;/titles&gt;&lt;periodical&gt;&lt;full-title&gt;Transfus Med&lt;/full-title&gt;&lt;/periodical&gt;&lt;pages&gt;199–203&lt;/pages&gt;&lt;volume&gt;12&lt;/volume&gt;&lt;number&gt;3&lt;/number&gt;&lt;keywords&gt;&lt;keyword&gt;Antigens, Human Platelet/classification/*genetics&lt;/keyword&gt;&lt;keyword&gt;Australia&lt;/keyword&gt;&lt;keyword&gt;Blood Donors&lt;/keyword&gt;&lt;keyword&gt;Blood Transfusion/adverse effects&lt;/keyword&gt;&lt;keyword&gt;*Gene Frequency&lt;/keyword&gt;&lt;keyword&gt;Humans&lt;/keyword&gt;&lt;keyword&gt;Oceanic Ancestry Group/*genetics&lt;/keyword&gt;&lt;keyword&gt;Polymerase Chain Reaction&lt;/keyword&gt;&lt;keyword&gt;Risk&lt;/keyword&gt;&lt;/keywords&gt;&lt;dates&gt;&lt;year&gt;2002&lt;/year&gt;&lt;pub-dates&gt;&lt;date&gt;Jun&lt;/date&gt;&lt;/pub-dates&gt;&lt;/dates&gt;&lt;isbn&gt;0958-7578 (Print)&amp;#xD;0958-7578 (Linking)&lt;/isbn&gt;&lt;accession-num&gt;12071877&lt;/accession-num&gt;&lt;urls&gt;&lt;related-urls&gt;&lt;url&gt;http://www.ncbi.nlm.nih.gov/pubmed/12071877&lt;/url&gt;&lt;/related-urls&gt;&lt;/urls&gt;&lt;/record&gt;&lt;/Cite&gt;&lt;/EndNote&gt;</w:instrText>
        </w:r>
        <w:r w:rsidR="00E62798">
          <w:rPr>
            <w:noProof/>
          </w:rPr>
          <w:fldChar w:fldCharType="separate"/>
        </w:r>
        <w:r w:rsidR="00E62798" w:rsidRPr="00E62798">
          <w:rPr>
            <w:noProof/>
            <w:vertAlign w:val="superscript"/>
          </w:rPr>
          <w:t>261</w:t>
        </w:r>
        <w:r w:rsidR="00E62798">
          <w:rPr>
            <w:noProof/>
          </w:rPr>
          <w:fldChar w:fldCharType="end"/>
        </w:r>
      </w:hyperlink>
      <w:r>
        <w:rPr>
          <w:noProof/>
        </w:rPr>
        <w:t xml:space="preserve"> </w:t>
      </w:r>
    </w:p>
    <w:p w14:paraId="76A045C1" w14:textId="46BC82B2" w:rsidR="00D93C65" w:rsidRDefault="00D93C65" w:rsidP="00D93C65">
      <w:r>
        <w:t xml:space="preserve">HPAs have been implicated in fetal and neonatal alloimmune </w:t>
      </w:r>
      <w:r w:rsidR="002B2C2B">
        <w:t>thrombocytopaenia</w:t>
      </w:r>
      <w:r>
        <w:t xml:space="preserve"> (FNAIT), post-transfusion purpura (PTP) and, rarely, immune-mediated platelet refractoriness.</w:t>
      </w:r>
    </w:p>
    <w:p w14:paraId="7DA10687" w14:textId="482F43EB" w:rsidR="00D93C65" w:rsidRDefault="00D93C65" w:rsidP="00D93C65">
      <w:r w:rsidRPr="00EC0379">
        <w:t>FNAIT is the leading</w:t>
      </w:r>
      <w:r>
        <w:t xml:space="preserve"> </w:t>
      </w:r>
      <w:r w:rsidRPr="00EC0379">
        <w:t xml:space="preserve">cause of severe </w:t>
      </w:r>
      <w:r w:rsidR="002B2C2B">
        <w:t>thrombocytopaenia</w:t>
      </w:r>
      <w:r w:rsidRPr="00EC0379">
        <w:t xml:space="preserve"> in the fetus and neonate </w:t>
      </w:r>
      <w:r>
        <w:t>and</w:t>
      </w:r>
      <w:r w:rsidRPr="00EC0379">
        <w:t xml:space="preserve"> of </w:t>
      </w:r>
      <w:r w:rsidR="008B24E5" w:rsidRPr="004C304A">
        <w:t>intrac</w:t>
      </w:r>
      <w:r w:rsidR="008B24E5">
        <w:t>ranial</w:t>
      </w:r>
      <w:r w:rsidR="008B24E5" w:rsidRPr="004C304A">
        <w:t xml:space="preserve"> h</w:t>
      </w:r>
      <w:r w:rsidR="008B24E5">
        <w:t>aemorrhage (</w:t>
      </w:r>
      <w:r w:rsidRPr="00EC0379">
        <w:t>ICH</w:t>
      </w:r>
      <w:r w:rsidR="008B24E5">
        <w:t>)</w:t>
      </w:r>
      <w:r w:rsidRPr="00EC0379">
        <w:t xml:space="preserve"> in term infants</w:t>
      </w:r>
      <w:r>
        <w:t>.</w:t>
      </w:r>
      <w:hyperlink w:anchor="_ENREF_262" w:tooltip="Sainio, 2000 #1103" w:history="1">
        <w:r w:rsidR="00E62798">
          <w:fldChar w:fldCharType="begin">
            <w:fldData xml:space="preserve">PEVuZE5vdGU+PENpdGU+PEF1dGhvcj5TYWluaW88L0F1dGhvcj48WWVhcj4yMDAwPC9ZZWFyPjxS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</w:fldData>
          </w:fldChar>
        </w:r>
        <w:r w:rsidR="00E62798">
          <w:instrText xml:space="preserve"> ADDIN EN.CITE </w:instrText>
        </w:r>
        <w:r w:rsidR="00E62798">
          <w:fldChar w:fldCharType="begin">
            <w:fldData xml:space="preserve">PEVuZE5vdGU+PENpdGU+PEF1dGhvcj5TYWluaW88L0F1dGhvcj48WWVhcj4yMDAwPC9ZZWFyPjxS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262-263</w:t>
        </w:r>
        <w:r w:rsidR="00E62798">
          <w:fldChar w:fldCharType="end"/>
        </w:r>
      </w:hyperlink>
      <w:r w:rsidR="008B24E5">
        <w:t xml:space="preserve"> </w:t>
      </w:r>
      <w:r>
        <w:t>It usually results from m</w:t>
      </w:r>
      <w:r w:rsidRPr="00EC0379">
        <w:t xml:space="preserve">aternal alloimmunisation against </w:t>
      </w:r>
      <w:r>
        <w:t xml:space="preserve">the paternal </w:t>
      </w:r>
      <w:r w:rsidRPr="00EC0379">
        <w:t>platelet antigen</w:t>
      </w:r>
      <w:r w:rsidR="008B24E5">
        <w:t>,</w:t>
      </w:r>
      <w:r w:rsidRPr="00EC0379">
        <w:t xml:space="preserve"> lead</w:t>
      </w:r>
      <w:r>
        <w:t>ing</w:t>
      </w:r>
      <w:r w:rsidRPr="00EC0379">
        <w:t xml:space="preserve"> to the formation of </w:t>
      </w:r>
      <w:r w:rsidR="00BA1E50">
        <w:t>immunoglobulin G (</w:t>
      </w:r>
      <w:r w:rsidRPr="00EC0379">
        <w:t>IgG</w:t>
      </w:r>
      <w:r w:rsidR="00BA1E50">
        <w:t>)</w:t>
      </w:r>
      <w:r>
        <w:t>-</w:t>
      </w:r>
      <w:r w:rsidRPr="00EC0379">
        <w:t xml:space="preserve">class antibodies </w:t>
      </w:r>
      <w:r>
        <w:t>that</w:t>
      </w:r>
      <w:r w:rsidRPr="00EC0379">
        <w:t xml:space="preserve"> can cross the placent</w:t>
      </w:r>
      <w:r>
        <w:t>a</w:t>
      </w:r>
      <w:r w:rsidRPr="00EC0379">
        <w:t xml:space="preserve">. </w:t>
      </w:r>
    </w:p>
    <w:p w14:paraId="25846E58" w14:textId="062B8C06" w:rsidR="00D93C65" w:rsidRDefault="00D93C65" w:rsidP="00D93C65">
      <w:r>
        <w:t xml:space="preserve">Untreated FNAIT is associated with a high rate of </w:t>
      </w:r>
      <w:r w:rsidR="008B24E5">
        <w:t xml:space="preserve">ICH </w:t>
      </w:r>
      <w:r>
        <w:t>(~ 25%), with most occurring before birth; postnatally, the risk is greatest in the first 8 days.</w:t>
      </w:r>
      <w:hyperlink w:anchor="_ENREF_263" w:tooltip="Spencer, 2001 #619" w:history="1">
        <w:r w:rsidR="00E62798">
          <w:fldChar w:fldCharType="begin"/>
        </w:r>
        <w:r w:rsidR="00E62798">
          <w:instrText xml:space="preserve"> ADDIN EN.CITE &lt;EndNote&gt;&lt;Cite&gt;&lt;Author&gt;Spencer&lt;/Author&gt;&lt;Year&gt;2001&lt;/Year&gt;&lt;RecNum&gt;619&lt;/RecNum&gt;&lt;DisplayText&gt;&lt;style face="superscript"&gt;263&lt;/style&gt;&lt;/DisplayText&gt;&lt;record&gt;&lt;rec-number&gt;619&lt;/rec-number&gt;&lt;foreign-keys&gt;&lt;key app="EN" db-id="9edve2wadsavt5ewavaxtda4f2tavzvts9ee" timestamp="1429949637"&gt;619&lt;/key&gt;&lt;/foreign-keys&gt;&lt;ref-type name="Journal Article"&gt;17&lt;/ref-type&gt;&lt;contributors&gt;&lt;authors&gt;&lt;author&gt;Spencer, J. A.&lt;/author&gt;&lt;author&gt;Burrows, R. F.&lt;/author&gt;&lt;/authors&gt;&lt;/contributors&gt;&lt;auth-address&gt;Monash University, Melbourne, Victoria, Australia.&lt;/auth-address&gt;&lt;titles&gt;&lt;title&gt;Feto-maternal alloimmune thrombocytopenia: a literature review and statistical analysis&lt;/title&gt;&lt;secondary-title&gt;Aust N Z J Obstet Gynaecol&lt;/secondary-title&gt;&lt;/titles&gt;&lt;periodical&gt;&lt;full-title&gt;Aust N Z J Obstet Gynaecol&lt;/full-title&gt;&lt;/periodical&gt;&lt;pages&gt;45–55&lt;/pages&gt;&lt;volume&gt;41&lt;/volume&gt;&lt;number&gt;1&lt;/number&gt;&lt;keywords&gt;&lt;keyword&gt;Antigens, Human Platelet/*immunology&lt;/keyword&gt;&lt;keyword&gt;Female&lt;/keyword&gt;&lt;keyword&gt;Fetal Diseases/blood/epidemiology/*etiology/immunology/*therapy&lt;/keyword&gt;&lt;keyword&gt;Fetomaternal Transfusion/blood/epidemiology/*etiology/immunology/*therapy&lt;/keyword&gt;&lt;keyword&gt;Humans&lt;/keyword&gt;&lt;keyword&gt;Immunoglobulins, Intravenous/therapeutic use&lt;/keyword&gt;&lt;keyword&gt;Infant, Newborn&lt;/keyword&gt;&lt;keyword&gt;Morbidity&lt;/keyword&gt;&lt;keyword&gt;Platelet Count&lt;/keyword&gt;&lt;keyword&gt;Platelet Transfusion&lt;/keyword&gt;&lt;keyword&gt;Pregnancy&lt;/keyword&gt;&lt;keyword&gt;Pregnancy Outcome/epidemiology&lt;/keyword&gt;&lt;keyword&gt;Risk Factors&lt;/keyword&gt;&lt;keyword&gt;Thrombocytopenia/blood/epidemiology/*etiology/immunology/*therapy&lt;/keyword&gt;&lt;keyword&gt;Treatment Outcome&lt;/keyword&gt;&lt;/keywords&gt;&lt;dates&gt;&lt;year&gt;2001&lt;/year&gt;&lt;pub-dates&gt;&lt;date&gt;Feb&lt;/date&gt;&lt;/pub-dates&gt;&lt;/dates&gt;&lt;isbn&gt;0004-8666 (Print)&amp;#xD;0004-8666 (Linking)&lt;/isbn&gt;&lt;accession-num&gt;11284646&lt;/accession-num&gt;&lt;urls&gt;&lt;related-urls&gt;&lt;url&gt;http://www.ncbi.nlm.nih.gov/pubmed/11284646&lt;/url&gt;&lt;/related-urls&gt;&lt;/urls&gt;&lt;/record&gt;&lt;/Cite&gt;&lt;/EndNote&gt;</w:instrText>
        </w:r>
        <w:r w:rsidR="00E62798">
          <w:fldChar w:fldCharType="separate"/>
        </w:r>
        <w:r w:rsidR="00E62798" w:rsidRPr="00E62798">
          <w:rPr>
            <w:noProof/>
            <w:vertAlign w:val="superscript"/>
          </w:rPr>
          <w:t>263</w:t>
        </w:r>
        <w:r w:rsidR="00E62798">
          <w:fldChar w:fldCharType="end"/>
        </w:r>
      </w:hyperlink>
      <w:r>
        <w:t xml:space="preserve"> However, thrombocytopaenia can last for several weeks.</w:t>
      </w:r>
    </w:p>
    <w:p w14:paraId="6489DED6" w14:textId="38BB732B" w:rsidR="00D93C65" w:rsidRDefault="00D93C65" w:rsidP="00D93C65">
      <w:r>
        <w:t>Prompt recognition and treatment of FNAIT is vital because of the high risk of ICH.</w:t>
      </w:r>
      <w:hyperlink w:anchor="_ENREF_263" w:tooltip="Spencer, 2001 #619" w:history="1">
        <w:r w:rsidR="00E62798">
          <w:fldChar w:fldCharType="begin">
            <w:fldData xml:space="preserve">PEVuZE5vdGU+PENpdGU+PEF1dGhvcj5TcGVuY2VyPC9BdXRob3I+PFllYXI+MjAwMTwvWWVhcj48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</w:fldData>
          </w:fldChar>
        </w:r>
        <w:r w:rsidR="00E62798">
          <w:instrText xml:space="preserve"> ADDIN EN.CITE </w:instrText>
        </w:r>
        <w:r w:rsidR="00E62798">
          <w:fldChar w:fldCharType="begin">
            <w:fldData xml:space="preserve">PEVuZE5vdGU+PENpdGU+PEF1dGhvcj5TcGVuY2VyPC9BdXRob3I+PFllYXI+MjAwMTwvWWVhcj48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263-264</w:t>
        </w:r>
        <w:r w:rsidR="00E62798">
          <w:fldChar w:fldCharType="end"/>
        </w:r>
      </w:hyperlink>
      <w:r>
        <w:t xml:space="preserve"> Investigation of </w:t>
      </w:r>
      <w:r w:rsidR="008B24E5">
        <w:t xml:space="preserve">the </w:t>
      </w:r>
      <w:r>
        <w:t xml:space="preserve">parent’s HPA type and compatibility testing should be undertaken in suspected cases. </w:t>
      </w:r>
    </w:p>
    <w:p w14:paraId="1836B2C7" w14:textId="655F6758" w:rsidR="00D93C65" w:rsidRPr="000A50D8" w:rsidRDefault="00D93C65" w:rsidP="00D93C65">
      <w:r>
        <w:t>Optimal t</w:t>
      </w:r>
      <w:r w:rsidRPr="000702DD">
        <w:t>hreshold</w:t>
      </w:r>
      <w:r>
        <w:t xml:space="preserve">s for </w:t>
      </w:r>
      <w:r w:rsidRPr="000702DD">
        <w:t>platelet</w:t>
      </w:r>
      <w:r>
        <w:t xml:space="preserve"> transfusion are uncertain.</w:t>
      </w:r>
      <w:hyperlink w:anchor="_ENREF_47" w:tooltip="Bassler, 2008 #149" w:history="1">
        <w:r w:rsidR="00E62798">
          <w:fldChar w:fldCharType="begin">
            <w:fldData xml:space="preserve">PEVuZE5vdGU+PENpdGU+PEF1dGhvcj5CYXNzbGVyPC9BdXRob3I+PFllYXI+MjAwODwvWWVhcj48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</w:fldData>
          </w:fldChar>
        </w:r>
        <w:r w:rsidR="00E62798">
          <w:instrText xml:space="preserve"> ADDIN EN.CITE </w:instrText>
        </w:r>
        <w:r w:rsidR="00E62798">
          <w:fldChar w:fldCharType="begin">
            <w:fldData xml:space="preserve">PEVuZE5vdGU+PENpdGU+PEF1dGhvcj5CYXNzbGVyPC9BdXRob3I+PFllYXI+MjAwODwvWWVhcj48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47</w:t>
        </w:r>
        <w:r w:rsidR="00E62798">
          <w:fldChar w:fldCharType="end"/>
        </w:r>
      </w:hyperlink>
      <w:r>
        <w:t xml:space="preserve"> Guidelines from the </w:t>
      </w:r>
      <w:r w:rsidRPr="00C40EFF">
        <w:t>British Committee for Standards in Haematology</w:t>
      </w:r>
      <w:r>
        <w:t xml:space="preserve"> recommend a platelet threshold of 30 × </w:t>
      </w:r>
      <w:r w:rsidRPr="007B1D03">
        <w:t>10</w:t>
      </w:r>
      <w:r w:rsidRPr="007B1D03">
        <w:rPr>
          <w:vertAlign w:val="superscript"/>
        </w:rPr>
        <w:t>9</w:t>
      </w:r>
      <w:r>
        <w:t>/L in term neonates,</w:t>
      </w:r>
      <w:hyperlink w:anchor="_ENREF_234" w:tooltip="Gibson, 2004 #56" w:history="1">
        <w:r w:rsidR="00E62798">
          <w:fldChar w:fldCharType="begin">
            <w:fldData xml:space="preserve">PEVuZE5vdGU+PENpdGU+PEF1dGhvcj5HaWJzb248L0F1dGhvcj48WWVhcj4yMDA0PC9ZZWFyPjxS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</w:fldData>
          </w:fldChar>
        </w:r>
        <w:r w:rsidR="00E62798">
          <w:instrText xml:space="preserve"> ADDIN EN.CITE </w:instrText>
        </w:r>
        <w:r w:rsidR="00E62798">
          <w:fldChar w:fldCharType="begin">
            <w:fldData xml:space="preserve">PEVuZE5vdGU+PENpdGU+PEF1dGhvcj5HaWJzb248L0F1dGhvcj48WWVhcj4yMDA0PC9ZZWFyPjxS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234</w:t>
        </w:r>
        <w:r w:rsidR="00E62798">
          <w:fldChar w:fldCharType="end"/>
        </w:r>
      </w:hyperlink>
      <w:r>
        <w:t xml:space="preserve"> and 50 × 10</w:t>
      </w:r>
      <w:r>
        <w:rPr>
          <w:vertAlign w:val="superscript"/>
        </w:rPr>
        <w:t>9</w:t>
      </w:r>
      <w:r>
        <w:t>/L in preterm neonates.</w:t>
      </w:r>
      <w:hyperlink w:anchor="_ENREF_264" w:tooltip="Risson D.C, 2012 #620" w:history="1">
        <w:r w:rsidR="00E62798">
          <w:fldChar w:fldCharType="begin"/>
        </w:r>
        <w:r w:rsidR="00E62798">
          <w:instrText xml:space="preserve"> ADDIN EN.CITE &lt;EndNote&gt;&lt;Cite&gt;&lt;Author&gt;Risson D.C&lt;/Author&gt;&lt;Year&gt;2012&lt;/Year&gt;&lt;RecNum&gt;620&lt;/RecNum&gt;&lt;DisplayText&gt;&lt;style face="superscript"&gt;264&lt;/style&gt;&lt;/DisplayText&gt;&lt;record&gt;&lt;rec-number&gt;620&lt;/rec-number&gt;&lt;foreign-keys&gt;&lt;key app="EN" db-id="9edve2wadsavt5ewavaxtda4f2tavzvts9ee" timestamp="1429949879"&gt;620&lt;/key&gt;&lt;/foreign-keys&gt;&lt;ref-type name="Journal Article"&gt;17&lt;/ref-type&gt;&lt;contributors&gt;&lt;authors&gt;&lt;author&gt;Risson D.C, Davies M.W and Williams B.A&lt;/author&gt;&lt;/authors&gt;&lt;/contributors&gt;&lt;titles&gt;&lt;title&gt;Review of neonatal alloimmune thrombocytopenia&lt;/title&gt;&lt;secondary-title&gt;Journal of paediatrics and child health&lt;/secondary-title&gt;&lt;/titles&gt;&lt;periodical&gt;&lt;full-title&gt;Journal of Paediatrics and Child Health&lt;/full-title&gt;&lt;/periodical&gt;&lt;pages&gt;816–822&lt;/pages&gt;&lt;volume&gt;48&lt;/volume&gt;&lt;dates&gt;&lt;year&gt;2012&lt;/year&gt;&lt;/dates&gt;&lt;urls&gt;&lt;/urls&gt;&lt;/record&gt;&lt;/Cite&gt;&lt;/EndNote&gt;</w:instrText>
        </w:r>
        <w:r w:rsidR="00E62798">
          <w:fldChar w:fldCharType="separate"/>
        </w:r>
        <w:r w:rsidR="00E62798" w:rsidRPr="00E62798">
          <w:rPr>
            <w:noProof/>
            <w:vertAlign w:val="superscript"/>
          </w:rPr>
          <w:t>264</w:t>
        </w:r>
        <w:r w:rsidR="00E62798">
          <w:fldChar w:fldCharType="end"/>
        </w:r>
      </w:hyperlink>
      <w:r>
        <w:t xml:space="preserve"> A higher threshold is considered appropriate if there is active bleeding (50 × 10</w:t>
      </w:r>
      <w:r>
        <w:rPr>
          <w:vertAlign w:val="superscript"/>
        </w:rPr>
        <w:t>9</w:t>
      </w:r>
      <w:r>
        <w:t>/L, or 100 × 10</w:t>
      </w:r>
      <w:r>
        <w:rPr>
          <w:vertAlign w:val="superscript"/>
        </w:rPr>
        <w:t>9</w:t>
      </w:r>
      <w:r>
        <w:t xml:space="preserve">/L for intracranial bleeding). </w:t>
      </w:r>
    </w:p>
    <w:p w14:paraId="05753983" w14:textId="31ACF8B1" w:rsidR="00D93C65" w:rsidRDefault="00D93C65" w:rsidP="00D93C65">
      <w:r>
        <w:t>Antigen-negative platelets are likely to be effective in 95% of cases.</w:t>
      </w:r>
      <w:r w:rsidR="00E62798">
        <w:fldChar w:fldCharType="begin">
          <w:fldData xml:space="preserve">PEVuZE5vdGU+PENpdGU+PEF1dGhvcj5Ccml0aXNoIENvbW1pdHRlZSBmb3IgU3RhbmRhcmRzIGlu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</w:fldData>
        </w:fldChar>
      </w:r>
      <w:r w:rsidR="00E62798">
        <w:instrText xml:space="preserve"> ADDIN EN.CITE </w:instrText>
      </w:r>
      <w:r w:rsidR="00E62798">
        <w:fldChar w:fldCharType="begin">
          <w:fldData xml:space="preserve">PEVuZE5vdGU+PENpdGU+PEF1dGhvcj5Ccml0aXNoIENvbW1pdHRlZSBmb3IgU3RhbmRhcmRzIGlu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</w:fldData>
        </w:fldChar>
      </w:r>
      <w:r w:rsidR="00E62798">
        <w:instrText xml:space="preserve"> ADDIN EN.CITE.DATA </w:instrText>
      </w:r>
      <w:r w:rsidR="00E62798">
        <w:fldChar w:fldCharType="end"/>
      </w:r>
      <w:r w:rsidR="00E62798">
        <w:fldChar w:fldCharType="separate"/>
      </w:r>
      <w:hyperlink w:anchor="_ENREF_152" w:tooltip="British Committee for Standards in Haematology, 2003 #630" w:history="1">
        <w:r w:rsidR="00E62798" w:rsidRPr="00E62798">
          <w:rPr>
            <w:noProof/>
            <w:vertAlign w:val="superscript"/>
          </w:rPr>
          <w:t>152</w:t>
        </w:r>
      </w:hyperlink>
      <w:r w:rsidR="00E62798" w:rsidRPr="00E62798">
        <w:rPr>
          <w:noProof/>
          <w:vertAlign w:val="superscript"/>
        </w:rPr>
        <w:t xml:space="preserve">; </w:t>
      </w:r>
      <w:hyperlink w:anchor="_ENREF_263" w:tooltip="Spencer, 2001 #619" w:history="1">
        <w:r w:rsidR="00E62798" w:rsidRPr="00E62798">
          <w:rPr>
            <w:noProof/>
            <w:vertAlign w:val="superscript"/>
          </w:rPr>
          <w:t>263</w:t>
        </w:r>
      </w:hyperlink>
      <w:r w:rsidR="00E62798" w:rsidRPr="00E62798">
        <w:rPr>
          <w:noProof/>
          <w:vertAlign w:val="superscript"/>
        </w:rPr>
        <w:t xml:space="preserve">; </w:t>
      </w:r>
      <w:hyperlink w:anchor="_ENREF_265" w:tooltip="Bakchoul T, 2014 #482" w:history="1">
        <w:r w:rsidR="00E62798" w:rsidRPr="00E62798">
          <w:rPr>
            <w:noProof/>
            <w:vertAlign w:val="superscript"/>
          </w:rPr>
          <w:t>265-266</w:t>
        </w:r>
      </w:hyperlink>
      <w:r w:rsidR="00E62798">
        <w:fldChar w:fldCharType="end"/>
      </w:r>
      <w:r w:rsidR="005315CC">
        <w:t xml:space="preserve"> </w:t>
      </w:r>
      <w:r>
        <w:t>If antigen-negative platelets are unavailable, random</w:t>
      </w:r>
      <w:r w:rsidR="002B11B8">
        <w:t xml:space="preserve"> </w:t>
      </w:r>
      <w:r>
        <w:t>donor platelets should be used. Maternal platelets are no longer recommended because there are significant logistical issues that delay transfusion.</w:t>
      </w:r>
      <w:r w:rsidR="00E62798">
        <w:fldChar w:fldCharType="begin">
          <w:fldData xml:space="preserve">PEVuZE5vdGU+PENpdGU+PEF1dGhvcj5XaW48L0F1dGhvcj48WWVhcj4xOTk3PC9ZZWFyPjxSZWNO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==
</w:fldData>
        </w:fldChar>
      </w:r>
      <w:r w:rsidR="00E62798">
        <w:instrText xml:space="preserve"> ADDIN EN.CITE </w:instrText>
      </w:r>
      <w:r w:rsidR="00E62798">
        <w:fldChar w:fldCharType="begin">
          <w:fldData xml:space="preserve">PEVuZE5vdGU+PENpdGU+PEF1dGhvcj5XaW48L0F1dGhvcj48WWVhcj4xOTk3PC9ZZWFyPjxSZWNO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==
</w:fldData>
        </w:fldChar>
      </w:r>
      <w:r w:rsidR="00E62798">
        <w:instrText xml:space="preserve"> ADDIN EN.CITE.DATA </w:instrText>
      </w:r>
      <w:r w:rsidR="00E62798">
        <w:fldChar w:fldCharType="end"/>
      </w:r>
      <w:r w:rsidR="00E62798">
        <w:fldChar w:fldCharType="separate"/>
      </w:r>
      <w:hyperlink w:anchor="_ENREF_263" w:tooltip="Spencer, 2001 #619" w:history="1">
        <w:r w:rsidR="00E62798" w:rsidRPr="00E62798">
          <w:rPr>
            <w:noProof/>
            <w:vertAlign w:val="superscript"/>
          </w:rPr>
          <w:t>263-264</w:t>
        </w:r>
      </w:hyperlink>
      <w:r w:rsidR="00E62798" w:rsidRPr="00E62798">
        <w:rPr>
          <w:noProof/>
          <w:vertAlign w:val="superscript"/>
        </w:rPr>
        <w:t xml:space="preserve">; </w:t>
      </w:r>
      <w:hyperlink w:anchor="_ENREF_267" w:tooltip="Win, 1997 #484" w:history="1">
        <w:r w:rsidR="00E62798" w:rsidRPr="00E62798">
          <w:rPr>
            <w:noProof/>
            <w:vertAlign w:val="superscript"/>
          </w:rPr>
          <w:t>267</w:t>
        </w:r>
      </w:hyperlink>
      <w:r w:rsidR="00E62798">
        <w:fldChar w:fldCharType="end"/>
      </w:r>
    </w:p>
    <w:tbl>
      <w:tblPr>
        <w:tblStyle w:val="TableGrid"/>
        <w:tblW w:w="8347" w:type="dxa"/>
        <w:tblInd w:w="720" w:type="dxa"/>
        <w:tblLook w:val="04A0" w:firstRow="1" w:lastRow="0" w:firstColumn="1" w:lastColumn="0" w:noHBand="0" w:noVBand="1"/>
      </w:tblPr>
      <w:tblGrid>
        <w:gridCol w:w="1208"/>
        <w:gridCol w:w="7139"/>
      </w:tblGrid>
      <w:tr w:rsidR="00D93C65" w14:paraId="1FD84557" w14:textId="77777777" w:rsidTr="00467EEA">
        <w:tc>
          <w:tcPr>
            <w:tcW w:w="8347" w:type="dxa"/>
            <w:gridSpan w:val="2"/>
            <w:shd w:val="clear" w:color="auto" w:fill="BFBFBF" w:themeFill="background1" w:themeFillShade="BF"/>
          </w:tcPr>
          <w:p w14:paraId="7D2C196C" w14:textId="4661D205" w:rsidR="00D93C65" w:rsidRPr="00813FDC" w:rsidRDefault="00D93C65" w:rsidP="002B11B8">
            <w:pPr>
              <w:pStyle w:val="PP-heading"/>
            </w:pPr>
            <w:r w:rsidRPr="00813FDC">
              <w:t xml:space="preserve">Expert opinion points </w:t>
            </w:r>
            <w:r>
              <w:t xml:space="preserve">– </w:t>
            </w:r>
            <w:r w:rsidRPr="005371C5">
              <w:t xml:space="preserve">use of </w:t>
            </w:r>
            <w:r w:rsidR="002B11B8">
              <w:rPr>
                <w:lang w:val="en-AU"/>
              </w:rPr>
              <w:t>HPA</w:t>
            </w:r>
            <w:r>
              <w:t>-</w:t>
            </w:r>
            <w:r w:rsidRPr="005371C5">
              <w:t>matched platelets</w:t>
            </w:r>
          </w:p>
        </w:tc>
      </w:tr>
      <w:tr w:rsidR="00D93C65" w14:paraId="0A646AD0" w14:textId="77777777" w:rsidTr="00C62C56">
        <w:tc>
          <w:tcPr>
            <w:tcW w:w="1208" w:type="dxa"/>
          </w:tcPr>
          <w:p w14:paraId="46E8CCE2" w14:textId="6B2021B5" w:rsidR="00D93C65" w:rsidRPr="009450F0" w:rsidRDefault="00D93C65" w:rsidP="009450F0">
            <w:pPr>
              <w:pStyle w:val="PP"/>
              <w:rPr>
                <w:lang w:val="en-AU"/>
              </w:rPr>
            </w:pPr>
            <w:r>
              <w:t>EOP</w:t>
            </w:r>
            <w:r w:rsidR="009450F0">
              <w:rPr>
                <w:lang w:val="en-AU"/>
              </w:rPr>
              <w:t>14</w:t>
            </w:r>
          </w:p>
        </w:tc>
        <w:tc>
          <w:tcPr>
            <w:tcW w:w="7139" w:type="dxa"/>
          </w:tcPr>
          <w:p w14:paraId="6C08CF5E" w14:textId="3AB5F0D0" w:rsidR="00D93C65" w:rsidRDefault="00D93C65" w:rsidP="009450F0">
            <w:pPr>
              <w:pStyle w:val="PP"/>
            </w:pPr>
            <w:r>
              <w:t>For neonates with known or suspected FNAIT, u</w:t>
            </w:r>
            <w:r w:rsidRPr="005371C5">
              <w:t xml:space="preserve">rgent platelet transfusion </w:t>
            </w:r>
            <w:r>
              <w:t>should be given</w:t>
            </w:r>
            <w:r w:rsidRPr="005371C5">
              <w:t xml:space="preserve"> if platelets are </w:t>
            </w:r>
            <w:r>
              <w:t>below 30 × 10</w:t>
            </w:r>
            <w:r>
              <w:rPr>
                <w:vertAlign w:val="superscript"/>
              </w:rPr>
              <w:t>9</w:t>
            </w:r>
            <w:r>
              <w:t>/L</w:t>
            </w:r>
            <w:r w:rsidRPr="005371C5" w:rsidDel="006826FC">
              <w:t xml:space="preserve"> </w:t>
            </w:r>
            <w:r w:rsidRPr="005371C5">
              <w:t xml:space="preserve">in a term infant or </w:t>
            </w:r>
            <w:r>
              <w:t>below 50 × 10</w:t>
            </w:r>
            <w:r>
              <w:rPr>
                <w:vertAlign w:val="superscript"/>
              </w:rPr>
              <w:t>9</w:t>
            </w:r>
            <w:r>
              <w:t>/L</w:t>
            </w:r>
            <w:r w:rsidRPr="005371C5">
              <w:t xml:space="preserve"> in a preterm infant</w:t>
            </w:r>
            <w:r w:rsidR="009450F0">
              <w:t>,</w:t>
            </w:r>
            <w:r w:rsidRPr="005371C5">
              <w:t xml:space="preserve"> even in the absence of clinically significant bleeding.</w:t>
            </w:r>
            <w:r>
              <w:t xml:space="preserve"> </w:t>
            </w:r>
          </w:p>
          <w:p w14:paraId="29083E1D" w14:textId="77777777" w:rsidR="00D93C65" w:rsidRDefault="00D93C65" w:rsidP="009450F0">
            <w:pPr>
              <w:pStyle w:val="PP"/>
            </w:pPr>
            <w:r>
              <w:t>If there is active bleeding, a higher threshold should be considered (100 × 10</w:t>
            </w:r>
            <w:r>
              <w:rPr>
                <w:vertAlign w:val="superscript"/>
              </w:rPr>
              <w:t>9</w:t>
            </w:r>
            <w:r>
              <w:t>/L for intracranial bleeding, and 50 × 10</w:t>
            </w:r>
            <w:r>
              <w:rPr>
                <w:vertAlign w:val="superscript"/>
              </w:rPr>
              <w:t>9</w:t>
            </w:r>
            <w:r>
              <w:t xml:space="preserve">/L for other sites of bleeding). </w:t>
            </w:r>
          </w:p>
          <w:p w14:paraId="3C43A6D7" w14:textId="77777777" w:rsidR="00D93C65" w:rsidRDefault="00D93C65" w:rsidP="009450F0">
            <w:pPr>
              <w:pStyle w:val="PP"/>
            </w:pPr>
            <w:r>
              <w:t xml:space="preserve">For neonates with known or suspected FNAIT, a paediatric haematologist should be consulted. </w:t>
            </w:r>
          </w:p>
        </w:tc>
      </w:tr>
      <w:tr w:rsidR="00D93C65" w14:paraId="3FC798BA" w14:textId="77777777" w:rsidTr="00C62C56">
        <w:tc>
          <w:tcPr>
            <w:tcW w:w="1208" w:type="dxa"/>
          </w:tcPr>
          <w:p w14:paraId="496265D5" w14:textId="0ED22AC9" w:rsidR="00D93C65" w:rsidRPr="009450F0" w:rsidRDefault="00D93C65" w:rsidP="009450F0">
            <w:pPr>
              <w:pStyle w:val="PP"/>
              <w:rPr>
                <w:lang w:val="en-AU"/>
              </w:rPr>
            </w:pPr>
            <w:r>
              <w:t>EOP</w:t>
            </w:r>
            <w:r w:rsidR="009450F0">
              <w:rPr>
                <w:lang w:val="en-AU"/>
              </w:rPr>
              <w:t>15</w:t>
            </w:r>
          </w:p>
        </w:tc>
        <w:tc>
          <w:tcPr>
            <w:tcW w:w="7139" w:type="dxa"/>
          </w:tcPr>
          <w:p w14:paraId="5EE98607" w14:textId="77777777" w:rsidR="00D93C65" w:rsidRDefault="00D93C65" w:rsidP="009450F0">
            <w:pPr>
              <w:pStyle w:val="PP"/>
            </w:pPr>
            <w:r>
              <w:t>For neonates with known or suspected FNAIT, platelet count response to transfusion should be checked within 12 hours.</w:t>
            </w:r>
          </w:p>
        </w:tc>
      </w:tr>
      <w:tr w:rsidR="00D93C65" w14:paraId="250FDD47" w14:textId="77777777" w:rsidTr="00C62C56">
        <w:tc>
          <w:tcPr>
            <w:tcW w:w="1208" w:type="dxa"/>
          </w:tcPr>
          <w:p w14:paraId="673AFDC5" w14:textId="769FE0A7" w:rsidR="00D93C65" w:rsidRDefault="00D93C65" w:rsidP="009450F0">
            <w:pPr>
              <w:pStyle w:val="PP"/>
            </w:pPr>
            <w:r w:rsidRPr="00A43255">
              <w:t>EOP</w:t>
            </w:r>
            <w:r w:rsidR="009450F0">
              <w:t>16</w:t>
            </w:r>
          </w:p>
        </w:tc>
        <w:tc>
          <w:tcPr>
            <w:tcW w:w="7139" w:type="dxa"/>
          </w:tcPr>
          <w:p w14:paraId="5D26657A" w14:textId="723166AB" w:rsidR="00D93C65" w:rsidRDefault="00D93C65" w:rsidP="009450F0">
            <w:pPr>
              <w:pStyle w:val="PP"/>
            </w:pPr>
            <w:r>
              <w:t xml:space="preserve">For infants with </w:t>
            </w:r>
            <w:r w:rsidR="000730DD">
              <w:rPr>
                <w:lang w:val="en-AU"/>
              </w:rPr>
              <w:t xml:space="preserve">known or suspected </w:t>
            </w:r>
            <w:r>
              <w:t>FNAIT, r</w:t>
            </w:r>
            <w:r w:rsidRPr="005371C5">
              <w:t xml:space="preserve">andom donor platelets should be used if </w:t>
            </w:r>
            <w:r>
              <w:t>antigen-matched</w:t>
            </w:r>
            <w:r w:rsidRPr="005371C5">
              <w:t xml:space="preserve"> platelets are not immediately available.</w:t>
            </w:r>
            <w:r>
              <w:t xml:space="preserve"> Continued use of random donor platelets is acceptable if antigen-matched platelets cannot be obtained. Because of short survival of random donor platelets, repeated transfusion is likely to be needed. </w:t>
            </w:r>
          </w:p>
        </w:tc>
      </w:tr>
      <w:tr w:rsidR="00D93C65" w14:paraId="207DAEC7" w14:textId="77777777" w:rsidTr="00C62C56">
        <w:tc>
          <w:tcPr>
            <w:tcW w:w="1208" w:type="dxa"/>
          </w:tcPr>
          <w:p w14:paraId="6CA8AC1B" w14:textId="09F48136" w:rsidR="00D93C65" w:rsidRPr="009450F0" w:rsidRDefault="00D93C65" w:rsidP="009450F0">
            <w:pPr>
              <w:pStyle w:val="PP"/>
              <w:rPr>
                <w:lang w:val="en-AU"/>
              </w:rPr>
            </w:pPr>
            <w:r w:rsidRPr="00A43255">
              <w:t>EOP</w:t>
            </w:r>
            <w:r w:rsidR="009450F0">
              <w:rPr>
                <w:lang w:val="en-AU"/>
              </w:rPr>
              <w:t>17</w:t>
            </w:r>
          </w:p>
        </w:tc>
        <w:tc>
          <w:tcPr>
            <w:tcW w:w="7139" w:type="dxa"/>
          </w:tcPr>
          <w:p w14:paraId="1DDF744F" w14:textId="18194AB8" w:rsidR="00D93C65" w:rsidRPr="00670EA5" w:rsidRDefault="00D93C65" w:rsidP="00E62798">
            <w:pPr>
              <w:pStyle w:val="PP"/>
              <w:rPr>
                <w:vertAlign w:val="superscript"/>
                <w:lang w:val="en-AU"/>
              </w:rPr>
            </w:pPr>
            <w:r>
              <w:t xml:space="preserve">For infants with FNAIT, </w:t>
            </w:r>
            <w:r w:rsidR="00274815">
              <w:t>IVIg</w:t>
            </w:r>
            <w:r>
              <w:t xml:space="preserve"> may be considered.</w:t>
            </w:r>
            <w:hyperlink w:anchor="_ENREF_20" w:tooltip=", 2012 #1104" w:history="1">
              <w:r w:rsidR="00E62798">
                <w:fldChar w:fldCharType="begin"/>
              </w:r>
              <w:r w:rsidR="00E62798">
                <w:instrText xml:space="preserve"> ADDIN EN.CITE &lt;EndNote&gt;&lt;Cite ExcludeAuth="1"&gt;&lt;Year&gt;2012&lt;/Year&gt;&lt;RecNum&gt;1104&lt;/RecNum&gt;&lt;DisplayText&gt;&lt;style face="superscript"&gt;20&lt;/style&gt;&lt;/DisplayText&gt;&lt;record&gt;&lt;rec-number&gt;1104&lt;/rec-number&gt;&lt;foreign-keys&gt;&lt;key app="EN" db-id="9edve2wadsavt5ewavaxtda4f2tavzvts9ee" timestamp="1439350872"&gt;1104&lt;/key&gt;&lt;/foreign-keys&gt;&lt;ref-type name="Report"&gt;27&lt;/ref-type&gt;&lt;contributors&gt;&lt;/contributors&gt;&lt;titles&gt;&lt;title&gt;Criteria for the clinical use of intravenous immunoglobulin in Australia, Second edition&lt;/title&gt;&lt;/titles&gt;&lt;dates&gt;&lt;year&gt;2012&lt;/year&gt;&lt;/dates&gt;&lt;publisher&gt;Standing Council on Health&lt;/publisher&gt;&lt;urls&gt;&lt;related-urls&gt;&lt;url&gt;http://www.blood.gov.au/pubs/ivig/conditions-for-which-IVIg-has-an-emerging-therapeutic-role.html#cdn-09&lt;/url&gt;&lt;/related-urls&gt;&lt;/urls&gt;&lt;/record&gt;&lt;/Cite&gt;&lt;/EndNote&gt;</w:instrText>
              </w:r>
              <w:r w:rsidR="00E62798">
                <w:fldChar w:fldCharType="separate"/>
              </w:r>
              <w:r w:rsidR="00E62798" w:rsidRPr="00E62798">
                <w:rPr>
                  <w:noProof/>
                  <w:vertAlign w:val="superscript"/>
                </w:rPr>
                <w:t>20</w:t>
              </w:r>
              <w:r w:rsidR="00E62798">
                <w:fldChar w:fldCharType="end"/>
              </w:r>
            </w:hyperlink>
            <w:r>
              <w:t xml:space="preserve"> </w:t>
            </w:r>
          </w:p>
        </w:tc>
      </w:tr>
      <w:tr w:rsidR="00670EA5" w14:paraId="60D356B7" w14:textId="77777777" w:rsidTr="00C62C56">
        <w:trPr>
          <w:cantSplit/>
          <w:trHeight w:val="381"/>
        </w:trPr>
        <w:tc>
          <w:tcPr>
            <w:tcW w:w="8347" w:type="dxa"/>
            <w:gridSpan w:val="2"/>
          </w:tcPr>
          <w:p w14:paraId="44ED5B46" w14:textId="4AF498D9" w:rsidR="00670EA5" w:rsidRPr="00813FDC" w:rsidRDefault="00670EA5" w:rsidP="00670EA5">
            <w:pPr>
              <w:spacing w:after="0"/>
              <w:ind w:left="0"/>
              <w:rPr>
                <w:sz w:val="18"/>
                <w:szCs w:val="18"/>
              </w:rPr>
            </w:pPr>
            <w:r>
              <w:rPr>
                <w:sz w:val="18"/>
                <w:szCs w:val="18"/>
              </w:rPr>
              <w:t xml:space="preserve">EOP, expert opinion point; FNAIT, </w:t>
            </w:r>
            <w:r w:rsidRPr="00670EA5">
              <w:rPr>
                <w:sz w:val="18"/>
                <w:szCs w:val="18"/>
              </w:rPr>
              <w:t>fetal and neonat</w:t>
            </w:r>
            <w:r>
              <w:rPr>
                <w:sz w:val="18"/>
                <w:szCs w:val="18"/>
              </w:rPr>
              <w:t xml:space="preserve">al alloimmune </w:t>
            </w:r>
            <w:r w:rsidR="002B2C2B">
              <w:rPr>
                <w:sz w:val="18"/>
                <w:szCs w:val="18"/>
              </w:rPr>
              <w:t>thrombocytopaenia</w:t>
            </w:r>
            <w:r>
              <w:rPr>
                <w:sz w:val="18"/>
                <w:szCs w:val="18"/>
              </w:rPr>
              <w:t xml:space="preserve">; </w:t>
            </w:r>
            <w:r w:rsidR="002B11B8">
              <w:rPr>
                <w:sz w:val="18"/>
                <w:szCs w:val="18"/>
              </w:rPr>
              <w:t xml:space="preserve">HPA, </w:t>
            </w:r>
            <w:r w:rsidR="002B11B8" w:rsidRPr="002B11B8">
              <w:rPr>
                <w:sz w:val="18"/>
                <w:szCs w:val="18"/>
              </w:rPr>
              <w:t>human platelet antigen</w:t>
            </w:r>
            <w:r w:rsidR="002B11B8">
              <w:rPr>
                <w:sz w:val="18"/>
                <w:szCs w:val="18"/>
              </w:rPr>
              <w:t>;</w:t>
            </w:r>
            <w:r w:rsidR="002B11B8" w:rsidRPr="002B11B8" w:rsidDel="00274815">
              <w:rPr>
                <w:sz w:val="18"/>
                <w:szCs w:val="18"/>
              </w:rPr>
              <w:t xml:space="preserve"> </w:t>
            </w:r>
            <w:r w:rsidR="00274815">
              <w:rPr>
                <w:sz w:val="18"/>
                <w:szCs w:val="18"/>
              </w:rPr>
              <w:t>IVIg</w:t>
            </w:r>
            <w:r w:rsidR="00A45BC6">
              <w:rPr>
                <w:sz w:val="18"/>
                <w:szCs w:val="18"/>
              </w:rPr>
              <w:t>, intravenous immunoglobulin</w:t>
            </w:r>
          </w:p>
        </w:tc>
      </w:tr>
    </w:tbl>
    <w:p w14:paraId="68DFD654" w14:textId="2498A6EF" w:rsidR="00D93C65" w:rsidRPr="008F7370" w:rsidRDefault="00D93C65" w:rsidP="00D93C65">
      <w:pPr>
        <w:pStyle w:val="Heading3"/>
      </w:pPr>
      <w:bookmarkStart w:id="196" w:name="_Toc421124116"/>
      <w:bookmarkStart w:id="197" w:name="_Toc427851376"/>
      <w:r>
        <w:t>4.</w:t>
      </w:r>
      <w:r w:rsidRPr="008F7370">
        <w:t>1.</w:t>
      </w:r>
      <w:r>
        <w:t>6</w:t>
      </w:r>
      <w:r w:rsidRPr="008F7370">
        <w:t xml:space="preserve"> </w:t>
      </w:r>
      <w:r>
        <w:tab/>
      </w:r>
      <w:r w:rsidRPr="008F7370">
        <w:t xml:space="preserve">Use of </w:t>
      </w:r>
      <w:r w:rsidR="002B11B8">
        <w:rPr>
          <w:lang w:val="en-AU"/>
        </w:rPr>
        <w:t>HLA</w:t>
      </w:r>
      <w:r>
        <w:t>-</w:t>
      </w:r>
      <w:r w:rsidRPr="008F7370">
        <w:t>matched platelets</w:t>
      </w:r>
      <w:bookmarkEnd w:id="196"/>
      <w:bookmarkEnd w:id="197"/>
    </w:p>
    <w:p w14:paraId="6E2E4C19" w14:textId="58B379C2" w:rsidR="00D93C65" w:rsidRDefault="00D93C65" w:rsidP="00D93C65">
      <w:r>
        <w:t>HLA-matching of platelets should be considered for management of platelet refractoriness. For practical purposes, platelet refractoriness is defined by an absolute platelet increment of less than 10–20 × 10</w:t>
      </w:r>
      <w:r w:rsidRPr="00D430C9">
        <w:rPr>
          <w:vertAlign w:val="superscript"/>
        </w:rPr>
        <w:t>9</w:t>
      </w:r>
      <w:r>
        <w:t>/L, 1 hour post-platelet transfusion, on two consecutive occasions.</w:t>
      </w:r>
      <w:r w:rsidR="00F848F2">
        <w:t xml:space="preserve"> </w:t>
      </w:r>
    </w:p>
    <w:p w14:paraId="012A5764" w14:textId="78E39831" w:rsidR="00D93C65" w:rsidRDefault="00D93C65" w:rsidP="00D93C65">
      <w:r>
        <w:t xml:space="preserve">Most cases of platelet refractoriness are due to non-immune causes such as splenomegaly, fever, infection, </w:t>
      </w:r>
      <w:r w:rsidR="00B85C35" w:rsidRPr="00F715CA">
        <w:t>disseminated intravascular coagulation</w:t>
      </w:r>
      <w:r>
        <w:t xml:space="preserve">, veno-occlusive disease and </w:t>
      </w:r>
      <w:r w:rsidR="002B11B8">
        <w:t>graft-versus-</w:t>
      </w:r>
      <w:r>
        <w:t xml:space="preserve">host disease. The use of fresh, ABO-compatible, single-donor apheresis platelets (as opposed to a pooled product) may improve platelet increments. In these cases, the usual practice is to continue daily platelet transfusions where prophylaxis is indicated, although it is not known whether this approach provides benefit when compared to withholding transfusion. </w:t>
      </w:r>
    </w:p>
    <w:p w14:paraId="506757FE" w14:textId="63A3EB5E" w:rsidR="00D93C65" w:rsidRDefault="00D93C65" w:rsidP="00D93C65">
      <w:r>
        <w:t>In a minority of cases, platelet refractoriness is attributable to immune causes.</w:t>
      </w:r>
      <w:hyperlink w:anchor="_ENREF_268" w:tooltip="Stroncek, 2007 #625" w:history="1">
        <w:r w:rsidR="00E62798">
          <w:fldChar w:fldCharType="begin"/>
        </w:r>
        <w:r w:rsidR="00E62798">
          <w:instrText xml:space="preserve"> ADDIN EN.CITE &lt;EndNote&gt;&lt;Cite&gt;&lt;Author&gt;Stroncek&lt;/Author&gt;&lt;Year&gt;2007&lt;/Year&gt;&lt;RecNum&gt;625&lt;/RecNum&gt;&lt;DisplayText&gt;&lt;style face="superscript"&gt;268&lt;/style&gt;&lt;/DisplayText&gt;&lt;record&gt;&lt;rec-number&gt;625&lt;/rec-number&gt;&lt;foreign-keys&gt;&lt;key app="EN" db-id="9edve2wadsavt5ewavaxtda4f2tavzvts9ee" timestamp="1429950911"&gt;625&lt;/key&gt;&lt;/foreign-keys&gt;&lt;ref-type name="Journal Article"&gt;17&lt;/ref-type&gt;&lt;contributors&gt;&lt;authors&gt;&lt;author&gt;Stroncek, D. F.&lt;/author&gt;&lt;author&gt;Rebulla, P.&lt;/author&gt;&lt;/authors&gt;&lt;/contributors&gt;&lt;titles&gt;&lt;title&gt;Platelet transfusions&lt;/title&gt;&lt;secondary-title&gt;Lancet&lt;/secondary-title&gt;&lt;alt-title&gt;Lancet&lt;/alt-title&gt;&lt;/titles&gt;&lt;periodical&gt;&lt;full-title&gt;Lancet&lt;/full-title&gt;&lt;/periodical&gt;&lt;alt-periodical&gt;&lt;full-title&gt;Lancet&lt;/full-title&gt;&lt;/alt-periodical&gt;&lt;pages&gt;427–438&lt;/pages&gt;&lt;volume&gt;370&lt;/volume&gt;&lt;number&gt;9585&lt;/number&gt;&lt;dates&gt;&lt;year&gt;2007&lt;/year&gt;&lt;/dates&gt;&lt;isbn&gt;0140-6736&lt;/isbn&gt;&lt;urls&gt;&lt;related-urls&gt;&lt;url&gt;http://www.thelancet.com/journals/lancet/article/PIIS0140-6736(07)61198-2/abstract&lt;/url&gt;&lt;/related-urls&gt;&lt;/urls&gt;&lt;electronic-resource-num&gt;DOI:10.1016/S0140-6736(07)61198-2&lt;/electronic-resource-num&gt;&lt;/record&gt;&lt;/Cite&gt;&lt;/EndNote&gt;</w:instrText>
        </w:r>
        <w:r w:rsidR="00E62798">
          <w:fldChar w:fldCharType="separate"/>
        </w:r>
        <w:r w:rsidR="00E62798" w:rsidRPr="00E62798">
          <w:rPr>
            <w:noProof/>
            <w:vertAlign w:val="superscript"/>
          </w:rPr>
          <w:t>268</w:t>
        </w:r>
        <w:r w:rsidR="00E62798">
          <w:fldChar w:fldCharType="end"/>
        </w:r>
      </w:hyperlink>
      <w:r>
        <w:t xml:space="preserve"> Since the introduction of leucodepleted platelets, the incidence of alloimmunisation due to immune causes has decreased.</w:t>
      </w:r>
      <w:hyperlink w:anchor="_ENREF_269" w:tooltip="Williamson, 2000 #626" w:history="1">
        <w:r w:rsidR="00E62798">
          <w:fldChar w:fldCharType="begin"/>
        </w:r>
        <w:r w:rsidR="00E62798">
          <w:instrText xml:space="preserve"> ADDIN EN.CITE &lt;EndNote&gt;&lt;Cite&gt;&lt;Author&gt;Williamson&lt;/Author&gt;&lt;Year&gt;2000&lt;/Year&gt;&lt;RecNum&gt;626&lt;/RecNum&gt;&lt;DisplayText&gt;&lt;style face="superscript"&gt;269&lt;/style&gt;&lt;/DisplayText&gt;&lt;record&gt;&lt;rec-number&gt;626&lt;/rec-number&gt;&lt;foreign-keys&gt;&lt;key app="EN" db-id="9edve2wadsavt5ewavaxtda4f2tavzvts9ee" timestamp="1429950911"&gt;626&lt;/key&gt;&lt;/foreign-keys&gt;&lt;ref-type name="Journal Article"&gt;17&lt;/ref-type&gt;&lt;contributors&gt;&lt;authors&gt;&lt;author&gt;Williamson, L. M.&lt;/author&gt;&lt;/authors&gt;&lt;/contributors&gt;&lt;titles&gt;&lt;title&gt;Leucocyte depletion of the blood supply - how will patients benefit?&lt;/title&gt;&lt;secondary-title&gt;British Journal of Haematology&lt;/secondary-title&gt;&lt;alt-title&gt;Br. J. Haematol.&lt;/alt-title&gt;&lt;/titles&gt;&lt;periodical&gt;&lt;full-title&gt;Br J Haematol&lt;/full-title&gt;&lt;abbr-1&gt;British journal of haematology&lt;/abbr-1&gt;&lt;/periodical&gt;&lt;pages&gt;256–272&lt;/pages&gt;&lt;volume&gt;110&lt;/volume&gt;&lt;number&gt;2&lt;/number&gt;&lt;dates&gt;&lt;year&gt;2000&lt;/year&gt;&lt;/dates&gt;&lt;isbn&gt;0007-1048&lt;/isbn&gt;&lt;urls&gt;&lt;related-urls&gt;&lt;url&gt;http://onlinelibrary.wiley.com/store/10.1046/j.1365-2141.2000.02062.x/asset/j.1365-2141.2000.02062.x.pdf?v=1&amp;amp;t=i8wruya2&amp;amp;s=74f48e82a7df96b9a8b15ab677ecae24b0c0c831&lt;/url&gt;&lt;/related-urls&gt;&lt;/urls&gt;&lt;electronic-resource-num&gt;DOI:10.1046/j.1365-2141.2000.02062.x&lt;/electronic-resource-num&gt;&lt;/record&gt;&lt;/Cite&gt;&lt;/EndNote&gt;</w:instrText>
        </w:r>
        <w:r w:rsidR="00E62798">
          <w:fldChar w:fldCharType="separate"/>
        </w:r>
        <w:r w:rsidR="00E62798" w:rsidRPr="00E62798">
          <w:rPr>
            <w:noProof/>
            <w:vertAlign w:val="superscript"/>
          </w:rPr>
          <w:t>269</w:t>
        </w:r>
        <w:r w:rsidR="00E62798">
          <w:fldChar w:fldCharType="end"/>
        </w:r>
      </w:hyperlink>
      <w:r>
        <w:t xml:space="preserve"> Immune platelet refractoriness is most commonly attributable to antibodies to HLA</w:t>
      </w:r>
      <w:r w:rsidR="00670EA5">
        <w:t>s</w:t>
      </w:r>
      <w:r>
        <w:t xml:space="preserve">, and less </w:t>
      </w:r>
      <w:r w:rsidR="00670EA5">
        <w:t xml:space="preserve">often to antibodies to </w:t>
      </w:r>
      <w:r w:rsidR="00B85C35">
        <w:t>HPAs</w:t>
      </w:r>
      <w:r>
        <w:t xml:space="preserve">. </w:t>
      </w:r>
    </w:p>
    <w:p w14:paraId="27A77BC0" w14:textId="40AA47ED" w:rsidR="00D93C65" w:rsidRDefault="00D93C65" w:rsidP="00D93C65">
      <w:r>
        <w:t xml:space="preserve">Initial investigation of platelet refractoriness should include screening for HLA antibodies. ABO-compatible, apheresis platelets should be used while waiting for the results of HLA antibody screen. Where there are HLA antibodies, HLA-matched platelets should be used. If HLA antibodies are not detected or there is a poor response to </w:t>
      </w:r>
      <w:r w:rsidR="002B11B8">
        <w:t>HLA-</w:t>
      </w:r>
      <w:r>
        <w:t>matched platelets and no obvious non-immune cause, testing for HPA antibodies should be undertaken. If HPA antibodies are detected, then HPA-matched platelets should be used.</w:t>
      </w:r>
      <w:hyperlink w:anchor="_ENREF_270" w:tooltip="Nahirniak, 2015 #837" w:history="1">
        <w:r w:rsidR="00E62798">
          <w:fldChar w:fldCharType="begin">
            <w:fldData xml:space="preserve">PEVuZE5vdGU+PENpdGU+PEF1dGhvcj5OYWhpcm5pYWs8L0F1dGhvcj48WWVhcj4yMDE1PC9ZZWFy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</w:fldData>
          </w:fldChar>
        </w:r>
        <w:r w:rsidR="00E62798">
          <w:instrText xml:space="preserve"> ADDIN EN.CITE </w:instrText>
        </w:r>
        <w:r w:rsidR="00E62798">
          <w:fldChar w:fldCharType="begin">
            <w:fldData xml:space="preserve">PEVuZE5vdGU+PENpdGU+PEF1dGhvcj5OYWhpcm5pYWs8L0F1dGhvcj48WWVhcj4yMDE1PC9ZZWFy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270</w:t>
        </w:r>
        <w:r w:rsidR="00E62798">
          <w:fldChar w:fldCharType="end"/>
        </w:r>
      </w:hyperlink>
    </w:p>
    <w:p w14:paraId="5F4336D6" w14:textId="34A85095" w:rsidR="00D93C65" w:rsidRPr="00D729BF" w:rsidRDefault="00D93C65" w:rsidP="00D93C65">
      <w:r>
        <w:t xml:space="preserve">Current recommendations are for patients with inherited platelet disorders </w:t>
      </w:r>
      <w:r w:rsidR="00670EA5">
        <w:t>(e.g.</w:t>
      </w:r>
      <w:r>
        <w:t xml:space="preserve"> Bernard Soulier Syndrome or Glanzmann’s thrombasthenia</w:t>
      </w:r>
      <w:r w:rsidR="00670EA5">
        <w:t>)</w:t>
      </w:r>
      <w:r>
        <w:t xml:space="preserve"> to avoid transfusion if possible</w:t>
      </w:r>
      <w:r w:rsidR="00670EA5">
        <w:t>,</w:t>
      </w:r>
      <w:r>
        <w:t xml:space="preserve"> to reduce the risk </w:t>
      </w:r>
      <w:r w:rsidR="00670EA5">
        <w:t xml:space="preserve">of </w:t>
      </w:r>
      <w:r>
        <w:t xml:space="preserve">alloimmunisation. If there is significant bleeding that has not responded to other treatments, then these </w:t>
      </w:r>
      <w:r w:rsidR="00670EA5">
        <w:t>patients should receive HLA-</w:t>
      </w:r>
      <w:r>
        <w:t>matched platelets, because of the potential need for repeated platelet transfusions and the consequent increase in risk of alloimmunisation.</w:t>
      </w:r>
      <w:hyperlink w:anchor="_ENREF_271" w:tooltip="Bolton-Maggs, 2006 #631" w:history="1">
        <w:r w:rsidR="00E62798">
          <w:fldChar w:fldCharType="begin">
            <w:fldData xml:space="preserve">PEVuZE5vdGU+PENpdGU+PEF1dGhvcj5Cb2x0b24tTWFnZ3M8L0F1dGhvcj48WWVhcj4yMDA2PC9Z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=
</w:fldData>
          </w:fldChar>
        </w:r>
        <w:r w:rsidR="00E62798">
          <w:instrText xml:space="preserve"> ADDIN EN.CITE </w:instrText>
        </w:r>
        <w:r w:rsidR="00E62798">
          <w:fldChar w:fldCharType="begin">
            <w:fldData xml:space="preserve">PEVuZE5vdGU+PENpdGU+PEF1dGhvcj5Cb2x0b24tTWFnZ3M8L0F1dGhvcj48WWVhcj4yMDA2PC9Z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=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271-272</w:t>
        </w:r>
        <w:r w:rsidR="00E62798">
          <w:fldChar w:fldCharType="end"/>
        </w:r>
      </w:hyperlink>
      <w:r w:rsidRPr="0014723C">
        <w:t xml:space="preserve"> </w:t>
      </w:r>
      <w:r>
        <w:t>These recommendations may be revised in the future because of the reduction in HLA alloimmunisation due to universal leucodepletion.</w:t>
      </w:r>
      <w:hyperlink w:anchor="_ENREF_152" w:tooltip="British Committee for Standards in Haematology, 2003 #630" w:history="1">
        <w:r w:rsidR="00E62798">
          <w:fldChar w:fldCharType="begin"/>
        </w:r>
        <w:r w:rsidR="00E62798">
          <w:instrText xml:space="preserve"> ADDIN EN.CITE &lt;EndNote&gt;&lt;Cite&gt;&lt;Author&gt;British Committee for Standards in Haematology&lt;/Author&gt;&lt;Year&gt;2003&lt;/Year&gt;&lt;RecNum&gt;630&lt;/RecNum&gt;&lt;DisplayText&gt;&lt;style face="superscript"&gt;152&lt;/style&gt;&lt;/DisplayText&gt;&lt;record&gt;&lt;rec-number&gt;630&lt;/rec-number&gt;&lt;foreign-keys&gt;&lt;key app="EN" db-id="9edve2wadsavt5ewavaxtda4f2tavzvts9ee" timestamp="1433146380"&gt;630&lt;/key&gt;&lt;key app="ENWeb" db-id=""&gt;0&lt;/key&gt;&lt;/foreign-keys&gt;&lt;ref-type name="Journal Article"&gt;17&lt;/ref-type&gt;&lt;contributors&gt;&lt;authors&gt;&lt;author&gt;British Committee for Standards in Haematology, Blood Transfusion Task Force&lt;/author&gt;&lt;/authors&gt;&lt;/contributors&gt;&lt;titles&gt;&lt;title&gt;Guidelines for the use of platelet transfusions&lt;/title&gt;&lt;secondary-title&gt;British Journal of Haematology&lt;/secondary-title&gt;&lt;alt-title&gt;Br. J. Haematol.&lt;/alt-title&gt;&lt;/titles&gt;&lt;periodical&gt;&lt;full-title&gt;Br J Haematol&lt;/full-title&gt;&lt;abbr-1&gt;British journal of haematology&lt;/abbr-1&gt;&lt;/periodical&gt;&lt;pages&gt;10–23&lt;/pages&gt;&lt;volume&gt;122&lt;/volume&gt;&lt;number&gt;1&lt;/number&gt;&lt;dates&gt;&lt;year&gt;2003&lt;/year&gt;&lt;/dates&gt;&lt;isbn&gt;0007-1048&lt;/isbn&gt;&lt;urls&gt;&lt;related-urls&gt;&lt;url&gt;http://onlinelibrary.wiley.com/store/10.1046/j.1365-2141.2003.04468.x/asset/j.1365-2141.2003.04468.x.pdf?v=1&amp;amp;t=i8wrvhu3&amp;amp;s=cb4be396ff1b4b0096669308ddb29fd06023531e&lt;/url&gt;&lt;/related-urls&gt;&lt;/urls&gt;&lt;electronic-resource-num&gt;DOI:10.1046/j.1365-2141.2003.04468.x&lt;/electronic-resource-num&gt;&lt;/record&gt;&lt;/Cite&gt;&lt;/EndNote&gt;</w:instrText>
        </w:r>
        <w:r w:rsidR="00E62798">
          <w:fldChar w:fldCharType="separate"/>
        </w:r>
        <w:r w:rsidR="00E62798" w:rsidRPr="00E62798">
          <w:rPr>
            <w:noProof/>
            <w:vertAlign w:val="superscript"/>
          </w:rPr>
          <w:t>152</w:t>
        </w:r>
        <w:r w:rsidR="00E62798">
          <w:fldChar w:fldCharType="end"/>
        </w:r>
      </w:hyperlink>
    </w:p>
    <w:tbl>
      <w:tblPr>
        <w:tblStyle w:val="TableGrid"/>
        <w:tblW w:w="8347" w:type="dxa"/>
        <w:tblInd w:w="720" w:type="dxa"/>
        <w:tblLook w:val="04A0" w:firstRow="1" w:lastRow="0" w:firstColumn="1" w:lastColumn="0" w:noHBand="0" w:noVBand="1"/>
      </w:tblPr>
      <w:tblGrid>
        <w:gridCol w:w="1210"/>
        <w:gridCol w:w="7137"/>
      </w:tblGrid>
      <w:tr w:rsidR="00D93C65" w14:paraId="5B2A9D17" w14:textId="77777777" w:rsidTr="00467EEA">
        <w:trPr>
          <w:cantSplit/>
        </w:trPr>
        <w:tc>
          <w:tcPr>
            <w:tcW w:w="8347" w:type="dxa"/>
            <w:gridSpan w:val="2"/>
            <w:shd w:val="clear" w:color="auto" w:fill="BFBFBF" w:themeFill="background1" w:themeFillShade="BF"/>
          </w:tcPr>
          <w:p w14:paraId="309B9186" w14:textId="535ECA73" w:rsidR="00D93C65" w:rsidRPr="00813FDC" w:rsidRDefault="00D93C65" w:rsidP="002B11B8">
            <w:pPr>
              <w:pStyle w:val="PP-heading"/>
            </w:pPr>
            <w:r w:rsidRPr="00813FDC">
              <w:t xml:space="preserve">Expert opinion points </w:t>
            </w:r>
            <w:r>
              <w:t xml:space="preserve">– </w:t>
            </w:r>
            <w:r w:rsidRPr="00AA495B">
              <w:t xml:space="preserve">use of </w:t>
            </w:r>
            <w:r w:rsidR="002B11B8">
              <w:rPr>
                <w:lang w:val="en-AU"/>
              </w:rPr>
              <w:t>HLA</w:t>
            </w:r>
            <w:r>
              <w:t>-</w:t>
            </w:r>
            <w:r w:rsidRPr="00AA495B">
              <w:t>matched platelets</w:t>
            </w:r>
          </w:p>
        </w:tc>
      </w:tr>
      <w:tr w:rsidR="00D93C65" w14:paraId="1763C175" w14:textId="77777777" w:rsidTr="00670EA5">
        <w:trPr>
          <w:cantSplit/>
        </w:trPr>
        <w:tc>
          <w:tcPr>
            <w:tcW w:w="1210" w:type="dxa"/>
          </w:tcPr>
          <w:p w14:paraId="0CD96C47" w14:textId="3884A848" w:rsidR="00D93C65" w:rsidRDefault="00D93C65" w:rsidP="00670EA5">
            <w:pPr>
              <w:ind w:left="0"/>
            </w:pPr>
            <w:r>
              <w:t>EOP</w:t>
            </w:r>
            <w:r w:rsidR="00670EA5">
              <w:t>18</w:t>
            </w:r>
          </w:p>
        </w:tc>
        <w:tc>
          <w:tcPr>
            <w:tcW w:w="7137" w:type="dxa"/>
          </w:tcPr>
          <w:p w14:paraId="0C1B8902" w14:textId="77777777" w:rsidR="00D93C65" w:rsidRDefault="00D93C65" w:rsidP="006F2463">
            <w:pPr>
              <w:ind w:left="0"/>
            </w:pPr>
            <w:r>
              <w:t>For platelet refractoriness attributable to non-immune causes such as splenomegaly or infection, fresh, ABO-compatible, single-donor apheresis platelets may improve platelet increment.</w:t>
            </w:r>
          </w:p>
        </w:tc>
      </w:tr>
      <w:tr w:rsidR="00D93C65" w14:paraId="323629DA" w14:textId="77777777" w:rsidTr="00670EA5">
        <w:trPr>
          <w:cantSplit/>
        </w:trPr>
        <w:tc>
          <w:tcPr>
            <w:tcW w:w="1210" w:type="dxa"/>
          </w:tcPr>
          <w:p w14:paraId="69017407" w14:textId="72A63CE4" w:rsidR="00D93C65" w:rsidRDefault="00D93C65" w:rsidP="00670EA5">
            <w:pPr>
              <w:ind w:left="0"/>
            </w:pPr>
            <w:r w:rsidRPr="00A43255">
              <w:t>EOP</w:t>
            </w:r>
            <w:r w:rsidR="00670EA5">
              <w:t>19</w:t>
            </w:r>
          </w:p>
        </w:tc>
        <w:tc>
          <w:tcPr>
            <w:tcW w:w="7137" w:type="dxa"/>
          </w:tcPr>
          <w:p w14:paraId="77CD182A" w14:textId="77777777" w:rsidR="00D93C65" w:rsidRDefault="00D93C65" w:rsidP="006F2463">
            <w:pPr>
              <w:ind w:left="0"/>
            </w:pPr>
            <w:r>
              <w:t xml:space="preserve">If the cause of platelet refractoriness is not obvious, investigation should include screening for HLA antibodies. HLA-matched platelets should be used if an HLA antibody is detected. </w:t>
            </w:r>
          </w:p>
          <w:p w14:paraId="12250B7B" w14:textId="77777777" w:rsidR="00D93C65" w:rsidRDefault="00D93C65" w:rsidP="006F2463">
            <w:pPr>
              <w:ind w:left="0"/>
            </w:pPr>
            <w:r>
              <w:t xml:space="preserve">If the HLA antibody screen is negative or there is a poor response to HLA-matched platelets, screening for HPA antibodies should be undertaken, followed by use of HPA-matched platelets if positive. </w:t>
            </w:r>
          </w:p>
        </w:tc>
      </w:tr>
      <w:tr w:rsidR="00D93C65" w14:paraId="5A8340EC" w14:textId="77777777" w:rsidTr="00670EA5">
        <w:trPr>
          <w:cantSplit/>
        </w:trPr>
        <w:tc>
          <w:tcPr>
            <w:tcW w:w="1210" w:type="dxa"/>
          </w:tcPr>
          <w:p w14:paraId="62F06490" w14:textId="5C2EC63B" w:rsidR="00D93C65" w:rsidRPr="00A43255" w:rsidRDefault="00D93C65" w:rsidP="00670EA5">
            <w:pPr>
              <w:ind w:left="0"/>
            </w:pPr>
            <w:r>
              <w:t>EOP</w:t>
            </w:r>
            <w:r w:rsidR="00670EA5">
              <w:t>20</w:t>
            </w:r>
          </w:p>
        </w:tc>
        <w:tc>
          <w:tcPr>
            <w:tcW w:w="7137" w:type="dxa"/>
          </w:tcPr>
          <w:p w14:paraId="3B4ED662" w14:textId="169A4074" w:rsidR="00D93C65" w:rsidRDefault="00D93C65" w:rsidP="00624FDE">
            <w:pPr>
              <w:ind w:left="0"/>
            </w:pPr>
            <w:r>
              <w:t>In patients with inherited platelet disorders such as Bernard Soulier Syndrome and Glanzmann’s thrombasthenia, platelet transfusions should be avoided if possible, to reduce the</w:t>
            </w:r>
            <w:r w:rsidR="00624FDE">
              <w:t xml:space="preserve"> patient’s</w:t>
            </w:r>
            <w:r>
              <w:t xml:space="preserve"> risk of alloimmunisation. If platelet transfusion is unavoidable the</w:t>
            </w:r>
            <w:r w:rsidR="00624FDE">
              <w:t xml:space="preserve"> patient</w:t>
            </w:r>
            <w:r>
              <w:t xml:space="preserve"> should receive HLA</w:t>
            </w:r>
            <w:r w:rsidR="00624FDE">
              <w:t>-</w:t>
            </w:r>
            <w:r>
              <w:t>matched platelets.</w:t>
            </w:r>
          </w:p>
        </w:tc>
      </w:tr>
      <w:tr w:rsidR="00670EA5" w14:paraId="196B5F91" w14:textId="77777777" w:rsidTr="00670EA5">
        <w:trPr>
          <w:cantSplit/>
          <w:trHeight w:val="381"/>
        </w:trPr>
        <w:tc>
          <w:tcPr>
            <w:tcW w:w="8347" w:type="dxa"/>
            <w:gridSpan w:val="2"/>
          </w:tcPr>
          <w:p w14:paraId="5F63F99A" w14:textId="18538C56" w:rsidR="00670EA5" w:rsidRPr="00813FDC" w:rsidRDefault="00670EA5" w:rsidP="00670EA5">
            <w:pPr>
              <w:spacing w:after="0"/>
              <w:ind w:left="0"/>
              <w:rPr>
                <w:sz w:val="18"/>
                <w:szCs w:val="18"/>
              </w:rPr>
            </w:pPr>
            <w:r>
              <w:rPr>
                <w:sz w:val="18"/>
                <w:szCs w:val="18"/>
              </w:rPr>
              <w:t>EOP, expert opinion point; HLA, human leucocyte antigen</w:t>
            </w:r>
          </w:p>
        </w:tc>
      </w:tr>
    </w:tbl>
    <w:p w14:paraId="785E76F9" w14:textId="77777777" w:rsidR="00D93C65" w:rsidRDefault="00D93C65" w:rsidP="00D93C65">
      <w:pPr>
        <w:pStyle w:val="Heading4"/>
      </w:pPr>
    </w:p>
    <w:p w14:paraId="5B07151C" w14:textId="76898207" w:rsidR="00D93C65" w:rsidRPr="002B11B8" w:rsidRDefault="00D93C65" w:rsidP="00D93C65">
      <w:pPr>
        <w:pStyle w:val="Heading3"/>
        <w:rPr>
          <w:lang w:val="en-AU"/>
        </w:rPr>
      </w:pPr>
      <w:bookmarkStart w:id="198" w:name="_Toc417809224"/>
      <w:bookmarkStart w:id="199" w:name="_Toc421124117"/>
      <w:bookmarkStart w:id="200" w:name="_Toc427851377"/>
      <w:r>
        <w:t xml:space="preserve">4.1.7 </w:t>
      </w:r>
      <w:r>
        <w:tab/>
      </w:r>
      <w:r w:rsidRPr="00AE6C53">
        <w:rPr>
          <w:rFonts w:eastAsia="Calibri"/>
        </w:rPr>
        <w:t xml:space="preserve">Washed </w:t>
      </w:r>
      <w:bookmarkEnd w:id="198"/>
      <w:bookmarkEnd w:id="199"/>
      <w:r w:rsidR="002B11B8">
        <w:rPr>
          <w:rFonts w:eastAsia="Calibri"/>
          <w:lang w:val="en-AU"/>
        </w:rPr>
        <w:t>RBCs</w:t>
      </w:r>
      <w:bookmarkEnd w:id="200"/>
    </w:p>
    <w:p w14:paraId="39C1A751" w14:textId="12A06B75" w:rsidR="00D93C65" w:rsidRDefault="00D93C65" w:rsidP="00D93C65">
      <w:pPr>
        <w:jc w:val="both"/>
        <w:rPr>
          <w:rFonts w:cs="Times New Roman"/>
        </w:rPr>
      </w:pPr>
      <w:r w:rsidRPr="00762A6A">
        <w:rPr>
          <w:rFonts w:cs="Times New Roman"/>
        </w:rPr>
        <w:t xml:space="preserve">Washing </w:t>
      </w:r>
      <w:r>
        <w:rPr>
          <w:rFonts w:cs="Times New Roman"/>
        </w:rPr>
        <w:t xml:space="preserve">of </w:t>
      </w:r>
      <w:r w:rsidRPr="00762A6A">
        <w:rPr>
          <w:rFonts w:cs="Times New Roman"/>
        </w:rPr>
        <w:t>RBCs</w:t>
      </w:r>
      <w:r>
        <w:rPr>
          <w:rFonts w:cs="Times New Roman"/>
        </w:rPr>
        <w:t xml:space="preserve"> before</w:t>
      </w:r>
      <w:r w:rsidRPr="00762A6A">
        <w:rPr>
          <w:rFonts w:cs="Times New Roman"/>
        </w:rPr>
        <w:t xml:space="preserve"> transfusion </w:t>
      </w:r>
      <w:r>
        <w:rPr>
          <w:rFonts w:cs="Times New Roman"/>
        </w:rPr>
        <w:t>is undertaken</w:t>
      </w:r>
      <w:r w:rsidRPr="00762A6A">
        <w:rPr>
          <w:rFonts w:cs="Times New Roman"/>
        </w:rPr>
        <w:t xml:space="preserve"> to remove substances (antibodies, serum proteins, additive solutions, increased levels of electrolytes, other cellular metabolites or cytokines) </w:t>
      </w:r>
      <w:r>
        <w:rPr>
          <w:rFonts w:cs="Times New Roman"/>
        </w:rPr>
        <w:t>that may be</w:t>
      </w:r>
      <w:r w:rsidRPr="00762A6A">
        <w:rPr>
          <w:rFonts w:cs="Times New Roman"/>
        </w:rPr>
        <w:t xml:space="preserve"> harmful to some patient</w:t>
      </w:r>
      <w:r>
        <w:rPr>
          <w:rFonts w:cs="Times New Roman"/>
        </w:rPr>
        <w:t>s</w:t>
      </w:r>
      <w:r w:rsidRPr="00762A6A">
        <w:rPr>
          <w:rFonts w:cs="Times New Roman"/>
        </w:rPr>
        <w:t>.</w:t>
      </w:r>
      <w:hyperlink w:anchor="_ENREF_253" w:tooltip="Canadian Blood Services, 2011 #88" w:history="1">
        <w:r w:rsidR="00E62798">
          <w:rPr>
            <w:rFonts w:cs="Times New Roman"/>
          </w:rPr>
          <w:fldChar w:fldCharType="begin"/>
        </w:r>
        <w:r w:rsidR="00E62798">
          <w:rPr>
            <w:rFonts w:cs="Times New Roman"/>
          </w:rPr>
          <w:instrText xml:space="preserve"> ADDIN EN.CITE &lt;EndNote&gt;&lt;Cite&gt;&lt;Author&gt;Canadian Blood Services&lt;/Author&gt;&lt;Year&gt;2011&lt;/Year&gt;&lt;RecNum&gt;88&lt;/RecNum&gt;&lt;DisplayText&gt;&lt;style face="superscript"&gt;253&lt;/style&gt;&lt;/DisplayText&gt;&lt;record&gt;&lt;rec-number&gt;88&lt;/rec-number&gt;&lt;foreign-keys&gt;&lt;key app="EN" db-id="9edve2wadsavt5ewavaxtda4f2tavzvts9ee" timestamp="1424148235"&gt;88&lt;/key&gt;&lt;/foreign-keys&gt;&lt;ref-type name="Book Section"&gt;5&lt;/ref-type&gt;&lt;contributors&gt;&lt;authors&gt;&lt;author&gt;Canadian Blood Services,&lt;/author&gt;&lt;/authors&gt;&lt;/contributors&gt;&lt;titles&gt;&lt;title&gt;CMV seronegative, irradiated and washed blood components&lt;/title&gt;&lt;secondary-title&gt;Clinical guide to transfusion&lt;/secondary-title&gt;&lt;/titles&gt;&lt;dates&gt;&lt;year&gt;2011&lt;/year&gt;&lt;/dates&gt;&lt;urls&gt;&lt;related-urls&gt;&lt;url&gt;http://www.transfusionmedicine.ca/resources/clinical-guide-transfusion&lt;/url&gt;&lt;/related-urls&gt;&lt;/urls&gt;&lt;access-date&gt;13 April 2015&lt;/access-date&gt;&lt;/record&gt;&lt;/Cite&gt;&lt;/EndNote&gt;</w:instrText>
        </w:r>
        <w:r w:rsidR="00E62798">
          <w:rPr>
            <w:rFonts w:cs="Times New Roman"/>
          </w:rPr>
          <w:fldChar w:fldCharType="separate"/>
        </w:r>
        <w:r w:rsidR="00E62798" w:rsidRPr="00E62798">
          <w:rPr>
            <w:rFonts w:cs="Times New Roman"/>
            <w:noProof/>
            <w:vertAlign w:val="superscript"/>
          </w:rPr>
          <w:t>253</w:t>
        </w:r>
        <w:r w:rsidR="00E62798">
          <w:rPr>
            <w:rFonts w:cs="Times New Roman"/>
          </w:rPr>
          <w:fldChar w:fldCharType="end"/>
        </w:r>
      </w:hyperlink>
      <w:r>
        <w:rPr>
          <w:rFonts w:cs="Times New Roman"/>
        </w:rPr>
        <w:t xml:space="preserve"> </w:t>
      </w:r>
      <w:r w:rsidRPr="00762A6A">
        <w:rPr>
          <w:rFonts w:cs="Times New Roman"/>
        </w:rPr>
        <w:t>Washed units contain 10</w:t>
      </w:r>
      <w:r>
        <w:rPr>
          <w:rFonts w:cs="Times New Roman"/>
        </w:rPr>
        <w:t>–</w:t>
      </w:r>
      <w:r w:rsidRPr="00762A6A">
        <w:rPr>
          <w:rFonts w:cs="Times New Roman"/>
        </w:rPr>
        <w:t>20% less RBCs than the original units</w:t>
      </w:r>
      <w:r>
        <w:rPr>
          <w:rFonts w:cs="Times New Roman"/>
        </w:rPr>
        <w:t xml:space="preserve">, but are also </w:t>
      </w:r>
      <w:r w:rsidRPr="00762A6A">
        <w:rPr>
          <w:rFonts w:cs="Times New Roman"/>
        </w:rPr>
        <w:t xml:space="preserve">depleted of 99% of plasma proteins </w:t>
      </w:r>
      <w:r>
        <w:rPr>
          <w:rFonts w:cs="Times New Roman"/>
        </w:rPr>
        <w:t xml:space="preserve">and </w:t>
      </w:r>
      <w:r w:rsidR="00624FDE">
        <w:rPr>
          <w:rFonts w:cs="Times New Roman"/>
        </w:rPr>
        <w:t xml:space="preserve">have </w:t>
      </w:r>
      <w:r>
        <w:rPr>
          <w:rFonts w:cs="Times New Roman"/>
        </w:rPr>
        <w:t>reduced amounts of additive solution and extracellular potassium. Other potential benefits include reduced immunomodulatory effects of transfusion</w:t>
      </w:r>
      <w:r>
        <w:rPr>
          <w:rFonts w:cs="Times New Roman"/>
          <w:bCs/>
        </w:rPr>
        <w:t>.</w:t>
      </w:r>
      <w:hyperlink w:anchor="_ENREF_273" w:tooltip="Blumberg, 2004 #488" w:history="1">
        <w:r w:rsidR="00E62798">
          <w:rPr>
            <w:rFonts w:cs="Times New Roman"/>
            <w:bCs/>
          </w:rPr>
          <w:fldChar w:fldCharType="begin">
            <w:fldData xml:space="preserve">PEVuZE5vdGU+PENpdGU+PEF1dGhvcj5CbHVtYmVyZzwvQXV0aG9yPjxZZWFyPjIwMDQ8L1llYXI+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aWNhbD48cGFnZXM+MjczOOKAkzQ0PC9wYWdlcz48dm9sdW1lPjUwPC92b2x1bWU+PG51bWJlcj4x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YWN1dGUgY2FyZSBzdXJnZXJ5PC9hYmJyLTE+PC9hbHQtcGVyaW9kaWNhbD48cGFnZXM+UzEyOOKA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==
</w:fldData>
          </w:fldChar>
        </w:r>
        <w:r w:rsidR="00E62798">
          <w:rPr>
            <w:rFonts w:cs="Times New Roman"/>
            <w:bCs/>
          </w:rPr>
          <w:instrText xml:space="preserve"> ADDIN EN.CITE </w:instrText>
        </w:r>
        <w:r w:rsidR="00E62798">
          <w:rPr>
            <w:rFonts w:cs="Times New Roman"/>
            <w:bCs/>
          </w:rPr>
          <w:fldChar w:fldCharType="begin">
            <w:fldData xml:space="preserve">PEVuZE5vdGU+PENpdGU+PEF1dGhvcj5CbHVtYmVyZzwvQXV0aG9yPjxZZWFyPjIwMDQ8L1llYXI+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aWNhbD48cGFnZXM+MjczOOKAkzQ0PC9wYWdlcz48dm9sdW1lPjUwPC92b2x1bWU+PG51bWJlcj4x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YWN1dGUgY2FyZSBzdXJnZXJ5PC9hYmJyLTE+PC9hbHQtcGVyaW9kaWNhbD48cGFnZXM+UzEyOOKA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==
</w:fldData>
          </w:fldChar>
        </w:r>
        <w:r w:rsidR="00E62798">
          <w:rPr>
            <w:rFonts w:cs="Times New Roman"/>
            <w:bCs/>
          </w:rPr>
          <w:instrText xml:space="preserve"> ADDIN EN.CITE.DATA </w:instrText>
        </w:r>
        <w:r w:rsidR="00E62798">
          <w:rPr>
            <w:rFonts w:cs="Times New Roman"/>
            <w:bCs/>
          </w:rPr>
        </w:r>
        <w:r w:rsidR="00E62798">
          <w:rPr>
            <w:rFonts w:cs="Times New Roman"/>
            <w:bCs/>
          </w:rPr>
          <w:fldChar w:fldCharType="end"/>
        </w:r>
        <w:r w:rsidR="00E62798">
          <w:rPr>
            <w:rFonts w:cs="Times New Roman"/>
            <w:bCs/>
          </w:rPr>
        </w:r>
        <w:r w:rsidR="00E62798">
          <w:rPr>
            <w:rFonts w:cs="Times New Roman"/>
            <w:bCs/>
          </w:rPr>
          <w:fldChar w:fldCharType="separate"/>
        </w:r>
        <w:r w:rsidR="00E62798" w:rsidRPr="00E62798">
          <w:rPr>
            <w:rFonts w:cs="Times New Roman"/>
            <w:bCs/>
            <w:noProof/>
            <w:vertAlign w:val="superscript"/>
          </w:rPr>
          <w:t>273-275</w:t>
        </w:r>
        <w:r w:rsidR="00E62798">
          <w:rPr>
            <w:rFonts w:cs="Times New Roman"/>
            <w:bCs/>
          </w:rPr>
          <w:fldChar w:fldCharType="end"/>
        </w:r>
      </w:hyperlink>
      <w:r w:rsidRPr="00762A6A">
        <w:rPr>
          <w:rFonts w:cs="Times New Roman"/>
        </w:rPr>
        <w:t xml:space="preserve"> </w:t>
      </w:r>
      <w:r w:rsidRPr="005D00D2">
        <w:rPr>
          <w:color w:val="auto"/>
        </w:rPr>
        <w:t>In regard to risks, RBCs may be damaged during the process and thus be more susceptible to haemolysis.</w:t>
      </w:r>
      <w:r w:rsidRPr="005D00D2">
        <w:rPr>
          <w:color w:val="auto"/>
          <w:vertAlign w:val="superscript"/>
        </w:rPr>
        <w:t>47</w:t>
      </w:r>
    </w:p>
    <w:p w14:paraId="553CA797" w14:textId="0789AB34" w:rsidR="00D93C65" w:rsidRPr="005D00D2" w:rsidRDefault="00D93C65" w:rsidP="00D93C65">
      <w:pPr>
        <w:jc w:val="both"/>
        <w:rPr>
          <w:color w:val="auto"/>
        </w:rPr>
      </w:pPr>
      <w:r w:rsidRPr="005D00D2">
        <w:rPr>
          <w:color w:val="auto"/>
        </w:rPr>
        <w:t>Washing can be done by the blood bank or</w:t>
      </w:r>
      <w:r w:rsidR="00624FDE">
        <w:rPr>
          <w:color w:val="auto"/>
        </w:rPr>
        <w:t>,</w:t>
      </w:r>
      <w:r w:rsidRPr="005D00D2">
        <w:rPr>
          <w:color w:val="auto"/>
        </w:rPr>
        <w:t xml:space="preserve"> for patients undergoing surgery, with a cell saver. In the blood bank, washing is time and resource intensive, adding 1–2 hours to the product preparation time.</w:t>
      </w:r>
      <w:r w:rsidRPr="005D00D2">
        <w:rPr>
          <w:color w:val="auto"/>
          <w:vertAlign w:val="superscript"/>
        </w:rPr>
        <w:t xml:space="preserve">23 </w:t>
      </w:r>
      <w:r w:rsidRPr="005D00D2">
        <w:rPr>
          <w:color w:val="auto"/>
        </w:rPr>
        <w:t xml:space="preserve">However, the procedure using a cell saver in the operating theatre </w:t>
      </w:r>
      <w:r w:rsidR="00624FDE">
        <w:rPr>
          <w:color w:val="auto"/>
        </w:rPr>
        <w:t xml:space="preserve">takes about 20 minutes </w:t>
      </w:r>
      <w:r w:rsidRPr="005D00D2">
        <w:rPr>
          <w:color w:val="auto"/>
        </w:rPr>
        <w:t xml:space="preserve">in skilled hands, assuming </w:t>
      </w:r>
      <w:r w:rsidR="00624FDE">
        <w:rPr>
          <w:color w:val="auto"/>
        </w:rPr>
        <w:t xml:space="preserve">that </w:t>
      </w:r>
      <w:r w:rsidRPr="005D00D2">
        <w:rPr>
          <w:color w:val="auto"/>
        </w:rPr>
        <w:t>personnel and equipment are available.</w:t>
      </w:r>
    </w:p>
    <w:p w14:paraId="12F62B8B" w14:textId="6DBBB8CD" w:rsidR="00D93C65" w:rsidRPr="00D729BF" w:rsidRDefault="00624FDE" w:rsidP="00624FDE">
      <w:r>
        <w:t>In IUT, wa</w:t>
      </w:r>
      <w:r w:rsidR="00D93C65" w:rsidRPr="00D42CBB">
        <w:t xml:space="preserve">shed RBCs packed to a </w:t>
      </w:r>
      <w:r>
        <w:t>Hct</w:t>
      </w:r>
      <w:r w:rsidR="00D93C65" w:rsidRPr="00D42CBB">
        <w:t xml:space="preserve"> of 75–85% can be used to reduce the volu</w:t>
      </w:r>
      <w:r w:rsidR="009D7C48">
        <w:t>me transfused to the fetus</w:t>
      </w:r>
      <w:r w:rsidR="00D93C65" w:rsidRPr="00D42CBB">
        <w:t>.</w:t>
      </w:r>
      <w:hyperlink w:anchor="_ENREF_276" w:tooltip="Moise, 2013 #490" w:history="1">
        <w:r w:rsidR="00E62798">
          <w:rPr>
            <w:vertAlign w:val="superscript"/>
          </w:rPr>
          <w:fldChar w:fldCharType="begin"/>
        </w:r>
        <w:r w:rsidR="00E62798">
          <w:rPr>
            <w:vertAlign w:val="superscript"/>
          </w:rPr>
          <w:instrText xml:space="preserve"> ADDIN EN.CITE &lt;EndNote&gt;&lt;Cite&gt;&lt;Author&gt;Moise&lt;/Author&gt;&lt;Year&gt;2013&lt;/Year&gt;&lt;RecNum&gt;490&lt;/RecNum&gt;&lt;DisplayText&gt;&lt;style face="superscript"&gt;276&lt;/style&gt;&lt;/DisplayText&gt;&lt;record&gt;&lt;rec-number&gt;490&lt;/rec-number&gt;&lt;foreign-keys&gt;&lt;key app="EN" db-id="9edve2wadsavt5ewavaxtda4f2tavzvts9ee" timestamp="1429933995"&gt;490&lt;/key&gt;&lt;/foreign-keys&gt;&lt;ref-type name="Book Section"&gt;5&lt;/ref-type&gt;&lt;contributors&gt;&lt;authors&gt;&lt;author&gt;Moise, KJ&lt;/author&gt;&lt;/authors&gt;&lt;secondary-authors&gt;&lt;author&gt;Lockwood, CJ&lt;/author&gt;&lt;author&gt;Barss, VA&lt;/author&gt;&lt;/secondary-authors&gt;&lt;/contributors&gt;&lt;titles&gt;&lt;title&gt;Intrauterine fetal transfusion of red blood cells&lt;/title&gt;&lt;secondary-title&gt;UpToDate&lt;/secondary-title&gt;&lt;/titles&gt;&lt;dates&gt;&lt;year&gt;2013&lt;/year&gt;&lt;/dates&gt;&lt;urls&gt;&lt;related-urls&gt;&lt;url&gt;http://www.uptodate.com/contents/intrauterine-fetal-transfusion-of-red-blood-cells&lt;/url&gt;&lt;/related-urls&gt;&lt;/urls&gt;&lt;access-date&gt;25 April 2015&lt;/access-date&gt;&lt;/record&gt;&lt;/Cite&gt;&lt;/EndNote&gt;</w:instrText>
        </w:r>
        <w:r w:rsidR="00E62798">
          <w:rPr>
            <w:vertAlign w:val="superscript"/>
          </w:rPr>
          <w:fldChar w:fldCharType="separate"/>
        </w:r>
        <w:r w:rsidR="00E62798">
          <w:rPr>
            <w:noProof/>
            <w:vertAlign w:val="superscript"/>
          </w:rPr>
          <w:t>276</w:t>
        </w:r>
        <w:r w:rsidR="00E62798">
          <w:rPr>
            <w:vertAlign w:val="superscript"/>
          </w:rPr>
          <w:fldChar w:fldCharType="end"/>
        </w:r>
      </w:hyperlink>
      <w:r w:rsidR="00D93C65" w:rsidRPr="00D42CBB">
        <w:t xml:space="preserve"> In paediatric patients</w:t>
      </w:r>
      <w:r>
        <w:t xml:space="preserve"> receiving large-</w:t>
      </w:r>
      <w:r w:rsidR="00D93C65">
        <w:t>volume transfusion</w:t>
      </w:r>
      <w:r w:rsidR="00D93C65" w:rsidRPr="00D42CBB">
        <w:t xml:space="preserve">, washed </w:t>
      </w:r>
      <w:r w:rsidR="009D7C48">
        <w:t>RBCs</w:t>
      </w:r>
      <w:r w:rsidR="00D93C65" w:rsidRPr="00D42CBB">
        <w:t xml:space="preserve"> may have advantages, but </w:t>
      </w:r>
      <w:r w:rsidR="00D93C65">
        <w:t xml:space="preserve">these must be weighed against </w:t>
      </w:r>
      <w:r w:rsidR="00D93C65" w:rsidRPr="00D42CBB">
        <w:t>the increased preparation time.</w:t>
      </w:r>
      <w:hyperlink w:anchor="_ENREF_236" w:tooltip="Strauss, 2010 #58" w:history="1">
        <w:r w:rsidR="00E62798">
          <w:rPr>
            <w:vertAlign w:val="superscript"/>
          </w:rPr>
          <w:fldChar w:fldCharType="begin"/>
        </w:r>
        <w:r w:rsidR="00E62798">
          <w:rPr>
            <w:vertAlign w:val="superscript"/>
          </w:rPr>
          <w:instrText xml:space="preserve"> ADDIN EN.CITE &lt;EndNote&gt;&lt;Cite&gt;&lt;Author&gt;Strauss&lt;/Author&gt;&lt;Year&gt;2010&lt;/Year&gt;&lt;RecNum&gt;58&lt;/RecNum&gt;&lt;DisplayText&gt;&lt;style face="superscript"&gt;236&lt;/style&gt;&lt;/DisplayText&gt;&lt;record&gt;&lt;rec-number&gt;58&lt;/rec-number&gt;&lt;foreign-keys&gt;&lt;key app="EN" db-id="9edve2wadsavt5ewavaxtda4f2tavzvts9ee" timestamp="1424039258"&gt;58&lt;/key&gt;&lt;/foreign-keys&gt;&lt;ref-type name="Journal Article"&gt;17&lt;/ref-type&gt;&lt;contributors&gt;&lt;authors&gt;&lt;author&gt;Strauss, R. G.&lt;/author&gt;&lt;/authors&gt;&lt;/contributors&gt;&lt;auth-address&gt;Professor Emeritus of Pathology &amp;amp; Pediatrics, University of Iowa College of Medicine, 200 Hawkins Drive, C250 GH, Iowa City, IA 52242-1009, .&lt;/auth-address&gt;&lt;titles&gt;&lt;title&gt;RBC storage and avoiding hyperkalemia from transfusions to neonates &amp;amp; infants&lt;/title&gt;&lt;secondary-title&gt;Transfusion&lt;/secondary-title&gt;&lt;alt-title&gt;Transfusion&lt;/alt-title&gt;&lt;/titles&gt;&lt;periodical&gt;&lt;full-title&gt;Transfusion&lt;/full-title&gt;&lt;abbr-1&gt;Transfusion&lt;/abbr-1&gt;&lt;/periodical&gt;&lt;alt-periodical&gt;&lt;full-title&gt;Transfusion&lt;/full-title&gt;&lt;abbr-1&gt;Transfusion&lt;/abbr-1&gt;&lt;/alt-periodical&gt;&lt;pages&gt;1862–1865&lt;/pages&gt;&lt;volume&gt;50&lt;/volume&gt;&lt;number&gt;9&lt;/number&gt;&lt;dates&gt;&lt;year&gt;2010&lt;/year&gt;&lt;pub-dates&gt;&lt;date&gt;Sep&lt;/date&gt;&lt;/pub-dates&gt;&lt;/dates&gt;&lt;isbn&gt;1537-2995 (Electronic)&amp;#xD;0041-1132 (Linking)&lt;/isbn&gt;&lt;accession-num&gt;21552366&lt;/accession-num&gt;&lt;urls&gt;&lt;related-urls&gt;&lt;url&gt;http://www.ncbi.nlm.nih.gov/pubmed/21552366&lt;/url&gt;&lt;/related-urls&gt;&lt;/urls&gt;&lt;custom2&gt;3087162&lt;/custom2&gt;&lt;electronic-resource-num&gt;10.1111/j.1537-2995.2010.02789.x&lt;/electronic-resource-num&gt;&lt;/record&gt;&lt;/Cite&gt;&lt;/EndNote&gt;</w:instrText>
        </w:r>
        <w:r w:rsidR="00E62798">
          <w:rPr>
            <w:vertAlign w:val="superscript"/>
          </w:rPr>
          <w:fldChar w:fldCharType="separate"/>
        </w:r>
        <w:r w:rsidR="00E62798">
          <w:rPr>
            <w:noProof/>
            <w:vertAlign w:val="superscript"/>
          </w:rPr>
          <w:t>236</w:t>
        </w:r>
        <w:r w:rsidR="00E62798">
          <w:rPr>
            <w:vertAlign w:val="superscript"/>
          </w:rPr>
          <w:fldChar w:fldCharType="end"/>
        </w:r>
      </w:hyperlink>
      <w:r w:rsidR="00D93C65" w:rsidRPr="00D42CBB">
        <w:t xml:space="preserve"> In paediatric patients undergoing cardiac surgery, a systematic review that included three small and</w:t>
      </w:r>
      <w:r w:rsidR="00D93C65" w:rsidRPr="00D729BF">
        <w:t xml:space="preserve"> heterogeneous trials </w:t>
      </w:r>
      <w:r w:rsidR="00D93C65" w:rsidRPr="005D00D2">
        <w:rPr>
          <w:color w:val="auto"/>
        </w:rPr>
        <w:t xml:space="preserve">(two using cells washed in the </w:t>
      </w:r>
      <w:r>
        <w:rPr>
          <w:color w:val="auto"/>
        </w:rPr>
        <w:t>blood bank and one using a cell-</w:t>
      </w:r>
      <w:r w:rsidR="00D93C65" w:rsidRPr="005D00D2">
        <w:rPr>
          <w:color w:val="auto"/>
        </w:rPr>
        <w:t xml:space="preserve">saver technique) </w:t>
      </w:r>
      <w:r w:rsidR="00D93C65" w:rsidRPr="00D729BF">
        <w:t>comparing washed and unwashed RBCs was inconclusive.</w:t>
      </w:r>
      <w:hyperlink w:anchor="_ENREF_75" w:tooltip="Wilkinson, 2014 #192" w:history="1">
        <w:r w:rsidR="00E62798">
          <w:fldChar w:fldCharType="begin">
            <w:fldData xml:space="preserve">PEVuZE5vdGU+PENpdGU+PEF1dGhvcj5XaWxraW5zb248L0F1dGhvcj48WWVhcj4yMDE0PC9ZZWFy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</w:fldData>
          </w:fldChar>
        </w:r>
        <w:r w:rsidR="00E62798">
          <w:instrText xml:space="preserve"> ADDIN EN.CITE </w:instrText>
        </w:r>
        <w:r w:rsidR="00E62798">
          <w:fldChar w:fldCharType="begin">
            <w:fldData xml:space="preserve">PEVuZE5vdGU+PENpdGU+PEF1dGhvcj5XaWxraW5zb248L0F1dGhvcj48WWVhcj4yMDE0PC9ZZWFy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75</w:t>
        </w:r>
        <w:r w:rsidR="00E62798">
          <w:fldChar w:fldCharType="end"/>
        </w:r>
      </w:hyperlink>
      <w:r w:rsidR="00D93C65" w:rsidRPr="00D729BF">
        <w:t xml:space="preserve"> </w:t>
      </w:r>
      <w:r w:rsidR="00D93C65">
        <w:t>I</w:t>
      </w:r>
      <w:r w:rsidR="00D93C65" w:rsidRPr="00D42CBB">
        <w:t>n chronically transfused patients</w:t>
      </w:r>
      <w:r>
        <w:t>,</w:t>
      </w:r>
      <w:r w:rsidR="00D93C65" w:rsidRPr="00D42CBB">
        <w:t xml:space="preserve"> </w:t>
      </w:r>
      <w:r w:rsidR="00D93C65">
        <w:t>w</w:t>
      </w:r>
      <w:r w:rsidR="00D93C65" w:rsidRPr="00D42CBB">
        <w:t>ashed RBCs may be considered for the management of severe transfusion reactions, including those due to IgA deficiency.</w:t>
      </w:r>
      <w:r w:rsidR="00E62798">
        <w:fldChar w:fldCharType="begin">
          <w:fldData xml:space="preserve">PEVuZE5vdGU+PENpdGU+PEF1dGhvcj5DaG9sZXR0ZTwvQXV0aG9yPjxZZWFyPjIwMTI8L1llYXI+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</w:fldData>
        </w:fldChar>
      </w:r>
      <w:r w:rsidR="00E62798">
        <w:instrText xml:space="preserve"> ADDIN EN.CITE </w:instrText>
      </w:r>
      <w:r w:rsidR="00E62798">
        <w:fldChar w:fldCharType="begin">
          <w:fldData xml:space="preserve">PEVuZE5vdGU+PENpdGU+PEF1dGhvcj5DaG9sZXR0ZTwvQXV0aG9yPjxZZWFyPjIwMTI8L1llYXI+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</w:fldData>
        </w:fldChar>
      </w:r>
      <w:r w:rsidR="00E62798">
        <w:instrText xml:space="preserve"> ADDIN EN.CITE.DATA </w:instrText>
      </w:r>
      <w:r w:rsidR="00E62798">
        <w:fldChar w:fldCharType="end"/>
      </w:r>
      <w:r w:rsidR="00E62798">
        <w:fldChar w:fldCharType="separate"/>
      </w:r>
      <w:hyperlink w:anchor="_ENREF_75" w:tooltip="Wilkinson, 2014 #192" w:history="1">
        <w:r w:rsidR="00E62798" w:rsidRPr="00E62798">
          <w:rPr>
            <w:noProof/>
            <w:vertAlign w:val="superscript"/>
          </w:rPr>
          <w:t>75</w:t>
        </w:r>
      </w:hyperlink>
      <w:r w:rsidR="00E62798" w:rsidRPr="00E62798">
        <w:rPr>
          <w:noProof/>
          <w:vertAlign w:val="superscript"/>
        </w:rPr>
        <w:t xml:space="preserve">; </w:t>
      </w:r>
      <w:hyperlink w:anchor="_ENREF_277" w:tooltip="Cholette, 2012 #494" w:history="1">
        <w:r w:rsidR="00E62798" w:rsidRPr="00E62798">
          <w:rPr>
            <w:noProof/>
            <w:vertAlign w:val="superscript"/>
          </w:rPr>
          <w:t>277-279</w:t>
        </w:r>
      </w:hyperlink>
      <w:r w:rsidR="00E62798">
        <w:fldChar w:fldCharType="end"/>
      </w:r>
    </w:p>
    <w:p w14:paraId="08F12541" w14:textId="2E19D4AE" w:rsidR="00D93C65" w:rsidRDefault="00624FDE" w:rsidP="00D93C65">
      <w:pPr>
        <w:jc w:val="both"/>
        <w:rPr>
          <w:rFonts w:cs="Times New Roman"/>
          <w:iCs/>
        </w:rPr>
      </w:pPr>
      <w:r>
        <w:rPr>
          <w:rFonts w:cs="Times New Roman"/>
          <w:iCs/>
        </w:rPr>
        <w:t>For most small-</w:t>
      </w:r>
      <w:r w:rsidR="00D93C65">
        <w:rPr>
          <w:rFonts w:cs="Times New Roman"/>
          <w:iCs/>
        </w:rPr>
        <w:t>volume transfusions, the risk</w:t>
      </w:r>
      <w:r w:rsidR="00D93C65" w:rsidRPr="00762A6A">
        <w:rPr>
          <w:rFonts w:cs="Times New Roman"/>
          <w:iCs/>
        </w:rPr>
        <w:t xml:space="preserve"> of hyperkalaemia </w:t>
      </w:r>
      <w:r w:rsidR="00D93C65">
        <w:rPr>
          <w:rFonts w:cs="Times New Roman"/>
          <w:iCs/>
        </w:rPr>
        <w:t xml:space="preserve">is </w:t>
      </w:r>
      <w:r w:rsidR="00D93C65" w:rsidRPr="00762A6A">
        <w:rPr>
          <w:rFonts w:cs="Times New Roman"/>
          <w:iCs/>
        </w:rPr>
        <w:t>extremely low</w:t>
      </w:r>
      <w:r>
        <w:rPr>
          <w:rFonts w:cs="Times New Roman"/>
          <w:iCs/>
        </w:rPr>
        <w:t>,</w:t>
      </w:r>
      <w:hyperlink w:anchor="_ENREF_280" w:tooltip="Strauss, 2000 #491" w:history="1">
        <w:r w:rsidR="00E62798">
          <w:rPr>
            <w:rFonts w:cs="Times New Roman"/>
            <w:iCs/>
          </w:rPr>
          <w:fldChar w:fldCharType="begin"/>
        </w:r>
        <w:r w:rsidR="00E62798">
          <w:rPr>
            <w:rFonts w:cs="Times New Roman"/>
            <w:iCs/>
          </w:rPr>
          <w:instrText xml:space="preserve"> ADDIN EN.CITE &lt;EndNote&gt;&lt;Cite&gt;&lt;Author&gt;Strauss&lt;/Author&gt;&lt;Year&gt;2000&lt;/Year&gt;&lt;RecNum&gt;491&lt;/RecNum&gt;&lt;DisplayText&gt;&lt;style face="superscript"&gt;280&lt;/style&gt;&lt;/DisplayText&gt;&lt;record&gt;&lt;rec-number&gt;491&lt;/rec-number&gt;&lt;foreign-keys&gt;&lt;key app="EN" db-id="9edve2wadsavt5ewavaxtda4f2tavzvts9ee" timestamp="1429934230"&gt;491&lt;/key&gt;&lt;/foreign-keys&gt;&lt;ref-type name="Journal Article"&gt;17&lt;/ref-type&gt;&lt;contributors&gt;&lt;authors&gt;&lt;author&gt;Strauss, R. G.&lt;/author&gt;&lt;/authors&gt;&lt;/contributors&gt;&lt;auth-address&gt;Department of Pathology, University of Iowa College of Medicine, Iowa City 52242-1182, USA. ronald-strauss@uiowa.edu&lt;/auth-address&gt;&lt;titles&gt;&lt;title&gt;Data-driven blood banking practices for neonatal RBC transfusions&lt;/title&gt;&lt;secondary-title&gt;Transfusion&lt;/secondary-title&gt;&lt;alt-title&gt;Transfusion&lt;/alt-title&gt;&lt;/titles&gt;&lt;periodical&gt;&lt;full-title&gt;Transfusion&lt;/full-title&gt;&lt;abbr-1&gt;Transfusion&lt;/abbr-1&gt;&lt;/periodical&gt;&lt;alt-periodical&gt;&lt;full-title&gt;Transfusion&lt;/full-title&gt;&lt;abbr-1&gt;Transfusion&lt;/abbr-1&gt;&lt;/alt-periodical&gt;&lt;pages&gt;1528–40&lt;/pages&gt;&lt;volume&gt;40&lt;/volume&gt;&lt;number&gt;12&lt;/number&gt;&lt;keywords&gt;&lt;keyword&gt;Blood Banks/*methods&lt;/keyword&gt;&lt;keyword&gt;*Erythrocyte Transfusion/adverse effects/methods&lt;/keyword&gt;&lt;keyword&gt;Erythrocytes/radiation effects&lt;/keyword&gt;&lt;keyword&gt;Gamma Rays&lt;/keyword&gt;&lt;keyword&gt;Graft vs Host Disease/etiology/prevention &amp;amp; control&lt;/keyword&gt;&lt;keyword&gt;Humans&lt;/keyword&gt;&lt;keyword&gt;Infant, Newborn/*blood&lt;/keyword&gt;&lt;/keywords&gt;&lt;dates&gt;&lt;year&gt;2000&lt;/year&gt;&lt;pub-dates&gt;&lt;date&gt;Dec&lt;/date&gt;&lt;/pub-dates&gt;&lt;/dates&gt;&lt;isbn&gt;0041-1132 (Print)&amp;#xD;0041-1132 (Linking)&lt;/isbn&gt;&lt;accession-num&gt;11134575&lt;/accession-num&gt;&lt;urls&gt;&lt;related-urls&gt;&lt;url&gt;http://www.ncbi.nlm.nih.gov/pubmed/11134575&lt;/url&gt;&lt;/related-urls&gt;&lt;/urls&gt;&lt;/record&gt;&lt;/Cite&gt;&lt;/EndNote&gt;</w:instrText>
        </w:r>
        <w:r w:rsidR="00E62798">
          <w:rPr>
            <w:rFonts w:cs="Times New Roman"/>
            <w:iCs/>
          </w:rPr>
          <w:fldChar w:fldCharType="separate"/>
        </w:r>
        <w:r w:rsidR="00E62798" w:rsidRPr="00E62798">
          <w:rPr>
            <w:rFonts w:cs="Times New Roman"/>
            <w:iCs/>
            <w:noProof/>
            <w:vertAlign w:val="superscript"/>
          </w:rPr>
          <w:t>280</w:t>
        </w:r>
        <w:r w:rsidR="00E62798">
          <w:rPr>
            <w:rFonts w:cs="Times New Roman"/>
            <w:iCs/>
          </w:rPr>
          <w:fldChar w:fldCharType="end"/>
        </w:r>
      </w:hyperlink>
      <w:r w:rsidR="00D93C65" w:rsidRPr="00762A6A">
        <w:rPr>
          <w:rFonts w:cs="Times New Roman"/>
          <w:iCs/>
        </w:rPr>
        <w:t xml:space="preserve"> </w:t>
      </w:r>
      <w:r w:rsidR="00D93C65">
        <w:rPr>
          <w:rFonts w:cs="Times New Roman"/>
          <w:iCs/>
        </w:rPr>
        <w:t>and the</w:t>
      </w:r>
      <w:r w:rsidR="00D93C65" w:rsidRPr="00762A6A">
        <w:rPr>
          <w:rFonts w:cs="Times New Roman"/>
          <w:iCs/>
        </w:rPr>
        <w:t xml:space="preserve"> safety of additive solutions used </w:t>
      </w:r>
      <w:r w:rsidR="00D93C65">
        <w:rPr>
          <w:rFonts w:cs="Times New Roman"/>
          <w:iCs/>
        </w:rPr>
        <w:t xml:space="preserve">for RBCs </w:t>
      </w:r>
      <w:r w:rsidR="00D93C65" w:rsidRPr="00762A6A">
        <w:rPr>
          <w:rFonts w:cs="Times New Roman"/>
          <w:iCs/>
        </w:rPr>
        <w:t>is established</w:t>
      </w:r>
      <w:r w:rsidR="00D93C65">
        <w:rPr>
          <w:rFonts w:cs="Times New Roman"/>
          <w:iCs/>
        </w:rPr>
        <w:t>.</w:t>
      </w:r>
      <w:hyperlink w:anchor="_ENREF_236" w:tooltip="Strauss, 2010 #58" w:history="1">
        <w:r w:rsidR="00E62798">
          <w:rPr>
            <w:rFonts w:cs="Times New Roman"/>
            <w:iCs/>
          </w:rPr>
          <w:fldChar w:fldCharType="begin"/>
        </w:r>
        <w:r w:rsidR="00E62798">
          <w:rPr>
            <w:rFonts w:cs="Times New Roman"/>
            <w:iCs/>
          </w:rPr>
          <w:instrText xml:space="preserve"> ADDIN EN.CITE &lt;EndNote&gt;&lt;Cite&gt;&lt;Author&gt;Strauss&lt;/Author&gt;&lt;Year&gt;2010&lt;/Year&gt;&lt;RecNum&gt;58&lt;/RecNum&gt;&lt;DisplayText&gt;&lt;style face="superscript"&gt;236&lt;/style&gt;&lt;/DisplayText&gt;&lt;record&gt;&lt;rec-number&gt;58&lt;/rec-number&gt;&lt;foreign-keys&gt;&lt;key app="EN" db-id="9edve2wadsavt5ewavaxtda4f2tavzvts9ee" timestamp="1424039258"&gt;58&lt;/key&gt;&lt;/foreign-keys&gt;&lt;ref-type name="Journal Article"&gt;17&lt;/ref-type&gt;&lt;contributors&gt;&lt;authors&gt;&lt;author&gt;Strauss, R. G.&lt;/author&gt;&lt;/authors&gt;&lt;/contributors&gt;&lt;auth-address&gt;Professor Emeritus of Pathology &amp;amp; Pediatrics, University of Iowa College of Medicine, 200 Hawkins Drive, C250 GH, Iowa City, IA 52242-1009, .&lt;/auth-address&gt;&lt;titles&gt;&lt;title&gt;RBC storage and avoiding hyperkalemia from transfusions to neonates &amp;amp; infants&lt;/title&gt;&lt;secondary-title&gt;Transfusion&lt;/secondary-title&gt;&lt;alt-title&gt;Transfusion&lt;/alt-title&gt;&lt;/titles&gt;&lt;periodical&gt;&lt;full-title&gt;Transfusion&lt;/full-title&gt;&lt;abbr-1&gt;Transfusion&lt;/abbr-1&gt;&lt;/periodical&gt;&lt;alt-periodical&gt;&lt;full-title&gt;Transfusion&lt;/full-title&gt;&lt;abbr-1&gt;Transfusion&lt;/abbr-1&gt;&lt;/alt-periodical&gt;&lt;pages&gt;1862–1865&lt;/pages&gt;&lt;volume&gt;50&lt;/volume&gt;&lt;number&gt;9&lt;/number&gt;&lt;dates&gt;&lt;year&gt;2010&lt;/year&gt;&lt;pub-dates&gt;&lt;date&gt;Sep&lt;/date&gt;&lt;/pub-dates&gt;&lt;/dates&gt;&lt;isbn&gt;1537-2995 (Electronic)&amp;#xD;0041-1132 (Linking)&lt;/isbn&gt;&lt;accession-num&gt;21552366&lt;/accession-num&gt;&lt;urls&gt;&lt;related-urls&gt;&lt;url&gt;http://www.ncbi.nlm.nih.gov/pubmed/21552366&lt;/url&gt;&lt;/related-urls&gt;&lt;/urls&gt;&lt;custom2&gt;3087162&lt;/custom2&gt;&lt;electronic-resource-num&gt;10.1111/j.1537-2995.2010.02789.x&lt;/electronic-resource-num&gt;&lt;/record&gt;&lt;/Cite&gt;&lt;/EndNote&gt;</w:instrText>
        </w:r>
        <w:r w:rsidR="00E62798">
          <w:rPr>
            <w:rFonts w:cs="Times New Roman"/>
            <w:iCs/>
          </w:rPr>
          <w:fldChar w:fldCharType="separate"/>
        </w:r>
        <w:r w:rsidR="00E62798" w:rsidRPr="00E62798">
          <w:rPr>
            <w:rFonts w:cs="Times New Roman"/>
            <w:iCs/>
            <w:noProof/>
            <w:vertAlign w:val="superscript"/>
          </w:rPr>
          <w:t>236</w:t>
        </w:r>
        <w:r w:rsidR="00E62798">
          <w:rPr>
            <w:rFonts w:cs="Times New Roman"/>
            <w:iCs/>
          </w:rPr>
          <w:fldChar w:fldCharType="end"/>
        </w:r>
      </w:hyperlink>
      <w:r w:rsidR="00D93C65">
        <w:rPr>
          <w:rFonts w:cs="Times New Roman"/>
          <w:iCs/>
        </w:rPr>
        <w:t xml:space="preserve"> Therefore, routine w</w:t>
      </w:r>
      <w:r w:rsidR="00D93C65" w:rsidRPr="00762A6A">
        <w:rPr>
          <w:rFonts w:cs="Times New Roman"/>
          <w:iCs/>
        </w:rPr>
        <w:t xml:space="preserve">ashing </w:t>
      </w:r>
      <w:r w:rsidR="00D93C65">
        <w:rPr>
          <w:rFonts w:cs="Times New Roman"/>
          <w:iCs/>
        </w:rPr>
        <w:t xml:space="preserve">for removal of potassium or additive solution is </w:t>
      </w:r>
      <w:r w:rsidR="00D93C65" w:rsidRPr="00762A6A">
        <w:rPr>
          <w:rFonts w:cs="Times New Roman"/>
          <w:iCs/>
        </w:rPr>
        <w:t>not necessary.</w:t>
      </w:r>
      <w:hyperlink w:anchor="_ENREF_236" w:tooltip="Strauss, 2010 #58" w:history="1">
        <w:r w:rsidR="00E62798">
          <w:rPr>
            <w:rFonts w:cs="Times New Roman"/>
            <w:iCs/>
          </w:rPr>
          <w:fldChar w:fldCharType="begin"/>
        </w:r>
        <w:r w:rsidR="00E62798">
          <w:rPr>
            <w:rFonts w:cs="Times New Roman"/>
            <w:iCs/>
          </w:rPr>
          <w:instrText xml:space="preserve"> ADDIN EN.CITE &lt;EndNote&gt;&lt;Cite&gt;&lt;Author&gt;Strauss&lt;/Author&gt;&lt;Year&gt;2010&lt;/Year&gt;&lt;RecNum&gt;58&lt;/RecNum&gt;&lt;DisplayText&gt;&lt;style face="superscript"&gt;236&lt;/style&gt;&lt;/DisplayText&gt;&lt;record&gt;&lt;rec-number&gt;58&lt;/rec-number&gt;&lt;foreign-keys&gt;&lt;key app="EN" db-id="9edve2wadsavt5ewavaxtda4f2tavzvts9ee" timestamp="1424039258"&gt;58&lt;/key&gt;&lt;/foreign-keys&gt;&lt;ref-type name="Journal Article"&gt;17&lt;/ref-type&gt;&lt;contributors&gt;&lt;authors&gt;&lt;author&gt;Strauss, R. G.&lt;/author&gt;&lt;/authors&gt;&lt;/contributors&gt;&lt;auth-address&gt;Professor Emeritus of Pathology &amp;amp; Pediatrics, University of Iowa College of Medicine, 200 Hawkins Drive, C250 GH, Iowa City, IA 52242-1009, .&lt;/auth-address&gt;&lt;titles&gt;&lt;title&gt;RBC storage and avoiding hyperkalemia from transfusions to neonates &amp;amp; infants&lt;/title&gt;&lt;secondary-title&gt;Transfusion&lt;/secondary-title&gt;&lt;alt-title&gt;Transfusion&lt;/alt-title&gt;&lt;/titles&gt;&lt;periodical&gt;&lt;full-title&gt;Transfusion&lt;/full-title&gt;&lt;abbr-1&gt;Transfusion&lt;/abbr-1&gt;&lt;/periodical&gt;&lt;alt-periodical&gt;&lt;full-title&gt;Transfusion&lt;/full-title&gt;&lt;abbr-1&gt;Transfusion&lt;/abbr-1&gt;&lt;/alt-periodical&gt;&lt;pages&gt;1862–1865&lt;/pages&gt;&lt;volume&gt;50&lt;/volume&gt;&lt;number&gt;9&lt;/number&gt;&lt;dates&gt;&lt;year&gt;2010&lt;/year&gt;&lt;pub-dates&gt;&lt;date&gt;Sep&lt;/date&gt;&lt;/pub-dates&gt;&lt;/dates&gt;&lt;isbn&gt;1537-2995 (Electronic)&amp;#xD;0041-1132 (Linking)&lt;/isbn&gt;&lt;accession-num&gt;21552366&lt;/accession-num&gt;&lt;urls&gt;&lt;related-urls&gt;&lt;url&gt;http://www.ncbi.nlm.nih.gov/pubmed/21552366&lt;/url&gt;&lt;/related-urls&gt;&lt;/urls&gt;&lt;custom2&gt;3087162&lt;/custom2&gt;&lt;electronic-resource-num&gt;10.1111/j.1537-2995.2010.02789.x&lt;/electronic-resource-num&gt;&lt;/record&gt;&lt;/Cite&gt;&lt;/EndNote&gt;</w:instrText>
        </w:r>
        <w:r w:rsidR="00E62798">
          <w:rPr>
            <w:rFonts w:cs="Times New Roman"/>
            <w:iCs/>
          </w:rPr>
          <w:fldChar w:fldCharType="separate"/>
        </w:r>
        <w:r w:rsidR="00E62798" w:rsidRPr="00E62798">
          <w:rPr>
            <w:rFonts w:cs="Times New Roman"/>
            <w:iCs/>
            <w:noProof/>
            <w:vertAlign w:val="superscript"/>
          </w:rPr>
          <w:t>236</w:t>
        </w:r>
        <w:r w:rsidR="00E62798">
          <w:rPr>
            <w:rFonts w:cs="Times New Roman"/>
            <w:iCs/>
          </w:rPr>
          <w:fldChar w:fldCharType="end"/>
        </w:r>
      </w:hyperlink>
      <w:r w:rsidR="00D93C65" w:rsidRPr="00762A6A">
        <w:rPr>
          <w:rFonts w:cs="Times New Roman"/>
          <w:iCs/>
        </w:rPr>
        <w:t xml:space="preserve"> </w:t>
      </w:r>
    </w:p>
    <w:p w14:paraId="262ED31B" w14:textId="144E4819" w:rsidR="00D93C65" w:rsidRPr="00762A6A" w:rsidRDefault="00D93C65" w:rsidP="00D93C65">
      <w:pPr>
        <w:jc w:val="both"/>
        <w:rPr>
          <w:rFonts w:cs="Times New Roman"/>
          <w:iCs/>
        </w:rPr>
      </w:pPr>
      <w:r w:rsidRPr="005D00D2">
        <w:rPr>
          <w:color w:val="auto"/>
        </w:rPr>
        <w:t xml:space="preserve">Overall, there is insufficient evidence </w:t>
      </w:r>
      <w:r w:rsidR="00624FDE">
        <w:rPr>
          <w:color w:val="auto"/>
        </w:rPr>
        <w:t>to determine</w:t>
      </w:r>
      <w:r w:rsidRPr="005D00D2">
        <w:rPr>
          <w:color w:val="auto"/>
        </w:rPr>
        <w:t xml:space="preserve"> whether washed </w:t>
      </w:r>
      <w:r w:rsidR="00A45BC6">
        <w:rPr>
          <w:color w:val="auto"/>
        </w:rPr>
        <w:t>RBCs</w:t>
      </w:r>
      <w:r w:rsidRPr="005D00D2">
        <w:rPr>
          <w:color w:val="auto"/>
        </w:rPr>
        <w:t xml:space="preserve"> improve outcomes in </w:t>
      </w:r>
      <w:r w:rsidR="002B11B8">
        <w:t>fetal, neonatal or paediatric</w:t>
      </w:r>
      <w:r w:rsidR="002B11B8" w:rsidRPr="005D00D2" w:rsidDel="002B11B8">
        <w:rPr>
          <w:color w:val="auto"/>
        </w:rPr>
        <w:t xml:space="preserve"> </w:t>
      </w:r>
      <w:r w:rsidRPr="005D00D2">
        <w:rPr>
          <w:color w:val="auto"/>
        </w:rPr>
        <w:t>patients.</w:t>
      </w:r>
    </w:p>
    <w:p w14:paraId="68B551CC" w14:textId="7414F75C" w:rsidR="00D93C65" w:rsidRPr="00624FDE" w:rsidRDefault="00D93C65" w:rsidP="00D93C65">
      <w:pPr>
        <w:pStyle w:val="Heading2"/>
        <w:rPr>
          <w:rFonts w:eastAsia="Calibri"/>
          <w:lang w:val="en-AU"/>
        </w:rPr>
      </w:pPr>
      <w:bookmarkStart w:id="201" w:name="_Toc421124118"/>
      <w:bookmarkStart w:id="202" w:name="_Toc427851378"/>
      <w:r>
        <w:t>4.2</w:t>
      </w:r>
      <w:r>
        <w:tab/>
      </w:r>
      <w:bookmarkEnd w:id="201"/>
      <w:r w:rsidR="00D065DD">
        <w:rPr>
          <w:lang w:val="en-AU"/>
        </w:rPr>
        <w:t>T</w:t>
      </w:r>
      <w:r w:rsidR="00624FDE">
        <w:rPr>
          <w:lang w:val="en-AU"/>
        </w:rPr>
        <w:t>he need for neonatal transfusion</w:t>
      </w:r>
      <w:bookmarkEnd w:id="202"/>
    </w:p>
    <w:p w14:paraId="0F0FF593" w14:textId="77777777" w:rsidR="00D93C65" w:rsidRDefault="00D93C65" w:rsidP="00D93C65">
      <w:pPr>
        <w:pStyle w:val="BoxHeading"/>
        <w:rPr>
          <w:rFonts w:eastAsia="Calibri"/>
        </w:rPr>
      </w:pPr>
      <w:r>
        <w:rPr>
          <w:rFonts w:eastAsia="Calibri"/>
        </w:rPr>
        <w:t>Background question 2</w:t>
      </w:r>
    </w:p>
    <w:p w14:paraId="03266148" w14:textId="194B4B9A" w:rsidR="0086731F" w:rsidRDefault="0086731F" w:rsidP="0086731F">
      <w:pPr>
        <w:pStyle w:val="BoxText"/>
      </w:pPr>
      <w:bookmarkStart w:id="203" w:name="_Toc421124119"/>
      <w:r>
        <w:t xml:space="preserve">In fetuses at risk for </w:t>
      </w:r>
      <w:r w:rsidR="002B2C2B">
        <w:t>thrombocytopaenia</w:t>
      </w:r>
      <w:r>
        <w:t xml:space="preserve"> or anaemia, do particular strategies for detection, intrauterine transfusion and other management improve outcomes and/or reduce the need for neonatal transfusion? </w:t>
      </w:r>
    </w:p>
    <w:p w14:paraId="05D04CE7" w14:textId="726EC1AC" w:rsidR="00D93C65" w:rsidRPr="00EC0379" w:rsidRDefault="00D93C65" w:rsidP="00D93C65">
      <w:pPr>
        <w:pStyle w:val="Heading3"/>
      </w:pPr>
      <w:bookmarkStart w:id="204" w:name="_Toc427851379"/>
      <w:r>
        <w:t>4.2.1</w:t>
      </w:r>
      <w:r>
        <w:tab/>
        <w:t xml:space="preserve">Intrauterine </w:t>
      </w:r>
      <w:r w:rsidRPr="00EC0379">
        <w:t>fetal blood component transfusion</w:t>
      </w:r>
      <w:bookmarkEnd w:id="203"/>
      <w:bookmarkEnd w:id="204"/>
    </w:p>
    <w:p w14:paraId="107270EA" w14:textId="322B64D1" w:rsidR="00D93C65" w:rsidRPr="00EC0379" w:rsidRDefault="00D93C65" w:rsidP="00D93C65">
      <w:r w:rsidRPr="00EC0379">
        <w:t xml:space="preserve">IUT of </w:t>
      </w:r>
      <w:r>
        <w:t>RBCs</w:t>
      </w:r>
      <w:r w:rsidRPr="00EC0379">
        <w:t xml:space="preserve"> or platelets can reduce perinatal morbidity and mortality associated with severe fetal anaemia or </w:t>
      </w:r>
      <w:r w:rsidR="002B2C2B">
        <w:t>thrombocytopaenia</w:t>
      </w:r>
      <w:r w:rsidRPr="00EC0379">
        <w:t>.</w:t>
      </w:r>
      <w:r>
        <w:t xml:space="preserve"> The most common causes of severe fetal anaemia and </w:t>
      </w:r>
      <w:r w:rsidR="002B2C2B">
        <w:t>thrombocytopaenia</w:t>
      </w:r>
      <w:r>
        <w:t xml:space="preserve"> that may require IUT are described below, although the use of IUT is not restricted to these aetiologies. </w:t>
      </w:r>
    </w:p>
    <w:p w14:paraId="11628220" w14:textId="4A7D8B1B" w:rsidR="00D93C65" w:rsidRPr="00EC0379" w:rsidRDefault="00D93C65" w:rsidP="00D93C65">
      <w:pPr>
        <w:pStyle w:val="Heading5"/>
      </w:pPr>
      <w:r>
        <w:t>F</w:t>
      </w:r>
      <w:r w:rsidRPr="00EC0379">
        <w:t xml:space="preserve">etal anaemia </w:t>
      </w:r>
    </w:p>
    <w:p w14:paraId="66B4D655" w14:textId="7DFC1FF5" w:rsidR="00D93C65" w:rsidRDefault="00624FDE" w:rsidP="00624FDE">
      <w:r>
        <w:t>HDFN occurs when m</w:t>
      </w:r>
      <w:r w:rsidR="00D93C65" w:rsidRPr="00EC0379">
        <w:t xml:space="preserve">aternal alloimmunisation against </w:t>
      </w:r>
      <w:r w:rsidR="00D93C65">
        <w:t>RBC</w:t>
      </w:r>
      <w:r w:rsidR="00D93C65" w:rsidRPr="00EC0379">
        <w:t xml:space="preserve"> antigens </w:t>
      </w:r>
      <w:r w:rsidR="00D93C65">
        <w:t xml:space="preserve">(most commonly RhD, Rhc and </w:t>
      </w:r>
      <w:r w:rsidR="00D93C65" w:rsidRPr="00EC0379">
        <w:t>Kell</w:t>
      </w:r>
      <w:r w:rsidR="00D93C65">
        <w:t>)</w:t>
      </w:r>
      <w:r w:rsidR="00D93C65" w:rsidRPr="00EC0379">
        <w:t xml:space="preserve"> leads to the formation of IgG antibodies </w:t>
      </w:r>
      <w:r w:rsidR="00D93C65">
        <w:t>that</w:t>
      </w:r>
      <w:r w:rsidR="00D93C65" w:rsidRPr="00EC0379">
        <w:t xml:space="preserve"> can cross the placenta and cause fetal </w:t>
      </w:r>
      <w:r w:rsidR="00D93C65">
        <w:t>RBC</w:t>
      </w:r>
      <w:r w:rsidR="00D93C65" w:rsidRPr="00EC0379">
        <w:t xml:space="preserve"> haemolysis.</w:t>
      </w:r>
      <w:r w:rsidR="00E62798">
        <w:fldChar w:fldCharType="begin">
          <w:fldData xml:space="preserve">PEVuZE5vdGU+PENpdGU+PEF1dGhvcj5MaWxleTwvQXV0aG9yPjxZZWFyPjIwMTU8L1llYXI+PFJl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</w:fldData>
        </w:fldChar>
      </w:r>
      <w:r w:rsidR="00E62798">
        <w:instrText xml:space="preserve"> ADDIN EN.CITE </w:instrText>
      </w:r>
      <w:r w:rsidR="00E62798">
        <w:fldChar w:fldCharType="begin">
          <w:fldData xml:space="preserve">PEVuZE5vdGU+PENpdGU+PEF1dGhvcj5MaWxleTwvQXV0aG9yPjxZZWFyPjIwMTU8L1llYXI+PFJl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</w:fldData>
        </w:fldChar>
      </w:r>
      <w:r w:rsidR="00E62798">
        <w:instrText xml:space="preserve"> ADDIN EN.CITE.DATA </w:instrText>
      </w:r>
      <w:r w:rsidR="00E62798">
        <w:fldChar w:fldCharType="end"/>
      </w:r>
      <w:r w:rsidR="00E62798">
        <w:fldChar w:fldCharType="separate"/>
      </w:r>
      <w:hyperlink w:anchor="_ENREF_169" w:tooltip="Liley, 2015 #1082" w:history="1">
        <w:r w:rsidR="00E62798" w:rsidRPr="00E62798">
          <w:rPr>
            <w:noProof/>
            <w:vertAlign w:val="superscript"/>
          </w:rPr>
          <w:t>169</w:t>
        </w:r>
      </w:hyperlink>
      <w:r w:rsidR="00E62798" w:rsidRPr="00E62798">
        <w:rPr>
          <w:noProof/>
          <w:vertAlign w:val="superscript"/>
        </w:rPr>
        <w:t xml:space="preserve">; </w:t>
      </w:r>
      <w:hyperlink w:anchor="_ENREF_281" w:tooltip="van Kamp, 2004 #500" w:history="1">
        <w:r w:rsidR="00E62798" w:rsidRPr="00E62798">
          <w:rPr>
            <w:noProof/>
            <w:vertAlign w:val="superscript"/>
          </w:rPr>
          <w:t>281-282</w:t>
        </w:r>
      </w:hyperlink>
      <w:r w:rsidR="00E62798">
        <w:fldChar w:fldCharType="end"/>
      </w:r>
      <w:r>
        <w:t xml:space="preserve"> </w:t>
      </w:r>
      <w:r w:rsidR="00D93C65">
        <w:t xml:space="preserve">Severe anaemia can also occur as a result of fetal </w:t>
      </w:r>
      <w:r w:rsidR="00D93C65" w:rsidRPr="00EC0379">
        <w:t>infection with parvovirus B19</w:t>
      </w:r>
      <w:r w:rsidR="00D93C65">
        <w:t>, and other rarer causes</w:t>
      </w:r>
      <w:r w:rsidR="00D93C65" w:rsidRPr="00EC0379">
        <w:t>.</w:t>
      </w:r>
    </w:p>
    <w:p w14:paraId="428F66ED" w14:textId="722144E1" w:rsidR="00D93C65" w:rsidRPr="00950E4D" w:rsidRDefault="00D93C65" w:rsidP="00624FDE">
      <w:pPr>
        <w:rPr>
          <w:b/>
        </w:rPr>
      </w:pPr>
      <w:r>
        <w:t>Where there is a risk of</w:t>
      </w:r>
      <w:r w:rsidRPr="00EC0379">
        <w:t xml:space="preserve"> </w:t>
      </w:r>
      <w:r>
        <w:t xml:space="preserve">anaemia due to </w:t>
      </w:r>
      <w:r w:rsidRPr="00EC0379">
        <w:t>HDFN</w:t>
      </w:r>
      <w:r>
        <w:t xml:space="preserve"> or other causes, women</w:t>
      </w:r>
      <w:r w:rsidRPr="00EC0379">
        <w:t xml:space="preserve"> should </w:t>
      </w:r>
      <w:r>
        <w:t>be referred to a maternal fetal medicine specialist for</w:t>
      </w:r>
      <w:r w:rsidRPr="00EC0379">
        <w:t xml:space="preserve"> regular ultrasound surveillance</w:t>
      </w:r>
      <w:r>
        <w:t xml:space="preserve"> that</w:t>
      </w:r>
      <w:r w:rsidRPr="00EC0379">
        <w:t xml:space="preserve"> includ</w:t>
      </w:r>
      <w:r>
        <w:t>es</w:t>
      </w:r>
      <w:r w:rsidRPr="00EC0379">
        <w:t xml:space="preserve"> Doppler assessment of the </w:t>
      </w:r>
      <w:r w:rsidR="009D7C48">
        <w:t>middle cerebral artery (</w:t>
      </w:r>
      <w:r>
        <w:t>MCA</w:t>
      </w:r>
      <w:r w:rsidR="009D7C48">
        <w:t>)</w:t>
      </w:r>
      <w:r w:rsidRPr="00EC0379">
        <w:t xml:space="preserve"> peak systolic velocity (PSV)</w:t>
      </w:r>
      <w:r>
        <w:t>,</w:t>
      </w:r>
      <w:r w:rsidRPr="00EC0379">
        <w:t xml:space="preserve"> to </w:t>
      </w:r>
      <w:r>
        <w:t xml:space="preserve">monitor for signs of </w:t>
      </w:r>
      <w:r w:rsidRPr="00EC0379">
        <w:t>severe fetal anaemia</w:t>
      </w:r>
      <w:r>
        <w:t xml:space="preserve"> </w:t>
      </w:r>
      <w:r w:rsidR="001944D9">
        <w:t>undergoing</w:t>
      </w:r>
      <w:r>
        <w:t xml:space="preserve"> IUT</w:t>
      </w:r>
      <w:r w:rsidRPr="00EC0379">
        <w:t>.</w:t>
      </w:r>
      <w:hyperlink w:anchor="_ENREF_283" w:tooltip="Mari, 2000 #525" w:history="1">
        <w:r w:rsidR="00E62798">
          <w:fldChar w:fldCharType="begin">
            <w:fldData xml:space="preserve">PEVuZE5vdGU+PENpdGU+PEF1dGhvcj5NYXJpPC9BdXRob3I+PFllYXI+MjAwMDwvWWVhcj48UmVj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</w:fldData>
          </w:fldChar>
        </w:r>
        <w:r w:rsidR="00E62798">
          <w:instrText xml:space="preserve"> ADDIN EN.CITE </w:instrText>
        </w:r>
        <w:r w:rsidR="00E62798">
          <w:fldChar w:fldCharType="begin">
            <w:fldData xml:space="preserve">PEVuZE5vdGU+PENpdGU+PEF1dGhvcj5NYXJpPC9BdXRob3I+PFllYXI+MjAwMDwvWWVhcj48UmVj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283</w:t>
        </w:r>
        <w:r w:rsidR="00E62798">
          <w:fldChar w:fldCharType="end"/>
        </w:r>
      </w:hyperlink>
      <w:r w:rsidR="00F848F2">
        <w:t xml:space="preserve"> </w:t>
      </w:r>
      <w:r>
        <w:t xml:space="preserve">In cases of severe fetal anaemia, </w:t>
      </w:r>
      <w:r w:rsidRPr="00EC0379">
        <w:t xml:space="preserve">IUT </w:t>
      </w:r>
      <w:r>
        <w:t>with RBCs can</w:t>
      </w:r>
      <w:r w:rsidRPr="00EC0379">
        <w:t xml:space="preserve"> prevent hydrops and</w:t>
      </w:r>
      <w:r>
        <w:t xml:space="preserve"> fetal death</w:t>
      </w:r>
      <w:r w:rsidR="00624FDE">
        <w:t>,</w:t>
      </w:r>
      <w:r w:rsidRPr="00EC0379">
        <w:t xml:space="preserve"> and promote prolongation of the pregnancy</w:t>
      </w:r>
      <w:r>
        <w:t>. R</w:t>
      </w:r>
      <w:r w:rsidRPr="00EC0379">
        <w:t>epeat transfusions may be</w:t>
      </w:r>
      <w:r>
        <w:t xml:space="preserve"> needed, with timing</w:t>
      </w:r>
      <w:r w:rsidRPr="00EC0379">
        <w:t xml:space="preserve"> based on empiric time intervals or on MCA PSV values.</w:t>
      </w:r>
      <w:hyperlink w:anchor="_ENREF_284" w:tooltip="Scheier, 2006 #502" w:history="1">
        <w:r w:rsidR="00E62798">
          <w:fldChar w:fldCharType="begin">
            <w:fldData xml:space="preserve">PEVuZE5vdGU+PENpdGU+PEF1dGhvcj5TY2hlaWVyPC9BdXRob3I+PFllYXI+MjAwNjwvWWVhcj48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</w:fldData>
          </w:fldChar>
        </w:r>
        <w:r w:rsidR="00E62798">
          <w:instrText xml:space="preserve"> ADDIN EN.CITE </w:instrText>
        </w:r>
        <w:r w:rsidR="00E62798">
          <w:fldChar w:fldCharType="begin">
            <w:fldData xml:space="preserve">PEVuZE5vdGU+PENpdGU+PEF1dGhvcj5TY2hlaWVyPC9BdXRob3I+PFllYXI+MjAwNjwvWWVhcj48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284-285</w:t>
        </w:r>
        <w:r w:rsidR="00E62798">
          <w:fldChar w:fldCharType="end"/>
        </w:r>
      </w:hyperlink>
      <w:r w:rsidRPr="00EC0379">
        <w:rPr>
          <w:b/>
        </w:rPr>
        <w:t xml:space="preserve"> </w:t>
      </w:r>
    </w:p>
    <w:p w14:paraId="126C6918" w14:textId="0FBCE80E" w:rsidR="00D93C65" w:rsidRDefault="00D93C65" w:rsidP="00D93C65">
      <w:pPr>
        <w:pStyle w:val="Heading5"/>
      </w:pPr>
      <w:r>
        <w:t>F</w:t>
      </w:r>
      <w:r w:rsidRPr="00EC0379">
        <w:t xml:space="preserve">etal </w:t>
      </w:r>
      <w:r w:rsidR="002B2C2B">
        <w:t>thrombocytopaenia</w:t>
      </w:r>
    </w:p>
    <w:p w14:paraId="64086CC6" w14:textId="216B3FC3" w:rsidR="00D93C65" w:rsidRPr="009C24D6" w:rsidRDefault="00D93C65" w:rsidP="00624FDE">
      <w:r w:rsidRPr="009C24D6">
        <w:t xml:space="preserve">IUT of platelets can be used to treat severe fetal </w:t>
      </w:r>
      <w:r w:rsidR="002B2C2B">
        <w:t>thrombocytopaenia</w:t>
      </w:r>
      <w:r w:rsidRPr="009C24D6">
        <w:t xml:space="preserve"> due to </w:t>
      </w:r>
      <w:r>
        <w:t>F</w:t>
      </w:r>
      <w:r w:rsidRPr="009C24D6">
        <w:t>NAIT</w:t>
      </w:r>
      <w:r w:rsidR="001D235F">
        <w:t>,</w:t>
      </w:r>
      <w:r w:rsidRPr="009C24D6">
        <w:t xml:space="preserve"> </w:t>
      </w:r>
      <w:r>
        <w:t>with the aim of</w:t>
      </w:r>
      <w:r w:rsidRPr="009C24D6">
        <w:t xml:space="preserve"> reducing the risk of neonatal ICH. Due to the high risk </w:t>
      </w:r>
      <w:r>
        <w:t xml:space="preserve">associated </w:t>
      </w:r>
      <w:r w:rsidRPr="009C24D6">
        <w:t xml:space="preserve">with </w:t>
      </w:r>
      <w:r w:rsidR="002B2C2B">
        <w:t>fetal blood sampling (</w:t>
      </w:r>
      <w:r w:rsidRPr="009C24D6">
        <w:t>FBS</w:t>
      </w:r>
      <w:r w:rsidR="002B2C2B">
        <w:t>)</w:t>
      </w:r>
      <w:r w:rsidRPr="009C24D6">
        <w:t xml:space="preserve"> and </w:t>
      </w:r>
      <w:r>
        <w:t xml:space="preserve">intrauterine </w:t>
      </w:r>
      <w:r w:rsidRPr="009C24D6">
        <w:t xml:space="preserve">platelet transfusion, there has been a move away from platelet IUT and towards non-invasive treatments, especially maternal </w:t>
      </w:r>
      <w:r w:rsidR="00274815">
        <w:t>IVIg</w:t>
      </w:r>
      <w:r w:rsidRPr="009C24D6">
        <w:t>.</w:t>
      </w:r>
      <w:r w:rsidR="001D235F">
        <w:t xml:space="preserve"> </w:t>
      </w:r>
      <w:r w:rsidRPr="009C24D6">
        <w:t xml:space="preserve">Platelet IUT should be considered in </w:t>
      </w:r>
      <w:r w:rsidR="001D235F">
        <w:t xml:space="preserve">cases of </w:t>
      </w:r>
      <w:r w:rsidRPr="009C24D6">
        <w:t xml:space="preserve">FNAIT where there is recent </w:t>
      </w:r>
      <w:r>
        <w:t xml:space="preserve">fetal </w:t>
      </w:r>
      <w:r w:rsidR="001D235F">
        <w:t>ICH or</w:t>
      </w:r>
      <w:r w:rsidRPr="009C24D6">
        <w:t xml:space="preserve"> a </w:t>
      </w:r>
      <w:r w:rsidR="00AC28BF">
        <w:t xml:space="preserve">previous </w:t>
      </w:r>
      <w:r w:rsidRPr="009C24D6">
        <w:t>history of a severely affected fetus</w:t>
      </w:r>
      <w:r w:rsidR="001D235F">
        <w:t>,</w:t>
      </w:r>
      <w:r w:rsidRPr="009C24D6">
        <w:t xml:space="preserve"> or in cases refractory to maternal </w:t>
      </w:r>
      <w:r w:rsidR="00274815">
        <w:t>IVIg</w:t>
      </w:r>
      <w:r w:rsidRPr="009C24D6">
        <w:t xml:space="preserve"> therapy.</w:t>
      </w:r>
      <w:hyperlink w:anchor="_ENREF_286" w:tooltip="Wong, 2013 #533" w:history="1">
        <w:r w:rsidR="00E62798">
          <w:fldChar w:fldCharType="begin"/>
        </w:r>
        <w:r w:rsidR="00E62798">
          <w:instrText xml:space="preserve"> ADDIN EN.CITE &lt;EndNote&gt;&lt;Cite&gt;&lt;Author&gt;Wong&lt;/Author&gt;&lt;Year&gt;2013&lt;/Year&gt;&lt;RecNum&gt;533&lt;/RecNum&gt;&lt;DisplayText&gt;&lt;style face="superscript"&gt;286&lt;/style&gt;&lt;/DisplayText&gt;&lt;record&gt;&lt;rec-number&gt;533&lt;/rec-number&gt;&lt;foreign-keys&gt;&lt;key app="EN" db-id="9edve2wadsavt5ewavaxtda4f2tavzvts9ee" timestamp="1429937222"&gt;533&lt;/key&gt;&lt;/foreign-keys&gt;&lt;ref-type name="Journal Article"&gt;17&lt;/ref-type&gt;&lt;contributors&gt;&lt;authors&gt;&lt;author&gt;Wong, K. S.&lt;/author&gt;&lt;author&gt;Connan, K.&lt;/author&gt;&lt;author&gt;Rowlands, S.&lt;/author&gt;&lt;author&gt;Kornman, L. H.&lt;/author&gt;&lt;author&gt;Savoia, H. F.&lt;/author&gt;&lt;/authors&gt;&lt;/contributors&gt;&lt;auth-address&gt;Department of Obstetrics and Gynaecology, The Royal Women&amp;apos;s Hospital, Parkville, Australia. kaewong@optusnet.com.au.&lt;/auth-address&gt;&lt;titles&gt;&lt;title&gt;Antenatal immunoglobulin for fetal red blood cell alloimmunization&lt;/title&gt;&lt;secondary-title&gt;Cochrane Database Syst Rev&lt;/secondary-title&gt;&lt;/titles&gt;&lt;periodical&gt;&lt;full-title&gt;Cochrane Database Syst Rev&lt;/full-title&gt;&lt;abbr-1&gt;The Cochrane database of systematic reviews&lt;/abbr-1&gt;&lt;/periodical&gt;&lt;pages&gt;CD008267&lt;/pages&gt;&lt;volume&gt;5&lt;/volume&gt;&lt;keywords&gt;&lt;keyword&gt;Anemia, Hemolytic/immunology/*prevention &amp;amp; control&lt;/keyword&gt;&lt;keyword&gt;Erythrocytes/*immunology&lt;/keyword&gt;&lt;keyword&gt;Female&lt;/keyword&gt;&lt;keyword&gt;Fetal Diseases/immunology/*prevention &amp;amp; control&lt;/keyword&gt;&lt;keyword&gt;Humans&lt;/keyword&gt;&lt;keyword&gt;Immunoglobulins, Intravenous/*administration &amp;amp; dosage&lt;/keyword&gt;&lt;keyword&gt;Immunologic Factors/*administration &amp;amp; dosage&lt;/keyword&gt;&lt;keyword&gt;Pregnancy&lt;/keyword&gt;&lt;/keywords&gt;&lt;dates&gt;&lt;year&gt;2013&lt;/year&gt;&lt;/dates&gt;&lt;isbn&gt;1469-493X (Electronic)&amp;#xD;1361-6137 (Linking)&lt;/isbn&gt;&lt;accession-num&gt;23728672&lt;/accession-num&gt;&lt;urls&gt;&lt;related-urls&gt;&lt;url&gt;http://www.ncbi.nlm.nih.gov/pubmed/23728672&lt;/url&gt;&lt;/related-urls&gt;&lt;/urls&gt;&lt;electronic-resource-num&gt;10.1002/14651858.CD008267.pub2&lt;/electronic-resource-num&gt;&lt;/record&gt;&lt;/Cite&gt;&lt;/EndNote&gt;</w:instrText>
        </w:r>
        <w:r w:rsidR="00E62798">
          <w:fldChar w:fldCharType="separate"/>
        </w:r>
        <w:r w:rsidR="00E62798" w:rsidRPr="00E62798">
          <w:rPr>
            <w:noProof/>
            <w:vertAlign w:val="superscript"/>
          </w:rPr>
          <w:t>286</w:t>
        </w:r>
        <w:r w:rsidR="00E62798">
          <w:fldChar w:fldCharType="end"/>
        </w:r>
      </w:hyperlink>
    </w:p>
    <w:p w14:paraId="3241C478" w14:textId="4CAE5E7A" w:rsidR="00D93C65" w:rsidRPr="00EC0379" w:rsidRDefault="00D93C65" w:rsidP="00D93C65">
      <w:pPr>
        <w:pStyle w:val="Heading4"/>
      </w:pPr>
      <w:r>
        <w:t>P</w:t>
      </w:r>
      <w:r w:rsidRPr="00EC0379">
        <w:t xml:space="preserve">otential complications </w:t>
      </w:r>
      <w:r>
        <w:t>of</w:t>
      </w:r>
      <w:r w:rsidRPr="00EC0379">
        <w:t xml:space="preserve"> </w:t>
      </w:r>
      <w:r w:rsidR="00D1150F">
        <w:rPr>
          <w:lang w:val="en-AU"/>
        </w:rPr>
        <w:t>IUT</w:t>
      </w:r>
      <w:r w:rsidRPr="00EC0379">
        <w:t xml:space="preserve"> </w:t>
      </w:r>
    </w:p>
    <w:p w14:paraId="201AEF96" w14:textId="140CABED" w:rsidR="00D93C65" w:rsidRPr="00EC0379" w:rsidRDefault="00D93C65" w:rsidP="00D93C65">
      <w:r w:rsidRPr="00EC0379">
        <w:t>The overall complication rate of 3.1%</w:t>
      </w:r>
      <w:r>
        <w:t xml:space="preserve"> includes the potential for f</w:t>
      </w:r>
      <w:r w:rsidRPr="00EC0379">
        <w:t xml:space="preserve">etal loss </w:t>
      </w:r>
      <w:r>
        <w:t>(</w:t>
      </w:r>
      <w:r w:rsidRPr="00EC0379">
        <w:t>1.6</w:t>
      </w:r>
      <w:r>
        <w:t>–</w:t>
      </w:r>
      <w:r w:rsidRPr="00EC0379">
        <w:t>1.7% per procedure</w:t>
      </w:r>
      <w:r>
        <w:t>)</w:t>
      </w:r>
      <w:r w:rsidRPr="00EC0379">
        <w:t>.</w:t>
      </w:r>
      <w:hyperlink w:anchor="_ENREF_287" w:tooltip="Van Kamp, 2005 #499" w:history="1">
        <w:r w:rsidR="00E62798">
          <w:fldChar w:fldCharType="begin">
            <w:fldData xml:space="preserve">PEVuZE5vdGU+PENpdGU+PEF1dGhvcj5WYW4gS2FtcDwvQXV0aG9yPjxZZWFyPjIwMDU8L1llYXI+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</w:fldData>
          </w:fldChar>
        </w:r>
        <w:r w:rsidR="00E62798">
          <w:instrText xml:space="preserve"> ADDIN EN.CITE </w:instrText>
        </w:r>
        <w:r w:rsidR="00E62798">
          <w:fldChar w:fldCharType="begin">
            <w:fldData xml:space="preserve">PEVuZE5vdGU+PENpdGU+PEF1dGhvcj5WYW4gS2FtcDwvQXV0aG9yPjxZZWFyPjIwMDU8L1llYXI+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287-288</w:t>
        </w:r>
        <w:r w:rsidR="00E62798">
          <w:fldChar w:fldCharType="end"/>
        </w:r>
      </w:hyperlink>
      <w:r w:rsidRPr="00EC0379">
        <w:t xml:space="preserve"> </w:t>
      </w:r>
      <w:r>
        <w:t>In HDFN</w:t>
      </w:r>
      <w:r w:rsidR="001D235F">
        <w:t>,</w:t>
      </w:r>
      <w:r>
        <w:t xml:space="preserve"> e</w:t>
      </w:r>
      <w:r w:rsidRPr="00EC0379">
        <w:t>ach IUT can expose the mother to fetal</w:t>
      </w:r>
      <w:r>
        <w:t xml:space="preserve"> RBCs</w:t>
      </w:r>
      <w:r w:rsidRPr="00EC0379">
        <w:t xml:space="preserve">, </w:t>
      </w:r>
      <w:r>
        <w:t xml:space="preserve">resulting in an increase in </w:t>
      </w:r>
      <w:r w:rsidR="001D235F">
        <w:t>the mother’s</w:t>
      </w:r>
      <w:r w:rsidRPr="00EC0379">
        <w:t xml:space="preserve"> antibody titre</w:t>
      </w:r>
      <w:r w:rsidR="001D235F">
        <w:t>,</w:t>
      </w:r>
      <w:r w:rsidRPr="00EC0379">
        <w:t xml:space="preserve"> and potentially worsening the disease process.</w:t>
      </w:r>
      <w:r>
        <w:t xml:space="preserve"> </w:t>
      </w:r>
      <w:r w:rsidRPr="00EC0379">
        <w:t>Before 18 weeks gestation</w:t>
      </w:r>
      <w:r>
        <w:t>,</w:t>
      </w:r>
      <w:r w:rsidRPr="00EC0379">
        <w:t xml:space="preserve"> </w:t>
      </w:r>
      <w:r>
        <w:t>IUT is technically difficult. B</w:t>
      </w:r>
      <w:r w:rsidRPr="00EC0379">
        <w:t xml:space="preserve">eyond </w:t>
      </w:r>
      <w:r>
        <w:t>35</w:t>
      </w:r>
      <w:r w:rsidRPr="00EC0379">
        <w:t xml:space="preserve"> weeks gestation, the risk to the fetus from IUT </w:t>
      </w:r>
      <w:r>
        <w:t xml:space="preserve">should be weighed against </w:t>
      </w:r>
      <w:r w:rsidR="001D235F">
        <w:t xml:space="preserve">the </w:t>
      </w:r>
      <w:r>
        <w:t xml:space="preserve">risks from early delivery and </w:t>
      </w:r>
      <w:r w:rsidRPr="00EC0379">
        <w:t xml:space="preserve">postnatal </w:t>
      </w:r>
      <w:r>
        <w:t>treatment</w:t>
      </w:r>
      <w:r w:rsidRPr="00EC0379">
        <w:t>.</w:t>
      </w:r>
    </w:p>
    <w:p w14:paraId="18F233C0" w14:textId="586B4383" w:rsidR="00D93C65" w:rsidRDefault="001D235F" w:rsidP="001D235F">
      <w:pPr>
        <w:pStyle w:val="TableName"/>
      </w:pPr>
      <w:bookmarkStart w:id="205" w:name="_Toc427758394"/>
      <w:r>
        <w:t>Table 4.2</w:t>
      </w:r>
      <w:r>
        <w:tab/>
      </w:r>
      <w:r w:rsidR="00D93C65">
        <w:t>P</w:t>
      </w:r>
      <w:r w:rsidR="00D93C65" w:rsidRPr="00EC0379">
        <w:t>r</w:t>
      </w:r>
      <w:r w:rsidR="00D93C65">
        <w:t>oducts</w:t>
      </w:r>
      <w:r w:rsidR="00D93C65" w:rsidRPr="00EC0379">
        <w:t xml:space="preserve"> for </w:t>
      </w:r>
      <w:r w:rsidR="00D1150F">
        <w:t>IUT</w:t>
      </w:r>
      <w:bookmarkEnd w:id="205"/>
      <w:r w:rsidR="00D93C65" w:rsidRPr="00EC0379">
        <w:t xml:space="preserve"> </w:t>
      </w:r>
    </w:p>
    <w:tbl>
      <w:tblPr>
        <w:tblStyle w:val="TableGrid"/>
        <w:tblW w:w="8347" w:type="dxa"/>
        <w:tblInd w:w="720" w:type="dxa"/>
        <w:tblLook w:val="04A0" w:firstRow="1" w:lastRow="0" w:firstColumn="1" w:lastColumn="0" w:noHBand="0" w:noVBand="1"/>
      </w:tblPr>
      <w:tblGrid>
        <w:gridCol w:w="4804"/>
        <w:gridCol w:w="3543"/>
      </w:tblGrid>
      <w:tr w:rsidR="00D93C65" w14:paraId="15D06D05" w14:textId="77777777" w:rsidTr="00C62C56">
        <w:tc>
          <w:tcPr>
            <w:tcW w:w="8347" w:type="dxa"/>
            <w:gridSpan w:val="2"/>
          </w:tcPr>
          <w:p w14:paraId="1EB80CD1" w14:textId="77777777" w:rsidR="00D93C65" w:rsidRDefault="00D93C65" w:rsidP="001D235F">
            <w:pPr>
              <w:pStyle w:val="TableHeading"/>
            </w:pPr>
            <w:r>
              <w:t>Both RBCs and platelets</w:t>
            </w:r>
          </w:p>
        </w:tc>
      </w:tr>
      <w:tr w:rsidR="00D93C65" w14:paraId="5266AAFB" w14:textId="77777777" w:rsidTr="00C62C56">
        <w:tc>
          <w:tcPr>
            <w:tcW w:w="8347" w:type="dxa"/>
            <w:gridSpan w:val="2"/>
          </w:tcPr>
          <w:p w14:paraId="77F30A0B" w14:textId="77777777" w:rsidR="00D93C65" w:rsidRDefault="00D93C65" w:rsidP="001D235F">
            <w:pPr>
              <w:pStyle w:val="TableBullet"/>
            </w:pPr>
            <w:r>
              <w:t>Leucodepleted</w:t>
            </w:r>
          </w:p>
          <w:p w14:paraId="41D52ECC" w14:textId="57434D99" w:rsidR="00D93C65" w:rsidRDefault="00D93C65" w:rsidP="001D235F">
            <w:pPr>
              <w:pStyle w:val="TableBullet"/>
            </w:pPr>
            <w:r>
              <w:t xml:space="preserve">CMV negative (although leucodepletion may suffice </w:t>
            </w:r>
            <w:r w:rsidR="001D235F">
              <w:t xml:space="preserve">– </w:t>
            </w:r>
            <w:r>
              <w:t xml:space="preserve">see </w:t>
            </w:r>
            <w:r w:rsidR="001D235F">
              <w:t xml:space="preserve">Section </w:t>
            </w:r>
            <w:r>
              <w:t>4.1.4</w:t>
            </w:r>
            <w:r w:rsidR="001D235F">
              <w:t>)</w:t>
            </w:r>
          </w:p>
          <w:p w14:paraId="2A712A0B" w14:textId="6CF5054D" w:rsidR="00D93C65" w:rsidRDefault="001D235F" w:rsidP="001D235F">
            <w:pPr>
              <w:pStyle w:val="TableBullet"/>
            </w:pPr>
            <w:r w:rsidRPr="00B32391">
              <w:t xml:space="preserve">Irradiated </w:t>
            </w:r>
            <w:r w:rsidR="00D93C65" w:rsidRPr="00B32391">
              <w:t xml:space="preserve">to prevent </w:t>
            </w:r>
            <w:r w:rsidR="00D93C65">
              <w:t>TAGVHD</w:t>
            </w:r>
          </w:p>
        </w:tc>
      </w:tr>
      <w:tr w:rsidR="00D93C65" w14:paraId="1714A6F0" w14:textId="77777777" w:rsidTr="00622DA2">
        <w:tc>
          <w:tcPr>
            <w:tcW w:w="4804" w:type="dxa"/>
          </w:tcPr>
          <w:p w14:paraId="47BA47DC" w14:textId="77777777" w:rsidR="00D93C65" w:rsidRPr="00EC0379" w:rsidRDefault="00D93C65" w:rsidP="001D235F">
            <w:pPr>
              <w:pStyle w:val="TableHeading"/>
            </w:pPr>
            <w:r>
              <w:t>RBCs</w:t>
            </w:r>
          </w:p>
        </w:tc>
        <w:tc>
          <w:tcPr>
            <w:tcW w:w="3543" w:type="dxa"/>
          </w:tcPr>
          <w:p w14:paraId="5063933F" w14:textId="77777777" w:rsidR="00D93C65" w:rsidRDefault="00D93C65" w:rsidP="001D235F">
            <w:pPr>
              <w:pStyle w:val="TableHeading"/>
            </w:pPr>
            <w:r>
              <w:t>Platelets</w:t>
            </w:r>
          </w:p>
        </w:tc>
      </w:tr>
      <w:tr w:rsidR="00D93C65" w14:paraId="6861AD3D" w14:textId="77777777" w:rsidTr="00622DA2">
        <w:tc>
          <w:tcPr>
            <w:tcW w:w="4804" w:type="dxa"/>
          </w:tcPr>
          <w:p w14:paraId="0E5510DE" w14:textId="2609E696" w:rsidR="00D93C65" w:rsidRDefault="001D235F" w:rsidP="001D235F">
            <w:pPr>
              <w:pStyle w:val="TableBullet"/>
            </w:pPr>
            <w:r w:rsidRPr="00EC0379">
              <w:t xml:space="preserve">Plasma </w:t>
            </w:r>
            <w:r w:rsidR="00D93C65" w:rsidRPr="00B32391">
              <w:t>reduced (</w:t>
            </w:r>
            <w:r w:rsidR="00D1150F">
              <w:t>Hct</w:t>
            </w:r>
            <w:r w:rsidR="00D1150F" w:rsidRPr="00B32391">
              <w:t xml:space="preserve"> </w:t>
            </w:r>
            <w:r w:rsidR="00D93C65" w:rsidRPr="00B32391">
              <w:t xml:space="preserve">0.75–0.85) </w:t>
            </w:r>
          </w:p>
          <w:p w14:paraId="7074D9A8" w14:textId="1E412A40" w:rsidR="00D93C65" w:rsidRDefault="001D235F" w:rsidP="001D235F">
            <w:pPr>
              <w:pStyle w:val="TableBullet"/>
            </w:pPr>
            <w:r w:rsidRPr="00B32391">
              <w:t xml:space="preserve">Citrate </w:t>
            </w:r>
            <w:r w:rsidR="00D93C65" w:rsidRPr="00B32391">
              <w:t xml:space="preserve">phosphate dextrose anticoagulant (theoretical risk of toxicity from </w:t>
            </w:r>
            <w:r w:rsidR="00D93C65">
              <w:t xml:space="preserve">other </w:t>
            </w:r>
            <w:r w:rsidR="00D93C65" w:rsidRPr="00B32391">
              <w:t>additive solutions)</w:t>
            </w:r>
          </w:p>
          <w:p w14:paraId="4DCEE709" w14:textId="64DFD4D8" w:rsidR="00D93C65" w:rsidRDefault="00D93C65" w:rsidP="001D235F">
            <w:pPr>
              <w:pStyle w:val="TableBullet"/>
            </w:pPr>
            <w:r>
              <w:t>&lt;5</w:t>
            </w:r>
            <w:r w:rsidR="001D235F">
              <w:t xml:space="preserve"> </w:t>
            </w:r>
            <w:r>
              <w:t>days old</w:t>
            </w:r>
          </w:p>
          <w:p w14:paraId="1582186B" w14:textId="179A95DA" w:rsidR="00D93C65" w:rsidRPr="00B32391" w:rsidRDefault="001D235F" w:rsidP="001D235F">
            <w:pPr>
              <w:pStyle w:val="TableBullet"/>
            </w:pPr>
            <w:r w:rsidRPr="00B32391">
              <w:t xml:space="preserve">Group </w:t>
            </w:r>
            <w:r w:rsidR="00D93C65" w:rsidRPr="00B32391">
              <w:t>O with low-titre haemolysins</w:t>
            </w:r>
            <w:r w:rsidR="00D93C65">
              <w:t xml:space="preserve"> </w:t>
            </w:r>
            <w:r w:rsidR="00D93C65" w:rsidRPr="00B32391">
              <w:t>(or ABO identical with the fetus)</w:t>
            </w:r>
          </w:p>
          <w:p w14:paraId="3AEF73AC" w14:textId="77777777" w:rsidR="00D93C65" w:rsidRPr="00B32391" w:rsidRDefault="00D93C65" w:rsidP="001D235F">
            <w:pPr>
              <w:pStyle w:val="TableBullet"/>
            </w:pPr>
            <w:r w:rsidRPr="00B32391">
              <w:t>RhD and Kell negative</w:t>
            </w:r>
            <w:r>
              <w:t>,</w:t>
            </w:r>
            <w:r w:rsidRPr="00B32391">
              <w:t xml:space="preserve"> and </w:t>
            </w:r>
            <w:r>
              <w:t>RBC</w:t>
            </w:r>
            <w:r w:rsidRPr="00B32391">
              <w:t xml:space="preserve"> antigen negative for maternal alloantibodies</w:t>
            </w:r>
          </w:p>
          <w:p w14:paraId="0F356D2C" w14:textId="509E8E4B" w:rsidR="00D93C65" w:rsidRDefault="001D235F" w:rsidP="001D235F">
            <w:pPr>
              <w:pStyle w:val="TableBullet"/>
            </w:pPr>
            <w:r w:rsidRPr="00B32391">
              <w:t xml:space="preserve">Indirect </w:t>
            </w:r>
            <w:r w:rsidR="00D93C65" w:rsidRPr="00B32391">
              <w:t>antiglobulin test cross</w:t>
            </w:r>
            <w:r>
              <w:t xml:space="preserve"> </w:t>
            </w:r>
            <w:r w:rsidR="00D93C65" w:rsidRPr="00B32391">
              <w:t>match compatible with the mother’s plasma</w:t>
            </w:r>
          </w:p>
        </w:tc>
        <w:tc>
          <w:tcPr>
            <w:tcW w:w="3543" w:type="dxa"/>
          </w:tcPr>
          <w:p w14:paraId="0FA9E2BD" w14:textId="77777777" w:rsidR="00D93C65" w:rsidRPr="00EC0379" w:rsidRDefault="00D93C65" w:rsidP="001D235F">
            <w:pPr>
              <w:pStyle w:val="TableBullet"/>
            </w:pPr>
            <w:r>
              <w:t>C</w:t>
            </w:r>
            <w:r w:rsidRPr="00EC0379">
              <w:t xml:space="preserve">ompatible with </w:t>
            </w:r>
            <w:r>
              <w:t xml:space="preserve">any </w:t>
            </w:r>
            <w:r w:rsidRPr="00EC0379">
              <w:t>maternal alloantibody</w:t>
            </w:r>
            <w:r>
              <w:t xml:space="preserve"> (e.g. anti-HPA)</w:t>
            </w:r>
          </w:p>
          <w:p w14:paraId="036C3784" w14:textId="2B191AB3" w:rsidR="00D93C65" w:rsidRPr="00EC0379" w:rsidRDefault="002B2C2B" w:rsidP="001D235F">
            <w:pPr>
              <w:pStyle w:val="TableBullet"/>
            </w:pPr>
            <w:r w:rsidRPr="00EC0379">
              <w:t xml:space="preserve">Hyperconcentrated </w:t>
            </w:r>
            <w:r w:rsidR="00D93C65" w:rsidRPr="00EC0379">
              <w:t>to 2000</w:t>
            </w:r>
            <w:r w:rsidR="00D93C65">
              <w:t>–</w:t>
            </w:r>
            <w:r w:rsidR="00D93C65" w:rsidRPr="00EC0379">
              <w:t>4000</w:t>
            </w:r>
            <w:r w:rsidR="001D235F">
              <w:t> </w:t>
            </w:r>
            <w:r w:rsidR="00D93C65" w:rsidRPr="00EC0379">
              <w:t>×10</w:t>
            </w:r>
            <w:r w:rsidR="00D93C65" w:rsidRPr="00EC0379">
              <w:rPr>
                <w:vertAlign w:val="superscript"/>
              </w:rPr>
              <w:t>9</w:t>
            </w:r>
            <w:r w:rsidR="00D93C65" w:rsidRPr="00EC0379">
              <w:t>/L</w:t>
            </w:r>
          </w:p>
          <w:p w14:paraId="699A8809" w14:textId="77777777" w:rsidR="00D93C65" w:rsidRDefault="00D93C65" w:rsidP="006F2463">
            <w:pPr>
              <w:pStyle w:val="Normalbeforebullet"/>
              <w:ind w:left="0"/>
            </w:pPr>
          </w:p>
        </w:tc>
      </w:tr>
    </w:tbl>
    <w:p w14:paraId="063FF38D" w14:textId="10DD9D7B" w:rsidR="00D93C65" w:rsidRDefault="001D235F" w:rsidP="001D235F">
      <w:pPr>
        <w:pStyle w:val="TableFigNotes18"/>
      </w:pPr>
      <w:r>
        <w:t xml:space="preserve">CMV, cytomegalovirus; </w:t>
      </w:r>
      <w:r w:rsidR="00D1150F">
        <w:t xml:space="preserve">Hct, haematocrit; </w:t>
      </w:r>
      <w:r w:rsidR="002B2C2B">
        <w:t xml:space="preserve">HPA, human platelet antigen; </w:t>
      </w:r>
      <w:r>
        <w:t>RBC, red blood cell; TAGVHD, transfusion-associated graft-versus-host disease</w:t>
      </w:r>
      <w:r>
        <w:br/>
        <w:t>Adapted from UK Blood Services (2013)</w:t>
      </w:r>
      <w:hyperlink w:anchor="_ENREF_247" w:tooltip=", 2013 #71" w:history="1">
        <w:r w:rsidR="00E62798">
          <w:fldChar w:fldCharType="begin"/>
        </w:r>
        <w:r w:rsidR="00E62798">
          <w:instrText xml:space="preserve"> ADDIN EN.CITE &lt;EndNote&gt;&lt;Cite ExcludeAuth="1"&gt;&lt;Year&gt;2013&lt;/Year&gt;&lt;RecNum&gt;71&lt;/RecNum&gt;&lt;DisplayText&gt;&lt;style face="superscript"&gt;247&lt;/style&gt;&lt;/DisplayText&gt;&lt;record&gt;&lt;rec-number&gt;71&lt;/rec-number&gt;&lt;foreign-keys&gt;&lt;key app="EN" db-id="9edve2wadsavt5ewavaxtda4f2tavzvts9ee" timestamp="1424041450"&gt;71&lt;/key&gt;&lt;/foreign-keys&gt;&lt;ref-type name="Report"&gt;27&lt;/ref-type&gt;&lt;contributors&gt;&lt;secondary-authors&gt;&lt;author&gt;Norfolk, D.&lt;/author&gt;&lt;/secondary-authors&gt;&lt;tertiary-authors&gt;&lt;author&gt;TSO&lt;/author&gt;&lt;/tertiary-authors&gt;&lt;/contributors&gt;&lt;titles&gt;&lt;title&gt;Handbook of transfusion medicine (5th edition)&lt;/title&gt;&lt;/titles&gt;&lt;dates&gt;&lt;year&gt;2013&lt;/year&gt;&lt;/dates&gt;&lt;publisher&gt;United Kingdom Blood Services&lt;/publisher&gt;&lt;urls&gt;&lt;related-urls&gt;&lt;url&gt;http://www.transfusionguidelines.org.uk/transfusion-handbook&lt;/url&gt;&lt;/related-urls&gt;&lt;/urls&gt;&lt;access-date&gt;16 February 2015&lt;/access-date&gt;&lt;/record&gt;&lt;/Cite&gt;&lt;/EndNote&gt;</w:instrText>
        </w:r>
        <w:r w:rsidR="00E62798">
          <w:fldChar w:fldCharType="separate"/>
        </w:r>
        <w:r w:rsidR="00E62798" w:rsidRPr="00E62798">
          <w:rPr>
            <w:noProof/>
            <w:vertAlign w:val="superscript"/>
          </w:rPr>
          <w:t>247</w:t>
        </w:r>
        <w:r w:rsidR="00E62798">
          <w:fldChar w:fldCharType="end"/>
        </w:r>
      </w:hyperlink>
    </w:p>
    <w:tbl>
      <w:tblPr>
        <w:tblStyle w:val="TableGrid"/>
        <w:tblW w:w="8347" w:type="dxa"/>
        <w:tblInd w:w="720" w:type="dxa"/>
        <w:tblLook w:val="04A0" w:firstRow="1" w:lastRow="0" w:firstColumn="1" w:lastColumn="0" w:noHBand="0" w:noVBand="1"/>
      </w:tblPr>
      <w:tblGrid>
        <w:gridCol w:w="1210"/>
        <w:gridCol w:w="7137"/>
      </w:tblGrid>
      <w:tr w:rsidR="00D93C65" w14:paraId="677AF437" w14:textId="77777777" w:rsidTr="00467EEA">
        <w:tc>
          <w:tcPr>
            <w:tcW w:w="8347" w:type="dxa"/>
            <w:gridSpan w:val="2"/>
            <w:shd w:val="clear" w:color="auto" w:fill="BFBFBF" w:themeFill="background1" w:themeFillShade="BF"/>
          </w:tcPr>
          <w:p w14:paraId="5E6F1B66" w14:textId="77777777" w:rsidR="00D93C65" w:rsidRPr="00813FDC" w:rsidRDefault="00D93C65" w:rsidP="00C62C56">
            <w:pPr>
              <w:pStyle w:val="PP-heading"/>
            </w:pPr>
            <w:r w:rsidRPr="00813FDC">
              <w:t xml:space="preserve">Expert opinion points </w:t>
            </w:r>
            <w:r>
              <w:t xml:space="preserve">– </w:t>
            </w:r>
            <w:r w:rsidRPr="00B32391">
              <w:t>intrauterine fetal blood component transfusion</w:t>
            </w:r>
          </w:p>
        </w:tc>
      </w:tr>
      <w:tr w:rsidR="00D93C65" w14:paraId="6A8B935B" w14:textId="77777777" w:rsidTr="00C62C56">
        <w:tc>
          <w:tcPr>
            <w:tcW w:w="1210" w:type="dxa"/>
          </w:tcPr>
          <w:p w14:paraId="72F7CBDA" w14:textId="1D011B99" w:rsidR="00D93C65" w:rsidRPr="001D235F" w:rsidRDefault="00D93C65" w:rsidP="001D235F">
            <w:pPr>
              <w:pStyle w:val="PP"/>
              <w:rPr>
                <w:lang w:val="en-AU"/>
              </w:rPr>
            </w:pPr>
            <w:r>
              <w:t>EOP</w:t>
            </w:r>
            <w:r w:rsidR="001D235F">
              <w:rPr>
                <w:lang w:val="en-AU"/>
              </w:rPr>
              <w:t>21</w:t>
            </w:r>
          </w:p>
        </w:tc>
        <w:tc>
          <w:tcPr>
            <w:tcW w:w="7137" w:type="dxa"/>
          </w:tcPr>
          <w:p w14:paraId="27545D49" w14:textId="75C8680D" w:rsidR="00D93C65" w:rsidRDefault="00D93C65" w:rsidP="001D235F">
            <w:pPr>
              <w:pStyle w:val="PP"/>
            </w:pPr>
            <w:r w:rsidRPr="00B32391">
              <w:t xml:space="preserve">Management of pregnancies at risk of fetal anaemia or </w:t>
            </w:r>
            <w:r w:rsidR="002B2C2B">
              <w:t>thrombocytopaenia</w:t>
            </w:r>
            <w:r w:rsidRPr="00B32391">
              <w:t xml:space="preserve"> should be undertaken in facilities with appropriate expertise in ultrasound imaging</w:t>
            </w:r>
            <w:r>
              <w:t xml:space="preserve"> and</w:t>
            </w:r>
            <w:r w:rsidRPr="00B32391">
              <w:t xml:space="preserve"> invasive fetal interventions</w:t>
            </w:r>
            <w:r>
              <w:t>,</w:t>
            </w:r>
            <w:r w:rsidRPr="00B32391">
              <w:t xml:space="preserve"> and</w:t>
            </w:r>
            <w:r>
              <w:t xml:space="preserve"> which have access to</w:t>
            </w:r>
            <w:r w:rsidRPr="00B32391">
              <w:t xml:space="preserve"> specific blood products</w:t>
            </w:r>
            <w:r>
              <w:t xml:space="preserve"> and neonatal intensive care</w:t>
            </w:r>
            <w:r w:rsidRPr="00B32391">
              <w:t>.</w:t>
            </w:r>
          </w:p>
        </w:tc>
      </w:tr>
      <w:tr w:rsidR="00D93C65" w14:paraId="3ADAFC66" w14:textId="77777777" w:rsidTr="00C62C56">
        <w:tc>
          <w:tcPr>
            <w:tcW w:w="1210" w:type="dxa"/>
          </w:tcPr>
          <w:p w14:paraId="07A10219" w14:textId="360E6E35" w:rsidR="00D93C65" w:rsidRPr="001D235F" w:rsidRDefault="00D93C65" w:rsidP="001D235F">
            <w:pPr>
              <w:pStyle w:val="PP"/>
              <w:rPr>
                <w:lang w:val="en-AU"/>
              </w:rPr>
            </w:pPr>
            <w:r>
              <w:t>EOP</w:t>
            </w:r>
            <w:r w:rsidR="001D235F">
              <w:rPr>
                <w:lang w:val="en-AU"/>
              </w:rPr>
              <w:t>22</w:t>
            </w:r>
          </w:p>
        </w:tc>
        <w:tc>
          <w:tcPr>
            <w:tcW w:w="7137" w:type="dxa"/>
          </w:tcPr>
          <w:p w14:paraId="46DA2C1C" w14:textId="77777777" w:rsidR="00D93C65" w:rsidRPr="00C63125" w:rsidRDefault="00D93C65" w:rsidP="001D235F">
            <w:pPr>
              <w:pStyle w:val="PP"/>
              <w:rPr>
                <w:lang w:val="en-AU"/>
              </w:rPr>
            </w:pPr>
            <w:r w:rsidRPr="00BD6986">
              <w:t xml:space="preserve">Pregnancies at risk of fetal anaemia should be assessed by Doppler </w:t>
            </w:r>
            <w:r>
              <w:rPr>
                <w:lang w:val="en-AU"/>
              </w:rPr>
              <w:t xml:space="preserve">ultrasound </w:t>
            </w:r>
            <w:r w:rsidRPr="00BD6986">
              <w:t xml:space="preserve">of the </w:t>
            </w:r>
            <w:r>
              <w:rPr>
                <w:lang w:val="en-AU"/>
              </w:rPr>
              <w:t xml:space="preserve">fetal </w:t>
            </w:r>
            <w:r w:rsidRPr="00BD6986">
              <w:t>MCA</w:t>
            </w:r>
            <w:r>
              <w:rPr>
                <w:lang w:val="en-AU"/>
              </w:rPr>
              <w:t xml:space="preserve"> </w:t>
            </w:r>
            <w:r w:rsidRPr="00BD6986">
              <w:t>PSV</w:t>
            </w:r>
            <w:r>
              <w:rPr>
                <w:lang w:val="en-AU"/>
              </w:rPr>
              <w:t xml:space="preserve">, to determine whether FBS and IUT are necessary. </w:t>
            </w:r>
          </w:p>
        </w:tc>
      </w:tr>
      <w:tr w:rsidR="00D93C65" w14:paraId="59FB2C61" w14:textId="77777777" w:rsidTr="00C62C56">
        <w:tc>
          <w:tcPr>
            <w:tcW w:w="1210" w:type="dxa"/>
          </w:tcPr>
          <w:p w14:paraId="7E11A0CE" w14:textId="2D205069" w:rsidR="00D93C65" w:rsidRPr="001D235F" w:rsidRDefault="00D93C65" w:rsidP="001D235F">
            <w:pPr>
              <w:pStyle w:val="PP"/>
              <w:rPr>
                <w:lang w:val="en-AU"/>
              </w:rPr>
            </w:pPr>
            <w:r>
              <w:t>EOP</w:t>
            </w:r>
            <w:r w:rsidR="001D235F">
              <w:rPr>
                <w:lang w:val="en-AU"/>
              </w:rPr>
              <w:t>23</w:t>
            </w:r>
          </w:p>
        </w:tc>
        <w:tc>
          <w:tcPr>
            <w:tcW w:w="7137" w:type="dxa"/>
          </w:tcPr>
          <w:p w14:paraId="0552F12E" w14:textId="25C47205" w:rsidR="00D93C65" w:rsidRPr="00DC3E9C" w:rsidRDefault="00D93C65" w:rsidP="00E62798">
            <w:pPr>
              <w:pStyle w:val="PP"/>
              <w:rPr>
                <w:lang w:val="en-AU"/>
              </w:rPr>
            </w:pPr>
            <w:r>
              <w:rPr>
                <w:lang w:val="en-AU"/>
              </w:rPr>
              <w:t xml:space="preserve">Pregnant women who have had a prior pregnancy with fetal or neonatal </w:t>
            </w:r>
            <w:r w:rsidR="002B2C2B">
              <w:rPr>
                <w:lang w:val="en-AU"/>
              </w:rPr>
              <w:t>ICH</w:t>
            </w:r>
            <w:r>
              <w:rPr>
                <w:lang w:val="en-AU"/>
              </w:rPr>
              <w:t xml:space="preserve"> or thrombocytop</w:t>
            </w:r>
            <w:r w:rsidR="002B2C2B">
              <w:rPr>
                <w:lang w:val="en-AU"/>
              </w:rPr>
              <w:t>a</w:t>
            </w:r>
            <w:r>
              <w:rPr>
                <w:lang w:val="en-AU"/>
              </w:rPr>
              <w:t xml:space="preserve">enia due to FNAIT should be managed with </w:t>
            </w:r>
            <w:r w:rsidR="00274815">
              <w:rPr>
                <w:lang w:val="en-AU"/>
              </w:rPr>
              <w:t>IVIg</w:t>
            </w:r>
            <w:r>
              <w:rPr>
                <w:lang w:val="en-AU"/>
              </w:rPr>
              <w:t>.</w:t>
            </w:r>
            <w:hyperlink w:anchor="_ENREF_20" w:tooltip=", 2012 #1104" w:history="1">
              <w:r w:rsidR="00E62798">
                <w:rPr>
                  <w:lang w:val="en-AU"/>
                </w:rPr>
                <w:fldChar w:fldCharType="begin"/>
              </w:r>
              <w:r w:rsidR="00E62798">
                <w:rPr>
                  <w:lang w:val="en-AU"/>
                </w:rPr>
                <w:instrText xml:space="preserve"> ADDIN EN.CITE &lt;EndNote&gt;&lt;Cite ExcludeAuth="1"&gt;&lt;Year&gt;2012&lt;/Year&gt;&lt;RecNum&gt;1104&lt;/RecNum&gt;&lt;DisplayText&gt;&lt;style face="superscript"&gt;20&lt;/style&gt;&lt;/DisplayText&gt;&lt;record&gt;&lt;rec-number&gt;1104&lt;/rec-number&gt;&lt;foreign-keys&gt;&lt;key app="EN" db-id="9edve2wadsavt5ewavaxtda4f2tavzvts9ee" timestamp="1439350872"&gt;1104&lt;/key&gt;&lt;/foreign-keys&gt;&lt;ref-type name="Report"&gt;27&lt;/ref-type&gt;&lt;contributors&gt;&lt;/contributors&gt;&lt;titles&gt;&lt;title&gt;Criteria for the clinical use of intravenous immunoglobulin in Australia, Second edition&lt;/title&gt;&lt;/titles&gt;&lt;dates&gt;&lt;year&gt;2012&lt;/year&gt;&lt;/dates&gt;&lt;publisher&gt;Standing Council on Health&lt;/publisher&gt;&lt;urls&gt;&lt;related-urls&gt;&lt;url&gt;http://www.blood.gov.au/pubs/ivig/conditions-for-which-IVIg-has-an-emerging-therapeutic-role.html#cdn-09&lt;/url&gt;&lt;/related-urls&gt;&lt;/urls&gt;&lt;/record&gt;&lt;/Cite&gt;&lt;/EndNote&gt;</w:instrText>
              </w:r>
              <w:r w:rsidR="00E62798">
                <w:rPr>
                  <w:lang w:val="en-AU"/>
                </w:rPr>
                <w:fldChar w:fldCharType="separate"/>
              </w:r>
              <w:r w:rsidR="00E62798" w:rsidRPr="00E62798">
                <w:rPr>
                  <w:noProof/>
                  <w:vertAlign w:val="superscript"/>
                  <w:lang w:val="en-AU"/>
                </w:rPr>
                <w:t>20</w:t>
              </w:r>
              <w:r w:rsidR="00E62798">
                <w:rPr>
                  <w:lang w:val="en-AU"/>
                </w:rPr>
                <w:fldChar w:fldCharType="end"/>
              </w:r>
            </w:hyperlink>
            <w:r>
              <w:rPr>
                <w:lang w:val="en-AU"/>
              </w:rPr>
              <w:t xml:space="preserve"> </w:t>
            </w:r>
          </w:p>
        </w:tc>
      </w:tr>
      <w:tr w:rsidR="00D93C65" w14:paraId="70508900" w14:textId="77777777" w:rsidTr="00C62C56">
        <w:tc>
          <w:tcPr>
            <w:tcW w:w="1210" w:type="dxa"/>
          </w:tcPr>
          <w:p w14:paraId="13E267B2" w14:textId="7C36351C" w:rsidR="00D93C65" w:rsidRPr="001D235F" w:rsidRDefault="00D93C65" w:rsidP="001D235F">
            <w:pPr>
              <w:pStyle w:val="PP"/>
              <w:rPr>
                <w:lang w:val="en-AU"/>
              </w:rPr>
            </w:pPr>
            <w:r>
              <w:t>EOP</w:t>
            </w:r>
            <w:r w:rsidR="001D235F">
              <w:rPr>
                <w:lang w:val="en-AU"/>
              </w:rPr>
              <w:t>24</w:t>
            </w:r>
          </w:p>
        </w:tc>
        <w:tc>
          <w:tcPr>
            <w:tcW w:w="7137" w:type="dxa"/>
          </w:tcPr>
          <w:p w14:paraId="6FB0E510" w14:textId="1BFC486E" w:rsidR="00D93C65" w:rsidRDefault="00D93C65" w:rsidP="002B2C2B">
            <w:pPr>
              <w:pStyle w:val="PP"/>
              <w:rPr>
                <w:lang w:val="en-AU"/>
              </w:rPr>
            </w:pPr>
            <w:r>
              <w:rPr>
                <w:lang w:val="en-AU"/>
              </w:rPr>
              <w:t xml:space="preserve">FBS should be considered to assess response to </w:t>
            </w:r>
            <w:r w:rsidR="00274815">
              <w:rPr>
                <w:lang w:val="en-AU"/>
              </w:rPr>
              <w:t>IVIg</w:t>
            </w:r>
            <w:r>
              <w:rPr>
                <w:lang w:val="en-AU"/>
              </w:rPr>
              <w:t xml:space="preserve"> in those who have had a previous child with </w:t>
            </w:r>
            <w:r w:rsidR="002B2C2B">
              <w:rPr>
                <w:lang w:val="en-AU"/>
              </w:rPr>
              <w:t>ICH</w:t>
            </w:r>
            <w:r>
              <w:rPr>
                <w:lang w:val="en-AU"/>
              </w:rPr>
              <w:t xml:space="preserve"> due to FNAIT</w:t>
            </w:r>
            <w:r w:rsidR="00D1150F">
              <w:rPr>
                <w:lang w:val="en-AU"/>
              </w:rPr>
              <w:t>.</w:t>
            </w:r>
          </w:p>
        </w:tc>
      </w:tr>
      <w:tr w:rsidR="00D93C65" w14:paraId="3725B989" w14:textId="77777777" w:rsidTr="00C62C56">
        <w:tc>
          <w:tcPr>
            <w:tcW w:w="8347" w:type="dxa"/>
            <w:gridSpan w:val="2"/>
          </w:tcPr>
          <w:p w14:paraId="5CA4BE4F" w14:textId="387366F3" w:rsidR="00D93C65" w:rsidRPr="00B32391" w:rsidRDefault="00D93C65" w:rsidP="002B2C2B">
            <w:pPr>
              <w:pStyle w:val="PP-note"/>
            </w:pPr>
            <w:r>
              <w:t xml:space="preserve">EOP, expert opinion point; </w:t>
            </w:r>
            <w:r w:rsidR="001D235F">
              <w:t xml:space="preserve">FBS, fetal blood sampling; </w:t>
            </w:r>
            <w:r>
              <w:t xml:space="preserve">FNAIT, fetal and neonatal alloimmune </w:t>
            </w:r>
            <w:r w:rsidR="002B2C2B">
              <w:t>thrombocytopaenia</w:t>
            </w:r>
            <w:r>
              <w:t>;</w:t>
            </w:r>
            <w:r w:rsidR="002B2C2B">
              <w:t xml:space="preserve"> ICH, intracranial haemorrhage; </w:t>
            </w:r>
            <w:r>
              <w:t xml:space="preserve">IUT, intrauterine transfusion; </w:t>
            </w:r>
            <w:r w:rsidR="00274815">
              <w:t>IVIg</w:t>
            </w:r>
            <w:r w:rsidR="002B2C2B">
              <w:t xml:space="preserve">, intravenous immunoglobulin; </w:t>
            </w:r>
            <w:r>
              <w:t>MCA, middle cerebral artery; PSV, peak systolic velocity</w:t>
            </w:r>
          </w:p>
        </w:tc>
      </w:tr>
    </w:tbl>
    <w:p w14:paraId="3D4B98A2" w14:textId="77777777" w:rsidR="00D93C65" w:rsidRDefault="00D93C65" w:rsidP="00D93C65"/>
    <w:p w14:paraId="182B4CDB" w14:textId="1954CDD7" w:rsidR="00D93C65" w:rsidRPr="00B838CB" w:rsidRDefault="00D93C65" w:rsidP="00D93C65">
      <w:pPr>
        <w:pStyle w:val="Heading2"/>
        <w:rPr>
          <w:rFonts w:eastAsia="Calibri"/>
        </w:rPr>
      </w:pPr>
      <w:bookmarkStart w:id="206" w:name="_Toc421124120"/>
      <w:bookmarkStart w:id="207" w:name="_Toc427851380"/>
      <w:r>
        <w:t>4.3</w:t>
      </w:r>
      <w:r>
        <w:tab/>
      </w:r>
      <w:bookmarkStart w:id="208" w:name="_Toc421124128"/>
      <w:bookmarkEnd w:id="206"/>
      <w:r w:rsidR="00D85B86">
        <w:t xml:space="preserve">Non-pharmacologic blood conservation </w:t>
      </w:r>
      <w:r w:rsidR="00D85B86" w:rsidRPr="00CB365F">
        <w:t>strategies</w:t>
      </w:r>
      <w:bookmarkEnd w:id="207"/>
    </w:p>
    <w:p w14:paraId="50302468" w14:textId="77777777" w:rsidR="00D93C65" w:rsidRDefault="00D93C65" w:rsidP="00D93C65">
      <w:pPr>
        <w:pStyle w:val="BoxHeading"/>
        <w:rPr>
          <w:rFonts w:eastAsia="Calibri"/>
        </w:rPr>
      </w:pPr>
      <w:r>
        <w:rPr>
          <w:rFonts w:eastAsia="Calibri"/>
        </w:rPr>
        <w:t>Background question 3</w:t>
      </w:r>
    </w:p>
    <w:p w14:paraId="61F1821F" w14:textId="77777777" w:rsidR="00D93C65" w:rsidRDefault="00D93C65" w:rsidP="00D93C65">
      <w:pPr>
        <w:pStyle w:val="BoxText"/>
        <w:rPr>
          <w:rFonts w:eastAsia="Calibri"/>
        </w:rPr>
      </w:pPr>
      <w:r>
        <w:t>In neonatal and paediatric patients, d</w:t>
      </w:r>
      <w:r w:rsidRPr="00CB365F">
        <w:t xml:space="preserve">o </w:t>
      </w:r>
      <w:r>
        <w:t xml:space="preserve">non-pharmacologic blood conservation </w:t>
      </w:r>
      <w:r w:rsidRPr="00CB365F">
        <w:t xml:space="preserve">strategies </w:t>
      </w:r>
      <w:r>
        <w:t>aimed at</w:t>
      </w:r>
      <w:r w:rsidRPr="00CB365F">
        <w:t xml:space="preserve"> minimisation of blood loss from sampling reduce the </w:t>
      </w:r>
      <w:r>
        <w:t>incidence of</w:t>
      </w:r>
      <w:r w:rsidRPr="00CB365F">
        <w:t xml:space="preserve"> red cell transfusion?</w:t>
      </w:r>
    </w:p>
    <w:p w14:paraId="0919BF06" w14:textId="77777777" w:rsidR="00D93C65" w:rsidRPr="0079141A" w:rsidRDefault="00D93C65" w:rsidP="00D93C65">
      <w:pPr>
        <w:pStyle w:val="Heading3"/>
      </w:pPr>
      <w:bookmarkStart w:id="209" w:name="_Toc421124121"/>
      <w:bookmarkStart w:id="210" w:name="_Toc427851381"/>
      <w:r>
        <w:t>4.3.1</w:t>
      </w:r>
      <w:r>
        <w:tab/>
        <w:t xml:space="preserve"> Introduction</w:t>
      </w:r>
      <w:bookmarkEnd w:id="209"/>
      <w:bookmarkEnd w:id="210"/>
    </w:p>
    <w:p w14:paraId="3BC201E7" w14:textId="3816DD44" w:rsidR="00D93C65" w:rsidRDefault="00D93C65" w:rsidP="00D93C65">
      <w:r>
        <w:rPr>
          <w:rFonts w:cs="Calibri"/>
        </w:rPr>
        <w:t>Phlebotomy blood loss accounts for most of the total blood loss in children in all age groups during hospitalisation, and is significantly associated with RBC transfusion requirements.</w:t>
      </w:r>
      <w:hyperlink w:anchor="_ENREF_289" w:tooltip="Bateman, 2008 #534" w:history="1">
        <w:r w:rsidR="00E62798">
          <w:rPr>
            <w:rFonts w:cs="Calibri"/>
          </w:rPr>
          <w:fldChar w:fldCharType="begin">
            <w:fldData xml:space="preserve">PEVuZE5vdGU+PENpdGU+PEF1dGhvcj5CYXRlbWFuPC9BdXRob3I+PFllYXI+MjAwODwvWWVhcj48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</w:fldData>
          </w:fldChar>
        </w:r>
        <w:r w:rsidR="00E62798">
          <w:rPr>
            <w:rFonts w:cs="Calibri"/>
          </w:rPr>
          <w:instrText xml:space="preserve"> ADDIN EN.CITE </w:instrText>
        </w:r>
        <w:r w:rsidR="00E62798">
          <w:rPr>
            <w:rFonts w:cs="Calibri"/>
          </w:rPr>
          <w:fldChar w:fldCharType="begin">
            <w:fldData xml:space="preserve">PEVuZE5vdGU+PENpdGU+PEF1dGhvcj5CYXRlbWFuPC9BdXRob3I+PFllYXI+MjAwODwvWWVhcj48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289</w:t>
        </w:r>
        <w:r w:rsidR="00E62798">
          <w:rPr>
            <w:rFonts w:cs="Calibri"/>
          </w:rPr>
          <w:fldChar w:fldCharType="end"/>
        </w:r>
      </w:hyperlink>
      <w:r>
        <w:t xml:space="preserve"> Strategies aimed at minimisation of blood loss from sampling should therefore be part of routine blood conservation efforts.</w:t>
      </w:r>
    </w:p>
    <w:p w14:paraId="1CCFC1A7" w14:textId="77777777" w:rsidR="00D93C65" w:rsidRDefault="00D93C65" w:rsidP="00D93C65">
      <w:pPr>
        <w:pStyle w:val="Heading3"/>
      </w:pPr>
      <w:bookmarkStart w:id="211" w:name="_Toc421124122"/>
      <w:bookmarkStart w:id="212" w:name="_Toc427851382"/>
      <w:r>
        <w:t xml:space="preserve">4.3.2 </w:t>
      </w:r>
      <w:r>
        <w:tab/>
        <w:t>Early removal of sampling lines</w:t>
      </w:r>
      <w:bookmarkEnd w:id="211"/>
      <w:bookmarkEnd w:id="212"/>
    </w:p>
    <w:p w14:paraId="6944E920" w14:textId="09E8FB13" w:rsidR="00D93C65" w:rsidRPr="00200912" w:rsidRDefault="00D93C65" w:rsidP="00D85B86">
      <w:r>
        <w:t>After adjusting for severity of illness in neonates requiring intensive care, indwelling arterial lines are significantly associated with increased phlebotomy blood loss.</w:t>
      </w:r>
      <w:hyperlink w:anchor="_ENREF_290" w:tooltip="Bednarek, 1998 #535" w:history="1">
        <w:r w:rsidR="00E62798">
          <w:fldChar w:fldCharType="begin">
            <w:fldData xml:space="preserve">PEVuZE5vdGU+PENpdGU+PEF1dGhvcj5CZWRuYXJlazwvQXV0aG9yPjxZZWFyPjE5OTg8L1llYXI+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Z2VzPjYwMeKAkzc8L3BhZ2VzPjx2b2x1bWU+MTMzPC92b2x1bWU+PG51bWJlcj41PC9udW1iZXI+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</w:fldData>
          </w:fldChar>
        </w:r>
        <w:r w:rsidR="00E62798">
          <w:instrText xml:space="preserve"> ADDIN EN.CITE </w:instrText>
        </w:r>
        <w:r w:rsidR="00E62798">
          <w:fldChar w:fldCharType="begin">
            <w:fldData xml:space="preserve">PEVuZE5vdGU+PENpdGU+PEF1dGhvcj5CZWRuYXJlazwvQXV0aG9yPjxZZWFyPjE5OTg8L1llYXI+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Z2VzPjYwMeKAkzc8L3BhZ2VzPjx2b2x1bWU+MTMzPC92b2x1bWU+PG51bWJlcj41PC9udW1iZXI+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290</w:t>
        </w:r>
        <w:r w:rsidR="00E62798">
          <w:fldChar w:fldCharType="end"/>
        </w:r>
      </w:hyperlink>
      <w:r>
        <w:t xml:space="preserve"> In an observational study, overdrawn blood sampling (in excess of laboratory requirements) was higher for central venous lines than indwelling arterial lines, peripheral </w:t>
      </w:r>
      <w:r w:rsidR="00D85B86">
        <w:t>IV</w:t>
      </w:r>
      <w:r>
        <w:t xml:space="preserve"> catheters or peripheral draws.</w:t>
      </w:r>
      <w:hyperlink w:anchor="_ENREF_291" w:tooltip="Valentine, 2012 #544" w:history="1">
        <w:r w:rsidR="00E62798">
          <w:fldChar w:fldCharType="begin">
            <w:fldData xml:space="preserve">PEVuZE5vdGU+PENpdGU+PEF1dGhvcj5WYWxlbnRpbmU8L0F1dGhvcj48WWVhcj4yMDEyPC9ZZWFy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</w:fldData>
          </w:fldChar>
        </w:r>
        <w:r w:rsidR="00E62798">
          <w:instrText xml:space="preserve"> ADDIN EN.CITE </w:instrText>
        </w:r>
        <w:r w:rsidR="00E62798">
          <w:fldChar w:fldCharType="begin">
            <w:fldData xml:space="preserve">PEVuZE5vdGU+PENpdGU+PEF1dGhvcj5WYWxlbnRpbmU8L0F1dGhvcj48WWVhcj4yMDEyPC9ZZWFy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291</w:t>
        </w:r>
        <w:r w:rsidR="00E62798">
          <w:fldChar w:fldCharType="end"/>
        </w:r>
      </w:hyperlink>
      <w:r>
        <w:t xml:space="preserve"> However, the safety and efficacy of early removal of sampling lines have not been evaluated in children. A balance of risks associated with indwelling vascular lines, and the difficulty</w:t>
      </w:r>
      <w:r w:rsidR="00D85B86">
        <w:t xml:space="preserve"> of</w:t>
      </w:r>
      <w:r>
        <w:t xml:space="preserve"> obtaining samples via other routes should be taken into account. </w:t>
      </w:r>
    </w:p>
    <w:p w14:paraId="13B05914" w14:textId="77777777" w:rsidR="00D93C65" w:rsidRDefault="00D93C65" w:rsidP="00D93C65">
      <w:pPr>
        <w:pStyle w:val="Heading3"/>
      </w:pPr>
      <w:bookmarkStart w:id="213" w:name="_Toc421124123"/>
      <w:bookmarkStart w:id="214" w:name="_Toc427851383"/>
      <w:r>
        <w:t xml:space="preserve">4.3.3 </w:t>
      </w:r>
      <w:r>
        <w:tab/>
        <w:t>Avoiding excess phlebotomy volumes</w:t>
      </w:r>
      <w:bookmarkEnd w:id="213"/>
      <w:bookmarkEnd w:id="214"/>
    </w:p>
    <w:p w14:paraId="6F560FAE" w14:textId="25659673" w:rsidR="00D93C65" w:rsidRPr="00E10227" w:rsidRDefault="00D93C65" w:rsidP="00D93C65">
      <w:pPr>
        <w:rPr>
          <w:rFonts w:cs="Calibri"/>
        </w:rPr>
      </w:pPr>
      <w:r>
        <w:rPr>
          <w:rFonts w:cs="Calibri"/>
        </w:rPr>
        <w:t xml:space="preserve">Phlebotomy losses can be </w:t>
      </w:r>
      <w:r w:rsidR="00D85B86">
        <w:rPr>
          <w:rFonts w:cs="Calibri"/>
        </w:rPr>
        <w:t xml:space="preserve">up to </w:t>
      </w:r>
      <w:r>
        <w:rPr>
          <w:rFonts w:cs="Calibri"/>
        </w:rPr>
        <w:t>25% in excess of the need for the analytical procedure in NICU patients, and up to 375% in PICU patients, where the highest losses (in mL/kg) are in the youngest patients.</w:t>
      </w:r>
      <w:hyperlink w:anchor="_ENREF_291" w:tooltip="Valentine, 2012 #544" w:history="1">
        <w:r w:rsidR="00E62798">
          <w:rPr>
            <w:rFonts w:cs="Calibri"/>
          </w:rPr>
          <w:fldChar w:fldCharType="begin">
            <w:fldData xml:space="preserve">PEVuZE5vdGU+PENpdGU+PEF1dGhvcj5MaW48L0F1dGhvcj48WWVhcj4yMDAwPC9ZZWFyPjxSZWNO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bGwtdGl0bGU+PC9hbHQtcGVyaW9kaWNhbD48cGFnZXM+RTE5PC9wYWdlcz48dm9sdW1lPjEwNjwv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</w:fldData>
          </w:fldChar>
        </w:r>
        <w:r w:rsidR="00E62798">
          <w:rPr>
            <w:rFonts w:cs="Calibri"/>
          </w:rPr>
          <w:instrText xml:space="preserve"> ADDIN EN.CITE </w:instrText>
        </w:r>
        <w:r w:rsidR="00E62798">
          <w:rPr>
            <w:rFonts w:cs="Calibri"/>
          </w:rPr>
          <w:fldChar w:fldCharType="begin">
            <w:fldData xml:space="preserve">PEVuZE5vdGU+PENpdGU+PEF1dGhvcj5MaW48L0F1dGhvcj48WWVhcj4yMDAwPC9ZZWFyPjxSZWNO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bGwtdGl0bGU+PC9hbHQtcGVyaW9kaWNhbD48cGFnZXM+RTE5PC9wYWdlcz48dm9sdW1lPjEwNjwv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291-292</w:t>
        </w:r>
        <w:r w:rsidR="00E62798">
          <w:rPr>
            <w:rFonts w:cs="Calibri"/>
          </w:rPr>
          <w:fldChar w:fldCharType="end"/>
        </w:r>
      </w:hyperlink>
      <w:r>
        <w:rPr>
          <w:rFonts w:cs="Calibri"/>
        </w:rPr>
        <w:t xml:space="preserve"> </w:t>
      </w:r>
    </w:p>
    <w:p w14:paraId="7CBC7B6E" w14:textId="1C5ADEC3" w:rsidR="00D85B86" w:rsidRDefault="00D93C65" w:rsidP="0035441F">
      <w:pPr>
        <w:pStyle w:val="Normalbeforebullet"/>
      </w:pPr>
      <w:r>
        <w:t>Steps to minimise cumulative phlebotomy volumes include:</w:t>
      </w:r>
      <w:hyperlink w:anchor="_ENREF_293" w:tooltip="Raju, 2009 #541" w:history="1">
        <w:r w:rsidR="00E62798">
          <w:fldChar w:fldCharType="begin">
            <w:fldData xml:space="preserve">PEVuZE5vdGU+PENpdGU+PEF1dGhvcj5SYWp1PC9BdXRob3I+PFllYXI+MjAwOTwvWWVhcj48UmVj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</w:fldData>
          </w:fldChar>
        </w:r>
        <w:r w:rsidR="00E62798">
          <w:instrText xml:space="preserve"> ADDIN EN.CITE </w:instrText>
        </w:r>
        <w:r w:rsidR="00E62798">
          <w:fldChar w:fldCharType="begin">
            <w:fldData xml:space="preserve">PEVuZE5vdGU+PENpdGU+PEF1dGhvcj5SYWp1PC9BdXRob3I+PFllYXI+MjAwOTwvWWVhcj48UmVj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293</w:t>
        </w:r>
        <w:r w:rsidR="00E62798">
          <w:fldChar w:fldCharType="end"/>
        </w:r>
      </w:hyperlink>
      <w:r>
        <w:t xml:space="preserve"> </w:t>
      </w:r>
    </w:p>
    <w:p w14:paraId="7689228D" w14:textId="07464DD9" w:rsidR="00D85B86" w:rsidRDefault="00D93C65" w:rsidP="00D85B86">
      <w:pPr>
        <w:pStyle w:val="Bullet6"/>
      </w:pPr>
      <w:r>
        <w:t xml:space="preserve">adherence to minimum </w:t>
      </w:r>
      <w:r w:rsidR="00AC28BF">
        <w:rPr>
          <w:lang w:val="en-AU"/>
        </w:rPr>
        <w:t>sample</w:t>
      </w:r>
      <w:r>
        <w:t xml:space="preserve"> volumes</w:t>
      </w:r>
      <w:r w:rsidR="00AC28BF">
        <w:rPr>
          <w:lang w:val="en-AU"/>
        </w:rPr>
        <w:t xml:space="preserve"> needed for analysis</w:t>
      </w:r>
    </w:p>
    <w:p w14:paraId="2CCD8C7C" w14:textId="77777777" w:rsidR="00D85B86" w:rsidRDefault="00D93C65" w:rsidP="00D85B86">
      <w:pPr>
        <w:pStyle w:val="Bullet6"/>
      </w:pPr>
      <w:r>
        <w:t>careful sampling, labelling and handling technique</w:t>
      </w:r>
      <w:r w:rsidR="00D85B86">
        <w:rPr>
          <w:lang w:val="en-AU"/>
        </w:rPr>
        <w:t>,</w:t>
      </w:r>
      <w:r>
        <w:t xml:space="preserve"> to reduce sample rejection by the laboratory</w:t>
      </w:r>
    </w:p>
    <w:p w14:paraId="10086114" w14:textId="77777777" w:rsidR="00D85B86" w:rsidRDefault="00D93C65" w:rsidP="00D85B86">
      <w:pPr>
        <w:pStyle w:val="Bullet6"/>
      </w:pPr>
      <w:r>
        <w:t>use of paediatric collection tubes</w:t>
      </w:r>
    </w:p>
    <w:p w14:paraId="0421CBB7" w14:textId="77777777" w:rsidR="00D85B86" w:rsidRDefault="00D93C65" w:rsidP="00D85B86">
      <w:pPr>
        <w:pStyle w:val="Bullet6"/>
      </w:pPr>
      <w:r>
        <w:t>automated laboratory equipment capable of analysing smaller blood samples</w:t>
      </w:r>
    </w:p>
    <w:p w14:paraId="152A9EA4" w14:textId="3D1B9597" w:rsidR="00D85B86" w:rsidRDefault="00D93C65" w:rsidP="00D85B86">
      <w:pPr>
        <w:pStyle w:val="Bullet12"/>
      </w:pPr>
      <w:r>
        <w:t>use of non-invasive</w:t>
      </w:r>
      <w:r w:rsidR="00AC28BF">
        <w:rPr>
          <w:lang w:val="en-AU"/>
        </w:rPr>
        <w:t xml:space="preserve"> or POC</w:t>
      </w:r>
      <w:r>
        <w:t xml:space="preserve"> techniques to </w:t>
      </w:r>
      <w:r w:rsidR="00AC28BF">
        <w:rPr>
          <w:lang w:val="en-AU"/>
        </w:rPr>
        <w:t>estimate</w:t>
      </w:r>
      <w:r w:rsidR="00AC28BF">
        <w:t xml:space="preserve"> </w:t>
      </w:r>
      <w:r>
        <w:t xml:space="preserve">Hb, </w:t>
      </w:r>
      <w:r w:rsidR="00AC28BF">
        <w:rPr>
          <w:lang w:val="en-AU"/>
        </w:rPr>
        <w:t>coagulation status</w:t>
      </w:r>
      <w:r>
        <w:t xml:space="preserve">, blood gases and other analytes. </w:t>
      </w:r>
    </w:p>
    <w:p w14:paraId="53A487FC" w14:textId="21228FC6" w:rsidR="00D93C65" w:rsidRDefault="005F2CED" w:rsidP="00D85B86">
      <w:r>
        <w:t>Also, see Section 4.3.6.</w:t>
      </w:r>
      <w:r w:rsidR="00D93C65">
        <w:t xml:space="preserve"> </w:t>
      </w:r>
    </w:p>
    <w:p w14:paraId="6A01BF76" w14:textId="77777777" w:rsidR="00D93C65" w:rsidRDefault="00D93C65" w:rsidP="00D93C65">
      <w:pPr>
        <w:pStyle w:val="Heading3"/>
      </w:pPr>
      <w:bookmarkStart w:id="215" w:name="_Toc421124124"/>
      <w:bookmarkStart w:id="216" w:name="_Toc427851384"/>
      <w:r>
        <w:t xml:space="preserve">4.3.4 </w:t>
      </w:r>
      <w:r>
        <w:tab/>
        <w:t>As-needed or rationalisation of blood sampling</w:t>
      </w:r>
      <w:bookmarkEnd w:id="215"/>
      <w:bookmarkEnd w:id="216"/>
    </w:p>
    <w:p w14:paraId="601B07CD" w14:textId="66468B95" w:rsidR="00D93C65" w:rsidRPr="001246FC" w:rsidRDefault="00D93C65" w:rsidP="00D93C65">
      <w:pPr>
        <w:rPr>
          <w:rFonts w:cs="Calibri"/>
        </w:rPr>
      </w:pPr>
      <w:r>
        <w:rPr>
          <w:rFonts w:cs="Calibri"/>
        </w:rPr>
        <w:t>There is a strong correlation between severity of critical illness and blood sampling in both NICU and PICU patients.</w:t>
      </w:r>
      <w:r w:rsidR="00E62798">
        <w:rPr>
          <w:rFonts w:cs="Calibri"/>
        </w:rPr>
        <w:fldChar w:fldCharType="begin">
          <w:fldData xml:space="preserve">PEVuZE5vdGU+PENpdGU+PEF1dGhvcj5CYXRlbWFuPC9BdXRob3I+PFllYXI+MjAwODwvWWVhcj48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dGl0bGU+PGFiYnItMT5BbWVyaWNhbiBqb3VybmFsIG9mIHJlc3BpcmF0b3J5IGFuZCBjcml0aWNh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</w:fldData>
        </w:fldChar>
      </w:r>
      <w:r w:rsidR="00E62798">
        <w:rPr>
          <w:rFonts w:cs="Calibri"/>
        </w:rPr>
        <w:instrText xml:space="preserve"> ADDIN EN.CITE </w:instrText>
      </w:r>
      <w:r w:rsidR="00E62798">
        <w:rPr>
          <w:rFonts w:cs="Calibri"/>
        </w:rPr>
        <w:fldChar w:fldCharType="begin">
          <w:fldData xml:space="preserve">PEVuZE5vdGU+PENpdGU+PEF1dGhvcj5CYXRlbWFuPC9BdXRob3I+PFllYXI+MjAwODwvWWVhcj48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dGl0bGU+PGFiYnItMT5BbWVyaWNhbiBqb3VybmFsIG9mIHJlc3BpcmF0b3J5IGFuZCBjcml0aWNh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hyperlink w:anchor="_ENREF_289" w:tooltip="Bateman, 2008 #534" w:history="1">
        <w:r w:rsidR="00E62798" w:rsidRPr="00E62798">
          <w:rPr>
            <w:rFonts w:cs="Calibri"/>
            <w:noProof/>
            <w:vertAlign w:val="superscript"/>
          </w:rPr>
          <w:t>289</w:t>
        </w:r>
      </w:hyperlink>
      <w:r w:rsidR="00E62798" w:rsidRPr="00E62798">
        <w:rPr>
          <w:rFonts w:cs="Calibri"/>
          <w:noProof/>
          <w:vertAlign w:val="superscript"/>
        </w:rPr>
        <w:t xml:space="preserve">; </w:t>
      </w:r>
      <w:hyperlink w:anchor="_ENREF_294" w:tooltip="Obladen, 1988 #539" w:history="1">
        <w:r w:rsidR="00E62798" w:rsidRPr="00E62798">
          <w:rPr>
            <w:rFonts w:cs="Calibri"/>
            <w:noProof/>
            <w:vertAlign w:val="superscript"/>
          </w:rPr>
          <w:t>294</w:t>
        </w:r>
      </w:hyperlink>
      <w:r w:rsidR="00E62798">
        <w:rPr>
          <w:rFonts w:cs="Calibri"/>
        </w:rPr>
        <w:fldChar w:fldCharType="end"/>
      </w:r>
      <w:r>
        <w:rPr>
          <w:rFonts w:cs="Calibri"/>
        </w:rPr>
        <w:t xml:space="preserve"> Therefore, in some patients, large phlebotomy losses are an inevitable result of appropriate investigation and monitoring. </w:t>
      </w:r>
      <w:r w:rsidR="00AC28BF">
        <w:rPr>
          <w:rFonts w:cs="Calibri"/>
        </w:rPr>
        <w:t>Nevertheless, s</w:t>
      </w:r>
      <w:r>
        <w:rPr>
          <w:rFonts w:cs="Calibri"/>
        </w:rPr>
        <w:t>trategies that involve rationalisation of laboratory tests have been shown to be safe and effective in adult patients</w:t>
      </w:r>
      <w:r w:rsidR="008D6294">
        <w:rPr>
          <w:rFonts w:cs="Calibri"/>
        </w:rPr>
        <w:t>,</w:t>
      </w:r>
      <w:hyperlink w:anchor="_ENREF_295" w:tooltip="Barie, 1997 #1114" w:history="1">
        <w:r w:rsidR="00E62798">
          <w:rPr>
            <w:rFonts w:cs="Calibri"/>
          </w:rPr>
          <w:fldChar w:fldCharType="begin">
            <w:fldData xml:space="preserve">PEVuZE5vdGU+PENpdGU+PEF1dGhvcj5CYXJpZTwvQXV0aG9yPjxZZWFyPjE5OTc8L1llYXI+PFJl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</w:fldData>
          </w:fldChar>
        </w:r>
        <w:r w:rsidR="00E62798">
          <w:rPr>
            <w:rFonts w:cs="Calibri"/>
          </w:rPr>
          <w:instrText xml:space="preserve"> ADDIN EN.CITE </w:instrText>
        </w:r>
        <w:r w:rsidR="00E62798">
          <w:rPr>
            <w:rFonts w:cs="Calibri"/>
          </w:rPr>
          <w:fldChar w:fldCharType="begin">
            <w:fldData xml:space="preserve">PEVuZE5vdGU+PENpdGU+PEF1dGhvcj5CYXJpZTwvQXV0aG9yPjxZZWFyPjE5OTc8L1llYXI+PFJl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295-297</w:t>
        </w:r>
        <w:r w:rsidR="00E62798">
          <w:rPr>
            <w:rFonts w:cs="Calibri"/>
          </w:rPr>
          <w:fldChar w:fldCharType="end"/>
        </w:r>
      </w:hyperlink>
      <w:r>
        <w:rPr>
          <w:rFonts w:cs="Calibri"/>
        </w:rPr>
        <w:t xml:space="preserve"> and are widely recommended (although they have not been empirically tested) for chronically or critically ill neonatal and paediatric patients.</w:t>
      </w:r>
      <w:hyperlink w:anchor="_ENREF_298" w:tooltip="Carroll, 2012 #1109" w:history="1">
        <w:r w:rsidR="00E62798">
          <w:rPr>
            <w:rFonts w:cs="Calibri"/>
          </w:rPr>
          <w:fldChar w:fldCharType="begin">
            <w:fldData xml:space="preserve">PEVuZE5vdGU+PENpdGU+PEF1dGhvcj5DYXJyb2xsPC9BdXRob3I+PFllYXI+MjAxMjwvWWVhcj48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</w:fldData>
          </w:fldChar>
        </w:r>
        <w:r w:rsidR="00E62798">
          <w:rPr>
            <w:rFonts w:cs="Calibri"/>
          </w:rPr>
          <w:instrText xml:space="preserve"> ADDIN EN.CITE </w:instrText>
        </w:r>
        <w:r w:rsidR="00E62798">
          <w:rPr>
            <w:rFonts w:cs="Calibri"/>
          </w:rPr>
          <w:fldChar w:fldCharType="begin">
            <w:fldData xml:space="preserve">PEVuZE5vdGU+PENpdGU+PEF1dGhvcj5DYXJyb2xsPC9BdXRob3I+PFllYXI+MjAxMjwvWWVhcj48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298-302</w:t>
        </w:r>
        <w:r w:rsidR="00E62798">
          <w:rPr>
            <w:rFonts w:cs="Calibri"/>
          </w:rPr>
          <w:fldChar w:fldCharType="end"/>
        </w:r>
      </w:hyperlink>
      <w:r>
        <w:rPr>
          <w:rFonts w:cs="Calibri"/>
        </w:rPr>
        <w:t xml:space="preserve"> </w:t>
      </w:r>
    </w:p>
    <w:p w14:paraId="08073FEF" w14:textId="77777777" w:rsidR="00D93C65" w:rsidRDefault="00D93C65" w:rsidP="00D93C65">
      <w:pPr>
        <w:pStyle w:val="Heading3"/>
      </w:pPr>
      <w:bookmarkStart w:id="217" w:name="_Toc421124125"/>
      <w:bookmarkStart w:id="218" w:name="_Toc427851385"/>
      <w:r>
        <w:t xml:space="preserve">4.3.5 </w:t>
      </w:r>
      <w:r>
        <w:tab/>
        <w:t>Replacement or avoidance of discard or void volumes in sampling lines</w:t>
      </w:r>
      <w:bookmarkEnd w:id="217"/>
      <w:bookmarkEnd w:id="218"/>
    </w:p>
    <w:p w14:paraId="192C5BFD" w14:textId="374C83B9" w:rsidR="00D93C65" w:rsidRPr="00AB202C" w:rsidRDefault="00D93C65" w:rsidP="00D93C65">
      <w:pPr>
        <w:rPr>
          <w:rFonts w:cs="Calibri"/>
        </w:rPr>
      </w:pPr>
      <w:r>
        <w:rPr>
          <w:rFonts w:cs="Calibri"/>
        </w:rPr>
        <w:t>Returning void volumes in sampling lines is traditional practice in many NICU</w:t>
      </w:r>
      <w:r w:rsidR="008D6294">
        <w:rPr>
          <w:rFonts w:cs="Calibri"/>
        </w:rPr>
        <w:t>s</w:t>
      </w:r>
      <w:r>
        <w:rPr>
          <w:rFonts w:cs="Calibri"/>
        </w:rPr>
        <w:t xml:space="preserve"> and PICUs. Passive backflow or active aspiration methods can minimise iatrogenic blood loss and yield reliable analytical results in children.</w:t>
      </w:r>
      <w:hyperlink w:anchor="_ENREF_303" w:tooltip="Weiss, 2001 #546" w:history="1">
        <w:r w:rsidR="00E62798">
          <w:rPr>
            <w:rFonts w:cs="Calibri"/>
          </w:rPr>
          <w:fldChar w:fldCharType="begin">
            <w:fldData xml:space="preserve">PEVuZE5vdGU+PENpdGU+PEF1dGhvcj5XZWlzczwvQXV0aG9yPjxZZWFyPjIwMDE8L1llYXI+PFJl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</w:fldData>
          </w:fldChar>
        </w:r>
        <w:r w:rsidR="00E62798">
          <w:rPr>
            <w:rFonts w:cs="Calibri"/>
          </w:rPr>
          <w:instrText xml:space="preserve"> ADDIN EN.CITE </w:instrText>
        </w:r>
        <w:r w:rsidR="00E62798">
          <w:rPr>
            <w:rFonts w:cs="Calibri"/>
          </w:rPr>
          <w:fldChar w:fldCharType="begin">
            <w:fldData xml:space="preserve">PEVuZE5vdGU+PENpdGU+PEF1dGhvcj5XZWlzczwvQXV0aG9yPjxZZWFyPjIwMDE8L1llYXI+PFJl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303</w:t>
        </w:r>
        <w:r w:rsidR="00E62798">
          <w:rPr>
            <w:rFonts w:cs="Calibri"/>
          </w:rPr>
          <w:fldChar w:fldCharType="end"/>
        </w:r>
      </w:hyperlink>
      <w:r w:rsidR="008D6294">
        <w:rPr>
          <w:rFonts w:cs="Calibri"/>
        </w:rPr>
        <w:t xml:space="preserve"> Closed in</w:t>
      </w:r>
      <w:r>
        <w:rPr>
          <w:rFonts w:cs="Calibri"/>
        </w:rPr>
        <w:t>line blood conservation devices have been demonstrated in adults to be safe and effective in reducing phlebotomy volumes.</w:t>
      </w:r>
      <w:hyperlink w:anchor="_ENREF_304" w:tooltip="Page, 2013 #540" w:history="1">
        <w:r w:rsidR="00E62798">
          <w:rPr>
            <w:rFonts w:cs="Calibri"/>
          </w:rPr>
          <w:fldChar w:fldCharType="begin"/>
        </w:r>
        <w:r w:rsidR="00E62798">
          <w:rPr>
            <w:rFonts w:cs="Calibri"/>
          </w:rPr>
          <w:instrText xml:space="preserve"> ADDIN EN.CITE &lt;EndNote&gt;&lt;Cite&gt;&lt;Author&gt;Page&lt;/Author&gt;&lt;Year&gt;2013&lt;/Year&gt;&lt;RecNum&gt;540&lt;/RecNum&gt;&lt;DisplayText&gt;&lt;style face="superscript"&gt;304&lt;/style&gt;&lt;/DisplayText&gt;&lt;record&gt;&lt;rec-number&gt;540&lt;/rec-number&gt;&lt;foreign-keys&gt;&lt;key app="EN" db-id="9edve2wadsavt5ewavaxtda4f2tavzvts9ee" timestamp="1429937618"&gt;540&lt;/key&gt;&lt;/foreign-keys&gt;&lt;ref-type name="Journal Article"&gt;17&lt;/ref-type&gt;&lt;contributors&gt;&lt;authors&gt;&lt;author&gt;Page, C.&lt;/author&gt;&lt;author&gt;Retter, A.&lt;/author&gt;&lt;author&gt;Wyncoll, D.&lt;/author&gt;&lt;/authors&gt;&lt;/contributors&gt;&lt;auth-address&gt;Intensive Care Unit, Guy&amp;apos;s and St. Thomas&amp;apos; Foundation Trust, Lambeth Palace Road, London SE1 7EH, UK.&lt;/auth-address&gt;&lt;titles&gt;&lt;title&gt;Blood conservation devices in critical care: a narrative review&lt;/title&gt;&lt;secondary-title&gt;Ann Intensive Care&lt;/secondary-title&gt;&lt;alt-title&gt;Annals of intensive care&lt;/alt-title&gt;&lt;/titles&gt;&lt;periodical&gt;&lt;full-title&gt;Ann Intensive Care&lt;/full-title&gt;&lt;abbr-1&gt;Annals of intensive care&lt;/abbr-1&gt;&lt;/periodical&gt;&lt;alt-periodical&gt;&lt;full-title&gt;Ann Intensive Care&lt;/full-title&gt;&lt;abbr-1&gt;Annals of intensive care&lt;/abbr-1&gt;&lt;/alt-periodical&gt;&lt;pages&gt;14&lt;/pages&gt;&lt;volume&gt;3&lt;/volume&gt;&lt;edition&gt;2013/05/30&lt;/edition&gt;&lt;keywords&gt;&lt;keyword&gt;Anaemia&lt;/keyword&gt;&lt;keyword&gt;Blood conservation devices&lt;/keyword&gt;&lt;keyword&gt;Critical care&lt;/keyword&gt;&lt;keyword&gt;Transfusion&lt;/keyword&gt;&lt;/keywords&gt;&lt;dates&gt;&lt;year&gt;2013&lt;/year&gt;&lt;/dates&gt;&lt;isbn&gt;2110-5820 (Electronic)&amp;#xD;2110-5820 (Linking)&lt;/isbn&gt;&lt;accession-num&gt;23714376&lt;/accession-num&gt;&lt;work-type&gt;Review&lt;/work-type&gt;&lt;urls&gt;&lt;related-urls&gt;&lt;url&gt;http://www.ncbi.nlm.nih.gov/pubmed/23714376&lt;/url&gt;&lt;/related-urls&gt;&lt;/urls&gt;&lt;custom2&gt;3673809&lt;/custom2&gt;&lt;electronic-resource-num&gt;10.1186/2110-5820-3-14&lt;/electronic-resource-num&gt;&lt;/record&gt;&lt;/Cite&gt;&lt;/EndNote&gt;</w:instrText>
        </w:r>
        <w:r w:rsidR="00E62798">
          <w:rPr>
            <w:rFonts w:cs="Calibri"/>
          </w:rPr>
          <w:fldChar w:fldCharType="separate"/>
        </w:r>
        <w:r w:rsidR="00E62798" w:rsidRPr="00E62798">
          <w:rPr>
            <w:rFonts w:cs="Calibri"/>
            <w:noProof/>
            <w:vertAlign w:val="superscript"/>
          </w:rPr>
          <w:t>304</w:t>
        </w:r>
        <w:r w:rsidR="00E62798">
          <w:rPr>
            <w:rFonts w:cs="Calibri"/>
          </w:rPr>
          <w:fldChar w:fldCharType="end"/>
        </w:r>
      </w:hyperlink>
      <w:r>
        <w:rPr>
          <w:rFonts w:cs="Calibri"/>
        </w:rPr>
        <w:t xml:space="preserve"> Th</w:t>
      </w:r>
      <w:r w:rsidR="008D6294">
        <w:rPr>
          <w:rFonts w:cs="Calibri"/>
        </w:rPr>
        <w:t>us</w:t>
      </w:r>
      <w:r>
        <w:rPr>
          <w:rFonts w:cs="Calibri"/>
        </w:rPr>
        <w:t>, they have the potential to reduce RBC transfusion requirements for children, but their cost-effectiveness is untested.</w:t>
      </w:r>
      <w:hyperlink w:anchor="_ENREF_304" w:tooltip="Page, 2013 #540" w:history="1">
        <w:r w:rsidR="00E62798">
          <w:rPr>
            <w:rFonts w:cs="Calibri"/>
          </w:rPr>
          <w:fldChar w:fldCharType="begin">
            <w:fldData xml:space="preserve">PEVuZE5vdGU+PENpdGU+PEF1dGhvcj5QYWdlPC9BdXRob3I+PFllYXI+MjAxMzwvWWVhcj48UmVj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</w:fldData>
          </w:fldChar>
        </w:r>
        <w:r w:rsidR="00E62798">
          <w:rPr>
            <w:rFonts w:cs="Calibri"/>
          </w:rPr>
          <w:instrText xml:space="preserve"> ADDIN EN.CITE </w:instrText>
        </w:r>
        <w:r w:rsidR="00E62798">
          <w:rPr>
            <w:rFonts w:cs="Calibri"/>
          </w:rPr>
          <w:fldChar w:fldCharType="begin">
            <w:fldData xml:space="preserve">PEVuZE5vdGU+PENpdGU+PEF1dGhvcj5QYWdlPC9BdXRob3I+PFllYXI+MjAxMzwvWWVhcj48UmVj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304-305</w:t>
        </w:r>
        <w:r w:rsidR="00E62798">
          <w:rPr>
            <w:rFonts w:cs="Calibri"/>
          </w:rPr>
          <w:fldChar w:fldCharType="end"/>
        </w:r>
      </w:hyperlink>
      <w:r w:rsidR="008D6294" w:rsidRPr="00AB202C">
        <w:rPr>
          <w:rFonts w:cs="Calibri"/>
        </w:rPr>
        <w:t xml:space="preserve"> </w:t>
      </w:r>
    </w:p>
    <w:p w14:paraId="55D1BA2C" w14:textId="20BAE685" w:rsidR="00D93C65" w:rsidRDefault="00D93C65" w:rsidP="00D93C65">
      <w:pPr>
        <w:pStyle w:val="Heading3"/>
      </w:pPr>
      <w:bookmarkStart w:id="219" w:name="_Toc421124126"/>
      <w:bookmarkStart w:id="220" w:name="_Toc427851386"/>
      <w:r>
        <w:t xml:space="preserve">4.3.6 </w:t>
      </w:r>
      <w:r>
        <w:tab/>
        <w:t>Non</w:t>
      </w:r>
      <w:r w:rsidR="00185BD8">
        <w:rPr>
          <w:lang w:val="en-AU"/>
        </w:rPr>
        <w:t>-</w:t>
      </w:r>
      <w:r w:rsidR="00185BD8">
        <w:t xml:space="preserve">invasive </w:t>
      </w:r>
      <w:r>
        <w:t xml:space="preserve">techniques for testing of </w:t>
      </w:r>
      <w:r w:rsidR="00D1150F">
        <w:rPr>
          <w:lang w:val="en-AU"/>
        </w:rPr>
        <w:t>Hb</w:t>
      </w:r>
      <w:r>
        <w:t>, blood gases and other analytes</w:t>
      </w:r>
      <w:bookmarkEnd w:id="219"/>
      <w:bookmarkEnd w:id="220"/>
    </w:p>
    <w:p w14:paraId="69E00BD7" w14:textId="4B41E857" w:rsidR="00D93C65" w:rsidRPr="00A6795B" w:rsidRDefault="008D6294" w:rsidP="00D93C65">
      <w:pPr>
        <w:rPr>
          <w:rFonts w:cs="Calibri"/>
        </w:rPr>
      </w:pPr>
      <w:r>
        <w:rPr>
          <w:rFonts w:cs="Calibri"/>
        </w:rPr>
        <w:t>An in</w:t>
      </w:r>
      <w:r w:rsidR="00D93C65">
        <w:rPr>
          <w:rFonts w:cs="Calibri"/>
        </w:rPr>
        <w:t>line ex</w:t>
      </w:r>
      <w:r w:rsidR="00D1150F">
        <w:rPr>
          <w:rFonts w:cs="Calibri"/>
        </w:rPr>
        <w:t xml:space="preserve"> </w:t>
      </w:r>
      <w:r w:rsidR="00D93C65">
        <w:rPr>
          <w:rFonts w:cs="Calibri"/>
        </w:rPr>
        <w:t>vivo blood gas and chemistry monitoring system (VIA-LVM, VIA Medical, Austin</w:t>
      </w:r>
      <w:r w:rsidR="00185BD8">
        <w:rPr>
          <w:rFonts w:cs="Calibri"/>
        </w:rPr>
        <w:t>, Texas</w:t>
      </w:r>
      <w:r w:rsidR="00D93C65">
        <w:rPr>
          <w:rFonts w:cs="Calibri"/>
        </w:rPr>
        <w:t xml:space="preserve">, USA) attached to an umbilical arterial catheter has been studied in neonates and infants. </w:t>
      </w:r>
      <w:r>
        <w:rPr>
          <w:rFonts w:cs="Calibri"/>
        </w:rPr>
        <w:t>The system</w:t>
      </w:r>
      <w:r w:rsidR="00D93C65">
        <w:rPr>
          <w:rFonts w:cs="Calibri"/>
        </w:rPr>
        <w:t xml:space="preserve"> significantly reduce</w:t>
      </w:r>
      <w:r>
        <w:rPr>
          <w:rFonts w:cs="Calibri"/>
        </w:rPr>
        <w:t xml:space="preserve">d </w:t>
      </w:r>
      <w:r w:rsidR="00D93C65">
        <w:rPr>
          <w:rFonts w:cs="Calibri"/>
        </w:rPr>
        <w:t>phlebotomy volumes and requirement for transfusion of volume and RBCs in very low birth weight infants.</w:t>
      </w:r>
      <w:hyperlink w:anchor="_ENREF_306" w:tooltip="Billman, 2002 #536" w:history="1">
        <w:r w:rsidR="00E62798">
          <w:rPr>
            <w:rFonts w:cs="Calibri"/>
          </w:rPr>
          <w:fldChar w:fldCharType="begin">
            <w:fldData xml:space="preserve">PEVuZE5vdGU+PENpdGU+PEF1dGhvcj5CaWxsbWFuPC9BdXRob3I+PFllYXI+MjAwMjwvWWVhcj48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</w:fldData>
          </w:fldChar>
        </w:r>
        <w:r w:rsidR="00E62798">
          <w:rPr>
            <w:rFonts w:cs="Calibri"/>
          </w:rPr>
          <w:instrText xml:space="preserve"> ADDIN EN.CITE </w:instrText>
        </w:r>
        <w:r w:rsidR="00E62798">
          <w:rPr>
            <w:rFonts w:cs="Calibri"/>
          </w:rPr>
          <w:fldChar w:fldCharType="begin">
            <w:fldData xml:space="preserve">PEVuZE5vdGU+PENpdGU+PEF1dGhvcj5CaWxsbWFuPC9BdXRob3I+PFllYXI+MjAwMjwvWWVhcj48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306-307</w:t>
        </w:r>
        <w:r w:rsidR="00E62798">
          <w:rPr>
            <w:rFonts w:cs="Calibri"/>
          </w:rPr>
          <w:fldChar w:fldCharType="end"/>
        </w:r>
      </w:hyperlink>
      <w:r>
        <w:rPr>
          <w:rFonts w:cs="Calibri"/>
        </w:rPr>
        <w:t xml:space="preserve"> Such in</w:t>
      </w:r>
      <w:r w:rsidR="00D93C65">
        <w:rPr>
          <w:rFonts w:cs="Calibri"/>
        </w:rPr>
        <w:t>line blood analysis devices have become standard in neonatal and paediatric ECLS</w:t>
      </w:r>
      <w:r>
        <w:rPr>
          <w:rFonts w:cs="Calibri"/>
        </w:rPr>
        <w:t>,</w:t>
      </w:r>
      <w:r w:rsidR="00D93C65">
        <w:rPr>
          <w:rFonts w:cs="Calibri"/>
        </w:rPr>
        <w:t xml:space="preserve"> but they have not been routinely used in non-ECLS patients. Optimal use of non-invasive techniques such as the respiratory function monitoring capabilities of contemporary ventilators, end-tidal carbon dioxide (ETCO</w:t>
      </w:r>
      <w:r w:rsidR="00D93C65" w:rsidRPr="009D7AF2">
        <w:rPr>
          <w:rFonts w:cs="Calibri"/>
          <w:vertAlign w:val="subscript"/>
        </w:rPr>
        <w:t>2</w:t>
      </w:r>
      <w:r w:rsidR="00D93C65">
        <w:rPr>
          <w:rFonts w:cs="Calibri"/>
        </w:rPr>
        <w:t>) monitoring and transcutaneous and regional oxygen saturation (TcSO</w:t>
      </w:r>
      <w:r w:rsidR="00D93C65" w:rsidRPr="009D7AF2">
        <w:rPr>
          <w:rFonts w:cs="Calibri"/>
          <w:vertAlign w:val="subscript"/>
        </w:rPr>
        <w:t>2</w:t>
      </w:r>
      <w:r w:rsidR="00D93C65">
        <w:rPr>
          <w:rFonts w:cs="Calibri"/>
        </w:rPr>
        <w:t>, rSO</w:t>
      </w:r>
      <w:r w:rsidR="00D93C65" w:rsidRPr="009D7AF2">
        <w:rPr>
          <w:rFonts w:cs="Calibri"/>
          <w:vertAlign w:val="subscript"/>
        </w:rPr>
        <w:t>2</w:t>
      </w:r>
      <w:r w:rsidR="00D93C65">
        <w:rPr>
          <w:rFonts w:cs="Calibri"/>
        </w:rPr>
        <w:t xml:space="preserve">) monitoring has the potential to reduce phlebotomy losses. </w:t>
      </w:r>
    </w:p>
    <w:tbl>
      <w:tblPr>
        <w:tblStyle w:val="TableGrid"/>
        <w:tblW w:w="0" w:type="auto"/>
        <w:tblInd w:w="720" w:type="dxa"/>
        <w:tblLook w:val="04A0" w:firstRow="1" w:lastRow="0" w:firstColumn="1" w:lastColumn="0" w:noHBand="0" w:noVBand="1"/>
      </w:tblPr>
      <w:tblGrid>
        <w:gridCol w:w="1210"/>
        <w:gridCol w:w="6996"/>
      </w:tblGrid>
      <w:tr w:rsidR="00D93C65" w14:paraId="5658AC6B" w14:textId="77777777" w:rsidTr="00467EEA">
        <w:tc>
          <w:tcPr>
            <w:tcW w:w="8206" w:type="dxa"/>
            <w:gridSpan w:val="2"/>
            <w:shd w:val="clear" w:color="auto" w:fill="BFBFBF" w:themeFill="background1" w:themeFillShade="BF"/>
          </w:tcPr>
          <w:p w14:paraId="6A6596D7" w14:textId="3BDD1D93" w:rsidR="00D93C65" w:rsidRPr="00813FDC" w:rsidRDefault="00D93C65" w:rsidP="00C62C56">
            <w:pPr>
              <w:pStyle w:val="PP-heading"/>
            </w:pPr>
            <w:r w:rsidRPr="00813FDC">
              <w:t xml:space="preserve">Expert opinion points </w:t>
            </w:r>
            <w:r>
              <w:t>–</w:t>
            </w:r>
            <w:r w:rsidR="00F848F2">
              <w:t xml:space="preserve"> </w:t>
            </w:r>
            <w:r w:rsidRPr="00E46C89">
              <w:t>strategies for minimisation of blood loss</w:t>
            </w:r>
          </w:p>
        </w:tc>
      </w:tr>
      <w:tr w:rsidR="00D93C65" w14:paraId="267069D0" w14:textId="77777777" w:rsidTr="00C62C56">
        <w:tc>
          <w:tcPr>
            <w:tcW w:w="1210" w:type="dxa"/>
          </w:tcPr>
          <w:p w14:paraId="22DB5772" w14:textId="55387349" w:rsidR="00D93C65" w:rsidRDefault="00D93C65" w:rsidP="008D6294">
            <w:pPr>
              <w:ind w:left="0"/>
            </w:pPr>
            <w:r>
              <w:t>EOP</w:t>
            </w:r>
            <w:r w:rsidR="008D6294">
              <w:t>25</w:t>
            </w:r>
          </w:p>
        </w:tc>
        <w:tc>
          <w:tcPr>
            <w:tcW w:w="6996" w:type="dxa"/>
          </w:tcPr>
          <w:p w14:paraId="53B66A55" w14:textId="77777777" w:rsidR="00D93C65" w:rsidRDefault="00D93C65" w:rsidP="008D6294">
            <w:pPr>
              <w:pStyle w:val="PT-prebullet"/>
            </w:pPr>
            <w:r>
              <w:t>Strategies to safely minimise phlebotomy losses should be used for all neonatal and paediatric patients. Such strategies may include (where safe and feasible):</w:t>
            </w:r>
          </w:p>
          <w:p w14:paraId="181A2861" w14:textId="1918F229" w:rsidR="00D93C65" w:rsidRDefault="00D93C65" w:rsidP="008D6294">
            <w:pPr>
              <w:pStyle w:val="PP-bullets"/>
            </w:pPr>
            <w:r>
              <w:t>use of ‘</w:t>
            </w:r>
            <w:r w:rsidR="006A116C">
              <w:t>as</w:t>
            </w:r>
            <w:r w:rsidR="006A116C">
              <w:rPr>
                <w:lang w:val="en-AU"/>
              </w:rPr>
              <w:t>-</w:t>
            </w:r>
            <w:r>
              <w:t>needed’ rather than routine sampling</w:t>
            </w:r>
          </w:p>
          <w:p w14:paraId="3E8BE17D" w14:textId="77777777" w:rsidR="00D93C65" w:rsidRDefault="00D93C65" w:rsidP="008D6294">
            <w:pPr>
              <w:pStyle w:val="PP-bullets"/>
            </w:pPr>
            <w:r>
              <w:t>meticulous avoidance of blood overdraw</w:t>
            </w:r>
          </w:p>
          <w:p w14:paraId="1756407E" w14:textId="77777777" w:rsidR="00D93C65" w:rsidRDefault="00D93C65" w:rsidP="008D6294">
            <w:pPr>
              <w:pStyle w:val="PP-bullets"/>
            </w:pPr>
            <w:r>
              <w:t>return of void volumes to sampling lines</w:t>
            </w:r>
          </w:p>
          <w:p w14:paraId="62F4F192" w14:textId="77777777" w:rsidR="00D93C65" w:rsidRDefault="00D93C65" w:rsidP="008D6294">
            <w:pPr>
              <w:pStyle w:val="PP-bullets"/>
            </w:pPr>
            <w:r>
              <w:t>use of closed inline sampling devices</w:t>
            </w:r>
          </w:p>
          <w:p w14:paraId="69E45909" w14:textId="0554871A" w:rsidR="00D93C65" w:rsidRDefault="00D93C65" w:rsidP="008D6294">
            <w:pPr>
              <w:pStyle w:val="PP-bullets"/>
            </w:pPr>
            <w:r>
              <w:t>judicious us</w:t>
            </w:r>
            <w:r w:rsidR="008D6294">
              <w:t>e and ‘</w:t>
            </w:r>
            <w:r>
              <w:t>on-time</w:t>
            </w:r>
            <w:r w:rsidR="008D6294">
              <w:rPr>
                <w:lang w:val="en-AU"/>
              </w:rPr>
              <w:t>’</w:t>
            </w:r>
            <w:r>
              <w:t xml:space="preserve"> removal of sampling lines</w:t>
            </w:r>
          </w:p>
          <w:p w14:paraId="783896CB" w14:textId="77777777" w:rsidR="00D93C65" w:rsidRDefault="00D93C65" w:rsidP="008D6294">
            <w:pPr>
              <w:pStyle w:val="PP-bullets"/>
            </w:pPr>
            <w:r>
              <w:t>optimal sampling technique and sample handling to minimise rejection of samples by laboratory</w:t>
            </w:r>
          </w:p>
          <w:p w14:paraId="2DFDD27F" w14:textId="16CFB263" w:rsidR="00D93C65" w:rsidRDefault="00D93C65" w:rsidP="008D6294">
            <w:pPr>
              <w:pStyle w:val="PP-bullets"/>
            </w:pPr>
            <w:r>
              <w:t xml:space="preserve">laboratory equipment that uses </w:t>
            </w:r>
            <w:r w:rsidR="008D6294">
              <w:rPr>
                <w:lang w:val="en-AU"/>
              </w:rPr>
              <w:t xml:space="preserve">the </w:t>
            </w:r>
            <w:r>
              <w:t>smallest possible sample volumes</w:t>
            </w:r>
          </w:p>
          <w:p w14:paraId="7D812993" w14:textId="6D0EBCAC" w:rsidR="00D93C65" w:rsidRDefault="00D93C65" w:rsidP="008D6294">
            <w:pPr>
              <w:pStyle w:val="PP-bullets"/>
            </w:pPr>
            <w:r>
              <w:t xml:space="preserve">use of non-invasive techniques and </w:t>
            </w:r>
            <w:r w:rsidR="00D1150F">
              <w:rPr>
                <w:lang w:val="en-AU"/>
              </w:rPr>
              <w:t>POC</w:t>
            </w:r>
            <w:r>
              <w:t xml:space="preserve"> devices</w:t>
            </w:r>
          </w:p>
          <w:p w14:paraId="5F24EBA1" w14:textId="77777777" w:rsidR="00D93C65" w:rsidRPr="00D914D2" w:rsidRDefault="00D93C65" w:rsidP="008D6294">
            <w:pPr>
              <w:pStyle w:val="PP-bullets"/>
            </w:pPr>
            <w:r>
              <w:t>audit compliance and cumulative phlebotomy losses in selected groups of patients at regular intervals.</w:t>
            </w:r>
          </w:p>
        </w:tc>
      </w:tr>
      <w:tr w:rsidR="00D93C65" w14:paraId="042CB3C7" w14:textId="77777777" w:rsidTr="00C62C56">
        <w:tc>
          <w:tcPr>
            <w:tcW w:w="8206" w:type="dxa"/>
            <w:gridSpan w:val="2"/>
          </w:tcPr>
          <w:p w14:paraId="419820BC" w14:textId="792062C5" w:rsidR="00D93C65" w:rsidRPr="00D914D2" w:rsidRDefault="00D93C65" w:rsidP="006F2463">
            <w:pPr>
              <w:pStyle w:val="PP-note"/>
            </w:pPr>
            <w:r>
              <w:t>EOP, expert opinion point</w:t>
            </w:r>
            <w:r w:rsidR="00D1150F">
              <w:t>; POC, point of care</w:t>
            </w:r>
          </w:p>
        </w:tc>
      </w:tr>
    </w:tbl>
    <w:p w14:paraId="41F986D9" w14:textId="77777777" w:rsidR="00D93C65" w:rsidRDefault="00D93C65" w:rsidP="00D93C65"/>
    <w:p w14:paraId="1CB71D75" w14:textId="1F8AA81B" w:rsidR="00D93C65" w:rsidRPr="008D6294" w:rsidRDefault="00D93C65" w:rsidP="00D93C65">
      <w:pPr>
        <w:pStyle w:val="Heading2"/>
        <w:rPr>
          <w:rFonts w:eastAsia="Calibri"/>
          <w:lang w:val="en-AU"/>
        </w:rPr>
      </w:pPr>
      <w:bookmarkStart w:id="221" w:name="_Toc427851387"/>
      <w:r>
        <w:t>4.4</w:t>
      </w:r>
      <w:r>
        <w:tab/>
      </w:r>
      <w:bookmarkEnd w:id="208"/>
      <w:r w:rsidR="008D6294">
        <w:rPr>
          <w:lang w:val="en-AU"/>
        </w:rPr>
        <w:t>Strategies to minimise blood loss in cardiac surgery</w:t>
      </w:r>
      <w:bookmarkEnd w:id="221"/>
    </w:p>
    <w:p w14:paraId="37F1D730" w14:textId="77777777" w:rsidR="00D93C65" w:rsidRDefault="00D93C65" w:rsidP="00D93C65">
      <w:pPr>
        <w:pStyle w:val="BoxHeading"/>
        <w:rPr>
          <w:rFonts w:eastAsia="Calibri"/>
        </w:rPr>
      </w:pPr>
      <w:r>
        <w:rPr>
          <w:rFonts w:eastAsia="Calibri"/>
        </w:rPr>
        <w:t>Background question 4</w:t>
      </w:r>
    </w:p>
    <w:p w14:paraId="53D9236E" w14:textId="2B9A83DF" w:rsidR="00D93C65" w:rsidRPr="0079141A" w:rsidRDefault="00D93C65" w:rsidP="00D93C65">
      <w:pPr>
        <w:pStyle w:val="BoxText"/>
      </w:pPr>
      <w:r w:rsidRPr="0079141A">
        <w:t xml:space="preserve">In perioperative neonatal and paediatric patients </w:t>
      </w:r>
      <w:r w:rsidR="0086731F">
        <w:rPr>
          <w:lang w:val="en-AU"/>
        </w:rPr>
        <w:t>undergoing</w:t>
      </w:r>
      <w:r w:rsidRPr="0079141A">
        <w:t xml:space="preserve"> cardiac surgery, do strategies to minimise blood loss reduce the </w:t>
      </w:r>
      <w:r>
        <w:t>incidence of</w:t>
      </w:r>
      <w:r w:rsidRPr="0079141A">
        <w:t xml:space="preserve"> transfusion?</w:t>
      </w:r>
    </w:p>
    <w:p w14:paraId="4C310861" w14:textId="77777777" w:rsidR="00D93C65" w:rsidRPr="0079141A" w:rsidRDefault="00D93C65" w:rsidP="00D93C65">
      <w:pPr>
        <w:pStyle w:val="Heading3"/>
      </w:pPr>
      <w:bookmarkStart w:id="222" w:name="_Toc421124129"/>
      <w:bookmarkStart w:id="223" w:name="_Toc427851388"/>
      <w:r>
        <w:t xml:space="preserve">4.4.1 </w:t>
      </w:r>
      <w:r>
        <w:tab/>
        <w:t>Prothrombin complex concentrate</w:t>
      </w:r>
      <w:bookmarkEnd w:id="222"/>
      <w:bookmarkEnd w:id="223"/>
    </w:p>
    <w:p w14:paraId="101B4DC7" w14:textId="3CA05AFB" w:rsidR="00D93C65" w:rsidRDefault="00D93C65" w:rsidP="00D93C65">
      <w:r>
        <w:t>The prothrombin complex concentrate (PCC) available in Australia</w:t>
      </w:r>
      <w:r>
        <w:rPr>
          <w:rStyle w:val="FootnoteReference"/>
        </w:rPr>
        <w:footnoteReference w:id="17"/>
      </w:r>
      <w:r>
        <w:t xml:space="preserve"> contains factors II, IX and X. Because its content of factor VII is clinically insignificant, it is considered a ‘3-factor PCC’.</w:t>
      </w:r>
      <w:hyperlink w:anchor="_ENREF_308" w:tooltip="Australian Red Cross Blood Service, 2012 #548" w:history="1">
        <w:r w:rsidR="00E62798">
          <w:fldChar w:fldCharType="begin"/>
        </w:r>
        <w:r w:rsidR="00E62798">
          <w:instrText xml:space="preserve"> ADDIN EN.CITE &lt;EndNote&gt;&lt;Cite&gt;&lt;Author&gt;Australian Red Cross Blood Service&lt;/Author&gt;&lt;Year&gt;2012&lt;/Year&gt;&lt;RecNum&gt;548&lt;/RecNum&gt;&lt;DisplayText&gt;&lt;style face="superscript"&gt;308-309&lt;/style&gt;&lt;/DisplayText&gt;&lt;record&gt;&lt;rec-number&gt;548&lt;/rec-number&gt;&lt;foreign-keys&gt;&lt;key app="EN" db-id="9edve2wadsavt5ewavaxtda4f2tavzvts9ee" timestamp="1429939531"&gt;548&lt;/key&gt;&lt;/foreign-keys&gt;&lt;ref-type name="Report"&gt;27&lt;/ref-type&gt;&lt;contributors&gt;&lt;authors&gt;&lt;author&gt;Australian Red Cross Blood Service,&lt;/author&gt;&lt;/authors&gt;&lt;/contributors&gt;&lt;titles&gt;&lt;title&gt;Blood component information: circular of information&lt;/title&gt;&lt;/titles&gt;&lt;dates&gt;&lt;year&gt;2012&lt;/year&gt;&lt;/dates&gt;&lt;urls&gt;&lt;related-urls&gt;&lt;url&gt;http://resources.transfusion.com.au/cdm/ref/collection/p16691coll1/id/135&lt;/url&gt;&lt;/related-urls&gt;&lt;/urls&gt;&lt;/record&gt;&lt;/Cite&gt;&lt;Cite ExcludeYear="1"&gt;&lt;Author&gt;CSL Limited (Bioplasma Division)&lt;/Author&gt;&lt;RecNum&gt;549&lt;/RecNum&gt;&lt;record&gt;&lt;rec-number&gt;549&lt;/rec-number&gt;&lt;foreign-keys&gt;&lt;key app="EN" db-id="9edve2wadsavt5ewavaxtda4f2tavzvts9ee" timestamp="1429939647"&gt;549&lt;/key&gt;&lt;/foreign-keys&gt;&lt;ref-type name="Report"&gt;27&lt;/ref-type&gt;&lt;contributors&gt;&lt;authors&gt;&lt;author&gt;CSL Limited (Bioplasma Division),&lt;/author&gt;&lt;/authors&gt;&lt;/contributors&gt;&lt;titles&gt;&lt;title&gt;Prothrombinex-VF product information&lt;/title&gt;&lt;/titles&gt;&lt;dates&gt;&lt;/dates&gt;&lt;urls&gt;&lt;related-urls&gt;&lt;url&gt;http://www.csl.com.au/productfinder/prothrombinexau&lt;/url&gt;&lt;/related-urls&gt;&lt;/urls&gt;&lt;/record&gt;&lt;/Cite&gt;&lt;/EndNote&gt;</w:instrText>
        </w:r>
        <w:r w:rsidR="00E62798">
          <w:fldChar w:fldCharType="separate"/>
        </w:r>
        <w:r w:rsidR="00E62798" w:rsidRPr="00E62798">
          <w:rPr>
            <w:noProof/>
            <w:vertAlign w:val="superscript"/>
          </w:rPr>
          <w:t>308-309</w:t>
        </w:r>
        <w:r w:rsidR="00E62798">
          <w:fldChar w:fldCharType="end"/>
        </w:r>
      </w:hyperlink>
    </w:p>
    <w:p w14:paraId="02838B49" w14:textId="1E49677D" w:rsidR="00D93C65" w:rsidRDefault="00D93C65" w:rsidP="00D93C65">
      <w:r>
        <w:t xml:space="preserve">The Australasian </w:t>
      </w:r>
      <w:r w:rsidRPr="002E23E4">
        <w:t>Society of Thrombosis and Haemostasis</w:t>
      </w:r>
      <w:r>
        <w:t xml:space="preserve"> recently updated its advice on reversal of vitamin K antagonist (VKA) in patients with high INR, bleeding and in the perioperative setting.</w:t>
      </w:r>
      <w:hyperlink w:anchor="_ENREF_21" w:tooltip="Tran, 2013 #550" w:history="1">
        <w:r w:rsidR="00E62798">
          <w:fldChar w:fldCharType="begin"/>
        </w:r>
        <w:r w:rsidR="00E62798">
          <w:instrText xml:space="preserve"> ADDIN EN.CITE &lt;EndNote&gt;&lt;Cite&gt;&lt;Author&gt;Tran&lt;/Author&gt;&lt;Year&gt;2013&lt;/Year&gt;&lt;RecNum&gt;550&lt;/RecNum&gt;&lt;DisplayText&gt;&lt;style face="superscript"&gt;21&lt;/style&gt;&lt;/DisplayText&gt;&lt;record&gt;&lt;rec-number&gt;550&lt;/rec-number&gt;&lt;foreign-keys&gt;&lt;key app="EN" db-id="9edve2wadsavt5ewavaxtda4f2tavzvts9ee" timestamp="1429939807"&gt;550&lt;/key&gt;&lt;/foreign-keys&gt;&lt;ref-type name="Journal Article"&gt;17&lt;/ref-type&gt;&lt;contributors&gt;&lt;authors&gt;&lt;author&gt;Tran, H. A.&lt;/author&gt;&lt;author&gt;Chunilal, S. D.&lt;/author&gt;&lt;author&gt;Harper, P. L.&lt;/author&gt;&lt;author&gt;Tran, H.&lt;/author&gt;&lt;author&gt;Wood, E. M.&lt;/author&gt;&lt;author&gt;Gallus, A. S.&lt;/author&gt;&lt;author&gt;Australasian Society of, Thrombosis&lt;/author&gt;&lt;author&gt;Haemostasis,&lt;/author&gt;&lt;/authors&gt;&lt;/contributors&gt;&lt;titles&gt;&lt;title&gt;An update of consensus guidelines for warfarin reversal&lt;/title&gt;&lt;secondary-title&gt;The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198–199&lt;/pages&gt;&lt;volume&gt;198&lt;/volume&gt;&lt;number&gt;4&lt;/number&gt;&lt;dates&gt;&lt;year&gt;2013&lt;/year&gt;&lt;/dates&gt;&lt;isbn&gt;0025-729X&lt;/isbn&gt;&lt;urls&gt;&lt;related-urls&gt;&lt;url&gt;https://www.mja.com.au/system/files/issues/tra10614_web_fm_0.pdf&lt;/url&gt;&lt;/related-urls&gt;&lt;/urls&gt;&lt;electronic-resource-num&gt;DOI:10.5694/mja12.10614&lt;/electronic-resource-num&gt;&lt;/record&gt;&lt;/Cite&gt;&lt;/EndNote&gt;</w:instrText>
        </w:r>
        <w:r w:rsidR="00E62798">
          <w:fldChar w:fldCharType="separate"/>
        </w:r>
        <w:r w:rsidR="00E62798" w:rsidRPr="00E62798">
          <w:rPr>
            <w:noProof/>
            <w:vertAlign w:val="superscript"/>
          </w:rPr>
          <w:t>21</w:t>
        </w:r>
        <w:r w:rsidR="00E62798">
          <w:fldChar w:fldCharType="end"/>
        </w:r>
      </w:hyperlink>
      <w:r w:rsidR="00F848F2">
        <w:t xml:space="preserve"> </w:t>
      </w:r>
      <w:r>
        <w:t xml:space="preserve">In adults, PCC can quickly and reliably revert </w:t>
      </w:r>
      <w:r w:rsidR="008D6294">
        <w:t xml:space="preserve">the </w:t>
      </w:r>
      <w:r>
        <w:t>effects of VKA, with the caveat that 3-factor PCC might need to be supplemented with FFP transfusion, as a source of factor VII.</w:t>
      </w:r>
      <w:hyperlink w:anchor="_ENREF_310" w:tooltip="Sarode, 2013 #553" w:history="1">
        <w:r w:rsidR="00E62798">
          <w:fldChar w:fldCharType="begin">
            <w:fldData xml:space="preserve">PEVuZE5vdGU+PENpdGU+PEF1dGhvcj5TYXJvZGU8L0F1dGhvcj48WWVhcj4yMDEzPC9ZZWFyPjxS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PHBhZ2VzPjEyMzTigJMxMjQzPC9wYWdlcz48dm9sdW1lPjEyODwvdm9sdW1lPjxudW1iZXI+MTE8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</w:fldData>
          </w:fldChar>
        </w:r>
        <w:r w:rsidR="00E62798">
          <w:instrText xml:space="preserve"> ADDIN EN.CITE </w:instrText>
        </w:r>
        <w:r w:rsidR="00E62798">
          <w:fldChar w:fldCharType="begin">
            <w:fldData xml:space="preserve">PEVuZE5vdGU+PENpdGU+PEF1dGhvcj5TYXJvZGU8L0F1dGhvcj48WWVhcj4yMDEzPC9ZZWFyPjxS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PHBhZ2VzPjEyMzTigJMxMjQzPC9wYWdlcz48dm9sdW1lPjEyODwvdm9sdW1lPjxudW1iZXI+MTE8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310-311</w:t>
        </w:r>
        <w:r w:rsidR="00E62798">
          <w:fldChar w:fldCharType="end"/>
        </w:r>
      </w:hyperlink>
      <w:r>
        <w:t xml:space="preserve"> There are no trials or studies addressing safety and dosing in children</w:t>
      </w:r>
      <w:r w:rsidR="00C45F30">
        <w:t>; also,</w:t>
      </w:r>
      <w:r>
        <w:t xml:space="preserve"> 3-factor and 4-factor PCC </w:t>
      </w:r>
      <w:r w:rsidR="00C45F30">
        <w:t xml:space="preserve">have not </w:t>
      </w:r>
      <w:r>
        <w:t>been compared.</w:t>
      </w:r>
      <w:hyperlink w:anchor="_ENREF_312" w:tooltip="Demeyere, 2010 #555" w:history="1">
        <w:r w:rsidR="00E62798">
          <w:fldChar w:fldCharType="begin"/>
        </w:r>
        <w:r w:rsidR="00E62798">
          <w:instrText xml:space="preserve"> ADDIN EN.CITE &lt;EndNote&gt;&lt;Cite&gt;&lt;Author&gt;Demeyere&lt;/Author&gt;&lt;Year&gt;2010&lt;/Year&gt;&lt;RecNum&gt;555&lt;/RecNum&gt;&lt;DisplayText&gt;&lt;style face="superscript"&gt;312&lt;/style&gt;&lt;/DisplayText&gt;&lt;record&gt;&lt;rec-number&gt;555&lt;/rec-number&gt;&lt;foreign-keys&gt;&lt;key app="EN" db-id="9edve2wadsavt5ewavaxtda4f2tavzvts9ee" timestamp="1429939807"&gt;555&lt;/key&gt;&lt;/foreign-keys&gt;&lt;ref-type name="Journal Article"&gt;17&lt;/ref-type&gt;&lt;contributors&gt;&lt;authors&gt;&lt;author&gt;Demeyere, R.&lt;/author&gt;&lt;author&gt;Gillardin, S.&lt;/author&gt;&lt;author&gt;Arnout, J.&lt;/author&gt;&lt;author&gt;Strengers, P. F.&lt;/author&gt;&lt;/authors&gt;&lt;/contributors&gt;&lt;titles&gt;&lt;title&gt;Comparison of fresh frozen plasma and prothrombin complex concentrate for the reversal of oral anticoagulants in patients undergoing cardiopulmonary bypass surgery: a randomized study&lt;/title&gt;&lt;secondary-title&gt;Vox Sanguinis&lt;/secondary-title&gt;&lt;alt-title&gt;Vox Sang.&lt;/alt-title&gt;&lt;/titles&gt;&lt;periodical&gt;&lt;full-title&gt;Vox Sanguinis&lt;/full-title&gt;&lt;/periodical&gt;&lt;pages&gt;251–260&lt;/pages&gt;&lt;volume&gt;99&lt;/volume&gt;&lt;number&gt;3&lt;/number&gt;&lt;dates&gt;&lt;year&gt;2010&lt;/year&gt;&lt;/dates&gt;&lt;isbn&gt;0042-9007&lt;/isbn&gt;&lt;urls&gt;&lt;related-urls&gt;&lt;url&gt;http://onlinelibrary.wiley.com/doi/10.1111/j.1423-0410.2010.01339.x/abstract&lt;/url&gt;&lt;/related-urls&gt;&lt;/urls&gt;&lt;electronic-resource-num&gt;DOI:10.1111/j.1423-0410.2010.01339.x&lt;/electronic-resource-num&gt;&lt;/record&gt;&lt;/Cite&gt;&lt;/EndNote&gt;</w:instrText>
        </w:r>
        <w:r w:rsidR="00E62798">
          <w:fldChar w:fldCharType="separate"/>
        </w:r>
        <w:r w:rsidR="00E62798" w:rsidRPr="00E62798">
          <w:rPr>
            <w:noProof/>
            <w:vertAlign w:val="superscript"/>
          </w:rPr>
          <w:t>312</w:t>
        </w:r>
        <w:r w:rsidR="00E62798">
          <w:fldChar w:fldCharType="end"/>
        </w:r>
      </w:hyperlink>
      <w:r w:rsidR="00C45F30">
        <w:t xml:space="preserve"> </w:t>
      </w:r>
      <w:r>
        <w:t>Nevertheless, PCC may have a role in urgent surgery where there is insufficient time for reversal of VKA using vitamin K. O</w:t>
      </w:r>
      <w:r w:rsidR="00876931" w:rsidRPr="00876931">
        <w:t>n the basis of observati</w:t>
      </w:r>
      <w:r w:rsidR="00876931">
        <w:t>onal studies in paediatric</w:t>
      </w:r>
      <w:hyperlink w:anchor="_ENREF_313" w:tooltip="Giorni, 2014 #1177" w:history="1">
        <w:r w:rsidR="00E62798">
          <w:fldChar w:fldCharType="begin">
            <w:fldData xml:space="preserve">PEVuZE5vdGU+PENpdGU+PEF1dGhvcj5HaW9ybmk8L0F1dGhvcj48WWVhcj4yMDE0PC9ZZWFyPjxS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</w:fldData>
          </w:fldChar>
        </w:r>
        <w:r w:rsidR="00E62798">
          <w:instrText xml:space="preserve"> ADDIN EN.CITE </w:instrText>
        </w:r>
        <w:r w:rsidR="00E62798">
          <w:fldChar w:fldCharType="begin">
            <w:fldData xml:space="preserve">PEVuZE5vdGU+PENpdGU+PEF1dGhvcj5HaW9ybmk8L0F1dGhvcj48WWVhcj4yMDE0PC9ZZWFyPjxS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313</w:t>
        </w:r>
        <w:r w:rsidR="00E62798">
          <w:fldChar w:fldCharType="end"/>
        </w:r>
      </w:hyperlink>
      <w:r w:rsidR="00876931">
        <w:t xml:space="preserve"> and adult</w:t>
      </w:r>
      <w:hyperlink w:anchor="_ENREF_314" w:tooltip="Arnekian, 2012 #556" w:history="1">
        <w:r w:rsidR="00E62798">
          <w:fldChar w:fldCharType="begin"/>
        </w:r>
        <w:r w:rsidR="00E62798">
          <w:instrText xml:space="preserve"> ADDIN EN.CITE &lt;EndNote&gt;&lt;Cite&gt;&lt;Author&gt;Arnekian&lt;/Author&gt;&lt;Year&gt;2012&lt;/Year&gt;&lt;RecNum&gt;556&lt;/RecNum&gt;&lt;DisplayText&gt;&lt;style face="superscript"&gt;314&lt;/style&gt;&lt;/DisplayText&gt;&lt;record&gt;&lt;rec-number&gt;556&lt;/rec-number&gt;&lt;foreign-keys&gt;&lt;key app="EN" db-id="9edve2wadsavt5ewavaxtda4f2tavzvts9ee" timestamp="1429939807"&gt;556&lt;/key&gt;&lt;/foreign-keys&gt;&lt;ref-type name="Journal Article"&gt;17&lt;/ref-type&gt;&lt;contributors&gt;&lt;authors&gt;&lt;author&gt;Arnekian, V.&lt;/author&gt;&lt;author&gt;Camous, J.&lt;/author&gt;&lt;author&gt;Fattal, S.&lt;/author&gt;&lt;author&gt;Rezaiguia-Delclaux, S.&lt;/author&gt;&lt;author&gt;Nottin, R.&lt;/author&gt;&lt;author&gt;Stephan, F.&lt;/author&gt;&lt;/authors&gt;&lt;/contributors&gt;&lt;titles&gt;&lt;title&gt;Use of prothrombin complex concentrate for excessive bleeding after cardiac surgery&lt;/title&gt;&lt;secondary-title&gt;Interactive Cardiovascular and Thoracic Surgery&lt;/secondary-title&gt;&lt;alt-title&gt;Interact. Cardiovasc. Thorac. Surg.&lt;/alt-title&gt;&lt;/titles&gt;&lt;periodical&gt;&lt;full-title&gt;Interactive Cardiovascular and Thoracic Surgery&lt;/full-title&gt;&lt;abbr-1&gt;Interact. Cardiovasc. Thorac. Surg.&lt;/abbr-1&gt;&lt;/periodical&gt;&lt;alt-periodical&gt;&lt;full-title&gt;Interactive Cardiovascular and Thoracic Surgery&lt;/full-title&gt;&lt;abbr-1&gt;Interact. Cardiovasc. Thorac. Surg.&lt;/abbr-1&gt;&lt;/alt-periodical&gt;&lt;pages&gt;382–389&lt;/pages&gt;&lt;volume&gt;15&lt;/volume&gt;&lt;number&gt;3&lt;/number&gt;&lt;dates&gt;&lt;year&gt;2012&lt;/year&gt;&lt;/dates&gt;&lt;isbn&gt;1569-9293&lt;/isbn&gt;&lt;urls&gt;&lt;related-urls&gt;&lt;url&gt;http://www.ncbi.nlm.nih.gov/pmc/articles/PMC3422937/pdf/ivs224.pdf&lt;/url&gt;&lt;/related-urls&gt;&lt;/urls&gt;&lt;electronic-resource-num&gt;DOI:10.1093/icvts/ivs224&lt;/electronic-resource-num&gt;&lt;/record&gt;&lt;/Cite&gt;&lt;/EndNote&gt;</w:instrText>
        </w:r>
        <w:r w:rsidR="00E62798">
          <w:fldChar w:fldCharType="separate"/>
        </w:r>
        <w:r w:rsidR="00E62798" w:rsidRPr="00E62798">
          <w:rPr>
            <w:noProof/>
            <w:vertAlign w:val="superscript"/>
          </w:rPr>
          <w:t>314</w:t>
        </w:r>
        <w:r w:rsidR="00E62798">
          <w:fldChar w:fldCharType="end"/>
        </w:r>
      </w:hyperlink>
      <w:r w:rsidR="00876931">
        <w:t xml:space="preserve"> patients</w:t>
      </w:r>
      <w:r w:rsidR="00876931" w:rsidRPr="00876931">
        <w:t>, low-dose PCC may have a role in controlling bleeding post-CPB</w:t>
      </w:r>
      <w:r w:rsidR="00876931">
        <w:t>.</w:t>
      </w:r>
    </w:p>
    <w:p w14:paraId="0B8327A5" w14:textId="415FC115" w:rsidR="00D93C65" w:rsidRDefault="00D93C65" w:rsidP="00C45F30">
      <w:r>
        <w:t>The use of PCC in lieu of FFP has the potential to reduce the risk of transfusion-associated adverse reactions in neonatal and paediatric patients undergoing surgery.</w:t>
      </w:r>
      <w:r w:rsidR="00E62798">
        <w:fldChar w:fldCharType="begin">
          <w:fldData xml:space="preserve">PEVuZE5vdGU+PENpdGU+PEF1dGhvcj5Cb2JiaXR0PC9BdXRob3I+PFllYXI+MjAxMTwvWWVhcj48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bGwtdGl0bGU+Qmxvb2Q8L2Z1bGwtdGl0bGU+PC9hbHQtcGVyaW9kaWNhbD48cGFnZXM+MTc1N+KA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PGFiYnItMT5UcmFuc2Z1c2lvbjwvYWJici0xPjwvYWx0LXBlcmlvZGljYWw+PHBhZ2VzPjMzOOKA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</w:fldData>
        </w:fldChar>
      </w:r>
      <w:r w:rsidR="00E62798">
        <w:instrText xml:space="preserve"> ADDIN EN.CITE </w:instrText>
      </w:r>
      <w:r w:rsidR="00E62798">
        <w:fldChar w:fldCharType="begin">
          <w:fldData xml:space="preserve">PEVuZE5vdGU+PENpdGU+PEF1dGhvcj5Cb2JiaXR0PC9BdXRob3I+PFllYXI+MjAxMTwvWWVhcj48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bGwtdGl0bGU+Qmxvb2Q8L2Z1bGwtdGl0bGU+PC9hbHQtcGVyaW9kaWNhbD48cGFnZXM+MTc1N+KA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PGFiYnItMT5UcmFuc2Z1c2lvbjwvYWJici0xPjwvYWx0LXBlcmlvZGljYWw+PHBhZ2VzPjMzOOKA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</w:fldData>
        </w:fldChar>
      </w:r>
      <w:r w:rsidR="00E62798">
        <w:instrText xml:space="preserve"> ADDIN EN.CITE.DATA </w:instrText>
      </w:r>
      <w:r w:rsidR="00E62798">
        <w:fldChar w:fldCharType="end"/>
      </w:r>
      <w:r w:rsidR="00E62798">
        <w:fldChar w:fldCharType="separate"/>
      </w:r>
      <w:hyperlink w:anchor="_ENREF_58" w:tooltip="Carson, 2012 #559" w:history="1">
        <w:r w:rsidR="00E62798" w:rsidRPr="00E62798">
          <w:rPr>
            <w:noProof/>
            <w:vertAlign w:val="superscript"/>
          </w:rPr>
          <w:t>58</w:t>
        </w:r>
      </w:hyperlink>
      <w:r w:rsidR="00E62798" w:rsidRPr="00E62798">
        <w:rPr>
          <w:noProof/>
          <w:vertAlign w:val="superscript"/>
        </w:rPr>
        <w:t xml:space="preserve">; </w:t>
      </w:r>
      <w:hyperlink w:anchor="_ENREF_315" w:tooltip="Bobbitt, 2011 #568" w:history="1">
        <w:r w:rsidR="00E62798" w:rsidRPr="00E62798">
          <w:rPr>
            <w:noProof/>
            <w:vertAlign w:val="superscript"/>
          </w:rPr>
          <w:t>315-325</w:t>
        </w:r>
      </w:hyperlink>
      <w:r w:rsidR="00E62798">
        <w:fldChar w:fldCharType="end"/>
      </w:r>
      <w:r w:rsidR="00185BD8">
        <w:t xml:space="preserve"> </w:t>
      </w:r>
    </w:p>
    <w:tbl>
      <w:tblPr>
        <w:tblStyle w:val="TableGrid"/>
        <w:tblW w:w="0" w:type="auto"/>
        <w:tblInd w:w="720" w:type="dxa"/>
        <w:tblLook w:val="04A0" w:firstRow="1" w:lastRow="0" w:firstColumn="1" w:lastColumn="0" w:noHBand="0" w:noVBand="1"/>
      </w:tblPr>
      <w:tblGrid>
        <w:gridCol w:w="1210"/>
        <w:gridCol w:w="6854"/>
      </w:tblGrid>
      <w:tr w:rsidR="00D93C65" w:rsidRPr="00813FDC" w14:paraId="7CF0064D" w14:textId="77777777" w:rsidTr="00467EEA">
        <w:tc>
          <w:tcPr>
            <w:tcW w:w="8064" w:type="dxa"/>
            <w:gridSpan w:val="2"/>
            <w:shd w:val="clear" w:color="auto" w:fill="BFBFBF" w:themeFill="background1" w:themeFillShade="BF"/>
          </w:tcPr>
          <w:p w14:paraId="41949A4B" w14:textId="77777777" w:rsidR="00D93C65" w:rsidRPr="00813FDC" w:rsidRDefault="00D93C65" w:rsidP="00C62C56">
            <w:pPr>
              <w:pStyle w:val="PP-heading"/>
            </w:pPr>
            <w:r w:rsidRPr="00813FDC">
              <w:t xml:space="preserve">Expert opinion points </w:t>
            </w:r>
            <w:r>
              <w:t xml:space="preserve">– </w:t>
            </w:r>
            <w:r w:rsidRPr="00E46C89">
              <w:t>strategies for minimisation of blood loss</w:t>
            </w:r>
          </w:p>
        </w:tc>
      </w:tr>
      <w:tr w:rsidR="00D93C65" w14:paraId="5F4FEFAA" w14:textId="77777777" w:rsidTr="00C45F30">
        <w:tc>
          <w:tcPr>
            <w:tcW w:w="1210" w:type="dxa"/>
          </w:tcPr>
          <w:p w14:paraId="1F2EAB71" w14:textId="3B461315" w:rsidR="00D93C65" w:rsidRDefault="00D93C65" w:rsidP="00C45F30">
            <w:pPr>
              <w:pStyle w:val="PP"/>
            </w:pPr>
            <w:r>
              <w:t>EOP</w:t>
            </w:r>
            <w:r w:rsidR="00C45F30">
              <w:t>26</w:t>
            </w:r>
          </w:p>
        </w:tc>
        <w:tc>
          <w:tcPr>
            <w:tcW w:w="6854" w:type="dxa"/>
          </w:tcPr>
          <w:p w14:paraId="5C73BE14" w14:textId="3669252B" w:rsidR="00D93C65" w:rsidRDefault="00D93C65" w:rsidP="00E62798">
            <w:pPr>
              <w:pStyle w:val="PP"/>
            </w:pPr>
            <w:r w:rsidRPr="00445D1F">
              <w:t>P</w:t>
            </w:r>
            <w:r>
              <w:t>CCs</w:t>
            </w:r>
            <w:r w:rsidRPr="00445D1F">
              <w:t xml:space="preserve"> </w:t>
            </w:r>
            <w:r>
              <w:t>may</w:t>
            </w:r>
            <w:r w:rsidRPr="00445D1F">
              <w:t xml:space="preserve"> be considered</w:t>
            </w:r>
            <w:r>
              <w:t xml:space="preserve"> in neonatal and paediatric patients undergoing urgent surgery who are receiving VKAs.</w:t>
            </w:r>
            <w:hyperlink w:anchor="_ENREF_21" w:tooltip="Tran, 2013 #550" w:history="1">
              <w:r w:rsidR="00E62798">
                <w:fldChar w:fldCharType="begin"/>
              </w:r>
              <w:r w:rsidR="00E62798">
                <w:instrText xml:space="preserve"> ADDIN EN.CITE &lt;EndNote&gt;&lt;Cite&gt;&lt;Author&gt;Tran&lt;/Author&gt;&lt;Year&gt;2013&lt;/Year&gt;&lt;RecNum&gt;550&lt;/RecNum&gt;&lt;DisplayText&gt;&lt;style face="superscript"&gt;21&lt;/style&gt;&lt;/DisplayText&gt;&lt;record&gt;&lt;rec-number&gt;550&lt;/rec-number&gt;&lt;foreign-keys&gt;&lt;key app="EN" db-id="9edve2wadsavt5ewavaxtda4f2tavzvts9ee" timestamp="1429939807"&gt;550&lt;/key&gt;&lt;/foreign-keys&gt;&lt;ref-type name="Journal Article"&gt;17&lt;/ref-type&gt;&lt;contributors&gt;&lt;authors&gt;&lt;author&gt;Tran, H. A.&lt;/author&gt;&lt;author&gt;Chunilal, S. D.&lt;/author&gt;&lt;author&gt;Harper, P. L.&lt;/author&gt;&lt;author&gt;Tran, H.&lt;/author&gt;&lt;author&gt;Wood, E. M.&lt;/author&gt;&lt;author&gt;Gallus, A. S.&lt;/author&gt;&lt;author&gt;Australasian Society of, Thrombosis&lt;/author&gt;&lt;author&gt;Haemostasis,&lt;/author&gt;&lt;/authors&gt;&lt;/contributors&gt;&lt;titles&gt;&lt;title&gt;An update of consensus guidelines for warfarin reversal&lt;/title&gt;&lt;secondary-title&gt;The Medical Journal of Australia&lt;/secondary-title&gt;&lt;alt-title&gt;Med. J. Aust.&lt;/alt-title&gt;&lt;/titles&gt;&lt;periodical&gt;&lt;full-title&gt;The Medical Journal of Australia&lt;/full-title&gt;&lt;abbr-1&gt;Med. J. Aust.&lt;/abbr-1&gt;&lt;/periodical&gt;&lt;alt-periodical&gt;&lt;full-title&gt;The Medical Journal of Australia&lt;/full-title&gt;&lt;abbr-1&gt;Med. J. Aust.&lt;/abbr-1&gt;&lt;/alt-periodical&gt;&lt;pages&gt;198–199&lt;/pages&gt;&lt;volume&gt;198&lt;/volume&gt;&lt;number&gt;4&lt;/number&gt;&lt;dates&gt;&lt;year&gt;2013&lt;/year&gt;&lt;/dates&gt;&lt;isbn&gt;0025-729X&lt;/isbn&gt;&lt;urls&gt;&lt;related-urls&gt;&lt;url&gt;https://www.mja.com.au/system/files/issues/tra10614_web_fm_0.pdf&lt;/url&gt;&lt;/related-urls&gt;&lt;/urls&gt;&lt;electronic-resource-num&gt;DOI:10.5694/mja12.10614&lt;/electronic-resource-num&gt;&lt;/record&gt;&lt;/Cite&gt;&lt;/EndNote&gt;</w:instrText>
              </w:r>
              <w:r w:rsidR="00E62798">
                <w:fldChar w:fldCharType="separate"/>
              </w:r>
              <w:r w:rsidR="00E62798" w:rsidRPr="00E62798">
                <w:rPr>
                  <w:noProof/>
                  <w:vertAlign w:val="superscript"/>
                </w:rPr>
                <w:t>21</w:t>
              </w:r>
              <w:r w:rsidR="00E62798">
                <w:fldChar w:fldCharType="end"/>
              </w:r>
            </w:hyperlink>
          </w:p>
        </w:tc>
      </w:tr>
      <w:tr w:rsidR="00D93C65" w14:paraId="192BEBF1" w14:textId="77777777" w:rsidTr="00C45F30">
        <w:tc>
          <w:tcPr>
            <w:tcW w:w="1210" w:type="dxa"/>
          </w:tcPr>
          <w:p w14:paraId="18AA23E7" w14:textId="3E19CC41" w:rsidR="00D93C65" w:rsidRDefault="00D93C65" w:rsidP="00C45F30">
            <w:pPr>
              <w:pStyle w:val="PP"/>
            </w:pPr>
            <w:r>
              <w:t>EOP</w:t>
            </w:r>
            <w:r w:rsidR="00C45F30">
              <w:t>27</w:t>
            </w:r>
          </w:p>
        </w:tc>
        <w:tc>
          <w:tcPr>
            <w:tcW w:w="6854" w:type="dxa"/>
          </w:tcPr>
          <w:p w14:paraId="523011E9" w14:textId="77777777" w:rsidR="00D93C65" w:rsidRDefault="00D93C65" w:rsidP="00C45F30">
            <w:pPr>
              <w:pStyle w:val="PP"/>
            </w:pPr>
            <w:r w:rsidRPr="00445D1F">
              <w:t>P</w:t>
            </w:r>
            <w:r>
              <w:t>CCs</w:t>
            </w:r>
            <w:r w:rsidRPr="00445D1F">
              <w:t xml:space="preserve"> may be considered to </w:t>
            </w:r>
            <w:r>
              <w:t>treat</w:t>
            </w:r>
            <w:r w:rsidRPr="00445D1F">
              <w:t xml:space="preserve"> bleeding </w:t>
            </w:r>
            <w:r>
              <w:t>in paediatric patients at high risk of volume overload (e.g. those who have undergone</w:t>
            </w:r>
            <w:r w:rsidRPr="00445D1F">
              <w:t xml:space="preserve"> cardiac surgery on </w:t>
            </w:r>
            <w:r>
              <w:t>CPB).</w:t>
            </w:r>
          </w:p>
        </w:tc>
      </w:tr>
      <w:tr w:rsidR="00D93C65" w14:paraId="41C71753" w14:textId="77777777" w:rsidTr="00C45F30">
        <w:tc>
          <w:tcPr>
            <w:tcW w:w="8064" w:type="dxa"/>
            <w:gridSpan w:val="2"/>
          </w:tcPr>
          <w:p w14:paraId="45073D4A" w14:textId="7EBDBB2B" w:rsidR="00D93C65" w:rsidRPr="00D914D2" w:rsidRDefault="00D93C65" w:rsidP="00C45F30">
            <w:pPr>
              <w:pStyle w:val="PP-note"/>
            </w:pPr>
            <w:r>
              <w:t xml:space="preserve">CPB, cardiopulmonary bypass; EOP, expert opinion point; PCC, prothrombin complex concentrate; VKA, </w:t>
            </w:r>
            <w:r w:rsidRPr="00445D1F">
              <w:t>vitamin K antagonist</w:t>
            </w:r>
          </w:p>
        </w:tc>
      </w:tr>
    </w:tbl>
    <w:p w14:paraId="0DD6A405" w14:textId="77777777" w:rsidR="00D93C65" w:rsidRDefault="00D93C65" w:rsidP="00D93C65"/>
    <w:p w14:paraId="1F0F558E" w14:textId="77777777" w:rsidR="00D93C65" w:rsidRPr="0079141A" w:rsidRDefault="00D93C65" w:rsidP="00D93C65">
      <w:pPr>
        <w:pStyle w:val="Heading3"/>
      </w:pPr>
      <w:bookmarkStart w:id="224" w:name="_Toc421124130"/>
      <w:bookmarkStart w:id="225" w:name="_Toc427851389"/>
      <w:r>
        <w:t>4.</w:t>
      </w:r>
      <w:r w:rsidRPr="0079141A">
        <w:t>4.</w:t>
      </w:r>
      <w:r>
        <w:t>2</w:t>
      </w:r>
      <w:r w:rsidRPr="0079141A">
        <w:t xml:space="preserve"> </w:t>
      </w:r>
      <w:r>
        <w:tab/>
        <w:t xml:space="preserve">Topical </w:t>
      </w:r>
      <w:r w:rsidRPr="0079141A">
        <w:t>haemostatic</w:t>
      </w:r>
      <w:r>
        <w:t xml:space="preserve"> a</w:t>
      </w:r>
      <w:r w:rsidRPr="0079141A">
        <w:t>gents</w:t>
      </w:r>
      <w:bookmarkEnd w:id="224"/>
      <w:bookmarkEnd w:id="225"/>
    </w:p>
    <w:p w14:paraId="2A51E5BB" w14:textId="2A8699DB" w:rsidR="00D93C65" w:rsidRPr="002D03DF" w:rsidRDefault="00D93C65" w:rsidP="00D93C65">
      <w:pPr>
        <w:rPr>
          <w:rFonts w:cs="Calibri"/>
        </w:rPr>
      </w:pPr>
      <w:r w:rsidRPr="002D03DF">
        <w:rPr>
          <w:rFonts w:cs="Calibri"/>
        </w:rPr>
        <w:t>Topical haemostatic agents (THA</w:t>
      </w:r>
      <w:r w:rsidR="00C913EB">
        <w:rPr>
          <w:rFonts w:cs="Calibri"/>
        </w:rPr>
        <w:t>s</w:t>
      </w:r>
      <w:r w:rsidRPr="002D03DF">
        <w:rPr>
          <w:rFonts w:cs="Calibri"/>
        </w:rPr>
        <w:t xml:space="preserve">) </w:t>
      </w:r>
      <w:r>
        <w:rPr>
          <w:rFonts w:cs="Calibri"/>
        </w:rPr>
        <w:t>can be</w:t>
      </w:r>
      <w:r w:rsidRPr="002D03DF">
        <w:rPr>
          <w:rFonts w:cs="Calibri"/>
        </w:rPr>
        <w:t xml:space="preserve"> used in surgery</w:t>
      </w:r>
      <w:r w:rsidR="00F848F2">
        <w:rPr>
          <w:rFonts w:cs="Calibri"/>
        </w:rPr>
        <w:t xml:space="preserve"> </w:t>
      </w:r>
      <w:r w:rsidRPr="002D03DF">
        <w:rPr>
          <w:rFonts w:cs="Calibri"/>
        </w:rPr>
        <w:t>to prevent or control bleeding</w:t>
      </w:r>
      <w:r w:rsidR="00E51CC9">
        <w:rPr>
          <w:rFonts w:cs="Calibri"/>
        </w:rPr>
        <w:t>,</w:t>
      </w:r>
      <w:r>
        <w:rPr>
          <w:rFonts w:cs="Calibri"/>
        </w:rPr>
        <w:t xml:space="preserve"> as one element of an approach to blood conservation (see </w:t>
      </w:r>
      <w:r w:rsidR="00E51CC9">
        <w:rPr>
          <w:rFonts w:cs="Calibri"/>
        </w:rPr>
        <w:t>Box 4</w:t>
      </w:r>
      <w:r>
        <w:rPr>
          <w:rFonts w:cs="Calibri"/>
        </w:rPr>
        <w:t>.1)</w:t>
      </w:r>
      <w:r w:rsidRPr="002D03DF">
        <w:rPr>
          <w:rFonts w:cs="Calibri"/>
        </w:rPr>
        <w:t>.</w:t>
      </w:r>
      <w:hyperlink w:anchor="_ENREF_326" w:tooltip="Pace Napoleone, 2009 #571" w:history="1">
        <w:r w:rsidR="00E62798">
          <w:rPr>
            <w:rFonts w:cs="Calibri"/>
          </w:rPr>
          <w:fldChar w:fldCharType="begin">
            <w:fldData xml:space="preserve">PEVuZE5vdGU+PENpdGU+PEF1dGhvcj5QYWNlIE5hcG9sZW9uZTwvQXV0aG9yPjxZZWFyPjIwMDk8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</w:fldData>
          </w:fldChar>
        </w:r>
        <w:r w:rsidR="00E62798">
          <w:rPr>
            <w:rFonts w:cs="Calibri"/>
          </w:rPr>
          <w:instrText xml:space="preserve"> ADDIN EN.CITE </w:instrText>
        </w:r>
        <w:r w:rsidR="00E62798">
          <w:rPr>
            <w:rFonts w:cs="Calibri"/>
          </w:rPr>
          <w:fldChar w:fldCharType="begin">
            <w:fldData xml:space="preserve">PEVuZE5vdGU+PENpdGU+PEF1dGhvcj5QYWNlIE5hcG9sZW9uZTwvQXV0aG9yPjxZZWFyPjIwMDk8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326-327</w:t>
        </w:r>
        <w:r w:rsidR="00E62798">
          <w:rPr>
            <w:rFonts w:cs="Calibri"/>
          </w:rPr>
          <w:fldChar w:fldCharType="end"/>
        </w:r>
      </w:hyperlink>
    </w:p>
    <w:p w14:paraId="22E6F2CE" w14:textId="71ABDA71" w:rsidR="00D93C65" w:rsidRDefault="00D93C65" w:rsidP="00D93C65">
      <w:pPr>
        <w:rPr>
          <w:rFonts w:cs="Calibri"/>
        </w:rPr>
      </w:pPr>
      <w:r>
        <w:rPr>
          <w:rFonts w:cs="Calibri"/>
        </w:rPr>
        <w:t xml:space="preserve">There are a variety of different THAs on the market, with distinct mechanisms of action and characteristics. Some act by compression (pads or cloth-like materials), others by sealing </w:t>
      </w:r>
      <w:r w:rsidRPr="00B32453">
        <w:rPr>
          <w:rFonts w:cs="Calibri"/>
        </w:rPr>
        <w:t>of</w:t>
      </w:r>
      <w:r>
        <w:rPr>
          <w:rFonts w:cs="Calibri"/>
        </w:rPr>
        <w:t>f</w:t>
      </w:r>
      <w:r w:rsidRPr="00B32453">
        <w:rPr>
          <w:rFonts w:cs="Calibri"/>
        </w:rPr>
        <w:t xml:space="preserve"> a bleeding area</w:t>
      </w:r>
      <w:r>
        <w:rPr>
          <w:rFonts w:cs="Calibri"/>
        </w:rPr>
        <w:t>. They are used mostly for vascular anastomoses, locali</w:t>
      </w:r>
      <w:r w:rsidR="00C913EB">
        <w:rPr>
          <w:rFonts w:cs="Calibri"/>
        </w:rPr>
        <w:t>s</w:t>
      </w:r>
      <w:r>
        <w:rPr>
          <w:rFonts w:cs="Calibri"/>
        </w:rPr>
        <w:t>ed oozing spots and at the sternum, when other measures to control haemostasis have failed. In general, THAs decrease the time needed to obtain haemostasis.</w:t>
      </w:r>
    </w:p>
    <w:p w14:paraId="10FD8156" w14:textId="76C928AE" w:rsidR="00D93C65" w:rsidRPr="002D03DF" w:rsidRDefault="00D93C65" w:rsidP="00D93C65">
      <w:pPr>
        <w:rPr>
          <w:rFonts w:cs="Calibri"/>
        </w:rPr>
      </w:pPr>
      <w:r>
        <w:rPr>
          <w:rFonts w:cs="Calibri"/>
        </w:rPr>
        <w:t xml:space="preserve">Use </w:t>
      </w:r>
      <w:r w:rsidRPr="002D03DF">
        <w:rPr>
          <w:rFonts w:cs="Calibri"/>
        </w:rPr>
        <w:t>of these products depends on surg</w:t>
      </w:r>
      <w:r w:rsidR="00AC28BF">
        <w:rPr>
          <w:rFonts w:cs="Calibri"/>
        </w:rPr>
        <w:t>eons’s</w:t>
      </w:r>
      <w:r w:rsidRPr="002D03DF">
        <w:rPr>
          <w:rFonts w:cs="Calibri"/>
        </w:rPr>
        <w:t xml:space="preserve"> preference, availability, type of bleeding (arterial or capillary), patient coagulation status (normal or deranged), and tissue</w:t>
      </w:r>
      <w:r>
        <w:rPr>
          <w:rFonts w:cs="Calibri"/>
        </w:rPr>
        <w:t xml:space="preserve"> or </w:t>
      </w:r>
      <w:r w:rsidRPr="002D03DF">
        <w:rPr>
          <w:rFonts w:cs="Calibri"/>
        </w:rPr>
        <w:t>compartment where</w:t>
      </w:r>
      <w:r>
        <w:rPr>
          <w:rFonts w:cs="Calibri"/>
        </w:rPr>
        <w:t xml:space="preserve"> the product</w:t>
      </w:r>
      <w:r w:rsidRPr="002D03DF">
        <w:rPr>
          <w:rFonts w:cs="Calibri"/>
        </w:rPr>
        <w:t xml:space="preserve"> will be used.</w:t>
      </w:r>
      <w:hyperlink w:anchor="_ENREF_328" w:tooltip="Tackett, 2014 #573" w:history="1">
        <w:r w:rsidR="00E62798">
          <w:rPr>
            <w:rFonts w:cs="Calibri"/>
          </w:rPr>
          <w:fldChar w:fldCharType="begin"/>
        </w:r>
        <w:r w:rsidR="00E62798">
          <w:rPr>
            <w:rFonts w:cs="Calibri"/>
          </w:rPr>
          <w:instrText xml:space="preserve"> ADDIN EN.CITE &lt;EndNote&gt;&lt;Cite&gt;&lt;Author&gt;Tackett&lt;/Author&gt;&lt;Year&gt;2014&lt;/Year&gt;&lt;RecNum&gt;573&lt;/RecNum&gt;&lt;DisplayText&gt;&lt;style face="superscript"&gt;328&lt;/style&gt;&lt;/DisplayText&gt;&lt;record&gt;&lt;rec-number&gt;573&lt;/rec-number&gt;&lt;foreign-keys&gt;&lt;key app="EN" db-id="9edve2wadsavt5ewavaxtda4f2tavzvts9ee" timestamp="1429939807"&gt;573&lt;/key&gt;&lt;/foreign-keys&gt;&lt;ref-type name="Journal Article"&gt;17&lt;/ref-type&gt;&lt;contributors&gt;&lt;authors&gt;&lt;author&gt;Tackett, S. M.&lt;/author&gt;&lt;author&gt;Sugarman, R.&lt;/author&gt;&lt;author&gt;Kreuwel, H. T. C.&lt;/author&gt;&lt;author&gt;Alvarez, P.&lt;/author&gt;&lt;author&gt;Nasso, G.&lt;/author&gt;&lt;/authors&gt;&lt;/contributors&gt;&lt;titles&gt;&lt;title&gt;Hospital economic impact from hemostatic matrix usage in cardiac surgery&lt;/title&gt;&lt;secondary-title&gt;Journal of Medical Economics&lt;/secondary-title&gt;&lt;alt-title&gt;J. Med. Econ.&lt;/alt-title&gt;&lt;/titles&gt;&lt;periodical&gt;&lt;full-title&gt;Journal of Medical Economics&lt;/full-title&gt;&lt;abbr-1&gt;J. Med. Econ.&lt;/abbr-1&gt;&lt;/periodical&gt;&lt;alt-periodical&gt;&lt;full-title&gt;Journal of Medical Economics&lt;/full-title&gt;&lt;abbr-1&gt;J. Med. Econ.&lt;/abbr-1&gt;&lt;/alt-periodical&gt;&lt;pages&gt;670–676&lt;/pages&gt;&lt;volume&gt;17&lt;/volume&gt;&lt;number&gt;9&lt;/number&gt;&lt;dates&gt;&lt;year&gt;2014&lt;/year&gt;&lt;/dates&gt;&lt;isbn&gt;1369-6998&lt;/isbn&gt;&lt;urls&gt;&lt;related-urls&gt;&lt;url&gt;http://informahealthcare.com/doi/pdfplus/10.3111/13696998.2014.928638&lt;/url&gt;&lt;/related-urls&gt;&lt;/urls&gt;&lt;electronic-resource-num&gt;DOI:10.3111/13696998.2014.928638&lt;/electronic-resource-num&gt;&lt;/record&gt;&lt;/Cite&gt;&lt;/EndNote&gt;</w:instrText>
        </w:r>
        <w:r w:rsidR="00E62798">
          <w:rPr>
            <w:rFonts w:cs="Calibri"/>
          </w:rPr>
          <w:fldChar w:fldCharType="separate"/>
        </w:r>
        <w:r w:rsidR="00E62798" w:rsidRPr="00E62798">
          <w:rPr>
            <w:rFonts w:cs="Calibri"/>
            <w:noProof/>
            <w:vertAlign w:val="superscript"/>
          </w:rPr>
          <w:t>328</w:t>
        </w:r>
        <w:r w:rsidR="00E62798">
          <w:rPr>
            <w:rFonts w:cs="Calibri"/>
          </w:rPr>
          <w:fldChar w:fldCharType="end"/>
        </w:r>
      </w:hyperlink>
    </w:p>
    <w:p w14:paraId="68577211" w14:textId="4A91DDA8" w:rsidR="00D93C65" w:rsidRPr="002D03DF" w:rsidRDefault="00C913EB" w:rsidP="00D93C65">
      <w:pPr>
        <w:rPr>
          <w:rFonts w:cs="Calibri"/>
        </w:rPr>
      </w:pPr>
      <w:r>
        <w:rPr>
          <w:rFonts w:cs="Calibri"/>
        </w:rPr>
        <w:t>T</w:t>
      </w:r>
      <w:r w:rsidR="00D93C65">
        <w:rPr>
          <w:rFonts w:cs="Calibri"/>
        </w:rPr>
        <w:t>he various products have different applications, mechanisms of action and risks</w:t>
      </w:r>
      <w:r>
        <w:rPr>
          <w:rFonts w:cs="Calibri"/>
        </w:rPr>
        <w:t>.</w:t>
      </w:r>
      <w:r w:rsidR="00E62798">
        <w:rPr>
          <w:rFonts w:cs="Calibri"/>
        </w:rPr>
        <w:fldChar w:fldCharType="begin">
          <w:fldData xml:space="preserve">PEVuZE5vdGU+PENpdGU+PEF1dGhvcj5MZU1haXJlPC9BdXRob3I+PFllYXI+MjAwMjwvWWVhcj48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</w:fldData>
        </w:fldChar>
      </w:r>
      <w:r w:rsidR="00E62798">
        <w:rPr>
          <w:rFonts w:cs="Calibri"/>
        </w:rPr>
        <w:instrText xml:space="preserve"> ADDIN EN.CITE </w:instrText>
      </w:r>
      <w:r w:rsidR="00E62798">
        <w:rPr>
          <w:rFonts w:cs="Calibri"/>
        </w:rPr>
        <w:fldChar w:fldCharType="begin">
          <w:fldData xml:space="preserve">PEVuZE5vdGU+PENpdGU+PEF1dGhvcj5MZU1haXJlPC9BdXRob3I+PFllYXI+MjAwMjwvWWVhcj48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hyperlink w:anchor="_ENREF_15" w:tooltip="Baker, 2004 #551" w:history="1">
        <w:r w:rsidR="00E62798" w:rsidRPr="00E62798">
          <w:rPr>
            <w:rFonts w:cs="Calibri"/>
            <w:noProof/>
            <w:vertAlign w:val="superscript"/>
          </w:rPr>
          <w:t>15</w:t>
        </w:r>
      </w:hyperlink>
      <w:r w:rsidR="00E62798" w:rsidRPr="00E62798">
        <w:rPr>
          <w:rFonts w:cs="Calibri"/>
          <w:noProof/>
          <w:vertAlign w:val="superscript"/>
        </w:rPr>
        <w:t xml:space="preserve">; </w:t>
      </w:r>
      <w:hyperlink w:anchor="_ENREF_308" w:tooltip="Australian Red Cross Blood Service, 2012 #548" w:history="1">
        <w:r w:rsidR="00E62798" w:rsidRPr="00E62798">
          <w:rPr>
            <w:rFonts w:cs="Calibri"/>
            <w:noProof/>
            <w:vertAlign w:val="superscript"/>
          </w:rPr>
          <w:t>308</w:t>
        </w:r>
      </w:hyperlink>
      <w:r w:rsidR="00E62798" w:rsidRPr="00E62798">
        <w:rPr>
          <w:rFonts w:cs="Calibri"/>
          <w:noProof/>
          <w:vertAlign w:val="superscript"/>
        </w:rPr>
        <w:t xml:space="preserve">; </w:t>
      </w:r>
      <w:hyperlink w:anchor="_ENREF_329" w:tooltip="LeMaire, 2002 #574" w:history="1">
        <w:r w:rsidR="00E62798" w:rsidRPr="00E62798">
          <w:rPr>
            <w:rFonts w:cs="Calibri"/>
            <w:noProof/>
            <w:vertAlign w:val="superscript"/>
          </w:rPr>
          <w:t>329-337</w:t>
        </w:r>
      </w:hyperlink>
      <w:r w:rsidR="00E62798">
        <w:rPr>
          <w:rFonts w:cs="Calibri"/>
        </w:rPr>
        <w:fldChar w:fldCharType="end"/>
      </w:r>
      <w:r w:rsidR="00D93C65">
        <w:rPr>
          <w:rFonts w:cs="Calibri"/>
        </w:rPr>
        <w:t xml:space="preserve"> </w:t>
      </w:r>
      <w:r>
        <w:rPr>
          <w:rFonts w:cs="Calibri"/>
        </w:rPr>
        <w:t xml:space="preserve">Thus, it </w:t>
      </w:r>
      <w:r w:rsidR="00D93C65" w:rsidRPr="002D03DF">
        <w:rPr>
          <w:rFonts w:cs="Calibri"/>
        </w:rPr>
        <w:t>is critical to follow the manufacturer’s instructions for use</w:t>
      </w:r>
      <w:r>
        <w:rPr>
          <w:rFonts w:cs="Calibri"/>
        </w:rPr>
        <w:t>,</w:t>
      </w:r>
      <w:r w:rsidR="00D93C65" w:rsidRPr="002D03DF">
        <w:rPr>
          <w:rFonts w:cs="Calibri"/>
        </w:rPr>
        <w:t xml:space="preserve"> and </w:t>
      </w:r>
      <w:r w:rsidR="00D93C65">
        <w:rPr>
          <w:rFonts w:cs="Calibri"/>
        </w:rPr>
        <w:t xml:space="preserve">consider the product-specific </w:t>
      </w:r>
      <w:r w:rsidR="00D93C65" w:rsidRPr="002D03DF">
        <w:rPr>
          <w:rFonts w:cs="Calibri"/>
        </w:rPr>
        <w:t>safety information</w:t>
      </w:r>
      <w:r w:rsidR="00D93C65">
        <w:rPr>
          <w:rFonts w:cs="Calibri"/>
        </w:rPr>
        <w:t>.</w:t>
      </w:r>
    </w:p>
    <w:p w14:paraId="0C2C9E32" w14:textId="77777777" w:rsidR="00E51CC9" w:rsidRDefault="00E51CC9" w:rsidP="00E51CC9">
      <w:pPr>
        <w:pStyle w:val="BoxName"/>
      </w:pPr>
      <w:r>
        <w:rPr>
          <w:lang w:val="en-AU"/>
        </w:rPr>
        <w:t>Box 4.1</w:t>
      </w:r>
      <w:r>
        <w:rPr>
          <w:lang w:val="en-AU"/>
        </w:rPr>
        <w:tab/>
      </w:r>
      <w:r>
        <w:t>S</w:t>
      </w:r>
      <w:r w:rsidRPr="00A83C4B">
        <w:t xml:space="preserve">trategies to </w:t>
      </w:r>
      <w:r>
        <w:t>improve blood conservation in paediatric cardiac surgery</w:t>
      </w:r>
      <w:r>
        <w:rPr>
          <w:rStyle w:val="FootnoteReference"/>
        </w:rPr>
        <w:footnoteReference w:id="18"/>
      </w:r>
    </w:p>
    <w:p w14:paraId="26BD953E" w14:textId="77777777" w:rsidR="00E51CC9" w:rsidRDefault="00E51CC9" w:rsidP="00E51CC9">
      <w:pPr>
        <w:pStyle w:val="BoxBullet"/>
      </w:pPr>
      <w:r>
        <w:t>Careful planning of the surgical procedure, taking blood conservation into account</w:t>
      </w:r>
    </w:p>
    <w:p w14:paraId="52134463" w14:textId="77777777" w:rsidR="00E51CC9" w:rsidRDefault="00E51CC9" w:rsidP="00E51CC9">
      <w:pPr>
        <w:pStyle w:val="BoxBullet"/>
      </w:pPr>
      <w:r>
        <w:t>Meticulous surgical technique</w:t>
      </w:r>
    </w:p>
    <w:p w14:paraId="48337423" w14:textId="77777777" w:rsidR="00E51CC9" w:rsidRDefault="00E51CC9" w:rsidP="00E51CC9">
      <w:pPr>
        <w:pStyle w:val="BoxBullet"/>
      </w:pPr>
      <w:r>
        <w:t>Judicious use of diathermy and other electrosurgical technologies</w:t>
      </w:r>
    </w:p>
    <w:p w14:paraId="78FB4B50" w14:textId="69691203" w:rsidR="00E51CC9" w:rsidRDefault="00E51CC9" w:rsidP="00E51CC9">
      <w:pPr>
        <w:pStyle w:val="BoxBullet"/>
      </w:pPr>
      <w:r>
        <w:t xml:space="preserve">Systemic antifibrinolytics (e.g. </w:t>
      </w:r>
      <w:r w:rsidR="00D1150F">
        <w:rPr>
          <w:lang w:val="en-AU"/>
        </w:rPr>
        <w:t>TXA</w:t>
      </w:r>
      <w:r>
        <w:t xml:space="preserve">) </w:t>
      </w:r>
    </w:p>
    <w:p w14:paraId="5B852BC7" w14:textId="0418CEB0" w:rsidR="00E51CC9" w:rsidRDefault="00E51CC9" w:rsidP="00E51CC9">
      <w:pPr>
        <w:pStyle w:val="BoxBullet"/>
      </w:pPr>
      <w:r>
        <w:t>Controlled intraoperative hypotension</w:t>
      </w:r>
    </w:p>
    <w:p w14:paraId="1EED6AE7" w14:textId="77777777" w:rsidR="00E51CC9" w:rsidRDefault="00E51CC9" w:rsidP="00E51CC9">
      <w:pPr>
        <w:pStyle w:val="BoxBullet"/>
      </w:pPr>
      <w:r>
        <w:t>Judicious use of topical agents (e.g. thrombin, collagen and fibrin glue)</w:t>
      </w:r>
    </w:p>
    <w:p w14:paraId="152AF231" w14:textId="77777777" w:rsidR="00E51CC9" w:rsidRDefault="00E51CC9" w:rsidP="00E51CC9">
      <w:pPr>
        <w:pStyle w:val="BoxBullet"/>
      </w:pPr>
      <w:r>
        <w:t>Strategies to facilitate chest re-entry (e.g. closure or reconstitution of the pericardium, and protection of the innominate vein)</w:t>
      </w:r>
    </w:p>
    <w:p w14:paraId="2B9A0636" w14:textId="77777777" w:rsidR="00E51CC9" w:rsidRDefault="00E51CC9" w:rsidP="00E51CC9">
      <w:pPr>
        <w:pStyle w:val="BoxBullet"/>
      </w:pPr>
      <w:r>
        <w:t>Strategies to decrease mediastinal adhesions (e.g. use of dissolvable suture material where appropriate)</w:t>
      </w:r>
    </w:p>
    <w:p w14:paraId="4EED193D" w14:textId="77777777" w:rsidR="00E51CC9" w:rsidRDefault="00E51CC9" w:rsidP="00E51CC9">
      <w:pPr>
        <w:pStyle w:val="BoxBullet"/>
      </w:pPr>
      <w:r>
        <w:t>Consideration of the use of reduced prime volume and smaller circuits for cases operated on under CPB</w:t>
      </w:r>
    </w:p>
    <w:p w14:paraId="78EE07E8" w14:textId="2D0D99EE" w:rsidR="00E51CC9" w:rsidRDefault="00E51CC9" w:rsidP="00E51CC9">
      <w:pPr>
        <w:pStyle w:val="BoxBullet"/>
      </w:pPr>
      <w:r>
        <w:t>Haemofiltration or modified ultrafiltration for cases operated on under CPB</w:t>
      </w:r>
      <w:hyperlink w:anchor="_ENREF_338" w:tooltip="Boodhwani, 2006 #569" w:history="1">
        <w:r w:rsidR="00E62798">
          <w:fldChar w:fldCharType="begin"/>
        </w:r>
        <w:r w:rsidR="00E62798">
          <w:instrText xml:space="preserve"> ADDIN EN.CITE &lt;EndNote&gt;&lt;Cite&gt;&lt;Author&gt;Boodhwani&lt;/Author&gt;&lt;Year&gt;2006&lt;/Year&gt;&lt;RecNum&gt;569&lt;/RecNum&gt;&lt;DisplayText&gt;&lt;style face="superscript"&gt;338&lt;/style&gt;&lt;/DisplayText&gt;&lt;record&gt;&lt;rec-number&gt;569&lt;/rec-number&gt;&lt;foreign-keys&gt;&lt;key app="EN" db-id="9edve2wadsavt5ewavaxtda4f2tavzvts9ee" timestamp="1429939807"&gt;569&lt;/key&gt;&lt;/foreign-keys&gt;&lt;ref-type name="Journal Article"&gt;17&lt;/ref-type&gt;&lt;contributors&gt;&lt;authors&gt;&lt;author&gt;Boodhwani, M.&lt;/author&gt;&lt;author&gt;Williams, K.&lt;/author&gt;&lt;author&gt;Babaev, A.&lt;/author&gt;&lt;author&gt;Gill, G.&lt;/author&gt;&lt;author&gt;Saleem, N.&lt;/author&gt;&lt;author&gt;Rubens, F. D.&lt;/author&gt;&lt;/authors&gt;&lt;/contributors&gt;&lt;titles&gt;&lt;title&gt;Ultrafiltration reduces blood transfusions following cardiac surgery: A meta-analysis&lt;/title&gt;&lt;secondary-title&gt;European Journal of Cardio-Thoracic Surgery&lt;/secondary-title&gt;&lt;alt-title&gt;Eur. J. Cardiothorac. Surg.&lt;/alt-title&gt;&lt;/titles&gt;&lt;periodical&gt;&lt;full-title&gt;European Journal of Cardio-Thoracic Surgery&lt;/full-title&gt;&lt;abbr-1&gt;Eur. J. Cardiothorac. Surg.&lt;/abbr-1&gt;&lt;/periodical&gt;&lt;alt-periodical&gt;&lt;full-title&gt;European Journal of Cardio-Thoracic Surgery&lt;/full-title&gt;&lt;abbr-1&gt;Eur. J. Cardiothorac. Surg.&lt;/abbr-1&gt;&lt;/alt-periodical&gt;&lt;pages&gt;892–897&lt;/pages&gt;&lt;volume&gt;30&lt;/volume&gt;&lt;number&gt;6&lt;/number&gt;&lt;dates&gt;&lt;year&gt;2006&lt;/year&gt;&lt;/dates&gt;&lt;isbn&gt;1010-7940&lt;/isbn&gt;&lt;urls&gt;&lt;related-urls&gt;&lt;url&gt;http://ejcts.oxfordjournals.org/content/30/6/892.full.pdf&lt;/url&gt;&lt;/related-urls&gt;&lt;/urls&gt;&lt;electronic-resource-num&gt;DOI:10.1016/j.ejcts.2006.09.014&lt;/electronic-resource-num&gt;&lt;/record&gt;&lt;/Cite&gt;&lt;/EndNote&gt;</w:instrText>
        </w:r>
        <w:r w:rsidR="00E62798">
          <w:fldChar w:fldCharType="separate"/>
        </w:r>
        <w:r w:rsidR="00E62798" w:rsidRPr="00E62798">
          <w:rPr>
            <w:noProof/>
            <w:vertAlign w:val="superscript"/>
          </w:rPr>
          <w:t>338</w:t>
        </w:r>
        <w:r w:rsidR="00E62798">
          <w:fldChar w:fldCharType="end"/>
        </w:r>
      </w:hyperlink>
    </w:p>
    <w:p w14:paraId="5EB24BCF" w14:textId="77CEC690" w:rsidR="00E51CC9" w:rsidRPr="00A83C4B" w:rsidRDefault="00E51CC9" w:rsidP="00E51CC9">
      <w:pPr>
        <w:pStyle w:val="BoxBullet"/>
      </w:pPr>
      <w:r>
        <w:t>Cell salvage of residual CPB blood</w:t>
      </w:r>
      <w:hyperlink w:anchor="_ENREF_339" w:tooltip="Golab, 2008 #570" w:history="1">
        <w:r w:rsidR="00E62798">
          <w:fldChar w:fldCharType="begin"/>
        </w:r>
        <w:r w:rsidR="00E62798">
          <w:instrText xml:space="preserve"> ADDIN EN.CITE &lt;EndNote&gt;&lt;Cite&gt;&lt;Author&gt;Golab&lt;/Author&gt;&lt;Year&gt;2008&lt;/Year&gt;&lt;RecNum&gt;570&lt;/RecNum&gt;&lt;DisplayText&gt;&lt;style face="superscript"&gt;339&lt;/style&gt;&lt;/DisplayText&gt;&lt;record&gt;&lt;rec-number&gt;570&lt;/rec-number&gt;&lt;foreign-keys&gt;&lt;key app="EN" db-id="9edve2wadsavt5ewavaxtda4f2tavzvts9ee" timestamp="1429939807"&gt;570&lt;/key&gt;&lt;/foreign-keys&gt;&lt;ref-type name="Journal Article"&gt;17&lt;/ref-type&gt;&lt;contributors&gt;&lt;authors&gt;&lt;author&gt;Golab, H. D.&lt;/author&gt;&lt;author&gt;Scohy, T. V.&lt;/author&gt;&lt;author&gt;de Jong, P. L.&lt;/author&gt;&lt;author&gt;Takkenberg, J. J.&lt;/author&gt;&lt;author&gt;Bogers, A. J.&lt;/author&gt;&lt;/authors&gt;&lt;/contributors&gt;&lt;titles&gt;&lt;title&gt;Intraoperative cell salvage in infants undergoing elective cardiac surgery: a prospective trial&lt;/title&gt;&lt;secondary-title&gt;European Journal of Cardio-Thoracic Surgery&lt;/secondary-title&gt;&lt;alt-title&gt;Eur. J. Cardiothorac. Surg.&lt;/alt-title&gt;&lt;/titles&gt;&lt;periodical&gt;&lt;full-title&gt;European Journal of Cardio-Thoracic Surgery&lt;/full-title&gt;&lt;abbr-1&gt;Eur. J. Cardiothorac. Surg.&lt;/abbr-1&gt;&lt;/periodical&gt;&lt;alt-periodical&gt;&lt;full-title&gt;European Journal of Cardio-Thoracic Surgery&lt;/full-title&gt;&lt;abbr-1&gt;Eur. J. Cardiothorac. Surg.&lt;/abbr-1&gt;&lt;/alt-periodical&gt;&lt;pages&gt;354–359&lt;/pages&gt;&lt;volume&gt;34&lt;/volume&gt;&lt;number&gt;2&lt;/number&gt;&lt;dates&gt;&lt;year&gt;2008&lt;/year&gt;&lt;/dates&gt;&lt;isbn&gt;1010-7940&lt;/isbn&gt;&lt;urls&gt;&lt;related-urls&gt;&lt;url&gt;http://ejcts.oxfordjournals.org/content/34/2/354.full.pdf&lt;/url&gt;&lt;/related-urls&gt;&lt;/urls&gt;&lt;electronic-resource-num&gt;DOI:10.1016/j.ejcts.2008.04.047&lt;/electronic-resource-num&gt;&lt;/record&gt;&lt;/Cite&gt;&lt;/EndNote&gt;</w:instrText>
        </w:r>
        <w:r w:rsidR="00E62798">
          <w:fldChar w:fldCharType="separate"/>
        </w:r>
        <w:r w:rsidR="00E62798" w:rsidRPr="00E62798">
          <w:rPr>
            <w:noProof/>
            <w:vertAlign w:val="superscript"/>
          </w:rPr>
          <w:t>339</w:t>
        </w:r>
        <w:r w:rsidR="00E62798">
          <w:fldChar w:fldCharType="end"/>
        </w:r>
      </w:hyperlink>
    </w:p>
    <w:p w14:paraId="5302A385" w14:textId="77777777" w:rsidR="00C913EB" w:rsidRDefault="00C913EB" w:rsidP="00C913EB"/>
    <w:p w14:paraId="7DBFEE5B" w14:textId="77777777" w:rsidR="00D93C65" w:rsidRPr="00C0094C" w:rsidRDefault="00D93C65" w:rsidP="00D93C65">
      <w:pPr>
        <w:pStyle w:val="Heading4"/>
      </w:pPr>
      <w:r w:rsidRPr="00C0094C">
        <w:t>Quality of the evidence</w:t>
      </w:r>
    </w:p>
    <w:p w14:paraId="472826BF" w14:textId="7CA67142" w:rsidR="00D93C65" w:rsidRDefault="00D93C65" w:rsidP="00D93C65">
      <w:pPr>
        <w:rPr>
          <w:rFonts w:cs="Calibri"/>
        </w:rPr>
      </w:pPr>
      <w:r>
        <w:rPr>
          <w:rFonts w:cs="Calibri"/>
        </w:rPr>
        <w:t>There are few</w:t>
      </w:r>
      <w:r w:rsidRPr="002D03DF">
        <w:rPr>
          <w:rFonts w:cs="Calibri"/>
        </w:rPr>
        <w:t xml:space="preserve"> </w:t>
      </w:r>
      <w:r>
        <w:rPr>
          <w:rFonts w:cs="Calibri"/>
        </w:rPr>
        <w:t>studies</w:t>
      </w:r>
      <w:r w:rsidRPr="002D03DF">
        <w:rPr>
          <w:rFonts w:cs="Calibri"/>
        </w:rPr>
        <w:t xml:space="preserve"> </w:t>
      </w:r>
      <w:r w:rsidR="00C913EB">
        <w:rPr>
          <w:rFonts w:cs="Calibri"/>
        </w:rPr>
        <w:t xml:space="preserve">of THAs </w:t>
      </w:r>
      <w:r w:rsidRPr="002D03DF">
        <w:rPr>
          <w:rFonts w:cs="Calibri"/>
        </w:rPr>
        <w:t>in paediatric</w:t>
      </w:r>
      <w:r>
        <w:rPr>
          <w:rFonts w:cs="Calibri"/>
        </w:rPr>
        <w:t xml:space="preserve"> </w:t>
      </w:r>
      <w:r w:rsidRPr="002D03DF">
        <w:rPr>
          <w:rFonts w:cs="Calibri"/>
        </w:rPr>
        <w:t>p</w:t>
      </w:r>
      <w:r>
        <w:rPr>
          <w:rFonts w:cs="Calibri"/>
        </w:rPr>
        <w:t>atients</w:t>
      </w:r>
      <w:r w:rsidRPr="002D03DF">
        <w:rPr>
          <w:rFonts w:cs="Calibri"/>
        </w:rPr>
        <w:t>.</w:t>
      </w:r>
      <w:r w:rsidR="00E62798">
        <w:rPr>
          <w:rFonts w:cs="Calibri"/>
        </w:rPr>
        <w:fldChar w:fldCharType="begin">
          <w:fldData xml:space="preserve">PEVuZE5vdGU+PENpdGU+PEF1dGhvcj5BdXN0cmFsaWFuIFJlZCBDcm9zcyBCbG9vZCBTZXJ2aWNl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</w:fldData>
        </w:fldChar>
      </w:r>
      <w:r w:rsidR="00E62798">
        <w:rPr>
          <w:rFonts w:cs="Calibri"/>
        </w:rPr>
        <w:instrText xml:space="preserve"> ADDIN EN.CITE </w:instrText>
      </w:r>
      <w:r w:rsidR="00E62798">
        <w:rPr>
          <w:rFonts w:cs="Calibri"/>
        </w:rPr>
        <w:fldChar w:fldCharType="begin">
          <w:fldData xml:space="preserve">PEVuZE5vdGU+PENpdGU+PEF1dGhvcj5BdXN0cmFsaWFuIFJlZCBDcm9zcyBCbG9vZCBTZXJ2aWNl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hyperlink w:anchor="_ENREF_308" w:tooltip="Australian Red Cross Blood Service, 2012 #548" w:history="1">
        <w:r w:rsidR="00E62798" w:rsidRPr="00E62798">
          <w:rPr>
            <w:rFonts w:cs="Calibri"/>
            <w:noProof/>
            <w:vertAlign w:val="superscript"/>
          </w:rPr>
          <w:t>308</w:t>
        </w:r>
      </w:hyperlink>
      <w:r w:rsidR="00E62798" w:rsidRPr="00E62798">
        <w:rPr>
          <w:rFonts w:cs="Calibri"/>
          <w:noProof/>
          <w:vertAlign w:val="superscript"/>
        </w:rPr>
        <w:t xml:space="preserve">; </w:t>
      </w:r>
      <w:hyperlink w:anchor="_ENREF_335" w:tooltip="Vestergaard, 2014 #580" w:history="1">
        <w:r w:rsidR="00E62798" w:rsidRPr="00E62798">
          <w:rPr>
            <w:rFonts w:cs="Calibri"/>
            <w:noProof/>
            <w:vertAlign w:val="superscript"/>
          </w:rPr>
          <w:t>335</w:t>
        </w:r>
      </w:hyperlink>
      <w:r w:rsidR="00E62798" w:rsidRPr="00E62798">
        <w:rPr>
          <w:rFonts w:cs="Calibri"/>
          <w:noProof/>
          <w:vertAlign w:val="superscript"/>
        </w:rPr>
        <w:t xml:space="preserve">; </w:t>
      </w:r>
      <w:hyperlink w:anchor="_ENREF_340" w:tooltip="Codispoti, 2002 #583" w:history="1">
        <w:r w:rsidR="00E62798" w:rsidRPr="00E62798">
          <w:rPr>
            <w:rFonts w:cs="Calibri"/>
            <w:noProof/>
            <w:vertAlign w:val="superscript"/>
          </w:rPr>
          <w:t>340-356</w:t>
        </w:r>
      </w:hyperlink>
      <w:r w:rsidR="00E62798">
        <w:rPr>
          <w:rFonts w:cs="Calibri"/>
        </w:rPr>
        <w:fldChar w:fldCharType="end"/>
      </w:r>
      <w:r w:rsidR="00C913EB">
        <w:rPr>
          <w:rFonts w:cs="Calibri"/>
        </w:rPr>
        <w:t xml:space="preserve"> </w:t>
      </w:r>
      <w:r>
        <w:rPr>
          <w:rFonts w:cs="Calibri"/>
        </w:rPr>
        <w:t xml:space="preserve">Recent </w:t>
      </w:r>
      <w:r w:rsidR="00C913EB" w:rsidRPr="00430B94">
        <w:rPr>
          <w:noProof/>
        </w:rPr>
        <w:t xml:space="preserve">blood conservation </w:t>
      </w:r>
      <w:r w:rsidR="00C913EB">
        <w:rPr>
          <w:rFonts w:cs="Calibri"/>
        </w:rPr>
        <w:t xml:space="preserve">guidelines for adults, from the </w:t>
      </w:r>
      <w:r w:rsidRPr="00430B94">
        <w:rPr>
          <w:noProof/>
        </w:rPr>
        <w:t>Socie</w:t>
      </w:r>
      <w:r>
        <w:rPr>
          <w:noProof/>
        </w:rPr>
        <w:t xml:space="preserve">ty of Thoracic Surgeons and </w:t>
      </w:r>
      <w:r w:rsidRPr="00430B94">
        <w:rPr>
          <w:noProof/>
        </w:rPr>
        <w:t>Society of Cardiovascular Anesthesiologists</w:t>
      </w:r>
      <w:r w:rsidR="00C913EB">
        <w:rPr>
          <w:noProof/>
        </w:rPr>
        <w:t xml:space="preserve"> in the USA</w:t>
      </w:r>
      <w:r w:rsidR="00D1150F">
        <w:rPr>
          <w:noProof/>
        </w:rPr>
        <w:t>,</w:t>
      </w:r>
      <w:r w:rsidR="00C913EB">
        <w:rPr>
          <w:noProof/>
        </w:rPr>
        <w:t xml:space="preserve"> </w:t>
      </w:r>
      <w:r>
        <w:rPr>
          <w:rFonts w:cs="Calibri"/>
        </w:rPr>
        <w:t>suggest that the use of THA may be considered based on level C evidence (c</w:t>
      </w:r>
      <w:r w:rsidRPr="00993860">
        <w:rPr>
          <w:rFonts w:cs="Calibri"/>
        </w:rPr>
        <w:t>onsensus o</w:t>
      </w:r>
      <w:r w:rsidR="00C913EB">
        <w:rPr>
          <w:rFonts w:cs="Calibri"/>
        </w:rPr>
        <w:t>pinion of experts, case studies</w:t>
      </w:r>
      <w:r w:rsidRPr="00993860">
        <w:rPr>
          <w:rFonts w:cs="Calibri"/>
        </w:rPr>
        <w:t xml:space="preserve"> or standard of care</w:t>
      </w:r>
      <w:r>
        <w:rPr>
          <w:rFonts w:cs="Calibri"/>
        </w:rPr>
        <w:t>).</w:t>
      </w:r>
      <w:hyperlink w:anchor="_ENREF_352" w:tooltip="Ferraris, 2011 #596" w:history="1">
        <w:r w:rsidR="00E62798">
          <w:rPr>
            <w:rFonts w:cs="Calibri"/>
          </w:rPr>
          <w:fldChar w:fldCharType="begin">
            <w:fldData xml:space="preserve">PEVuZE5vdGU+PENpdGU+PEF1dGhvcj5GZXJyYXJpczwvQXV0aG9yPjxZZWFyPjIwMTE8L1llYXI+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=
</w:fldData>
          </w:fldChar>
        </w:r>
        <w:r w:rsidR="00E62798">
          <w:rPr>
            <w:rFonts w:cs="Calibri"/>
          </w:rPr>
          <w:instrText xml:space="preserve"> ADDIN EN.CITE </w:instrText>
        </w:r>
        <w:r w:rsidR="00E62798">
          <w:rPr>
            <w:rFonts w:cs="Calibri"/>
          </w:rPr>
          <w:fldChar w:fldCharType="begin">
            <w:fldData xml:space="preserve">PEVuZE5vdGU+PENpdGU+PEF1dGhvcj5GZXJyYXJpczwvQXV0aG9yPjxZZWFyPjIwMTE8L1llYXI+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=
</w:fldData>
          </w:fldChar>
        </w:r>
        <w:r w:rsidR="00E62798">
          <w:rPr>
            <w:rFonts w:cs="Calibri"/>
          </w:rPr>
          <w:instrText xml:space="preserve"> ADDIN EN.CITE.DATA </w:instrText>
        </w:r>
        <w:r w:rsidR="00E62798">
          <w:rPr>
            <w:rFonts w:cs="Calibri"/>
          </w:rPr>
        </w:r>
        <w:r w:rsidR="00E62798">
          <w:rPr>
            <w:rFonts w:cs="Calibri"/>
          </w:rPr>
          <w:fldChar w:fldCharType="end"/>
        </w:r>
        <w:r w:rsidR="00E62798">
          <w:rPr>
            <w:rFonts w:cs="Calibri"/>
          </w:rPr>
        </w:r>
        <w:r w:rsidR="00E62798">
          <w:rPr>
            <w:rFonts w:cs="Calibri"/>
          </w:rPr>
          <w:fldChar w:fldCharType="separate"/>
        </w:r>
        <w:r w:rsidR="00E62798" w:rsidRPr="00E62798">
          <w:rPr>
            <w:rFonts w:cs="Calibri"/>
            <w:noProof/>
            <w:vertAlign w:val="superscript"/>
          </w:rPr>
          <w:t>352</w:t>
        </w:r>
        <w:r w:rsidR="00E62798">
          <w:rPr>
            <w:rFonts w:cs="Calibri"/>
          </w:rPr>
          <w:fldChar w:fldCharType="end"/>
        </w:r>
      </w:hyperlink>
      <w:r w:rsidRPr="009B36A2">
        <w:rPr>
          <w:noProof/>
        </w:rPr>
        <w:t xml:space="preserve"> </w:t>
      </w:r>
    </w:p>
    <w:tbl>
      <w:tblPr>
        <w:tblStyle w:val="TableGrid"/>
        <w:tblW w:w="8347" w:type="dxa"/>
        <w:tblInd w:w="720" w:type="dxa"/>
        <w:tblLook w:val="04A0" w:firstRow="1" w:lastRow="0" w:firstColumn="1" w:lastColumn="0" w:noHBand="0" w:noVBand="1"/>
      </w:tblPr>
      <w:tblGrid>
        <w:gridCol w:w="1210"/>
        <w:gridCol w:w="7137"/>
      </w:tblGrid>
      <w:tr w:rsidR="00D93C65" w:rsidRPr="00813FDC" w14:paraId="00792DAC" w14:textId="77777777" w:rsidTr="00467EEA">
        <w:tc>
          <w:tcPr>
            <w:tcW w:w="8347" w:type="dxa"/>
            <w:gridSpan w:val="2"/>
            <w:shd w:val="clear" w:color="auto" w:fill="BFBFBF" w:themeFill="background1" w:themeFillShade="BF"/>
          </w:tcPr>
          <w:p w14:paraId="6A6359CE" w14:textId="7EE4DCEB" w:rsidR="00D93C65" w:rsidRPr="00DF0139" w:rsidRDefault="00D93C65" w:rsidP="00DF0139">
            <w:pPr>
              <w:pStyle w:val="PP-heading"/>
              <w:rPr>
                <w:lang w:val="en-AU"/>
              </w:rPr>
            </w:pPr>
            <w:r w:rsidRPr="00813FDC">
              <w:t xml:space="preserve">Expert opinion points </w:t>
            </w:r>
            <w:r>
              <w:t xml:space="preserve">– </w:t>
            </w:r>
            <w:r w:rsidR="00DF0139">
              <w:rPr>
                <w:lang w:val="en-AU"/>
              </w:rPr>
              <w:t>THAs</w:t>
            </w:r>
          </w:p>
        </w:tc>
      </w:tr>
      <w:tr w:rsidR="00D93C65" w14:paraId="4D1A7A06" w14:textId="77777777" w:rsidTr="00C913EB">
        <w:tc>
          <w:tcPr>
            <w:tcW w:w="1210" w:type="dxa"/>
          </w:tcPr>
          <w:p w14:paraId="43D9E04C" w14:textId="269681B8" w:rsidR="00D93C65" w:rsidRDefault="00D93C65" w:rsidP="00C913EB">
            <w:pPr>
              <w:pStyle w:val="PP"/>
            </w:pPr>
            <w:r>
              <w:t>EOP</w:t>
            </w:r>
            <w:r w:rsidR="00C913EB">
              <w:t>28</w:t>
            </w:r>
          </w:p>
        </w:tc>
        <w:tc>
          <w:tcPr>
            <w:tcW w:w="7137" w:type="dxa"/>
          </w:tcPr>
          <w:p w14:paraId="187EA206" w14:textId="77777777" w:rsidR="00D93C65" w:rsidRDefault="00D93C65" w:rsidP="00C913EB">
            <w:pPr>
              <w:pStyle w:val="PP"/>
            </w:pPr>
            <w:r>
              <w:t>THAs</w:t>
            </w:r>
            <w:r w:rsidRPr="00445D1F">
              <w:t xml:space="preserve"> may be considered in </w:t>
            </w:r>
            <w:r>
              <w:t xml:space="preserve">neonatal and </w:t>
            </w:r>
            <w:r w:rsidRPr="00445D1F">
              <w:t xml:space="preserve">paediatric </w:t>
            </w:r>
            <w:r>
              <w:t>surgical patients</w:t>
            </w:r>
            <w:r w:rsidRPr="00445D1F">
              <w:t xml:space="preserve"> as an adjuvant to control bleeding</w:t>
            </w:r>
            <w:r>
              <w:t>.</w:t>
            </w:r>
          </w:p>
        </w:tc>
      </w:tr>
      <w:tr w:rsidR="00D93C65" w14:paraId="4DDB5F1E" w14:textId="77777777" w:rsidTr="00C913EB">
        <w:tc>
          <w:tcPr>
            <w:tcW w:w="1210" w:type="dxa"/>
          </w:tcPr>
          <w:p w14:paraId="0BC81AB7" w14:textId="760AF50D" w:rsidR="00D93C65" w:rsidRDefault="00D93C65" w:rsidP="00C913EB">
            <w:pPr>
              <w:pStyle w:val="PP"/>
            </w:pPr>
            <w:r>
              <w:t>EOP</w:t>
            </w:r>
            <w:r w:rsidR="00C913EB">
              <w:t>29</w:t>
            </w:r>
          </w:p>
        </w:tc>
        <w:tc>
          <w:tcPr>
            <w:tcW w:w="7137" w:type="dxa"/>
          </w:tcPr>
          <w:p w14:paraId="16B58C7D" w14:textId="22A78372" w:rsidR="00D93C65" w:rsidRDefault="00D93C65" w:rsidP="00C913EB">
            <w:pPr>
              <w:pStyle w:val="PP"/>
            </w:pPr>
            <w:r w:rsidRPr="00445D1F">
              <w:t xml:space="preserve">The use of </w:t>
            </w:r>
            <w:r>
              <w:t>THAs</w:t>
            </w:r>
            <w:r w:rsidRPr="00445D1F">
              <w:t xml:space="preserve"> should adhere to </w:t>
            </w:r>
            <w:r w:rsidR="00467B8B">
              <w:rPr>
                <w:lang w:val="en-AU"/>
              </w:rPr>
              <w:t xml:space="preserve">the </w:t>
            </w:r>
            <w:r w:rsidRPr="00445D1F">
              <w:t>manufacturer’s instructions and safety information.</w:t>
            </w:r>
          </w:p>
        </w:tc>
      </w:tr>
      <w:tr w:rsidR="00D93C65" w14:paraId="79EC9E95" w14:textId="77777777" w:rsidTr="00C913EB">
        <w:tc>
          <w:tcPr>
            <w:tcW w:w="8347" w:type="dxa"/>
            <w:gridSpan w:val="2"/>
          </w:tcPr>
          <w:p w14:paraId="73DCD537" w14:textId="40C053D6" w:rsidR="00D93C65" w:rsidRPr="00445D1F" w:rsidRDefault="00D93C65" w:rsidP="006F2463">
            <w:pPr>
              <w:pStyle w:val="PP-note"/>
            </w:pPr>
            <w:r>
              <w:t>EOP, expert opinion point; THA, topical haemostatic agent</w:t>
            </w:r>
          </w:p>
        </w:tc>
      </w:tr>
    </w:tbl>
    <w:p w14:paraId="058CA0DC" w14:textId="77777777" w:rsidR="00D93C65" w:rsidRDefault="00D93C65" w:rsidP="00D93C65">
      <w:pPr>
        <w:pStyle w:val="TableFigNotes18"/>
      </w:pPr>
      <w:r w:rsidRPr="002D03DF">
        <w:t>.</w:t>
      </w:r>
    </w:p>
    <w:p w14:paraId="7F03CC98" w14:textId="1E2A9FE9" w:rsidR="00D93C65" w:rsidRDefault="00D93C65" w:rsidP="00D93C65">
      <w:pPr>
        <w:pStyle w:val="Heading2"/>
        <w:rPr>
          <w:rFonts w:cstheme="minorBidi"/>
          <w:color w:val="auto"/>
          <w:sz w:val="22"/>
          <w:szCs w:val="22"/>
        </w:rPr>
      </w:pPr>
      <w:bookmarkStart w:id="226" w:name="_Toc421124131"/>
      <w:bookmarkStart w:id="227" w:name="_Toc427851390"/>
      <w:bookmarkStart w:id="228" w:name="_Toc421124137"/>
      <w:r>
        <w:t>4.5</w:t>
      </w:r>
      <w:r>
        <w:tab/>
      </w:r>
      <w:bookmarkEnd w:id="226"/>
      <w:r w:rsidR="00DF0139">
        <w:rPr>
          <w:lang w:val="en-AU"/>
        </w:rPr>
        <w:t>I</w:t>
      </w:r>
      <w:r w:rsidR="00093A02">
        <w:rPr>
          <w:lang w:val="en-AU"/>
        </w:rPr>
        <w:t xml:space="preserve">ron Deficiency </w:t>
      </w:r>
      <w:r w:rsidR="00DF0139">
        <w:rPr>
          <w:lang w:val="en-AU"/>
        </w:rPr>
        <w:t>A</w:t>
      </w:r>
      <w:r w:rsidR="00AC28BF">
        <w:rPr>
          <w:lang w:val="en-AU"/>
        </w:rPr>
        <w:t>naemia</w:t>
      </w:r>
      <w:bookmarkEnd w:id="227"/>
    </w:p>
    <w:p w14:paraId="0526E6E0" w14:textId="377DDA95" w:rsidR="0065196D" w:rsidRPr="0065196D" w:rsidRDefault="0065196D" w:rsidP="0065196D">
      <w:pPr>
        <w:pStyle w:val="BoxHeading"/>
        <w:rPr>
          <w:rFonts w:eastAsia="Calibri"/>
          <w:lang w:val="en-AU"/>
        </w:rPr>
      </w:pPr>
      <w:r>
        <w:rPr>
          <w:rFonts w:eastAsia="Calibri"/>
        </w:rPr>
        <w:t xml:space="preserve">Background question </w:t>
      </w:r>
      <w:r>
        <w:rPr>
          <w:rFonts w:eastAsia="Calibri"/>
          <w:lang w:val="en-AU"/>
        </w:rPr>
        <w:t>5</w:t>
      </w:r>
    </w:p>
    <w:p w14:paraId="6C5CEBE3" w14:textId="69BCD774" w:rsidR="0065196D" w:rsidRDefault="006718D6" w:rsidP="0065196D">
      <w:pPr>
        <w:pStyle w:val="BoxText"/>
      </w:pPr>
      <w:r>
        <w:rPr>
          <w:lang w:val="en-AU"/>
        </w:rPr>
        <w:t>In neonates and children, what recommendations should be made for the detection, diagnosis and management of iron deficiency anaemia</w:t>
      </w:r>
      <w:r w:rsidR="0065196D">
        <w:t>?</w:t>
      </w:r>
    </w:p>
    <w:p w14:paraId="4FCCD7A8" w14:textId="220949A8" w:rsidR="00D93C65" w:rsidRDefault="00D93C65" w:rsidP="00D93C65">
      <w:r>
        <w:t xml:space="preserve">In Australia, the prevalence of anaemia in children under the age of 5 years is </w:t>
      </w:r>
      <w:r w:rsidR="00467B8B">
        <w:t>about 8</w:t>
      </w:r>
      <w:r w:rsidR="0065196D">
        <w:t xml:space="preserve">%, </w:t>
      </w:r>
      <w:r>
        <w:t>corresponding to over 100</w:t>
      </w:r>
      <w:r w:rsidR="0065196D">
        <w:t> </w:t>
      </w:r>
      <w:r>
        <w:t>000 preschool children.</w:t>
      </w:r>
      <w:hyperlink w:anchor="_ENREF_357" w:tooltip="WHO, 2008 #825" w:history="1">
        <w:r w:rsidR="00E62798">
          <w:fldChar w:fldCharType="begin"/>
        </w:r>
        <w:r w:rsidR="00E62798">
          <w:instrText xml:space="preserve"> ADDIN EN.CITE &lt;EndNote&gt;&lt;Cite&gt;&lt;Author&gt;WHO&lt;/Author&gt;&lt;Year&gt;2008&lt;/Year&gt;&lt;RecNum&gt;825&lt;/RecNum&gt;&lt;DisplayText&gt;&lt;style face="superscript"&gt;357&lt;/style&gt;&lt;/DisplayText&gt;&lt;record&gt;&lt;rec-number&gt;825&lt;/rec-number&gt;&lt;foreign-keys&gt;&lt;key app="EN" db-id="9edve2wadsavt5ewavaxtda4f2tavzvts9ee" timestamp="1433318852"&gt;825&lt;/key&gt;&lt;/foreign-keys&gt;&lt;ref-type name="Report"&gt;27&lt;/ref-type&gt;&lt;contributors&gt;&lt;authors&gt;&lt;author&gt;WHO,&lt;/author&gt;&lt;/authors&gt;&lt;/contributors&gt;&lt;titles&gt;&lt;title&gt;Worldwide prevalence of anaemia 1993–2005: WHO global database on anaemia&lt;/title&gt;&lt;/titles&gt;&lt;dates&gt;&lt;year&gt;2008&lt;/year&gt;&lt;/dates&gt;&lt;pub-location&gt;Geneva&lt;/pub-location&gt;&lt;publisher&gt;World Health Organization (WHO)&lt;/publisher&gt;&lt;urls&gt;&lt;related-urls&gt;&lt;url&gt;http://whqlibdoc.who.int/publications/2008/9789241596657eng.pdf&lt;/url&gt;&lt;/related-urls&gt;&lt;/urls&gt;&lt;/record&gt;&lt;/Cite&gt;&lt;/EndNote&gt;</w:instrText>
        </w:r>
        <w:r w:rsidR="00E62798">
          <w:fldChar w:fldCharType="separate"/>
        </w:r>
        <w:r w:rsidR="00E62798" w:rsidRPr="00E62798">
          <w:rPr>
            <w:noProof/>
            <w:vertAlign w:val="superscript"/>
          </w:rPr>
          <w:t>357</w:t>
        </w:r>
        <w:r w:rsidR="00E62798">
          <w:fldChar w:fldCharType="end"/>
        </w:r>
      </w:hyperlink>
      <w:r>
        <w:t xml:space="preserve"> Iron deficiency is the largest contributing factor to anaemia in all paediatric age groups.</w:t>
      </w:r>
      <w:hyperlink w:anchor="_ENREF_358" w:tooltip="Kassebaum, 2014 #808" w:history="1">
        <w:r w:rsidR="00E62798">
          <w:fldChar w:fldCharType="begin"/>
        </w:r>
        <w:r w:rsidR="00E62798">
          <w:instrText xml:space="preserve"> ADDIN EN.CITE &lt;EndNote&gt;&lt;Cite&gt;&lt;Author&gt;Kassebaum&lt;/Author&gt;&lt;Year&gt;2014&lt;/Year&gt;&lt;RecNum&gt;808&lt;/RecNum&gt;&lt;DisplayText&gt;&lt;style face="superscript"&gt;358&lt;/style&gt;&lt;/DisplayText&gt;&lt;record&gt;&lt;rec-number&gt;808&lt;/rec-number&gt;&lt;foreign-keys&gt;&lt;key app="EN" db-id="9edve2wadsavt5ewavaxtda4f2tavzvts9ee" timestamp="1433318852"&gt;808&lt;/key&gt;&lt;/foreign-keys&gt;&lt;ref-type name="Journal Article"&gt;17&lt;/ref-type&gt;&lt;contributors&gt;&lt;authors&gt;&lt;author&gt;Kassebaum, N. J.&lt;/author&gt;&lt;author&gt;Jasrasaria, R.&lt;/author&gt;&lt;author&gt;Naghavi, M.&lt;/author&gt;&lt;author&gt;Wulf, S. K.&lt;/author&gt;&lt;author&gt;Johns, N.&lt;/author&gt;&lt;author&gt;Lozano, R.&lt;/author&gt;&lt;author&gt;Regan, M.&lt;/author&gt;&lt;author&gt;Weatherall, D.&lt;/author&gt;&lt;author&gt;Chou, D. P.&lt;/author&gt;&lt;author&gt;Eisele, T. P.&lt;/author&gt;&lt;author&gt;Flaxman, S. R.&lt;/author&gt;&lt;author&gt;Pullan, R. L.&lt;/author&gt;&lt;author&gt;Brooker, S. J.&lt;/author&gt;&lt;author&gt;Murray, C. J.&lt;/author&gt;&lt;/authors&gt;&lt;/contributors&gt;&lt;titles&gt;&lt;title&gt;A systematic analysis of global anemia burden from 1990 to 2010&lt;/title&gt;&lt;secondary-title&gt;Blood&lt;/secondary-title&gt;&lt;alt-title&gt;Blood&lt;/alt-title&gt;&lt;/titles&gt;&lt;periodical&gt;&lt;full-title&gt;Blood&lt;/full-title&gt;&lt;/periodical&gt;&lt;alt-periodical&gt;&lt;full-title&gt;Blood&lt;/full-title&gt;&lt;/alt-periodical&gt;&lt;pages&gt;615–624&lt;/pages&gt;&lt;volume&gt;123&lt;/volume&gt;&lt;number&gt;5&lt;/number&gt;&lt;dates&gt;&lt;year&gt;2014&lt;/year&gt;&lt;/dates&gt;&lt;isbn&gt;0006-4971&lt;/isbn&gt;&lt;urls&gt;&lt;related-urls&gt;&lt;url&gt;http://www.bloodjournal.org/content/123/5/615.long?sso-checked=true&lt;/url&gt;&lt;/related-urls&gt;&lt;/urls&gt;&lt;electronic-resource-num&gt;DOI:10.1182/blood-2013-06-508325&lt;/electronic-resource-num&gt;&lt;/record&gt;&lt;/Cite&gt;&lt;/EndNote&gt;</w:instrText>
        </w:r>
        <w:r w:rsidR="00E62798">
          <w:fldChar w:fldCharType="separate"/>
        </w:r>
        <w:r w:rsidR="00E62798" w:rsidRPr="00E62798">
          <w:rPr>
            <w:noProof/>
            <w:vertAlign w:val="superscript"/>
          </w:rPr>
          <w:t>358</w:t>
        </w:r>
        <w:r w:rsidR="00E62798">
          <w:fldChar w:fldCharType="end"/>
        </w:r>
      </w:hyperlink>
      <w:r>
        <w:t xml:space="preserve"> </w:t>
      </w:r>
    </w:p>
    <w:p w14:paraId="007A2C5D" w14:textId="345CFC76" w:rsidR="00D93C65" w:rsidRPr="000A1C83" w:rsidRDefault="00D93C65" w:rsidP="0065196D">
      <w:pPr>
        <w:rPr>
          <w:rFonts w:cs="Times New Roman"/>
          <w:lang w:val="en-US" w:eastAsia="en-US"/>
        </w:rPr>
      </w:pPr>
      <w:r>
        <w:t>The prevalence of</w:t>
      </w:r>
      <w:r w:rsidR="00467B8B">
        <w:t xml:space="preserve"> IDA</w:t>
      </w:r>
      <w:r w:rsidR="0065196D">
        <w:t xml:space="preserve"> </w:t>
      </w:r>
      <w:r>
        <w:t xml:space="preserve">in children from remote </w:t>
      </w:r>
      <w:r w:rsidR="00DF0139">
        <w:t xml:space="preserve">Indigenous </w:t>
      </w:r>
      <w:r>
        <w:t>communities is high</w:t>
      </w:r>
      <w:hyperlink w:anchor="_ENREF_28" w:tooltip="Brewster, 2004 #790" w:history="1">
        <w:r w:rsidR="00E62798">
          <w:fldChar w:fldCharType="begin"/>
        </w:r>
        <w:r w:rsidR="00E62798">
          <w:instrText xml:space="preserve"> ADDIN EN.CITE &lt;EndNote&gt;&lt;Cite&gt;&lt;Author&gt;Brewster&lt;/Author&gt;&lt;Year&gt;2004&lt;/Year&gt;&lt;RecNum&gt;790&lt;/RecNum&gt;&lt;DisplayText&gt;&lt;style face="superscript"&gt;28&lt;/style&gt;&lt;/DisplayText&gt;&lt;record&gt;&lt;rec-number&gt;790&lt;/rec-number&gt;&lt;foreign-keys&gt;&lt;key app="EN" db-id="9edve2wadsavt5ewavaxtda4f2tavzvts9ee" timestamp="1433318852"&gt;790&lt;/key&gt;&lt;/foreign-keys&gt;&lt;ref-type name="Journal Article"&gt;17&lt;/ref-type&gt;&lt;contributors&gt;&lt;authors&gt;&lt;author&gt;Brewster, D. R.&lt;/author&gt;&lt;/authors&gt;&lt;/contributors&gt;&lt;titles&gt;&lt;title&gt;Iron deficiency in minority groups in Australia&lt;/title&gt;&lt;secondary-title&gt;J Paediatr Child Health&lt;/secondary-title&gt;&lt;/titles&gt;&lt;periodical&gt;&lt;full-title&gt;J Paediatr Child Health&lt;/full-title&gt;&lt;/periodical&gt;&lt;pages&gt;422–3&lt;/pages&gt;&lt;volume&gt;40&lt;/volume&gt;&lt;number&gt;8&lt;/number&gt;&lt;keywords&gt;&lt;keyword&gt;Anemia, Iron-Deficiency/*epidemiology/ethnology&lt;/keyword&gt;&lt;keyword&gt;Australia/epidemiology&lt;/keyword&gt;&lt;keyword&gt;Food Supply&lt;/keyword&gt;&lt;keyword&gt;Humans&lt;/keyword&gt;&lt;keyword&gt;Infant&lt;/keyword&gt;&lt;keyword&gt;Iron/*deficiency&lt;/keyword&gt;&lt;keyword&gt;Refugees&lt;/keyword&gt;&lt;keyword&gt;Risk Factors&lt;/keyword&gt;&lt;keyword&gt;Vietnam/ethnology&lt;/keyword&gt;&lt;/keywords&gt;&lt;dates&gt;&lt;year&gt;2004&lt;/year&gt;&lt;pub-dates&gt;&lt;date&gt;Aug&lt;/date&gt;&lt;/pub-dates&gt;&lt;/dates&gt;&lt;isbn&gt;1034-4810 (Print)&amp;#xD;1034-4810 (Linking)&lt;/isbn&gt;&lt;accession-num&gt;15265180&lt;/accession-num&gt;&lt;urls&gt;&lt;related-urls&gt;&lt;url&gt;http://www.ncbi.nlm.nih.gov/pubmed/15265180&lt;/url&gt;&lt;/related-urls&gt;&lt;/urls&gt;&lt;electronic-resource-num&gt;10.1111/j.1440-1754.2004.00422.x&lt;/electronic-resource-num&gt;&lt;/record&gt;&lt;/Cite&gt;&lt;/EndNote&gt;</w:instrText>
        </w:r>
        <w:r w:rsidR="00E62798">
          <w:fldChar w:fldCharType="separate"/>
        </w:r>
        <w:r w:rsidR="00E62798" w:rsidRPr="00E62798">
          <w:rPr>
            <w:noProof/>
            <w:vertAlign w:val="superscript"/>
          </w:rPr>
          <w:t>28</w:t>
        </w:r>
        <w:r w:rsidR="00E62798">
          <w:fldChar w:fldCharType="end"/>
        </w:r>
      </w:hyperlink>
      <w:r>
        <w:t xml:space="preserve"> (see </w:t>
      </w:r>
      <w:r w:rsidR="0065196D">
        <w:rPr>
          <w:color w:val="auto"/>
        </w:rPr>
        <w:t>Section 3.6</w:t>
      </w:r>
      <w:r w:rsidRPr="000A1C83">
        <w:rPr>
          <w:color w:val="auto"/>
        </w:rPr>
        <w:t>).</w:t>
      </w:r>
      <w:r>
        <w:rPr>
          <w:rFonts w:asciiTheme="majorHAnsi" w:hAnsiTheme="majorHAnsi"/>
          <w:color w:val="auto"/>
        </w:rPr>
        <w:t xml:space="preserve"> </w:t>
      </w:r>
      <w:r w:rsidRPr="000A1C83">
        <w:t xml:space="preserve">A retrospective cohort study found that 68% of </w:t>
      </w:r>
      <w:r w:rsidR="00DF0139">
        <w:t>Indigenous</w:t>
      </w:r>
      <w:r w:rsidR="00DF0139" w:rsidRPr="000A1C83" w:rsidDel="00DF0139">
        <w:t xml:space="preserve"> </w:t>
      </w:r>
      <w:r w:rsidRPr="000A1C83">
        <w:t xml:space="preserve"> infants from remote northern Australia were anaemic.</w:t>
      </w:r>
      <w:hyperlink w:anchor="_ENREF_27" w:tooltip="Bar-Zeeve, 2013 #787" w:history="1">
        <w:r w:rsidR="00E62798">
          <w:fldChar w:fldCharType="begin"/>
        </w:r>
        <w:r w:rsidR="00E62798">
          <w:instrText xml:space="preserve"> ADDIN EN.CITE &lt;EndNote&gt;&lt;Cite&gt;&lt;Author&gt;Bar-Zeeve&lt;/Author&gt;&lt;Year&gt;2013&lt;/Year&gt;&lt;RecNum&gt;787&lt;/RecNum&gt;&lt;DisplayText&gt;&lt;style face="superscript"&gt;27&lt;/style&gt;&lt;/DisplayText&gt;&lt;record&gt;&lt;rec-number&gt;787&lt;/rec-number&gt;&lt;foreign-keys&gt;&lt;key app="EN" db-id="9edve2wadsavt5ewavaxtda4f2tavzvts9ee" timestamp="1433318852"&gt;787&lt;/key&gt;&lt;/foreign-keys&gt;&lt;ref-type name="Journal Article"&gt;17&lt;/ref-type&gt;&lt;contributors&gt;&lt;authors&gt;&lt;author&gt;Bar-Zeeve, S. J.&lt;/author&gt;&lt;author&gt;Kruske, S. G.&lt;/author&gt;&lt;author&gt;Barclay, L. M.&lt;/author&gt;&lt;author&gt;Bar-Zeev, N.&lt;/author&gt;&lt;author&gt;Kildea, S. V.&lt;/author&gt;&lt;/authors&gt;&lt;/contributors&gt;&lt;titles&gt;&lt;title&gt;Adherence to management guidelines for growth faltering and anaemia in remote dwelling Australian Aboriginal infants and barriers to health service delivery&lt;/title&gt;&lt;secondary-title&gt;BMC Health Services Research&lt;/secondary-title&gt;&lt;alt-title&gt;BMC Health Serv. Res.&lt;/alt-title&gt;&lt;/titles&gt;&lt;periodical&gt;&lt;full-title&gt;BMC Health Services Research&lt;/full-title&gt;&lt;abbr-1&gt;BMC Health Serv. Res.&lt;/abbr-1&gt;&lt;/periodical&gt;&lt;alt-periodical&gt;&lt;full-title&gt;BMC Health Services Research&lt;/full-title&gt;&lt;abbr-1&gt;BMC Health Serv. Res.&lt;/abbr-1&gt;&lt;/alt-periodical&gt;&lt;pages&gt;1–12&lt;/pages&gt;&lt;volume&gt;13&lt;/volume&gt;&lt;number&gt;250&lt;/number&gt;&lt;dates&gt;&lt;year&gt;2013&lt;/year&gt;&lt;/dates&gt;&lt;isbn&gt;1472-6963&lt;/isbn&gt;&lt;urls&gt;&lt;related-urls&gt;&lt;url&gt;http://www.biomedcentral.com/content/pdf/1472-6963-13-250.pdf&lt;/url&gt;&lt;/related-urls&gt;&lt;/urls&gt;&lt;/record&gt;&lt;/Cite&gt;&lt;/EndNote&gt;</w:instrText>
        </w:r>
        <w:r w:rsidR="00E62798">
          <w:fldChar w:fldCharType="separate"/>
        </w:r>
        <w:r w:rsidR="00E62798" w:rsidRPr="00E62798">
          <w:rPr>
            <w:noProof/>
            <w:vertAlign w:val="superscript"/>
          </w:rPr>
          <w:t>27</w:t>
        </w:r>
        <w:r w:rsidR="00E62798">
          <w:fldChar w:fldCharType="end"/>
        </w:r>
      </w:hyperlink>
      <w:r w:rsidR="00225A02">
        <w:t xml:space="preserve"> </w:t>
      </w:r>
      <w:r w:rsidRPr="000A1C83">
        <w:rPr>
          <w:rFonts w:cs="Times New Roman"/>
          <w:lang w:val="en-US" w:eastAsia="en-US"/>
        </w:rPr>
        <w:t xml:space="preserve">The Early Childhood Nutrition and Anaemia Prevention Project found that nearly 90% of </w:t>
      </w:r>
      <w:r w:rsidR="00DF0139">
        <w:rPr>
          <w:rFonts w:cs="Times New Roman"/>
          <w:lang w:val="en-US" w:eastAsia="en-US"/>
        </w:rPr>
        <w:t xml:space="preserve">Indigenous </w:t>
      </w:r>
      <w:r w:rsidRPr="000A1C83">
        <w:rPr>
          <w:rFonts w:cs="Times New Roman"/>
          <w:lang w:val="en-US" w:eastAsia="en-US"/>
        </w:rPr>
        <w:t>infants and young children were</w:t>
      </w:r>
      <w:r w:rsidRPr="000A1C83">
        <w:t xml:space="preserve"> </w:t>
      </w:r>
      <w:r w:rsidRPr="000A1C83">
        <w:rPr>
          <w:rFonts w:cs="Times New Roman"/>
          <w:lang w:val="en-US" w:eastAsia="en-US"/>
        </w:rPr>
        <w:t>anaemic at least once between 6 months and 2 years</w:t>
      </w:r>
      <w:r w:rsidRPr="000A1C83">
        <w:t xml:space="preserve"> </w:t>
      </w:r>
      <w:r w:rsidRPr="000A1C83">
        <w:rPr>
          <w:rFonts w:cs="Times New Roman"/>
          <w:lang w:val="en-US" w:eastAsia="en-US"/>
        </w:rPr>
        <w:t>of age.</w:t>
      </w:r>
      <w:hyperlink w:anchor="_ENREF_26" w:tooltip="Aquino, 2013 #786" w:history="1">
        <w:r w:rsidR="00E62798">
          <w:rPr>
            <w:rFonts w:cs="Times New Roman"/>
            <w:lang w:val="en-US" w:eastAsia="en-US"/>
          </w:rPr>
          <w:fldChar w:fldCharType="begin"/>
        </w:r>
        <w:r w:rsidR="00E62798">
          <w:rPr>
            <w:rFonts w:cs="Times New Roman"/>
            <w:lang w:val="en-US" w:eastAsia="en-US"/>
          </w:rPr>
          <w:instrText xml:space="preserve"> ADDIN EN.CITE &lt;EndNote&gt;&lt;Cite&gt;&lt;Author&gt;Aquino&lt;/Author&gt;&lt;Year&gt;2013&lt;/Year&gt;&lt;RecNum&gt;786&lt;/RecNum&gt;&lt;DisplayText&gt;&lt;style face="superscript"&gt;26&lt;/style&gt;&lt;/DisplayText&gt;&lt;record&gt;&lt;rec-number&gt;786&lt;/rec-number&gt;&lt;foreign-keys&gt;&lt;key app="EN" db-id="9edve2wadsavt5ewavaxtda4f2tavzvts9ee" timestamp="1433318852"&gt;786&lt;/key&gt;&lt;/foreign-keys&gt;&lt;ref-type name="Report"&gt;27&lt;/ref-type&gt;&lt;contributors&gt;&lt;authors&gt;&lt;author&gt;Aquino, D.&lt;/author&gt;&lt;author&gt;Marley, J.V.&lt;/author&gt;&lt;author&gt;Senior, K.&lt;/author&gt;&lt;author&gt;Leonard, D.&lt;/author&gt;&lt;author&gt;Helmer, J.&lt;/author&gt;&lt;author&gt;Joshua, A.&lt;/author&gt;&lt;author&gt;Huddleston, A.&lt;/author&gt;&lt;author&gt;Ferguson, H.&lt;/author&gt;&lt;author&gt;Hobson, V.&lt;/author&gt;&lt;author&gt;Hadgraft, N.&lt;/author&gt;&lt;/authors&gt;&lt;/contributors&gt;&lt;titles&gt;&lt;title&gt;Early Childhood Nutrition and Anaemia Prevention Project: Executive summary&lt;/title&gt;&lt;/titles&gt;&lt;dates&gt;&lt;year&gt;2013&lt;/year&gt;&lt;/dates&gt;&lt;pub-location&gt;Darwin&lt;/pub-location&gt;&lt;publisher&gt;The Fred Hollows Foundation, Indigenous Australia Program&lt;/publisher&gt;&lt;urls&gt;&lt;related-urls&gt;&lt;url&gt;http://www.kamsc.org.au/research/downloads/ECNAPP_Exec_Summary_for_web.pdf&lt;/url&gt;&lt;/related-urls&gt;&lt;/urls&gt;&lt;/record&gt;&lt;/Cite&gt;&lt;/EndNote&gt;</w:instrText>
        </w:r>
        <w:r w:rsidR="00E62798">
          <w:rPr>
            <w:rFonts w:cs="Times New Roman"/>
            <w:lang w:val="en-US" w:eastAsia="en-US"/>
          </w:rPr>
          <w:fldChar w:fldCharType="separate"/>
        </w:r>
        <w:r w:rsidR="00E62798" w:rsidRPr="00E62798">
          <w:rPr>
            <w:rFonts w:cs="Times New Roman"/>
            <w:noProof/>
            <w:vertAlign w:val="superscript"/>
            <w:lang w:val="en-US" w:eastAsia="en-US"/>
          </w:rPr>
          <w:t>26</w:t>
        </w:r>
        <w:r w:rsidR="00E62798">
          <w:rPr>
            <w:rFonts w:cs="Times New Roman"/>
            <w:lang w:val="en-US" w:eastAsia="en-US"/>
          </w:rPr>
          <w:fldChar w:fldCharType="end"/>
        </w:r>
      </w:hyperlink>
      <w:r w:rsidRPr="000A1C83">
        <w:rPr>
          <w:rFonts w:cs="Times New Roman"/>
          <w:lang w:val="en-US" w:eastAsia="en-US"/>
        </w:rPr>
        <w:t xml:space="preserve"> </w:t>
      </w:r>
    </w:p>
    <w:p w14:paraId="6A04A793" w14:textId="17918F7D" w:rsidR="00D93C65" w:rsidRDefault="00D93C65" w:rsidP="00D93C65">
      <w:pPr>
        <w:rPr>
          <w:rFonts w:cstheme="minorBidi"/>
          <w:lang w:eastAsia="zh-CN"/>
        </w:rPr>
      </w:pPr>
      <w:r>
        <w:t>Factors that put children at risk of developing</w:t>
      </w:r>
      <w:r w:rsidR="00225A02">
        <w:t xml:space="preserve"> IDA</w:t>
      </w:r>
      <w:r>
        <w:t xml:space="preserve"> include maternal iron deficiency, late or insufficient introduction of iron-rich solids, increased iron requirements, poor intestinal iron absorption and increased loss of iron due to blood loss. </w:t>
      </w:r>
    </w:p>
    <w:p w14:paraId="4F9DB0A8" w14:textId="77777777" w:rsidR="00D93C65" w:rsidRDefault="00D93C65" w:rsidP="00D93C65">
      <w:pPr>
        <w:pStyle w:val="Heading3"/>
      </w:pPr>
      <w:bookmarkStart w:id="229" w:name="_Toc421124132"/>
      <w:bookmarkStart w:id="230" w:name="_Toc427851391"/>
      <w:r>
        <w:t>4.5.1</w:t>
      </w:r>
      <w:r>
        <w:tab/>
        <w:t>Iron requirements in infants and children</w:t>
      </w:r>
      <w:bookmarkEnd w:id="229"/>
      <w:bookmarkEnd w:id="230"/>
    </w:p>
    <w:p w14:paraId="6F8F04CE" w14:textId="77777777" w:rsidR="00D93C65" w:rsidRDefault="00D93C65" w:rsidP="00D93C65">
      <w:pPr>
        <w:pStyle w:val="Heading4"/>
      </w:pPr>
      <w:r>
        <w:t>Term infants</w:t>
      </w:r>
    </w:p>
    <w:p w14:paraId="5CB842A1" w14:textId="4C1795FB" w:rsidR="00D93C65" w:rsidRDefault="00D93C65" w:rsidP="00D93C65">
      <w:r>
        <w:t>Term infants generally have sufficient iron stores to meet their requirements for the first 4–6 months of life,</w:t>
      </w:r>
      <w:hyperlink w:anchor="_ENREF_359" w:tooltip="Domellof, 2014 #798" w:history="1">
        <w:r w:rsidR="00E62798">
          <w:fldChar w:fldCharType="begin">
            <w:fldData xml:space="preserve">PEVuZE5vdGU+PENpdGU+PEF1dGhvcj5Eb21lbGxvZjwvQXV0aG9yPjxZZWFyPjIwMTQ8L1llYXI+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</w:fldData>
          </w:fldChar>
        </w:r>
        <w:r w:rsidR="00E62798">
          <w:instrText xml:space="preserve"> ADDIN EN.CITE </w:instrText>
        </w:r>
        <w:r w:rsidR="00E62798">
          <w:fldChar w:fldCharType="begin">
            <w:fldData xml:space="preserve">PEVuZE5vdGU+PENpdGU+PEF1dGhvcj5Eb21lbGxvZjwvQXV0aG9yPjxZZWFyPjIwMTQ8L1llYXI+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359-360</w:t>
        </w:r>
        <w:r w:rsidR="00E62798">
          <w:fldChar w:fldCharType="end"/>
        </w:r>
      </w:hyperlink>
      <w:r>
        <w:t xml:space="preserve"> by which time they should be </w:t>
      </w:r>
      <w:r w:rsidR="00467B8B">
        <w:t>receiving</w:t>
      </w:r>
      <w:r>
        <w:t xml:space="preserve"> iron-rich solids. Exclusively breast fed term infants require no iron supplementation in the first 6 months of life, provided their mother has sufficient dietary intake. Formula-fed infants should receive an iron-fortified formula. </w:t>
      </w:r>
    </w:p>
    <w:p w14:paraId="23E0F4A1" w14:textId="77777777" w:rsidR="00D93C65" w:rsidRDefault="00D93C65" w:rsidP="00D93C65">
      <w:pPr>
        <w:pStyle w:val="Heading4"/>
      </w:pPr>
      <w:r>
        <w:t xml:space="preserve">Preterm and low birth weight infants </w:t>
      </w:r>
    </w:p>
    <w:p w14:paraId="08158BAD" w14:textId="08E3A095" w:rsidR="00D93C65" w:rsidRDefault="00D93C65" w:rsidP="00D93C65">
      <w:r>
        <w:t>Neonatal iron stores are largely laid down during the third trimester of pregnancy;</w:t>
      </w:r>
      <w:hyperlink w:anchor="_ENREF_361" w:tooltip="European Society of Paediatric Gastroenterology Nutrition, 1987 #799" w:history="1">
        <w:r w:rsidR="00E62798">
          <w:fldChar w:fldCharType="begin"/>
        </w:r>
        <w:r w:rsidR="00E62798">
          <w:instrText xml:space="preserve"> ADDIN EN.CITE &lt;EndNote&gt;&lt;Cite&gt;&lt;Author&gt;European Society of Paediatric Gastroenterology Nutrition&lt;/Author&gt;&lt;Year&gt;1987&lt;/Year&gt;&lt;RecNum&gt;799&lt;/RecNum&gt;&lt;DisplayText&gt;&lt;style face="superscript"&gt;361&lt;/style&gt;&lt;/DisplayText&gt;&lt;record&gt;&lt;rec-number&gt;799&lt;/rec-number&gt;&lt;foreign-keys&gt;&lt;key app="EN" db-id="9edve2wadsavt5ewavaxtda4f2tavzvts9ee" timestamp="1433318852"&gt;799&lt;/key&gt;&lt;/foreign-keys&gt;&lt;ref-type name="Journal Article"&gt;17&lt;/ref-type&gt;&lt;contributors&gt;&lt;authors&gt;&lt;author&gt;European Society of Paediatric Gastroenterology Nutrition,&lt;/author&gt;&lt;/authors&gt;&lt;/contributors&gt;&lt;titles&gt;&lt;title&gt;Nutrition and feeding of preterm infants. Committee on Nutrition of the Preterm Infant, European Society of Paediatric Gastroenterology and Nutrition&lt;/title&gt;&lt;secondary-title&gt;Acta Paediatrica (Oslo, Norway). Supplement&lt;/secondary-title&gt;&lt;alt-title&gt;Acta Paediatr. Suppl.&lt;/alt-title&gt;&lt;/titles&gt;&lt;periodical&gt;&lt;full-title&gt;Acta Paediatrica (Oslo, Norway). Supplement&lt;/full-title&gt;&lt;abbr-1&gt;Acta Paediatr. Suppl.&lt;/abbr-1&gt;&lt;/periodical&gt;&lt;alt-periodical&gt;&lt;full-title&gt;Acta Paediatrica (Oslo, Norway). Supplement&lt;/full-title&gt;&lt;abbr-1&gt;Acta Paediatr. Suppl.&lt;/abbr-1&gt;&lt;/alt-periodical&gt;&lt;pages&gt;1–14&lt;/pages&gt;&lt;volume&gt;336&lt;/volume&gt;&lt;dates&gt;&lt;year&gt;1987&lt;/year&gt;&lt;/dates&gt;&lt;isbn&gt;0300-8843&lt;/isbn&gt;&lt;urls&gt;&lt;/urls&gt;&lt;/record&gt;&lt;/Cite&gt;&lt;/EndNote&gt;</w:instrText>
        </w:r>
        <w:r w:rsidR="00E62798">
          <w:fldChar w:fldCharType="separate"/>
        </w:r>
        <w:r w:rsidR="00E62798" w:rsidRPr="00E62798">
          <w:rPr>
            <w:noProof/>
            <w:vertAlign w:val="superscript"/>
          </w:rPr>
          <w:t>361</w:t>
        </w:r>
        <w:r w:rsidR="00E62798">
          <w:fldChar w:fldCharType="end"/>
        </w:r>
      </w:hyperlink>
      <w:r>
        <w:t xml:space="preserve"> therefore, most preterm infants are </w:t>
      </w:r>
      <w:r w:rsidR="00AC28BF">
        <w:t>at risk of subsequent iron deficiency</w:t>
      </w:r>
      <w:r>
        <w:t>. Iron supplementation should begin in infants born before 32 weeks gestation by 4 weeks of chronological age, once enteral feeds have been established.</w:t>
      </w:r>
      <w:hyperlink w:anchor="_ENREF_362" w:tooltip="Cormack, 2003 #794" w:history="1">
        <w:r w:rsidR="00E62798">
          <w:fldChar w:fldCharType="begin"/>
        </w:r>
        <w:r w:rsidR="00E62798">
          <w:instrText xml:space="preserve"> ADDIN EN.CITE &lt;EndNote&gt;&lt;Cite&gt;&lt;Author&gt;Cormack&lt;/Author&gt;&lt;Year&gt;2003&lt;/Year&gt;&lt;RecNum&gt;794&lt;/RecNum&gt;&lt;DisplayText&gt;&lt;style face="superscript"&gt;362&lt;/style&gt;&lt;/DisplayText&gt;&lt;record&gt;&lt;rec-number&gt;794&lt;/rec-number&gt;&lt;foreign-keys&gt;&lt;key app="EN" db-id="9edve2wadsavt5ewavaxtda4f2tavzvts9ee" timestamp="1433318852"&gt;794&lt;/key&gt;&lt;/foreign-keys&gt;&lt;ref-type name="Book"&gt;6&lt;/ref-type&gt;&lt;contributors&gt;&lt;authors&gt;&lt;author&gt;Cormack, B.&lt;/author&gt;&lt;/authors&gt;&lt;/contributors&gt;&lt;titles&gt;&lt;title&gt;Neonatal and Infant Nutrition Handbook&lt;/title&gt;&lt;/titles&gt;&lt;dates&gt;&lt;year&gt;2003&lt;/year&gt;&lt;/dates&gt;&lt;pub-location&gt;Auckland&lt;/pub-location&gt;&lt;publisher&gt;Auckland District Health Board&lt;/publisher&gt;&lt;urls&gt;&lt;/urls&gt;&lt;/record&gt;&lt;/Cite&gt;&lt;/EndNote&gt;</w:instrText>
        </w:r>
        <w:r w:rsidR="00E62798">
          <w:fldChar w:fldCharType="separate"/>
        </w:r>
        <w:r w:rsidR="00E62798" w:rsidRPr="00E62798">
          <w:rPr>
            <w:noProof/>
            <w:vertAlign w:val="superscript"/>
          </w:rPr>
          <w:t>362</w:t>
        </w:r>
        <w:r w:rsidR="00E62798">
          <w:fldChar w:fldCharType="end"/>
        </w:r>
      </w:hyperlink>
      <w:r>
        <w:t xml:space="preserve"> Preterm infants have a daily requirement of 2–3 mg/kg/day of elemental iron, which can</w:t>
      </w:r>
      <w:r w:rsidR="00AC28BF">
        <w:t xml:space="preserve"> usually</w:t>
      </w:r>
      <w:r>
        <w:t xml:space="preserve"> be met by iron </w:t>
      </w:r>
      <w:r w:rsidR="00AC28BF">
        <w:t>supplemention</w:t>
      </w:r>
      <w:r w:rsidR="00467B8B">
        <w:t xml:space="preserve"> </w:t>
      </w:r>
      <w:r>
        <w:t>until there is adequate dietary iron intake.</w:t>
      </w:r>
      <w:hyperlink w:anchor="_ENREF_104" w:tooltip="Agostoni, 2010 #781" w:history="1">
        <w:r w:rsidR="00E62798">
          <w:fldChar w:fldCharType="begin">
            <w:fldData xml:space="preserve">PEVuZE5vdGU+PENpdGU+PEF1dGhvcj5BZ29zdG9uaTwvQXV0aG9yPjxZZWFyPjIwMTA8L1llYXI+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</w:fldData>
          </w:fldChar>
        </w:r>
        <w:r w:rsidR="00E62798">
          <w:instrText xml:space="preserve"> ADDIN EN.CITE </w:instrText>
        </w:r>
        <w:r w:rsidR="00E62798">
          <w:fldChar w:fldCharType="begin">
            <w:fldData xml:space="preserve">PEVuZE5vdGU+PENpdGU+PEF1dGhvcj5BZ29zdG9uaTwvQXV0aG9yPjxZZWFyPjIwMTA8L1llYXI+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104</w:t>
        </w:r>
        <w:r w:rsidR="00E62798">
          <w:fldChar w:fldCharType="end"/>
        </w:r>
      </w:hyperlink>
    </w:p>
    <w:p w14:paraId="3D9C0E64" w14:textId="29444049" w:rsidR="00D93C65" w:rsidRDefault="00D93C65" w:rsidP="00D93C65">
      <w:r>
        <w:t>Regardless of gestational age, low birth weight infants, particularly those weighing &lt;1800 g, have inadequate iron stores at birth</w:t>
      </w:r>
      <w:r w:rsidR="0065196D">
        <w:t>,</w:t>
      </w:r>
      <w:r w:rsidR="00E62798">
        <w:fldChar w:fldCharType="begin">
          <w:fldData xml:space="preserve">PEVuZE5vdGU+PENpdGU+PEF1dGhvcj5BZ29zdG9uaTwvQXV0aG9yPjxZZWFyPjIwMTA8L1llYXI+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</w:fldData>
        </w:fldChar>
      </w:r>
      <w:r w:rsidR="00E62798">
        <w:instrText xml:space="preserve"> ADDIN EN.CITE </w:instrText>
      </w:r>
      <w:r w:rsidR="00E62798">
        <w:fldChar w:fldCharType="begin">
          <w:fldData xml:space="preserve">PEVuZE5vdGU+PENpdGU+PEF1dGhvcj5BZ29zdG9uaTwvQXV0aG9yPjxZZWFyPjIwMTA8L1llYXI+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</w:fldData>
        </w:fldChar>
      </w:r>
      <w:r w:rsidR="00E62798">
        <w:instrText xml:space="preserve"> ADDIN EN.CITE.DATA </w:instrText>
      </w:r>
      <w:r w:rsidR="00E62798">
        <w:fldChar w:fldCharType="end"/>
      </w:r>
      <w:r w:rsidR="00E62798">
        <w:fldChar w:fldCharType="separate"/>
      </w:r>
      <w:hyperlink w:anchor="_ENREF_104" w:tooltip="Agostoni, 2010 #781" w:history="1">
        <w:r w:rsidR="00E62798" w:rsidRPr="00E62798">
          <w:rPr>
            <w:noProof/>
            <w:vertAlign w:val="superscript"/>
          </w:rPr>
          <w:t>104</w:t>
        </w:r>
      </w:hyperlink>
      <w:r w:rsidR="00E62798" w:rsidRPr="00E62798">
        <w:rPr>
          <w:noProof/>
          <w:vertAlign w:val="superscript"/>
        </w:rPr>
        <w:t xml:space="preserve">; </w:t>
      </w:r>
      <w:hyperlink w:anchor="_ENREF_362" w:tooltip="Cormack, 2003 #794" w:history="1">
        <w:r w:rsidR="00E62798" w:rsidRPr="00E62798">
          <w:rPr>
            <w:noProof/>
            <w:vertAlign w:val="superscript"/>
          </w:rPr>
          <w:t>362</w:t>
        </w:r>
      </w:hyperlink>
      <w:r w:rsidR="00E62798">
        <w:fldChar w:fldCharType="end"/>
      </w:r>
      <w:r>
        <w:t xml:space="preserve"> and should receive iron supplementation until 6</w:t>
      </w:r>
      <w:r w:rsidR="00467B8B">
        <w:t> </w:t>
      </w:r>
      <w:r>
        <w:t xml:space="preserve">months of age (corrected for gestation at birth). </w:t>
      </w:r>
    </w:p>
    <w:p w14:paraId="26E0E20E" w14:textId="77777777" w:rsidR="00D93C65" w:rsidRDefault="00D93C65" w:rsidP="00D93C65">
      <w:pPr>
        <w:pStyle w:val="Heading4"/>
      </w:pPr>
      <w:r>
        <w:t>Iron requirements in infants</w:t>
      </w:r>
    </w:p>
    <w:p w14:paraId="1C4CF0C1" w14:textId="5996EC42" w:rsidR="00D93C65" w:rsidRDefault="00D93C65" w:rsidP="00D93C65">
      <w:r>
        <w:t>From 6 months of age, all infants and toddlers should receive iron-rich solids.</w:t>
      </w:r>
      <w:hyperlink w:anchor="_ENREF_359" w:tooltip="Domellof, 2014 #798" w:history="1">
        <w:r w:rsidR="00E62798">
          <w:fldChar w:fldCharType="begin">
            <w:fldData xml:space="preserve">PEVuZE5vdGU+PENpdGU+PEF1dGhvcj5Eb21lbGxvZjwvQXV0aG9yPjxZZWFyPjIwMTQ8L1llYXI+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</w:fldData>
          </w:fldChar>
        </w:r>
        <w:r w:rsidR="00E62798">
          <w:instrText xml:space="preserve"> ADDIN EN.CITE </w:instrText>
        </w:r>
        <w:r w:rsidR="00E62798">
          <w:fldChar w:fldCharType="begin">
            <w:fldData xml:space="preserve">PEVuZE5vdGU+PENpdGU+PEF1dGhvcj5Eb21lbGxvZjwvQXV0aG9yPjxZZWFyPjIwMTQ8L1llYXI+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359-360</w:t>
        </w:r>
        <w:r w:rsidR="00E62798">
          <w:fldChar w:fldCharType="end"/>
        </w:r>
      </w:hyperlink>
      <w:r>
        <w:t xml:space="preserve"> If there is a delay in starting iron-rich solids, low-dose oral iron supplementation (1 mg/kg/day) is recommended until appropriate dietary sources are introduced.</w:t>
      </w:r>
      <w:hyperlink w:anchor="_ENREF_360" w:tooltip="Grant, 2007 #803" w:history="1">
        <w:r w:rsidR="00E62798">
          <w:fldChar w:fldCharType="begin"/>
        </w:r>
        <w:r w:rsidR="00E62798">
          <w:instrText xml:space="preserve"> ADDIN EN.CITE &lt;EndNote&gt;&lt;Cite&gt;&lt;Author&gt;Grant&lt;/Author&gt;&lt;Year&gt;2007&lt;/Year&gt;&lt;RecNum&gt;803&lt;/RecNum&gt;&lt;DisplayText&gt;&lt;style face="superscript"&gt;360&lt;/style&gt;&lt;/DisplayText&gt;&lt;record&gt;&lt;rec-number&gt;803&lt;/rec-number&gt;&lt;foreign-keys&gt;&lt;key app="EN" db-id="9edve2wadsavt5ewavaxtda4f2tavzvts9ee" timestamp="1433318852"&gt;803&lt;/key&gt;&lt;/foreign-keys&gt;&lt;ref-type name="Journal Article"&gt;17&lt;/ref-type&gt;&lt;contributors&gt;&lt;authors&gt;&lt;author&gt;Grant, C. C.&lt;/author&gt;&lt;author&gt;Wall, C. R.&lt;/author&gt;&lt;author&gt;Brewster, D.&lt;/author&gt;&lt;author&gt;Nicholson, R.&lt;/author&gt;&lt;author&gt;Whitehall, J.&lt;/author&gt;&lt;author&gt;Super, L.&lt;/author&gt;&lt;author&gt;Pitcher, L.&lt;/author&gt;&lt;/authors&gt;&lt;/contributors&gt;&lt;auth-address&gt;Department of Paediatrics, University of Auckland, Auckland, New Zealand. cc.grant@auckland.ac.nz&lt;/auth-address&gt;&lt;titles&gt;&lt;title&gt;Policy statement on iron deficiency in pre-school-aged children&lt;/title&gt;&lt;secondary-title&gt;J Paediatr Child Health&lt;/secondary-title&gt;&lt;/titles&gt;&lt;periodical&gt;&lt;full-title&gt;J Paediatr Child Health&lt;/full-title&gt;&lt;/periodical&gt;&lt;pages&gt;513–21&lt;/pages&gt;&lt;volume&gt;43&lt;/volume&gt;&lt;number&gt;7-8&lt;/number&gt;&lt;keywords&gt;&lt;keyword&gt;*Anemia, Iron-Deficiency/blood/diet therapy/prevention &amp;amp; control&lt;/keyword&gt;&lt;keyword&gt;Australia&lt;/keyword&gt;&lt;keyword&gt;Child, Preschool&lt;/keyword&gt;&lt;keyword&gt;Female&lt;/keyword&gt;&lt;keyword&gt;Ferrous Compounds/therapeutic use&lt;/keyword&gt;&lt;keyword&gt;*Health Policy&lt;/keyword&gt;&lt;keyword&gt;Humans&lt;/keyword&gt;&lt;keyword&gt;Infant&lt;/keyword&gt;&lt;keyword&gt;Infant Nutritional Physiological Phenomena&lt;/keyword&gt;&lt;keyword&gt;Infant, Newborn&lt;/keyword&gt;&lt;keyword&gt;Iron, Dietary/administration &amp;amp; dosage&lt;/keyword&gt;&lt;keyword&gt;Male&lt;/keyword&gt;&lt;keyword&gt;New Zealand&lt;/keyword&gt;&lt;keyword&gt;Practice Guidelines as Topic&lt;/keyword&gt;&lt;keyword&gt;Pregnancy&lt;/keyword&gt;&lt;keyword&gt;Prenatal Care&lt;/keyword&gt;&lt;/keywords&gt;&lt;dates&gt;&lt;year&gt;2007&lt;/year&gt;&lt;pub-dates&gt;&lt;date&gt;Jul-Aug&lt;/date&gt;&lt;/pub-dates&gt;&lt;/dates&gt;&lt;isbn&gt;1034-4810 (Print)&amp;#xD;1034-4810 (Linking)&lt;/isbn&gt;&lt;accession-num&gt;17635678&lt;/accession-num&gt;&lt;urls&gt;&lt;related-urls&gt;&lt;url&gt;http://www.ncbi.nlm.nih.gov/pubmed/17635678&lt;/url&gt;&lt;/related-urls&gt;&lt;/urls&gt;&lt;electronic-resource-num&gt;10.1111/j.1440-1754.2007.01128.x&lt;/electronic-resource-num&gt;&lt;/record&gt;&lt;/Cite&gt;&lt;/EndNote&gt;</w:instrText>
        </w:r>
        <w:r w:rsidR="00E62798">
          <w:fldChar w:fldCharType="separate"/>
        </w:r>
        <w:r w:rsidR="00E62798" w:rsidRPr="00E62798">
          <w:rPr>
            <w:noProof/>
            <w:vertAlign w:val="superscript"/>
          </w:rPr>
          <w:t>360</w:t>
        </w:r>
        <w:r w:rsidR="00E62798">
          <w:fldChar w:fldCharType="end"/>
        </w:r>
      </w:hyperlink>
    </w:p>
    <w:p w14:paraId="4EBCE265" w14:textId="7CF5DF9F" w:rsidR="00D93C65" w:rsidRDefault="00D93C65" w:rsidP="00D93C65">
      <w:pPr>
        <w:pStyle w:val="TableName"/>
      </w:pPr>
      <w:bookmarkStart w:id="231" w:name="_Toc427758395"/>
      <w:r>
        <w:t>Table 4.</w:t>
      </w:r>
      <w:r w:rsidR="00225A02">
        <w:t>3</w:t>
      </w:r>
      <w:r>
        <w:t xml:space="preserve"> </w:t>
      </w:r>
      <w:r w:rsidR="00034451">
        <w:tab/>
      </w:r>
      <w:r>
        <w:t>Iron requirements in neonates and infants</w:t>
      </w:r>
      <w:bookmarkEnd w:id="231"/>
    </w:p>
    <w:tbl>
      <w:tblPr>
        <w:tblStyle w:val="TableGrid"/>
        <w:tblW w:w="8222" w:type="dxa"/>
        <w:tblInd w:w="704" w:type="dxa"/>
        <w:tblLook w:val="04A0" w:firstRow="1" w:lastRow="0" w:firstColumn="1" w:lastColumn="0" w:noHBand="0" w:noVBand="1"/>
      </w:tblPr>
      <w:tblGrid>
        <w:gridCol w:w="1418"/>
        <w:gridCol w:w="1417"/>
        <w:gridCol w:w="2552"/>
        <w:gridCol w:w="2835"/>
      </w:tblGrid>
      <w:tr w:rsidR="00D93C65" w14:paraId="5680ACC7" w14:textId="77777777" w:rsidTr="006F2463">
        <w:trPr>
          <w:trHeight w:val="569"/>
        </w:trPr>
        <w:tc>
          <w:tcPr>
            <w:tcW w:w="1418" w:type="dxa"/>
            <w:tcBorders>
              <w:top w:val="single" w:sz="4" w:space="0" w:color="auto"/>
              <w:left w:val="single" w:sz="4" w:space="0" w:color="auto"/>
              <w:bottom w:val="single" w:sz="4" w:space="0" w:color="auto"/>
              <w:right w:val="single" w:sz="4" w:space="0" w:color="auto"/>
            </w:tcBorders>
            <w:hideMark/>
          </w:tcPr>
          <w:p w14:paraId="3F462511" w14:textId="77777777" w:rsidR="00D93C65" w:rsidRDefault="00D93C65" w:rsidP="006F2463">
            <w:pPr>
              <w:pStyle w:val="TableHeading"/>
              <w:rPr>
                <w:lang w:val="en-US"/>
              </w:rPr>
            </w:pPr>
            <w:r>
              <w:rPr>
                <w:lang w:val="en-US"/>
              </w:rPr>
              <w:t>Age</w:t>
            </w:r>
          </w:p>
        </w:tc>
        <w:tc>
          <w:tcPr>
            <w:tcW w:w="1417" w:type="dxa"/>
            <w:tcBorders>
              <w:top w:val="single" w:sz="4" w:space="0" w:color="auto"/>
              <w:left w:val="single" w:sz="4" w:space="0" w:color="auto"/>
              <w:bottom w:val="single" w:sz="4" w:space="0" w:color="auto"/>
              <w:right w:val="single" w:sz="4" w:space="0" w:color="auto"/>
            </w:tcBorders>
            <w:hideMark/>
          </w:tcPr>
          <w:p w14:paraId="0108D7FE" w14:textId="77777777" w:rsidR="00D93C65" w:rsidRDefault="00D93C65" w:rsidP="006F2463">
            <w:pPr>
              <w:pStyle w:val="TableHeading"/>
              <w:rPr>
                <w:lang w:val="en-US"/>
              </w:rPr>
            </w:pPr>
            <w:r>
              <w:rPr>
                <w:lang w:val="en-US"/>
              </w:rPr>
              <w:t>Iron requirement</w:t>
            </w:r>
          </w:p>
        </w:tc>
        <w:tc>
          <w:tcPr>
            <w:tcW w:w="2552" w:type="dxa"/>
            <w:tcBorders>
              <w:top w:val="single" w:sz="4" w:space="0" w:color="auto"/>
              <w:left w:val="single" w:sz="4" w:space="0" w:color="auto"/>
              <w:bottom w:val="single" w:sz="4" w:space="0" w:color="auto"/>
              <w:right w:val="single" w:sz="4" w:space="0" w:color="auto"/>
            </w:tcBorders>
            <w:hideMark/>
          </w:tcPr>
          <w:p w14:paraId="4B52E472" w14:textId="77777777" w:rsidR="00D93C65" w:rsidRDefault="00D93C65" w:rsidP="006F2463">
            <w:pPr>
              <w:pStyle w:val="TableHeading"/>
              <w:rPr>
                <w:lang w:val="en-US"/>
              </w:rPr>
            </w:pPr>
            <w:r>
              <w:rPr>
                <w:lang w:val="en-US"/>
              </w:rPr>
              <w:t>Feeding</w:t>
            </w:r>
          </w:p>
        </w:tc>
        <w:tc>
          <w:tcPr>
            <w:tcW w:w="2835" w:type="dxa"/>
            <w:tcBorders>
              <w:top w:val="single" w:sz="4" w:space="0" w:color="auto"/>
              <w:left w:val="single" w:sz="4" w:space="0" w:color="auto"/>
              <w:bottom w:val="single" w:sz="4" w:space="0" w:color="auto"/>
              <w:right w:val="single" w:sz="4" w:space="0" w:color="auto"/>
            </w:tcBorders>
            <w:hideMark/>
          </w:tcPr>
          <w:p w14:paraId="4612B398" w14:textId="77777777" w:rsidR="00D93C65" w:rsidRDefault="00D93C65" w:rsidP="006F2463">
            <w:pPr>
              <w:pStyle w:val="TableHeading"/>
              <w:rPr>
                <w:lang w:val="en-US"/>
              </w:rPr>
            </w:pPr>
            <w:r>
              <w:rPr>
                <w:lang w:val="en-US"/>
              </w:rPr>
              <w:t>Supplementation</w:t>
            </w:r>
          </w:p>
        </w:tc>
      </w:tr>
      <w:tr w:rsidR="00D93C65" w14:paraId="34D5EB71" w14:textId="77777777" w:rsidTr="006F2463">
        <w:trPr>
          <w:trHeight w:val="345"/>
        </w:trPr>
        <w:tc>
          <w:tcPr>
            <w:tcW w:w="1418" w:type="dxa"/>
            <w:vMerge w:val="restart"/>
            <w:tcBorders>
              <w:top w:val="single" w:sz="4" w:space="0" w:color="auto"/>
              <w:left w:val="single" w:sz="4" w:space="0" w:color="auto"/>
              <w:bottom w:val="single" w:sz="4" w:space="0" w:color="auto"/>
              <w:right w:val="single" w:sz="4" w:space="0" w:color="auto"/>
            </w:tcBorders>
            <w:hideMark/>
          </w:tcPr>
          <w:p w14:paraId="217130FA" w14:textId="5F31AA4D" w:rsidR="00D93C65" w:rsidRDefault="00D93C65" w:rsidP="00DF0139">
            <w:pPr>
              <w:pStyle w:val="TableText"/>
              <w:rPr>
                <w:lang w:val="en-US"/>
              </w:rPr>
            </w:pPr>
            <w:r>
              <w:rPr>
                <w:lang w:val="en-US"/>
              </w:rPr>
              <w:t>Term; 0</w:t>
            </w:r>
            <w:r w:rsidR="00DF0139">
              <w:rPr>
                <w:lang w:val="en-US"/>
              </w:rPr>
              <w:t>–</w:t>
            </w:r>
            <w:r>
              <w:rPr>
                <w:lang w:val="en-US"/>
              </w:rPr>
              <w:t>6 months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E70A2C4" w14:textId="77777777" w:rsidR="00D93C65" w:rsidRDefault="00D93C65" w:rsidP="006F2463">
            <w:pPr>
              <w:pStyle w:val="TableText"/>
              <w:rPr>
                <w:lang w:val="en-US"/>
              </w:rPr>
            </w:pPr>
            <w:r>
              <w:rPr>
                <w:lang w:val="en-US"/>
              </w:rPr>
              <w:t>AI</w:t>
            </w:r>
          </w:p>
          <w:p w14:paraId="1220F8AC" w14:textId="77777777" w:rsidR="00D93C65" w:rsidRDefault="00D93C65" w:rsidP="006F2463">
            <w:pPr>
              <w:pStyle w:val="TableText"/>
              <w:rPr>
                <w:lang w:val="en-US"/>
              </w:rPr>
            </w:pPr>
            <w:r>
              <w:rPr>
                <w:lang w:val="en-US"/>
              </w:rPr>
              <w:t>0.2 mg per day</w:t>
            </w:r>
          </w:p>
        </w:tc>
        <w:tc>
          <w:tcPr>
            <w:tcW w:w="2552" w:type="dxa"/>
            <w:tcBorders>
              <w:top w:val="single" w:sz="4" w:space="0" w:color="auto"/>
              <w:left w:val="single" w:sz="4" w:space="0" w:color="auto"/>
              <w:bottom w:val="single" w:sz="4" w:space="0" w:color="auto"/>
              <w:right w:val="single" w:sz="4" w:space="0" w:color="auto"/>
            </w:tcBorders>
            <w:hideMark/>
          </w:tcPr>
          <w:p w14:paraId="15F08C32" w14:textId="77777777" w:rsidR="00D93C65" w:rsidRDefault="00D93C65" w:rsidP="006F2463">
            <w:pPr>
              <w:pStyle w:val="TableText"/>
              <w:rPr>
                <w:lang w:val="en-US"/>
              </w:rPr>
            </w:pPr>
            <w:r>
              <w:rPr>
                <w:lang w:val="en-US"/>
              </w:rPr>
              <w:t>Breast milk</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83F05FF" w14:textId="77777777" w:rsidR="00D93C65" w:rsidRDefault="00D93C65" w:rsidP="006F2463">
            <w:pPr>
              <w:pStyle w:val="TableText"/>
              <w:rPr>
                <w:lang w:val="en-US"/>
              </w:rPr>
            </w:pPr>
            <w:r>
              <w:rPr>
                <w:lang w:val="en-US"/>
              </w:rPr>
              <w:t>Not routinely required</w:t>
            </w:r>
          </w:p>
        </w:tc>
      </w:tr>
      <w:tr w:rsidR="00D93C65" w14:paraId="31000D82" w14:textId="77777777" w:rsidTr="006F2463">
        <w:trPr>
          <w:trHeight w:val="1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DB625CC" w14:textId="77777777" w:rsidR="00D93C65" w:rsidRDefault="00D93C65" w:rsidP="006F2463">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D4AB20" w14:textId="77777777" w:rsidR="00D93C65" w:rsidRDefault="00D93C65" w:rsidP="006F2463">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hideMark/>
          </w:tcPr>
          <w:p w14:paraId="3CB59DF4" w14:textId="77777777" w:rsidR="00D93C65" w:rsidRDefault="00D93C65" w:rsidP="006F2463">
            <w:pPr>
              <w:pStyle w:val="TableText"/>
              <w:rPr>
                <w:lang w:val="en-US"/>
              </w:rPr>
            </w:pPr>
            <w:r>
              <w:rPr>
                <w:lang w:val="en-US"/>
              </w:rPr>
              <w:t>Iron-fortified formula</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E795D61" w14:textId="77777777" w:rsidR="00D93C65" w:rsidRDefault="00D93C65" w:rsidP="006F2463">
            <w:pPr>
              <w:pStyle w:val="TableText"/>
              <w:rPr>
                <w:sz w:val="22"/>
                <w:szCs w:val="22"/>
                <w:lang w:val="en-US" w:eastAsia="zh-CN"/>
              </w:rPr>
            </w:pPr>
          </w:p>
        </w:tc>
      </w:tr>
      <w:tr w:rsidR="00D93C65" w14:paraId="45FC370D" w14:textId="77777777" w:rsidTr="006F2463">
        <w:trPr>
          <w:trHeight w:val="93"/>
        </w:trPr>
        <w:tc>
          <w:tcPr>
            <w:tcW w:w="1418" w:type="dxa"/>
            <w:vMerge w:val="restart"/>
            <w:tcBorders>
              <w:top w:val="single" w:sz="4" w:space="0" w:color="auto"/>
              <w:left w:val="single" w:sz="4" w:space="0" w:color="auto"/>
              <w:bottom w:val="single" w:sz="4" w:space="0" w:color="auto"/>
              <w:right w:val="single" w:sz="4" w:space="0" w:color="auto"/>
            </w:tcBorders>
            <w:hideMark/>
          </w:tcPr>
          <w:p w14:paraId="6A1301B3" w14:textId="77777777" w:rsidR="00D93C65" w:rsidRDefault="00D93C65" w:rsidP="006F2463">
            <w:pPr>
              <w:pStyle w:val="TableText"/>
              <w:rPr>
                <w:lang w:val="en-US"/>
              </w:rPr>
            </w:pPr>
            <w:r>
              <w:rPr>
                <w:lang w:val="en-US"/>
              </w:rPr>
              <w:t>Term; 6–12 months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635292F" w14:textId="77777777" w:rsidR="00D93C65" w:rsidRDefault="00D93C65" w:rsidP="006F2463">
            <w:pPr>
              <w:pStyle w:val="TableText"/>
              <w:rPr>
                <w:lang w:val="en-US"/>
              </w:rPr>
            </w:pPr>
            <w:r>
              <w:rPr>
                <w:lang w:val="en-US"/>
              </w:rPr>
              <w:t>RDI</w:t>
            </w:r>
          </w:p>
          <w:p w14:paraId="7079E542" w14:textId="77777777" w:rsidR="00D93C65" w:rsidRDefault="00D93C65" w:rsidP="006F2463">
            <w:pPr>
              <w:pStyle w:val="TableText"/>
              <w:rPr>
                <w:lang w:val="en-US"/>
              </w:rPr>
            </w:pPr>
            <w:r>
              <w:rPr>
                <w:lang w:val="en-US"/>
              </w:rPr>
              <w:t>11 mg per day</w:t>
            </w:r>
          </w:p>
        </w:tc>
        <w:tc>
          <w:tcPr>
            <w:tcW w:w="2552" w:type="dxa"/>
            <w:tcBorders>
              <w:top w:val="single" w:sz="4" w:space="0" w:color="auto"/>
              <w:left w:val="single" w:sz="4" w:space="0" w:color="auto"/>
              <w:bottom w:val="single" w:sz="4" w:space="0" w:color="auto"/>
              <w:right w:val="single" w:sz="4" w:space="0" w:color="auto"/>
            </w:tcBorders>
            <w:hideMark/>
          </w:tcPr>
          <w:p w14:paraId="0F5D187B" w14:textId="77777777" w:rsidR="00D93C65" w:rsidRDefault="00D93C65" w:rsidP="006F2463">
            <w:pPr>
              <w:pStyle w:val="TableText"/>
              <w:rPr>
                <w:lang w:val="en-US"/>
              </w:rPr>
            </w:pPr>
            <w:r>
              <w:rPr>
                <w:lang w:val="en-US"/>
              </w:rPr>
              <w:t>Breast milk then iron-rich foods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0180D1C6" w14:textId="77777777" w:rsidR="00D93C65" w:rsidRDefault="00D93C65" w:rsidP="006F2463">
            <w:pPr>
              <w:pStyle w:val="TableText"/>
              <w:rPr>
                <w:lang w:val="en-US"/>
              </w:rPr>
            </w:pPr>
            <w:r>
              <w:rPr>
                <w:lang w:val="en-US"/>
              </w:rPr>
              <w:t>Not routinely required</w:t>
            </w:r>
          </w:p>
        </w:tc>
      </w:tr>
      <w:tr w:rsidR="00D93C65" w14:paraId="13C4EDDE" w14:textId="77777777" w:rsidTr="006F2463">
        <w:trPr>
          <w:trHeight w:val="182"/>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7D8C84F" w14:textId="77777777" w:rsidR="00D93C65" w:rsidRDefault="00D93C65" w:rsidP="006F2463">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897B28" w14:textId="77777777" w:rsidR="00D93C65" w:rsidRDefault="00D93C65" w:rsidP="006F2463">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hideMark/>
          </w:tcPr>
          <w:p w14:paraId="7F467C21" w14:textId="77777777" w:rsidR="00D93C65" w:rsidRDefault="00D93C65" w:rsidP="006F2463">
            <w:pPr>
              <w:pStyle w:val="TableText"/>
              <w:rPr>
                <w:lang w:val="en-US"/>
              </w:rPr>
            </w:pPr>
            <w:r>
              <w:rPr>
                <w:lang w:val="en-US"/>
              </w:rPr>
              <w:t>Formula then iron-rich foods</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E14EC95" w14:textId="77777777" w:rsidR="00D93C65" w:rsidRDefault="00D93C65" w:rsidP="006F2463">
            <w:pPr>
              <w:pStyle w:val="TableText"/>
              <w:rPr>
                <w:sz w:val="22"/>
                <w:szCs w:val="22"/>
                <w:lang w:val="en-US" w:eastAsia="zh-CN"/>
              </w:rPr>
            </w:pPr>
          </w:p>
        </w:tc>
      </w:tr>
      <w:tr w:rsidR="00D93C65" w14:paraId="5464B6C0" w14:textId="77777777" w:rsidTr="006F2463">
        <w:trPr>
          <w:trHeight w:val="536"/>
        </w:trPr>
        <w:tc>
          <w:tcPr>
            <w:tcW w:w="1418" w:type="dxa"/>
            <w:vMerge w:val="restart"/>
            <w:tcBorders>
              <w:top w:val="single" w:sz="4" w:space="0" w:color="auto"/>
              <w:left w:val="single" w:sz="4" w:space="0" w:color="auto"/>
              <w:bottom w:val="single" w:sz="4" w:space="0" w:color="auto"/>
              <w:right w:val="single" w:sz="4" w:space="0" w:color="auto"/>
            </w:tcBorders>
          </w:tcPr>
          <w:p w14:paraId="04E61A0B" w14:textId="0F5F4057" w:rsidR="00D93C65" w:rsidRDefault="00D93C65" w:rsidP="006F2463">
            <w:pPr>
              <w:pStyle w:val="TableText"/>
              <w:rPr>
                <w:lang w:val="en-US"/>
              </w:rPr>
            </w:pPr>
            <w:r>
              <w:rPr>
                <w:lang w:val="en-US"/>
              </w:rPr>
              <w:t>Preterm (&lt;</w:t>
            </w:r>
            <w:r w:rsidR="00DF0139">
              <w:rPr>
                <w:lang w:val="en-US"/>
              </w:rPr>
              <w:t>32 </w:t>
            </w:r>
            <w:r>
              <w:rPr>
                <w:lang w:val="en-US"/>
              </w:rPr>
              <w:t xml:space="preserve">weeks) or low birth weight infants; </w:t>
            </w:r>
          </w:p>
          <w:p w14:paraId="0A81DAE9" w14:textId="77777777" w:rsidR="00D93C65" w:rsidRDefault="00D93C65" w:rsidP="006F2463">
            <w:pPr>
              <w:pStyle w:val="TableText"/>
              <w:rPr>
                <w:lang w:val="en-US"/>
              </w:rPr>
            </w:pPr>
            <w:r>
              <w:rPr>
                <w:lang w:val="en-US"/>
              </w:rPr>
              <w:t>from 1–12 months</w:t>
            </w:r>
          </w:p>
          <w:p w14:paraId="32B7D7FD" w14:textId="77777777" w:rsidR="00D93C65" w:rsidRDefault="00D93C65" w:rsidP="006F2463">
            <w:pPr>
              <w:pStyle w:val="TableText"/>
              <w:rPr>
                <w:lang w:val="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51E5D95B" w14:textId="0ACA0120" w:rsidR="00D93C65" w:rsidRDefault="00D93C65" w:rsidP="006F2463">
            <w:pPr>
              <w:pStyle w:val="TableText"/>
              <w:rPr>
                <w:lang w:val="en-US"/>
              </w:rPr>
            </w:pPr>
            <w:r>
              <w:rPr>
                <w:lang w:val="en-US"/>
              </w:rPr>
              <w:t>2–3 mg per day</w:t>
            </w:r>
            <w:r w:rsidR="00AC28BF">
              <w:rPr>
                <w:lang w:val="en-US"/>
              </w:rPr>
              <w:t xml:space="preserve"> provided as either;</w:t>
            </w:r>
          </w:p>
        </w:tc>
        <w:tc>
          <w:tcPr>
            <w:tcW w:w="2552" w:type="dxa"/>
            <w:tcBorders>
              <w:top w:val="single" w:sz="4" w:space="0" w:color="auto"/>
              <w:left w:val="single" w:sz="4" w:space="0" w:color="auto"/>
              <w:bottom w:val="single" w:sz="4" w:space="0" w:color="auto"/>
              <w:right w:val="single" w:sz="4" w:space="0" w:color="auto"/>
            </w:tcBorders>
          </w:tcPr>
          <w:p w14:paraId="79D046BB" w14:textId="1F9433E5" w:rsidR="00D93C65" w:rsidRDefault="00D93C65" w:rsidP="006F2463">
            <w:pPr>
              <w:pStyle w:val="TableText"/>
              <w:rPr>
                <w:lang w:val="en-US"/>
              </w:rPr>
            </w:pPr>
            <w:r>
              <w:rPr>
                <w:lang w:val="en-US"/>
              </w:rPr>
              <w:t xml:space="preserve">Iron-fortified formula </w:t>
            </w:r>
            <w:r w:rsidR="00AC28BF">
              <w:rPr>
                <w:lang w:val="en-US"/>
              </w:rPr>
              <w:t xml:space="preserve">with </w:t>
            </w:r>
            <w:r>
              <w:rPr>
                <w:lang w:val="en-US"/>
              </w:rPr>
              <w:t>iron-rich foods</w:t>
            </w:r>
            <w:r w:rsidR="00AC28BF">
              <w:rPr>
                <w:lang w:val="en-US"/>
              </w:rPr>
              <w:t xml:space="preserve"> from appropriate age</w:t>
            </w:r>
          </w:p>
          <w:p w14:paraId="4636697F" w14:textId="77777777" w:rsidR="00D93C65" w:rsidRDefault="00D93C65" w:rsidP="006F2463">
            <w:pPr>
              <w:pStyle w:val="TableText"/>
              <w:rPr>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307A06D4" w14:textId="54340074" w:rsidR="00D93C65" w:rsidRDefault="00D93C65" w:rsidP="006F2463">
            <w:pPr>
              <w:pStyle w:val="TableText"/>
              <w:rPr>
                <w:lang w:val="en-US"/>
              </w:rPr>
            </w:pPr>
            <w:r>
              <w:rPr>
                <w:lang w:val="en-US"/>
              </w:rPr>
              <w:t>1–2 mg/kg/day of elemental iron until adequate daily iron intake ~6–12 months (corrected for gestation)</w:t>
            </w:r>
          </w:p>
        </w:tc>
      </w:tr>
      <w:tr w:rsidR="00D93C65" w14:paraId="6CFA8C11" w14:textId="77777777" w:rsidTr="006F2463">
        <w:trPr>
          <w:trHeight w:val="5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6C3C562" w14:textId="77777777" w:rsidR="00D93C65" w:rsidRDefault="00D93C65" w:rsidP="006F2463">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780E15" w14:textId="77777777" w:rsidR="00D93C65" w:rsidRDefault="00D93C65" w:rsidP="006F2463">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tcPr>
          <w:p w14:paraId="0BC0E811" w14:textId="1397A1C6" w:rsidR="00D93C65" w:rsidRDefault="00D93C65" w:rsidP="006F2463">
            <w:pPr>
              <w:pStyle w:val="TableText"/>
              <w:rPr>
                <w:lang w:val="en-US"/>
              </w:rPr>
            </w:pPr>
            <w:r>
              <w:rPr>
                <w:lang w:val="en-US"/>
              </w:rPr>
              <w:t>Breast milk</w:t>
            </w:r>
            <w:r w:rsidR="00AC28BF">
              <w:rPr>
                <w:lang w:val="en-US"/>
              </w:rPr>
              <w:t>, with</w:t>
            </w:r>
            <w:r>
              <w:rPr>
                <w:lang w:val="en-US"/>
              </w:rPr>
              <w:t xml:space="preserve"> iron-rich foods </w:t>
            </w:r>
            <w:r w:rsidR="00AC28BF">
              <w:rPr>
                <w:lang w:val="en-US"/>
              </w:rPr>
              <w:t>from appropriate age</w:t>
            </w:r>
          </w:p>
          <w:p w14:paraId="02937CA4" w14:textId="77777777" w:rsidR="00D93C65" w:rsidRDefault="00D93C65" w:rsidP="006F2463">
            <w:pPr>
              <w:pStyle w:val="TableText"/>
              <w:rPr>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6F215659" w14:textId="780DEDB9" w:rsidR="00D93C65" w:rsidRDefault="00AC28BF" w:rsidP="00DF0139">
            <w:pPr>
              <w:pStyle w:val="TableText"/>
              <w:rPr>
                <w:lang w:val="en-US"/>
              </w:rPr>
            </w:pPr>
            <w:r>
              <w:rPr>
                <w:lang w:val="en-US"/>
              </w:rPr>
              <w:t>2-</w:t>
            </w:r>
            <w:r w:rsidR="00D93C65">
              <w:rPr>
                <w:lang w:val="en-US"/>
              </w:rPr>
              <w:t>3 mg/kg/day of elemental iron until adequate daily iron intake ~6–</w:t>
            </w:r>
            <w:r w:rsidR="00DF0139">
              <w:rPr>
                <w:lang w:val="en-US"/>
              </w:rPr>
              <w:t>12 </w:t>
            </w:r>
            <w:r w:rsidR="00D93C65">
              <w:rPr>
                <w:lang w:val="en-US"/>
              </w:rPr>
              <w:t>months (corrected for gestation)</w:t>
            </w:r>
          </w:p>
        </w:tc>
      </w:tr>
    </w:tbl>
    <w:p w14:paraId="3BD3EC0A" w14:textId="4F17C536" w:rsidR="00D93C65" w:rsidRDefault="00D93C65" w:rsidP="00D93C65">
      <w:pPr>
        <w:pStyle w:val="TableFigNotes18"/>
      </w:pPr>
      <w:r>
        <w:t>AI, adequate intake; RDI, recommended daily intake</w:t>
      </w:r>
      <w:r w:rsidR="0065196D">
        <w:br/>
        <w:t>Based on guidelines</w:t>
      </w:r>
      <w:r w:rsidR="00E62798">
        <w:fldChar w:fldCharType="begin">
          <w:fldData xml:space="preserve">PEVuZE5vdGU+PENpdGU+PEF1dGhvcj5OSE1SQyBhbmQgTW9IPC9BdXRob3I+PFllYXI+MjAwNjwv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</w:fldData>
        </w:fldChar>
      </w:r>
      <w:r w:rsidR="00E62798">
        <w:instrText xml:space="preserve"> ADDIN EN.CITE </w:instrText>
      </w:r>
      <w:r w:rsidR="00E62798">
        <w:fldChar w:fldCharType="begin">
          <w:fldData xml:space="preserve">PEVuZE5vdGU+PENpdGU+PEF1dGhvcj5OSE1SQyBhbmQgTW9IPC9BdXRob3I+PFllYXI+MjAwNjwv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</w:fldData>
        </w:fldChar>
      </w:r>
      <w:r w:rsidR="00E62798">
        <w:instrText xml:space="preserve"> ADDIN EN.CITE.DATA </w:instrText>
      </w:r>
      <w:r w:rsidR="00E62798">
        <w:fldChar w:fldCharType="end"/>
      </w:r>
      <w:r w:rsidR="00E62798">
        <w:fldChar w:fldCharType="separate"/>
      </w:r>
      <w:hyperlink w:anchor="_ENREF_104" w:tooltip="Agostoni, 2010 #781" w:history="1">
        <w:r w:rsidR="00E62798" w:rsidRPr="00E62798">
          <w:rPr>
            <w:noProof/>
            <w:vertAlign w:val="superscript"/>
          </w:rPr>
          <w:t>104</w:t>
        </w:r>
      </w:hyperlink>
      <w:r w:rsidR="00E62798" w:rsidRPr="00E62798">
        <w:rPr>
          <w:noProof/>
          <w:vertAlign w:val="superscript"/>
        </w:rPr>
        <w:t xml:space="preserve">; </w:t>
      </w:r>
      <w:hyperlink w:anchor="_ENREF_360" w:tooltip="Grant, 2007 #803" w:history="1">
        <w:r w:rsidR="00E62798" w:rsidRPr="00E62798">
          <w:rPr>
            <w:noProof/>
            <w:vertAlign w:val="superscript"/>
          </w:rPr>
          <w:t>360</w:t>
        </w:r>
      </w:hyperlink>
      <w:r w:rsidR="00E62798" w:rsidRPr="00E62798">
        <w:rPr>
          <w:noProof/>
          <w:vertAlign w:val="superscript"/>
        </w:rPr>
        <w:t xml:space="preserve">; </w:t>
      </w:r>
      <w:hyperlink w:anchor="_ENREF_363" w:tooltip="NHMRC and MoH, 2006 #812" w:history="1">
        <w:r w:rsidR="00E62798" w:rsidRPr="00E62798">
          <w:rPr>
            <w:noProof/>
            <w:vertAlign w:val="superscript"/>
          </w:rPr>
          <w:t>363</w:t>
        </w:r>
      </w:hyperlink>
      <w:r w:rsidR="00E62798">
        <w:fldChar w:fldCharType="end"/>
      </w:r>
    </w:p>
    <w:p w14:paraId="4C13098F" w14:textId="77777777" w:rsidR="00D93C65" w:rsidRDefault="00D93C65" w:rsidP="00D93C65">
      <w:pPr>
        <w:pStyle w:val="Heading4"/>
      </w:pPr>
      <w:r>
        <w:t>Children and adolescents</w:t>
      </w:r>
    </w:p>
    <w:p w14:paraId="11628932" w14:textId="41A2AE23" w:rsidR="00D93C65" w:rsidRDefault="00D93C65" w:rsidP="00D93C65">
      <w:r>
        <w:t>Iron requirements are highest during periods of rapid growth (e.g. in the first 2 years of life and in adolescence). Routine iron supplementation is generally not required in children &gt;</w:t>
      </w:r>
      <w:r w:rsidR="00DF0139">
        <w:t>1 </w:t>
      </w:r>
      <w:r>
        <w:t xml:space="preserve">year of age. </w:t>
      </w:r>
    </w:p>
    <w:p w14:paraId="0C35F944" w14:textId="77777777" w:rsidR="00D93C65" w:rsidRDefault="00D93C65" w:rsidP="00D93C65">
      <w:pPr>
        <w:pStyle w:val="Heading3"/>
      </w:pPr>
      <w:bookmarkStart w:id="232" w:name="_Toc421124133"/>
      <w:bookmarkStart w:id="233" w:name="_Toc427851392"/>
      <w:r>
        <w:t>4.5.2</w:t>
      </w:r>
      <w:r>
        <w:tab/>
        <w:t>Iron deficiency in infants and children</w:t>
      </w:r>
      <w:bookmarkEnd w:id="232"/>
      <w:bookmarkEnd w:id="233"/>
    </w:p>
    <w:p w14:paraId="0F46C1D1" w14:textId="481D9AE5" w:rsidR="00D93C65" w:rsidRDefault="00D93C65" w:rsidP="00D93C65">
      <w:r>
        <w:t>Infants and children with</w:t>
      </w:r>
      <w:r w:rsidR="00225A02">
        <w:t xml:space="preserve"> IDA</w:t>
      </w:r>
      <w:r>
        <w:t xml:space="preserve"> typically present with a subacute or chronic history of progressive pallor, fatigue, irritability, pica, reduced feeding, decreased activity, poor concentration or worsened school performance. Evaluation of a child with iron deficiency should include assessment of possible causes.</w:t>
      </w:r>
    </w:p>
    <w:p w14:paraId="288623E7" w14:textId="18FF3B86" w:rsidR="00D93C65" w:rsidRPr="00DF0139" w:rsidRDefault="00D93C65" w:rsidP="00D93C65">
      <w:pPr>
        <w:pStyle w:val="Heading3"/>
        <w:rPr>
          <w:lang w:val="en-AU"/>
        </w:rPr>
      </w:pPr>
      <w:bookmarkStart w:id="234" w:name="_Toc421124134"/>
      <w:bookmarkStart w:id="235" w:name="_Toc427851393"/>
      <w:r>
        <w:t>4.5.3</w:t>
      </w:r>
      <w:r>
        <w:tab/>
        <w:t xml:space="preserve">Diagnosis of </w:t>
      </w:r>
      <w:bookmarkEnd w:id="234"/>
      <w:r w:rsidR="00DF0139">
        <w:rPr>
          <w:lang w:val="en-AU"/>
        </w:rPr>
        <w:t>IDA</w:t>
      </w:r>
      <w:bookmarkEnd w:id="235"/>
    </w:p>
    <w:p w14:paraId="3D1C1881" w14:textId="6FA30D78" w:rsidR="00D93C65" w:rsidRDefault="00D93C65" w:rsidP="00D93C65">
      <w:r>
        <w:t>Anaemia is defined as a Hb concentration below the lower limit of the normal reference range, and varies according to age and sex</w:t>
      </w:r>
      <w:r>
        <w:rPr>
          <w:lang w:val="en-US"/>
        </w:rPr>
        <w:t xml:space="preserve">. </w:t>
      </w:r>
      <w:r>
        <w:t>Laboratory diagnosis of</w:t>
      </w:r>
      <w:r w:rsidR="00225A02">
        <w:t xml:space="preserve"> IDA</w:t>
      </w:r>
      <w:r>
        <w:t xml:space="preserve"> in paediatric patients must take into consideration age-specific reference ranges for </w:t>
      </w:r>
      <w:r w:rsidR="00333753">
        <w:t>full blood count</w:t>
      </w:r>
      <w:r>
        <w:t xml:space="preserve"> and serum ferritin. It is not appropriate to use adult reference ranges.</w:t>
      </w:r>
    </w:p>
    <w:p w14:paraId="79E4E08E" w14:textId="46EB6346" w:rsidR="00D93C65" w:rsidRDefault="00D93C65" w:rsidP="00D93C65">
      <w:r>
        <w:t xml:space="preserve">Patients with iron deficiency will typically have a reduced </w:t>
      </w:r>
      <w:r w:rsidR="00333753">
        <w:t>mean cell volume (</w:t>
      </w:r>
      <w:r>
        <w:t>MCV</w:t>
      </w:r>
      <w:r w:rsidR="00333753">
        <w:t>)</w:t>
      </w:r>
      <w:r>
        <w:t xml:space="preserve"> and mean corpuscular </w:t>
      </w:r>
      <w:r w:rsidR="0065196D">
        <w:t>Hb</w:t>
      </w:r>
      <w:r>
        <w:t xml:space="preserve"> (MCH). A similar hypochromic microcytosis (with or without anaemia) may also be seen in carriers of </w:t>
      </w:r>
      <w:r w:rsidR="00A41D9F">
        <w:t xml:space="preserve">beta </w:t>
      </w:r>
      <w:r>
        <w:t xml:space="preserve">thalassaemia; therefore, microcytosis should not be used in isolation to diagnose iron deficiency. </w:t>
      </w:r>
    </w:p>
    <w:p w14:paraId="5C87A3AA" w14:textId="72F74040" w:rsidR="00D93C65" w:rsidRDefault="00D93C65" w:rsidP="0065196D">
      <w:r w:rsidRPr="0065196D">
        <w:t>Serum ferritin</w:t>
      </w:r>
      <w:r>
        <w:t xml:space="preserve"> is the most useful screening test to assess iron stores; a reduced serum ferritin (&lt;20 µg/L) indicates inadequate iron stores.</w:t>
      </w:r>
      <w:hyperlink w:anchor="_ENREF_364" w:tooltip=", 2013 #1035" w:history="1">
        <w:r w:rsidR="00E62798">
          <w:fldChar w:fldCharType="begin"/>
        </w:r>
        <w:r w:rsidR="00E62798">
          <w:instrText xml:space="preserve"> ADDIN EN.CITE &lt;EndNote&gt;&lt;Cite ExcludeAuth="1"&gt;&lt;Year&gt;2013&lt;/Year&gt;&lt;RecNum&gt;1035&lt;/RecNum&gt;&lt;DisplayText&gt;&lt;style face="superscript"&gt;364&lt;/style&gt;&lt;/DisplayText&gt;&lt;record&gt;&lt;rec-number&gt;1035&lt;/rec-number&gt;&lt;foreign-keys&gt;&lt;key app="EN" db-id="9edve2wadsavt5ewavaxtda4f2tavzvts9ee" timestamp="1438304592"&gt;1035&lt;/key&gt;&lt;/foreign-keys&gt;&lt;ref-type name="Report"&gt;27&lt;/ref-type&gt;&lt;contributors&gt;&lt;/contributors&gt;&lt;titles&gt;&lt;title&gt;Iron studies standardised reporting protocol&lt;/title&gt;&lt;/titles&gt;&lt;dates&gt;&lt;year&gt;2013&lt;/year&gt;&lt;/dates&gt;&lt;publisher&gt;Royal College of Pathologists of Australasia&lt;/publisher&gt;&lt;urls&gt;&lt;/urls&gt;&lt;/record&gt;&lt;/Cite&gt;&lt;/EndNote&gt;</w:instrText>
        </w:r>
        <w:r w:rsidR="00E62798">
          <w:fldChar w:fldCharType="separate"/>
        </w:r>
        <w:r w:rsidR="00E62798" w:rsidRPr="00E62798">
          <w:rPr>
            <w:noProof/>
            <w:vertAlign w:val="superscript"/>
          </w:rPr>
          <w:t>364</w:t>
        </w:r>
        <w:r w:rsidR="00E62798">
          <w:fldChar w:fldCharType="end"/>
        </w:r>
      </w:hyperlink>
      <w:hyperlink w:anchor="_ENREF_355" w:tooltip="WHO, 2011 #826" w:history="1"/>
      <w:r>
        <w:t xml:space="preserve"> Serum iron levels are highly variable and should not be used to diagnose iron deficiency.</w:t>
      </w:r>
    </w:p>
    <w:p w14:paraId="5A9EA92B" w14:textId="24D29975" w:rsidR="00D93C65" w:rsidRPr="004B247B" w:rsidRDefault="00D93C65" w:rsidP="00D93C65">
      <w:r>
        <w:t>Serum ferritin is an acute-phase reactant, and a normal result does not exclude iron deficiency in the presence of coexisting infection, inflammation or liver disease. Concurrent assessment of the C-reactive protein can be useful to exclude concurrent inflammation. Serum ferritin levels of &lt;50 µg/L should raise suspicion of iron deficiency in children with chronic disease and in high-risk populations such as Indigenous Australians.</w:t>
      </w:r>
      <w:hyperlink w:anchor="_ENREF_365" w:tooltip="Ritchie, 2004 #819" w:history="1">
        <w:r w:rsidR="00E62798">
          <w:fldChar w:fldCharType="begin"/>
        </w:r>
        <w:r w:rsidR="00E62798">
          <w:instrText xml:space="preserve"> ADDIN EN.CITE &lt;EndNote&gt;&lt;Cite&gt;&lt;Author&gt;Ritchie&lt;/Author&gt;&lt;Year&gt;2004&lt;/Year&gt;&lt;RecNum&gt;819&lt;/RecNum&gt;&lt;DisplayText&gt;&lt;style face="superscript"&gt;365&lt;/style&gt;&lt;/DisplayText&gt;&lt;record&gt;&lt;rec-number&gt;819&lt;/rec-number&gt;&lt;foreign-keys&gt;&lt;key app="EN" db-id="9edve2wadsavt5ewavaxtda4f2tavzvts9ee" timestamp="1433318852"&gt;819&lt;/key&gt;&lt;/foreign-keys&gt;&lt;ref-type name="Journal Article"&gt;17&lt;/ref-type&gt;&lt;contributors&gt;&lt;authors&gt;&lt;author&gt;Ritchie, B.&lt;/author&gt;&lt;author&gt;McNeil, Y.&lt;/author&gt;&lt;author&gt;Brewster, D. R.&lt;/author&gt;&lt;/authors&gt;&lt;/contributors&gt;&lt;titles&gt;&lt;title&gt;Soluble transferrin receptor in Aboriginal children with a high prevalence of iron deficiency and infection&lt;/title&gt;&lt;secondary-title&gt;Tropical Medicine &amp;amp; International Health&lt;/secondary-title&gt;&lt;alt-title&gt;Trop. Med. Int. Health&lt;/alt-title&gt;&lt;/titles&gt;&lt;periodical&gt;&lt;full-title&gt;Tropical Medicine &amp;amp; International Health&lt;/full-title&gt;&lt;abbr-1&gt;Trop. Med. Int. Health&lt;/abbr-1&gt;&lt;/periodical&gt;&lt;alt-periodical&gt;&lt;full-title&gt;Tropical Medicine &amp;amp; International Health&lt;/full-title&gt;&lt;abbr-1&gt;Trop. Med. Int. Health&lt;/abbr-1&gt;&lt;/alt-periodical&gt;&lt;pages&gt;96–105&lt;/pages&gt;&lt;volume&gt;9&lt;/volume&gt;&lt;number&gt;1&lt;/number&gt;&lt;dates&gt;&lt;year&gt;2004&lt;/year&gt;&lt;/dates&gt;&lt;isbn&gt;1360-2276&lt;/isbn&gt;&lt;urls&gt;&lt;related-urls&gt;&lt;url&gt;http://onlinelibrary.wiley.com/store/10.1046/j.1365-3156.2003.01158.x/asset/j.1365-3156.2003.01158.x.pdf?v=1&amp;amp;t=iagfxhob&amp;amp;s=aeb4635832e92066da78409712e07e6d6a90810f&lt;/url&gt;&lt;/related-urls&gt;&lt;/urls&gt;&lt;electronic-resource-num&gt;DOI:10.1046/j.1365-3156.2003.01158.x&lt;/electronic-resource-num&gt;&lt;/record&gt;&lt;/Cite&gt;&lt;/EndNote&gt;</w:instrText>
        </w:r>
        <w:r w:rsidR="00E62798">
          <w:fldChar w:fldCharType="separate"/>
        </w:r>
        <w:r w:rsidR="00E62798" w:rsidRPr="00E62798">
          <w:rPr>
            <w:noProof/>
            <w:vertAlign w:val="superscript"/>
          </w:rPr>
          <w:t>365</w:t>
        </w:r>
        <w:r w:rsidR="00E62798">
          <w:fldChar w:fldCharType="end"/>
        </w:r>
      </w:hyperlink>
    </w:p>
    <w:p w14:paraId="13CCAC7E" w14:textId="77777777" w:rsidR="00D93C65" w:rsidRDefault="00D93C65" w:rsidP="00D93C65">
      <w:pPr>
        <w:pStyle w:val="Heading3"/>
      </w:pPr>
      <w:bookmarkStart w:id="236" w:name="_Toc421124135"/>
      <w:bookmarkStart w:id="237" w:name="_Toc427851394"/>
      <w:r>
        <w:t>4.5.4</w:t>
      </w:r>
      <w:r>
        <w:tab/>
        <w:t>Iron therapy in infants, children and adolescents</w:t>
      </w:r>
      <w:bookmarkEnd w:id="236"/>
      <w:bookmarkEnd w:id="237"/>
    </w:p>
    <w:p w14:paraId="2E021765" w14:textId="02AB5B0C" w:rsidR="00D93C65" w:rsidRDefault="00D93C65" w:rsidP="00D93C65">
      <w:r>
        <w:t>There is a lack of RCTs on the treatment of</w:t>
      </w:r>
      <w:r w:rsidR="00225A02">
        <w:t xml:space="preserve"> IDA</w:t>
      </w:r>
      <w:r>
        <w:t xml:space="preserve"> in the paediatric population. Trials that are focused on the iron formulation, dose, adverse effects, adherence and total length of therapy are needed to better inform treatment decisions.</w:t>
      </w:r>
      <w:hyperlink w:anchor="_ENREF_366" w:tooltip="Powers, 2014 #830" w:history="1">
        <w:r w:rsidR="00E62798">
          <w:fldChar w:fldCharType="begin"/>
        </w:r>
        <w:r w:rsidR="00E62798">
          <w:instrText xml:space="preserve"> ADDIN EN.CITE &lt;EndNote&gt;&lt;Cite&gt;&lt;Author&gt;Powers&lt;/Author&gt;&lt;Year&gt;2014&lt;/Year&gt;&lt;RecNum&gt;830&lt;/RecNum&gt;&lt;DisplayText&gt;&lt;style face="superscript"&gt;366&lt;/style&gt;&lt;/DisplayText&gt;&lt;record&gt;&lt;rec-number&gt;830&lt;/rec-number&gt;&lt;foreign-keys&gt;&lt;key app="EN" db-id="9edve2wadsavt5ewavaxtda4f2tavzvts9ee" timestamp="1433384547"&gt;830&lt;/key&gt;&lt;/foreign-keys&gt;&lt;ref-type name="Journal Article"&gt;17&lt;/ref-type&gt;&lt;contributors&gt;&lt;authors&gt;&lt;author&gt;Powers, J. M.&lt;/author&gt;&lt;author&gt;Buchanan, G. R.&lt;/author&gt;&lt;/authors&gt;&lt;/contributors&gt;&lt;auth-address&gt;Pediatric Hematology-Oncology, University of Texas Southwestern Medical Center, 5323 Harry Hines Boulevard, Dallas, TX 75390-9063, USA.&amp;#xD;Pediatric Hematology-Oncology, University of Texas Southwestern Medical Center, 5323 Harry Hines Boulevard, Dallas, TX 75390-9063, USA. Electronic address: george.buchanan@utsouthwestern.edu.&lt;/auth-address&gt;&lt;titles&gt;&lt;title&gt;Diagnosis and management of iron deficiency anemia&lt;/title&gt;&lt;secondary-title&gt;Hematol Oncol Clin North Am&lt;/secondary-title&gt;&lt;/titles&gt;&lt;periodical&gt;&lt;full-title&gt;Hematol Oncol Clin North Am&lt;/full-title&gt;&lt;/periodical&gt;&lt;pages&gt;729–45, vi–vii&lt;/pages&gt;&lt;volume&gt;28&lt;/volume&gt;&lt;number&gt;4&lt;/number&gt;&lt;keywords&gt;&lt;keyword&gt;Anemia, Iron-Deficiency/*diagnosis/*therapy&lt;/keyword&gt;&lt;keyword&gt;Disease Management&lt;/keyword&gt;&lt;keyword&gt;Humans&lt;/keyword&gt;&lt;keyword&gt;Anemia&lt;/keyword&gt;&lt;keyword&gt;Deficiency&lt;/keyword&gt;&lt;keyword&gt;Ida&lt;/keyword&gt;&lt;keyword&gt;Iron&lt;/keyword&gt;&lt;keyword&gt;Microcytic&lt;/keyword&gt;&lt;keyword&gt;Therapy&lt;/keyword&gt;&lt;/keywords&gt;&lt;dates&gt;&lt;year&gt;2014&lt;/year&gt;&lt;pub-dates&gt;&lt;date&gt;Aug&lt;/date&gt;&lt;/pub-dates&gt;&lt;/dates&gt;&lt;isbn&gt;1558-1977 (Electronic)&amp;#xD;0889-8588 (Linking)&lt;/isbn&gt;&lt;accession-num&gt;25064710&lt;/accession-num&gt;&lt;urls&gt;&lt;related-urls&gt;&lt;url&gt;http://www.ncbi.nlm.nih.gov/pubmed/25064710&lt;/url&gt;&lt;/related-urls&gt;&lt;/urls&gt;&lt;electronic-resource-num&gt;10.1016/j.hoc.2014.04.007&lt;/electronic-resource-num&gt;&lt;/record&gt;&lt;/Cite&gt;&lt;/EndNote&gt;</w:instrText>
        </w:r>
        <w:r w:rsidR="00E62798">
          <w:fldChar w:fldCharType="separate"/>
        </w:r>
        <w:r w:rsidR="00E62798" w:rsidRPr="00E62798">
          <w:rPr>
            <w:noProof/>
            <w:vertAlign w:val="superscript"/>
          </w:rPr>
          <w:t>366</w:t>
        </w:r>
        <w:r w:rsidR="00E62798">
          <w:fldChar w:fldCharType="end"/>
        </w:r>
      </w:hyperlink>
    </w:p>
    <w:p w14:paraId="21484B52" w14:textId="21524B7F" w:rsidR="00D93C65" w:rsidRDefault="00D93C65" w:rsidP="00D93C65">
      <w:pPr>
        <w:rPr>
          <w:vertAlign w:val="superscript"/>
        </w:rPr>
      </w:pPr>
      <w:r>
        <w:t>RBC transfusion is rarely indicated solely for treatment of</w:t>
      </w:r>
      <w:r w:rsidR="00225A02">
        <w:t xml:space="preserve"> IDA</w:t>
      </w:r>
      <w:r>
        <w:t>, and should be limited to cases with haemodynamic compromise. All patients with</w:t>
      </w:r>
      <w:r w:rsidR="00225A02">
        <w:t xml:space="preserve"> IDA</w:t>
      </w:r>
      <w:r>
        <w:t>, whether or not transfused, should have iron supplementation,</w:t>
      </w:r>
      <w:r w:rsidR="00225A02">
        <w:t xml:space="preserve"> to both</w:t>
      </w:r>
      <w:r>
        <w:t xml:space="preserve"> correct anaemia and replenish body stores.</w:t>
      </w:r>
      <w:hyperlink w:anchor="_ENREF_367" w:tooltip="Gastroenterological Society of Australia, 2008. #829" w:history="1">
        <w:r w:rsidR="00E62798">
          <w:fldChar w:fldCharType="begin">
            <w:fldData xml:space="preserve">PEVuZE5vdGU+PENpdGU+PEF1dGhvcj5HYXN0cm9lbnRlcm9sb2dpY2FsIFNvY2lldHkgb2YgQXVz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dGl0bGU+PGFiYnItMT5HdXQ8L2FiYnItMT48L2FsdC1wZXJpb2RpY2FsPjxwYWdlcz4xMzA54oCT
MTMxNjwvcGFnZXM+PHZvbHVtZT42MDwvdm9sdW1lPjxudW1iZXI+MTA8L251bWJlcj48ZGF0ZXM+
PHllYXI+MjAxMTwveWVhcj48L2RhdGVzPjxpc2JuPjAwMTctNTc0OTwvaXNibj48dXJscz48cmVs
YXRlZC11cmxzPjx1cmw+aHR0cDovL2d1dC5ibWouY29tL2NvbnRlbnQvNjAvMTAvMTMwOS5mdWxs
LnBkZjwvdXJsPjwvcmVsYXRlZC11cmxzPjwvdXJscz48ZWxlY3Ryb25pYy1yZXNvdXJjZS1udW0+
RE9JOjEwLjExMzYvZ3V0LjIwMTAuMjI4ODc0PC9lbGVjdHJvbmljLXJlc291cmNlLW51bT48L3Jl
Y29yZD48L0NpdGU+PC9FbmROb3RlPn==
</w:fldData>
          </w:fldChar>
        </w:r>
        <w:r w:rsidR="00E62798">
          <w:instrText xml:space="preserve"> ADDIN EN.CITE </w:instrText>
        </w:r>
        <w:r w:rsidR="00E62798">
          <w:fldChar w:fldCharType="begin">
            <w:fldData xml:space="preserve">PEVuZE5vdGU+PENpdGU+PEF1dGhvcj5HYXN0cm9lbnRlcm9sb2dpY2FsIFNvY2lldHkgb2YgQXVz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dGl0bGU+PGFiYnItMT5HdXQ8L2FiYnItMT48L2FsdC1wZXJpb2RpY2FsPjxwYWdlcz4xMzA54oCT
MTMxNjwvcGFnZXM+PHZvbHVtZT42MDwvdm9sdW1lPjxudW1iZXI+MTA8L251bWJlcj48ZGF0ZXM+
PHllYXI+MjAxMTwveWVhcj48L2RhdGVzPjxpc2JuPjAwMTctNTc0OTwvaXNibj48dXJscz48cmVs
YXRlZC11cmxzPjx1cmw+aHR0cDovL2d1dC5ibWouY29tL2NvbnRlbnQvNjAvMTAvMTMwOS5mdWxs
LnBkZjwvdXJsPjwvcmVsYXRlZC11cmxzPjwvdXJscz48ZWxlY3Ryb25pYy1yZXNvdXJjZS1udW0+
RE9JOjEwLjExMzYvZ3V0LjIwMTAuMjI4ODc0PC9lbGVjdHJvbmljLXJlc291cmNlLW51bT48L3Jl
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367-369</w:t>
        </w:r>
        <w:r w:rsidR="00E62798">
          <w:fldChar w:fldCharType="end"/>
        </w:r>
      </w:hyperlink>
    </w:p>
    <w:p w14:paraId="6D7E4328" w14:textId="77777777" w:rsidR="00D93C65" w:rsidRPr="004B247B" w:rsidRDefault="00D93C65" w:rsidP="00D93C65">
      <w:pPr>
        <w:pStyle w:val="Heading4"/>
      </w:pPr>
      <w:r>
        <w:t>Iron supplementation options</w:t>
      </w:r>
    </w:p>
    <w:p w14:paraId="1FE3427B" w14:textId="77777777" w:rsidR="00D93C65" w:rsidRDefault="00D93C65" w:rsidP="00D93C65">
      <w:pPr>
        <w:pStyle w:val="Heading5"/>
      </w:pPr>
      <w:r>
        <w:t>Dietary therapy</w:t>
      </w:r>
    </w:p>
    <w:p w14:paraId="6C7A205A" w14:textId="22BAE9A2" w:rsidR="00D93C65" w:rsidRDefault="00D93C65" w:rsidP="00D93C65">
      <w:r>
        <w:t>Iron deficiency in infants and toddlers is primarily a nutritional disorder.</w:t>
      </w:r>
      <w:hyperlink w:anchor="_ENREF_360" w:tooltip="Grant, 2007 #803" w:history="1">
        <w:r w:rsidR="00E62798">
          <w:fldChar w:fldCharType="begin"/>
        </w:r>
        <w:r w:rsidR="00E62798">
          <w:instrText xml:space="preserve"> ADDIN EN.CITE &lt;EndNote&gt;&lt;Cite&gt;&lt;Author&gt;Grant&lt;/Author&gt;&lt;Year&gt;2007&lt;/Year&gt;&lt;RecNum&gt;803&lt;/RecNum&gt;&lt;DisplayText&gt;&lt;style face="superscript"&gt;360&lt;/style&gt;&lt;/DisplayText&gt;&lt;record&gt;&lt;rec-number&gt;803&lt;/rec-number&gt;&lt;foreign-keys&gt;&lt;key app="EN" db-id="9edve2wadsavt5ewavaxtda4f2tavzvts9ee" timestamp="1433318852"&gt;803&lt;/key&gt;&lt;/foreign-keys&gt;&lt;ref-type name="Journal Article"&gt;17&lt;/ref-type&gt;&lt;contributors&gt;&lt;authors&gt;&lt;author&gt;Grant, C. C.&lt;/author&gt;&lt;author&gt;Wall, C. R.&lt;/author&gt;&lt;author&gt;Brewster, D.&lt;/author&gt;&lt;author&gt;Nicholson, R.&lt;/author&gt;&lt;author&gt;Whitehall, J.&lt;/author&gt;&lt;author&gt;Super, L.&lt;/author&gt;&lt;author&gt;Pitcher, L.&lt;/author&gt;&lt;/authors&gt;&lt;/contributors&gt;&lt;auth-address&gt;Department of Paediatrics, University of Auckland, Auckland, New Zealand. cc.grant@auckland.ac.nz&lt;/auth-address&gt;&lt;titles&gt;&lt;title&gt;Policy statement on iron deficiency in pre-school-aged children&lt;/title&gt;&lt;secondary-title&gt;J Paediatr Child Health&lt;/secondary-title&gt;&lt;/titles&gt;&lt;periodical&gt;&lt;full-title&gt;J Paediatr Child Health&lt;/full-title&gt;&lt;/periodical&gt;&lt;pages&gt;513–21&lt;/pages&gt;&lt;volume&gt;43&lt;/volume&gt;&lt;number&gt;7-8&lt;/number&gt;&lt;keywords&gt;&lt;keyword&gt;*Anemia, Iron-Deficiency/blood/diet therapy/prevention &amp;amp; control&lt;/keyword&gt;&lt;keyword&gt;Australia&lt;/keyword&gt;&lt;keyword&gt;Child, Preschool&lt;/keyword&gt;&lt;keyword&gt;Female&lt;/keyword&gt;&lt;keyword&gt;Ferrous Compounds/therapeutic use&lt;/keyword&gt;&lt;keyword&gt;*Health Policy&lt;/keyword&gt;&lt;keyword&gt;Humans&lt;/keyword&gt;&lt;keyword&gt;Infant&lt;/keyword&gt;&lt;keyword&gt;Infant Nutritional Physiological Phenomena&lt;/keyword&gt;&lt;keyword&gt;Infant, Newborn&lt;/keyword&gt;&lt;keyword&gt;Iron, Dietary/administration &amp;amp; dosage&lt;/keyword&gt;&lt;keyword&gt;Male&lt;/keyword&gt;&lt;keyword&gt;New Zealand&lt;/keyword&gt;&lt;keyword&gt;Practice Guidelines as Topic&lt;/keyword&gt;&lt;keyword&gt;Pregnancy&lt;/keyword&gt;&lt;keyword&gt;Prenatal Care&lt;/keyword&gt;&lt;/keywords&gt;&lt;dates&gt;&lt;year&gt;2007&lt;/year&gt;&lt;pub-dates&gt;&lt;date&gt;Jul-Aug&lt;/date&gt;&lt;/pub-dates&gt;&lt;/dates&gt;&lt;isbn&gt;1034-4810 (Print)&amp;#xD;1034-4810 (Linking)&lt;/isbn&gt;&lt;accession-num&gt;17635678&lt;/accession-num&gt;&lt;urls&gt;&lt;related-urls&gt;&lt;url&gt;http://www.ncbi.nlm.nih.gov/pubmed/17635678&lt;/url&gt;&lt;/related-urls&gt;&lt;/urls&gt;&lt;electronic-resource-num&gt;10.1111/j.1440-1754.2007.01128.x&lt;/electronic-resource-num&gt;&lt;/record&gt;&lt;/Cite&gt;&lt;/EndNote&gt;</w:instrText>
        </w:r>
        <w:r w:rsidR="00E62798">
          <w:fldChar w:fldCharType="separate"/>
        </w:r>
        <w:r w:rsidR="00E62798" w:rsidRPr="00E62798">
          <w:rPr>
            <w:noProof/>
            <w:vertAlign w:val="superscript"/>
          </w:rPr>
          <w:t>360</w:t>
        </w:r>
        <w:r w:rsidR="00E62798">
          <w:fldChar w:fldCharType="end"/>
        </w:r>
      </w:hyperlink>
      <w:r>
        <w:t xml:space="preserve"> Hence, measures to improve dietary intake of iron-rich foods are fundamental.</w:t>
      </w:r>
      <w:hyperlink w:anchor="_ENREF_360" w:tooltip="Grant, 2007 #803" w:history="1">
        <w:r w:rsidR="00E62798">
          <w:fldChar w:fldCharType="begin"/>
        </w:r>
        <w:r w:rsidR="00E62798">
          <w:instrText xml:space="preserve"> ADDIN EN.CITE &lt;EndNote&gt;&lt;Cite&gt;&lt;Author&gt;Grant&lt;/Author&gt;&lt;Year&gt;2007&lt;/Year&gt;&lt;RecNum&gt;803&lt;/RecNum&gt;&lt;DisplayText&gt;&lt;style face="superscript"&gt;360&lt;/style&gt;&lt;/DisplayText&gt;&lt;record&gt;&lt;rec-number&gt;803&lt;/rec-number&gt;&lt;foreign-keys&gt;&lt;key app="EN" db-id="9edve2wadsavt5ewavaxtda4f2tavzvts9ee" timestamp="1433318852"&gt;803&lt;/key&gt;&lt;/foreign-keys&gt;&lt;ref-type name="Journal Article"&gt;17&lt;/ref-type&gt;&lt;contributors&gt;&lt;authors&gt;&lt;author&gt;Grant, C. C.&lt;/author&gt;&lt;author&gt;Wall, C. R.&lt;/author&gt;&lt;author&gt;Brewster, D.&lt;/author&gt;&lt;author&gt;Nicholson, R.&lt;/author&gt;&lt;author&gt;Whitehall, J.&lt;/author&gt;&lt;author&gt;Super, L.&lt;/author&gt;&lt;author&gt;Pitcher, L.&lt;/author&gt;&lt;/authors&gt;&lt;/contributors&gt;&lt;auth-address&gt;Department of Paediatrics, University of Auckland, Auckland, New Zealand. cc.grant@auckland.ac.nz&lt;/auth-address&gt;&lt;titles&gt;&lt;title&gt;Policy statement on iron deficiency in pre-school-aged children&lt;/title&gt;&lt;secondary-title&gt;J Paediatr Child Health&lt;/secondary-title&gt;&lt;/titles&gt;&lt;periodical&gt;&lt;full-title&gt;J Paediatr Child Health&lt;/full-title&gt;&lt;/periodical&gt;&lt;pages&gt;513–21&lt;/pages&gt;&lt;volume&gt;43&lt;/volume&gt;&lt;number&gt;7-8&lt;/number&gt;&lt;keywords&gt;&lt;keyword&gt;*Anemia, Iron-Deficiency/blood/diet therapy/prevention &amp;amp; control&lt;/keyword&gt;&lt;keyword&gt;Australia&lt;/keyword&gt;&lt;keyword&gt;Child, Preschool&lt;/keyword&gt;&lt;keyword&gt;Female&lt;/keyword&gt;&lt;keyword&gt;Ferrous Compounds/therapeutic use&lt;/keyword&gt;&lt;keyword&gt;*Health Policy&lt;/keyword&gt;&lt;keyword&gt;Humans&lt;/keyword&gt;&lt;keyword&gt;Infant&lt;/keyword&gt;&lt;keyword&gt;Infant Nutritional Physiological Phenomena&lt;/keyword&gt;&lt;keyword&gt;Infant, Newborn&lt;/keyword&gt;&lt;keyword&gt;Iron, Dietary/administration &amp;amp; dosage&lt;/keyword&gt;&lt;keyword&gt;Male&lt;/keyword&gt;&lt;keyword&gt;New Zealand&lt;/keyword&gt;&lt;keyword&gt;Practice Guidelines as Topic&lt;/keyword&gt;&lt;keyword&gt;Pregnancy&lt;/keyword&gt;&lt;keyword&gt;Prenatal Care&lt;/keyword&gt;&lt;/keywords&gt;&lt;dates&gt;&lt;year&gt;2007&lt;/year&gt;&lt;pub-dates&gt;&lt;date&gt;Jul-Aug&lt;/date&gt;&lt;/pub-dates&gt;&lt;/dates&gt;&lt;isbn&gt;1034-4810 (Print)&amp;#xD;1034-4810 (Linking)&lt;/isbn&gt;&lt;accession-num&gt;17635678&lt;/accession-num&gt;&lt;urls&gt;&lt;related-urls&gt;&lt;url&gt;http://www.ncbi.nlm.nih.gov/pubmed/17635678&lt;/url&gt;&lt;/related-urls&gt;&lt;/urls&gt;&lt;electronic-resource-num&gt;10.1111/j.1440-1754.2007.01128.x&lt;/electronic-resource-num&gt;&lt;/record&gt;&lt;/Cite&gt;&lt;/EndNote&gt;</w:instrText>
        </w:r>
        <w:r w:rsidR="00E62798">
          <w:fldChar w:fldCharType="separate"/>
        </w:r>
        <w:r w:rsidR="00E62798" w:rsidRPr="00E62798">
          <w:rPr>
            <w:noProof/>
            <w:vertAlign w:val="superscript"/>
          </w:rPr>
          <w:t>360</w:t>
        </w:r>
        <w:r w:rsidR="00E62798">
          <w:fldChar w:fldCharType="end"/>
        </w:r>
      </w:hyperlink>
      <w:r w:rsidRPr="00860FAB">
        <w:rPr>
          <w:rFonts w:cstheme="minorHAnsi"/>
        </w:rPr>
        <w:t xml:space="preserve"> </w:t>
      </w:r>
      <w:r>
        <w:rPr>
          <w:rFonts w:cstheme="minorHAnsi"/>
        </w:rPr>
        <w:t>Dietary changes alone are usually inadequate to treat</w:t>
      </w:r>
      <w:r w:rsidR="00225A02">
        <w:rPr>
          <w:rFonts w:cstheme="minorHAnsi"/>
        </w:rPr>
        <w:t xml:space="preserve"> </w:t>
      </w:r>
      <w:r w:rsidR="00225A02">
        <w:t>IDA</w:t>
      </w:r>
      <w:r>
        <w:rPr>
          <w:rFonts w:cstheme="minorHAnsi"/>
        </w:rPr>
        <w:t>.</w:t>
      </w:r>
      <w:hyperlink w:anchor="_ENREF_368" w:tooltip="Pasricha, 2010 #815" w:history="1">
        <w:r w:rsidR="00E62798">
          <w:rPr>
            <w:rFonts w:cstheme="minorHAnsi"/>
          </w:rPr>
          <w:fldChar w:fldCharType="begin"/>
        </w:r>
        <w:r w:rsidR="00E62798">
          <w:rPr>
            <w:rFonts w:cstheme="minorHAnsi"/>
          </w:rPr>
          <w:instrText xml:space="preserve"> ADDIN EN.CITE &lt;EndNote&gt;&lt;Cite&gt;&lt;Author&gt;Pasricha&lt;/Author&gt;&lt;Year&gt;2010&lt;/Year&gt;&lt;RecNum&gt;815&lt;/RecNum&gt;&lt;DisplayText&gt;&lt;style face="superscript"&gt;368&lt;/style&gt;&lt;/DisplayText&gt;&lt;record&gt;&lt;rec-number&gt;815&lt;/rec-number&gt;&lt;foreign-keys&gt;&lt;key app="EN" db-id="9edve2wadsavt5ewavaxtda4f2tavzvts9ee" timestamp="1433318852"&gt;815&lt;/key&gt;&lt;/foreign-keys&gt;&lt;ref-type name="Journal Article"&gt;17&lt;/ref-type&gt;&lt;contributors&gt;&lt;authors&gt;&lt;author&gt;Pasricha, S. R.&lt;/author&gt;&lt;author&gt;Flecknoe-Brown, S. C.&lt;/author&gt;&lt;author&gt;Allen, K. J.&lt;/author&gt;&lt;author&gt;Gibson, P. R.&lt;/author&gt;&lt;author&gt;McMahon, L. P.&lt;/author&gt;&lt;author&gt;Olynyk, J. K.&lt;/author&gt;&lt;author&gt;Roger, S. D.&lt;/author&gt;&lt;author&gt;Savoia, H. F.&lt;/author&gt;&lt;author&gt;Tampi, R.&lt;/author&gt;&lt;author&gt;Thomson, A. R.&lt;/author&gt;&lt;author&gt;Wood, E. M.&lt;/author&gt;&lt;author&gt;Robinson, K. L.&lt;/author&gt;&lt;/authors&gt;&lt;/contributors&gt;&lt;auth-address&gt;Royal Melbourne Hospital, Melbourne, VIC, Australia.&lt;/auth-address&gt;&lt;titles&gt;&lt;title&gt;Diagnosis and management of iron deficiency anaemia: a clinical update&lt;/title&gt;&lt;secondary-title&gt;Med J Aust&lt;/secondary-title&gt;&lt;/titles&gt;&lt;periodical&gt;&lt;full-title&gt;Med J Aust&lt;/full-title&gt;&lt;/periodical&gt;&lt;pages&gt;525–32&lt;/pages&gt;&lt;volume&gt;193&lt;/volume&gt;&lt;number&gt;9&lt;/number&gt;&lt;keywords&gt;&lt;keyword&gt;Anemia, Iron-Deficiency/complications/*diagnosis/etiology/*therapy&lt;/keyword&gt;&lt;keyword&gt;Biological Markers/blood&lt;/keyword&gt;&lt;keyword&gt;Bone Marrow/metabolism&lt;/keyword&gt;&lt;keyword&gt;Erythrocyte Transfusion&lt;/keyword&gt;&lt;keyword&gt;Ferritins/blood&lt;/keyword&gt;&lt;keyword&gt;Humans&lt;/keyword&gt;&lt;keyword&gt;Iron/metabolism&lt;/keyword&gt;&lt;keyword&gt;Iron Compounds/administration &amp;amp; dosage&lt;/keyword&gt;&lt;keyword&gt;Nutritional Requirements&lt;/keyword&gt;&lt;keyword&gt;Receptors, Transferrin/blood&lt;/keyword&gt;&lt;/keywords&gt;&lt;dates&gt;&lt;year&gt;2010&lt;/year&gt;&lt;pub-dates&gt;&lt;date&gt;Nov 1&lt;/date&gt;&lt;/pub-dates&gt;&lt;/dates&gt;&lt;isbn&gt;0025-729X (Print)&amp;#xD;0025-729X (Linking)&lt;/isbn&gt;&lt;accession-num&gt;21034387&lt;/accession-num&gt;&lt;urls&gt;&lt;related-urls&gt;&lt;url&gt;http://www.ncbi.nlm.nih.gov/pubmed/21034387&lt;/url&gt;&lt;/related-urls&gt;&lt;/urls&gt;&lt;/record&gt;&lt;/Cite&gt;&lt;/EndNote&gt;</w:instrText>
        </w:r>
        <w:r w:rsidR="00E62798">
          <w:rPr>
            <w:rFonts w:cstheme="minorHAnsi"/>
          </w:rPr>
          <w:fldChar w:fldCharType="separate"/>
        </w:r>
        <w:r w:rsidR="00E62798" w:rsidRPr="00E62798">
          <w:rPr>
            <w:rFonts w:cstheme="minorHAnsi"/>
            <w:noProof/>
            <w:vertAlign w:val="superscript"/>
          </w:rPr>
          <w:t>368</w:t>
        </w:r>
        <w:r w:rsidR="00E62798">
          <w:rPr>
            <w:rFonts w:cstheme="minorHAnsi"/>
          </w:rPr>
          <w:fldChar w:fldCharType="end"/>
        </w:r>
      </w:hyperlink>
    </w:p>
    <w:p w14:paraId="24381B53" w14:textId="491ED169" w:rsidR="00D93C65" w:rsidRDefault="00D93C65" w:rsidP="00D93C65">
      <w:pPr>
        <w:rPr>
          <w:rFonts w:cstheme="minorHAnsi"/>
        </w:rPr>
      </w:pPr>
      <w:r>
        <w:t>Standard cow’s milk, goat’s milk and soy milk have a low iron content and should not be offered to infants under 12 months of age.</w:t>
      </w:r>
      <w:hyperlink w:anchor="_ENREF_359" w:tooltip="Domellof, 2014 #798" w:history="1">
        <w:r w:rsidR="00E62798">
          <w:fldChar w:fldCharType="begin"/>
        </w:r>
        <w:r w:rsidR="00E62798">
          <w:instrText xml:space="preserve"> ADDIN EN.CITE &lt;EndNote&gt;&lt;Cite&gt;&lt;Author&gt;Domellof&lt;/Author&gt;&lt;Year&gt;2014&lt;/Year&gt;&lt;RecNum&gt;798&lt;/RecNum&gt;&lt;DisplayText&gt;&lt;style face="superscript"&gt;359&lt;/style&gt;&lt;/DisplayText&gt;&lt;record&gt;&lt;rec-number&gt;798&lt;/rec-number&gt;&lt;foreign-keys&gt;&lt;key app="EN" db-id="9edve2wadsavt5ewavaxtda4f2tavzvts9ee" timestamp="1433318852"&gt;798&lt;/key&gt;&lt;/foreign-keys&gt;&lt;ref-type name="Journal Article"&gt;17&lt;/ref-type&gt;&lt;contributors&gt;&lt;authors&gt;&lt;author&gt;Domellof, M.&lt;/author&gt;&lt;author&gt;Braegger, C.&lt;/author&gt;&lt;author&gt;Campoy, C.&lt;/author&gt;&lt;author&gt;Colomb, V.&lt;/author&gt;&lt;author&gt;Decsi, T.&lt;/author&gt;&lt;author&gt;Fewtrell, M.&lt;/author&gt;&lt;author&gt;Hojsak, I.&lt;/author&gt;&lt;author&gt;Mihatsch, W.&lt;/author&gt;&lt;author&gt;Molgaard, C.&lt;/author&gt;&lt;author&gt;Shamir, R.&lt;/author&gt;&lt;author&gt;Turck, D.&lt;/author&gt;&lt;author&gt;van Goudoever, J.&lt;/author&gt;&lt;author&gt;Espghan Committee on Nutrition&lt;/author&gt;&lt;/authors&gt;&lt;/contributors&gt;&lt;titles&gt;&lt;title&gt;Iron requirements of infants and toddlers&lt;/title&gt;&lt;/titles&gt;&lt;pages&gt;119–129&lt;/pages&gt;&lt;volume&gt;58&lt;/volume&gt;&lt;number&gt;1&lt;/number&gt;&lt;dates&gt;&lt;year&gt;2014&lt;/year&gt;&lt;/dates&gt;&lt;isbn&gt;1536-4801&lt;/isbn&gt;&lt;urls&gt;&lt;/urls&gt;&lt;/record&gt;&lt;/Cite&gt;&lt;/EndNote&gt;</w:instrText>
        </w:r>
        <w:r w:rsidR="00E62798">
          <w:fldChar w:fldCharType="separate"/>
        </w:r>
        <w:r w:rsidR="00E62798" w:rsidRPr="00E62798">
          <w:rPr>
            <w:noProof/>
            <w:vertAlign w:val="superscript"/>
          </w:rPr>
          <w:t>359</w:t>
        </w:r>
        <w:r w:rsidR="00E62798">
          <w:fldChar w:fldCharType="end"/>
        </w:r>
      </w:hyperlink>
      <w:r>
        <w:t xml:space="preserve"> From 12 months of age, cow’s milk intake should not exceed 500 mL per day.</w:t>
      </w:r>
      <w:hyperlink w:anchor="_ENREF_359" w:tooltip="Domellof, 2014 #798" w:history="1">
        <w:r w:rsidR="00E62798">
          <w:fldChar w:fldCharType="begin"/>
        </w:r>
        <w:r w:rsidR="00E62798">
          <w:instrText xml:space="preserve"> ADDIN EN.CITE &lt;EndNote&gt;&lt;Cite&gt;&lt;Author&gt;Domellof&lt;/Author&gt;&lt;Year&gt;2014&lt;/Year&gt;&lt;RecNum&gt;798&lt;/RecNum&gt;&lt;DisplayText&gt;&lt;style face="superscript"&gt;359&lt;/style&gt;&lt;/DisplayText&gt;&lt;record&gt;&lt;rec-number&gt;798&lt;/rec-number&gt;&lt;foreign-keys&gt;&lt;key app="EN" db-id="9edve2wadsavt5ewavaxtda4f2tavzvts9ee" timestamp="1433318852"&gt;798&lt;/key&gt;&lt;/foreign-keys&gt;&lt;ref-type name="Journal Article"&gt;17&lt;/ref-type&gt;&lt;contributors&gt;&lt;authors&gt;&lt;author&gt;Domellof, M.&lt;/author&gt;&lt;author&gt;Braegger, C.&lt;/author&gt;&lt;author&gt;Campoy, C.&lt;/author&gt;&lt;author&gt;Colomb, V.&lt;/author&gt;&lt;author&gt;Decsi, T.&lt;/author&gt;&lt;author&gt;Fewtrell, M.&lt;/author&gt;&lt;author&gt;Hojsak, I.&lt;/author&gt;&lt;author&gt;Mihatsch, W.&lt;/author&gt;&lt;author&gt;Molgaard, C.&lt;/author&gt;&lt;author&gt;Shamir, R.&lt;/author&gt;&lt;author&gt;Turck, D.&lt;/author&gt;&lt;author&gt;van Goudoever, J.&lt;/author&gt;&lt;author&gt;Espghan Committee on Nutrition&lt;/author&gt;&lt;/authors&gt;&lt;/contributors&gt;&lt;titles&gt;&lt;title&gt;Iron requirements of infants and toddlers&lt;/title&gt;&lt;/titles&gt;&lt;pages&gt;119–129&lt;/pages&gt;&lt;volume&gt;58&lt;/volume&gt;&lt;number&gt;1&lt;/number&gt;&lt;dates&gt;&lt;year&gt;2014&lt;/year&gt;&lt;/dates&gt;&lt;isbn&gt;1536-4801&lt;/isbn&gt;&lt;urls&gt;&lt;/urls&gt;&lt;/record&gt;&lt;/Cite&gt;&lt;/EndNote&gt;</w:instrText>
        </w:r>
        <w:r w:rsidR="00E62798">
          <w:fldChar w:fldCharType="separate"/>
        </w:r>
        <w:r w:rsidR="00E62798" w:rsidRPr="00E62798">
          <w:rPr>
            <w:noProof/>
            <w:vertAlign w:val="superscript"/>
          </w:rPr>
          <w:t>359</w:t>
        </w:r>
        <w:r w:rsidR="00E62798">
          <w:fldChar w:fldCharType="end"/>
        </w:r>
      </w:hyperlink>
      <w:r>
        <w:t xml:space="preserve"> </w:t>
      </w:r>
      <w:r>
        <w:rPr>
          <w:rFonts w:cstheme="minorHAnsi"/>
        </w:rPr>
        <w:t>In non-breast fed infants in the first 2 years of life, iron-fortified formula can play a role in the prevention and treatment of</w:t>
      </w:r>
      <w:r w:rsidR="00225A02">
        <w:rPr>
          <w:rFonts w:cstheme="minorHAnsi"/>
        </w:rPr>
        <w:t xml:space="preserve"> </w:t>
      </w:r>
      <w:r w:rsidR="00225A02">
        <w:t>IDA</w:t>
      </w:r>
      <w:r>
        <w:rPr>
          <w:rFonts w:cstheme="minorHAnsi"/>
        </w:rPr>
        <w:t>.</w:t>
      </w:r>
      <w:hyperlink w:anchor="_ENREF_360" w:tooltip="Grant, 2007 #803" w:history="1">
        <w:r w:rsidR="00E62798">
          <w:rPr>
            <w:rFonts w:cstheme="minorHAnsi"/>
          </w:rPr>
          <w:fldChar w:fldCharType="begin"/>
        </w:r>
        <w:r w:rsidR="00E62798">
          <w:rPr>
            <w:rFonts w:cstheme="minorHAnsi"/>
          </w:rPr>
          <w:instrText xml:space="preserve"> ADDIN EN.CITE &lt;EndNote&gt;&lt;Cite&gt;&lt;Author&gt;Grant&lt;/Author&gt;&lt;Year&gt;2007&lt;/Year&gt;&lt;RecNum&gt;803&lt;/RecNum&gt;&lt;DisplayText&gt;&lt;style face="superscript"&gt;360&lt;/style&gt;&lt;/DisplayText&gt;&lt;record&gt;&lt;rec-number&gt;803&lt;/rec-number&gt;&lt;foreign-keys&gt;&lt;key app="EN" db-id="9edve2wadsavt5ewavaxtda4f2tavzvts9ee" timestamp="1433318852"&gt;803&lt;/key&gt;&lt;/foreign-keys&gt;&lt;ref-type name="Journal Article"&gt;17&lt;/ref-type&gt;&lt;contributors&gt;&lt;authors&gt;&lt;author&gt;Grant, C. C.&lt;/author&gt;&lt;author&gt;Wall, C. R.&lt;/author&gt;&lt;author&gt;Brewster, D.&lt;/author&gt;&lt;author&gt;Nicholson, R.&lt;/author&gt;&lt;author&gt;Whitehall, J.&lt;/author&gt;&lt;author&gt;Super, L.&lt;/author&gt;&lt;author&gt;Pitcher, L.&lt;/author&gt;&lt;/authors&gt;&lt;/contributors&gt;&lt;auth-address&gt;Department of Paediatrics, University of Auckland, Auckland, New Zealand. cc.grant@auckland.ac.nz&lt;/auth-address&gt;&lt;titles&gt;&lt;title&gt;Policy statement on iron deficiency in pre-school-aged children&lt;/title&gt;&lt;secondary-title&gt;J Paediatr Child Health&lt;/secondary-title&gt;&lt;/titles&gt;&lt;periodical&gt;&lt;full-title&gt;J Paediatr Child Health&lt;/full-title&gt;&lt;/periodical&gt;&lt;pages&gt;513–21&lt;/pages&gt;&lt;volume&gt;43&lt;/volume&gt;&lt;number&gt;7-8&lt;/number&gt;&lt;keywords&gt;&lt;keyword&gt;*Anemia, Iron-Deficiency/blood/diet therapy/prevention &amp;amp; control&lt;/keyword&gt;&lt;keyword&gt;Australia&lt;/keyword&gt;&lt;keyword&gt;Child, Preschool&lt;/keyword&gt;&lt;keyword&gt;Female&lt;/keyword&gt;&lt;keyword&gt;Ferrous Compounds/therapeutic use&lt;/keyword&gt;&lt;keyword&gt;*Health Policy&lt;/keyword&gt;&lt;keyword&gt;Humans&lt;/keyword&gt;&lt;keyword&gt;Infant&lt;/keyword&gt;&lt;keyword&gt;Infant Nutritional Physiological Phenomena&lt;/keyword&gt;&lt;keyword&gt;Infant, Newborn&lt;/keyword&gt;&lt;keyword&gt;Iron, Dietary/administration &amp;amp; dosage&lt;/keyword&gt;&lt;keyword&gt;Male&lt;/keyword&gt;&lt;keyword&gt;New Zealand&lt;/keyword&gt;&lt;keyword&gt;Practice Guidelines as Topic&lt;/keyword&gt;&lt;keyword&gt;Pregnancy&lt;/keyword&gt;&lt;keyword&gt;Prenatal Care&lt;/keyword&gt;&lt;/keywords&gt;&lt;dates&gt;&lt;year&gt;2007&lt;/year&gt;&lt;pub-dates&gt;&lt;date&gt;Jul-Aug&lt;/date&gt;&lt;/pub-dates&gt;&lt;/dates&gt;&lt;isbn&gt;1034-4810 (Print)&amp;#xD;1034-4810 (Linking)&lt;/isbn&gt;&lt;accession-num&gt;17635678&lt;/accession-num&gt;&lt;urls&gt;&lt;related-urls&gt;&lt;url&gt;http://www.ncbi.nlm.nih.gov/pubmed/17635678&lt;/url&gt;&lt;/related-urls&gt;&lt;/urls&gt;&lt;electronic-resource-num&gt;10.1111/j.1440-1754.2007.01128.x&lt;/electronic-resource-num&gt;&lt;/record&gt;&lt;/Cite&gt;&lt;/EndNote&gt;</w:instrText>
        </w:r>
        <w:r w:rsidR="00E62798">
          <w:rPr>
            <w:rFonts w:cstheme="minorHAnsi"/>
          </w:rPr>
          <w:fldChar w:fldCharType="separate"/>
        </w:r>
        <w:r w:rsidR="00E62798" w:rsidRPr="00E62798">
          <w:rPr>
            <w:rFonts w:cstheme="minorHAnsi"/>
            <w:noProof/>
            <w:vertAlign w:val="superscript"/>
          </w:rPr>
          <w:t>360</w:t>
        </w:r>
        <w:r w:rsidR="00E62798">
          <w:rPr>
            <w:rFonts w:cstheme="minorHAnsi"/>
          </w:rPr>
          <w:fldChar w:fldCharType="end"/>
        </w:r>
      </w:hyperlink>
      <w:r>
        <w:rPr>
          <w:rFonts w:cstheme="minorHAnsi"/>
        </w:rPr>
        <w:t xml:space="preserve"> </w:t>
      </w:r>
    </w:p>
    <w:p w14:paraId="177D1818" w14:textId="77777777" w:rsidR="00D93C65" w:rsidRDefault="00D93C65" w:rsidP="00D93C65">
      <w:pPr>
        <w:pStyle w:val="Heading5"/>
      </w:pPr>
      <w:r>
        <w:t>Oral iron therapy</w:t>
      </w:r>
    </w:p>
    <w:p w14:paraId="35121B80" w14:textId="6856E587" w:rsidR="00D93C65" w:rsidRDefault="00D93C65" w:rsidP="00D93C65">
      <w:r>
        <w:t>Oral iron therapy is safe and effective as first-line therapy in most patients with iron deficiency or</w:t>
      </w:r>
      <w:r w:rsidR="00225A02">
        <w:t xml:space="preserve"> IDA</w:t>
      </w:r>
      <w:r>
        <w:t>.</w:t>
      </w:r>
      <w:hyperlink w:anchor="_ENREF_368" w:tooltip="Pasricha, 2010 #815" w:history="1">
        <w:r w:rsidR="00E62798">
          <w:rPr>
            <w:rFonts w:cstheme="minorHAnsi"/>
          </w:rPr>
          <w:fldChar w:fldCharType="begin"/>
        </w:r>
        <w:r w:rsidR="00E62798">
          <w:rPr>
            <w:rFonts w:cstheme="minorHAnsi"/>
          </w:rPr>
          <w:instrText xml:space="preserve"> ADDIN EN.CITE &lt;EndNote&gt;&lt;Cite&gt;&lt;Author&gt;Pasricha&lt;/Author&gt;&lt;Year&gt;2010&lt;/Year&gt;&lt;RecNum&gt;815&lt;/RecNum&gt;&lt;DisplayText&gt;&lt;style face="superscript"&gt;368&lt;/style&gt;&lt;/DisplayText&gt;&lt;record&gt;&lt;rec-number&gt;815&lt;/rec-number&gt;&lt;foreign-keys&gt;&lt;key app="EN" db-id="9edve2wadsavt5ewavaxtda4f2tavzvts9ee" timestamp="1433318852"&gt;815&lt;/key&gt;&lt;/foreign-keys&gt;&lt;ref-type name="Journal Article"&gt;17&lt;/ref-type&gt;&lt;contributors&gt;&lt;authors&gt;&lt;author&gt;Pasricha, S. R.&lt;/author&gt;&lt;author&gt;Flecknoe-Brown, S. C.&lt;/author&gt;&lt;author&gt;Allen, K. J.&lt;/author&gt;&lt;author&gt;Gibson, P. R.&lt;/author&gt;&lt;author&gt;McMahon, L. P.&lt;/author&gt;&lt;author&gt;Olynyk, J. K.&lt;/author&gt;&lt;author&gt;Roger, S. D.&lt;/author&gt;&lt;author&gt;Savoia, H. F.&lt;/author&gt;&lt;author&gt;Tampi, R.&lt;/author&gt;&lt;author&gt;Thomson, A. R.&lt;/author&gt;&lt;author&gt;Wood, E. M.&lt;/author&gt;&lt;author&gt;Robinson, K. L.&lt;/author&gt;&lt;/authors&gt;&lt;/contributors&gt;&lt;auth-address&gt;Royal Melbourne Hospital, Melbourne, VIC, Australia.&lt;/auth-address&gt;&lt;titles&gt;&lt;title&gt;Diagnosis and management of iron deficiency anaemia: a clinical update&lt;/title&gt;&lt;secondary-title&gt;Med J Aust&lt;/secondary-title&gt;&lt;/titles&gt;&lt;periodical&gt;&lt;full-title&gt;Med J Aust&lt;/full-title&gt;&lt;/periodical&gt;&lt;pages&gt;525–32&lt;/pages&gt;&lt;volume&gt;193&lt;/volume&gt;&lt;number&gt;9&lt;/number&gt;&lt;keywords&gt;&lt;keyword&gt;Anemia, Iron-Deficiency/complications/*diagnosis/etiology/*therapy&lt;/keyword&gt;&lt;keyword&gt;Biological Markers/blood&lt;/keyword&gt;&lt;keyword&gt;Bone Marrow/metabolism&lt;/keyword&gt;&lt;keyword&gt;Erythrocyte Transfusion&lt;/keyword&gt;&lt;keyword&gt;Ferritins/blood&lt;/keyword&gt;&lt;keyword&gt;Humans&lt;/keyword&gt;&lt;keyword&gt;Iron/metabolism&lt;/keyword&gt;&lt;keyword&gt;Iron Compounds/administration &amp;amp; dosage&lt;/keyword&gt;&lt;keyword&gt;Nutritional Requirements&lt;/keyword&gt;&lt;keyword&gt;Receptors, Transferrin/blood&lt;/keyword&gt;&lt;/keywords&gt;&lt;dates&gt;&lt;year&gt;2010&lt;/year&gt;&lt;pub-dates&gt;&lt;date&gt;Nov 1&lt;/date&gt;&lt;/pub-dates&gt;&lt;/dates&gt;&lt;isbn&gt;0025-729X (Print)&amp;#xD;0025-729X (Linking)&lt;/isbn&gt;&lt;accession-num&gt;21034387&lt;/accession-num&gt;&lt;urls&gt;&lt;related-urls&gt;&lt;url&gt;http://www.ncbi.nlm.nih.gov/pubmed/21034387&lt;/url&gt;&lt;/related-urls&gt;&lt;/urls&gt;&lt;/record&gt;&lt;/Cite&gt;&lt;/EndNote&gt;</w:instrText>
        </w:r>
        <w:r w:rsidR="00E62798">
          <w:rPr>
            <w:rFonts w:cstheme="minorHAnsi"/>
          </w:rPr>
          <w:fldChar w:fldCharType="separate"/>
        </w:r>
        <w:r w:rsidR="00E62798" w:rsidRPr="00E62798">
          <w:rPr>
            <w:rFonts w:cstheme="minorHAnsi"/>
            <w:noProof/>
            <w:vertAlign w:val="superscript"/>
          </w:rPr>
          <w:t>368</w:t>
        </w:r>
        <w:r w:rsidR="00E62798">
          <w:rPr>
            <w:rFonts w:cstheme="minorHAnsi"/>
          </w:rPr>
          <w:fldChar w:fldCharType="end"/>
        </w:r>
      </w:hyperlink>
      <w:r>
        <w:rPr>
          <w:rFonts w:cstheme="minorHAnsi"/>
          <w:vertAlign w:val="superscript"/>
        </w:rPr>
        <w:t xml:space="preserve"> </w:t>
      </w:r>
      <w:r>
        <w:t>The recommended dose for the treatment of IDA in children is 3–6</w:t>
      </w:r>
      <w:r w:rsidR="00225A02">
        <w:t> </w:t>
      </w:r>
      <w:r>
        <w:t>mg/kg/day of elemental iron.</w:t>
      </w:r>
      <w:r w:rsidR="00E62798">
        <w:fldChar w:fldCharType="begin">
          <w:fldData xml:space="preserve">PEVuZE5vdGU+PENpdGUgRXhjbHVkZUF1dGg9IjEiIEV4Y2x1ZGVZZWFyPSIxIj48UmVjTnVtPjgz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Y29uZGFyeS10aXRsZT48L3RpdGxlcz48cGVyaW9kaWNhbD48ZnVsbC10aXRsZT5NZWQgSiBBdXN0
PC9mdWxsLXRpdGxlPjwvcGVyaW9kaWNhbD48cGFnZXM+NTI14oCTMzI8L3BhZ2VzPjx2b2x1bWU+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R3JhbnQ8L0F1dGhvcj48WWVhcj4yMDA3PC9ZZWFyPjxSZWNOdW0+ODAzPC9SZWNOdW0+PHJlY29y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</w:fldData>
        </w:fldChar>
      </w:r>
      <w:r w:rsidR="00E62798">
        <w:instrText xml:space="preserve"> ADDIN EN.CITE </w:instrText>
      </w:r>
      <w:r w:rsidR="00E62798">
        <w:fldChar w:fldCharType="begin">
          <w:fldData xml:space="preserve">PEVuZE5vdGU+PENpdGUgRXhjbHVkZUF1dGg9IjEiIEV4Y2x1ZGVZZWFyPSIxIj48UmVjTnVtPjgz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Y29uZGFyeS10aXRsZT48L3RpdGxlcz48cGVyaW9kaWNhbD48ZnVsbC10aXRsZT5NZWQgSiBBdXN0
PC9mdWxsLXRpdGxlPjwvcGVyaW9kaWNhbD48cGFnZXM+NTI14oCTMzI8L3BhZ2VzPjx2b2x1bWU+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R3JhbnQ8L0F1dGhvcj48WWVhcj4yMDA3PC9ZZWFyPjxSZWNOdW0+ODAzPC9SZWNOdW0+PHJlY29y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</w:fldData>
        </w:fldChar>
      </w:r>
      <w:r w:rsidR="00E62798">
        <w:instrText xml:space="preserve"> ADDIN EN.CITE.DATA </w:instrText>
      </w:r>
      <w:r w:rsidR="00E62798">
        <w:fldChar w:fldCharType="end"/>
      </w:r>
      <w:r w:rsidR="00E62798">
        <w:fldChar w:fldCharType="separate"/>
      </w:r>
      <w:hyperlink w:anchor="_ENREF_360" w:tooltip="Grant, 2007 #803" w:history="1">
        <w:r w:rsidR="00E62798" w:rsidRPr="00E62798">
          <w:rPr>
            <w:noProof/>
            <w:vertAlign w:val="superscript"/>
          </w:rPr>
          <w:t>360</w:t>
        </w:r>
      </w:hyperlink>
      <w:r w:rsidR="00E62798" w:rsidRPr="00E62798">
        <w:rPr>
          <w:noProof/>
          <w:vertAlign w:val="superscript"/>
        </w:rPr>
        <w:t xml:space="preserve">; </w:t>
      </w:r>
      <w:hyperlink w:anchor="_ENREF_368" w:tooltip="Pasricha, 2010 #815" w:history="1">
        <w:r w:rsidR="00E62798" w:rsidRPr="00E62798">
          <w:rPr>
            <w:noProof/>
            <w:vertAlign w:val="superscript"/>
          </w:rPr>
          <w:t>368</w:t>
        </w:r>
      </w:hyperlink>
      <w:r w:rsidR="00E62798" w:rsidRPr="00E62798">
        <w:rPr>
          <w:noProof/>
          <w:vertAlign w:val="superscript"/>
        </w:rPr>
        <w:t xml:space="preserve">; </w:t>
      </w:r>
      <w:hyperlink w:anchor="_ENREF_370" w:tooltip=",  #832" w:history="1">
        <w:r w:rsidR="00E62798" w:rsidRPr="00E62798">
          <w:rPr>
            <w:noProof/>
            <w:vertAlign w:val="superscript"/>
          </w:rPr>
          <w:t>370</w:t>
        </w:r>
      </w:hyperlink>
      <w:r w:rsidR="00E62798">
        <w:fldChar w:fldCharType="end"/>
      </w:r>
      <w:r>
        <w:t xml:space="preserve"> The dose of iron should take into account the degree of anaemia and weight of the child.</w:t>
      </w:r>
    </w:p>
    <w:p w14:paraId="12B5BB9E" w14:textId="357F3509" w:rsidR="00D93C65" w:rsidRPr="004B247B" w:rsidRDefault="00225A02" w:rsidP="00D93C65">
      <w:pPr>
        <w:pStyle w:val="TableName"/>
      </w:pPr>
      <w:bookmarkStart w:id="238" w:name="_Toc427758396"/>
      <w:r>
        <w:t>Table 4.4</w:t>
      </w:r>
      <w:r w:rsidR="00D93C65">
        <w:tab/>
        <w:t>Quick dose reference to provide 3 mg/kg/day (for severe IDA, consider 6 mg/kg/day)</w:t>
      </w:r>
      <w:bookmarkEnd w:id="238"/>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2"/>
        <w:gridCol w:w="2074"/>
        <w:gridCol w:w="2226"/>
        <w:gridCol w:w="1980"/>
      </w:tblGrid>
      <w:tr w:rsidR="00D93C65" w14:paraId="0A2D812B"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60EB6620" w14:textId="383B1EAC" w:rsidR="00D93C65" w:rsidRDefault="00D93C65" w:rsidP="006F2463">
            <w:pPr>
              <w:pStyle w:val="TableHeading"/>
              <w:rPr>
                <w:lang w:val="en-US"/>
              </w:rPr>
            </w:pPr>
            <w:r>
              <w:rPr>
                <w:lang w:val="en-US"/>
              </w:rPr>
              <w:t>Weight</w:t>
            </w:r>
            <w:r w:rsidR="00846EC8">
              <w:rPr>
                <w:lang w:val="en-US"/>
              </w:rPr>
              <w:t xml:space="preserve"> (kg)</w:t>
            </w:r>
          </w:p>
        </w:tc>
        <w:tc>
          <w:tcPr>
            <w:tcW w:w="2434" w:type="dxa"/>
            <w:tcBorders>
              <w:top w:val="outset" w:sz="6" w:space="0" w:color="auto"/>
              <w:left w:val="outset" w:sz="6" w:space="0" w:color="auto"/>
              <w:bottom w:val="outset" w:sz="6" w:space="0" w:color="auto"/>
              <w:right w:val="outset" w:sz="6" w:space="0" w:color="auto"/>
            </w:tcBorders>
            <w:hideMark/>
          </w:tcPr>
          <w:p w14:paraId="41B9CFA3" w14:textId="77777777" w:rsidR="00D93C65" w:rsidRDefault="00D93C65" w:rsidP="006F2463">
            <w:pPr>
              <w:pStyle w:val="TableHeading"/>
              <w:rPr>
                <w:lang w:val="en-US"/>
              </w:rPr>
            </w:pPr>
            <w:r>
              <w:rPr>
                <w:lang w:val="en-US"/>
              </w:rPr>
              <w:t>Ferro-Liquid</w:t>
            </w:r>
            <w:r>
              <w:rPr>
                <w:lang w:val="en-US"/>
              </w:rPr>
              <w:br/>
              <w:t>(30 mg/5 mL)</w:t>
            </w:r>
          </w:p>
        </w:tc>
        <w:tc>
          <w:tcPr>
            <w:tcW w:w="2590" w:type="dxa"/>
            <w:tcBorders>
              <w:top w:val="outset" w:sz="6" w:space="0" w:color="auto"/>
              <w:left w:val="outset" w:sz="6" w:space="0" w:color="auto"/>
              <w:bottom w:val="outset" w:sz="6" w:space="0" w:color="auto"/>
              <w:right w:val="outset" w:sz="6" w:space="0" w:color="auto"/>
            </w:tcBorders>
            <w:hideMark/>
          </w:tcPr>
          <w:p w14:paraId="105F7D47" w14:textId="6A94C944" w:rsidR="00D93C65" w:rsidRDefault="00D93C65" w:rsidP="00225A02">
            <w:pPr>
              <w:pStyle w:val="TableHeading"/>
              <w:rPr>
                <w:lang w:val="en-US"/>
              </w:rPr>
            </w:pPr>
            <w:r>
              <w:rPr>
                <w:lang w:val="en-US"/>
              </w:rPr>
              <w:t>Fe</w:t>
            </w:r>
            <w:r w:rsidR="00225A02">
              <w:rPr>
                <w:lang w:val="en-US"/>
              </w:rPr>
              <w:t>fol ® delayed release capsules ‘</w:t>
            </w:r>
            <w:r>
              <w:rPr>
                <w:lang w:val="en-US"/>
              </w:rPr>
              <w:t>spansules</w:t>
            </w:r>
            <w:r w:rsidR="00225A02">
              <w:rPr>
                <w:lang w:val="en-US"/>
              </w:rPr>
              <w:t>’</w:t>
            </w:r>
            <w:r>
              <w:rPr>
                <w:lang w:val="en-US"/>
              </w:rPr>
              <w:br/>
              <w:t>87.4 mg</w:t>
            </w:r>
          </w:p>
        </w:tc>
        <w:tc>
          <w:tcPr>
            <w:tcW w:w="2303" w:type="dxa"/>
            <w:tcBorders>
              <w:top w:val="outset" w:sz="6" w:space="0" w:color="auto"/>
              <w:left w:val="outset" w:sz="6" w:space="0" w:color="auto"/>
              <w:bottom w:val="outset" w:sz="6" w:space="0" w:color="auto"/>
              <w:right w:val="outset" w:sz="6" w:space="0" w:color="auto"/>
            </w:tcBorders>
            <w:hideMark/>
          </w:tcPr>
          <w:p w14:paraId="3A55D733" w14:textId="77777777" w:rsidR="00D93C65" w:rsidRDefault="00D93C65" w:rsidP="006F2463">
            <w:pPr>
              <w:pStyle w:val="TableHeading"/>
              <w:rPr>
                <w:lang w:val="en-US"/>
              </w:rPr>
            </w:pPr>
            <w:r>
              <w:rPr>
                <w:lang w:val="en-US"/>
              </w:rPr>
              <w:t>Ferro-Gradumet</w:t>
            </w:r>
          </w:p>
        </w:tc>
      </w:tr>
      <w:tr w:rsidR="00D93C65" w14:paraId="09118E40"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0EC10699" w14:textId="3E33C79C" w:rsidR="00D93C65" w:rsidRDefault="00846EC8" w:rsidP="006F2463">
            <w:pPr>
              <w:pStyle w:val="TableText"/>
              <w:rPr>
                <w:lang w:val="en-US"/>
              </w:rPr>
            </w:pPr>
            <w:r>
              <w:rPr>
                <w:lang w:val="en-US"/>
              </w:rPr>
              <w:t>&lt;10</w:t>
            </w:r>
          </w:p>
        </w:tc>
        <w:tc>
          <w:tcPr>
            <w:tcW w:w="2434" w:type="dxa"/>
            <w:tcBorders>
              <w:top w:val="outset" w:sz="6" w:space="0" w:color="auto"/>
              <w:left w:val="outset" w:sz="6" w:space="0" w:color="auto"/>
              <w:bottom w:val="outset" w:sz="6" w:space="0" w:color="auto"/>
              <w:right w:val="outset" w:sz="6" w:space="0" w:color="auto"/>
            </w:tcBorders>
            <w:hideMark/>
          </w:tcPr>
          <w:p w14:paraId="1E26C2FF" w14:textId="77777777" w:rsidR="00D93C65" w:rsidRDefault="00D93C65" w:rsidP="006F2463">
            <w:pPr>
              <w:pStyle w:val="TableText"/>
              <w:rPr>
                <w:lang w:val="en-US"/>
              </w:rPr>
            </w:pPr>
            <w:r>
              <w:rPr>
                <w:lang w:val="en-US"/>
              </w:rPr>
              <w:t>0.5 mL/kg/day</w:t>
            </w:r>
          </w:p>
        </w:tc>
        <w:tc>
          <w:tcPr>
            <w:tcW w:w="2590" w:type="dxa"/>
            <w:tcBorders>
              <w:top w:val="outset" w:sz="6" w:space="0" w:color="auto"/>
              <w:left w:val="outset" w:sz="6" w:space="0" w:color="auto"/>
              <w:bottom w:val="outset" w:sz="6" w:space="0" w:color="auto"/>
              <w:right w:val="outset" w:sz="6" w:space="0" w:color="auto"/>
            </w:tcBorders>
            <w:hideMark/>
          </w:tcPr>
          <w:p w14:paraId="501378F1" w14:textId="77777777" w:rsidR="00D93C65" w:rsidRDefault="00D93C65" w:rsidP="006F2463">
            <w:pPr>
              <w:pStyle w:val="TableText"/>
              <w:rPr>
                <w:lang w:val="en-US"/>
              </w:rPr>
            </w:pPr>
            <w:r>
              <w:rPr>
                <w:lang w:val="en-US"/>
              </w:rPr>
              <w:t>NA</w:t>
            </w:r>
          </w:p>
        </w:tc>
        <w:tc>
          <w:tcPr>
            <w:tcW w:w="2303" w:type="dxa"/>
            <w:tcBorders>
              <w:top w:val="outset" w:sz="6" w:space="0" w:color="auto"/>
              <w:left w:val="outset" w:sz="6" w:space="0" w:color="auto"/>
              <w:bottom w:val="outset" w:sz="6" w:space="0" w:color="auto"/>
              <w:right w:val="outset" w:sz="6" w:space="0" w:color="auto"/>
            </w:tcBorders>
            <w:hideMark/>
          </w:tcPr>
          <w:p w14:paraId="16139A42" w14:textId="77777777" w:rsidR="00D93C65" w:rsidRDefault="00D93C65" w:rsidP="006F2463">
            <w:pPr>
              <w:pStyle w:val="TableText"/>
              <w:rPr>
                <w:lang w:val="en-US"/>
              </w:rPr>
            </w:pPr>
            <w:r>
              <w:rPr>
                <w:lang w:val="en-US"/>
              </w:rPr>
              <w:t>NA</w:t>
            </w:r>
          </w:p>
        </w:tc>
      </w:tr>
      <w:tr w:rsidR="00D93C65" w14:paraId="1FA9EB9F"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018AF08A" w14:textId="2554345A" w:rsidR="00D93C65" w:rsidRDefault="00846EC8" w:rsidP="006F2463">
            <w:pPr>
              <w:pStyle w:val="TableText"/>
              <w:rPr>
                <w:lang w:val="en-US"/>
              </w:rPr>
            </w:pPr>
            <w:r>
              <w:rPr>
                <w:lang w:val="en-US"/>
              </w:rPr>
              <w:t>10</w:t>
            </w:r>
            <w:r w:rsidR="00AC28BF">
              <w:rPr>
                <w:lang w:val="en-US"/>
              </w:rPr>
              <w:t xml:space="preserve"> – 19 kg</w:t>
            </w:r>
          </w:p>
        </w:tc>
        <w:tc>
          <w:tcPr>
            <w:tcW w:w="2434" w:type="dxa"/>
            <w:tcBorders>
              <w:top w:val="outset" w:sz="6" w:space="0" w:color="auto"/>
              <w:left w:val="outset" w:sz="6" w:space="0" w:color="auto"/>
              <w:bottom w:val="outset" w:sz="6" w:space="0" w:color="auto"/>
              <w:right w:val="outset" w:sz="6" w:space="0" w:color="auto"/>
            </w:tcBorders>
            <w:hideMark/>
          </w:tcPr>
          <w:p w14:paraId="4A3A95F4" w14:textId="77777777" w:rsidR="00D93C65" w:rsidRDefault="00D93C65" w:rsidP="006F2463">
            <w:pPr>
              <w:pStyle w:val="TableText"/>
              <w:rPr>
                <w:lang w:val="en-US"/>
              </w:rPr>
            </w:pPr>
            <w:r>
              <w:rPr>
                <w:lang w:val="en-US"/>
              </w:rPr>
              <w:t>5 mL per day</w:t>
            </w:r>
          </w:p>
        </w:tc>
        <w:tc>
          <w:tcPr>
            <w:tcW w:w="2590" w:type="dxa"/>
            <w:tcBorders>
              <w:top w:val="outset" w:sz="6" w:space="0" w:color="auto"/>
              <w:left w:val="outset" w:sz="6" w:space="0" w:color="auto"/>
              <w:bottom w:val="outset" w:sz="6" w:space="0" w:color="auto"/>
              <w:right w:val="outset" w:sz="6" w:space="0" w:color="auto"/>
            </w:tcBorders>
            <w:hideMark/>
          </w:tcPr>
          <w:p w14:paraId="449797D8" w14:textId="77777777" w:rsidR="00D93C65" w:rsidRDefault="00D93C65" w:rsidP="006F2463">
            <w:pPr>
              <w:pStyle w:val="TableText"/>
              <w:rPr>
                <w:lang w:val="en-US"/>
              </w:rPr>
            </w:pPr>
            <w:r>
              <w:rPr>
                <w:lang w:val="en-US"/>
              </w:rPr>
              <w:t>Half spansule 5 days/week</w:t>
            </w:r>
          </w:p>
        </w:tc>
        <w:tc>
          <w:tcPr>
            <w:tcW w:w="2303" w:type="dxa"/>
            <w:tcBorders>
              <w:top w:val="outset" w:sz="6" w:space="0" w:color="auto"/>
              <w:left w:val="outset" w:sz="6" w:space="0" w:color="auto"/>
              <w:bottom w:val="outset" w:sz="6" w:space="0" w:color="auto"/>
              <w:right w:val="outset" w:sz="6" w:space="0" w:color="auto"/>
            </w:tcBorders>
            <w:hideMark/>
          </w:tcPr>
          <w:p w14:paraId="06A9157C" w14:textId="77777777" w:rsidR="00D93C65" w:rsidRDefault="00D93C65" w:rsidP="006F2463">
            <w:pPr>
              <w:pStyle w:val="TableText"/>
              <w:rPr>
                <w:lang w:val="en-US"/>
              </w:rPr>
            </w:pPr>
            <w:r>
              <w:rPr>
                <w:lang w:val="en-US"/>
              </w:rPr>
              <w:t>NA</w:t>
            </w:r>
          </w:p>
        </w:tc>
      </w:tr>
      <w:tr w:rsidR="00D93C65" w14:paraId="1F6ADF71"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54C107BB" w14:textId="619836C8" w:rsidR="00D93C65" w:rsidRDefault="00846EC8" w:rsidP="006F2463">
            <w:pPr>
              <w:pStyle w:val="TableText"/>
              <w:rPr>
                <w:lang w:val="en-US"/>
              </w:rPr>
            </w:pPr>
            <w:r>
              <w:rPr>
                <w:lang w:val="en-US"/>
              </w:rPr>
              <w:t>20</w:t>
            </w:r>
            <w:r w:rsidR="00AC28BF">
              <w:rPr>
                <w:lang w:val="en-US"/>
              </w:rPr>
              <w:t xml:space="preserve"> – 29 kg</w:t>
            </w:r>
          </w:p>
        </w:tc>
        <w:tc>
          <w:tcPr>
            <w:tcW w:w="2434" w:type="dxa"/>
            <w:tcBorders>
              <w:top w:val="outset" w:sz="6" w:space="0" w:color="auto"/>
              <w:left w:val="outset" w:sz="6" w:space="0" w:color="auto"/>
              <w:bottom w:val="outset" w:sz="6" w:space="0" w:color="auto"/>
              <w:right w:val="outset" w:sz="6" w:space="0" w:color="auto"/>
            </w:tcBorders>
            <w:hideMark/>
          </w:tcPr>
          <w:p w14:paraId="0C526A07" w14:textId="77777777" w:rsidR="00D93C65" w:rsidRDefault="00D93C65" w:rsidP="006F2463">
            <w:pPr>
              <w:pStyle w:val="TableText"/>
              <w:rPr>
                <w:lang w:val="en-US"/>
              </w:rPr>
            </w:pPr>
            <w:r>
              <w:rPr>
                <w:lang w:val="en-US"/>
              </w:rPr>
              <w:t>10 mL per day</w:t>
            </w:r>
          </w:p>
        </w:tc>
        <w:tc>
          <w:tcPr>
            <w:tcW w:w="2590" w:type="dxa"/>
            <w:tcBorders>
              <w:top w:val="outset" w:sz="6" w:space="0" w:color="auto"/>
              <w:left w:val="outset" w:sz="6" w:space="0" w:color="auto"/>
              <w:bottom w:val="outset" w:sz="6" w:space="0" w:color="auto"/>
              <w:right w:val="outset" w:sz="6" w:space="0" w:color="auto"/>
            </w:tcBorders>
            <w:hideMark/>
          </w:tcPr>
          <w:p w14:paraId="50BA40E5" w14:textId="77777777" w:rsidR="00D93C65" w:rsidRDefault="00D93C65" w:rsidP="006F2463">
            <w:pPr>
              <w:pStyle w:val="TableText"/>
              <w:rPr>
                <w:lang w:val="en-US"/>
              </w:rPr>
            </w:pPr>
            <w:r>
              <w:rPr>
                <w:lang w:val="en-US"/>
              </w:rPr>
              <w:t>Whole spansule 5 days/week</w:t>
            </w:r>
          </w:p>
        </w:tc>
        <w:tc>
          <w:tcPr>
            <w:tcW w:w="2303" w:type="dxa"/>
            <w:tcBorders>
              <w:top w:val="outset" w:sz="6" w:space="0" w:color="auto"/>
              <w:left w:val="outset" w:sz="6" w:space="0" w:color="auto"/>
              <w:bottom w:val="outset" w:sz="6" w:space="0" w:color="auto"/>
              <w:right w:val="outset" w:sz="6" w:space="0" w:color="auto"/>
            </w:tcBorders>
            <w:hideMark/>
          </w:tcPr>
          <w:p w14:paraId="14586D6E" w14:textId="77777777" w:rsidR="00D93C65" w:rsidRDefault="00D93C65" w:rsidP="006F2463">
            <w:pPr>
              <w:pStyle w:val="TableText"/>
              <w:rPr>
                <w:lang w:val="en-US"/>
              </w:rPr>
            </w:pPr>
            <w:r>
              <w:rPr>
                <w:lang w:val="en-US"/>
              </w:rPr>
              <w:t>NA</w:t>
            </w:r>
          </w:p>
        </w:tc>
      </w:tr>
      <w:tr w:rsidR="00D93C65" w14:paraId="5D2C00F8"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620ABAA8" w14:textId="4E5B137B" w:rsidR="00D93C65" w:rsidRDefault="00846EC8" w:rsidP="006F2463">
            <w:pPr>
              <w:pStyle w:val="TableText"/>
              <w:rPr>
                <w:lang w:val="en-US"/>
              </w:rPr>
            </w:pPr>
            <w:r>
              <w:rPr>
                <w:lang w:val="en-US"/>
              </w:rPr>
              <w:t>30</w:t>
            </w:r>
            <w:r w:rsidR="00AC28BF">
              <w:rPr>
                <w:lang w:val="en-US"/>
              </w:rPr>
              <w:t xml:space="preserve"> – 39 kg</w:t>
            </w:r>
          </w:p>
        </w:tc>
        <w:tc>
          <w:tcPr>
            <w:tcW w:w="2434" w:type="dxa"/>
            <w:tcBorders>
              <w:top w:val="outset" w:sz="6" w:space="0" w:color="auto"/>
              <w:left w:val="outset" w:sz="6" w:space="0" w:color="auto"/>
              <w:bottom w:val="outset" w:sz="6" w:space="0" w:color="auto"/>
              <w:right w:val="outset" w:sz="6" w:space="0" w:color="auto"/>
            </w:tcBorders>
            <w:hideMark/>
          </w:tcPr>
          <w:p w14:paraId="50A7993F" w14:textId="77777777" w:rsidR="00D93C65" w:rsidRDefault="00D93C65" w:rsidP="006F2463">
            <w:pPr>
              <w:pStyle w:val="TableText"/>
              <w:rPr>
                <w:lang w:val="en-US"/>
              </w:rPr>
            </w:pPr>
            <w:r>
              <w:rPr>
                <w:lang w:val="en-US"/>
              </w:rPr>
              <w:t>15 mL per day</w:t>
            </w:r>
          </w:p>
        </w:tc>
        <w:tc>
          <w:tcPr>
            <w:tcW w:w="2590" w:type="dxa"/>
            <w:tcBorders>
              <w:top w:val="outset" w:sz="6" w:space="0" w:color="auto"/>
              <w:left w:val="outset" w:sz="6" w:space="0" w:color="auto"/>
              <w:bottom w:val="outset" w:sz="6" w:space="0" w:color="auto"/>
              <w:right w:val="outset" w:sz="6" w:space="0" w:color="auto"/>
            </w:tcBorders>
            <w:hideMark/>
          </w:tcPr>
          <w:p w14:paraId="48AED409" w14:textId="77777777" w:rsidR="00D93C65" w:rsidRDefault="00D93C65" w:rsidP="006F2463">
            <w:pPr>
              <w:pStyle w:val="TableText"/>
              <w:rPr>
                <w:lang w:val="en-US"/>
              </w:rPr>
            </w:pPr>
            <w:r>
              <w:rPr>
                <w:lang w:val="en-US"/>
              </w:rPr>
              <w:t>Whole spansule daily</w:t>
            </w:r>
          </w:p>
        </w:tc>
        <w:tc>
          <w:tcPr>
            <w:tcW w:w="2303" w:type="dxa"/>
            <w:tcBorders>
              <w:top w:val="outset" w:sz="6" w:space="0" w:color="auto"/>
              <w:left w:val="outset" w:sz="6" w:space="0" w:color="auto"/>
              <w:bottom w:val="outset" w:sz="6" w:space="0" w:color="auto"/>
              <w:right w:val="outset" w:sz="6" w:space="0" w:color="auto"/>
            </w:tcBorders>
            <w:hideMark/>
          </w:tcPr>
          <w:p w14:paraId="7609486A" w14:textId="77777777" w:rsidR="00D93C65" w:rsidRDefault="00D93C65" w:rsidP="006F2463">
            <w:pPr>
              <w:pStyle w:val="TableText"/>
              <w:rPr>
                <w:lang w:val="en-US"/>
              </w:rPr>
            </w:pPr>
            <w:r>
              <w:rPr>
                <w:lang w:val="en-US"/>
              </w:rPr>
              <w:t>1 tablet/day</w:t>
            </w:r>
          </w:p>
        </w:tc>
      </w:tr>
      <w:tr w:rsidR="00D93C65" w14:paraId="37666508" w14:textId="77777777" w:rsidTr="006F2463">
        <w:tc>
          <w:tcPr>
            <w:tcW w:w="2451" w:type="dxa"/>
            <w:tcBorders>
              <w:top w:val="outset" w:sz="6" w:space="0" w:color="auto"/>
              <w:left w:val="outset" w:sz="6" w:space="0" w:color="auto"/>
              <w:bottom w:val="outset" w:sz="6" w:space="0" w:color="auto"/>
              <w:right w:val="outset" w:sz="6" w:space="0" w:color="auto"/>
            </w:tcBorders>
            <w:hideMark/>
          </w:tcPr>
          <w:p w14:paraId="7C2E0AAC" w14:textId="037AF186" w:rsidR="00D93C65" w:rsidRDefault="00D93C65" w:rsidP="006F2463">
            <w:pPr>
              <w:pStyle w:val="TableText"/>
              <w:rPr>
                <w:lang w:val="en-US"/>
              </w:rPr>
            </w:pPr>
            <w:r>
              <w:rPr>
                <w:lang w:val="en-US"/>
              </w:rPr>
              <w:t>&gt;40</w:t>
            </w:r>
          </w:p>
        </w:tc>
        <w:tc>
          <w:tcPr>
            <w:tcW w:w="2434" w:type="dxa"/>
            <w:tcBorders>
              <w:top w:val="outset" w:sz="6" w:space="0" w:color="auto"/>
              <w:left w:val="outset" w:sz="6" w:space="0" w:color="auto"/>
              <w:bottom w:val="outset" w:sz="6" w:space="0" w:color="auto"/>
              <w:right w:val="outset" w:sz="6" w:space="0" w:color="auto"/>
            </w:tcBorders>
            <w:hideMark/>
          </w:tcPr>
          <w:p w14:paraId="0D5C6DDC" w14:textId="77777777" w:rsidR="00D93C65" w:rsidRDefault="00D93C65" w:rsidP="006F2463">
            <w:pPr>
              <w:pStyle w:val="TableText"/>
              <w:rPr>
                <w:lang w:val="en-US"/>
              </w:rPr>
            </w:pPr>
            <w:r>
              <w:rPr>
                <w:lang w:val="en-US"/>
              </w:rPr>
              <w:t>20 mL per day</w:t>
            </w:r>
          </w:p>
        </w:tc>
        <w:tc>
          <w:tcPr>
            <w:tcW w:w="2590" w:type="dxa"/>
            <w:tcBorders>
              <w:top w:val="outset" w:sz="6" w:space="0" w:color="auto"/>
              <w:left w:val="outset" w:sz="6" w:space="0" w:color="auto"/>
              <w:bottom w:val="outset" w:sz="6" w:space="0" w:color="auto"/>
              <w:right w:val="outset" w:sz="6" w:space="0" w:color="auto"/>
            </w:tcBorders>
            <w:hideMark/>
          </w:tcPr>
          <w:p w14:paraId="2DEF50B0" w14:textId="77777777" w:rsidR="00D93C65" w:rsidRDefault="00D93C65" w:rsidP="006F2463">
            <w:pPr>
              <w:pStyle w:val="TableText"/>
              <w:rPr>
                <w:lang w:val="en-US"/>
              </w:rPr>
            </w:pPr>
            <w:r>
              <w:rPr>
                <w:lang w:val="en-US"/>
              </w:rPr>
              <w:t>1.5 spansules daily</w:t>
            </w:r>
          </w:p>
        </w:tc>
        <w:tc>
          <w:tcPr>
            <w:tcW w:w="2303" w:type="dxa"/>
            <w:tcBorders>
              <w:top w:val="outset" w:sz="6" w:space="0" w:color="auto"/>
              <w:left w:val="outset" w:sz="6" w:space="0" w:color="auto"/>
              <w:bottom w:val="outset" w:sz="6" w:space="0" w:color="auto"/>
              <w:right w:val="outset" w:sz="6" w:space="0" w:color="auto"/>
            </w:tcBorders>
            <w:hideMark/>
          </w:tcPr>
          <w:p w14:paraId="50F73984" w14:textId="77777777" w:rsidR="00D93C65" w:rsidRDefault="00D93C65" w:rsidP="006F2463">
            <w:pPr>
              <w:pStyle w:val="TableText"/>
              <w:rPr>
                <w:lang w:val="en-US"/>
              </w:rPr>
            </w:pPr>
            <w:r>
              <w:rPr>
                <w:lang w:val="en-US"/>
              </w:rPr>
              <w:t>1–2 tablets/day</w:t>
            </w:r>
          </w:p>
        </w:tc>
      </w:tr>
    </w:tbl>
    <w:p w14:paraId="6E3EA2D8" w14:textId="77777777" w:rsidR="00D93C65" w:rsidRDefault="00D93C65" w:rsidP="00D93C65">
      <w:pPr>
        <w:spacing w:after="0"/>
        <w:rPr>
          <w:rFonts w:ascii="Times" w:eastAsiaTheme="minorEastAsia" w:hAnsi="Times" w:cstheme="minorHAnsi"/>
          <w:vertAlign w:val="superscript"/>
          <w:lang w:eastAsia="zh-CN"/>
        </w:rPr>
      </w:pPr>
    </w:p>
    <w:p w14:paraId="5EF00C2A" w14:textId="012923B6" w:rsidR="00D93C65" w:rsidRPr="004B247B" w:rsidRDefault="00D93C65" w:rsidP="00D93C65">
      <w:pPr>
        <w:pStyle w:val="TableName"/>
      </w:pPr>
      <w:bookmarkStart w:id="239" w:name="_Toc427758397"/>
      <w:r>
        <w:t>Table 4.</w:t>
      </w:r>
      <w:r w:rsidR="00225A02">
        <w:t>5</w:t>
      </w:r>
      <w:r>
        <w:tab/>
        <w:t>Paediatric appropriate iron formulations in Australia</w:t>
      </w:r>
      <w:bookmarkEnd w:id="239"/>
    </w:p>
    <w:tbl>
      <w:tblPr>
        <w:tblStyle w:val="TableGrid"/>
        <w:tblW w:w="8363" w:type="dxa"/>
        <w:tblInd w:w="704" w:type="dxa"/>
        <w:tblLook w:val="04A0" w:firstRow="1" w:lastRow="0" w:firstColumn="1" w:lastColumn="0" w:noHBand="0" w:noVBand="1"/>
      </w:tblPr>
      <w:tblGrid>
        <w:gridCol w:w="1814"/>
        <w:gridCol w:w="1446"/>
        <w:gridCol w:w="1276"/>
        <w:gridCol w:w="3827"/>
      </w:tblGrid>
      <w:tr w:rsidR="00D93C65" w14:paraId="442F60F5" w14:textId="77777777" w:rsidTr="00344045">
        <w:trPr>
          <w:trHeight w:val="218"/>
        </w:trPr>
        <w:tc>
          <w:tcPr>
            <w:tcW w:w="1814" w:type="dxa"/>
            <w:tcBorders>
              <w:top w:val="single" w:sz="4" w:space="0" w:color="auto"/>
              <w:left w:val="single" w:sz="4" w:space="0" w:color="auto"/>
              <w:bottom w:val="single" w:sz="4" w:space="0" w:color="auto"/>
              <w:right w:val="single" w:sz="4" w:space="0" w:color="auto"/>
            </w:tcBorders>
            <w:hideMark/>
          </w:tcPr>
          <w:p w14:paraId="3A0F8F7C" w14:textId="77777777" w:rsidR="00D93C65" w:rsidRDefault="00D93C65" w:rsidP="006F2463">
            <w:pPr>
              <w:pStyle w:val="TableHeading"/>
              <w:rPr>
                <w:lang w:val="en-US"/>
              </w:rPr>
            </w:pPr>
            <w:r>
              <w:rPr>
                <w:lang w:val="en-US"/>
              </w:rPr>
              <w:t>Formulation</w:t>
            </w:r>
          </w:p>
        </w:tc>
        <w:tc>
          <w:tcPr>
            <w:tcW w:w="1446" w:type="dxa"/>
            <w:tcBorders>
              <w:top w:val="single" w:sz="4" w:space="0" w:color="auto"/>
              <w:left w:val="single" w:sz="4" w:space="0" w:color="auto"/>
              <w:bottom w:val="single" w:sz="4" w:space="0" w:color="auto"/>
              <w:right w:val="single" w:sz="4" w:space="0" w:color="auto"/>
            </w:tcBorders>
            <w:hideMark/>
          </w:tcPr>
          <w:p w14:paraId="020054ED" w14:textId="77777777" w:rsidR="00D93C65" w:rsidRDefault="00D93C65" w:rsidP="006F2463">
            <w:pPr>
              <w:pStyle w:val="TableHeading"/>
              <w:rPr>
                <w:lang w:val="en-US"/>
              </w:rPr>
            </w:pPr>
            <w:r>
              <w:rPr>
                <w:lang w:val="en-US"/>
              </w:rPr>
              <w:t>Name</w:t>
            </w:r>
          </w:p>
        </w:tc>
        <w:tc>
          <w:tcPr>
            <w:tcW w:w="1276" w:type="dxa"/>
            <w:tcBorders>
              <w:top w:val="single" w:sz="4" w:space="0" w:color="auto"/>
              <w:left w:val="single" w:sz="4" w:space="0" w:color="auto"/>
              <w:bottom w:val="single" w:sz="4" w:space="0" w:color="auto"/>
              <w:right w:val="single" w:sz="4" w:space="0" w:color="auto"/>
            </w:tcBorders>
            <w:hideMark/>
          </w:tcPr>
          <w:p w14:paraId="61C6C982" w14:textId="4055F057" w:rsidR="00D93C65" w:rsidRDefault="00D93C65" w:rsidP="006F2463">
            <w:pPr>
              <w:pStyle w:val="TableHeading"/>
              <w:rPr>
                <w:lang w:val="en-US"/>
              </w:rPr>
            </w:pPr>
            <w:r>
              <w:rPr>
                <w:lang w:val="en-US"/>
              </w:rPr>
              <w:t xml:space="preserve">Elemental </w:t>
            </w:r>
            <w:r w:rsidR="00344045">
              <w:rPr>
                <w:lang w:val="en-US"/>
              </w:rPr>
              <w:t>iron content</w:t>
            </w:r>
          </w:p>
        </w:tc>
        <w:tc>
          <w:tcPr>
            <w:tcW w:w="3827" w:type="dxa"/>
            <w:tcBorders>
              <w:top w:val="single" w:sz="4" w:space="0" w:color="auto"/>
              <w:left w:val="single" w:sz="4" w:space="0" w:color="auto"/>
              <w:bottom w:val="single" w:sz="4" w:space="0" w:color="auto"/>
              <w:right w:val="single" w:sz="4" w:space="0" w:color="auto"/>
            </w:tcBorders>
            <w:hideMark/>
          </w:tcPr>
          <w:p w14:paraId="222D7006" w14:textId="77777777" w:rsidR="00D93C65" w:rsidRDefault="00D93C65" w:rsidP="006F2463">
            <w:pPr>
              <w:pStyle w:val="TableHeading"/>
              <w:rPr>
                <w:lang w:val="en-US"/>
              </w:rPr>
            </w:pPr>
            <w:r>
              <w:rPr>
                <w:lang w:val="en-US"/>
              </w:rPr>
              <w:t>Notes</w:t>
            </w:r>
          </w:p>
        </w:tc>
      </w:tr>
      <w:tr w:rsidR="00D93C65" w14:paraId="63A8AD4F" w14:textId="77777777" w:rsidTr="00344045">
        <w:trPr>
          <w:trHeight w:val="641"/>
        </w:trPr>
        <w:tc>
          <w:tcPr>
            <w:tcW w:w="1814" w:type="dxa"/>
            <w:tcBorders>
              <w:top w:val="single" w:sz="4" w:space="0" w:color="auto"/>
              <w:left w:val="single" w:sz="4" w:space="0" w:color="auto"/>
              <w:bottom w:val="single" w:sz="4" w:space="0" w:color="auto"/>
              <w:right w:val="single" w:sz="4" w:space="0" w:color="auto"/>
            </w:tcBorders>
            <w:hideMark/>
          </w:tcPr>
          <w:p w14:paraId="68A77B7B" w14:textId="182DAB5E" w:rsidR="00D93C65" w:rsidRDefault="00D93C65" w:rsidP="00344045">
            <w:pPr>
              <w:pStyle w:val="TableText"/>
              <w:rPr>
                <w:lang w:val="en-US"/>
              </w:rPr>
            </w:pPr>
            <w:r>
              <w:rPr>
                <w:lang w:val="en-US"/>
              </w:rPr>
              <w:t>Ferrous sul</w:t>
            </w:r>
            <w:r w:rsidR="00344045">
              <w:rPr>
                <w:lang w:val="en-US"/>
              </w:rPr>
              <w:t>f</w:t>
            </w:r>
            <w:r>
              <w:rPr>
                <w:lang w:val="en-US"/>
              </w:rPr>
              <w:t>ate oral liquid</w:t>
            </w:r>
          </w:p>
        </w:tc>
        <w:tc>
          <w:tcPr>
            <w:tcW w:w="1446" w:type="dxa"/>
            <w:tcBorders>
              <w:top w:val="single" w:sz="4" w:space="0" w:color="auto"/>
              <w:left w:val="single" w:sz="4" w:space="0" w:color="auto"/>
              <w:bottom w:val="single" w:sz="4" w:space="0" w:color="auto"/>
              <w:right w:val="single" w:sz="4" w:space="0" w:color="auto"/>
            </w:tcBorders>
            <w:hideMark/>
          </w:tcPr>
          <w:p w14:paraId="7C390DC6" w14:textId="77777777" w:rsidR="00D93C65" w:rsidRDefault="00D93C65" w:rsidP="006F2463">
            <w:pPr>
              <w:pStyle w:val="TableText"/>
              <w:rPr>
                <w:lang w:val="en-US"/>
              </w:rPr>
            </w:pPr>
            <w:r>
              <w:rPr>
                <w:lang w:val="en-US"/>
              </w:rPr>
              <w:t>Ferro-Liquid</w:t>
            </w:r>
          </w:p>
        </w:tc>
        <w:tc>
          <w:tcPr>
            <w:tcW w:w="1276" w:type="dxa"/>
            <w:tcBorders>
              <w:top w:val="single" w:sz="4" w:space="0" w:color="auto"/>
              <w:left w:val="single" w:sz="4" w:space="0" w:color="auto"/>
              <w:bottom w:val="single" w:sz="4" w:space="0" w:color="auto"/>
              <w:right w:val="single" w:sz="4" w:space="0" w:color="auto"/>
            </w:tcBorders>
            <w:hideMark/>
          </w:tcPr>
          <w:p w14:paraId="33D25AF1" w14:textId="774218B9" w:rsidR="00D93C65" w:rsidRDefault="00D93C65" w:rsidP="006F2463">
            <w:pPr>
              <w:pStyle w:val="TableText"/>
              <w:rPr>
                <w:lang w:val="en-US"/>
              </w:rPr>
            </w:pPr>
            <w:r>
              <w:rPr>
                <w:lang w:val="en-US"/>
              </w:rPr>
              <w:t>6</w:t>
            </w:r>
            <w:r w:rsidR="00467B8B">
              <w:rPr>
                <w:lang w:val="en-US"/>
              </w:rPr>
              <w:t> </w:t>
            </w:r>
            <w:r>
              <w:rPr>
                <w:lang w:val="en-US"/>
              </w:rPr>
              <w:t>mg/ml</w:t>
            </w:r>
          </w:p>
        </w:tc>
        <w:tc>
          <w:tcPr>
            <w:tcW w:w="3827" w:type="dxa"/>
            <w:tcBorders>
              <w:top w:val="single" w:sz="4" w:space="0" w:color="auto"/>
              <w:left w:val="single" w:sz="4" w:space="0" w:color="auto"/>
              <w:bottom w:val="single" w:sz="4" w:space="0" w:color="auto"/>
              <w:right w:val="single" w:sz="4" w:space="0" w:color="auto"/>
            </w:tcBorders>
            <w:hideMark/>
          </w:tcPr>
          <w:p w14:paraId="27F7ACB0" w14:textId="77777777" w:rsidR="00D93C65" w:rsidRDefault="00D93C65" w:rsidP="006F2463">
            <w:pPr>
              <w:pStyle w:val="TableText"/>
              <w:rPr>
                <w:lang w:val="en-US"/>
              </w:rPr>
            </w:pPr>
            <w:r>
              <w:rPr>
                <w:lang w:val="en-US"/>
              </w:rPr>
              <w:t>Maximum daily dose 1 ml/kg</w:t>
            </w:r>
          </w:p>
        </w:tc>
      </w:tr>
      <w:tr w:rsidR="00D93C65" w14:paraId="197F111E" w14:textId="77777777" w:rsidTr="00344045">
        <w:trPr>
          <w:trHeight w:val="800"/>
        </w:trPr>
        <w:tc>
          <w:tcPr>
            <w:tcW w:w="1814" w:type="dxa"/>
            <w:tcBorders>
              <w:top w:val="single" w:sz="4" w:space="0" w:color="auto"/>
              <w:left w:val="single" w:sz="4" w:space="0" w:color="auto"/>
              <w:bottom w:val="single" w:sz="4" w:space="0" w:color="auto"/>
              <w:right w:val="single" w:sz="4" w:space="0" w:color="auto"/>
            </w:tcBorders>
            <w:hideMark/>
          </w:tcPr>
          <w:p w14:paraId="590D9394" w14:textId="3A454075" w:rsidR="00D93C65" w:rsidRDefault="00D93C65" w:rsidP="00344045">
            <w:pPr>
              <w:pStyle w:val="TableText"/>
              <w:rPr>
                <w:lang w:val="en-US"/>
              </w:rPr>
            </w:pPr>
            <w:r>
              <w:rPr>
                <w:lang w:val="en-US"/>
              </w:rPr>
              <w:t>Ferrous sul</w:t>
            </w:r>
            <w:r w:rsidR="00344045">
              <w:rPr>
                <w:lang w:val="en-US"/>
              </w:rPr>
              <w:t>f</w:t>
            </w:r>
            <w:r>
              <w:rPr>
                <w:lang w:val="en-US"/>
              </w:rPr>
              <w:t>ate delayed release capsules or spansules (270 mg)</w:t>
            </w:r>
          </w:p>
        </w:tc>
        <w:tc>
          <w:tcPr>
            <w:tcW w:w="1446" w:type="dxa"/>
            <w:tcBorders>
              <w:top w:val="single" w:sz="4" w:space="0" w:color="auto"/>
              <w:left w:val="single" w:sz="4" w:space="0" w:color="auto"/>
              <w:bottom w:val="single" w:sz="4" w:space="0" w:color="auto"/>
              <w:right w:val="single" w:sz="4" w:space="0" w:color="auto"/>
            </w:tcBorders>
            <w:hideMark/>
          </w:tcPr>
          <w:p w14:paraId="78E37379" w14:textId="053BFE3C" w:rsidR="00D93C65" w:rsidRDefault="00DF0139" w:rsidP="006F2463">
            <w:pPr>
              <w:pStyle w:val="TableText"/>
              <w:rPr>
                <w:lang w:val="en-US"/>
              </w:rPr>
            </w:pPr>
            <w:r>
              <w:rPr>
                <w:lang w:val="en-US"/>
              </w:rPr>
              <w:t>Fefol</w:t>
            </w:r>
            <w:r w:rsidR="00D93C65">
              <w:rPr>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48D1D993" w14:textId="3DBB5B4E" w:rsidR="00D93C65" w:rsidRDefault="00D93C65" w:rsidP="006F2463">
            <w:pPr>
              <w:pStyle w:val="TableText"/>
              <w:rPr>
                <w:lang w:val="en-US"/>
              </w:rPr>
            </w:pPr>
            <w:r>
              <w:rPr>
                <w:lang w:val="en-US"/>
              </w:rPr>
              <w:t>87.4</w:t>
            </w:r>
            <w:r w:rsidR="00467B8B">
              <w:rPr>
                <w:lang w:val="en-US"/>
              </w:rPr>
              <w:t> </w:t>
            </w:r>
            <w:r>
              <w:rPr>
                <w:lang w:val="en-US"/>
              </w:rPr>
              <w:t>mg</w:t>
            </w:r>
          </w:p>
        </w:tc>
        <w:tc>
          <w:tcPr>
            <w:tcW w:w="3827" w:type="dxa"/>
            <w:tcBorders>
              <w:top w:val="single" w:sz="4" w:space="0" w:color="auto"/>
              <w:left w:val="single" w:sz="4" w:space="0" w:color="auto"/>
              <w:bottom w:val="single" w:sz="4" w:space="0" w:color="auto"/>
              <w:right w:val="single" w:sz="4" w:space="0" w:color="auto"/>
            </w:tcBorders>
            <w:hideMark/>
          </w:tcPr>
          <w:p w14:paraId="3594B68B" w14:textId="129B501C" w:rsidR="00D93C65" w:rsidRDefault="00D93C65" w:rsidP="006F2463">
            <w:pPr>
              <w:pStyle w:val="TableText"/>
              <w:rPr>
                <w:lang w:val="en-US"/>
              </w:rPr>
            </w:pPr>
            <w:r>
              <w:rPr>
                <w:lang w:val="en-US"/>
              </w:rPr>
              <w:t>Spansules can be opened and sprinkled on food to give lower doses</w:t>
            </w:r>
          </w:p>
          <w:p w14:paraId="252BB9AE" w14:textId="6B5D0023" w:rsidR="00D93C65" w:rsidRDefault="00D93C65" w:rsidP="006F2463">
            <w:pPr>
              <w:pStyle w:val="TableText"/>
              <w:rPr>
                <w:lang w:val="en-US"/>
              </w:rPr>
            </w:pPr>
            <w:r>
              <w:rPr>
                <w:lang w:val="en-US"/>
              </w:rPr>
              <w:t>They should not be crushed or chewed</w:t>
            </w:r>
          </w:p>
        </w:tc>
      </w:tr>
      <w:tr w:rsidR="00D93C65" w14:paraId="5C9EF642" w14:textId="77777777" w:rsidTr="00344045">
        <w:trPr>
          <w:trHeight w:val="436"/>
        </w:trPr>
        <w:tc>
          <w:tcPr>
            <w:tcW w:w="1814" w:type="dxa"/>
            <w:tcBorders>
              <w:top w:val="single" w:sz="4" w:space="0" w:color="auto"/>
              <w:left w:val="single" w:sz="4" w:space="0" w:color="auto"/>
              <w:bottom w:val="single" w:sz="4" w:space="0" w:color="auto"/>
              <w:right w:val="single" w:sz="4" w:space="0" w:color="auto"/>
            </w:tcBorders>
            <w:hideMark/>
          </w:tcPr>
          <w:p w14:paraId="3AC07B9F" w14:textId="60F592FC" w:rsidR="00D93C65" w:rsidRDefault="00D93C65" w:rsidP="00344045">
            <w:pPr>
              <w:pStyle w:val="TableText"/>
              <w:rPr>
                <w:lang w:val="en-US"/>
              </w:rPr>
            </w:pPr>
            <w:r>
              <w:rPr>
                <w:lang w:val="en-US"/>
              </w:rPr>
              <w:t>Ferrous su</w:t>
            </w:r>
            <w:r w:rsidR="00344045">
              <w:rPr>
                <w:lang w:val="en-US"/>
              </w:rPr>
              <w:t>lf</w:t>
            </w:r>
            <w:r>
              <w:rPr>
                <w:lang w:val="en-US"/>
              </w:rPr>
              <w:t>ate (325 mg)</w:t>
            </w:r>
          </w:p>
        </w:tc>
        <w:tc>
          <w:tcPr>
            <w:tcW w:w="1446" w:type="dxa"/>
            <w:tcBorders>
              <w:top w:val="single" w:sz="4" w:space="0" w:color="auto"/>
              <w:left w:val="single" w:sz="4" w:space="0" w:color="auto"/>
              <w:bottom w:val="single" w:sz="4" w:space="0" w:color="auto"/>
              <w:right w:val="single" w:sz="4" w:space="0" w:color="auto"/>
            </w:tcBorders>
            <w:hideMark/>
          </w:tcPr>
          <w:p w14:paraId="055366CB" w14:textId="77777777" w:rsidR="00D93C65" w:rsidRDefault="00D93C65" w:rsidP="006F2463">
            <w:pPr>
              <w:pStyle w:val="TableText"/>
              <w:rPr>
                <w:lang w:val="en-US"/>
              </w:rPr>
            </w:pPr>
            <w:r>
              <w:rPr>
                <w:lang w:val="en-US"/>
              </w:rPr>
              <w:t>Ferro-Gradumet</w:t>
            </w:r>
          </w:p>
        </w:tc>
        <w:tc>
          <w:tcPr>
            <w:tcW w:w="1276" w:type="dxa"/>
            <w:tcBorders>
              <w:top w:val="single" w:sz="4" w:space="0" w:color="auto"/>
              <w:left w:val="single" w:sz="4" w:space="0" w:color="auto"/>
              <w:bottom w:val="single" w:sz="4" w:space="0" w:color="auto"/>
              <w:right w:val="single" w:sz="4" w:space="0" w:color="auto"/>
            </w:tcBorders>
            <w:hideMark/>
          </w:tcPr>
          <w:p w14:paraId="6B9B4007" w14:textId="77777777" w:rsidR="00D93C65" w:rsidRDefault="00D93C65" w:rsidP="006F2463">
            <w:pPr>
              <w:pStyle w:val="TableText"/>
              <w:rPr>
                <w:lang w:val="en-US"/>
              </w:rPr>
            </w:pPr>
            <w:r>
              <w:rPr>
                <w:lang w:val="en-US"/>
              </w:rPr>
              <w:t>105 mg</w:t>
            </w:r>
          </w:p>
        </w:tc>
        <w:tc>
          <w:tcPr>
            <w:tcW w:w="3827" w:type="dxa"/>
            <w:tcBorders>
              <w:top w:val="single" w:sz="4" w:space="0" w:color="auto"/>
              <w:left w:val="single" w:sz="4" w:space="0" w:color="auto"/>
              <w:bottom w:val="single" w:sz="4" w:space="0" w:color="auto"/>
              <w:right w:val="single" w:sz="4" w:space="0" w:color="auto"/>
            </w:tcBorders>
            <w:hideMark/>
          </w:tcPr>
          <w:p w14:paraId="3DF434EB" w14:textId="69DB20DE" w:rsidR="00D93C65" w:rsidRDefault="00D93C65" w:rsidP="006F2463">
            <w:pPr>
              <w:pStyle w:val="TableText"/>
              <w:rPr>
                <w:lang w:val="en-US"/>
              </w:rPr>
            </w:pPr>
            <w:r>
              <w:rPr>
                <w:lang w:val="en-US"/>
              </w:rPr>
              <w:t>May be appropriate and tolerated by the older child or adolescent</w:t>
            </w:r>
          </w:p>
        </w:tc>
      </w:tr>
    </w:tbl>
    <w:p w14:paraId="595A287A" w14:textId="77777777" w:rsidR="00D93C65" w:rsidRDefault="00D93C65" w:rsidP="00D93C65">
      <w:pPr>
        <w:spacing w:after="0"/>
        <w:ind w:left="360"/>
        <w:rPr>
          <w:rFonts w:ascii="Times" w:hAnsi="Times" w:cstheme="minorHAnsi"/>
          <w:lang w:eastAsia="zh-CN"/>
        </w:rPr>
      </w:pPr>
    </w:p>
    <w:p w14:paraId="224B9F83" w14:textId="48BFC720" w:rsidR="00225A02" w:rsidRDefault="00225A02" w:rsidP="00225A02">
      <w:pPr>
        <w:pStyle w:val="Normalbeforebullet"/>
      </w:pPr>
      <w:r>
        <w:t>In relation to iron supplementation options, the following considerations apply:</w:t>
      </w:r>
    </w:p>
    <w:p w14:paraId="72CFBCBD" w14:textId="47EE1792" w:rsidR="00D93C65" w:rsidRDefault="00225A02" w:rsidP="00225A02">
      <w:pPr>
        <w:pStyle w:val="Bullet6"/>
      </w:pPr>
      <w:r>
        <w:t xml:space="preserve">each </w:t>
      </w:r>
      <w:r w:rsidR="00D93C65">
        <w:t>oral iron preparation contains a</w:t>
      </w:r>
      <w:r w:rsidR="00467B8B">
        <w:t xml:space="preserve"> different elemental iron dose</w:t>
      </w:r>
    </w:p>
    <w:p w14:paraId="2688987F" w14:textId="35515D3D" w:rsidR="00D93C65" w:rsidRDefault="00225A02" w:rsidP="00225A02">
      <w:pPr>
        <w:pStyle w:val="Bullet6"/>
      </w:pPr>
      <w:r>
        <w:t>over</w:t>
      </w:r>
      <w:r w:rsidR="00D93C65">
        <w:t>-the-counter multivitamin or mineral supplements should not be used to treat IDA b</w:t>
      </w:r>
      <w:r>
        <w:t>ecause the iron content is low</w:t>
      </w:r>
    </w:p>
    <w:p w14:paraId="614F0119" w14:textId="620E1946" w:rsidR="00D93C65" w:rsidRDefault="00225A02" w:rsidP="00225A02">
      <w:pPr>
        <w:pStyle w:val="Bullet6"/>
        <w:rPr>
          <w:rFonts w:cstheme="minorBidi"/>
        </w:rPr>
      </w:pPr>
      <w:r>
        <w:t xml:space="preserve">compliance </w:t>
      </w:r>
      <w:r w:rsidR="00D93C65">
        <w:t>and tolerability of iron preparations may be an issue with children</w:t>
      </w:r>
      <w:r>
        <w:t>:</w:t>
      </w:r>
      <w:hyperlink w:anchor="_ENREF_360" w:tooltip="Grant, 2007 #803" w:history="1">
        <w:r w:rsidR="00E62798">
          <w:fldChar w:fldCharType="begin"/>
        </w:r>
        <w:r w:rsidR="00E62798">
          <w:instrText xml:space="preserve"> ADDIN EN.CITE &lt;EndNote&gt;&lt;Cite&gt;&lt;Author&gt;Grant&lt;/Author&gt;&lt;Year&gt;2007&lt;/Year&gt;&lt;RecNum&gt;803&lt;/RecNum&gt;&lt;DisplayText&gt;&lt;style face="superscript"&gt;360&lt;/style&gt;&lt;/DisplayText&gt;&lt;record&gt;&lt;rec-number&gt;803&lt;/rec-number&gt;&lt;foreign-keys&gt;&lt;key app="EN" db-id="9edve2wadsavt5ewavaxtda4f2tavzvts9ee" timestamp="1433318852"&gt;803&lt;/key&gt;&lt;/foreign-keys&gt;&lt;ref-type name="Journal Article"&gt;17&lt;/ref-type&gt;&lt;contributors&gt;&lt;authors&gt;&lt;author&gt;Grant, C. C.&lt;/author&gt;&lt;author&gt;Wall, C. R.&lt;/author&gt;&lt;author&gt;Brewster, D.&lt;/author&gt;&lt;author&gt;Nicholson, R.&lt;/author&gt;&lt;author&gt;Whitehall, J.&lt;/author&gt;&lt;author&gt;Super, L.&lt;/author&gt;&lt;author&gt;Pitcher, L.&lt;/author&gt;&lt;/authors&gt;&lt;/contributors&gt;&lt;auth-address&gt;Department of Paediatrics, University of Auckland, Auckland, New Zealand. cc.grant@auckland.ac.nz&lt;/auth-address&gt;&lt;titles&gt;&lt;title&gt;Policy statement on iron deficiency in pre-school-aged children&lt;/title&gt;&lt;secondary-title&gt;J Paediatr Child Health&lt;/secondary-title&gt;&lt;/titles&gt;&lt;periodical&gt;&lt;full-title&gt;J Paediatr Child Health&lt;/full-title&gt;&lt;/periodical&gt;&lt;pages&gt;513–21&lt;/pages&gt;&lt;volume&gt;43&lt;/volume&gt;&lt;number&gt;7-8&lt;/number&gt;&lt;keywords&gt;&lt;keyword&gt;*Anemia, Iron-Deficiency/blood/diet therapy/prevention &amp;amp; control&lt;/keyword&gt;&lt;keyword&gt;Australia&lt;/keyword&gt;&lt;keyword&gt;Child, Preschool&lt;/keyword&gt;&lt;keyword&gt;Female&lt;/keyword&gt;&lt;keyword&gt;Ferrous Compounds/therapeutic use&lt;/keyword&gt;&lt;keyword&gt;*Health Policy&lt;/keyword&gt;&lt;keyword&gt;Humans&lt;/keyword&gt;&lt;keyword&gt;Infant&lt;/keyword&gt;&lt;keyword&gt;Infant Nutritional Physiological Phenomena&lt;/keyword&gt;&lt;keyword&gt;Infant, Newborn&lt;/keyword&gt;&lt;keyword&gt;Iron, Dietary/administration &amp;amp; dosage&lt;/keyword&gt;&lt;keyword&gt;Male&lt;/keyword&gt;&lt;keyword&gt;New Zealand&lt;/keyword&gt;&lt;keyword&gt;Practice Guidelines as Topic&lt;/keyword&gt;&lt;keyword&gt;Pregnancy&lt;/keyword&gt;&lt;keyword&gt;Prenatal Care&lt;/keyword&gt;&lt;/keywords&gt;&lt;dates&gt;&lt;year&gt;2007&lt;/year&gt;&lt;pub-dates&gt;&lt;date&gt;Jul-Aug&lt;/date&gt;&lt;/pub-dates&gt;&lt;/dates&gt;&lt;isbn&gt;1034-4810 (Print)&amp;#xD;1034-4810 (Linking)&lt;/isbn&gt;&lt;accession-num&gt;17635678&lt;/accession-num&gt;&lt;urls&gt;&lt;related-urls&gt;&lt;url&gt;http://www.ncbi.nlm.nih.gov/pubmed/17635678&lt;/url&gt;&lt;/related-urls&gt;&lt;/urls&gt;&lt;electronic-resource-num&gt;10.1111/j.1440-1754.2007.01128.x&lt;/electronic-resource-num&gt;&lt;/record&gt;&lt;/Cite&gt;&lt;/EndNote&gt;</w:instrText>
        </w:r>
        <w:r w:rsidR="00E62798">
          <w:fldChar w:fldCharType="separate"/>
        </w:r>
        <w:r w:rsidR="00E62798" w:rsidRPr="00E62798">
          <w:rPr>
            <w:noProof/>
            <w:vertAlign w:val="superscript"/>
          </w:rPr>
          <w:t>360</w:t>
        </w:r>
        <w:r w:rsidR="00E62798">
          <w:fldChar w:fldCharType="end"/>
        </w:r>
      </w:hyperlink>
      <w:r w:rsidR="00D93C65">
        <w:rPr>
          <w:vertAlign w:val="superscript"/>
        </w:rPr>
        <w:t xml:space="preserve"> </w:t>
      </w:r>
    </w:p>
    <w:p w14:paraId="2EEA086E" w14:textId="7C7B77C5" w:rsidR="00D93C65" w:rsidRPr="004B247B" w:rsidRDefault="00D93C65" w:rsidP="00D93C65">
      <w:pPr>
        <w:pStyle w:val="Dash6"/>
        <w:tabs>
          <w:tab w:val="clear" w:pos="1440"/>
          <w:tab w:val="num" w:pos="1418"/>
        </w:tabs>
      </w:pPr>
      <w:r w:rsidRPr="004B247B">
        <w:t>lower doses or intermittent dosing may be as effective and better tolerated</w:t>
      </w:r>
      <w:r w:rsidR="00E62798">
        <w:fldChar w:fldCharType="begin">
          <w:fldData xml:space="preserve">PEVuZE5vdGU+PENpdGU+PEF1dGhvcj5QYXNyaWNoYTwvQXV0aG9yPjxZZWFyPjIwMTA8L1llYXI+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aW50KSYjeEQ7MTAzNC00ODEwIChMaW5raW5nKTwvaXNibj48YWNjZXNzaW9uLW51bT4xNzYzNTY3
ODwvYWNjZXNzaW9uLW51bT48dXJscz48cmVsYXRlZC11cmxzPjx1cmw+aHR0cDovL3d3dy5uY2Jp
Lm5sbS5uaWguZ292L3B1Ym1lZC8xNzYzNTY3ODwvdXJsPjwvcmVsYXRlZC11cmxzPjwvdXJscz48
ZWxlY3Ryb25pYy1yZXNvdXJjZS1udW0+MTAuMTExMS9qLjE0NDAtMTc1NC4yMDA3LjAxMTI4Lng8
L2VsZWN0cm9uaWMtcmVzb3VyY2UtbnVtPjwvcmVjb3JkPjwvQ2l0ZT48L0VuZE5vdGU+AG==
</w:fldData>
        </w:fldChar>
      </w:r>
      <w:r w:rsidR="00E62798">
        <w:instrText xml:space="preserve"> ADDIN EN.CITE </w:instrText>
      </w:r>
      <w:r w:rsidR="00E62798">
        <w:fldChar w:fldCharType="begin">
          <w:fldData xml:space="preserve">PEVuZE5vdGU+PENpdGU+PEF1dGhvcj5QYXNyaWNoYTwvQXV0aG9yPjxZZWFyPjIwMTA8L1llYXI+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aW50KSYjeEQ7MTAzNC00ODEwIChMaW5raW5nKTwvaXNibj48YWNjZXNzaW9uLW51bT4xNzYzNTY3
ODwvYWNjZXNzaW9uLW51bT48dXJscz48cmVsYXRlZC11cmxzPjx1cmw+aHR0cDovL3d3dy5uY2Jp
Lm5sbS5uaWguZ292L3B1Ym1lZC8xNzYzNTY3ODwvdXJsPjwvcmVsYXRlZC11cmxzPjwvdXJscz48
ZWxlY3Ryb25pYy1yZXNvdXJjZS1udW0+MTAuMTExMS9qLjE0NDAtMTc1NC4yMDA3LjAxMTI4Lng8
L2VsZWN0cm9uaWMtcmVzb3VyY2UtbnVtPjwvcmVjb3JkPjwvQ2l0ZT48L0VuZE5vdGU+AG==
</w:fldData>
        </w:fldChar>
      </w:r>
      <w:r w:rsidR="00E62798">
        <w:instrText xml:space="preserve"> ADDIN EN.CITE.DATA </w:instrText>
      </w:r>
      <w:r w:rsidR="00E62798">
        <w:fldChar w:fldCharType="end"/>
      </w:r>
      <w:r w:rsidR="00E62798">
        <w:fldChar w:fldCharType="separate"/>
      </w:r>
      <w:hyperlink w:anchor="_ENREF_360" w:tooltip="Grant, 2007 #803" w:history="1">
        <w:r w:rsidR="00E62798" w:rsidRPr="00E62798">
          <w:rPr>
            <w:noProof/>
            <w:vertAlign w:val="superscript"/>
          </w:rPr>
          <w:t>360</w:t>
        </w:r>
      </w:hyperlink>
      <w:r w:rsidR="00E62798" w:rsidRPr="00E62798">
        <w:rPr>
          <w:noProof/>
          <w:vertAlign w:val="superscript"/>
        </w:rPr>
        <w:t xml:space="preserve">; </w:t>
      </w:r>
      <w:hyperlink w:anchor="_ENREF_368" w:tooltip="Pasricha, 2010 #815" w:history="1">
        <w:r w:rsidR="00E62798" w:rsidRPr="00E62798">
          <w:rPr>
            <w:noProof/>
            <w:vertAlign w:val="superscript"/>
          </w:rPr>
          <w:t>368</w:t>
        </w:r>
      </w:hyperlink>
      <w:r w:rsidR="00E62798">
        <w:fldChar w:fldCharType="end"/>
      </w:r>
      <w:r w:rsidRPr="004B247B">
        <w:t xml:space="preserve"> </w:t>
      </w:r>
    </w:p>
    <w:p w14:paraId="63523076" w14:textId="351A2E90" w:rsidR="00D93C65" w:rsidRPr="004B247B" w:rsidRDefault="00D93C65" w:rsidP="00D93C65">
      <w:pPr>
        <w:pStyle w:val="Dash6"/>
        <w:tabs>
          <w:tab w:val="clear" w:pos="1440"/>
          <w:tab w:val="num" w:pos="1418"/>
        </w:tabs>
      </w:pPr>
      <w:r w:rsidRPr="004B247B">
        <w:t>daily iron dose may be divided into 2</w:t>
      </w:r>
      <w:r>
        <w:t>–</w:t>
      </w:r>
      <w:r w:rsidRPr="004B247B">
        <w:t>3 doses</w:t>
      </w:r>
      <w:r w:rsidR="00E62798">
        <w:fldChar w:fldCharType="begin">
          <w:fldData xml:space="preserve">PEVuZE5vdGU+PENpdGU+PEF1dGhvcj5HcmFudDwvQXV0aG9yPjxZZWFyPjIwMDc8L1llYXI+PFJl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==
</w:fldData>
        </w:fldChar>
      </w:r>
      <w:r w:rsidR="00E62798">
        <w:instrText xml:space="preserve"> ADDIN EN.CITE </w:instrText>
      </w:r>
      <w:r w:rsidR="00E62798">
        <w:fldChar w:fldCharType="begin">
          <w:fldData xml:space="preserve">PEVuZE5vdGU+PENpdGU+PEF1dGhvcj5HcmFudDwvQXV0aG9yPjxZZWFyPjIwMDc8L1llYXI+PFJl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==
</w:fldData>
        </w:fldChar>
      </w:r>
      <w:r w:rsidR="00E62798">
        <w:instrText xml:space="preserve"> ADDIN EN.CITE.DATA </w:instrText>
      </w:r>
      <w:r w:rsidR="00E62798">
        <w:fldChar w:fldCharType="end"/>
      </w:r>
      <w:r w:rsidR="00E62798">
        <w:fldChar w:fldCharType="separate"/>
      </w:r>
      <w:hyperlink w:anchor="_ENREF_360" w:tooltip="Grant, 2007 #803" w:history="1">
        <w:r w:rsidR="00E62798" w:rsidRPr="00E62798">
          <w:rPr>
            <w:noProof/>
            <w:vertAlign w:val="superscript"/>
          </w:rPr>
          <w:t>360</w:t>
        </w:r>
      </w:hyperlink>
      <w:r w:rsidR="00E62798" w:rsidRPr="00E62798">
        <w:rPr>
          <w:noProof/>
          <w:vertAlign w:val="superscript"/>
        </w:rPr>
        <w:t xml:space="preserve">; </w:t>
      </w:r>
      <w:hyperlink w:anchor="_ENREF_371" w:tooltip="Paediatric Pharmacopoiea, 2002 #813" w:history="1">
        <w:r w:rsidR="00E62798" w:rsidRPr="00E62798">
          <w:rPr>
            <w:noProof/>
            <w:vertAlign w:val="superscript"/>
          </w:rPr>
          <w:t>371</w:t>
        </w:r>
      </w:hyperlink>
      <w:r w:rsidR="00E62798">
        <w:fldChar w:fldCharType="end"/>
      </w:r>
    </w:p>
    <w:p w14:paraId="631A0A2A" w14:textId="0744F692" w:rsidR="00D93C65" w:rsidRPr="004B247B" w:rsidRDefault="00D93C65" w:rsidP="00D93C65">
      <w:pPr>
        <w:pStyle w:val="Dash6"/>
        <w:tabs>
          <w:tab w:val="clear" w:pos="1440"/>
          <w:tab w:val="num" w:pos="1418"/>
        </w:tabs>
      </w:pPr>
      <w:r w:rsidRPr="004B247B">
        <w:t>oral iron is best absorbed on an empty stomach</w:t>
      </w:r>
      <w:r w:rsidR="00225A02">
        <w:t>,</w:t>
      </w:r>
      <w:r w:rsidRPr="004B247B">
        <w:t xml:space="preserve"> ideally 1 h</w:t>
      </w:r>
      <w:r w:rsidR="00467B8B">
        <w:t>ou</w:t>
      </w:r>
      <w:r w:rsidRPr="004B247B">
        <w:t>r before or 2 h</w:t>
      </w:r>
      <w:r w:rsidR="00467B8B">
        <w:t>ou</w:t>
      </w:r>
      <w:r w:rsidRPr="004B247B">
        <w:t>rs after food</w:t>
      </w:r>
    </w:p>
    <w:p w14:paraId="7904CB4A" w14:textId="77777777" w:rsidR="00D93C65" w:rsidRPr="004B247B" w:rsidRDefault="00D93C65" w:rsidP="00D93C65">
      <w:pPr>
        <w:pStyle w:val="Dash6"/>
        <w:tabs>
          <w:tab w:val="clear" w:pos="1440"/>
          <w:tab w:val="num" w:pos="1418"/>
        </w:tabs>
      </w:pPr>
      <w:r w:rsidRPr="004B247B">
        <w:t>consider giving iron preparation with vitamin C (e</w:t>
      </w:r>
      <w:r>
        <w:t>.</w:t>
      </w:r>
      <w:r w:rsidRPr="004B247B">
        <w:t>g. orange juice) to improve absorption</w:t>
      </w:r>
    </w:p>
    <w:p w14:paraId="47F7D483" w14:textId="77777777" w:rsidR="00D93C65" w:rsidRPr="004B247B" w:rsidRDefault="00D93C65" w:rsidP="00D93C65">
      <w:pPr>
        <w:pStyle w:val="Dash6"/>
        <w:tabs>
          <w:tab w:val="clear" w:pos="1440"/>
          <w:tab w:val="num" w:pos="1418"/>
        </w:tabs>
      </w:pPr>
      <w:r w:rsidRPr="004B247B">
        <w:t>gastrointestinal upset may be reduced by taking iron with food or at night and increasing the dose gradually</w:t>
      </w:r>
    </w:p>
    <w:p w14:paraId="09A07E89" w14:textId="6311F736" w:rsidR="00D93C65" w:rsidRPr="004B247B" w:rsidRDefault="00D93C65" w:rsidP="00D93C65">
      <w:pPr>
        <w:pStyle w:val="Dash6"/>
        <w:tabs>
          <w:tab w:val="clear" w:pos="1440"/>
          <w:tab w:val="num" w:pos="1418"/>
        </w:tabs>
      </w:pPr>
      <w:r w:rsidRPr="004B247B">
        <w:t>oral iron is best avoided in patients with inflammatory bowel disease due to side effects, poor absorption and exacerbation of inflammation</w:t>
      </w:r>
      <w:hyperlink w:anchor="_ENREF_2" w:tooltip="National Blood Authority (NBA), 2012 #198" w:history="1">
        <w:r w:rsidR="00E62798">
          <w:fldChar w:fldCharType="begin"/>
        </w:r>
        <w:r w:rsidR="00E62798">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00E62798">
          <w:fldChar w:fldCharType="separate"/>
        </w:r>
        <w:r w:rsidR="00E62798" w:rsidRPr="00E62798">
          <w:rPr>
            <w:noProof/>
            <w:vertAlign w:val="superscript"/>
          </w:rPr>
          <w:t>2</w:t>
        </w:r>
        <w:r w:rsidR="00E62798">
          <w:fldChar w:fldCharType="end"/>
        </w:r>
      </w:hyperlink>
    </w:p>
    <w:p w14:paraId="6D22F22F" w14:textId="6090F047" w:rsidR="00D93C65" w:rsidRDefault="00225A02" w:rsidP="00225A02">
      <w:pPr>
        <w:pStyle w:val="Bullet6"/>
      </w:pPr>
      <w:r>
        <w:t xml:space="preserve">iron </w:t>
      </w:r>
      <w:r w:rsidR="00D93C65">
        <w:t xml:space="preserve">formulations can cause temporary staining of the teeth; brushing teeth with </w:t>
      </w:r>
      <w:r>
        <w:t>baking soda may ameliorate this</w:t>
      </w:r>
    </w:p>
    <w:p w14:paraId="70B1D98D" w14:textId="5E204CF6" w:rsidR="00D93C65" w:rsidRDefault="00225A02" w:rsidP="00225A02">
      <w:pPr>
        <w:pStyle w:val="Bullet6"/>
        <w:rPr>
          <w:rFonts w:cstheme="minorBidi"/>
        </w:rPr>
      </w:pPr>
      <w:r>
        <w:t xml:space="preserve">response </w:t>
      </w:r>
      <w:r w:rsidR="00D93C65">
        <w:t>and compliance should be monitored by measu</w:t>
      </w:r>
      <w:r>
        <w:t>ring Hb and reticulocyte count</w:t>
      </w:r>
    </w:p>
    <w:p w14:paraId="71F3E663" w14:textId="4074CF80" w:rsidR="00D93C65" w:rsidRDefault="00225A02" w:rsidP="00225A02">
      <w:pPr>
        <w:pStyle w:val="Bullet12"/>
      </w:pPr>
      <w:r>
        <w:t xml:space="preserve">oral </w:t>
      </w:r>
      <w:r w:rsidR="00D93C65">
        <w:t>iron should be continued for 3 months after anaemia has been corrected, to replenish stores.</w:t>
      </w:r>
      <w:hyperlink w:anchor="_ENREF_368" w:tooltip="Pasricha, 2010 #815" w:history="1">
        <w:r w:rsidR="00E62798">
          <w:fldChar w:fldCharType="begin">
            <w:fldData xml:space="preserve">PEVuZE5vdGU+PENpdGUgRXhjbHVkZUF1dGg9IjEiIEV4Y2x1ZGVZZWFyPSIxIj48UmVjTnVtPjgz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YWJici0xPkd1dDwvYWJici0xPjwvYWx0LXBlcmlvZGljYWw+PHBhZ2VzPjEzMDnigJMxMzE2PC9w
YWdlcz48dm9sdW1lPjYwPC92b2x1bWU+PG51bWJlcj4xMDwvbnVtYmVyPjxkYXRlcz48eWVhcj4y
MDExPC95ZWFyPjwvZGF0ZXM+PGlzYm4+MDAxNy01NzQ5PC9pc2JuPjx1cmxzPjxyZWxhdGVkLXVy
bHM+PHVybD5odHRwOi8vZ3V0LmJtai5jb20vY29udGVudC82MC8xMC8xMzA5LmZ1bGwucGRmPC91
cmw+PC9yZWxhdGVkLXVybHM+PC91cmxzPjxlbGVjdHJvbmljLXJlc291cmNlLW51bT5ET0k6MTAu
MTEzNi9ndXQuMjAxMC4yMjg4NzQ8L2VsZWN0cm9uaWMtcmVzb3VyY2UtbnVtPjwvcmVjb3JkPjwv
Q2l0ZT48L0VuZE5vdGU+AG==
</w:fldData>
          </w:fldChar>
        </w:r>
        <w:r w:rsidR="00E62798">
          <w:instrText xml:space="preserve"> ADDIN EN.CITE </w:instrText>
        </w:r>
        <w:r w:rsidR="00E62798">
          <w:fldChar w:fldCharType="begin">
            <w:fldData xml:space="preserve">PEVuZE5vdGU+PENpdGUgRXhjbHVkZUF1dGg9IjEiIEV4Y2x1ZGVZZWFyPSIxIj48UmVjTnVtPjgz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YWJici0xPkd1dDwvYWJici0xPjwvYWx0LXBlcmlvZGljYWw+PHBhZ2VzPjEzMDnigJMxMzE2PC9w
YWdlcz48dm9sdW1lPjYwPC92b2x1bWU+PG51bWJlcj4xMDwvbnVtYmVyPjxkYXRlcz48eWVhcj4y
MDExPC95ZWFyPjwvZGF0ZXM+PGlzYm4+MDAxNy01NzQ5PC9pc2JuPjx1cmxzPjxyZWxhdGVkLXVy
bHM+PHVybD5odHRwOi8vZ3V0LmJtai5jb20vY29udGVudC82MC8xMC8xMzA5LmZ1bGwucGRmPC91
cmw+PC9yZWxhdGVkLXVybHM+PC91cmxzPjxlbGVjdHJvbmljLXJlc291cmNlLW51bT5ET0k6MTAu
MTEzNi9ndXQuMjAxMC4yMjg4NzQ8L2VsZWN0cm9uaWMtcmVzb3VyY2UtbnVtPjwvcmVjb3JkPjwv
Q2l0ZT48L0VuZE5vdGU+AG==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368-370</w:t>
        </w:r>
        <w:r w:rsidR="00E62798">
          <w:fldChar w:fldCharType="end"/>
        </w:r>
      </w:hyperlink>
    </w:p>
    <w:p w14:paraId="34DA6105" w14:textId="77777777" w:rsidR="00D93C65" w:rsidRDefault="00D93C65" w:rsidP="00D93C65">
      <w:pPr>
        <w:pStyle w:val="Heading5"/>
      </w:pPr>
      <w:r>
        <w:t>Intramuscular iron therapy</w:t>
      </w:r>
    </w:p>
    <w:p w14:paraId="38C8DCCD" w14:textId="6CB7E84C" w:rsidR="00D93C65" w:rsidRDefault="00FE6AAF" w:rsidP="00D93C65">
      <w:pPr>
        <w:rPr>
          <w:vertAlign w:val="superscript"/>
        </w:rPr>
      </w:pPr>
      <w:r>
        <w:t>Use of i</w:t>
      </w:r>
      <w:r w:rsidR="00D93C65">
        <w:t>ntramuscular (IM) iron is discouraged.</w:t>
      </w:r>
      <w:hyperlink w:anchor="_ENREF_367" w:tooltip="Gastroenterological Society of Australia, 2008. #829" w:history="1">
        <w:r w:rsidR="00E62798">
          <w:fldChar w:fldCharType="begin">
            <w:fldData xml:space="preserve">PEVuZE5vdGU+PENpdGU+PEF1dGhvcj5HYXN0cm9lbnRlcm9sb2dpY2FsIFNvY2lldHkgb2YgQXVz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</w:fldData>
          </w:fldChar>
        </w:r>
        <w:r w:rsidR="00E62798">
          <w:instrText xml:space="preserve"> ADDIN EN.CITE </w:instrText>
        </w:r>
        <w:r w:rsidR="00E62798">
          <w:fldChar w:fldCharType="begin">
            <w:fldData xml:space="preserve">PEVuZE5vdGU+PENpdGU+PEF1dGhvcj5HYXN0cm9lbnRlcm9sb2dpY2FsIFNvY2lldHkgb2YgQXVz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367-368</w:t>
        </w:r>
        <w:r w:rsidR="00E62798">
          <w:fldChar w:fldCharType="end"/>
        </w:r>
      </w:hyperlink>
      <w:r w:rsidR="00F848F2">
        <w:rPr>
          <w:vertAlign w:val="superscript"/>
        </w:rPr>
        <w:t xml:space="preserve"> </w:t>
      </w:r>
      <w:r w:rsidR="00D93C65">
        <w:t>IM iron is effective but painful, may be associated with permanent skin staining</w:t>
      </w:r>
      <w:r w:rsidR="00467B8B">
        <w:t xml:space="preserve"> and</w:t>
      </w:r>
      <w:r w:rsidR="00D93C65">
        <w:t xml:space="preserve"> is no safer than </w:t>
      </w:r>
      <w:r>
        <w:t>IV</w:t>
      </w:r>
      <w:r w:rsidR="00D93C65">
        <w:t xml:space="preserve"> infusion</w:t>
      </w:r>
      <w:r w:rsidR="00467B8B">
        <w:t>.</w:t>
      </w:r>
      <w:hyperlink w:anchor="_ENREF_368" w:tooltip="Pasricha, 2010 #815" w:history="1">
        <w:r w:rsidR="00E62798">
          <w:fldChar w:fldCharType="begin"/>
        </w:r>
        <w:r w:rsidR="00E62798">
          <w:instrText xml:space="preserve"> ADDIN EN.CITE &lt;EndNote&gt;&lt;Cite&gt;&lt;Author&gt;Pasricha&lt;/Author&gt;&lt;Year&gt;2010&lt;/Year&gt;&lt;RecNum&gt;815&lt;/RecNum&gt;&lt;DisplayText&gt;&lt;style face="superscript"&gt;368&lt;/style&gt;&lt;/DisplayText&gt;&lt;record&gt;&lt;rec-number&gt;815&lt;/rec-number&gt;&lt;foreign-keys&gt;&lt;key app="EN" db-id="9edve2wadsavt5ewavaxtda4f2tavzvts9ee" timestamp="1433318852"&gt;815&lt;/key&gt;&lt;/foreign-keys&gt;&lt;ref-type name="Journal Article"&gt;17&lt;/ref-type&gt;&lt;contributors&gt;&lt;authors&gt;&lt;author&gt;Pasricha, S. R.&lt;/author&gt;&lt;author&gt;Flecknoe-Brown, S. C.&lt;/author&gt;&lt;author&gt;Allen, K. J.&lt;/author&gt;&lt;author&gt;Gibson, P. R.&lt;/author&gt;&lt;author&gt;McMahon, L. P.&lt;/author&gt;&lt;author&gt;Olynyk, J. K.&lt;/author&gt;&lt;author&gt;Roger, S. D.&lt;/author&gt;&lt;author&gt;Savoia, H. F.&lt;/author&gt;&lt;author&gt;Tampi, R.&lt;/author&gt;&lt;author&gt;Thomson, A. R.&lt;/author&gt;&lt;author&gt;Wood, E. M.&lt;/author&gt;&lt;author&gt;Robinson, K. L.&lt;/author&gt;&lt;/authors&gt;&lt;/contributors&gt;&lt;auth-address&gt;Royal Melbourne Hospital, Melbourne, VIC, Australia.&lt;/auth-address&gt;&lt;titles&gt;&lt;title&gt;Diagnosis and management of iron deficiency anaemia: a clinical update&lt;/title&gt;&lt;secondary-title&gt;Med J Aust&lt;/secondary-title&gt;&lt;/titles&gt;&lt;periodical&gt;&lt;full-title&gt;Med J Aust&lt;/full-title&gt;&lt;/periodical&gt;&lt;pages&gt;525–32&lt;/pages&gt;&lt;volume&gt;193&lt;/volume&gt;&lt;number&gt;9&lt;/number&gt;&lt;keywords&gt;&lt;keyword&gt;Anemia, Iron-Deficiency/complications/*diagnosis/etiology/*therapy&lt;/keyword&gt;&lt;keyword&gt;Biological Markers/blood&lt;/keyword&gt;&lt;keyword&gt;Bone Marrow/metabolism&lt;/keyword&gt;&lt;keyword&gt;Erythrocyte Transfusion&lt;/keyword&gt;&lt;keyword&gt;Ferritins/blood&lt;/keyword&gt;&lt;keyword&gt;Humans&lt;/keyword&gt;&lt;keyword&gt;Iron/metabolism&lt;/keyword&gt;&lt;keyword&gt;Iron Compounds/administration &amp;amp; dosage&lt;/keyword&gt;&lt;keyword&gt;Nutritional Requirements&lt;/keyword&gt;&lt;keyword&gt;Receptors, Transferrin/blood&lt;/keyword&gt;&lt;/keywords&gt;&lt;dates&gt;&lt;year&gt;2010&lt;/year&gt;&lt;pub-dates&gt;&lt;date&gt;Nov 1&lt;/date&gt;&lt;/pub-dates&gt;&lt;/dates&gt;&lt;isbn&gt;0025-729X (Print)&amp;#xD;0025-729X (Linking)&lt;/isbn&gt;&lt;accession-num&gt;21034387&lt;/accession-num&gt;&lt;urls&gt;&lt;related-urls&gt;&lt;url&gt;http://www.ncbi.nlm.nih.gov/pubmed/21034387&lt;/url&gt;&lt;/related-urls&gt;&lt;/urls&gt;&lt;/record&gt;&lt;/Cite&gt;&lt;/EndNote&gt;</w:instrText>
        </w:r>
        <w:r w:rsidR="00E62798">
          <w:fldChar w:fldCharType="separate"/>
        </w:r>
        <w:r w:rsidR="00E62798" w:rsidRPr="00E62798">
          <w:rPr>
            <w:noProof/>
            <w:vertAlign w:val="superscript"/>
          </w:rPr>
          <w:t>368</w:t>
        </w:r>
        <w:r w:rsidR="00E62798">
          <w:fldChar w:fldCharType="end"/>
        </w:r>
      </w:hyperlink>
    </w:p>
    <w:p w14:paraId="0CCB721A" w14:textId="1688E30E" w:rsidR="00D93C65" w:rsidRDefault="00DF0139" w:rsidP="00D93C65">
      <w:pPr>
        <w:pStyle w:val="Heading5"/>
      </w:pPr>
      <w:r>
        <w:rPr>
          <w:lang w:val="en-AU"/>
        </w:rPr>
        <w:t>IV</w:t>
      </w:r>
      <w:r>
        <w:t xml:space="preserve"> </w:t>
      </w:r>
      <w:r w:rsidR="00D93C65">
        <w:t>iron therapy</w:t>
      </w:r>
    </w:p>
    <w:p w14:paraId="73E509D0" w14:textId="79FAEA2B" w:rsidR="00D93C65" w:rsidRDefault="00D93C65" w:rsidP="00D93C65">
      <w:pPr>
        <w:pStyle w:val="Normalbeforebullet"/>
      </w:pPr>
      <w:r>
        <w:t>IV iron should be considered in the following circumstances:</w:t>
      </w:r>
      <w:r w:rsidR="00E62798">
        <w:fldChar w:fldCharType="begin">
          <w:fldData xml:space="preserve">PEVuZE5vdGU+PENpdGU+PEF1dGhvcj5QYXNyaWNoYTwvQXV0aG9yPjxZZWFyPjIwMTA8L1llYXI+
PFJlY051bT44MTU8L1JlY051bT48RGlzcGxheVRleHQ+PHN0eWxlIGZhY2U9InN1cGVyc2NyaXB0
Ij4yOyAzNjgtMzY5PC9zdHlsZT48L0Rpc3BsYXlUZXh0PjxyZWNvcmQ+PHJlYy1udW1iZXI+ODE1
PC9yZWMtbnVtYmVyPjxmb3JlaWduLWtleXM+PGtleSBhcHA9IkVOIiBkYi1pZD0iOWVkdmUyd2Fk
c2F2dDVld2F2YXh0ZGE0ZjJ0YXZ6dnRzOWVlIiB0aW1lc3RhbXA9IjE0MzMzMTg4NTIiPjgxNTwv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Y29uZGFyeS10aXRsZT48L3RpdGxlcz48cGVyaW9kaWNhbD48ZnVsbC10aXRsZT5NZWQgSiBBdXN0
PC9mdWxsLXRpdGxlPjwvcGVyaW9kaWNhbD48cGFnZXM+NTI14oCTMzI8L3BhZ2VzPjx2b2x1bWU+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R29kZGFyZDwvQXV0aG9yPjxZZWFyPjIwMTE8L1llYXI+PFJlY051bT44MDI8L1JlY051bT48cmVj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aXRsZT48YWJici0xPkd1dDwvYWJici0xPjwvYWx0LXBlcmlvZGljYWw+PHBhZ2VzPjEzMDnigJMx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=
</w:fldData>
        </w:fldChar>
      </w:r>
      <w:r w:rsidR="00E62798">
        <w:instrText xml:space="preserve"> ADDIN EN.CITE </w:instrText>
      </w:r>
      <w:r w:rsidR="00E62798">
        <w:fldChar w:fldCharType="begin">
          <w:fldData xml:space="preserve">PEVuZE5vdGU+PENpdGU+PEF1dGhvcj5QYXNyaWNoYTwvQXV0aG9yPjxZZWFyPjIwMTA8L1llYXI+
PFJlY051bT44MTU8L1JlY051bT48RGlzcGxheVRleHQ+PHN0eWxlIGZhY2U9InN1cGVyc2NyaXB0
Ij4yOyAzNjgtMzY5PC9zdHlsZT48L0Rpc3BsYXlUZXh0PjxyZWNvcmQ+PHJlYy1udW1iZXI+ODE1
PC9yZWMtbnVtYmVyPjxmb3JlaWduLWtleXM+PGtleSBhcHA9IkVOIiBkYi1pZD0iOWVkdmUyd2Fk
c2F2dDVld2F2YXh0ZGE0ZjJ0YXZ6dnRzOWVlIiB0aW1lc3RhbXA9IjE0MzMzMTg4NTIiPjgxNTwv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Y29uZGFyeS10aXRsZT48L3RpdGxlcz48cGVyaW9kaWNhbD48ZnVsbC10aXRsZT5NZWQgSiBBdXN0
PC9mdWxsLXRpdGxlPjwvcGVyaW9kaWNhbD48cGFnZXM+NTI14oCTMzI8L3BhZ2VzPjx2b2x1bWU+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R29kZGFyZDwvQXV0aG9yPjxZZWFyPjIwMTE8L1llYXI+PFJlY051bT44MDI8L1JlY051bT48cmVj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aXRsZT48YWJici0xPkd1dDwvYWJici0xPjwvYWx0LXBlcmlvZGljYWw+PHBhZ2VzPjEzMDnigJMx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=
</w:fldData>
        </w:fldChar>
      </w:r>
      <w:r w:rsidR="00E62798">
        <w:instrText xml:space="preserve"> ADDIN EN.CITE.DATA </w:instrText>
      </w:r>
      <w:r w:rsidR="00E62798">
        <w:fldChar w:fldCharType="end"/>
      </w:r>
      <w:r w:rsidR="00E62798">
        <w:fldChar w:fldCharType="separate"/>
      </w:r>
      <w:hyperlink w:anchor="_ENREF_2" w:tooltip="National Blood Authority (NBA), 2012 #198" w:history="1">
        <w:r w:rsidR="00E62798" w:rsidRPr="00E62798">
          <w:rPr>
            <w:noProof/>
            <w:vertAlign w:val="superscript"/>
          </w:rPr>
          <w:t>2</w:t>
        </w:r>
      </w:hyperlink>
      <w:r w:rsidR="00E62798" w:rsidRPr="00E62798">
        <w:rPr>
          <w:noProof/>
          <w:vertAlign w:val="superscript"/>
        </w:rPr>
        <w:t xml:space="preserve">; </w:t>
      </w:r>
      <w:hyperlink w:anchor="_ENREF_368" w:tooltip="Pasricha, 2010 #815" w:history="1">
        <w:r w:rsidR="00E62798" w:rsidRPr="00E62798">
          <w:rPr>
            <w:noProof/>
            <w:vertAlign w:val="superscript"/>
          </w:rPr>
          <w:t>368-369</w:t>
        </w:r>
      </w:hyperlink>
      <w:r w:rsidR="00E62798">
        <w:fldChar w:fldCharType="end"/>
      </w:r>
    </w:p>
    <w:p w14:paraId="34B65D82" w14:textId="77777777" w:rsidR="00D93C65" w:rsidRDefault="00D93C65" w:rsidP="00D93C65">
      <w:pPr>
        <w:pStyle w:val="Bullet6"/>
        <w:numPr>
          <w:ilvl w:val="0"/>
          <w:numId w:val="3"/>
        </w:numPr>
        <w:tabs>
          <w:tab w:val="clear" w:pos="360"/>
          <w:tab w:val="clear" w:pos="1080"/>
          <w:tab w:val="num" w:pos="774"/>
          <w:tab w:val="left" w:pos="1134"/>
        </w:tabs>
        <w:ind w:left="1134"/>
      </w:pPr>
      <w:r>
        <w:t xml:space="preserve">persistent iron deficiency despite oral therapy </w:t>
      </w:r>
    </w:p>
    <w:p w14:paraId="532E2243" w14:textId="77777777" w:rsidR="00D93C65" w:rsidRDefault="00D93C65" w:rsidP="00D93C65">
      <w:pPr>
        <w:pStyle w:val="Bullet6"/>
        <w:numPr>
          <w:ilvl w:val="0"/>
          <w:numId w:val="3"/>
        </w:numPr>
        <w:tabs>
          <w:tab w:val="clear" w:pos="360"/>
          <w:tab w:val="clear" w:pos="1080"/>
          <w:tab w:val="num" w:pos="774"/>
          <w:tab w:val="left" w:pos="1134"/>
        </w:tabs>
        <w:ind w:left="1134"/>
      </w:pPr>
      <w:r>
        <w:t>contraindications to oral iron, or serious issues with compliance or tolerance (adverse effects)</w:t>
      </w:r>
    </w:p>
    <w:p w14:paraId="2BE53C9B" w14:textId="77777777" w:rsidR="00D93C65" w:rsidRDefault="00D93C65" w:rsidP="00D93C65">
      <w:pPr>
        <w:pStyle w:val="Bullet6"/>
        <w:numPr>
          <w:ilvl w:val="0"/>
          <w:numId w:val="3"/>
        </w:numPr>
        <w:tabs>
          <w:tab w:val="clear" w:pos="360"/>
          <w:tab w:val="clear" w:pos="1080"/>
          <w:tab w:val="num" w:pos="774"/>
          <w:tab w:val="left" w:pos="1134"/>
        </w:tabs>
        <w:ind w:left="1134"/>
      </w:pPr>
      <w:r>
        <w:t>comorbidities affecting absorption (e.g. intestinal mucosal disorders and short gut syndrome) or bone marrow response</w:t>
      </w:r>
    </w:p>
    <w:p w14:paraId="1452DF1A" w14:textId="77777777" w:rsidR="00D93C65" w:rsidRDefault="00D93C65" w:rsidP="00D93C65">
      <w:pPr>
        <w:pStyle w:val="Bullet6"/>
        <w:numPr>
          <w:ilvl w:val="0"/>
          <w:numId w:val="3"/>
        </w:numPr>
        <w:tabs>
          <w:tab w:val="clear" w:pos="360"/>
          <w:tab w:val="clear" w:pos="1080"/>
          <w:tab w:val="num" w:pos="774"/>
          <w:tab w:val="left" w:pos="1134"/>
        </w:tabs>
        <w:ind w:left="1134"/>
      </w:pPr>
      <w:r>
        <w:t>patients receiving ESAs</w:t>
      </w:r>
    </w:p>
    <w:p w14:paraId="4A45A549" w14:textId="77777777" w:rsidR="00D93C65" w:rsidRDefault="00D93C65" w:rsidP="00D93C65">
      <w:pPr>
        <w:pStyle w:val="Bullet6"/>
        <w:numPr>
          <w:ilvl w:val="0"/>
          <w:numId w:val="3"/>
        </w:numPr>
        <w:tabs>
          <w:tab w:val="clear" w:pos="360"/>
          <w:tab w:val="clear" w:pos="1080"/>
          <w:tab w:val="num" w:pos="774"/>
          <w:tab w:val="left" w:pos="1134"/>
        </w:tabs>
        <w:ind w:left="1134"/>
      </w:pPr>
      <w:r>
        <w:t>ongoing blood loss that exceeds iron absorptive capacity</w:t>
      </w:r>
    </w:p>
    <w:p w14:paraId="6CE2CE3D" w14:textId="77777777" w:rsidR="00D93C65" w:rsidRDefault="00D93C65" w:rsidP="00D93C65">
      <w:pPr>
        <w:pStyle w:val="Bullet6"/>
        <w:numPr>
          <w:ilvl w:val="0"/>
          <w:numId w:val="3"/>
        </w:numPr>
        <w:tabs>
          <w:tab w:val="clear" w:pos="360"/>
          <w:tab w:val="clear" w:pos="1080"/>
          <w:tab w:val="num" w:pos="774"/>
          <w:tab w:val="left" w:pos="1134"/>
        </w:tabs>
        <w:ind w:left="1134"/>
      </w:pPr>
      <w:r>
        <w:t>requirement for rapid iron repletion (e.g. prevention of physiological decompensation, or preoperatively for non-deferrable surgery)</w:t>
      </w:r>
    </w:p>
    <w:p w14:paraId="540EE981" w14:textId="77777777" w:rsidR="00D93C65" w:rsidRDefault="00D93C65" w:rsidP="00D93C65">
      <w:pPr>
        <w:pStyle w:val="Bullet12"/>
        <w:numPr>
          <w:ilvl w:val="0"/>
          <w:numId w:val="3"/>
        </w:numPr>
        <w:tabs>
          <w:tab w:val="clear" w:pos="360"/>
          <w:tab w:val="clear" w:pos="1080"/>
          <w:tab w:val="num" w:pos="774"/>
          <w:tab w:val="left" w:pos="1134"/>
        </w:tabs>
        <w:ind w:left="1134"/>
      </w:pPr>
      <w:r>
        <w:t>genetic disorders of iron transport.</w:t>
      </w:r>
    </w:p>
    <w:p w14:paraId="5B20D0B4" w14:textId="77777777" w:rsidR="00D93C65" w:rsidRDefault="00D93C65" w:rsidP="00D93C65">
      <w:pPr>
        <w:pStyle w:val="Normalbeforebullet"/>
      </w:pPr>
      <w:r>
        <w:t>The iron preparations available in Australia are:</w:t>
      </w:r>
    </w:p>
    <w:p w14:paraId="14F3773D" w14:textId="77777777" w:rsidR="00D93C65" w:rsidRPr="007D43DD" w:rsidRDefault="00D93C65" w:rsidP="00D93C65">
      <w:pPr>
        <w:pStyle w:val="Bullet6"/>
        <w:numPr>
          <w:ilvl w:val="0"/>
          <w:numId w:val="3"/>
        </w:numPr>
        <w:tabs>
          <w:tab w:val="clear" w:pos="360"/>
          <w:tab w:val="clear" w:pos="1080"/>
          <w:tab w:val="num" w:pos="774"/>
          <w:tab w:val="left" w:pos="1134"/>
        </w:tabs>
        <w:ind w:left="1134"/>
      </w:pPr>
      <w:r w:rsidRPr="007D43DD">
        <w:t>ferric carboxymaltose</w:t>
      </w:r>
      <w:r w:rsidRPr="00AC28BF">
        <w:rPr>
          <w:color w:val="auto"/>
        </w:rPr>
        <w:t xml:space="preserve">: </w:t>
      </w:r>
      <w:hyperlink r:id="rId43" w:history="1">
        <w:r w:rsidRPr="00AC28BF">
          <w:rPr>
            <w:rStyle w:val="Hyperlink"/>
            <w:color w:val="auto"/>
          </w:rPr>
          <w:t>Ferinject®</w:t>
        </w:r>
      </w:hyperlink>
    </w:p>
    <w:p w14:paraId="5B321D93" w14:textId="77777777" w:rsidR="00D93C65" w:rsidRPr="007D43DD" w:rsidRDefault="00D93C65" w:rsidP="00D93C65">
      <w:pPr>
        <w:pStyle w:val="Bullet6"/>
        <w:numPr>
          <w:ilvl w:val="0"/>
          <w:numId w:val="3"/>
        </w:numPr>
        <w:tabs>
          <w:tab w:val="clear" w:pos="360"/>
          <w:tab w:val="clear" w:pos="1080"/>
          <w:tab w:val="num" w:pos="774"/>
          <w:tab w:val="left" w:pos="1134"/>
        </w:tabs>
        <w:ind w:left="1134"/>
      </w:pPr>
      <w:r w:rsidRPr="007D43DD">
        <w:t>iron sucrose</w:t>
      </w:r>
      <w:r w:rsidRPr="00AC28BF">
        <w:rPr>
          <w:color w:val="auto"/>
        </w:rPr>
        <w:t xml:space="preserve">: </w:t>
      </w:r>
      <w:hyperlink r:id="rId44" w:history="1">
        <w:r w:rsidRPr="00AC28BF">
          <w:rPr>
            <w:rStyle w:val="Hyperlink"/>
            <w:color w:val="auto"/>
          </w:rPr>
          <w:t>Venofer®</w:t>
        </w:r>
      </w:hyperlink>
    </w:p>
    <w:p w14:paraId="2CA57602" w14:textId="0A957DEA" w:rsidR="00D93C65" w:rsidRPr="007D43DD" w:rsidRDefault="00D93C65" w:rsidP="00D93C65">
      <w:pPr>
        <w:pStyle w:val="Bullet12"/>
        <w:numPr>
          <w:ilvl w:val="0"/>
          <w:numId w:val="3"/>
        </w:numPr>
        <w:tabs>
          <w:tab w:val="clear" w:pos="360"/>
          <w:tab w:val="clear" w:pos="1080"/>
          <w:tab w:val="num" w:pos="774"/>
          <w:tab w:val="left" w:pos="1134"/>
        </w:tabs>
        <w:ind w:left="1134"/>
      </w:pPr>
      <w:r w:rsidRPr="007D43DD">
        <w:t>iron polymaltose:</w:t>
      </w:r>
      <w:r w:rsidRPr="00AC28BF">
        <w:rPr>
          <w:color w:val="auto"/>
        </w:rPr>
        <w:t xml:space="preserve"> </w:t>
      </w:r>
      <w:hyperlink r:id="rId45" w:history="1">
        <w:r w:rsidRPr="00AC28BF">
          <w:rPr>
            <w:rStyle w:val="Hyperlink"/>
            <w:color w:val="auto"/>
          </w:rPr>
          <w:t>Ferrosig®</w:t>
        </w:r>
      </w:hyperlink>
      <w:r w:rsidR="00323741" w:rsidRPr="00AC28BF">
        <w:rPr>
          <w:rStyle w:val="Hyperlink"/>
          <w:color w:val="auto"/>
          <w:lang w:val="en-AU"/>
        </w:rPr>
        <w:t>.</w:t>
      </w:r>
    </w:p>
    <w:p w14:paraId="4745B834" w14:textId="77777777" w:rsidR="00FE6AAF" w:rsidRPr="003C7F7F" w:rsidRDefault="00FE6AAF" w:rsidP="00FE6AAF">
      <w:pPr>
        <w:pStyle w:val="BoxName"/>
        <w:shd w:val="clear" w:color="auto" w:fill="E5B8B7" w:themeFill="accent2" w:themeFillTint="66"/>
      </w:pPr>
      <w:r>
        <w:t>ALERT</w:t>
      </w:r>
    </w:p>
    <w:p w14:paraId="58B87490" w14:textId="240C3EF2" w:rsidR="00FE6AAF" w:rsidRPr="00A42B0C" w:rsidRDefault="00FE6AAF" w:rsidP="00FE6AAF">
      <w:pPr>
        <w:pStyle w:val="BoxBullet"/>
        <w:shd w:val="clear" w:color="auto" w:fill="E5B8B7" w:themeFill="accent2" w:themeFillTint="66"/>
      </w:pPr>
      <w:r w:rsidRPr="00A42B0C">
        <w:t>Check prescription and vials carefully as there are many different forms of IV iron preparations</w:t>
      </w:r>
      <w:r w:rsidR="00323741">
        <w:rPr>
          <w:lang w:val="en-AU"/>
        </w:rPr>
        <w:t>.</w:t>
      </w:r>
    </w:p>
    <w:p w14:paraId="375C9D2B" w14:textId="77777777" w:rsidR="00FE6AAF" w:rsidRPr="00A42B0C" w:rsidRDefault="00FE6AAF" w:rsidP="00FE6AAF">
      <w:pPr>
        <w:pStyle w:val="BoxBullet"/>
        <w:shd w:val="clear" w:color="auto" w:fill="E5B8B7" w:themeFill="accent2" w:themeFillTint="66"/>
        <w:rPr>
          <w:u w:val="single"/>
        </w:rPr>
      </w:pPr>
      <w:r w:rsidRPr="00A42B0C">
        <w:t>Iron formulations have different iron concentrations, maximum doses, dilutions and rates of administration and are not interchangeable with regard to dose, dilution and rates of administration.</w:t>
      </w:r>
      <w:r>
        <w:t xml:space="preserve"> </w:t>
      </w:r>
    </w:p>
    <w:p w14:paraId="043CA08E" w14:textId="36A9F85D" w:rsidR="00D93C65" w:rsidRDefault="00FE6AAF" w:rsidP="00D93C65">
      <w:pPr>
        <w:rPr>
          <w:vertAlign w:val="superscript"/>
        </w:rPr>
      </w:pPr>
      <w:r w:rsidRPr="00A42B0C">
        <w:t>IV iron should be administered according to a protocol relevant to the specific product used.</w:t>
      </w:r>
      <w:r w:rsidR="00344045">
        <w:t xml:space="preserve"> </w:t>
      </w:r>
      <w:r w:rsidR="00D93C65">
        <w:t>IV iron sucrose has been shown to be a safe and effective means to treat iron deficiency in children who cannot receive or do not respond to oral iron because of intolerance, poor adherence or iron malabsorption.</w:t>
      </w:r>
      <w:hyperlink w:anchor="_ENREF_372" w:tooltip="Crary, 2011 #795" w:history="1">
        <w:r w:rsidR="00E62798">
          <w:fldChar w:fldCharType="begin"/>
        </w:r>
        <w:r w:rsidR="00E62798">
          <w:instrText xml:space="preserve"> ADDIN EN.CITE &lt;EndNote&gt;&lt;Cite&gt;&lt;Author&gt;Crary&lt;/Author&gt;&lt;Year&gt;2011&lt;/Year&gt;&lt;RecNum&gt;795&lt;/RecNum&gt;&lt;DisplayText&gt;&lt;style face="superscript"&gt;372&lt;/style&gt;&lt;/DisplayText&gt;&lt;record&gt;&lt;rec-number&gt;795&lt;/rec-number&gt;&lt;foreign-keys&gt;&lt;key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00E62798">
          <w:fldChar w:fldCharType="separate"/>
        </w:r>
        <w:r w:rsidR="00E62798" w:rsidRPr="00E62798">
          <w:rPr>
            <w:noProof/>
            <w:vertAlign w:val="superscript"/>
          </w:rPr>
          <w:t>372</w:t>
        </w:r>
        <w:r w:rsidR="00E62798">
          <w:fldChar w:fldCharType="end"/>
        </w:r>
      </w:hyperlink>
    </w:p>
    <w:p w14:paraId="24E8136C" w14:textId="0B607475" w:rsidR="00D93C65" w:rsidRDefault="00D93C65" w:rsidP="00D93C65">
      <w:pPr>
        <w:rPr>
          <w:rFonts w:cstheme="minorHAnsi"/>
        </w:rPr>
      </w:pPr>
      <w:r>
        <w:t>A retrospective observational study reported that ferric carboxymaltose was well tolerated and effective in correcting</w:t>
      </w:r>
      <w:r w:rsidR="00225A02">
        <w:t xml:space="preserve"> IDA</w:t>
      </w:r>
      <w:r>
        <w:t xml:space="preserve"> in children aged 0–18 years with inflammatory bowel disease.</w:t>
      </w:r>
      <w:hyperlink w:anchor="_ENREF_373" w:tooltip="Laass, 2014 #833" w:history="1">
        <w:r w:rsidR="00E62798">
          <w:fldChar w:fldCharType="begin"/>
        </w:r>
        <w:r w:rsidR="00E62798">
          <w:instrText xml:space="preserve"> ADDIN EN.CITE &lt;EndNote&gt;&lt;Cite&gt;&lt;Author&gt;Laass&lt;/Author&gt;&lt;Year&gt;2014&lt;/Year&gt;&lt;RecNum&gt;833&lt;/RecNum&gt;&lt;DisplayText&gt;&lt;style face="superscript"&gt;373&lt;/style&gt;&lt;/DisplayText&gt;&lt;record&gt;&lt;rec-number&gt;833&lt;/rec-number&gt;&lt;foreign-keys&gt;&lt;key app="EN" db-id="9edve2wadsavt5ewavaxtda4f2tavzvts9ee" timestamp="1433385015"&gt;833&lt;/key&gt;&lt;/foreign-keys&gt;&lt;ref-type name="Journal Article"&gt;17&lt;/ref-type&gt;&lt;contributors&gt;&lt;authors&gt;&lt;author&gt;Laass, M. W.&lt;/author&gt;&lt;author&gt;Straub, S.&lt;/author&gt;&lt;author&gt;Chainey, S.&lt;/author&gt;&lt;author&gt;Virgin, G.&lt;/author&gt;&lt;author&gt;Cushway, T.&lt;/author&gt;&lt;/authors&gt;&lt;/contributors&gt;&lt;auth-address&gt;Department of Pediatrics, University Hospital Carl Gustav Carus Dresden, Technische Universitat Dresden, Fetscherstrabetae 74, Dresden 01307, Germany. martin.laass@uniklinikum-dresden.de.&lt;/auth-address&gt;&lt;titles&gt;&lt;title&gt;Effectiveness and safety of ferric carboxymaltose treatment in children and adolescents with inflammatory bowel disease and other gastrointestinal diseases&lt;/title&gt;&lt;secondary-title&gt;BMC Gastroenterol&lt;/secondary-title&gt;&lt;/titles&gt;&lt;periodical&gt;&lt;full-title&gt;BMC Gastroenterol&lt;/full-title&gt;&lt;/periodical&gt;&lt;pages&gt;184&lt;/pages&gt;&lt;volume&gt;14&lt;/volume&gt;&lt;dates&gt;&lt;year&gt;2014&lt;/year&gt;&lt;/dates&gt;&lt;isbn&gt;1471-230X (Electronic)&amp;#xD;1471-230X (Linking)&lt;/isbn&gt;&lt;accession-num&gt;25326048&lt;/accession-num&gt;&lt;urls&gt;&lt;related-urls&gt;&lt;url&gt;http://www.ncbi.nlm.nih.gov/pubmed/25326048&lt;/url&gt;&lt;/related-urls&gt;&lt;/urls&gt;&lt;custom2&gt;4286929&lt;/custom2&gt;&lt;electronic-resource-num&gt;10.1186/1471-230X-14-184&lt;/electronic-resource-num&gt;&lt;/record&gt;&lt;/Cite&gt;&lt;/EndNote&gt;</w:instrText>
        </w:r>
        <w:r w:rsidR="00E62798">
          <w:fldChar w:fldCharType="separate"/>
        </w:r>
        <w:r w:rsidR="00E62798" w:rsidRPr="00E62798">
          <w:rPr>
            <w:noProof/>
            <w:vertAlign w:val="superscript"/>
          </w:rPr>
          <w:t>373</w:t>
        </w:r>
        <w:r w:rsidR="00E62798">
          <w:fldChar w:fldCharType="end"/>
        </w:r>
      </w:hyperlink>
      <w:r>
        <w:rPr>
          <w:rFonts w:cstheme="minorHAnsi"/>
        </w:rPr>
        <w:t xml:space="preserve"> </w:t>
      </w:r>
    </w:p>
    <w:p w14:paraId="763DD3AC" w14:textId="5A932FC2" w:rsidR="00D93C65" w:rsidRDefault="00344045" w:rsidP="00D93C65">
      <w:r>
        <w:t>The</w:t>
      </w:r>
      <w:r w:rsidR="00D93C65">
        <w:t xml:space="preserve"> necessary dose of IV iron is calculated based on the patient’s estimated total body iron deficit. </w:t>
      </w:r>
      <w:r>
        <w:t>Total iron dose per infusion differs among iron products. Hence, the</w:t>
      </w:r>
      <w:r w:rsidR="00D93C65">
        <w:t xml:space="preserve"> iron dose per infusion should take into account the degree of anaemia, the patient’s weight and the type of IV iron preparation</w:t>
      </w:r>
      <w:r w:rsidR="00323741">
        <w:t>.</w:t>
      </w:r>
    </w:p>
    <w:p w14:paraId="3CEE6B97" w14:textId="460EC64D" w:rsidR="00D93C65" w:rsidRDefault="00D93C65" w:rsidP="00D93C65">
      <w:pPr>
        <w:rPr>
          <w:rFonts w:cstheme="minorHAnsi"/>
        </w:rPr>
      </w:pPr>
      <w:r>
        <w:rPr>
          <w:rFonts w:cstheme="minorHAnsi"/>
        </w:rPr>
        <w:t>Allergic and anaphylactic reactions to IV iron (especially to iron polymaltose) are widely reported.</w:t>
      </w:r>
      <w:hyperlink w:anchor="_ENREF_368" w:tooltip="Pasricha, 2010 #815" w:history="1">
        <w:r w:rsidR="00E62798">
          <w:rPr>
            <w:rFonts w:cstheme="minorHAnsi"/>
          </w:rPr>
          <w:fldChar w:fldCharType="begin">
            <w:fldData xml:space="preserve">PEVuZE5vdGU+PENpdGU+PEF1dGhvcj5QYXNyaWNoYTwvQXV0aG9yPjxZZWFyPjIwMTA8L1llYXI+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ZT48YWJici0xPkd1dDwvYWJici0xPjwvYWx0LXBlcmlvZGljYWw+PHBhZ2VzPjEzMDnigJMxMzE2
PC9wYWdlcz48dm9sdW1lPjYwPC92b2x1bWU+PG51bWJlcj4xMDwvbnVtYmVyPjxkYXRlcz48eWVh
cj4yMDExPC95ZWFyPjwvZGF0ZXM+PGlzYm4+MDAxNy01NzQ5PC9pc2JuPjx1cmxzPjxyZWxhdGVk
LXVybHM+PHVybD5odHRwOi8vZ3V0LmJtai5jb20vY29udGVudC82MC8xMC8xMzA5LmZ1bGwucGRm
PC91cmw+PC9yZWxhdGVkLXVybHM+PC91cmxzPjxlbGVjdHJvbmljLXJlc291cmNlLW51bT5ET0k6
MTAuMTEzNi9ndXQuMjAxMC4yMjg4NzQ8L2VsZWN0cm9uaWMtcmVzb3VyY2UtbnVtPjwvcmVjb3Jk
PjwvQ2l0ZT48L0VuZE5vdGU+
</w:fldData>
          </w:fldChar>
        </w:r>
        <w:r w:rsidR="00E62798">
          <w:rPr>
            <w:rFonts w:cstheme="minorHAnsi"/>
          </w:rPr>
          <w:instrText xml:space="preserve"> ADDIN EN.CITE </w:instrText>
        </w:r>
        <w:r w:rsidR="00E62798">
          <w:rPr>
            <w:rFonts w:cstheme="minorHAnsi"/>
          </w:rPr>
          <w:fldChar w:fldCharType="begin">
            <w:fldData xml:space="preserve">PEVuZE5vdGU+PENpdGU+PEF1dGhvcj5QYXNyaWNoYTwvQXV0aG9yPjxZZWFyPjIwMTA8L1llYXI+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ZT48YWJici0xPkd1dDwvYWJici0xPjwvYWx0LXBlcmlvZGljYWw+PHBhZ2VzPjEzMDnigJMxMzE2
PC9wYWdlcz48dm9sdW1lPjYwPC92b2x1bWU+PG51bWJlcj4xMDwvbnVtYmVyPjxkYXRlcz48eWVh
cj4yMDExPC95ZWFyPjwvZGF0ZXM+PGlzYm4+MDAxNy01NzQ5PC9pc2JuPjx1cmxzPjxyZWxhdGVk
LXVybHM+PHVybD5odHRwOi8vZ3V0LmJtai5jb20vY29udGVudC82MC8xMC8xMzA5LmZ1bGwucGRm
PC91cmw+PC9yZWxhdGVkLXVybHM+PC91cmxzPjxlbGVjdHJvbmljLXJlc291cmNlLW51bT5ET0k6
MTAuMTEzNi9ndXQuMjAxMC4yMjg4NzQ8L2VsZWN0cm9uaWMtcmVzb3VyY2UtbnVtPjwvcmVjb3Jk
PjwvQ2l0ZT48L0VuZE5vdGU+
</w:fldData>
          </w:fldChar>
        </w:r>
        <w:r w:rsidR="00E62798">
          <w:rPr>
            <w:rFonts w:cstheme="minorHAnsi"/>
          </w:rPr>
          <w:instrText xml:space="preserve"> ADDIN EN.CITE.DATA </w:instrText>
        </w:r>
        <w:r w:rsidR="00E62798">
          <w:rPr>
            <w:rFonts w:cstheme="minorHAnsi"/>
          </w:rPr>
        </w:r>
        <w:r w:rsidR="00E62798">
          <w:rPr>
            <w:rFonts w:cstheme="minorHAnsi"/>
          </w:rPr>
          <w:fldChar w:fldCharType="end"/>
        </w:r>
        <w:r w:rsidR="00E62798">
          <w:rPr>
            <w:rFonts w:cstheme="minorHAnsi"/>
          </w:rPr>
        </w:r>
        <w:r w:rsidR="00E62798">
          <w:rPr>
            <w:rFonts w:cstheme="minorHAnsi"/>
          </w:rPr>
          <w:fldChar w:fldCharType="separate"/>
        </w:r>
        <w:r w:rsidR="00E62798" w:rsidRPr="00E62798">
          <w:rPr>
            <w:rFonts w:cstheme="minorHAnsi"/>
            <w:noProof/>
            <w:vertAlign w:val="superscript"/>
          </w:rPr>
          <w:t>368-369</w:t>
        </w:r>
        <w:r w:rsidR="00E62798">
          <w:rPr>
            <w:rFonts w:cstheme="minorHAnsi"/>
          </w:rPr>
          <w:fldChar w:fldCharType="end"/>
        </w:r>
      </w:hyperlink>
      <w:r w:rsidR="00344045">
        <w:rPr>
          <w:rFonts w:cstheme="minorHAnsi"/>
        </w:rPr>
        <w:t xml:space="preserve"> Therefore,</w:t>
      </w:r>
      <w:r>
        <w:rPr>
          <w:rFonts w:cstheme="minorHAnsi"/>
        </w:rPr>
        <w:t xml:space="preserve"> </w:t>
      </w:r>
      <w:r>
        <w:t>IV iron should always be administered in an appropriate health-care setting with medical personnel and resuscitation facilities on site. Premedication with steroids and antihistamine may be considered. Drug extravasation has been reported in the paediatric setting as a result of iron infusion, and can cause irreversible skin staining.</w:t>
      </w:r>
      <w:hyperlink w:anchor="_ENREF_374" w:tooltip="Pinsk, 2008 #817" w:history="1">
        <w:r w:rsidR="00E62798">
          <w:fldChar w:fldCharType="begin"/>
        </w:r>
        <w:r w:rsidR="00E62798">
          <w:instrText xml:space="preserve"> ADDIN EN.CITE &lt;EndNote&gt;&lt;Cite&gt;&lt;Author&gt;Pinsk&lt;/Author&gt;&lt;Year&gt;2008&lt;/Year&gt;&lt;RecNum&gt;817&lt;/RecNum&gt;&lt;DisplayText&gt;&lt;style face="superscript"&gt;374&lt;/style&gt;&lt;/DisplayText&gt;&lt;record&gt;&lt;rec-number&gt;817&lt;/rec-number&gt;&lt;foreign-keys&gt;&lt;key app="EN" db-id="9edve2wadsavt5ewavaxtda4f2tavzvts9ee" timestamp="1433318852"&gt;817&lt;/key&gt;&lt;/foreign-keys&gt;&lt;ref-type name="Journal Article"&gt;17&lt;/ref-type&gt;&lt;contributors&gt;&lt;authors&gt;&lt;author&gt;Pinsk, V.&lt;/author&gt;&lt;author&gt;Levy, J.&lt;/author&gt;&lt;author&gt;Moser, A.&lt;/author&gt;&lt;author&gt;Yerushalmi, B.&lt;/author&gt;&lt;author&gt;Kapelushnik, J.&lt;/author&gt;&lt;/authors&gt;&lt;/contributors&gt;&lt;titles&gt;&lt;title&gt;Efficacy and safety of intravenous iron sucrose therapy in a group of children with iron deficiency anemia&lt;/title&gt;&lt;secondary-title&gt;The Israel Medical Association Journal&lt;/secondary-title&gt;&lt;alt-title&gt;Isr. Med. Assoc. J.&lt;/alt-title&gt;&lt;/titles&gt;&lt;periodical&gt;&lt;full-title&gt;The Israel Medical Association Journal&lt;/full-title&gt;&lt;abbr-1&gt;Isr. Med. Assoc. J.&lt;/abbr-1&gt;&lt;/periodical&gt;&lt;alt-periodical&gt;&lt;full-title&gt;The Israel Medical Association Journal&lt;/full-title&gt;&lt;abbr-1&gt;Isr. Med. Assoc. J.&lt;/abbr-1&gt;&lt;/alt-periodical&gt;&lt;pages&gt;335–338&lt;/pages&gt;&lt;volume&gt;10&lt;/volume&gt;&lt;number&gt;5&lt;/number&gt;&lt;dates&gt;&lt;year&gt;2008&lt;/year&gt;&lt;/dates&gt;&lt;isbn&gt;1565-1088&lt;/isbn&gt;&lt;urls&gt;&lt;/urls&gt;&lt;/record&gt;&lt;/Cite&gt;&lt;/EndNote&gt;</w:instrText>
        </w:r>
        <w:r w:rsidR="00E62798">
          <w:fldChar w:fldCharType="separate"/>
        </w:r>
        <w:r w:rsidR="00E62798" w:rsidRPr="00E62798">
          <w:rPr>
            <w:noProof/>
            <w:vertAlign w:val="superscript"/>
          </w:rPr>
          <w:t>374</w:t>
        </w:r>
        <w:r w:rsidR="00E62798">
          <w:fldChar w:fldCharType="end"/>
        </w:r>
      </w:hyperlink>
      <w:r>
        <w:t xml:space="preserve"> </w:t>
      </w:r>
    </w:p>
    <w:p w14:paraId="21A24E4F" w14:textId="77777777" w:rsidR="00D93C65" w:rsidRDefault="00D93C65" w:rsidP="00D93C65">
      <w:r>
        <w:t>Oral iron is not generally required after administration of IV iron if a sufficient dose has been given.</w:t>
      </w:r>
    </w:p>
    <w:p w14:paraId="6AA2E6FE" w14:textId="77777777" w:rsidR="00D93C65" w:rsidRDefault="00D93C65" w:rsidP="00D93C65">
      <w:pPr>
        <w:pStyle w:val="Heading3"/>
      </w:pPr>
      <w:bookmarkStart w:id="240" w:name="_Toc421124136"/>
      <w:bookmarkStart w:id="241" w:name="_Toc427851395"/>
      <w:r>
        <w:t>4.5.5</w:t>
      </w:r>
      <w:r>
        <w:tab/>
        <w:t>Iron toxicity</w:t>
      </w:r>
      <w:bookmarkEnd w:id="240"/>
      <w:bookmarkEnd w:id="241"/>
    </w:p>
    <w:p w14:paraId="06848441" w14:textId="1DBDA93B" w:rsidR="00D93C65" w:rsidRDefault="00D93C65" w:rsidP="00D93C65">
      <w:r>
        <w:t>Iron must be recognised as a potentially lethal medication because it is more toxic than most other prescription medications.</w:t>
      </w:r>
      <w:hyperlink w:anchor="_ENREF_375" w:tooltip="Tenenbein, 1994 #822" w:history="1">
        <w:r w:rsidR="00E62798">
          <w:fldChar w:fldCharType="begin"/>
        </w:r>
        <w:r w:rsidR="00E62798">
          <w:instrText xml:space="preserve"> ADDIN EN.CITE &lt;EndNote&gt;&lt;Cite&gt;&lt;Author&gt;Tenenbein&lt;/Author&gt;&lt;Year&gt;1994&lt;/Year&gt;&lt;RecNum&gt;822&lt;/RecNum&gt;&lt;DisplayText&gt;&lt;style face="superscript"&gt;375&lt;/style&gt;&lt;/DisplayText&gt;&lt;record&gt;&lt;rec-number&gt;822&lt;/rec-number&gt;&lt;foreign-keys&gt;&lt;key app="EN" db-id="9edve2wadsavt5ewavaxtda4f2tavzvts9ee" timestamp="1433318852"&gt;822&lt;/key&gt;&lt;/foreign-keys&gt;&lt;ref-type name="Journal Article"&gt;17&lt;/ref-type&gt;&lt;contributors&gt;&lt;authors&gt;&lt;author&gt;Tenenbein, M.&lt;/author&gt;&lt;author&gt;Rodgers, G. C.&lt;/author&gt;&lt;/authors&gt;&lt;/contributors&gt;&lt;titles&gt;&lt;title&gt;The four A&amp;apos;s of decreasing the toll of childhood iron poisoning deaths&lt;/title&gt;&lt;secondary-title&gt;Archives of Family Medicine&lt;/secondary-title&gt;&lt;alt-title&gt;Arch. Fam. Med.&lt;/alt-title&gt;&lt;/titles&gt;&lt;periodical&gt;&lt;full-title&gt;Archives of Family Medicine&lt;/full-title&gt;&lt;abbr-1&gt;Arch. Fam. Med.&lt;/abbr-1&gt;&lt;/periodical&gt;&lt;alt-periodical&gt;&lt;full-title&gt;Archives of Family Medicine&lt;/full-title&gt;&lt;abbr-1&gt;Arch. Fam. Med.&lt;/abbr-1&gt;&lt;/alt-periodical&gt;&lt;pages&gt;754–755&lt;/pages&gt;&lt;volume&gt;3&lt;/volume&gt;&lt;number&gt;9&lt;/number&gt;&lt;dates&gt;&lt;year&gt;1994&lt;/year&gt;&lt;/dates&gt;&lt;isbn&gt;1063-3987&lt;/isbn&gt;&lt;urls&gt;&lt;/urls&gt;&lt;electronic-resource-num&gt;DOI:10.1001/archfami.3.9.754&lt;/electronic-resource-num&gt;&lt;/record&gt;&lt;/Cite&gt;&lt;/EndNote&gt;</w:instrText>
        </w:r>
        <w:r w:rsidR="00E62798">
          <w:fldChar w:fldCharType="separate"/>
        </w:r>
        <w:r w:rsidR="00E62798" w:rsidRPr="00E62798">
          <w:rPr>
            <w:noProof/>
            <w:vertAlign w:val="superscript"/>
          </w:rPr>
          <w:t>375</w:t>
        </w:r>
        <w:r w:rsidR="00E62798">
          <w:fldChar w:fldCharType="end"/>
        </w:r>
      </w:hyperlink>
      <w:r>
        <w:t xml:space="preserve"> Iron overdose in children may be fatal, and iron formulations should be handled and stored appropriately, out of reach of children.</w:t>
      </w:r>
      <w:r w:rsidDel="00CB364F">
        <w:t xml:space="preserve"> </w:t>
      </w:r>
      <w:r>
        <w:t>In the event of suspected or definite iron ingestion, urgent medical attention should be s</w:t>
      </w:r>
      <w:r w:rsidR="00344045">
        <w:t>ought</w:t>
      </w:r>
      <w:r>
        <w:t>. Information on management of iron toxicity is available.</w:t>
      </w:r>
      <w:hyperlink w:anchor="_ENREF_371" w:tooltip="Paediatric Pharmacopoiea, 2002 #813" w:history="1">
        <w:r w:rsidR="00E62798">
          <w:fldChar w:fldCharType="begin"/>
        </w:r>
        <w:r w:rsidR="00E62798">
          <w:instrText xml:space="preserve"> ADDIN EN.CITE &lt;EndNote&gt;&lt;Cite&gt;&lt;Author&gt;Paediatric Pharmacopoiea&lt;/Author&gt;&lt;Year&gt;2002&lt;/Year&gt;&lt;RecNum&gt;813&lt;/RecNum&gt;&lt;DisplayText&gt;&lt;style face="superscript"&gt;371&lt;/style&gt;&lt;/DisplayText&gt;&lt;record&gt;&lt;rec-number&gt;813&lt;/rec-number&gt;&lt;foreign-keys&gt;&lt;key app="EN" db-id="9edve2wadsavt5ewavaxtda4f2tavzvts9ee" timestamp="1433318852"&gt;813&lt;/key&gt;&lt;/foreign-keys&gt;&lt;ref-type name="Book"&gt;6&lt;/ref-type&gt;&lt;contributors&gt;&lt;authors&gt;&lt;author&gt;Paediatric Pharmacopoiea,&lt;/author&gt;&lt;/authors&gt;&lt;/contributors&gt;&lt;titles&gt;&lt;title&gt;Pocket prescriber (13th Edition)&lt;/title&gt;&lt;/titles&gt;&lt;edition&gt;13th ed&lt;/edition&gt;&lt;dates&gt;&lt;year&gt;2002&lt;/year&gt;&lt;/dates&gt;&lt;publisher&gt;Pharmacy Department, The Royal Children&amp;apos;s Hospital&lt;/publisher&gt;&lt;urls&gt;&lt;/urls&gt;&lt;/record&gt;&lt;/Cite&gt;&lt;/EndNote&gt;</w:instrText>
        </w:r>
        <w:r w:rsidR="00E62798">
          <w:fldChar w:fldCharType="separate"/>
        </w:r>
        <w:r w:rsidR="00E62798" w:rsidRPr="00E62798">
          <w:rPr>
            <w:noProof/>
            <w:vertAlign w:val="superscript"/>
          </w:rPr>
          <w:t>371</w:t>
        </w:r>
        <w:r w:rsidR="00E62798">
          <w:fldChar w:fldCharType="end"/>
        </w:r>
      </w:hyperlink>
    </w:p>
    <w:tbl>
      <w:tblPr>
        <w:tblStyle w:val="TableGrid"/>
        <w:tblW w:w="8489" w:type="dxa"/>
        <w:tblInd w:w="720" w:type="dxa"/>
        <w:tblLook w:val="04A0" w:firstRow="1" w:lastRow="0" w:firstColumn="1" w:lastColumn="0" w:noHBand="0" w:noVBand="1"/>
      </w:tblPr>
      <w:tblGrid>
        <w:gridCol w:w="1210"/>
        <w:gridCol w:w="7279"/>
      </w:tblGrid>
      <w:tr w:rsidR="00D93C65" w:rsidRPr="00813FDC" w14:paraId="37B646EE" w14:textId="77777777" w:rsidTr="00467EEA">
        <w:tc>
          <w:tcPr>
            <w:tcW w:w="8489" w:type="dxa"/>
            <w:gridSpan w:val="2"/>
            <w:shd w:val="clear" w:color="auto" w:fill="BFBFBF" w:themeFill="background1" w:themeFillShade="BF"/>
          </w:tcPr>
          <w:p w14:paraId="24D26D42" w14:textId="77777777" w:rsidR="00D93C65" w:rsidRPr="00813FDC" w:rsidRDefault="00D93C65" w:rsidP="00C62C56">
            <w:pPr>
              <w:pStyle w:val="PP-heading"/>
            </w:pPr>
            <w:r w:rsidRPr="00813FDC">
              <w:t xml:space="preserve">Expert opinion points </w:t>
            </w:r>
            <w:r>
              <w:t>– iron therapy</w:t>
            </w:r>
          </w:p>
        </w:tc>
      </w:tr>
      <w:tr w:rsidR="00D93C65" w14:paraId="7FA0CAB1" w14:textId="77777777" w:rsidTr="00344045">
        <w:tc>
          <w:tcPr>
            <w:tcW w:w="1210" w:type="dxa"/>
          </w:tcPr>
          <w:p w14:paraId="66CBFD03" w14:textId="18E95A53" w:rsidR="00D93C65" w:rsidRPr="00344045" w:rsidRDefault="00D93C65" w:rsidP="00344045">
            <w:pPr>
              <w:pStyle w:val="PP"/>
              <w:rPr>
                <w:lang w:val="en-AU"/>
              </w:rPr>
            </w:pPr>
            <w:r>
              <w:t>EOP</w:t>
            </w:r>
            <w:r w:rsidR="00344045">
              <w:rPr>
                <w:lang w:val="en-AU"/>
              </w:rPr>
              <w:t>30</w:t>
            </w:r>
          </w:p>
        </w:tc>
        <w:tc>
          <w:tcPr>
            <w:tcW w:w="7279" w:type="dxa"/>
          </w:tcPr>
          <w:p w14:paraId="3AB65327" w14:textId="77777777" w:rsidR="00D93C65" w:rsidRPr="00102954" w:rsidRDefault="00D93C65" w:rsidP="00344045">
            <w:pPr>
              <w:pStyle w:val="PP"/>
              <w:rPr>
                <w:lang w:val="en-US"/>
              </w:rPr>
            </w:pPr>
            <w:r w:rsidRPr="00102954">
              <w:t>From 6 months of age, all infants and children should receive iron-rich foods.</w:t>
            </w:r>
          </w:p>
        </w:tc>
      </w:tr>
      <w:tr w:rsidR="00D93C65" w14:paraId="7C9411C7" w14:textId="77777777" w:rsidTr="00344045">
        <w:tc>
          <w:tcPr>
            <w:tcW w:w="1210" w:type="dxa"/>
          </w:tcPr>
          <w:p w14:paraId="568CEC19" w14:textId="05A1A535" w:rsidR="00D93C65" w:rsidRPr="00344045" w:rsidRDefault="00D93C65" w:rsidP="00344045">
            <w:pPr>
              <w:pStyle w:val="PP"/>
              <w:rPr>
                <w:lang w:val="en-AU"/>
              </w:rPr>
            </w:pPr>
            <w:r>
              <w:t>EOP</w:t>
            </w:r>
            <w:r w:rsidR="00344045">
              <w:rPr>
                <w:lang w:val="en-AU"/>
              </w:rPr>
              <w:t>31</w:t>
            </w:r>
          </w:p>
        </w:tc>
        <w:tc>
          <w:tcPr>
            <w:tcW w:w="7279" w:type="dxa"/>
          </w:tcPr>
          <w:p w14:paraId="774A6866" w14:textId="1C7B53F9" w:rsidR="00D93C65" w:rsidRDefault="00D93C65" w:rsidP="00DF0139">
            <w:pPr>
              <w:pStyle w:val="PP"/>
            </w:pPr>
            <w:r w:rsidRPr="00102954">
              <w:t>Cow</w:t>
            </w:r>
            <w:r w:rsidR="00323741">
              <w:rPr>
                <w:lang w:val="en-AU"/>
              </w:rPr>
              <w:t>’s</w:t>
            </w:r>
            <w:r w:rsidRPr="00102954">
              <w:t xml:space="preserve"> milk should not be give</w:t>
            </w:r>
            <w:r>
              <w:t>n to infants before 12</w:t>
            </w:r>
            <w:r w:rsidRPr="00102954">
              <w:t xml:space="preserve"> months of age; from </w:t>
            </w:r>
            <w:r w:rsidR="00DF0139" w:rsidRPr="00102954">
              <w:t>12</w:t>
            </w:r>
            <w:r w:rsidR="00DF0139">
              <w:rPr>
                <w:lang w:val="en-AU"/>
              </w:rPr>
              <w:t> </w:t>
            </w:r>
            <w:r w:rsidRPr="00102954">
              <w:t>months of age, cow</w:t>
            </w:r>
            <w:r w:rsidR="00323741">
              <w:rPr>
                <w:lang w:val="en-AU"/>
              </w:rPr>
              <w:t>’s</w:t>
            </w:r>
            <w:r w:rsidRPr="00102954">
              <w:t xml:space="preserve"> milk intake should not exceed 500 mL per day.</w:t>
            </w:r>
          </w:p>
        </w:tc>
      </w:tr>
      <w:tr w:rsidR="00D93C65" w14:paraId="77523A64" w14:textId="77777777" w:rsidTr="00344045">
        <w:tc>
          <w:tcPr>
            <w:tcW w:w="1210" w:type="dxa"/>
          </w:tcPr>
          <w:p w14:paraId="577B01E4" w14:textId="1FF6362F" w:rsidR="00D93C65" w:rsidRPr="00344045" w:rsidRDefault="00D93C65" w:rsidP="00344045">
            <w:pPr>
              <w:pStyle w:val="PP"/>
              <w:keepNext/>
              <w:rPr>
                <w:lang w:val="en-AU"/>
              </w:rPr>
            </w:pPr>
            <w:r>
              <w:t>EOP</w:t>
            </w:r>
            <w:r w:rsidR="00344045">
              <w:rPr>
                <w:lang w:val="en-AU"/>
              </w:rPr>
              <w:t>32</w:t>
            </w:r>
          </w:p>
        </w:tc>
        <w:tc>
          <w:tcPr>
            <w:tcW w:w="7279" w:type="dxa"/>
          </w:tcPr>
          <w:p w14:paraId="250478BF" w14:textId="70249A46" w:rsidR="00D93C65" w:rsidRPr="00102954" w:rsidRDefault="00D93C65" w:rsidP="00344045">
            <w:pPr>
              <w:pStyle w:val="PT-prebullet"/>
              <w:keepNext/>
            </w:pPr>
            <w:r w:rsidRPr="00102954">
              <w:t>IV iron should be administered according to a protocol relevant to t</w:t>
            </w:r>
            <w:r w:rsidR="00323741">
              <w:t>he specific product being used:</w:t>
            </w:r>
          </w:p>
          <w:p w14:paraId="379906F6" w14:textId="77777777" w:rsidR="00D93C65" w:rsidRPr="00102954" w:rsidRDefault="00D93C65" w:rsidP="00344045">
            <w:pPr>
              <w:pStyle w:val="PP-bullets"/>
              <w:keepNext/>
            </w:pPr>
            <w:r w:rsidRPr="00102954">
              <w:t>IV iron formulations have different iron concentrations, maximum doses, dilutions and rates of administration; they are not interchangeable with regard to dose, dilut</w:t>
            </w:r>
            <w:r>
              <w:t>ion and rates of administration</w:t>
            </w:r>
          </w:p>
          <w:p w14:paraId="04ACE177" w14:textId="47176D2A" w:rsidR="00D93C65" w:rsidRPr="00102954" w:rsidRDefault="00323741" w:rsidP="00344045">
            <w:pPr>
              <w:pStyle w:val="PP-bullets"/>
              <w:keepNext/>
            </w:pPr>
            <w:r w:rsidRPr="00102954">
              <w:t xml:space="preserve">IV iron formulations </w:t>
            </w:r>
            <w:r w:rsidR="00D93C65" w:rsidRPr="00102954">
              <w:t>should only ever be administered in an appropriate health-care setting with medical personnel and resuscitation facilities on site</w:t>
            </w:r>
            <w:r>
              <w:rPr>
                <w:lang w:val="en-AU"/>
              </w:rPr>
              <w:t>.</w:t>
            </w:r>
          </w:p>
        </w:tc>
      </w:tr>
      <w:tr w:rsidR="00D93C65" w14:paraId="42667392" w14:textId="77777777" w:rsidTr="00344045">
        <w:tc>
          <w:tcPr>
            <w:tcW w:w="8489" w:type="dxa"/>
            <w:gridSpan w:val="2"/>
          </w:tcPr>
          <w:p w14:paraId="2896F5F5" w14:textId="51B0D12C" w:rsidR="00D93C65" w:rsidRPr="00445D1F" w:rsidRDefault="00344045" w:rsidP="006F2463">
            <w:pPr>
              <w:pStyle w:val="PP-note"/>
            </w:pPr>
            <w:r>
              <w:t>EOP, expert opinion point; IV, intravenous</w:t>
            </w:r>
          </w:p>
        </w:tc>
      </w:tr>
    </w:tbl>
    <w:p w14:paraId="6F6C9163" w14:textId="77777777" w:rsidR="00D93C65" w:rsidRDefault="00D93C65" w:rsidP="00D93C65">
      <w:pPr>
        <w:spacing w:after="0"/>
        <w:rPr>
          <w:rFonts w:ascii="Times" w:hAnsi="Times" w:cs="Times New Roman"/>
          <w:b/>
        </w:rPr>
      </w:pPr>
    </w:p>
    <w:p w14:paraId="33126BA4" w14:textId="0D94BC49" w:rsidR="00D93C65" w:rsidRPr="008229E7" w:rsidRDefault="00D93C65" w:rsidP="00D93C65">
      <w:pPr>
        <w:pStyle w:val="Heading2"/>
        <w:ind w:left="0" w:firstLine="0"/>
      </w:pPr>
      <w:bookmarkStart w:id="242" w:name="_Toc427851396"/>
      <w:bookmarkEnd w:id="228"/>
      <w:r>
        <w:t>4.6</w:t>
      </w:r>
      <w:r>
        <w:tab/>
      </w:r>
      <w:r w:rsidR="0086731F">
        <w:rPr>
          <w:lang w:val="en-AU"/>
        </w:rPr>
        <w:t>C</w:t>
      </w:r>
      <w:r>
        <w:t xml:space="preserve">ritical </w:t>
      </w:r>
      <w:r w:rsidR="00344045">
        <w:t>bleeding</w:t>
      </w:r>
      <w:bookmarkEnd w:id="242"/>
      <w:r w:rsidR="00344045" w:rsidRPr="008229E7">
        <w:t xml:space="preserve"> </w:t>
      </w:r>
    </w:p>
    <w:p w14:paraId="2A0D0994" w14:textId="61F3B0B6" w:rsidR="00B1671C" w:rsidRPr="0065196D" w:rsidRDefault="00B1671C" w:rsidP="00B1671C">
      <w:pPr>
        <w:pStyle w:val="BoxHeading"/>
        <w:rPr>
          <w:rFonts w:eastAsia="Calibri"/>
          <w:lang w:val="en-AU"/>
        </w:rPr>
      </w:pPr>
      <w:r>
        <w:rPr>
          <w:rFonts w:eastAsia="Calibri"/>
        </w:rPr>
        <w:t xml:space="preserve">Background question </w:t>
      </w:r>
      <w:r>
        <w:rPr>
          <w:rFonts w:eastAsia="Calibri"/>
          <w:lang w:val="en-AU"/>
        </w:rPr>
        <w:t>6</w:t>
      </w:r>
    </w:p>
    <w:p w14:paraId="51354915" w14:textId="4AA2A89E" w:rsidR="00B1671C" w:rsidRPr="00B1671C" w:rsidRDefault="006718D6" w:rsidP="00B1671C">
      <w:pPr>
        <w:pStyle w:val="BoxText"/>
        <w:rPr>
          <w:lang w:val="en-AU"/>
        </w:rPr>
      </w:pPr>
      <w:r>
        <w:rPr>
          <w:lang w:val="en-AU"/>
        </w:rPr>
        <w:t>In neonates and children, what recommendations should be made for dealing with critical bleeding</w:t>
      </w:r>
      <w:r w:rsidR="00B1671C">
        <w:rPr>
          <w:lang w:val="en-AU"/>
        </w:rPr>
        <w:t>?</w:t>
      </w:r>
    </w:p>
    <w:p w14:paraId="64B842F9" w14:textId="6188061C" w:rsidR="00D93C65" w:rsidRPr="00AE0CA1" w:rsidRDefault="00D93C65" w:rsidP="00344045">
      <w:r>
        <w:t>T</w:t>
      </w:r>
      <w:r w:rsidRPr="00AE0CA1">
        <w:t xml:space="preserve">he definition of </w:t>
      </w:r>
      <w:r>
        <w:t>critical bleeding</w:t>
      </w:r>
      <w:r w:rsidRPr="00AE0CA1">
        <w:t xml:space="preserve"> is not well established </w:t>
      </w:r>
      <w:r>
        <w:t xml:space="preserve">in neonatal </w:t>
      </w:r>
      <w:r w:rsidR="00E655B7">
        <w:t xml:space="preserve">and paediatric </w:t>
      </w:r>
      <w:r>
        <w:t>patients</w:t>
      </w:r>
      <w:r w:rsidR="00E655B7">
        <w:t>. Also,</w:t>
      </w:r>
      <w:r>
        <w:t xml:space="preserve"> the evidence </w:t>
      </w:r>
      <w:r w:rsidR="00E655B7">
        <w:t>about</w:t>
      </w:r>
      <w:r>
        <w:t xml:space="preserve"> which interventions and strategies result in the best outcomes is</w:t>
      </w:r>
      <w:r w:rsidRPr="00AE0CA1">
        <w:t xml:space="preserve"> limited to case reports, case series, singl</w:t>
      </w:r>
      <w:r>
        <w:t>e-</w:t>
      </w:r>
      <w:r w:rsidRPr="00AE0CA1">
        <w:t>centre experience and small retrospective reports</w:t>
      </w:r>
      <w:r>
        <w:t>.</w:t>
      </w:r>
      <w:hyperlink w:anchor="_ENREF_376" w:tooltip="Hendrickson, 2012 #602" w:history="1">
        <w:r w:rsidR="00E62798">
          <w:fldChar w:fldCharType="begin">
            <w:fldData xml:space="preserve">PEVuZE5vdGU+PENpdGU+PEF1dGhvcj5IZW5kcmlja3NvbjwvQXV0aG9yPjxZZWFyPjIwMTI8L1ll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</w:fldData>
          </w:fldChar>
        </w:r>
        <w:r w:rsidR="00E62798">
          <w:instrText xml:space="preserve"> ADDIN EN.CITE </w:instrText>
        </w:r>
        <w:r w:rsidR="00E62798">
          <w:fldChar w:fldCharType="begin">
            <w:fldData xml:space="preserve">PEVuZE5vdGU+PENpdGU+PEF1dGhvcj5IZW5kcmlja3NvbjwvQXV0aG9yPjxZZWFyPjIwMTI8L1ll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376-379</w:t>
        </w:r>
        <w:r w:rsidR="00E62798">
          <w:fldChar w:fldCharType="end"/>
        </w:r>
      </w:hyperlink>
    </w:p>
    <w:p w14:paraId="0BEE46D7" w14:textId="71E06C29" w:rsidR="00D93C65" w:rsidRPr="00AE0CA1" w:rsidRDefault="00D93C65" w:rsidP="00344045">
      <w:r>
        <w:rPr>
          <w:rFonts w:cs="AdvMINION-R"/>
          <w:szCs w:val="18"/>
        </w:rPr>
        <w:t>As with</w:t>
      </w:r>
      <w:r w:rsidRPr="00AE0CA1">
        <w:rPr>
          <w:rFonts w:cs="AdvMINION-R"/>
          <w:szCs w:val="18"/>
        </w:rPr>
        <w:t xml:space="preserve"> adult patients, critical bleeding most commonly occurs in the setting of accidental and non</w:t>
      </w:r>
      <w:r>
        <w:rPr>
          <w:rFonts w:cs="AdvMINION-R"/>
          <w:szCs w:val="18"/>
        </w:rPr>
        <w:t>-</w:t>
      </w:r>
      <w:r w:rsidRPr="00AE0CA1">
        <w:rPr>
          <w:rFonts w:cs="AdvMINION-R"/>
          <w:szCs w:val="18"/>
        </w:rPr>
        <w:t>accidental trauma, major surgeries</w:t>
      </w:r>
      <w:r>
        <w:rPr>
          <w:rFonts w:cs="AdvMINION-R"/>
          <w:szCs w:val="18"/>
        </w:rPr>
        <w:t xml:space="preserve"> (</w:t>
      </w:r>
      <w:r w:rsidRPr="00AE0CA1">
        <w:rPr>
          <w:rFonts w:cs="AdvMINION-R"/>
          <w:szCs w:val="18"/>
        </w:rPr>
        <w:t>particularly cardiac and spinal surgeries, selected neurosurgical procedures</w:t>
      </w:r>
      <w:r>
        <w:rPr>
          <w:rFonts w:cs="AdvMINION-R"/>
          <w:szCs w:val="18"/>
        </w:rPr>
        <w:t xml:space="preserve"> and</w:t>
      </w:r>
      <w:r w:rsidRPr="00AE0CA1">
        <w:rPr>
          <w:rFonts w:cs="AdvMINION-R"/>
          <w:szCs w:val="18"/>
        </w:rPr>
        <w:t xml:space="preserve"> liver transplantation</w:t>
      </w:r>
      <w:r>
        <w:rPr>
          <w:rFonts w:cs="AdvMINION-R"/>
          <w:szCs w:val="18"/>
        </w:rPr>
        <w:t>)</w:t>
      </w:r>
      <w:r w:rsidRPr="00AE0CA1">
        <w:rPr>
          <w:rFonts w:cs="AdvMINION-R"/>
          <w:szCs w:val="18"/>
        </w:rPr>
        <w:t xml:space="preserve"> and </w:t>
      </w:r>
      <w:r>
        <w:rPr>
          <w:rFonts w:cs="AdvMINION-R"/>
          <w:szCs w:val="18"/>
        </w:rPr>
        <w:t>gastrointestinal</w:t>
      </w:r>
      <w:r w:rsidRPr="00AE0CA1">
        <w:rPr>
          <w:rFonts w:cs="AdvMINION-R"/>
          <w:szCs w:val="18"/>
        </w:rPr>
        <w:t xml:space="preserve"> haemorrhage.</w:t>
      </w:r>
      <w:r w:rsidRPr="00AE0CA1">
        <w:t xml:space="preserve"> </w:t>
      </w:r>
      <w:r>
        <w:t xml:space="preserve">In neonatal patients, exsanguination due to antepartum or intrapartum fetal haemorrhage, </w:t>
      </w:r>
      <w:r w:rsidR="00E655B7">
        <w:t>and massive sub</w:t>
      </w:r>
      <w:r>
        <w:t xml:space="preserve">galeal haemorrhage are uncommon conditions but are among the indications for large-volume transfusion. </w:t>
      </w:r>
    </w:p>
    <w:p w14:paraId="4F206DA9" w14:textId="7CA6F29F" w:rsidR="00D93C65" w:rsidRPr="00AE0CA1" w:rsidRDefault="00E655B7" w:rsidP="00344045">
      <w:r>
        <w:t xml:space="preserve">The guideline </w:t>
      </w:r>
      <w:r w:rsidR="00D93C65" w:rsidRPr="00406111">
        <w:rPr>
          <w:i/>
        </w:rPr>
        <w:t>P</w:t>
      </w:r>
      <w:r w:rsidR="00D93C65" w:rsidRPr="00406111">
        <w:rPr>
          <w:rFonts w:eastAsiaTheme="minorEastAsia"/>
          <w:i/>
        </w:rPr>
        <w:t>atient Blood Management Guidelines: Module 1 – Critical Bleeding/Massive Transfusion</w:t>
      </w:r>
      <w:hyperlink w:anchor="_ENREF_1" w:tooltip="National Blood Authority (NBA), 2011 #199" w:history="1">
        <w:r w:rsidR="00E62798">
          <w:rPr>
            <w:rFonts w:eastAsiaTheme="minorEastAsia"/>
          </w:rPr>
          <w:fldChar w:fldCharType="begin"/>
        </w:r>
        <w:r w:rsidR="00E62798">
          <w:rPr>
            <w:rFonts w:eastAsiaTheme="minorEastAsia"/>
          </w:rPr>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rPr>
            <w:rFonts w:eastAsiaTheme="minorEastAsia"/>
          </w:rPr>
          <w:fldChar w:fldCharType="separate"/>
        </w:r>
        <w:r w:rsidR="00E62798" w:rsidRPr="00E62798">
          <w:rPr>
            <w:rFonts w:eastAsiaTheme="minorEastAsia"/>
            <w:noProof/>
            <w:vertAlign w:val="superscript"/>
          </w:rPr>
          <w:t>1</w:t>
        </w:r>
        <w:r w:rsidR="00E62798">
          <w:rPr>
            <w:rFonts w:eastAsiaTheme="minorEastAsia"/>
          </w:rPr>
          <w:fldChar w:fldCharType="end"/>
        </w:r>
      </w:hyperlink>
      <w:r w:rsidR="00D93C65" w:rsidRPr="00406111">
        <w:rPr>
          <w:rFonts w:eastAsiaTheme="minorEastAsia"/>
        </w:rPr>
        <w:t xml:space="preserve"> provide</w:t>
      </w:r>
      <w:r w:rsidR="00D93C65">
        <w:rPr>
          <w:rFonts w:ascii="Segoe UI" w:eastAsiaTheme="minorEastAsia" w:hAnsi="Segoe UI" w:cs="Segoe UI"/>
          <w:color w:val="auto"/>
          <w:sz w:val="18"/>
          <w:szCs w:val="18"/>
          <w:lang w:eastAsia="en-US"/>
        </w:rPr>
        <w:t xml:space="preserve">s </w:t>
      </w:r>
      <w:r w:rsidR="00D93C65" w:rsidRPr="00AE0CA1">
        <w:t>general information and advice</w:t>
      </w:r>
      <w:r w:rsidR="00D93C65">
        <w:t xml:space="preserve">. However, on the whole, the evidence is of a </w:t>
      </w:r>
      <w:r w:rsidR="00D93C65" w:rsidRPr="00AE0CA1">
        <w:t>low level</w:t>
      </w:r>
      <w:r w:rsidR="00D93C65">
        <w:t xml:space="preserve"> and </w:t>
      </w:r>
      <w:r w:rsidR="00D93C65" w:rsidRPr="00AE0CA1">
        <w:t>is derived from studies on adult populations</w:t>
      </w:r>
      <w:r w:rsidR="00D93C65">
        <w:t xml:space="preserve">; thus, it </w:t>
      </w:r>
      <w:r w:rsidR="00D93C65" w:rsidRPr="00AE0CA1">
        <w:t>may not be directly applicable to children and neonates.</w:t>
      </w:r>
    </w:p>
    <w:p w14:paraId="2A1BD825" w14:textId="5BD1A46B" w:rsidR="00D93C65" w:rsidRPr="00AE0CA1" w:rsidRDefault="00D93C65" w:rsidP="00344045">
      <w:r>
        <w:t>In</w:t>
      </w:r>
      <w:r w:rsidRPr="00AE0CA1">
        <w:t xml:space="preserve"> the paediatric population</w:t>
      </w:r>
      <w:r>
        <w:t>,</w:t>
      </w:r>
      <w:r w:rsidRPr="00AE0CA1">
        <w:t xml:space="preserve"> there are age</w:t>
      </w:r>
      <w:r>
        <w:t>-</w:t>
      </w:r>
      <w:r w:rsidRPr="00AE0CA1">
        <w:t xml:space="preserve">related </w:t>
      </w:r>
      <w:r w:rsidR="00E655B7">
        <w:t xml:space="preserve">physiological </w:t>
      </w:r>
      <w:r w:rsidRPr="00AE0CA1">
        <w:t xml:space="preserve">variations </w:t>
      </w:r>
      <w:r>
        <w:t>(</w:t>
      </w:r>
      <w:r w:rsidRPr="00AE0CA1">
        <w:t>particularly in the haemostatic system</w:t>
      </w:r>
      <w:r>
        <w:t>)</w:t>
      </w:r>
      <w:r w:rsidRPr="00AE0CA1">
        <w:t xml:space="preserve"> </w:t>
      </w:r>
      <w:r>
        <w:t xml:space="preserve">that </w:t>
      </w:r>
      <w:r w:rsidRPr="00AE0CA1">
        <w:t>may exacerbate the effects of critical bleeding and large</w:t>
      </w:r>
      <w:r>
        <w:t>-</w:t>
      </w:r>
      <w:r w:rsidRPr="00AE0CA1">
        <w:t xml:space="preserve">volume transfusion. These physiological variations are likely to have the greatest impact in neonates, infants and young children. </w:t>
      </w:r>
    </w:p>
    <w:p w14:paraId="093FBE90" w14:textId="3B25EAA4" w:rsidR="00D93C65" w:rsidRPr="00AE0CA1" w:rsidRDefault="00D93C65" w:rsidP="00344045">
      <w:r w:rsidRPr="00AE0CA1">
        <w:t>There is also a</w:t>
      </w:r>
      <w:r w:rsidR="00860E54">
        <w:t xml:space="preserve"> marked</w:t>
      </w:r>
      <w:r w:rsidRPr="00AE0CA1">
        <w:t xml:space="preserve"> variation in blood volume with age. It has been suggested that paediatric massive transfusion be defined as transfusion of </w:t>
      </w:r>
      <w:r>
        <w:rPr>
          <w:rFonts w:cs="AdvTT3713a231"/>
        </w:rPr>
        <w:t xml:space="preserve">more than </w:t>
      </w:r>
      <w:r w:rsidRPr="00AE0CA1">
        <w:t xml:space="preserve">50% </w:t>
      </w:r>
      <w:r>
        <w:t>total blood volume (TBV)</w:t>
      </w:r>
      <w:r w:rsidRPr="00AE0CA1">
        <w:t xml:space="preserve"> in 3 h</w:t>
      </w:r>
      <w:r>
        <w:t>ours</w:t>
      </w:r>
      <w:r w:rsidRPr="00AE0CA1">
        <w:t xml:space="preserve">, transfusion </w:t>
      </w:r>
      <w:r>
        <w:rPr>
          <w:rFonts w:cs="AdvTT3713a231"/>
        </w:rPr>
        <w:t xml:space="preserve">of more than </w:t>
      </w:r>
      <w:r w:rsidRPr="00AE0CA1">
        <w:t>100% TBV in 24 h</w:t>
      </w:r>
      <w:r>
        <w:t>ours</w:t>
      </w:r>
      <w:r w:rsidRPr="00AE0CA1">
        <w:t xml:space="preserve"> or transfusion support to replace ongoing blood loss of </w:t>
      </w:r>
      <w:r>
        <w:rPr>
          <w:rFonts w:cs="AdvTT3713a231"/>
        </w:rPr>
        <w:t xml:space="preserve">more than </w:t>
      </w:r>
      <w:r w:rsidRPr="00AE0CA1">
        <w:t>10% TBV per min</w:t>
      </w:r>
      <w:r>
        <w:t>ute</w:t>
      </w:r>
      <w:r w:rsidRPr="00AE0CA1">
        <w:t>.</w:t>
      </w:r>
      <w:hyperlink w:anchor="_ENREF_380" w:tooltip="Diab, 2013 #607" w:history="1">
        <w:r w:rsidR="00E62798">
          <w:fldChar w:fldCharType="begin"/>
        </w:r>
        <w:r w:rsidR="00E62798">
          <w:instrText xml:space="preserve"> ADDIN EN.CITE &lt;EndNote&gt;&lt;Cite&gt;&lt;Author&gt;Diab&lt;/Author&gt;&lt;Year&gt;2013&lt;/Year&gt;&lt;RecNum&gt;607&lt;/RecNum&gt;&lt;DisplayText&gt;&lt;style face="superscript"&gt;380&lt;/style&gt;&lt;/DisplayText&gt;&lt;record&gt;&lt;rec-number&gt;607&lt;/rec-number&gt;&lt;foreign-keys&gt;&lt;key app="EN" db-id="9edve2wadsavt5ewavaxtda4f2tavzvts9ee" timestamp="1429946978"&gt;607&lt;/key&gt;&lt;/foreign-keys&gt;&lt;ref-type name="Journal Article"&gt;17&lt;/ref-type&gt;&lt;contributors&gt;&lt;authors&gt;&lt;author&gt;Diab, Y. A.&lt;/author&gt;&lt;author&gt;Wong, E. C.&lt;/author&gt;&lt;author&gt;Luban, N. L.&lt;/author&gt;&lt;/authors&gt;&lt;/contributors&gt;&lt;auth-address&gt;Division of Hematology, Center for Cancer and Blood Disorders, Children&amp;apos;s National Medical Center, Washington, DC 20010, USA.&lt;/auth-address&gt;&lt;titles&gt;&lt;title&gt;Massive transfusion in children and neonates&lt;/title&gt;&lt;secondary-title&gt;Br J Haematol&lt;/secondary-title&gt;&lt;/titles&gt;&lt;periodical&gt;&lt;full-title&gt;Br J Haematol&lt;/full-title&gt;&lt;abbr-1&gt;British journal of haematology&lt;/abbr-1&gt;&lt;/periodical&gt;&lt;pages&gt;15–26&lt;/pages&gt;&lt;volume&gt;161&lt;/volume&gt;&lt;number&gt;1&lt;/number&gt;&lt;keywords&gt;&lt;keyword&gt;Blood Transfusion/adverse effects/*methods/standards&lt;/keyword&gt;&lt;keyword&gt;Child&lt;/keyword&gt;&lt;keyword&gt;Child, Preschool&lt;/keyword&gt;&lt;keyword&gt;Clinical Protocols&lt;/keyword&gt;&lt;keyword&gt;Hemorrhage/physiopathology/*therapy&lt;/keyword&gt;&lt;keyword&gt;Hemostasis/physiology&lt;/keyword&gt;&lt;keyword&gt;Hemostatic Disorders/therapy&lt;/keyword&gt;&lt;keyword&gt;Humans&lt;/keyword&gt;&lt;keyword&gt;Infant&lt;/keyword&gt;&lt;keyword&gt;Infant, Newborn&lt;/keyword&gt;&lt;/keywords&gt;&lt;dates&gt;&lt;year&gt;2013&lt;/year&gt;&lt;pub-dates&gt;&lt;date&gt;Apr&lt;/date&gt;&lt;/pub-dates&gt;&lt;/dates&gt;&lt;isbn&gt;1365-2141 (Electronic)&amp;#xD;0007-1048 (Linking)&lt;/isbn&gt;&lt;accession-num&gt;23432321&lt;/accession-num&gt;&lt;urls&gt;&lt;related-urls&gt;&lt;url&gt;http://www.ncbi.nlm.nih.gov/pubmed/23432321&lt;/url&gt;&lt;/related-urls&gt;&lt;/urls&gt;&lt;electronic-resource-num&gt;10.1111/bjh.12247&lt;/electronic-resource-num&gt;&lt;/record&gt;&lt;/Cite&gt;&lt;/EndNote&gt;</w:instrText>
        </w:r>
        <w:r w:rsidR="00E62798">
          <w:fldChar w:fldCharType="separate"/>
        </w:r>
        <w:r w:rsidR="00E62798" w:rsidRPr="00E62798">
          <w:rPr>
            <w:noProof/>
            <w:vertAlign w:val="superscript"/>
          </w:rPr>
          <w:t>380</w:t>
        </w:r>
        <w:r w:rsidR="00E62798">
          <w:fldChar w:fldCharType="end"/>
        </w:r>
      </w:hyperlink>
      <w:r w:rsidRPr="00AE0CA1">
        <w:t xml:space="preserve"> Given the age </w:t>
      </w:r>
      <w:r>
        <w:t xml:space="preserve">and </w:t>
      </w:r>
      <w:r w:rsidRPr="00AE0CA1">
        <w:t>weight</w:t>
      </w:r>
      <w:r>
        <w:t>-</w:t>
      </w:r>
      <w:r w:rsidRPr="00AE0CA1">
        <w:t xml:space="preserve">related variations in body mass and blood volume, transfusion volumes and </w:t>
      </w:r>
      <w:r>
        <w:t>the content of critical bleeding protocol packs</w:t>
      </w:r>
      <w:r w:rsidRPr="00AE0CA1">
        <w:t xml:space="preserve"> should be </w:t>
      </w:r>
      <w:r>
        <w:t xml:space="preserve">adjusted for </w:t>
      </w:r>
      <w:r w:rsidRPr="00AE0CA1">
        <w:t>age or weight</w:t>
      </w:r>
      <w:r>
        <w:t xml:space="preserve"> (or both)</w:t>
      </w:r>
      <w:r w:rsidRPr="00AE0CA1">
        <w:t>.</w:t>
      </w:r>
    </w:p>
    <w:p w14:paraId="6D7E59D9" w14:textId="7C973F78" w:rsidR="00D93C65" w:rsidRPr="00AE0CA1" w:rsidRDefault="00D93C65" w:rsidP="00344045">
      <w:r>
        <w:t>T</w:t>
      </w:r>
      <w:r w:rsidRPr="00AE0CA1">
        <w:t xml:space="preserve">reating clinicians should be mindful </w:t>
      </w:r>
      <w:r>
        <w:t xml:space="preserve">that </w:t>
      </w:r>
      <w:r w:rsidRPr="00AE0CA1">
        <w:t>anticoagulant</w:t>
      </w:r>
      <w:r>
        <w:t>-</w:t>
      </w:r>
      <w:r w:rsidRPr="00AE0CA1">
        <w:t xml:space="preserve">preservative solutions </w:t>
      </w:r>
      <w:r>
        <w:t>affect acid</w:t>
      </w:r>
      <w:r w:rsidR="00E655B7">
        <w:t>–</w:t>
      </w:r>
      <w:r>
        <w:t>base status and can cause</w:t>
      </w:r>
      <w:r w:rsidRPr="00AE0CA1">
        <w:t xml:space="preserve"> hypocalcaemia</w:t>
      </w:r>
      <w:r>
        <w:t>, and that h</w:t>
      </w:r>
      <w:r w:rsidRPr="00AE0CA1">
        <w:t xml:space="preserve">ypothermia </w:t>
      </w:r>
      <w:r>
        <w:t>impairs</w:t>
      </w:r>
      <w:r w:rsidRPr="00AE0CA1">
        <w:t xml:space="preserve"> global coagulation </w:t>
      </w:r>
      <w:r>
        <w:t>(</w:t>
      </w:r>
      <w:r w:rsidRPr="00AE0CA1">
        <w:t>including platelet function</w:t>
      </w:r>
      <w:r>
        <w:t>)</w:t>
      </w:r>
      <w:r w:rsidRPr="00AE0CA1">
        <w:t>.</w:t>
      </w:r>
      <w:r w:rsidR="00F848F2">
        <w:t xml:space="preserve"> </w:t>
      </w:r>
    </w:p>
    <w:p w14:paraId="2349DB3C" w14:textId="77777777" w:rsidR="00D93C65" w:rsidRPr="00AE0CA1" w:rsidRDefault="00D93C65" w:rsidP="00D93C65">
      <w:pPr>
        <w:pStyle w:val="Normalbeforebullet"/>
      </w:pPr>
      <w:r>
        <w:t>I</w:t>
      </w:r>
      <w:r w:rsidRPr="00AE0CA1">
        <w:t>nstitutions</w:t>
      </w:r>
      <w:r>
        <w:t xml:space="preserve"> should</w:t>
      </w:r>
      <w:r w:rsidRPr="00AE0CA1">
        <w:t xml:space="preserve"> develop a</w:t>
      </w:r>
      <w:r>
        <w:t xml:space="preserve"> critical bleeding protocol</w:t>
      </w:r>
      <w:r w:rsidRPr="00AE0CA1">
        <w:t xml:space="preserve"> specific for neonatal and paediatric patients </w:t>
      </w:r>
      <w:r>
        <w:t>that takes into account</w:t>
      </w:r>
      <w:r w:rsidRPr="00AE0CA1">
        <w:t xml:space="preserve"> the following issues</w:t>
      </w:r>
      <w:r>
        <w:t>:</w:t>
      </w:r>
    </w:p>
    <w:p w14:paraId="636C5AF2" w14:textId="77777777" w:rsidR="00D93C65" w:rsidRPr="00ED383F" w:rsidRDefault="00D93C65" w:rsidP="0058555C">
      <w:pPr>
        <w:pStyle w:val="Bullet6"/>
      </w:pPr>
      <w:r w:rsidRPr="00ED383F">
        <w:t>guidance on when to activate</w:t>
      </w:r>
    </w:p>
    <w:p w14:paraId="4EE9E110" w14:textId="77777777" w:rsidR="00D93C65" w:rsidRPr="00ED383F" w:rsidRDefault="00D93C65" w:rsidP="0058555C">
      <w:pPr>
        <w:pStyle w:val="Bullet6"/>
      </w:pPr>
      <w:r>
        <w:t>who to contact and how to contact them (relevant phone</w:t>
      </w:r>
      <w:r w:rsidRPr="00ED383F">
        <w:t xml:space="preserve"> numbers</w:t>
      </w:r>
      <w:r>
        <w:t>)</w:t>
      </w:r>
    </w:p>
    <w:p w14:paraId="7D6BF2E8" w14:textId="77777777" w:rsidR="00D93C65" w:rsidRDefault="00D93C65" w:rsidP="0058555C">
      <w:pPr>
        <w:pStyle w:val="Bullet6"/>
      </w:pPr>
      <w:r>
        <w:t>roles and responsibilities</w:t>
      </w:r>
    </w:p>
    <w:p w14:paraId="3152B527" w14:textId="221087DE" w:rsidR="00D93C65" w:rsidRPr="00ED383F" w:rsidRDefault="00D93C65" w:rsidP="0058555C">
      <w:pPr>
        <w:pStyle w:val="Bullet6"/>
      </w:pPr>
      <w:r>
        <w:rPr>
          <w:color w:val="auto"/>
        </w:rPr>
        <w:t>p</w:t>
      </w:r>
      <w:r w:rsidRPr="00A62338">
        <w:rPr>
          <w:color w:val="auto"/>
        </w:rPr>
        <w:t>rompts for safety measures, such as using large</w:t>
      </w:r>
      <w:r w:rsidR="0058555C">
        <w:rPr>
          <w:color w:val="auto"/>
          <w:lang w:val="en-AU"/>
        </w:rPr>
        <w:t>-</w:t>
      </w:r>
      <w:r w:rsidRPr="00A62338">
        <w:rPr>
          <w:color w:val="auto"/>
        </w:rPr>
        <w:t xml:space="preserve">bore cannulas where possible </w:t>
      </w:r>
    </w:p>
    <w:p w14:paraId="4CFC7135" w14:textId="0B345265" w:rsidR="00D93C65" w:rsidRDefault="00D93C65" w:rsidP="0058555C">
      <w:pPr>
        <w:pStyle w:val="Bullet6"/>
      </w:pPr>
      <w:r w:rsidRPr="00ED383F">
        <w:t>age or weigh</w:t>
      </w:r>
      <w:r>
        <w:t>t-</w:t>
      </w:r>
      <w:r w:rsidRPr="00ED383F">
        <w:t>adjust</w:t>
      </w:r>
      <w:r>
        <w:t>ed</w:t>
      </w:r>
      <w:r w:rsidR="00E655B7">
        <w:t>:</w:t>
      </w:r>
    </w:p>
    <w:p w14:paraId="0B8FE881" w14:textId="77777777" w:rsidR="00D93C65" w:rsidRDefault="00D93C65" w:rsidP="0058555C">
      <w:pPr>
        <w:pStyle w:val="Dash6"/>
      </w:pPr>
      <w:r w:rsidRPr="00ED383F">
        <w:t xml:space="preserve">content of the </w:t>
      </w:r>
      <w:r>
        <w:t>critical bleeding protocol</w:t>
      </w:r>
      <w:r w:rsidRPr="00ED383F">
        <w:t xml:space="preserve"> packs</w:t>
      </w:r>
    </w:p>
    <w:p w14:paraId="2AD76612" w14:textId="77777777" w:rsidR="00D93C65" w:rsidRPr="00ED383F" w:rsidRDefault="00D93C65" w:rsidP="0058555C">
      <w:pPr>
        <w:pStyle w:val="Dash6"/>
      </w:pPr>
      <w:r w:rsidRPr="00ED383F">
        <w:t xml:space="preserve">volumes </w:t>
      </w:r>
      <w:r>
        <w:t>or</w:t>
      </w:r>
      <w:r w:rsidRPr="00ED383F">
        <w:t xml:space="preserve"> doses of blood products used</w:t>
      </w:r>
    </w:p>
    <w:p w14:paraId="247385C6" w14:textId="75008BBD" w:rsidR="00D93C65" w:rsidRPr="00ED383F" w:rsidRDefault="00D93C65" w:rsidP="0058555C">
      <w:pPr>
        <w:pStyle w:val="Bullet6"/>
      </w:pPr>
      <w:r>
        <w:t>d</w:t>
      </w:r>
      <w:r w:rsidRPr="00ED383F">
        <w:t>efinition of the products to be included in initial, second and subsequent packs</w:t>
      </w:r>
      <w:r w:rsidR="00F848F2">
        <w:t xml:space="preserve"> </w:t>
      </w:r>
      <w:r>
        <w:t>(e.g.</w:t>
      </w:r>
      <w:r w:rsidRPr="00ED383F">
        <w:t xml:space="preserve"> </w:t>
      </w:r>
      <w:r>
        <w:t>red cell concentrate</w:t>
      </w:r>
      <w:r w:rsidRPr="00ED383F">
        <w:t>, FFP, platelets</w:t>
      </w:r>
      <w:r>
        <w:t xml:space="preserve"> and</w:t>
      </w:r>
      <w:r w:rsidRPr="00ED383F">
        <w:t xml:space="preserve"> cryoprecipitate</w:t>
      </w:r>
      <w:r>
        <w:t>)</w:t>
      </w:r>
    </w:p>
    <w:p w14:paraId="7EDFD079" w14:textId="77777777" w:rsidR="00D93C65" w:rsidRPr="00ED383F" w:rsidRDefault="00D93C65" w:rsidP="0058555C">
      <w:pPr>
        <w:pStyle w:val="Bullet6"/>
      </w:pPr>
      <w:r w:rsidRPr="00ED383F">
        <w:t xml:space="preserve">indications for or timing of cryoprecipitate use </w:t>
      </w:r>
    </w:p>
    <w:p w14:paraId="6B4DA019" w14:textId="425140AA" w:rsidR="00D93C65" w:rsidRPr="00ED383F" w:rsidRDefault="00D93C65" w:rsidP="0058555C">
      <w:pPr>
        <w:pStyle w:val="Bullet6"/>
      </w:pPr>
      <w:r w:rsidRPr="00ED383F">
        <w:t xml:space="preserve">when </w:t>
      </w:r>
      <w:r w:rsidR="00DF0139">
        <w:rPr>
          <w:lang w:val="en-AU"/>
        </w:rPr>
        <w:t>POC</w:t>
      </w:r>
      <w:r>
        <w:t xml:space="preserve"> testing</w:t>
      </w:r>
      <w:r w:rsidR="00323741">
        <w:t xml:space="preserve"> (TEG/</w:t>
      </w:r>
      <w:r w:rsidRPr="00ED383F">
        <w:t>ROTEM)</w:t>
      </w:r>
      <w:r>
        <w:t xml:space="preserve"> is used, a definition of its role</w:t>
      </w:r>
    </w:p>
    <w:p w14:paraId="1C03DFE3" w14:textId="77777777" w:rsidR="00D93C65" w:rsidRPr="00ED383F" w:rsidRDefault="00D93C65" w:rsidP="0058555C">
      <w:pPr>
        <w:pStyle w:val="Bullet12"/>
      </w:pPr>
      <w:r w:rsidRPr="00ED383F">
        <w:t xml:space="preserve">definition of responsibilities for deactivation of </w:t>
      </w:r>
      <w:r>
        <w:t>critical bleeding protocol,</w:t>
      </w:r>
      <w:r w:rsidRPr="00ED383F">
        <w:t xml:space="preserve"> with relevant contact information</w:t>
      </w:r>
      <w:r>
        <w:t>.</w:t>
      </w:r>
    </w:p>
    <w:p w14:paraId="5BB0C43B" w14:textId="3F97ACC5" w:rsidR="00D93C65" w:rsidRDefault="00D93C65" w:rsidP="00D93C65">
      <w:r>
        <w:t>It may be useful to develop</w:t>
      </w:r>
      <w:r w:rsidRPr="00ED383F">
        <w:t xml:space="preserve"> parallel protocol</w:t>
      </w:r>
      <w:r>
        <w:t>s for laboratory and</w:t>
      </w:r>
      <w:r w:rsidRPr="00ED383F">
        <w:t xml:space="preserve"> clinical management</w:t>
      </w:r>
      <w:r>
        <w:t>. The latter should include</w:t>
      </w:r>
      <w:r w:rsidRPr="00ED383F">
        <w:t xml:space="preserve"> product dosing and administration at the bedside. </w:t>
      </w:r>
      <w:r>
        <w:t>T</w:t>
      </w:r>
      <w:r w:rsidRPr="00ED383F">
        <w:t>h</w:t>
      </w:r>
      <w:r>
        <w:t xml:space="preserve">e </w:t>
      </w:r>
      <w:r w:rsidRPr="00ED383F">
        <w:t xml:space="preserve">clinical pathway </w:t>
      </w:r>
      <w:r>
        <w:t>sh</w:t>
      </w:r>
      <w:r w:rsidRPr="00ED383F">
        <w:t xml:space="preserve">ould include guidance on when to </w:t>
      </w:r>
      <w:r>
        <w:t>undertake</w:t>
      </w:r>
      <w:r w:rsidRPr="00ED383F">
        <w:t xml:space="preserve"> laboratory testing, which tests</w:t>
      </w:r>
      <w:r>
        <w:t xml:space="preserve"> to request,</w:t>
      </w:r>
      <w:r w:rsidRPr="00ED383F">
        <w:t xml:space="preserve"> interpretation of results</w:t>
      </w:r>
      <w:r w:rsidR="00E655B7">
        <w:t>,</w:t>
      </w:r>
      <w:r w:rsidRPr="00ED383F">
        <w:t xml:space="preserve"> and</w:t>
      </w:r>
      <w:r>
        <w:t xml:space="preserve"> </w:t>
      </w:r>
      <w:r w:rsidR="00E655B7">
        <w:t>e</w:t>
      </w:r>
      <w:r>
        <w:t>ffect</w:t>
      </w:r>
      <w:r w:rsidRPr="00ED383F">
        <w:t xml:space="preserve"> on product selection and dose.</w:t>
      </w:r>
    </w:p>
    <w:tbl>
      <w:tblPr>
        <w:tblStyle w:val="TableGrid"/>
        <w:tblW w:w="8347" w:type="dxa"/>
        <w:tblInd w:w="720" w:type="dxa"/>
        <w:tblLook w:val="04A0" w:firstRow="1" w:lastRow="0" w:firstColumn="1" w:lastColumn="0" w:noHBand="0" w:noVBand="1"/>
      </w:tblPr>
      <w:tblGrid>
        <w:gridCol w:w="1210"/>
        <w:gridCol w:w="7137"/>
      </w:tblGrid>
      <w:tr w:rsidR="00D93C65" w:rsidRPr="00813FDC" w14:paraId="66858B89" w14:textId="77777777" w:rsidTr="00467EEA">
        <w:tc>
          <w:tcPr>
            <w:tcW w:w="8347" w:type="dxa"/>
            <w:gridSpan w:val="2"/>
            <w:shd w:val="clear" w:color="auto" w:fill="BFBFBF" w:themeFill="background1" w:themeFillShade="BF"/>
          </w:tcPr>
          <w:p w14:paraId="2764F130" w14:textId="4FE0C5F4" w:rsidR="00D93C65" w:rsidRPr="00813FDC" w:rsidRDefault="00D93C65" w:rsidP="00C62C56">
            <w:pPr>
              <w:pStyle w:val="PP-heading"/>
            </w:pPr>
            <w:r w:rsidRPr="00813FDC">
              <w:t xml:space="preserve">Expert opinion points </w:t>
            </w:r>
            <w:r>
              <w:t xml:space="preserve">– </w:t>
            </w:r>
            <w:r w:rsidR="00323741">
              <w:t xml:space="preserve">critical </w:t>
            </w:r>
            <w:r>
              <w:t>bleeding protocol</w:t>
            </w:r>
          </w:p>
        </w:tc>
      </w:tr>
      <w:tr w:rsidR="00D93C65" w14:paraId="5B986A84" w14:textId="77777777" w:rsidTr="00344045">
        <w:tc>
          <w:tcPr>
            <w:tcW w:w="1210" w:type="dxa"/>
          </w:tcPr>
          <w:p w14:paraId="2C470374" w14:textId="25B71BAF" w:rsidR="00D93C65" w:rsidRDefault="00D93C65" w:rsidP="00344045">
            <w:pPr>
              <w:pStyle w:val="PP"/>
            </w:pPr>
            <w:r>
              <w:t>EOP</w:t>
            </w:r>
            <w:r w:rsidR="00344045">
              <w:t>33</w:t>
            </w:r>
          </w:p>
        </w:tc>
        <w:tc>
          <w:tcPr>
            <w:tcW w:w="7137" w:type="dxa"/>
          </w:tcPr>
          <w:p w14:paraId="3B5C3635" w14:textId="7366C5C2" w:rsidR="00D93C65" w:rsidRPr="00187E3B" w:rsidRDefault="00D93C65" w:rsidP="00344045">
            <w:pPr>
              <w:pStyle w:val="PP"/>
            </w:pPr>
            <w:r w:rsidRPr="00187E3B">
              <w:t>Institutions that provide care for neonates and paediatric patients should have a</w:t>
            </w:r>
            <w:r>
              <w:t xml:space="preserve"> </w:t>
            </w:r>
            <w:r w:rsidR="00344045">
              <w:t xml:space="preserve">critical bleeding protocol </w:t>
            </w:r>
            <w:r w:rsidRPr="00187E3B">
              <w:t xml:space="preserve">specific to such patients. </w:t>
            </w:r>
          </w:p>
        </w:tc>
      </w:tr>
      <w:tr w:rsidR="00D93C65" w14:paraId="2FB3FCED" w14:textId="77777777" w:rsidTr="00344045">
        <w:tc>
          <w:tcPr>
            <w:tcW w:w="1210" w:type="dxa"/>
          </w:tcPr>
          <w:p w14:paraId="013B2CF0" w14:textId="42FFA6E0" w:rsidR="00D93C65" w:rsidRDefault="00D93C65" w:rsidP="00344045">
            <w:pPr>
              <w:pStyle w:val="PP"/>
            </w:pPr>
            <w:r>
              <w:t>EOP</w:t>
            </w:r>
            <w:r w:rsidR="00344045">
              <w:t>34</w:t>
            </w:r>
          </w:p>
        </w:tc>
        <w:tc>
          <w:tcPr>
            <w:tcW w:w="7137" w:type="dxa"/>
          </w:tcPr>
          <w:p w14:paraId="5637A4A4" w14:textId="77777777" w:rsidR="00D93C65" w:rsidRDefault="00D93C65" w:rsidP="00344045">
            <w:pPr>
              <w:pStyle w:val="PP"/>
            </w:pPr>
            <w:r>
              <w:t xml:space="preserve">The critical bleeding protocol should outline the essential steps (including coordination and communication) to rapidly and effectively manage a patient who is at risk of or undergoing critical bleeding. </w:t>
            </w:r>
          </w:p>
        </w:tc>
      </w:tr>
      <w:tr w:rsidR="00D93C65" w14:paraId="373057CC" w14:textId="77777777" w:rsidTr="00344045">
        <w:tc>
          <w:tcPr>
            <w:tcW w:w="1210" w:type="dxa"/>
          </w:tcPr>
          <w:p w14:paraId="26FACAC5" w14:textId="07AAC3CB" w:rsidR="00D93C65" w:rsidRDefault="00D93C65" w:rsidP="00344045">
            <w:pPr>
              <w:pStyle w:val="PP"/>
            </w:pPr>
            <w:r>
              <w:t>EOP</w:t>
            </w:r>
            <w:r w:rsidR="00344045">
              <w:t>35</w:t>
            </w:r>
          </w:p>
        </w:tc>
        <w:tc>
          <w:tcPr>
            <w:tcW w:w="7137" w:type="dxa"/>
          </w:tcPr>
          <w:p w14:paraId="7E41A3A8" w14:textId="77777777" w:rsidR="00D93C65" w:rsidRPr="00102954" w:rsidRDefault="00D93C65" w:rsidP="00344045">
            <w:pPr>
              <w:pStyle w:val="PP"/>
            </w:pPr>
            <w:r>
              <w:t>The critical bleeding protocol should include weight adjustments to guide blood product supply and administration. The clinician, in consultation with the haematologist or transfusion specialist, should tailor the type, volume and order of products given to the clinical circumstances.</w:t>
            </w:r>
          </w:p>
        </w:tc>
      </w:tr>
      <w:tr w:rsidR="00D93C65" w14:paraId="57F1C201" w14:textId="77777777" w:rsidTr="00344045">
        <w:tc>
          <w:tcPr>
            <w:tcW w:w="8347" w:type="dxa"/>
            <w:gridSpan w:val="2"/>
          </w:tcPr>
          <w:p w14:paraId="54A4F903" w14:textId="48BD8E40" w:rsidR="00D93C65" w:rsidRPr="00445D1F" w:rsidRDefault="00344045" w:rsidP="006F2463">
            <w:pPr>
              <w:pStyle w:val="PP-note"/>
            </w:pPr>
            <w:r>
              <w:t>EOP, expert opinion point</w:t>
            </w:r>
          </w:p>
        </w:tc>
      </w:tr>
    </w:tbl>
    <w:p w14:paraId="23AAF0A2" w14:textId="77777777" w:rsidR="00D93C65" w:rsidRDefault="00D93C65" w:rsidP="00D93C65">
      <w:pPr>
        <w:pStyle w:val="References"/>
      </w:pPr>
    </w:p>
    <w:p w14:paraId="0AC3A493" w14:textId="77777777" w:rsidR="00AC13F5" w:rsidRDefault="00AC13F5">
      <w:pPr>
        <w:spacing w:after="0"/>
        <w:ind w:left="0"/>
        <w:rPr>
          <w:rFonts w:ascii="Arial" w:hAnsi="Arial" w:cs="Times New Roman"/>
          <w:b/>
          <w:bCs/>
          <w:spacing w:val="40"/>
          <w:kern w:val="28"/>
          <w:sz w:val="36"/>
          <w:szCs w:val="32"/>
          <w:lang w:val="en-US"/>
        </w:rPr>
      </w:pPr>
      <w:r>
        <w:rPr>
          <w:lang w:val="en-US"/>
        </w:rPr>
        <w:br w:type="page"/>
      </w:r>
    </w:p>
    <w:p w14:paraId="0E8D4524" w14:textId="77777777" w:rsidR="00E779F5" w:rsidRDefault="004323ED" w:rsidP="008A2485">
      <w:pPr>
        <w:pStyle w:val="Heading1"/>
      </w:pPr>
      <w:bookmarkStart w:id="243" w:name="_Toc427851397"/>
      <w:r>
        <w:rPr>
          <w:lang w:val="en-US"/>
        </w:rPr>
        <w:t>5</w:t>
      </w:r>
      <w:r>
        <w:rPr>
          <w:lang w:val="en-US"/>
        </w:rPr>
        <w:tab/>
      </w:r>
      <w:r w:rsidR="00541491">
        <w:t>Future direction</w:t>
      </w:r>
      <w:r w:rsidR="0052578B">
        <w:t>s</w:t>
      </w:r>
      <w:bookmarkEnd w:id="165"/>
      <w:bookmarkEnd w:id="243"/>
    </w:p>
    <w:p w14:paraId="1FCAF135" w14:textId="1F773B52" w:rsidR="00F5047B" w:rsidRDefault="00F5047B" w:rsidP="00F5047B">
      <w:r>
        <w:t>The systematic review for this module found sufficient evidence to make recommendations for or against the use of a number of interventions in neonatal or paediatric patients or both. These included RBC transfusion, ESAs</w:t>
      </w:r>
      <w:r w:rsidR="00094CAE">
        <w:t>,</w:t>
      </w:r>
      <w:r>
        <w:t xml:space="preserve"> hydroxyurea, FFP in cardiac patients, </w:t>
      </w:r>
      <w:r w:rsidR="00274815">
        <w:t>IVIg</w:t>
      </w:r>
      <w:r w:rsidR="00094CAE">
        <w:t>, prevention of hypothermia</w:t>
      </w:r>
      <w:r>
        <w:t xml:space="preserve"> and antifibrinolytics. However, some of these recommendations were drawn from the evidence in adult populations. In others, although </w:t>
      </w:r>
      <w:r w:rsidR="00094CAE">
        <w:t xml:space="preserve">evidence from neonatal or </w:t>
      </w:r>
      <w:r>
        <w:t xml:space="preserve">paediatric </w:t>
      </w:r>
      <w:r w:rsidR="00094CAE">
        <w:t>populations</w:t>
      </w:r>
      <w:r>
        <w:t xml:space="preserve"> supported a recommendation, further research is needed to strengthen</w:t>
      </w:r>
      <w:r w:rsidR="00094CAE">
        <w:t xml:space="preserve"> that evidence</w:t>
      </w:r>
      <w:r>
        <w:t xml:space="preserve"> or to improve guidance about its application. Furthermore, despite the potential for long-term consequences of neonatal and paediatric interventions, most studies addressed only short</w:t>
      </w:r>
      <w:r w:rsidR="00094CAE">
        <w:t>-</w:t>
      </w:r>
      <w:r>
        <w:t>term outcomes, which were often insufficient to determine the overall balance of risks and benefits.</w:t>
      </w:r>
    </w:p>
    <w:p w14:paraId="6E7377B1" w14:textId="77777777" w:rsidR="00094CAE" w:rsidRDefault="00F5047B" w:rsidP="00094CAE">
      <w:pPr>
        <w:pStyle w:val="Normalbeforebullet"/>
      </w:pPr>
      <w:r>
        <w:t xml:space="preserve">The review has highlighted that there is insufficient high-quality evidence for when to use RBC transfusions in neonatal and paediatric populations, particularly among general medical and critically ill patients. </w:t>
      </w:r>
      <w:r w:rsidR="00094CAE">
        <w:t>It</w:t>
      </w:r>
      <w:r>
        <w:t xml:space="preserve"> found insufficient evidence to make recommendations for clinical practice in several key areas, including</w:t>
      </w:r>
      <w:r w:rsidR="00094CAE">
        <w:t>:</w:t>
      </w:r>
    </w:p>
    <w:p w14:paraId="490A589F" w14:textId="473BEB20" w:rsidR="00094CAE" w:rsidRDefault="00F5047B" w:rsidP="00094CAE">
      <w:pPr>
        <w:pStyle w:val="Bullet6"/>
      </w:pPr>
      <w:r>
        <w:t>the use of ESAs in children (other than preterm neonates</w:t>
      </w:r>
      <w:r w:rsidR="00094CAE">
        <w:rPr>
          <w:lang w:val="en-AU"/>
        </w:rPr>
        <w:t>)</w:t>
      </w:r>
    </w:p>
    <w:p w14:paraId="550C7BE7" w14:textId="77777777" w:rsidR="00094CAE" w:rsidRPr="00094CAE" w:rsidRDefault="00F5047B" w:rsidP="00094CAE">
      <w:pPr>
        <w:pStyle w:val="Bullet6"/>
      </w:pPr>
      <w:r>
        <w:t xml:space="preserve">the use of parenteral iron, </w:t>
      </w:r>
      <w:r w:rsidR="00094CAE">
        <w:t>FFP</w:t>
      </w:r>
      <w:r>
        <w:t>, fibrinogen concentrate and cryoprecipitate</w:t>
      </w:r>
      <w:r w:rsidR="00094CAE">
        <w:rPr>
          <w:lang w:val="en-AU"/>
        </w:rPr>
        <w:t xml:space="preserve"> in children</w:t>
      </w:r>
    </w:p>
    <w:p w14:paraId="479448CF" w14:textId="6C68C911" w:rsidR="00F5047B" w:rsidRDefault="00F5047B" w:rsidP="00094CAE">
      <w:pPr>
        <w:pStyle w:val="Bullet12"/>
      </w:pPr>
      <w:r>
        <w:t>thresholds for platelet transfusion and dose of platelets to administer in thrombocytopaenic patients.</w:t>
      </w:r>
      <w:r w:rsidR="004E2E70">
        <w:t xml:space="preserve"> </w:t>
      </w:r>
    </w:p>
    <w:p w14:paraId="5CC8C383" w14:textId="77777777" w:rsidR="00094CAE" w:rsidRDefault="00F5047B" w:rsidP="00094CAE">
      <w:pPr>
        <w:pStyle w:val="Normalbeforebullet"/>
      </w:pPr>
      <w:r>
        <w:t>In some research areas, gaps identified in this review are the subject of current research; for example</w:t>
      </w:r>
      <w:r w:rsidR="00094CAE">
        <w:t>:</w:t>
      </w:r>
    </w:p>
    <w:p w14:paraId="635C1D9C" w14:textId="7AA68609" w:rsidR="00094CAE" w:rsidRDefault="00F5047B" w:rsidP="00094CAE">
      <w:pPr>
        <w:pStyle w:val="Bullet6"/>
      </w:pPr>
      <w:r>
        <w:t xml:space="preserve">the </w:t>
      </w:r>
      <w:r w:rsidR="00094CAE">
        <w:t>TOP trial</w:t>
      </w:r>
      <w:hyperlink w:anchor="_ENREF_381" w:tooltip=", 2015 #755" w:history="1">
        <w:r w:rsidR="00E62798">
          <w:fldChar w:fldCharType="begin"/>
        </w:r>
        <w:r w:rsidR="00E62798">
          <w:instrText xml:space="preserve"> ADDIN EN.CITE &lt;EndNote&gt;&lt;Cite ExcludeAuth="1"&gt;&lt;Year&gt;2015&lt;/Year&gt;&lt;RecNum&gt;755&lt;/RecNum&gt;&lt;DisplayText&gt;&lt;style face="superscript"&gt;381&lt;/style&gt;&lt;/DisplayText&gt;&lt;record&gt;&lt;rec-number&gt;755&lt;/rec-number&gt;&lt;foreign-keys&gt;&lt;key app="EN" db-id="9edve2wadsavt5ewavaxtda4f2tavzvts9ee" timestamp="1431577223"&gt;755&lt;/key&gt;&lt;/foreign-keys&gt;&lt;ref-type name="Press Release"&gt;63&lt;/ref-type&gt;&lt;contributors&gt;&lt;/contributors&gt;&lt;titles&gt;&lt;title&gt;Transfusion of Prematures (TOP) Trial&lt;/title&gt;&lt;/titles&gt;&lt;dates&gt;&lt;year&gt;2015&lt;/year&gt;&lt;/dates&gt;&lt;urls&gt;&lt;related-urls&gt;&lt;url&gt;https://clinicaltrials.gov/ct2/show/NCT01702805&lt;/url&gt;&lt;/related-urls&gt;&lt;/urls&gt;&lt;/record&gt;&lt;/Cite&gt;&lt;/EndNote&gt;</w:instrText>
        </w:r>
        <w:r w:rsidR="00E62798">
          <w:fldChar w:fldCharType="separate"/>
        </w:r>
        <w:r w:rsidR="00E62798" w:rsidRPr="00E62798">
          <w:rPr>
            <w:noProof/>
            <w:vertAlign w:val="superscript"/>
          </w:rPr>
          <w:t>381</w:t>
        </w:r>
        <w:r w:rsidR="00E62798">
          <w:fldChar w:fldCharType="end"/>
        </w:r>
      </w:hyperlink>
      <w:r w:rsidR="00094CAE">
        <w:t xml:space="preserve"> and ETTNO trial</w:t>
      </w:r>
      <w:hyperlink w:anchor="_ENREF_382" w:tooltip=",  #756" w:history="1">
        <w:r w:rsidR="00E62798">
          <w:fldChar w:fldCharType="begin"/>
        </w:r>
        <w:r w:rsidR="00E62798">
          <w:instrText xml:space="preserve"> ADDIN EN.CITE &lt;EndNote&gt;&lt;Cite ExcludeAuth="1" ExcludeYear="1"&gt;&lt;RecNum&gt;756&lt;/RecNum&gt;&lt;DisplayText&gt;&lt;style face="superscript"&gt;382&lt;/style&gt;&lt;/DisplayText&gt;&lt;record&gt;&lt;rec-number&gt;756&lt;/rec-number&gt;&lt;foreign-keys&gt;&lt;key app="EN" db-id="9edve2wadsavt5ewavaxtda4f2tavzvts9ee" timestamp="1431577322"&gt;756&lt;/key&gt;&lt;key app="ENWeb" db-id=""&gt;0&lt;/key&gt;&lt;/foreign-keys&gt;&lt;ref-type name="Journal Article"&gt;17&lt;/ref-type&gt;&lt;contributors&gt;&lt;/contributors&gt;&lt;titles&gt;&lt;title&gt;&amp;lt;ETTNO_Information_HomepageCPCS_AF.pdf&amp;gt;&lt;/title&gt;&lt;/titles&gt;&lt;dates&gt;&lt;/dates&gt;&lt;urls&gt;&lt;/urls&gt;&lt;/record&gt;&lt;/Cite&gt;&lt;/EndNote&gt;</w:instrText>
        </w:r>
        <w:r w:rsidR="00E62798">
          <w:fldChar w:fldCharType="separate"/>
        </w:r>
        <w:r w:rsidR="00E62798" w:rsidRPr="00E62798">
          <w:rPr>
            <w:noProof/>
            <w:vertAlign w:val="superscript"/>
          </w:rPr>
          <w:t>382</w:t>
        </w:r>
        <w:r w:rsidR="00E62798">
          <w:fldChar w:fldCharType="end"/>
        </w:r>
      </w:hyperlink>
      <w:r w:rsidR="00094CAE">
        <w:t xml:space="preserve"> </w:t>
      </w:r>
      <w:r>
        <w:t>will address the effect of transfusion thresholds in prete</w:t>
      </w:r>
      <w:r w:rsidR="00094CAE">
        <w:t>rm and low birth weight infants</w:t>
      </w:r>
    </w:p>
    <w:p w14:paraId="7CBA02CB" w14:textId="153D8545" w:rsidR="00094CAE" w:rsidRDefault="00F5047B" w:rsidP="00094CAE">
      <w:pPr>
        <w:pStyle w:val="Bullet6"/>
      </w:pPr>
      <w:r>
        <w:t>the TWiTCH trial</w:t>
      </w:r>
      <w:hyperlink w:anchor="_ENREF_60" w:tooltip=",  #1092" w:history="1">
        <w:r w:rsidR="00E62798">
          <w:fldChar w:fldCharType="begin"/>
        </w:r>
        <w:r w:rsidR="00E62798">
          <w:instrText xml:space="preserve"> ADDIN EN.CITE &lt;EndNote&gt;&lt;Cite ExcludeAuth="1" ExcludeYear="1"&gt;&lt;RecNum&gt;1092&lt;/RecNum&gt;&lt;DisplayText&gt;&lt;style face="superscript"&gt;60&lt;/style&gt;&lt;/DisplayText&gt;&lt;record&gt;&lt;rec-number&gt;1092&lt;/rec-number&gt;&lt;foreign-keys&gt;&lt;key app="EN" db-id="9edve2wadsavt5ewavaxtda4f2tavzvts9ee" timestamp="1439274313"&gt;1092&lt;/key&gt;&lt;/foreign-keys&gt;&lt;ref-type name="Report"&gt;27&lt;/ref-type&gt;&lt;contributors&gt;&lt;/contributors&gt;&lt;titles&gt;&lt;title&gt;TCD With Transfusions Changing to Hydroxyurea (TWiTCH): A Phase III Randomized Clinical Trial to Compare Standard Therapy (Erythrocyte Transfusions) With Alternative Therapy (Hydroxyurea) for the Maintenance of Lowered TCD Velocities in Pediatric Subjects With Sickle Cell Anemia and Abnormal Pre-treatment TCD Velocities&lt;/title&gt;&lt;/titles&gt;&lt;dates&gt;&lt;/dates&gt;&lt;urls&gt;&lt;related-urls&gt;&lt;url&gt;https://clinicaltrials.gov/ct2/show/study/NCT01425307?term=Twitch+sickle+cell&amp;amp;rank=1&lt;/url&gt;&lt;/related-urls&gt;&lt;/urls&gt;&lt;/record&gt;&lt;/Cite&gt;&lt;/EndNote&gt;</w:instrText>
        </w:r>
        <w:r w:rsidR="00E62798">
          <w:fldChar w:fldCharType="separate"/>
        </w:r>
        <w:r w:rsidR="00E62798" w:rsidRPr="00E62798">
          <w:rPr>
            <w:noProof/>
            <w:vertAlign w:val="superscript"/>
          </w:rPr>
          <w:t>60</w:t>
        </w:r>
        <w:r w:rsidR="00E62798">
          <w:fldChar w:fldCharType="end"/>
        </w:r>
      </w:hyperlink>
      <w:r>
        <w:t xml:space="preserve"> will address questions relating to the use of hydroxy</w:t>
      </w:r>
      <w:r w:rsidR="00094CAE">
        <w:t xml:space="preserve">urea in </w:t>
      </w:r>
      <w:r w:rsidR="00C05EEF">
        <w:t>SCD</w:t>
      </w:r>
      <w:r w:rsidR="008323CA">
        <w:rPr>
          <w:rStyle w:val="FootnoteReference"/>
        </w:rPr>
        <w:footnoteReference w:id="19"/>
      </w:r>
    </w:p>
    <w:p w14:paraId="1EB9FCC7" w14:textId="080C5C86" w:rsidR="00F5047B" w:rsidRDefault="00F5047B" w:rsidP="00094CAE">
      <w:pPr>
        <w:pStyle w:val="Bullet12"/>
      </w:pPr>
      <w:r>
        <w:t>the Planet 2 trial</w:t>
      </w:r>
      <w:hyperlink w:anchor="_ENREF_143" w:tooltip="Curley, 2014 #1094" w:history="1">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 </w:instrText>
        </w:r>
        <w:r w:rsidR="00E62798">
          <w:fldChar w:fldCharType="begin">
            <w:fldData xml:space="preserve">PEVuZE5vdGU+PENpdGU+PEF1dGhvcj5DdXJsZXk8L0F1dGhvcj48WWVhcj4yMDE0PC9ZZWFyPjxS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=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143</w:t>
        </w:r>
        <w:r w:rsidR="00E62798">
          <w:fldChar w:fldCharType="end"/>
        </w:r>
      </w:hyperlink>
      <w:r>
        <w:t xml:space="preserve"> will address thresholds for platelet transfusion in preterm neonates.</w:t>
      </w:r>
    </w:p>
    <w:p w14:paraId="245ED404" w14:textId="101378CA" w:rsidR="003C00AF" w:rsidRDefault="00F5047B" w:rsidP="00B734EA">
      <w:r>
        <w:t>There were numerous evidence statements where the evidence is uncertain or unknown. These areas, which are outlined below, may present avenues for further research.</w:t>
      </w:r>
    </w:p>
    <w:p w14:paraId="6741D3A2" w14:textId="6C8B7457" w:rsidR="00CB5A89" w:rsidRDefault="003C00AF" w:rsidP="003C00AF">
      <w:pPr>
        <w:pStyle w:val="Heading2"/>
      </w:pPr>
      <w:r>
        <w:rPr>
          <w:lang w:val="en-US"/>
        </w:rPr>
        <w:t xml:space="preserve"> </w:t>
      </w:r>
      <w:bookmarkStart w:id="244" w:name="_Toc427851398"/>
      <w:r w:rsidR="004323ED">
        <w:rPr>
          <w:lang w:val="en-US"/>
        </w:rPr>
        <w:t>5</w:t>
      </w:r>
      <w:r w:rsidR="00CB5A89">
        <w:t>.1</w:t>
      </w:r>
      <w:r w:rsidR="00CB5A89">
        <w:tab/>
        <w:t xml:space="preserve">Evidence gaps and areas </w:t>
      </w:r>
      <w:r w:rsidR="00DF0139">
        <w:rPr>
          <w:lang w:val="en-AU"/>
        </w:rPr>
        <w:t>for</w:t>
      </w:r>
      <w:r w:rsidR="00DF0139">
        <w:t xml:space="preserve"> </w:t>
      </w:r>
      <w:r w:rsidR="00CB5A89">
        <w:t>future research</w:t>
      </w:r>
      <w:bookmarkEnd w:id="244"/>
    </w:p>
    <w:p w14:paraId="1390FDE4" w14:textId="0B913806" w:rsidR="00ED4AB1" w:rsidRPr="00A21FE4" w:rsidRDefault="00ED4AB1" w:rsidP="00ED4AB1">
      <w:pPr>
        <w:pStyle w:val="Normalbeforebullet"/>
      </w:pPr>
      <w:r w:rsidRPr="00A21FE4">
        <w:t xml:space="preserve">There is a need for </w:t>
      </w:r>
      <w:r w:rsidRPr="00B20C53">
        <w:t>further</w:t>
      </w:r>
      <w:r w:rsidRPr="00A21FE4">
        <w:t xml:space="preserve"> research</w:t>
      </w:r>
      <w:r w:rsidR="00F70808">
        <w:t xml:space="preserve"> in the following areas</w:t>
      </w:r>
      <w:r w:rsidRPr="00A21FE4">
        <w:t>:</w:t>
      </w:r>
    </w:p>
    <w:p w14:paraId="51B86D58" w14:textId="77777777" w:rsidR="00F70808" w:rsidRDefault="00F70808" w:rsidP="00F70808">
      <w:pPr>
        <w:pStyle w:val="Bullet6"/>
      </w:pPr>
      <w:r>
        <w:t>in the neonatal and paediatric population in genera</w:t>
      </w:r>
      <w:r>
        <w:rPr>
          <w:lang w:val="en-AU"/>
        </w:rPr>
        <w:t>l:</w:t>
      </w:r>
    </w:p>
    <w:p w14:paraId="2B479ED7" w14:textId="77777777" w:rsidR="00F70808" w:rsidRDefault="00F70808" w:rsidP="00F70808">
      <w:pPr>
        <w:pStyle w:val="Dash6"/>
      </w:pPr>
      <w:r>
        <w:t>the relative roles of cryoprecipitate, FFP and fibrinogen concentrate in the management of coagulopathy with or without bleeding</w:t>
      </w:r>
    </w:p>
    <w:p w14:paraId="75A557B9" w14:textId="77777777" w:rsidR="00F70808" w:rsidRDefault="00F70808" w:rsidP="00F70808">
      <w:pPr>
        <w:pStyle w:val="Dash6"/>
      </w:pPr>
      <w:r>
        <w:t>the appropriate dose of cryoprecipitate, FFP and fibrinogen concentrate in the management of coagulopathy with or without bleeding</w:t>
      </w:r>
    </w:p>
    <w:p w14:paraId="63234832" w14:textId="77777777" w:rsidR="00F70808" w:rsidRDefault="00F70808" w:rsidP="00F70808">
      <w:pPr>
        <w:pStyle w:val="Dash6"/>
      </w:pPr>
      <w:r>
        <w:t>the appropriate transfusion thresholds for platelet transfusion in the management of thrombocytopaenic patients with or without bleeding</w:t>
      </w:r>
    </w:p>
    <w:p w14:paraId="5B9586E5" w14:textId="77777777" w:rsidR="00F70808" w:rsidRDefault="00F70808" w:rsidP="00F70808">
      <w:pPr>
        <w:pStyle w:val="Dash6"/>
      </w:pPr>
      <w:r>
        <w:t>the appropriate dose of platelets in the management of thrombocytopaenic patients with or without bleeding</w:t>
      </w:r>
    </w:p>
    <w:p w14:paraId="44C3D89A" w14:textId="72D17385" w:rsidR="00F70808" w:rsidRDefault="00F70808" w:rsidP="00F70808">
      <w:pPr>
        <w:pStyle w:val="Dash6"/>
      </w:pPr>
      <w:r>
        <w:t>the appropriate roles of factor concentrates in reducing RBC transfusion in the management of coagulopathy with or without bleeding</w:t>
      </w:r>
    </w:p>
    <w:p w14:paraId="44865D3B" w14:textId="1F226AB1" w:rsidR="00ED4AB1" w:rsidRPr="00ED4AB1" w:rsidRDefault="00ED4AB1" w:rsidP="00ED4AB1">
      <w:pPr>
        <w:pStyle w:val="Bullet6"/>
      </w:pPr>
      <w:r>
        <w:rPr>
          <w:lang w:val="en-AU"/>
        </w:rPr>
        <w:t>in preterm infants:</w:t>
      </w:r>
    </w:p>
    <w:p w14:paraId="3C68C5CE" w14:textId="0BBBC459" w:rsidR="00ED4AB1" w:rsidRPr="00A21FE4" w:rsidRDefault="00ED4AB1" w:rsidP="00ED4AB1">
      <w:pPr>
        <w:pStyle w:val="Dash6"/>
      </w:pPr>
      <w:r w:rsidRPr="00A21FE4">
        <w:t>use of ESAs, using contemporary transfusion thresholds and addressing potential adverse effects and long-term outcomes</w:t>
      </w:r>
    </w:p>
    <w:p w14:paraId="1485A860" w14:textId="1E2DB1D7" w:rsidR="00ED4AB1" w:rsidRDefault="00ED4AB1" w:rsidP="00462F84">
      <w:pPr>
        <w:pStyle w:val="Dash6"/>
      </w:pPr>
      <w:r w:rsidRPr="00A21FE4">
        <w:t xml:space="preserve">optimal dosing and timing of starting iron supplementation </w:t>
      </w:r>
    </w:p>
    <w:p w14:paraId="5EB70E2C" w14:textId="4F46BC37" w:rsidR="00462F84" w:rsidRDefault="00462F84" w:rsidP="00462F84">
      <w:pPr>
        <w:pStyle w:val="Dash6"/>
      </w:pPr>
      <w:r>
        <w:t>the effect of RBC transfusion on the outcome</w:t>
      </w:r>
      <w:r w:rsidR="00860E54">
        <w:t>s</w:t>
      </w:r>
      <w:r>
        <w:t xml:space="preserve"> of BPD</w:t>
      </w:r>
      <w:r w:rsidR="00860E54">
        <w:t xml:space="preserve"> and NEC</w:t>
      </w:r>
    </w:p>
    <w:p w14:paraId="3E66015C" w14:textId="734B61B3" w:rsidR="00F70808" w:rsidRDefault="00F70808" w:rsidP="00462F84">
      <w:pPr>
        <w:pStyle w:val="Dash6"/>
      </w:pPr>
      <w:r>
        <w:t>the effect of ESA therapy on ROP, and on long-term outcomes and adverse events</w:t>
      </w:r>
    </w:p>
    <w:p w14:paraId="36A1226C" w14:textId="2D365DCB" w:rsidR="00BA07BA" w:rsidRDefault="00BA07BA" w:rsidP="00462F84">
      <w:pPr>
        <w:pStyle w:val="Dash6"/>
      </w:pPr>
      <w:r>
        <w:t xml:space="preserve">the role of the </w:t>
      </w:r>
      <w:r>
        <w:rPr>
          <w:i/>
        </w:rPr>
        <w:t xml:space="preserve">routine </w:t>
      </w:r>
      <w:r>
        <w:t>use of deferred cord clamping</w:t>
      </w:r>
    </w:p>
    <w:p w14:paraId="0663B962" w14:textId="77777777" w:rsidR="00BA07BA" w:rsidRPr="00BA07BA" w:rsidRDefault="00BA07BA" w:rsidP="00BA07BA">
      <w:pPr>
        <w:pStyle w:val="Bullet6"/>
      </w:pPr>
      <w:r>
        <w:rPr>
          <w:lang w:val="en-AU"/>
        </w:rPr>
        <w:t>in neonates:</w:t>
      </w:r>
    </w:p>
    <w:p w14:paraId="3ACB971B" w14:textId="30004A50" w:rsidR="00BA07BA" w:rsidRDefault="00BA07BA" w:rsidP="00BA07BA">
      <w:pPr>
        <w:pStyle w:val="Dash6"/>
      </w:pPr>
      <w:r>
        <w:t>the use of deferred cord clamping where there is limited access to safe blood for transfusion or phototherapy for jaundice (this is particularly relevant to the</w:t>
      </w:r>
      <w:r w:rsidR="004E2E70">
        <w:t xml:space="preserve"> </w:t>
      </w:r>
      <w:r>
        <w:t>Indigenous community because of the high level of IDA)</w:t>
      </w:r>
    </w:p>
    <w:p w14:paraId="2640BD49" w14:textId="2E7A61AD" w:rsidR="00BA07BA" w:rsidRPr="00BA07BA" w:rsidRDefault="00BA07BA" w:rsidP="00BA07BA">
      <w:pPr>
        <w:pStyle w:val="Dash6"/>
      </w:pPr>
      <w:r>
        <w:t>alternatives to deferred cord clamping (e.g. cord stripping or milking)</w:t>
      </w:r>
    </w:p>
    <w:p w14:paraId="2381BAD0" w14:textId="77777777" w:rsidR="00F70808" w:rsidRPr="00A21FE4" w:rsidRDefault="00F70808" w:rsidP="00F70808">
      <w:pPr>
        <w:pStyle w:val="Bullet6"/>
      </w:pPr>
      <w:r w:rsidRPr="00A21FE4">
        <w:t xml:space="preserve">in infants with delayed onset of enteral feeding, the role of parenteral iron </w:t>
      </w:r>
      <w:r>
        <w:rPr>
          <w:lang w:val="en-AU"/>
        </w:rPr>
        <w:t xml:space="preserve">in terms of whether </w:t>
      </w:r>
      <w:r w:rsidRPr="00A21FE4">
        <w:t xml:space="preserve">early intervention </w:t>
      </w:r>
      <w:r>
        <w:rPr>
          <w:lang w:val="en-AU"/>
        </w:rPr>
        <w:t xml:space="preserve">might </w:t>
      </w:r>
      <w:r w:rsidRPr="00A21FE4">
        <w:t xml:space="preserve">prevent the need for later iron supplementation or reduce the </w:t>
      </w:r>
      <w:r>
        <w:t>incidence of tr</w:t>
      </w:r>
      <w:r w:rsidRPr="00A21FE4">
        <w:t>ansfusion, and what the long-term outcomes</w:t>
      </w:r>
      <w:r>
        <w:rPr>
          <w:lang w:val="en-AU"/>
        </w:rPr>
        <w:t xml:space="preserve"> might be</w:t>
      </w:r>
    </w:p>
    <w:p w14:paraId="0B41CC12" w14:textId="487B344A" w:rsidR="00ED4AB1" w:rsidRPr="00A21FE4" w:rsidRDefault="00ED4AB1" w:rsidP="00ED4AB1">
      <w:pPr>
        <w:pStyle w:val="Bullet6"/>
      </w:pPr>
      <w:r w:rsidRPr="00A21FE4">
        <w:t>in infants and children at risk for anaemia</w:t>
      </w:r>
      <w:r>
        <w:t xml:space="preserve">, the </w:t>
      </w:r>
      <w:r w:rsidRPr="00A21FE4">
        <w:t xml:space="preserve">dose, duration, mode of administration, and long-term effects of iron supplementation </w:t>
      </w:r>
    </w:p>
    <w:p w14:paraId="763E93FF" w14:textId="13FBCFF7" w:rsidR="00ED4AB1" w:rsidRPr="00A21FE4" w:rsidRDefault="00ED4AB1" w:rsidP="00ED4AB1">
      <w:pPr>
        <w:pStyle w:val="Bullet6"/>
      </w:pPr>
      <w:r w:rsidRPr="00A21FE4">
        <w:t>in paediatric patients with cancer</w:t>
      </w:r>
      <w:r>
        <w:t xml:space="preserve">, </w:t>
      </w:r>
      <w:r w:rsidRPr="00A21FE4">
        <w:t>in the palliative care setting</w:t>
      </w:r>
      <w:r>
        <w:rPr>
          <w:lang w:val="en-AU"/>
        </w:rPr>
        <w:t>, the effects of</w:t>
      </w:r>
      <w:r w:rsidRPr="00A21FE4">
        <w:t xml:space="preserve"> ESAs </w:t>
      </w:r>
      <w:r>
        <w:rPr>
          <w:lang w:val="en-AU"/>
        </w:rPr>
        <w:t xml:space="preserve">on </w:t>
      </w:r>
      <w:r w:rsidRPr="00A21FE4">
        <w:t xml:space="preserve">quality of life </w:t>
      </w:r>
    </w:p>
    <w:p w14:paraId="59C08616" w14:textId="0593E50D" w:rsidR="00ED4AB1" w:rsidRPr="00A21FE4" w:rsidRDefault="00ED4AB1" w:rsidP="00ED4AB1">
      <w:pPr>
        <w:pStyle w:val="Bullet6"/>
      </w:pPr>
      <w:r w:rsidRPr="00A21FE4">
        <w:t>in children with CKD</w:t>
      </w:r>
      <w:r>
        <w:t xml:space="preserve">, </w:t>
      </w:r>
      <w:r w:rsidRPr="00A21FE4">
        <w:t xml:space="preserve">the long-term safety of ESAs </w:t>
      </w:r>
    </w:p>
    <w:p w14:paraId="1C3AF664" w14:textId="48D8BA55" w:rsidR="00BA07BA" w:rsidRPr="00BA07BA" w:rsidRDefault="00D43365" w:rsidP="00BA07BA">
      <w:pPr>
        <w:pStyle w:val="Bullet6"/>
      </w:pPr>
      <w:r w:rsidRPr="00A21FE4">
        <w:t xml:space="preserve">in paediatric patients with </w:t>
      </w:r>
      <w:r w:rsidR="00C05EEF">
        <w:t>SCD</w:t>
      </w:r>
      <w:r w:rsidR="00BA07BA">
        <w:rPr>
          <w:lang w:val="en-AU"/>
        </w:rPr>
        <w:t>:</w:t>
      </w:r>
    </w:p>
    <w:p w14:paraId="2F749A0A" w14:textId="77777777" w:rsidR="00BA07BA" w:rsidRDefault="00D43365" w:rsidP="00BA07BA">
      <w:pPr>
        <w:pStyle w:val="Dash6"/>
      </w:pPr>
      <w:r>
        <w:t xml:space="preserve">the </w:t>
      </w:r>
      <w:r w:rsidR="00ED4AB1" w:rsidRPr="00A21FE4">
        <w:t>effect of hydroxyurea on stro</w:t>
      </w:r>
      <w:r w:rsidR="00462F84">
        <w:t>ke prevention (clinical and sub</w:t>
      </w:r>
      <w:r w:rsidR="00ED4AB1" w:rsidRPr="00A21FE4">
        <w:t>clinical)</w:t>
      </w:r>
    </w:p>
    <w:p w14:paraId="230E65C3" w14:textId="4F2ECE1A" w:rsidR="00BA07BA" w:rsidRDefault="00BA07BA" w:rsidP="00BA07BA">
      <w:pPr>
        <w:pStyle w:val="Dash6"/>
      </w:pPr>
      <w:r>
        <w:t>optimal strategies for identifying patients at high risk of silent and asymptomatic stroke</w:t>
      </w:r>
    </w:p>
    <w:p w14:paraId="66B2E8B5" w14:textId="51A59E0D" w:rsidR="00BA07BA" w:rsidRDefault="00BA07BA" w:rsidP="00BA07BA">
      <w:pPr>
        <w:pStyle w:val="Bullet6"/>
      </w:pPr>
      <w:r>
        <w:t xml:space="preserve">in paediatric patients who are chronically transfused (e.g. </w:t>
      </w:r>
      <w:r>
        <w:rPr>
          <w:lang w:val="en-AU"/>
        </w:rPr>
        <w:t xml:space="preserve">those with </w:t>
      </w:r>
      <w:r>
        <w:t>acquired or inherited bone marrow failure or anaemia syndromes), evidence to guide particular Hb thresholds</w:t>
      </w:r>
    </w:p>
    <w:p w14:paraId="4415D5C0" w14:textId="4C5CB030" w:rsidR="00BA07BA" w:rsidRDefault="00BA07BA" w:rsidP="00BA07BA">
      <w:pPr>
        <w:pStyle w:val="Bullet6"/>
      </w:pPr>
      <w:r>
        <w:t xml:space="preserve">the </w:t>
      </w:r>
      <w:r w:rsidR="004A3599">
        <w:rPr>
          <w:lang w:val="en-AU"/>
        </w:rPr>
        <w:t>effects of</w:t>
      </w:r>
      <w:r>
        <w:t xml:space="preserve"> restrictive transfusions strategies in:</w:t>
      </w:r>
    </w:p>
    <w:p w14:paraId="29B2BE73" w14:textId="77777777" w:rsidR="00BA07BA" w:rsidRDefault="00BA07BA" w:rsidP="00BA07BA">
      <w:pPr>
        <w:pStyle w:val="Dash6"/>
      </w:pPr>
      <w:r>
        <w:t>critically ill neonates</w:t>
      </w:r>
    </w:p>
    <w:p w14:paraId="61F304F1" w14:textId="77777777" w:rsidR="00BA07BA" w:rsidRDefault="00BA07BA" w:rsidP="00BA07BA">
      <w:pPr>
        <w:pStyle w:val="Dash6"/>
      </w:pPr>
      <w:r>
        <w:t>surgical patients</w:t>
      </w:r>
    </w:p>
    <w:p w14:paraId="468A2C82" w14:textId="77777777" w:rsidR="00BA07BA" w:rsidRDefault="00BA07BA" w:rsidP="00BA07BA">
      <w:pPr>
        <w:pStyle w:val="Dash6"/>
      </w:pPr>
      <w:r>
        <w:t xml:space="preserve">cardiac surgical patients </w:t>
      </w:r>
    </w:p>
    <w:p w14:paraId="3B7E266E" w14:textId="3DDA5842" w:rsidR="00BA07BA" w:rsidRDefault="00BA07BA" w:rsidP="00BA07BA">
      <w:pPr>
        <w:pStyle w:val="Dash6"/>
      </w:pPr>
      <w:r>
        <w:t>oncology patients</w:t>
      </w:r>
    </w:p>
    <w:p w14:paraId="7F0D1DDA" w14:textId="12A70A74" w:rsidR="00BA07BA" w:rsidRDefault="00BA07BA" w:rsidP="00BA07BA">
      <w:pPr>
        <w:pStyle w:val="Bullet6"/>
      </w:pPr>
      <w:r>
        <w:t>alloimmunisation in regularly transfused patients</w:t>
      </w:r>
    </w:p>
    <w:p w14:paraId="7C78BE6E" w14:textId="74672C78" w:rsidR="00BA07BA" w:rsidRPr="00BA07BA" w:rsidRDefault="00BA07BA" w:rsidP="00BA07BA">
      <w:pPr>
        <w:pStyle w:val="Bullet6"/>
      </w:pPr>
      <w:r>
        <w:rPr>
          <w:lang w:val="en-AU"/>
        </w:rPr>
        <w:t>in maternity patients, the use of IVIg to prevent HDFN</w:t>
      </w:r>
    </w:p>
    <w:p w14:paraId="0D78F796" w14:textId="74BEE4FE" w:rsidR="004A3599" w:rsidRDefault="004A3599" w:rsidP="004A3599">
      <w:pPr>
        <w:pStyle w:val="Bullet6"/>
      </w:pPr>
      <w:r>
        <w:t>in neonates and infants</w:t>
      </w:r>
      <w:r>
        <w:rPr>
          <w:lang w:val="en-AU"/>
        </w:rPr>
        <w:t xml:space="preserve"> undergoing surgery,</w:t>
      </w:r>
      <w:r>
        <w:t xml:space="preserve"> the role of viscoelastometric </w:t>
      </w:r>
      <w:r>
        <w:rPr>
          <w:lang w:val="en-AU"/>
        </w:rPr>
        <w:t xml:space="preserve">POC </w:t>
      </w:r>
      <w:r>
        <w:t>testing</w:t>
      </w:r>
    </w:p>
    <w:p w14:paraId="174B5986" w14:textId="00EB707A" w:rsidR="00BA07BA" w:rsidRDefault="00150802" w:rsidP="00BA07BA">
      <w:pPr>
        <w:pStyle w:val="Bullet6"/>
      </w:pPr>
      <w:r>
        <w:t xml:space="preserve">in paediatric </w:t>
      </w:r>
      <w:r>
        <w:rPr>
          <w:lang w:val="en-AU"/>
        </w:rPr>
        <w:t xml:space="preserve">patients undergoing </w:t>
      </w:r>
      <w:r>
        <w:t>spinal surgery</w:t>
      </w:r>
      <w:r>
        <w:rPr>
          <w:lang w:val="en-AU"/>
        </w:rPr>
        <w:t>,</w:t>
      </w:r>
      <w:r>
        <w:t xml:space="preserve"> </w:t>
      </w:r>
      <w:r w:rsidR="00BA07BA">
        <w:t xml:space="preserve">the role of reduced hypotension </w:t>
      </w:r>
    </w:p>
    <w:p w14:paraId="004E0324" w14:textId="77777777" w:rsidR="00150802" w:rsidRPr="00150802" w:rsidRDefault="00150802" w:rsidP="00BA07BA">
      <w:pPr>
        <w:pStyle w:val="Bullet6"/>
      </w:pPr>
      <w:r>
        <w:t>in paediatric patients undergoing surgery in which substantial blood loss is anticipated</w:t>
      </w:r>
      <w:r>
        <w:rPr>
          <w:lang w:val="en-AU"/>
        </w:rPr>
        <w:t>,</w:t>
      </w:r>
      <w:r>
        <w:t xml:space="preserve"> </w:t>
      </w:r>
      <w:r w:rsidR="00BA07BA">
        <w:t>the role of</w:t>
      </w:r>
      <w:r>
        <w:rPr>
          <w:lang w:val="en-AU"/>
        </w:rPr>
        <w:t>:</w:t>
      </w:r>
    </w:p>
    <w:p w14:paraId="391CC37F" w14:textId="77777777" w:rsidR="00150802" w:rsidRPr="00150802" w:rsidRDefault="00BA07BA" w:rsidP="00150802">
      <w:pPr>
        <w:pStyle w:val="Dash6"/>
      </w:pPr>
      <w:r w:rsidRPr="00150802">
        <w:t>ANH</w:t>
      </w:r>
    </w:p>
    <w:p w14:paraId="375D4476" w14:textId="6C43AADC" w:rsidR="00BA07BA" w:rsidRDefault="00BA07BA" w:rsidP="00150802">
      <w:pPr>
        <w:pStyle w:val="Dash6"/>
      </w:pPr>
      <w:r w:rsidRPr="00150802">
        <w:t xml:space="preserve">intraoperative cell </w:t>
      </w:r>
      <w:r w:rsidR="00150802" w:rsidRPr="00150802">
        <w:t>salvage</w:t>
      </w:r>
    </w:p>
    <w:p w14:paraId="3ABF15B9" w14:textId="132638A4" w:rsidR="00FD151D" w:rsidRPr="00150802" w:rsidRDefault="00FD151D" w:rsidP="00150802">
      <w:pPr>
        <w:pStyle w:val="Dash6"/>
      </w:pPr>
      <w:r>
        <w:t>viscoelastometric POC testing</w:t>
      </w:r>
    </w:p>
    <w:p w14:paraId="454B2C5D" w14:textId="2E0E20C5" w:rsidR="00BA07BA" w:rsidRDefault="00BA07BA" w:rsidP="00BA07BA">
      <w:pPr>
        <w:pStyle w:val="Bullet6"/>
      </w:pPr>
      <w:r>
        <w:t>in patients with congenital or acquired bleeding disorders undergoing surgery</w:t>
      </w:r>
      <w:r w:rsidR="00FD151D">
        <w:rPr>
          <w:lang w:val="en-AU"/>
        </w:rPr>
        <w:t>,</w:t>
      </w:r>
      <w:r w:rsidR="00FD151D" w:rsidRPr="00FD151D">
        <w:t xml:space="preserve"> </w:t>
      </w:r>
      <w:r w:rsidR="00FD151D">
        <w:t>the use of antifibrinolytics</w:t>
      </w:r>
    </w:p>
    <w:p w14:paraId="2A25F211" w14:textId="5A63EA9E" w:rsidR="00BA07BA" w:rsidRDefault="00FD151D" w:rsidP="00BA07BA">
      <w:pPr>
        <w:pStyle w:val="Bullet6"/>
      </w:pPr>
      <w:r>
        <w:rPr>
          <w:lang w:val="en-AU"/>
        </w:rPr>
        <w:t>i</w:t>
      </w:r>
      <w:r>
        <w:t>n paediatric patients of different age groups and in different surgical settings</w:t>
      </w:r>
      <w:r w:rsidR="004A3599">
        <w:rPr>
          <w:lang w:val="en-AU"/>
        </w:rPr>
        <w:t>,</w:t>
      </w:r>
      <w:r>
        <w:rPr>
          <w:lang w:val="en-AU"/>
        </w:rPr>
        <w:t xml:space="preserve"> t</w:t>
      </w:r>
      <w:r w:rsidR="00BA07BA">
        <w:t>he pharmacokinetics a</w:t>
      </w:r>
      <w:r>
        <w:t>nd dosing of antifibrinolytics</w:t>
      </w:r>
    </w:p>
    <w:p w14:paraId="3F2E75BA" w14:textId="3EB4CD5B" w:rsidR="00BA07BA" w:rsidRDefault="00FD151D" w:rsidP="00BA07BA">
      <w:pPr>
        <w:pStyle w:val="Bullet6"/>
      </w:pPr>
      <w:r>
        <w:t>in paediatric patients</w:t>
      </w:r>
      <w:r>
        <w:rPr>
          <w:lang w:val="en-AU"/>
        </w:rPr>
        <w:t>,</w:t>
      </w:r>
      <w:r>
        <w:t xml:space="preserve"> the </w:t>
      </w:r>
      <w:r w:rsidR="00BA07BA">
        <w:t xml:space="preserve">use of miniaturised CPB </w:t>
      </w:r>
      <w:r w:rsidR="004A3599">
        <w:rPr>
          <w:lang w:val="en-AU"/>
        </w:rPr>
        <w:t xml:space="preserve">systems </w:t>
      </w:r>
      <w:r>
        <w:rPr>
          <w:lang w:val="en-AU"/>
        </w:rPr>
        <w:t>compared to standard</w:t>
      </w:r>
      <w:r w:rsidR="004A3599">
        <w:rPr>
          <w:lang w:val="en-AU"/>
        </w:rPr>
        <w:t>-</w:t>
      </w:r>
      <w:r>
        <w:rPr>
          <w:lang w:val="en-AU"/>
        </w:rPr>
        <w:t>sized</w:t>
      </w:r>
      <w:r w:rsidR="004A3599">
        <w:rPr>
          <w:lang w:val="en-AU"/>
        </w:rPr>
        <w:t xml:space="preserve"> systems.</w:t>
      </w:r>
    </w:p>
    <w:p w14:paraId="1DCEF9B4" w14:textId="77777777" w:rsidR="003B3866" w:rsidRPr="00ED4AB1" w:rsidRDefault="003B3866" w:rsidP="003B3866"/>
    <w:p w14:paraId="7DC62384" w14:textId="30CA1CF3" w:rsidR="00BE113B" w:rsidRDefault="00E90FFC" w:rsidP="00A847C8">
      <w:pPr>
        <w:pStyle w:val="Heading1"/>
      </w:pPr>
      <w:bookmarkStart w:id="245" w:name="_Toc265585343"/>
      <w:r>
        <w:br w:type="page"/>
      </w:r>
      <w:bookmarkStart w:id="246" w:name="_Toc282672330"/>
      <w:bookmarkStart w:id="247" w:name="_Toc427851399"/>
      <w:r w:rsidR="004323ED">
        <w:rPr>
          <w:lang w:val="en-US"/>
        </w:rPr>
        <w:t>6</w:t>
      </w:r>
      <w:r w:rsidR="00180545">
        <w:tab/>
        <w:t>Implementing, evaluating and maintaining the guidelines</w:t>
      </w:r>
      <w:bookmarkStart w:id="248" w:name="_Toc282672331"/>
      <w:bookmarkStart w:id="249" w:name="_Toc265585346"/>
      <w:bookmarkEnd w:id="245"/>
      <w:bookmarkEnd w:id="246"/>
      <w:bookmarkEnd w:id="247"/>
      <w:r w:rsidR="00BE113B">
        <w:t xml:space="preserve"> </w:t>
      </w:r>
    </w:p>
    <w:p w14:paraId="66B8B5AA" w14:textId="55D41CDD" w:rsidR="00F7006A" w:rsidRDefault="00F7006A" w:rsidP="00F7006A">
      <w:pPr>
        <w:pStyle w:val="Heading2"/>
      </w:pPr>
      <w:bookmarkStart w:id="250" w:name="_Toc395536098"/>
      <w:bookmarkStart w:id="251" w:name="_Toc427851400"/>
      <w:r>
        <w:t>6.1</w:t>
      </w:r>
      <w:r>
        <w:tab/>
        <w:t>Implementation s</w:t>
      </w:r>
      <w:r w:rsidRPr="004323ED">
        <w:t>t</w:t>
      </w:r>
      <w:r>
        <w:t>rategies</w:t>
      </w:r>
      <w:bookmarkEnd w:id="250"/>
      <w:bookmarkEnd w:id="251"/>
    </w:p>
    <w:p w14:paraId="571E2DD9" w14:textId="77777777" w:rsidR="00F7006A" w:rsidRPr="0015699B" w:rsidRDefault="00F7006A" w:rsidP="00FF2787">
      <w:pPr>
        <w:pStyle w:val="Normalbeforebullet"/>
      </w:pPr>
      <w:r>
        <w:t>The NBA, i</w:t>
      </w:r>
      <w:r w:rsidRPr="0015699B">
        <w:t xml:space="preserve">n collaboration with </w:t>
      </w:r>
      <w:r>
        <w:t xml:space="preserve">the </w:t>
      </w:r>
      <w:r w:rsidRPr="0015699B">
        <w:t xml:space="preserve">Steering Committee, </w:t>
      </w:r>
      <w:r>
        <w:t xml:space="preserve">developed </w:t>
      </w:r>
      <w:r w:rsidRPr="0015699B">
        <w:t>a plan to guide appropriate communication on the implementation of th</w:t>
      </w:r>
      <w:r>
        <w:t>is module</w:t>
      </w:r>
      <w:r w:rsidRPr="0015699B">
        <w:t xml:space="preserve">. </w:t>
      </w:r>
      <w:r>
        <w:t>The plan</w:t>
      </w:r>
      <w:r w:rsidRPr="0015699B">
        <w:t xml:space="preserve"> </w:t>
      </w:r>
      <w:r>
        <w:t xml:space="preserve">identifies </w:t>
      </w:r>
      <w:r w:rsidRPr="0015699B">
        <w:t>target audience</w:t>
      </w:r>
      <w:r>
        <w:t>s</w:t>
      </w:r>
      <w:r w:rsidRPr="0015699B">
        <w:t xml:space="preserve"> </w:t>
      </w:r>
      <w:r>
        <w:t>for</w:t>
      </w:r>
      <w:r w:rsidRPr="0015699B">
        <w:t xml:space="preserve"> the </w:t>
      </w:r>
      <w:r>
        <w:t xml:space="preserve">module, </w:t>
      </w:r>
      <w:r w:rsidRPr="0015699B">
        <w:t xml:space="preserve">strategies </w:t>
      </w:r>
      <w:r>
        <w:t xml:space="preserve">and tools </w:t>
      </w:r>
      <w:r w:rsidRPr="0015699B">
        <w:t>for effective implementation</w:t>
      </w:r>
      <w:r>
        <w:t xml:space="preserve">, </w:t>
      </w:r>
      <w:r w:rsidRPr="0015699B">
        <w:t>communication channels</w:t>
      </w:r>
      <w:r>
        <w:t xml:space="preserve"> and </w:t>
      </w:r>
      <w:r w:rsidRPr="0015699B">
        <w:t>key messages.</w:t>
      </w:r>
    </w:p>
    <w:p w14:paraId="3BD1B7AC" w14:textId="4231E029" w:rsidR="00F7006A" w:rsidRDefault="00F7006A" w:rsidP="00F7006A">
      <w:r>
        <w:t xml:space="preserve">Economic issues were considered when formulating the evidence-based recommendations within each module, and these recommendations will have cost implications. The NBA, together with the Jurisdictional Blood Committee (JBC) and key stakeholders, developed the </w:t>
      </w:r>
      <w:r w:rsidRPr="003637AE">
        <w:rPr>
          <w:i/>
        </w:rPr>
        <w:t>National Patient Blood Management Guidelines Implementation Strategy 2013</w:t>
      </w:r>
      <w:r>
        <w:rPr>
          <w:i/>
        </w:rPr>
        <w:t>–</w:t>
      </w:r>
      <w:r w:rsidRPr="003637AE">
        <w:rPr>
          <w:i/>
        </w:rPr>
        <w:t>17</w:t>
      </w:r>
      <w:hyperlink w:anchor="_ENREF_383" w:tooltip=", 2013 #946" w:history="1">
        <w:r w:rsidR="00E62798">
          <w:fldChar w:fldCharType="begin"/>
        </w:r>
        <w:r w:rsidR="00E62798">
          <w:instrText xml:space="preserve"> ADDIN EN.CITE &lt;EndNote&gt;&lt;Cite ExcludeAuth="1"&gt;&lt;Year&gt;2013&lt;/Year&gt;&lt;RecNum&gt;946&lt;/RecNum&gt;&lt;DisplayText&gt;&lt;style face="superscript"&gt;383&lt;/style&gt;&lt;/DisplayText&gt;&lt;record&gt;&lt;rec-number&gt;946&lt;/rec-number&gt;&lt;foreign-keys&gt;&lt;key app="EN" db-id="9edve2wadsavt5ewavaxtda4f2tavzvts9ee" timestamp="1436398007"&gt;946&lt;/key&gt;&lt;/foreign-keys&gt;&lt;ref-type name="Report"&gt;27&lt;/ref-type&gt;&lt;contributors&gt;&lt;/contributors&gt;&lt;titles&gt;&lt;title&gt;National Patient Blood Management Guidelines Implementation Strategy 2013–17 &lt;/title&gt;&lt;/titles&gt;&lt;dates&gt;&lt;year&gt;2013&lt;/year&gt;&lt;/dates&gt;&lt;pub-location&gt;Canberra&lt;/pub-location&gt;&lt;publisher&gt;National Blood Authority&lt;/publisher&gt;&lt;urls&gt;&lt;related-urls&gt;&lt;url&gt;http://www.blood.gov.au/implementing-pbm&lt;/url&gt;&lt;/related-urls&gt;&lt;/urls&gt;&lt;access-date&gt;9 July 2015&lt;/access-date&gt;&lt;/record&gt;&lt;/Cite&gt;&lt;/EndNote&gt;</w:instrText>
        </w:r>
        <w:r w:rsidR="00E62798">
          <w:fldChar w:fldCharType="separate"/>
        </w:r>
        <w:r w:rsidR="00E62798" w:rsidRPr="00E62798">
          <w:rPr>
            <w:noProof/>
            <w:vertAlign w:val="superscript"/>
          </w:rPr>
          <w:t>383</w:t>
        </w:r>
        <w:r w:rsidR="00E62798">
          <w:fldChar w:fldCharType="end"/>
        </w:r>
      </w:hyperlink>
      <w:r w:rsidR="00A847C8" w:rsidRPr="00A847C8">
        <w:t xml:space="preserve"> </w:t>
      </w:r>
      <w:r w:rsidRPr="00A847C8">
        <w:t>to</w:t>
      </w:r>
      <w:r>
        <w:t xml:space="preserve"> facilitate uptake of the guidelines.</w:t>
      </w:r>
    </w:p>
    <w:p w14:paraId="77801327" w14:textId="4B44083A" w:rsidR="00F7006A" w:rsidRDefault="00F7006A" w:rsidP="00F7006A">
      <w:r w:rsidRPr="00CB114A">
        <w:t>Th</w:t>
      </w:r>
      <w:r>
        <w:t xml:space="preserve">e implementation strategy </w:t>
      </w:r>
      <w:r w:rsidRPr="00CB114A">
        <w:t>include</w:t>
      </w:r>
      <w:r>
        <w:t>s</w:t>
      </w:r>
      <w:r w:rsidRPr="00CB114A">
        <w:t xml:space="preserve"> the development of tool</w:t>
      </w:r>
      <w:r>
        <w:t>s</w:t>
      </w:r>
      <w:r w:rsidRPr="00CB114A">
        <w:t xml:space="preserve"> to support the introduction of </w:t>
      </w:r>
      <w:r>
        <w:t>PBM</w:t>
      </w:r>
      <w:r w:rsidRPr="00CB114A">
        <w:t xml:space="preserve"> practices in the clinical setting. </w:t>
      </w:r>
      <w:r>
        <w:t>The tools are</w:t>
      </w:r>
      <w:r w:rsidRPr="00CB114A">
        <w:t xml:space="preserve"> being developed with </w:t>
      </w:r>
      <w:r>
        <w:t xml:space="preserve">the help of </w:t>
      </w:r>
      <w:r w:rsidRPr="00CB114A">
        <w:t xml:space="preserve">a network of </w:t>
      </w:r>
      <w:r>
        <w:t>clinicians with an interest in PBM. The</w:t>
      </w:r>
      <w:r w:rsidRPr="00CB114A">
        <w:t xml:space="preserve"> NBA has </w:t>
      </w:r>
      <w:r>
        <w:t xml:space="preserve">also </w:t>
      </w:r>
      <w:r w:rsidRPr="00CB114A">
        <w:t>funded the development of online course</w:t>
      </w:r>
      <w:r>
        <w:t>s</w:t>
      </w:r>
      <w:r w:rsidRPr="00CB114A">
        <w:t xml:space="preserve"> within the BloodSafe eLearning </w:t>
      </w:r>
      <w:r>
        <w:t xml:space="preserve">Australia </w:t>
      </w:r>
      <w:r w:rsidR="001E2427" w:rsidRPr="00CB114A">
        <w:t>program</w:t>
      </w:r>
      <w:r w:rsidR="001E2427">
        <w:t xml:space="preserve"> </w:t>
      </w:r>
      <w:r>
        <w:t>(e.g.</w:t>
      </w:r>
      <w:r w:rsidR="003B3866">
        <w:t xml:space="preserve"> on</w:t>
      </w:r>
      <w:r w:rsidR="00225A02">
        <w:t xml:space="preserve"> IDA</w:t>
      </w:r>
      <w:r>
        <w:t xml:space="preserve">, PBM, </w:t>
      </w:r>
      <w:r w:rsidR="003B3866">
        <w:t>critical bleeding and periopera</w:t>
      </w:r>
      <w:r>
        <w:t>tive)</w:t>
      </w:r>
      <w:r w:rsidRPr="00CB114A">
        <w:t xml:space="preserve">. </w:t>
      </w:r>
      <w:r>
        <w:t>In addition, t</w:t>
      </w:r>
      <w:r w:rsidRPr="00CB114A">
        <w:t>he NBA</w:t>
      </w:r>
      <w:r>
        <w:t>,</w:t>
      </w:r>
      <w:r w:rsidRPr="00CB114A">
        <w:t xml:space="preserve"> </w:t>
      </w:r>
      <w:r>
        <w:t xml:space="preserve">in collaboration with </w:t>
      </w:r>
      <w:r w:rsidRPr="00CB114A">
        <w:t>the Australian Commission on Safety and Quality in Health</w:t>
      </w:r>
      <w:r>
        <w:t xml:space="preserve"> C</w:t>
      </w:r>
      <w:r w:rsidRPr="00CB114A">
        <w:t>are (ACSQHC)</w:t>
      </w:r>
      <w:r>
        <w:t>,</w:t>
      </w:r>
      <w:r w:rsidRPr="00CB114A">
        <w:t xml:space="preserve"> </w:t>
      </w:r>
      <w:r>
        <w:t>has developed</w:t>
      </w:r>
      <w:r w:rsidRPr="00CB114A">
        <w:t xml:space="preserve"> a hospital guide to support the implementation of the </w:t>
      </w:r>
      <w:r w:rsidRPr="00DD4BD5">
        <w:rPr>
          <w:i/>
        </w:rPr>
        <w:t>National Safety and Quality Health Service Standards</w:t>
      </w:r>
      <w:r w:rsidR="00A847C8">
        <w:t>.</w:t>
      </w:r>
      <w:hyperlink w:anchor="_ENREF_384" w:tooltip="Australian Council on Healthcare Standards, 2013 #947" w:history="1">
        <w:r w:rsidR="00E62798">
          <w:fldChar w:fldCharType="begin"/>
        </w:r>
        <w:r w:rsidR="00E62798">
          <w:instrText xml:space="preserve"> ADDIN EN.CITE &lt;EndNote&gt;&lt;Cite&gt;&lt;Author&gt;Australian Council on Healthcare Standards&lt;/Author&gt;&lt;Year&gt;2013&lt;/Year&gt;&lt;RecNum&gt;947&lt;/RecNum&gt;&lt;DisplayText&gt;&lt;style face="superscript"&gt;384&lt;/style&gt;&lt;/DisplayText&gt;&lt;record&gt;&lt;rec-number&gt;947&lt;/rec-number&gt;&lt;foreign-keys&gt;&lt;key app="EN" db-id="9edve2wadsavt5ewavaxtda4f2tavzvts9ee" timestamp="1436398165"&gt;947&lt;/key&gt;&lt;/foreign-keys&gt;&lt;ref-type name="Report"&gt;27&lt;/ref-type&gt;&lt;contributors&gt;&lt;authors&gt;&lt;author&gt;Australian Council on Healthcare Standards,&lt;/author&gt;&lt;/authors&gt;&lt;/contributors&gt;&lt;titles&gt;&lt;title&gt;National Safety and Quality Health Service (NSQHS) Standards&lt;/title&gt;&lt;/titles&gt;&lt;dates&gt;&lt;year&gt;2013&lt;/year&gt;&lt;/dates&gt;&lt;urls&gt;&lt;related-urls&gt;&lt;url&gt;http://www.safetyandquality.gov.au/our-work/accreditation-and-the-nsqhs-standards/resources-to-implement-the-nsqhs-standards/#NSQHS-Standards&lt;/url&gt;&lt;/related-urls&gt;&lt;/urls&gt;&lt;access-date&gt;21 May 2014&lt;/access-date&gt;&lt;/record&gt;&lt;/Cite&gt;&lt;/EndNote&gt;</w:instrText>
        </w:r>
        <w:r w:rsidR="00E62798">
          <w:fldChar w:fldCharType="separate"/>
        </w:r>
        <w:r w:rsidR="00E62798" w:rsidRPr="00E62798">
          <w:rPr>
            <w:noProof/>
            <w:vertAlign w:val="superscript"/>
          </w:rPr>
          <w:t>384</w:t>
        </w:r>
        <w:r w:rsidR="00E62798">
          <w:fldChar w:fldCharType="end"/>
        </w:r>
      </w:hyperlink>
      <w:r w:rsidR="00A847C8" w:rsidRPr="00CB114A">
        <w:t xml:space="preserve"> </w:t>
      </w:r>
      <w:r w:rsidRPr="00CB114A">
        <w:t>The guide provide</w:t>
      </w:r>
      <w:r>
        <w:t>s</w:t>
      </w:r>
      <w:r w:rsidRPr="00CB114A">
        <w:t xml:space="preserve"> links to the </w:t>
      </w:r>
      <w:r>
        <w:t xml:space="preserve">PBM guidelines and tools, </w:t>
      </w:r>
      <w:r w:rsidRPr="00CB114A">
        <w:t xml:space="preserve">and </w:t>
      </w:r>
      <w:r>
        <w:t xml:space="preserve">the </w:t>
      </w:r>
      <w:r w:rsidRPr="00CB114A">
        <w:t xml:space="preserve">BloodSafe eLearning </w:t>
      </w:r>
      <w:r>
        <w:t xml:space="preserve">Australia </w:t>
      </w:r>
      <w:r w:rsidRPr="00CB114A">
        <w:t>course</w:t>
      </w:r>
      <w:r>
        <w:t xml:space="preserve">s. These resources </w:t>
      </w:r>
      <w:r w:rsidRPr="00CB114A">
        <w:t>provide tools to support uptake of the recommendations in this module.</w:t>
      </w:r>
    </w:p>
    <w:p w14:paraId="076BBEED" w14:textId="0B51FF8E" w:rsidR="00F7006A" w:rsidRDefault="00F7006A" w:rsidP="00FF2787">
      <w:pPr>
        <w:pStyle w:val="Normalbeforebullet"/>
      </w:pPr>
      <w:r w:rsidRPr="00C0216E">
        <w:t xml:space="preserve">The </w:t>
      </w:r>
      <w:r w:rsidRPr="00C0216E">
        <w:rPr>
          <w:i/>
        </w:rPr>
        <w:t>National Blood Sector Education and Training Strategy 2013</w:t>
      </w:r>
      <w:r w:rsidR="001E2427">
        <w:rPr>
          <w:rFonts w:ascii="MS Gothic" w:eastAsia="MS Gothic" w:hAnsi="MS Gothic" w:cs="MS Gothic" w:hint="eastAsia"/>
          <w:i/>
        </w:rPr>
        <w:t>-</w:t>
      </w:r>
      <w:r w:rsidRPr="00C0216E">
        <w:rPr>
          <w:i/>
        </w:rPr>
        <w:t>16</w:t>
      </w:r>
      <w:hyperlink w:anchor="_ENREF_385" w:tooltip=", 2013 #948" w:history="1">
        <w:r w:rsidR="00E62798">
          <w:fldChar w:fldCharType="begin"/>
        </w:r>
        <w:r w:rsidR="00E62798">
          <w:instrText xml:space="preserve"> ADDIN EN.CITE &lt;EndNote&gt;&lt;Cite ExcludeAuth="1"&gt;&lt;Year&gt;2013&lt;/Year&gt;&lt;RecNum&gt;948&lt;/RecNum&gt;&lt;DisplayText&gt;&lt;style face="superscript"&gt;385&lt;/style&gt;&lt;/DisplayText&gt;&lt;record&gt;&lt;rec-number&gt;948&lt;/rec-number&gt;&lt;foreign-keys&gt;&lt;key app="EN" db-id="9edve2wadsavt5ewavaxtda4f2tavzvts9ee" timestamp="1436398531"&gt;948&lt;/key&gt;&lt;/foreign-keys&gt;&lt;ref-type name="Report"&gt;27&lt;/ref-type&gt;&lt;contributors&gt;&lt;/contributors&gt;&lt;titles&gt;&lt;title&gt;National Blood Sector Education and Training Strategy 2013–2016&lt;/title&gt;&lt;/titles&gt;&lt;dates&gt;&lt;year&gt;2013&lt;/year&gt;&lt;/dates&gt;&lt;pub-location&gt;Canberra&lt;/pub-location&gt;&lt;publisher&gt;National Blood Authority&lt;/publisher&gt;&lt;urls&gt;&lt;related-urls&gt;&lt;url&gt;http://www.blood.gov.au/education-and-training&lt;/url&gt;&lt;/related-urls&gt;&lt;/urls&gt;&lt;access-date&gt;9 July 2015&lt;/access-date&gt;&lt;/record&gt;&lt;/Cite&gt;&lt;/EndNote&gt;</w:instrText>
        </w:r>
        <w:r w:rsidR="00E62798">
          <w:fldChar w:fldCharType="separate"/>
        </w:r>
        <w:r w:rsidR="00E62798" w:rsidRPr="00E62798">
          <w:rPr>
            <w:noProof/>
            <w:vertAlign w:val="superscript"/>
          </w:rPr>
          <w:t>385</w:t>
        </w:r>
        <w:r w:rsidR="00E62798">
          <w:fldChar w:fldCharType="end"/>
        </w:r>
      </w:hyperlink>
      <w:r w:rsidR="00A847C8">
        <w:t xml:space="preserve"> </w:t>
      </w:r>
      <w:r w:rsidRPr="00C0216E">
        <w:t>outlines a plan to work with current education and training providers to address the growing demand for high</w:t>
      </w:r>
      <w:r w:rsidR="003B3866">
        <w:t>-</w:t>
      </w:r>
      <w:r w:rsidRPr="00C0216E">
        <w:t>quality, well-tailored education, training and health</w:t>
      </w:r>
      <w:r w:rsidR="003B3866">
        <w:t>-</w:t>
      </w:r>
      <w:r w:rsidRPr="00C0216E">
        <w:t>promotion materials to support the implementation of evidence-based practice and attainment of health servi</w:t>
      </w:r>
      <w:r>
        <w:t xml:space="preserve">ce accreditation under the new </w:t>
      </w:r>
      <w:r w:rsidRPr="00C0216E">
        <w:rPr>
          <w:i/>
        </w:rPr>
        <w:t xml:space="preserve">National Safety and Quality Health Service </w:t>
      </w:r>
      <w:r w:rsidR="001E2427">
        <w:rPr>
          <w:i/>
        </w:rPr>
        <w:t xml:space="preserve">(NSQHS) </w:t>
      </w:r>
      <w:r w:rsidRPr="00C0216E">
        <w:rPr>
          <w:i/>
        </w:rPr>
        <w:t>Standards</w:t>
      </w:r>
      <w:r w:rsidR="00495B40">
        <w:t>.</w:t>
      </w:r>
      <w:hyperlink w:anchor="_ENREF_386" w:tooltip=", 2011 #949" w:history="1">
        <w:r w:rsidR="00E62798">
          <w:fldChar w:fldCharType="begin"/>
        </w:r>
        <w:r w:rsidR="00E62798">
          <w:instrText xml:space="preserve"> ADDIN EN.CITE &lt;EndNote&gt;&lt;Cite ExcludeAuth="1"&gt;&lt;Year&gt;2011&lt;/Year&gt;&lt;RecNum&gt;949&lt;/RecNum&gt;&lt;DisplayText&gt;&lt;style face="superscript"&gt;386&lt;/style&gt;&lt;/DisplayText&gt;&lt;record&gt;&lt;rec-number&gt;949&lt;/rec-number&gt;&lt;foreign-keys&gt;&lt;key app="EN" db-id="9edve2wadsavt5ewavaxtda4f2tavzvts9ee" timestamp="1436398704"&gt;949&lt;/key&gt;&lt;/foreign-keys&gt;&lt;ref-type name="Report"&gt;27&lt;/ref-type&gt;&lt;contributors&gt;&lt;/contributors&gt;&lt;titles&gt;&lt;title&gt;National Safety and Quality Health Service Standards&lt;/title&gt;&lt;/titles&gt;&lt;dates&gt;&lt;year&gt;2011&lt;/year&gt;&lt;/dates&gt;&lt;pub-location&gt;Sydney&lt;/pub-location&gt;&lt;publisher&gt;Australian Commission on Safety and Quality in Health Care&lt;/publisher&gt;&lt;urls&gt;&lt;related-urls&gt;&lt;url&gt;http://www.safetyandquality.gov.au/wp-content/uploads/2011/09/NSQHS-Standards-Sept-2012.pdf&lt;/url&gt;&lt;/related-urls&gt;&lt;/urls&gt;&lt;access-date&gt;9 July 2015&lt;/access-date&gt;&lt;/record&gt;&lt;/Cite&gt;&lt;/EndNote&gt;</w:instrText>
        </w:r>
        <w:r w:rsidR="00E62798">
          <w:fldChar w:fldCharType="separate"/>
        </w:r>
        <w:r w:rsidR="00E62798" w:rsidRPr="00E62798">
          <w:rPr>
            <w:noProof/>
            <w:vertAlign w:val="superscript"/>
          </w:rPr>
          <w:t>386</w:t>
        </w:r>
        <w:r w:rsidR="00E62798">
          <w:fldChar w:fldCharType="end"/>
        </w:r>
      </w:hyperlink>
      <w:r w:rsidR="00495B40">
        <w:t xml:space="preserve"> </w:t>
      </w:r>
      <w:r w:rsidRPr="00F366FB">
        <w:t>The National Education and Training (NEAT) Committee has been established to support the implementation of the</w:t>
      </w:r>
      <w:r>
        <w:t xml:space="preserve"> strategy.</w:t>
      </w:r>
      <w:hyperlink w:anchor="_ENREF_385" w:tooltip=", 2013 #948" w:history="1">
        <w:r w:rsidR="00E62798">
          <w:fldChar w:fldCharType="begin"/>
        </w:r>
        <w:r w:rsidR="00E62798">
          <w:instrText xml:space="preserve"> ADDIN EN.CITE &lt;EndNote&gt;&lt;Cite ExcludeAuth="1"&gt;&lt;Year&gt;2013&lt;/Year&gt;&lt;RecNum&gt;948&lt;/RecNum&gt;&lt;DisplayText&gt;&lt;style face="superscript"&gt;385&lt;/style&gt;&lt;/DisplayText&gt;&lt;record&gt;&lt;rec-number&gt;948&lt;/rec-number&gt;&lt;foreign-keys&gt;&lt;key app="EN" db-id="9edve2wadsavt5ewavaxtda4f2tavzvts9ee" timestamp="1436398531"&gt;948&lt;/key&gt;&lt;/foreign-keys&gt;&lt;ref-type name="Report"&gt;27&lt;/ref-type&gt;&lt;contributors&gt;&lt;/contributors&gt;&lt;titles&gt;&lt;title&gt;National Blood Sector Education and Training Strategy 2013–2016&lt;/title&gt;&lt;/titles&gt;&lt;dates&gt;&lt;year&gt;2013&lt;/year&gt;&lt;/dates&gt;&lt;pub-location&gt;Canberra&lt;/pub-location&gt;&lt;publisher&gt;National Blood Authority&lt;/publisher&gt;&lt;urls&gt;&lt;related-urls&gt;&lt;url&gt;http://www.blood.gov.au/education-and-training&lt;/url&gt;&lt;/related-urls&gt;&lt;/urls&gt;&lt;access-date&gt;9 July 2015&lt;/access-date&gt;&lt;/record&gt;&lt;/Cite&gt;&lt;/EndNote&gt;</w:instrText>
        </w:r>
        <w:r w:rsidR="00E62798">
          <w:fldChar w:fldCharType="separate"/>
        </w:r>
        <w:r w:rsidR="00E62798" w:rsidRPr="00E62798">
          <w:rPr>
            <w:noProof/>
            <w:vertAlign w:val="superscript"/>
          </w:rPr>
          <w:t>385</w:t>
        </w:r>
        <w:r w:rsidR="00E62798">
          <w:fldChar w:fldCharType="end"/>
        </w:r>
      </w:hyperlink>
      <w:r w:rsidRPr="00F366FB">
        <w:t xml:space="preserve"> The NBA will engage with key stakeholders in the sector and enter into collaborations, joint arrangements and outsourcing to meet the key strategies identified for 2013</w:t>
      </w:r>
      <w:r w:rsidR="00495B40">
        <w:t>–</w:t>
      </w:r>
      <w:r w:rsidRPr="00F366FB">
        <w:t>16.</w:t>
      </w:r>
      <w:r>
        <w:t xml:space="preserve"> </w:t>
      </w:r>
    </w:p>
    <w:p w14:paraId="4B883209" w14:textId="7CC9359A" w:rsidR="00F7006A" w:rsidRDefault="00F7006A" w:rsidP="00FF2787">
      <w:pPr>
        <w:pStyle w:val="Normalbeforebullet"/>
      </w:pPr>
      <w:r w:rsidRPr="00E45D3F">
        <w:t xml:space="preserve">Continued re-evaluation of the </w:t>
      </w:r>
      <w:r>
        <w:t>g</w:t>
      </w:r>
      <w:r w:rsidRPr="00E45D3F">
        <w:t>uidelines is necessary to reduce variation</w:t>
      </w:r>
      <w:r>
        <w:t xml:space="preserve"> in practice patterns</w:t>
      </w:r>
      <w:r w:rsidRPr="00E45D3F">
        <w:t>, support appropriate use</w:t>
      </w:r>
      <w:r>
        <w:t xml:space="preserve"> of blood component therapy</w:t>
      </w:r>
      <w:r w:rsidRPr="00E45D3F">
        <w:t xml:space="preserve"> and reduce </w:t>
      </w:r>
      <w:r>
        <w:t>inappropriate exposure of</w:t>
      </w:r>
      <w:r w:rsidRPr="00E45D3F">
        <w:t xml:space="preserve"> patients to</w:t>
      </w:r>
      <w:r w:rsidR="00495B40">
        <w:t xml:space="preserve"> blood components.</w:t>
      </w:r>
      <w:hyperlink w:anchor="_ENREF_387" w:tooltip="Snyder-Ramos, 2008 #950" w:history="1">
        <w:r w:rsidR="00E62798">
          <w:fldChar w:fldCharType="begin"/>
        </w:r>
        <w:r w:rsidR="00E62798">
          <w:instrText xml:space="preserve"> ADDIN EN.CITE &lt;EndNote&gt;&lt;Cite&gt;&lt;Author&gt;Snyder-Ramos&lt;/Author&gt;&lt;Year&gt;2008&lt;/Year&gt;&lt;RecNum&gt;950&lt;/RecNum&gt;&lt;DisplayText&gt;&lt;style face="superscript"&gt;387&lt;/style&gt;&lt;/DisplayText&gt;&lt;record&gt;&lt;rec-number&gt;950&lt;/rec-number&gt;&lt;foreign-keys&gt;&lt;key app="EN" db-id="9edve2wadsavt5ewavaxtda4f2tavzvts9ee" timestamp="1436398917"&gt;950&lt;/key&gt;&lt;/foreign-keys&gt;&lt;ref-type name="Journal Article"&gt;17&lt;/ref-type&gt;&lt;contributors&gt;&lt;authors&gt;&lt;author&gt;Snyder-Ramos, S. A.&lt;/author&gt;&lt;author&gt;Mohnle, P.&lt;/author&gt;&lt;author&gt;Weng, Y. S.&lt;/author&gt;&lt;author&gt;Bottiger, B. W.&lt;/author&gt;&lt;author&gt;Kulier, A.&lt;/author&gt;&lt;author&gt;Levin, J.&lt;/author&gt;&lt;author&gt;Mangano, D. T.&lt;/author&gt;&lt;/authors&gt;&lt;/contributors&gt;&lt;auth-address&gt;Department of Anesthesiology, University of Heidelberg, Heidelberg, Germany. diane@iref.org&lt;/auth-address&gt;&lt;titles&gt;&lt;title&gt;The ongoing variability in blood transfusion practices in cardiac surgery&lt;/title&gt;&lt;secondary-title&gt;Transfusion&lt;/secondary-title&gt;&lt;/titles&gt;&lt;periodical&gt;&lt;full-title&gt;Transfusion&lt;/full-title&gt;&lt;abbr-1&gt;Transfusion&lt;/abbr-1&gt;&lt;/periodical&gt;&lt;pages&gt;1284–1299&lt;/pages&gt;&lt;volume&gt;48&lt;/volume&gt;&lt;number&gt;7&lt;/number&gt;&lt;edition&gt;2008/04/22&lt;/edition&gt;&lt;keywords&gt;&lt;keyword&gt;Aged&lt;/keyword&gt;&lt;keyword&gt;Blood Transfusion/ methods/statistics &amp;amp; numerical data&lt;/keyword&gt;&lt;keyword&gt;Erythrocyte Transfusion/methods/statistics &amp;amp; numerical data&lt;/keyword&gt;&lt;keyword&gt;Female&lt;/keyword&gt;&lt;keyword&gt;Humans&lt;/keyword&gt;&lt;keyword&gt;Male&lt;/keyword&gt;&lt;keyword&gt;Middle Aged&lt;/keyword&gt;&lt;keyword&gt;Plasma&lt;/keyword&gt;&lt;keyword&gt;Platelet Transfusion/methods/statistics &amp;amp; numerical data&lt;/keyword&gt;&lt;keyword&gt;Thoracic Surgery&lt;/keyword&gt;&lt;/keywords&gt;&lt;dates&gt;&lt;year&gt;2008&lt;/year&gt;&lt;pub-dates&gt;&lt;date&gt;Jul&lt;/date&gt;&lt;/pub-dates&gt;&lt;/dates&gt;&lt;isbn&gt;0041-1132 (Print)&amp;#xD;0041-1132 (Linking)&lt;/isbn&gt;&lt;accession-num&gt;18422857&lt;/accession-num&gt;&lt;urls&gt;&lt;related-urls&gt;&lt;url&gt;http://www.ncbi.nlm.nih.gov/pubmed/18422857 &lt;/url&gt;&lt;/related-urls&gt;&lt;/urls&gt;&lt;electronic-resource-num&gt;TRF01666 [pii]&amp;#xD;10.1111/j.1537-2995.2008.01666.x [doi]&lt;/electronic-resource-num&gt;&lt;remote-database-provider&gt;Nlm&lt;/remote-database-provider&gt;&lt;language&gt;eng&lt;/language&gt;&lt;/record&gt;&lt;/Cite&gt;&lt;/EndNote&gt;</w:instrText>
        </w:r>
        <w:r w:rsidR="00E62798">
          <w:fldChar w:fldCharType="separate"/>
        </w:r>
        <w:r w:rsidR="00E62798" w:rsidRPr="00E62798">
          <w:rPr>
            <w:noProof/>
            <w:vertAlign w:val="superscript"/>
          </w:rPr>
          <w:t>387</w:t>
        </w:r>
        <w:r w:rsidR="00E62798">
          <w:fldChar w:fldCharType="end"/>
        </w:r>
      </w:hyperlink>
      <w:r w:rsidR="00495B40">
        <w:t xml:space="preserve"> </w:t>
      </w:r>
      <w:r>
        <w:t>A</w:t>
      </w:r>
      <w:r w:rsidRPr="0015699B">
        <w:t xml:space="preserve"> plan was designed to evaluate implementation</w:t>
      </w:r>
      <w:r>
        <w:t xml:space="preserve"> of</w:t>
      </w:r>
      <w:r w:rsidRPr="0015699B">
        <w:t xml:space="preserve"> the </w:t>
      </w:r>
      <w:r>
        <w:t xml:space="preserve">six modules of the </w:t>
      </w:r>
      <w:r w:rsidRPr="0015699B">
        <w:t>guidelines and to determine</w:t>
      </w:r>
      <w:r>
        <w:t>:</w:t>
      </w:r>
    </w:p>
    <w:p w14:paraId="42F455FE" w14:textId="77777777" w:rsidR="00F7006A" w:rsidRDefault="00F7006A" w:rsidP="00F7006A">
      <w:pPr>
        <w:pStyle w:val="Bullet6"/>
        <w:numPr>
          <w:ilvl w:val="0"/>
          <w:numId w:val="3"/>
        </w:numPr>
        <w:tabs>
          <w:tab w:val="clear" w:pos="360"/>
        </w:tabs>
        <w:ind w:left="1080"/>
      </w:pPr>
      <w:r w:rsidRPr="0015699B">
        <w:t xml:space="preserve">the extent to which </w:t>
      </w:r>
      <w:r>
        <w:t>the guidelines influence</w:t>
      </w:r>
      <w:r w:rsidRPr="0015699B">
        <w:t xml:space="preserve"> changes in clinical practice and health outcomes</w:t>
      </w:r>
    </w:p>
    <w:p w14:paraId="3293B921" w14:textId="77777777" w:rsidR="00F7006A" w:rsidRDefault="00F7006A" w:rsidP="00F7006A">
      <w:pPr>
        <w:pStyle w:val="Bullet12"/>
        <w:numPr>
          <w:ilvl w:val="0"/>
          <w:numId w:val="3"/>
        </w:numPr>
        <w:tabs>
          <w:tab w:val="clear" w:pos="360"/>
        </w:tabs>
        <w:ind w:left="1080"/>
      </w:pPr>
      <w:r w:rsidRPr="0015699B">
        <w:t>what</w:t>
      </w:r>
      <w:r>
        <w:t xml:space="preserve"> factors (if</w:t>
      </w:r>
      <w:r w:rsidRPr="0015699B">
        <w:t xml:space="preserve"> any</w:t>
      </w:r>
      <w:r>
        <w:t>)</w:t>
      </w:r>
      <w:r w:rsidRPr="0015699B">
        <w:t xml:space="preserve"> </w:t>
      </w:r>
      <w:r>
        <w:t>contribute</w:t>
      </w:r>
      <w:r w:rsidRPr="0015699B">
        <w:t xml:space="preserve"> to noncompliance with the guidelines.</w:t>
      </w:r>
    </w:p>
    <w:p w14:paraId="6832083E" w14:textId="7FD16C73" w:rsidR="00F7006A" w:rsidRDefault="00F7006A" w:rsidP="00F7006A">
      <w:r w:rsidRPr="007732ED">
        <w:t xml:space="preserve">A literature review and interviews were conducted with experts in guideline development in Australia and internationally. </w:t>
      </w:r>
      <w:r w:rsidRPr="0015699B">
        <w:t>The re</w:t>
      </w:r>
      <w:r>
        <w:t>commendations from</w:t>
      </w:r>
      <w:r w:rsidRPr="0015699B">
        <w:t xml:space="preserve"> th</w:t>
      </w:r>
      <w:r>
        <w:t>e</w:t>
      </w:r>
      <w:r w:rsidRPr="0015699B">
        <w:t xml:space="preserve"> evaluation </w:t>
      </w:r>
      <w:r>
        <w:t>report were</w:t>
      </w:r>
      <w:r w:rsidRPr="0015699B">
        <w:t xml:space="preserve"> used to</w:t>
      </w:r>
      <w:r w:rsidR="004828DA">
        <w:t xml:space="preserve"> </w:t>
      </w:r>
      <w:r w:rsidR="003B3866">
        <w:t>investigate and pilot more time-efficient and cost-</w:t>
      </w:r>
      <w:r w:rsidRPr="007732ED">
        <w:t>effect</w:t>
      </w:r>
      <w:r>
        <w:t>ive</w:t>
      </w:r>
      <w:r w:rsidRPr="007732ED">
        <w:t xml:space="preserve"> methods </w:t>
      </w:r>
      <w:r>
        <w:t xml:space="preserve">of guideline development. </w:t>
      </w:r>
    </w:p>
    <w:p w14:paraId="627329E2" w14:textId="3A77B0AB" w:rsidR="00F7006A" w:rsidRPr="00E765BC" w:rsidRDefault="00F7006A" w:rsidP="00F7006A">
      <w:r w:rsidRPr="00C0216E">
        <w:t xml:space="preserve">The NBA has </w:t>
      </w:r>
      <w:r w:rsidR="003B3866">
        <w:t>surveyed</w:t>
      </w:r>
      <w:r w:rsidR="00824121">
        <w:t xml:space="preserve"> users of the </w:t>
      </w:r>
      <w:r w:rsidRPr="00C0216E">
        <w:t xml:space="preserve">PBM </w:t>
      </w:r>
      <w:r w:rsidR="00824121">
        <w:t>guidelines and</w:t>
      </w:r>
      <w:r w:rsidRPr="00C0216E">
        <w:t xml:space="preserve"> is mo</w:t>
      </w:r>
      <w:r w:rsidR="00824121">
        <w:t>nitoring emerging technologies. It is also</w:t>
      </w:r>
      <w:r>
        <w:t xml:space="preserve"> working with </w:t>
      </w:r>
      <w:r w:rsidRPr="00E765BC">
        <w:t>the NHMRC, Cochrane Collaboration and other clinical research groups who have published systematic reviews relevant to the topic to pilot more streamlined processes</w:t>
      </w:r>
      <w:r w:rsidR="00824121">
        <w:t>,</w:t>
      </w:r>
      <w:r w:rsidRPr="00E765BC">
        <w:t xml:space="preserve"> in a targeted update of </w:t>
      </w:r>
      <w:r w:rsidRPr="00E765BC">
        <w:rPr>
          <w:i/>
        </w:rPr>
        <w:t>Module 1: Critical</w:t>
      </w:r>
      <w:r>
        <w:rPr>
          <w:i/>
        </w:rPr>
        <w:t xml:space="preserve"> Bleeding/Massive Transfusion</w:t>
      </w:r>
      <w:hyperlink w:anchor="_ENREF_1" w:tooltip="National Blood Authority (NBA), 2011 #199" w:history="1">
        <w:r w:rsidR="00E62798">
          <w:fldChar w:fldCharType="begin"/>
        </w:r>
        <w:r w:rsidR="00E62798">
          <w:instrText xml:space="preserve"> ADDIN EN.CITE &lt;EndNote&gt;&lt;Cite&gt;&lt;Author&gt;National Blood Authority (NBA)&lt;/Author&gt;&lt;Year&gt;2011&lt;/Year&gt;&lt;RecNum&gt;199&lt;/RecNum&gt;&lt;DisplayText&gt;&lt;style face="superscript"&gt;1&lt;/style&gt;&lt;/DisplayText&gt;&lt;record&gt;&lt;rec-number&gt;199&lt;/rec-number&gt;&lt;foreign-keys&gt;&lt;key app="EN" db-id="9edve2wadsavt5ewavaxtda4f2tavzvts9ee" timestamp="1426642642"&gt;199&lt;/key&gt;&lt;/foreign-keys&gt;&lt;ref-type name="Government Document"&gt;46&lt;/ref-type&gt;&lt;contributors&gt;&lt;authors&gt;&lt;author&gt;National Blood Authority (NBA),&lt;/author&gt;&lt;/authors&gt;&lt;/contributors&gt;&lt;titles&gt;&lt;title&gt;Patient Blood Management Guidelines: Module 1 – Critical Bleeding/Massive Transfusion&lt;/title&gt;&lt;/titles&gt;&lt;dates&gt;&lt;year&gt;2011&lt;/year&gt;&lt;/dates&gt;&lt;pub-location&gt;Canberra, Australia&lt;/pub-location&gt;&lt;publisher&gt;NBA&lt;/publisher&gt;&lt;urls&gt;&lt;related-urls&gt;&lt;url&gt;http://www.blood.gov.au/pbm-module-1&lt;/url&gt;&lt;/related-urls&gt;&lt;/urls&gt;&lt;access-date&gt;1 February 2014&lt;/access-date&gt;&lt;/record&gt;&lt;/Cite&gt;&lt;/EndNote&gt;</w:instrText>
        </w:r>
        <w:r w:rsidR="00E62798">
          <w:fldChar w:fldCharType="separate"/>
        </w:r>
        <w:r w:rsidR="00E62798" w:rsidRPr="00E62798">
          <w:rPr>
            <w:noProof/>
            <w:vertAlign w:val="superscript"/>
          </w:rPr>
          <w:t>1</w:t>
        </w:r>
        <w:r w:rsidR="00E62798">
          <w:fldChar w:fldCharType="end"/>
        </w:r>
      </w:hyperlink>
      <w:r>
        <w:rPr>
          <w:i/>
        </w:rPr>
        <w:t xml:space="preserve"> </w:t>
      </w:r>
      <w:r>
        <w:t>in 2015</w:t>
      </w:r>
      <w:r w:rsidR="003B3866">
        <w:t>–</w:t>
      </w:r>
      <w:r>
        <w:t>16.</w:t>
      </w:r>
    </w:p>
    <w:p w14:paraId="550BE3D0" w14:textId="77777777" w:rsidR="00F7006A" w:rsidRDefault="00F7006A" w:rsidP="00F7006A">
      <w:pPr>
        <w:pStyle w:val="Heading2"/>
      </w:pPr>
      <w:bookmarkStart w:id="252" w:name="_Toc395536099"/>
      <w:bookmarkStart w:id="253" w:name="_Toc427851401"/>
      <w:r>
        <w:t>6.2</w:t>
      </w:r>
      <w:r>
        <w:tab/>
        <w:t>Endorsement</w:t>
      </w:r>
      <w:bookmarkEnd w:id="252"/>
      <w:bookmarkEnd w:id="253"/>
    </w:p>
    <w:p w14:paraId="442F9162" w14:textId="77777777" w:rsidR="00F7006A" w:rsidRPr="004323ED" w:rsidRDefault="00F7006A" w:rsidP="00F7006A">
      <w:pPr>
        <w:rPr>
          <w:lang w:val="en-US"/>
        </w:rPr>
      </w:pPr>
      <w:r>
        <w:t>A list of colleges and societies that have endorsed this module of the guidelines will be available on the NBA website.</w:t>
      </w:r>
      <w:r>
        <w:rPr>
          <w:rStyle w:val="FootnoteReference"/>
        </w:rPr>
        <w:footnoteReference w:id="20"/>
      </w:r>
      <w:r>
        <w:t xml:space="preserve"> </w:t>
      </w:r>
    </w:p>
    <w:p w14:paraId="6FE928E0" w14:textId="77777777" w:rsidR="00F7006A" w:rsidRDefault="00F7006A" w:rsidP="00F7006A">
      <w:pPr>
        <w:pStyle w:val="Heading2"/>
      </w:pPr>
      <w:bookmarkStart w:id="254" w:name="_Toc395536100"/>
      <w:bookmarkStart w:id="255" w:name="_Toc427851402"/>
      <w:r>
        <w:t>6.3</w:t>
      </w:r>
      <w:r>
        <w:tab/>
        <w:t>Scheduled review and update</w:t>
      </w:r>
      <w:bookmarkEnd w:id="254"/>
      <w:bookmarkEnd w:id="255"/>
    </w:p>
    <w:p w14:paraId="5ED21621" w14:textId="0EBC7C4E" w:rsidR="00F7006A" w:rsidRDefault="00F7006A" w:rsidP="00F7006A">
      <w:r>
        <w:t>Th</w:t>
      </w:r>
      <w:r w:rsidRPr="0015699B">
        <w:t xml:space="preserve">is </w:t>
      </w:r>
      <w:r>
        <w:t>module</w:t>
      </w:r>
      <w:r w:rsidRPr="0015699B">
        <w:t xml:space="preserve"> will be reviewed and amended</w:t>
      </w:r>
      <w:r>
        <w:t xml:space="preserve"> in </w:t>
      </w:r>
      <w:r w:rsidRPr="00E96CC2">
        <w:t>20</w:t>
      </w:r>
      <w:r>
        <w:t xml:space="preserve">21 unless an issue arises (e.g. new clinical evidence relevant to practice) that triggers a need for an earlier review. The outcomes of the pilot to update </w:t>
      </w:r>
      <w:r w:rsidRPr="00DD4BB6">
        <w:rPr>
          <w:i/>
        </w:rPr>
        <w:t>Module 1 – Critical Bleeding/Massive Transfusion</w:t>
      </w:r>
      <w:r>
        <w:t xml:space="preserve"> in 2015</w:t>
      </w:r>
      <w:r w:rsidR="00824121">
        <w:t>–</w:t>
      </w:r>
      <w:r>
        <w:t xml:space="preserve">16 may </w:t>
      </w:r>
      <w:r w:rsidR="00A77E72">
        <w:t>mean that new</w:t>
      </w:r>
      <w:r>
        <w:t xml:space="preserve"> method</w:t>
      </w:r>
      <w:r w:rsidR="00A77E72">
        <w:t>s</w:t>
      </w:r>
      <w:r>
        <w:t xml:space="preserve"> and processes </w:t>
      </w:r>
      <w:r w:rsidR="00A77E72">
        <w:t xml:space="preserve">are available </w:t>
      </w:r>
      <w:r>
        <w:t>to update the PBM guidelines earlier than the scheduled 5</w:t>
      </w:r>
      <w:r w:rsidR="00A77E72">
        <w:t>-</w:t>
      </w:r>
      <w:r>
        <w:t>year review period.</w:t>
      </w:r>
    </w:p>
    <w:p w14:paraId="3CA7DA76" w14:textId="4A5A1241" w:rsidR="00F7006A" w:rsidRDefault="00F7006A" w:rsidP="00F7006A">
      <w:r>
        <w:t xml:space="preserve">The PBM Guidelines Project Manager at the NBA will convene the group of experts to undertake the review, and </w:t>
      </w:r>
      <w:r w:rsidR="00A77E72">
        <w:t>is</w:t>
      </w:r>
      <w:r>
        <w:t xml:space="preserve"> the person to contact about major issues, events or practice changes. </w:t>
      </w:r>
    </w:p>
    <w:p w14:paraId="0E74BEFB" w14:textId="77777777" w:rsidR="00F7006A" w:rsidRDefault="00F7006A" w:rsidP="00FF2787">
      <w:pPr>
        <w:pStyle w:val="Normalbeforebullet"/>
      </w:pPr>
      <w:r>
        <w:t>To provide feedback and inform future reviews of this module, please send any comments on its content or implementation, or on the accompanying materials, to:</w:t>
      </w:r>
    </w:p>
    <w:tbl>
      <w:tblPr>
        <w:tblW w:w="0" w:type="auto"/>
        <w:tblInd w:w="1080" w:type="dxa"/>
        <w:tblLook w:val="04A0" w:firstRow="1" w:lastRow="0" w:firstColumn="1" w:lastColumn="0" w:noHBand="0" w:noVBand="1"/>
      </w:tblPr>
      <w:tblGrid>
        <w:gridCol w:w="1042"/>
        <w:gridCol w:w="6894"/>
      </w:tblGrid>
      <w:tr w:rsidR="00F7006A" w14:paraId="6B7F24B1" w14:textId="77777777" w:rsidTr="00F7006A">
        <w:tc>
          <w:tcPr>
            <w:tcW w:w="1042" w:type="dxa"/>
          </w:tcPr>
          <w:p w14:paraId="2FCF5C0E" w14:textId="77777777" w:rsidR="00F7006A" w:rsidRDefault="00F7006A" w:rsidP="00F7006A">
            <w:pPr>
              <w:pStyle w:val="Normal-noindent"/>
            </w:pPr>
            <w:r>
              <w:t>Email:</w:t>
            </w:r>
          </w:p>
        </w:tc>
        <w:tc>
          <w:tcPr>
            <w:tcW w:w="6894" w:type="dxa"/>
          </w:tcPr>
          <w:p w14:paraId="410B59C1" w14:textId="77777777" w:rsidR="00F7006A" w:rsidRDefault="00F7006A" w:rsidP="00F7006A">
            <w:pPr>
              <w:pStyle w:val="Normal-noindent"/>
            </w:pPr>
            <w:r>
              <w:t>guidelines@blood.gov.au</w:t>
            </w:r>
          </w:p>
        </w:tc>
      </w:tr>
      <w:tr w:rsidR="00F7006A" w14:paraId="10941CBB" w14:textId="77777777" w:rsidTr="00F7006A">
        <w:tc>
          <w:tcPr>
            <w:tcW w:w="1042" w:type="dxa"/>
          </w:tcPr>
          <w:p w14:paraId="07AF8381" w14:textId="77777777" w:rsidR="00F7006A" w:rsidRDefault="00F7006A" w:rsidP="00F7006A">
            <w:pPr>
              <w:pStyle w:val="Normal-noindent"/>
            </w:pPr>
            <w:r>
              <w:t>Mail:</w:t>
            </w:r>
          </w:p>
        </w:tc>
        <w:tc>
          <w:tcPr>
            <w:tcW w:w="6894" w:type="dxa"/>
          </w:tcPr>
          <w:p w14:paraId="7354A03C" w14:textId="77777777" w:rsidR="00F7006A" w:rsidRDefault="00F7006A" w:rsidP="00F7006A">
            <w:pPr>
              <w:pStyle w:val="Normal-noindent"/>
            </w:pPr>
            <w:r>
              <w:t>Patient Blood Management Guidelines</w:t>
            </w:r>
            <w:r>
              <w:br/>
              <w:t>National Blood Authority</w:t>
            </w:r>
            <w:r>
              <w:br/>
              <w:t>Locked Bag 8430</w:t>
            </w:r>
            <w:r>
              <w:br/>
              <w:t>Canberra ACT 2601</w:t>
            </w:r>
          </w:p>
        </w:tc>
      </w:tr>
      <w:tr w:rsidR="00F7006A" w14:paraId="3EFD51EF" w14:textId="77777777" w:rsidTr="00F7006A">
        <w:tc>
          <w:tcPr>
            <w:tcW w:w="1042" w:type="dxa"/>
          </w:tcPr>
          <w:p w14:paraId="1D1EDA06" w14:textId="77777777" w:rsidR="00F7006A" w:rsidRDefault="00F7006A" w:rsidP="00F7006A">
            <w:pPr>
              <w:pStyle w:val="Normal-noindent"/>
            </w:pPr>
            <w:r>
              <w:t>Fax:</w:t>
            </w:r>
          </w:p>
        </w:tc>
        <w:tc>
          <w:tcPr>
            <w:tcW w:w="6894" w:type="dxa"/>
          </w:tcPr>
          <w:p w14:paraId="439ED279" w14:textId="77777777" w:rsidR="00F7006A" w:rsidRDefault="00F7006A" w:rsidP="00F7006A">
            <w:pPr>
              <w:pStyle w:val="Normal-noindent"/>
            </w:pPr>
            <w:r>
              <w:t xml:space="preserve">+61 2 </w:t>
            </w:r>
            <w:r w:rsidRPr="005B679A">
              <w:t>6151 5300</w:t>
            </w:r>
          </w:p>
        </w:tc>
      </w:tr>
    </w:tbl>
    <w:p w14:paraId="173D1FD5" w14:textId="77777777" w:rsidR="00F7006A" w:rsidRDefault="00F7006A" w:rsidP="00F7006A">
      <w:pPr>
        <w:pStyle w:val="Bullet6"/>
        <w:numPr>
          <w:ilvl w:val="0"/>
          <w:numId w:val="0"/>
        </w:numPr>
        <w:ind w:left="1080" w:hanging="360"/>
      </w:pPr>
      <w:r>
        <w:tab/>
      </w:r>
    </w:p>
    <w:p w14:paraId="1EFAF856" w14:textId="77777777" w:rsidR="00F7006A" w:rsidRDefault="00F7006A" w:rsidP="00F7006A">
      <w:r>
        <w:t xml:space="preserve">Any correspondence will be forwarded to the project manager for consideration in the next scheduled review. </w:t>
      </w:r>
    </w:p>
    <w:p w14:paraId="354D7D0F" w14:textId="77777777" w:rsidR="0041081F" w:rsidRDefault="0041081F" w:rsidP="005636A2">
      <w:pPr>
        <w:pStyle w:val="Heading1"/>
        <w:ind w:left="2835" w:hanging="2835"/>
        <w:sectPr w:rsidR="0041081F" w:rsidSect="0015586E">
          <w:footnotePr>
            <w:numFmt w:val="lowerLetter"/>
          </w:footnotePr>
          <w:pgSz w:w="11906" w:h="16838" w:code="9"/>
          <w:pgMar w:top="1440" w:right="1440" w:bottom="1440" w:left="1440" w:header="578" w:footer="578" w:gutter="0"/>
          <w:cols w:space="720"/>
          <w:titlePg/>
          <w:docGrid w:linePitch="360"/>
        </w:sectPr>
      </w:pPr>
    </w:p>
    <w:p w14:paraId="78C376E5" w14:textId="77777777" w:rsidR="006A6E85" w:rsidRPr="00B010CE" w:rsidRDefault="00D72A9F" w:rsidP="00B010CE">
      <w:pPr>
        <w:pStyle w:val="Heading1"/>
      </w:pPr>
      <w:bookmarkStart w:id="256" w:name="_Toc427851403"/>
      <w:r w:rsidRPr="00B010CE">
        <w:t xml:space="preserve">Appendix </w:t>
      </w:r>
      <w:r w:rsidR="00683E93" w:rsidRPr="00B010CE">
        <w:t>A</w:t>
      </w:r>
      <w:r w:rsidRPr="00B010CE">
        <w:tab/>
      </w:r>
      <w:r w:rsidR="001A50F3" w:rsidRPr="00B010CE">
        <w:t>Governance</w:t>
      </w:r>
      <w:bookmarkEnd w:id="248"/>
      <w:bookmarkEnd w:id="249"/>
      <w:bookmarkEnd w:id="256"/>
    </w:p>
    <w:p w14:paraId="7DB53635" w14:textId="77777777" w:rsidR="00270DDA" w:rsidRDefault="00683E93" w:rsidP="00222484">
      <w:pPr>
        <w:pStyle w:val="Heading2a"/>
        <w:rPr>
          <w:lang w:val="en-US"/>
        </w:rPr>
      </w:pPr>
      <w:r>
        <w:t>A</w:t>
      </w:r>
      <w:r w:rsidR="001A50F3">
        <w:t>1</w:t>
      </w:r>
      <w:r w:rsidR="001A50F3">
        <w:tab/>
      </w:r>
      <w:r w:rsidR="00270DDA">
        <w:rPr>
          <w:lang w:val="en-US"/>
        </w:rPr>
        <w:t>Governance structure</w:t>
      </w:r>
    </w:p>
    <w:p w14:paraId="2BED9BBF" w14:textId="57B75760" w:rsidR="0041081F" w:rsidRDefault="0041081F" w:rsidP="00FF2787">
      <w:pPr>
        <w:pStyle w:val="Normalbeforebullet"/>
      </w:pPr>
      <w:r w:rsidRPr="00891D5C">
        <w:t>A multi</w:t>
      </w:r>
      <w:r>
        <w:t>level</w:t>
      </w:r>
      <w:r w:rsidRPr="00891D5C">
        <w:t xml:space="preserve"> management framework </w:t>
      </w:r>
      <w:r>
        <w:t>was</w:t>
      </w:r>
      <w:r w:rsidRPr="00891D5C">
        <w:t xml:space="preserve"> estab</w:t>
      </w:r>
      <w:r>
        <w:t>lished by the</w:t>
      </w:r>
      <w:r w:rsidR="001E2427">
        <w:t xml:space="preserve"> National Blood Authority (</w:t>
      </w:r>
      <w:r>
        <w:t>NBA</w:t>
      </w:r>
      <w:r w:rsidR="001E2427">
        <w:t>)</w:t>
      </w:r>
      <w:r>
        <w:t xml:space="preserve"> to coordinate the development of the new </w:t>
      </w:r>
      <w:r w:rsidR="001E2427">
        <w:t>patient blood management (PBM)</w:t>
      </w:r>
      <w:r>
        <w:t xml:space="preserve"> guidelines</w:t>
      </w:r>
      <w:r w:rsidRPr="0096049B">
        <w:t>.</w:t>
      </w:r>
      <w:r w:rsidRPr="00563325">
        <w:t xml:space="preserve"> </w:t>
      </w:r>
      <w:r w:rsidRPr="004000F2">
        <w:rPr>
          <w:rFonts w:cs="Arial"/>
        </w:rPr>
        <w:t xml:space="preserve">The </w:t>
      </w:r>
      <w:r>
        <w:rPr>
          <w:rFonts w:cs="Arial"/>
        </w:rPr>
        <w:t xml:space="preserve">management </w:t>
      </w:r>
      <w:r w:rsidRPr="004000F2">
        <w:rPr>
          <w:rFonts w:cs="Arial"/>
        </w:rPr>
        <w:t>framework consists of:</w:t>
      </w:r>
    </w:p>
    <w:p w14:paraId="557CB80A" w14:textId="58E5CAA8" w:rsidR="0041081F" w:rsidRDefault="0041081F" w:rsidP="00E66069">
      <w:pPr>
        <w:pStyle w:val="Bullet6"/>
        <w:numPr>
          <w:ilvl w:val="0"/>
          <w:numId w:val="19"/>
        </w:numPr>
        <w:tabs>
          <w:tab w:val="clear" w:pos="1080"/>
        </w:tabs>
      </w:pPr>
      <w:r w:rsidRPr="00CC23A7">
        <w:t xml:space="preserve">a </w:t>
      </w:r>
      <w:r w:rsidRPr="00396457">
        <w:t xml:space="preserve">Steering Committee, </w:t>
      </w:r>
      <w:r>
        <w:t xml:space="preserve">which was </w:t>
      </w:r>
      <w:r w:rsidRPr="00396457">
        <w:t xml:space="preserve">responsible for the </w:t>
      </w:r>
      <w:r>
        <w:t>initial</w:t>
      </w:r>
      <w:r w:rsidRPr="00396457">
        <w:t xml:space="preserve"> development and governance of the entire project</w:t>
      </w:r>
      <w:r w:rsidR="00D85135">
        <w:t>; this</w:t>
      </w:r>
      <w:r>
        <w:t xml:space="preserve"> has now become the PBM Steering Committee</w:t>
      </w:r>
      <w:r w:rsidR="00D85135">
        <w:t>,</w:t>
      </w:r>
      <w:r>
        <w:t xml:space="preserve"> which oversees the implementation strategy for the PBM </w:t>
      </w:r>
      <w:r w:rsidR="001E2427">
        <w:t>guidelines</w:t>
      </w:r>
    </w:p>
    <w:p w14:paraId="2CAD46AE" w14:textId="77777777" w:rsidR="0041081F" w:rsidRDefault="0041081F" w:rsidP="00E66069">
      <w:pPr>
        <w:pStyle w:val="Bullet6"/>
        <w:numPr>
          <w:ilvl w:val="0"/>
          <w:numId w:val="19"/>
        </w:numPr>
        <w:tabs>
          <w:tab w:val="clear" w:pos="1080"/>
        </w:tabs>
      </w:pPr>
      <w:r w:rsidRPr="00CC23A7">
        <w:t>an Expert Working Group (EWG)</w:t>
      </w:r>
      <w:r>
        <w:t>,</w:t>
      </w:r>
      <w:r w:rsidRPr="00CC23A7">
        <w:t xml:space="preserve"> responsible for </w:t>
      </w:r>
      <w:r>
        <w:t xml:space="preserve">providing advice on scope, </w:t>
      </w:r>
      <w:r w:rsidRPr="00CC23A7">
        <w:t>clinical</w:t>
      </w:r>
      <w:r>
        <w:t xml:space="preserve"> </w:t>
      </w:r>
      <w:r w:rsidRPr="00CC23A7">
        <w:t>oversight</w:t>
      </w:r>
      <w:r>
        <w:t xml:space="preserve"> and </w:t>
      </w:r>
      <w:r w:rsidRPr="00CC23A7">
        <w:t xml:space="preserve">integration of the six </w:t>
      </w:r>
      <w:r>
        <w:t xml:space="preserve">modules </w:t>
      </w:r>
    </w:p>
    <w:p w14:paraId="0E7D3C08" w14:textId="77777777" w:rsidR="0041081F" w:rsidRDefault="0041081F" w:rsidP="00E66069">
      <w:pPr>
        <w:pStyle w:val="Bullet6"/>
        <w:numPr>
          <w:ilvl w:val="0"/>
          <w:numId w:val="19"/>
        </w:numPr>
        <w:tabs>
          <w:tab w:val="clear" w:pos="1080"/>
        </w:tabs>
      </w:pPr>
      <w:r w:rsidRPr="00CC23A7">
        <w:t>Clinical</w:t>
      </w:r>
      <w:r>
        <w:t>/Consumer Reference Groups (CRGs</w:t>
      </w:r>
      <w:r w:rsidR="00D44064">
        <w:t>)</w:t>
      </w:r>
      <w:r>
        <w:t xml:space="preserve"> – </w:t>
      </w:r>
      <w:r w:rsidRPr="00CC23A7">
        <w:t>one for each of the</w:t>
      </w:r>
      <w:r>
        <w:t xml:space="preserve"> </w:t>
      </w:r>
      <w:r w:rsidRPr="00CC23A7">
        <w:t xml:space="preserve">six </w:t>
      </w:r>
      <w:r>
        <w:t xml:space="preserve">modules, with membership including representation from relevant colleges, societies and consumer groups, </w:t>
      </w:r>
      <w:r w:rsidRPr="00CC23A7">
        <w:t>to provide expert knowledge and input</w:t>
      </w:r>
      <w:r>
        <w:t xml:space="preserve"> </w:t>
      </w:r>
    </w:p>
    <w:p w14:paraId="7574C8EF" w14:textId="77777777" w:rsidR="0041081F" w:rsidRDefault="0041081F" w:rsidP="00E66069">
      <w:pPr>
        <w:pStyle w:val="Bullet6"/>
        <w:numPr>
          <w:ilvl w:val="0"/>
          <w:numId w:val="19"/>
        </w:numPr>
        <w:tabs>
          <w:tab w:val="clear" w:pos="1080"/>
        </w:tabs>
      </w:pPr>
      <w:r w:rsidRPr="00CC23A7">
        <w:t>systematic reviewer</w:t>
      </w:r>
      <w:r>
        <w:t>s</w:t>
      </w:r>
      <w:r w:rsidRPr="00CC23A7">
        <w:t xml:space="preserve"> and </w:t>
      </w:r>
      <w:r>
        <w:t xml:space="preserve">a </w:t>
      </w:r>
      <w:r w:rsidRPr="00CC23A7">
        <w:t>technical writer, contracted by the</w:t>
      </w:r>
      <w:r>
        <w:t xml:space="preserve"> </w:t>
      </w:r>
      <w:r w:rsidRPr="00CC23A7">
        <w:t xml:space="preserve">NBA to review the literature and develop a draft of </w:t>
      </w:r>
      <w:r>
        <w:t>each module</w:t>
      </w:r>
    </w:p>
    <w:p w14:paraId="1C4D6459" w14:textId="2F9FDF95" w:rsidR="0041081F" w:rsidRPr="00CC23A7" w:rsidRDefault="0041081F" w:rsidP="001E2427">
      <w:pPr>
        <w:pStyle w:val="Bullet12"/>
        <w:numPr>
          <w:ilvl w:val="0"/>
          <w:numId w:val="19"/>
        </w:numPr>
        <w:tabs>
          <w:tab w:val="clear" w:pos="1080"/>
        </w:tabs>
      </w:pPr>
      <w:r>
        <w:t>an independent systematic review expert</w:t>
      </w:r>
      <w:r w:rsidRPr="0090668A">
        <w:t>, to provide advice and mentoring to the systematic reviewers, technical writer and CRGs; and to ensure that the development process and t</w:t>
      </w:r>
      <w:r w:rsidRPr="00CC23A7">
        <w:t>he guidelines produced compl</w:t>
      </w:r>
      <w:r>
        <w:t>y</w:t>
      </w:r>
      <w:r w:rsidRPr="00CC23A7">
        <w:t xml:space="preserve"> with </w:t>
      </w:r>
      <w:r w:rsidR="001E2427" w:rsidRPr="001E2427">
        <w:t xml:space="preserve">National Health and Medical Research Council (NHMRC) </w:t>
      </w:r>
      <w:r w:rsidRPr="00CC23A7">
        <w:t>requirements.</w:t>
      </w:r>
    </w:p>
    <w:p w14:paraId="600F76FB" w14:textId="23512B93" w:rsidR="0041081F" w:rsidRDefault="0041081F" w:rsidP="0041081F">
      <w:r w:rsidRPr="00CC23A7">
        <w:t>The NBA provided the secretariat, project funding and project</w:t>
      </w:r>
      <w:r w:rsidRPr="004000F2">
        <w:rPr>
          <w:b/>
          <w:bCs/>
        </w:rPr>
        <w:t xml:space="preserve"> </w:t>
      </w:r>
      <w:r w:rsidRPr="00CC23A7">
        <w:t>management</w:t>
      </w:r>
      <w:r>
        <w:t xml:space="preserve">. </w:t>
      </w:r>
      <w:r w:rsidR="001E2427">
        <w:t>Section A3 of this appendix</w:t>
      </w:r>
      <w:r>
        <w:t xml:space="preserve"> lists the m</w:t>
      </w:r>
      <w:r w:rsidRPr="00CC23A7">
        <w:t>embership of the bodies involved in governance of the</w:t>
      </w:r>
      <w:r w:rsidRPr="004000F2">
        <w:rPr>
          <w:b/>
          <w:bCs/>
        </w:rPr>
        <w:t xml:space="preserve"> </w:t>
      </w:r>
      <w:r w:rsidRPr="00CC23A7">
        <w:t>guidelines. Details of how the guidelines will be</w:t>
      </w:r>
      <w:r>
        <w:t xml:space="preserve"> </w:t>
      </w:r>
      <w:r w:rsidRPr="00CC23A7">
        <w:t xml:space="preserve">implemented and updated are provided </w:t>
      </w:r>
      <w:r>
        <w:t xml:space="preserve">in </w:t>
      </w:r>
      <w:r>
        <w:rPr>
          <w:rFonts w:hint="eastAsia"/>
          <w:lang w:eastAsia="ja-JP"/>
        </w:rPr>
        <w:t>Chapter </w:t>
      </w:r>
      <w:r>
        <w:rPr>
          <w:lang w:eastAsia="ja-JP"/>
        </w:rPr>
        <w:t>6</w:t>
      </w:r>
      <w:r w:rsidRPr="00CC23A7">
        <w:t>.</w:t>
      </w:r>
      <w:r>
        <w:t xml:space="preserve"> </w:t>
      </w:r>
    </w:p>
    <w:p w14:paraId="4C54746B" w14:textId="77777777" w:rsidR="001A50F3" w:rsidRDefault="00B010CE" w:rsidP="00B010CE">
      <w:pPr>
        <w:pStyle w:val="Heading3a"/>
      </w:pPr>
      <w:r>
        <w:t>A1.1</w:t>
      </w:r>
      <w:r>
        <w:tab/>
      </w:r>
      <w:r w:rsidR="00156AE0">
        <w:t>Management f</w:t>
      </w:r>
      <w:r w:rsidR="001A50F3">
        <w:t>ramework for guideline development</w:t>
      </w:r>
    </w:p>
    <w:p w14:paraId="5F0302AA" w14:textId="77777777" w:rsidR="0041081F" w:rsidRPr="000976CE" w:rsidRDefault="0041081F" w:rsidP="0041081F">
      <w:bookmarkStart w:id="257" w:name="_Toc263867918"/>
      <w:bookmarkStart w:id="258" w:name="_Toc282674503"/>
      <w:r>
        <w:t>Figure A1 illustrates the management framework used to manage the development of the six modules of the guidelines, described in Chapter 1.</w:t>
      </w:r>
    </w:p>
    <w:p w14:paraId="118A0CC7" w14:textId="77777777" w:rsidR="0041081F" w:rsidRDefault="0041081F" w:rsidP="00ED2B00">
      <w:bookmarkStart w:id="259" w:name="_Toc265585352"/>
      <w:bookmarkEnd w:id="257"/>
      <w:bookmarkEnd w:id="258"/>
    </w:p>
    <w:bookmarkStart w:id="260" w:name="_Toc378953096"/>
    <w:bookmarkStart w:id="261" w:name="_Toc427758407"/>
    <w:p w14:paraId="7818D9AC" w14:textId="4085F822" w:rsidR="0041081F" w:rsidRDefault="0080258E" w:rsidP="0041081F">
      <w:pPr>
        <w:pStyle w:val="FigureNameBF"/>
      </w:pPr>
      <w:r>
        <w:rPr>
          <w:noProof/>
        </w:rPr>
        <mc:AlternateContent>
          <mc:Choice Requires="wpc">
            <w:drawing>
              <wp:anchor distT="0" distB="0" distL="114300" distR="114300" simplePos="0" relativeHeight="251658240" behindDoc="0" locked="0" layoutInCell="1" allowOverlap="1" wp14:anchorId="7A4F2C13" wp14:editId="7909747A">
                <wp:simplePos x="0" y="0"/>
                <wp:positionH relativeFrom="margin">
                  <wp:align>center</wp:align>
                </wp:positionH>
                <wp:positionV relativeFrom="paragraph">
                  <wp:posOffset>242537</wp:posOffset>
                </wp:positionV>
                <wp:extent cx="4809600" cy="3283200"/>
                <wp:effectExtent l="0" t="0" r="10160" b="0"/>
                <wp:wrapTopAndBottom/>
                <wp:docPr id="24"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4"/>
                        <wps:cNvSpPr>
                          <a:spLocks noChangeArrowheads="1"/>
                        </wps:cNvSpPr>
                        <wps:spPr bwMode="auto">
                          <a:xfrm>
                            <a:off x="0" y="2044031"/>
                            <a:ext cx="1514228" cy="1110617"/>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0A752FE8" w14:textId="77777777" w:rsidR="005C0634" w:rsidRPr="00E64DA3" w:rsidRDefault="005C0634" w:rsidP="0041081F">
                              <w:pPr>
                                <w:pStyle w:val="NormalWeb"/>
                                <w:spacing w:after="0"/>
                                <w:jc w:val="center"/>
                                <w:rPr>
                                  <w:rFonts w:ascii="Calibri" w:hAnsi="Calibri" w:cs="Calibri"/>
                                  <w:b/>
                                  <w:bCs/>
                                  <w:color w:val="0099FF"/>
                                  <w:sz w:val="20"/>
                                  <w:szCs w:val="20"/>
                                </w:rPr>
                              </w:pPr>
                              <w:r w:rsidRPr="00E64DA3">
                                <w:rPr>
                                  <w:rFonts w:ascii="Calibri" w:hAnsi="Calibri" w:cs="Calibri"/>
                                  <w:b/>
                                  <w:bCs/>
                                  <w:color w:val="0099FF"/>
                                  <w:sz w:val="20"/>
                                  <w:szCs w:val="20"/>
                                </w:rPr>
                                <w:t>Systematic reviewers and</w:t>
                              </w:r>
                              <w:r w:rsidRPr="00E64DA3">
                                <w:rPr>
                                  <w:rFonts w:ascii="Calibri" w:hAnsi="Calibri" w:cs="Calibri"/>
                                  <w:b/>
                                  <w:bCs/>
                                  <w:color w:val="0099FF"/>
                                  <w:sz w:val="20"/>
                                  <w:szCs w:val="20"/>
                                </w:rPr>
                                <w:br/>
                                <w:t>technical writer</w:t>
                              </w:r>
                            </w:p>
                            <w:p w14:paraId="4CBB8476" w14:textId="77777777" w:rsidR="005C0634" w:rsidRPr="00E64DA3" w:rsidRDefault="005C0634" w:rsidP="0041081F">
                              <w:pPr>
                                <w:spacing w:after="0"/>
                                <w:ind w:left="142"/>
                                <w:jc w:val="center"/>
                                <w:rPr>
                                  <w:rFonts w:cs="Calibri"/>
                                  <w:color w:val="0099FF"/>
                                  <w:sz w:val="20"/>
                                  <w:szCs w:val="20"/>
                                </w:rPr>
                              </w:pPr>
                              <w:r w:rsidRPr="00E64DA3">
                                <w:rPr>
                                  <w:rFonts w:cs="Calibri"/>
                                  <w:color w:val="0099FF"/>
                                  <w:sz w:val="20"/>
                                  <w:szCs w:val="20"/>
                                </w:rPr>
                                <w:t>Contracted to NBA</w:t>
                              </w:r>
                            </w:p>
                            <w:p w14:paraId="50D59103" w14:textId="77777777" w:rsidR="005C0634" w:rsidRPr="00E64DA3" w:rsidRDefault="005C0634" w:rsidP="0041081F">
                              <w:pPr>
                                <w:ind w:left="142"/>
                                <w:jc w:val="center"/>
                                <w:rPr>
                                  <w:rFonts w:cs="Calibri"/>
                                  <w:color w:val="0099FF"/>
                                  <w:sz w:val="20"/>
                                  <w:szCs w:val="20"/>
                                </w:rPr>
                              </w:pPr>
                              <w:r w:rsidRPr="00E64DA3">
                                <w:rPr>
                                  <w:rFonts w:cs="Calibri"/>
                                  <w:color w:val="0099FF"/>
                                  <w:sz w:val="20"/>
                                  <w:szCs w:val="20"/>
                                </w:rPr>
                                <w:t>Clinical direction from EWG and CRG</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1706432" y="0"/>
                            <a:ext cx="1406426" cy="444607"/>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B1A305C" w14:textId="77777777" w:rsidR="005C0634" w:rsidRPr="00E64DA3" w:rsidRDefault="005C0634" w:rsidP="0041081F">
                              <w:pPr>
                                <w:pStyle w:val="NormalWeb"/>
                                <w:spacing w:after="0"/>
                                <w:jc w:val="center"/>
                                <w:rPr>
                                  <w:rFonts w:ascii="Calibri" w:hAnsi="Calibri" w:cs="Calibri"/>
                                  <w:b/>
                                  <w:bCs/>
                                  <w:color w:val="00B050"/>
                                  <w:sz w:val="20"/>
                                  <w:szCs w:val="20"/>
                                </w:rPr>
                              </w:pPr>
                              <w:r w:rsidRPr="00E64DA3">
                                <w:rPr>
                                  <w:rFonts w:ascii="Calibri" w:hAnsi="Calibri" w:cs="Calibri"/>
                                  <w:b/>
                                  <w:bCs/>
                                  <w:color w:val="00B050"/>
                                  <w:sz w:val="20"/>
                                  <w:szCs w:val="20"/>
                                </w:rPr>
                                <w:t xml:space="preserve">Jurisdictional Blood </w:t>
                              </w:r>
                            </w:p>
                            <w:p w14:paraId="76BDFA15" w14:textId="77777777" w:rsidR="005C0634" w:rsidRPr="00E64DA3" w:rsidRDefault="005C0634" w:rsidP="0041081F">
                              <w:pPr>
                                <w:pStyle w:val="NormalWeb"/>
                                <w:spacing w:after="0"/>
                                <w:jc w:val="center"/>
                                <w:rPr>
                                  <w:rFonts w:ascii="Calibri" w:hAnsi="Calibri" w:cs="Calibri"/>
                                  <w:b/>
                                  <w:bCs/>
                                  <w:color w:val="00B050"/>
                                  <w:sz w:val="20"/>
                                  <w:szCs w:val="20"/>
                                </w:rPr>
                              </w:pPr>
                              <w:r w:rsidRPr="00E64DA3">
                                <w:rPr>
                                  <w:rFonts w:ascii="Calibri" w:hAnsi="Calibri" w:cs="Calibri"/>
                                  <w:b/>
                                  <w:bCs/>
                                  <w:color w:val="00B050"/>
                                  <w:sz w:val="20"/>
                                  <w:szCs w:val="20"/>
                                </w:rPr>
                                <w:t>Committee</w:t>
                              </w:r>
                            </w:p>
                          </w:txbxContent>
                        </wps:txbx>
                        <wps:bodyPr rot="0" vert="horz" wrap="square" lIns="91440" tIns="45720" rIns="91440" bIns="45720" anchor="t" anchorCtr="0" upright="1">
                          <a:noAutofit/>
                        </wps:bodyPr>
                      </wps:wsp>
                      <wps:wsp>
                        <wps:cNvPr id="11" name="Rectangle 10"/>
                        <wps:cNvSpPr>
                          <a:spLocks noChangeArrowheads="1"/>
                        </wps:cNvSpPr>
                        <wps:spPr bwMode="auto">
                          <a:xfrm>
                            <a:off x="1692632" y="2440737"/>
                            <a:ext cx="1393226" cy="523408"/>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56DC285E" w14:textId="4477B9E2"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 xml:space="preserve">Clinical/Consumer </w:t>
                              </w:r>
                            </w:p>
                            <w:p w14:paraId="57056F98"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Reference Groups</w:t>
                              </w:r>
                            </w:p>
                          </w:txbxContent>
                        </wps:txbx>
                        <wps:bodyPr rot="0" vert="horz" wrap="square" lIns="91440" tIns="45720" rIns="91440" bIns="45720" anchor="t" anchorCtr="0" upright="1">
                          <a:noAutofit/>
                        </wps:bodyPr>
                      </wps:wsp>
                      <wps:wsp>
                        <wps:cNvPr id="12" name="Rounded Rectangle 24"/>
                        <wps:cNvSpPr>
                          <a:spLocks noChangeArrowheads="1"/>
                        </wps:cNvSpPr>
                        <wps:spPr bwMode="auto">
                          <a:xfrm>
                            <a:off x="3291862" y="2044031"/>
                            <a:ext cx="1516328" cy="1110617"/>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6AAA37C3" w14:textId="77777777" w:rsidR="005C0634" w:rsidRPr="00E64DA3" w:rsidRDefault="005C0634" w:rsidP="0041081F">
                              <w:pPr>
                                <w:pStyle w:val="NormalWeb"/>
                                <w:spacing w:after="0"/>
                                <w:jc w:val="center"/>
                                <w:rPr>
                                  <w:rFonts w:ascii="Calibri" w:hAnsi="Calibri" w:cs="Calibri"/>
                                  <w:b/>
                                  <w:bCs/>
                                  <w:color w:val="0099FF"/>
                                  <w:sz w:val="20"/>
                                  <w:szCs w:val="20"/>
                                </w:rPr>
                              </w:pPr>
                              <w:r w:rsidRPr="00E64DA3">
                                <w:rPr>
                                  <w:rFonts w:ascii="Calibri" w:hAnsi="Calibri" w:cs="Calibri"/>
                                  <w:b/>
                                  <w:bCs/>
                                  <w:color w:val="0099FF"/>
                                  <w:sz w:val="20"/>
                                  <w:szCs w:val="20"/>
                                </w:rPr>
                                <w:t xml:space="preserve">Independent systematic review expert </w:t>
                              </w:r>
                            </w:p>
                            <w:p w14:paraId="1F2A24D6" w14:textId="77777777" w:rsidR="005C0634" w:rsidRPr="00E64DA3" w:rsidRDefault="005C0634" w:rsidP="0041081F">
                              <w:pPr>
                                <w:spacing w:after="0"/>
                                <w:ind w:left="142"/>
                                <w:rPr>
                                  <w:rFonts w:cs="Calibri"/>
                                  <w:color w:val="0099FF"/>
                                  <w:sz w:val="20"/>
                                  <w:szCs w:val="20"/>
                                </w:rPr>
                              </w:pPr>
                              <w:r w:rsidRPr="00E64DA3">
                                <w:rPr>
                                  <w:rFonts w:cs="Calibri"/>
                                  <w:color w:val="0099FF"/>
                                  <w:sz w:val="20"/>
                                  <w:szCs w:val="20"/>
                                </w:rPr>
                                <w:t>Contracted to NBA</w:t>
                              </w:r>
                            </w:p>
                            <w:p w14:paraId="2ED3D5EC" w14:textId="77777777" w:rsidR="005C0634" w:rsidRPr="00E64DA3" w:rsidRDefault="005C0634" w:rsidP="0041081F">
                              <w:pPr>
                                <w:spacing w:after="0"/>
                                <w:ind w:left="142"/>
                                <w:rPr>
                                  <w:rFonts w:cs="Calibri"/>
                                  <w:color w:val="0099FF"/>
                                  <w:sz w:val="20"/>
                                  <w:szCs w:val="20"/>
                                </w:rPr>
                              </w:pPr>
                              <w:r w:rsidRPr="00E64DA3">
                                <w:rPr>
                                  <w:rFonts w:cs="Calibri"/>
                                  <w:color w:val="0099FF"/>
                                  <w:sz w:val="20"/>
                                  <w:szCs w:val="20"/>
                                </w:rPr>
                                <w:t xml:space="preserve">Advice provided to </w:t>
                              </w:r>
                            </w:p>
                            <w:p w14:paraId="0FC290B6" w14:textId="77777777" w:rsidR="005C0634" w:rsidRPr="00E64DA3" w:rsidRDefault="005C0634" w:rsidP="0041081F">
                              <w:pPr>
                                <w:ind w:left="142"/>
                                <w:jc w:val="center"/>
                                <w:rPr>
                                  <w:rFonts w:cs="Calibri"/>
                                  <w:color w:val="0099FF"/>
                                  <w:sz w:val="20"/>
                                  <w:szCs w:val="20"/>
                                </w:rPr>
                              </w:pPr>
                              <w:r w:rsidRPr="00E64DA3">
                                <w:rPr>
                                  <w:rFonts w:cs="Calibri"/>
                                  <w:color w:val="0099FF"/>
                                  <w:sz w:val="20"/>
                                  <w:szCs w:val="20"/>
                                </w:rPr>
                                <w:t>EWG and CRG</w:t>
                              </w:r>
                            </w:p>
                            <w:p w14:paraId="36363EA8" w14:textId="77777777" w:rsidR="005C0634" w:rsidRDefault="005C0634" w:rsidP="0041081F">
                              <w:pPr>
                                <w:pStyle w:val="NormalWeb"/>
                                <w:spacing w:after="0"/>
                                <w:jc w:val="center"/>
                              </w:pPr>
                            </w:p>
                          </w:txbxContent>
                        </wps:txbx>
                        <wps:bodyPr rot="0" vert="horz" wrap="square" lIns="91440" tIns="45720" rIns="91440" bIns="45720" anchor="t" anchorCtr="0" upright="1">
                          <a:noAutofit/>
                        </wps:bodyPr>
                      </wps:wsp>
                      <wps:wsp>
                        <wps:cNvPr id="13" name="Rounded Rectangle 25"/>
                        <wps:cNvSpPr>
                          <a:spLocks noChangeArrowheads="1"/>
                        </wps:cNvSpPr>
                        <wps:spPr bwMode="auto">
                          <a:xfrm>
                            <a:off x="1706432" y="582409"/>
                            <a:ext cx="1393226" cy="470707"/>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7709292D" w14:textId="77777777" w:rsidR="005C0634" w:rsidRPr="00E64DA3" w:rsidRDefault="005C0634" w:rsidP="0041081F">
                              <w:pPr>
                                <w:pStyle w:val="NormalWeb"/>
                                <w:spacing w:after="0"/>
                                <w:jc w:val="center"/>
                                <w:rPr>
                                  <w:rFonts w:ascii="Calibri" w:hAnsi="Calibri" w:cs="Calibri"/>
                                  <w:color w:val="FF0000"/>
                                </w:rPr>
                              </w:pPr>
                              <w:r w:rsidRPr="00E64DA3">
                                <w:rPr>
                                  <w:rFonts w:ascii="Calibri" w:hAnsi="Calibri" w:cs="Calibri"/>
                                  <w:b/>
                                  <w:bCs/>
                                  <w:color w:val="FF0000"/>
                                  <w:sz w:val="20"/>
                                  <w:szCs w:val="20"/>
                                </w:rPr>
                                <w:t>National Blood Authority</w:t>
                              </w:r>
                            </w:p>
                            <w:p w14:paraId="357DADF7" w14:textId="77777777" w:rsidR="005C0634" w:rsidRPr="00E64DA3" w:rsidRDefault="005C0634" w:rsidP="0041081F">
                              <w:pPr>
                                <w:pStyle w:val="NormalWeb"/>
                                <w:spacing w:after="0"/>
                                <w:rPr>
                                  <w:rFonts w:ascii="Calibri" w:hAnsi="Calibri" w:cs="Calibri"/>
                                </w:rPr>
                              </w:pPr>
                            </w:p>
                          </w:txbxContent>
                        </wps:txbx>
                        <wps:bodyPr rot="0" vert="horz" wrap="square" lIns="91440" tIns="45720" rIns="91440" bIns="45720" anchor="t" anchorCtr="0" upright="1">
                          <a:noAutofit/>
                        </wps:bodyPr>
                      </wps:wsp>
                      <wps:wsp>
                        <wps:cNvPr id="14" name="Rounded Rectangle 26"/>
                        <wps:cNvSpPr>
                          <a:spLocks noChangeArrowheads="1"/>
                        </wps:cNvSpPr>
                        <wps:spPr bwMode="auto">
                          <a:xfrm>
                            <a:off x="1706432" y="1169118"/>
                            <a:ext cx="1406426" cy="496608"/>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3EAD4E20" w14:textId="77777777" w:rsidR="005C0634" w:rsidRPr="00E64DA3" w:rsidRDefault="005C0634" w:rsidP="0041081F">
                              <w:pPr>
                                <w:pStyle w:val="NormalWeb"/>
                                <w:spacing w:after="0"/>
                                <w:jc w:val="center"/>
                                <w:rPr>
                                  <w:rFonts w:ascii="Calibri" w:hAnsi="Calibri" w:cs="Calibri"/>
                                  <w:color w:val="7F7F7F"/>
                                </w:rPr>
                              </w:pPr>
                              <w:r w:rsidRPr="00E64DA3">
                                <w:rPr>
                                  <w:rFonts w:ascii="Calibri" w:hAnsi="Calibri" w:cs="Calibri"/>
                                  <w:b/>
                                  <w:bCs/>
                                  <w:color w:val="7F7F7F"/>
                                  <w:sz w:val="20"/>
                                  <w:szCs w:val="20"/>
                                </w:rPr>
                                <w:t>PBM Steering Committee</w:t>
                              </w:r>
                            </w:p>
                            <w:p w14:paraId="199AF553" w14:textId="77777777" w:rsidR="005C0634" w:rsidRPr="00E64DA3" w:rsidRDefault="005C0634" w:rsidP="0041081F">
                              <w:pPr>
                                <w:pStyle w:val="NormalWeb"/>
                                <w:spacing w:after="0"/>
                                <w:rPr>
                                  <w:rFonts w:ascii="Calibri" w:hAnsi="Calibri" w:cs="Calibri"/>
                                </w:rPr>
                              </w:pPr>
                              <w:r w:rsidRPr="00E64DA3">
                                <w:rPr>
                                  <w:rFonts w:ascii="Calibri" w:hAnsi="Calibri" w:cs="Calibri"/>
                                </w:rPr>
                                <w:t> </w:t>
                              </w:r>
                            </w:p>
                          </w:txbxContent>
                        </wps:txbx>
                        <wps:bodyPr rot="0" vert="horz" wrap="square" lIns="91440" tIns="45720" rIns="91440" bIns="45720" anchor="t" anchorCtr="0" upright="1">
                          <a:noAutofit/>
                        </wps:bodyPr>
                      </wps:wsp>
                      <wps:wsp>
                        <wps:cNvPr id="15" name="Straight Connector 27"/>
                        <wps:cNvCnPr/>
                        <wps:spPr bwMode="auto">
                          <a:xfrm flipV="1">
                            <a:off x="1514128" y="2642440"/>
                            <a:ext cx="178503" cy="300"/>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 name="Straight Connector 28"/>
                        <wps:cNvCnPr/>
                        <wps:spPr bwMode="auto">
                          <a:xfrm>
                            <a:off x="3085658" y="2642740"/>
                            <a:ext cx="206204" cy="200"/>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 name="Rounded Rectangle 29"/>
                        <wps:cNvSpPr>
                          <a:spLocks noChangeArrowheads="1"/>
                        </wps:cNvSpPr>
                        <wps:spPr bwMode="auto">
                          <a:xfrm>
                            <a:off x="1706432" y="1798327"/>
                            <a:ext cx="1393226" cy="500308"/>
                          </a:xfrm>
                          <a:prstGeom prst="roundRect">
                            <a:avLst>
                              <a:gd name="adj" fmla="val 16667"/>
                            </a:avLst>
                          </a:prstGeom>
                          <a:gradFill rotWithShape="1">
                            <a:gsLst>
                              <a:gs pos="0">
                                <a:srgbClr val="FFBE86"/>
                              </a:gs>
                              <a:gs pos="35001">
                                <a:srgbClr val="FFD0AA"/>
                              </a:gs>
                              <a:gs pos="100000">
                                <a:srgbClr val="FFEBDB"/>
                              </a:gs>
                            </a:gsLst>
                            <a:lin ang="16200000" scaled="1"/>
                          </a:gradFill>
                          <a:ln w="12700">
                            <a:solidFill>
                              <a:srgbClr val="F69240"/>
                            </a:solidFill>
                            <a:round/>
                            <a:headEnd/>
                            <a:tailEnd/>
                          </a:ln>
                          <a:effectLst>
                            <a:outerShdw dist="20000" dir="5400000" rotWithShape="0">
                              <a:srgbClr val="000000">
                                <a:alpha val="37999"/>
                              </a:srgbClr>
                            </a:outerShdw>
                          </a:effectLst>
                        </wps:spPr>
                        <wps:txbx>
                          <w:txbxContent>
                            <w:p w14:paraId="7A65ED45"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 xml:space="preserve">Expert </w:t>
                              </w:r>
                            </w:p>
                            <w:p w14:paraId="334C6C4C"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Working Group</w:t>
                              </w:r>
                            </w:p>
                          </w:txbxContent>
                        </wps:txbx>
                        <wps:bodyPr rot="0" vert="horz" wrap="square" lIns="91440" tIns="45720" rIns="91440" bIns="45720" anchor="t" anchorCtr="0" upright="1">
                          <a:noAutofit/>
                        </wps:bodyPr>
                      </wps:wsp>
                      <wps:wsp>
                        <wps:cNvPr id="18" name="Straight Connector 30"/>
                        <wps:cNvCnPr/>
                        <wps:spPr bwMode="auto">
                          <a:xfrm flipV="1">
                            <a:off x="2389245" y="2298635"/>
                            <a:ext cx="100" cy="14230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 name="Straight Connector 31"/>
                        <wps:cNvCnPr/>
                        <wps:spPr bwMode="auto">
                          <a:xfrm flipH="1" flipV="1">
                            <a:off x="2393145" y="1665725"/>
                            <a:ext cx="100" cy="13260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Connector 33"/>
                        <wps:cNvCnPr/>
                        <wps:spPr bwMode="auto">
                          <a:xfrm flipV="1">
                            <a:off x="2393145" y="1053116"/>
                            <a:ext cx="100" cy="11600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Straight Connector 34"/>
                        <wps:cNvCnPr/>
                        <wps:spPr bwMode="auto">
                          <a:xfrm>
                            <a:off x="2398345" y="444607"/>
                            <a:ext cx="400" cy="13780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id="_x0000_s1070" editas="canvas" style="position:absolute;left:0;text-align:left;margin-left:0;margin-top:19.1pt;width:378.7pt;height:258.5pt;z-index:251658240;mso-position-horizontal:center;mso-position-horizontal-relative:margin;mso-position-vertical-relative:text;mso-width-relative:margin;mso-height-relative:margin" coordsize="48094,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">
                <v:shape id="_x0000_s1071" type="#_x0000_t75" style="position:absolute;width:48094;height:32829;visibility:visible;mso-wrap-style:square">
                  <v:fill o:detectmouseclick="t"/>
                  <v:path o:connecttype="none"/>
                </v:shape>
                <v:roundrect id="Rectangle 4" o:spid="_x0000_s1072" style="position:absolute;top:20440;width:15142;height:111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mCMMA&#10;AADaAAAADwAAAGRycy9kb3ducmV2LnhtbESP3WrCQBCF7wu+wzKCd3WjtFWjq2ihEKQI/jzAkB2z&#10;0exszK4mffuuUOjl4fx8nMWqs5V4UONLxwpGwwQEce50yYWC0/HrdQrCB2SNlWNS8EMeVsveywJT&#10;7Vre0+MQChFH2KeowIRQp1L63JBFP3Q1cfTOrrEYomwKqRts47it5DhJPqTFkiPBYE2fhvLr4W4j&#10;xF7eZ9P2+pZ9rzfb3WSyycY3o9Sg363nIAJ14T/81860ghk8r8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9mCMMAAADaAAAADwAAAAAAAAAAAAAAAACYAgAAZHJzL2Rv&#10;d25yZXYueG1sUEsFBgAAAAAEAAQA9QAAAIgDAAAAAA==&#10;" fillcolor="#ffbe86" strokecolor="#f69240" strokeweight="1pt">
                  <v:fill color2="#ffebdb" rotate="t" angle="180" colors="0 #ffbe86;22938f #ffd0aa;1 #ffebdb" focus="100%" type="gradient"/>
                  <v:shadow on="t" color="black" opacity="24903f" origin=",.5" offset="0,.55556mm"/>
                  <v:textbox>
                    <w:txbxContent>
                      <w:p w14:paraId="0A752FE8" w14:textId="77777777" w:rsidR="005C0634" w:rsidRPr="00E64DA3" w:rsidRDefault="005C0634" w:rsidP="0041081F">
                        <w:pPr>
                          <w:pStyle w:val="NormalWeb"/>
                          <w:spacing w:after="0"/>
                          <w:jc w:val="center"/>
                          <w:rPr>
                            <w:rFonts w:ascii="Calibri" w:hAnsi="Calibri" w:cs="Calibri"/>
                            <w:b/>
                            <w:bCs/>
                            <w:color w:val="0099FF"/>
                            <w:sz w:val="20"/>
                            <w:szCs w:val="20"/>
                          </w:rPr>
                        </w:pPr>
                        <w:r w:rsidRPr="00E64DA3">
                          <w:rPr>
                            <w:rFonts w:ascii="Calibri" w:hAnsi="Calibri" w:cs="Calibri"/>
                            <w:b/>
                            <w:bCs/>
                            <w:color w:val="0099FF"/>
                            <w:sz w:val="20"/>
                            <w:szCs w:val="20"/>
                          </w:rPr>
                          <w:t>Systematic reviewers and</w:t>
                        </w:r>
                        <w:r w:rsidRPr="00E64DA3">
                          <w:rPr>
                            <w:rFonts w:ascii="Calibri" w:hAnsi="Calibri" w:cs="Calibri"/>
                            <w:b/>
                            <w:bCs/>
                            <w:color w:val="0099FF"/>
                            <w:sz w:val="20"/>
                            <w:szCs w:val="20"/>
                          </w:rPr>
                          <w:br/>
                          <w:t>technical writer</w:t>
                        </w:r>
                      </w:p>
                      <w:p w14:paraId="4CBB8476" w14:textId="77777777" w:rsidR="005C0634" w:rsidRPr="00E64DA3" w:rsidRDefault="005C0634" w:rsidP="0041081F">
                        <w:pPr>
                          <w:spacing w:after="0"/>
                          <w:ind w:left="142"/>
                          <w:jc w:val="center"/>
                          <w:rPr>
                            <w:rFonts w:cs="Calibri"/>
                            <w:color w:val="0099FF"/>
                            <w:sz w:val="20"/>
                            <w:szCs w:val="20"/>
                          </w:rPr>
                        </w:pPr>
                        <w:r w:rsidRPr="00E64DA3">
                          <w:rPr>
                            <w:rFonts w:cs="Calibri"/>
                            <w:color w:val="0099FF"/>
                            <w:sz w:val="20"/>
                            <w:szCs w:val="20"/>
                          </w:rPr>
                          <w:t>Contracted to NBA</w:t>
                        </w:r>
                      </w:p>
                      <w:p w14:paraId="50D59103" w14:textId="77777777" w:rsidR="005C0634" w:rsidRPr="00E64DA3" w:rsidRDefault="005C0634" w:rsidP="0041081F">
                        <w:pPr>
                          <w:ind w:left="142"/>
                          <w:jc w:val="center"/>
                          <w:rPr>
                            <w:rFonts w:cs="Calibri"/>
                            <w:color w:val="0099FF"/>
                            <w:sz w:val="20"/>
                            <w:szCs w:val="20"/>
                          </w:rPr>
                        </w:pPr>
                        <w:r w:rsidRPr="00E64DA3">
                          <w:rPr>
                            <w:rFonts w:cs="Calibri"/>
                            <w:color w:val="0099FF"/>
                            <w:sz w:val="20"/>
                            <w:szCs w:val="20"/>
                          </w:rPr>
                          <w:t>Clinical direction from EWG and CRG</w:t>
                        </w:r>
                      </w:p>
                    </w:txbxContent>
                  </v:textbox>
                </v:roundrect>
                <v:roundrect id="Rectangle 7" o:spid="_x0000_s1073" style="position:absolute;left:17064;width:14064;height:4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VUsQA&#10;AADbAAAADwAAAGRycy9kb3ducmV2LnhtbESPzWrCQBDH74W+wzIFb3VTsVWjq2hBCKUItT7AkB2z&#10;qdnZNLua9O07h0JvM8z/4zerzeAbdaMu1oENPI0zUMRlsDVXBk6f+8c5qJiQLTaBycAPRdis7+9W&#10;mNvQ8wfdjqlSEsIxRwMupTbXOpaOPMZxaInldg6dxyRrV2nbYS/hvtGTLHvRHmuWBoctvToqL8er&#10;lxL/9byY95dp8b7dvR1ms10x+XbGjB6G7RJUoiH9i//chR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VVL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3B1A305C" w14:textId="77777777" w:rsidR="005C0634" w:rsidRPr="00E64DA3" w:rsidRDefault="005C0634" w:rsidP="0041081F">
                        <w:pPr>
                          <w:pStyle w:val="NormalWeb"/>
                          <w:spacing w:after="0"/>
                          <w:jc w:val="center"/>
                          <w:rPr>
                            <w:rFonts w:ascii="Calibri" w:hAnsi="Calibri" w:cs="Calibri"/>
                            <w:b/>
                            <w:bCs/>
                            <w:color w:val="00B050"/>
                            <w:sz w:val="20"/>
                            <w:szCs w:val="20"/>
                          </w:rPr>
                        </w:pPr>
                        <w:r w:rsidRPr="00E64DA3">
                          <w:rPr>
                            <w:rFonts w:ascii="Calibri" w:hAnsi="Calibri" w:cs="Calibri"/>
                            <w:b/>
                            <w:bCs/>
                            <w:color w:val="00B050"/>
                            <w:sz w:val="20"/>
                            <w:szCs w:val="20"/>
                          </w:rPr>
                          <w:t xml:space="preserve">Jurisdictional Blood </w:t>
                        </w:r>
                      </w:p>
                      <w:p w14:paraId="76BDFA15" w14:textId="77777777" w:rsidR="005C0634" w:rsidRPr="00E64DA3" w:rsidRDefault="005C0634" w:rsidP="0041081F">
                        <w:pPr>
                          <w:pStyle w:val="NormalWeb"/>
                          <w:spacing w:after="0"/>
                          <w:jc w:val="center"/>
                          <w:rPr>
                            <w:rFonts w:ascii="Calibri" w:hAnsi="Calibri" w:cs="Calibri"/>
                            <w:b/>
                            <w:bCs/>
                            <w:color w:val="00B050"/>
                            <w:sz w:val="20"/>
                            <w:szCs w:val="20"/>
                          </w:rPr>
                        </w:pPr>
                        <w:r w:rsidRPr="00E64DA3">
                          <w:rPr>
                            <w:rFonts w:ascii="Calibri" w:hAnsi="Calibri" w:cs="Calibri"/>
                            <w:b/>
                            <w:bCs/>
                            <w:color w:val="00B050"/>
                            <w:sz w:val="20"/>
                            <w:szCs w:val="20"/>
                          </w:rPr>
                          <w:t>Committee</w:t>
                        </w:r>
                      </w:p>
                    </w:txbxContent>
                  </v:textbox>
                </v:roundrect>
                <v:roundrect id="Rectangle 10" o:spid="_x0000_s1074" style="position:absolute;left:16926;top:24407;width:13932;height:52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wycUA&#10;AADbAAAADwAAAGRycy9kb3ducmV2LnhtbESP0WrCQBBF3wv9h2UKfdNNpFYbs4oWhCBFUPsBQ3bM&#10;pmZn0+zWpH/fFYS+zXDv3HMnXw22EVfqfO1YQTpOQBCXTtdcKfg8bUdzED4ga2wck4Jf8rBaPj7k&#10;mGnX84Gux1CJGMI+QwUmhDaT0peGLPqxa4mjdnadxRDXrpK6wz6G20ZOkuRVWqw5Egy29G6ovBx/&#10;bITYr+nbvL+8FB/rzW4/m22KybdR6vlpWC9ABBrCv/l+XehYP4XbL3E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PDJxQAAANsAAAAPAAAAAAAAAAAAAAAAAJgCAABkcnMv&#10;ZG93bnJldi54bWxQSwUGAAAAAAQABAD1AAAAigMAAAAA&#10;" fillcolor="#ffbe86" strokecolor="#f69240" strokeweight="1pt">
                  <v:fill color2="#ffebdb" rotate="t" angle="180" colors="0 #ffbe86;22938f #ffd0aa;1 #ffebdb" focus="100%" type="gradient"/>
                  <v:shadow on="t" color="black" opacity="24903f" origin=",.5" offset="0,.55556mm"/>
                  <v:textbox>
                    <w:txbxContent>
                      <w:p w14:paraId="56DC285E" w14:textId="4477B9E2"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 xml:space="preserve">Clinical/Consumer </w:t>
                        </w:r>
                      </w:p>
                      <w:p w14:paraId="57056F98"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Reference Groups</w:t>
                        </w:r>
                      </w:p>
                    </w:txbxContent>
                  </v:textbox>
                </v:roundrect>
                <v:roundrect id="Rounded Rectangle 24" o:spid="_x0000_s1075" style="position:absolute;left:32918;top:20440;width:15163;height:111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uvsUA&#10;AADbAAAADwAAAGRycy9kb3ducmV2LnhtbESP3WrCQBCF74W+wzKCd3VjqH+pq2hBCCKF2j7AkB2z&#10;qdnZNLua9O27QsG7Gc6Z851ZbXpbixu1vnKsYDJOQBAXTldcKvj63D8vQPiArLF2TAp+ycNm/TRY&#10;YaZdxx90O4VSxBD2GSowITSZlL4wZNGPXUMctbNrLYa4tqXULXYx3NYyTZKZtFhxJBhs6M1QcTld&#10;bYTY7+ly0V1e8uN2d3ifz3d5+mOUGg377SuIQH14mP+vcx3rp3D/JQ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m6+xQAAANsAAAAPAAAAAAAAAAAAAAAAAJgCAABkcnMv&#10;ZG93bnJldi54bWxQSwUGAAAAAAQABAD1AAAAigMAAAAA&#10;" fillcolor="#ffbe86" strokecolor="#f69240" strokeweight="1pt">
                  <v:fill color2="#ffebdb" rotate="t" angle="180" colors="0 #ffbe86;22938f #ffd0aa;1 #ffebdb" focus="100%" type="gradient"/>
                  <v:shadow on="t" color="black" opacity="24903f" origin=",.5" offset="0,.55556mm"/>
                  <v:textbox>
                    <w:txbxContent>
                      <w:p w14:paraId="6AAA37C3" w14:textId="77777777" w:rsidR="005C0634" w:rsidRPr="00E64DA3" w:rsidRDefault="005C0634" w:rsidP="0041081F">
                        <w:pPr>
                          <w:pStyle w:val="NormalWeb"/>
                          <w:spacing w:after="0"/>
                          <w:jc w:val="center"/>
                          <w:rPr>
                            <w:rFonts w:ascii="Calibri" w:hAnsi="Calibri" w:cs="Calibri"/>
                            <w:b/>
                            <w:bCs/>
                            <w:color w:val="0099FF"/>
                            <w:sz w:val="20"/>
                            <w:szCs w:val="20"/>
                          </w:rPr>
                        </w:pPr>
                        <w:r w:rsidRPr="00E64DA3">
                          <w:rPr>
                            <w:rFonts w:ascii="Calibri" w:hAnsi="Calibri" w:cs="Calibri"/>
                            <w:b/>
                            <w:bCs/>
                            <w:color w:val="0099FF"/>
                            <w:sz w:val="20"/>
                            <w:szCs w:val="20"/>
                          </w:rPr>
                          <w:t xml:space="preserve">Independent systematic review expert </w:t>
                        </w:r>
                      </w:p>
                      <w:p w14:paraId="1F2A24D6" w14:textId="77777777" w:rsidR="005C0634" w:rsidRPr="00E64DA3" w:rsidRDefault="005C0634" w:rsidP="0041081F">
                        <w:pPr>
                          <w:spacing w:after="0"/>
                          <w:ind w:left="142"/>
                          <w:rPr>
                            <w:rFonts w:cs="Calibri"/>
                            <w:color w:val="0099FF"/>
                            <w:sz w:val="20"/>
                            <w:szCs w:val="20"/>
                          </w:rPr>
                        </w:pPr>
                        <w:r w:rsidRPr="00E64DA3">
                          <w:rPr>
                            <w:rFonts w:cs="Calibri"/>
                            <w:color w:val="0099FF"/>
                            <w:sz w:val="20"/>
                            <w:szCs w:val="20"/>
                          </w:rPr>
                          <w:t>Contracted to NBA</w:t>
                        </w:r>
                      </w:p>
                      <w:p w14:paraId="2ED3D5EC" w14:textId="77777777" w:rsidR="005C0634" w:rsidRPr="00E64DA3" w:rsidRDefault="005C0634" w:rsidP="0041081F">
                        <w:pPr>
                          <w:spacing w:after="0"/>
                          <w:ind w:left="142"/>
                          <w:rPr>
                            <w:rFonts w:cs="Calibri"/>
                            <w:color w:val="0099FF"/>
                            <w:sz w:val="20"/>
                            <w:szCs w:val="20"/>
                          </w:rPr>
                        </w:pPr>
                        <w:r w:rsidRPr="00E64DA3">
                          <w:rPr>
                            <w:rFonts w:cs="Calibri"/>
                            <w:color w:val="0099FF"/>
                            <w:sz w:val="20"/>
                            <w:szCs w:val="20"/>
                          </w:rPr>
                          <w:t xml:space="preserve">Advice provided to </w:t>
                        </w:r>
                      </w:p>
                      <w:p w14:paraId="0FC290B6" w14:textId="77777777" w:rsidR="005C0634" w:rsidRPr="00E64DA3" w:rsidRDefault="005C0634" w:rsidP="0041081F">
                        <w:pPr>
                          <w:ind w:left="142"/>
                          <w:jc w:val="center"/>
                          <w:rPr>
                            <w:rFonts w:cs="Calibri"/>
                            <w:color w:val="0099FF"/>
                            <w:sz w:val="20"/>
                            <w:szCs w:val="20"/>
                          </w:rPr>
                        </w:pPr>
                        <w:r w:rsidRPr="00E64DA3">
                          <w:rPr>
                            <w:rFonts w:cs="Calibri"/>
                            <w:color w:val="0099FF"/>
                            <w:sz w:val="20"/>
                            <w:szCs w:val="20"/>
                          </w:rPr>
                          <w:t>EWG and CRG</w:t>
                        </w:r>
                      </w:p>
                      <w:p w14:paraId="36363EA8" w14:textId="77777777" w:rsidR="005C0634" w:rsidRDefault="005C0634" w:rsidP="0041081F">
                        <w:pPr>
                          <w:pStyle w:val="NormalWeb"/>
                          <w:spacing w:after="0"/>
                          <w:jc w:val="center"/>
                        </w:pPr>
                      </w:p>
                    </w:txbxContent>
                  </v:textbox>
                </v:roundrect>
                <v:roundrect id="Rounded Rectangle 25" o:spid="_x0000_s1076" style="position:absolute;left:17064;top:5824;width:13932;height:47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LJcUA&#10;AADbAAAADwAAAGRycy9kb3ducmV2LnhtbESP0WrCQBBF3wv+wzKCb3VTW42mrqKCEIoItX7AkJ1m&#10;U7OzaXY16d93hULfZrh37rmzXPe2FjdqfeVYwdM4AUFcOF1xqeD8sX+cg/ABWWPtmBT8kIf1avCw&#10;xEy7jt/pdgqliCHsM1RgQmgyKX1hyKIfu4Y4ap+utRji2pZSt9jFcFvLSZLMpMWKI8FgQztDxeV0&#10;tRFiv6aLeXd5yQ+b7dsxTbf55NsoNRr2m1cQgfrwb/67znWs/wz3X+I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sslxQAAANsAAAAPAAAAAAAAAAAAAAAAAJgCAABkcnMv&#10;ZG93bnJldi54bWxQSwUGAAAAAAQABAD1AAAAigMAAAAA&#10;" fillcolor="#ffbe86" strokecolor="#f69240" strokeweight="1pt">
                  <v:fill color2="#ffebdb" rotate="t" angle="180" colors="0 #ffbe86;22938f #ffd0aa;1 #ffebdb" focus="100%" type="gradient"/>
                  <v:shadow on="t" color="black" opacity="24903f" origin=",.5" offset="0,.55556mm"/>
                  <v:textbox>
                    <w:txbxContent>
                      <w:p w14:paraId="7709292D" w14:textId="77777777" w:rsidR="005C0634" w:rsidRPr="00E64DA3" w:rsidRDefault="005C0634" w:rsidP="0041081F">
                        <w:pPr>
                          <w:pStyle w:val="NormalWeb"/>
                          <w:spacing w:after="0"/>
                          <w:jc w:val="center"/>
                          <w:rPr>
                            <w:rFonts w:ascii="Calibri" w:hAnsi="Calibri" w:cs="Calibri"/>
                            <w:color w:val="FF0000"/>
                          </w:rPr>
                        </w:pPr>
                        <w:r w:rsidRPr="00E64DA3">
                          <w:rPr>
                            <w:rFonts w:ascii="Calibri" w:hAnsi="Calibri" w:cs="Calibri"/>
                            <w:b/>
                            <w:bCs/>
                            <w:color w:val="FF0000"/>
                            <w:sz w:val="20"/>
                            <w:szCs w:val="20"/>
                          </w:rPr>
                          <w:t>National Blood Authority</w:t>
                        </w:r>
                      </w:p>
                      <w:p w14:paraId="357DADF7" w14:textId="77777777" w:rsidR="005C0634" w:rsidRPr="00E64DA3" w:rsidRDefault="005C0634" w:rsidP="0041081F">
                        <w:pPr>
                          <w:pStyle w:val="NormalWeb"/>
                          <w:spacing w:after="0"/>
                          <w:rPr>
                            <w:rFonts w:ascii="Calibri" w:hAnsi="Calibri" w:cs="Calibri"/>
                          </w:rPr>
                        </w:pPr>
                      </w:p>
                    </w:txbxContent>
                  </v:textbox>
                </v:roundrect>
                <v:roundrect id="Rounded Rectangle 26" o:spid="_x0000_s1077" style="position:absolute;left:17064;top:11691;width:14064;height:4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TUcQA&#10;AADbAAAADwAAAGRycy9kb3ducmV2LnhtbESP0WrCQBBF3wv9h2UKvtWNotVGV1FBCFIEtR8wZMds&#10;NDsbs6tJ/74rFPo2w71zz535srOVeFDjS8cKBv0EBHHudMmFgu/T9n0KwgdkjZVjUvBDHpaL15c5&#10;ptq1fKDHMRQihrBPUYEJoU6l9Lkhi77vauKonV1jMcS1KaRusI3htpLDJPmQFkuOBIM1bQzl1+Pd&#10;Roi9jD+n7XWUfa3Wu/1kss6GN6NU761bzUAE6sK/+e8607H+CJ6/xA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U1HEAAAA2wAAAA8AAAAAAAAAAAAAAAAAmAIAAGRycy9k&#10;b3ducmV2LnhtbFBLBQYAAAAABAAEAPUAAACJAwAAAAA=&#10;" fillcolor="#ffbe86" strokecolor="#f69240" strokeweight="1pt">
                  <v:fill color2="#ffebdb" rotate="t" angle="180" colors="0 #ffbe86;22938f #ffd0aa;1 #ffebdb" focus="100%" type="gradient"/>
                  <v:shadow on="t" color="black" opacity="24903f" origin=",.5" offset="0,.55556mm"/>
                  <v:textbox>
                    <w:txbxContent>
                      <w:p w14:paraId="3EAD4E20" w14:textId="77777777" w:rsidR="005C0634" w:rsidRPr="00E64DA3" w:rsidRDefault="005C0634" w:rsidP="0041081F">
                        <w:pPr>
                          <w:pStyle w:val="NormalWeb"/>
                          <w:spacing w:after="0"/>
                          <w:jc w:val="center"/>
                          <w:rPr>
                            <w:rFonts w:ascii="Calibri" w:hAnsi="Calibri" w:cs="Calibri"/>
                            <w:color w:val="7F7F7F"/>
                          </w:rPr>
                        </w:pPr>
                        <w:r w:rsidRPr="00E64DA3">
                          <w:rPr>
                            <w:rFonts w:ascii="Calibri" w:hAnsi="Calibri" w:cs="Calibri"/>
                            <w:b/>
                            <w:bCs/>
                            <w:color w:val="7F7F7F"/>
                            <w:sz w:val="20"/>
                            <w:szCs w:val="20"/>
                          </w:rPr>
                          <w:t>PBM Steering Committee</w:t>
                        </w:r>
                      </w:p>
                      <w:p w14:paraId="199AF553" w14:textId="77777777" w:rsidR="005C0634" w:rsidRPr="00E64DA3" w:rsidRDefault="005C0634" w:rsidP="0041081F">
                        <w:pPr>
                          <w:pStyle w:val="NormalWeb"/>
                          <w:spacing w:after="0"/>
                          <w:rPr>
                            <w:rFonts w:ascii="Calibri" w:hAnsi="Calibri" w:cs="Calibri"/>
                          </w:rPr>
                        </w:pPr>
                        <w:r w:rsidRPr="00E64DA3">
                          <w:rPr>
                            <w:rFonts w:ascii="Calibri" w:hAnsi="Calibri" w:cs="Calibri"/>
                          </w:rPr>
                          <w:t> </w:t>
                        </w:r>
                      </w:p>
                    </w:txbxContent>
                  </v:textbox>
                </v:roundrect>
                <v:line id="Straight Connector 27" o:spid="_x0000_s1078" style="position:absolute;flip:y;visibility:visible;mso-wrap-style:square" from="15141,26424" to="16926,2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EsQAAADbAAAADwAAAGRycy9kb3ducmV2LnhtbESPW2vCQBCF3wX/wzJC3+rGFi9EVxFt&#10;VYSCV3wdsmMSzM6G7DbGf+8WCr7NcM6c78xk1phC1FS53LKCXjcCQZxYnXOq4HT8fh+BcB5ZY2GZ&#10;FDzIwWzabk0w1vbOe6oPPhUhhF2MCjLvy1hKl2Rk0HVtSRy0q60M+rBWqdQV3kO4KeRHFA2kwZwD&#10;IcOSFhklt8OvCdylHK7Ten2+7FbN9ouW+nNrf5R66zTzMQhPjX+Z/683OtTvw98vYQA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6ESxAAAANsAAAAPAAAAAAAAAAAA&#10;AAAAAKECAABkcnMvZG93bnJldi54bWxQSwUGAAAAAAQABAD5AAAAkgMAAAAA&#10;" strokecolor="#f79646" strokeweight="2pt">
                  <v:shadow on="t" color="black" opacity="24903f" origin=",.5" offset="0,.55556mm"/>
                </v:line>
                <v:line id="Straight Connector 28" o:spid="_x0000_s1079" style="position:absolute;visibility:visible;mso-wrap-style:square" from="30856,26427" to="32918,2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9CIMMAAADbAAAADwAAAGRycy9kb3ducmV2LnhtbERP22rCQBB9L/gPywh9KbqpLV6iqxSL&#10;IIiKN3wdsmMSzM6G7DZJ/74rFHybw7nObNGaQtRUudyygvd+BII4sTrnVMH5tOqNQTiPrLGwTAp+&#10;ycFi3nmZYaxtwweqjz4VIYRdjAoy78tYSpdkZND1bUkcuJutDPoAq1TqCpsQbgo5iKKhNJhzaMiw&#10;pGVGyf34YxS0b5vv3fqzOYz2k7L+uF1Xl3p7Ueq1235NQXhq/VP8717rMH8Ij1/C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QiDDAAAA2wAAAA8AAAAAAAAAAAAA&#10;AAAAoQIAAGRycy9kb3ducmV2LnhtbFBLBQYAAAAABAAEAPkAAACRAwAAAAA=&#10;" strokecolor="#f79646" strokeweight="2pt">
                  <v:shadow on="t" color="black" opacity="24903f" origin=",.5" offset="0,.55556mm"/>
                </v:line>
                <v:roundrect id="Rounded Rectangle 29" o:spid="_x0000_s1080" style="position:absolute;left:17064;top:17983;width:13932;height:50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NJsUA&#10;AADbAAAADwAAAGRycy9kb3ducmV2LnhtbESP3WrCQBCF7wu+wzJC7+pGaRuNrqKFQpAi+PMAQ3bM&#10;RrOzMbs16dt3hULvZjhnzndmseptLe7U+sqxgvEoAUFcOF1xqeB0/HyZgvABWWPtmBT8kIfVcvC0&#10;wEy7jvd0P4RSxBD2GSowITSZlL4wZNGPXEMctbNrLYa4tqXULXYx3NZykiTv0mLFkWCwoQ9DxfXw&#10;bSPEXt5m0+76mn+tN9tdmm7yyc0o9Tzs13MQgfrwb/67znWsn8Ljlzi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c0mxQAAANsAAAAPAAAAAAAAAAAAAAAAAJgCAABkcnMv&#10;ZG93bnJldi54bWxQSwUGAAAAAAQABAD1AAAAigMAAAAA&#10;" fillcolor="#ffbe86" strokecolor="#f69240" strokeweight="1pt">
                  <v:fill color2="#ffebdb" rotate="t" angle="180" colors="0 #ffbe86;22938f #ffd0aa;1 #ffebdb" focus="100%" type="gradient"/>
                  <v:shadow on="t" color="black" opacity="24903f" origin=",.5" offset="0,.55556mm"/>
                  <v:textbox>
                    <w:txbxContent>
                      <w:p w14:paraId="7A65ED45"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 xml:space="preserve">Expert </w:t>
                        </w:r>
                      </w:p>
                      <w:p w14:paraId="334C6C4C" w14:textId="77777777" w:rsidR="005C0634" w:rsidRPr="00E64DA3" w:rsidRDefault="005C0634" w:rsidP="0041081F">
                        <w:pPr>
                          <w:pStyle w:val="NormalWeb"/>
                          <w:spacing w:after="0"/>
                          <w:jc w:val="center"/>
                          <w:rPr>
                            <w:rFonts w:ascii="Calibri" w:hAnsi="Calibri" w:cs="Calibri"/>
                            <w:b/>
                            <w:bCs/>
                            <w:color w:val="7F7F7F"/>
                            <w:sz w:val="20"/>
                            <w:szCs w:val="20"/>
                          </w:rPr>
                        </w:pPr>
                        <w:r w:rsidRPr="00E64DA3">
                          <w:rPr>
                            <w:rFonts w:ascii="Calibri" w:hAnsi="Calibri" w:cs="Calibri"/>
                            <w:b/>
                            <w:bCs/>
                            <w:color w:val="7F7F7F"/>
                            <w:sz w:val="20"/>
                            <w:szCs w:val="20"/>
                          </w:rPr>
                          <w:t>Working Group</w:t>
                        </w:r>
                      </w:p>
                    </w:txbxContent>
                  </v:textbox>
                </v:roundrect>
                <v:line id="Straight Connector 30" o:spid="_x0000_s1081" style="position:absolute;flip:y;visibility:visible;mso-wrap-style:square" from="23892,22986" to="23893,2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OjMMAAADbAAAADwAAAGRycy9kb3ducmV2LnhtbESPTWvCQBCG70L/wzKF3nSjQluiq0jV&#10;KkKhjUqvQ3aahGZnQ3Yb47/vHARvM8z78cx82btaddSGyrOB8SgBRZx7W3Fh4HTcDl9BhYhssfZM&#10;Bq4UYLl4GMwxtf7CX9RlsVASwiFFA2WMTap1yEtyGEa+IZbbj28dRlnbQtsWLxLuaj1JkmftsGJp&#10;KLGht5Ly3+zPSe9av+yKbnf+/nzvDxta2+nBfxjz9NivZqAi9fEuvrn3VvAFVn6RA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eDozDAAAA2wAAAA8AAAAAAAAAAAAA&#10;AAAAoQIAAGRycy9kb3ducmV2LnhtbFBLBQYAAAAABAAEAPkAAACRAwAAAAA=&#10;" strokecolor="#f79646" strokeweight="2pt">
                  <v:shadow on="t" color="black" opacity="24903f" origin=",.5" offset="0,.55556mm"/>
                </v:line>
                <v:line id="Straight Connector 31" o:spid="_x0000_s1082" style="position:absolute;flip:x y;visibility:visible;mso-wrap-style:square" from="23931,16657" to="23932,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8GsQAAADbAAAADwAAAGRycy9kb3ducmV2LnhtbESPQWvCQBSE7wX/w/IEb3UTQStpVimF&#10;godQqvbQ4yP7zAazb8PuGqO/vlsQehxm5hum3I62EwP50DpWkM8zEMS10y03Cr6PH89rECEia+wc&#10;k4IbBdhuJk8lFtpdeU/DITYiQTgUqMDE2BdShtqQxTB3PXHyTs5bjEn6RmqP1wS3nVxk2UpabDkt&#10;GOzp3VB9PlysgvPL8nLzy2pV+a91zuZzV53uP0rNpuPbK4hIY/wPP9o7rWCRw9+X9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waxAAAANsAAAAPAAAAAAAAAAAA&#10;AAAAAKECAABkcnMvZG93bnJldi54bWxQSwUGAAAAAAQABAD5AAAAkgMAAAAA&#10;" strokecolor="#f79646" strokeweight="2pt">
                  <v:shadow on="t" color="black" opacity="24903f" origin=",.5" offset="0,.55556mm"/>
                </v:line>
                <v:line id="Straight Connector 33" o:spid="_x0000_s1083" style="position:absolute;flip:y;visibility:visible;mso-wrap-style:square" from="23931,10531" to="23932,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z28MAAADbAAAADwAAAGRycy9kb3ducmV2LnhtbESPW2vCQBCF34X+h2UKvtVNI1iJrlLq&#10;FUHQtOLrkB2T0OxsyK4x/nu3UPDxcC4fZzrvTCVaalxpWcH7IAJBnFldcq7g53v1NgbhPLLGyjIp&#10;uJOD+eylN8VE2xsfqU19LsIIuwQVFN7XiZQuK8igG9iaOHgX2xj0QTa51A3ewripZBxFI2mw5EAo&#10;sKavgrLf9GoCdyE/Nnm7OZ0P6263pIUe7uxeqf5r9zkB4anzz/B/e6sVxDH8fQ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89vDAAAA2wAAAA8AAAAAAAAAAAAA&#10;AAAAoQIAAGRycy9kb3ducmV2LnhtbFBLBQYAAAAABAAEAPkAAACRAwAAAAA=&#10;" strokecolor="#f79646" strokeweight="2pt">
                  <v:shadow on="t" color="black" opacity="24903f" origin=",.5" offset="0,.55556mm"/>
                </v:line>
                <v:line id="Straight Connector 34" o:spid="_x0000_s1084" style="position:absolute;visibility:visible;mso-wrap-style:square" from="23983,4446" to="23987,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rBccAAADbAAAADwAAAGRycy9kb3ducmV2LnhtbESP3WrCQBSE74W+w3IK3ojZVEvV1FVK&#10;RRBKW/wJvT1kj0lo9mzIrkl8+25B8HKYmW+Y5bo3lWipcaVlBU9RDII4s7rkXMHpuB3PQTiPrLGy&#10;TAqu5GC9ehgsMdG24z21B5+LAGGXoILC+zqR0mUFGXSRrYmDd7aNQR9kk0vdYBfgppKTOH6RBksO&#10;CwXW9F5Q9nu4GAX96GPztXvu9rPvRd1Ozz/btP1MlRo+9m+vIDz1/h6+tXdawWQK/1/CD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CsFxwAAANsAAAAPAAAAAAAA&#10;AAAAAAAAAKECAABkcnMvZG93bnJldi54bWxQSwUGAAAAAAQABAD5AAAAlQMAAAAA&#10;" strokecolor="#f79646" strokeweight="2pt">
                  <v:shadow on="t" color="black" opacity="24903f" origin=",.5" offset="0,.55556mm"/>
                </v:line>
                <w10:wrap type="topAndBottom" anchorx="margin"/>
              </v:group>
            </w:pict>
          </mc:Fallback>
        </mc:AlternateContent>
      </w:r>
      <w:r w:rsidR="0041081F" w:rsidRPr="00AD1A9E">
        <w:t xml:space="preserve">Figure </w:t>
      </w:r>
      <w:r w:rsidR="0041081F">
        <w:t>A</w:t>
      </w:r>
      <w:r w:rsidR="0041081F" w:rsidRPr="00AD1A9E">
        <w:t>1</w:t>
      </w:r>
      <w:r w:rsidR="0041081F">
        <w:tab/>
        <w:t>Management framework for development of the guidelines</w:t>
      </w:r>
      <w:bookmarkEnd w:id="260"/>
      <w:bookmarkEnd w:id="261"/>
    </w:p>
    <w:p w14:paraId="6C63A234" w14:textId="013A9C2C" w:rsidR="0041081F" w:rsidRDefault="0041081F" w:rsidP="0041081F">
      <w:pPr>
        <w:pStyle w:val="Normal-noindent"/>
      </w:pPr>
      <w:bookmarkStart w:id="262" w:name="MyEditingPlace"/>
      <w:bookmarkEnd w:id="262"/>
    </w:p>
    <w:p w14:paraId="45529582" w14:textId="77777777" w:rsidR="00D85135" w:rsidRDefault="00D85135" w:rsidP="00D85135">
      <w:pPr>
        <w:pStyle w:val="TableFigNotes18"/>
      </w:pPr>
      <w:r>
        <w:t>CRG, Clinical/Consumer Reference Group; EWG, Expert Working Group; NBA, National Blood Authority; PBM, Patient Blood Management</w:t>
      </w:r>
    </w:p>
    <w:p w14:paraId="0C3E765E" w14:textId="77777777" w:rsidR="0041081F" w:rsidRDefault="0041081F" w:rsidP="0041081F">
      <w:pPr>
        <w:pStyle w:val="Heading2a"/>
      </w:pPr>
      <w:r>
        <w:t>A2</w:t>
      </w:r>
      <w:r>
        <w:tab/>
        <w:t>Terms of reference</w:t>
      </w:r>
    </w:p>
    <w:p w14:paraId="534FBB54" w14:textId="77777777" w:rsidR="0041081F" w:rsidRDefault="0041081F" w:rsidP="0041081F">
      <w:pPr>
        <w:pStyle w:val="Heading3a"/>
      </w:pPr>
      <w:r>
        <w:t>Steering Committee</w:t>
      </w:r>
    </w:p>
    <w:p w14:paraId="34D274C9" w14:textId="77777777" w:rsidR="0041081F" w:rsidRPr="004C35E4" w:rsidRDefault="0041081F" w:rsidP="00FF2787">
      <w:pPr>
        <w:pStyle w:val="Normalbeforebullet"/>
      </w:pPr>
      <w:r w:rsidRPr="00446BD4">
        <w:t xml:space="preserve">The overarching Steering Committee was </w:t>
      </w:r>
      <w:r>
        <w:t xml:space="preserve">originally </w:t>
      </w:r>
      <w:r w:rsidRPr="00446BD4">
        <w:t xml:space="preserve">established </w:t>
      </w:r>
      <w:r>
        <w:t xml:space="preserve">in 2009 </w:t>
      </w:r>
      <w:r w:rsidRPr="00446BD4">
        <w:t xml:space="preserve">to provide coordination and direction for development of the guidelines. </w:t>
      </w:r>
      <w:r w:rsidRPr="004C35E4">
        <w:t>In 2012</w:t>
      </w:r>
      <w:r w:rsidR="00D85135">
        <w:t>–</w:t>
      </w:r>
      <w:r w:rsidRPr="004C35E4">
        <w:t xml:space="preserve">13, </w:t>
      </w:r>
      <w:r>
        <w:t>its</w:t>
      </w:r>
      <w:r w:rsidRPr="004C35E4">
        <w:t xml:space="preserve"> role and membership was reviewed and a PBM Steering Committee was established</w:t>
      </w:r>
      <w:r>
        <w:t xml:space="preserve"> to:</w:t>
      </w:r>
      <w:r w:rsidR="00EC207A">
        <w:t xml:space="preserve"> </w:t>
      </w:r>
    </w:p>
    <w:p w14:paraId="08D712BF" w14:textId="7C017513" w:rsidR="0041081F" w:rsidRDefault="0041081F" w:rsidP="001E2427">
      <w:pPr>
        <w:pStyle w:val="Bullet6"/>
        <w:numPr>
          <w:ilvl w:val="0"/>
          <w:numId w:val="3"/>
        </w:numPr>
        <w:tabs>
          <w:tab w:val="clear" w:pos="360"/>
        </w:tabs>
        <w:ind w:left="1080"/>
      </w:pPr>
      <w:r>
        <w:t>provide</w:t>
      </w:r>
      <w:r w:rsidRPr="00D10063">
        <w:t xml:space="preserve"> information through the NBA to the </w:t>
      </w:r>
      <w:r w:rsidR="001E2427">
        <w:t>Jurisdictional Blood Committee</w:t>
      </w:r>
      <w:r w:rsidR="001E2427" w:rsidRPr="00D10063">
        <w:t xml:space="preserve"> </w:t>
      </w:r>
      <w:r w:rsidR="001E2427">
        <w:rPr>
          <w:lang w:val="en-AU"/>
        </w:rPr>
        <w:t>(</w:t>
      </w:r>
      <w:r w:rsidR="001E2427" w:rsidRPr="00D10063">
        <w:t>JBC</w:t>
      </w:r>
      <w:r w:rsidR="001E2427">
        <w:rPr>
          <w:lang w:val="en-AU"/>
        </w:rPr>
        <w:t>)</w:t>
      </w:r>
    </w:p>
    <w:p w14:paraId="3DF6E70E" w14:textId="6075F5D0" w:rsidR="0041081F" w:rsidRDefault="0041081F" w:rsidP="00D85135">
      <w:pPr>
        <w:pStyle w:val="Bullet6"/>
      </w:pPr>
      <w:r w:rsidRPr="00D10063">
        <w:t xml:space="preserve">review resources that are developed as part of the </w:t>
      </w:r>
      <w:r>
        <w:t xml:space="preserve">PBM </w:t>
      </w:r>
      <w:r w:rsidR="001E2427">
        <w:t xml:space="preserve">guidelines </w:t>
      </w:r>
      <w:r>
        <w:t>implementation strategy</w:t>
      </w:r>
    </w:p>
    <w:p w14:paraId="440ACA5E" w14:textId="77777777" w:rsidR="0041081F" w:rsidRPr="004C35E4" w:rsidRDefault="0041081F" w:rsidP="00D85135">
      <w:pPr>
        <w:pStyle w:val="Bullet6"/>
      </w:pPr>
      <w:r w:rsidRPr="004C35E4">
        <w:t>provide expert advice on:</w:t>
      </w:r>
    </w:p>
    <w:p w14:paraId="6D026085" w14:textId="77777777" w:rsidR="0041081F" w:rsidRPr="00D85135" w:rsidRDefault="0041081F" w:rsidP="00D85135">
      <w:pPr>
        <w:pStyle w:val="Dash6"/>
      </w:pPr>
      <w:r w:rsidRPr="00D85135">
        <w:t xml:space="preserve">the design and delivery of PBM activities </w:t>
      </w:r>
    </w:p>
    <w:p w14:paraId="0F3DCF7F" w14:textId="77777777" w:rsidR="0041081F" w:rsidRPr="00D85135" w:rsidRDefault="0041081F" w:rsidP="00D85135">
      <w:pPr>
        <w:pStyle w:val="Dash6"/>
      </w:pPr>
      <w:r w:rsidRPr="00D85135">
        <w:t xml:space="preserve">PBM implementation and evaluation initiatives </w:t>
      </w:r>
    </w:p>
    <w:p w14:paraId="514DF44E" w14:textId="5EF54F77" w:rsidR="0041081F" w:rsidRPr="00D85135" w:rsidRDefault="001E2427" w:rsidP="00D85135">
      <w:pPr>
        <w:pStyle w:val="Dash6"/>
      </w:pPr>
      <w:r w:rsidRPr="00D85135">
        <w:t>S</w:t>
      </w:r>
      <w:r w:rsidR="0041081F" w:rsidRPr="00D85135">
        <w:t>ystem</w:t>
      </w:r>
      <w:r>
        <w:t>-</w:t>
      </w:r>
      <w:r w:rsidR="0041081F" w:rsidRPr="00D85135">
        <w:t>based approaches to sustain PBM practices</w:t>
      </w:r>
    </w:p>
    <w:p w14:paraId="36A244E1" w14:textId="77777777" w:rsidR="0041081F" w:rsidRPr="00D85135" w:rsidRDefault="0041081F" w:rsidP="00D85135">
      <w:pPr>
        <w:pStyle w:val="Dash6"/>
      </w:pPr>
      <w:r w:rsidRPr="00D85135">
        <w:t>the management, administration and use of fresh and other blood products excluding normal polyvalent immunoglobulin and clotting factors</w:t>
      </w:r>
    </w:p>
    <w:p w14:paraId="0A393ED6" w14:textId="77777777" w:rsidR="0041081F" w:rsidRPr="00D85135" w:rsidRDefault="0041081F" w:rsidP="00D85135">
      <w:pPr>
        <w:pStyle w:val="Dash6"/>
      </w:pPr>
      <w:r w:rsidRPr="00D85135">
        <w:t xml:space="preserve">education and training priorities </w:t>
      </w:r>
    </w:p>
    <w:p w14:paraId="512C5C13" w14:textId="77777777" w:rsidR="0041081F" w:rsidRPr="00D85135" w:rsidRDefault="0041081F" w:rsidP="00D85135">
      <w:pPr>
        <w:pStyle w:val="Dash6"/>
      </w:pPr>
      <w:r w:rsidRPr="00D85135">
        <w:t xml:space="preserve">practice performance improvement </w:t>
      </w:r>
    </w:p>
    <w:p w14:paraId="2DD537EB" w14:textId="77777777" w:rsidR="0041081F" w:rsidRPr="00D85135" w:rsidRDefault="0041081F" w:rsidP="00D85135">
      <w:pPr>
        <w:pStyle w:val="Dash6"/>
      </w:pPr>
      <w:r w:rsidRPr="00D85135">
        <w:t>data and system requirements</w:t>
      </w:r>
    </w:p>
    <w:p w14:paraId="67CF053D" w14:textId="77777777" w:rsidR="0041081F" w:rsidRPr="00241AE8" w:rsidRDefault="0041081F" w:rsidP="00D85135">
      <w:pPr>
        <w:pStyle w:val="Bullet6"/>
      </w:pPr>
      <w:r w:rsidRPr="00241AE8">
        <w:t xml:space="preserve">influence the uptake of PBM practice </w:t>
      </w:r>
    </w:p>
    <w:p w14:paraId="0C08F152" w14:textId="77777777" w:rsidR="0041081F" w:rsidRPr="00241AE8" w:rsidRDefault="0041081F" w:rsidP="00D85135">
      <w:pPr>
        <w:pStyle w:val="Bullet6"/>
      </w:pPr>
      <w:r w:rsidRPr="00241AE8">
        <w:t>improve intergovernmental coordination and cooperation on PBM implementation activities</w:t>
      </w:r>
    </w:p>
    <w:p w14:paraId="4E1E8971" w14:textId="77777777" w:rsidR="0041081F" w:rsidRDefault="0041081F" w:rsidP="00D85135">
      <w:pPr>
        <w:pStyle w:val="Bullet6"/>
      </w:pPr>
      <w:r w:rsidRPr="00241AE8">
        <w:t>monitor guideline development projects to ensure they meet their objectives</w:t>
      </w:r>
    </w:p>
    <w:p w14:paraId="048B85CD" w14:textId="405C3BA4" w:rsidR="0041081F" w:rsidRPr="00241AE8" w:rsidRDefault="0041081F" w:rsidP="00D85135">
      <w:pPr>
        <w:pStyle w:val="Bullet6"/>
      </w:pPr>
      <w:r w:rsidRPr="00241AE8">
        <w:t xml:space="preserve">link the PBM program activities to deliver the priorities for the </w:t>
      </w:r>
      <w:r w:rsidRPr="00D85135">
        <w:rPr>
          <w:i/>
        </w:rPr>
        <w:t xml:space="preserve">National Safety and Quality Health Service (NSQHS) </w:t>
      </w:r>
      <w:r w:rsidR="00D85135" w:rsidRPr="00D85135">
        <w:rPr>
          <w:i/>
        </w:rPr>
        <w:t>Standards</w:t>
      </w:r>
      <w:hyperlink w:anchor="_ENREF_384" w:tooltip="Australian Council on Healthcare Standards, 2013 #947" w:history="1">
        <w:r w:rsidR="00E62798">
          <w:fldChar w:fldCharType="begin"/>
        </w:r>
        <w:r w:rsidR="00E62798">
          <w:instrText xml:space="preserve"> ADDIN EN.CITE &lt;EndNote&gt;&lt;Cite&gt;&lt;Author&gt;Australian Council on Healthcare Standards&lt;/Author&gt;&lt;Year&gt;2013&lt;/Year&gt;&lt;RecNum&gt;947&lt;/RecNum&gt;&lt;DisplayText&gt;&lt;style face="superscript"&gt;384&lt;/style&gt;&lt;/DisplayText&gt;&lt;record&gt;&lt;rec-number&gt;947&lt;/rec-number&gt;&lt;foreign-keys&gt;&lt;key app="EN" db-id="9edve2wadsavt5ewavaxtda4f2tavzvts9ee" timestamp="1436398165"&gt;947&lt;/key&gt;&lt;/foreign-keys&gt;&lt;ref-type name="Report"&gt;27&lt;/ref-type&gt;&lt;contributors&gt;&lt;authors&gt;&lt;author&gt;Australian Council on Healthcare Standards,&lt;/author&gt;&lt;/authors&gt;&lt;/contributors&gt;&lt;titles&gt;&lt;title&gt;National Safety and Quality Health Service (NSQHS) Standards&lt;/title&gt;&lt;/titles&gt;&lt;dates&gt;&lt;year&gt;2013&lt;/year&gt;&lt;/dates&gt;&lt;urls&gt;&lt;related-urls&gt;&lt;url&gt;http://www.safetyandquality.gov.au/our-work/accreditation-and-the-nsqhs-standards/resources-to-implement-the-nsqhs-standards/#NSQHS-Standards&lt;/url&gt;&lt;/related-urls&gt;&lt;/urls&gt;&lt;access-date&gt;21 May 2014&lt;/access-date&gt;&lt;/record&gt;&lt;/Cite&gt;&lt;/EndNote&gt;</w:instrText>
        </w:r>
        <w:r w:rsidR="00E62798">
          <w:fldChar w:fldCharType="separate"/>
        </w:r>
        <w:r w:rsidR="00E62798" w:rsidRPr="00E62798">
          <w:rPr>
            <w:noProof/>
            <w:vertAlign w:val="superscript"/>
          </w:rPr>
          <w:t>384</w:t>
        </w:r>
        <w:r w:rsidR="00E62798">
          <w:fldChar w:fldCharType="end"/>
        </w:r>
      </w:hyperlink>
    </w:p>
    <w:p w14:paraId="7798C377" w14:textId="1E175E79" w:rsidR="0041081F" w:rsidRPr="00241AE8" w:rsidRDefault="0041081F" w:rsidP="00D85135">
      <w:pPr>
        <w:pStyle w:val="Bullet6"/>
      </w:pPr>
      <w:r w:rsidRPr="00241AE8">
        <w:t xml:space="preserve">integrate the PBM program with the </w:t>
      </w:r>
      <w:r w:rsidR="001E2427" w:rsidRPr="00CB114A">
        <w:t>Australian Commission on Safety and Quality in Health</w:t>
      </w:r>
      <w:r w:rsidR="001E2427">
        <w:t xml:space="preserve"> C</w:t>
      </w:r>
      <w:r w:rsidR="001E2427" w:rsidRPr="00CB114A">
        <w:t xml:space="preserve">are </w:t>
      </w:r>
      <w:r w:rsidR="001E2427">
        <w:rPr>
          <w:lang w:val="en-AU"/>
        </w:rPr>
        <w:t>(</w:t>
      </w:r>
      <w:r w:rsidR="001E2427" w:rsidRPr="00241AE8">
        <w:t>A</w:t>
      </w:r>
      <w:r w:rsidR="001E2427">
        <w:t>CSQHC</w:t>
      </w:r>
      <w:r w:rsidR="001E2427">
        <w:rPr>
          <w:lang w:val="en-AU"/>
        </w:rPr>
        <w:t>)</w:t>
      </w:r>
      <w:r w:rsidR="001E2427" w:rsidRPr="00241AE8">
        <w:t xml:space="preserve"> </w:t>
      </w:r>
      <w:r w:rsidRPr="00241AE8">
        <w:t xml:space="preserve"> initiatives for delivery to health providers and their safety and quality framework</w:t>
      </w:r>
    </w:p>
    <w:p w14:paraId="3A8F9CB3" w14:textId="77777777" w:rsidR="0041081F" w:rsidRPr="00241AE8" w:rsidRDefault="0041081F" w:rsidP="00D85135">
      <w:pPr>
        <w:pStyle w:val="Bullet12"/>
      </w:pPr>
      <w:r w:rsidRPr="00241AE8">
        <w:t xml:space="preserve">network with other NBA committees to share information. </w:t>
      </w:r>
    </w:p>
    <w:p w14:paraId="327B4B3B" w14:textId="77777777" w:rsidR="0041081F" w:rsidRDefault="0041081F" w:rsidP="0041081F">
      <w:pPr>
        <w:pStyle w:val="Heading3a"/>
      </w:pPr>
      <w:r>
        <w:t>Expert Working Group</w:t>
      </w:r>
    </w:p>
    <w:p w14:paraId="452363B7" w14:textId="6F08A981" w:rsidR="001B5E16" w:rsidRPr="00C31FAF" w:rsidRDefault="001B5E16" w:rsidP="001B5E16">
      <w:r>
        <w:t>T</w:t>
      </w:r>
      <w:r w:rsidRPr="00396B2E">
        <w:t xml:space="preserve">he </w:t>
      </w:r>
      <w:r>
        <w:t>EWG</w:t>
      </w:r>
      <w:r w:rsidRPr="00396B2E">
        <w:t xml:space="preserve"> </w:t>
      </w:r>
      <w:r>
        <w:t xml:space="preserve">was established in 2008 to advise the original </w:t>
      </w:r>
      <w:r w:rsidR="00F836AC">
        <w:t xml:space="preserve">Steering Committee </w:t>
      </w:r>
      <w:r>
        <w:t>about the scope and structure of the guidelines, and determine the focus the systematic review of the literature. In 201</w:t>
      </w:r>
      <w:r w:rsidR="00306159">
        <w:t>2–1</w:t>
      </w:r>
      <w:r>
        <w:t>3, its</w:t>
      </w:r>
      <w:r w:rsidRPr="004C35E4">
        <w:t xml:space="preserve"> role and membership was reviewed and </w:t>
      </w:r>
      <w:r>
        <w:t xml:space="preserve">the new terms of reference were to </w:t>
      </w:r>
      <w:r w:rsidRPr="00396B2E">
        <w:t xml:space="preserve">provide advice to the </w:t>
      </w:r>
      <w:r>
        <w:t>NBA</w:t>
      </w:r>
      <w:r w:rsidRPr="00396B2E">
        <w:t xml:space="preserve"> on the scope of the </w:t>
      </w:r>
      <w:r>
        <w:t>m</w:t>
      </w:r>
      <w:r w:rsidRPr="00396B2E">
        <w:t>odules</w:t>
      </w:r>
      <w:r>
        <w:t>, and</w:t>
      </w:r>
      <w:r w:rsidRPr="00396B2E">
        <w:t xml:space="preserve"> </w:t>
      </w:r>
      <w:r>
        <w:t>approve</w:t>
      </w:r>
      <w:r w:rsidRPr="00396B2E">
        <w:t xml:space="preserve"> the focus of the systematic review </w:t>
      </w:r>
      <w:r>
        <w:t>questions and literature search strategies</w:t>
      </w:r>
      <w:r w:rsidRPr="00291D8C">
        <w:t xml:space="preserve">. Each member of the </w:t>
      </w:r>
      <w:r>
        <w:t>EWG</w:t>
      </w:r>
      <w:r w:rsidRPr="00291D8C">
        <w:t xml:space="preserve"> </w:t>
      </w:r>
      <w:r>
        <w:t>is</w:t>
      </w:r>
      <w:r w:rsidRPr="00291D8C">
        <w:t xml:space="preserve"> responsible for overseeing the conduct of the systematic review in relation to their area of practice</w:t>
      </w:r>
      <w:r>
        <w:t xml:space="preserve"> as either a member or Chair of the relevant CRG</w:t>
      </w:r>
      <w:r w:rsidRPr="00291D8C">
        <w:t xml:space="preserve">. Each </w:t>
      </w:r>
      <w:r>
        <w:t xml:space="preserve">EWG </w:t>
      </w:r>
      <w:r w:rsidRPr="00291D8C">
        <w:t xml:space="preserve">member </w:t>
      </w:r>
      <w:r>
        <w:t>is</w:t>
      </w:r>
      <w:r w:rsidRPr="00291D8C">
        <w:t xml:space="preserve"> responsible for ensuring that the scope of the modules </w:t>
      </w:r>
      <w:r>
        <w:t>is</w:t>
      </w:r>
      <w:r w:rsidRPr="00291D8C">
        <w:t xml:space="preserve"> appropriate</w:t>
      </w:r>
      <w:r>
        <w:t>,</w:t>
      </w:r>
      <w:r w:rsidRPr="00291D8C">
        <w:t xml:space="preserve"> and that they address areas of clinical need</w:t>
      </w:r>
      <w:r w:rsidRPr="00C31FAF">
        <w:t>.</w:t>
      </w:r>
    </w:p>
    <w:p w14:paraId="79B54436" w14:textId="77777777" w:rsidR="001B5E16" w:rsidRPr="00396B2E" w:rsidRDefault="001B5E16" w:rsidP="00FF2787">
      <w:pPr>
        <w:pStyle w:val="StyleNormalbeforebulletLeft125cm"/>
      </w:pPr>
      <w:r w:rsidRPr="00C31FAF">
        <w:t>The role of the EWG is to:</w:t>
      </w:r>
    </w:p>
    <w:p w14:paraId="3A06B890" w14:textId="77777777" w:rsidR="001B5E16" w:rsidRPr="00396B2E" w:rsidRDefault="001B5E16" w:rsidP="00E66069">
      <w:pPr>
        <w:pStyle w:val="Bullet6"/>
        <w:numPr>
          <w:ilvl w:val="0"/>
          <w:numId w:val="23"/>
        </w:numPr>
      </w:pPr>
      <w:r>
        <w:t>f</w:t>
      </w:r>
      <w:r w:rsidRPr="00396B2E">
        <w:t xml:space="preserve">ormulate the </w:t>
      </w:r>
      <w:r>
        <w:t xml:space="preserve">generic </w:t>
      </w:r>
      <w:r w:rsidRPr="00396B2E">
        <w:t xml:space="preserve">clinical questions to be answered </w:t>
      </w:r>
      <w:r>
        <w:t xml:space="preserve">in all modules </w:t>
      </w:r>
      <w:r w:rsidRPr="00396B2E">
        <w:t>by the literature review</w:t>
      </w:r>
      <w:r w:rsidRPr="00C73AB1">
        <w:t xml:space="preserve"> </w:t>
      </w:r>
      <w:r>
        <w:t>(u</w:t>
      </w:r>
      <w:r w:rsidRPr="00396B2E">
        <w:t xml:space="preserve">nder the guidance of </w:t>
      </w:r>
      <w:r>
        <w:t>the systematic reviewers)</w:t>
      </w:r>
    </w:p>
    <w:p w14:paraId="2EE34A59" w14:textId="77777777" w:rsidR="001B5E16" w:rsidRPr="00396B2E" w:rsidRDefault="001B5E16" w:rsidP="00E66069">
      <w:pPr>
        <w:pStyle w:val="Bullet6"/>
        <w:numPr>
          <w:ilvl w:val="0"/>
          <w:numId w:val="23"/>
        </w:numPr>
      </w:pPr>
      <w:r>
        <w:t>identify</w:t>
      </w:r>
      <w:r w:rsidRPr="00396B2E">
        <w:t xml:space="preserve"> the need for </w:t>
      </w:r>
      <w:r>
        <w:t>CRGs</w:t>
      </w:r>
      <w:r w:rsidRPr="00396B2E">
        <w:t xml:space="preserve">, </w:t>
      </w:r>
      <w:r>
        <w:t xml:space="preserve">participating in or </w:t>
      </w:r>
      <w:r w:rsidRPr="00396B2E">
        <w:t>chairing thes</w:t>
      </w:r>
      <w:r>
        <w:t>e groups as required, and identifying and nominating additional CRG members as required</w:t>
      </w:r>
    </w:p>
    <w:p w14:paraId="60A81099" w14:textId="77777777" w:rsidR="001B5E16" w:rsidRDefault="001B5E16" w:rsidP="00E66069">
      <w:pPr>
        <w:pStyle w:val="Bullet6"/>
        <w:numPr>
          <w:ilvl w:val="0"/>
          <w:numId w:val="23"/>
        </w:numPr>
      </w:pPr>
      <w:r w:rsidRPr="002E4C5C">
        <w:t>consider the specific clinical questions and systematic review specifications developed by the CRGs and, if necessary, make recommen</w:t>
      </w:r>
      <w:r>
        <w:t>dations to the NBA on revisions</w:t>
      </w:r>
    </w:p>
    <w:p w14:paraId="2A919660" w14:textId="77777777" w:rsidR="001B5E16" w:rsidRDefault="001B5E16" w:rsidP="00E66069">
      <w:pPr>
        <w:pStyle w:val="Bullet6"/>
        <w:numPr>
          <w:ilvl w:val="0"/>
          <w:numId w:val="23"/>
        </w:numPr>
      </w:pPr>
      <w:r w:rsidRPr="00396B2E">
        <w:t xml:space="preserve">consider the scope of the project as referred by the </w:t>
      </w:r>
      <w:r>
        <w:t>CRGs</w:t>
      </w:r>
      <w:r w:rsidRPr="00396B2E">
        <w:t xml:space="preserve"> and, if necessary, </w:t>
      </w:r>
      <w:r>
        <w:t xml:space="preserve">make </w:t>
      </w:r>
      <w:r w:rsidRPr="00396B2E">
        <w:t xml:space="preserve">recommendations to the </w:t>
      </w:r>
      <w:r>
        <w:t>NBA</w:t>
      </w:r>
      <w:r w:rsidRPr="002866FC">
        <w:t xml:space="preserve"> </w:t>
      </w:r>
      <w:r>
        <w:t>on revisions</w:t>
      </w:r>
    </w:p>
    <w:p w14:paraId="2E429DB8" w14:textId="77777777" w:rsidR="001B5E16" w:rsidRDefault="001B5E16" w:rsidP="00E66069">
      <w:pPr>
        <w:pStyle w:val="Bullet6"/>
        <w:numPr>
          <w:ilvl w:val="0"/>
          <w:numId w:val="23"/>
        </w:numPr>
      </w:pPr>
      <w:r>
        <w:t>consider and provide advice to the NBA as to whether interests declared by Chairs of the CRGs present a conflict and suggest strategies to manage these declarations</w:t>
      </w:r>
    </w:p>
    <w:p w14:paraId="3907E90A" w14:textId="4D060BE5" w:rsidR="0041081F" w:rsidRPr="00396B2E" w:rsidRDefault="001B5E16" w:rsidP="001B5E16">
      <w:pPr>
        <w:pStyle w:val="Bullet12"/>
      </w:pPr>
      <w:r>
        <w:t xml:space="preserve">consider and provide advice, as requested by CRG Chairs, about interests declared by members of the CRG, to assist the Chair to manage declared interests to minimise potential bias in clinical practice guidance. </w:t>
      </w:r>
    </w:p>
    <w:p w14:paraId="7F8401EA" w14:textId="77777777" w:rsidR="0041081F" w:rsidRDefault="0041081F" w:rsidP="0041081F">
      <w:pPr>
        <w:pStyle w:val="Heading3a"/>
      </w:pPr>
      <w:r w:rsidRPr="00951FFA">
        <w:t>Clinical/Consumer Reference Groups</w:t>
      </w:r>
    </w:p>
    <w:p w14:paraId="064A73AF" w14:textId="77777777" w:rsidR="0041081F" w:rsidRDefault="0041081F" w:rsidP="00FF2787">
      <w:pPr>
        <w:pStyle w:val="StyleNormalbeforebulletLeft125cm"/>
      </w:pPr>
      <w:r>
        <w:t>The CRGs</w:t>
      </w:r>
      <w:r w:rsidRPr="00AD0B23">
        <w:t xml:space="preserve"> provide clinical and consumer</w:t>
      </w:r>
      <w:r>
        <w:t xml:space="preserve"> </w:t>
      </w:r>
      <w:r w:rsidRPr="00AD0B23">
        <w:t xml:space="preserve">input to </w:t>
      </w:r>
      <w:r>
        <w:t xml:space="preserve">the systematic review, draft the module and provide guidance on relevant additional clinician and consumer information. </w:t>
      </w:r>
      <w:r w:rsidRPr="008F5B53">
        <w:t xml:space="preserve">The role of each </w:t>
      </w:r>
      <w:r>
        <w:t>CRG</w:t>
      </w:r>
      <w:r w:rsidRPr="008F5B53">
        <w:t xml:space="preserve"> is to:</w:t>
      </w:r>
    </w:p>
    <w:p w14:paraId="7144B5D8" w14:textId="77777777" w:rsidR="0041081F" w:rsidRPr="00396B2E" w:rsidRDefault="00695518" w:rsidP="00695518">
      <w:pPr>
        <w:pStyle w:val="Bullet6"/>
      </w:pPr>
      <w:r w:rsidRPr="008F5B53">
        <w:t xml:space="preserve">under </w:t>
      </w:r>
      <w:r w:rsidR="0041081F" w:rsidRPr="008F5B53">
        <w:t>the guidance of the systematic reviewer</w:t>
      </w:r>
      <w:r w:rsidR="0041081F">
        <w:t>s, f</w:t>
      </w:r>
      <w:r w:rsidR="0041081F" w:rsidRPr="00396B2E">
        <w:t xml:space="preserve">ormulate the </w:t>
      </w:r>
      <w:r w:rsidR="0041081F">
        <w:t xml:space="preserve">specific </w:t>
      </w:r>
      <w:r w:rsidR="0041081F" w:rsidRPr="00396B2E">
        <w:t>clinical question</w:t>
      </w:r>
      <w:r>
        <w:t xml:space="preserve"> for their module</w:t>
      </w:r>
    </w:p>
    <w:p w14:paraId="7401254A" w14:textId="77777777" w:rsidR="0041081F" w:rsidRDefault="00695518" w:rsidP="00695518">
      <w:pPr>
        <w:pStyle w:val="Bullet6"/>
      </w:pPr>
      <w:r>
        <w:t xml:space="preserve">under </w:t>
      </w:r>
      <w:r w:rsidR="0041081F">
        <w:t>the guidance of the systematic reviewers, define the literature search strategies</w:t>
      </w:r>
      <w:r>
        <w:t xml:space="preserve"> for all the clinical questions</w:t>
      </w:r>
    </w:p>
    <w:p w14:paraId="6B00719B" w14:textId="77777777" w:rsidR="0041081F" w:rsidRDefault="00695518" w:rsidP="00695518">
      <w:pPr>
        <w:pStyle w:val="Bullet6"/>
      </w:pPr>
      <w:r>
        <w:t>review the medical literature</w:t>
      </w:r>
    </w:p>
    <w:p w14:paraId="0B132C8A" w14:textId="77777777" w:rsidR="0041081F" w:rsidRDefault="00695518" w:rsidP="00695518">
      <w:pPr>
        <w:pStyle w:val="Bullet6"/>
      </w:pPr>
      <w:r>
        <w:t xml:space="preserve">provide </w:t>
      </w:r>
      <w:r w:rsidR="0041081F">
        <w:t>advice on current prac</w:t>
      </w:r>
      <w:r>
        <w:t>tice in their area of expertise</w:t>
      </w:r>
    </w:p>
    <w:p w14:paraId="79A06CE4" w14:textId="77777777" w:rsidR="0041081F" w:rsidRPr="008F5B53" w:rsidRDefault="00695518" w:rsidP="00695518">
      <w:pPr>
        <w:pStyle w:val="Bullet6"/>
      </w:pPr>
      <w:r w:rsidRPr="008F5B53">
        <w:t xml:space="preserve">under </w:t>
      </w:r>
      <w:r w:rsidR="0041081F" w:rsidRPr="008F5B53">
        <w:t>the guidance of the systematic reviewers and medical writer</w:t>
      </w:r>
      <w:r w:rsidR="0041081F">
        <w:t>,</w:t>
      </w:r>
      <w:r w:rsidR="0041081F" w:rsidRPr="008F5B53">
        <w:t xml:space="preserve"> formulate evidence-based recommendations based </w:t>
      </w:r>
      <w:r>
        <w:t>on the results of the review</w:t>
      </w:r>
    </w:p>
    <w:p w14:paraId="1A7E60F7" w14:textId="77777777" w:rsidR="0041081F" w:rsidRDefault="00695518" w:rsidP="00695518">
      <w:pPr>
        <w:pStyle w:val="Bullet6"/>
      </w:pPr>
      <w:r w:rsidRPr="008F5B53">
        <w:t>under the guidance of the systematic reviewers and medical writer, formulate practice points ba</w:t>
      </w:r>
      <w:r>
        <w:t>sed on expert consensus opinion</w:t>
      </w:r>
    </w:p>
    <w:p w14:paraId="7D5A9A33" w14:textId="77777777" w:rsidR="0041081F" w:rsidRPr="008F5B53" w:rsidRDefault="00695518" w:rsidP="00695518">
      <w:pPr>
        <w:pStyle w:val="Bullet6"/>
      </w:pPr>
      <w:r>
        <w:t>under the guidance of the systematic reviewers, ensure their analysis and grading of the literature and recommendations follows NHMRC procedures and meets the 2011 standards</w:t>
      </w:r>
    </w:p>
    <w:p w14:paraId="17DA98C1" w14:textId="77777777" w:rsidR="0041081F" w:rsidRDefault="00695518" w:rsidP="00695518">
      <w:pPr>
        <w:pStyle w:val="Bullet6"/>
      </w:pPr>
      <w:r>
        <w:t>d</w:t>
      </w:r>
      <w:r w:rsidRPr="008F5B53">
        <w:t xml:space="preserve">efine </w:t>
      </w:r>
      <w:r>
        <w:t xml:space="preserve">the </w:t>
      </w:r>
      <w:r w:rsidRPr="008F5B53">
        <w:t>structure of the module</w:t>
      </w:r>
    </w:p>
    <w:p w14:paraId="3822F244" w14:textId="77777777" w:rsidR="0041081F" w:rsidRDefault="00695518" w:rsidP="00695518">
      <w:pPr>
        <w:pStyle w:val="Bullet6"/>
      </w:pPr>
      <w:r>
        <w:t xml:space="preserve">take responsibility for drafting content of the module in their area of expertise (as assigned by the </w:t>
      </w:r>
      <w:r w:rsidR="00810490">
        <w:t>C</w:t>
      </w:r>
      <w:r>
        <w:t>hair and agreed by all members)</w:t>
      </w:r>
    </w:p>
    <w:p w14:paraId="2FB4DF7D" w14:textId="77777777" w:rsidR="0041081F" w:rsidRDefault="00695518" w:rsidP="00695518">
      <w:pPr>
        <w:pStyle w:val="Bullet6"/>
      </w:pPr>
      <w:r>
        <w:t xml:space="preserve">under the guidance of the systematic reviewers and medical writer, draft </w:t>
      </w:r>
      <w:r w:rsidRPr="008F5B53">
        <w:t xml:space="preserve">the content </w:t>
      </w:r>
      <w:r>
        <w:t>of the module</w:t>
      </w:r>
    </w:p>
    <w:p w14:paraId="48EE8E82" w14:textId="77777777" w:rsidR="0041081F" w:rsidRPr="008F5B53" w:rsidRDefault="00695518" w:rsidP="00695518">
      <w:pPr>
        <w:pStyle w:val="Bullet6"/>
      </w:pPr>
      <w:r>
        <w:t>review public consultation feedback and make changes as required</w:t>
      </w:r>
    </w:p>
    <w:p w14:paraId="02DDF1BD" w14:textId="77777777" w:rsidR="0041081F" w:rsidRPr="008F5B53" w:rsidRDefault="00695518" w:rsidP="00695518">
      <w:pPr>
        <w:pStyle w:val="Bullet6"/>
      </w:pPr>
      <w:r w:rsidRPr="008F5B53">
        <w:t xml:space="preserve">propose relevant additional clinician and consumer materials </w:t>
      </w:r>
    </w:p>
    <w:p w14:paraId="178F9157" w14:textId="77777777" w:rsidR="0041081F" w:rsidRPr="008F5B53" w:rsidRDefault="00695518" w:rsidP="00695518">
      <w:pPr>
        <w:pStyle w:val="Bullet12"/>
      </w:pPr>
      <w:r w:rsidRPr="008F5B53">
        <w:t xml:space="preserve">propose </w:t>
      </w:r>
      <w:r w:rsidR="0041081F" w:rsidRPr="008F5B53">
        <w:t>tools and strategies to support implementation</w:t>
      </w:r>
      <w:r w:rsidR="0041081F">
        <w:t>.</w:t>
      </w:r>
      <w:r w:rsidR="00EC207A">
        <w:t xml:space="preserve"> </w:t>
      </w:r>
    </w:p>
    <w:p w14:paraId="79C77A7D" w14:textId="77777777" w:rsidR="0041081F" w:rsidRPr="009451FB" w:rsidRDefault="0041081F" w:rsidP="00695518">
      <w:pPr>
        <w:pStyle w:val="Heading3a"/>
      </w:pPr>
      <w:r w:rsidRPr="009451FB">
        <w:t>Consumer selection process</w:t>
      </w:r>
    </w:p>
    <w:p w14:paraId="74B313FA" w14:textId="77777777" w:rsidR="0041081F" w:rsidRDefault="0041081F" w:rsidP="00FF2787">
      <w:pPr>
        <w:pStyle w:val="StyleNormalbeforebulletLeft125cm"/>
      </w:pPr>
      <w:r w:rsidRPr="00883B9F">
        <w:t>An open recruitment process was used to seek interested consumers to participate on the CRG. The consumer representative and Indigenous representative positions were advertised on the NBA website</w:t>
      </w:r>
      <w:r w:rsidR="00695518">
        <w:t>,</w:t>
      </w:r>
      <w:r w:rsidRPr="00883B9F">
        <w:t xml:space="preserve"> and forwarded to the Consumer Health Forum and major consumer organisations in each </w:t>
      </w:r>
      <w:r w:rsidR="00695518" w:rsidRPr="00883B9F">
        <w:t xml:space="preserve">state and territory </w:t>
      </w:r>
      <w:r w:rsidRPr="00883B9F">
        <w:t xml:space="preserve">in Australia. Applications were reviewed by the NBA Executive Director </w:t>
      </w:r>
      <w:r>
        <w:t>–</w:t>
      </w:r>
      <w:r w:rsidRPr="00883B9F">
        <w:t xml:space="preserve"> Fresh</w:t>
      </w:r>
      <w:r>
        <w:t>,</w:t>
      </w:r>
      <w:r w:rsidRPr="00883B9F">
        <w:t xml:space="preserve"> Data</w:t>
      </w:r>
      <w:r>
        <w:t xml:space="preserve"> and Clinical Development</w:t>
      </w:r>
      <w:r w:rsidRPr="00883B9F">
        <w:t xml:space="preserve">, Director </w:t>
      </w:r>
      <w:r w:rsidR="00695518">
        <w:t>–</w:t>
      </w:r>
      <w:r w:rsidRPr="00883B9F">
        <w:t xml:space="preserve"> Blood Sector Clinical Development, PBM Guidelines Project Manager</w:t>
      </w:r>
      <w:r>
        <w:t>,</w:t>
      </w:r>
      <w:r w:rsidRPr="00883B9F">
        <w:t xml:space="preserve"> and the Chair of the CRG.</w:t>
      </w:r>
      <w:r>
        <w:t xml:space="preserve"> Upon notification and acceptance of their selection on the group, the representatives were provided with an orientation pack</w:t>
      </w:r>
      <w:r w:rsidR="00695518">
        <w:t>,</w:t>
      </w:r>
      <w:r>
        <w:t xml:space="preserve"> and a face-to-face meeting was held </w:t>
      </w:r>
      <w:r w:rsidR="00695518">
        <w:t xml:space="preserve">(where possible) before </w:t>
      </w:r>
      <w:r>
        <w:t>the first meeting. The following documentation was provided:</w:t>
      </w:r>
    </w:p>
    <w:p w14:paraId="151266B8" w14:textId="0190033B" w:rsidR="0041081F" w:rsidRDefault="00695518" w:rsidP="00695518">
      <w:pPr>
        <w:pStyle w:val="Bullet6"/>
      </w:pPr>
      <w:r w:rsidRPr="00A97DE2">
        <w:t xml:space="preserve">an </w:t>
      </w:r>
      <w:r w:rsidR="00F836AC">
        <w:rPr>
          <w:lang w:val="en-AU"/>
        </w:rPr>
        <w:t xml:space="preserve">abbreviations </w:t>
      </w:r>
      <w:r w:rsidR="0041081F" w:rsidRPr="00A97DE2">
        <w:t>and definitions list (including NHMRC and systematic review terminology)</w:t>
      </w:r>
    </w:p>
    <w:p w14:paraId="7DFB4EEC" w14:textId="570870CA" w:rsidR="0041081F" w:rsidRDefault="00695518" w:rsidP="00695518">
      <w:pPr>
        <w:pStyle w:val="Bullet6"/>
      </w:pPr>
      <w:r w:rsidRPr="00A97DE2">
        <w:t xml:space="preserve">a </w:t>
      </w:r>
      <w:r w:rsidR="0041081F" w:rsidRPr="00A97DE2">
        <w:t>summary of the blood sector governance</w:t>
      </w:r>
      <w:r w:rsidR="00F836AC">
        <w:rPr>
          <w:lang w:val="en-AU"/>
        </w:rPr>
        <w:t xml:space="preserve"> structure</w:t>
      </w:r>
      <w:r w:rsidR="0041081F" w:rsidRPr="00A97DE2">
        <w:t xml:space="preserve"> and major stakeholders</w:t>
      </w:r>
    </w:p>
    <w:p w14:paraId="2D0FA8C6" w14:textId="77777777" w:rsidR="0041081F" w:rsidRDefault="00695518" w:rsidP="00695518">
      <w:pPr>
        <w:pStyle w:val="Bullet6"/>
      </w:pPr>
      <w:r>
        <w:t xml:space="preserve">an </w:t>
      </w:r>
      <w:r w:rsidR="0041081F">
        <w:t>overview of the Australian health</w:t>
      </w:r>
      <w:r>
        <w:t>-</w:t>
      </w:r>
      <w:r w:rsidR="0041081F">
        <w:t>care system</w:t>
      </w:r>
    </w:p>
    <w:p w14:paraId="4CCA8347" w14:textId="15A66AC7" w:rsidR="0041081F" w:rsidRDefault="00F836AC" w:rsidP="00695518">
      <w:pPr>
        <w:pStyle w:val="Bullet6"/>
      </w:pPr>
      <w:r>
        <w:rPr>
          <w:lang w:val="en-AU"/>
        </w:rPr>
        <w:t>frequently asked questions (</w:t>
      </w:r>
      <w:r w:rsidR="0041081F">
        <w:t>FAQ</w:t>
      </w:r>
      <w:r>
        <w:rPr>
          <w:lang w:val="en-AU"/>
        </w:rPr>
        <w:t>)</w:t>
      </w:r>
      <w:r w:rsidR="0041081F">
        <w:t xml:space="preserve">: </w:t>
      </w:r>
      <w:r w:rsidR="00695518">
        <w:t>‘</w:t>
      </w:r>
      <w:r w:rsidR="0041081F">
        <w:t xml:space="preserve">What are the PBM </w:t>
      </w:r>
      <w:r>
        <w:t>guidelines</w:t>
      </w:r>
      <w:r w:rsidR="0041081F">
        <w:t>?</w:t>
      </w:r>
      <w:r w:rsidR="00695518">
        <w:t>’</w:t>
      </w:r>
    </w:p>
    <w:p w14:paraId="101B2259" w14:textId="77777777" w:rsidR="0041081F" w:rsidRDefault="00695518" w:rsidP="00695518">
      <w:pPr>
        <w:pStyle w:val="Bullet6"/>
      </w:pPr>
      <w:r w:rsidRPr="00A97DE2">
        <w:t xml:space="preserve">an </w:t>
      </w:r>
      <w:r w:rsidR="0041081F" w:rsidRPr="00A97DE2">
        <w:t xml:space="preserve">overview of the </w:t>
      </w:r>
      <w:r>
        <w:t>NBA</w:t>
      </w:r>
    </w:p>
    <w:p w14:paraId="7C0164DA" w14:textId="77777777" w:rsidR="0041081F" w:rsidRDefault="00695518" w:rsidP="00695518">
      <w:pPr>
        <w:pStyle w:val="Bullet6"/>
      </w:pPr>
      <w:r w:rsidRPr="007A5F08">
        <w:t xml:space="preserve">a </w:t>
      </w:r>
      <w:r w:rsidR="0041081F" w:rsidRPr="007A5F08">
        <w:t xml:space="preserve">background on the </w:t>
      </w:r>
      <w:r>
        <w:t>PBM</w:t>
      </w:r>
      <w:r w:rsidR="0041081F" w:rsidRPr="007A5F08">
        <w:t xml:space="preserve"> guidelines</w:t>
      </w:r>
    </w:p>
    <w:p w14:paraId="5C870C0F" w14:textId="77777777" w:rsidR="0041081F" w:rsidRDefault="0041081F" w:rsidP="00695518">
      <w:pPr>
        <w:pStyle w:val="Bullet6"/>
      </w:pPr>
      <w:r w:rsidRPr="007A5F08">
        <w:t xml:space="preserve">NHMRC </w:t>
      </w:r>
      <w:r w:rsidR="00695518" w:rsidRPr="007A5F08">
        <w:t>tables</w:t>
      </w:r>
      <w:r w:rsidRPr="007A5F08">
        <w:t>:</w:t>
      </w:r>
    </w:p>
    <w:p w14:paraId="43E687DF" w14:textId="77777777" w:rsidR="0041081F" w:rsidRDefault="00695518" w:rsidP="00695518">
      <w:pPr>
        <w:pStyle w:val="Dash6"/>
      </w:pPr>
      <w:r>
        <w:t xml:space="preserve">levels </w:t>
      </w:r>
      <w:r w:rsidR="0041081F">
        <w:t>of evidence h</w:t>
      </w:r>
      <w:r w:rsidR="0041081F" w:rsidRPr="007A5F08">
        <w:t>ierarchy</w:t>
      </w:r>
    </w:p>
    <w:p w14:paraId="7DF7497A" w14:textId="77777777" w:rsidR="0041081F" w:rsidRDefault="00695518" w:rsidP="00695518">
      <w:pPr>
        <w:pStyle w:val="Dash6"/>
      </w:pPr>
      <w:r>
        <w:t xml:space="preserve">ratings </w:t>
      </w:r>
      <w:r w:rsidR="0041081F" w:rsidRPr="007A5F08">
        <w:t xml:space="preserve">for </w:t>
      </w:r>
      <w:r w:rsidR="0041081F">
        <w:t xml:space="preserve">the </w:t>
      </w:r>
      <w:r w:rsidR="0041081F" w:rsidRPr="007A5F08">
        <w:t>body of evidence</w:t>
      </w:r>
    </w:p>
    <w:p w14:paraId="12CADADD" w14:textId="77777777" w:rsidR="0041081F" w:rsidRDefault="00695518" w:rsidP="00695518">
      <w:pPr>
        <w:pStyle w:val="Dash6"/>
      </w:pPr>
      <w:r w:rsidRPr="007A5F08">
        <w:t xml:space="preserve">grades </w:t>
      </w:r>
      <w:r w:rsidR="0041081F" w:rsidRPr="007A5F08">
        <w:t>for recommendations</w:t>
      </w:r>
    </w:p>
    <w:p w14:paraId="0B3B0869" w14:textId="77777777" w:rsidR="0041081F" w:rsidRDefault="00695518" w:rsidP="00695518">
      <w:pPr>
        <w:pStyle w:val="Bullet6"/>
      </w:pPr>
      <w:r>
        <w:t xml:space="preserve">hard </w:t>
      </w:r>
      <w:r w:rsidR="0041081F">
        <w:t>copies of each previous module</w:t>
      </w:r>
    </w:p>
    <w:p w14:paraId="72BE597E" w14:textId="77777777" w:rsidR="0041081F" w:rsidRPr="00A97DE2" w:rsidRDefault="00695518" w:rsidP="00695518">
      <w:pPr>
        <w:pStyle w:val="Bullet12"/>
      </w:pPr>
      <w:r>
        <w:t xml:space="preserve">links </w:t>
      </w:r>
      <w:r w:rsidR="0041081F">
        <w:t>to relevant pages and docu</w:t>
      </w:r>
      <w:r>
        <w:t>ments about PBM on the NBA website.</w:t>
      </w:r>
    </w:p>
    <w:p w14:paraId="0B7C1D34" w14:textId="77777777" w:rsidR="0041081F" w:rsidRDefault="0041081F" w:rsidP="00695518">
      <w:pPr>
        <w:pStyle w:val="Heading3a"/>
      </w:pPr>
      <w:bookmarkStart w:id="263" w:name="_Toc386021916"/>
      <w:r>
        <w:t>Systematic reviewers and technical writers</w:t>
      </w:r>
      <w:bookmarkEnd w:id="263"/>
    </w:p>
    <w:p w14:paraId="3379130E" w14:textId="77777777" w:rsidR="0041081F" w:rsidRDefault="0041081F" w:rsidP="0041081F">
      <w:r>
        <w:t xml:space="preserve">The NBA contracted </w:t>
      </w:r>
      <w:r w:rsidRPr="00FF6EAB">
        <w:t>systematic reviewer</w:t>
      </w:r>
      <w:r>
        <w:t xml:space="preserve">s and </w:t>
      </w:r>
      <w:r w:rsidRPr="00FF6EAB">
        <w:t>technical writer</w:t>
      </w:r>
      <w:r>
        <w:t>s</w:t>
      </w:r>
      <w:r w:rsidRPr="00FF6EAB">
        <w:t xml:space="preserve"> </w:t>
      </w:r>
      <w:r w:rsidRPr="00951FFA">
        <w:t>to conduct systematic reviews of the scientific literature</w:t>
      </w:r>
      <w:r w:rsidR="00695518">
        <w:t>,</w:t>
      </w:r>
      <w:r w:rsidRPr="00951FFA">
        <w:t xml:space="preserve"> and provide technical writing services to produce </w:t>
      </w:r>
      <w:r>
        <w:t>each module</w:t>
      </w:r>
      <w:r w:rsidRPr="00951FFA">
        <w:t xml:space="preserve"> and associated deliverables, including technical reports</w:t>
      </w:r>
      <w:r>
        <w:t>.</w:t>
      </w:r>
    </w:p>
    <w:p w14:paraId="46DCDEA5" w14:textId="77777777" w:rsidR="0041081F" w:rsidRDefault="0041081F" w:rsidP="0041081F">
      <w:pPr>
        <w:pStyle w:val="Heading2a"/>
      </w:pPr>
      <w:r>
        <w:t>A3</w:t>
      </w:r>
      <w:r>
        <w:tab/>
        <w:t>Membership of bodies involved in governance of the guidelines</w:t>
      </w:r>
    </w:p>
    <w:p w14:paraId="4212C325" w14:textId="77777777" w:rsidR="001B5E16" w:rsidRDefault="001B5E16" w:rsidP="001B5E16">
      <w:pPr>
        <w:pStyle w:val="Heading3a"/>
      </w:pPr>
      <w:bookmarkStart w:id="264" w:name="_Toc265585349"/>
      <w:bookmarkStart w:id="265" w:name="_Toc282672334"/>
      <w:bookmarkStart w:id="266" w:name="_Toc386021920"/>
      <w:bookmarkStart w:id="267" w:name="_Toc265585347"/>
      <w:bookmarkStart w:id="268" w:name="_Toc282672332"/>
      <w:r w:rsidRPr="003049A3">
        <w:t>Steering Committee</w:t>
      </w:r>
    </w:p>
    <w:tbl>
      <w:tblPr>
        <w:tblW w:w="0" w:type="auto"/>
        <w:tblInd w:w="720" w:type="dxa"/>
        <w:tblLook w:val="04A0" w:firstRow="1" w:lastRow="0" w:firstColumn="1" w:lastColumn="0" w:noHBand="0" w:noVBand="1"/>
      </w:tblPr>
      <w:tblGrid>
        <w:gridCol w:w="2755"/>
        <w:gridCol w:w="5551"/>
      </w:tblGrid>
      <w:tr w:rsidR="001E029D" w:rsidRPr="00E47935" w14:paraId="0056E4A9" w14:textId="77777777" w:rsidTr="001E029D">
        <w:tc>
          <w:tcPr>
            <w:tcW w:w="2755" w:type="dxa"/>
          </w:tcPr>
          <w:p w14:paraId="2B0FF550" w14:textId="77777777" w:rsidR="001E029D" w:rsidRPr="00E47935" w:rsidRDefault="001E029D" w:rsidP="00D765D9">
            <w:pPr>
              <w:pStyle w:val="Normalnoindent"/>
            </w:pPr>
            <w:r w:rsidRPr="00E47935">
              <w:t>Dr Lilon Bandler</w:t>
            </w:r>
          </w:p>
        </w:tc>
        <w:tc>
          <w:tcPr>
            <w:tcW w:w="5551" w:type="dxa"/>
          </w:tcPr>
          <w:p w14:paraId="1E42B643" w14:textId="07234B48" w:rsidR="001E029D" w:rsidRPr="00E47935" w:rsidRDefault="001E029D" w:rsidP="00D765D9">
            <w:pPr>
              <w:pStyle w:val="Normalnoindent"/>
            </w:pPr>
            <w:r>
              <w:t>I</w:t>
            </w:r>
            <w:r w:rsidRPr="00E47935">
              <w:t xml:space="preserve">ndependent clinical expert </w:t>
            </w:r>
            <w:r>
              <w:t xml:space="preserve">- </w:t>
            </w:r>
            <w:r w:rsidR="00F836AC" w:rsidRPr="00E47935">
              <w:t xml:space="preserve">general </w:t>
            </w:r>
            <w:r w:rsidR="00F836AC">
              <w:t xml:space="preserve">practitioner </w:t>
            </w:r>
          </w:p>
        </w:tc>
      </w:tr>
      <w:tr w:rsidR="001E029D" w:rsidRPr="00E47935" w14:paraId="320AD4FF" w14:textId="77777777" w:rsidTr="001E029D">
        <w:tc>
          <w:tcPr>
            <w:tcW w:w="2755" w:type="dxa"/>
          </w:tcPr>
          <w:p w14:paraId="208EE357" w14:textId="77777777" w:rsidR="001E029D" w:rsidRPr="00E47935" w:rsidRDefault="001E029D" w:rsidP="00D765D9">
            <w:pPr>
              <w:pStyle w:val="Normalnoindent"/>
            </w:pPr>
            <w:r w:rsidRPr="00E47935">
              <w:t>Ms Karen Carey</w:t>
            </w:r>
          </w:p>
        </w:tc>
        <w:tc>
          <w:tcPr>
            <w:tcW w:w="5551" w:type="dxa"/>
          </w:tcPr>
          <w:p w14:paraId="24B44013" w14:textId="77777777" w:rsidR="001E029D" w:rsidRPr="00E47935" w:rsidRDefault="001E029D" w:rsidP="00D765D9">
            <w:pPr>
              <w:pStyle w:val="Normalnoindent"/>
            </w:pPr>
            <w:r w:rsidRPr="00E47935">
              <w:t>Consumers Health Forum</w:t>
            </w:r>
            <w:r>
              <w:t xml:space="preserve"> – consumer representative</w:t>
            </w:r>
          </w:p>
        </w:tc>
      </w:tr>
      <w:tr w:rsidR="001E029D" w:rsidRPr="00E47935" w14:paraId="3B4A08D0" w14:textId="77777777" w:rsidTr="001E029D">
        <w:tc>
          <w:tcPr>
            <w:tcW w:w="2755" w:type="dxa"/>
          </w:tcPr>
          <w:p w14:paraId="649A0809" w14:textId="77777777" w:rsidR="001E029D" w:rsidRPr="00E47935" w:rsidRDefault="001E029D" w:rsidP="00D765D9">
            <w:pPr>
              <w:pStyle w:val="Normalnoindent"/>
            </w:pPr>
            <w:r>
              <w:t>Dr James Daly</w:t>
            </w:r>
          </w:p>
        </w:tc>
        <w:tc>
          <w:tcPr>
            <w:tcW w:w="5551" w:type="dxa"/>
          </w:tcPr>
          <w:p w14:paraId="04333377" w14:textId="0CD8958D" w:rsidR="001E029D" w:rsidRPr="00E47935" w:rsidRDefault="001E029D" w:rsidP="00F836AC">
            <w:pPr>
              <w:pStyle w:val="Normalnoindent"/>
            </w:pPr>
            <w:r>
              <w:t xml:space="preserve">Clinical and laboratory haematologist, Australian </w:t>
            </w:r>
            <w:r w:rsidR="00F836AC">
              <w:t xml:space="preserve">&amp; </w:t>
            </w:r>
            <w:r>
              <w:t>New Zealand Society of Blood Transfusion</w:t>
            </w:r>
          </w:p>
        </w:tc>
      </w:tr>
      <w:tr w:rsidR="001E029D" w:rsidRPr="00E47935" w14:paraId="19A71F7C" w14:textId="77777777" w:rsidTr="001E029D">
        <w:tc>
          <w:tcPr>
            <w:tcW w:w="2755" w:type="dxa"/>
          </w:tcPr>
          <w:p w14:paraId="2240F053" w14:textId="77777777" w:rsidR="001E029D" w:rsidRPr="00E47935" w:rsidRDefault="001E029D" w:rsidP="00D765D9">
            <w:pPr>
              <w:pStyle w:val="Normalnoindent"/>
            </w:pPr>
            <w:r w:rsidRPr="00E47935">
              <w:t>Dr Steve Flecknoe-Brown</w:t>
            </w:r>
          </w:p>
        </w:tc>
        <w:tc>
          <w:tcPr>
            <w:tcW w:w="5551" w:type="dxa"/>
          </w:tcPr>
          <w:p w14:paraId="3050750C" w14:textId="6BEDEEA7" w:rsidR="001E029D" w:rsidRPr="001E029D" w:rsidRDefault="001E029D" w:rsidP="00F836AC">
            <w:pPr>
              <w:pStyle w:val="Normalnoindent"/>
            </w:pPr>
            <w:r w:rsidRPr="001E029D">
              <w:t xml:space="preserve">Independent clinical expert – </w:t>
            </w:r>
            <w:r w:rsidR="00F836AC" w:rsidRPr="001E029D">
              <w:t xml:space="preserve">senior consultant physician </w:t>
            </w:r>
            <w:r w:rsidR="00F836AC">
              <w:t>and</w:t>
            </w:r>
            <w:r w:rsidR="00F836AC" w:rsidRPr="001E029D">
              <w:t xml:space="preserve"> haematologist </w:t>
            </w:r>
          </w:p>
        </w:tc>
      </w:tr>
      <w:tr w:rsidR="001E029D" w:rsidRPr="00E47935" w14:paraId="4C6592B6" w14:textId="77777777" w:rsidTr="001E029D">
        <w:tc>
          <w:tcPr>
            <w:tcW w:w="2755" w:type="dxa"/>
          </w:tcPr>
          <w:p w14:paraId="3B6F8E85" w14:textId="77777777" w:rsidR="001E029D" w:rsidRPr="00E47935" w:rsidRDefault="001E029D" w:rsidP="00D765D9">
            <w:pPr>
              <w:pStyle w:val="Normalnoindent"/>
            </w:pPr>
            <w:r w:rsidRPr="00E47935">
              <w:t>Ms Trudi Gallagher</w:t>
            </w:r>
          </w:p>
        </w:tc>
        <w:tc>
          <w:tcPr>
            <w:tcW w:w="5551" w:type="dxa"/>
          </w:tcPr>
          <w:p w14:paraId="41BB602E" w14:textId="17C7AE1A" w:rsidR="001E029D" w:rsidRPr="00E47935" w:rsidRDefault="001E029D" w:rsidP="00D765D9">
            <w:pPr>
              <w:pStyle w:val="Normalnoindent"/>
            </w:pPr>
            <w:r w:rsidRPr="00E47935">
              <w:t xml:space="preserve">Independent clinical expert </w:t>
            </w:r>
            <w:r>
              <w:t>–</w:t>
            </w:r>
            <w:r w:rsidRPr="00E47935">
              <w:t xml:space="preserve"> </w:t>
            </w:r>
            <w:r w:rsidR="00F836AC" w:rsidRPr="00E47935">
              <w:t xml:space="preserve">clinical nurse consultant </w:t>
            </w:r>
            <w:r>
              <w:t xml:space="preserve">and </w:t>
            </w:r>
            <w:r w:rsidR="00F836AC">
              <w:t xml:space="preserve">jurisdictional </w:t>
            </w:r>
            <w:r>
              <w:t>PBM coordinator</w:t>
            </w:r>
          </w:p>
        </w:tc>
      </w:tr>
      <w:tr w:rsidR="001E029D" w:rsidRPr="00E47935" w14:paraId="7924FC64" w14:textId="77777777" w:rsidTr="001E029D">
        <w:tc>
          <w:tcPr>
            <w:tcW w:w="2755" w:type="dxa"/>
          </w:tcPr>
          <w:p w14:paraId="6FBA2D53" w14:textId="77777777" w:rsidR="001E029D" w:rsidRPr="00E47935" w:rsidRDefault="001E029D" w:rsidP="00D765D9">
            <w:pPr>
              <w:pStyle w:val="Normalnoindent"/>
            </w:pPr>
            <w:r w:rsidRPr="00E47935">
              <w:t>Professor James Isbister</w:t>
            </w:r>
          </w:p>
        </w:tc>
        <w:tc>
          <w:tcPr>
            <w:tcW w:w="5551" w:type="dxa"/>
          </w:tcPr>
          <w:p w14:paraId="5469C7DB" w14:textId="21E97D5C" w:rsidR="001E029D" w:rsidRPr="00E47935" w:rsidRDefault="001E029D" w:rsidP="00F836AC">
            <w:pPr>
              <w:pStyle w:val="Normalnoindent"/>
            </w:pPr>
            <w:r w:rsidRPr="001E029D">
              <w:t xml:space="preserve">Chair, </w:t>
            </w:r>
            <w:r w:rsidR="00F836AC" w:rsidRPr="001E029D">
              <w:t xml:space="preserve">independent </w:t>
            </w:r>
            <w:r w:rsidRPr="001E029D">
              <w:t xml:space="preserve">clinical academic expert and </w:t>
            </w:r>
            <w:r w:rsidR="00F836AC" w:rsidRPr="001E029D">
              <w:t xml:space="preserve">honorary haematology </w:t>
            </w:r>
            <w:r w:rsidR="00F836AC">
              <w:t>and</w:t>
            </w:r>
            <w:r w:rsidR="00F836AC" w:rsidRPr="001E029D">
              <w:t xml:space="preserve"> transfusion medicine consultant</w:t>
            </w:r>
          </w:p>
        </w:tc>
      </w:tr>
      <w:tr w:rsidR="001E029D" w:rsidRPr="00E47935" w14:paraId="7A568B8D" w14:textId="77777777" w:rsidTr="001E029D">
        <w:tc>
          <w:tcPr>
            <w:tcW w:w="2755" w:type="dxa"/>
          </w:tcPr>
          <w:p w14:paraId="1AF36E62" w14:textId="77777777" w:rsidR="001E029D" w:rsidRPr="00E47935" w:rsidRDefault="001E029D" w:rsidP="00D765D9">
            <w:pPr>
              <w:pStyle w:val="Normalnoindent"/>
            </w:pPr>
            <w:r>
              <w:t>Dr Kerry Gunn</w:t>
            </w:r>
          </w:p>
        </w:tc>
        <w:tc>
          <w:tcPr>
            <w:tcW w:w="5551" w:type="dxa"/>
          </w:tcPr>
          <w:p w14:paraId="07DE685E" w14:textId="0B934459" w:rsidR="001E029D" w:rsidRPr="001E029D" w:rsidRDefault="001E029D" w:rsidP="00D765D9">
            <w:pPr>
              <w:pStyle w:val="Normalnoindent"/>
            </w:pPr>
            <w:r w:rsidRPr="001E029D">
              <w:t xml:space="preserve">Specialist </w:t>
            </w:r>
            <w:r w:rsidR="00F836AC" w:rsidRPr="001E029D">
              <w:t xml:space="preserve">anaesthetist </w:t>
            </w:r>
            <w:r w:rsidRPr="001E029D">
              <w:t>– PBM expert in anaesthetics</w:t>
            </w:r>
          </w:p>
        </w:tc>
      </w:tr>
      <w:tr w:rsidR="001E029D" w:rsidRPr="001A35FC" w14:paraId="5760932C" w14:textId="77777777" w:rsidTr="001E029D">
        <w:tc>
          <w:tcPr>
            <w:tcW w:w="2755" w:type="dxa"/>
          </w:tcPr>
          <w:p w14:paraId="6534A345" w14:textId="77777777" w:rsidR="001E029D" w:rsidRPr="001E029D" w:rsidRDefault="001E029D" w:rsidP="00D765D9">
            <w:pPr>
              <w:pStyle w:val="Normalnoindent"/>
            </w:pPr>
            <w:r w:rsidRPr="001E029D">
              <w:t>Ms Kathy Meleady</w:t>
            </w:r>
          </w:p>
        </w:tc>
        <w:tc>
          <w:tcPr>
            <w:tcW w:w="5551" w:type="dxa"/>
          </w:tcPr>
          <w:p w14:paraId="2F68826E" w14:textId="157AF7E2" w:rsidR="001E029D" w:rsidRPr="001E029D" w:rsidRDefault="001E029D" w:rsidP="00F836AC">
            <w:pPr>
              <w:pStyle w:val="Normalnoindent"/>
            </w:pPr>
            <w:r w:rsidRPr="001E029D">
              <w:t xml:space="preserve">Director, Commonwealth Programs, </w:t>
            </w:r>
            <w:r w:rsidR="00F836AC">
              <w:t>ACSQHC</w:t>
            </w:r>
          </w:p>
        </w:tc>
      </w:tr>
      <w:tr w:rsidR="001E029D" w:rsidRPr="00E47935" w14:paraId="31C94BBB" w14:textId="77777777" w:rsidTr="001E029D">
        <w:tc>
          <w:tcPr>
            <w:tcW w:w="2755" w:type="dxa"/>
          </w:tcPr>
          <w:p w14:paraId="2EFAD754" w14:textId="77777777" w:rsidR="001E029D" w:rsidRPr="00E47935" w:rsidRDefault="001E029D" w:rsidP="00D765D9">
            <w:pPr>
              <w:pStyle w:val="Normalnoindent"/>
            </w:pPr>
            <w:r w:rsidRPr="00E47935">
              <w:t>Ms Bronwyn Pearce</w:t>
            </w:r>
          </w:p>
        </w:tc>
        <w:tc>
          <w:tcPr>
            <w:tcW w:w="5551" w:type="dxa"/>
          </w:tcPr>
          <w:p w14:paraId="68236AE9" w14:textId="5D21BBFD" w:rsidR="001E029D" w:rsidRPr="00E47935" w:rsidRDefault="001E029D" w:rsidP="00D765D9">
            <w:pPr>
              <w:pStyle w:val="Normalnoindent"/>
            </w:pPr>
            <w:r w:rsidRPr="00E47935">
              <w:t xml:space="preserve">Independent clinical expert – </w:t>
            </w:r>
            <w:r w:rsidR="00F836AC" w:rsidRPr="00E47935">
              <w:t xml:space="preserve">clinical </w:t>
            </w:r>
            <w:r>
              <w:t>n</w:t>
            </w:r>
            <w:r w:rsidRPr="00E47935">
              <w:t xml:space="preserve">urse </w:t>
            </w:r>
            <w:r>
              <w:t>c</w:t>
            </w:r>
            <w:r w:rsidRPr="00E47935">
              <w:t xml:space="preserve">onsultant </w:t>
            </w:r>
          </w:p>
        </w:tc>
      </w:tr>
      <w:tr w:rsidR="001E029D" w:rsidRPr="001A35FC" w14:paraId="5D3E6A37" w14:textId="77777777" w:rsidTr="001E029D">
        <w:tc>
          <w:tcPr>
            <w:tcW w:w="2755" w:type="dxa"/>
          </w:tcPr>
          <w:p w14:paraId="126B0BAB" w14:textId="77777777" w:rsidR="001E029D" w:rsidRPr="001A35FC" w:rsidRDefault="001E029D" w:rsidP="00D765D9">
            <w:pPr>
              <w:pStyle w:val="Normalnoindent"/>
            </w:pPr>
            <w:r w:rsidRPr="001A35FC">
              <w:t>Dr Beverl</w:t>
            </w:r>
            <w:r>
              <w:t>e</w:t>
            </w:r>
            <w:r w:rsidRPr="001A35FC">
              <w:t xml:space="preserve">y Rowbotham </w:t>
            </w:r>
          </w:p>
        </w:tc>
        <w:tc>
          <w:tcPr>
            <w:tcW w:w="5551" w:type="dxa"/>
          </w:tcPr>
          <w:p w14:paraId="2FAB6495" w14:textId="29845B31" w:rsidR="001E029D" w:rsidRPr="001A35FC" w:rsidRDefault="001E029D" w:rsidP="00F836AC">
            <w:pPr>
              <w:pStyle w:val="Normalnoindent"/>
            </w:pPr>
            <w:r w:rsidRPr="001A35FC">
              <w:t xml:space="preserve">Independent clinical expert </w:t>
            </w:r>
            <w:r w:rsidR="00F836AC">
              <w:t>–</w:t>
            </w:r>
            <w:r w:rsidR="00F836AC" w:rsidRPr="001A35FC">
              <w:t xml:space="preserve"> haematologist </w:t>
            </w:r>
            <w:r w:rsidRPr="001A35FC">
              <w:t>–</w:t>
            </w:r>
            <w:r>
              <w:t xml:space="preserve"> </w:t>
            </w:r>
            <w:r w:rsidRPr="001A35FC">
              <w:t>private pathology</w:t>
            </w:r>
          </w:p>
        </w:tc>
      </w:tr>
      <w:tr w:rsidR="001E029D" w:rsidRPr="001A35FC" w14:paraId="27D8352B" w14:textId="77777777" w:rsidTr="001E029D">
        <w:tc>
          <w:tcPr>
            <w:tcW w:w="2755" w:type="dxa"/>
          </w:tcPr>
          <w:p w14:paraId="3E7DA1C3" w14:textId="77777777" w:rsidR="001E029D" w:rsidRPr="001A35FC" w:rsidRDefault="001E029D" w:rsidP="00D765D9">
            <w:pPr>
              <w:pStyle w:val="Normalnoindent"/>
            </w:pPr>
            <w:r w:rsidRPr="001A35FC">
              <w:t>Dr Rashmi Sharma</w:t>
            </w:r>
          </w:p>
        </w:tc>
        <w:tc>
          <w:tcPr>
            <w:tcW w:w="5551" w:type="dxa"/>
          </w:tcPr>
          <w:p w14:paraId="74B39140" w14:textId="4129C508" w:rsidR="001E029D" w:rsidRPr="001A35FC" w:rsidRDefault="001E029D" w:rsidP="00D765D9">
            <w:pPr>
              <w:pStyle w:val="Normalnoindent"/>
            </w:pPr>
            <w:r w:rsidRPr="001A35FC">
              <w:t xml:space="preserve">Independent clinical expert – </w:t>
            </w:r>
            <w:r w:rsidR="00F836AC" w:rsidRPr="001A35FC">
              <w:t>general practitioner</w:t>
            </w:r>
          </w:p>
        </w:tc>
      </w:tr>
      <w:tr w:rsidR="001E029D" w:rsidRPr="001A35FC" w14:paraId="3BF3B265" w14:textId="77777777" w:rsidTr="001E029D">
        <w:tc>
          <w:tcPr>
            <w:tcW w:w="2755" w:type="dxa"/>
          </w:tcPr>
          <w:p w14:paraId="2C7C8245" w14:textId="77777777" w:rsidR="001E029D" w:rsidRPr="001E029D" w:rsidRDefault="001E029D" w:rsidP="00D765D9">
            <w:pPr>
              <w:pStyle w:val="Normalnoindent"/>
            </w:pPr>
            <w:r w:rsidRPr="001E029D">
              <w:t>Ms Tracey Spigiel</w:t>
            </w:r>
          </w:p>
        </w:tc>
        <w:tc>
          <w:tcPr>
            <w:tcW w:w="5551" w:type="dxa"/>
          </w:tcPr>
          <w:p w14:paraId="3F9E6E21" w14:textId="77777777" w:rsidR="001E029D" w:rsidRPr="001E029D" w:rsidRDefault="001E029D" w:rsidP="00D765D9">
            <w:pPr>
              <w:pStyle w:val="Normalnoindent"/>
            </w:pPr>
            <w:r w:rsidRPr="001E029D">
              <w:t>Nurse – Australian Red Cross Blood Service</w:t>
            </w:r>
          </w:p>
        </w:tc>
      </w:tr>
      <w:tr w:rsidR="001E029D" w:rsidRPr="001A35FC" w14:paraId="7BB11AF8" w14:textId="77777777" w:rsidTr="001E029D">
        <w:tc>
          <w:tcPr>
            <w:tcW w:w="2755" w:type="dxa"/>
          </w:tcPr>
          <w:p w14:paraId="0F0F8E55" w14:textId="77777777" w:rsidR="001E029D" w:rsidRPr="001A35FC" w:rsidRDefault="001E029D" w:rsidP="00D765D9">
            <w:pPr>
              <w:pStyle w:val="Normalnoindent"/>
            </w:pPr>
            <w:r w:rsidRPr="001A35FC">
              <w:t>Dr Amanda Thomson</w:t>
            </w:r>
          </w:p>
        </w:tc>
        <w:tc>
          <w:tcPr>
            <w:tcW w:w="5551" w:type="dxa"/>
          </w:tcPr>
          <w:p w14:paraId="62D40AD9" w14:textId="55AB2238" w:rsidR="001E029D" w:rsidRPr="001A35FC" w:rsidRDefault="001E029D" w:rsidP="00F836AC">
            <w:pPr>
              <w:pStyle w:val="Normalnoindent"/>
            </w:pPr>
            <w:r w:rsidRPr="001A35FC">
              <w:t xml:space="preserve">Independent clinical expert </w:t>
            </w:r>
            <w:r w:rsidR="00F836AC">
              <w:t>–</w:t>
            </w:r>
            <w:r w:rsidR="00F836AC" w:rsidRPr="001A35FC">
              <w:t xml:space="preserve"> haematologist</w:t>
            </w:r>
          </w:p>
        </w:tc>
      </w:tr>
      <w:tr w:rsidR="001E029D" w:rsidRPr="001A35FC" w14:paraId="2C917601" w14:textId="77777777" w:rsidTr="001E029D">
        <w:tc>
          <w:tcPr>
            <w:tcW w:w="2755" w:type="dxa"/>
          </w:tcPr>
          <w:p w14:paraId="54648AC3" w14:textId="77777777" w:rsidR="001E029D" w:rsidRPr="001A35FC" w:rsidRDefault="001E029D" w:rsidP="00D765D9">
            <w:pPr>
              <w:pStyle w:val="Normalnoindent"/>
            </w:pPr>
            <w:r w:rsidRPr="001A35FC">
              <w:t>Prof Simon Towler</w:t>
            </w:r>
          </w:p>
        </w:tc>
        <w:tc>
          <w:tcPr>
            <w:tcW w:w="5551" w:type="dxa"/>
          </w:tcPr>
          <w:p w14:paraId="302C3F9F" w14:textId="7131021A" w:rsidR="001E029D" w:rsidRPr="001A35FC" w:rsidRDefault="001E029D" w:rsidP="00D765D9">
            <w:pPr>
              <w:pStyle w:val="Normalnoindent"/>
            </w:pPr>
            <w:r w:rsidRPr="001A35FC">
              <w:t xml:space="preserve">Intensive </w:t>
            </w:r>
            <w:r w:rsidR="00F836AC" w:rsidRPr="001A35FC">
              <w:t xml:space="preserve">care specialist, patient blood management expert and immediate past </w:t>
            </w:r>
            <w:r w:rsidRPr="001A35FC">
              <w:t>Chair</w:t>
            </w:r>
          </w:p>
        </w:tc>
      </w:tr>
    </w:tbl>
    <w:p w14:paraId="1C86DB3C" w14:textId="77777777" w:rsidR="001B5E16" w:rsidRDefault="001B5E16" w:rsidP="001B5E16">
      <w:pPr>
        <w:pStyle w:val="Heading3a"/>
      </w:pPr>
      <w:r w:rsidRPr="003049A3">
        <w:t>Expert Working Group</w:t>
      </w:r>
    </w:p>
    <w:tbl>
      <w:tblPr>
        <w:tblW w:w="0" w:type="auto"/>
        <w:tblInd w:w="720" w:type="dxa"/>
        <w:tblLook w:val="04A0" w:firstRow="1" w:lastRow="0" w:firstColumn="1" w:lastColumn="0" w:noHBand="0" w:noVBand="1"/>
      </w:tblPr>
      <w:tblGrid>
        <w:gridCol w:w="2388"/>
        <w:gridCol w:w="6134"/>
      </w:tblGrid>
      <w:tr w:rsidR="001B5E16" w:rsidRPr="002069E8" w14:paraId="62AC3C5D" w14:textId="77777777" w:rsidTr="00F7006A">
        <w:trPr>
          <w:cantSplit/>
          <w:trHeight w:val="155"/>
        </w:trPr>
        <w:tc>
          <w:tcPr>
            <w:tcW w:w="2388" w:type="dxa"/>
          </w:tcPr>
          <w:p w14:paraId="7C954570" w14:textId="77777777" w:rsidR="001B5E16" w:rsidRPr="002069E8" w:rsidRDefault="001B5E16" w:rsidP="00F7006A">
            <w:pPr>
              <w:pStyle w:val="Normalnoindent"/>
            </w:pPr>
            <w:r w:rsidRPr="00990555">
              <w:t>A/Prof Mark Dean</w:t>
            </w:r>
          </w:p>
        </w:tc>
        <w:tc>
          <w:tcPr>
            <w:tcW w:w="6134" w:type="dxa"/>
          </w:tcPr>
          <w:p w14:paraId="0595E62F" w14:textId="77777777" w:rsidR="001B5E16" w:rsidRPr="00990555" w:rsidRDefault="001B5E16" w:rsidP="00F7006A">
            <w:pPr>
              <w:ind w:left="0"/>
            </w:pPr>
            <w:r w:rsidRPr="00990555">
              <w:t xml:space="preserve">Royal </w:t>
            </w:r>
            <w:r>
              <w:t xml:space="preserve">Australasian </w:t>
            </w:r>
            <w:r w:rsidRPr="00990555">
              <w:t>College of Physicians &amp; Haematology Society of Australia &amp; New Zealand</w:t>
            </w:r>
          </w:p>
        </w:tc>
      </w:tr>
      <w:tr w:rsidR="001B5E16" w:rsidRPr="002069E8" w14:paraId="7A35D11B" w14:textId="77777777" w:rsidTr="00F7006A">
        <w:trPr>
          <w:cantSplit/>
          <w:trHeight w:val="155"/>
        </w:trPr>
        <w:tc>
          <w:tcPr>
            <w:tcW w:w="2388" w:type="dxa"/>
          </w:tcPr>
          <w:p w14:paraId="0494AAD5" w14:textId="77777777" w:rsidR="001B5E16" w:rsidRPr="002069E8" w:rsidRDefault="001B5E16" w:rsidP="00F7006A">
            <w:pPr>
              <w:pStyle w:val="Normalnoindent"/>
            </w:pPr>
            <w:r>
              <w:t>A/Prof Craig French</w:t>
            </w:r>
          </w:p>
        </w:tc>
        <w:tc>
          <w:tcPr>
            <w:tcW w:w="6134" w:type="dxa"/>
          </w:tcPr>
          <w:p w14:paraId="566A6832" w14:textId="77777777" w:rsidR="001B5E16" w:rsidRPr="00990555" w:rsidRDefault="001B5E16" w:rsidP="00F7006A">
            <w:pPr>
              <w:spacing w:after="0"/>
              <w:ind w:left="0"/>
            </w:pPr>
            <w:r w:rsidRPr="00990555">
              <w:t xml:space="preserve">Australian &amp; New Zealand Intensive Care Society and </w:t>
            </w:r>
          </w:p>
          <w:p w14:paraId="4B2C368E" w14:textId="77777777" w:rsidR="001B5E16" w:rsidRPr="002069E8" w:rsidRDefault="001B5E16" w:rsidP="00F7006A">
            <w:pPr>
              <w:pStyle w:val="Normalnoindent"/>
            </w:pPr>
            <w:r w:rsidRPr="00990555">
              <w:t>College of Intensive Care Medicine of Australia and New Zealand</w:t>
            </w:r>
          </w:p>
        </w:tc>
      </w:tr>
      <w:tr w:rsidR="001B5E16" w:rsidRPr="002069E8" w14:paraId="23FDD066" w14:textId="77777777" w:rsidTr="00F7006A">
        <w:trPr>
          <w:cantSplit/>
        </w:trPr>
        <w:tc>
          <w:tcPr>
            <w:tcW w:w="2388" w:type="dxa"/>
          </w:tcPr>
          <w:p w14:paraId="7DA3EBBF" w14:textId="56DC59C5" w:rsidR="001B5E16" w:rsidRPr="002069E8" w:rsidRDefault="00DF2A0B" w:rsidP="00F7006A">
            <w:pPr>
              <w:pStyle w:val="Normalnoindent"/>
            </w:pPr>
            <w:r>
              <w:t>A/Prof</w:t>
            </w:r>
            <w:r w:rsidR="001B5E16">
              <w:t xml:space="preserve"> Helen Liley</w:t>
            </w:r>
          </w:p>
        </w:tc>
        <w:tc>
          <w:tcPr>
            <w:tcW w:w="6134" w:type="dxa"/>
          </w:tcPr>
          <w:p w14:paraId="1497F0CE" w14:textId="77777777" w:rsidR="001B5E16" w:rsidRPr="002069E8" w:rsidRDefault="001B5E16" w:rsidP="00F7006A">
            <w:pPr>
              <w:pStyle w:val="Normalnoindent"/>
            </w:pPr>
            <w:r w:rsidRPr="00990555">
              <w:t>Royal Austral</w:t>
            </w:r>
            <w:r>
              <w:t>as</w:t>
            </w:r>
            <w:r w:rsidRPr="00990555">
              <w:t>ian College of Physicians (Paediatrics and Child Health Division) and Perinatal Society of Australia &amp; New Zealand</w:t>
            </w:r>
          </w:p>
        </w:tc>
      </w:tr>
      <w:tr w:rsidR="001B5E16" w:rsidRPr="002069E8" w14:paraId="1DEB6D49" w14:textId="77777777" w:rsidTr="00F7006A">
        <w:trPr>
          <w:cantSplit/>
        </w:trPr>
        <w:tc>
          <w:tcPr>
            <w:tcW w:w="2388" w:type="dxa"/>
          </w:tcPr>
          <w:p w14:paraId="5B30B06B" w14:textId="77777777" w:rsidR="001B5E16" w:rsidRPr="002069E8" w:rsidRDefault="001B5E16" w:rsidP="00F7006A">
            <w:pPr>
              <w:pStyle w:val="Normalnoindent"/>
            </w:pPr>
            <w:r>
              <w:t>A/Prof Larry McNicol</w:t>
            </w:r>
          </w:p>
        </w:tc>
        <w:tc>
          <w:tcPr>
            <w:tcW w:w="6134" w:type="dxa"/>
          </w:tcPr>
          <w:p w14:paraId="75ECF121" w14:textId="77777777" w:rsidR="001B5E16" w:rsidRPr="002069E8" w:rsidRDefault="001B5E16" w:rsidP="00F7006A">
            <w:pPr>
              <w:pStyle w:val="Normalnoindent"/>
            </w:pPr>
            <w:r w:rsidRPr="00990555">
              <w:t>Australian and New Zealand College of Anaesthetists</w:t>
            </w:r>
          </w:p>
        </w:tc>
      </w:tr>
      <w:tr w:rsidR="001B5E16" w:rsidRPr="002069E8" w14:paraId="74491F3E" w14:textId="77777777" w:rsidTr="00F7006A">
        <w:trPr>
          <w:cantSplit/>
        </w:trPr>
        <w:tc>
          <w:tcPr>
            <w:tcW w:w="2388" w:type="dxa"/>
          </w:tcPr>
          <w:p w14:paraId="6BCC4B61" w14:textId="77777777" w:rsidR="001B5E16" w:rsidRPr="002069E8" w:rsidRDefault="001B5E16" w:rsidP="00F7006A">
            <w:pPr>
              <w:pStyle w:val="Normalnoindent"/>
            </w:pPr>
            <w:r>
              <w:t>Dr Helen Savoia</w:t>
            </w:r>
            <w:r>
              <w:br/>
            </w:r>
          </w:p>
        </w:tc>
        <w:tc>
          <w:tcPr>
            <w:tcW w:w="6134" w:type="dxa"/>
          </w:tcPr>
          <w:p w14:paraId="1774BB7B" w14:textId="214C99C2" w:rsidR="001B5E16" w:rsidRPr="002069E8" w:rsidRDefault="001B5E16" w:rsidP="0043074C">
            <w:pPr>
              <w:pStyle w:val="Normalnoindent"/>
            </w:pPr>
            <w:r w:rsidRPr="00990555">
              <w:t xml:space="preserve">Royal Australian </w:t>
            </w:r>
            <w:r w:rsidR="0043074C">
              <w:t xml:space="preserve">and </w:t>
            </w:r>
            <w:r w:rsidRPr="00990555">
              <w:t xml:space="preserve">New Zealand College of Obstetricians </w:t>
            </w:r>
            <w:r w:rsidR="0043074C">
              <w:t>and</w:t>
            </w:r>
            <w:r w:rsidR="0043074C" w:rsidRPr="00990555">
              <w:t xml:space="preserve"> </w:t>
            </w:r>
            <w:r w:rsidRPr="00990555">
              <w:t>Gynaecologists</w:t>
            </w:r>
          </w:p>
        </w:tc>
      </w:tr>
      <w:tr w:rsidR="001B5E16" w:rsidRPr="002069E8" w14:paraId="2DDE3F44" w14:textId="77777777" w:rsidTr="00F7006A">
        <w:trPr>
          <w:cantSplit/>
        </w:trPr>
        <w:tc>
          <w:tcPr>
            <w:tcW w:w="2388" w:type="dxa"/>
          </w:tcPr>
          <w:p w14:paraId="34408B41" w14:textId="77777777" w:rsidR="001B5E16" w:rsidRPr="002069E8" w:rsidRDefault="001B5E16" w:rsidP="00F7006A">
            <w:pPr>
              <w:pStyle w:val="Normalnoindent"/>
            </w:pPr>
            <w:r>
              <w:t>Dr Amanda Thomson</w:t>
            </w:r>
          </w:p>
        </w:tc>
        <w:tc>
          <w:tcPr>
            <w:tcW w:w="6134" w:type="dxa"/>
          </w:tcPr>
          <w:p w14:paraId="2B2B0EA9" w14:textId="092A6C7C" w:rsidR="001B5E16" w:rsidRPr="002069E8" w:rsidRDefault="001B5E16" w:rsidP="009E764E">
            <w:pPr>
              <w:pStyle w:val="Normalnoindent"/>
            </w:pPr>
            <w:r w:rsidRPr="00990555">
              <w:t xml:space="preserve">Australian </w:t>
            </w:r>
            <w:r w:rsidR="009E764E">
              <w:t>&amp;</w:t>
            </w:r>
            <w:r w:rsidR="009E764E" w:rsidRPr="00990555">
              <w:t xml:space="preserve"> </w:t>
            </w:r>
            <w:r w:rsidRPr="00990555">
              <w:t>New Zealand Society of Blood Transfusion</w:t>
            </w:r>
          </w:p>
        </w:tc>
      </w:tr>
    </w:tbl>
    <w:p w14:paraId="422DCD53" w14:textId="77777777" w:rsidR="001B5E16" w:rsidRDefault="001B5E16" w:rsidP="001B5E16">
      <w:pPr>
        <w:pStyle w:val="Heading3a"/>
      </w:pPr>
      <w:r w:rsidRPr="00172AAE">
        <w:t>Clinical/Consumer Reference Group</w:t>
      </w:r>
      <w:r w:rsidRPr="002D6319">
        <w:t xml:space="preserve"> </w:t>
      </w:r>
      <w:r>
        <w:t xml:space="preserve">– </w:t>
      </w:r>
      <w:r>
        <w:rPr>
          <w:lang w:val="en-AU"/>
        </w:rPr>
        <w:t>neonatal and paediatrics</w:t>
      </w:r>
      <w:r>
        <w:t xml:space="preserve"> module</w:t>
      </w:r>
    </w:p>
    <w:tbl>
      <w:tblPr>
        <w:tblW w:w="8522" w:type="dxa"/>
        <w:tblInd w:w="720" w:type="dxa"/>
        <w:tblLook w:val="00A0" w:firstRow="1" w:lastRow="0" w:firstColumn="1" w:lastColumn="0" w:noHBand="0" w:noVBand="0"/>
      </w:tblPr>
      <w:tblGrid>
        <w:gridCol w:w="2388"/>
        <w:gridCol w:w="2552"/>
        <w:gridCol w:w="3582"/>
      </w:tblGrid>
      <w:tr w:rsidR="00046526" w:rsidRPr="002069E8" w14:paraId="7F1F4974" w14:textId="77777777" w:rsidTr="00F7006A">
        <w:trPr>
          <w:cantSplit/>
        </w:trPr>
        <w:tc>
          <w:tcPr>
            <w:tcW w:w="2388" w:type="dxa"/>
          </w:tcPr>
          <w:p w14:paraId="722AB6C6" w14:textId="2E56DEDA" w:rsidR="00046526" w:rsidRPr="002069E8" w:rsidRDefault="00046526" w:rsidP="00046526">
            <w:pPr>
              <w:pStyle w:val="Normalnoindent"/>
            </w:pPr>
            <w:r>
              <w:t>A/Prof Donald Bowden</w:t>
            </w:r>
          </w:p>
        </w:tc>
        <w:tc>
          <w:tcPr>
            <w:tcW w:w="2552" w:type="dxa"/>
          </w:tcPr>
          <w:p w14:paraId="6BB2D106" w14:textId="60DD5C0C" w:rsidR="00046526" w:rsidRPr="002069E8" w:rsidRDefault="00046526" w:rsidP="00046526">
            <w:pPr>
              <w:pStyle w:val="Normalnoindent"/>
            </w:pPr>
            <w:r>
              <w:t xml:space="preserve">Haematologist </w:t>
            </w:r>
          </w:p>
        </w:tc>
        <w:tc>
          <w:tcPr>
            <w:tcW w:w="3582" w:type="dxa"/>
          </w:tcPr>
          <w:p w14:paraId="4609C033" w14:textId="3AEC3E64" w:rsidR="00046526" w:rsidRPr="002069E8" w:rsidRDefault="00046526" w:rsidP="00046526">
            <w:pPr>
              <w:pStyle w:val="Normalnoindent"/>
            </w:pPr>
            <w:r>
              <w:t>Thalassaemia Australia</w:t>
            </w:r>
          </w:p>
        </w:tc>
      </w:tr>
      <w:tr w:rsidR="00046526" w:rsidRPr="002069E8" w14:paraId="773A41B3" w14:textId="77777777" w:rsidTr="00F7006A">
        <w:trPr>
          <w:cantSplit/>
        </w:trPr>
        <w:tc>
          <w:tcPr>
            <w:tcW w:w="2388" w:type="dxa"/>
          </w:tcPr>
          <w:p w14:paraId="6E51DAAD" w14:textId="023FD170" w:rsidR="00046526" w:rsidRPr="002069E8" w:rsidRDefault="00046526" w:rsidP="00046526">
            <w:pPr>
              <w:pStyle w:val="Normalnoindent"/>
            </w:pPr>
            <w:r>
              <w:t>Dr Gemma Crighton</w:t>
            </w:r>
          </w:p>
        </w:tc>
        <w:tc>
          <w:tcPr>
            <w:tcW w:w="2552" w:type="dxa"/>
          </w:tcPr>
          <w:p w14:paraId="553F22A5" w14:textId="2798EAEA" w:rsidR="00046526" w:rsidRPr="002069E8" w:rsidRDefault="00046526" w:rsidP="00046526">
            <w:pPr>
              <w:pStyle w:val="Normalnoindent"/>
            </w:pPr>
            <w:r>
              <w:t>Paediatric haematologist</w:t>
            </w:r>
          </w:p>
        </w:tc>
        <w:tc>
          <w:tcPr>
            <w:tcW w:w="3582" w:type="dxa"/>
          </w:tcPr>
          <w:p w14:paraId="72210142" w14:textId="271255D0" w:rsidR="00046526" w:rsidRPr="002069E8" w:rsidRDefault="00046526" w:rsidP="00046526">
            <w:pPr>
              <w:pStyle w:val="Normalnoindent"/>
            </w:pPr>
            <w:r w:rsidRPr="0000436D">
              <w:t>Haematology Society of Australia &amp; New Zealand</w:t>
            </w:r>
          </w:p>
        </w:tc>
      </w:tr>
      <w:tr w:rsidR="00046526" w:rsidRPr="002069E8" w14:paraId="1721F549" w14:textId="77777777" w:rsidTr="00F7006A">
        <w:trPr>
          <w:cantSplit/>
        </w:trPr>
        <w:tc>
          <w:tcPr>
            <w:tcW w:w="2388" w:type="dxa"/>
          </w:tcPr>
          <w:p w14:paraId="10F772A1" w14:textId="200CDC7C" w:rsidR="00046526" w:rsidRDefault="00046526" w:rsidP="00046526">
            <w:pPr>
              <w:pStyle w:val="Normalnoindent"/>
            </w:pPr>
            <w:r>
              <w:t>Mr Shannon Farmer</w:t>
            </w:r>
          </w:p>
        </w:tc>
        <w:tc>
          <w:tcPr>
            <w:tcW w:w="2552" w:type="dxa"/>
          </w:tcPr>
          <w:p w14:paraId="7FF5550A" w14:textId="6AAF3C70" w:rsidR="00046526" w:rsidRPr="00FC4CD7" w:rsidRDefault="00046526" w:rsidP="00046526">
            <w:pPr>
              <w:pStyle w:val="Normalnoindent"/>
            </w:pPr>
            <w:r w:rsidRPr="0020597C">
              <w:t>PBM consultant</w:t>
            </w:r>
          </w:p>
        </w:tc>
        <w:tc>
          <w:tcPr>
            <w:tcW w:w="3582" w:type="dxa"/>
          </w:tcPr>
          <w:p w14:paraId="01CC5693" w14:textId="46BB2A33" w:rsidR="00046526" w:rsidRPr="00566022" w:rsidRDefault="00046526" w:rsidP="00046526">
            <w:pPr>
              <w:pStyle w:val="Normalnoindent"/>
            </w:pPr>
            <w:r>
              <w:t>Not applicable</w:t>
            </w:r>
          </w:p>
        </w:tc>
      </w:tr>
      <w:tr w:rsidR="00046526" w:rsidRPr="002069E8" w14:paraId="531BA02F" w14:textId="77777777" w:rsidTr="00F7006A">
        <w:trPr>
          <w:cantSplit/>
        </w:trPr>
        <w:tc>
          <w:tcPr>
            <w:tcW w:w="2388" w:type="dxa"/>
          </w:tcPr>
          <w:p w14:paraId="0CCBA7A0" w14:textId="0978C4D9" w:rsidR="00046526" w:rsidRDefault="00046526" w:rsidP="00046526">
            <w:pPr>
              <w:pStyle w:val="Normalnoindent"/>
            </w:pPr>
            <w:r>
              <w:t>Dr Chris Fraser</w:t>
            </w:r>
          </w:p>
        </w:tc>
        <w:tc>
          <w:tcPr>
            <w:tcW w:w="2552" w:type="dxa"/>
          </w:tcPr>
          <w:p w14:paraId="7BEA4EC8" w14:textId="0855A21A" w:rsidR="00046526" w:rsidRPr="00FC4CD7" w:rsidRDefault="00046526" w:rsidP="00046526">
            <w:pPr>
              <w:pStyle w:val="Normalnoindent"/>
            </w:pPr>
            <w:r w:rsidRPr="0000436D">
              <w:t xml:space="preserve">Paediatric </w:t>
            </w:r>
            <w:r>
              <w:t>o</w:t>
            </w:r>
            <w:r w:rsidRPr="0000436D">
              <w:t>ncologist</w:t>
            </w:r>
          </w:p>
        </w:tc>
        <w:tc>
          <w:tcPr>
            <w:tcW w:w="3582" w:type="dxa"/>
          </w:tcPr>
          <w:p w14:paraId="3461226A" w14:textId="77777777" w:rsidR="005903B1" w:rsidRDefault="00046526" w:rsidP="00046526">
            <w:pPr>
              <w:pStyle w:val="Normalnoindent"/>
            </w:pPr>
            <w:r w:rsidRPr="0000436D">
              <w:t>Royal Australasian College of Physicians</w:t>
            </w:r>
            <w:r w:rsidR="005903B1">
              <w:t>, and</w:t>
            </w:r>
          </w:p>
          <w:p w14:paraId="66DD4E8F" w14:textId="433329D8" w:rsidR="00046526" w:rsidRPr="00566022" w:rsidRDefault="005903B1" w:rsidP="00046526">
            <w:pPr>
              <w:pStyle w:val="Normalnoindent"/>
            </w:pPr>
            <w:r>
              <w:t>Australian and New Zealand Children’s Haematology/Oncology Group</w:t>
            </w:r>
          </w:p>
        </w:tc>
      </w:tr>
      <w:tr w:rsidR="00046526" w:rsidRPr="002069E8" w14:paraId="2BE1BE18" w14:textId="77777777" w:rsidTr="00F7006A">
        <w:trPr>
          <w:cantSplit/>
        </w:trPr>
        <w:tc>
          <w:tcPr>
            <w:tcW w:w="2388" w:type="dxa"/>
          </w:tcPr>
          <w:p w14:paraId="65DD1BEA" w14:textId="6577D08D" w:rsidR="00046526" w:rsidRPr="002069E8" w:rsidRDefault="00046526" w:rsidP="00046526">
            <w:pPr>
              <w:pStyle w:val="Normalnoindent"/>
            </w:pPr>
            <w:r>
              <w:t xml:space="preserve">A/Prof </w:t>
            </w:r>
            <w:r w:rsidRPr="002069E8">
              <w:t xml:space="preserve">Craig French </w:t>
            </w:r>
          </w:p>
        </w:tc>
        <w:tc>
          <w:tcPr>
            <w:tcW w:w="2552" w:type="dxa"/>
          </w:tcPr>
          <w:p w14:paraId="6E84CEF9" w14:textId="5179B46A" w:rsidR="00046526" w:rsidRDefault="00046526" w:rsidP="00046526">
            <w:pPr>
              <w:pStyle w:val="Normalnoindent"/>
            </w:pPr>
            <w:r>
              <w:t>Intensive care physician</w:t>
            </w:r>
          </w:p>
        </w:tc>
        <w:tc>
          <w:tcPr>
            <w:tcW w:w="3582" w:type="dxa"/>
          </w:tcPr>
          <w:p w14:paraId="58717628" w14:textId="6F5464B8" w:rsidR="00046526" w:rsidRPr="00990555" w:rsidRDefault="00046526" w:rsidP="00046526">
            <w:pPr>
              <w:pStyle w:val="Normalnoindent"/>
            </w:pPr>
            <w:r>
              <w:t>Australian and</w:t>
            </w:r>
            <w:r w:rsidRPr="00990555">
              <w:t xml:space="preserve"> New Zealand Intensive Care Society</w:t>
            </w:r>
            <w:r>
              <w:t>,</w:t>
            </w:r>
            <w:r w:rsidRPr="00990555">
              <w:t xml:space="preserve"> and </w:t>
            </w:r>
          </w:p>
          <w:p w14:paraId="78B7526B" w14:textId="13CEBCAB" w:rsidR="00046526" w:rsidRPr="00566022" w:rsidRDefault="00046526" w:rsidP="00046526">
            <w:pPr>
              <w:pStyle w:val="Normalnoindent"/>
            </w:pPr>
            <w:r w:rsidRPr="00990555">
              <w:t>College of Intensive Care Medicine of Australia and New Zealand</w:t>
            </w:r>
          </w:p>
        </w:tc>
      </w:tr>
      <w:tr w:rsidR="00046526" w:rsidRPr="002069E8" w14:paraId="751FFB28" w14:textId="77777777" w:rsidTr="00F7006A">
        <w:trPr>
          <w:cantSplit/>
        </w:trPr>
        <w:tc>
          <w:tcPr>
            <w:tcW w:w="2388" w:type="dxa"/>
          </w:tcPr>
          <w:p w14:paraId="0E4675DD" w14:textId="1AC19F48" w:rsidR="00046526" w:rsidRPr="002069E8" w:rsidRDefault="00046526" w:rsidP="00046526">
            <w:pPr>
              <w:pStyle w:val="Normalnoindent"/>
            </w:pPr>
            <w:r>
              <w:t>Dr Glenn Gardener</w:t>
            </w:r>
          </w:p>
        </w:tc>
        <w:tc>
          <w:tcPr>
            <w:tcW w:w="2552" w:type="dxa"/>
          </w:tcPr>
          <w:p w14:paraId="40245C47" w14:textId="07A0F620" w:rsidR="00046526" w:rsidRDefault="00046526" w:rsidP="00046526">
            <w:pPr>
              <w:pStyle w:val="Normalnoindent"/>
            </w:pPr>
            <w:r w:rsidRPr="0000436D">
              <w:t xml:space="preserve">Obstetrician </w:t>
            </w:r>
            <w:r>
              <w:t>and maternal f</w:t>
            </w:r>
            <w:r w:rsidRPr="0000436D">
              <w:t xml:space="preserve">etal </w:t>
            </w:r>
            <w:r>
              <w:t>m</w:t>
            </w:r>
            <w:r w:rsidRPr="0000436D">
              <w:t xml:space="preserve">edicine </w:t>
            </w:r>
            <w:r>
              <w:t>s</w:t>
            </w:r>
            <w:r w:rsidRPr="0000436D">
              <w:t>pecialist</w:t>
            </w:r>
          </w:p>
        </w:tc>
        <w:tc>
          <w:tcPr>
            <w:tcW w:w="3582" w:type="dxa"/>
          </w:tcPr>
          <w:p w14:paraId="68A664B3" w14:textId="77777777" w:rsidR="00046526" w:rsidRDefault="00046526" w:rsidP="00046526">
            <w:pPr>
              <w:pStyle w:val="Normalnoindent"/>
            </w:pPr>
            <w:r>
              <w:t xml:space="preserve">Perinatal Society of Australia and New Zealand, and </w:t>
            </w:r>
          </w:p>
          <w:p w14:paraId="46DF0718" w14:textId="5272091C" w:rsidR="00046526" w:rsidRPr="00990555" w:rsidRDefault="00046526" w:rsidP="00046526">
            <w:pPr>
              <w:pStyle w:val="Normalnoindent"/>
            </w:pPr>
            <w:r>
              <w:t>Royal Australian and New Zealand College of Obstetricians and Gynaecologists</w:t>
            </w:r>
          </w:p>
        </w:tc>
      </w:tr>
      <w:tr w:rsidR="00046526" w:rsidRPr="002069E8" w14:paraId="0848C16C" w14:textId="77777777" w:rsidTr="00F7006A">
        <w:trPr>
          <w:cantSplit/>
        </w:trPr>
        <w:tc>
          <w:tcPr>
            <w:tcW w:w="2388" w:type="dxa"/>
          </w:tcPr>
          <w:p w14:paraId="66F32CC2" w14:textId="19DEA127" w:rsidR="00046526" w:rsidRDefault="00046526" w:rsidP="00046526">
            <w:pPr>
              <w:pStyle w:val="Normalnoindent"/>
            </w:pPr>
            <w:r>
              <w:t>Dr Susan Hale</w:t>
            </w:r>
          </w:p>
        </w:tc>
        <w:tc>
          <w:tcPr>
            <w:tcW w:w="2552" w:type="dxa"/>
          </w:tcPr>
          <w:p w14:paraId="1A08F8CD" w14:textId="019FC068" w:rsidR="00046526" w:rsidRPr="00FC4CD7" w:rsidRDefault="00046526" w:rsidP="00046526">
            <w:pPr>
              <w:pStyle w:val="Normalnoindent"/>
            </w:pPr>
            <w:r w:rsidRPr="006E3CC3">
              <w:t>Paediatric cardiac anaesthetist</w:t>
            </w:r>
          </w:p>
        </w:tc>
        <w:tc>
          <w:tcPr>
            <w:tcW w:w="3582" w:type="dxa"/>
          </w:tcPr>
          <w:p w14:paraId="653DA0A5" w14:textId="1B365F1F" w:rsidR="00046526" w:rsidRPr="00990555" w:rsidRDefault="00046526" w:rsidP="00046526">
            <w:pPr>
              <w:pStyle w:val="Normalnoindent"/>
            </w:pPr>
            <w:r>
              <w:t>Independent clinical expert</w:t>
            </w:r>
          </w:p>
        </w:tc>
      </w:tr>
      <w:tr w:rsidR="00046526" w:rsidRPr="002069E8" w14:paraId="5F5A95DF" w14:textId="77777777" w:rsidTr="00F7006A">
        <w:trPr>
          <w:cantSplit/>
        </w:trPr>
        <w:tc>
          <w:tcPr>
            <w:tcW w:w="2388" w:type="dxa"/>
          </w:tcPr>
          <w:p w14:paraId="6A30F9CA" w14:textId="69AF6CEC" w:rsidR="00046526" w:rsidRDefault="00046526" w:rsidP="00046526">
            <w:pPr>
              <w:pStyle w:val="Normalnoindent"/>
            </w:pPr>
            <w:r>
              <w:t>A/Prof Helen Liley</w:t>
            </w:r>
          </w:p>
        </w:tc>
        <w:tc>
          <w:tcPr>
            <w:tcW w:w="2552" w:type="dxa"/>
          </w:tcPr>
          <w:p w14:paraId="73EBA501" w14:textId="35C43A84" w:rsidR="00046526" w:rsidRPr="00FC4CD7" w:rsidRDefault="00046526" w:rsidP="00046526">
            <w:pPr>
              <w:pStyle w:val="Normalnoindent"/>
            </w:pPr>
            <w:r w:rsidRPr="00600B0B">
              <w:t>Neonatologist</w:t>
            </w:r>
          </w:p>
        </w:tc>
        <w:tc>
          <w:tcPr>
            <w:tcW w:w="3582" w:type="dxa"/>
          </w:tcPr>
          <w:p w14:paraId="262ECE31" w14:textId="77777777" w:rsidR="00046526" w:rsidRDefault="00046526" w:rsidP="00046526">
            <w:pPr>
              <w:pStyle w:val="Normalnoindent"/>
            </w:pPr>
            <w:r w:rsidRPr="006E3CC3">
              <w:t>Royal Australian College of Physicians (Paediat</w:t>
            </w:r>
            <w:r>
              <w:t>rics and Child Health Division), and</w:t>
            </w:r>
          </w:p>
          <w:p w14:paraId="775DAA48" w14:textId="6CA8FB93" w:rsidR="00046526" w:rsidRPr="00AB6895" w:rsidRDefault="00046526" w:rsidP="00046526">
            <w:pPr>
              <w:pStyle w:val="Normalnoindent"/>
            </w:pPr>
            <w:r w:rsidRPr="006E3CC3">
              <w:t>Perinatal Society of Australia and New Zealand</w:t>
            </w:r>
          </w:p>
        </w:tc>
      </w:tr>
      <w:tr w:rsidR="00046526" w:rsidRPr="002069E8" w14:paraId="119D6214" w14:textId="77777777" w:rsidTr="00F7006A">
        <w:trPr>
          <w:cantSplit/>
        </w:trPr>
        <w:tc>
          <w:tcPr>
            <w:tcW w:w="2388" w:type="dxa"/>
          </w:tcPr>
          <w:p w14:paraId="313486D2" w14:textId="7E430850" w:rsidR="00046526" w:rsidRDefault="00046526" w:rsidP="00046526">
            <w:pPr>
              <w:pStyle w:val="Normalnoindent"/>
            </w:pPr>
            <w:r>
              <w:t>Prof Rhonda Marriott</w:t>
            </w:r>
          </w:p>
        </w:tc>
        <w:tc>
          <w:tcPr>
            <w:tcW w:w="2552" w:type="dxa"/>
          </w:tcPr>
          <w:p w14:paraId="4724F4F7" w14:textId="42057F12" w:rsidR="00046526" w:rsidRPr="0020597C" w:rsidRDefault="00046526" w:rsidP="00046526">
            <w:pPr>
              <w:pStyle w:val="Normalnoindent"/>
            </w:pPr>
            <w:r w:rsidRPr="000F0BE1">
              <w:t>Aboriginal and Torres Strait Islander representative</w:t>
            </w:r>
          </w:p>
        </w:tc>
        <w:tc>
          <w:tcPr>
            <w:tcW w:w="3582" w:type="dxa"/>
          </w:tcPr>
          <w:p w14:paraId="6FD676ED" w14:textId="6554E5A2" w:rsidR="00046526" w:rsidRPr="00990555" w:rsidRDefault="00046526" w:rsidP="00046526">
            <w:pPr>
              <w:pStyle w:val="Normalnoindent"/>
            </w:pPr>
            <w:r>
              <w:t>Not applicable</w:t>
            </w:r>
          </w:p>
        </w:tc>
      </w:tr>
      <w:tr w:rsidR="00046526" w:rsidRPr="002069E8" w14:paraId="689C0474" w14:textId="77777777" w:rsidTr="00F7006A">
        <w:trPr>
          <w:cantSplit/>
        </w:trPr>
        <w:tc>
          <w:tcPr>
            <w:tcW w:w="2388" w:type="dxa"/>
          </w:tcPr>
          <w:p w14:paraId="5DC85608" w14:textId="12C37D7A" w:rsidR="00046526" w:rsidRDefault="00046526" w:rsidP="00046526">
            <w:pPr>
              <w:pStyle w:val="Normalnoindent"/>
            </w:pPr>
            <w:r>
              <w:t>Ms Lauren Porter</w:t>
            </w:r>
          </w:p>
        </w:tc>
        <w:tc>
          <w:tcPr>
            <w:tcW w:w="2552" w:type="dxa"/>
          </w:tcPr>
          <w:p w14:paraId="699956A8" w14:textId="5F1047D1" w:rsidR="00046526" w:rsidRPr="00FC4CD7" w:rsidRDefault="00046526" w:rsidP="00046526">
            <w:pPr>
              <w:pStyle w:val="Normalnoindent"/>
            </w:pPr>
            <w:r w:rsidRPr="00FC4CD7">
              <w:t>Consumer representativ</w:t>
            </w:r>
            <w:r>
              <w:t>e</w:t>
            </w:r>
          </w:p>
        </w:tc>
        <w:tc>
          <w:tcPr>
            <w:tcW w:w="3582" w:type="dxa"/>
          </w:tcPr>
          <w:p w14:paraId="3A9E5E7F" w14:textId="2B967A2F" w:rsidR="00046526" w:rsidRPr="00990555" w:rsidRDefault="00046526" w:rsidP="00046526">
            <w:pPr>
              <w:pStyle w:val="Normalnoindent"/>
            </w:pPr>
            <w:r>
              <w:t>Not applicable</w:t>
            </w:r>
          </w:p>
        </w:tc>
      </w:tr>
      <w:tr w:rsidR="00046526" w:rsidRPr="002069E8" w14:paraId="03A4DD76" w14:textId="77777777" w:rsidTr="00F7006A">
        <w:trPr>
          <w:cantSplit/>
        </w:trPr>
        <w:tc>
          <w:tcPr>
            <w:tcW w:w="2388" w:type="dxa"/>
          </w:tcPr>
          <w:p w14:paraId="4463B992" w14:textId="3B544DDF" w:rsidR="00046526" w:rsidRDefault="00046526" w:rsidP="00046526">
            <w:pPr>
              <w:pStyle w:val="Normalnoindent"/>
            </w:pPr>
            <w:r>
              <w:t>Dr Sylvio Provenzano</w:t>
            </w:r>
          </w:p>
        </w:tc>
        <w:tc>
          <w:tcPr>
            <w:tcW w:w="2552" w:type="dxa"/>
          </w:tcPr>
          <w:p w14:paraId="40D2F14D" w14:textId="1DCD297E" w:rsidR="00046526" w:rsidRPr="00FC4CD7" w:rsidRDefault="00046526" w:rsidP="00046526">
            <w:pPr>
              <w:pStyle w:val="Normalnoindent"/>
            </w:pPr>
            <w:r w:rsidRPr="000F0BE1">
              <w:t>Paediatric cardiac surgeon</w:t>
            </w:r>
          </w:p>
        </w:tc>
        <w:tc>
          <w:tcPr>
            <w:tcW w:w="3582" w:type="dxa"/>
          </w:tcPr>
          <w:p w14:paraId="777FF9F3" w14:textId="1A01FB2F" w:rsidR="00046526" w:rsidRDefault="00046526" w:rsidP="00046526">
            <w:pPr>
              <w:pStyle w:val="Normalnoindent"/>
            </w:pPr>
            <w:r w:rsidRPr="000F0BE1">
              <w:t>Royal Australasian College of Surgeons</w:t>
            </w:r>
          </w:p>
        </w:tc>
      </w:tr>
      <w:tr w:rsidR="00046526" w:rsidRPr="002069E8" w14:paraId="71C2883A" w14:textId="77777777" w:rsidTr="00F7006A">
        <w:trPr>
          <w:cantSplit/>
        </w:trPr>
        <w:tc>
          <w:tcPr>
            <w:tcW w:w="2388" w:type="dxa"/>
          </w:tcPr>
          <w:p w14:paraId="66D0A6D8" w14:textId="0789FE73" w:rsidR="00046526" w:rsidRDefault="00046526" w:rsidP="00046526">
            <w:pPr>
              <w:pStyle w:val="Normalnoindent"/>
            </w:pPr>
            <w:r>
              <w:t>Prof Linda Shields</w:t>
            </w:r>
          </w:p>
        </w:tc>
        <w:tc>
          <w:tcPr>
            <w:tcW w:w="2552" w:type="dxa"/>
          </w:tcPr>
          <w:p w14:paraId="6D9DA866" w14:textId="33409C71" w:rsidR="00046526" w:rsidRPr="000F0BE1" w:rsidRDefault="00046526" w:rsidP="00046526">
            <w:pPr>
              <w:pStyle w:val="Normalnoindent"/>
            </w:pPr>
            <w:r w:rsidRPr="00441E85">
              <w:t xml:space="preserve">Professor of </w:t>
            </w:r>
            <w:r>
              <w:t>n</w:t>
            </w:r>
            <w:r w:rsidRPr="00441E85">
              <w:t>ursing</w:t>
            </w:r>
          </w:p>
        </w:tc>
        <w:tc>
          <w:tcPr>
            <w:tcW w:w="3582" w:type="dxa"/>
          </w:tcPr>
          <w:p w14:paraId="54523B87" w14:textId="36159AD0" w:rsidR="00046526" w:rsidRPr="000F0BE1" w:rsidRDefault="00046526" w:rsidP="00046526">
            <w:pPr>
              <w:pStyle w:val="Normalnoindent"/>
            </w:pPr>
            <w:r w:rsidRPr="000F0BE1">
              <w:t>Australian College of Children and Young People’s Nurses</w:t>
            </w:r>
          </w:p>
        </w:tc>
      </w:tr>
      <w:tr w:rsidR="00046526" w:rsidRPr="002069E8" w14:paraId="60E2B39B" w14:textId="77777777" w:rsidTr="00F7006A">
        <w:trPr>
          <w:cantSplit/>
        </w:trPr>
        <w:tc>
          <w:tcPr>
            <w:tcW w:w="2388" w:type="dxa"/>
          </w:tcPr>
          <w:p w14:paraId="4EF0FF46" w14:textId="4E416CF9" w:rsidR="00046526" w:rsidRDefault="00046526" w:rsidP="00046526">
            <w:pPr>
              <w:pStyle w:val="Normalnoindent"/>
            </w:pPr>
            <w:r>
              <w:t>Dr Michael Stark</w:t>
            </w:r>
          </w:p>
        </w:tc>
        <w:tc>
          <w:tcPr>
            <w:tcW w:w="2552" w:type="dxa"/>
          </w:tcPr>
          <w:p w14:paraId="0E7DF0FB" w14:textId="44111BF7" w:rsidR="00046526" w:rsidRDefault="00046526" w:rsidP="00046526">
            <w:pPr>
              <w:pStyle w:val="Normalnoindent"/>
            </w:pPr>
            <w:r w:rsidRPr="00441E85">
              <w:t xml:space="preserve">Consultant </w:t>
            </w:r>
            <w:r>
              <w:t>n</w:t>
            </w:r>
            <w:r w:rsidRPr="00441E85">
              <w:t>eonatologist</w:t>
            </w:r>
          </w:p>
        </w:tc>
        <w:tc>
          <w:tcPr>
            <w:tcW w:w="3582" w:type="dxa"/>
          </w:tcPr>
          <w:p w14:paraId="10928AC7" w14:textId="1C53D8BA" w:rsidR="00046526" w:rsidRPr="000F0BE1" w:rsidRDefault="00046526" w:rsidP="00046526">
            <w:pPr>
              <w:pStyle w:val="Normalnoindent"/>
            </w:pPr>
            <w:r w:rsidRPr="000F0BE1">
              <w:t>Perinatal Society of Australia and New Zealand</w:t>
            </w:r>
          </w:p>
        </w:tc>
      </w:tr>
      <w:tr w:rsidR="00046526" w:rsidRPr="002069E8" w14:paraId="554755B3" w14:textId="77777777" w:rsidTr="00F7006A">
        <w:trPr>
          <w:cantSplit/>
        </w:trPr>
        <w:tc>
          <w:tcPr>
            <w:tcW w:w="2388" w:type="dxa"/>
          </w:tcPr>
          <w:p w14:paraId="74112DCD" w14:textId="4F17ECEC" w:rsidR="00046526" w:rsidRDefault="00046526" w:rsidP="00046526">
            <w:pPr>
              <w:pStyle w:val="Normalnoindent"/>
            </w:pPr>
            <w:r>
              <w:t>Dr Christian Stocker</w:t>
            </w:r>
          </w:p>
        </w:tc>
        <w:tc>
          <w:tcPr>
            <w:tcW w:w="2552" w:type="dxa"/>
          </w:tcPr>
          <w:p w14:paraId="52171246" w14:textId="7AFD5E43" w:rsidR="00046526" w:rsidRPr="000F0BE1" w:rsidRDefault="00046526" w:rsidP="00046526">
            <w:pPr>
              <w:pStyle w:val="Normalnoindent"/>
              <w:rPr>
                <w:highlight w:val="yellow"/>
              </w:rPr>
            </w:pPr>
            <w:r w:rsidRPr="000F0BE1">
              <w:t xml:space="preserve">Paediatric </w:t>
            </w:r>
            <w:r>
              <w:t>i</w:t>
            </w:r>
            <w:r w:rsidRPr="000F0BE1">
              <w:t>ntensivist</w:t>
            </w:r>
          </w:p>
        </w:tc>
        <w:tc>
          <w:tcPr>
            <w:tcW w:w="3582" w:type="dxa"/>
          </w:tcPr>
          <w:p w14:paraId="5A24EA8F" w14:textId="21C3BC25" w:rsidR="00046526" w:rsidRPr="000F0BE1" w:rsidRDefault="00046526" w:rsidP="00046526">
            <w:pPr>
              <w:pStyle w:val="Normalnoindent"/>
            </w:pPr>
            <w:r w:rsidRPr="000F0BE1">
              <w:t>College of Intensive Care Medicine</w:t>
            </w:r>
            <w:r w:rsidR="009E764E">
              <w:t xml:space="preserve"> </w:t>
            </w:r>
            <w:r w:rsidR="009E764E" w:rsidRPr="009E764E">
              <w:t>of Australia and New Zealand</w:t>
            </w:r>
          </w:p>
        </w:tc>
      </w:tr>
      <w:tr w:rsidR="00046526" w:rsidRPr="002069E8" w14:paraId="1A5D9649" w14:textId="77777777" w:rsidTr="00F7006A">
        <w:trPr>
          <w:cantSplit/>
        </w:trPr>
        <w:tc>
          <w:tcPr>
            <w:tcW w:w="2388" w:type="dxa"/>
          </w:tcPr>
          <w:p w14:paraId="2CAFA77E" w14:textId="33AD7AAD" w:rsidR="00046526" w:rsidRDefault="00046526" w:rsidP="00046526">
            <w:pPr>
              <w:pStyle w:val="Normalnoindent"/>
            </w:pPr>
            <w:r>
              <w:t>Dr Amanda Thomson</w:t>
            </w:r>
          </w:p>
        </w:tc>
        <w:tc>
          <w:tcPr>
            <w:tcW w:w="2552" w:type="dxa"/>
          </w:tcPr>
          <w:p w14:paraId="69B96317" w14:textId="6532D1C1" w:rsidR="00046526" w:rsidRPr="00FC4CD7" w:rsidRDefault="00046526" w:rsidP="00046526">
            <w:pPr>
              <w:pStyle w:val="Normalnoindent"/>
            </w:pPr>
            <w:r w:rsidRPr="00FC4CD7">
              <w:t>Haematologist</w:t>
            </w:r>
          </w:p>
        </w:tc>
        <w:tc>
          <w:tcPr>
            <w:tcW w:w="3582" w:type="dxa"/>
          </w:tcPr>
          <w:p w14:paraId="081B4CCA" w14:textId="19277A44" w:rsidR="00046526" w:rsidRPr="00990555" w:rsidRDefault="00046526" w:rsidP="00046526">
            <w:pPr>
              <w:pStyle w:val="Normalnoindent"/>
            </w:pPr>
            <w:r>
              <w:t>Australian &amp; New Zealand Society of Blood Transfusion</w:t>
            </w:r>
          </w:p>
        </w:tc>
      </w:tr>
      <w:tr w:rsidR="00046526" w:rsidRPr="002069E8" w14:paraId="750F5651" w14:textId="77777777" w:rsidTr="00F7006A">
        <w:trPr>
          <w:cantSplit/>
        </w:trPr>
        <w:tc>
          <w:tcPr>
            <w:tcW w:w="2388" w:type="dxa"/>
          </w:tcPr>
          <w:p w14:paraId="135B2B24" w14:textId="45B198D6" w:rsidR="00046526" w:rsidRDefault="00046526" w:rsidP="00046526">
            <w:pPr>
              <w:pStyle w:val="Normalnoindent"/>
            </w:pPr>
            <w:r>
              <w:t>Dr Bronwyn Williams</w:t>
            </w:r>
          </w:p>
        </w:tc>
        <w:tc>
          <w:tcPr>
            <w:tcW w:w="2552" w:type="dxa"/>
          </w:tcPr>
          <w:p w14:paraId="2B92B588" w14:textId="639CF5B0" w:rsidR="00046526" w:rsidRPr="00FC4CD7" w:rsidRDefault="00046526" w:rsidP="00046526">
            <w:pPr>
              <w:pStyle w:val="Normalnoindent"/>
            </w:pPr>
            <w:r>
              <w:t xml:space="preserve">Haematologist </w:t>
            </w:r>
          </w:p>
        </w:tc>
        <w:tc>
          <w:tcPr>
            <w:tcW w:w="3582" w:type="dxa"/>
          </w:tcPr>
          <w:p w14:paraId="364AF7C0" w14:textId="2D7390AA" w:rsidR="00046526" w:rsidRPr="00990555" w:rsidRDefault="00046526" w:rsidP="00046526">
            <w:pPr>
              <w:pStyle w:val="Normalnoindent"/>
            </w:pPr>
            <w:r w:rsidRPr="000F0BE1">
              <w:t>Royal College of Pathologists of Australasia</w:t>
            </w:r>
          </w:p>
        </w:tc>
      </w:tr>
    </w:tbl>
    <w:p w14:paraId="686F4BE6" w14:textId="440D0F04" w:rsidR="001B5E16" w:rsidRDefault="001B5E16" w:rsidP="001B5E16">
      <w:pPr>
        <w:pStyle w:val="Heading3a"/>
        <w:ind w:left="709" w:firstLine="11"/>
        <w:rPr>
          <w:lang w:val="en-US"/>
        </w:rPr>
      </w:pPr>
      <w:r>
        <w:rPr>
          <w:lang w:val="en-US"/>
        </w:rPr>
        <w:t xml:space="preserve">Background </w:t>
      </w:r>
      <w:r w:rsidR="006A0A21">
        <w:rPr>
          <w:lang w:val="en-US"/>
        </w:rPr>
        <w:t xml:space="preserve">researchers </w:t>
      </w:r>
      <w:r>
        <w:t xml:space="preserve">– </w:t>
      </w:r>
      <w:r>
        <w:rPr>
          <w:lang w:val="en-AU"/>
        </w:rPr>
        <w:t>neonatal and paediatrics</w:t>
      </w:r>
      <w:r>
        <w:t xml:space="preserve"> module</w:t>
      </w:r>
    </w:p>
    <w:tbl>
      <w:tblPr>
        <w:tblW w:w="0" w:type="auto"/>
        <w:tblInd w:w="720" w:type="dxa"/>
        <w:tblLook w:val="04A0" w:firstRow="1" w:lastRow="0" w:firstColumn="1" w:lastColumn="0" w:noHBand="0" w:noVBand="1"/>
      </w:tblPr>
      <w:tblGrid>
        <w:gridCol w:w="2474"/>
        <w:gridCol w:w="5832"/>
      </w:tblGrid>
      <w:tr w:rsidR="001B5E16" w14:paraId="20B9FCDD" w14:textId="77777777" w:rsidTr="00E546D3">
        <w:trPr>
          <w:cantSplit/>
        </w:trPr>
        <w:tc>
          <w:tcPr>
            <w:tcW w:w="8306" w:type="dxa"/>
            <w:gridSpan w:val="2"/>
          </w:tcPr>
          <w:p w14:paraId="10BF94BE" w14:textId="0C767D55" w:rsidR="001B5E16" w:rsidRPr="00E64DA3" w:rsidRDefault="001B5E16" w:rsidP="00F7006A">
            <w:pPr>
              <w:ind w:left="0"/>
              <w:rPr>
                <w:lang w:val="en-US"/>
              </w:rPr>
            </w:pPr>
            <w:r w:rsidRPr="00AF2266">
              <w:rPr>
                <w:b/>
                <w:lang w:val="en-US"/>
              </w:rPr>
              <w:t xml:space="preserve">Background </w:t>
            </w:r>
            <w:r w:rsidR="0043074C" w:rsidRPr="00AF2266">
              <w:rPr>
                <w:b/>
                <w:lang w:val="en-US"/>
              </w:rPr>
              <w:t xml:space="preserve">question </w:t>
            </w:r>
            <w:r w:rsidRPr="00AF2266">
              <w:rPr>
                <w:b/>
                <w:lang w:val="en-US"/>
              </w:rPr>
              <w:t>1</w:t>
            </w:r>
          </w:p>
        </w:tc>
      </w:tr>
      <w:tr w:rsidR="006A0A21" w14:paraId="17629F8F" w14:textId="77777777" w:rsidTr="00E546D3">
        <w:trPr>
          <w:cantSplit/>
        </w:trPr>
        <w:tc>
          <w:tcPr>
            <w:tcW w:w="2474" w:type="dxa"/>
          </w:tcPr>
          <w:p w14:paraId="1A267AD6" w14:textId="15B368B4" w:rsidR="006A0A21" w:rsidRPr="00671DAD" w:rsidRDefault="006A0A21" w:rsidP="006A0A21">
            <w:pPr>
              <w:ind w:left="0"/>
            </w:pPr>
            <w:r>
              <w:t>Dr Amy Kier</w:t>
            </w:r>
          </w:p>
        </w:tc>
        <w:tc>
          <w:tcPr>
            <w:tcW w:w="5832" w:type="dxa"/>
          </w:tcPr>
          <w:p w14:paraId="51432155" w14:textId="17CA7E0A" w:rsidR="006A0A21" w:rsidRDefault="006A0A21" w:rsidP="006A0A21">
            <w:pPr>
              <w:ind w:left="0"/>
            </w:pPr>
            <w:r>
              <w:rPr>
                <w:rFonts w:cs="Calibri"/>
              </w:rPr>
              <w:t xml:space="preserve">Consultant neonatologist </w:t>
            </w:r>
            <w:r>
              <w:t>(</w:t>
            </w:r>
            <w:r w:rsidRPr="002F0E6F">
              <w:t>Supervisor</w:t>
            </w:r>
            <w:r w:rsidR="00C94E82">
              <w:t>,</w:t>
            </w:r>
            <w:r w:rsidRPr="002F0E6F">
              <w:t xml:space="preserve"> Dr Michael Stark)</w:t>
            </w:r>
          </w:p>
        </w:tc>
      </w:tr>
      <w:tr w:rsidR="006A0A21" w14:paraId="38435E3B" w14:textId="77777777" w:rsidTr="00E546D3">
        <w:trPr>
          <w:cantSplit/>
        </w:trPr>
        <w:tc>
          <w:tcPr>
            <w:tcW w:w="2474" w:type="dxa"/>
          </w:tcPr>
          <w:p w14:paraId="3D8FF715" w14:textId="57236F25" w:rsidR="006A0A21" w:rsidRPr="008202FA" w:rsidRDefault="006A0A21" w:rsidP="006A0A21">
            <w:pPr>
              <w:ind w:left="0"/>
            </w:pPr>
            <w:r w:rsidRPr="00462C95">
              <w:rPr>
                <w:rFonts w:cs="Calibri"/>
              </w:rPr>
              <w:t>Dr David Risson</w:t>
            </w:r>
          </w:p>
        </w:tc>
        <w:tc>
          <w:tcPr>
            <w:tcW w:w="5832" w:type="dxa"/>
          </w:tcPr>
          <w:p w14:paraId="5706BB11" w14:textId="26E75B28" w:rsidR="006A0A21" w:rsidRPr="00B504EF" w:rsidRDefault="006A0A21" w:rsidP="006A0A21">
            <w:pPr>
              <w:ind w:left="0"/>
            </w:pPr>
            <w:r w:rsidRPr="00B504EF">
              <w:rPr>
                <w:rFonts w:cs="Calibri"/>
              </w:rPr>
              <w:t xml:space="preserve">Neonatal </w:t>
            </w:r>
            <w:r>
              <w:rPr>
                <w:rFonts w:cs="Calibri"/>
              </w:rPr>
              <w:t>f</w:t>
            </w:r>
            <w:r w:rsidRPr="00B504EF">
              <w:rPr>
                <w:rFonts w:cs="Calibri"/>
              </w:rPr>
              <w:t xml:space="preserve">ellow - Mater Mothers’ Hospital </w:t>
            </w:r>
            <w:r w:rsidR="00C94E82">
              <w:rPr>
                <w:rFonts w:cs="Calibri"/>
              </w:rPr>
              <w:br/>
            </w:r>
            <w:r w:rsidRPr="00B504EF">
              <w:rPr>
                <w:rFonts w:cs="Calibri"/>
              </w:rPr>
              <w:t>(Supervisor</w:t>
            </w:r>
            <w:r w:rsidR="00C94E82">
              <w:rPr>
                <w:rFonts w:cs="Calibri"/>
              </w:rPr>
              <w:t>,</w:t>
            </w:r>
            <w:r w:rsidRPr="00B504EF">
              <w:rPr>
                <w:rFonts w:cs="Calibri"/>
              </w:rPr>
              <w:t xml:space="preserve"> Dr Bronwyn Williams)</w:t>
            </w:r>
          </w:p>
        </w:tc>
      </w:tr>
      <w:tr w:rsidR="006A0A21" w14:paraId="61DF8D9E" w14:textId="77777777" w:rsidTr="00E546D3">
        <w:trPr>
          <w:cantSplit/>
        </w:trPr>
        <w:tc>
          <w:tcPr>
            <w:tcW w:w="2474" w:type="dxa"/>
          </w:tcPr>
          <w:p w14:paraId="0B82DC39" w14:textId="7A46E6D4" w:rsidR="006A0A21" w:rsidRPr="008202FA" w:rsidRDefault="006A0A21" w:rsidP="006A0A21">
            <w:pPr>
              <w:ind w:left="0"/>
            </w:pPr>
            <w:r>
              <w:rPr>
                <w:rFonts w:cs="Calibri"/>
              </w:rPr>
              <w:t xml:space="preserve">Ms </w:t>
            </w:r>
            <w:r w:rsidRPr="00462C95">
              <w:rPr>
                <w:rFonts w:cs="Calibri"/>
              </w:rPr>
              <w:t>Diana Moore</w:t>
            </w:r>
          </w:p>
        </w:tc>
        <w:tc>
          <w:tcPr>
            <w:tcW w:w="5832" w:type="dxa"/>
          </w:tcPr>
          <w:p w14:paraId="36472191" w14:textId="390821C5" w:rsidR="006A0A21" w:rsidRPr="00B504EF" w:rsidRDefault="006A0A21" w:rsidP="0043074C">
            <w:pPr>
              <w:ind w:left="0"/>
            </w:pPr>
            <w:r w:rsidRPr="00B504EF">
              <w:rPr>
                <w:rFonts w:cs="Calibri"/>
              </w:rPr>
              <w:t xml:space="preserve">Clinical </w:t>
            </w:r>
            <w:r w:rsidR="0043074C" w:rsidRPr="00B504EF">
              <w:rPr>
                <w:rFonts w:cs="Calibri"/>
              </w:rPr>
              <w:t xml:space="preserve">safety officer </w:t>
            </w:r>
            <w:r w:rsidR="0043074C">
              <w:rPr>
                <w:rFonts w:cs="Calibri"/>
              </w:rPr>
              <w:t>–</w:t>
            </w:r>
            <w:r w:rsidR="0043074C" w:rsidRPr="00B504EF">
              <w:rPr>
                <w:rFonts w:cs="Calibri"/>
              </w:rPr>
              <w:t xml:space="preserve"> transfusion and blood management</w:t>
            </w:r>
            <w:r w:rsidRPr="00B504EF">
              <w:rPr>
                <w:rFonts w:cs="Calibri"/>
              </w:rPr>
              <w:t>, Mater Health Services (Supervisor</w:t>
            </w:r>
            <w:r w:rsidR="00C94E82">
              <w:rPr>
                <w:rFonts w:cs="Calibri"/>
              </w:rPr>
              <w:t>,</w:t>
            </w:r>
            <w:r w:rsidRPr="00B504EF">
              <w:rPr>
                <w:rFonts w:cs="Calibri"/>
              </w:rPr>
              <w:t xml:space="preserve"> Dr Bronwyn Williams)</w:t>
            </w:r>
          </w:p>
        </w:tc>
      </w:tr>
      <w:tr w:rsidR="006A0A21" w14:paraId="5D85E8A2" w14:textId="77777777" w:rsidTr="00E546D3">
        <w:trPr>
          <w:cantSplit/>
        </w:trPr>
        <w:tc>
          <w:tcPr>
            <w:tcW w:w="2474" w:type="dxa"/>
          </w:tcPr>
          <w:p w14:paraId="5848CD59" w14:textId="5931979E" w:rsidR="006A0A21" w:rsidRPr="00462C95" w:rsidRDefault="006A0A21" w:rsidP="006A0A21">
            <w:pPr>
              <w:ind w:left="0"/>
              <w:rPr>
                <w:rFonts w:cs="Calibri"/>
              </w:rPr>
            </w:pPr>
            <w:r w:rsidRPr="00462C95">
              <w:rPr>
                <w:rFonts w:cs="Calibri"/>
              </w:rPr>
              <w:t>Dr Pauline Higgins</w:t>
            </w:r>
          </w:p>
        </w:tc>
        <w:tc>
          <w:tcPr>
            <w:tcW w:w="5832" w:type="dxa"/>
          </w:tcPr>
          <w:p w14:paraId="7BFABF32" w14:textId="08044568" w:rsidR="006A0A21" w:rsidRPr="00B504EF" w:rsidRDefault="006A0A21" w:rsidP="0043074C">
            <w:pPr>
              <w:ind w:left="0"/>
              <w:rPr>
                <w:rFonts w:cs="Calibri"/>
              </w:rPr>
            </w:pPr>
            <w:r w:rsidRPr="00B504EF">
              <w:rPr>
                <w:rFonts w:cs="Calibri"/>
              </w:rPr>
              <w:t xml:space="preserve">Haematology </w:t>
            </w:r>
            <w:r>
              <w:rPr>
                <w:rFonts w:cs="Calibri"/>
              </w:rPr>
              <w:t>r</w:t>
            </w:r>
            <w:r w:rsidRPr="00B504EF">
              <w:rPr>
                <w:rFonts w:cs="Calibri"/>
              </w:rPr>
              <w:t xml:space="preserve">egistrar </w:t>
            </w:r>
            <w:r w:rsidR="0043074C">
              <w:rPr>
                <w:rFonts w:cs="Calibri"/>
              </w:rPr>
              <w:t>–</w:t>
            </w:r>
            <w:r w:rsidR="0043074C" w:rsidRPr="00B504EF">
              <w:rPr>
                <w:rFonts w:cs="Calibri"/>
              </w:rPr>
              <w:t xml:space="preserve"> </w:t>
            </w:r>
            <w:r w:rsidRPr="00B504EF">
              <w:rPr>
                <w:rFonts w:cs="Calibri"/>
              </w:rPr>
              <w:t xml:space="preserve">Pathology QLD </w:t>
            </w:r>
            <w:r w:rsidR="00C94E82">
              <w:rPr>
                <w:rFonts w:cs="Calibri"/>
              </w:rPr>
              <w:br/>
            </w:r>
            <w:r w:rsidRPr="00B504EF">
              <w:rPr>
                <w:rFonts w:cs="Calibri"/>
              </w:rPr>
              <w:t>(Supervisor</w:t>
            </w:r>
            <w:r w:rsidR="0043074C">
              <w:rPr>
                <w:rFonts w:cs="Calibri"/>
              </w:rPr>
              <w:t>,</w:t>
            </w:r>
            <w:r w:rsidRPr="00B504EF">
              <w:rPr>
                <w:rFonts w:cs="Calibri"/>
              </w:rPr>
              <w:t xml:space="preserve"> Dr Bronwyn Williams)</w:t>
            </w:r>
          </w:p>
        </w:tc>
      </w:tr>
      <w:tr w:rsidR="006A0A21" w14:paraId="2A407642" w14:textId="77777777" w:rsidTr="00E546D3">
        <w:trPr>
          <w:cantSplit/>
        </w:trPr>
        <w:tc>
          <w:tcPr>
            <w:tcW w:w="2474" w:type="dxa"/>
          </w:tcPr>
          <w:p w14:paraId="753A7846" w14:textId="210F699D" w:rsidR="006A0A21" w:rsidRPr="00462C95" w:rsidRDefault="006A0A21" w:rsidP="006A0A21">
            <w:pPr>
              <w:ind w:left="0"/>
              <w:rPr>
                <w:rFonts w:cs="Calibri"/>
              </w:rPr>
            </w:pPr>
            <w:r w:rsidRPr="00462C95">
              <w:rPr>
                <w:rFonts w:cs="Calibri"/>
              </w:rPr>
              <w:t>Dr Trisha Soosay Raj</w:t>
            </w:r>
          </w:p>
        </w:tc>
        <w:tc>
          <w:tcPr>
            <w:tcW w:w="5832" w:type="dxa"/>
          </w:tcPr>
          <w:p w14:paraId="5F250512" w14:textId="405CD98D" w:rsidR="006A0A21" w:rsidRPr="00462C95" w:rsidRDefault="006A0A21" w:rsidP="0043074C">
            <w:pPr>
              <w:ind w:left="0"/>
              <w:rPr>
                <w:rFonts w:cs="Calibri"/>
              </w:rPr>
            </w:pPr>
            <w:r w:rsidRPr="000B4DBE">
              <w:rPr>
                <w:rFonts w:cs="Calibri"/>
              </w:rPr>
              <w:t xml:space="preserve">Paediatric </w:t>
            </w:r>
            <w:r>
              <w:rPr>
                <w:rFonts w:cs="Calibri"/>
              </w:rPr>
              <w:t>o</w:t>
            </w:r>
            <w:r w:rsidRPr="000B4DBE">
              <w:rPr>
                <w:rFonts w:cs="Calibri"/>
              </w:rPr>
              <w:t xml:space="preserve">ncology </w:t>
            </w:r>
            <w:r>
              <w:rPr>
                <w:rFonts w:cs="Calibri"/>
              </w:rPr>
              <w:t>f</w:t>
            </w:r>
            <w:r w:rsidRPr="000B4DBE">
              <w:rPr>
                <w:rFonts w:cs="Calibri"/>
              </w:rPr>
              <w:t xml:space="preserve">ellow </w:t>
            </w:r>
            <w:r w:rsidR="0043074C">
              <w:rPr>
                <w:rFonts w:cs="Calibri"/>
              </w:rPr>
              <w:t>–</w:t>
            </w:r>
            <w:r w:rsidR="0043074C" w:rsidRPr="000B4DBE">
              <w:rPr>
                <w:rFonts w:cs="Calibri"/>
              </w:rPr>
              <w:t xml:space="preserve"> </w:t>
            </w:r>
            <w:r w:rsidRPr="000B4DBE">
              <w:rPr>
                <w:rFonts w:cs="Calibri"/>
              </w:rPr>
              <w:t xml:space="preserve">Lady Cilento Children’s Hospital, Brisbane </w:t>
            </w:r>
            <w:r>
              <w:rPr>
                <w:rFonts w:cs="Calibri"/>
              </w:rPr>
              <w:t>(</w:t>
            </w:r>
            <w:r w:rsidRPr="000B4DBE">
              <w:rPr>
                <w:rFonts w:cs="Calibri"/>
              </w:rPr>
              <w:t>Supervisor</w:t>
            </w:r>
            <w:r w:rsidR="0043074C">
              <w:rPr>
                <w:rFonts w:cs="Calibri"/>
              </w:rPr>
              <w:t>,</w:t>
            </w:r>
            <w:r w:rsidRPr="000B4DBE">
              <w:rPr>
                <w:rFonts w:cs="Calibri"/>
              </w:rPr>
              <w:t xml:space="preserve"> Dr Chris Fraser)</w:t>
            </w:r>
          </w:p>
        </w:tc>
      </w:tr>
      <w:tr w:rsidR="001B5E16" w14:paraId="1AFECEBD" w14:textId="77777777" w:rsidTr="00E546D3">
        <w:trPr>
          <w:cantSplit/>
        </w:trPr>
        <w:tc>
          <w:tcPr>
            <w:tcW w:w="8306" w:type="dxa"/>
            <w:gridSpan w:val="2"/>
          </w:tcPr>
          <w:p w14:paraId="060578FA" w14:textId="74EBAC40" w:rsidR="001B5E16" w:rsidRPr="00462C95" w:rsidRDefault="001B5E16" w:rsidP="00F7006A">
            <w:pPr>
              <w:ind w:left="0"/>
              <w:rPr>
                <w:rFonts w:cs="Calibri"/>
              </w:rPr>
            </w:pPr>
            <w:r>
              <w:rPr>
                <w:b/>
                <w:lang w:val="en-US"/>
              </w:rPr>
              <w:t xml:space="preserve">Background </w:t>
            </w:r>
            <w:r w:rsidR="0043074C">
              <w:rPr>
                <w:b/>
                <w:lang w:val="en-US"/>
              </w:rPr>
              <w:t xml:space="preserve">question </w:t>
            </w:r>
            <w:r>
              <w:rPr>
                <w:b/>
                <w:lang w:val="en-US"/>
              </w:rPr>
              <w:t>2</w:t>
            </w:r>
          </w:p>
        </w:tc>
      </w:tr>
      <w:tr w:rsidR="006A0A21" w14:paraId="3D1268BF" w14:textId="77777777" w:rsidTr="00E546D3">
        <w:trPr>
          <w:cantSplit/>
        </w:trPr>
        <w:tc>
          <w:tcPr>
            <w:tcW w:w="2474" w:type="dxa"/>
          </w:tcPr>
          <w:p w14:paraId="3C4DD9D0" w14:textId="3E32FEC3" w:rsidR="006A0A21" w:rsidRPr="00462C95" w:rsidRDefault="006A0A21" w:rsidP="006A0A21">
            <w:pPr>
              <w:ind w:left="0"/>
              <w:rPr>
                <w:rFonts w:cs="Calibri"/>
              </w:rPr>
            </w:pPr>
            <w:r>
              <w:rPr>
                <w:rFonts w:cs="Calibri"/>
              </w:rPr>
              <w:t>Dr Kirsten</w:t>
            </w:r>
            <w:r w:rsidRPr="00AF2266">
              <w:rPr>
                <w:rFonts w:cs="Calibri"/>
              </w:rPr>
              <w:t xml:space="preserve"> Gaerty</w:t>
            </w:r>
          </w:p>
        </w:tc>
        <w:tc>
          <w:tcPr>
            <w:tcW w:w="5832" w:type="dxa"/>
          </w:tcPr>
          <w:p w14:paraId="11A9E066" w14:textId="497CBB93" w:rsidR="006A0A21" w:rsidRPr="008D41A4" w:rsidRDefault="006A0A21" w:rsidP="006A0A21">
            <w:pPr>
              <w:ind w:left="0"/>
              <w:rPr>
                <w:rFonts w:cs="Calibri"/>
                <w:highlight w:val="yellow"/>
              </w:rPr>
            </w:pPr>
            <w:r w:rsidRPr="000B4DBE">
              <w:rPr>
                <w:rFonts w:cs="Calibri"/>
              </w:rPr>
              <w:t xml:space="preserve">Fellow in </w:t>
            </w:r>
            <w:r>
              <w:rPr>
                <w:rFonts w:cs="Calibri"/>
              </w:rPr>
              <w:t>m</w:t>
            </w:r>
            <w:r w:rsidRPr="000B4DBE">
              <w:rPr>
                <w:rFonts w:cs="Calibri"/>
              </w:rPr>
              <w:t xml:space="preserve">aternal </w:t>
            </w:r>
            <w:r>
              <w:rPr>
                <w:rFonts w:cs="Calibri"/>
              </w:rPr>
              <w:t>f</w:t>
            </w:r>
            <w:r w:rsidRPr="000B4DBE">
              <w:rPr>
                <w:rFonts w:cs="Calibri"/>
              </w:rPr>
              <w:t xml:space="preserve">etal </w:t>
            </w:r>
            <w:r>
              <w:rPr>
                <w:rFonts w:cs="Calibri"/>
              </w:rPr>
              <w:t>m</w:t>
            </w:r>
            <w:r w:rsidRPr="000B4DBE">
              <w:rPr>
                <w:rFonts w:cs="Calibri"/>
              </w:rPr>
              <w:t>edicine (Supervisor</w:t>
            </w:r>
            <w:r w:rsidR="0043074C">
              <w:rPr>
                <w:rFonts w:cs="Calibri"/>
              </w:rPr>
              <w:t>,</w:t>
            </w:r>
            <w:r w:rsidRPr="000B4DBE">
              <w:rPr>
                <w:rFonts w:cs="Calibri"/>
              </w:rPr>
              <w:t xml:space="preserve"> Dr Glenn Gardener)</w:t>
            </w:r>
          </w:p>
        </w:tc>
      </w:tr>
      <w:tr w:rsidR="006A0A21" w14:paraId="1D825B4F" w14:textId="77777777" w:rsidTr="00E546D3">
        <w:trPr>
          <w:cantSplit/>
        </w:trPr>
        <w:tc>
          <w:tcPr>
            <w:tcW w:w="2474" w:type="dxa"/>
          </w:tcPr>
          <w:p w14:paraId="06492A00" w14:textId="68A11EE4" w:rsidR="006A0A21" w:rsidRPr="00462C95" w:rsidRDefault="006A0A21" w:rsidP="006A0A21">
            <w:pPr>
              <w:ind w:left="0"/>
              <w:rPr>
                <w:rFonts w:cs="Calibri"/>
              </w:rPr>
            </w:pPr>
            <w:r>
              <w:rPr>
                <w:b/>
                <w:lang w:val="en-US"/>
              </w:rPr>
              <w:t xml:space="preserve">Background </w:t>
            </w:r>
            <w:r w:rsidR="0043074C">
              <w:rPr>
                <w:b/>
                <w:lang w:val="en-US"/>
              </w:rPr>
              <w:t xml:space="preserve">question </w:t>
            </w:r>
            <w:r>
              <w:rPr>
                <w:b/>
                <w:lang w:val="en-US"/>
              </w:rPr>
              <w:t>3</w:t>
            </w:r>
          </w:p>
        </w:tc>
        <w:tc>
          <w:tcPr>
            <w:tcW w:w="5832" w:type="dxa"/>
          </w:tcPr>
          <w:p w14:paraId="3FDD07D5" w14:textId="0D83C6F5" w:rsidR="006A0A21" w:rsidRPr="008D41A4" w:rsidRDefault="006A0A21" w:rsidP="006A0A21">
            <w:pPr>
              <w:ind w:left="0"/>
              <w:rPr>
                <w:rFonts w:cs="Calibri"/>
                <w:highlight w:val="yellow"/>
              </w:rPr>
            </w:pPr>
          </w:p>
        </w:tc>
      </w:tr>
      <w:tr w:rsidR="006A0A21" w14:paraId="7B180700" w14:textId="77777777" w:rsidTr="00E546D3">
        <w:trPr>
          <w:cantSplit/>
        </w:trPr>
        <w:tc>
          <w:tcPr>
            <w:tcW w:w="2474" w:type="dxa"/>
          </w:tcPr>
          <w:p w14:paraId="5EAAEAB4" w14:textId="0C21F9C2" w:rsidR="006A0A21" w:rsidRPr="00462C95" w:rsidRDefault="00860E54" w:rsidP="006A0A21">
            <w:pPr>
              <w:ind w:left="0"/>
              <w:rPr>
                <w:rFonts w:cs="Calibri"/>
              </w:rPr>
            </w:pPr>
            <w:r>
              <w:rPr>
                <w:lang w:val="en-US" w:eastAsia="x-none"/>
              </w:rPr>
              <w:t>Grace Rayne</w:t>
            </w:r>
          </w:p>
        </w:tc>
        <w:tc>
          <w:tcPr>
            <w:tcW w:w="5832" w:type="dxa"/>
          </w:tcPr>
          <w:p w14:paraId="5DFAD707" w14:textId="124AEFB7" w:rsidR="006A0A21" w:rsidRPr="00462C95" w:rsidRDefault="00860E54" w:rsidP="00860E54">
            <w:pPr>
              <w:ind w:left="0"/>
              <w:rPr>
                <w:rFonts w:cs="Calibri"/>
              </w:rPr>
            </w:pPr>
            <w:r>
              <w:rPr>
                <w:color w:val="1F497D"/>
              </w:rPr>
              <w:t>Registered Nurse</w:t>
            </w:r>
            <w:r w:rsidR="00C94E82">
              <w:rPr>
                <w:color w:val="1F497D"/>
              </w:rPr>
              <w:t xml:space="preserve">, </w:t>
            </w:r>
            <w:r>
              <w:rPr>
                <w:color w:val="1F497D"/>
              </w:rPr>
              <w:t>Royal Brisbane and Women’s Hospital</w:t>
            </w:r>
            <w:r w:rsidR="006A0A21">
              <w:rPr>
                <w:rFonts w:cs="Calibri"/>
              </w:rPr>
              <w:t xml:space="preserve"> </w:t>
            </w:r>
            <w:r w:rsidR="006A0A21" w:rsidRPr="000D4252">
              <w:rPr>
                <w:rFonts w:cs="Calibri"/>
              </w:rPr>
              <w:t>(</w:t>
            </w:r>
            <w:r w:rsidR="006A0A21">
              <w:rPr>
                <w:rFonts w:cs="Calibri"/>
              </w:rPr>
              <w:t>S</w:t>
            </w:r>
            <w:r w:rsidR="006A0A21" w:rsidRPr="000D4252">
              <w:rPr>
                <w:rFonts w:cs="Calibri"/>
              </w:rPr>
              <w:t>upervisor</w:t>
            </w:r>
            <w:r w:rsidR="0043074C">
              <w:rPr>
                <w:rFonts w:cs="Calibri"/>
              </w:rPr>
              <w:t>,</w:t>
            </w:r>
            <w:r w:rsidR="006A0A21" w:rsidRPr="000D4252">
              <w:rPr>
                <w:rFonts w:cs="Calibri"/>
              </w:rPr>
              <w:t xml:space="preserve"> </w:t>
            </w:r>
            <w:r w:rsidR="006A0A21" w:rsidRPr="00FB74D7">
              <w:rPr>
                <w:rFonts w:cs="Calibri"/>
              </w:rPr>
              <w:t>Dr Christian Stocker</w:t>
            </w:r>
            <w:r w:rsidR="006A0A21" w:rsidRPr="000D4252">
              <w:rPr>
                <w:rFonts w:cs="Calibri"/>
              </w:rPr>
              <w:t>)</w:t>
            </w:r>
          </w:p>
        </w:tc>
      </w:tr>
      <w:tr w:rsidR="006A0A21" w14:paraId="31DE3198" w14:textId="77777777" w:rsidTr="00E546D3">
        <w:trPr>
          <w:cantSplit/>
        </w:trPr>
        <w:tc>
          <w:tcPr>
            <w:tcW w:w="2474" w:type="dxa"/>
          </w:tcPr>
          <w:p w14:paraId="63D17492" w14:textId="76FCD44A" w:rsidR="006A0A21" w:rsidRPr="00462C95" w:rsidRDefault="006A0A21" w:rsidP="006A0A21">
            <w:pPr>
              <w:ind w:left="0"/>
              <w:rPr>
                <w:rFonts w:cs="Calibri"/>
              </w:rPr>
            </w:pPr>
            <w:r>
              <w:rPr>
                <w:b/>
                <w:lang w:val="en-US"/>
              </w:rPr>
              <w:t xml:space="preserve">Background </w:t>
            </w:r>
            <w:r w:rsidR="0043074C">
              <w:rPr>
                <w:b/>
                <w:lang w:val="en-US"/>
              </w:rPr>
              <w:t xml:space="preserve">question </w:t>
            </w:r>
            <w:r>
              <w:rPr>
                <w:b/>
                <w:lang w:val="en-US"/>
              </w:rPr>
              <w:t>4</w:t>
            </w:r>
          </w:p>
        </w:tc>
        <w:tc>
          <w:tcPr>
            <w:tcW w:w="5832" w:type="dxa"/>
          </w:tcPr>
          <w:p w14:paraId="757202B1" w14:textId="086CE879" w:rsidR="006A0A21" w:rsidRPr="00462C95" w:rsidRDefault="006A0A21" w:rsidP="006A0A21">
            <w:pPr>
              <w:ind w:left="0"/>
              <w:rPr>
                <w:rFonts w:cs="Calibri"/>
              </w:rPr>
            </w:pPr>
          </w:p>
        </w:tc>
      </w:tr>
      <w:tr w:rsidR="001B5E16" w14:paraId="10AF45EC" w14:textId="77777777" w:rsidTr="00E546D3">
        <w:trPr>
          <w:cantSplit/>
        </w:trPr>
        <w:tc>
          <w:tcPr>
            <w:tcW w:w="2474" w:type="dxa"/>
          </w:tcPr>
          <w:p w14:paraId="17E9EDC6" w14:textId="77777777" w:rsidR="001B5E16" w:rsidRDefault="001B5E16" w:rsidP="00F7006A">
            <w:pPr>
              <w:ind w:left="0"/>
              <w:rPr>
                <w:lang w:val="en-US" w:eastAsia="x-none"/>
              </w:rPr>
            </w:pPr>
            <w:r>
              <w:rPr>
                <w:rFonts w:cs="Calibri"/>
              </w:rPr>
              <w:t xml:space="preserve">Ms </w:t>
            </w:r>
            <w:r w:rsidRPr="00AF2266">
              <w:rPr>
                <w:rFonts w:cs="Calibri"/>
              </w:rPr>
              <w:t>Molly Oldeen</w:t>
            </w:r>
          </w:p>
        </w:tc>
        <w:tc>
          <w:tcPr>
            <w:tcW w:w="5832" w:type="dxa"/>
          </w:tcPr>
          <w:p w14:paraId="045374AA" w14:textId="18DEEFE1" w:rsidR="001B5E16" w:rsidRPr="00462C95" w:rsidRDefault="001B5E16" w:rsidP="00F7006A">
            <w:pPr>
              <w:ind w:left="0"/>
              <w:rPr>
                <w:rFonts w:cs="Calibri"/>
              </w:rPr>
            </w:pPr>
            <w:r w:rsidRPr="00AF2266">
              <w:rPr>
                <w:rFonts w:cs="Calibri"/>
              </w:rPr>
              <w:t xml:space="preserve">Paediatric </w:t>
            </w:r>
            <w:r w:rsidR="0043074C" w:rsidRPr="00AF2266">
              <w:rPr>
                <w:rFonts w:cs="Calibri"/>
              </w:rPr>
              <w:t>cardiac perfusionist</w:t>
            </w:r>
            <w:r w:rsidR="0043074C">
              <w:rPr>
                <w:rFonts w:cs="Calibri"/>
              </w:rPr>
              <w:t xml:space="preserve"> </w:t>
            </w:r>
            <w:r w:rsidR="006A0A21">
              <w:rPr>
                <w:rFonts w:cs="Calibri"/>
              </w:rPr>
              <w:br/>
            </w:r>
            <w:r>
              <w:rPr>
                <w:rFonts w:cs="Calibri"/>
              </w:rPr>
              <w:t>(Supervisor</w:t>
            </w:r>
            <w:r w:rsidR="0043074C">
              <w:rPr>
                <w:rFonts w:cs="Calibri"/>
              </w:rPr>
              <w:t>,</w:t>
            </w:r>
            <w:r>
              <w:rPr>
                <w:rFonts w:cs="Calibri"/>
              </w:rPr>
              <w:t xml:space="preserve"> </w:t>
            </w:r>
            <w:r>
              <w:t>Dr Sylvio Provenzano)</w:t>
            </w:r>
          </w:p>
        </w:tc>
      </w:tr>
      <w:tr w:rsidR="006A0A21" w14:paraId="73816327" w14:textId="77777777" w:rsidTr="00E546D3">
        <w:trPr>
          <w:cantSplit/>
        </w:trPr>
        <w:tc>
          <w:tcPr>
            <w:tcW w:w="2474" w:type="dxa"/>
          </w:tcPr>
          <w:p w14:paraId="2F1A3000" w14:textId="6C229409" w:rsidR="006A0A21" w:rsidRDefault="006A0A21" w:rsidP="006A0A21">
            <w:pPr>
              <w:ind w:left="0"/>
              <w:rPr>
                <w:lang w:val="en-US" w:eastAsia="x-none"/>
              </w:rPr>
            </w:pPr>
            <w:r w:rsidRPr="00600B0B">
              <w:rPr>
                <w:lang w:val="en-US" w:eastAsia="x-none"/>
              </w:rPr>
              <w:t>Dr Benjamin Bierbach</w:t>
            </w:r>
          </w:p>
        </w:tc>
        <w:tc>
          <w:tcPr>
            <w:tcW w:w="5832" w:type="dxa"/>
          </w:tcPr>
          <w:p w14:paraId="1AB02B7F" w14:textId="73B6C00F" w:rsidR="006A0A21" w:rsidRPr="00462C95" w:rsidRDefault="006A0A21" w:rsidP="006A0A21">
            <w:pPr>
              <w:ind w:left="0"/>
              <w:rPr>
                <w:rFonts w:cs="Calibri"/>
              </w:rPr>
            </w:pPr>
            <w:r w:rsidRPr="00600B0B">
              <w:rPr>
                <w:rFonts w:cs="Calibri"/>
              </w:rPr>
              <w:t>Adult cardiatric and paediatric cardiothoracic surgeon (Supervisor</w:t>
            </w:r>
            <w:r w:rsidR="0043074C">
              <w:rPr>
                <w:rFonts w:cs="Calibri"/>
              </w:rPr>
              <w:t>,</w:t>
            </w:r>
            <w:r w:rsidRPr="00600B0B">
              <w:rPr>
                <w:rFonts w:cs="Calibri"/>
              </w:rPr>
              <w:t xml:space="preserve"> </w:t>
            </w:r>
            <w:r w:rsidRPr="00600B0B">
              <w:t>Dr Sylvio Provenzano)</w:t>
            </w:r>
          </w:p>
        </w:tc>
      </w:tr>
      <w:tr w:rsidR="001B5E16" w14:paraId="4DC8C2AE" w14:textId="77777777" w:rsidTr="00E546D3">
        <w:trPr>
          <w:cantSplit/>
        </w:trPr>
        <w:tc>
          <w:tcPr>
            <w:tcW w:w="8306" w:type="dxa"/>
            <w:gridSpan w:val="2"/>
          </w:tcPr>
          <w:p w14:paraId="45C5BBF7" w14:textId="7311E6F1" w:rsidR="001B5E16" w:rsidRPr="00462C95" w:rsidRDefault="001B5E16" w:rsidP="00F7006A">
            <w:pPr>
              <w:ind w:left="0"/>
              <w:rPr>
                <w:rFonts w:cs="Calibri"/>
              </w:rPr>
            </w:pPr>
            <w:r>
              <w:rPr>
                <w:b/>
                <w:lang w:val="en-US"/>
              </w:rPr>
              <w:t xml:space="preserve">Background </w:t>
            </w:r>
            <w:r w:rsidR="0043074C">
              <w:rPr>
                <w:b/>
                <w:lang w:val="en-US"/>
              </w:rPr>
              <w:t xml:space="preserve">question </w:t>
            </w:r>
            <w:r>
              <w:rPr>
                <w:b/>
                <w:lang w:val="en-US"/>
              </w:rPr>
              <w:t>5</w:t>
            </w:r>
          </w:p>
        </w:tc>
      </w:tr>
      <w:tr w:rsidR="006A0A21" w:rsidRPr="00FA080C" w14:paraId="7BE7EFAF" w14:textId="77777777" w:rsidTr="00E546D3">
        <w:trPr>
          <w:cantSplit/>
        </w:trPr>
        <w:tc>
          <w:tcPr>
            <w:tcW w:w="2474" w:type="dxa"/>
            <w:shd w:val="clear" w:color="auto" w:fill="auto"/>
          </w:tcPr>
          <w:p w14:paraId="29E15FC9" w14:textId="0964A217" w:rsidR="006A0A21" w:rsidRPr="00086CA4" w:rsidRDefault="006A0A21" w:rsidP="006A0A21">
            <w:pPr>
              <w:ind w:left="0"/>
              <w:rPr>
                <w:lang w:val="en-US"/>
              </w:rPr>
            </w:pPr>
            <w:r>
              <w:rPr>
                <w:lang w:val="en-US"/>
              </w:rPr>
              <w:t xml:space="preserve">Ms </w:t>
            </w:r>
            <w:r w:rsidRPr="00086CA4">
              <w:rPr>
                <w:lang w:val="en-US"/>
              </w:rPr>
              <w:t>Rosalind Lock</w:t>
            </w:r>
          </w:p>
        </w:tc>
        <w:tc>
          <w:tcPr>
            <w:tcW w:w="5832" w:type="dxa"/>
            <w:shd w:val="clear" w:color="auto" w:fill="auto"/>
          </w:tcPr>
          <w:p w14:paraId="46245BF0" w14:textId="44F2E547" w:rsidR="006A0A21" w:rsidRPr="00086CA4" w:rsidRDefault="006A0A21" w:rsidP="006A0A21">
            <w:pPr>
              <w:ind w:left="0"/>
              <w:rPr>
                <w:rFonts w:cs="Calibri"/>
              </w:rPr>
            </w:pPr>
            <w:r w:rsidRPr="00086CA4">
              <w:rPr>
                <w:rFonts w:cs="Calibri"/>
              </w:rPr>
              <w:t>Lecturer</w:t>
            </w:r>
            <w:r>
              <w:rPr>
                <w:rFonts w:cs="Calibri"/>
              </w:rPr>
              <w:t>,</w:t>
            </w:r>
            <w:r w:rsidRPr="00086CA4">
              <w:rPr>
                <w:rFonts w:cs="Calibri"/>
              </w:rPr>
              <w:t xml:space="preserve"> School </w:t>
            </w:r>
            <w:r>
              <w:rPr>
                <w:rFonts w:cs="Calibri"/>
              </w:rPr>
              <w:t>o</w:t>
            </w:r>
            <w:r w:rsidRPr="00086CA4">
              <w:rPr>
                <w:rFonts w:cs="Calibri"/>
              </w:rPr>
              <w:t>f Nursing, Midwifery and Nutrition</w:t>
            </w:r>
            <w:r>
              <w:rPr>
                <w:rFonts w:cs="Calibri"/>
              </w:rPr>
              <w:t xml:space="preserve"> (Supervisor</w:t>
            </w:r>
            <w:r w:rsidR="0043074C">
              <w:rPr>
                <w:rFonts w:cs="Calibri"/>
              </w:rPr>
              <w:t>,</w:t>
            </w:r>
            <w:r>
              <w:rPr>
                <w:rFonts w:cs="Calibri"/>
              </w:rPr>
              <w:t xml:space="preserve"> </w:t>
            </w:r>
            <w:r w:rsidRPr="002F0E6F">
              <w:t>Prof Linda Shields)</w:t>
            </w:r>
          </w:p>
        </w:tc>
      </w:tr>
      <w:tr w:rsidR="006A0A21" w:rsidRPr="00307182" w14:paraId="13CF6DFD" w14:textId="77777777" w:rsidTr="00E546D3">
        <w:trPr>
          <w:cantSplit/>
        </w:trPr>
        <w:tc>
          <w:tcPr>
            <w:tcW w:w="2474" w:type="dxa"/>
            <w:shd w:val="clear" w:color="auto" w:fill="auto"/>
          </w:tcPr>
          <w:p w14:paraId="0BE30330" w14:textId="745D7194" w:rsidR="006A0A21" w:rsidRPr="00086CA4" w:rsidRDefault="006A0A21" w:rsidP="006A0A21">
            <w:pPr>
              <w:ind w:left="0"/>
              <w:rPr>
                <w:lang w:val="en-US"/>
              </w:rPr>
            </w:pPr>
            <w:r w:rsidRPr="00600B0B">
              <w:rPr>
                <w:lang w:val="en-US"/>
              </w:rPr>
              <w:t>Dr David Hughes</w:t>
            </w:r>
          </w:p>
        </w:tc>
        <w:tc>
          <w:tcPr>
            <w:tcW w:w="5832" w:type="dxa"/>
            <w:shd w:val="clear" w:color="auto" w:fill="auto"/>
          </w:tcPr>
          <w:p w14:paraId="1EFE1099" w14:textId="04DC2A83" w:rsidR="006A0A21" w:rsidRPr="00086CA4" w:rsidRDefault="006A0A21" w:rsidP="006A0A21">
            <w:pPr>
              <w:ind w:left="0"/>
              <w:rPr>
                <w:rFonts w:cs="Calibri"/>
              </w:rPr>
            </w:pPr>
            <w:r w:rsidRPr="00600B0B">
              <w:t xml:space="preserve">Haematology </w:t>
            </w:r>
            <w:r>
              <w:t>r</w:t>
            </w:r>
            <w:r w:rsidRPr="00600B0B">
              <w:t xml:space="preserve">egistrar, Royal Children’s Hospital, Melbourne </w:t>
            </w:r>
            <w:r w:rsidRPr="00600B0B">
              <w:rPr>
                <w:rFonts w:cs="Calibri"/>
              </w:rPr>
              <w:t>(Supervisor</w:t>
            </w:r>
            <w:r w:rsidR="0043074C">
              <w:rPr>
                <w:rFonts w:cs="Calibri"/>
              </w:rPr>
              <w:t>,</w:t>
            </w:r>
            <w:r w:rsidRPr="00600B0B">
              <w:rPr>
                <w:rFonts w:cs="Calibri"/>
              </w:rPr>
              <w:t xml:space="preserve"> </w:t>
            </w:r>
            <w:r w:rsidRPr="00600B0B">
              <w:t>Dr Gemma Crighton)</w:t>
            </w:r>
          </w:p>
        </w:tc>
      </w:tr>
    </w:tbl>
    <w:p w14:paraId="1A3FECBB" w14:textId="77777777" w:rsidR="001B5E16" w:rsidRDefault="001B5E16" w:rsidP="001B5E16">
      <w:pPr>
        <w:pStyle w:val="Heading3a"/>
        <w:ind w:left="709" w:firstLine="11"/>
        <w:rPr>
          <w:lang w:val="en-US"/>
        </w:rPr>
      </w:pPr>
      <w:r>
        <w:rPr>
          <w:lang w:val="en-US"/>
        </w:rPr>
        <w:t>Acknowledgements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4322"/>
      </w:tblGrid>
      <w:tr w:rsidR="001B5E16" w14:paraId="233BB926" w14:textId="77777777" w:rsidTr="00EB5738">
        <w:trPr>
          <w:cantSplit/>
        </w:trPr>
        <w:tc>
          <w:tcPr>
            <w:tcW w:w="3974" w:type="dxa"/>
          </w:tcPr>
          <w:p w14:paraId="21697C61" w14:textId="77777777" w:rsidR="001B5E16" w:rsidRPr="00E64DA3" w:rsidRDefault="001B5E16" w:rsidP="00F7006A">
            <w:pPr>
              <w:ind w:left="0"/>
              <w:rPr>
                <w:lang w:val="en-US"/>
              </w:rPr>
            </w:pPr>
            <w:r w:rsidRPr="009D3BE1">
              <w:rPr>
                <w:lang w:val="en-US"/>
              </w:rPr>
              <w:t>Transfusion Practice and Education team at the Blood Service</w:t>
            </w:r>
          </w:p>
        </w:tc>
        <w:tc>
          <w:tcPr>
            <w:tcW w:w="4322" w:type="dxa"/>
          </w:tcPr>
          <w:p w14:paraId="66D562C9" w14:textId="77F3BF70" w:rsidR="001B5E16" w:rsidRPr="00E64DA3" w:rsidRDefault="001B5E16" w:rsidP="00F7006A">
            <w:pPr>
              <w:ind w:left="0"/>
              <w:rPr>
                <w:lang w:val="en-US"/>
              </w:rPr>
            </w:pPr>
            <w:r>
              <w:rPr>
                <w:lang w:val="en-US"/>
              </w:rPr>
              <w:t xml:space="preserve">For the adaptation of the </w:t>
            </w:r>
            <w:r w:rsidR="0043074C">
              <w:rPr>
                <w:lang w:val="en-US"/>
              </w:rPr>
              <w:t xml:space="preserve">adult </w:t>
            </w:r>
            <w:r w:rsidR="0043074C" w:rsidRPr="009D3BE1">
              <w:rPr>
                <w:lang w:val="en-US"/>
              </w:rPr>
              <w:t xml:space="preserve">iron </w:t>
            </w:r>
            <w:r w:rsidRPr="009D3BE1">
              <w:rPr>
                <w:lang w:val="en-US"/>
              </w:rPr>
              <w:t>calculation tool (</w:t>
            </w:r>
            <w:r>
              <w:rPr>
                <w:lang w:val="en-US"/>
              </w:rPr>
              <w:t xml:space="preserve">included in the </w:t>
            </w:r>
            <w:r w:rsidRPr="009D3BE1">
              <w:rPr>
                <w:lang w:val="en-US"/>
              </w:rPr>
              <w:t>background research)</w:t>
            </w:r>
          </w:p>
        </w:tc>
      </w:tr>
      <w:tr w:rsidR="001B5E16" w14:paraId="01BB1184" w14:textId="77777777" w:rsidTr="00EB5738">
        <w:trPr>
          <w:cantSplit/>
        </w:trPr>
        <w:tc>
          <w:tcPr>
            <w:tcW w:w="3974" w:type="dxa"/>
          </w:tcPr>
          <w:p w14:paraId="453AB182" w14:textId="6FD161E7" w:rsidR="001B5E16" w:rsidRPr="00671DAD" w:rsidRDefault="00967444" w:rsidP="00F7006A">
            <w:pPr>
              <w:ind w:left="0"/>
            </w:pPr>
            <w:r>
              <w:t>Dr David Sutton</w:t>
            </w:r>
          </w:p>
        </w:tc>
        <w:tc>
          <w:tcPr>
            <w:tcW w:w="4322" w:type="dxa"/>
          </w:tcPr>
          <w:p w14:paraId="77B8A5BC" w14:textId="033465AB" w:rsidR="001B5E16" w:rsidRDefault="001B5E16" w:rsidP="00607FEC">
            <w:pPr>
              <w:ind w:left="0"/>
            </w:pPr>
            <w:r w:rsidRPr="001A35FC">
              <w:t xml:space="preserve">IV </w:t>
            </w:r>
            <w:r w:rsidR="0043074C" w:rsidRPr="001A35FC">
              <w:t xml:space="preserve">iron </w:t>
            </w:r>
            <w:r w:rsidRPr="004A4B13">
              <w:t>protocol templates</w:t>
            </w:r>
            <w:r w:rsidR="00607FEC">
              <w:t xml:space="preserve"> courtesy of the Royal Children’s </w:t>
            </w:r>
            <w:r>
              <w:t>Hospital</w:t>
            </w:r>
            <w:r w:rsidR="00607FEC">
              <w:t>, Melbourne</w:t>
            </w:r>
          </w:p>
        </w:tc>
      </w:tr>
    </w:tbl>
    <w:p w14:paraId="22371067" w14:textId="77777777" w:rsidR="001B5E16" w:rsidRDefault="001B5E16" w:rsidP="001B5E16">
      <w:pPr>
        <w:pStyle w:val="Heading3a"/>
        <w:ind w:left="709" w:firstLine="11"/>
      </w:pPr>
      <w:r>
        <w:t>Independent systematic review expert</w:t>
      </w:r>
    </w:p>
    <w:tbl>
      <w:tblPr>
        <w:tblW w:w="0" w:type="auto"/>
        <w:tblInd w:w="720" w:type="dxa"/>
        <w:tblLook w:val="04A0" w:firstRow="1" w:lastRow="0" w:firstColumn="1" w:lastColumn="0" w:noHBand="0" w:noVBand="1"/>
      </w:tblPr>
      <w:tblGrid>
        <w:gridCol w:w="2530"/>
        <w:gridCol w:w="5992"/>
      </w:tblGrid>
      <w:tr w:rsidR="001B5E16" w:rsidRPr="002069E8" w14:paraId="1628C91D" w14:textId="77777777" w:rsidTr="00F7006A">
        <w:tc>
          <w:tcPr>
            <w:tcW w:w="2530" w:type="dxa"/>
          </w:tcPr>
          <w:p w14:paraId="357D0EB1" w14:textId="77777777" w:rsidR="001B5E16" w:rsidRPr="002069E8" w:rsidRDefault="001B5E16" w:rsidP="00F7006A">
            <w:pPr>
              <w:pStyle w:val="Normalnoindent"/>
            </w:pPr>
            <w:r w:rsidRPr="002069E8">
              <w:t>Ms Tracy Merlin</w:t>
            </w:r>
          </w:p>
        </w:tc>
        <w:tc>
          <w:tcPr>
            <w:tcW w:w="5992" w:type="dxa"/>
          </w:tcPr>
          <w:p w14:paraId="19A97CE3" w14:textId="77777777" w:rsidR="001B5E16" w:rsidRPr="002069E8" w:rsidRDefault="001B5E16" w:rsidP="00F7006A">
            <w:pPr>
              <w:pStyle w:val="Normalnoindent"/>
            </w:pPr>
            <w:r w:rsidRPr="002069E8">
              <w:t>Adelaide Health Technology Assessment</w:t>
            </w:r>
            <w:r>
              <w:t xml:space="preserve">, </w:t>
            </w:r>
            <w:r>
              <w:br/>
            </w:r>
            <w:r w:rsidRPr="002069E8">
              <w:t>University of Adelaide</w:t>
            </w:r>
          </w:p>
        </w:tc>
      </w:tr>
    </w:tbl>
    <w:p w14:paraId="35B81D4D" w14:textId="23AE159D" w:rsidR="001B5E16" w:rsidRDefault="001B5E16" w:rsidP="001B5E16">
      <w:pPr>
        <w:pStyle w:val="Heading3a"/>
      </w:pPr>
      <w:r w:rsidRPr="003049A3">
        <w:t xml:space="preserve">Project </w:t>
      </w:r>
      <w:r w:rsidR="0043074C" w:rsidRPr="003049A3">
        <w:t xml:space="preserve">management </w:t>
      </w:r>
      <w:r w:rsidRPr="003049A3">
        <w:t xml:space="preserve">and </w:t>
      </w:r>
      <w:r w:rsidR="0043074C" w:rsidRPr="003049A3">
        <w:t>committee secretariat</w:t>
      </w:r>
      <w:r w:rsidR="0043074C">
        <w:t xml:space="preserve"> </w:t>
      </w:r>
      <w:r>
        <w:t xml:space="preserve">– </w:t>
      </w:r>
      <w:r w:rsidRPr="003049A3">
        <w:t>N</w:t>
      </w:r>
      <w:r>
        <w:t>ational Blood Authority</w:t>
      </w:r>
    </w:p>
    <w:tbl>
      <w:tblPr>
        <w:tblW w:w="0" w:type="auto"/>
        <w:tblInd w:w="720" w:type="dxa"/>
        <w:tblLook w:val="04A0" w:firstRow="1" w:lastRow="0" w:firstColumn="1" w:lastColumn="0" w:noHBand="0" w:noVBand="1"/>
      </w:tblPr>
      <w:tblGrid>
        <w:gridCol w:w="2388"/>
        <w:gridCol w:w="6134"/>
      </w:tblGrid>
      <w:tr w:rsidR="001B5E16" w:rsidRPr="002069E8" w14:paraId="766C49FC" w14:textId="77777777" w:rsidTr="00F7006A">
        <w:tc>
          <w:tcPr>
            <w:tcW w:w="2388" w:type="dxa"/>
          </w:tcPr>
          <w:p w14:paraId="7348DC8D" w14:textId="77777777" w:rsidR="001B5E16" w:rsidRPr="002069E8" w:rsidRDefault="001B5E16" w:rsidP="00F7006A">
            <w:pPr>
              <w:pStyle w:val="Normalnoindent"/>
            </w:pPr>
            <w:r>
              <w:t>Ms Donna Cassoni</w:t>
            </w:r>
          </w:p>
        </w:tc>
        <w:tc>
          <w:tcPr>
            <w:tcW w:w="6134" w:type="dxa"/>
          </w:tcPr>
          <w:p w14:paraId="4D41F54C" w14:textId="77777777" w:rsidR="001B5E16" w:rsidRDefault="001B5E16" w:rsidP="00F7006A">
            <w:pPr>
              <w:pStyle w:val="Normalnoindent"/>
            </w:pPr>
            <w:r>
              <w:t>Project Officer, Blood Sector Clinical Development</w:t>
            </w:r>
          </w:p>
        </w:tc>
      </w:tr>
      <w:tr w:rsidR="001B5E16" w:rsidRPr="002069E8" w14:paraId="0FC58B13" w14:textId="77777777" w:rsidTr="00F7006A">
        <w:tc>
          <w:tcPr>
            <w:tcW w:w="2388" w:type="dxa"/>
          </w:tcPr>
          <w:p w14:paraId="335F3F89" w14:textId="77777777" w:rsidR="001B5E16" w:rsidRDefault="001B5E16" w:rsidP="00F7006A">
            <w:pPr>
              <w:pStyle w:val="Normalnoindent"/>
            </w:pPr>
            <w:r>
              <w:t>Ms Brooke Chadwick</w:t>
            </w:r>
          </w:p>
        </w:tc>
        <w:tc>
          <w:tcPr>
            <w:tcW w:w="6134" w:type="dxa"/>
          </w:tcPr>
          <w:p w14:paraId="68152F54" w14:textId="77777777" w:rsidR="001B5E16" w:rsidRDefault="001B5E16" w:rsidP="00F7006A">
            <w:pPr>
              <w:pStyle w:val="Normalnoindent"/>
            </w:pPr>
            <w:r>
              <w:t>Support Officer, Blood Sector Clinical Development</w:t>
            </w:r>
          </w:p>
        </w:tc>
      </w:tr>
      <w:tr w:rsidR="001B5E16" w:rsidRPr="002069E8" w14:paraId="4F5D2943" w14:textId="77777777" w:rsidTr="00F7006A">
        <w:tc>
          <w:tcPr>
            <w:tcW w:w="2388" w:type="dxa"/>
          </w:tcPr>
          <w:p w14:paraId="28751E69" w14:textId="77777777" w:rsidR="001B5E16" w:rsidRPr="002069E8" w:rsidRDefault="001B5E16" w:rsidP="00F7006A">
            <w:pPr>
              <w:pStyle w:val="Normalnoindent"/>
            </w:pPr>
            <w:r w:rsidRPr="002069E8">
              <w:t>Ms Leia Earnshaw</w:t>
            </w:r>
          </w:p>
        </w:tc>
        <w:tc>
          <w:tcPr>
            <w:tcW w:w="6134" w:type="dxa"/>
          </w:tcPr>
          <w:p w14:paraId="301C7910" w14:textId="77777777" w:rsidR="001B5E16" w:rsidRPr="002069E8" w:rsidRDefault="001B5E16" w:rsidP="00F7006A">
            <w:pPr>
              <w:pStyle w:val="Normalnoindent"/>
              <w:rPr>
                <w:b/>
              </w:rPr>
            </w:pPr>
            <w:r>
              <w:t>Assistant Director</w:t>
            </w:r>
            <w:r w:rsidRPr="002069E8">
              <w:t>, Blood Sector Clinical Development</w:t>
            </w:r>
          </w:p>
        </w:tc>
      </w:tr>
      <w:tr w:rsidR="001B5E16" w:rsidRPr="002069E8" w14:paraId="78771C0A" w14:textId="77777777" w:rsidTr="00F7006A">
        <w:tc>
          <w:tcPr>
            <w:tcW w:w="2388" w:type="dxa"/>
          </w:tcPr>
          <w:p w14:paraId="4404CFFF" w14:textId="77777777" w:rsidR="001B5E16" w:rsidRPr="002069E8" w:rsidRDefault="001B5E16" w:rsidP="00F7006A">
            <w:pPr>
              <w:pStyle w:val="Normalnoindent"/>
            </w:pPr>
            <w:r w:rsidRPr="002069E8">
              <w:t>Ms Jennifer Roberts</w:t>
            </w:r>
          </w:p>
        </w:tc>
        <w:tc>
          <w:tcPr>
            <w:tcW w:w="6134" w:type="dxa"/>
          </w:tcPr>
          <w:p w14:paraId="07AC4F9E" w14:textId="77777777" w:rsidR="001B5E16" w:rsidRPr="002069E8" w:rsidRDefault="001B5E16" w:rsidP="00F7006A">
            <w:pPr>
              <w:pStyle w:val="Normalnoindent"/>
            </w:pPr>
            <w:r w:rsidRPr="002069E8">
              <w:t>Director, Blood Sector Clinical Development</w:t>
            </w:r>
          </w:p>
        </w:tc>
      </w:tr>
    </w:tbl>
    <w:p w14:paraId="0C7B9BF4" w14:textId="77777777" w:rsidR="001B5E16" w:rsidRPr="00355E44" w:rsidRDefault="001B5E16" w:rsidP="001B5E16">
      <w:pPr>
        <w:pStyle w:val="Heading3a"/>
        <w:ind w:left="709" w:firstLine="11"/>
      </w:pPr>
      <w:r w:rsidRPr="00355E44">
        <w:t>Systematic review</w:t>
      </w:r>
      <w:r>
        <w:t xml:space="preserve"> team – Optum </w:t>
      </w:r>
    </w:p>
    <w:tbl>
      <w:tblPr>
        <w:tblW w:w="0" w:type="auto"/>
        <w:tblInd w:w="720" w:type="dxa"/>
        <w:tblLook w:val="04A0" w:firstRow="1" w:lastRow="0" w:firstColumn="1" w:lastColumn="0" w:noHBand="0" w:noVBand="1"/>
      </w:tblPr>
      <w:tblGrid>
        <w:gridCol w:w="2672"/>
        <w:gridCol w:w="5850"/>
      </w:tblGrid>
      <w:tr w:rsidR="001B5E16" w:rsidRPr="002069E8" w14:paraId="0F4CC5D6" w14:textId="77777777" w:rsidTr="00F7006A">
        <w:tc>
          <w:tcPr>
            <w:tcW w:w="2672" w:type="dxa"/>
          </w:tcPr>
          <w:p w14:paraId="7D1A9DE7" w14:textId="77777777" w:rsidR="001B5E16" w:rsidRPr="00A37657" w:rsidRDefault="001B5E16" w:rsidP="00F7006A">
            <w:pPr>
              <w:pStyle w:val="Normalnoindent"/>
            </w:pPr>
            <w:r w:rsidRPr="00A37657">
              <w:t>Ms Camilla Cahill</w:t>
            </w:r>
          </w:p>
        </w:tc>
        <w:tc>
          <w:tcPr>
            <w:tcW w:w="5850" w:type="dxa"/>
          </w:tcPr>
          <w:p w14:paraId="0128A4F4" w14:textId="77777777" w:rsidR="001B5E16" w:rsidRPr="00A37657" w:rsidRDefault="001B5E16" w:rsidP="00F7006A">
            <w:pPr>
              <w:pStyle w:val="Normalnoindent"/>
            </w:pPr>
            <w:r w:rsidRPr="00A37657">
              <w:t>Research Analyst, Life Sciences</w:t>
            </w:r>
          </w:p>
        </w:tc>
      </w:tr>
      <w:tr w:rsidR="001B5E16" w:rsidRPr="002069E8" w14:paraId="113BAEDD" w14:textId="77777777" w:rsidTr="00F7006A">
        <w:tc>
          <w:tcPr>
            <w:tcW w:w="2672" w:type="dxa"/>
          </w:tcPr>
          <w:p w14:paraId="0F4E6821" w14:textId="77777777" w:rsidR="001B5E16" w:rsidRDefault="001B5E16" w:rsidP="00F7006A">
            <w:pPr>
              <w:pStyle w:val="Normalnoindent"/>
            </w:pPr>
            <w:r>
              <w:t xml:space="preserve">Dr </w:t>
            </w:r>
            <w:r w:rsidRPr="00173E91">
              <w:t>Margaret Jorgensen</w:t>
            </w:r>
          </w:p>
        </w:tc>
        <w:tc>
          <w:tcPr>
            <w:tcW w:w="5850" w:type="dxa"/>
          </w:tcPr>
          <w:p w14:paraId="4DFD809C" w14:textId="77777777" w:rsidR="001B5E16" w:rsidRDefault="001B5E16" w:rsidP="00F7006A">
            <w:pPr>
              <w:pStyle w:val="Normalnoindent"/>
            </w:pPr>
            <w:r>
              <w:t>Health Outcomes Manager, Life Sciences</w:t>
            </w:r>
          </w:p>
        </w:tc>
      </w:tr>
      <w:tr w:rsidR="001B5E16" w:rsidRPr="002069E8" w14:paraId="3C094BAF" w14:textId="77777777" w:rsidTr="00F7006A">
        <w:tc>
          <w:tcPr>
            <w:tcW w:w="2672" w:type="dxa"/>
          </w:tcPr>
          <w:p w14:paraId="39B00956" w14:textId="77777777" w:rsidR="001B5E16" w:rsidRPr="00A37657" w:rsidRDefault="001B5E16" w:rsidP="00F7006A">
            <w:pPr>
              <w:pStyle w:val="Normalnoindent"/>
            </w:pPr>
            <w:r w:rsidRPr="00A37657">
              <w:t>Dr Kim Hamrosi</w:t>
            </w:r>
          </w:p>
        </w:tc>
        <w:tc>
          <w:tcPr>
            <w:tcW w:w="5850" w:type="dxa"/>
          </w:tcPr>
          <w:p w14:paraId="3162F2CC" w14:textId="77777777" w:rsidR="001B5E16" w:rsidRPr="00A37657" w:rsidRDefault="001B5E16" w:rsidP="00F7006A">
            <w:pPr>
              <w:pStyle w:val="Normalnoindent"/>
            </w:pPr>
            <w:r w:rsidRPr="00A37657">
              <w:t>Research Consultant, Life Sciences</w:t>
            </w:r>
          </w:p>
        </w:tc>
      </w:tr>
      <w:tr w:rsidR="001B5E16" w:rsidRPr="002069E8" w14:paraId="44F3D591" w14:textId="77777777" w:rsidTr="00F7006A">
        <w:tc>
          <w:tcPr>
            <w:tcW w:w="2672" w:type="dxa"/>
          </w:tcPr>
          <w:p w14:paraId="4BA94EAB" w14:textId="77777777" w:rsidR="001B5E16" w:rsidRPr="00A37657" w:rsidRDefault="001B5E16" w:rsidP="00F7006A">
            <w:pPr>
              <w:pStyle w:val="Normalnoindent"/>
            </w:pPr>
            <w:r w:rsidRPr="00A37657">
              <w:t>Ms Alison Mahoney</w:t>
            </w:r>
          </w:p>
        </w:tc>
        <w:tc>
          <w:tcPr>
            <w:tcW w:w="5850" w:type="dxa"/>
          </w:tcPr>
          <w:p w14:paraId="393BC4A6" w14:textId="77777777" w:rsidR="001B5E16" w:rsidRPr="00A37657" w:rsidRDefault="001B5E16" w:rsidP="00F7006A">
            <w:pPr>
              <w:pStyle w:val="Normalnoindent"/>
            </w:pPr>
            <w:r w:rsidRPr="00A37657">
              <w:t>Research Analyst, Life Sciences</w:t>
            </w:r>
          </w:p>
        </w:tc>
      </w:tr>
      <w:tr w:rsidR="001B5E16" w:rsidRPr="002069E8" w14:paraId="0BB607D2" w14:textId="77777777" w:rsidTr="00F7006A">
        <w:tc>
          <w:tcPr>
            <w:tcW w:w="2672" w:type="dxa"/>
          </w:tcPr>
          <w:p w14:paraId="5954FD88" w14:textId="77777777" w:rsidR="001B5E16" w:rsidRPr="00A37657" w:rsidRDefault="001B5E16" w:rsidP="00F7006A">
            <w:pPr>
              <w:pStyle w:val="Normalnoindent"/>
            </w:pPr>
            <w:r w:rsidRPr="00A37657">
              <w:t>Ms Shari Stathis</w:t>
            </w:r>
          </w:p>
        </w:tc>
        <w:tc>
          <w:tcPr>
            <w:tcW w:w="5850" w:type="dxa"/>
          </w:tcPr>
          <w:p w14:paraId="2C8F2CCA" w14:textId="77777777" w:rsidR="001B5E16" w:rsidRPr="00A37657" w:rsidRDefault="001B5E16" w:rsidP="00F7006A">
            <w:pPr>
              <w:pStyle w:val="Normalnoindent"/>
            </w:pPr>
            <w:r w:rsidRPr="00A37657">
              <w:t>Research Analyst, Life Sciences</w:t>
            </w:r>
          </w:p>
        </w:tc>
      </w:tr>
    </w:tbl>
    <w:p w14:paraId="6156ACDF" w14:textId="77777777" w:rsidR="001B5E16" w:rsidRDefault="001B5E16" w:rsidP="001B5E16">
      <w:pPr>
        <w:pStyle w:val="Heading3a"/>
        <w:ind w:left="709" w:firstLine="11"/>
      </w:pPr>
      <w:r>
        <w:t xml:space="preserve">Medical writing (module only) and technical editing </w:t>
      </w:r>
    </w:p>
    <w:tbl>
      <w:tblPr>
        <w:tblW w:w="0" w:type="auto"/>
        <w:tblInd w:w="720" w:type="dxa"/>
        <w:tblLook w:val="04A0" w:firstRow="1" w:lastRow="0" w:firstColumn="1" w:lastColumn="0" w:noHBand="0" w:noVBand="1"/>
      </w:tblPr>
      <w:tblGrid>
        <w:gridCol w:w="2388"/>
        <w:gridCol w:w="6134"/>
      </w:tblGrid>
      <w:tr w:rsidR="001B5E16" w:rsidRPr="002069E8" w14:paraId="1BDA92AA" w14:textId="77777777" w:rsidTr="00F7006A">
        <w:tc>
          <w:tcPr>
            <w:tcW w:w="2388" w:type="dxa"/>
          </w:tcPr>
          <w:p w14:paraId="5532DFF2" w14:textId="77777777" w:rsidR="001B5E16" w:rsidRPr="002069E8" w:rsidRDefault="001B5E16" w:rsidP="00F7006A">
            <w:pPr>
              <w:pStyle w:val="Normalnoindent"/>
            </w:pPr>
            <w:r w:rsidRPr="002069E8">
              <w:t>Dr Hilary Cadman</w:t>
            </w:r>
          </w:p>
        </w:tc>
        <w:tc>
          <w:tcPr>
            <w:tcW w:w="6134" w:type="dxa"/>
          </w:tcPr>
          <w:p w14:paraId="1BC62733" w14:textId="77777777" w:rsidR="001B5E16" w:rsidRPr="002069E8" w:rsidRDefault="001B5E16" w:rsidP="00F7006A">
            <w:pPr>
              <w:pStyle w:val="Normalnoindent"/>
            </w:pPr>
            <w:r w:rsidRPr="002069E8">
              <w:t xml:space="preserve">Cadman Editing Services (independent contractor to </w:t>
            </w:r>
            <w:r>
              <w:t>Optum</w:t>
            </w:r>
            <w:r w:rsidRPr="002069E8">
              <w:t>)</w:t>
            </w:r>
          </w:p>
        </w:tc>
      </w:tr>
    </w:tbl>
    <w:p w14:paraId="24CD6D3A" w14:textId="77777777" w:rsidR="0041081F" w:rsidRDefault="0041081F" w:rsidP="00695518"/>
    <w:p w14:paraId="77E418D1" w14:textId="77777777" w:rsidR="0041081F" w:rsidRDefault="0041081F" w:rsidP="0041081F">
      <w:pPr>
        <w:pStyle w:val="Heading1"/>
        <w:rPr>
          <w:rStyle w:val="Chaptersub-headingsChar"/>
          <w:rFonts w:ascii="Arial" w:hAnsi="Arial"/>
          <w:lang w:eastAsia="en-AU"/>
        </w:rPr>
      </w:pPr>
      <w:r>
        <w:br w:type="page"/>
      </w:r>
      <w:bookmarkStart w:id="269" w:name="_Toc427851404"/>
      <w:r w:rsidRPr="005E597B">
        <w:t xml:space="preserve">Appendix </w:t>
      </w:r>
      <w:r>
        <w:rPr>
          <w:lang w:val="en-US" w:eastAsia="ja-JP"/>
        </w:rPr>
        <w:t>B</w:t>
      </w:r>
      <w:r>
        <w:tab/>
        <w:t>Process report</w:t>
      </w:r>
      <w:bookmarkEnd w:id="264"/>
      <w:bookmarkEnd w:id="265"/>
      <w:bookmarkEnd w:id="266"/>
      <w:bookmarkEnd w:id="269"/>
    </w:p>
    <w:p w14:paraId="04990676" w14:textId="77777777" w:rsidR="0041081F" w:rsidRPr="009B38FB" w:rsidRDefault="0041081F" w:rsidP="0041081F">
      <w:pPr>
        <w:pStyle w:val="Heading2a"/>
      </w:pPr>
      <w:r>
        <w:rPr>
          <w:lang w:eastAsia="ja-JP"/>
        </w:rPr>
        <w:t>B</w:t>
      </w:r>
      <w:r>
        <w:t>1</w:t>
      </w:r>
      <w:r>
        <w:tab/>
        <w:t>Development process and methodology</w:t>
      </w:r>
    </w:p>
    <w:p w14:paraId="7D998C25" w14:textId="77777777" w:rsidR="0041081F" w:rsidRDefault="0041081F" w:rsidP="00695518">
      <w:r>
        <w:t>Further information on the development process and methods is included in Chapters 1 and 2, and Appendix A.</w:t>
      </w:r>
    </w:p>
    <w:p w14:paraId="06A258E3" w14:textId="77777777" w:rsidR="0041081F" w:rsidRDefault="0041081F" w:rsidP="0041081F">
      <w:pPr>
        <w:pStyle w:val="Heading2a"/>
      </w:pPr>
      <w:r>
        <w:rPr>
          <w:lang w:eastAsia="ja-JP"/>
        </w:rPr>
        <w:t>B</w:t>
      </w:r>
      <w:r>
        <w:t>2</w:t>
      </w:r>
      <w:r>
        <w:tab/>
        <w:t>Research phase</w:t>
      </w:r>
    </w:p>
    <w:p w14:paraId="1D38B03E" w14:textId="77777777" w:rsidR="0041081F" w:rsidRPr="000B43D8" w:rsidRDefault="0041081F" w:rsidP="0041081F">
      <w:r>
        <w:t xml:space="preserve">Relevant clinical research questions were developed, </w:t>
      </w:r>
      <w:r w:rsidRPr="002E529D">
        <w:t>prioritised, combined and refined</w:t>
      </w:r>
      <w:r>
        <w:t xml:space="preserve"> by the EWG and the CRG </w:t>
      </w:r>
      <w:r w:rsidRPr="002E529D">
        <w:t xml:space="preserve">for </w:t>
      </w:r>
      <w:r>
        <w:t xml:space="preserve">this </w:t>
      </w:r>
      <w:r w:rsidRPr="002E529D">
        <w:t>guidelin</w:t>
      </w:r>
      <w:r>
        <w:t xml:space="preserve">e, and further refined through consultation </w:t>
      </w:r>
      <w:r w:rsidRPr="002E529D">
        <w:t>among the systematic reviewer, CRG, N</w:t>
      </w:r>
      <w:r>
        <w:t>BA and independent systematic review expert.</w:t>
      </w:r>
      <w:r w:rsidRPr="000B43D8">
        <w:t xml:space="preserve"> </w:t>
      </w:r>
      <w:r>
        <w:t>These processes are outlined in further detail in Chapter 1 and Appendix A.</w:t>
      </w:r>
    </w:p>
    <w:p w14:paraId="22CE01B5" w14:textId="77777777" w:rsidR="0041081F" w:rsidRDefault="0041081F" w:rsidP="0041081F">
      <w:pPr>
        <w:pStyle w:val="Heading2a"/>
      </w:pPr>
      <w:r>
        <w:rPr>
          <w:lang w:eastAsia="ja-JP"/>
        </w:rPr>
        <w:t>B</w:t>
      </w:r>
      <w:r>
        <w:t>3</w:t>
      </w:r>
      <w:r>
        <w:tab/>
        <w:t>Methodology</w:t>
      </w:r>
    </w:p>
    <w:p w14:paraId="542445A9" w14:textId="75625CDF" w:rsidR="0041081F" w:rsidRDefault="0041081F" w:rsidP="00FF2787">
      <w:pPr>
        <w:pStyle w:val="Normalbeforebullet"/>
      </w:pPr>
      <w:r>
        <w:t>Methods are outlined in Chapter 2, with greater detail given in the technical reports.</w:t>
      </w:r>
      <w:hyperlink w:anchor="_ENREF_388" w:tooltip="National Blood Authority (NBA), In preparation #195" w:history="1">
        <w:r w:rsidR="00E62798">
          <w:fldChar w:fldCharType="begin"/>
        </w:r>
        <w:r w:rsidR="00E62798">
          <w:instrText xml:space="preserve"> ADDIN EN.CITE &lt;EndNote&gt;&lt;Cite&gt;&lt;Author&gt;National Blood Authority (NBA)&lt;/Author&gt;&lt;Year&gt;In preparation&lt;/Year&gt;&lt;RecNum&gt;195&lt;/RecNum&gt;&lt;DisplayText&gt;&lt;style face="superscript"&gt;388-389&lt;/style&gt;&lt;/DisplayText&gt;&lt;record&gt;&lt;rec-number&gt;195&lt;/rec-number&gt;&lt;foreign-keys&gt;&lt;key app="EN" db-id="9edve2wadsavt5ewavaxtda4f2tavzvts9ee" timestamp="1426642642"&gt;195&lt;/key&gt;&lt;/foreign-keys&gt;&lt;ref-type name="Government Document"&gt;46&lt;/ref-type&gt;&lt;contributors&gt;&lt;authors&gt;&lt;author&gt;National Blood Authority (NBA),&lt;/author&gt;&lt;/authors&gt;&lt;/contributors&gt;&lt;titles&gt;&lt;title&gt;Patient Blood Management Guidelines: Module 5 – Obstetrics and Maternity: Technical Report Volume 1 – Appendixes&lt;/title&gt;&lt;/titles&gt;&lt;dates&gt;&lt;year&gt;In preparation&lt;/year&gt;&lt;/dates&gt;&lt;pub-location&gt;Canberra, Australia&lt;/pub-location&gt;&lt;publisher&gt;NBA&lt;/publisher&gt;&lt;urls&gt;&lt;/urls&gt;&lt;/record&gt;&lt;/Cite&gt;&lt;Cite&gt;&lt;Author&gt;National Blood Authority (NBA)&lt;/Author&gt;&lt;Year&gt;In preparation&lt;/Year&gt;&lt;RecNum&gt;194&lt;/RecNum&gt;&lt;record&gt;&lt;rec-number&gt;194&lt;/rec-number&gt;&lt;foreign-keys&gt;&lt;key app="EN" db-id="9edve2wadsavt5ewavaxtda4f2tavzvts9ee" timestamp="1426642642"&gt;194&lt;/key&gt;&lt;/foreign-keys&gt;&lt;ref-type name="Government Document"&gt;46&lt;/ref-type&gt;&lt;contributors&gt;&lt;authors&gt;&lt;author&gt;National Blood Authority (NBA),&lt;/author&gt;&lt;/authors&gt;&lt;/contributors&gt;&lt;titles&gt;&lt;title&gt;Patient Blood Management Guidelines: Module 5 – Obstetrics and Maternity: Technical Report Volume 2 – Annexes&lt;/title&gt;&lt;/titles&gt;&lt;dates&gt;&lt;year&gt;In preparation&lt;/year&gt;&lt;/dates&gt;&lt;pub-location&gt;Canberra, Australia&lt;/pub-location&gt;&lt;publisher&gt;NBA&lt;/publisher&gt;&lt;urls&gt;&lt;/urls&gt;&lt;/record&gt;&lt;/Cite&gt;&lt;/EndNote&gt;</w:instrText>
        </w:r>
        <w:r w:rsidR="00E62798">
          <w:fldChar w:fldCharType="separate"/>
        </w:r>
        <w:r w:rsidR="00E62798" w:rsidRPr="00E62798">
          <w:rPr>
            <w:noProof/>
            <w:vertAlign w:val="superscript"/>
          </w:rPr>
          <w:t>388-389</w:t>
        </w:r>
        <w:r w:rsidR="00E62798">
          <w:fldChar w:fldCharType="end"/>
        </w:r>
      </w:hyperlink>
      <w:r>
        <w:t xml:space="preserve"> </w:t>
      </w:r>
    </w:p>
    <w:p w14:paraId="0E91341F" w14:textId="77777777" w:rsidR="0041081F" w:rsidRDefault="0041081F" w:rsidP="0041081F">
      <w:pPr>
        <w:pStyle w:val="Heading2a"/>
        <w:rPr>
          <w:lang w:val="en-US" w:eastAsia="ja-JP"/>
        </w:rPr>
      </w:pPr>
      <w:r>
        <w:rPr>
          <w:lang w:val="en-US" w:eastAsia="ja-JP"/>
        </w:rPr>
        <w:t>B4</w:t>
      </w:r>
      <w:r>
        <w:rPr>
          <w:lang w:val="en-US" w:eastAsia="ja-JP"/>
        </w:rPr>
        <w:tab/>
        <w:t>Consensus process</w:t>
      </w:r>
    </w:p>
    <w:p w14:paraId="738946ED" w14:textId="77777777" w:rsidR="0041081F" w:rsidRPr="005B5FE4" w:rsidRDefault="0041081F" w:rsidP="00D274EC">
      <w:pPr>
        <w:pStyle w:val="Heading3a"/>
      </w:pPr>
      <w:r w:rsidRPr="005B5FE4">
        <w:t>Consensus process</w:t>
      </w:r>
      <w:r>
        <w:t xml:space="preserve"> for developing practice points and expert opinion</w:t>
      </w:r>
    </w:p>
    <w:p w14:paraId="7472DEBE" w14:textId="77777777" w:rsidR="0041081F" w:rsidRDefault="0041081F" w:rsidP="0041081F">
      <w:r>
        <w:t>In circumstances</w:t>
      </w:r>
      <w:r w:rsidRPr="001228B9">
        <w:t xml:space="preserve"> </w:t>
      </w:r>
      <w:r>
        <w:t xml:space="preserve">where no evidence was identified, practice points were developed by the CRG through a consensus-based process. Where relevant guidance that was outside of the scope of the systematic review </w:t>
      </w:r>
      <w:r w:rsidRPr="00D274EC">
        <w:t xml:space="preserve">was required, consensus-based ‘expert opinion’ was included </w:t>
      </w:r>
      <w:r w:rsidRPr="00D274EC">
        <w:rPr>
          <w:color w:val="auto"/>
        </w:rPr>
        <w:t xml:space="preserve">(e.g. background research in </w:t>
      </w:r>
      <w:r w:rsidRPr="00D274EC">
        <w:t xml:space="preserve">Chapter </w:t>
      </w:r>
      <w:r w:rsidR="00D274EC" w:rsidRPr="00D274EC">
        <w:t>4</w:t>
      </w:r>
      <w:r w:rsidRPr="00D274EC">
        <w:t>).</w:t>
      </w:r>
    </w:p>
    <w:p w14:paraId="75D8078C" w14:textId="77777777" w:rsidR="0041081F" w:rsidRPr="001228B9" w:rsidRDefault="0041081F" w:rsidP="0041081F">
      <w:pPr>
        <w:rPr>
          <w:lang w:val="en-US" w:eastAsia="ja-JP"/>
        </w:rPr>
      </w:pPr>
      <w:r>
        <w:rPr>
          <w:lang w:val="en-US" w:eastAsia="ja-JP"/>
        </w:rPr>
        <w:t xml:space="preserve">Guiding </w:t>
      </w:r>
      <w:r w:rsidRPr="001228B9">
        <w:rPr>
          <w:lang w:val="en-US" w:eastAsia="ja-JP"/>
        </w:rPr>
        <w:t>principles and values</w:t>
      </w:r>
      <w:r>
        <w:rPr>
          <w:lang w:val="en-US" w:eastAsia="ja-JP"/>
        </w:rPr>
        <w:t>, and ‘ground rules’ were established, and the following pro</w:t>
      </w:r>
      <w:r w:rsidRPr="001228B9">
        <w:rPr>
          <w:lang w:val="en-US" w:eastAsia="ja-JP"/>
        </w:rPr>
        <w:t xml:space="preserve">cess </w:t>
      </w:r>
      <w:r>
        <w:rPr>
          <w:lang w:val="en-US" w:eastAsia="ja-JP"/>
        </w:rPr>
        <w:t>was</w:t>
      </w:r>
      <w:r w:rsidRPr="001228B9">
        <w:rPr>
          <w:lang w:val="en-US" w:eastAsia="ja-JP"/>
        </w:rPr>
        <w:t xml:space="preserve"> used to develop practice points </w:t>
      </w:r>
      <w:r>
        <w:rPr>
          <w:lang w:val="en-US" w:eastAsia="ja-JP"/>
        </w:rPr>
        <w:t xml:space="preserve">and expert opinion </w:t>
      </w:r>
      <w:r w:rsidRPr="001228B9">
        <w:rPr>
          <w:lang w:val="en-US" w:eastAsia="ja-JP"/>
        </w:rPr>
        <w:t>through consensus.</w:t>
      </w:r>
    </w:p>
    <w:p w14:paraId="7BA66EAE" w14:textId="77777777" w:rsidR="0041081F" w:rsidRPr="001228B9" w:rsidRDefault="0041081F" w:rsidP="0041081F">
      <w:pPr>
        <w:rPr>
          <w:lang w:val="en-US" w:eastAsia="ja-JP"/>
        </w:rPr>
      </w:pPr>
      <w:r w:rsidRPr="00B15584">
        <w:rPr>
          <w:b/>
          <w:lang w:val="en-US" w:eastAsia="ja-JP"/>
        </w:rPr>
        <w:t>Stage 1 – Introduction.</w:t>
      </w:r>
      <w:r>
        <w:rPr>
          <w:lang w:val="en-US" w:eastAsia="ja-JP"/>
        </w:rPr>
        <w:t xml:space="preserve"> </w:t>
      </w:r>
      <w:r w:rsidRPr="001228B9">
        <w:rPr>
          <w:lang w:val="en-US" w:eastAsia="ja-JP"/>
        </w:rPr>
        <w:t>The Chair describe</w:t>
      </w:r>
      <w:r>
        <w:rPr>
          <w:lang w:val="en-US" w:eastAsia="ja-JP"/>
        </w:rPr>
        <w:t>d</w:t>
      </w:r>
      <w:r w:rsidRPr="001228B9">
        <w:rPr>
          <w:lang w:val="en-US" w:eastAsia="ja-JP"/>
        </w:rPr>
        <w:t xml:space="preserve"> the consensus process, participants’ roles and</w:t>
      </w:r>
      <w:r>
        <w:rPr>
          <w:lang w:val="en-US" w:eastAsia="ja-JP"/>
        </w:rPr>
        <w:t xml:space="preserve"> </w:t>
      </w:r>
      <w:r w:rsidRPr="001228B9">
        <w:rPr>
          <w:lang w:val="en-US" w:eastAsia="ja-JP"/>
        </w:rPr>
        <w:t xml:space="preserve">responsibilities, ground rules and </w:t>
      </w:r>
      <w:r>
        <w:rPr>
          <w:lang w:val="en-US" w:eastAsia="ja-JP"/>
        </w:rPr>
        <w:t xml:space="preserve">the </w:t>
      </w:r>
      <w:r w:rsidRPr="001228B9">
        <w:rPr>
          <w:lang w:val="en-US" w:eastAsia="ja-JP"/>
        </w:rPr>
        <w:t>guiding principles.</w:t>
      </w:r>
    </w:p>
    <w:p w14:paraId="3AF10DE9" w14:textId="77777777" w:rsidR="0041081F" w:rsidRPr="001228B9" w:rsidRDefault="0041081F" w:rsidP="0041081F">
      <w:pPr>
        <w:rPr>
          <w:lang w:val="en-US" w:eastAsia="ja-JP"/>
        </w:rPr>
      </w:pPr>
      <w:r w:rsidRPr="00B15584">
        <w:rPr>
          <w:b/>
          <w:lang w:val="en-US" w:eastAsia="ja-JP"/>
        </w:rPr>
        <w:t>Stage 2 – Open discussion</w:t>
      </w:r>
      <w:r>
        <w:rPr>
          <w:b/>
          <w:lang w:val="en-US" w:eastAsia="ja-JP"/>
        </w:rPr>
        <w:t>.</w:t>
      </w:r>
      <w:r w:rsidRPr="00B15584">
        <w:rPr>
          <w:lang w:val="en-US" w:eastAsia="ja-JP"/>
        </w:rPr>
        <w:t xml:space="preserve"> </w:t>
      </w:r>
      <w:r w:rsidRPr="001228B9">
        <w:rPr>
          <w:lang w:val="en-US" w:eastAsia="ja-JP"/>
        </w:rPr>
        <w:t>The Chair open</w:t>
      </w:r>
      <w:r>
        <w:rPr>
          <w:lang w:val="en-US" w:eastAsia="ja-JP"/>
        </w:rPr>
        <w:t>ed</w:t>
      </w:r>
      <w:r w:rsidRPr="001228B9">
        <w:rPr>
          <w:lang w:val="en-US" w:eastAsia="ja-JP"/>
        </w:rPr>
        <w:t xml:space="preserve"> the floor to a general discussion and</w:t>
      </w:r>
      <w:r>
        <w:rPr>
          <w:lang w:val="en-US" w:eastAsia="ja-JP"/>
        </w:rPr>
        <w:t xml:space="preserve"> suggestions for practice point/expert opinion wording</w:t>
      </w:r>
      <w:r w:rsidRPr="001228B9">
        <w:rPr>
          <w:lang w:val="en-US" w:eastAsia="ja-JP"/>
        </w:rPr>
        <w:t xml:space="preserve">. </w:t>
      </w:r>
      <w:r>
        <w:rPr>
          <w:lang w:val="en-US" w:eastAsia="ja-JP"/>
        </w:rPr>
        <w:t xml:space="preserve">The </w:t>
      </w:r>
      <w:r w:rsidRPr="001228B9">
        <w:rPr>
          <w:lang w:val="en-US" w:eastAsia="ja-JP"/>
        </w:rPr>
        <w:t xml:space="preserve">Chair </w:t>
      </w:r>
      <w:r>
        <w:rPr>
          <w:lang w:val="en-US" w:eastAsia="ja-JP"/>
        </w:rPr>
        <w:t>provided</w:t>
      </w:r>
      <w:r w:rsidRPr="001228B9">
        <w:rPr>
          <w:lang w:val="en-US" w:eastAsia="ja-JP"/>
        </w:rPr>
        <w:t xml:space="preserve"> an opportunity for concerns or issues to be raised.</w:t>
      </w:r>
    </w:p>
    <w:p w14:paraId="4CAF717F" w14:textId="4512D814" w:rsidR="0041081F" w:rsidRPr="001228B9" w:rsidRDefault="0041081F" w:rsidP="0041081F">
      <w:pPr>
        <w:rPr>
          <w:lang w:val="en-US" w:eastAsia="ja-JP"/>
        </w:rPr>
      </w:pPr>
      <w:r w:rsidRPr="00B15584">
        <w:rPr>
          <w:b/>
          <w:lang w:val="en-US" w:eastAsia="ja-JP"/>
        </w:rPr>
        <w:t xml:space="preserve">Stage 3 – Resolve concerns. </w:t>
      </w:r>
      <w:r w:rsidRPr="001228B9">
        <w:rPr>
          <w:lang w:val="en-US" w:eastAsia="ja-JP"/>
        </w:rPr>
        <w:t xml:space="preserve">The Chair </w:t>
      </w:r>
      <w:r w:rsidR="006A116C" w:rsidRPr="001228B9">
        <w:rPr>
          <w:lang w:val="en-US" w:eastAsia="ja-JP"/>
        </w:rPr>
        <w:t>ha</w:t>
      </w:r>
      <w:r w:rsidR="006A116C">
        <w:rPr>
          <w:lang w:val="en-US" w:eastAsia="ja-JP"/>
        </w:rPr>
        <w:t>d</w:t>
      </w:r>
      <w:r w:rsidR="006A116C" w:rsidRPr="001228B9">
        <w:rPr>
          <w:lang w:val="en-US" w:eastAsia="ja-JP"/>
        </w:rPr>
        <w:t xml:space="preserve"> </w:t>
      </w:r>
      <w:r w:rsidRPr="001228B9">
        <w:rPr>
          <w:lang w:val="en-US" w:eastAsia="ja-JP"/>
        </w:rPr>
        <w:t>the first option to resolve the listed concerns by</w:t>
      </w:r>
      <w:r>
        <w:rPr>
          <w:lang w:val="en-US" w:eastAsia="ja-JP"/>
        </w:rPr>
        <w:t xml:space="preserve"> </w:t>
      </w:r>
      <w:r w:rsidRPr="00B15584">
        <w:rPr>
          <w:lang w:val="en-US" w:eastAsia="ja-JP"/>
        </w:rPr>
        <w:t>clarifying or changing the wording</w:t>
      </w:r>
      <w:r>
        <w:rPr>
          <w:lang w:val="en-US" w:eastAsia="ja-JP"/>
        </w:rPr>
        <w:t xml:space="preserve">, or </w:t>
      </w:r>
      <w:r w:rsidRPr="00B15584">
        <w:rPr>
          <w:lang w:val="en-US" w:eastAsia="ja-JP"/>
        </w:rPr>
        <w:t xml:space="preserve">seeing whether those with concerns will stand aside (i.e. </w:t>
      </w:r>
      <w:r w:rsidR="000B226B">
        <w:rPr>
          <w:lang w:val="en-US" w:eastAsia="ja-JP"/>
        </w:rPr>
        <w:t>‘</w:t>
      </w:r>
      <w:r w:rsidRPr="00B15584">
        <w:rPr>
          <w:lang w:val="en-US" w:eastAsia="ja-JP"/>
        </w:rPr>
        <w:t>had concerns, but could live with them</w:t>
      </w:r>
      <w:r w:rsidR="000B226B">
        <w:rPr>
          <w:lang w:val="en-US" w:eastAsia="ja-JP"/>
        </w:rPr>
        <w:t>’</w:t>
      </w:r>
      <w:r w:rsidRPr="00B15584">
        <w:rPr>
          <w:lang w:val="en-US" w:eastAsia="ja-JP"/>
        </w:rPr>
        <w:t>). Where</w:t>
      </w:r>
      <w:r>
        <w:rPr>
          <w:lang w:val="en-US" w:eastAsia="ja-JP"/>
        </w:rPr>
        <w:t xml:space="preserve"> </w:t>
      </w:r>
      <w:r w:rsidRPr="00B15584">
        <w:rPr>
          <w:lang w:val="en-US" w:eastAsia="ja-JP"/>
        </w:rPr>
        <w:t xml:space="preserve">concerns </w:t>
      </w:r>
      <w:r>
        <w:rPr>
          <w:lang w:val="en-US" w:eastAsia="ja-JP"/>
        </w:rPr>
        <w:t xml:space="preserve">were not resolved </w:t>
      </w:r>
      <w:r w:rsidRPr="00B15584">
        <w:rPr>
          <w:lang w:val="en-US" w:eastAsia="ja-JP"/>
        </w:rPr>
        <w:t>and th</w:t>
      </w:r>
      <w:r>
        <w:rPr>
          <w:lang w:val="en-US" w:eastAsia="ja-JP"/>
        </w:rPr>
        <w:t>e time wa</w:t>
      </w:r>
      <w:r w:rsidRPr="00B15584">
        <w:rPr>
          <w:lang w:val="en-US" w:eastAsia="ja-JP"/>
        </w:rPr>
        <w:t>s short, the discussion was carried over to a later meeting.</w:t>
      </w:r>
    </w:p>
    <w:p w14:paraId="01A1E46A" w14:textId="77777777" w:rsidR="0041081F" w:rsidRPr="00FC1D59" w:rsidRDefault="0041081F" w:rsidP="0041081F">
      <w:pPr>
        <w:rPr>
          <w:lang w:val="en-US" w:eastAsia="ja-JP"/>
        </w:rPr>
      </w:pPr>
      <w:r w:rsidRPr="00B15584">
        <w:rPr>
          <w:b/>
          <w:lang w:val="en-US" w:eastAsia="ja-JP"/>
        </w:rPr>
        <w:t>Stage 4 – First call for consensus</w:t>
      </w:r>
      <w:r>
        <w:rPr>
          <w:b/>
          <w:lang w:val="en-US" w:eastAsia="ja-JP"/>
        </w:rPr>
        <w:t xml:space="preserve">. </w:t>
      </w:r>
      <w:r w:rsidRPr="00FC1D59">
        <w:rPr>
          <w:lang w:val="en-US" w:eastAsia="ja-JP"/>
        </w:rPr>
        <w:t>The Chair called for consensus.</w:t>
      </w:r>
    </w:p>
    <w:p w14:paraId="3AC470BA" w14:textId="77777777" w:rsidR="0041081F" w:rsidRPr="001228B9" w:rsidRDefault="0041081F" w:rsidP="00FF2787">
      <w:pPr>
        <w:pStyle w:val="StyleNormalbeforebulletLeft125cm"/>
      </w:pPr>
      <w:r w:rsidRPr="00B15584">
        <w:rPr>
          <w:b/>
        </w:rPr>
        <w:t>Stage 5 – Second call for consensus.</w:t>
      </w:r>
      <w:r>
        <w:t xml:space="preserve"> If consensus was not reached, the CRG c</w:t>
      </w:r>
      <w:r w:rsidRPr="001228B9">
        <w:t>onsider</w:t>
      </w:r>
      <w:r>
        <w:t>ed</w:t>
      </w:r>
      <w:r w:rsidRPr="001228B9">
        <w:t xml:space="preserve"> </w:t>
      </w:r>
      <w:r>
        <w:t xml:space="preserve">the consensus process guiding </w:t>
      </w:r>
      <w:r w:rsidRPr="001228B9">
        <w:t>principles and values</w:t>
      </w:r>
      <w:r>
        <w:t>, and</w:t>
      </w:r>
      <w:r w:rsidRPr="001228B9">
        <w:t xml:space="preserve">: </w:t>
      </w:r>
    </w:p>
    <w:p w14:paraId="1D256E95" w14:textId="77777777" w:rsidR="0041081F" w:rsidRPr="00FC1D59" w:rsidRDefault="0041081F" w:rsidP="00D274EC">
      <w:pPr>
        <w:pStyle w:val="Bullet6"/>
        <w:rPr>
          <w:lang w:val="en-US" w:eastAsia="ja-JP"/>
        </w:rPr>
      </w:pPr>
      <w:r>
        <w:rPr>
          <w:lang w:val="en-US" w:eastAsia="ja-JP"/>
        </w:rPr>
        <w:t xml:space="preserve">the member withdrew the concern and </w:t>
      </w:r>
      <w:r w:rsidRPr="00FC1D59">
        <w:rPr>
          <w:lang w:val="en-US" w:eastAsia="ja-JP"/>
        </w:rPr>
        <w:t xml:space="preserve">consensus was reached </w:t>
      </w:r>
    </w:p>
    <w:p w14:paraId="4010155B" w14:textId="77777777" w:rsidR="0041081F" w:rsidRPr="00FC1D59" w:rsidRDefault="0041081F" w:rsidP="00D274EC">
      <w:pPr>
        <w:pStyle w:val="Bullet6"/>
        <w:rPr>
          <w:lang w:val="en-US" w:eastAsia="ja-JP"/>
        </w:rPr>
      </w:pPr>
      <w:r w:rsidRPr="00FC1D59">
        <w:rPr>
          <w:lang w:val="en-US" w:eastAsia="ja-JP"/>
        </w:rPr>
        <w:t>the member stood aside</w:t>
      </w:r>
      <w:r>
        <w:rPr>
          <w:lang w:val="en-US" w:eastAsia="ja-JP"/>
        </w:rPr>
        <w:t xml:space="preserve"> </w:t>
      </w:r>
      <w:r w:rsidRPr="00FC1D59">
        <w:rPr>
          <w:lang w:val="en-US" w:eastAsia="ja-JP"/>
        </w:rPr>
        <w:t>and the differing schools of thought</w:t>
      </w:r>
      <w:r w:rsidR="00D274EC">
        <w:rPr>
          <w:lang w:val="en-US" w:eastAsia="ja-JP"/>
        </w:rPr>
        <w:t xml:space="preserve"> were</w:t>
      </w:r>
      <w:r w:rsidRPr="00FC1D59">
        <w:rPr>
          <w:lang w:val="en-US" w:eastAsia="ja-JP"/>
        </w:rPr>
        <w:t xml:space="preserve"> documented</w:t>
      </w:r>
    </w:p>
    <w:p w14:paraId="44102BFC" w14:textId="77777777" w:rsidR="0041081F" w:rsidRPr="00FC1D59" w:rsidRDefault="0041081F" w:rsidP="00D274EC">
      <w:pPr>
        <w:pStyle w:val="Bullet12"/>
        <w:rPr>
          <w:lang w:val="en-US" w:eastAsia="ja-JP"/>
        </w:rPr>
      </w:pPr>
      <w:r w:rsidRPr="00372561">
        <w:rPr>
          <w:lang w:val="en-US" w:eastAsia="ja-JP"/>
        </w:rPr>
        <w:t>the member was not willing to withdraw the concern or stand aside</w:t>
      </w:r>
      <w:r w:rsidR="00D274EC">
        <w:rPr>
          <w:lang w:val="en-US" w:eastAsia="ja-JP"/>
        </w:rPr>
        <w:t>,</w:t>
      </w:r>
      <w:r w:rsidRPr="00372561">
        <w:rPr>
          <w:lang w:val="en-US" w:eastAsia="ja-JP"/>
        </w:rPr>
        <w:t xml:space="preserve"> and the CRG declared itself blocked – the pract</w:t>
      </w:r>
      <w:r w:rsidRPr="008202FA">
        <w:rPr>
          <w:lang w:val="en-US" w:eastAsia="ja-JP"/>
        </w:rPr>
        <w:t>ice point</w:t>
      </w:r>
      <w:r w:rsidR="00D274EC">
        <w:rPr>
          <w:lang w:val="en-US" w:eastAsia="ja-JP"/>
        </w:rPr>
        <w:t xml:space="preserve"> or </w:t>
      </w:r>
      <w:r>
        <w:rPr>
          <w:lang w:val="en-US" w:eastAsia="ja-JP"/>
        </w:rPr>
        <w:t>expert opinion</w:t>
      </w:r>
      <w:r w:rsidRPr="00FC1D59">
        <w:rPr>
          <w:lang w:val="en-US" w:eastAsia="ja-JP"/>
        </w:rPr>
        <w:t xml:space="preserve"> was not accepted.</w:t>
      </w:r>
    </w:p>
    <w:p w14:paraId="3B7439EA" w14:textId="77777777" w:rsidR="0041081F" w:rsidRDefault="0041081F" w:rsidP="0041081F">
      <w:pPr>
        <w:pStyle w:val="Heading2a"/>
      </w:pPr>
      <w:r>
        <w:rPr>
          <w:lang w:val="en-US"/>
        </w:rPr>
        <w:t>B5</w:t>
      </w:r>
      <w:r>
        <w:tab/>
        <w:t>Conflict of interest</w:t>
      </w:r>
    </w:p>
    <w:p w14:paraId="27BE5E48" w14:textId="31C4FE64" w:rsidR="00C01F5C" w:rsidRDefault="00C01F5C" w:rsidP="00C01F5C">
      <w:r>
        <w:t xml:space="preserve">All members of the PBM Steering Committee, CRG, EWG and systematic review team declared any interests before starting work on the guidelines. New declarations were required to be declared to the Chair before the start of each meeting as a standing agenda item on each day of a meeting. The NBA keeps a register of all declared interests. If an interest is declared, </w:t>
      </w:r>
      <w:r w:rsidRPr="003C38FB">
        <w:t xml:space="preserve">and the Chair decides </w:t>
      </w:r>
      <w:r>
        <w:t xml:space="preserve">that </w:t>
      </w:r>
      <w:r w:rsidRPr="003C38FB">
        <w:t xml:space="preserve">it should be considered by the CRG, </w:t>
      </w:r>
      <w:r>
        <w:t xml:space="preserve">the CRG decides by consensus whether it affects the proceedings. If the interest is considered to be competing or in conflict, the Chair directly manages the participation of that member in relation to discussions and decisions pertaining to the declared interest. </w:t>
      </w:r>
    </w:p>
    <w:p w14:paraId="4D33AB20" w14:textId="6B45EBE1" w:rsidR="00C01F5C" w:rsidRPr="004C7AF9" w:rsidRDefault="00C01F5C" w:rsidP="00C01F5C">
      <w:r>
        <w:t xml:space="preserve">Unlike the pecuniary interests declared by CRG members that are published in the PBM </w:t>
      </w:r>
      <w:r w:rsidRPr="004C7AF9">
        <w:t xml:space="preserve">guidelines, declarations of a more personal nature can be made in confidence to the NBA. These declarations are forwarded to the Chair, </w:t>
      </w:r>
      <w:r>
        <w:t xml:space="preserve">and this is </w:t>
      </w:r>
      <w:r w:rsidRPr="004C7AF9">
        <w:t>followed by a discussion with the CRG member</w:t>
      </w:r>
      <w:r>
        <w:t>,</w:t>
      </w:r>
      <w:r w:rsidRPr="004C7AF9">
        <w:t xml:space="preserve"> who is required to sign and agree to the enactment of an action management plan. At this time, the Chair determines </w:t>
      </w:r>
      <w:r>
        <w:t>whether</w:t>
      </w:r>
      <w:r w:rsidRPr="004C7AF9">
        <w:t xml:space="preserve"> the declaration:</w:t>
      </w:r>
    </w:p>
    <w:p w14:paraId="5238C297" w14:textId="77777777" w:rsidR="00C01F5C" w:rsidRPr="004C7AF9" w:rsidRDefault="00C01F5C" w:rsidP="00E66069">
      <w:pPr>
        <w:pStyle w:val="ListParagraph"/>
        <w:numPr>
          <w:ilvl w:val="0"/>
          <w:numId w:val="24"/>
        </w:numPr>
        <w:spacing w:after="200"/>
      </w:pPr>
      <w:r w:rsidRPr="004C7AF9">
        <w:t>is an actual or perceived conflict of interest</w:t>
      </w:r>
    </w:p>
    <w:p w14:paraId="668DFE22" w14:textId="77777777" w:rsidR="00C01F5C" w:rsidRPr="004C7AF9" w:rsidRDefault="00C01F5C" w:rsidP="00E66069">
      <w:pPr>
        <w:pStyle w:val="ListParagraph"/>
        <w:numPr>
          <w:ilvl w:val="0"/>
          <w:numId w:val="24"/>
        </w:numPr>
        <w:spacing w:after="200"/>
      </w:pPr>
      <w:r w:rsidRPr="004C7AF9">
        <w:t>requires disclosure to the other members</w:t>
      </w:r>
    </w:p>
    <w:p w14:paraId="705B520A" w14:textId="77777777" w:rsidR="00C01F5C" w:rsidRPr="004C7AF9" w:rsidRDefault="00C01F5C" w:rsidP="00E66069">
      <w:pPr>
        <w:pStyle w:val="ListParagraph"/>
        <w:numPr>
          <w:ilvl w:val="0"/>
          <w:numId w:val="24"/>
        </w:numPr>
        <w:spacing w:after="200"/>
      </w:pPr>
      <w:r w:rsidRPr="004C7AF9">
        <w:t>can be managed without jeopardising the rigorous methodology process and accurate reporting of the evidence in the guidelines</w:t>
      </w:r>
    </w:p>
    <w:p w14:paraId="7A6734DA" w14:textId="77777777" w:rsidR="00C01F5C" w:rsidRPr="004C7AF9" w:rsidRDefault="00C01F5C" w:rsidP="00E66069">
      <w:pPr>
        <w:pStyle w:val="ListParagraph"/>
        <w:numPr>
          <w:ilvl w:val="0"/>
          <w:numId w:val="24"/>
        </w:numPr>
        <w:spacing w:after="200"/>
      </w:pPr>
      <w:r w:rsidRPr="004C7AF9">
        <w:t>requires the member to be excluded from certain or all discussions, or</w:t>
      </w:r>
    </w:p>
    <w:p w14:paraId="64638CB3" w14:textId="77777777" w:rsidR="00C01F5C" w:rsidRPr="004C7AF9" w:rsidRDefault="00C01F5C" w:rsidP="00E66069">
      <w:pPr>
        <w:pStyle w:val="ListParagraph"/>
        <w:numPr>
          <w:ilvl w:val="0"/>
          <w:numId w:val="24"/>
        </w:numPr>
        <w:spacing w:after="200"/>
      </w:pPr>
      <w:r w:rsidRPr="004C7AF9">
        <w:t>requires the member to stand down from their role on the CRG.</w:t>
      </w:r>
    </w:p>
    <w:p w14:paraId="5A199275" w14:textId="1893FBBD" w:rsidR="00C01F5C" w:rsidRDefault="00C01F5C" w:rsidP="00C01F5C">
      <w:r w:rsidRPr="004C7AF9">
        <w:t xml:space="preserve">The recommendation of the Chair is forwarded to the NBA General Manager for final decision. Any and all perceived or actual </w:t>
      </w:r>
      <w:r w:rsidR="0043074C">
        <w:t>conflict of interest</w:t>
      </w:r>
      <w:r w:rsidR="0043074C" w:rsidRPr="004C7AF9">
        <w:t xml:space="preserve"> </w:t>
      </w:r>
      <w:r w:rsidRPr="004C7AF9">
        <w:t>declarations made in</w:t>
      </w:r>
      <w:r w:rsidR="0043074C">
        <w:t xml:space="preserve"> </w:t>
      </w:r>
      <w:r w:rsidRPr="004C7AF9">
        <w:t>confidence and subsequent management action plans are treated</w:t>
      </w:r>
      <w:r>
        <w:t xml:space="preserve"> as sensitive personal information and, as such, are not made public and are not published in the guideline.</w:t>
      </w:r>
    </w:p>
    <w:p w14:paraId="22146DC5" w14:textId="371E5C6C" w:rsidR="00C01F5C" w:rsidRDefault="00C01F5C" w:rsidP="00FF2787">
      <w:pPr>
        <w:pStyle w:val="Normalbeforebullet"/>
      </w:pPr>
      <w:r>
        <w:t>The declarations listed below were made during the guideline development process. </w:t>
      </w:r>
    </w:p>
    <w:p w14:paraId="04C3DB30" w14:textId="77777777" w:rsidR="00C01F5C" w:rsidRDefault="00C01F5C" w:rsidP="00FF2787">
      <w:pPr>
        <w:pStyle w:val="Normalbeforebullet"/>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6186"/>
      </w:tblGrid>
      <w:tr w:rsidR="00C01F5C" w14:paraId="1F88268E" w14:textId="77777777" w:rsidTr="002D3DE3">
        <w:tc>
          <w:tcPr>
            <w:tcW w:w="2126" w:type="dxa"/>
          </w:tcPr>
          <w:p w14:paraId="68BC71E3" w14:textId="77777777" w:rsidR="00C01F5C" w:rsidRPr="00E64DA3" w:rsidRDefault="00C01F5C" w:rsidP="002D3DE3">
            <w:pPr>
              <w:pStyle w:val="Tabletext0"/>
              <w:rPr>
                <w:lang w:val="en-AU"/>
              </w:rPr>
            </w:pPr>
            <w:r>
              <w:rPr>
                <w:lang w:val="en-AU"/>
              </w:rPr>
              <w:t>A/Prof Donald Bowden</w:t>
            </w:r>
          </w:p>
        </w:tc>
        <w:tc>
          <w:tcPr>
            <w:tcW w:w="6186" w:type="dxa"/>
          </w:tcPr>
          <w:p w14:paraId="206A0D2C" w14:textId="3B3410BF" w:rsidR="00C01F5C" w:rsidRPr="00E64DA3" w:rsidRDefault="00EB5738" w:rsidP="002D3DE3">
            <w:pPr>
              <w:pStyle w:val="Tabletext0"/>
              <w:rPr>
                <w:lang w:val="en-AU"/>
              </w:rPr>
            </w:pPr>
            <w:r>
              <w:rPr>
                <w:lang w:val="en-AU"/>
              </w:rPr>
              <w:t>A/Prof Bowden received research support and partial sponsorship to the American Society of Haematology Annual Scientific Meeting from Novartis Pharmaceuticals.</w:t>
            </w:r>
          </w:p>
        </w:tc>
      </w:tr>
      <w:tr w:rsidR="00C01F5C" w14:paraId="49360E2A" w14:textId="77777777" w:rsidTr="002D3DE3">
        <w:tc>
          <w:tcPr>
            <w:tcW w:w="2126" w:type="dxa"/>
          </w:tcPr>
          <w:p w14:paraId="453BD9B2" w14:textId="77777777" w:rsidR="00C01F5C" w:rsidRPr="00E64DA3" w:rsidRDefault="00C01F5C" w:rsidP="002D3DE3">
            <w:pPr>
              <w:pStyle w:val="Tabletext0"/>
              <w:rPr>
                <w:lang w:val="en-AU"/>
              </w:rPr>
            </w:pPr>
            <w:r>
              <w:rPr>
                <w:lang w:val="en-AU"/>
              </w:rPr>
              <w:t>Dr Gemma Crighton</w:t>
            </w:r>
          </w:p>
        </w:tc>
        <w:tc>
          <w:tcPr>
            <w:tcW w:w="6186" w:type="dxa"/>
          </w:tcPr>
          <w:p w14:paraId="241B5FC7" w14:textId="77777777" w:rsidR="00C01F5C" w:rsidRPr="00E64DA3" w:rsidRDefault="00C01F5C" w:rsidP="002D3DE3">
            <w:pPr>
              <w:pStyle w:val="Tabletext0"/>
              <w:rPr>
                <w:lang w:val="en-AU"/>
              </w:rPr>
            </w:pPr>
            <w:r>
              <w:rPr>
                <w:lang w:val="en-AU"/>
              </w:rPr>
              <w:t>Nil.</w:t>
            </w:r>
          </w:p>
        </w:tc>
      </w:tr>
      <w:tr w:rsidR="00C01F5C" w14:paraId="1043FF9E" w14:textId="77777777" w:rsidTr="002D3DE3">
        <w:tc>
          <w:tcPr>
            <w:tcW w:w="2126" w:type="dxa"/>
          </w:tcPr>
          <w:p w14:paraId="39CA35ED" w14:textId="77777777" w:rsidR="00C01F5C" w:rsidRPr="00E64DA3" w:rsidRDefault="00C01F5C" w:rsidP="002D3DE3">
            <w:pPr>
              <w:pStyle w:val="Tabletext0"/>
              <w:rPr>
                <w:lang w:val="en-AU"/>
              </w:rPr>
            </w:pPr>
            <w:r w:rsidRPr="00E64DA3">
              <w:rPr>
                <w:lang w:val="en-AU"/>
              </w:rPr>
              <w:t>Mr Shannon Farmer</w:t>
            </w:r>
          </w:p>
        </w:tc>
        <w:tc>
          <w:tcPr>
            <w:tcW w:w="6186" w:type="dxa"/>
          </w:tcPr>
          <w:p w14:paraId="1D83A8AE" w14:textId="5D68120F" w:rsidR="00C01F5C" w:rsidRPr="00445AD2" w:rsidRDefault="00C01F5C" w:rsidP="002D3DE3">
            <w:pPr>
              <w:autoSpaceDE w:val="0"/>
              <w:autoSpaceDN w:val="0"/>
              <w:adjustRightInd w:val="0"/>
              <w:spacing w:after="0"/>
              <w:ind w:left="0"/>
              <w:rPr>
                <w:color w:val="auto"/>
              </w:rPr>
            </w:pPr>
            <w:r w:rsidRPr="006448FD">
              <w:rPr>
                <w:rFonts w:ascii="Arial Narrow" w:eastAsia="Arial Unicode MS" w:hAnsi="Arial Narrow" w:cs="Times New Roman"/>
                <w:bCs/>
                <w:color w:val="auto"/>
                <w:sz w:val="20"/>
                <w:szCs w:val="24"/>
                <w:lang w:eastAsia="ja-JP"/>
              </w:rPr>
              <w:t xml:space="preserve">Mr Farmer is a consultant in </w:t>
            </w:r>
            <w:r w:rsidRPr="00445AD2">
              <w:rPr>
                <w:rFonts w:ascii="Arial Narrow" w:eastAsia="Arial Unicode MS" w:hAnsi="Arial Narrow" w:cs="Times New Roman"/>
                <w:bCs/>
                <w:color w:val="auto"/>
                <w:sz w:val="20"/>
                <w:szCs w:val="24"/>
                <w:lang w:eastAsia="ja-JP"/>
              </w:rPr>
              <w:t xml:space="preserve">PBM and from </w:t>
            </w:r>
            <w:r w:rsidRPr="005337D5">
              <w:rPr>
                <w:rFonts w:ascii="Arial Narrow" w:eastAsia="Arial Unicode MS" w:hAnsi="Arial Narrow" w:cs="Times New Roman"/>
                <w:bCs/>
                <w:color w:val="auto"/>
                <w:sz w:val="20"/>
                <w:szCs w:val="24"/>
                <w:lang w:eastAsia="ja-JP"/>
              </w:rPr>
              <w:t>200</w:t>
            </w:r>
            <w:r w:rsidR="00306159" w:rsidRPr="005337D5">
              <w:rPr>
                <w:rFonts w:ascii="Arial Narrow" w:eastAsia="Arial Unicode MS" w:hAnsi="Arial Narrow" w:cs="Times New Roman"/>
                <w:bCs/>
                <w:color w:val="auto"/>
                <w:sz w:val="20"/>
                <w:szCs w:val="24"/>
                <w:lang w:eastAsia="ja-JP"/>
              </w:rPr>
              <w:t>6</w:t>
            </w:r>
            <w:r w:rsidR="00306159">
              <w:rPr>
                <w:rFonts w:ascii="Arial Narrow" w:eastAsia="Arial Unicode MS" w:hAnsi="Arial Narrow" w:cs="Times New Roman"/>
                <w:bCs/>
                <w:color w:val="auto"/>
                <w:sz w:val="20"/>
                <w:szCs w:val="24"/>
                <w:lang w:eastAsia="ja-JP"/>
              </w:rPr>
              <w:t>–</w:t>
            </w:r>
            <w:r w:rsidR="00306159" w:rsidRPr="005337D5">
              <w:rPr>
                <w:rFonts w:ascii="Arial Narrow" w:eastAsia="Arial Unicode MS" w:hAnsi="Arial Narrow" w:cs="Times New Roman"/>
                <w:bCs/>
                <w:color w:val="auto"/>
                <w:sz w:val="20"/>
                <w:szCs w:val="24"/>
                <w:lang w:eastAsia="ja-JP"/>
              </w:rPr>
              <w:t>2</w:t>
            </w:r>
            <w:r w:rsidRPr="005337D5">
              <w:rPr>
                <w:rFonts w:ascii="Arial Narrow" w:eastAsia="Arial Unicode MS" w:hAnsi="Arial Narrow" w:cs="Times New Roman"/>
                <w:bCs/>
                <w:color w:val="auto"/>
                <w:sz w:val="20"/>
                <w:szCs w:val="24"/>
                <w:lang w:eastAsia="ja-JP"/>
              </w:rPr>
              <w:t xml:space="preserve">013 </w:t>
            </w:r>
            <w:r w:rsidRPr="00445AD2">
              <w:rPr>
                <w:rFonts w:ascii="Arial Narrow" w:eastAsia="Arial Unicode MS" w:hAnsi="Arial Narrow" w:cs="Times New Roman"/>
                <w:bCs/>
                <w:color w:val="auto"/>
                <w:sz w:val="20"/>
                <w:szCs w:val="24"/>
                <w:lang w:eastAsia="ja-JP"/>
              </w:rPr>
              <w:t xml:space="preserve">was a </w:t>
            </w:r>
            <w:r w:rsidR="006A116C" w:rsidRPr="005337D5">
              <w:rPr>
                <w:rFonts w:ascii="Arial Narrow" w:eastAsia="Arial Unicode MS" w:hAnsi="Arial Narrow" w:cs="Times New Roman"/>
                <w:bCs/>
                <w:color w:val="auto"/>
                <w:sz w:val="20"/>
                <w:szCs w:val="24"/>
                <w:lang w:eastAsia="ja-JP"/>
              </w:rPr>
              <w:t xml:space="preserve">contracted consultant </w:t>
            </w:r>
            <w:r w:rsidRPr="005337D5">
              <w:rPr>
                <w:rFonts w:ascii="Arial Narrow" w:eastAsia="Arial Unicode MS" w:hAnsi="Arial Narrow" w:cs="Times New Roman"/>
                <w:bCs/>
                <w:color w:val="auto"/>
                <w:sz w:val="20"/>
                <w:szCs w:val="24"/>
                <w:lang w:eastAsia="ja-JP"/>
              </w:rPr>
              <w:t xml:space="preserve">to </w:t>
            </w:r>
            <w:r w:rsidR="006A116C">
              <w:rPr>
                <w:rFonts w:ascii="Arial Narrow" w:eastAsia="Arial Unicode MS" w:hAnsi="Arial Narrow" w:cs="Times New Roman"/>
                <w:bCs/>
                <w:color w:val="auto"/>
                <w:sz w:val="20"/>
                <w:szCs w:val="24"/>
                <w:lang w:eastAsia="ja-JP"/>
              </w:rPr>
              <w:t xml:space="preserve">the </w:t>
            </w:r>
            <w:r w:rsidRPr="005337D5">
              <w:rPr>
                <w:rFonts w:ascii="Arial Narrow" w:eastAsia="Arial Unicode MS" w:hAnsi="Arial Narrow" w:cs="Times New Roman"/>
                <w:bCs/>
                <w:color w:val="auto"/>
                <w:sz w:val="20"/>
                <w:szCs w:val="24"/>
                <w:lang w:eastAsia="ja-JP"/>
              </w:rPr>
              <w:t>Western Australia Department</w:t>
            </w:r>
            <w:r w:rsidRPr="00445AD2">
              <w:rPr>
                <w:rFonts w:ascii="Arial Narrow" w:eastAsia="Arial Unicode MS" w:hAnsi="Arial Narrow" w:cs="Times New Roman"/>
                <w:bCs/>
                <w:color w:val="auto"/>
                <w:sz w:val="20"/>
                <w:szCs w:val="24"/>
                <w:lang w:eastAsia="ja-JP"/>
              </w:rPr>
              <w:t xml:space="preserve"> </w:t>
            </w:r>
            <w:r w:rsidRPr="00445AD2">
              <w:rPr>
                <w:rFonts w:ascii="Arial Narrow" w:eastAsia="Arial Unicode MS" w:hAnsi="Arial Narrow" w:cs="Times New Roman"/>
                <w:color w:val="auto"/>
                <w:sz w:val="20"/>
                <w:szCs w:val="24"/>
                <w:lang w:eastAsia="ja-JP"/>
              </w:rPr>
              <w:t>of Health Patient Blood Management Program. He has received lecturing/consulting honoraria or travel support from:</w:t>
            </w:r>
          </w:p>
          <w:p w14:paraId="5EEADE0C" w14:textId="77777777" w:rsidR="00C01F5C" w:rsidRPr="00445AD2" w:rsidRDefault="00C01F5C" w:rsidP="002D3DE3">
            <w:pPr>
              <w:pStyle w:val="Tabletext0"/>
              <w:rPr>
                <w:lang w:val="en-AU"/>
              </w:rPr>
            </w:pPr>
            <w:r w:rsidRPr="00445AD2">
              <w:rPr>
                <w:lang w:val="en-AU"/>
              </w:rPr>
              <w:t>• AdvancMed (USA)</w:t>
            </w:r>
          </w:p>
          <w:p w14:paraId="73554D18" w14:textId="77777777" w:rsidR="00C01F5C" w:rsidRPr="00445AD2" w:rsidRDefault="00C01F5C" w:rsidP="002D3DE3">
            <w:pPr>
              <w:pStyle w:val="Tabletext0"/>
              <w:rPr>
                <w:lang w:val="en-AU"/>
              </w:rPr>
            </w:pPr>
            <w:r w:rsidRPr="00445AD2">
              <w:rPr>
                <w:lang w:val="en-AU"/>
              </w:rPr>
              <w:t xml:space="preserve">• Australian JBC </w:t>
            </w:r>
          </w:p>
          <w:p w14:paraId="2A7B90A6" w14:textId="77777777" w:rsidR="00C01F5C" w:rsidRPr="00445AD2" w:rsidRDefault="00C01F5C" w:rsidP="002D3DE3">
            <w:pPr>
              <w:pStyle w:val="Tabletext0"/>
              <w:rPr>
                <w:lang w:val="en-AU"/>
              </w:rPr>
            </w:pPr>
            <w:r w:rsidRPr="00445AD2">
              <w:rPr>
                <w:lang w:val="en-AU"/>
              </w:rPr>
              <w:t xml:space="preserve">• Australian NBA </w:t>
            </w:r>
          </w:p>
          <w:p w14:paraId="6168FEC1" w14:textId="77777777" w:rsidR="00C01F5C" w:rsidRPr="00445AD2" w:rsidRDefault="00C01F5C" w:rsidP="002D3DE3">
            <w:pPr>
              <w:pStyle w:val="Tabletext0"/>
              <w:rPr>
                <w:lang w:val="en-AU"/>
              </w:rPr>
            </w:pPr>
            <w:r w:rsidRPr="00445AD2">
              <w:rPr>
                <w:lang w:val="en-AU"/>
              </w:rPr>
              <w:t>• Australia Pacific Health Group</w:t>
            </w:r>
          </w:p>
          <w:p w14:paraId="140212C6" w14:textId="77777777" w:rsidR="00C01F5C" w:rsidRPr="00445AD2" w:rsidRDefault="00C01F5C" w:rsidP="002D3DE3">
            <w:pPr>
              <w:pStyle w:val="Tabletext0"/>
              <w:rPr>
                <w:lang w:val="en-AU"/>
              </w:rPr>
            </w:pPr>
            <w:r w:rsidRPr="00445AD2">
              <w:rPr>
                <w:lang w:val="en-AU"/>
              </w:rPr>
              <w:t>• Australian Red Cross Blood Service</w:t>
            </w:r>
          </w:p>
          <w:p w14:paraId="2E96F58C" w14:textId="77777777" w:rsidR="00C01F5C" w:rsidRPr="00445AD2" w:rsidRDefault="00C01F5C" w:rsidP="002D3DE3">
            <w:pPr>
              <w:pStyle w:val="Tabletext0"/>
              <w:rPr>
                <w:lang w:val="en-AU"/>
              </w:rPr>
            </w:pPr>
            <w:r w:rsidRPr="00445AD2">
              <w:rPr>
                <w:lang w:val="en-AU"/>
              </w:rPr>
              <w:t>• Beijing Municipal Health Bureau (China)</w:t>
            </w:r>
          </w:p>
          <w:p w14:paraId="7056B780" w14:textId="002D519D" w:rsidR="00C01F5C" w:rsidRPr="00445AD2" w:rsidRDefault="00C01F5C" w:rsidP="002D3DE3">
            <w:pPr>
              <w:pStyle w:val="Tabletext0"/>
              <w:rPr>
                <w:lang w:val="en-AU"/>
              </w:rPr>
            </w:pPr>
            <w:r w:rsidRPr="00445AD2">
              <w:rPr>
                <w:lang w:val="en-AU"/>
              </w:rPr>
              <w:t xml:space="preserve">• Department of Health </w:t>
            </w:r>
            <w:r w:rsidR="0043074C" w:rsidRPr="00445AD2">
              <w:rPr>
                <w:lang w:val="en-AU"/>
              </w:rPr>
              <w:t>N</w:t>
            </w:r>
            <w:r w:rsidR="0043074C">
              <w:rPr>
                <w:lang w:val="en-AU"/>
              </w:rPr>
              <w:t>ew South Wales</w:t>
            </w:r>
          </w:p>
          <w:p w14:paraId="49CA99D1" w14:textId="77777777" w:rsidR="00C01F5C" w:rsidRPr="00445AD2" w:rsidRDefault="00C01F5C" w:rsidP="002D3DE3">
            <w:pPr>
              <w:pStyle w:val="Tabletext0"/>
              <w:rPr>
                <w:lang w:val="en-AU"/>
              </w:rPr>
            </w:pPr>
            <w:r w:rsidRPr="00445AD2">
              <w:rPr>
                <w:lang w:val="en-AU"/>
              </w:rPr>
              <w:t>• Department of Health Queensland</w:t>
            </w:r>
          </w:p>
          <w:p w14:paraId="7C7BCB8D" w14:textId="65A0A03E" w:rsidR="00C01F5C" w:rsidRPr="00445AD2" w:rsidRDefault="00C01F5C" w:rsidP="002D3DE3">
            <w:pPr>
              <w:pStyle w:val="Tabletext0"/>
              <w:rPr>
                <w:lang w:val="en-AU"/>
              </w:rPr>
            </w:pPr>
            <w:r w:rsidRPr="00445AD2">
              <w:rPr>
                <w:lang w:val="en-AU"/>
              </w:rPr>
              <w:t>• Department of Health S</w:t>
            </w:r>
            <w:r w:rsidR="0043074C">
              <w:rPr>
                <w:lang w:val="en-AU"/>
              </w:rPr>
              <w:t>outh Australi</w:t>
            </w:r>
            <w:r w:rsidR="003D19C0">
              <w:rPr>
                <w:lang w:val="en-AU"/>
              </w:rPr>
              <w:t>a</w:t>
            </w:r>
          </w:p>
          <w:p w14:paraId="343CDE41" w14:textId="77777777" w:rsidR="00C01F5C" w:rsidRPr="00445AD2" w:rsidRDefault="00C01F5C" w:rsidP="002D3DE3">
            <w:pPr>
              <w:pStyle w:val="Tabletext0"/>
              <w:rPr>
                <w:lang w:val="en-AU"/>
              </w:rPr>
            </w:pPr>
            <w:r w:rsidRPr="00445AD2">
              <w:rPr>
                <w:lang w:val="en-AU"/>
              </w:rPr>
              <w:t>• Department of Health Western Australia</w:t>
            </w:r>
          </w:p>
          <w:p w14:paraId="1E272B2C" w14:textId="77777777" w:rsidR="00C01F5C" w:rsidRPr="00445AD2" w:rsidRDefault="00C01F5C" w:rsidP="002D3DE3">
            <w:pPr>
              <w:pStyle w:val="Tabletext0"/>
              <w:rPr>
                <w:lang w:val="en-AU"/>
              </w:rPr>
            </w:pPr>
            <w:r w:rsidRPr="00445AD2">
              <w:rPr>
                <w:lang w:val="en-AU"/>
              </w:rPr>
              <w:t>• Janssen-Cilag (Australia)</w:t>
            </w:r>
          </w:p>
          <w:p w14:paraId="5FAFFC5E" w14:textId="77777777" w:rsidR="00C01F5C" w:rsidRPr="00445AD2" w:rsidRDefault="00C01F5C" w:rsidP="002D3DE3">
            <w:pPr>
              <w:autoSpaceDE w:val="0"/>
              <w:autoSpaceDN w:val="0"/>
              <w:adjustRightInd w:val="0"/>
              <w:spacing w:after="0"/>
              <w:ind w:left="0"/>
              <w:rPr>
                <w:rFonts w:ascii="Arial Narrow" w:eastAsia="Arial Unicode MS" w:hAnsi="Arial Narrow" w:cs="Times New Roman"/>
                <w:bCs/>
                <w:color w:val="auto"/>
                <w:sz w:val="20"/>
                <w:szCs w:val="24"/>
                <w:lang w:eastAsia="ja-JP"/>
              </w:rPr>
            </w:pPr>
            <w:r w:rsidRPr="00445AD2">
              <w:rPr>
                <w:rFonts w:ascii="Arial Narrow" w:eastAsia="Arial Unicode MS" w:hAnsi="Arial Narrow" w:cs="Times New Roman"/>
                <w:bCs/>
                <w:color w:val="auto"/>
                <w:sz w:val="20"/>
                <w:szCs w:val="24"/>
                <w:lang w:eastAsia="ja-JP"/>
              </w:rPr>
              <w:t xml:space="preserve">• </w:t>
            </w:r>
            <w:r w:rsidRPr="005337D5">
              <w:rPr>
                <w:rFonts w:ascii="Arial Narrow" w:eastAsia="Arial Unicode MS" w:hAnsi="Arial Narrow" w:cs="Times New Roman"/>
                <w:bCs/>
                <w:color w:val="auto"/>
                <w:sz w:val="20"/>
                <w:szCs w:val="24"/>
                <w:lang w:eastAsia="ja-JP"/>
              </w:rPr>
              <w:t>Haematology Society of Australia</w:t>
            </w:r>
            <w:r w:rsidRPr="00445AD2">
              <w:rPr>
                <w:rFonts w:ascii="Arial Narrow" w:eastAsia="Arial Unicode MS" w:hAnsi="Arial Narrow" w:cs="Times New Roman"/>
                <w:bCs/>
                <w:color w:val="auto"/>
                <w:sz w:val="20"/>
                <w:szCs w:val="24"/>
                <w:lang w:eastAsia="ja-JP"/>
              </w:rPr>
              <w:t xml:space="preserve"> </w:t>
            </w:r>
            <w:r w:rsidRPr="005337D5">
              <w:rPr>
                <w:rFonts w:ascii="Arial Narrow" w:eastAsia="Arial Unicode MS" w:hAnsi="Arial Narrow" w:cs="Times New Roman"/>
                <w:bCs/>
                <w:color w:val="auto"/>
                <w:sz w:val="20"/>
                <w:szCs w:val="24"/>
                <w:lang w:eastAsia="ja-JP"/>
              </w:rPr>
              <w:t xml:space="preserve">and New Zealand/Australia </w:t>
            </w:r>
          </w:p>
          <w:p w14:paraId="7D7183A0" w14:textId="77777777" w:rsidR="00C01F5C" w:rsidRPr="00445AD2" w:rsidRDefault="00C01F5C" w:rsidP="002D3DE3">
            <w:pPr>
              <w:pStyle w:val="Tabletext0"/>
              <w:rPr>
                <w:lang w:val="en-AU"/>
              </w:rPr>
            </w:pPr>
            <w:r w:rsidRPr="00445AD2">
              <w:rPr>
                <w:lang w:val="en-AU"/>
              </w:rPr>
              <w:t>• Johnson &amp; Johnson, ETHICON Biosurgery (Australia, Europe, Asia Pacific &amp; USA)</w:t>
            </w:r>
          </w:p>
          <w:p w14:paraId="06D39D65" w14:textId="77777777" w:rsidR="00C01F5C" w:rsidRPr="00445AD2" w:rsidRDefault="00C01F5C" w:rsidP="002D3DE3">
            <w:pPr>
              <w:pStyle w:val="Tabletext0"/>
              <w:rPr>
                <w:lang w:val="en-AU"/>
              </w:rPr>
            </w:pPr>
            <w:r w:rsidRPr="00445AD2">
              <w:rPr>
                <w:lang w:val="en-AU"/>
              </w:rPr>
              <w:t>• Medical Society for Blood Management (Europe)</w:t>
            </w:r>
          </w:p>
          <w:p w14:paraId="7F49E05D" w14:textId="77777777" w:rsidR="00C01F5C" w:rsidRPr="00445AD2" w:rsidRDefault="00C01F5C" w:rsidP="002D3DE3">
            <w:pPr>
              <w:pStyle w:val="Tabletext0"/>
              <w:rPr>
                <w:lang w:val="en-AU"/>
              </w:rPr>
            </w:pPr>
            <w:r w:rsidRPr="00445AD2">
              <w:rPr>
                <w:lang w:val="en-AU"/>
              </w:rPr>
              <w:t>• Medtel Pty Ltd (Australia)</w:t>
            </w:r>
          </w:p>
          <w:p w14:paraId="50314439" w14:textId="77777777" w:rsidR="00C01F5C" w:rsidRPr="00445AD2" w:rsidRDefault="00C01F5C" w:rsidP="002D3DE3">
            <w:pPr>
              <w:pStyle w:val="Tabletext0"/>
              <w:rPr>
                <w:lang w:val="en-AU"/>
              </w:rPr>
            </w:pPr>
            <w:r w:rsidRPr="00445AD2">
              <w:rPr>
                <w:lang w:val="en-AU"/>
              </w:rPr>
              <w:t>• National Blood Authority (Australia)</w:t>
            </w:r>
          </w:p>
          <w:p w14:paraId="0D13230A" w14:textId="60DCCA61" w:rsidR="00C01F5C" w:rsidRPr="00445AD2" w:rsidRDefault="00C01F5C" w:rsidP="002D3DE3">
            <w:pPr>
              <w:autoSpaceDE w:val="0"/>
              <w:autoSpaceDN w:val="0"/>
              <w:adjustRightInd w:val="0"/>
              <w:spacing w:after="0"/>
              <w:ind w:left="0"/>
              <w:rPr>
                <w:color w:val="auto"/>
              </w:rPr>
            </w:pPr>
            <w:r w:rsidRPr="00445AD2">
              <w:rPr>
                <w:rFonts w:ascii="Arial Narrow" w:eastAsia="Arial Unicode MS" w:hAnsi="Arial Narrow" w:cs="Times New Roman"/>
                <w:bCs/>
                <w:color w:val="auto"/>
                <w:sz w:val="20"/>
                <w:szCs w:val="24"/>
                <w:lang w:eastAsia="ja-JP"/>
              </w:rPr>
              <w:t xml:space="preserve">• </w:t>
            </w:r>
            <w:r w:rsidR="003D19C0">
              <w:rPr>
                <w:rFonts w:ascii="Arial Narrow" w:eastAsia="Arial Unicode MS" w:hAnsi="Arial Narrow" w:cs="Times New Roman"/>
                <w:bCs/>
                <w:color w:val="auto"/>
                <w:sz w:val="20"/>
                <w:szCs w:val="24"/>
                <w:lang w:eastAsia="ja-JP"/>
              </w:rPr>
              <w:t xml:space="preserve">Australian &amp; </w:t>
            </w:r>
            <w:r w:rsidRPr="005337D5">
              <w:rPr>
                <w:rFonts w:ascii="Arial Narrow" w:eastAsia="Arial Unicode MS" w:hAnsi="Arial Narrow" w:cs="Times New Roman"/>
                <w:bCs/>
                <w:color w:val="auto"/>
                <w:sz w:val="20"/>
                <w:szCs w:val="24"/>
                <w:lang w:eastAsia="ja-JP"/>
              </w:rPr>
              <w:t>New Zealand Society of</w:t>
            </w:r>
            <w:r w:rsidRPr="00445AD2">
              <w:rPr>
                <w:rFonts w:ascii="Arial Narrow" w:eastAsia="Arial Unicode MS" w:hAnsi="Arial Narrow" w:cs="Times New Roman"/>
                <w:bCs/>
                <w:color w:val="auto"/>
                <w:sz w:val="20"/>
                <w:szCs w:val="24"/>
                <w:lang w:eastAsia="ja-JP"/>
              </w:rPr>
              <w:t xml:space="preserve"> Blood Transfusion (</w:t>
            </w:r>
            <w:r w:rsidRPr="005337D5">
              <w:rPr>
                <w:rFonts w:ascii="Arial Narrow" w:eastAsia="Arial Unicode MS" w:hAnsi="Arial Narrow" w:cs="Times New Roman"/>
                <w:bCs/>
                <w:color w:val="auto"/>
                <w:sz w:val="20"/>
                <w:szCs w:val="24"/>
                <w:lang w:eastAsia="ja-JP"/>
              </w:rPr>
              <w:t>Australia</w:t>
            </w:r>
            <w:r w:rsidRPr="00445AD2">
              <w:rPr>
                <w:rFonts w:ascii="Arial Narrow" w:eastAsia="Arial Unicode MS" w:hAnsi="Arial Narrow" w:cs="Times New Roman"/>
                <w:bCs/>
                <w:color w:val="auto"/>
                <w:sz w:val="20"/>
                <w:szCs w:val="24"/>
                <w:lang w:eastAsia="ja-JP"/>
              </w:rPr>
              <w:t>)</w:t>
            </w:r>
          </w:p>
          <w:p w14:paraId="3233F26D" w14:textId="77777777" w:rsidR="00C01F5C" w:rsidRPr="00445AD2" w:rsidRDefault="00C01F5C" w:rsidP="002D3DE3">
            <w:pPr>
              <w:pStyle w:val="Tabletext0"/>
              <w:rPr>
                <w:lang w:val="en-AU"/>
              </w:rPr>
            </w:pPr>
            <w:r w:rsidRPr="00445AD2">
              <w:rPr>
                <w:lang w:val="en-AU"/>
              </w:rPr>
              <w:t>• Novo Nordisk (Australia)</w:t>
            </w:r>
          </w:p>
          <w:p w14:paraId="0DE8177E" w14:textId="77777777" w:rsidR="00C01F5C" w:rsidRPr="00445AD2" w:rsidRDefault="00C01F5C" w:rsidP="002D3DE3">
            <w:pPr>
              <w:pStyle w:val="Tabletext0"/>
              <w:rPr>
                <w:lang w:val="en-AU"/>
              </w:rPr>
            </w:pPr>
            <w:r w:rsidRPr="00445AD2">
              <w:rPr>
                <w:lang w:val="en-AU"/>
              </w:rPr>
              <w:t>• Society for the Advancement of Blood Management (USA)</w:t>
            </w:r>
          </w:p>
          <w:p w14:paraId="1BD9F2B9" w14:textId="3D1C5464" w:rsidR="00C01F5C" w:rsidRPr="00445AD2" w:rsidRDefault="00C01F5C" w:rsidP="002D3DE3">
            <w:pPr>
              <w:pStyle w:val="Tabletext0"/>
              <w:rPr>
                <w:lang w:val="en-AU"/>
              </w:rPr>
            </w:pPr>
            <w:r w:rsidRPr="00445AD2">
              <w:rPr>
                <w:lang w:val="en-AU"/>
              </w:rPr>
              <w:t>• Vifor Pharma (Europe)</w:t>
            </w:r>
            <w:r w:rsidR="006A116C">
              <w:rPr>
                <w:lang w:val="en-AU"/>
              </w:rPr>
              <w:t>.</w:t>
            </w:r>
          </w:p>
          <w:p w14:paraId="134174A8" w14:textId="77777777" w:rsidR="00C01F5C" w:rsidRPr="00445AD2" w:rsidRDefault="00C01F5C" w:rsidP="002D3DE3">
            <w:pPr>
              <w:pStyle w:val="Tabletext0"/>
              <w:rPr>
                <w:lang w:val="en-AU"/>
              </w:rPr>
            </w:pPr>
            <w:r w:rsidRPr="00445AD2">
              <w:rPr>
                <w:lang w:val="en-AU"/>
              </w:rPr>
              <w:t>In 2008 he served on J&amp;J ETHICON Biosurgery International Ad Board for PBM. He is a chief investigator and a principal investigator for two State Health Research Advisory Council (SHRAC) research grants:</w:t>
            </w:r>
          </w:p>
          <w:p w14:paraId="51251584" w14:textId="77777777" w:rsidR="00C01F5C" w:rsidRPr="00445AD2" w:rsidRDefault="00C01F5C" w:rsidP="002D3DE3">
            <w:pPr>
              <w:pStyle w:val="Tabletext0"/>
              <w:rPr>
                <w:lang w:val="en-AU"/>
              </w:rPr>
            </w:pPr>
            <w:r w:rsidRPr="00445AD2">
              <w:rPr>
                <w:lang w:val="en-AU"/>
              </w:rPr>
              <w:t xml:space="preserve">• Primary care and tertiary care clinicians working with patients to ensure they are “Fit for Surgery” </w:t>
            </w:r>
          </w:p>
          <w:p w14:paraId="16B7438B" w14:textId="5E304ACE" w:rsidR="00C01F5C" w:rsidRPr="00445AD2" w:rsidRDefault="00C01F5C" w:rsidP="002D3DE3">
            <w:pPr>
              <w:pStyle w:val="Tabletext0"/>
              <w:rPr>
                <w:lang w:val="en-AU"/>
              </w:rPr>
            </w:pPr>
            <w:r w:rsidRPr="00445AD2">
              <w:rPr>
                <w:lang w:val="en-AU"/>
              </w:rPr>
              <w:t xml:space="preserve">• </w:t>
            </w:r>
            <w:r w:rsidRPr="00445AD2">
              <w:rPr>
                <w:b/>
                <w:lang w:val="en-AU"/>
              </w:rPr>
              <w:t>I</w:t>
            </w:r>
            <w:r w:rsidRPr="00445AD2">
              <w:rPr>
                <w:lang w:val="en-AU"/>
              </w:rPr>
              <w:t>ntravenous i</w:t>
            </w:r>
            <w:r w:rsidRPr="00445AD2">
              <w:rPr>
                <w:b/>
                <w:lang w:val="en-AU"/>
              </w:rPr>
              <w:t>R</w:t>
            </w:r>
            <w:r w:rsidRPr="00445AD2">
              <w:rPr>
                <w:lang w:val="en-AU"/>
              </w:rPr>
              <w:t>on or placeb</w:t>
            </w:r>
            <w:r w:rsidRPr="00445AD2">
              <w:rPr>
                <w:b/>
                <w:lang w:val="en-AU"/>
              </w:rPr>
              <w:t xml:space="preserve">O </w:t>
            </w:r>
            <w:r w:rsidRPr="00445AD2">
              <w:rPr>
                <w:lang w:val="en-AU"/>
              </w:rPr>
              <w:t>for a</w:t>
            </w:r>
            <w:r w:rsidRPr="00445AD2">
              <w:rPr>
                <w:b/>
                <w:lang w:val="en-AU"/>
              </w:rPr>
              <w:t>N</w:t>
            </w:r>
            <w:r w:rsidRPr="00445AD2">
              <w:rPr>
                <w:lang w:val="en-AU"/>
              </w:rPr>
              <w:t>ae</w:t>
            </w:r>
            <w:r w:rsidRPr="00445AD2">
              <w:rPr>
                <w:b/>
                <w:lang w:val="en-AU"/>
              </w:rPr>
              <w:t>M</w:t>
            </w:r>
            <w:r w:rsidRPr="00445AD2">
              <w:rPr>
                <w:lang w:val="en-AU"/>
              </w:rPr>
              <w:t>i</w:t>
            </w:r>
            <w:r w:rsidRPr="00445AD2">
              <w:rPr>
                <w:b/>
                <w:lang w:val="en-AU"/>
              </w:rPr>
              <w:t>A</w:t>
            </w:r>
            <w:r w:rsidRPr="00445AD2">
              <w:rPr>
                <w:lang w:val="en-AU"/>
              </w:rPr>
              <w:t xml:space="preserve"> in i</w:t>
            </w:r>
            <w:r w:rsidRPr="00445AD2">
              <w:rPr>
                <w:b/>
                <w:lang w:val="en-AU"/>
              </w:rPr>
              <w:t>N</w:t>
            </w:r>
            <w:r w:rsidRPr="00445AD2">
              <w:rPr>
                <w:lang w:val="en-AU"/>
              </w:rPr>
              <w:t>tensive care: a randomised controlled study: The IRONMAN Study</w:t>
            </w:r>
            <w:r w:rsidR="006A116C">
              <w:rPr>
                <w:lang w:val="en-AU"/>
              </w:rPr>
              <w:t>.</w:t>
            </w:r>
          </w:p>
          <w:p w14:paraId="0FA6F621" w14:textId="77777777" w:rsidR="00C01F5C" w:rsidRPr="00445AD2" w:rsidRDefault="00C01F5C" w:rsidP="002D3DE3">
            <w:pPr>
              <w:pStyle w:val="Tabletext0"/>
              <w:rPr>
                <w:lang w:val="en-AU"/>
              </w:rPr>
            </w:pPr>
            <w:r w:rsidRPr="00445AD2">
              <w:rPr>
                <w:lang w:val="en-AU"/>
              </w:rPr>
              <w:t>He is also an associate investigator for one NHMRC research grant:</w:t>
            </w:r>
          </w:p>
          <w:p w14:paraId="133D002C" w14:textId="77777777" w:rsidR="00C01F5C" w:rsidRPr="00445AD2" w:rsidRDefault="00C01F5C" w:rsidP="002D3DE3">
            <w:pPr>
              <w:pStyle w:val="Tabletext0"/>
              <w:rPr>
                <w:lang w:val="en-AU"/>
              </w:rPr>
            </w:pPr>
            <w:r w:rsidRPr="00445AD2">
              <w:rPr>
                <w:lang w:val="en-AU"/>
              </w:rPr>
              <w:t>• Patient Blood Management in Critical Illness and Trauma.</w:t>
            </w:r>
          </w:p>
          <w:p w14:paraId="263C4398" w14:textId="77777777" w:rsidR="00C01F5C" w:rsidRPr="00445AD2" w:rsidRDefault="00C01F5C" w:rsidP="002D3DE3">
            <w:pPr>
              <w:autoSpaceDE w:val="0"/>
              <w:autoSpaceDN w:val="0"/>
              <w:adjustRightInd w:val="0"/>
              <w:spacing w:after="0"/>
              <w:ind w:left="0"/>
              <w:rPr>
                <w:rFonts w:ascii="Arial Narrow" w:eastAsia="Arial Unicode MS" w:hAnsi="Arial Narrow" w:cs="Times New Roman"/>
                <w:bCs/>
                <w:color w:val="auto"/>
                <w:sz w:val="20"/>
                <w:szCs w:val="24"/>
                <w:lang w:eastAsia="ja-JP"/>
              </w:rPr>
            </w:pPr>
            <w:r w:rsidRPr="00445AD2">
              <w:rPr>
                <w:rFonts w:ascii="Arial Narrow" w:eastAsia="Arial Unicode MS" w:hAnsi="Arial Narrow" w:cs="Times New Roman"/>
                <w:bCs/>
                <w:color w:val="auto"/>
                <w:sz w:val="20"/>
                <w:szCs w:val="24"/>
                <w:lang w:eastAsia="ja-JP"/>
              </w:rPr>
              <w:t>He is a Board Member and General Secretary for the Medical Society for Blood Management and a member of two international professional societies: Society for the Advancement of Blood Management (SABM) and Network for the Advancement of Transfusion Alternatives (NATA). He is also a Board Member for the</w:t>
            </w:r>
            <w:r w:rsidRPr="005337D5">
              <w:rPr>
                <w:rFonts w:ascii="Arial Narrow" w:eastAsia="Arial Unicode MS" w:hAnsi="Arial Narrow" w:cs="Times New Roman"/>
                <w:bCs/>
                <w:color w:val="auto"/>
                <w:sz w:val="20"/>
                <w:szCs w:val="24"/>
                <w:lang w:eastAsia="ja-JP"/>
              </w:rPr>
              <w:t xml:space="preserve"> Australasian Association for Blood</w:t>
            </w:r>
            <w:r w:rsidRPr="00445AD2">
              <w:rPr>
                <w:rFonts w:ascii="Arial Narrow" w:eastAsia="Arial Unicode MS" w:hAnsi="Arial Narrow" w:cs="Times New Roman"/>
                <w:bCs/>
                <w:color w:val="auto"/>
                <w:sz w:val="20"/>
                <w:szCs w:val="24"/>
                <w:lang w:eastAsia="ja-JP"/>
              </w:rPr>
              <w:t xml:space="preserve"> Conservation.</w:t>
            </w:r>
          </w:p>
          <w:p w14:paraId="70F9ED1E" w14:textId="74A3D16E" w:rsidR="00C01F5C" w:rsidRPr="00445AD2" w:rsidRDefault="00C01F5C" w:rsidP="002D3DE3">
            <w:pPr>
              <w:pStyle w:val="Tabletext0"/>
              <w:rPr>
                <w:lang w:val="en-AU"/>
              </w:rPr>
            </w:pPr>
            <w:r w:rsidRPr="00445AD2">
              <w:rPr>
                <w:lang w:val="en-AU"/>
              </w:rPr>
              <w:t>He has received lecture honorarium. Fremantle General Practice Network, Western Australia. Honorarium for Book Chapter, Thieme, Stuttgart, Germany. Honorarium for Book Chapter, Elsevier Science</w:t>
            </w:r>
            <w:r w:rsidR="006A116C">
              <w:rPr>
                <w:lang w:val="en-AU"/>
              </w:rPr>
              <w:t>,</w:t>
            </w:r>
            <w:r w:rsidRPr="00445AD2">
              <w:rPr>
                <w:lang w:val="en-AU"/>
              </w:rPr>
              <w:t xml:space="preserve"> USA.</w:t>
            </w:r>
          </w:p>
          <w:p w14:paraId="3F0A7C01" w14:textId="77777777" w:rsidR="00C01F5C" w:rsidRPr="00F90233" w:rsidRDefault="00C01F5C" w:rsidP="002D3DE3">
            <w:pPr>
              <w:pStyle w:val="Tabletext0"/>
              <w:rPr>
                <w:lang w:val="en-AU"/>
              </w:rPr>
            </w:pPr>
            <w:r w:rsidRPr="00445AD2">
              <w:rPr>
                <w:lang w:val="en-AU"/>
              </w:rPr>
              <w:t>Mr Farmer was also on an Expert Panel, European Commission, European Guide on “Good Practices in the Field of Blood” and “European Union Guide for Member States on Good Practices for Patient Blood Management (EU-PBM).” Consumers, Health and Food Executive Agency (CH</w:t>
            </w:r>
            <w:r w:rsidRPr="00E64DA3">
              <w:rPr>
                <w:lang w:val="en-AU"/>
              </w:rPr>
              <w:t>AFEA) of the European Commission.</w:t>
            </w:r>
          </w:p>
        </w:tc>
      </w:tr>
      <w:tr w:rsidR="00C01F5C" w14:paraId="25D1768E" w14:textId="77777777" w:rsidTr="002D3DE3">
        <w:tc>
          <w:tcPr>
            <w:tcW w:w="2126" w:type="dxa"/>
          </w:tcPr>
          <w:p w14:paraId="1BB20E4B" w14:textId="77777777" w:rsidR="00C01F5C" w:rsidRPr="00E64DA3" w:rsidRDefault="00C01F5C" w:rsidP="002D3DE3">
            <w:pPr>
              <w:pStyle w:val="Tabletext0"/>
              <w:rPr>
                <w:lang w:val="en-AU"/>
              </w:rPr>
            </w:pPr>
            <w:r>
              <w:rPr>
                <w:lang w:val="en-AU"/>
              </w:rPr>
              <w:t>Dr Chris Fraser</w:t>
            </w:r>
          </w:p>
        </w:tc>
        <w:tc>
          <w:tcPr>
            <w:tcW w:w="6186" w:type="dxa"/>
          </w:tcPr>
          <w:p w14:paraId="18DB0813" w14:textId="77777777" w:rsidR="00C01F5C" w:rsidRPr="00E64DA3" w:rsidRDefault="00C01F5C" w:rsidP="002D3DE3">
            <w:pPr>
              <w:pStyle w:val="Tabletext0"/>
              <w:rPr>
                <w:lang w:val="en-AU"/>
              </w:rPr>
            </w:pPr>
            <w:r>
              <w:rPr>
                <w:lang w:val="en-AU"/>
              </w:rPr>
              <w:t>Nil.</w:t>
            </w:r>
          </w:p>
        </w:tc>
      </w:tr>
      <w:tr w:rsidR="00C01F5C" w14:paraId="0DC85F87" w14:textId="77777777" w:rsidTr="002D3DE3">
        <w:tc>
          <w:tcPr>
            <w:tcW w:w="2126" w:type="dxa"/>
          </w:tcPr>
          <w:p w14:paraId="6FBDDB28" w14:textId="77777777" w:rsidR="00C01F5C" w:rsidRPr="00E64DA3" w:rsidRDefault="00C01F5C" w:rsidP="002D3DE3">
            <w:pPr>
              <w:pStyle w:val="Tabletext0"/>
              <w:rPr>
                <w:lang w:val="en-AU"/>
              </w:rPr>
            </w:pPr>
            <w:r>
              <w:rPr>
                <w:lang w:val="en-AU"/>
              </w:rPr>
              <w:t>A/Prof</w:t>
            </w:r>
            <w:r w:rsidRPr="00E64DA3">
              <w:rPr>
                <w:lang w:val="en-AU"/>
              </w:rPr>
              <w:t xml:space="preserve"> Craig French</w:t>
            </w:r>
          </w:p>
        </w:tc>
        <w:tc>
          <w:tcPr>
            <w:tcW w:w="6186" w:type="dxa"/>
          </w:tcPr>
          <w:p w14:paraId="618D88DD" w14:textId="67A095EF" w:rsidR="00C01F5C" w:rsidRPr="00E64DA3" w:rsidRDefault="00C01F5C" w:rsidP="006A116C">
            <w:pPr>
              <w:pStyle w:val="Tabletext0"/>
              <w:rPr>
                <w:lang w:val="en-AU"/>
              </w:rPr>
            </w:pPr>
            <w:r>
              <w:rPr>
                <w:lang w:val="en-AU"/>
              </w:rPr>
              <w:t>A/Prof</w:t>
            </w:r>
            <w:r w:rsidRPr="00E64DA3">
              <w:rPr>
                <w:lang w:val="en-AU"/>
              </w:rPr>
              <w:t xml:space="preserve"> French received research funding from Wyeth between 2004 and 2008 provided to Western Health while he was an employee. He was a chief investigator on the TRANSFUSE and Erythropoietin in Traumatic Brain Injury studies, both of which received project grant funding from the NHMRC. He has also received research grants from </w:t>
            </w:r>
            <w:r>
              <w:rPr>
                <w:lang w:val="en-AU"/>
              </w:rPr>
              <w:t xml:space="preserve">the NHMRC, </w:t>
            </w:r>
            <w:r w:rsidRPr="00373705">
              <w:rPr>
                <w:lang w:val="en-AU"/>
              </w:rPr>
              <w:t xml:space="preserve">Health Research Council of New Zealand (HRCNZ), Eli </w:t>
            </w:r>
            <w:r w:rsidRPr="00E64DA3">
              <w:rPr>
                <w:lang w:val="en-AU"/>
              </w:rPr>
              <w:t>Li</w:t>
            </w:r>
            <w:r>
              <w:rPr>
                <w:lang w:val="en-AU"/>
              </w:rPr>
              <w:t>l</w:t>
            </w:r>
            <w:r w:rsidRPr="00E64DA3">
              <w:rPr>
                <w:lang w:val="en-AU"/>
              </w:rPr>
              <w:t>ly and Bayer. He was appointed to the Australian Red Cross Blood Service Advisory Board in 2011 and as a Blood Service Fellow in 2012.</w:t>
            </w:r>
          </w:p>
        </w:tc>
      </w:tr>
      <w:tr w:rsidR="00C01F5C" w14:paraId="5E90EDDF" w14:textId="77777777" w:rsidTr="002D3DE3">
        <w:tc>
          <w:tcPr>
            <w:tcW w:w="2126" w:type="dxa"/>
          </w:tcPr>
          <w:p w14:paraId="5B057E55" w14:textId="77777777" w:rsidR="00C01F5C" w:rsidRPr="00E64DA3" w:rsidRDefault="00C01F5C" w:rsidP="002D3DE3">
            <w:pPr>
              <w:pStyle w:val="Tabletext0"/>
              <w:rPr>
                <w:lang w:val="en-AU"/>
              </w:rPr>
            </w:pPr>
            <w:r>
              <w:rPr>
                <w:lang w:val="en-AU"/>
              </w:rPr>
              <w:t>Dr Glenn Gardiner</w:t>
            </w:r>
          </w:p>
        </w:tc>
        <w:tc>
          <w:tcPr>
            <w:tcW w:w="6186" w:type="dxa"/>
          </w:tcPr>
          <w:p w14:paraId="7CCC56DF" w14:textId="77777777" w:rsidR="00C01F5C" w:rsidRPr="002103CF" w:rsidRDefault="00C01F5C" w:rsidP="002D3DE3">
            <w:pPr>
              <w:pStyle w:val="Tabletext0"/>
              <w:rPr>
                <w:lang w:val="en-AU"/>
              </w:rPr>
            </w:pPr>
            <w:r>
              <w:rPr>
                <w:lang w:val="en-AU"/>
              </w:rPr>
              <w:t xml:space="preserve">Dr Gardiner has received travel grants from </w:t>
            </w:r>
            <w:r w:rsidRPr="002103CF">
              <w:rPr>
                <w:lang w:val="en-AU"/>
              </w:rPr>
              <w:t xml:space="preserve">GE, Philips and STOR2 all related to obstetric imaging and fetal therapy. </w:t>
            </w:r>
          </w:p>
          <w:p w14:paraId="462D9A9A" w14:textId="77777777" w:rsidR="00C01F5C" w:rsidRPr="002103CF" w:rsidRDefault="00C01F5C" w:rsidP="002D3DE3">
            <w:pPr>
              <w:pStyle w:val="Tabletext0"/>
              <w:rPr>
                <w:lang w:val="en-AU"/>
              </w:rPr>
            </w:pPr>
            <w:r w:rsidRPr="002103CF">
              <w:rPr>
                <w:lang w:val="en-AU"/>
              </w:rPr>
              <w:t>Dr Gardiner also has shares in CSL.</w:t>
            </w:r>
          </w:p>
        </w:tc>
      </w:tr>
      <w:tr w:rsidR="00C01F5C" w14:paraId="288C88B9" w14:textId="77777777" w:rsidTr="002D3DE3">
        <w:tc>
          <w:tcPr>
            <w:tcW w:w="2126" w:type="dxa"/>
          </w:tcPr>
          <w:p w14:paraId="79025B60" w14:textId="77777777" w:rsidR="00C01F5C" w:rsidRPr="00E64DA3" w:rsidRDefault="00C01F5C" w:rsidP="002D3DE3">
            <w:pPr>
              <w:pStyle w:val="Tabletext0"/>
              <w:rPr>
                <w:lang w:val="en-AU"/>
              </w:rPr>
            </w:pPr>
            <w:r>
              <w:rPr>
                <w:lang w:val="en-AU"/>
              </w:rPr>
              <w:t>Dr Susan Hale</w:t>
            </w:r>
          </w:p>
        </w:tc>
        <w:tc>
          <w:tcPr>
            <w:tcW w:w="6186" w:type="dxa"/>
          </w:tcPr>
          <w:p w14:paraId="6A786A22" w14:textId="77777777" w:rsidR="00C01F5C" w:rsidRPr="00E64DA3" w:rsidRDefault="00C01F5C" w:rsidP="002D3DE3">
            <w:pPr>
              <w:pStyle w:val="Tabletext0"/>
              <w:rPr>
                <w:lang w:val="en-AU"/>
              </w:rPr>
            </w:pPr>
            <w:r>
              <w:rPr>
                <w:lang w:val="en-AU"/>
              </w:rPr>
              <w:t>Nil.</w:t>
            </w:r>
          </w:p>
        </w:tc>
      </w:tr>
      <w:tr w:rsidR="00EB5738" w14:paraId="0C8564CF" w14:textId="77777777" w:rsidTr="002D3DE3">
        <w:tc>
          <w:tcPr>
            <w:tcW w:w="2126" w:type="dxa"/>
          </w:tcPr>
          <w:p w14:paraId="3265EA0A" w14:textId="6B89E04C" w:rsidR="00EB5738" w:rsidRPr="00E64DA3" w:rsidRDefault="00EB5738" w:rsidP="00EB5738">
            <w:pPr>
              <w:pStyle w:val="Tabletext0"/>
              <w:rPr>
                <w:lang w:val="en-AU"/>
              </w:rPr>
            </w:pPr>
            <w:r>
              <w:rPr>
                <w:lang w:val="en-AU"/>
              </w:rPr>
              <w:t>A/Prof Helen Liley</w:t>
            </w:r>
          </w:p>
        </w:tc>
        <w:tc>
          <w:tcPr>
            <w:tcW w:w="6186" w:type="dxa"/>
          </w:tcPr>
          <w:p w14:paraId="6B2156E5" w14:textId="65C0C126" w:rsidR="00EB5738" w:rsidRPr="00DA29A6" w:rsidRDefault="00EB5738" w:rsidP="00EB5738">
            <w:pPr>
              <w:pStyle w:val="Tabletext0"/>
              <w:rPr>
                <w:lang w:val="en-AU"/>
              </w:rPr>
            </w:pPr>
            <w:r>
              <w:rPr>
                <w:lang w:val="en-AU"/>
              </w:rPr>
              <w:t>A/Prof</w:t>
            </w:r>
            <w:r w:rsidRPr="00DA29A6">
              <w:rPr>
                <w:lang w:val="en-AU"/>
              </w:rPr>
              <w:t xml:space="preserve"> Liley received travel, accommodation and registration from the N</w:t>
            </w:r>
            <w:r>
              <w:rPr>
                <w:lang w:val="en-AU"/>
              </w:rPr>
              <w:t xml:space="preserve">BA </w:t>
            </w:r>
            <w:r w:rsidRPr="00DA29A6">
              <w:rPr>
                <w:lang w:val="en-AU"/>
              </w:rPr>
              <w:t xml:space="preserve">and the </w:t>
            </w:r>
            <w:r>
              <w:rPr>
                <w:lang w:val="en-AU"/>
              </w:rPr>
              <w:t xml:space="preserve">Australian Government </w:t>
            </w:r>
            <w:r w:rsidRPr="00DA29A6">
              <w:rPr>
                <w:lang w:val="en-AU"/>
              </w:rPr>
              <w:t>Department of Health, for the Western Australian Patient Blood Management Conference in Perth in 2014</w:t>
            </w:r>
            <w:r>
              <w:rPr>
                <w:lang w:val="en-AU"/>
              </w:rPr>
              <w:t>,</w:t>
            </w:r>
            <w:r w:rsidRPr="00DA29A6">
              <w:rPr>
                <w:lang w:val="en-AU"/>
              </w:rPr>
              <w:t xml:space="preserve"> to present a talk: ‘What about the Children – is there a place for PBM in their care?’ </w:t>
            </w:r>
          </w:p>
          <w:p w14:paraId="73C2A01D" w14:textId="4FB7F5CB" w:rsidR="00EB5738" w:rsidRPr="00E64DA3" w:rsidRDefault="00EB5738" w:rsidP="00CA7DED">
            <w:pPr>
              <w:pStyle w:val="Tabletext0"/>
              <w:rPr>
                <w:lang w:val="en-AU"/>
              </w:rPr>
            </w:pPr>
            <w:r>
              <w:rPr>
                <w:lang w:val="en-AU"/>
              </w:rPr>
              <w:t>A/Prof</w:t>
            </w:r>
            <w:r w:rsidRPr="00DA29A6">
              <w:rPr>
                <w:lang w:val="en-AU"/>
              </w:rPr>
              <w:t xml:space="preserve"> Liley is the </w:t>
            </w:r>
            <w:r>
              <w:rPr>
                <w:lang w:val="en-AU"/>
              </w:rPr>
              <w:t>Mater Mothers</w:t>
            </w:r>
            <w:r w:rsidR="006A116C">
              <w:rPr>
                <w:lang w:val="en-AU"/>
              </w:rPr>
              <w:t>’</w:t>
            </w:r>
            <w:r>
              <w:rPr>
                <w:lang w:val="en-AU"/>
              </w:rPr>
              <w:t xml:space="preserve"> Hospital </w:t>
            </w:r>
            <w:r w:rsidRPr="00DA29A6">
              <w:rPr>
                <w:lang w:val="en-AU"/>
              </w:rPr>
              <w:t xml:space="preserve">site </w:t>
            </w:r>
            <w:r w:rsidR="006A116C" w:rsidRPr="00DA29A6">
              <w:rPr>
                <w:lang w:val="en-AU"/>
              </w:rPr>
              <w:t xml:space="preserve">principal investigator </w:t>
            </w:r>
            <w:r w:rsidRPr="00DA29A6">
              <w:rPr>
                <w:lang w:val="en-AU"/>
              </w:rPr>
              <w:t>on</w:t>
            </w:r>
            <w:r>
              <w:rPr>
                <w:lang w:val="en-AU"/>
              </w:rPr>
              <w:t xml:space="preserve"> the NHMRC-funded</w:t>
            </w:r>
            <w:r w:rsidRPr="00DA29A6">
              <w:rPr>
                <w:lang w:val="en-AU"/>
              </w:rPr>
              <w:t xml:space="preserve"> </w:t>
            </w:r>
            <w:r w:rsidR="00CA7DED">
              <w:rPr>
                <w:lang w:val="en-AU"/>
              </w:rPr>
              <w:t xml:space="preserve">randomised controlled trial </w:t>
            </w:r>
            <w:r w:rsidRPr="00DA29A6">
              <w:rPr>
                <w:lang w:val="en-AU"/>
              </w:rPr>
              <w:t>Australian Pl</w:t>
            </w:r>
            <w:r>
              <w:rPr>
                <w:lang w:val="en-AU"/>
              </w:rPr>
              <w:t>acental Transfusion Study (APTS</w:t>
            </w:r>
            <w:r w:rsidRPr="00DA29A6">
              <w:rPr>
                <w:lang w:val="en-AU"/>
              </w:rPr>
              <w:t>)</w:t>
            </w:r>
            <w:r>
              <w:rPr>
                <w:lang w:val="en-AU"/>
              </w:rPr>
              <w:t>,</w:t>
            </w:r>
            <w:r w:rsidRPr="00DA29A6">
              <w:rPr>
                <w:lang w:val="en-AU"/>
              </w:rPr>
              <w:t xml:space="preserve"> </w:t>
            </w:r>
            <w:r>
              <w:rPr>
                <w:lang w:val="en-AU"/>
              </w:rPr>
              <w:t>which is examining timing of</w:t>
            </w:r>
            <w:r w:rsidRPr="00DA29A6">
              <w:rPr>
                <w:lang w:val="en-AU"/>
              </w:rPr>
              <w:t xml:space="preserve"> cord clamping in very low birth weight infants.</w:t>
            </w:r>
          </w:p>
        </w:tc>
      </w:tr>
      <w:tr w:rsidR="00C01F5C" w14:paraId="3BDE533F" w14:textId="77777777" w:rsidTr="002D3DE3">
        <w:tc>
          <w:tcPr>
            <w:tcW w:w="2126" w:type="dxa"/>
          </w:tcPr>
          <w:p w14:paraId="74791ECE" w14:textId="77777777" w:rsidR="00C01F5C" w:rsidRPr="00E64DA3" w:rsidRDefault="00C01F5C" w:rsidP="002D3DE3">
            <w:pPr>
              <w:pStyle w:val="Tabletext0"/>
              <w:rPr>
                <w:lang w:val="en-AU"/>
              </w:rPr>
            </w:pPr>
            <w:r>
              <w:rPr>
                <w:lang w:val="en-AU"/>
              </w:rPr>
              <w:t>Prof Rhonda Marriott</w:t>
            </w:r>
          </w:p>
        </w:tc>
        <w:tc>
          <w:tcPr>
            <w:tcW w:w="6186" w:type="dxa"/>
          </w:tcPr>
          <w:p w14:paraId="659FBB38" w14:textId="5F5D50D9" w:rsidR="00C01F5C" w:rsidRPr="002D2DEF" w:rsidRDefault="00C01F5C" w:rsidP="002D3DE3">
            <w:pPr>
              <w:spacing w:after="120"/>
              <w:ind w:left="0"/>
              <w:rPr>
                <w:rFonts w:ascii="Arial Narrow" w:eastAsia="Arial Unicode MS" w:hAnsi="Arial Narrow" w:cs="Times New Roman"/>
                <w:bCs/>
                <w:color w:val="auto"/>
                <w:sz w:val="20"/>
                <w:szCs w:val="24"/>
                <w:lang w:eastAsia="ja-JP"/>
              </w:rPr>
            </w:pPr>
            <w:r w:rsidRPr="002D2DEF">
              <w:rPr>
                <w:rFonts w:ascii="Arial Narrow" w:eastAsia="Arial Unicode MS" w:hAnsi="Arial Narrow" w:cs="Times New Roman"/>
                <w:bCs/>
                <w:color w:val="auto"/>
                <w:sz w:val="20"/>
                <w:szCs w:val="24"/>
                <w:lang w:eastAsia="ja-JP"/>
              </w:rPr>
              <w:t xml:space="preserve">Prof Marriott is the Aboriginal and Torres Strait Islander representative </w:t>
            </w:r>
            <w:r w:rsidR="006A116C" w:rsidRPr="002D2DEF">
              <w:rPr>
                <w:rFonts w:ascii="Arial Narrow" w:eastAsia="Arial Unicode MS" w:hAnsi="Arial Narrow" w:cs="Times New Roman"/>
                <w:bCs/>
                <w:color w:val="auto"/>
                <w:sz w:val="20"/>
                <w:szCs w:val="24"/>
                <w:lang w:eastAsia="ja-JP"/>
              </w:rPr>
              <w:t xml:space="preserve">chief investigator </w:t>
            </w:r>
            <w:r w:rsidRPr="002D2DEF">
              <w:rPr>
                <w:rFonts w:ascii="Arial Narrow" w:eastAsia="Arial Unicode MS" w:hAnsi="Arial Narrow" w:cs="Times New Roman"/>
                <w:bCs/>
                <w:color w:val="auto"/>
                <w:sz w:val="20"/>
                <w:szCs w:val="24"/>
                <w:lang w:eastAsia="ja-JP"/>
              </w:rPr>
              <w:t>on a NHMRC</w:t>
            </w:r>
            <w:r w:rsidR="00CA7DED">
              <w:rPr>
                <w:rFonts w:ascii="Arial Narrow" w:eastAsia="Arial Unicode MS" w:hAnsi="Arial Narrow" w:cs="Times New Roman"/>
                <w:bCs/>
                <w:color w:val="auto"/>
                <w:sz w:val="20"/>
                <w:szCs w:val="24"/>
                <w:lang w:eastAsia="ja-JP"/>
              </w:rPr>
              <w:t>-</w:t>
            </w:r>
            <w:r w:rsidRPr="002D2DEF">
              <w:rPr>
                <w:rFonts w:ascii="Arial Narrow" w:eastAsia="Arial Unicode MS" w:hAnsi="Arial Narrow" w:cs="Times New Roman"/>
                <w:bCs/>
                <w:color w:val="auto"/>
                <w:sz w:val="20"/>
                <w:szCs w:val="24"/>
                <w:lang w:eastAsia="ja-JP"/>
              </w:rPr>
              <w:t>funded project that will also investigate anaemia in Aboriginal children titled “Improving primary care for Aboriginal mothers and babies in the Kimberley region of Western Australia: a population and region based cluster randomised trial driven by local health service providers.”</w:t>
            </w:r>
          </w:p>
        </w:tc>
      </w:tr>
      <w:tr w:rsidR="00C01F5C" w14:paraId="11FCFC87" w14:textId="77777777" w:rsidTr="002D3DE3">
        <w:tc>
          <w:tcPr>
            <w:tcW w:w="2126" w:type="dxa"/>
          </w:tcPr>
          <w:p w14:paraId="5B2C740C" w14:textId="77777777" w:rsidR="00C01F5C" w:rsidRPr="00E64DA3" w:rsidRDefault="00C01F5C" w:rsidP="002D3DE3">
            <w:pPr>
              <w:pStyle w:val="Tabletext0"/>
              <w:rPr>
                <w:lang w:val="en-AU"/>
              </w:rPr>
            </w:pPr>
            <w:r>
              <w:rPr>
                <w:lang w:val="en-AU"/>
              </w:rPr>
              <w:t>Ms Lauren Porter</w:t>
            </w:r>
          </w:p>
        </w:tc>
        <w:tc>
          <w:tcPr>
            <w:tcW w:w="6186" w:type="dxa"/>
          </w:tcPr>
          <w:p w14:paraId="536CDA3B" w14:textId="77777777" w:rsidR="00C01F5C" w:rsidRPr="00E64DA3" w:rsidRDefault="00C01F5C" w:rsidP="002D3DE3">
            <w:pPr>
              <w:pStyle w:val="Tabletext0"/>
              <w:rPr>
                <w:lang w:val="en-AU"/>
              </w:rPr>
            </w:pPr>
            <w:r>
              <w:rPr>
                <w:lang w:val="en-AU"/>
              </w:rPr>
              <w:t>Nil.</w:t>
            </w:r>
          </w:p>
        </w:tc>
      </w:tr>
      <w:tr w:rsidR="00C01F5C" w14:paraId="33D3F04D" w14:textId="77777777" w:rsidTr="002D3DE3">
        <w:tc>
          <w:tcPr>
            <w:tcW w:w="2126" w:type="dxa"/>
          </w:tcPr>
          <w:p w14:paraId="31707A85" w14:textId="77777777" w:rsidR="00C01F5C" w:rsidRPr="00E64DA3" w:rsidRDefault="00C01F5C" w:rsidP="002D3DE3">
            <w:pPr>
              <w:pStyle w:val="Tabletext0"/>
              <w:rPr>
                <w:lang w:val="en-AU"/>
              </w:rPr>
            </w:pPr>
            <w:r>
              <w:rPr>
                <w:lang w:val="en-AU"/>
              </w:rPr>
              <w:t>Dr Sylvio Provenzano</w:t>
            </w:r>
          </w:p>
        </w:tc>
        <w:tc>
          <w:tcPr>
            <w:tcW w:w="6186" w:type="dxa"/>
          </w:tcPr>
          <w:p w14:paraId="431911FD" w14:textId="77777777" w:rsidR="00C01F5C" w:rsidRPr="00E64DA3" w:rsidRDefault="00C01F5C" w:rsidP="002D3DE3">
            <w:pPr>
              <w:pStyle w:val="Tabletext0"/>
              <w:rPr>
                <w:lang w:val="en-AU"/>
              </w:rPr>
            </w:pPr>
            <w:r>
              <w:rPr>
                <w:lang w:val="en-AU"/>
              </w:rPr>
              <w:t xml:space="preserve">Dr Provenzano was involved </w:t>
            </w:r>
            <w:r w:rsidRPr="002D2DEF">
              <w:rPr>
                <w:lang w:val="en-AU"/>
              </w:rPr>
              <w:t>in a project studying potential benefit of cell salvage in patients under 6kgs. No financial or technical support from any company.</w:t>
            </w:r>
          </w:p>
        </w:tc>
      </w:tr>
      <w:tr w:rsidR="00C01F5C" w14:paraId="47DD0E22" w14:textId="77777777" w:rsidTr="002D3DE3">
        <w:tc>
          <w:tcPr>
            <w:tcW w:w="2126" w:type="dxa"/>
          </w:tcPr>
          <w:p w14:paraId="64B68832" w14:textId="77777777" w:rsidR="00C01F5C" w:rsidRPr="00E64DA3" w:rsidRDefault="00C01F5C" w:rsidP="002D3DE3">
            <w:pPr>
              <w:pStyle w:val="Tabletext0"/>
              <w:rPr>
                <w:lang w:val="en-AU"/>
              </w:rPr>
            </w:pPr>
            <w:r>
              <w:rPr>
                <w:lang w:val="en-AU"/>
              </w:rPr>
              <w:t>Prof Linda Shields</w:t>
            </w:r>
          </w:p>
        </w:tc>
        <w:tc>
          <w:tcPr>
            <w:tcW w:w="6186" w:type="dxa"/>
          </w:tcPr>
          <w:p w14:paraId="4993D848" w14:textId="77777777" w:rsidR="00C01F5C" w:rsidRPr="00E64DA3" w:rsidRDefault="00C01F5C" w:rsidP="002D3DE3">
            <w:pPr>
              <w:pStyle w:val="Tabletext0"/>
              <w:rPr>
                <w:lang w:val="en-AU"/>
              </w:rPr>
            </w:pPr>
            <w:r>
              <w:rPr>
                <w:lang w:val="en-AU"/>
              </w:rPr>
              <w:t>Nil.</w:t>
            </w:r>
          </w:p>
        </w:tc>
      </w:tr>
      <w:tr w:rsidR="00C01F5C" w14:paraId="20650A12" w14:textId="77777777" w:rsidTr="002D3DE3">
        <w:tc>
          <w:tcPr>
            <w:tcW w:w="2126" w:type="dxa"/>
          </w:tcPr>
          <w:p w14:paraId="06740F3D" w14:textId="77777777" w:rsidR="00C01F5C" w:rsidRPr="00E64DA3" w:rsidRDefault="00C01F5C" w:rsidP="002D3DE3">
            <w:pPr>
              <w:pStyle w:val="Tabletext0"/>
              <w:rPr>
                <w:lang w:val="en-AU"/>
              </w:rPr>
            </w:pPr>
            <w:r>
              <w:rPr>
                <w:lang w:val="en-AU"/>
              </w:rPr>
              <w:t>Dr Michael Stark</w:t>
            </w:r>
          </w:p>
        </w:tc>
        <w:tc>
          <w:tcPr>
            <w:tcW w:w="6186" w:type="dxa"/>
          </w:tcPr>
          <w:p w14:paraId="2D794551" w14:textId="77777777" w:rsidR="00C01F5C" w:rsidRPr="00E64DA3" w:rsidRDefault="00C01F5C" w:rsidP="002D3DE3">
            <w:pPr>
              <w:pStyle w:val="Tabletext0"/>
              <w:rPr>
                <w:lang w:val="en-AU"/>
              </w:rPr>
            </w:pPr>
            <w:r>
              <w:rPr>
                <w:lang w:val="en-AU"/>
              </w:rPr>
              <w:t>Nil.</w:t>
            </w:r>
          </w:p>
        </w:tc>
      </w:tr>
      <w:tr w:rsidR="00C01F5C" w14:paraId="24A61793" w14:textId="77777777" w:rsidTr="002D3DE3">
        <w:tc>
          <w:tcPr>
            <w:tcW w:w="2126" w:type="dxa"/>
          </w:tcPr>
          <w:p w14:paraId="5F401F9E" w14:textId="77777777" w:rsidR="00C01F5C" w:rsidRPr="00E64DA3" w:rsidRDefault="00C01F5C" w:rsidP="002D3DE3">
            <w:pPr>
              <w:pStyle w:val="Tabletext0"/>
              <w:rPr>
                <w:lang w:val="en-AU"/>
              </w:rPr>
            </w:pPr>
            <w:r>
              <w:rPr>
                <w:lang w:val="en-AU"/>
              </w:rPr>
              <w:t>Dr Christian Stocker</w:t>
            </w:r>
          </w:p>
        </w:tc>
        <w:tc>
          <w:tcPr>
            <w:tcW w:w="6186" w:type="dxa"/>
          </w:tcPr>
          <w:p w14:paraId="3A09CA63" w14:textId="77777777" w:rsidR="00C01F5C" w:rsidRPr="00E64DA3" w:rsidRDefault="00C01F5C" w:rsidP="002D3DE3">
            <w:pPr>
              <w:pStyle w:val="Tabletext0"/>
              <w:rPr>
                <w:lang w:val="en-AU"/>
              </w:rPr>
            </w:pPr>
            <w:r>
              <w:rPr>
                <w:lang w:val="en-AU"/>
              </w:rPr>
              <w:t>Nil.</w:t>
            </w:r>
          </w:p>
        </w:tc>
      </w:tr>
      <w:tr w:rsidR="00C01F5C" w14:paraId="1E12A43D" w14:textId="77777777" w:rsidTr="002D3DE3">
        <w:tc>
          <w:tcPr>
            <w:tcW w:w="2126" w:type="dxa"/>
          </w:tcPr>
          <w:p w14:paraId="12E3338E" w14:textId="77777777" w:rsidR="00C01F5C" w:rsidRPr="00E64DA3" w:rsidRDefault="00C01F5C" w:rsidP="002D3DE3">
            <w:pPr>
              <w:pStyle w:val="Tabletext0"/>
              <w:rPr>
                <w:lang w:val="en-AU"/>
              </w:rPr>
            </w:pPr>
            <w:r w:rsidRPr="00E64DA3">
              <w:rPr>
                <w:lang w:val="en-AU"/>
              </w:rPr>
              <w:t>Dr Amanda Thomson</w:t>
            </w:r>
          </w:p>
        </w:tc>
        <w:tc>
          <w:tcPr>
            <w:tcW w:w="6186" w:type="dxa"/>
          </w:tcPr>
          <w:p w14:paraId="313D7733" w14:textId="77777777" w:rsidR="00C01F5C" w:rsidRPr="00E64DA3" w:rsidRDefault="00C01F5C" w:rsidP="002D3DE3">
            <w:pPr>
              <w:pStyle w:val="Tabletext0"/>
              <w:rPr>
                <w:lang w:val="en-AU"/>
              </w:rPr>
            </w:pPr>
            <w:r w:rsidRPr="00E64DA3">
              <w:rPr>
                <w:lang w:val="en-AU"/>
              </w:rPr>
              <w:t xml:space="preserve">Dr Thomson is an employee of the Australian Red Cross Blood Service and BloodSafe eLearning Australia. </w:t>
            </w:r>
          </w:p>
        </w:tc>
      </w:tr>
      <w:tr w:rsidR="00C01F5C" w14:paraId="1BC5F142" w14:textId="77777777" w:rsidTr="002D3DE3">
        <w:tc>
          <w:tcPr>
            <w:tcW w:w="2126" w:type="dxa"/>
          </w:tcPr>
          <w:p w14:paraId="4C33814A" w14:textId="77777777" w:rsidR="00C01F5C" w:rsidRPr="00E64DA3" w:rsidRDefault="00C01F5C" w:rsidP="002D3DE3">
            <w:pPr>
              <w:pStyle w:val="Tabletext0"/>
              <w:rPr>
                <w:lang w:val="en-AU"/>
              </w:rPr>
            </w:pPr>
            <w:r>
              <w:rPr>
                <w:lang w:val="en-AU"/>
              </w:rPr>
              <w:t>Dr Bronwyn Williams</w:t>
            </w:r>
          </w:p>
        </w:tc>
        <w:tc>
          <w:tcPr>
            <w:tcW w:w="6186" w:type="dxa"/>
          </w:tcPr>
          <w:p w14:paraId="6EF3D882" w14:textId="77777777" w:rsidR="00C01F5C" w:rsidRPr="00E64DA3" w:rsidRDefault="00C01F5C" w:rsidP="002D3DE3">
            <w:pPr>
              <w:pStyle w:val="Tabletext0"/>
              <w:rPr>
                <w:lang w:val="en-AU"/>
              </w:rPr>
            </w:pPr>
            <w:r>
              <w:rPr>
                <w:lang w:val="en-AU"/>
              </w:rPr>
              <w:t>Nil.</w:t>
            </w:r>
          </w:p>
        </w:tc>
      </w:tr>
    </w:tbl>
    <w:p w14:paraId="13C53889" w14:textId="77777777" w:rsidR="00C01F5C" w:rsidRDefault="00C01F5C" w:rsidP="00FF2787">
      <w:pPr>
        <w:pStyle w:val="Normalbeforebullet"/>
      </w:pPr>
    </w:p>
    <w:p w14:paraId="1016A528" w14:textId="774E62CB" w:rsidR="00C01F5C" w:rsidRDefault="00C01F5C" w:rsidP="00C01F5C">
      <w:pPr>
        <w:pStyle w:val="Normal-aftertable"/>
      </w:pPr>
      <w:r w:rsidRPr="009C0472">
        <w:t xml:space="preserve">The </w:t>
      </w:r>
      <w:r>
        <w:t>C</w:t>
      </w:r>
      <w:r w:rsidRPr="009C0472">
        <w:t xml:space="preserve">hair considered these declarations and determined that </w:t>
      </w:r>
      <w:r>
        <w:t>all except one</w:t>
      </w:r>
      <w:r w:rsidRPr="009C0472">
        <w:t xml:space="preserve"> did not constitute a conflict</w:t>
      </w:r>
      <w:r>
        <w:t xml:space="preserve"> of interest</w:t>
      </w:r>
      <w:r w:rsidRPr="009C0472">
        <w:t xml:space="preserve">. </w:t>
      </w:r>
      <w:r>
        <w:t xml:space="preserve">In that instance, a </w:t>
      </w:r>
      <w:r w:rsidRPr="004C7AF9">
        <w:t>management action plan was</w:t>
      </w:r>
      <w:r>
        <w:t xml:space="preserve"> established. </w:t>
      </w:r>
    </w:p>
    <w:p w14:paraId="4FCAAAA6" w14:textId="19F38873" w:rsidR="00C01F5C" w:rsidRDefault="00C01F5C" w:rsidP="00C01F5C">
      <w:pPr>
        <w:pStyle w:val="Normal-aftertable"/>
      </w:pPr>
      <w:r>
        <w:t xml:space="preserve">The Chair’s declarations were reviewed by the </w:t>
      </w:r>
      <w:r w:rsidR="006A116C">
        <w:t>co</w:t>
      </w:r>
      <w:r>
        <w:t xml:space="preserve">-Chairs of the </w:t>
      </w:r>
      <w:r w:rsidR="006A116C">
        <w:t>EWG</w:t>
      </w:r>
      <w:r>
        <w:t xml:space="preserve"> and were not considered a conflict of interest.</w:t>
      </w:r>
    </w:p>
    <w:p w14:paraId="2D018835" w14:textId="77777777" w:rsidR="00C01F5C" w:rsidRPr="005E1D2D" w:rsidRDefault="00C01F5C" w:rsidP="00C01F5C">
      <w:r>
        <w:t>None of the NBA and Optum staff had any declarations.</w:t>
      </w:r>
    </w:p>
    <w:p w14:paraId="73F34F3C" w14:textId="77777777" w:rsidR="0041081F" w:rsidRPr="00753BA1" w:rsidRDefault="0041081F" w:rsidP="0041081F">
      <w:pPr>
        <w:pStyle w:val="Heading2a"/>
      </w:pPr>
      <w:r>
        <w:rPr>
          <w:lang w:eastAsia="ja-JP"/>
        </w:rPr>
        <w:t>B</w:t>
      </w:r>
      <w:r w:rsidR="00907B2D">
        <w:rPr>
          <w:lang w:val="en-AU" w:eastAsia="ja-JP"/>
        </w:rPr>
        <w:t>6</w:t>
      </w:r>
      <w:r w:rsidRPr="00753BA1">
        <w:tab/>
        <w:t>Public consultation</w:t>
      </w:r>
    </w:p>
    <w:p w14:paraId="5833A7B5" w14:textId="2508B36C" w:rsidR="0041081F" w:rsidRDefault="0041081F" w:rsidP="0041081F">
      <w:r w:rsidRPr="00753BA1">
        <w:t>Public consultation was conducted</w:t>
      </w:r>
      <w:r w:rsidR="0045676F">
        <w:t xml:space="preserve"> for </w:t>
      </w:r>
      <w:r w:rsidR="00362B6C">
        <w:t>8</w:t>
      </w:r>
      <w:r w:rsidR="0045676F">
        <w:t xml:space="preserve"> weeks</w:t>
      </w:r>
      <w:r w:rsidRPr="00753BA1">
        <w:t xml:space="preserve"> </w:t>
      </w:r>
      <w:r w:rsidRPr="00542036">
        <w:t>from</w:t>
      </w:r>
      <w:r w:rsidR="00362B6C">
        <w:t xml:space="preserve"> 31 August to 23 October</w:t>
      </w:r>
      <w:r w:rsidR="00EB5738">
        <w:t xml:space="preserve"> 2015,</w:t>
      </w:r>
      <w:r w:rsidR="00362B6C">
        <w:t xml:space="preserve"> </w:t>
      </w:r>
      <w:r w:rsidRPr="00542036">
        <w:t>during</w:t>
      </w:r>
      <w:r w:rsidRPr="00753BA1">
        <w:t xml:space="preserve"> which </w:t>
      </w:r>
      <w:r>
        <w:t xml:space="preserve">time </w:t>
      </w:r>
      <w:r w:rsidRPr="00753BA1">
        <w:t xml:space="preserve">the draft </w:t>
      </w:r>
      <w:r>
        <w:t>module was</w:t>
      </w:r>
      <w:r w:rsidRPr="00753BA1">
        <w:t xml:space="preserve"> available on the NBA </w:t>
      </w:r>
      <w:r>
        <w:t>website.</w:t>
      </w:r>
      <w:r>
        <w:rPr>
          <w:rStyle w:val="FootnoteReference"/>
        </w:rPr>
        <w:footnoteReference w:id="21"/>
      </w:r>
      <w:r>
        <w:t xml:space="preserve"> </w:t>
      </w:r>
      <w:r w:rsidRPr="00753BA1">
        <w:t xml:space="preserve">Notification was posted in </w:t>
      </w:r>
      <w:r w:rsidRPr="00753BA1">
        <w:rPr>
          <w:i/>
        </w:rPr>
        <w:t xml:space="preserve">The </w:t>
      </w:r>
      <w:r w:rsidR="00EB5738">
        <w:rPr>
          <w:i/>
        </w:rPr>
        <w:t xml:space="preserve">Weekend </w:t>
      </w:r>
      <w:r w:rsidRPr="00753BA1">
        <w:rPr>
          <w:i/>
        </w:rPr>
        <w:t>Australian</w:t>
      </w:r>
      <w:r w:rsidRPr="00753BA1">
        <w:t xml:space="preserve"> national newspaper, and the NBA invited a range of stakeholders, committees, working groups and interested people to provide submissions</w:t>
      </w:r>
      <w:r>
        <w:t xml:space="preserve"> via email</w:t>
      </w:r>
      <w:r w:rsidRPr="00753BA1">
        <w:t xml:space="preserve">. </w:t>
      </w:r>
      <w:r>
        <w:t>A full list is detailed in the public consultation submissions report.</w:t>
      </w:r>
    </w:p>
    <w:p w14:paraId="50B5AEC8" w14:textId="77777777" w:rsidR="0041081F" w:rsidRDefault="0041081F" w:rsidP="00FF2787">
      <w:pPr>
        <w:pStyle w:val="StyleNormalbeforebulletLeft125cm"/>
      </w:pPr>
      <w:r>
        <w:t xml:space="preserve">A formal letter advising of public consultation </w:t>
      </w:r>
      <w:r w:rsidR="005714D4">
        <w:t xml:space="preserve">was sent to the organisations with a representative on the CRG. An email was sent </w:t>
      </w:r>
      <w:r>
        <w:t>to the following:</w:t>
      </w:r>
    </w:p>
    <w:p w14:paraId="219560DB" w14:textId="77777777" w:rsidR="00EB5738" w:rsidRDefault="00EB5738" w:rsidP="00EB5738">
      <w:pPr>
        <w:pStyle w:val="Bullet6"/>
      </w:pPr>
      <w:r>
        <w:t>members of each of the previous and current EWG, CRGs, independent systematic reviewer, Haemovigilance Advisory Committee, National Education and Training Committee and PBM Steering Committee</w:t>
      </w:r>
    </w:p>
    <w:p w14:paraId="7AB1718B" w14:textId="77777777" w:rsidR="00EB5738" w:rsidRDefault="00EB5738" w:rsidP="00EB5738">
      <w:pPr>
        <w:pStyle w:val="Bullet6"/>
      </w:pPr>
      <w:r>
        <w:t>relevant colleges, societies and other health organisations</w:t>
      </w:r>
    </w:p>
    <w:p w14:paraId="045DE659" w14:textId="69A1528E" w:rsidR="00EB5738" w:rsidRDefault="00EB5738" w:rsidP="00EB5738">
      <w:pPr>
        <w:pStyle w:val="Bullet6"/>
      </w:pPr>
      <w:r>
        <w:t xml:space="preserve">individuals registered to receive PBM guideline updates </w:t>
      </w:r>
    </w:p>
    <w:p w14:paraId="215A99C2" w14:textId="77777777" w:rsidR="00EB5738" w:rsidRDefault="00EB5738" w:rsidP="00EB5738">
      <w:pPr>
        <w:pStyle w:val="Bullet6"/>
      </w:pPr>
      <w:r>
        <w:t>Therapeutic Goods Administration</w:t>
      </w:r>
    </w:p>
    <w:p w14:paraId="680880FF" w14:textId="77777777" w:rsidR="0041081F" w:rsidRPr="00FC4013" w:rsidRDefault="0041081F" w:rsidP="00D274EC">
      <w:pPr>
        <w:pStyle w:val="Bullet6"/>
        <w:rPr>
          <w:color w:val="auto"/>
        </w:rPr>
      </w:pPr>
      <w:r w:rsidRPr="00FC4013">
        <w:rPr>
          <w:color w:val="auto"/>
        </w:rPr>
        <w:t>Director General/Chief Executive/Secretary of each state, territory and health department</w:t>
      </w:r>
    </w:p>
    <w:p w14:paraId="2949B019" w14:textId="77777777" w:rsidR="0041081F" w:rsidRDefault="0041081F" w:rsidP="00D274EC">
      <w:pPr>
        <w:pStyle w:val="Bullet6"/>
        <w:rPr>
          <w:color w:val="auto"/>
        </w:rPr>
      </w:pPr>
      <w:r w:rsidRPr="00FC4013">
        <w:rPr>
          <w:color w:val="auto"/>
        </w:rPr>
        <w:t>Pharmaceutical Benefits Advisory Committee</w:t>
      </w:r>
    </w:p>
    <w:p w14:paraId="0AF5736C" w14:textId="77777777" w:rsidR="005714D4" w:rsidRPr="00FC4013" w:rsidRDefault="005714D4" w:rsidP="00D274EC">
      <w:pPr>
        <w:pStyle w:val="Bullet6"/>
        <w:rPr>
          <w:color w:val="auto"/>
        </w:rPr>
      </w:pPr>
      <w:r>
        <w:rPr>
          <w:color w:val="auto"/>
        </w:rPr>
        <w:t>Medical Services Advisory Committee</w:t>
      </w:r>
    </w:p>
    <w:p w14:paraId="05599C87" w14:textId="77777777" w:rsidR="0041081F" w:rsidRPr="00FC4013" w:rsidRDefault="0041081F" w:rsidP="00D274EC">
      <w:pPr>
        <w:pStyle w:val="Bullet6"/>
        <w:rPr>
          <w:color w:val="auto"/>
        </w:rPr>
      </w:pPr>
      <w:r w:rsidRPr="00FC4013">
        <w:rPr>
          <w:color w:val="auto"/>
        </w:rPr>
        <w:t>Australian Red Cross Blood Service</w:t>
      </w:r>
    </w:p>
    <w:p w14:paraId="59D6938D" w14:textId="77777777" w:rsidR="0041081F" w:rsidRDefault="0041081F" w:rsidP="00D274EC">
      <w:pPr>
        <w:pStyle w:val="Bullet12"/>
      </w:pPr>
      <w:r w:rsidRPr="00134FB1">
        <w:t>Consumer</w:t>
      </w:r>
      <w:r w:rsidR="00907B2D">
        <w:rPr>
          <w:lang w:val="en-AU"/>
        </w:rPr>
        <w:t>s</w:t>
      </w:r>
      <w:r w:rsidRPr="00134FB1">
        <w:t xml:space="preserve"> Health Forum of Australia</w:t>
      </w:r>
      <w:r>
        <w:t xml:space="preserve"> and the major consumer organisation in each state and territory</w:t>
      </w:r>
      <w:r w:rsidR="00D274EC">
        <w:t>.</w:t>
      </w:r>
    </w:p>
    <w:p w14:paraId="17E75E05" w14:textId="6395782D" w:rsidR="0041081F" w:rsidRDefault="00AC13F5" w:rsidP="0041081F">
      <w:r w:rsidRPr="00860E54">
        <w:rPr>
          <w:highlight w:val="yellow"/>
        </w:rPr>
        <w:t>XX</w:t>
      </w:r>
      <w:r w:rsidR="0041081F">
        <w:t xml:space="preserve"> </w:t>
      </w:r>
      <w:r w:rsidR="006A116C">
        <w:t xml:space="preserve">submissions </w:t>
      </w:r>
      <w:r w:rsidR="0041081F">
        <w:t xml:space="preserve">were received. The CRG met </w:t>
      </w:r>
      <w:r>
        <w:t xml:space="preserve">in </w:t>
      </w:r>
      <w:r w:rsidR="00EB5738">
        <w:t>November</w:t>
      </w:r>
      <w:r>
        <w:t xml:space="preserve"> 2015</w:t>
      </w:r>
      <w:r w:rsidR="0041081F">
        <w:t xml:space="preserve"> to consider all the public consultation submissions and, where necessary, revise this module in accordance with the submissions. Changes were made to the module to address comments and concerns raised in submissions, and to improve clarity. </w:t>
      </w:r>
    </w:p>
    <w:p w14:paraId="220E9878" w14:textId="77777777" w:rsidR="0041081F" w:rsidRDefault="0041081F" w:rsidP="0041081F">
      <w:pPr>
        <w:pStyle w:val="Heading2a"/>
      </w:pPr>
      <w:r>
        <w:rPr>
          <w:lang w:eastAsia="ja-JP"/>
        </w:rPr>
        <w:t>B</w:t>
      </w:r>
      <w:r w:rsidR="00907B2D">
        <w:rPr>
          <w:lang w:val="en-AU" w:eastAsia="ja-JP"/>
        </w:rPr>
        <w:t>7</w:t>
      </w:r>
      <w:r w:rsidRPr="00753BA1">
        <w:tab/>
      </w:r>
      <w:r>
        <w:t>Finalising the guidelines</w:t>
      </w:r>
    </w:p>
    <w:p w14:paraId="24FC0558" w14:textId="77777777" w:rsidR="0041081F" w:rsidRPr="00486A6F" w:rsidRDefault="0041081F" w:rsidP="00D274EC">
      <w:pPr>
        <w:pStyle w:val="Heading3a"/>
      </w:pPr>
      <w:r w:rsidRPr="00486A6F">
        <w:t>AGREE II assessment</w:t>
      </w:r>
    </w:p>
    <w:p w14:paraId="7365BAF6" w14:textId="66504EBC" w:rsidR="0041081F" w:rsidRDefault="0041081F" w:rsidP="0041081F">
      <w:pPr>
        <w:rPr>
          <w:lang w:eastAsia="ja-JP"/>
        </w:rPr>
      </w:pPr>
      <w:r>
        <w:rPr>
          <w:lang w:eastAsia="ja-JP"/>
        </w:rPr>
        <w:t xml:space="preserve">The </w:t>
      </w:r>
      <w:r w:rsidRPr="00FC0A90">
        <w:rPr>
          <w:i/>
          <w:lang w:eastAsia="ja-JP"/>
        </w:rPr>
        <w:t xml:space="preserve">Appraisal of Guidelines for REsearch &amp; Evaluation </w:t>
      </w:r>
      <w:r w:rsidRPr="00FC0A90">
        <w:rPr>
          <w:lang w:eastAsia="ja-JP"/>
        </w:rPr>
        <w:t>(AGREE)</w:t>
      </w:r>
      <w:r>
        <w:rPr>
          <w:lang w:eastAsia="ja-JP"/>
        </w:rPr>
        <w:t xml:space="preserve"> II instrument was developed to address the issue of variability in guideline quality and assesses the methodological rigour and transparency in which a guideline is developed.</w:t>
      </w:r>
      <w:hyperlink w:anchor="_ENREF_390" w:tooltip="Brouwers, 2010 #1057" w:history="1">
        <w:r w:rsidR="00E62798">
          <w:rPr>
            <w:lang w:eastAsia="ja-JP"/>
          </w:rPr>
          <w:fldChar w:fldCharType="begin"/>
        </w:r>
        <w:r w:rsidR="00E62798">
          <w:rPr>
            <w:lang w:eastAsia="ja-JP"/>
          </w:rPr>
          <w:instrText xml:space="preserve"> ADDIN EN.CITE &lt;EndNote&gt;&lt;Cite&gt;&lt;Author&gt;Brouwers&lt;/Author&gt;&lt;Year&gt;2010&lt;/Year&gt;&lt;RecNum&gt;1057&lt;/RecNum&gt;&lt;DisplayText&gt;&lt;style face="superscript"&gt;390&lt;/style&gt;&lt;/DisplayText&gt;&lt;record&gt;&lt;rec-number&gt;1057&lt;/rec-number&gt;&lt;foreign-keys&gt;&lt;key app="EN" db-id="9edve2wadsavt5ewavaxtda4f2tavzvts9ee" timestamp="1439242547"&gt;1057&lt;/key&gt;&lt;/foreign-keys&gt;&lt;ref-type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L.&lt;/author&gt;&lt;/authors&gt;&lt;/contributors&gt;&lt;auth-address&gt;McMaster University, Hamilton, Ont., Canada. mbrouwer@mcmaster.ca&lt;/auth-address&gt;&lt;titles&gt;&lt;title&gt;AGREE II: advancing guideline development, reporting and evaluation in health care&lt;/title&gt;&lt;secondary-title&gt;CMAJ&lt;/secondary-title&gt;&lt;/titles&gt;&lt;periodical&gt;&lt;full-title&gt;CMAJ&lt;/full-title&gt;&lt;abbr-1&gt;CMAJ : Canadian Medical Association journal = journal de l&amp;apos;Association medicale canadienne&lt;/abbr-1&gt;&lt;/periodical&gt;&lt;pages&gt;E839-42&lt;/pages&gt;&lt;volume&gt;182&lt;/volume&gt;&lt;number&gt;18&lt;/number&gt;&lt;edition&gt;2010/07/07&lt;/edition&gt;&lt;keywords&gt;&lt;keyword&gt;Delivery of Health Care/*standards&lt;/keyword&gt;&lt;keyword&gt;Humans&lt;/keyword&gt;&lt;keyword&gt;Manuals as Topic&lt;/keyword&gt;&lt;keyword&gt;*Practice Guidelines as Topic&lt;/keyword&gt;&lt;keyword&gt;Program Development/*methods&lt;/keyword&gt;&lt;/keywords&gt;&lt;dates&gt;&lt;year&gt;2010&lt;/year&gt;&lt;pub-dates&gt;&lt;date&gt;Dec 14&lt;/date&gt;&lt;/pub-dates&gt;&lt;/dates&gt;&lt;isbn&gt;1488-2329 (Electronic)&amp;#xD;0820-3946 (Linking)&lt;/isbn&gt;&lt;accession-num&gt;20603348&lt;/accession-num&gt;&lt;urls&gt;&lt;related-urls&gt;&lt;url&gt;http://www.ncbi.nlm.nih.gov/pubmed/20603348&lt;/url&gt;&lt;/related-urls&gt;&lt;/urls&gt;&lt;custom2&gt;3001530&lt;/custom2&gt;&lt;electronic-resource-num&gt;10.1503/cmaj.090449&amp;#xD;cmaj.090449 [pii]&lt;/electronic-resource-num&gt;&lt;language&gt;eng&lt;/language&gt;&lt;/record&gt;&lt;/Cite&gt;&lt;/EndNote&gt;</w:instrText>
        </w:r>
        <w:r w:rsidR="00E62798">
          <w:rPr>
            <w:lang w:eastAsia="ja-JP"/>
          </w:rPr>
          <w:fldChar w:fldCharType="separate"/>
        </w:r>
        <w:r w:rsidR="00E62798" w:rsidRPr="00E62798">
          <w:rPr>
            <w:noProof/>
            <w:vertAlign w:val="superscript"/>
            <w:lang w:eastAsia="ja-JP"/>
          </w:rPr>
          <w:t>390</w:t>
        </w:r>
        <w:r w:rsidR="00E62798">
          <w:rPr>
            <w:lang w:eastAsia="ja-JP"/>
          </w:rPr>
          <w:fldChar w:fldCharType="end"/>
        </w:r>
      </w:hyperlink>
      <w:r>
        <w:rPr>
          <w:lang w:eastAsia="ja-JP"/>
        </w:rPr>
        <w:t xml:space="preserve"> The post-public consultation version of the module was sent to two Australian reviewers</w:t>
      </w:r>
      <w:r w:rsidR="00D274EC">
        <w:rPr>
          <w:lang w:eastAsia="ja-JP"/>
        </w:rPr>
        <w:t>,</w:t>
      </w:r>
      <w:r>
        <w:rPr>
          <w:lang w:eastAsia="ja-JP"/>
        </w:rPr>
        <w:t xml:space="preserve"> independent to the guideline development process</w:t>
      </w:r>
      <w:r w:rsidR="00D274EC">
        <w:rPr>
          <w:lang w:eastAsia="ja-JP"/>
        </w:rPr>
        <w:t>,</w:t>
      </w:r>
      <w:r>
        <w:rPr>
          <w:lang w:eastAsia="ja-JP"/>
        </w:rPr>
        <w:t xml:space="preserve"> </w:t>
      </w:r>
      <w:r w:rsidR="00D274EC">
        <w:rPr>
          <w:lang w:eastAsia="ja-JP"/>
        </w:rPr>
        <w:t>who</w:t>
      </w:r>
      <w:r>
        <w:rPr>
          <w:lang w:eastAsia="ja-JP"/>
        </w:rPr>
        <w:t xml:space="preserve"> used the AGREE II tool to </w:t>
      </w:r>
      <w:r w:rsidRPr="00FC0A90">
        <w:rPr>
          <w:lang w:eastAsia="ja-JP"/>
        </w:rPr>
        <w:t xml:space="preserve">assess the quality </w:t>
      </w:r>
      <w:r>
        <w:rPr>
          <w:lang w:eastAsia="ja-JP"/>
        </w:rPr>
        <w:t>and usability of the module</w:t>
      </w:r>
      <w:r w:rsidRPr="001E30B7">
        <w:t xml:space="preserve"> </w:t>
      </w:r>
      <w:r w:rsidRPr="006F3484">
        <w:t>against international quality standards</w:t>
      </w:r>
      <w:r>
        <w:t>.</w:t>
      </w:r>
    </w:p>
    <w:p w14:paraId="3F14A53E" w14:textId="5FDB0982" w:rsidR="00EB5738" w:rsidRPr="00FC0A90" w:rsidRDefault="00EB5738" w:rsidP="00EB5738">
      <w:pPr>
        <w:rPr>
          <w:lang w:eastAsia="ja-JP"/>
        </w:rPr>
      </w:pPr>
      <w:r>
        <w:rPr>
          <w:lang w:eastAsia="ja-JP"/>
        </w:rPr>
        <w:t xml:space="preserve">Both AGREE II assessors would recommend </w:t>
      </w:r>
      <w:r w:rsidRPr="007B1FA1">
        <w:rPr>
          <w:i/>
          <w:lang w:eastAsia="ja-JP"/>
        </w:rPr>
        <w:t>[</w:t>
      </w:r>
      <w:r w:rsidR="00860E54">
        <w:rPr>
          <w:i/>
          <w:lang w:eastAsia="ja-JP"/>
        </w:rPr>
        <w:t>recommendation will be inserted following public consultation</w:t>
      </w:r>
      <w:r>
        <w:rPr>
          <w:i/>
          <w:lang w:eastAsia="ja-JP"/>
        </w:rPr>
        <w:t>]</w:t>
      </w:r>
      <w:r>
        <w:rPr>
          <w:lang w:eastAsia="ja-JP"/>
        </w:rPr>
        <w:t>.</w:t>
      </w:r>
    </w:p>
    <w:p w14:paraId="5BE360F1" w14:textId="77777777" w:rsidR="0041081F" w:rsidRPr="00486A6F" w:rsidRDefault="0041081F" w:rsidP="00D274EC">
      <w:pPr>
        <w:pStyle w:val="Heading3a"/>
      </w:pPr>
      <w:r>
        <w:t>Additional review</w:t>
      </w:r>
    </w:p>
    <w:p w14:paraId="3D0AF357" w14:textId="77777777" w:rsidR="0041081F" w:rsidRDefault="0041081F" w:rsidP="0041081F">
      <w:r w:rsidRPr="006F3484">
        <w:t xml:space="preserve">The final drafts of the module and technical reports were reviewed by a guidelines development expert (formerly a </w:t>
      </w:r>
      <w:r>
        <w:t>Guidelines Assessment Register</w:t>
      </w:r>
      <w:r w:rsidRPr="006F3484">
        <w:t xml:space="preserve"> consultant) to assess compliance with NHMRC requirements for externally developed guidelines. The module and accompanying documents were then sent to the NHMRC for methodological and independent peer review on</w:t>
      </w:r>
      <w:r w:rsidR="00161693">
        <w:t xml:space="preserve"> </w:t>
      </w:r>
      <w:r w:rsidR="00AC13F5" w:rsidRPr="00EB5738">
        <w:rPr>
          <w:highlight w:val="yellow"/>
        </w:rPr>
        <w:t>DATE</w:t>
      </w:r>
      <w:r w:rsidRPr="00EB5738">
        <w:rPr>
          <w:highlight w:val="yellow"/>
        </w:rPr>
        <w:t>.</w:t>
      </w:r>
    </w:p>
    <w:p w14:paraId="682618C2" w14:textId="77777777" w:rsidR="0041081F" w:rsidRPr="00486A6F" w:rsidRDefault="0041081F" w:rsidP="00D274EC">
      <w:pPr>
        <w:pStyle w:val="Heading3a"/>
      </w:pPr>
      <w:r>
        <w:t>NHMRC</w:t>
      </w:r>
      <w:r w:rsidRPr="00486A6F">
        <w:t xml:space="preserve"> </w:t>
      </w:r>
      <w:r w:rsidR="00D274EC" w:rsidRPr="00486A6F">
        <w:t>approval</w:t>
      </w:r>
    </w:p>
    <w:p w14:paraId="1890C79C" w14:textId="2EC661AB" w:rsidR="0041081F" w:rsidRPr="00753BA1" w:rsidRDefault="0041081F" w:rsidP="0041081F">
      <w:pPr>
        <w:sectPr w:rsidR="0041081F" w:rsidRPr="00753BA1" w:rsidSect="00CD29C9">
          <w:headerReference w:type="even" r:id="rId46"/>
          <w:headerReference w:type="default" r:id="rId47"/>
          <w:headerReference w:type="first" r:id="rId48"/>
          <w:footnotePr>
            <w:numFmt w:val="lowerLetter"/>
          </w:footnotePr>
          <w:type w:val="oddPage"/>
          <w:pgSz w:w="11906" w:h="16838" w:code="9"/>
          <w:pgMar w:top="1440" w:right="1440" w:bottom="1440" w:left="1440" w:header="578" w:footer="578" w:gutter="0"/>
          <w:cols w:space="720"/>
          <w:titlePg/>
          <w:docGrid w:linePitch="360"/>
        </w:sectPr>
      </w:pPr>
      <w:r w:rsidRPr="00C93F57">
        <w:t xml:space="preserve">Approval from the </w:t>
      </w:r>
      <w:r w:rsidR="006A116C">
        <w:t>NHMRC</w:t>
      </w:r>
      <w:r w:rsidR="006A116C" w:rsidRPr="00C93F57">
        <w:t xml:space="preserve"> </w:t>
      </w:r>
      <w:r w:rsidRPr="00C93F57">
        <w:t xml:space="preserve">was received on </w:t>
      </w:r>
      <w:r w:rsidRPr="00FC4013">
        <w:rPr>
          <w:highlight w:val="yellow"/>
        </w:rPr>
        <w:t>[</w:t>
      </w:r>
      <w:r w:rsidRPr="00173E91">
        <w:rPr>
          <w:highlight w:val="yellow"/>
        </w:rPr>
        <w:t>DATE</w:t>
      </w:r>
      <w:r>
        <w:rPr>
          <w:highlight w:val="yellow"/>
        </w:rPr>
        <w:t>]</w:t>
      </w:r>
      <w:r w:rsidRPr="00173E91">
        <w:rPr>
          <w:highlight w:val="yellow"/>
        </w:rPr>
        <w:t>.</w:t>
      </w:r>
    </w:p>
    <w:p w14:paraId="05466C30" w14:textId="77777777" w:rsidR="0041081F" w:rsidRDefault="0041081F" w:rsidP="0041081F">
      <w:pPr>
        <w:pStyle w:val="Heading1"/>
        <w:ind w:left="2977" w:hanging="2977"/>
      </w:pPr>
      <w:bookmarkStart w:id="270" w:name="_Toc386021918"/>
      <w:bookmarkStart w:id="271" w:name="_Toc427851405"/>
      <w:r>
        <w:t xml:space="preserve">Appendix </w:t>
      </w:r>
      <w:r>
        <w:rPr>
          <w:lang w:val="en-US"/>
        </w:rPr>
        <w:t>C</w:t>
      </w:r>
      <w:r>
        <w:tab/>
      </w:r>
      <w:r w:rsidRPr="00F957E9">
        <w:t>Transfusion risks in the context of patient blood management</w:t>
      </w:r>
      <w:bookmarkEnd w:id="267"/>
      <w:bookmarkEnd w:id="268"/>
      <w:bookmarkEnd w:id="270"/>
      <w:bookmarkEnd w:id="271"/>
    </w:p>
    <w:p w14:paraId="79B12FF8" w14:textId="77777777" w:rsidR="0041081F" w:rsidRDefault="0041081F" w:rsidP="0041081F">
      <w:r>
        <w:t>T</w:t>
      </w:r>
      <w:r w:rsidRPr="009326EA">
        <w:t>raditionally</w:t>
      </w:r>
      <w:r>
        <w:t>,</w:t>
      </w:r>
      <w:r w:rsidRPr="009326EA">
        <w:t xml:space="preserve"> </w:t>
      </w:r>
      <w:r>
        <w:t xml:space="preserve">it has been assumed that blood transfusion benefits patients; however, a benefit has not been </w:t>
      </w:r>
      <w:r w:rsidRPr="009326EA">
        <w:t>demonstra</w:t>
      </w:r>
      <w:r>
        <w:t>ble in many clinical scenarios</w:t>
      </w:r>
      <w:r w:rsidRPr="009326EA">
        <w:t>.</w:t>
      </w:r>
      <w:r>
        <w:t xml:space="preserve"> In addition, evidence is accumulating that serious non-viral adverse events, such as </w:t>
      </w:r>
      <w:r w:rsidRPr="00353026">
        <w:t xml:space="preserve">transfusion-associated circulatory overload </w:t>
      </w:r>
      <w:r>
        <w:t xml:space="preserve">(TACO) or transfusion-related acute lung </w:t>
      </w:r>
      <w:r w:rsidRPr="00A759C3">
        <w:t xml:space="preserve">injury </w:t>
      </w:r>
      <w:r>
        <w:t>(</w:t>
      </w:r>
      <w:r w:rsidRPr="00A759C3">
        <w:t>TRALI)</w:t>
      </w:r>
      <w:r>
        <w:t xml:space="preserve">, are more common than previously thought, and that more recently identified conditions (e.g. </w:t>
      </w:r>
      <w:r w:rsidRPr="009326EA">
        <w:t>transfusion</w:t>
      </w:r>
      <w:r>
        <w:t>-</w:t>
      </w:r>
      <w:r w:rsidRPr="009326EA">
        <w:t>related immunomodulation</w:t>
      </w:r>
      <w:r>
        <w:t xml:space="preserve">) may cause patients harm. </w:t>
      </w:r>
    </w:p>
    <w:p w14:paraId="1D8A48B0" w14:textId="77777777" w:rsidR="0041081F" w:rsidRDefault="0041081F" w:rsidP="0041081F">
      <w:r>
        <w:t>T</w:t>
      </w:r>
      <w:r w:rsidRPr="009326EA">
        <w:t>he risk of transmission of infectious diseases</w:t>
      </w:r>
      <w:r>
        <w:t xml:space="preserve"> through blood transfusion</w:t>
      </w:r>
      <w:r w:rsidRPr="009326EA">
        <w:t xml:space="preserve"> has reduced significantly</w:t>
      </w:r>
      <w:r>
        <w:t xml:space="preserve"> in recent years, through</w:t>
      </w:r>
      <w:r w:rsidRPr="009326EA">
        <w:t xml:space="preserve"> improved manufacturing and laboratory processes</w:t>
      </w:r>
      <w:r>
        <w:t xml:space="preserve">. However, there is potential for transfusion of an unrecognised infectious agent. </w:t>
      </w:r>
    </w:p>
    <w:p w14:paraId="5D134AB2" w14:textId="77777777" w:rsidR="0041081F" w:rsidRDefault="0041081F" w:rsidP="0041081F">
      <w:r>
        <w:t>Despite improvements in systems management, there remains a risk of transfusion-related harm due to administrative error. Such an error has the potential to result in acute haemolytic reaction from ABO incompatibility, which may be fatal.</w:t>
      </w:r>
    </w:p>
    <w:p w14:paraId="482588CC" w14:textId="77777777" w:rsidR="0041081F" w:rsidRDefault="0041081F" w:rsidP="00FF2787">
      <w:pPr>
        <w:pStyle w:val="Normalbeforebullet"/>
      </w:pPr>
      <w:r>
        <w:t>If the patient requires therapy for anaemia, thrombocytopaenia or coagulopathy, transfusion should not be a default decision. Instead, the decision on whether to transfuse should be carefully considered, and should:</w:t>
      </w:r>
    </w:p>
    <w:p w14:paraId="62FDD6CB" w14:textId="77777777" w:rsidR="0041081F" w:rsidRDefault="0041081F" w:rsidP="00E66069">
      <w:pPr>
        <w:pStyle w:val="Bullet6"/>
        <w:numPr>
          <w:ilvl w:val="0"/>
          <w:numId w:val="21"/>
        </w:numPr>
      </w:pPr>
      <w:r>
        <w:t>take into account the full range of available therapies</w:t>
      </w:r>
    </w:p>
    <w:p w14:paraId="3F261E09" w14:textId="77777777" w:rsidR="0041081F" w:rsidRDefault="0041081F" w:rsidP="00E66069">
      <w:pPr>
        <w:pStyle w:val="Bullet6"/>
        <w:numPr>
          <w:ilvl w:val="0"/>
          <w:numId w:val="21"/>
        </w:numPr>
      </w:pPr>
      <w:r>
        <w:t>balance the evidence for efficacy and improved clinical outcome against the risks</w:t>
      </w:r>
    </w:p>
    <w:p w14:paraId="345B1583" w14:textId="77777777" w:rsidR="0041081F" w:rsidRDefault="0041081F" w:rsidP="00E66069">
      <w:pPr>
        <w:pStyle w:val="Bullet12"/>
        <w:numPr>
          <w:ilvl w:val="0"/>
          <w:numId w:val="21"/>
        </w:numPr>
      </w:pPr>
      <w:r>
        <w:t>take into account patient values and choices.</w:t>
      </w:r>
    </w:p>
    <w:p w14:paraId="25551F0E" w14:textId="77777777" w:rsidR="0041081F" w:rsidRDefault="0041081F" w:rsidP="0041081F">
      <w:r>
        <w:t>In the process of obtaining informed consent, a</w:t>
      </w:r>
      <w:r w:rsidRPr="00FA25FD">
        <w:t xml:space="preserve"> clinician should allow </w:t>
      </w:r>
      <w:r>
        <w:t>the</w:t>
      </w:r>
      <w:r w:rsidRPr="00FA25FD">
        <w:t xml:space="preserve"> patient </w:t>
      </w:r>
      <w:r>
        <w:t>sufficient</w:t>
      </w:r>
      <w:r w:rsidRPr="00FA25FD">
        <w:t xml:space="preserve"> time to ask questions</w:t>
      </w:r>
      <w:r>
        <w:t>,</w:t>
      </w:r>
      <w:r w:rsidRPr="00FA25FD">
        <w:t xml:space="preserve"> and </w:t>
      </w:r>
      <w:r>
        <w:t xml:space="preserve">should </w:t>
      </w:r>
      <w:r w:rsidRPr="00FA25FD">
        <w:t>answer those questions</w:t>
      </w:r>
      <w:r>
        <w:t xml:space="preserve">. </w:t>
      </w:r>
      <w:r w:rsidRPr="00FA25FD" w:rsidDel="002E6B44">
        <w:t>If the patient is unable to speak or understand English, the clinician may need to involve an interpreter. In certain contexts, a trained medical interpreter may be required (rather than a family member or a friend).</w:t>
      </w:r>
      <w:r w:rsidDel="002E6B44">
        <w:t xml:space="preserve"> </w:t>
      </w:r>
      <w:r w:rsidRPr="00FA25FD" w:rsidDel="002E6B44">
        <w:t>Written information and diagrams may be appropriate in certain circumstances to aid understanding</w:t>
      </w:r>
      <w:r w:rsidRPr="00030C59" w:rsidDel="002E6B44">
        <w:t>.</w:t>
      </w:r>
    </w:p>
    <w:p w14:paraId="4D95151B" w14:textId="77777777" w:rsidR="0041081F" w:rsidRDefault="0041081F" w:rsidP="0041081F">
      <w:r>
        <w:t xml:space="preserve">All elements of the consent process should reflect local state, territory or national requirements. </w:t>
      </w:r>
    </w:p>
    <w:p w14:paraId="6B578F69" w14:textId="7E4D51BF" w:rsidR="0041081F" w:rsidRDefault="0041081F" w:rsidP="0041081F">
      <w:r>
        <w:t>Table </w:t>
      </w:r>
      <w:r w:rsidR="0045737B">
        <w:t>C</w:t>
      </w:r>
      <w:r>
        <w:t>.1 summarises transfusion risks, and Table </w:t>
      </w:r>
      <w:r w:rsidR="0045737B">
        <w:t>C</w:t>
      </w:r>
      <w:r>
        <w:t>.2 presents the Calman Chart, which may be useful to clinicians for explaini</w:t>
      </w:r>
      <w:r w:rsidRPr="003C10DB">
        <w:t>n</w:t>
      </w:r>
      <w:r>
        <w:t>g risks to patients</w:t>
      </w:r>
      <w:r w:rsidRPr="0039012E">
        <w:t>.</w:t>
      </w:r>
      <w:hyperlink w:anchor="_ENREF_391" w:tooltip="Calman, 1996 #1059" w:history="1">
        <w:r w:rsidR="00E62798">
          <w:fldChar w:fldCharType="begin"/>
        </w:r>
        <w:r w:rsidR="00E62798">
          <w:instrText xml:space="preserve"> ADDIN EN.CITE &lt;EndNote&gt;&lt;Cite&gt;&lt;Author&gt;Calman&lt;/Author&gt;&lt;Year&gt;1996&lt;/Year&gt;&lt;RecNum&gt;1059&lt;/RecNum&gt;&lt;DisplayText&gt;&lt;style face="superscript"&gt;391&lt;/style&gt;&lt;/DisplayText&gt;&lt;record&gt;&lt;rec-number&gt;1059&lt;/rec-number&gt;&lt;foreign-keys&gt;&lt;key app="EN" db-id="9edve2wadsavt5ewavaxtda4f2tavzvts9ee" timestamp="1439243477"&gt;1059&lt;/key&gt;&lt;/foreign-keys&gt;&lt;ref-type name="Journal Article"&gt;17&lt;/ref-type&gt;&lt;contributors&gt;&lt;authors&gt;&lt;author&gt;Calman, K.&lt;/author&gt;&lt;/authors&gt;&lt;/contributors&gt;&lt;titles&gt;&lt;title&gt;The health of the nation&lt;/title&gt;&lt;secondary-title&gt;British Journal of Hospital Medicine&lt;/secondary-title&gt;&lt;/titles&gt;&lt;periodical&gt;&lt;full-title&gt;British Journal of Hospital Medicine&lt;/full-title&gt;&lt;/periodical&gt;&lt;pages&gt;125–126&lt;/pages&gt;&lt;volume&gt;56&lt;/volume&gt;&lt;number&gt;4&lt;/number&gt;&lt;edition&gt;1996/08/03&lt;/edition&gt;&lt;keywords&gt;&lt;keyword&gt;Great Britain&lt;/keyword&gt;&lt;keyword&gt;Health Policy/ trends&lt;/keyword&gt;&lt;keyword&gt;Health Priorities/ trends&lt;/keyword&gt;&lt;keyword&gt;Health Promotion/ trends&lt;/keyword&gt;&lt;keyword&gt;Humans&lt;/keyword&gt;&lt;keyword&gt;Public Health/ trends&lt;/keyword&gt;&lt;/keywords&gt;&lt;dates&gt;&lt;year&gt;1996&lt;/year&gt;&lt;pub-dates&gt;&lt;date&gt;Aug 21–Sep 3&lt;/date&gt;&lt;/pub-dates&gt;&lt;/dates&gt;&lt;isbn&gt;0007-1064 (Print)&amp;#xD;0007-1064 (Linking)&lt;/isbn&gt;&lt;accession-num&gt;8872334&lt;/accession-num&gt;&lt;urls&gt;&lt;related-urls&gt;&lt;url&gt;http://www.ncbi.nlm.nih.gov/pubmed/8872334&lt;/url&gt;&lt;/related-urls&gt;&lt;/urls&gt;&lt;remote-database-provider&gt;Nlm&lt;/remote-database-provider&gt;&lt;language&gt;eng&lt;/language&gt;&lt;/record&gt;&lt;/Cite&gt;&lt;/EndNote&gt;</w:instrText>
        </w:r>
        <w:r w:rsidR="00E62798">
          <w:fldChar w:fldCharType="separate"/>
        </w:r>
        <w:r w:rsidR="00E62798" w:rsidRPr="00E62798">
          <w:rPr>
            <w:noProof/>
            <w:vertAlign w:val="superscript"/>
          </w:rPr>
          <w:t>391</w:t>
        </w:r>
        <w:r w:rsidR="00E62798">
          <w:fldChar w:fldCharType="end"/>
        </w:r>
      </w:hyperlink>
      <w:r>
        <w:t xml:space="preserve"> </w:t>
      </w:r>
    </w:p>
    <w:p w14:paraId="1925B0D9" w14:textId="77777777" w:rsidR="0041081F" w:rsidRDefault="0041081F" w:rsidP="0041081F">
      <w:pPr>
        <w:pStyle w:val="TableName"/>
      </w:pPr>
      <w:bookmarkStart w:id="272" w:name="_Toc322012560"/>
      <w:bookmarkStart w:id="273" w:name="_Toc378953094"/>
      <w:bookmarkStart w:id="274" w:name="_Toc427758398"/>
      <w:bookmarkStart w:id="275" w:name="_Toc263867916"/>
      <w:bookmarkStart w:id="276" w:name="_Toc282674499"/>
      <w:r>
        <w:t>Table </w:t>
      </w:r>
      <w:r w:rsidR="00907B2D">
        <w:t>C</w:t>
      </w:r>
      <w:r>
        <w:t>.1</w:t>
      </w:r>
      <w:r>
        <w:tab/>
      </w:r>
      <w:r w:rsidRPr="00690563">
        <w:t>Transfusion risks</w:t>
      </w:r>
      <w:bookmarkEnd w:id="272"/>
      <w:bookmarkEnd w:id="273"/>
      <w:bookmarkEnd w:id="274"/>
      <w:r w:rsidRPr="00690563">
        <w:t xml:space="preserve"> </w:t>
      </w:r>
    </w:p>
    <w:tbl>
      <w:tblPr>
        <w:tblW w:w="8651" w:type="dxa"/>
        <w:tblInd w:w="81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331"/>
        <w:gridCol w:w="2880"/>
        <w:gridCol w:w="1440"/>
      </w:tblGrid>
      <w:tr w:rsidR="0041081F" w:rsidRPr="00FF5586" w14:paraId="4820B7E6" w14:textId="77777777" w:rsidTr="00ED2B00">
        <w:tc>
          <w:tcPr>
            <w:tcW w:w="4331" w:type="dxa"/>
          </w:tcPr>
          <w:p w14:paraId="55FE387E" w14:textId="77777777" w:rsidR="0041081F" w:rsidRDefault="0041081F" w:rsidP="00ED2B00">
            <w:pPr>
              <w:pStyle w:val="TableHeading"/>
            </w:pPr>
            <w:r w:rsidRPr="00FF5586">
              <w:t>Transfusion risk</w:t>
            </w:r>
          </w:p>
        </w:tc>
        <w:tc>
          <w:tcPr>
            <w:tcW w:w="2880" w:type="dxa"/>
          </w:tcPr>
          <w:p w14:paraId="14CA1471" w14:textId="77777777" w:rsidR="0041081F" w:rsidRDefault="0041081F" w:rsidP="00ED2B00">
            <w:pPr>
              <w:pStyle w:val="TableHeading"/>
            </w:pPr>
            <w:r w:rsidRPr="00FF5586">
              <w:t>Estimated rate</w:t>
            </w:r>
            <w:r w:rsidRPr="00C724FC">
              <w:rPr>
                <w:b w:val="0"/>
                <w:vertAlign w:val="superscript"/>
              </w:rPr>
              <w:t>a</w:t>
            </w:r>
          </w:p>
          <w:p w14:paraId="277EDE49" w14:textId="77777777" w:rsidR="0041081F" w:rsidRDefault="0041081F" w:rsidP="00ED2B00">
            <w:pPr>
              <w:pStyle w:val="TableHeading"/>
            </w:pPr>
            <w:r w:rsidRPr="00FF5586">
              <w:t>(highest to lowest risk)</w:t>
            </w:r>
          </w:p>
        </w:tc>
        <w:tc>
          <w:tcPr>
            <w:tcW w:w="1440" w:type="dxa"/>
          </w:tcPr>
          <w:p w14:paraId="492268F1" w14:textId="77777777" w:rsidR="0041081F" w:rsidRDefault="0041081F" w:rsidP="00ED2B00">
            <w:pPr>
              <w:pStyle w:val="TableHeading"/>
            </w:pPr>
            <w:r w:rsidRPr="00FF5586">
              <w:t>Calman rating</w:t>
            </w:r>
            <w:r w:rsidRPr="00C724FC">
              <w:rPr>
                <w:b w:val="0"/>
                <w:vertAlign w:val="superscript"/>
              </w:rPr>
              <w:t>b</w:t>
            </w:r>
          </w:p>
        </w:tc>
      </w:tr>
      <w:tr w:rsidR="0041081F" w:rsidRPr="00FF5586" w14:paraId="17BDAA71" w14:textId="77777777" w:rsidTr="00ED2B00">
        <w:tc>
          <w:tcPr>
            <w:tcW w:w="4331" w:type="dxa"/>
          </w:tcPr>
          <w:p w14:paraId="2A3BBDEF" w14:textId="77777777" w:rsidR="0041081F" w:rsidRPr="009E4619" w:rsidRDefault="0041081F" w:rsidP="00ED2B00">
            <w:pPr>
              <w:pStyle w:val="TableText"/>
            </w:pPr>
            <w:r w:rsidRPr="009E4619">
              <w:t>Transfusion-associated circulatory overload (iatrogenic)</w:t>
            </w:r>
          </w:p>
        </w:tc>
        <w:tc>
          <w:tcPr>
            <w:tcW w:w="2880" w:type="dxa"/>
          </w:tcPr>
          <w:p w14:paraId="50F24953" w14:textId="77777777" w:rsidR="0041081F" w:rsidRPr="009E4619" w:rsidRDefault="0041081F" w:rsidP="00ED2B00">
            <w:pPr>
              <w:pStyle w:val="TableText"/>
            </w:pPr>
            <w:r w:rsidRPr="009E4619">
              <w:t>Up to 1 in 100 transfusions</w:t>
            </w:r>
          </w:p>
        </w:tc>
        <w:tc>
          <w:tcPr>
            <w:tcW w:w="1440" w:type="dxa"/>
          </w:tcPr>
          <w:p w14:paraId="79F3C446" w14:textId="77777777" w:rsidR="0041081F" w:rsidRPr="009E4619" w:rsidRDefault="0041081F" w:rsidP="00ED2B00">
            <w:pPr>
              <w:pStyle w:val="TableText"/>
            </w:pPr>
            <w:r w:rsidRPr="009E4619">
              <w:t>High</w:t>
            </w:r>
          </w:p>
        </w:tc>
      </w:tr>
      <w:tr w:rsidR="0041081F" w:rsidRPr="00FF5586" w14:paraId="10E60EBD" w14:textId="77777777" w:rsidTr="00ED2B00">
        <w:tc>
          <w:tcPr>
            <w:tcW w:w="4331" w:type="dxa"/>
          </w:tcPr>
          <w:p w14:paraId="62407203" w14:textId="77777777" w:rsidR="0041081F" w:rsidRPr="009E4619" w:rsidRDefault="0041081F" w:rsidP="00ED2B00">
            <w:pPr>
              <w:pStyle w:val="TableText"/>
            </w:pPr>
            <w:r w:rsidRPr="009E4619">
              <w:t xml:space="preserve">Transfusion-related acute lung injury </w:t>
            </w:r>
          </w:p>
        </w:tc>
        <w:tc>
          <w:tcPr>
            <w:tcW w:w="2880" w:type="dxa"/>
          </w:tcPr>
          <w:p w14:paraId="5D62C96F" w14:textId="77777777" w:rsidR="0041081F" w:rsidRPr="009E4619" w:rsidRDefault="0041081F" w:rsidP="00B72F63">
            <w:pPr>
              <w:pStyle w:val="TableText"/>
            </w:pPr>
            <w:r w:rsidRPr="009E4619">
              <w:t xml:space="preserve">1 in </w:t>
            </w:r>
            <w:r w:rsidR="00B72F63">
              <w:t>1200</w:t>
            </w:r>
            <w:r w:rsidRPr="009E4619">
              <w:t>–190,000</w:t>
            </w:r>
          </w:p>
        </w:tc>
        <w:tc>
          <w:tcPr>
            <w:tcW w:w="1440" w:type="dxa"/>
          </w:tcPr>
          <w:p w14:paraId="31D69A31" w14:textId="77777777" w:rsidR="0041081F" w:rsidRPr="009E4619" w:rsidRDefault="0041081F" w:rsidP="00ED2B00">
            <w:pPr>
              <w:pStyle w:val="TableText"/>
            </w:pPr>
            <w:r w:rsidRPr="009E4619">
              <w:t>Low to minimal</w:t>
            </w:r>
          </w:p>
        </w:tc>
      </w:tr>
      <w:tr w:rsidR="0041081F" w:rsidRPr="00FF5586" w14:paraId="5DE866BB" w14:textId="77777777" w:rsidTr="00ED2B00">
        <w:tc>
          <w:tcPr>
            <w:tcW w:w="4331" w:type="dxa"/>
          </w:tcPr>
          <w:p w14:paraId="64D02054" w14:textId="77777777" w:rsidR="0041081F" w:rsidRPr="009E4619" w:rsidRDefault="0041081F" w:rsidP="00ED2B00">
            <w:pPr>
              <w:pStyle w:val="TableText"/>
            </w:pPr>
            <w:r w:rsidRPr="009E4619">
              <w:t>Haemolytic reactions</w:t>
            </w:r>
          </w:p>
        </w:tc>
        <w:tc>
          <w:tcPr>
            <w:tcW w:w="2880" w:type="dxa"/>
          </w:tcPr>
          <w:p w14:paraId="1F753526" w14:textId="77777777" w:rsidR="0041081F" w:rsidRPr="009E4619" w:rsidRDefault="0041081F" w:rsidP="00ED2B00">
            <w:pPr>
              <w:pStyle w:val="TableText"/>
            </w:pPr>
            <w:r w:rsidRPr="009E4619">
              <w:t>Delayed: 1 in 2500–11,000</w:t>
            </w:r>
          </w:p>
          <w:p w14:paraId="6E84A53B" w14:textId="77777777" w:rsidR="0041081F" w:rsidRPr="009E4619" w:rsidRDefault="0041081F" w:rsidP="00ED2B00">
            <w:pPr>
              <w:pStyle w:val="TableText"/>
            </w:pPr>
            <w:r w:rsidRPr="009E4619">
              <w:t xml:space="preserve">Acute: 1 in </w:t>
            </w:r>
            <w:r w:rsidR="00B72F63" w:rsidRPr="009E4619">
              <w:t>7</w:t>
            </w:r>
            <w:r w:rsidR="00B72F63">
              <w:t>6</w:t>
            </w:r>
            <w:r w:rsidRPr="009E4619">
              <w:t>,000</w:t>
            </w:r>
          </w:p>
          <w:p w14:paraId="71C3ABA3" w14:textId="77777777" w:rsidR="0041081F" w:rsidRPr="009E4619" w:rsidRDefault="0041081F" w:rsidP="00ED2B00">
            <w:pPr>
              <w:pStyle w:val="TableText"/>
            </w:pPr>
            <w:r w:rsidRPr="009E4619">
              <w:t>Fatal: Less than 1 in 1</w:t>
            </w:r>
            <w:r w:rsidR="00B72F63">
              <w:t>.8</w:t>
            </w:r>
            <w:r w:rsidRPr="009E4619">
              <w:t xml:space="preserve"> million</w:t>
            </w:r>
          </w:p>
        </w:tc>
        <w:tc>
          <w:tcPr>
            <w:tcW w:w="1440" w:type="dxa"/>
          </w:tcPr>
          <w:p w14:paraId="7A9C78EF" w14:textId="77777777" w:rsidR="0041081F" w:rsidRPr="009E4619" w:rsidRDefault="0041081F" w:rsidP="00ED2B00">
            <w:pPr>
              <w:pStyle w:val="TableText"/>
            </w:pPr>
            <w:r w:rsidRPr="009E4619">
              <w:t>Low to very low</w:t>
            </w:r>
          </w:p>
          <w:p w14:paraId="5FD8583E" w14:textId="77777777" w:rsidR="0041081F" w:rsidRPr="009E4619" w:rsidRDefault="0041081F" w:rsidP="00ED2B00">
            <w:pPr>
              <w:pStyle w:val="TableText"/>
            </w:pPr>
            <w:r w:rsidRPr="009E4619">
              <w:t>Very low</w:t>
            </w:r>
          </w:p>
          <w:p w14:paraId="09BE2043" w14:textId="77777777" w:rsidR="0041081F" w:rsidRPr="009E4619" w:rsidRDefault="0041081F" w:rsidP="00ED2B00">
            <w:pPr>
              <w:pStyle w:val="TableText"/>
            </w:pPr>
            <w:r w:rsidRPr="009E4619">
              <w:t>Negligible</w:t>
            </w:r>
          </w:p>
        </w:tc>
      </w:tr>
      <w:tr w:rsidR="0041081F" w:rsidRPr="00FF5586" w14:paraId="182C1A51" w14:textId="77777777" w:rsidTr="00ED2B00">
        <w:tc>
          <w:tcPr>
            <w:tcW w:w="4331" w:type="dxa"/>
          </w:tcPr>
          <w:p w14:paraId="37B9FD35" w14:textId="77777777" w:rsidR="0041081F" w:rsidRPr="009E4619" w:rsidRDefault="0041081F" w:rsidP="00ED2B00">
            <w:pPr>
              <w:pStyle w:val="TableText"/>
            </w:pPr>
            <w:r w:rsidRPr="009E4619">
              <w:t xml:space="preserve">Anaphylactoid reactions or anaphylaxis </w:t>
            </w:r>
            <w:r w:rsidRPr="009E4619">
              <w:br/>
              <w:t>(usually due to IgA deficiency)</w:t>
            </w:r>
          </w:p>
        </w:tc>
        <w:tc>
          <w:tcPr>
            <w:tcW w:w="2880" w:type="dxa"/>
          </w:tcPr>
          <w:p w14:paraId="7533BBF5" w14:textId="77777777" w:rsidR="0041081F" w:rsidRPr="009E4619" w:rsidRDefault="0041081F" w:rsidP="00ED2B00">
            <w:pPr>
              <w:pStyle w:val="TableText"/>
            </w:pPr>
            <w:r w:rsidRPr="009E4619">
              <w:t>1 in 20,000–50,000</w:t>
            </w:r>
          </w:p>
        </w:tc>
        <w:tc>
          <w:tcPr>
            <w:tcW w:w="1440" w:type="dxa"/>
          </w:tcPr>
          <w:p w14:paraId="5CBEA0CF" w14:textId="77777777" w:rsidR="0041081F" w:rsidRPr="009E4619" w:rsidRDefault="0041081F" w:rsidP="00ED2B00">
            <w:pPr>
              <w:pStyle w:val="TableText"/>
            </w:pPr>
            <w:r w:rsidRPr="009E4619">
              <w:t>Very low</w:t>
            </w:r>
          </w:p>
        </w:tc>
      </w:tr>
      <w:tr w:rsidR="0041081F" w:rsidRPr="00FF5586" w14:paraId="52D1A60C" w14:textId="77777777" w:rsidTr="00ED2B00">
        <w:tc>
          <w:tcPr>
            <w:tcW w:w="4331" w:type="dxa"/>
          </w:tcPr>
          <w:p w14:paraId="6EFA453A" w14:textId="77777777" w:rsidR="0041081F" w:rsidRPr="009E4619" w:rsidRDefault="0041081F" w:rsidP="00ED2B00">
            <w:pPr>
              <w:pStyle w:val="TableText"/>
            </w:pPr>
            <w:r w:rsidRPr="009E4619">
              <w:t>Bacterial sepsis: platelets</w:t>
            </w:r>
          </w:p>
        </w:tc>
        <w:tc>
          <w:tcPr>
            <w:tcW w:w="2880" w:type="dxa"/>
          </w:tcPr>
          <w:p w14:paraId="123EBDEE" w14:textId="77777777" w:rsidR="0041081F" w:rsidRPr="009E4619" w:rsidRDefault="0041081F" w:rsidP="00ED2B00">
            <w:pPr>
              <w:pStyle w:val="TableText"/>
            </w:pPr>
            <w:r w:rsidRPr="009E4619">
              <w:t>At least 1 in 75,000</w:t>
            </w:r>
          </w:p>
        </w:tc>
        <w:tc>
          <w:tcPr>
            <w:tcW w:w="1440" w:type="dxa"/>
          </w:tcPr>
          <w:p w14:paraId="0C0910AE" w14:textId="77777777" w:rsidR="0041081F" w:rsidRPr="009E4619" w:rsidRDefault="0041081F" w:rsidP="00ED2B00">
            <w:pPr>
              <w:pStyle w:val="TableText"/>
            </w:pPr>
            <w:r w:rsidRPr="009E4619">
              <w:t>Very low</w:t>
            </w:r>
          </w:p>
        </w:tc>
      </w:tr>
      <w:tr w:rsidR="0041081F" w:rsidRPr="00FF5586" w14:paraId="0DDD9B08" w14:textId="77777777" w:rsidTr="00ED2B00">
        <w:tc>
          <w:tcPr>
            <w:tcW w:w="4331" w:type="dxa"/>
          </w:tcPr>
          <w:p w14:paraId="4FDBF519" w14:textId="77777777" w:rsidR="0041081F" w:rsidRPr="009E4619" w:rsidRDefault="0041081F" w:rsidP="00ED2B00">
            <w:pPr>
              <w:pStyle w:val="TableText"/>
            </w:pPr>
            <w:r w:rsidRPr="009E4619">
              <w:t>Bacterial sepsis: red blood cells</w:t>
            </w:r>
          </w:p>
        </w:tc>
        <w:tc>
          <w:tcPr>
            <w:tcW w:w="2880" w:type="dxa"/>
          </w:tcPr>
          <w:p w14:paraId="445698A6" w14:textId="77777777" w:rsidR="0041081F" w:rsidRPr="009E4619" w:rsidRDefault="0041081F" w:rsidP="00ED2B00">
            <w:pPr>
              <w:pStyle w:val="TableText"/>
            </w:pPr>
            <w:r w:rsidRPr="009E4619">
              <w:t>At least 1 in 500,000</w:t>
            </w:r>
          </w:p>
        </w:tc>
        <w:tc>
          <w:tcPr>
            <w:tcW w:w="1440" w:type="dxa"/>
          </w:tcPr>
          <w:p w14:paraId="492AE69B" w14:textId="77777777" w:rsidR="0041081F" w:rsidRPr="009E4619" w:rsidRDefault="0041081F" w:rsidP="00ED2B00">
            <w:pPr>
              <w:pStyle w:val="TableText"/>
            </w:pPr>
            <w:r w:rsidRPr="009E4619">
              <w:t>Minimal</w:t>
            </w:r>
          </w:p>
        </w:tc>
      </w:tr>
      <w:tr w:rsidR="0041081F" w:rsidRPr="00FF5586" w14:paraId="10930DAB" w14:textId="77777777" w:rsidTr="00ED2B00">
        <w:tc>
          <w:tcPr>
            <w:tcW w:w="4331" w:type="dxa"/>
          </w:tcPr>
          <w:p w14:paraId="099149C4" w14:textId="77777777" w:rsidR="0041081F" w:rsidRPr="009E4619" w:rsidRDefault="0041081F" w:rsidP="00ED2B00">
            <w:pPr>
              <w:pStyle w:val="TableText"/>
            </w:pPr>
            <w:r w:rsidRPr="009E4619">
              <w:t>Hepatitis B virus</w:t>
            </w:r>
          </w:p>
        </w:tc>
        <w:tc>
          <w:tcPr>
            <w:tcW w:w="2880" w:type="dxa"/>
          </w:tcPr>
          <w:p w14:paraId="25C79F19" w14:textId="77777777" w:rsidR="0041081F" w:rsidRPr="009E4619" w:rsidRDefault="0041081F" w:rsidP="00687A0A">
            <w:pPr>
              <w:pStyle w:val="TableText"/>
            </w:pPr>
            <w:r w:rsidRPr="009E4619">
              <w:t xml:space="preserve">Approximately 1 in </w:t>
            </w:r>
            <w:r w:rsidR="00687A0A">
              <w:t>468,000</w:t>
            </w:r>
          </w:p>
        </w:tc>
        <w:tc>
          <w:tcPr>
            <w:tcW w:w="1440" w:type="dxa"/>
          </w:tcPr>
          <w:p w14:paraId="762F5314" w14:textId="77777777" w:rsidR="0041081F" w:rsidRPr="009E4619" w:rsidRDefault="00687A0A" w:rsidP="00ED2B00">
            <w:pPr>
              <w:pStyle w:val="TableText"/>
            </w:pPr>
            <w:r>
              <w:t>Minimal</w:t>
            </w:r>
          </w:p>
        </w:tc>
      </w:tr>
      <w:tr w:rsidR="0041081F" w:rsidRPr="00FF5586" w14:paraId="16004759" w14:textId="77777777" w:rsidTr="00ED2B00">
        <w:tc>
          <w:tcPr>
            <w:tcW w:w="4331" w:type="dxa"/>
          </w:tcPr>
          <w:p w14:paraId="74802612" w14:textId="77777777" w:rsidR="0041081F" w:rsidRPr="009E4619" w:rsidRDefault="0041081F" w:rsidP="00ED2B00">
            <w:pPr>
              <w:pStyle w:val="TableText"/>
            </w:pPr>
            <w:r w:rsidRPr="009E4619">
              <w:t>Hepatitis C virus</w:t>
            </w:r>
          </w:p>
        </w:tc>
        <w:tc>
          <w:tcPr>
            <w:tcW w:w="2880" w:type="dxa"/>
          </w:tcPr>
          <w:p w14:paraId="73416F48" w14:textId="77777777" w:rsidR="0041081F" w:rsidRPr="009E4619" w:rsidRDefault="0041081F" w:rsidP="00ED2B00">
            <w:pPr>
              <w:pStyle w:val="TableText"/>
            </w:pPr>
            <w:r w:rsidRPr="009E4619">
              <w:t>Less than 1 in 1 million</w:t>
            </w:r>
            <w:r w:rsidRPr="009E4619" w:rsidDel="00AE0819">
              <w:t xml:space="preserve"> </w:t>
            </w:r>
          </w:p>
        </w:tc>
        <w:tc>
          <w:tcPr>
            <w:tcW w:w="1440" w:type="dxa"/>
          </w:tcPr>
          <w:p w14:paraId="305708FB" w14:textId="77777777" w:rsidR="0041081F" w:rsidRPr="009E4619" w:rsidRDefault="0041081F" w:rsidP="00ED2B00">
            <w:pPr>
              <w:pStyle w:val="TableText"/>
            </w:pPr>
            <w:r w:rsidRPr="009E4619">
              <w:t>Negligible</w:t>
            </w:r>
          </w:p>
        </w:tc>
      </w:tr>
      <w:tr w:rsidR="0041081F" w:rsidRPr="00FF5586" w14:paraId="021373FF" w14:textId="77777777" w:rsidTr="00ED2B00">
        <w:tc>
          <w:tcPr>
            <w:tcW w:w="4331" w:type="dxa"/>
          </w:tcPr>
          <w:p w14:paraId="23BDE3B8" w14:textId="77777777" w:rsidR="0041081F" w:rsidRPr="009E4619" w:rsidRDefault="0041081F" w:rsidP="00ED2B00">
            <w:pPr>
              <w:pStyle w:val="TableText"/>
            </w:pPr>
            <w:r w:rsidRPr="009E4619">
              <w:t xml:space="preserve">Human immunodeficiency virus </w:t>
            </w:r>
          </w:p>
        </w:tc>
        <w:tc>
          <w:tcPr>
            <w:tcW w:w="2880" w:type="dxa"/>
          </w:tcPr>
          <w:p w14:paraId="46D5E123" w14:textId="77777777" w:rsidR="0041081F" w:rsidRPr="009E4619" w:rsidRDefault="0041081F" w:rsidP="00ED2B00">
            <w:pPr>
              <w:pStyle w:val="TableText"/>
            </w:pPr>
            <w:r w:rsidRPr="009E4619">
              <w:t>Less than 1 in 1 million</w:t>
            </w:r>
          </w:p>
        </w:tc>
        <w:tc>
          <w:tcPr>
            <w:tcW w:w="1440" w:type="dxa"/>
          </w:tcPr>
          <w:p w14:paraId="162AC6A5" w14:textId="77777777" w:rsidR="0041081F" w:rsidRPr="009E4619" w:rsidRDefault="0041081F" w:rsidP="00ED2B00">
            <w:pPr>
              <w:pStyle w:val="TableText"/>
            </w:pPr>
            <w:r w:rsidRPr="009E4619">
              <w:t>Negligible</w:t>
            </w:r>
          </w:p>
        </w:tc>
      </w:tr>
      <w:tr w:rsidR="0041081F" w:rsidRPr="00FF5586" w14:paraId="48506761" w14:textId="77777777" w:rsidTr="00ED2B00">
        <w:tc>
          <w:tcPr>
            <w:tcW w:w="4331" w:type="dxa"/>
          </w:tcPr>
          <w:p w14:paraId="3F55BF20" w14:textId="77777777" w:rsidR="0041081F" w:rsidRPr="009E4619" w:rsidRDefault="0041081F" w:rsidP="00ED2B00">
            <w:pPr>
              <w:pStyle w:val="TableText"/>
            </w:pPr>
            <w:r w:rsidRPr="009E4619">
              <w:t>Human T-lymphotropic virus (types 1 and 2)</w:t>
            </w:r>
          </w:p>
        </w:tc>
        <w:tc>
          <w:tcPr>
            <w:tcW w:w="2880" w:type="dxa"/>
          </w:tcPr>
          <w:p w14:paraId="5791FF06" w14:textId="77777777" w:rsidR="0041081F" w:rsidRPr="009E4619" w:rsidRDefault="0041081F" w:rsidP="00ED2B00">
            <w:pPr>
              <w:pStyle w:val="TableText"/>
            </w:pPr>
            <w:r w:rsidRPr="009E4619">
              <w:t>Less than 1 in 1 million</w:t>
            </w:r>
          </w:p>
        </w:tc>
        <w:tc>
          <w:tcPr>
            <w:tcW w:w="1440" w:type="dxa"/>
          </w:tcPr>
          <w:p w14:paraId="16F17634" w14:textId="77777777" w:rsidR="0041081F" w:rsidRPr="009E4619" w:rsidRDefault="0041081F" w:rsidP="00ED2B00">
            <w:pPr>
              <w:pStyle w:val="TableText"/>
            </w:pPr>
            <w:r w:rsidRPr="009E4619">
              <w:t>Negligible</w:t>
            </w:r>
          </w:p>
        </w:tc>
      </w:tr>
      <w:tr w:rsidR="0041081F" w:rsidRPr="00FF5586" w14:paraId="583534AE" w14:textId="77777777" w:rsidTr="00ED2B00">
        <w:tc>
          <w:tcPr>
            <w:tcW w:w="4331" w:type="dxa"/>
          </w:tcPr>
          <w:p w14:paraId="4F9AE0CF" w14:textId="77777777" w:rsidR="0041081F" w:rsidRPr="009E4619" w:rsidRDefault="0041081F" w:rsidP="00ED2B00">
            <w:pPr>
              <w:pStyle w:val="TableText"/>
            </w:pPr>
            <w:r w:rsidRPr="009E4619">
              <w:t>Malaria</w:t>
            </w:r>
          </w:p>
        </w:tc>
        <w:tc>
          <w:tcPr>
            <w:tcW w:w="2880" w:type="dxa"/>
          </w:tcPr>
          <w:p w14:paraId="03AF469C" w14:textId="77777777" w:rsidR="0041081F" w:rsidRPr="009E4619" w:rsidRDefault="0041081F" w:rsidP="00ED2B00">
            <w:pPr>
              <w:pStyle w:val="TableText"/>
            </w:pPr>
            <w:r w:rsidRPr="009E4619">
              <w:t>Less than 1 in 1 million</w:t>
            </w:r>
          </w:p>
        </w:tc>
        <w:tc>
          <w:tcPr>
            <w:tcW w:w="1440" w:type="dxa"/>
          </w:tcPr>
          <w:p w14:paraId="7634873D" w14:textId="77777777" w:rsidR="0041081F" w:rsidRPr="009E4619" w:rsidRDefault="0041081F" w:rsidP="00ED2B00">
            <w:pPr>
              <w:pStyle w:val="TableText"/>
            </w:pPr>
            <w:r w:rsidRPr="009E4619">
              <w:t>Negligible</w:t>
            </w:r>
          </w:p>
        </w:tc>
      </w:tr>
      <w:tr w:rsidR="0041081F" w:rsidRPr="00FF5586" w14:paraId="3922C03B" w14:textId="77777777" w:rsidTr="00ED2B00">
        <w:tc>
          <w:tcPr>
            <w:tcW w:w="4331" w:type="dxa"/>
          </w:tcPr>
          <w:p w14:paraId="0C32EB6E" w14:textId="77777777" w:rsidR="0041081F" w:rsidRPr="009E4619" w:rsidRDefault="0041081F" w:rsidP="00ED2B00">
            <w:pPr>
              <w:pStyle w:val="TableText"/>
            </w:pPr>
            <w:r w:rsidRPr="009E4619">
              <w:t>Variant Creutzfeldt-Jakob disease (not tested)</w:t>
            </w:r>
          </w:p>
        </w:tc>
        <w:tc>
          <w:tcPr>
            <w:tcW w:w="2880" w:type="dxa"/>
          </w:tcPr>
          <w:p w14:paraId="187E83E0" w14:textId="77777777" w:rsidR="0041081F" w:rsidRPr="009E4619" w:rsidRDefault="0041081F" w:rsidP="00ED2B00">
            <w:pPr>
              <w:pStyle w:val="TableText"/>
            </w:pPr>
            <w:r w:rsidRPr="009E4619">
              <w:t>Possible, not yet reported in Australia</w:t>
            </w:r>
          </w:p>
        </w:tc>
        <w:tc>
          <w:tcPr>
            <w:tcW w:w="1440" w:type="dxa"/>
          </w:tcPr>
          <w:p w14:paraId="4895E298" w14:textId="77777777" w:rsidR="0041081F" w:rsidRPr="009E4619" w:rsidRDefault="0041081F" w:rsidP="00ED2B00">
            <w:pPr>
              <w:pStyle w:val="TableText"/>
            </w:pPr>
            <w:r w:rsidRPr="009E4619">
              <w:t>Negligible</w:t>
            </w:r>
          </w:p>
        </w:tc>
      </w:tr>
      <w:tr w:rsidR="0041081F" w:rsidRPr="00FF5586" w14:paraId="59AC1B67" w14:textId="77777777" w:rsidTr="00ED2B00">
        <w:tc>
          <w:tcPr>
            <w:tcW w:w="4331" w:type="dxa"/>
          </w:tcPr>
          <w:p w14:paraId="05355734" w14:textId="77777777" w:rsidR="0041081F" w:rsidRPr="009E4619" w:rsidRDefault="0041081F" w:rsidP="00ED2B00">
            <w:pPr>
              <w:pStyle w:val="TableText"/>
            </w:pPr>
            <w:r w:rsidRPr="009E4619">
              <w:t xml:space="preserve">Transfusion-associated graft-versus-host disease </w:t>
            </w:r>
          </w:p>
        </w:tc>
        <w:tc>
          <w:tcPr>
            <w:tcW w:w="2880" w:type="dxa"/>
          </w:tcPr>
          <w:p w14:paraId="6A5F091B" w14:textId="77777777" w:rsidR="0041081F" w:rsidRPr="009E4619" w:rsidRDefault="0041081F" w:rsidP="00ED2B00">
            <w:pPr>
              <w:pStyle w:val="TableText"/>
            </w:pPr>
            <w:r w:rsidRPr="009E4619">
              <w:t>Rare</w:t>
            </w:r>
          </w:p>
        </w:tc>
        <w:tc>
          <w:tcPr>
            <w:tcW w:w="1440" w:type="dxa"/>
          </w:tcPr>
          <w:p w14:paraId="5AED38E2" w14:textId="77777777" w:rsidR="0041081F" w:rsidRPr="009E4619" w:rsidRDefault="0041081F" w:rsidP="00ED2B00">
            <w:pPr>
              <w:pStyle w:val="TableText"/>
            </w:pPr>
            <w:r w:rsidRPr="009E4619">
              <w:t>Negligible</w:t>
            </w:r>
          </w:p>
        </w:tc>
      </w:tr>
      <w:tr w:rsidR="0041081F" w:rsidRPr="00FF5586" w14:paraId="14F800E9" w14:textId="77777777" w:rsidTr="00ED2B00">
        <w:tc>
          <w:tcPr>
            <w:tcW w:w="4331" w:type="dxa"/>
          </w:tcPr>
          <w:p w14:paraId="3AA42E70" w14:textId="77777777" w:rsidR="0041081F" w:rsidRPr="009E4619" w:rsidRDefault="0041081F" w:rsidP="00687A0A">
            <w:pPr>
              <w:pStyle w:val="TableText"/>
            </w:pPr>
            <w:r w:rsidRPr="009E4619">
              <w:t xml:space="preserve">Transfusion-related </w:t>
            </w:r>
            <w:r w:rsidR="00687A0A" w:rsidRPr="009E4619">
              <w:t>immun</w:t>
            </w:r>
            <w:r w:rsidR="00687A0A">
              <w:t xml:space="preserve">e </w:t>
            </w:r>
            <w:r w:rsidR="00687A0A" w:rsidRPr="009E4619">
              <w:t xml:space="preserve">modulation </w:t>
            </w:r>
          </w:p>
        </w:tc>
        <w:tc>
          <w:tcPr>
            <w:tcW w:w="2880" w:type="dxa"/>
          </w:tcPr>
          <w:p w14:paraId="4796475E" w14:textId="77777777" w:rsidR="0041081F" w:rsidRPr="009E4619" w:rsidRDefault="0041081F" w:rsidP="00ED2B00">
            <w:pPr>
              <w:pStyle w:val="TableText"/>
            </w:pPr>
            <w:r w:rsidRPr="009E4619">
              <w:t>Not quantified</w:t>
            </w:r>
          </w:p>
        </w:tc>
        <w:tc>
          <w:tcPr>
            <w:tcW w:w="1440" w:type="dxa"/>
          </w:tcPr>
          <w:p w14:paraId="6B3CC254" w14:textId="77777777" w:rsidR="0041081F" w:rsidRPr="009E4619" w:rsidRDefault="0041081F" w:rsidP="00ED2B00">
            <w:pPr>
              <w:pStyle w:val="TableText"/>
            </w:pPr>
            <w:r w:rsidRPr="009E4619">
              <w:t>Unknown</w:t>
            </w:r>
          </w:p>
        </w:tc>
      </w:tr>
    </w:tbl>
    <w:p w14:paraId="0947AFCF" w14:textId="38E651F8" w:rsidR="0041081F" w:rsidRDefault="0041081F" w:rsidP="0041081F">
      <w:pPr>
        <w:pStyle w:val="TableFigNotes18"/>
      </w:pPr>
      <w:r>
        <w:t>IgA, immunoglobulin A</w:t>
      </w:r>
      <w:r>
        <w:br/>
      </w:r>
      <w:r w:rsidRPr="00C724FC">
        <w:rPr>
          <w:b/>
        </w:rPr>
        <w:t>a</w:t>
      </w:r>
      <w:r w:rsidRPr="005622AB">
        <w:t xml:space="preserve"> Risk per unit transfused unless otherwise specified</w:t>
      </w:r>
      <w:r>
        <w:br/>
      </w:r>
      <w:r w:rsidRPr="00C724FC">
        <w:rPr>
          <w:b/>
        </w:rPr>
        <w:t>b</w:t>
      </w:r>
      <w:r w:rsidRPr="005622AB">
        <w:t xml:space="preserve"> See Calman 1996</w:t>
      </w:r>
      <w:hyperlink w:anchor="_ENREF_391" w:tooltip="Calman, 1996 #1059" w:history="1">
        <w:r w:rsidR="00E62798">
          <w:fldChar w:fldCharType="begin"/>
        </w:r>
        <w:r w:rsidR="00E62798">
          <w:instrText xml:space="preserve"> ADDIN EN.CITE &lt;EndNote&gt;&lt;Cite&gt;&lt;Author&gt;Calman&lt;/Author&gt;&lt;Year&gt;1996&lt;/Year&gt;&lt;RecNum&gt;1059&lt;/RecNum&gt;&lt;DisplayText&gt;&lt;style face="superscript"&gt;391&lt;/style&gt;&lt;/DisplayText&gt;&lt;record&gt;&lt;rec-number&gt;1059&lt;/rec-number&gt;&lt;foreign-keys&gt;&lt;key app="EN" db-id="9edve2wadsavt5ewavaxtda4f2tavzvts9ee" timestamp="1439243477"&gt;1059&lt;/key&gt;&lt;/foreign-keys&gt;&lt;ref-type name="Journal Article"&gt;17&lt;/ref-type&gt;&lt;contributors&gt;&lt;authors&gt;&lt;author&gt;Calman, K.&lt;/author&gt;&lt;/authors&gt;&lt;/contributors&gt;&lt;titles&gt;&lt;title&gt;The health of the nation&lt;/title&gt;&lt;secondary-title&gt;British Journal of Hospital Medicine&lt;/secondary-title&gt;&lt;/titles&gt;&lt;periodical&gt;&lt;full-title&gt;British Journal of Hospital Medicine&lt;/full-title&gt;&lt;/periodical&gt;&lt;pages&gt;125–126&lt;/pages&gt;&lt;volume&gt;56&lt;/volume&gt;&lt;number&gt;4&lt;/number&gt;&lt;edition&gt;1996/08/03&lt;/edition&gt;&lt;keywords&gt;&lt;keyword&gt;Great Britain&lt;/keyword&gt;&lt;keyword&gt;Health Policy/ trends&lt;/keyword&gt;&lt;keyword&gt;Health Priorities/ trends&lt;/keyword&gt;&lt;keyword&gt;Health Promotion/ trends&lt;/keyword&gt;&lt;keyword&gt;Humans&lt;/keyword&gt;&lt;keyword&gt;Public Health/ trends&lt;/keyword&gt;&lt;/keywords&gt;&lt;dates&gt;&lt;year&gt;1996&lt;/year&gt;&lt;pub-dates&gt;&lt;date&gt;Aug 21–Sep 3&lt;/date&gt;&lt;/pub-dates&gt;&lt;/dates&gt;&lt;isbn&gt;0007-1064 (Print)&amp;#xD;0007-1064 (Linking)&lt;/isbn&gt;&lt;accession-num&gt;8872334&lt;/accession-num&gt;&lt;urls&gt;&lt;related-urls&gt;&lt;url&gt;http://www.ncbi.nlm.nih.gov/pubmed/8872334&lt;/url&gt;&lt;/related-urls&gt;&lt;/urls&gt;&lt;remote-database-provider&gt;Nlm&lt;/remote-database-provider&gt;&lt;language&gt;eng&lt;/language&gt;&lt;/record&gt;&lt;/Cite&gt;&lt;/EndNote&gt;</w:instrText>
        </w:r>
        <w:r w:rsidR="00E62798">
          <w:fldChar w:fldCharType="separate"/>
        </w:r>
        <w:r w:rsidR="00E62798" w:rsidRPr="00E62798">
          <w:rPr>
            <w:noProof/>
            <w:vertAlign w:val="superscript"/>
          </w:rPr>
          <w:t>391</w:t>
        </w:r>
        <w:r w:rsidR="00E62798">
          <w:fldChar w:fldCharType="end"/>
        </w:r>
      </w:hyperlink>
      <w:r w:rsidR="00C43BEE">
        <w:t xml:space="preserve"> </w:t>
      </w:r>
      <w:r w:rsidRPr="00C77D1F">
        <w:rPr>
          <w:color w:val="auto"/>
        </w:rPr>
        <w:br/>
        <w:t>Source: Australian Red Cross Blood Service website (</w:t>
      </w:r>
      <w:hyperlink w:history="1">
        <w:r w:rsidR="00D00EBE" w:rsidRPr="00C77D1F">
          <w:rPr>
            <w:rStyle w:val="Hyperlink"/>
            <w:color w:val="auto"/>
          </w:rPr>
          <w:t xml:space="preserve">www.transfusion.com.au, accessed 28 July 2014) </w:t>
        </w:r>
      </w:hyperlink>
      <w:r>
        <w:br/>
        <w:t xml:space="preserve">Note: </w:t>
      </w:r>
      <w:r w:rsidRPr="005622AB">
        <w:t xml:space="preserve">The above estimates may change over time. </w:t>
      </w:r>
      <w:r w:rsidR="00CE5AC9">
        <w:t>See</w:t>
      </w:r>
      <w:r w:rsidRPr="005622AB">
        <w:t xml:space="preserve"> the Australian Red Cross Blood Service website (</w:t>
      </w:r>
      <w:hyperlink r:id="rId49" w:history="1">
        <w:r w:rsidRPr="005622AB">
          <w:rPr>
            <w:rStyle w:val="Hyperlink"/>
            <w:color w:val="000000"/>
          </w:rPr>
          <w:t>www.transfusion.com.au</w:t>
        </w:r>
      </w:hyperlink>
      <w:r w:rsidRPr="005622AB">
        <w:t xml:space="preserve">) for the most recent risk estimates. </w:t>
      </w:r>
    </w:p>
    <w:bookmarkEnd w:id="275"/>
    <w:bookmarkEnd w:id="276"/>
    <w:p w14:paraId="1E303E6A" w14:textId="0B9DB850" w:rsidR="0041081F" w:rsidRDefault="00BA2CE4" w:rsidP="0041081F">
      <w:pPr>
        <w:pStyle w:val="TableName"/>
      </w:pPr>
      <w:r>
        <w:fldChar w:fldCharType="begin"/>
      </w:r>
      <w:r w:rsidR="0041081F">
        <w:instrText xml:space="preserve"> HYPERLINK  \l "_ENREF_69" \o "Calman, 1996 #68" </w:instrText>
      </w:r>
      <w:r>
        <w:fldChar w:fldCharType="end"/>
      </w:r>
      <w:bookmarkStart w:id="277" w:name="_Toc263867917"/>
      <w:bookmarkStart w:id="278" w:name="_Toc282674500"/>
      <w:bookmarkStart w:id="279" w:name="_Toc378953095"/>
      <w:bookmarkStart w:id="280" w:name="_Toc427758399"/>
      <w:r w:rsidR="0041081F">
        <w:t>Table </w:t>
      </w:r>
      <w:r w:rsidR="00907B2D">
        <w:t>C</w:t>
      </w:r>
      <w:r w:rsidR="0041081F">
        <w:t>.2</w:t>
      </w:r>
      <w:r w:rsidR="0041081F">
        <w:tab/>
        <w:t>Calman Chart</w:t>
      </w:r>
      <w:r w:rsidR="0041081F">
        <w:rPr>
          <w:vertAlign w:val="superscript"/>
        </w:rPr>
        <w:t>a</w:t>
      </w:r>
      <w:r w:rsidR="0041081F">
        <w:t xml:space="preserve"> (United Kingdom risk per </w:t>
      </w:r>
      <w:r w:rsidR="006A116C">
        <w:t xml:space="preserve">1 </w:t>
      </w:r>
      <w:r w:rsidR="0041081F">
        <w:t>year)</w:t>
      </w:r>
      <w:bookmarkEnd w:id="277"/>
      <w:bookmarkEnd w:id="278"/>
      <w:bookmarkEnd w:id="279"/>
      <w:bookmarkEnd w:id="280"/>
      <w:r w:rsidR="0041081F">
        <w:t xml:space="preserve"> </w:t>
      </w:r>
    </w:p>
    <w:tbl>
      <w:tblPr>
        <w:tblW w:w="0" w:type="auto"/>
        <w:tblInd w:w="817" w:type="dxa"/>
        <w:tblBorders>
          <w:top w:val="single" w:sz="4" w:space="0" w:color="auto"/>
          <w:bottom w:val="single" w:sz="4" w:space="0" w:color="auto"/>
          <w:insideH w:val="single" w:sz="4" w:space="0" w:color="auto"/>
        </w:tblBorders>
        <w:tblLook w:val="01E0" w:firstRow="1" w:lastRow="1" w:firstColumn="1" w:lastColumn="1" w:noHBand="0" w:noVBand="0"/>
      </w:tblPr>
      <w:tblGrid>
        <w:gridCol w:w="1369"/>
        <w:gridCol w:w="2929"/>
        <w:gridCol w:w="4127"/>
      </w:tblGrid>
      <w:tr w:rsidR="0041081F" w:rsidRPr="002069E8" w14:paraId="231FC9A0" w14:textId="77777777" w:rsidTr="00ED2B00">
        <w:tc>
          <w:tcPr>
            <w:tcW w:w="1369" w:type="dxa"/>
            <w:shd w:val="clear" w:color="auto" w:fill="auto"/>
          </w:tcPr>
          <w:p w14:paraId="3BD73469" w14:textId="77777777" w:rsidR="0041081F" w:rsidRPr="00FA5A9D" w:rsidRDefault="0041081F" w:rsidP="00ED2B00">
            <w:pPr>
              <w:pStyle w:val="TableHeading"/>
            </w:pPr>
            <w:r w:rsidRPr="00FA5A9D">
              <w:t>Rating</w:t>
            </w:r>
          </w:p>
        </w:tc>
        <w:tc>
          <w:tcPr>
            <w:tcW w:w="2929" w:type="dxa"/>
            <w:shd w:val="clear" w:color="auto" w:fill="auto"/>
          </w:tcPr>
          <w:p w14:paraId="4A027A0F" w14:textId="77777777" w:rsidR="0041081F" w:rsidRPr="00FA5A9D" w:rsidRDefault="0041081F" w:rsidP="00ED2B00">
            <w:pPr>
              <w:pStyle w:val="TableHeading"/>
            </w:pPr>
            <w:r w:rsidRPr="00FA5A9D">
              <w:t>Rate</w:t>
            </w:r>
          </w:p>
        </w:tc>
        <w:tc>
          <w:tcPr>
            <w:tcW w:w="4127" w:type="dxa"/>
            <w:shd w:val="clear" w:color="auto" w:fill="auto"/>
          </w:tcPr>
          <w:p w14:paraId="5C116A17" w14:textId="77777777" w:rsidR="0041081F" w:rsidRPr="00FA5A9D" w:rsidRDefault="0041081F" w:rsidP="00ED2B00">
            <w:pPr>
              <w:pStyle w:val="TableHeading"/>
            </w:pPr>
            <w:r w:rsidRPr="00FA5A9D">
              <w:t>Example</w:t>
            </w:r>
          </w:p>
        </w:tc>
      </w:tr>
      <w:tr w:rsidR="0041081F" w:rsidRPr="002069E8" w14:paraId="142E7216" w14:textId="77777777" w:rsidTr="00ED2B00">
        <w:tc>
          <w:tcPr>
            <w:tcW w:w="1369" w:type="dxa"/>
            <w:shd w:val="clear" w:color="auto" w:fill="auto"/>
          </w:tcPr>
          <w:p w14:paraId="1586CDBA" w14:textId="77777777" w:rsidR="0041081F" w:rsidRPr="00FA5A9D" w:rsidRDefault="0041081F" w:rsidP="00ED2B00">
            <w:pPr>
              <w:pStyle w:val="TableText"/>
            </w:pPr>
            <w:r w:rsidRPr="00FA5A9D">
              <w:t>Negligible</w:t>
            </w:r>
          </w:p>
        </w:tc>
        <w:tc>
          <w:tcPr>
            <w:tcW w:w="2929" w:type="dxa"/>
            <w:shd w:val="clear" w:color="auto" w:fill="auto"/>
          </w:tcPr>
          <w:p w14:paraId="6F8F20CC" w14:textId="77777777" w:rsidR="0041081F" w:rsidRPr="00FA5A9D" w:rsidRDefault="0041081F" w:rsidP="00ED2B00">
            <w:pPr>
              <w:pStyle w:val="TableText"/>
            </w:pPr>
            <w:r>
              <w:t>≤</w:t>
            </w:r>
            <w:r w:rsidRPr="00FA5A9D">
              <w:t>1 in 1,000,000</w:t>
            </w:r>
          </w:p>
        </w:tc>
        <w:tc>
          <w:tcPr>
            <w:tcW w:w="4127" w:type="dxa"/>
            <w:shd w:val="clear" w:color="auto" w:fill="auto"/>
          </w:tcPr>
          <w:p w14:paraId="60EA3635" w14:textId="77777777" w:rsidR="0041081F" w:rsidRPr="00FA5A9D" w:rsidRDefault="0041081F" w:rsidP="00ED2B00">
            <w:pPr>
              <w:pStyle w:val="TableText"/>
            </w:pPr>
            <w:r w:rsidRPr="00FA5A9D">
              <w:t>Death from lightning strike</w:t>
            </w:r>
          </w:p>
        </w:tc>
      </w:tr>
      <w:tr w:rsidR="0041081F" w:rsidRPr="002069E8" w14:paraId="50E5B792" w14:textId="77777777" w:rsidTr="00ED2B00">
        <w:tc>
          <w:tcPr>
            <w:tcW w:w="1369" w:type="dxa"/>
            <w:shd w:val="clear" w:color="auto" w:fill="auto"/>
          </w:tcPr>
          <w:p w14:paraId="54DB7FDF" w14:textId="77777777" w:rsidR="0041081F" w:rsidRPr="00FA5A9D" w:rsidRDefault="0041081F" w:rsidP="00ED2B00">
            <w:pPr>
              <w:pStyle w:val="TableText"/>
            </w:pPr>
            <w:r w:rsidRPr="00FA5A9D">
              <w:t>Minimal</w:t>
            </w:r>
          </w:p>
        </w:tc>
        <w:tc>
          <w:tcPr>
            <w:tcW w:w="2929" w:type="dxa"/>
            <w:shd w:val="clear" w:color="auto" w:fill="auto"/>
          </w:tcPr>
          <w:p w14:paraId="03C56B9A" w14:textId="77777777" w:rsidR="0041081F" w:rsidRPr="00FA5A9D" w:rsidRDefault="0041081F" w:rsidP="00ED2B00">
            <w:pPr>
              <w:pStyle w:val="TableText"/>
            </w:pPr>
            <w:r w:rsidRPr="00FA5A9D">
              <w:t>1 in 100,000</w:t>
            </w:r>
            <w:r>
              <w:t>–</w:t>
            </w:r>
            <w:r w:rsidRPr="00FA5A9D">
              <w:t>1,000,000</w:t>
            </w:r>
          </w:p>
        </w:tc>
        <w:tc>
          <w:tcPr>
            <w:tcW w:w="4127" w:type="dxa"/>
            <w:shd w:val="clear" w:color="auto" w:fill="auto"/>
          </w:tcPr>
          <w:p w14:paraId="47BDA167" w14:textId="77777777" w:rsidR="0041081F" w:rsidRPr="00FA5A9D" w:rsidRDefault="0041081F" w:rsidP="00ED2B00">
            <w:pPr>
              <w:pStyle w:val="TableText"/>
            </w:pPr>
            <w:r w:rsidRPr="00FA5A9D">
              <w:t>Death from train accident</w:t>
            </w:r>
          </w:p>
        </w:tc>
      </w:tr>
      <w:tr w:rsidR="0041081F" w:rsidRPr="002069E8" w14:paraId="24CAD442" w14:textId="77777777" w:rsidTr="00ED2B00">
        <w:tc>
          <w:tcPr>
            <w:tcW w:w="1369" w:type="dxa"/>
            <w:shd w:val="clear" w:color="auto" w:fill="auto"/>
          </w:tcPr>
          <w:p w14:paraId="17C03D00" w14:textId="77777777" w:rsidR="0041081F" w:rsidRPr="00FA5A9D" w:rsidRDefault="0041081F" w:rsidP="00ED2B00">
            <w:pPr>
              <w:pStyle w:val="TableText"/>
            </w:pPr>
            <w:r w:rsidRPr="00FA5A9D">
              <w:t>Very low</w:t>
            </w:r>
          </w:p>
        </w:tc>
        <w:tc>
          <w:tcPr>
            <w:tcW w:w="2929" w:type="dxa"/>
            <w:shd w:val="clear" w:color="auto" w:fill="auto"/>
          </w:tcPr>
          <w:p w14:paraId="44F0DE20" w14:textId="77777777" w:rsidR="0041081F" w:rsidRPr="00FA5A9D" w:rsidRDefault="0041081F" w:rsidP="00ED2B00">
            <w:pPr>
              <w:pStyle w:val="TableText"/>
            </w:pPr>
            <w:r w:rsidRPr="00FA5A9D">
              <w:t>1 in 10,000</w:t>
            </w:r>
            <w:r>
              <w:t>–</w:t>
            </w:r>
            <w:r w:rsidRPr="00FA5A9D">
              <w:t>100,000</w:t>
            </w:r>
          </w:p>
        </w:tc>
        <w:tc>
          <w:tcPr>
            <w:tcW w:w="4127" w:type="dxa"/>
            <w:shd w:val="clear" w:color="auto" w:fill="auto"/>
          </w:tcPr>
          <w:p w14:paraId="67864325" w14:textId="77777777" w:rsidR="0041081F" w:rsidRPr="00FA5A9D" w:rsidRDefault="0041081F" w:rsidP="00ED2B00">
            <w:pPr>
              <w:pStyle w:val="TableText"/>
            </w:pPr>
            <w:r w:rsidRPr="00FA5A9D">
              <w:t>Death from an accident at work</w:t>
            </w:r>
          </w:p>
        </w:tc>
      </w:tr>
      <w:tr w:rsidR="0041081F" w:rsidRPr="002069E8" w14:paraId="71A6338E" w14:textId="77777777" w:rsidTr="00ED2B00">
        <w:tc>
          <w:tcPr>
            <w:tcW w:w="1369" w:type="dxa"/>
            <w:shd w:val="clear" w:color="auto" w:fill="auto"/>
          </w:tcPr>
          <w:p w14:paraId="143DBE72" w14:textId="77777777" w:rsidR="0041081F" w:rsidRPr="00FA5A9D" w:rsidRDefault="0041081F" w:rsidP="00ED2B00">
            <w:pPr>
              <w:pStyle w:val="TableText"/>
            </w:pPr>
            <w:r w:rsidRPr="00FA5A9D">
              <w:t>Low</w:t>
            </w:r>
          </w:p>
        </w:tc>
        <w:tc>
          <w:tcPr>
            <w:tcW w:w="2929" w:type="dxa"/>
            <w:shd w:val="clear" w:color="auto" w:fill="auto"/>
          </w:tcPr>
          <w:p w14:paraId="1FBFE66B" w14:textId="77777777" w:rsidR="0041081F" w:rsidRPr="00FA5A9D" w:rsidRDefault="0041081F" w:rsidP="00ED2B00">
            <w:pPr>
              <w:pStyle w:val="TableText"/>
            </w:pPr>
            <w:r w:rsidRPr="00FA5A9D">
              <w:t>1 in 1,000</w:t>
            </w:r>
            <w:r>
              <w:t>–</w:t>
            </w:r>
            <w:r w:rsidRPr="00FA5A9D">
              <w:t>10,000</w:t>
            </w:r>
          </w:p>
        </w:tc>
        <w:tc>
          <w:tcPr>
            <w:tcW w:w="4127" w:type="dxa"/>
            <w:shd w:val="clear" w:color="auto" w:fill="auto"/>
          </w:tcPr>
          <w:p w14:paraId="1FF769E5" w14:textId="77777777" w:rsidR="0041081F" w:rsidRPr="00FA5A9D" w:rsidRDefault="0041081F" w:rsidP="00ED2B00">
            <w:pPr>
              <w:pStyle w:val="TableText"/>
            </w:pPr>
            <w:r w:rsidRPr="00FA5A9D">
              <w:t>Death from a road accident</w:t>
            </w:r>
          </w:p>
        </w:tc>
      </w:tr>
      <w:tr w:rsidR="00687A0A" w:rsidRPr="002069E8" w14:paraId="1E1C00CB" w14:textId="77777777" w:rsidTr="00ED2B00">
        <w:tc>
          <w:tcPr>
            <w:tcW w:w="1369" w:type="dxa"/>
            <w:shd w:val="clear" w:color="auto" w:fill="auto"/>
          </w:tcPr>
          <w:p w14:paraId="1014C5BA" w14:textId="77777777" w:rsidR="00687A0A" w:rsidRPr="00FA5A9D" w:rsidRDefault="00687A0A" w:rsidP="00ED2B00">
            <w:pPr>
              <w:pStyle w:val="TableText"/>
            </w:pPr>
            <w:r>
              <w:t>Moderate</w:t>
            </w:r>
          </w:p>
        </w:tc>
        <w:tc>
          <w:tcPr>
            <w:tcW w:w="2929" w:type="dxa"/>
            <w:shd w:val="clear" w:color="auto" w:fill="auto"/>
          </w:tcPr>
          <w:p w14:paraId="07F21CDB" w14:textId="77777777" w:rsidR="00687A0A" w:rsidRPr="00FA5A9D" w:rsidRDefault="00687A0A" w:rsidP="00687A0A">
            <w:pPr>
              <w:pStyle w:val="TableText"/>
            </w:pPr>
            <w:r>
              <w:t>1 in 100–1,000</w:t>
            </w:r>
          </w:p>
        </w:tc>
        <w:tc>
          <w:tcPr>
            <w:tcW w:w="4127" w:type="dxa"/>
            <w:shd w:val="clear" w:color="auto" w:fill="auto"/>
          </w:tcPr>
          <w:p w14:paraId="6E49BE72" w14:textId="77777777" w:rsidR="00687A0A" w:rsidRPr="00FA5A9D" w:rsidRDefault="00687A0A" w:rsidP="00ED2B00">
            <w:pPr>
              <w:pStyle w:val="TableText"/>
            </w:pPr>
            <w:r>
              <w:t>Death f</w:t>
            </w:r>
            <w:r w:rsidR="00344382">
              <w:t>ro</w:t>
            </w:r>
            <w:r>
              <w:t>m smoking 10 cigarettes per day</w:t>
            </w:r>
          </w:p>
        </w:tc>
      </w:tr>
      <w:tr w:rsidR="0041081F" w:rsidRPr="002069E8" w14:paraId="55828ECB" w14:textId="77777777" w:rsidTr="00ED2B00">
        <w:tc>
          <w:tcPr>
            <w:tcW w:w="1369" w:type="dxa"/>
            <w:shd w:val="clear" w:color="auto" w:fill="auto"/>
          </w:tcPr>
          <w:p w14:paraId="33573C72" w14:textId="77777777" w:rsidR="0041081F" w:rsidRPr="00FA5A9D" w:rsidRDefault="0041081F" w:rsidP="00ED2B00">
            <w:pPr>
              <w:pStyle w:val="TableText"/>
            </w:pPr>
            <w:r w:rsidRPr="00FA5A9D">
              <w:t>High</w:t>
            </w:r>
          </w:p>
        </w:tc>
        <w:tc>
          <w:tcPr>
            <w:tcW w:w="2929" w:type="dxa"/>
            <w:shd w:val="clear" w:color="auto" w:fill="auto"/>
          </w:tcPr>
          <w:p w14:paraId="34B6ACF1" w14:textId="77777777" w:rsidR="0041081F" w:rsidRPr="00FA5A9D" w:rsidRDefault="0041081F" w:rsidP="00ED2B00">
            <w:pPr>
              <w:pStyle w:val="TableText"/>
            </w:pPr>
            <w:r>
              <w:t>≥</w:t>
            </w:r>
            <w:r w:rsidRPr="00FA5A9D">
              <w:t>1 in 100</w:t>
            </w:r>
          </w:p>
        </w:tc>
        <w:tc>
          <w:tcPr>
            <w:tcW w:w="4127" w:type="dxa"/>
            <w:shd w:val="clear" w:color="auto" w:fill="auto"/>
          </w:tcPr>
          <w:p w14:paraId="5F1576FC" w14:textId="77777777" w:rsidR="0041081F" w:rsidRPr="00FA5A9D" w:rsidRDefault="0041081F" w:rsidP="00ED2B00">
            <w:pPr>
              <w:pStyle w:val="TableText"/>
            </w:pPr>
            <w:r w:rsidRPr="00FA5A9D">
              <w:t>Transmission of chicken pox to susceptible household contacts</w:t>
            </w:r>
          </w:p>
        </w:tc>
      </w:tr>
    </w:tbl>
    <w:p w14:paraId="0CACD525" w14:textId="1C7F84B4" w:rsidR="0041081F" w:rsidRDefault="0041081F" w:rsidP="0041081F">
      <w:pPr>
        <w:pStyle w:val="TableFigNotes18"/>
      </w:pPr>
      <w:r w:rsidRPr="00B27C3F">
        <w:rPr>
          <w:b/>
          <w:vertAlign w:val="superscript"/>
        </w:rPr>
        <w:t>a</w:t>
      </w:r>
      <w:r w:rsidRPr="00B27C3F">
        <w:rPr>
          <w:vertAlign w:val="superscript"/>
        </w:rPr>
        <w:t xml:space="preserve"> </w:t>
      </w:r>
      <w:r>
        <w:t>See</w:t>
      </w:r>
      <w:r w:rsidRPr="00FE6AD1">
        <w:t xml:space="preserve"> Calman </w:t>
      </w:r>
      <w:r w:rsidR="00C43BEE">
        <w:t>1996</w:t>
      </w:r>
      <w:hyperlink w:anchor="_ENREF_391" w:tooltip="Calman, 1996 #1059" w:history="1">
        <w:r w:rsidR="00E62798">
          <w:fldChar w:fldCharType="begin"/>
        </w:r>
        <w:r w:rsidR="00E62798">
          <w:instrText xml:space="preserve"> ADDIN EN.CITE &lt;EndNote&gt;&lt;Cite&gt;&lt;Author&gt;Calman&lt;/Author&gt;&lt;Year&gt;1996&lt;/Year&gt;&lt;RecNum&gt;1059&lt;/RecNum&gt;&lt;DisplayText&gt;&lt;style face="superscript"&gt;391&lt;/style&gt;&lt;/DisplayText&gt;&lt;record&gt;&lt;rec-number&gt;1059&lt;/rec-number&gt;&lt;foreign-keys&gt;&lt;key app="EN" db-id="9edve2wadsavt5ewavaxtda4f2tavzvts9ee" timestamp="1439243477"&gt;1059&lt;/key&gt;&lt;/foreign-keys&gt;&lt;ref-type name="Journal Article"&gt;17&lt;/ref-type&gt;&lt;contributors&gt;&lt;authors&gt;&lt;author&gt;Calman, K.&lt;/author&gt;&lt;/authors&gt;&lt;/contributors&gt;&lt;titles&gt;&lt;title&gt;The health of the nation&lt;/title&gt;&lt;secondary-title&gt;British Journal of Hospital Medicine&lt;/secondary-title&gt;&lt;/titles&gt;&lt;periodical&gt;&lt;full-title&gt;British Journal of Hospital Medicine&lt;/full-title&gt;&lt;/periodical&gt;&lt;pages&gt;125–126&lt;/pages&gt;&lt;volume&gt;56&lt;/volume&gt;&lt;number&gt;4&lt;/number&gt;&lt;edition&gt;1996/08/03&lt;/edition&gt;&lt;keywords&gt;&lt;keyword&gt;Great Britain&lt;/keyword&gt;&lt;keyword&gt;Health Policy/ trends&lt;/keyword&gt;&lt;keyword&gt;Health Priorities/ trends&lt;/keyword&gt;&lt;keyword&gt;Health Promotion/ trends&lt;/keyword&gt;&lt;keyword&gt;Humans&lt;/keyword&gt;&lt;keyword&gt;Public Health/ trends&lt;/keyword&gt;&lt;/keywords&gt;&lt;dates&gt;&lt;year&gt;1996&lt;/year&gt;&lt;pub-dates&gt;&lt;date&gt;Aug 21–Sep 3&lt;/date&gt;&lt;/pub-dates&gt;&lt;/dates&gt;&lt;isbn&gt;0007-1064 (Print)&amp;#xD;0007-1064 (Linking)&lt;/isbn&gt;&lt;accession-num&gt;8872334&lt;/accession-num&gt;&lt;urls&gt;&lt;related-urls&gt;&lt;url&gt;http://www.ncbi.nlm.nih.gov/pubmed/8872334&lt;/url&gt;&lt;/related-urls&gt;&lt;/urls&gt;&lt;remote-database-provider&gt;Nlm&lt;/remote-database-provider&gt;&lt;language&gt;eng&lt;/language&gt;&lt;/record&gt;&lt;/Cite&gt;&lt;/EndNote&gt;</w:instrText>
        </w:r>
        <w:r w:rsidR="00E62798">
          <w:fldChar w:fldCharType="separate"/>
        </w:r>
        <w:r w:rsidR="00E62798" w:rsidRPr="00E62798">
          <w:rPr>
            <w:noProof/>
            <w:vertAlign w:val="superscript"/>
          </w:rPr>
          <w:t>391</w:t>
        </w:r>
        <w:r w:rsidR="00E62798">
          <w:fldChar w:fldCharType="end"/>
        </w:r>
      </w:hyperlink>
    </w:p>
    <w:p w14:paraId="5D79A649" w14:textId="77777777" w:rsidR="0041081F" w:rsidRDefault="0041081F" w:rsidP="0041081F">
      <w:pPr>
        <w:pStyle w:val="Heading1"/>
        <w:rPr>
          <w:rStyle w:val="Chaptersub-headingsChar"/>
        </w:rPr>
      </w:pPr>
      <w:bookmarkStart w:id="281" w:name="_Toc265585348"/>
      <w:bookmarkStart w:id="282" w:name="_Toc282672333"/>
      <w:r>
        <w:br w:type="page"/>
      </w:r>
      <w:bookmarkStart w:id="283" w:name="_Toc322006855"/>
      <w:bookmarkStart w:id="284" w:name="_Toc386021919"/>
      <w:bookmarkStart w:id="285" w:name="_Toc427851406"/>
      <w:bookmarkEnd w:id="281"/>
      <w:bookmarkEnd w:id="282"/>
      <w:r w:rsidRPr="000C74F0">
        <w:t>A</w:t>
      </w:r>
      <w:r>
        <w:t xml:space="preserve">ppendix </w:t>
      </w:r>
      <w:r>
        <w:rPr>
          <w:lang w:val="en-US"/>
        </w:rPr>
        <w:t>D</w:t>
      </w:r>
      <w:r>
        <w:tab/>
        <w:t>Blood sectors</w:t>
      </w:r>
      <w:bookmarkEnd w:id="283"/>
      <w:bookmarkEnd w:id="284"/>
      <w:bookmarkEnd w:id="285"/>
    </w:p>
    <w:p w14:paraId="1EED210D" w14:textId="77777777" w:rsidR="0041081F" w:rsidRDefault="00907B2D" w:rsidP="0041081F">
      <w:pPr>
        <w:pStyle w:val="Heading2a"/>
        <w:rPr>
          <w:lang w:val="en-AU"/>
        </w:rPr>
      </w:pPr>
      <w:r>
        <w:rPr>
          <w:lang w:val="en-AU"/>
        </w:rPr>
        <w:t>D</w:t>
      </w:r>
      <w:r w:rsidR="0041081F">
        <w:t>1</w:t>
      </w:r>
      <w:r w:rsidR="0041081F">
        <w:tab/>
        <w:t>Australian blood sector</w:t>
      </w:r>
    </w:p>
    <w:p w14:paraId="0A19C418" w14:textId="77777777" w:rsidR="0041081F" w:rsidRPr="00C056BA" w:rsidRDefault="004F2B53" w:rsidP="0041081F">
      <w:pPr>
        <w:pStyle w:val="Heading3a"/>
        <w:ind w:left="709" w:hanging="11"/>
        <w:rPr>
          <w:lang w:val="en-AU"/>
        </w:rPr>
      </w:pPr>
      <w:r>
        <w:t>Council of Australian Government</w:t>
      </w:r>
      <w:r w:rsidR="003F289C">
        <w:rPr>
          <w:lang w:val="en-AU"/>
        </w:rPr>
        <w:t xml:space="preserve">s Health Council </w:t>
      </w:r>
    </w:p>
    <w:p w14:paraId="1984946E" w14:textId="2157C0F5" w:rsidR="00002BEF" w:rsidRPr="001B6A79" w:rsidRDefault="00002BEF" w:rsidP="006A116C">
      <w:pPr>
        <w:rPr>
          <w:lang w:bidi="en-US"/>
        </w:rPr>
      </w:pPr>
      <w:r>
        <w:t>The Council of Australian Governments (</w:t>
      </w:r>
      <w:r w:rsidRPr="001B6A79">
        <w:t>COAG</w:t>
      </w:r>
      <w:r>
        <w:t>)</w:t>
      </w:r>
      <w:r w:rsidRPr="001B6A79">
        <w:t xml:space="preserve"> </w:t>
      </w:r>
      <w:r w:rsidRPr="001B6A79">
        <w:rPr>
          <w:color w:val="1B1B1B"/>
        </w:rPr>
        <w:t xml:space="preserve">promotes policy reforms that are of national significance, or </w:t>
      </w:r>
      <w:r>
        <w:rPr>
          <w:color w:val="1B1B1B"/>
        </w:rPr>
        <w:t>that need co</w:t>
      </w:r>
      <w:r w:rsidRPr="001B6A79">
        <w:rPr>
          <w:color w:val="1B1B1B"/>
        </w:rPr>
        <w:t xml:space="preserve">ordinated action by all Australian governments. </w:t>
      </w:r>
      <w:r w:rsidR="006114A4">
        <w:t xml:space="preserve">The COAG Health Council (CHC) </w:t>
      </w:r>
      <w:r>
        <w:rPr>
          <w:lang w:bidi="en-US"/>
        </w:rPr>
        <w:t>comprises health ministers from all jurisdictions,</w:t>
      </w:r>
      <w:r w:rsidRPr="001B6A79">
        <w:t xml:space="preserve"> </w:t>
      </w:r>
      <w:r>
        <w:t xml:space="preserve">and </w:t>
      </w:r>
      <w:r w:rsidRPr="001B6A79">
        <w:t>is one of eight COAG Councils</w:t>
      </w:r>
      <w:r>
        <w:t>.</w:t>
      </w:r>
      <w:r w:rsidRPr="001B6A79">
        <w:t xml:space="preserve"> The</w:t>
      </w:r>
      <w:r>
        <w:t xml:space="preserve"> Commonwealth and state and territory health ministers on the CHC work in partnership to improve health outcomes for all Australians, and ensure the sustainability of the Australian health system</w:t>
      </w:r>
      <w:r>
        <w:rPr>
          <w:lang w:bidi="en-US"/>
        </w:rPr>
        <w:t>.</w:t>
      </w:r>
    </w:p>
    <w:p w14:paraId="0E3EECEC" w14:textId="77777777" w:rsidR="00002BEF" w:rsidRPr="001B6A79" w:rsidRDefault="00002BEF" w:rsidP="00CA7DED">
      <w:r w:rsidRPr="001B6A79">
        <w:t>The CHC’s responsibilities include the oversight and management of the Australian blood sector, including national policy and financial decisions in relation to the supply of blood and blood products, and the determination of which products and services can be bought with public funds. The CHC oversees the implementation of the National Blood Agreement (described below), and is supported in its roles by the Australian Health Ministers’ Advisory Council (AHMAC).</w:t>
      </w:r>
    </w:p>
    <w:p w14:paraId="1F13CC9D" w14:textId="77777777" w:rsidR="00C66D6D" w:rsidRDefault="00C66D6D" w:rsidP="00994D2B">
      <w:pPr>
        <w:shd w:val="clear" w:color="auto" w:fill="FFFFFF"/>
        <w:spacing w:before="180" w:after="180" w:line="336" w:lineRule="atLeast"/>
        <w:ind w:left="698"/>
        <w:rPr>
          <w:rFonts w:ascii="Arial" w:hAnsi="Arial" w:cs="Times New Roman"/>
          <w:b/>
          <w:bCs/>
          <w:szCs w:val="26"/>
          <w:lang w:eastAsia="x-none"/>
        </w:rPr>
      </w:pPr>
      <w:r w:rsidRPr="00C66D6D">
        <w:rPr>
          <w:rFonts w:ascii="Arial" w:hAnsi="Arial" w:cs="Times New Roman"/>
          <w:b/>
          <w:bCs/>
          <w:szCs w:val="26"/>
          <w:lang w:val="x-none" w:eastAsia="x-none"/>
        </w:rPr>
        <w:t xml:space="preserve">Australian Health Ministers’ Advisory Council </w:t>
      </w:r>
    </w:p>
    <w:p w14:paraId="559D6353" w14:textId="592572CE" w:rsidR="00002BEF" w:rsidRPr="001B6A79" w:rsidRDefault="00002BEF" w:rsidP="00CA7DED">
      <w:r w:rsidRPr="001B6A79">
        <w:t>AHMAC provides support to the CHC. It advises the health ministers on strategic matters relating to the coordination of health services across the nation and, as necessary, with New Zealand. The AHMAC considers blood sector matters referred to it by the Jurisdictional Blood Committee (JBC) through the Hospitals Principal Committee</w:t>
      </w:r>
      <w:r w:rsidR="00CA7DED">
        <w:t xml:space="preserve">, </w:t>
      </w:r>
      <w:r w:rsidRPr="001B6A79">
        <w:t>and reports as necessary to the CHC. The AHMAC has no statutory power</w:t>
      </w:r>
      <w:r>
        <w:t>,</w:t>
      </w:r>
      <w:r w:rsidRPr="001B6A79">
        <w:t xml:space="preserve"> and decisions are reached by consensus.</w:t>
      </w:r>
    </w:p>
    <w:p w14:paraId="11F83B26" w14:textId="77777777" w:rsidR="00B90530" w:rsidRDefault="00C056BA" w:rsidP="0041081F">
      <w:pPr>
        <w:pStyle w:val="Heading3a"/>
        <w:rPr>
          <w:lang w:val="en-AU"/>
        </w:rPr>
      </w:pPr>
      <w:r>
        <w:rPr>
          <w:lang w:val="en-AU"/>
        </w:rPr>
        <w:t>Hospitals Principal Committee</w:t>
      </w:r>
      <w:r w:rsidR="00C66D6D">
        <w:rPr>
          <w:lang w:val="en-AU"/>
        </w:rPr>
        <w:t xml:space="preserve"> </w:t>
      </w:r>
    </w:p>
    <w:p w14:paraId="7B01EC08" w14:textId="0CB21CFC" w:rsidR="00B90530" w:rsidRPr="00B90530" w:rsidRDefault="00B90530" w:rsidP="00FF2787">
      <w:pPr>
        <w:pStyle w:val="StyleNormalbeforebulletLeft125cm"/>
      </w:pPr>
      <w:r w:rsidRPr="00B90530">
        <w:t>The Hospitals Principal Committee considers and provides advice to the AHMAC on a range of issues. Areas covered include:</w:t>
      </w:r>
    </w:p>
    <w:p w14:paraId="13C8D6D6" w14:textId="77777777" w:rsidR="00B90530" w:rsidRPr="00B90530" w:rsidRDefault="00B90530" w:rsidP="00B90530">
      <w:pPr>
        <w:pStyle w:val="Bullet6"/>
      </w:pPr>
      <w:r w:rsidRPr="00B90530">
        <w:t xml:space="preserve">all activities </w:t>
      </w:r>
      <w:r>
        <w:rPr>
          <w:lang w:val="en-AU"/>
        </w:rPr>
        <w:t>that</w:t>
      </w:r>
      <w:r w:rsidRPr="00B90530">
        <w:t xml:space="preserve"> largely relate to hospital care including emergency departments, outpatient care, inpatient care and alternatives to hospital care</w:t>
      </w:r>
    </w:p>
    <w:p w14:paraId="1AE680D3" w14:textId="280EA25A" w:rsidR="00B90530" w:rsidRPr="00B90530" w:rsidRDefault="00B90530" w:rsidP="00B90530">
      <w:pPr>
        <w:pStyle w:val="Bullet6"/>
      </w:pPr>
      <w:r w:rsidRPr="00B90530">
        <w:t>implementation of the health reform agenda as it applies to hospital care</w:t>
      </w:r>
    </w:p>
    <w:p w14:paraId="17E8D128" w14:textId="54771004" w:rsidR="00B90530" w:rsidRPr="00B90530" w:rsidRDefault="00B90530" w:rsidP="00B90530">
      <w:pPr>
        <w:pStyle w:val="Bullet6"/>
      </w:pPr>
      <w:r w:rsidRPr="00B90530">
        <w:t>clinical, technical and medicoethical developments</w:t>
      </w:r>
    </w:p>
    <w:p w14:paraId="59ACAF57" w14:textId="77777777" w:rsidR="00B90530" w:rsidRPr="00B90530" w:rsidRDefault="00B90530" w:rsidP="00B90530">
      <w:pPr>
        <w:pStyle w:val="Bullet12"/>
      </w:pPr>
      <w:r w:rsidRPr="00B90530">
        <w:t>the appropriateness, likely impact, policy implications, effectiveness and safety of clinical and technical developments.</w:t>
      </w:r>
    </w:p>
    <w:p w14:paraId="50CF8534" w14:textId="76AE4191" w:rsidR="0041081F" w:rsidRPr="00967367" w:rsidRDefault="0041081F" w:rsidP="0041081F">
      <w:pPr>
        <w:pStyle w:val="Heading3a"/>
      </w:pPr>
      <w:r w:rsidRPr="00967367">
        <w:t>Jurisdictional Blood Committee</w:t>
      </w:r>
    </w:p>
    <w:p w14:paraId="44360B9C" w14:textId="44C8AD4B" w:rsidR="0041081F" w:rsidRDefault="0041081F" w:rsidP="00FF2787">
      <w:pPr>
        <w:pStyle w:val="Normalbeforebullet"/>
      </w:pPr>
      <w:r>
        <w:t>All Australian governments are represented on the JBC, which was established by the National Blood Agreement in 2003.</w:t>
      </w:r>
      <w:hyperlink w:anchor="_ENREF_392" w:tooltip=", 2003 #1060" w:history="1">
        <w:r w:rsidR="00E62798">
          <w:fldChar w:fldCharType="begin"/>
        </w:r>
        <w:r w:rsidR="00E62798">
          <w:instrText xml:space="preserve"> ADDIN EN.CITE &lt;EndNote&gt;&lt;Cite ExcludeAuth="1"&gt;&lt;Year&gt;2003&lt;/Year&gt;&lt;RecNum&gt;1060&lt;/RecNum&gt;&lt;DisplayText&gt;&lt;style face="superscript"&gt;392&lt;/style&gt;&lt;/DisplayText&gt;&lt;record&gt;&lt;rec-number&gt;1060&lt;/rec-number&gt;&lt;foreign-keys&gt;&lt;key app="EN" db-id="9edve2wadsavt5ewavaxtda4f2tavzvts9ee" timestamp="1439243804"&gt;1060&lt;/key&gt;&lt;/foreign-keys&gt;&lt;ref-type name="Report"&gt;27&lt;/ref-type&gt;&lt;contributors&gt;&lt;/contributors&gt;&lt;titles&gt;&lt;title&gt;National Blood Agrreement&lt;/title&gt;&lt;/titles&gt;&lt;dates&gt;&lt;year&gt;2003&lt;/year&gt;&lt;/dates&gt;&lt;pub-location&gt;Canberra&lt;/pub-location&gt;&lt;urls&gt;&lt;/urls&gt;&lt;/record&gt;&lt;/Cite&gt;&lt;/EndNote&gt;</w:instrText>
        </w:r>
        <w:r w:rsidR="00E62798">
          <w:fldChar w:fldCharType="separate"/>
        </w:r>
        <w:r w:rsidR="00E62798" w:rsidRPr="00E62798">
          <w:rPr>
            <w:noProof/>
            <w:vertAlign w:val="superscript"/>
          </w:rPr>
          <w:t>392</w:t>
        </w:r>
        <w:r w:rsidR="00E62798">
          <w:fldChar w:fldCharType="end"/>
        </w:r>
      </w:hyperlink>
      <w:r w:rsidR="00C43BEE">
        <w:t xml:space="preserve"> </w:t>
      </w:r>
      <w:r>
        <w:t>The committee:</w:t>
      </w:r>
    </w:p>
    <w:p w14:paraId="686832D7" w14:textId="77777777" w:rsidR="0041081F" w:rsidRDefault="0041081F" w:rsidP="0041081F">
      <w:pPr>
        <w:pStyle w:val="Bullet6"/>
      </w:pPr>
      <w:r>
        <w:t>is the conduit between governments and the NBA</w:t>
      </w:r>
    </w:p>
    <w:p w14:paraId="007353C7" w14:textId="77777777" w:rsidR="0041081F" w:rsidRDefault="0041081F" w:rsidP="0041081F">
      <w:pPr>
        <w:pStyle w:val="Bullet6"/>
      </w:pPr>
      <w:r>
        <w:t>represents the Australian state and territory governments’ positions on:</w:t>
      </w:r>
    </w:p>
    <w:p w14:paraId="63619B75" w14:textId="77777777" w:rsidR="0041081F" w:rsidRDefault="0041081F" w:rsidP="00D85135">
      <w:pPr>
        <w:pStyle w:val="Dash6"/>
      </w:pPr>
      <w:r>
        <w:t>blood policy, demand, supply planning and product distribution</w:t>
      </w:r>
    </w:p>
    <w:p w14:paraId="3295D11D" w14:textId="77777777" w:rsidR="0041081F" w:rsidRDefault="0041081F" w:rsidP="00D85135">
      <w:pPr>
        <w:pStyle w:val="Dash6"/>
      </w:pPr>
      <w:r>
        <w:t xml:space="preserve">funding </w:t>
      </w:r>
    </w:p>
    <w:p w14:paraId="38842345" w14:textId="77777777" w:rsidR="0041081F" w:rsidRDefault="0041081F" w:rsidP="00D85135">
      <w:pPr>
        <w:pStyle w:val="Dash6"/>
      </w:pPr>
      <w:r>
        <w:t>evidence-based approaches to emerging products, services and technologies</w:t>
      </w:r>
    </w:p>
    <w:p w14:paraId="4049F0D2" w14:textId="77777777" w:rsidR="0041081F" w:rsidRDefault="0041081F" w:rsidP="0041081F">
      <w:pPr>
        <w:pStyle w:val="Bullet12"/>
      </w:pPr>
      <w:r>
        <w:t>oversees the NBA’s role in blood supply contracting.</w:t>
      </w:r>
    </w:p>
    <w:p w14:paraId="6FA89190" w14:textId="7B1967ED" w:rsidR="0041081F" w:rsidRDefault="0041081F" w:rsidP="0041081F">
      <w:r>
        <w:t xml:space="preserve">The committee is the primary body responsible for providing advice and support on these matters to the </w:t>
      </w:r>
      <w:r w:rsidR="003E5AC6">
        <w:t xml:space="preserve">CHC </w:t>
      </w:r>
      <w:r w:rsidR="006114A4">
        <w:t>through the AHMAC.</w:t>
      </w:r>
    </w:p>
    <w:p w14:paraId="30E52305" w14:textId="77777777" w:rsidR="0041081F" w:rsidRPr="00967367" w:rsidRDefault="0041081F" w:rsidP="0041081F">
      <w:pPr>
        <w:pStyle w:val="Heading3a"/>
      </w:pPr>
      <w:r w:rsidRPr="00967367">
        <w:t>National Blood Authority</w:t>
      </w:r>
    </w:p>
    <w:p w14:paraId="617D4B42" w14:textId="77777777" w:rsidR="0041081F" w:rsidRDefault="0041081F" w:rsidP="0041081F">
      <w:r>
        <w:t xml:space="preserve">The NBA was established in 2003 as an Australian Government agency within the health and ageing portfolio. It is responsible for ensuring the adequate, safe, secure and affordable supply of blood and blood products. The role of the NBA is outlined in the </w:t>
      </w:r>
      <w:r w:rsidRPr="00C77071">
        <w:rPr>
          <w:i/>
        </w:rPr>
        <w:t xml:space="preserve">National Blood Authority Act 2003 </w:t>
      </w:r>
      <w:r>
        <w:t>and the National Blood Agreement.</w:t>
      </w:r>
    </w:p>
    <w:p w14:paraId="1EBD1804" w14:textId="77777777" w:rsidR="0041081F" w:rsidRPr="00EF201C" w:rsidRDefault="0041081F" w:rsidP="0041081F">
      <w:r w:rsidRPr="009D133E">
        <w:t>Part 5 of the N</w:t>
      </w:r>
      <w:r>
        <w:t>ational Blood Agreement requires the</w:t>
      </w:r>
      <w:r w:rsidRPr="009D133E">
        <w:t xml:space="preserve"> develop</w:t>
      </w:r>
      <w:r>
        <w:t>ment</w:t>
      </w:r>
      <w:r w:rsidRPr="009D133E">
        <w:t xml:space="preserve"> and implement</w:t>
      </w:r>
      <w:r>
        <w:t xml:space="preserve">ation of </w:t>
      </w:r>
      <w:r w:rsidRPr="009D133E">
        <w:t>specific safety and quality strategies</w:t>
      </w:r>
      <w:r>
        <w:t>,</w:t>
      </w:r>
      <w:r w:rsidRPr="009D133E">
        <w:t xml:space="preserve"> in</w:t>
      </w:r>
      <w:r>
        <w:t xml:space="preserve">cluding </w:t>
      </w:r>
      <w:r w:rsidRPr="00EF201C">
        <w:t xml:space="preserve">development, implementation and review of evidence-based national clinical practice </w:t>
      </w:r>
      <w:r>
        <w:t xml:space="preserve">guidelines for blood, blood </w:t>
      </w:r>
      <w:r w:rsidRPr="00EF201C">
        <w:t>products and blood</w:t>
      </w:r>
      <w:r>
        <w:t>-</w:t>
      </w:r>
      <w:r w:rsidRPr="00EF201C">
        <w:t>related services</w:t>
      </w:r>
      <w:r>
        <w:t>. The aim is</w:t>
      </w:r>
      <w:r w:rsidRPr="00EF201C">
        <w:t xml:space="preserve"> to </w:t>
      </w:r>
      <w:r>
        <w:t xml:space="preserve">encourage </w:t>
      </w:r>
      <w:r w:rsidRPr="00EF201C">
        <w:t>best practice in the management and use of such products and services.</w:t>
      </w:r>
    </w:p>
    <w:p w14:paraId="574F20A7" w14:textId="77777777" w:rsidR="0041081F" w:rsidRPr="00967367" w:rsidRDefault="0041081F" w:rsidP="0041081F">
      <w:pPr>
        <w:pStyle w:val="Heading3a"/>
      </w:pPr>
      <w:r w:rsidRPr="00967367">
        <w:t>Therapeutic Goods Administration</w:t>
      </w:r>
    </w:p>
    <w:p w14:paraId="11A48049" w14:textId="6FF73E59" w:rsidR="0041081F" w:rsidRDefault="0041081F" w:rsidP="00FF2787">
      <w:pPr>
        <w:pStyle w:val="StyleNormalbeforebulletLeft125cm"/>
      </w:pPr>
      <w:r>
        <w:t xml:space="preserve">The </w:t>
      </w:r>
      <w:r w:rsidR="00CA7DED" w:rsidRPr="00CA7DED">
        <w:t>Therapeutic Goods Administration</w:t>
      </w:r>
      <w:r>
        <w:t xml:space="preserve"> is the regulator for blood and blood products in Australia</w:t>
      </w:r>
      <w:r w:rsidR="006A116C">
        <w:t>, and</w:t>
      </w:r>
      <w:r>
        <w:t xml:space="preserve"> is responsible for:</w:t>
      </w:r>
    </w:p>
    <w:p w14:paraId="6EDA2D49" w14:textId="77777777" w:rsidR="0041081F" w:rsidRDefault="0041081F" w:rsidP="00AB6651">
      <w:pPr>
        <w:pStyle w:val="Bullet6"/>
      </w:pPr>
      <w:r>
        <w:t xml:space="preserve">regulating the sector in terms of the safety and quality of blood and blood products under the </w:t>
      </w:r>
      <w:r w:rsidRPr="00233D72">
        <w:rPr>
          <w:i/>
        </w:rPr>
        <w:t>Therapeutic Goods Act 1989</w:t>
      </w:r>
    </w:p>
    <w:p w14:paraId="43082F46" w14:textId="77777777" w:rsidR="0041081F" w:rsidRDefault="0041081F" w:rsidP="00AB6651">
      <w:pPr>
        <w:pStyle w:val="Bullet6"/>
      </w:pPr>
      <w:r>
        <w:t>auditing good manufacturing practice</w:t>
      </w:r>
    </w:p>
    <w:p w14:paraId="2C0A5DAF" w14:textId="77777777" w:rsidR="0041081F" w:rsidRDefault="0041081F" w:rsidP="00AB6651">
      <w:pPr>
        <w:pStyle w:val="Bullet6"/>
      </w:pPr>
      <w:r>
        <w:t>issuing product recalls</w:t>
      </w:r>
    </w:p>
    <w:p w14:paraId="24B8C078" w14:textId="77777777" w:rsidR="0041081F" w:rsidRDefault="0041081F" w:rsidP="00AB6651">
      <w:pPr>
        <w:pStyle w:val="Bullet6"/>
      </w:pPr>
      <w:r>
        <w:t xml:space="preserve">modifying safety standards </w:t>
      </w:r>
    </w:p>
    <w:p w14:paraId="5EBC706B" w14:textId="77777777" w:rsidR="0041081F" w:rsidRDefault="0041081F" w:rsidP="00AB6651">
      <w:pPr>
        <w:pStyle w:val="Bullet12"/>
      </w:pPr>
      <w:r>
        <w:t>issuing directives such as donor deferral.</w:t>
      </w:r>
    </w:p>
    <w:p w14:paraId="7E3194E1" w14:textId="77777777" w:rsidR="0041081F" w:rsidRPr="00967367" w:rsidRDefault="0041081F" w:rsidP="0041081F">
      <w:pPr>
        <w:pStyle w:val="Heading3a"/>
      </w:pPr>
      <w:r w:rsidRPr="00967367">
        <w:t>Australian Red Cross Blood Service</w:t>
      </w:r>
    </w:p>
    <w:p w14:paraId="4F297E0A" w14:textId="77777777" w:rsidR="0041081F" w:rsidRDefault="0041081F" w:rsidP="0041081F">
      <w:r w:rsidRPr="006629F1">
        <w:t xml:space="preserve">The </w:t>
      </w:r>
      <w:r>
        <w:t>Australian Red Cross Blood Service</w:t>
      </w:r>
      <w:r w:rsidRPr="006629F1">
        <w:t xml:space="preserve"> </w:t>
      </w:r>
      <w:r w:rsidRPr="006021AF">
        <w:t>was established as a national organisation in 19</w:t>
      </w:r>
      <w:r>
        <w:t xml:space="preserve">96. It </w:t>
      </w:r>
      <w:r w:rsidRPr="006629F1">
        <w:t xml:space="preserve">is responsible for </w:t>
      </w:r>
      <w:r>
        <w:t>collecting</w:t>
      </w:r>
      <w:r w:rsidRPr="006629F1">
        <w:t>, processing and distribut</w:t>
      </w:r>
      <w:r>
        <w:t>ing</w:t>
      </w:r>
      <w:r w:rsidRPr="006629F1">
        <w:t xml:space="preserve"> blood and blood components sourced from voluntary donors </w:t>
      </w:r>
      <w:r>
        <w:t xml:space="preserve">in </w:t>
      </w:r>
      <w:r w:rsidRPr="006629F1">
        <w:t>Austr</w:t>
      </w:r>
      <w:r>
        <w:t>alia.</w:t>
      </w:r>
      <w:r w:rsidRPr="006021AF">
        <w:t xml:space="preserve"> </w:t>
      </w:r>
      <w:r w:rsidRPr="008F20A0">
        <w:t>Th</w:t>
      </w:r>
      <w:r>
        <w:t xml:space="preserve">e </w:t>
      </w:r>
      <w:r w:rsidRPr="00AD5A29">
        <w:t>Australian Red Cross Blood Service</w:t>
      </w:r>
      <w:r w:rsidRPr="008F20A0">
        <w:t xml:space="preserve"> works alongside Australian regulators, government departments</w:t>
      </w:r>
      <w:r>
        <w:t>,</w:t>
      </w:r>
      <w:r w:rsidRPr="008F20A0">
        <w:t xml:space="preserve"> and commercial and professional organisations, </w:t>
      </w:r>
      <w:r>
        <w:t xml:space="preserve">and with </w:t>
      </w:r>
      <w:r w:rsidRPr="008F20A0">
        <w:t>international bodies</w:t>
      </w:r>
      <w:r>
        <w:t>,</w:t>
      </w:r>
      <w:r w:rsidRPr="008F20A0">
        <w:t xml:space="preserve"> to constantly review and improve the safety and provision of blood and blood components in</w:t>
      </w:r>
      <w:r>
        <w:rPr>
          <w:sz w:val="18"/>
          <w:szCs w:val="18"/>
        </w:rPr>
        <w:t xml:space="preserve"> </w:t>
      </w:r>
      <w:r w:rsidRPr="006021AF">
        <w:t>Australia.</w:t>
      </w:r>
      <w:r>
        <w:t xml:space="preserve"> The </w:t>
      </w:r>
      <w:r w:rsidRPr="00AD5A29">
        <w:t>Australian Red Cross Blood Service</w:t>
      </w:r>
      <w:r>
        <w:t xml:space="preserve"> also has significant transfusion medicine expertise and clinical involvement.</w:t>
      </w:r>
    </w:p>
    <w:p w14:paraId="05D51AAE" w14:textId="77777777" w:rsidR="0041081F" w:rsidRDefault="00907B2D" w:rsidP="0041081F">
      <w:pPr>
        <w:pStyle w:val="Heading2a"/>
      </w:pPr>
      <w:r>
        <w:rPr>
          <w:lang w:val="en-AU"/>
        </w:rPr>
        <w:t>D</w:t>
      </w:r>
      <w:r>
        <w:t>2</w:t>
      </w:r>
      <w:r w:rsidR="0041081F">
        <w:tab/>
        <w:t>New Zealand blood sector</w:t>
      </w:r>
    </w:p>
    <w:p w14:paraId="5B6D3EE8" w14:textId="77777777" w:rsidR="0041081F" w:rsidRDefault="0041081F" w:rsidP="0041081F">
      <w:pPr>
        <w:pStyle w:val="Heading3a"/>
      </w:pPr>
      <w:r>
        <w:t>Ministry of Health</w:t>
      </w:r>
    </w:p>
    <w:p w14:paraId="09131EE1" w14:textId="77777777" w:rsidR="0041081F" w:rsidRDefault="0041081F" w:rsidP="0041081F">
      <w:r>
        <w:t xml:space="preserve">The New Zealand Minister of Health is the government owner of the New Zealand Blood Service (NZBS). The Minister appoints the NZBS Board and approves the Statement of Intent and Output Agreement. </w:t>
      </w:r>
    </w:p>
    <w:p w14:paraId="3D9453FD" w14:textId="77777777" w:rsidR="0041081F" w:rsidRPr="004662BA" w:rsidRDefault="0041081F" w:rsidP="0041081F">
      <w:r>
        <w:t xml:space="preserve">The Ministry of Health monitors the performance of the NZBS, and works closely with the organisation in setting the overall strategic direction for the provision of blood and blood products in New Zealand. </w:t>
      </w:r>
    </w:p>
    <w:p w14:paraId="7E66D7DD" w14:textId="77777777" w:rsidR="0041081F" w:rsidRDefault="0041081F" w:rsidP="0041081F">
      <w:pPr>
        <w:pStyle w:val="Heading3a"/>
      </w:pPr>
      <w:r>
        <w:t>Medsafe</w:t>
      </w:r>
    </w:p>
    <w:p w14:paraId="4A743A03" w14:textId="77777777" w:rsidR="0041081F" w:rsidRDefault="0041081F" w:rsidP="00FF2787">
      <w:pPr>
        <w:pStyle w:val="Normalbeforebullet"/>
      </w:pPr>
      <w:r>
        <w:t>Medsafe is the regulator for blood and blood products in New Zealand. Medsafe is responsible for:</w:t>
      </w:r>
    </w:p>
    <w:p w14:paraId="67E26153" w14:textId="77777777" w:rsidR="0041081F" w:rsidRDefault="0041081F" w:rsidP="00E66069">
      <w:pPr>
        <w:pStyle w:val="Bullet6"/>
        <w:numPr>
          <w:ilvl w:val="0"/>
          <w:numId w:val="22"/>
        </w:numPr>
        <w:rPr>
          <w:i/>
        </w:rPr>
      </w:pPr>
      <w:r>
        <w:t xml:space="preserve">regulating the sector in terms of the safety and quality of blood and blood products under the </w:t>
      </w:r>
      <w:r w:rsidRPr="004662BA">
        <w:rPr>
          <w:i/>
        </w:rPr>
        <w:t>Medicines Act 1981</w:t>
      </w:r>
      <w:r>
        <w:t xml:space="preserve"> and </w:t>
      </w:r>
      <w:r w:rsidRPr="004662BA">
        <w:rPr>
          <w:i/>
        </w:rPr>
        <w:t>Medicines Regulations 1984</w:t>
      </w:r>
    </w:p>
    <w:p w14:paraId="72BC9DFE" w14:textId="77777777" w:rsidR="0041081F" w:rsidRDefault="0041081F" w:rsidP="00E66069">
      <w:pPr>
        <w:pStyle w:val="Bullet6"/>
        <w:numPr>
          <w:ilvl w:val="0"/>
          <w:numId w:val="22"/>
        </w:numPr>
      </w:pPr>
      <w:r>
        <w:t>a</w:t>
      </w:r>
      <w:r w:rsidRPr="004662BA">
        <w:t xml:space="preserve">uditing and licensing </w:t>
      </w:r>
      <w:r>
        <w:t>blood centres in accordance with good manufacturing practice</w:t>
      </w:r>
    </w:p>
    <w:p w14:paraId="4906083E" w14:textId="77777777" w:rsidR="0041081F" w:rsidRDefault="0041081F" w:rsidP="00E66069">
      <w:pPr>
        <w:pStyle w:val="Bullet6"/>
        <w:numPr>
          <w:ilvl w:val="0"/>
          <w:numId w:val="22"/>
        </w:numPr>
      </w:pPr>
      <w:r>
        <w:t>issuing product recalls</w:t>
      </w:r>
    </w:p>
    <w:p w14:paraId="07770CD1" w14:textId="77777777" w:rsidR="0041081F" w:rsidRPr="004662BA" w:rsidRDefault="0041081F" w:rsidP="00E66069">
      <w:pPr>
        <w:pStyle w:val="Bullet6"/>
        <w:numPr>
          <w:ilvl w:val="0"/>
          <w:numId w:val="22"/>
        </w:numPr>
      </w:pPr>
      <w:r>
        <w:t xml:space="preserve">approving changes to the </w:t>
      </w:r>
      <w:r w:rsidRPr="004662BA">
        <w:t>NZBS Collection and Manufacturing Standards</w:t>
      </w:r>
      <w:r>
        <w:t>.</w:t>
      </w:r>
    </w:p>
    <w:p w14:paraId="7D335CAD" w14:textId="77777777" w:rsidR="0041081F" w:rsidRDefault="0041081F" w:rsidP="0041081F">
      <w:pPr>
        <w:pStyle w:val="Heading3a"/>
      </w:pPr>
      <w:r>
        <w:t>New Zealand Blood Service</w:t>
      </w:r>
    </w:p>
    <w:p w14:paraId="3677663D" w14:textId="77777777" w:rsidR="0041081F" w:rsidRDefault="0041081F" w:rsidP="0041081F">
      <w:r>
        <w:t xml:space="preserve">The NZBS is a Crown Entity established under the </w:t>
      </w:r>
      <w:r w:rsidRPr="00B01518">
        <w:rPr>
          <w:i/>
        </w:rPr>
        <w:t>New Zealand Public Health and Disability Act 2000</w:t>
      </w:r>
      <w:r>
        <w:t xml:space="preserve">. Its legislated purpose and core activity is the safe, timely, high-quality and efficient provision of blood and blood products to clinicians for the people of New Zealand. It also provides related services, including matching of patients and donors before organ or tissue transplantation, and provision of tissue banking (skin, bone and stem cell services). </w:t>
      </w:r>
    </w:p>
    <w:p w14:paraId="1D9A02B6" w14:textId="77777777" w:rsidR="0041081F" w:rsidRDefault="0041081F" w:rsidP="0041081F">
      <w:r>
        <w:t xml:space="preserve">The NZBS Board is appointed by, and responsible to, the Minister of Health, and performs strategic and governance functions in accordance with the Act. </w:t>
      </w:r>
    </w:p>
    <w:p w14:paraId="3866BDB6" w14:textId="77777777" w:rsidR="0041081F" w:rsidRDefault="0041081F" w:rsidP="0041081F">
      <w:r>
        <w:t xml:space="preserve">The NZBS works closely with regulators, the Ministry of Health and international agencies to monitor international developments in the field of transfusion medicine, to develop national policies and to implement them as appropriate in the New Zealand setting. </w:t>
      </w:r>
    </w:p>
    <w:p w14:paraId="5888AE6E" w14:textId="77777777" w:rsidR="0041081F" w:rsidRDefault="0041081F" w:rsidP="0041081F">
      <w:r>
        <w:t xml:space="preserve">In addition to its role in collecting, processing and distribution of blood and blood products, the NZBS is actively involved in the provision of blood banking and clinical services within New Zealand’s major hospitals. </w:t>
      </w:r>
    </w:p>
    <w:p w14:paraId="0E989E76" w14:textId="77777777" w:rsidR="0041081F" w:rsidRDefault="0041081F" w:rsidP="0041081F">
      <w:pPr>
        <w:sectPr w:rsidR="0041081F" w:rsidSect="00CD29C9">
          <w:headerReference w:type="even" r:id="rId50"/>
          <w:headerReference w:type="default" r:id="rId51"/>
          <w:headerReference w:type="first" r:id="rId52"/>
          <w:footnotePr>
            <w:numFmt w:val="lowerLetter"/>
          </w:footnotePr>
          <w:type w:val="oddPage"/>
          <w:pgSz w:w="11906" w:h="16838" w:code="9"/>
          <w:pgMar w:top="1440" w:right="1440" w:bottom="1440" w:left="1440" w:header="578" w:footer="578" w:gutter="0"/>
          <w:cols w:space="720"/>
          <w:titlePg/>
          <w:docGrid w:linePitch="360"/>
        </w:sectPr>
      </w:pPr>
    </w:p>
    <w:p w14:paraId="1003C8F2" w14:textId="77777777" w:rsidR="0041081F" w:rsidRDefault="0041081F" w:rsidP="0041081F">
      <w:pPr>
        <w:pStyle w:val="Heading1"/>
      </w:pPr>
      <w:bookmarkStart w:id="286" w:name="_Toc386021921"/>
      <w:bookmarkStart w:id="287" w:name="_Toc427851407"/>
      <w:r w:rsidRPr="00E419E4">
        <w:t xml:space="preserve">Appendix </w:t>
      </w:r>
      <w:r>
        <w:t>E</w:t>
      </w:r>
      <w:r>
        <w:tab/>
      </w:r>
      <w:r>
        <w:rPr>
          <w:lang w:val="en-US"/>
        </w:rPr>
        <w:t>P</w:t>
      </w:r>
      <w:r>
        <w:t>roduct information</w:t>
      </w:r>
      <w:bookmarkEnd w:id="286"/>
      <w:bookmarkEnd w:id="287"/>
    </w:p>
    <w:p w14:paraId="7C40A89A" w14:textId="77777777" w:rsidR="0041081F" w:rsidRDefault="0041081F" w:rsidP="0041081F">
      <w:bookmarkStart w:id="288" w:name="_Toc282674501"/>
      <w:r>
        <w:t xml:space="preserve">For information on blood products available in Australia, see the website of the </w:t>
      </w:r>
      <w:r w:rsidRPr="00AD5A29">
        <w:t>Australian Red Cross Blood Service</w:t>
      </w:r>
      <w:r>
        <w:t xml:space="preserve"> (</w:t>
      </w:r>
      <w:hyperlink r:id="rId53" w:history="1">
        <w:r w:rsidRPr="005622AB">
          <w:rPr>
            <w:rStyle w:val="Hyperlink"/>
            <w:color w:val="000000"/>
          </w:rPr>
          <w:t>www.transfusion.com.au</w:t>
        </w:r>
      </w:hyperlink>
      <w:r>
        <w:t>).</w:t>
      </w:r>
    </w:p>
    <w:p w14:paraId="57912117" w14:textId="77777777" w:rsidR="0041081F" w:rsidRPr="0041081F" w:rsidRDefault="0041081F" w:rsidP="0041081F">
      <w:pPr>
        <w:sectPr w:rsidR="0041081F" w:rsidRPr="0041081F" w:rsidSect="00CD29C9">
          <w:headerReference w:type="even" r:id="rId54"/>
          <w:headerReference w:type="default" r:id="rId55"/>
          <w:headerReference w:type="first" r:id="rId56"/>
          <w:footnotePr>
            <w:numFmt w:val="lowerLetter"/>
          </w:footnotePr>
          <w:type w:val="oddPage"/>
          <w:pgSz w:w="11906" w:h="16838" w:code="9"/>
          <w:pgMar w:top="1440" w:right="1440" w:bottom="1440" w:left="1440" w:header="578" w:footer="578" w:gutter="0"/>
          <w:cols w:space="720"/>
          <w:titlePg/>
          <w:docGrid w:linePitch="360"/>
        </w:sectPr>
      </w:pPr>
      <w:r>
        <w:t xml:space="preserve">For information on blood products available in New Zealand, see the website of the New Zealand Blood </w:t>
      </w:r>
      <w:r w:rsidRPr="00C77D1F">
        <w:rPr>
          <w:color w:val="auto"/>
        </w:rPr>
        <w:t>Service (</w:t>
      </w:r>
      <w:hyperlink r:id="rId57" w:history="1">
        <w:r w:rsidRPr="00C77D1F">
          <w:rPr>
            <w:rStyle w:val="Hyperlink"/>
            <w:color w:val="auto"/>
          </w:rPr>
          <w:t>www.nzblood.co.nz</w:t>
        </w:r>
      </w:hyperlink>
      <w:r w:rsidRPr="00C77D1F">
        <w:rPr>
          <w:color w:val="auto"/>
        </w:rPr>
        <w:t>).</w:t>
      </w:r>
      <w:bookmarkEnd w:id="288"/>
    </w:p>
    <w:p w14:paraId="75AF6703" w14:textId="77777777" w:rsidR="0092346E" w:rsidRDefault="0092346E" w:rsidP="00241687">
      <w:pPr>
        <w:pStyle w:val="Heading1"/>
        <w:rPr>
          <w:lang w:val="en-AU"/>
        </w:rPr>
      </w:pPr>
      <w:bookmarkStart w:id="289" w:name="_Toc427851408"/>
      <w:r>
        <w:rPr>
          <w:lang w:val="en-AU"/>
        </w:rPr>
        <w:t>Appendix F</w:t>
      </w:r>
      <w:r w:rsidR="00A879D7">
        <w:rPr>
          <w:lang w:val="en-AU"/>
        </w:rPr>
        <w:tab/>
      </w:r>
      <w:r w:rsidR="00A879D7" w:rsidRPr="007E1685">
        <w:t>RBC transfusions in preterm infants</w:t>
      </w:r>
      <w:bookmarkEnd w:id="289"/>
    </w:p>
    <w:p w14:paraId="12BE33DD" w14:textId="77777777" w:rsidR="006114A4" w:rsidRPr="0058358F" w:rsidRDefault="006114A4" w:rsidP="006114A4">
      <w:r>
        <w:t xml:space="preserve">This appendix provides clinical guidance from the </w:t>
      </w:r>
      <w:r w:rsidRPr="00027D45">
        <w:t>Clinical/Consumer Reference Group</w:t>
      </w:r>
      <w:r>
        <w:t xml:space="preserve"> (CRG) on haemoglobin (Hb) </w:t>
      </w:r>
      <w:r w:rsidRPr="0058358F">
        <w:t xml:space="preserve">thresholds for </w:t>
      </w:r>
      <w:r>
        <w:t xml:space="preserve">transfusion of </w:t>
      </w:r>
      <w:r w:rsidRPr="0058358F">
        <w:t xml:space="preserve">preterm infants. </w:t>
      </w:r>
    </w:p>
    <w:p w14:paraId="25D86FEA" w14:textId="4C81BDD8" w:rsidR="006114A4" w:rsidRDefault="006114A4" w:rsidP="006114A4">
      <w:r w:rsidRPr="0058358F">
        <w:t>In the absence of clear evidence from high</w:t>
      </w:r>
      <w:r>
        <w:t>-</w:t>
      </w:r>
      <w:r w:rsidRPr="0058358F">
        <w:t xml:space="preserve">quality trials, there is wide variation in </w:t>
      </w:r>
      <w:r>
        <w:t xml:space="preserve">such thresholds in </w:t>
      </w:r>
      <w:r w:rsidRPr="0058358F">
        <w:t>international practice, as demonstrated by a recent survey of 1018 neonatologists in 22 countries</w:t>
      </w:r>
      <w:r>
        <w:t>.</w:t>
      </w:r>
      <w:hyperlink w:anchor="_ENREF_393" w:tooltip="Guillen, 2012 #1024" w:history="1">
        <w:r w:rsidR="00E62798">
          <w:fldChar w:fldCharType="begin">
            <w:fldData xml:space="preserve">PEVuZE5vdGU+PENpdGU+PEF1dGhvcj5HdWlsbGVuPC9BdXRob3I+PFllYXI+MjAxMjwvWWVhcj48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</w:fldData>
          </w:fldChar>
        </w:r>
        <w:r w:rsidR="00E62798">
          <w:instrText xml:space="preserve"> ADDIN EN.CITE </w:instrText>
        </w:r>
        <w:r w:rsidR="00E62798">
          <w:fldChar w:fldCharType="begin">
            <w:fldData xml:space="preserve">PEVuZE5vdGU+PENpdGU+PEF1dGhvcj5HdWlsbGVuPC9BdXRob3I+PFllYXI+MjAxMjwvWWVhcj48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393</w:t>
        </w:r>
        <w:r w:rsidR="00E62798">
          <w:fldChar w:fldCharType="end"/>
        </w:r>
      </w:hyperlink>
      <w:r>
        <w:t xml:space="preserve"> F</w:t>
      </w:r>
      <w:r w:rsidRPr="0058358F">
        <w:t xml:space="preserve">or </w:t>
      </w:r>
      <w:r>
        <w:t>infants of extremely low birth weight</w:t>
      </w:r>
      <w:r w:rsidR="004E2E70">
        <w:t xml:space="preserve"> </w:t>
      </w:r>
      <w:r w:rsidRPr="0058358F">
        <w:t xml:space="preserve">or &lt;28 week gestation, most neonatologists favoured </w:t>
      </w:r>
      <w:r>
        <w:t>Hb</w:t>
      </w:r>
      <w:r w:rsidRPr="0058358F">
        <w:t xml:space="preserve"> thresholds for transfusion of 95</w:t>
      </w:r>
      <w:r>
        <w:t>–</w:t>
      </w:r>
      <w:r w:rsidRPr="0058358F">
        <w:t>120</w:t>
      </w:r>
      <w:r>
        <w:t> g/L</w:t>
      </w:r>
      <w:r w:rsidRPr="0058358F">
        <w:t xml:space="preserve"> for infants not receiving mechanical</w:t>
      </w:r>
      <w:r>
        <w:t xml:space="preserve"> ventilation, then</w:t>
      </w:r>
      <w:r w:rsidRPr="0058358F">
        <w:t xml:space="preserve"> decreasing thr</w:t>
      </w:r>
      <w:r>
        <w:t xml:space="preserve">esholds over subsequent weeks. They favoured higher thresholds for infants receiving increased </w:t>
      </w:r>
      <w:r w:rsidRPr="0058358F">
        <w:t>r</w:t>
      </w:r>
      <w:r>
        <w:t>espiratory support in the form of supplemental oxygen.</w:t>
      </w:r>
      <w:r w:rsidR="004E2E70">
        <w:t xml:space="preserve"> </w:t>
      </w:r>
    </w:p>
    <w:p w14:paraId="7B4A3A8C" w14:textId="4E621FCC" w:rsidR="006114A4" w:rsidRDefault="006114A4" w:rsidP="006114A4">
      <w:r>
        <w:t xml:space="preserve">New information is expected from large randomised controlled trials that are currently underway. Meanwhile, the CRG suggests that the values given in Table F.1 represent a reasonable approach to transfusion thresholds for preterm infants. </w:t>
      </w:r>
    </w:p>
    <w:p w14:paraId="69B50531" w14:textId="07060621" w:rsidR="006114A4" w:rsidRPr="0058358F" w:rsidRDefault="006114A4" w:rsidP="006114A4">
      <w:pPr>
        <w:pStyle w:val="TableName"/>
      </w:pPr>
      <w:bookmarkStart w:id="290" w:name="_Toc427758400"/>
      <w:r>
        <w:t>Table F.1</w:t>
      </w:r>
      <w:r>
        <w:tab/>
        <w:t>Haemoglobin threshold for preterm infants</w:t>
      </w:r>
      <w:bookmarkEnd w:id="290"/>
    </w:p>
    <w:tbl>
      <w:tblPr>
        <w:tblStyle w:val="TableGrid"/>
        <w:tblW w:w="0" w:type="auto"/>
        <w:tblInd w:w="704" w:type="dxa"/>
        <w:tblLook w:val="04A0" w:firstRow="1" w:lastRow="0" w:firstColumn="1" w:lastColumn="0" w:noHBand="0" w:noVBand="1"/>
      </w:tblPr>
      <w:tblGrid>
        <w:gridCol w:w="1339"/>
        <w:gridCol w:w="3119"/>
        <w:gridCol w:w="3128"/>
      </w:tblGrid>
      <w:tr w:rsidR="006114A4" w14:paraId="5F5AEB67" w14:textId="77777777" w:rsidTr="00D765D9">
        <w:tc>
          <w:tcPr>
            <w:tcW w:w="1339" w:type="dxa"/>
            <w:vMerge w:val="restart"/>
          </w:tcPr>
          <w:p w14:paraId="60951E36" w14:textId="77777777" w:rsidR="006114A4" w:rsidRDefault="006114A4" w:rsidP="006114A4">
            <w:pPr>
              <w:pStyle w:val="TableHeading"/>
            </w:pPr>
            <w:r>
              <w:t>Postnatal week</w:t>
            </w:r>
          </w:p>
        </w:tc>
        <w:tc>
          <w:tcPr>
            <w:tcW w:w="6247" w:type="dxa"/>
            <w:gridSpan w:val="2"/>
          </w:tcPr>
          <w:p w14:paraId="53B4EFA8" w14:textId="77777777" w:rsidR="006114A4" w:rsidRPr="004F2C4A" w:rsidRDefault="006114A4" w:rsidP="006114A4">
            <w:pPr>
              <w:pStyle w:val="TableHeading"/>
              <w:jc w:val="center"/>
            </w:pPr>
            <w:r>
              <w:t>Hb (g/L)</w:t>
            </w:r>
          </w:p>
        </w:tc>
      </w:tr>
      <w:tr w:rsidR="006114A4" w14:paraId="298DC341" w14:textId="77777777" w:rsidTr="00D765D9">
        <w:tc>
          <w:tcPr>
            <w:tcW w:w="1339" w:type="dxa"/>
            <w:vMerge/>
          </w:tcPr>
          <w:p w14:paraId="3E05B36C" w14:textId="77777777" w:rsidR="006114A4" w:rsidRDefault="006114A4" w:rsidP="006114A4">
            <w:pPr>
              <w:pStyle w:val="TableText"/>
            </w:pPr>
          </w:p>
        </w:tc>
        <w:tc>
          <w:tcPr>
            <w:tcW w:w="3119" w:type="dxa"/>
          </w:tcPr>
          <w:p w14:paraId="7BC10A60" w14:textId="77777777" w:rsidR="006114A4" w:rsidRDefault="006114A4" w:rsidP="006114A4">
            <w:pPr>
              <w:pStyle w:val="TableHeading"/>
              <w:jc w:val="center"/>
            </w:pPr>
            <w:r>
              <w:t>No respiratory support</w:t>
            </w:r>
          </w:p>
        </w:tc>
        <w:tc>
          <w:tcPr>
            <w:tcW w:w="3128" w:type="dxa"/>
          </w:tcPr>
          <w:p w14:paraId="37B80467" w14:textId="77777777" w:rsidR="006114A4" w:rsidRDefault="006114A4" w:rsidP="006114A4">
            <w:pPr>
              <w:pStyle w:val="TableHeading"/>
              <w:jc w:val="center"/>
            </w:pPr>
            <w:r>
              <w:t>Respiratory support (e.g. supplemental oxygen, high-flow nasal cannula, CPAP, positive-pressure ventilation)</w:t>
            </w:r>
          </w:p>
        </w:tc>
      </w:tr>
      <w:tr w:rsidR="006114A4" w14:paraId="1FB4AD1A" w14:textId="77777777" w:rsidTr="00D765D9">
        <w:tc>
          <w:tcPr>
            <w:tcW w:w="1339" w:type="dxa"/>
          </w:tcPr>
          <w:p w14:paraId="3E88544E" w14:textId="77777777" w:rsidR="006114A4" w:rsidRDefault="006114A4" w:rsidP="006114A4">
            <w:pPr>
              <w:pStyle w:val="TableText"/>
            </w:pPr>
            <w:r>
              <w:t>1</w:t>
            </w:r>
          </w:p>
        </w:tc>
        <w:tc>
          <w:tcPr>
            <w:tcW w:w="3119" w:type="dxa"/>
          </w:tcPr>
          <w:p w14:paraId="0F16F6F3" w14:textId="77777777" w:rsidR="006114A4" w:rsidRPr="004F2C4A" w:rsidRDefault="006114A4" w:rsidP="006114A4">
            <w:pPr>
              <w:pStyle w:val="TableText"/>
              <w:ind w:right="1231"/>
              <w:jc w:val="right"/>
            </w:pPr>
            <w:r>
              <w:t>100–120</w:t>
            </w:r>
          </w:p>
        </w:tc>
        <w:tc>
          <w:tcPr>
            <w:tcW w:w="3128" w:type="dxa"/>
          </w:tcPr>
          <w:p w14:paraId="7F0C8E1B" w14:textId="77777777" w:rsidR="006114A4" w:rsidRPr="004F2C4A" w:rsidRDefault="006114A4" w:rsidP="006114A4">
            <w:pPr>
              <w:pStyle w:val="TableText"/>
              <w:ind w:right="1231"/>
              <w:jc w:val="right"/>
            </w:pPr>
            <w:r>
              <w:t>110–130</w:t>
            </w:r>
          </w:p>
        </w:tc>
      </w:tr>
      <w:tr w:rsidR="006114A4" w14:paraId="122A5AB5" w14:textId="77777777" w:rsidTr="00D765D9">
        <w:tc>
          <w:tcPr>
            <w:tcW w:w="1339" w:type="dxa"/>
          </w:tcPr>
          <w:p w14:paraId="71618BB2" w14:textId="77777777" w:rsidR="006114A4" w:rsidRDefault="006114A4" w:rsidP="006114A4">
            <w:pPr>
              <w:pStyle w:val="TableText"/>
            </w:pPr>
            <w:r>
              <w:t>2</w:t>
            </w:r>
          </w:p>
        </w:tc>
        <w:tc>
          <w:tcPr>
            <w:tcW w:w="3119" w:type="dxa"/>
          </w:tcPr>
          <w:p w14:paraId="46390FEB" w14:textId="77777777" w:rsidR="006114A4" w:rsidRPr="004F2C4A" w:rsidRDefault="006114A4" w:rsidP="006114A4">
            <w:pPr>
              <w:pStyle w:val="TableText"/>
              <w:ind w:right="1231"/>
              <w:jc w:val="right"/>
            </w:pPr>
            <w:r>
              <w:t>85–110</w:t>
            </w:r>
          </w:p>
        </w:tc>
        <w:tc>
          <w:tcPr>
            <w:tcW w:w="3128" w:type="dxa"/>
          </w:tcPr>
          <w:p w14:paraId="162485B6" w14:textId="77777777" w:rsidR="006114A4" w:rsidRPr="004F2C4A" w:rsidRDefault="006114A4" w:rsidP="006114A4">
            <w:pPr>
              <w:pStyle w:val="TableText"/>
              <w:ind w:right="1231"/>
              <w:jc w:val="right"/>
            </w:pPr>
            <w:r>
              <w:t>100–125</w:t>
            </w:r>
          </w:p>
        </w:tc>
      </w:tr>
      <w:tr w:rsidR="006114A4" w14:paraId="68F33D20" w14:textId="77777777" w:rsidTr="00D765D9">
        <w:tc>
          <w:tcPr>
            <w:tcW w:w="1339" w:type="dxa"/>
          </w:tcPr>
          <w:p w14:paraId="7DE67F15" w14:textId="73D9BB73" w:rsidR="006114A4" w:rsidRPr="004F2C4A" w:rsidRDefault="006114A4" w:rsidP="006114A4">
            <w:pPr>
              <w:pStyle w:val="TableText"/>
            </w:pPr>
            <w:r>
              <w:rPr>
                <w:rFonts w:ascii="Calibri" w:hAnsi="Calibri"/>
              </w:rPr>
              <w:t>≥</w:t>
            </w:r>
            <w:r>
              <w:t>3</w:t>
            </w:r>
          </w:p>
        </w:tc>
        <w:tc>
          <w:tcPr>
            <w:tcW w:w="3119" w:type="dxa"/>
          </w:tcPr>
          <w:p w14:paraId="0EA644B7" w14:textId="77777777" w:rsidR="006114A4" w:rsidRDefault="006114A4" w:rsidP="006114A4">
            <w:pPr>
              <w:pStyle w:val="TableText"/>
              <w:ind w:right="1231"/>
              <w:jc w:val="right"/>
            </w:pPr>
            <w:r>
              <w:t>70–100</w:t>
            </w:r>
          </w:p>
        </w:tc>
        <w:tc>
          <w:tcPr>
            <w:tcW w:w="3128" w:type="dxa"/>
          </w:tcPr>
          <w:p w14:paraId="1BA6CC2B" w14:textId="77777777" w:rsidR="006114A4" w:rsidRDefault="006114A4" w:rsidP="006114A4">
            <w:pPr>
              <w:pStyle w:val="TableText"/>
              <w:ind w:right="1231"/>
              <w:jc w:val="right"/>
            </w:pPr>
            <w:r>
              <w:t>85–110</w:t>
            </w:r>
          </w:p>
        </w:tc>
      </w:tr>
    </w:tbl>
    <w:p w14:paraId="567CD49B" w14:textId="793CB27D" w:rsidR="006114A4" w:rsidRDefault="006114A4" w:rsidP="006114A4">
      <w:pPr>
        <w:pStyle w:val="TableFigNotes18"/>
      </w:pPr>
      <w:r>
        <w:t>CPAP, continuous positive airway pressure;</w:t>
      </w:r>
      <w:r w:rsidRPr="006114A4">
        <w:t xml:space="preserve"> </w:t>
      </w:r>
      <w:r>
        <w:t>Hb, haemoglobin</w:t>
      </w:r>
    </w:p>
    <w:p w14:paraId="0DF5324D" w14:textId="77777777" w:rsidR="006114A4" w:rsidRDefault="006114A4" w:rsidP="006114A4">
      <w:pPr>
        <w:pStyle w:val="Normalbeforebullet"/>
      </w:pPr>
      <w:r>
        <w:t>The threshold for transfusion within these ranges may be influenced by the presence of symptoms and other factors</w:t>
      </w:r>
      <w:r w:rsidRPr="006C59E6">
        <w:t xml:space="preserve"> </w:t>
      </w:r>
      <w:r>
        <w:t>such as:</w:t>
      </w:r>
    </w:p>
    <w:p w14:paraId="12976E58" w14:textId="77777777" w:rsidR="006114A4" w:rsidRDefault="006114A4" w:rsidP="006114A4">
      <w:pPr>
        <w:pStyle w:val="Bullet6"/>
      </w:pPr>
      <w:r>
        <w:t>anticipated blood loss (e.g. haemolysis, phlebotomy or surgery)</w:t>
      </w:r>
    </w:p>
    <w:p w14:paraId="5670EC8D" w14:textId="77777777" w:rsidR="006114A4" w:rsidRDefault="006114A4" w:rsidP="006114A4">
      <w:pPr>
        <w:pStyle w:val="Bullet6"/>
      </w:pPr>
      <w:r>
        <w:t>quality of nutrition</w:t>
      </w:r>
    </w:p>
    <w:p w14:paraId="452FBB1C" w14:textId="77777777" w:rsidR="006114A4" w:rsidRDefault="006114A4" w:rsidP="006114A4">
      <w:pPr>
        <w:pStyle w:val="Bullet6"/>
      </w:pPr>
      <w:r>
        <w:t>severity of illness</w:t>
      </w:r>
    </w:p>
    <w:p w14:paraId="5329EB80" w14:textId="5A33B826" w:rsidR="006114A4" w:rsidRDefault="006114A4" w:rsidP="006114A4">
      <w:pPr>
        <w:pStyle w:val="Bullet12"/>
      </w:pPr>
      <w:r>
        <w:rPr>
          <w:lang w:val="en-AU"/>
        </w:rPr>
        <w:t xml:space="preserve">site of sampling – </w:t>
      </w:r>
      <w:r w:rsidRPr="00E34A85">
        <w:t xml:space="preserve">Hb measured on blood samples obtained from a large artery or </w:t>
      </w:r>
      <w:r>
        <w:rPr>
          <w:lang w:val="en-AU"/>
        </w:rPr>
        <w:t xml:space="preserve">from </w:t>
      </w:r>
      <w:r w:rsidRPr="00E34A85">
        <w:t>veins tends to be lower than that from free-flowing capillary sample</w:t>
      </w:r>
      <w:r>
        <w:rPr>
          <w:lang w:val="en-AU"/>
        </w:rPr>
        <w:t>s.</w:t>
      </w:r>
      <w:hyperlink w:anchor="_ENREF_394" w:tooltip="Blanchette, 1984 #1026" w:history="1">
        <w:r w:rsidR="00E62798">
          <w:rPr>
            <w:lang w:val="en-AU"/>
          </w:rPr>
          <w:fldChar w:fldCharType="begin"/>
        </w:r>
        <w:r w:rsidR="00E62798">
          <w:rPr>
            <w:lang w:val="en-AU"/>
          </w:rPr>
          <w:instrText xml:space="preserve"> ADDIN EN.CITE &lt;EndNote&gt;&lt;Cite&gt;&lt;Author&gt;Blanchette&lt;/Author&gt;&lt;Year&gt;1984&lt;/Year&gt;&lt;RecNum&gt;1026&lt;/RecNum&gt;&lt;DisplayText&gt;&lt;style face="superscript"&gt;394&lt;/style&gt;&lt;/DisplayText&gt;&lt;record&gt;&lt;rec-number&gt;1026&lt;/rec-number&gt;&lt;foreign-keys&gt;&lt;key app="EN" db-id="9edve2wadsavt5ewavaxtda4f2tavzvts9ee" timestamp="1437636504"&gt;1026&lt;/key&gt;&lt;/foreign-keys&gt;&lt;ref-type name="Journal Article"&gt;17&lt;/ref-type&gt;&lt;contributors&gt;&lt;authors&gt;&lt;author&gt;Blanchette, V. S.&lt;/author&gt;&lt;author&gt;Zipursky, A.&lt;/author&gt;&lt;/authors&gt;&lt;/contributors&gt;&lt;titles&gt;&lt;title&gt;Assessment of anemia in newborn infants&lt;/title&gt;&lt;secondary-title&gt;Clin Perinatol&lt;/secondary-title&gt;&lt;/titles&gt;&lt;periodical&gt;&lt;full-title&gt;Clin Perinatol&lt;/full-title&gt;&lt;/periodical&gt;&lt;pages&gt;489–510&lt;/pages&gt;&lt;volume&gt;11&lt;/volume&gt;&lt;number&gt;2&lt;/number&gt;&lt;keywords&gt;&lt;keyword&gt;Anemia, Neonatal/classification/*diagnosis/etiology/therapy&lt;/keyword&gt;&lt;keyword&gt;Capillaries&lt;/keyword&gt;&lt;keyword&gt;Erythrocyte Volume&lt;/keyword&gt;&lt;keyword&gt;Fetal Blood&lt;/keyword&gt;&lt;keyword&gt;Growth&lt;/keyword&gt;&lt;keyword&gt;Hematocrit&lt;/keyword&gt;&lt;keyword&gt;Hemoglobins/*metabolism&lt;/keyword&gt;&lt;keyword&gt;Humans&lt;/keyword&gt;&lt;keyword&gt;Infant&lt;/keyword&gt;&lt;keyword&gt;Infant, Newborn&lt;/keyword&gt;&lt;keyword&gt;Reference Values&lt;/keyword&gt;&lt;/keywords&gt;&lt;dates&gt;&lt;year&gt;1984&lt;/year&gt;&lt;pub-dates&gt;&lt;date&gt;Jun&lt;/date&gt;&lt;/pub-dates&gt;&lt;/dates&gt;&lt;isbn&gt;0095-5108 (Print)&amp;#xD;0095-5108 (Linking)&lt;/isbn&gt;&lt;accession-num&gt;6378489&lt;/accession-num&gt;&lt;urls&gt;&lt;related-urls&gt;&lt;url&gt;http://www.ncbi.nlm.nih.gov/pubmed/6378489&lt;/url&gt;&lt;/related-urls&gt;&lt;/urls&gt;&lt;/record&gt;&lt;/Cite&gt;&lt;/EndNote&gt;</w:instrText>
        </w:r>
        <w:r w:rsidR="00E62798">
          <w:rPr>
            <w:lang w:val="en-AU"/>
          </w:rPr>
          <w:fldChar w:fldCharType="separate"/>
        </w:r>
        <w:r w:rsidR="00E62798" w:rsidRPr="00E62798">
          <w:rPr>
            <w:noProof/>
            <w:vertAlign w:val="superscript"/>
            <w:lang w:val="en-AU"/>
          </w:rPr>
          <w:t>394</w:t>
        </w:r>
        <w:r w:rsidR="00E62798">
          <w:rPr>
            <w:lang w:val="en-AU"/>
          </w:rPr>
          <w:fldChar w:fldCharType="end"/>
        </w:r>
      </w:hyperlink>
      <w:r>
        <w:t xml:space="preserve"> </w:t>
      </w:r>
    </w:p>
    <w:p w14:paraId="0A3C6E89" w14:textId="345C42BD" w:rsidR="006114A4" w:rsidRDefault="006114A4" w:rsidP="006114A4">
      <w:pPr>
        <w:rPr>
          <w:rFonts w:asciiTheme="majorHAnsi" w:hAnsiTheme="majorHAnsi"/>
        </w:rPr>
      </w:pPr>
      <w:r w:rsidRPr="00E34A85">
        <w:t xml:space="preserve">In general, the decision to transfuse should be based on laboratory measurement of </w:t>
      </w:r>
      <w:r>
        <w:t xml:space="preserve">Hb </w:t>
      </w:r>
      <w:r w:rsidRPr="00E34A85">
        <w:t xml:space="preserve">rather than </w:t>
      </w:r>
      <w:r>
        <w:t xml:space="preserve">on </w:t>
      </w:r>
      <w:r w:rsidRPr="00E34A85">
        <w:t>estimates obtained from blood gas analysers, except in cases of clinical urgency.</w:t>
      </w:r>
      <w:r>
        <w:t xml:space="preserve"> For guidance in calculating volume to transfuse, see Appendix J. </w:t>
      </w:r>
    </w:p>
    <w:p w14:paraId="4F51DDFE" w14:textId="77777777" w:rsidR="006114A4" w:rsidRDefault="006114A4">
      <w:pPr>
        <w:spacing w:after="0"/>
        <w:ind w:left="0"/>
        <w:rPr>
          <w:rFonts w:ascii="Arial" w:hAnsi="Arial" w:cs="Times New Roman"/>
          <w:b/>
          <w:bCs/>
          <w:spacing w:val="40"/>
          <w:kern w:val="28"/>
          <w:sz w:val="36"/>
          <w:szCs w:val="32"/>
        </w:rPr>
      </w:pPr>
      <w:r>
        <w:br w:type="page"/>
      </w:r>
    </w:p>
    <w:p w14:paraId="031EAE31" w14:textId="77777777" w:rsidR="00862E15" w:rsidRDefault="00A879D7" w:rsidP="00A879D7">
      <w:pPr>
        <w:pStyle w:val="Heading1"/>
        <w:rPr>
          <w:lang w:val="en-AU"/>
        </w:rPr>
        <w:sectPr w:rsidR="00862E15" w:rsidSect="00CD29C9">
          <w:footnotePr>
            <w:numFmt w:val="lowerLetter"/>
          </w:footnotePr>
          <w:pgSz w:w="11906" w:h="16838" w:code="9"/>
          <w:pgMar w:top="1440" w:right="1440" w:bottom="1440" w:left="1440" w:header="578" w:footer="578" w:gutter="0"/>
          <w:cols w:space="720"/>
          <w:titlePg/>
          <w:docGrid w:linePitch="360"/>
        </w:sectPr>
      </w:pPr>
      <w:bookmarkStart w:id="291" w:name="_Toc427851409"/>
      <w:r>
        <w:rPr>
          <w:lang w:val="en-AU"/>
        </w:rPr>
        <w:t>Appendix G</w:t>
      </w:r>
      <w:r>
        <w:rPr>
          <w:lang w:val="en-AU"/>
        </w:rPr>
        <w:tab/>
        <w:t>Paediatric haemoglobin assessment and optimisation template</w:t>
      </w:r>
      <w:bookmarkEnd w:id="291"/>
    </w:p>
    <w:p w14:paraId="60A36A47" w14:textId="096B4ACF" w:rsidR="00A879D7" w:rsidRPr="00A803F8" w:rsidRDefault="00C77D1F" w:rsidP="00A803F8">
      <w:pPr>
        <w:jc w:val="center"/>
      </w:pPr>
      <w:r>
        <w:rPr>
          <w:noProof/>
        </w:rPr>
        <w:drawing>
          <wp:anchor distT="0" distB="0" distL="114300" distR="114300" simplePos="0" relativeHeight="251659264" behindDoc="1" locked="0" layoutInCell="1" allowOverlap="1" wp14:anchorId="28DA5192" wp14:editId="7375786F">
            <wp:simplePos x="0" y="0"/>
            <wp:positionH relativeFrom="column">
              <wp:posOffset>-535305</wp:posOffset>
            </wp:positionH>
            <wp:positionV relativeFrom="paragraph">
              <wp:posOffset>-207645</wp:posOffset>
            </wp:positionV>
            <wp:extent cx="9996805" cy="5624195"/>
            <wp:effectExtent l="0" t="0" r="4445" b="0"/>
            <wp:wrapTight wrapText="bothSides">
              <wp:wrapPolygon edited="0">
                <wp:start x="0" y="0"/>
                <wp:lineTo x="0" y="21510"/>
                <wp:lineTo x="21568" y="21510"/>
                <wp:lineTo x="215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9996805" cy="5624195"/>
                    </a:xfrm>
                    <a:prstGeom prst="rect">
                      <a:avLst/>
                    </a:prstGeom>
                  </pic:spPr>
                </pic:pic>
              </a:graphicData>
            </a:graphic>
            <wp14:sizeRelH relativeFrom="page">
              <wp14:pctWidth>0</wp14:pctWidth>
            </wp14:sizeRelH>
            <wp14:sizeRelV relativeFrom="page">
              <wp14:pctHeight>0</wp14:pctHeight>
            </wp14:sizeRelV>
          </wp:anchor>
        </w:drawing>
      </w:r>
      <w:r w:rsidRPr="00C77D1F">
        <w:rPr>
          <w:noProof/>
        </w:rPr>
        <w:t xml:space="preserve"> </w:t>
      </w:r>
    </w:p>
    <w:p w14:paraId="1A5F5C99" w14:textId="74B1B153" w:rsidR="00862E15" w:rsidRDefault="00C77D1F" w:rsidP="00EE1D24">
      <w:pPr>
        <w:sectPr w:rsidR="00862E15" w:rsidSect="00862E15">
          <w:footnotePr>
            <w:numFmt w:val="lowerLetter"/>
          </w:footnotePr>
          <w:pgSz w:w="16838" w:h="11906" w:orient="landscape" w:code="9"/>
          <w:pgMar w:top="1440" w:right="1440" w:bottom="1440" w:left="1440" w:header="578" w:footer="578" w:gutter="0"/>
          <w:cols w:space="720"/>
          <w:titlePg/>
          <w:docGrid w:linePitch="360"/>
        </w:sectPr>
      </w:pPr>
      <w:r>
        <w:rPr>
          <w:noProof/>
        </w:rPr>
        <w:drawing>
          <wp:anchor distT="0" distB="0" distL="114300" distR="114300" simplePos="0" relativeHeight="251660288" behindDoc="1" locked="0" layoutInCell="1" allowOverlap="1" wp14:anchorId="690AD896" wp14:editId="1F9F57BE">
            <wp:simplePos x="0" y="0"/>
            <wp:positionH relativeFrom="column">
              <wp:posOffset>-496570</wp:posOffset>
            </wp:positionH>
            <wp:positionV relativeFrom="paragraph">
              <wp:posOffset>-250825</wp:posOffset>
            </wp:positionV>
            <wp:extent cx="9976485" cy="5612130"/>
            <wp:effectExtent l="0" t="0" r="5715" b="7620"/>
            <wp:wrapTight wrapText="bothSides">
              <wp:wrapPolygon edited="0">
                <wp:start x="0" y="0"/>
                <wp:lineTo x="0" y="21556"/>
                <wp:lineTo x="21571" y="21556"/>
                <wp:lineTo x="215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976485" cy="5612130"/>
                    </a:xfrm>
                    <a:prstGeom prst="rect">
                      <a:avLst/>
                    </a:prstGeom>
                  </pic:spPr>
                </pic:pic>
              </a:graphicData>
            </a:graphic>
            <wp14:sizeRelH relativeFrom="page">
              <wp14:pctWidth>0</wp14:pctWidth>
            </wp14:sizeRelH>
            <wp14:sizeRelV relativeFrom="page">
              <wp14:pctHeight>0</wp14:pctHeight>
            </wp14:sizeRelV>
          </wp:anchor>
        </w:drawing>
      </w:r>
      <w:r w:rsidRPr="00C77D1F">
        <w:rPr>
          <w:noProof/>
        </w:rPr>
        <w:t xml:space="preserve"> </w:t>
      </w:r>
    </w:p>
    <w:p w14:paraId="78310360" w14:textId="7163BD3A" w:rsidR="00380ADB" w:rsidRDefault="00A879D7" w:rsidP="00A879D7">
      <w:pPr>
        <w:pStyle w:val="Heading1"/>
        <w:rPr>
          <w:lang w:val="en-AU"/>
        </w:rPr>
      </w:pPr>
      <w:bookmarkStart w:id="292" w:name="_Toc427851410"/>
      <w:r>
        <w:rPr>
          <w:lang w:val="en-AU"/>
        </w:rPr>
        <w:t xml:space="preserve">Appendix H </w:t>
      </w:r>
      <w:r>
        <w:rPr>
          <w:lang w:val="en-AU"/>
        </w:rPr>
        <w:tab/>
        <w:t>Tranexamic acid dosing guidance</w:t>
      </w:r>
      <w:bookmarkEnd w:id="292"/>
    </w:p>
    <w:p w14:paraId="2962AC27" w14:textId="1947AF00" w:rsidR="00BD644B" w:rsidRDefault="00BD644B" w:rsidP="00BD644B">
      <w:r>
        <w:t xml:space="preserve">This appendix provides guidance from the </w:t>
      </w:r>
      <w:r w:rsidRPr="00027D45">
        <w:t>Clinical/Consumer Reference Group</w:t>
      </w:r>
      <w:r>
        <w:t xml:space="preserve"> (CRG) on tranexamic acid (TXA) dosing in various paediatric patient groups. Evidence </w:t>
      </w:r>
      <w:r w:rsidR="0015132C">
        <w:t xml:space="preserve">for appropriate paediatric dosing </w:t>
      </w:r>
      <w:r>
        <w:t xml:space="preserve">is available </w:t>
      </w:r>
      <w:r w:rsidR="0015132C">
        <w:t xml:space="preserve">for </w:t>
      </w:r>
      <w:r w:rsidRPr="00BD644B">
        <w:t>craniofacial</w:t>
      </w:r>
      <w:r>
        <w:t xml:space="preserve"> surgery</w:t>
      </w:r>
      <w:r w:rsidR="0015132C">
        <w:t>,</w:t>
      </w:r>
      <w:hyperlink w:anchor="_ENREF_203" w:tooltip="Goobie, 2011 #880" w:history="1">
        <w:r w:rsidR="00E62798">
          <w:fldChar w:fldCharType="begin">
            <w:fldData xml:space="preserve">PEVuZE5vdGU+PENpdGU+PEF1dGhvcj5Hb29iaWU8L0F1dGhvcj48WWVhcj4yMDExPC9ZZWFyPjxS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</w:fldData>
          </w:fldChar>
        </w:r>
        <w:r w:rsidR="00E62798">
          <w:instrText xml:space="preserve"> ADDIN EN.CITE </w:instrText>
        </w:r>
        <w:r w:rsidR="00E62798">
          <w:fldChar w:fldCharType="begin">
            <w:fldData xml:space="preserve">PEVuZE5vdGU+PENpdGU+PEF1dGhvcj5Hb29iaWU8L0F1dGhvcj48WWVhcj4yMDExPC9ZZWFyPjxS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203</w:t>
        </w:r>
        <w:r w:rsidR="00E62798">
          <w:fldChar w:fldCharType="end"/>
        </w:r>
      </w:hyperlink>
      <w:r>
        <w:t xml:space="preserve"> and </w:t>
      </w:r>
      <w:r w:rsidR="0015132C">
        <w:t>pragmatic dosing regimes are suggested for trauma</w:t>
      </w:r>
      <w:hyperlink w:anchor="_ENREF_395" w:tooltip="RCPCH, 2012 #757" w:history="1">
        <w:r w:rsidR="0015132C">
          <w:fldChar w:fldCharType="begin"/>
        </w:r>
        <w:r w:rsidR="0015132C">
          <w:instrText xml:space="preserve"> ADDIN EN.CITE &lt;EndNote&gt;&lt;Cite&gt;&lt;Author&gt;RCPCH&lt;/Author&gt;&lt;Year&gt;2012&lt;/Year&gt;&lt;RecNum&gt;757&lt;/RecNum&gt;&lt;DisplayText&gt;&lt;style face="superscript"&gt;395&lt;/style&gt;&lt;/DisplayText&gt;&lt;record&gt;&lt;rec-number&gt;757&lt;/rec-number&gt;&lt;foreign-keys&gt;&lt;key app="EN" db-id="9edve2wadsavt5ewavaxtda4f2tavzvts9ee" timestamp="1431674327"&gt;757&lt;/key&gt;&lt;key app="ENWeb" db-id=""&gt;0&lt;/key&gt;&lt;/foreign-keys&gt;&lt;ref-type name="Report"&gt;27&lt;/ref-type&gt;&lt;contributors&gt;&lt;authors&gt;&lt;author&gt;RCPCH,&lt;/author&gt;&lt;/authors&gt;&lt;/contributors&gt;&lt;titles&gt;&lt;title&gt;Major trauma and the use of tranexamic acid in children&lt;/title&gt;&lt;/titles&gt;&lt;dates&gt;&lt;year&gt;2012&lt;/year&gt;&lt;/dates&gt;&lt;publisher&gt;Royal College of Paediatrics and Child Health&lt;/publisher&gt;&lt;urls&gt;&lt;related-urls&gt;&lt;url&gt;http://www.rcpch.ac.uk/improving-child-health/quality-improvement-and-clinical-audit/childrens-medicines/childrens-medicine#TXA&lt;/url&gt;&lt;/related-urls&gt;&lt;/urls&gt;&lt;/record&gt;&lt;/Cite&gt;&lt;/EndNote&gt;</w:instrText>
        </w:r>
        <w:r w:rsidR="0015132C">
          <w:fldChar w:fldCharType="separate"/>
        </w:r>
        <w:r w:rsidR="0015132C" w:rsidRPr="00E62798">
          <w:rPr>
            <w:noProof/>
            <w:vertAlign w:val="superscript"/>
          </w:rPr>
          <w:t>395</w:t>
        </w:r>
        <w:r w:rsidR="0015132C">
          <w:fldChar w:fldCharType="end"/>
        </w:r>
      </w:hyperlink>
      <w:r w:rsidR="0015132C">
        <w:t xml:space="preserve"> and </w:t>
      </w:r>
      <w:r>
        <w:t>scoliosis surgery,</w:t>
      </w:r>
      <w:hyperlink w:anchor="_ENREF_183" w:tooltip="Tzortzopoulou, 2008 #926" w:history="1">
        <w:r w:rsidR="00E62798">
          <w:fldChar w:fldCharType="begin"/>
        </w:r>
        <w:r w:rsidR="00E62798">
          <w:instrText xml:space="preserve"> ADDIN EN.CITE &lt;EndNote&gt;&lt;Cite&gt;&lt;Author&gt;Tzortzopoulou&lt;/Author&gt;&lt;Year&gt;2008&lt;/Year&gt;&lt;RecNum&gt;926&lt;/RecNum&gt;&lt;DisplayText&gt;&lt;style face="superscript"&gt;183&lt;/style&gt;&lt;/DisplayText&gt;&lt;record&gt;&lt;rec-number&gt;926&lt;/rec-number&gt;&lt;foreign-keys&gt;&lt;key app="EN" db-id="9edve2wadsavt5ewavaxtda4f2tavzvts9ee" timestamp="1435036188"&gt;926&lt;/key&gt;&lt;/foreign-keys&gt;&lt;ref-type name="Journal Article"&gt;17&lt;/ref-type&gt;&lt;contributors&gt;&lt;authors&gt;&lt;author&gt;Tzortzopoulou, Aikaterini&lt;/author&gt;&lt;author&gt;Cepeda, M. Soledad&lt;/author&gt;&lt;author&gt;Schumann, Roman&lt;/author&gt;&lt;author&gt;Carr, Daniel B.&lt;/author&gt;&lt;/authors&gt;&lt;/contributors&gt;&lt;titles&gt;&lt;title&gt;Antifibrinolytic agents for reducing blood loss in scoliosis surgery in children&lt;/title&gt;&lt;secondary-title&gt;Cochrane Database of Systematic Reviews&lt;/secondary-title&gt;&lt;/titles&gt;&lt;periodical&gt;&lt;full-title&gt;Cochrane Database of Systematic Reviews&lt;/full-title&gt;&lt;abbr-1&gt;Cochrane Database Syst. Rev.&lt;/abbr-1&gt;&lt;/periodical&gt;&lt;reprint-edition&gt;NOT IN FILE&lt;/reprint-edition&gt;&lt;keywords&gt;&lt;keyword&gt;age&lt;/keyword&gt;&lt;keyword&gt;aminocaproic acid&lt;/keyword&gt;&lt;keyword&gt;antifibrinolytic agent&lt;/keyword&gt;&lt;keyword&gt;aprotinin&lt;/keyword&gt;&lt;keyword&gt;blood&lt;/keyword&gt;&lt;keyword&gt;blood transfusion&lt;/keyword&gt;&lt;keyword&gt;clinical trial&lt;/keyword&gt;&lt;keyword&gt;Cochrane Library&lt;/keyword&gt;&lt;keyword&gt;Cochrane Reviews&lt;/keyword&gt;&lt;keyword&gt;Cochrane12Mar14&lt;/keyword&gt;&lt;keyword&gt;data extraction&lt;/keyword&gt;&lt;keyword&gt;death&lt;/keyword&gt;&lt;keyword&gt;Embase&lt;/keyword&gt;&lt;keyword&gt;language&lt;/keyword&gt;&lt;keyword&gt;Medline&lt;/keyword&gt;&lt;keyword&gt;mortality&lt;/keyword&gt;&lt;keyword&gt;patient&lt;/keyword&gt;&lt;keyword&gt;placebo&lt;/keyword&gt;&lt;keyword&gt;publication&lt;/keyword&gt;&lt;keyword&gt;randomized controlled trial&lt;/keyword&gt;&lt;keyword&gt;review&lt;/keyword&gt;&lt;keyword&gt;risk&lt;/keyword&gt;&lt;keyword&gt;safety&lt;/keyword&gt;&lt;keyword&gt;scoliosis&lt;/keyword&gt;&lt;keyword&gt;surgery&lt;/keyword&gt;&lt;keyword&gt;systematic review&lt;/keyword&gt;&lt;keyword&gt;tranexamic acid&lt;/keyword&gt;&lt;keyword&gt;transfusion&lt;/keyword&gt;&lt;/keywords&gt;&lt;dates&gt;&lt;year&gt;2008&lt;/year&gt;&lt;/dates&gt;&lt;urls&gt;&lt;/urls&gt;&lt;/record&gt;&lt;/Cite&gt;&lt;/EndNote&gt;</w:instrText>
        </w:r>
        <w:r w:rsidR="00E62798">
          <w:fldChar w:fldCharType="separate"/>
        </w:r>
        <w:r w:rsidR="00E62798" w:rsidRPr="00E62798">
          <w:rPr>
            <w:noProof/>
            <w:vertAlign w:val="superscript"/>
          </w:rPr>
          <w:t>183</w:t>
        </w:r>
        <w:r w:rsidR="00E62798">
          <w:fldChar w:fldCharType="end"/>
        </w:r>
      </w:hyperlink>
      <w:r>
        <w:t xml:space="preserve"> but not for cardiac surgery, as explained below.</w:t>
      </w:r>
    </w:p>
    <w:p w14:paraId="4973173B" w14:textId="77777777" w:rsidR="00BD644B" w:rsidRDefault="00BD644B" w:rsidP="00BD644B">
      <w:pPr>
        <w:pStyle w:val="Heading2a"/>
      </w:pPr>
      <w:r>
        <w:rPr>
          <w:lang w:val="en-AU"/>
        </w:rPr>
        <w:t>H1</w:t>
      </w:r>
      <w:r>
        <w:rPr>
          <w:lang w:val="en-AU"/>
        </w:rPr>
        <w:tab/>
      </w:r>
      <w:r>
        <w:t>Surgery other than cardiac</w:t>
      </w:r>
    </w:p>
    <w:p w14:paraId="5F4EFBB6" w14:textId="77777777" w:rsidR="00BD644B" w:rsidRDefault="00BD644B" w:rsidP="00BD644B">
      <w:pPr>
        <w:pStyle w:val="TableName"/>
      </w:pPr>
      <w:bookmarkStart w:id="293" w:name="_Toc427758401"/>
      <w:r>
        <w:t>Table H1</w:t>
      </w:r>
      <w:r>
        <w:tab/>
        <w:t>Guidance on tranexamic dosing in surgical paediatric patients other than cardiac</w:t>
      </w:r>
      <w:bookmarkEnd w:id="293"/>
    </w:p>
    <w:tbl>
      <w:tblPr>
        <w:tblStyle w:val="TableGrid"/>
        <w:tblW w:w="0" w:type="auto"/>
        <w:tblInd w:w="704" w:type="dxa"/>
        <w:tblLook w:val="04A0" w:firstRow="1" w:lastRow="0" w:firstColumn="1" w:lastColumn="0" w:noHBand="0" w:noVBand="1"/>
      </w:tblPr>
      <w:tblGrid>
        <w:gridCol w:w="2693"/>
        <w:gridCol w:w="2977"/>
        <w:gridCol w:w="2642"/>
      </w:tblGrid>
      <w:tr w:rsidR="00BD644B" w14:paraId="40B3914C" w14:textId="77777777" w:rsidTr="00BD644B">
        <w:tc>
          <w:tcPr>
            <w:tcW w:w="2693" w:type="dxa"/>
          </w:tcPr>
          <w:p w14:paraId="741B67AE" w14:textId="77777777" w:rsidR="00BD644B" w:rsidRDefault="00BD644B" w:rsidP="00BC13C8">
            <w:pPr>
              <w:pStyle w:val="TableHeading"/>
            </w:pPr>
            <w:r>
              <w:t>Patient group</w:t>
            </w:r>
          </w:p>
        </w:tc>
        <w:tc>
          <w:tcPr>
            <w:tcW w:w="2977" w:type="dxa"/>
          </w:tcPr>
          <w:p w14:paraId="5A6573FF" w14:textId="77777777" w:rsidR="00BD644B" w:rsidRDefault="00BD644B" w:rsidP="00BC13C8">
            <w:pPr>
              <w:pStyle w:val="TableHeading"/>
              <w:jc w:val="center"/>
            </w:pPr>
            <w:r>
              <w:t>Loading dose (mg/kg over 10 minutes, up to a maximum of 1 g)</w:t>
            </w:r>
          </w:p>
        </w:tc>
        <w:tc>
          <w:tcPr>
            <w:tcW w:w="2642" w:type="dxa"/>
          </w:tcPr>
          <w:p w14:paraId="011FEC29" w14:textId="77777777" w:rsidR="00BD644B" w:rsidRDefault="00BD644B" w:rsidP="00BC13C8">
            <w:pPr>
              <w:pStyle w:val="TableHeading"/>
              <w:jc w:val="center"/>
            </w:pPr>
            <w:r>
              <w:t>Infusion (mg/kg/hour)</w:t>
            </w:r>
          </w:p>
        </w:tc>
      </w:tr>
      <w:tr w:rsidR="00BD644B" w14:paraId="2F557467" w14:textId="77777777" w:rsidTr="00BD644B">
        <w:tc>
          <w:tcPr>
            <w:tcW w:w="2693" w:type="dxa"/>
          </w:tcPr>
          <w:p w14:paraId="43D9F77D" w14:textId="77777777" w:rsidR="00BD644B" w:rsidRDefault="00BD644B" w:rsidP="00BC13C8">
            <w:pPr>
              <w:pStyle w:val="TableHeading"/>
            </w:pPr>
            <w:r>
              <w:t>Trauma</w:t>
            </w:r>
            <w:r>
              <w:rPr>
                <w:vertAlign w:val="superscript"/>
              </w:rPr>
              <w:t>a</w:t>
            </w:r>
          </w:p>
        </w:tc>
        <w:tc>
          <w:tcPr>
            <w:tcW w:w="2977" w:type="dxa"/>
          </w:tcPr>
          <w:p w14:paraId="1BF8446A" w14:textId="77777777" w:rsidR="00BD644B" w:rsidRDefault="00BD644B" w:rsidP="00BC13C8">
            <w:pPr>
              <w:pStyle w:val="Tabletext0"/>
              <w:jc w:val="center"/>
            </w:pPr>
            <w:r>
              <w:t>15</w:t>
            </w:r>
          </w:p>
        </w:tc>
        <w:tc>
          <w:tcPr>
            <w:tcW w:w="2642" w:type="dxa"/>
          </w:tcPr>
          <w:p w14:paraId="1E654D5C" w14:textId="77777777" w:rsidR="00BD644B" w:rsidRDefault="00BD644B" w:rsidP="00BC13C8">
            <w:pPr>
              <w:pStyle w:val="Tabletext0"/>
              <w:jc w:val="center"/>
            </w:pPr>
            <w:r>
              <w:t>2</w:t>
            </w:r>
          </w:p>
        </w:tc>
      </w:tr>
      <w:tr w:rsidR="00BD644B" w14:paraId="62BB2609" w14:textId="77777777" w:rsidTr="00BD644B">
        <w:tc>
          <w:tcPr>
            <w:tcW w:w="2693" w:type="dxa"/>
          </w:tcPr>
          <w:p w14:paraId="7C5F4CCF" w14:textId="77777777" w:rsidR="00BD644B" w:rsidRDefault="00BD644B" w:rsidP="00BC13C8">
            <w:pPr>
              <w:pStyle w:val="TableHeading"/>
            </w:pPr>
            <w:r>
              <w:t>Craniofacial surgery</w:t>
            </w:r>
          </w:p>
        </w:tc>
        <w:tc>
          <w:tcPr>
            <w:tcW w:w="2977" w:type="dxa"/>
          </w:tcPr>
          <w:p w14:paraId="6F12A6A5" w14:textId="77777777" w:rsidR="00BD644B" w:rsidRDefault="00BD644B" w:rsidP="00BC13C8">
            <w:pPr>
              <w:pStyle w:val="Tabletext0"/>
              <w:jc w:val="center"/>
            </w:pPr>
            <w:r>
              <w:t>10</w:t>
            </w:r>
          </w:p>
        </w:tc>
        <w:tc>
          <w:tcPr>
            <w:tcW w:w="2642" w:type="dxa"/>
          </w:tcPr>
          <w:p w14:paraId="398FF51D" w14:textId="77777777" w:rsidR="00BD644B" w:rsidRDefault="00BD644B" w:rsidP="00BC13C8">
            <w:pPr>
              <w:pStyle w:val="Tabletext0"/>
              <w:jc w:val="center"/>
            </w:pPr>
            <w:r>
              <w:t>5</w:t>
            </w:r>
          </w:p>
        </w:tc>
      </w:tr>
      <w:tr w:rsidR="00BD644B" w14:paraId="0CFF2065" w14:textId="77777777" w:rsidTr="00BD644B">
        <w:tc>
          <w:tcPr>
            <w:tcW w:w="2693" w:type="dxa"/>
          </w:tcPr>
          <w:p w14:paraId="40AF1291" w14:textId="77777777" w:rsidR="00BD644B" w:rsidRDefault="00BD644B" w:rsidP="00BC13C8">
            <w:pPr>
              <w:pStyle w:val="TableHeading"/>
            </w:pPr>
            <w:r>
              <w:t>Scoliosis surgery</w:t>
            </w:r>
          </w:p>
        </w:tc>
        <w:tc>
          <w:tcPr>
            <w:tcW w:w="2977" w:type="dxa"/>
          </w:tcPr>
          <w:p w14:paraId="176822B7" w14:textId="77777777" w:rsidR="00BD644B" w:rsidRDefault="00BD644B" w:rsidP="00BC13C8">
            <w:pPr>
              <w:pStyle w:val="Tabletext0"/>
              <w:jc w:val="center"/>
            </w:pPr>
            <w:r>
              <w:t>10</w:t>
            </w:r>
          </w:p>
        </w:tc>
        <w:tc>
          <w:tcPr>
            <w:tcW w:w="2642" w:type="dxa"/>
          </w:tcPr>
          <w:p w14:paraId="11087863" w14:textId="77777777" w:rsidR="00BD644B" w:rsidRDefault="00BD644B" w:rsidP="00BC13C8">
            <w:pPr>
              <w:pStyle w:val="Tabletext0"/>
              <w:jc w:val="center"/>
            </w:pPr>
            <w:r>
              <w:t>5</w:t>
            </w:r>
          </w:p>
        </w:tc>
      </w:tr>
    </w:tbl>
    <w:p w14:paraId="328A7F89" w14:textId="77777777" w:rsidR="00BD644B" w:rsidRDefault="00BD644B" w:rsidP="00BD644B">
      <w:pPr>
        <w:pStyle w:val="TableFigNotes18"/>
      </w:pPr>
      <w:r w:rsidRPr="00E62798">
        <w:rPr>
          <w:vertAlign w:val="superscript"/>
        </w:rPr>
        <w:t>a</w:t>
      </w:r>
      <w:r>
        <w:t xml:space="preserve"> Commencing within 3 hours of trauma and continuing for at least 8 hours or until bleeding stops</w:t>
      </w:r>
    </w:p>
    <w:p w14:paraId="064B7122" w14:textId="77777777" w:rsidR="00BD644B" w:rsidRPr="009F46F3" w:rsidRDefault="00BD644B" w:rsidP="00BD644B">
      <w:pPr>
        <w:pStyle w:val="Heading2a"/>
      </w:pPr>
      <w:r>
        <w:rPr>
          <w:lang w:val="en-AU"/>
        </w:rPr>
        <w:t>H2</w:t>
      </w:r>
      <w:r>
        <w:rPr>
          <w:lang w:val="en-AU"/>
        </w:rPr>
        <w:tab/>
      </w:r>
      <w:r w:rsidRPr="009F46F3">
        <w:t>Cardiac surgery</w:t>
      </w:r>
    </w:p>
    <w:p w14:paraId="173FC7F9" w14:textId="027809F5" w:rsidR="00BD644B" w:rsidRDefault="00BD644B" w:rsidP="00BD644B">
      <w:r>
        <w:t>There is a lack of evidence for appropriate target plasma concentrations for TXA in paediatric cardiac surgery; hence, no specific guidance on dosing can be given for this patient group. However, a safe and effective dose regimen is likely to need to take into account factors such as age, weight, pump prime volume and use of ultrafiltration. A loading dose followed by a continuous infusion is more likely than intermittent boluses to produce stable plasma concentrations.</w:t>
      </w:r>
      <w:hyperlink w:anchor="_ENREF_212" w:tooltip="Wesley, 2015 #1019" w:history="1">
        <w:r w:rsidR="00E62798">
          <w:fldChar w:fldCharType="begin">
            <w:fldData xml:space="preserve">PEVuZE5vdGU+PENpdGU+PEF1dGhvcj5XZXNsZXk8L0F1dGhvcj48WWVhcj4yMDE1PC9ZZWFyPjxS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</w:fldData>
          </w:fldChar>
        </w:r>
        <w:r w:rsidR="00E62798">
          <w:instrText xml:space="preserve"> ADDIN EN.CITE </w:instrText>
        </w:r>
        <w:r w:rsidR="00E62798">
          <w:fldChar w:fldCharType="begin">
            <w:fldData xml:space="preserve">PEVuZE5vdGU+PENpdGU+PEF1dGhvcj5XZXNsZXk8L0F1dGhvcj48WWVhcj4yMDE1PC9ZZWFyPjxS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</w:fldData>
          </w:fldChar>
        </w:r>
        <w:r w:rsidR="00E62798">
          <w:instrText xml:space="preserve"> ADDIN EN.CITE.DATA </w:instrText>
        </w:r>
        <w:r w:rsidR="00E62798">
          <w:fldChar w:fldCharType="end"/>
        </w:r>
        <w:r w:rsidR="00E62798">
          <w:fldChar w:fldCharType="separate"/>
        </w:r>
        <w:r w:rsidR="00E62798" w:rsidRPr="00E62798">
          <w:rPr>
            <w:noProof/>
            <w:vertAlign w:val="superscript"/>
          </w:rPr>
          <w:t>212</w:t>
        </w:r>
        <w:r w:rsidR="00E62798">
          <w:fldChar w:fldCharType="end"/>
        </w:r>
      </w:hyperlink>
    </w:p>
    <w:p w14:paraId="0B5B7510" w14:textId="77777777" w:rsidR="00380ADB" w:rsidRDefault="00380ADB">
      <w:pPr>
        <w:spacing w:after="0"/>
        <w:ind w:left="0"/>
      </w:pPr>
    </w:p>
    <w:p w14:paraId="58EA9378" w14:textId="77777777" w:rsidR="00BD644B" w:rsidRDefault="00BD644B">
      <w:pPr>
        <w:spacing w:after="0"/>
        <w:ind w:left="0"/>
        <w:rPr>
          <w:rFonts w:ascii="Arial" w:hAnsi="Arial" w:cs="Times New Roman"/>
          <w:b/>
          <w:bCs/>
          <w:spacing w:val="40"/>
          <w:kern w:val="28"/>
          <w:sz w:val="36"/>
          <w:szCs w:val="32"/>
        </w:rPr>
      </w:pPr>
      <w:r>
        <w:br w:type="page"/>
      </w:r>
    </w:p>
    <w:p w14:paraId="4EA68B9A" w14:textId="5FECAF91" w:rsidR="00380ADB" w:rsidRDefault="00380ADB" w:rsidP="00380ADB">
      <w:pPr>
        <w:pStyle w:val="Heading1"/>
        <w:ind w:left="0" w:firstLine="0"/>
        <w:rPr>
          <w:lang w:val="en-AU"/>
        </w:rPr>
      </w:pPr>
      <w:bookmarkStart w:id="294" w:name="_Toc427851411"/>
      <w:r>
        <w:rPr>
          <w:lang w:val="en-AU"/>
        </w:rPr>
        <w:t>Appendix I</w:t>
      </w:r>
      <w:r>
        <w:rPr>
          <w:lang w:val="en-AU"/>
        </w:rPr>
        <w:tab/>
      </w:r>
      <w:r w:rsidR="00C77D1F">
        <w:rPr>
          <w:lang w:val="en-AU"/>
        </w:rPr>
        <w:t>Intravenous Iron</w:t>
      </w:r>
      <w:bookmarkEnd w:id="294"/>
    </w:p>
    <w:p w14:paraId="42F4D8E8" w14:textId="77777777" w:rsidR="00A80E97" w:rsidRDefault="00A80E97" w:rsidP="00A80E97">
      <w:pPr>
        <w:pStyle w:val="Heading2a"/>
        <w:rPr>
          <w:lang w:val="en-AU"/>
        </w:rPr>
      </w:pPr>
      <w:r>
        <w:rPr>
          <w:lang w:val="en-AU"/>
        </w:rPr>
        <w:t>I1</w:t>
      </w:r>
      <w:r>
        <w:rPr>
          <w:lang w:val="en-AU"/>
        </w:rPr>
        <w:tab/>
        <w:t>Introduction</w:t>
      </w:r>
    </w:p>
    <w:p w14:paraId="46320DE1" w14:textId="77777777" w:rsidR="00A80E97" w:rsidRPr="00082998" w:rsidRDefault="00A80E97" w:rsidP="00A80E97">
      <w:pPr>
        <w:pStyle w:val="Heading3a"/>
      </w:pPr>
      <w:r>
        <w:rPr>
          <w:lang w:val="en-AU"/>
        </w:rPr>
        <w:t>I1.1</w:t>
      </w:r>
      <w:r>
        <w:rPr>
          <w:lang w:val="en-AU"/>
        </w:rPr>
        <w:tab/>
      </w:r>
      <w:r w:rsidRPr="00082998">
        <w:t>Purpose</w:t>
      </w:r>
    </w:p>
    <w:p w14:paraId="094B432A" w14:textId="77777777" w:rsidR="00A80E97" w:rsidRDefault="00A80E97" w:rsidP="00A80E97">
      <w:r w:rsidRPr="007515BB">
        <w:t xml:space="preserve">To ensure safe and appropriate administration of </w:t>
      </w:r>
      <w:r>
        <w:t xml:space="preserve">intravenous (IV) </w:t>
      </w:r>
      <w:r w:rsidRPr="007515BB">
        <w:t xml:space="preserve">iron polymaltose, iron </w:t>
      </w:r>
      <w:r>
        <w:t>sucrose and iron carboxymaltose.</w:t>
      </w:r>
    </w:p>
    <w:p w14:paraId="275C4E3E" w14:textId="77777777" w:rsidR="00A80E97" w:rsidRPr="00082998" w:rsidRDefault="00A80E97" w:rsidP="00A80E97">
      <w:pPr>
        <w:pStyle w:val="Heading3a"/>
      </w:pPr>
      <w:r>
        <w:rPr>
          <w:lang w:val="en-AU"/>
        </w:rPr>
        <w:t>I1.2</w:t>
      </w:r>
      <w:r>
        <w:rPr>
          <w:lang w:val="en-AU"/>
        </w:rPr>
        <w:tab/>
      </w:r>
      <w:r w:rsidRPr="00082998">
        <w:t>Procedure</w:t>
      </w:r>
    </w:p>
    <w:p w14:paraId="1B326BE7" w14:textId="77777777" w:rsidR="00A80E97" w:rsidRPr="00794BEB" w:rsidRDefault="00A80E97" w:rsidP="00A80E97">
      <w:pPr>
        <w:pStyle w:val="Bullet6"/>
      </w:pPr>
      <w:r w:rsidRPr="00794BEB">
        <w:t>Check for previous adverse reactions to IV iron before commencing infusion</w:t>
      </w:r>
      <w:r>
        <w:rPr>
          <w:lang w:val="en-AU"/>
        </w:rPr>
        <w:t>.</w:t>
      </w:r>
    </w:p>
    <w:p w14:paraId="78624C6A" w14:textId="77777777" w:rsidR="00A80E97" w:rsidRPr="00794BEB" w:rsidRDefault="00A80E97" w:rsidP="00A80E97">
      <w:pPr>
        <w:pStyle w:val="Bullet6"/>
      </w:pPr>
      <w:r w:rsidRPr="00794BEB">
        <w:t xml:space="preserve">Ensure </w:t>
      </w:r>
      <w:r>
        <w:rPr>
          <w:lang w:val="en-AU"/>
        </w:rPr>
        <w:t xml:space="preserve">that </w:t>
      </w:r>
      <w:r w:rsidRPr="00794BEB">
        <w:t>child and parent understand procedure</w:t>
      </w:r>
      <w:r>
        <w:rPr>
          <w:lang w:val="en-AU"/>
        </w:rPr>
        <w:t>:</w:t>
      </w:r>
    </w:p>
    <w:p w14:paraId="6E1A73FE" w14:textId="77777777" w:rsidR="00A80E97" w:rsidRPr="00A80E97" w:rsidRDefault="00A80E97" w:rsidP="00A80E97">
      <w:pPr>
        <w:pStyle w:val="Dash6"/>
      </w:pPr>
      <w:r w:rsidRPr="00A80E97">
        <w:t>obtain verbal consent to procedure</w:t>
      </w:r>
    </w:p>
    <w:p w14:paraId="07E0D049" w14:textId="77777777" w:rsidR="00A80E97" w:rsidRPr="00794BEB" w:rsidRDefault="00A80E97" w:rsidP="00A80E97">
      <w:pPr>
        <w:pStyle w:val="Dash6"/>
      </w:pPr>
      <w:r w:rsidRPr="00A80E97">
        <w:t>ensure</w:t>
      </w:r>
      <w:r>
        <w:t xml:space="preserve"> that child and parent are a</w:t>
      </w:r>
      <w:r w:rsidRPr="00794BEB">
        <w:t>ware of possible adverse reactions</w:t>
      </w:r>
      <w:r>
        <w:t>.</w:t>
      </w:r>
    </w:p>
    <w:p w14:paraId="56A3417B" w14:textId="77777777" w:rsidR="00A80E97" w:rsidRPr="00794BEB" w:rsidRDefault="00A80E97" w:rsidP="006A116C">
      <w:pPr>
        <w:pStyle w:val="Bullet6"/>
      </w:pPr>
      <w:r w:rsidRPr="00794BEB">
        <w:t xml:space="preserve">Ensure </w:t>
      </w:r>
      <w:r>
        <w:rPr>
          <w:lang w:val="en-AU"/>
        </w:rPr>
        <w:t xml:space="preserve">that </w:t>
      </w:r>
      <w:r w:rsidRPr="00794BEB">
        <w:t xml:space="preserve">medication and treatment orders are correctly written up by </w:t>
      </w:r>
      <w:r>
        <w:rPr>
          <w:lang w:val="en-AU"/>
        </w:rPr>
        <w:t xml:space="preserve">the </w:t>
      </w:r>
      <w:r w:rsidRPr="00794BEB">
        <w:t>medical officer</w:t>
      </w:r>
      <w:r>
        <w:rPr>
          <w:lang w:val="en-AU"/>
        </w:rPr>
        <w:t>.</w:t>
      </w:r>
    </w:p>
    <w:p w14:paraId="5013F807" w14:textId="77777777" w:rsidR="00A80E97" w:rsidRPr="00794BEB" w:rsidRDefault="00A80E97" w:rsidP="00A80E97">
      <w:pPr>
        <w:pStyle w:val="Bullet6"/>
      </w:pPr>
      <w:r w:rsidRPr="00794BEB">
        <w:t xml:space="preserve">Ensure </w:t>
      </w:r>
      <w:r>
        <w:rPr>
          <w:lang w:val="en-AU"/>
        </w:rPr>
        <w:t xml:space="preserve">that </w:t>
      </w:r>
      <w:r w:rsidRPr="00794BEB">
        <w:t>oxygen and resuscitation equipment are in working order</w:t>
      </w:r>
      <w:r>
        <w:rPr>
          <w:lang w:val="en-AU"/>
        </w:rPr>
        <w:t>.</w:t>
      </w:r>
    </w:p>
    <w:p w14:paraId="291F1769" w14:textId="77777777" w:rsidR="00A80E97" w:rsidRPr="00794BEB" w:rsidRDefault="00A80E97" w:rsidP="00A80E97">
      <w:pPr>
        <w:pStyle w:val="Bullet6"/>
      </w:pPr>
      <w:r w:rsidRPr="00794BEB">
        <w:t xml:space="preserve">Ensure </w:t>
      </w:r>
      <w:r>
        <w:rPr>
          <w:lang w:val="en-AU"/>
        </w:rPr>
        <w:t xml:space="preserve">that </w:t>
      </w:r>
      <w:r w:rsidRPr="00794BEB">
        <w:t xml:space="preserve">there is an order for PRN adrenaline 0.01 mg/kg </w:t>
      </w:r>
      <w:r>
        <w:rPr>
          <w:lang w:val="en-AU"/>
        </w:rPr>
        <w:t>intramuscular (</w:t>
      </w:r>
      <w:r w:rsidRPr="00794BEB">
        <w:t>IM</w:t>
      </w:r>
      <w:r>
        <w:rPr>
          <w:lang w:val="en-AU"/>
        </w:rPr>
        <w:t>)</w:t>
      </w:r>
      <w:r w:rsidRPr="00794BEB">
        <w:t xml:space="preserve"> 1:1000 in </w:t>
      </w:r>
      <w:r>
        <w:rPr>
          <w:lang w:val="en-AU"/>
        </w:rPr>
        <w:t xml:space="preserve">the </w:t>
      </w:r>
      <w:r w:rsidRPr="00794BEB">
        <w:t>event of anaphylaxis</w:t>
      </w:r>
      <w:r>
        <w:rPr>
          <w:lang w:val="en-AU"/>
        </w:rPr>
        <w:t>.</w:t>
      </w:r>
    </w:p>
    <w:p w14:paraId="28D1DC15" w14:textId="77777777" w:rsidR="00A80E97" w:rsidRPr="00794BEB" w:rsidRDefault="00A80E97" w:rsidP="00A80E97">
      <w:pPr>
        <w:pStyle w:val="Bullet6"/>
      </w:pPr>
      <w:r w:rsidRPr="00794BEB">
        <w:t>Establish patient IV access and ensure</w:t>
      </w:r>
      <w:r>
        <w:rPr>
          <w:lang w:val="en-AU"/>
        </w:rPr>
        <w:t xml:space="preserve"> that the </w:t>
      </w:r>
      <w:r w:rsidRPr="00794BEB">
        <w:t>IV is working well</w:t>
      </w:r>
      <w:r>
        <w:rPr>
          <w:lang w:val="en-AU"/>
        </w:rPr>
        <w:t>.</w:t>
      </w:r>
    </w:p>
    <w:p w14:paraId="15F4C94E" w14:textId="77777777" w:rsidR="00A80E97" w:rsidRDefault="00A80E97" w:rsidP="00A80E97">
      <w:pPr>
        <w:pStyle w:val="Bullet6"/>
      </w:pPr>
      <w:r w:rsidRPr="00794BEB">
        <w:t>Take blood specimens as requested</w:t>
      </w:r>
      <w:r>
        <w:rPr>
          <w:lang w:val="en-AU"/>
        </w:rPr>
        <w:t>.</w:t>
      </w:r>
    </w:p>
    <w:p w14:paraId="6ADB673C" w14:textId="77777777" w:rsidR="00A80E97" w:rsidRDefault="00A80E97" w:rsidP="00A80E97">
      <w:pPr>
        <w:pStyle w:val="Bullet6"/>
      </w:pPr>
      <w:r>
        <w:t>Commence infusion and observations as per protocol</w:t>
      </w:r>
      <w:r>
        <w:rPr>
          <w:lang w:val="en-AU"/>
        </w:rPr>
        <w:t>.</w:t>
      </w:r>
    </w:p>
    <w:p w14:paraId="7E1467F2" w14:textId="77777777" w:rsidR="00A80E97" w:rsidRDefault="00A80E97" w:rsidP="00A80E97">
      <w:pPr>
        <w:pStyle w:val="Bullet6"/>
      </w:pPr>
      <w:r>
        <w:t>Monitor for any local or systemic adverse reactions</w:t>
      </w:r>
      <w:r>
        <w:rPr>
          <w:lang w:val="en-AU"/>
        </w:rPr>
        <w:t>.</w:t>
      </w:r>
    </w:p>
    <w:p w14:paraId="6FE4B88E" w14:textId="77777777" w:rsidR="00A80E97" w:rsidRPr="003310BF" w:rsidRDefault="00A80E97" w:rsidP="00A80E97">
      <w:pPr>
        <w:pStyle w:val="Bullet6"/>
      </w:pPr>
      <w:r w:rsidRPr="003310BF">
        <w:t xml:space="preserve">If </w:t>
      </w:r>
      <w:r>
        <w:rPr>
          <w:lang w:val="en-AU"/>
        </w:rPr>
        <w:t xml:space="preserve">there are </w:t>
      </w:r>
      <w:r w:rsidRPr="003310BF">
        <w:t xml:space="preserve">signs of </w:t>
      </w:r>
      <w:r>
        <w:rPr>
          <w:lang w:val="en-AU"/>
        </w:rPr>
        <w:t xml:space="preserve">an </w:t>
      </w:r>
      <w:r w:rsidRPr="003310BF">
        <w:t>adverse reaction</w:t>
      </w:r>
      <w:r>
        <w:t xml:space="preserve"> or anaphylaxis</w:t>
      </w:r>
      <w:r w:rsidRPr="003310BF">
        <w:t xml:space="preserve">, cease </w:t>
      </w:r>
      <w:r>
        <w:rPr>
          <w:lang w:val="en-AU"/>
        </w:rPr>
        <w:t xml:space="preserve">the </w:t>
      </w:r>
      <w:r w:rsidRPr="003310BF">
        <w:t>infusion immediately</w:t>
      </w:r>
      <w:r>
        <w:rPr>
          <w:lang w:val="en-AU"/>
        </w:rPr>
        <w:t>.</w:t>
      </w:r>
    </w:p>
    <w:p w14:paraId="3489135A" w14:textId="77777777" w:rsidR="00A80E97" w:rsidRPr="00CD6E5E" w:rsidRDefault="00A80E97" w:rsidP="00A80E97">
      <w:pPr>
        <w:pStyle w:val="Bullet6"/>
      </w:pPr>
      <w:r>
        <w:t xml:space="preserve">Contact </w:t>
      </w:r>
      <w:r>
        <w:rPr>
          <w:lang w:val="en-AU"/>
        </w:rPr>
        <w:t xml:space="preserve">the </w:t>
      </w:r>
      <w:r>
        <w:t xml:space="preserve">treating medical officer or call </w:t>
      </w:r>
      <w:r>
        <w:rPr>
          <w:lang w:val="en-AU"/>
        </w:rPr>
        <w:t>the medical emergency team (</w:t>
      </w:r>
      <w:r>
        <w:t>MET</w:t>
      </w:r>
      <w:r>
        <w:rPr>
          <w:lang w:val="en-AU"/>
        </w:rPr>
        <w:t>).</w:t>
      </w:r>
    </w:p>
    <w:p w14:paraId="09B82F9A" w14:textId="77777777" w:rsidR="00A80E97" w:rsidRPr="00C67731" w:rsidRDefault="00A80E97" w:rsidP="00A80E97">
      <w:pPr>
        <w:pStyle w:val="Bullet12"/>
      </w:pPr>
      <w:r w:rsidRPr="003310BF">
        <w:t xml:space="preserve">Treat symptomatically, </w:t>
      </w:r>
      <w:r>
        <w:rPr>
          <w:lang w:val="en-AU"/>
        </w:rPr>
        <w:t xml:space="preserve">and </w:t>
      </w:r>
      <w:r w:rsidRPr="003310BF">
        <w:t>administer oxygen, I</w:t>
      </w:r>
      <w:r>
        <w:t>V fluids</w:t>
      </w:r>
      <w:r>
        <w:rPr>
          <w:lang w:val="en-AU"/>
        </w:rPr>
        <w:t xml:space="preserve"> and</w:t>
      </w:r>
      <w:r>
        <w:t xml:space="preserve"> adrenaline as required</w:t>
      </w:r>
      <w:r>
        <w:rPr>
          <w:lang w:val="en-AU"/>
        </w:rPr>
        <w:t>.</w:t>
      </w:r>
    </w:p>
    <w:p w14:paraId="7A06DA7E" w14:textId="77777777" w:rsidR="00A80E97" w:rsidRPr="00082998" w:rsidRDefault="00A80E97" w:rsidP="00A80E97">
      <w:pPr>
        <w:pStyle w:val="Heading3a"/>
      </w:pPr>
      <w:r>
        <w:rPr>
          <w:lang w:val="en-AU"/>
        </w:rPr>
        <w:t>I1.3</w:t>
      </w:r>
      <w:r>
        <w:rPr>
          <w:lang w:val="en-AU"/>
        </w:rPr>
        <w:tab/>
      </w:r>
      <w:r>
        <w:t xml:space="preserve">Precautions </w:t>
      </w:r>
    </w:p>
    <w:p w14:paraId="73F912C6" w14:textId="77777777" w:rsidR="00A80E97" w:rsidRPr="00F432EE" w:rsidRDefault="00A80E97" w:rsidP="00A80E97">
      <w:pPr>
        <w:pStyle w:val="Bullet6"/>
      </w:pPr>
      <w:r>
        <w:rPr>
          <w:lang w:val="en-AU"/>
        </w:rPr>
        <w:t>Ensure that a</w:t>
      </w:r>
      <w:r w:rsidRPr="00F432EE">
        <w:t xml:space="preserve">ll staff </w:t>
      </w:r>
      <w:r>
        <w:rPr>
          <w:lang w:val="en-AU"/>
        </w:rPr>
        <w:t>ar</w:t>
      </w:r>
      <w:r w:rsidRPr="00F432EE">
        <w:t xml:space="preserve">e familiar with MET criteria and </w:t>
      </w:r>
      <w:r>
        <w:rPr>
          <w:lang w:val="en-AU"/>
        </w:rPr>
        <w:t xml:space="preserve">can </w:t>
      </w:r>
      <w:r w:rsidRPr="00F432EE">
        <w:t>recognise when to initiate a</w:t>
      </w:r>
      <w:r>
        <w:rPr>
          <w:lang w:val="en-AU"/>
        </w:rPr>
        <w:t>n</w:t>
      </w:r>
      <w:r w:rsidRPr="00F432EE">
        <w:t xml:space="preserve"> MET call</w:t>
      </w:r>
      <w:r>
        <w:rPr>
          <w:lang w:val="en-AU"/>
        </w:rPr>
        <w:t>.</w:t>
      </w:r>
    </w:p>
    <w:p w14:paraId="355231A3" w14:textId="77777777" w:rsidR="00A80E97" w:rsidRPr="00A06213" w:rsidRDefault="00A80E97" w:rsidP="00A80E97">
      <w:pPr>
        <w:pStyle w:val="Bullet6"/>
      </w:pPr>
      <w:r>
        <w:rPr>
          <w:lang w:val="en-AU"/>
        </w:rPr>
        <w:t>Do not administer i</w:t>
      </w:r>
      <w:r w:rsidRPr="00794BEB">
        <w:t xml:space="preserve">ron infusions out of hours unless </w:t>
      </w:r>
      <w:r>
        <w:rPr>
          <w:lang w:val="en-AU"/>
        </w:rPr>
        <w:t xml:space="preserve">they are </w:t>
      </w:r>
      <w:r w:rsidRPr="00794BEB">
        <w:t>urgently required and staffing levels</w:t>
      </w:r>
      <w:r w:rsidRPr="00217084">
        <w:t xml:space="preserve"> </w:t>
      </w:r>
      <w:r>
        <w:rPr>
          <w:lang w:val="en-AU"/>
        </w:rPr>
        <w:t xml:space="preserve">are </w:t>
      </w:r>
      <w:r w:rsidRPr="00794BEB">
        <w:t>appropriate</w:t>
      </w:r>
      <w:r>
        <w:rPr>
          <w:lang w:val="en-AU"/>
        </w:rPr>
        <w:t>.</w:t>
      </w:r>
    </w:p>
    <w:p w14:paraId="2D470FDC" w14:textId="77777777" w:rsidR="00A80E97" w:rsidRPr="00A06213" w:rsidRDefault="00A80E97" w:rsidP="00A80E97">
      <w:pPr>
        <w:pStyle w:val="Bullet6"/>
      </w:pPr>
      <w:r>
        <w:rPr>
          <w:lang w:val="en-AU"/>
        </w:rPr>
        <w:t>Place t</w:t>
      </w:r>
      <w:r w:rsidRPr="00794BEB">
        <w:t>he patient</w:t>
      </w:r>
      <w:r>
        <w:rPr>
          <w:lang w:val="en-AU"/>
        </w:rPr>
        <w:t xml:space="preserve"> </w:t>
      </w:r>
      <w:r w:rsidRPr="00794BEB">
        <w:t>in a clinical area where the</w:t>
      </w:r>
      <w:r>
        <w:rPr>
          <w:lang w:val="en-AU"/>
        </w:rPr>
        <w:t xml:space="preserve"> patient</w:t>
      </w:r>
      <w:r w:rsidRPr="00794BEB">
        <w:t xml:space="preserve"> can be closely monitored throughout the duration of the infusion. </w:t>
      </w:r>
    </w:p>
    <w:p w14:paraId="1A383601" w14:textId="77777777" w:rsidR="00A80E97" w:rsidRDefault="00A80E97" w:rsidP="00A80E97">
      <w:pPr>
        <w:pStyle w:val="Bullet6"/>
      </w:pPr>
      <w:r>
        <w:rPr>
          <w:lang w:val="en-AU"/>
        </w:rPr>
        <w:t xml:space="preserve">Ensure that </w:t>
      </w:r>
      <w:r>
        <w:t xml:space="preserve">patients </w:t>
      </w:r>
      <w:r>
        <w:rPr>
          <w:lang w:val="en-AU"/>
        </w:rPr>
        <w:t xml:space="preserve">undergoing iron infusions are </w:t>
      </w:r>
      <w:r>
        <w:t>not on oral iron therapy</w:t>
      </w:r>
      <w:r>
        <w:rPr>
          <w:lang w:val="en-AU"/>
        </w:rPr>
        <w:t>,</w:t>
      </w:r>
      <w:r>
        <w:t xml:space="preserve"> and </w:t>
      </w:r>
      <w:r>
        <w:rPr>
          <w:lang w:val="en-AU"/>
        </w:rPr>
        <w:t>that they do not</w:t>
      </w:r>
      <w:r>
        <w:t xml:space="preserve"> recommence oral iron therapy until 1 week after the last dose of parenteral therapy. </w:t>
      </w:r>
    </w:p>
    <w:p w14:paraId="797C77FC" w14:textId="77777777" w:rsidR="00A80E97" w:rsidRDefault="00A80E97" w:rsidP="00A80E97">
      <w:pPr>
        <w:pStyle w:val="Bullet6"/>
      </w:pPr>
      <w:r>
        <w:t>For iron sucrose and iron polymaltose:</w:t>
      </w:r>
    </w:p>
    <w:p w14:paraId="37140485" w14:textId="77777777" w:rsidR="00A80E97" w:rsidRPr="00794BEB" w:rsidRDefault="00A80E97" w:rsidP="00A80E97">
      <w:pPr>
        <w:pStyle w:val="Dash6"/>
      </w:pPr>
      <w:r>
        <w:t xml:space="preserve">consider premedications: </w:t>
      </w:r>
    </w:p>
    <w:p w14:paraId="15FE3377" w14:textId="77777777" w:rsidR="00A80E97" w:rsidRDefault="00A80E97" w:rsidP="00A80E97">
      <w:pPr>
        <w:pStyle w:val="Dash6"/>
        <w:numPr>
          <w:ilvl w:val="2"/>
          <w:numId w:val="4"/>
        </w:numPr>
      </w:pPr>
      <w:r w:rsidRPr="00A56FA2">
        <w:t>ceterizine (0.125</w:t>
      </w:r>
      <w:r>
        <w:t> </w:t>
      </w:r>
      <w:r w:rsidRPr="00A56FA2">
        <w:t>mg/kg oral; maximum 10</w:t>
      </w:r>
      <w:r>
        <w:t> mg</w:t>
      </w:r>
      <w:r w:rsidRPr="00A56FA2">
        <w:t>)</w:t>
      </w:r>
    </w:p>
    <w:p w14:paraId="54092B34" w14:textId="7B1FCF45" w:rsidR="00A80E97" w:rsidRDefault="00A80E97" w:rsidP="00A80E97">
      <w:pPr>
        <w:pStyle w:val="Dash6"/>
        <w:numPr>
          <w:ilvl w:val="2"/>
          <w:numId w:val="4"/>
        </w:numPr>
      </w:pPr>
      <w:r w:rsidRPr="00A56FA2">
        <w:t>hydrocortisone (2–4</w:t>
      </w:r>
      <w:r>
        <w:t> </w:t>
      </w:r>
      <w:r w:rsidRPr="00A56FA2">
        <w:t>mg/kg</w:t>
      </w:r>
      <w:r w:rsidR="00910374">
        <w:t xml:space="preserve"> IV</w:t>
      </w:r>
      <w:r w:rsidRPr="00A56FA2">
        <w:t>; maximum 100</w:t>
      </w:r>
      <w:r>
        <w:t> </w:t>
      </w:r>
      <w:r w:rsidRPr="00A56FA2">
        <w:t>mg)</w:t>
      </w:r>
    </w:p>
    <w:p w14:paraId="7ECB54F6" w14:textId="77777777" w:rsidR="00A80E97" w:rsidRDefault="00A80E97" w:rsidP="00A80E97">
      <w:pPr>
        <w:pStyle w:val="Dash6"/>
      </w:pPr>
      <w:r>
        <w:t>be aware that concomitant therapy with an angiotensin-converting enzyme (ACE) inhibitor may increase the incidence of adverse effects.</w:t>
      </w:r>
    </w:p>
    <w:p w14:paraId="598750DC" w14:textId="77777777" w:rsidR="00A80E97" w:rsidRDefault="00A80E97" w:rsidP="00A80E97">
      <w:pPr>
        <w:pStyle w:val="Heading3a"/>
      </w:pPr>
      <w:r>
        <w:rPr>
          <w:lang w:val="en-AU"/>
        </w:rPr>
        <w:t>I1.4</w:t>
      </w:r>
      <w:r>
        <w:rPr>
          <w:lang w:val="en-AU"/>
        </w:rPr>
        <w:tab/>
      </w:r>
      <w:r>
        <w:t>Contraindications</w:t>
      </w:r>
    </w:p>
    <w:p w14:paraId="3735EC8D" w14:textId="77777777" w:rsidR="00A80E97" w:rsidRDefault="00A80E97" w:rsidP="00A80E97">
      <w:pPr>
        <w:pStyle w:val="Bullet6"/>
      </w:pPr>
      <w:r>
        <w:t>Previous allergic reactions to iron therapy</w:t>
      </w:r>
      <w:r>
        <w:rPr>
          <w:lang w:val="en-AU"/>
        </w:rPr>
        <w:t>.</w:t>
      </w:r>
    </w:p>
    <w:p w14:paraId="2AC0B4E4" w14:textId="77777777" w:rsidR="00A80E97" w:rsidRDefault="00A80E97" w:rsidP="00A80E97">
      <w:pPr>
        <w:pStyle w:val="Bullet6"/>
      </w:pPr>
      <w:r>
        <w:t>Severe liver dysfunction</w:t>
      </w:r>
      <w:r>
        <w:rPr>
          <w:lang w:val="en-AU"/>
        </w:rPr>
        <w:t>.</w:t>
      </w:r>
    </w:p>
    <w:p w14:paraId="3DE8563C" w14:textId="77777777" w:rsidR="00A80E97" w:rsidRDefault="00A80E97" w:rsidP="00A80E97">
      <w:pPr>
        <w:pStyle w:val="Bullet12"/>
      </w:pPr>
      <w:r>
        <w:t>Iron overload</w:t>
      </w:r>
      <w:r>
        <w:rPr>
          <w:lang w:val="en-AU"/>
        </w:rPr>
        <w:t>.</w:t>
      </w:r>
    </w:p>
    <w:p w14:paraId="1541199C" w14:textId="77777777" w:rsidR="00A80E97" w:rsidRPr="00F432EE" w:rsidRDefault="00A80E97" w:rsidP="00A80E97">
      <w:pPr>
        <w:pStyle w:val="Heading3a"/>
      </w:pPr>
      <w:r>
        <w:rPr>
          <w:lang w:val="en-AU"/>
        </w:rPr>
        <w:t>II1.5</w:t>
      </w:r>
      <w:r>
        <w:rPr>
          <w:lang w:val="en-AU"/>
        </w:rPr>
        <w:tab/>
      </w:r>
      <w:r w:rsidRPr="00F432EE">
        <w:t>Observations</w:t>
      </w:r>
    </w:p>
    <w:p w14:paraId="7D803907" w14:textId="77777777" w:rsidR="00A80E97" w:rsidRPr="003310BF" w:rsidRDefault="00A80E97" w:rsidP="00A80E97">
      <w:pPr>
        <w:pStyle w:val="Bullet6"/>
      </w:pPr>
      <w:r w:rsidRPr="003310BF">
        <w:t>Baseline weight</w:t>
      </w:r>
      <w:r>
        <w:rPr>
          <w:lang w:val="en-AU"/>
        </w:rPr>
        <w:t>.</w:t>
      </w:r>
    </w:p>
    <w:p w14:paraId="3B18CD0F" w14:textId="77777777" w:rsidR="00A80E97" w:rsidRDefault="00A80E97" w:rsidP="00A80E97">
      <w:pPr>
        <w:pStyle w:val="Bullet6"/>
      </w:pPr>
      <w:r>
        <w:t>Baseline temperature, respiratory rate, pulse and blood pressure</w:t>
      </w:r>
      <w:r>
        <w:rPr>
          <w:lang w:val="en-AU"/>
        </w:rPr>
        <w:t>.</w:t>
      </w:r>
    </w:p>
    <w:p w14:paraId="417F9AAE" w14:textId="77777777" w:rsidR="00A80E97" w:rsidRDefault="00A80E97" w:rsidP="00A80E97">
      <w:pPr>
        <w:pStyle w:val="Bullet6"/>
      </w:pPr>
      <w:r>
        <w:t>Direct observ</w:t>
      </w:r>
      <w:r>
        <w:rPr>
          <w:lang w:val="en-AU"/>
        </w:rPr>
        <w:t>ation for</w:t>
      </w:r>
      <w:r>
        <w:t xml:space="preserve"> the first 15 minutes</w:t>
      </w:r>
      <w:r>
        <w:rPr>
          <w:lang w:val="en-AU"/>
        </w:rPr>
        <w:t>.</w:t>
      </w:r>
    </w:p>
    <w:p w14:paraId="575DE412" w14:textId="77777777" w:rsidR="00A80E97" w:rsidRPr="00D55F06" w:rsidRDefault="00A80E97" w:rsidP="00A80E97">
      <w:pPr>
        <w:pStyle w:val="Bullet6"/>
      </w:pPr>
      <w:r>
        <w:rPr>
          <w:lang w:val="en-AU"/>
        </w:rPr>
        <w:t>For the remainder of the infusion, observe:</w:t>
      </w:r>
    </w:p>
    <w:p w14:paraId="48035EBB" w14:textId="77777777" w:rsidR="00A80E97" w:rsidRPr="00A80E97" w:rsidRDefault="00A80E97" w:rsidP="00A80E97">
      <w:pPr>
        <w:pStyle w:val="Dash6"/>
      </w:pPr>
      <w:r w:rsidRPr="00A80E97">
        <w:t>blood pressure every 15 minutes</w:t>
      </w:r>
    </w:p>
    <w:p w14:paraId="4455FDC1" w14:textId="77777777" w:rsidR="00A80E97" w:rsidRPr="00A80E97" w:rsidRDefault="00A80E97" w:rsidP="00A80E97">
      <w:pPr>
        <w:pStyle w:val="Dash6"/>
      </w:pPr>
      <w:r w:rsidRPr="00A80E97">
        <w:t>heart rate for 60 minutes then hourly.</w:t>
      </w:r>
    </w:p>
    <w:p w14:paraId="31F4BC71" w14:textId="77777777" w:rsidR="00A80E97" w:rsidRDefault="00A80E97" w:rsidP="00A80E97">
      <w:pPr>
        <w:pStyle w:val="Bullet12"/>
      </w:pPr>
      <w:r>
        <w:t>Monitor for signs of anaphylaxis, headache, nausea, hypotension, joint and muscle pain or signs of extravasation.</w:t>
      </w:r>
    </w:p>
    <w:p w14:paraId="14EE0109" w14:textId="77777777" w:rsidR="00A80E97" w:rsidRPr="00B2040A" w:rsidRDefault="00A80E97" w:rsidP="00A80E97">
      <w:pPr>
        <w:pStyle w:val="Heading3a"/>
      </w:pPr>
      <w:r>
        <w:rPr>
          <w:lang w:val="en-AU"/>
        </w:rPr>
        <w:t>I1.6</w:t>
      </w:r>
      <w:r>
        <w:rPr>
          <w:lang w:val="en-AU"/>
        </w:rPr>
        <w:tab/>
      </w:r>
      <w:r w:rsidRPr="00B2040A">
        <w:t>Discharge</w:t>
      </w:r>
    </w:p>
    <w:p w14:paraId="6D67AADC" w14:textId="0E3C8D0B" w:rsidR="00A80E97" w:rsidRPr="00A80E97" w:rsidRDefault="00A80E97" w:rsidP="00A80E97">
      <w:pPr>
        <w:pStyle w:val="Bullet12"/>
      </w:pPr>
      <w:r w:rsidRPr="00B2040A">
        <w:t>Ensure patient meets discharge criteria</w:t>
      </w:r>
      <w:r>
        <w:rPr>
          <w:lang w:val="en-AU"/>
        </w:rPr>
        <w:t>.</w:t>
      </w:r>
    </w:p>
    <w:p w14:paraId="5FEA96B8" w14:textId="77777777" w:rsidR="00A80E97" w:rsidRPr="003C7F7F" w:rsidRDefault="00A80E97" w:rsidP="00A80E97">
      <w:pPr>
        <w:pStyle w:val="BoxName"/>
        <w:shd w:val="clear" w:color="auto" w:fill="E5B8B7" w:themeFill="accent2" w:themeFillTint="66"/>
      </w:pPr>
      <w:r>
        <w:t>ALERT</w:t>
      </w:r>
    </w:p>
    <w:p w14:paraId="45A4EAE8" w14:textId="7D1709A3" w:rsidR="00A80E97" w:rsidRPr="00A42B0C" w:rsidRDefault="00A80E97" w:rsidP="00A80E97">
      <w:pPr>
        <w:pStyle w:val="BoxBullet"/>
        <w:shd w:val="clear" w:color="auto" w:fill="E5B8B7" w:themeFill="accent2" w:themeFillTint="66"/>
      </w:pPr>
      <w:r w:rsidRPr="00A42B0C">
        <w:t>Check prescription and vials carefully as there are many different forms of IV iron preparations</w:t>
      </w:r>
      <w:r w:rsidR="00323741">
        <w:rPr>
          <w:lang w:val="en-AU"/>
        </w:rPr>
        <w:t>.</w:t>
      </w:r>
    </w:p>
    <w:p w14:paraId="62D4ACDB" w14:textId="77777777" w:rsidR="00A80E97" w:rsidRPr="00A42B0C" w:rsidRDefault="00A80E97" w:rsidP="00A80E97">
      <w:pPr>
        <w:pStyle w:val="BoxBullet"/>
        <w:shd w:val="clear" w:color="auto" w:fill="E5B8B7" w:themeFill="accent2" w:themeFillTint="66"/>
        <w:rPr>
          <w:u w:val="single"/>
        </w:rPr>
      </w:pPr>
      <w:r w:rsidRPr="00A42B0C">
        <w:t>Iron formulations have different iron concentrations, maximum doses, dilutions and rates of administration and are not interchangeable with regard to dose, dilution and rates of administration.</w:t>
      </w:r>
      <w:r>
        <w:t xml:space="preserve"> </w:t>
      </w:r>
    </w:p>
    <w:p w14:paraId="4FFC8FB0" w14:textId="77777777" w:rsidR="00A80E97" w:rsidRDefault="00A80E97" w:rsidP="00A80E97"/>
    <w:p w14:paraId="27213EC3" w14:textId="3B6EC103" w:rsidR="00A80E97" w:rsidRDefault="00A80E97" w:rsidP="00A80E97">
      <w:pPr>
        <w:pStyle w:val="Heading2a"/>
      </w:pPr>
      <w:r>
        <w:rPr>
          <w:lang w:val="en-AU"/>
        </w:rPr>
        <w:t>I2</w:t>
      </w:r>
      <w:r>
        <w:rPr>
          <w:lang w:val="en-AU"/>
        </w:rPr>
        <w:tab/>
      </w:r>
      <w:r w:rsidRPr="00C85D3F">
        <w:t>Iron carboxymaltose</w:t>
      </w:r>
      <w:r>
        <w:t xml:space="preserve"> (Ferinject)</w:t>
      </w:r>
      <w:r w:rsidRPr="00C85D3F">
        <w:t xml:space="preserve"> dose</w:t>
      </w:r>
      <w:hyperlink w:anchor="_ENREF_396" w:tooltip=", 2013 #1020" w:history="1">
        <w:r w:rsidR="00E62798">
          <w:fldChar w:fldCharType="begin"/>
        </w:r>
        <w:r w:rsidR="00E62798">
          <w:instrText xml:space="preserve"> ADDIN EN.CITE &lt;EndNote&gt;&lt;Cite ExcludeAuth="1"&gt;&lt;Year&gt;2013&lt;/Year&gt;&lt;RecNum&gt;1020&lt;/RecNum&gt;&lt;DisplayText&gt;&lt;style face="superscript"&gt;396&lt;/style&gt;&lt;/DisplayText&gt;&lt;record&gt;&lt;rec-number&gt;1020&lt;/rec-number&gt;&lt;foreign-keys&gt;&lt;key app="EN" db-id="9edve2wadsavt5ewavaxtda4f2tavzvts9ee" timestamp="1437632473"&gt;1020&lt;/key&gt;&lt;/foreign-keys&gt;&lt;ref-type name="Report"&gt;27&lt;/ref-type&gt;&lt;contributors&gt;&lt;/contributors&gt;&lt;titles&gt;&lt;title&gt;Day Medical Unit –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396</w:t>
        </w:r>
        <w:r w:rsidR="00E62798">
          <w:fldChar w:fldCharType="end"/>
        </w:r>
      </w:hyperlink>
      <w:r w:rsidRPr="00C85D3F">
        <w:t xml:space="preserve"> </w:t>
      </w:r>
    </w:p>
    <w:p w14:paraId="417180ED" w14:textId="77777777" w:rsidR="00A80E97" w:rsidRPr="00B2040A" w:rsidRDefault="00A80E97" w:rsidP="00A80E97">
      <w:pPr>
        <w:pStyle w:val="Bullet6"/>
      </w:pPr>
      <w:r>
        <w:t xml:space="preserve">Total or cumulative </w:t>
      </w:r>
      <w:r w:rsidRPr="00B2040A">
        <w:t>dose</w:t>
      </w:r>
      <w:r>
        <w:t xml:space="preserve"> </w:t>
      </w:r>
      <w:r w:rsidRPr="00B2040A">
        <w:t>– may need to be administered over several doses at weekly intervals</w:t>
      </w:r>
      <w:r>
        <w:rPr>
          <w:lang w:val="en-AU"/>
        </w:rPr>
        <w:t>.</w:t>
      </w:r>
    </w:p>
    <w:p w14:paraId="3A6BE5E1" w14:textId="62A86E47" w:rsidR="00A80E97" w:rsidRPr="00B2040A" w:rsidRDefault="00A80E97" w:rsidP="00A80E97">
      <w:pPr>
        <w:pStyle w:val="Bullet6"/>
      </w:pPr>
      <w:r w:rsidRPr="00B2040A">
        <w:t>Maximum dose</w:t>
      </w:r>
      <w:r w:rsidR="004E2E70">
        <w:rPr>
          <w:lang w:val="en-AU"/>
        </w:rPr>
        <w:t xml:space="preserve"> </w:t>
      </w:r>
      <w:r w:rsidRPr="00B2040A">
        <w:t>– 20</w:t>
      </w:r>
      <w:r>
        <w:t> </w:t>
      </w:r>
      <w:r w:rsidRPr="00B2040A">
        <w:t>mg/kg/week (</w:t>
      </w:r>
      <w:r>
        <w:rPr>
          <w:lang w:val="en-AU"/>
        </w:rPr>
        <w:t xml:space="preserve">to a </w:t>
      </w:r>
      <w:r w:rsidRPr="00B2040A">
        <w:t>max</w:t>
      </w:r>
      <w:r>
        <w:rPr>
          <w:lang w:val="en-AU"/>
        </w:rPr>
        <w:t>imum of</w:t>
      </w:r>
      <w:r w:rsidR="004E2E70">
        <w:rPr>
          <w:lang w:val="en-AU"/>
        </w:rPr>
        <w:t xml:space="preserve"> </w:t>
      </w:r>
      <w:r w:rsidRPr="00B2040A">
        <w:t>1000</w:t>
      </w:r>
      <w:r>
        <w:rPr>
          <w:lang w:val="en-AU"/>
        </w:rPr>
        <w:t> </w:t>
      </w:r>
      <w:r w:rsidRPr="00B2040A">
        <w:t>mg)</w:t>
      </w:r>
      <w:r>
        <w:rPr>
          <w:lang w:val="en-AU"/>
        </w:rPr>
        <w:t>.</w:t>
      </w:r>
    </w:p>
    <w:p w14:paraId="585EC426" w14:textId="77777777" w:rsidR="00A80E97" w:rsidRPr="000819AB" w:rsidRDefault="00A80E97" w:rsidP="00A80E97">
      <w:pPr>
        <w:pStyle w:val="Bullet6"/>
      </w:pPr>
      <w:r>
        <w:t>Two ampule sizes</w:t>
      </w:r>
      <w:r>
        <w:rPr>
          <w:lang w:val="en-AU"/>
        </w:rPr>
        <w:t>:</w:t>
      </w:r>
    </w:p>
    <w:p w14:paraId="4697D6B9" w14:textId="1618359B" w:rsidR="00A80E97" w:rsidRPr="00A80E97" w:rsidRDefault="00A80E97" w:rsidP="00A80E97">
      <w:pPr>
        <w:pStyle w:val="Dash6"/>
      </w:pPr>
      <w:r w:rsidRPr="00A80E97">
        <w:t>100 mg/2 </w:t>
      </w:r>
      <w:r w:rsidR="00C77D1F" w:rsidRPr="00A80E97">
        <w:t>m</w:t>
      </w:r>
      <w:r w:rsidR="00C77D1F">
        <w:t>L</w:t>
      </w:r>
    </w:p>
    <w:p w14:paraId="4A1546C8" w14:textId="39CD2C50" w:rsidR="00A80E97" w:rsidRPr="00A80E97" w:rsidRDefault="00A80E97" w:rsidP="00A80E97">
      <w:pPr>
        <w:pStyle w:val="Dash6"/>
      </w:pPr>
      <w:r w:rsidRPr="00A80E97">
        <w:t>500 mg/10 </w:t>
      </w:r>
      <w:r w:rsidR="00C77D1F" w:rsidRPr="00A80E97">
        <w:t>m</w:t>
      </w:r>
      <w:r w:rsidR="00C77D1F">
        <w:t>L</w:t>
      </w:r>
      <w:r w:rsidR="006A116C">
        <w:t>.</w:t>
      </w:r>
    </w:p>
    <w:p w14:paraId="2D493CC0" w14:textId="515C074C" w:rsidR="00A80E97" w:rsidRPr="00B2040A" w:rsidRDefault="00A80E97" w:rsidP="00A80E97">
      <w:pPr>
        <w:pStyle w:val="Bullet6"/>
      </w:pPr>
      <w:r w:rsidRPr="00B2040A">
        <w:t>Dilute usin</w:t>
      </w:r>
      <w:r w:rsidRPr="00A80E97">
        <w:t>g</w:t>
      </w:r>
      <w:r w:rsidRPr="00B2040A">
        <w:t xml:space="preserve"> 0.9% </w:t>
      </w:r>
      <w:r w:rsidR="00C77D1F">
        <w:rPr>
          <w:lang w:val="en-AU"/>
        </w:rPr>
        <w:t>sodium chloride</w:t>
      </w:r>
      <w:r>
        <w:rPr>
          <w:lang w:val="en-AU"/>
        </w:rPr>
        <w:t>:</w:t>
      </w:r>
    </w:p>
    <w:p w14:paraId="6DAC6046" w14:textId="5290D6D5" w:rsidR="00A80E97" w:rsidRPr="00B2040A" w:rsidRDefault="00A80E97" w:rsidP="00A80E97">
      <w:pPr>
        <w:pStyle w:val="Dash6"/>
      </w:pPr>
      <w:r>
        <w:t xml:space="preserve">maximum </w:t>
      </w:r>
      <w:r w:rsidRPr="00B2040A">
        <w:t>concentration 5</w:t>
      </w:r>
      <w:r>
        <w:t xml:space="preserve"> </w:t>
      </w:r>
      <w:r w:rsidRPr="00B2040A">
        <w:t>mg/</w:t>
      </w:r>
      <w:r w:rsidR="00C77D1F" w:rsidRPr="00B2040A">
        <w:t>m</w:t>
      </w:r>
      <w:r w:rsidR="00C77D1F">
        <w:t>L</w:t>
      </w:r>
    </w:p>
    <w:p w14:paraId="08F6450F" w14:textId="198E9C9F" w:rsidR="00A80E97" w:rsidRPr="00B2040A" w:rsidRDefault="00A80E97" w:rsidP="00A80E97">
      <w:pPr>
        <w:pStyle w:val="Dash6"/>
      </w:pPr>
      <w:r>
        <w:t xml:space="preserve">minimum </w:t>
      </w:r>
      <w:r w:rsidRPr="00B2040A">
        <w:t>concentration 2</w:t>
      </w:r>
      <w:r>
        <w:t> </w:t>
      </w:r>
      <w:r w:rsidRPr="00B2040A">
        <w:t>mg/</w:t>
      </w:r>
      <w:r w:rsidR="00C77D1F" w:rsidRPr="00B2040A">
        <w:t>m</w:t>
      </w:r>
      <w:r w:rsidR="00C77D1F">
        <w:t>L</w:t>
      </w:r>
      <w:r>
        <w:t>.</w:t>
      </w:r>
    </w:p>
    <w:p w14:paraId="6AC40C04" w14:textId="51A99C1D" w:rsidR="00A80E97" w:rsidRPr="000819AB" w:rsidRDefault="00A80E97" w:rsidP="00A80E97">
      <w:pPr>
        <w:pStyle w:val="Bullet6"/>
      </w:pPr>
      <w:r>
        <w:t xml:space="preserve">For children </w:t>
      </w:r>
      <w:r>
        <w:rPr>
          <w:lang w:val="en-AU"/>
        </w:rPr>
        <w:t>under</w:t>
      </w:r>
      <w:r>
        <w:t xml:space="preserve"> 14 years of age</w:t>
      </w:r>
      <w:r>
        <w:rPr>
          <w:lang w:val="en-AU"/>
        </w:rPr>
        <w:t>,</w:t>
      </w:r>
      <w:r>
        <w:t xml:space="preserve"> use a maximum dose of 20 mg/kg and round down to the nearest amp</w:t>
      </w:r>
      <w:r w:rsidR="00C77D1F">
        <w:rPr>
          <w:lang w:val="en-AU"/>
        </w:rPr>
        <w:t>o</w:t>
      </w:r>
      <w:r>
        <w:t xml:space="preserve">ule. </w:t>
      </w:r>
    </w:p>
    <w:p w14:paraId="7E0DDECD" w14:textId="77777777" w:rsidR="00A80E97" w:rsidRPr="00B2040A" w:rsidRDefault="00A80E97" w:rsidP="00A80E97">
      <w:pPr>
        <w:pStyle w:val="Bullet12"/>
      </w:pPr>
      <w:r w:rsidRPr="00B2040A">
        <w:t>Administer over at least 15 minutes</w:t>
      </w:r>
      <w:r>
        <w:rPr>
          <w:lang w:val="en-AU"/>
        </w:rPr>
        <w:t>.</w:t>
      </w:r>
    </w:p>
    <w:p w14:paraId="75294725" w14:textId="67CED209" w:rsidR="00A80E97" w:rsidRDefault="00A80E97" w:rsidP="00A80E97">
      <w:pPr>
        <w:pStyle w:val="TableName"/>
      </w:pPr>
      <w:bookmarkStart w:id="295" w:name="_Toc427758402"/>
      <w:r>
        <w:t>Table I-1</w:t>
      </w:r>
      <w:r>
        <w:tab/>
        <w:t>Total dose</w:t>
      </w:r>
      <w:r w:rsidRPr="00375148">
        <w:t xml:space="preserve"> (m</w:t>
      </w:r>
      <w:r>
        <w:t xml:space="preserve">g </w:t>
      </w:r>
      <w:r w:rsidRPr="00375148">
        <w:t xml:space="preserve">of </w:t>
      </w:r>
      <w:r w:rsidR="00910374">
        <w:t>IV</w:t>
      </w:r>
      <w:r w:rsidRPr="00375148">
        <w:t xml:space="preserve"> iron </w:t>
      </w:r>
      <w:r>
        <w:t>carboxymaltose</w:t>
      </w:r>
      <w:r w:rsidRPr="00375148">
        <w:t>)</w:t>
      </w:r>
      <w:r w:rsidR="006A116C">
        <w:t xml:space="preserve"> </w:t>
      </w:r>
      <w:r w:rsidRPr="00375148">
        <w:t xml:space="preserve">based on </w:t>
      </w:r>
      <w:r>
        <w:t>Hb</w:t>
      </w:r>
      <w:r w:rsidRPr="00375148">
        <w:t xml:space="preserve"> concen</w:t>
      </w:r>
      <w:r>
        <w:t>tration and body weight</w:t>
      </w:r>
      <w:bookmarkEnd w:id="295"/>
    </w:p>
    <w:tbl>
      <w:tblPr>
        <w:tblStyle w:val="TableGrid"/>
        <w:tblW w:w="0" w:type="auto"/>
        <w:tblInd w:w="720" w:type="dxa"/>
        <w:tblLook w:val="04A0" w:firstRow="1" w:lastRow="0" w:firstColumn="1" w:lastColumn="0" w:noHBand="0" w:noVBand="1"/>
      </w:tblPr>
      <w:tblGrid>
        <w:gridCol w:w="654"/>
        <w:gridCol w:w="656"/>
        <w:gridCol w:w="656"/>
        <w:gridCol w:w="656"/>
        <w:gridCol w:w="655"/>
        <w:gridCol w:w="655"/>
        <w:gridCol w:w="655"/>
        <w:gridCol w:w="655"/>
        <w:gridCol w:w="656"/>
        <w:gridCol w:w="656"/>
        <w:gridCol w:w="656"/>
        <w:gridCol w:w="656"/>
        <w:gridCol w:w="656"/>
      </w:tblGrid>
      <w:tr w:rsidR="00A80E97" w14:paraId="79392712" w14:textId="77777777" w:rsidTr="00BC13C8">
        <w:tc>
          <w:tcPr>
            <w:tcW w:w="667" w:type="dxa"/>
            <w:vMerge w:val="restart"/>
          </w:tcPr>
          <w:p w14:paraId="4B9B4D34" w14:textId="1A79AA6E" w:rsidR="00A80E97" w:rsidRPr="006A116C" w:rsidRDefault="00A80E97" w:rsidP="00BC13C8">
            <w:pPr>
              <w:pStyle w:val="TableHeading"/>
              <w:rPr>
                <w:vertAlign w:val="superscript"/>
              </w:rPr>
            </w:pPr>
            <w:r>
              <w:t>Hb (g/L)</w:t>
            </w:r>
            <w:r w:rsidR="006A116C">
              <w:rPr>
                <w:vertAlign w:val="superscript"/>
              </w:rPr>
              <w:t>a</w:t>
            </w:r>
          </w:p>
        </w:tc>
        <w:tc>
          <w:tcPr>
            <w:tcW w:w="8396" w:type="dxa"/>
            <w:gridSpan w:val="12"/>
          </w:tcPr>
          <w:p w14:paraId="1FED99FC" w14:textId="77777777" w:rsidR="00A80E97" w:rsidRDefault="00A80E97" w:rsidP="00BC13C8">
            <w:pPr>
              <w:pStyle w:val="TableHeading"/>
              <w:jc w:val="center"/>
            </w:pPr>
            <w:r>
              <w:t>Weight (kg)</w:t>
            </w:r>
          </w:p>
        </w:tc>
      </w:tr>
      <w:tr w:rsidR="00A80E97" w14:paraId="1629C40B" w14:textId="77777777" w:rsidTr="00BC13C8">
        <w:tc>
          <w:tcPr>
            <w:tcW w:w="667" w:type="dxa"/>
            <w:vMerge/>
          </w:tcPr>
          <w:p w14:paraId="209CC52B" w14:textId="77777777" w:rsidR="00A80E97" w:rsidRDefault="00A80E97" w:rsidP="00BC13C8">
            <w:pPr>
              <w:pStyle w:val="TableHeading"/>
            </w:pPr>
          </w:p>
        </w:tc>
        <w:tc>
          <w:tcPr>
            <w:tcW w:w="700" w:type="dxa"/>
          </w:tcPr>
          <w:p w14:paraId="3944BE31" w14:textId="77777777" w:rsidR="00A80E97" w:rsidRDefault="00A80E97" w:rsidP="00BC13C8">
            <w:pPr>
              <w:pStyle w:val="TableHeading"/>
            </w:pPr>
            <w:r>
              <w:t>35</w:t>
            </w:r>
          </w:p>
        </w:tc>
        <w:tc>
          <w:tcPr>
            <w:tcW w:w="700" w:type="dxa"/>
          </w:tcPr>
          <w:p w14:paraId="1D4120CA" w14:textId="77777777" w:rsidR="00A80E97" w:rsidRDefault="00A80E97" w:rsidP="00BC13C8">
            <w:pPr>
              <w:pStyle w:val="TableHeading"/>
            </w:pPr>
            <w:r>
              <w:t>40</w:t>
            </w:r>
          </w:p>
        </w:tc>
        <w:tc>
          <w:tcPr>
            <w:tcW w:w="700" w:type="dxa"/>
          </w:tcPr>
          <w:p w14:paraId="6693A7B1" w14:textId="77777777" w:rsidR="00A80E97" w:rsidRDefault="00A80E97" w:rsidP="00BC13C8">
            <w:pPr>
              <w:pStyle w:val="TableHeading"/>
            </w:pPr>
            <w:r>
              <w:t>45</w:t>
            </w:r>
          </w:p>
        </w:tc>
        <w:tc>
          <w:tcPr>
            <w:tcW w:w="699" w:type="dxa"/>
          </w:tcPr>
          <w:p w14:paraId="499527FD" w14:textId="77777777" w:rsidR="00A80E97" w:rsidRDefault="00A80E97" w:rsidP="00BC13C8">
            <w:pPr>
              <w:pStyle w:val="TableHeading"/>
            </w:pPr>
            <w:r>
              <w:t>50</w:t>
            </w:r>
          </w:p>
        </w:tc>
        <w:tc>
          <w:tcPr>
            <w:tcW w:w="699" w:type="dxa"/>
          </w:tcPr>
          <w:p w14:paraId="7A2BE3F5" w14:textId="77777777" w:rsidR="00A80E97" w:rsidRDefault="00A80E97" w:rsidP="00BC13C8">
            <w:pPr>
              <w:pStyle w:val="TableHeading"/>
            </w:pPr>
            <w:r>
              <w:t>55</w:t>
            </w:r>
          </w:p>
        </w:tc>
        <w:tc>
          <w:tcPr>
            <w:tcW w:w="699" w:type="dxa"/>
          </w:tcPr>
          <w:p w14:paraId="00D5200D" w14:textId="77777777" w:rsidR="00A80E97" w:rsidRDefault="00A80E97" w:rsidP="00BC13C8">
            <w:pPr>
              <w:pStyle w:val="TableHeading"/>
            </w:pPr>
            <w:r>
              <w:t>60</w:t>
            </w:r>
          </w:p>
        </w:tc>
        <w:tc>
          <w:tcPr>
            <w:tcW w:w="699" w:type="dxa"/>
          </w:tcPr>
          <w:p w14:paraId="0B3B3186" w14:textId="77777777" w:rsidR="00A80E97" w:rsidRDefault="00A80E97" w:rsidP="00BC13C8">
            <w:pPr>
              <w:pStyle w:val="TableHeading"/>
            </w:pPr>
            <w:r>
              <w:t>65</w:t>
            </w:r>
          </w:p>
        </w:tc>
        <w:tc>
          <w:tcPr>
            <w:tcW w:w="700" w:type="dxa"/>
          </w:tcPr>
          <w:p w14:paraId="78E787E4" w14:textId="77777777" w:rsidR="00A80E97" w:rsidRDefault="00A80E97" w:rsidP="00BC13C8">
            <w:pPr>
              <w:pStyle w:val="TableHeading"/>
            </w:pPr>
            <w:r>
              <w:t>70</w:t>
            </w:r>
          </w:p>
        </w:tc>
        <w:tc>
          <w:tcPr>
            <w:tcW w:w="700" w:type="dxa"/>
          </w:tcPr>
          <w:p w14:paraId="65553398" w14:textId="77777777" w:rsidR="00A80E97" w:rsidRDefault="00A80E97" w:rsidP="00BC13C8">
            <w:pPr>
              <w:pStyle w:val="TableHeading"/>
            </w:pPr>
            <w:r>
              <w:t>75</w:t>
            </w:r>
          </w:p>
        </w:tc>
        <w:tc>
          <w:tcPr>
            <w:tcW w:w="700" w:type="dxa"/>
          </w:tcPr>
          <w:p w14:paraId="10A936E6" w14:textId="77777777" w:rsidR="00A80E97" w:rsidRDefault="00A80E97" w:rsidP="00BC13C8">
            <w:pPr>
              <w:pStyle w:val="TableHeading"/>
            </w:pPr>
            <w:r>
              <w:t>80</w:t>
            </w:r>
          </w:p>
        </w:tc>
        <w:tc>
          <w:tcPr>
            <w:tcW w:w="700" w:type="dxa"/>
          </w:tcPr>
          <w:p w14:paraId="46ABBF84" w14:textId="77777777" w:rsidR="00A80E97" w:rsidRDefault="00A80E97" w:rsidP="00BC13C8">
            <w:pPr>
              <w:pStyle w:val="TableHeading"/>
            </w:pPr>
            <w:r>
              <w:t>85</w:t>
            </w:r>
          </w:p>
        </w:tc>
        <w:tc>
          <w:tcPr>
            <w:tcW w:w="700" w:type="dxa"/>
          </w:tcPr>
          <w:p w14:paraId="45DEFA01" w14:textId="77777777" w:rsidR="00A80E97" w:rsidRDefault="00A80E97" w:rsidP="00BC13C8">
            <w:pPr>
              <w:pStyle w:val="TableHeading"/>
            </w:pPr>
            <w:r>
              <w:t>90</w:t>
            </w:r>
          </w:p>
        </w:tc>
      </w:tr>
      <w:tr w:rsidR="00A80E97" w14:paraId="6E134F4E" w14:textId="77777777" w:rsidTr="00BC13C8">
        <w:tc>
          <w:tcPr>
            <w:tcW w:w="667" w:type="dxa"/>
          </w:tcPr>
          <w:p w14:paraId="5B529F01" w14:textId="77777777" w:rsidR="00A80E97" w:rsidRDefault="00A80E97" w:rsidP="00BC13C8">
            <w:pPr>
              <w:pStyle w:val="TableHeading"/>
            </w:pPr>
            <w:r>
              <w:t>60</w:t>
            </w:r>
          </w:p>
        </w:tc>
        <w:tc>
          <w:tcPr>
            <w:tcW w:w="700" w:type="dxa"/>
          </w:tcPr>
          <w:p w14:paraId="0BAACE5F" w14:textId="77777777" w:rsidR="00A80E97" w:rsidRDefault="00A80E97" w:rsidP="00BC13C8">
            <w:pPr>
              <w:pStyle w:val="Tabletext0"/>
            </w:pPr>
            <w:r>
              <w:t>1200</w:t>
            </w:r>
          </w:p>
        </w:tc>
        <w:tc>
          <w:tcPr>
            <w:tcW w:w="700" w:type="dxa"/>
          </w:tcPr>
          <w:p w14:paraId="32BBC04B" w14:textId="77777777" w:rsidR="00A80E97" w:rsidRDefault="00A80E97" w:rsidP="00BC13C8">
            <w:pPr>
              <w:pStyle w:val="Tabletext0"/>
            </w:pPr>
            <w:r>
              <w:t>1300</w:t>
            </w:r>
          </w:p>
        </w:tc>
        <w:tc>
          <w:tcPr>
            <w:tcW w:w="700" w:type="dxa"/>
          </w:tcPr>
          <w:p w14:paraId="67CCD669" w14:textId="77777777" w:rsidR="00A80E97" w:rsidRDefault="00A80E97" w:rsidP="00BC13C8">
            <w:pPr>
              <w:pStyle w:val="Tabletext0"/>
            </w:pPr>
            <w:r>
              <w:t>1400</w:t>
            </w:r>
          </w:p>
        </w:tc>
        <w:tc>
          <w:tcPr>
            <w:tcW w:w="699" w:type="dxa"/>
          </w:tcPr>
          <w:p w14:paraId="384A59D4" w14:textId="77777777" w:rsidR="00A80E97" w:rsidRDefault="00A80E97" w:rsidP="00BC13C8">
            <w:pPr>
              <w:pStyle w:val="Tabletext0"/>
            </w:pPr>
            <w:r>
              <w:t>1500</w:t>
            </w:r>
          </w:p>
        </w:tc>
        <w:tc>
          <w:tcPr>
            <w:tcW w:w="699" w:type="dxa"/>
          </w:tcPr>
          <w:p w14:paraId="1764F222" w14:textId="77777777" w:rsidR="00A80E97" w:rsidRDefault="00A80E97" w:rsidP="00BC13C8">
            <w:pPr>
              <w:pStyle w:val="Tabletext0"/>
            </w:pPr>
            <w:r>
              <w:t>1600</w:t>
            </w:r>
          </w:p>
        </w:tc>
        <w:tc>
          <w:tcPr>
            <w:tcW w:w="699" w:type="dxa"/>
          </w:tcPr>
          <w:p w14:paraId="16A9CD35" w14:textId="77777777" w:rsidR="00A80E97" w:rsidRDefault="00A80E97" w:rsidP="00BC13C8">
            <w:pPr>
              <w:pStyle w:val="Tabletext0"/>
            </w:pPr>
            <w:r>
              <w:t>1700</w:t>
            </w:r>
          </w:p>
        </w:tc>
        <w:tc>
          <w:tcPr>
            <w:tcW w:w="699" w:type="dxa"/>
          </w:tcPr>
          <w:p w14:paraId="0B322F57" w14:textId="77777777" w:rsidR="00A80E97" w:rsidRDefault="00A80E97" w:rsidP="00BC13C8">
            <w:pPr>
              <w:pStyle w:val="Tabletext0"/>
            </w:pPr>
            <w:r>
              <w:t>1900</w:t>
            </w:r>
          </w:p>
        </w:tc>
        <w:tc>
          <w:tcPr>
            <w:tcW w:w="700" w:type="dxa"/>
          </w:tcPr>
          <w:p w14:paraId="1F4EE237" w14:textId="77777777" w:rsidR="00A80E97" w:rsidRDefault="00A80E97" w:rsidP="00BC13C8">
            <w:pPr>
              <w:pStyle w:val="Tabletext0"/>
            </w:pPr>
            <w:r>
              <w:t>2100</w:t>
            </w:r>
          </w:p>
        </w:tc>
        <w:tc>
          <w:tcPr>
            <w:tcW w:w="700" w:type="dxa"/>
          </w:tcPr>
          <w:p w14:paraId="30492801" w14:textId="77777777" w:rsidR="00A80E97" w:rsidRDefault="00A80E97" w:rsidP="00BC13C8">
            <w:pPr>
              <w:pStyle w:val="Tabletext0"/>
            </w:pPr>
            <w:r>
              <w:t>2200</w:t>
            </w:r>
          </w:p>
        </w:tc>
        <w:tc>
          <w:tcPr>
            <w:tcW w:w="700" w:type="dxa"/>
          </w:tcPr>
          <w:p w14:paraId="019087E8" w14:textId="77777777" w:rsidR="00A80E97" w:rsidRDefault="00A80E97" w:rsidP="00BC13C8">
            <w:pPr>
              <w:pStyle w:val="Tabletext0"/>
            </w:pPr>
            <w:r>
              <w:t>2300</w:t>
            </w:r>
          </w:p>
        </w:tc>
        <w:tc>
          <w:tcPr>
            <w:tcW w:w="700" w:type="dxa"/>
          </w:tcPr>
          <w:p w14:paraId="20BA8515" w14:textId="77777777" w:rsidR="00A80E97" w:rsidRDefault="00A80E97" w:rsidP="00BC13C8">
            <w:pPr>
              <w:pStyle w:val="Tabletext0"/>
            </w:pPr>
            <w:r>
              <w:t>2400</w:t>
            </w:r>
          </w:p>
        </w:tc>
        <w:tc>
          <w:tcPr>
            <w:tcW w:w="700" w:type="dxa"/>
          </w:tcPr>
          <w:p w14:paraId="2E903A24" w14:textId="77777777" w:rsidR="00A80E97" w:rsidRDefault="00A80E97" w:rsidP="00BC13C8">
            <w:pPr>
              <w:pStyle w:val="Tabletext0"/>
            </w:pPr>
            <w:r>
              <w:t>2500</w:t>
            </w:r>
          </w:p>
        </w:tc>
      </w:tr>
      <w:tr w:rsidR="00A80E97" w14:paraId="1A56BB86" w14:textId="77777777" w:rsidTr="00BC13C8">
        <w:tc>
          <w:tcPr>
            <w:tcW w:w="667" w:type="dxa"/>
          </w:tcPr>
          <w:p w14:paraId="75D64BD2" w14:textId="77777777" w:rsidR="00A80E97" w:rsidRDefault="00A80E97" w:rsidP="00BC13C8">
            <w:pPr>
              <w:pStyle w:val="TableHeading"/>
            </w:pPr>
            <w:r>
              <w:t>75</w:t>
            </w:r>
          </w:p>
        </w:tc>
        <w:tc>
          <w:tcPr>
            <w:tcW w:w="700" w:type="dxa"/>
          </w:tcPr>
          <w:p w14:paraId="3927AFD9" w14:textId="77777777" w:rsidR="00A80E97" w:rsidRDefault="00A80E97" w:rsidP="00BC13C8">
            <w:pPr>
              <w:pStyle w:val="Tabletext0"/>
            </w:pPr>
            <w:r>
              <w:t>1100</w:t>
            </w:r>
          </w:p>
        </w:tc>
        <w:tc>
          <w:tcPr>
            <w:tcW w:w="700" w:type="dxa"/>
          </w:tcPr>
          <w:p w14:paraId="4291FBB6" w14:textId="77777777" w:rsidR="00A80E97" w:rsidRDefault="00A80E97" w:rsidP="00BC13C8">
            <w:pPr>
              <w:pStyle w:val="Tabletext0"/>
            </w:pPr>
            <w:r>
              <w:t>1200</w:t>
            </w:r>
          </w:p>
        </w:tc>
        <w:tc>
          <w:tcPr>
            <w:tcW w:w="700" w:type="dxa"/>
          </w:tcPr>
          <w:p w14:paraId="757253D3" w14:textId="77777777" w:rsidR="00A80E97" w:rsidRDefault="00A80E97" w:rsidP="00BC13C8">
            <w:pPr>
              <w:pStyle w:val="Tabletext0"/>
            </w:pPr>
            <w:r>
              <w:t>1300</w:t>
            </w:r>
          </w:p>
        </w:tc>
        <w:tc>
          <w:tcPr>
            <w:tcW w:w="699" w:type="dxa"/>
          </w:tcPr>
          <w:p w14:paraId="3E06B645" w14:textId="77777777" w:rsidR="00A80E97" w:rsidRDefault="00A80E97" w:rsidP="00BC13C8">
            <w:pPr>
              <w:pStyle w:val="Tabletext0"/>
            </w:pPr>
            <w:r>
              <w:t>1400</w:t>
            </w:r>
          </w:p>
        </w:tc>
        <w:tc>
          <w:tcPr>
            <w:tcW w:w="699" w:type="dxa"/>
          </w:tcPr>
          <w:p w14:paraId="228B4F35" w14:textId="77777777" w:rsidR="00A80E97" w:rsidRDefault="00A80E97" w:rsidP="00BC13C8">
            <w:pPr>
              <w:pStyle w:val="Tabletext0"/>
            </w:pPr>
            <w:r>
              <w:t>1400</w:t>
            </w:r>
          </w:p>
        </w:tc>
        <w:tc>
          <w:tcPr>
            <w:tcW w:w="699" w:type="dxa"/>
          </w:tcPr>
          <w:p w14:paraId="556A6B6F" w14:textId="77777777" w:rsidR="00A80E97" w:rsidRDefault="00A80E97" w:rsidP="00BC13C8">
            <w:pPr>
              <w:pStyle w:val="Tabletext0"/>
            </w:pPr>
            <w:r>
              <w:t>1500</w:t>
            </w:r>
          </w:p>
        </w:tc>
        <w:tc>
          <w:tcPr>
            <w:tcW w:w="699" w:type="dxa"/>
          </w:tcPr>
          <w:p w14:paraId="6EA87097" w14:textId="77777777" w:rsidR="00A80E97" w:rsidRDefault="00A80E97" w:rsidP="00BC13C8">
            <w:pPr>
              <w:pStyle w:val="Tabletext0"/>
            </w:pPr>
            <w:r>
              <w:t>1600</w:t>
            </w:r>
          </w:p>
        </w:tc>
        <w:tc>
          <w:tcPr>
            <w:tcW w:w="700" w:type="dxa"/>
          </w:tcPr>
          <w:p w14:paraId="4EF446F1" w14:textId="77777777" w:rsidR="00A80E97" w:rsidRDefault="00A80E97" w:rsidP="00BC13C8">
            <w:pPr>
              <w:pStyle w:val="Tabletext0"/>
            </w:pPr>
            <w:r>
              <w:t>1800</w:t>
            </w:r>
          </w:p>
        </w:tc>
        <w:tc>
          <w:tcPr>
            <w:tcW w:w="700" w:type="dxa"/>
          </w:tcPr>
          <w:p w14:paraId="0C526F95" w14:textId="77777777" w:rsidR="00A80E97" w:rsidRDefault="00A80E97" w:rsidP="00BC13C8">
            <w:pPr>
              <w:pStyle w:val="Tabletext0"/>
            </w:pPr>
            <w:r>
              <w:t>1900</w:t>
            </w:r>
          </w:p>
        </w:tc>
        <w:tc>
          <w:tcPr>
            <w:tcW w:w="700" w:type="dxa"/>
          </w:tcPr>
          <w:p w14:paraId="518F6D69" w14:textId="77777777" w:rsidR="00A80E97" w:rsidRDefault="00A80E97" w:rsidP="00BC13C8">
            <w:pPr>
              <w:pStyle w:val="Tabletext0"/>
            </w:pPr>
            <w:r>
              <w:t>2000</w:t>
            </w:r>
          </w:p>
        </w:tc>
        <w:tc>
          <w:tcPr>
            <w:tcW w:w="700" w:type="dxa"/>
          </w:tcPr>
          <w:p w14:paraId="06653D86" w14:textId="77777777" w:rsidR="00A80E97" w:rsidRDefault="00A80E97" w:rsidP="00BC13C8">
            <w:pPr>
              <w:pStyle w:val="Tabletext0"/>
            </w:pPr>
            <w:r>
              <w:t>2100</w:t>
            </w:r>
          </w:p>
        </w:tc>
        <w:tc>
          <w:tcPr>
            <w:tcW w:w="700" w:type="dxa"/>
          </w:tcPr>
          <w:p w14:paraId="74F5F220" w14:textId="77777777" w:rsidR="00A80E97" w:rsidRDefault="00A80E97" w:rsidP="00BC13C8">
            <w:pPr>
              <w:pStyle w:val="Tabletext0"/>
            </w:pPr>
            <w:r>
              <w:t>2200</w:t>
            </w:r>
          </w:p>
        </w:tc>
      </w:tr>
      <w:tr w:rsidR="00A80E97" w14:paraId="29747196" w14:textId="77777777" w:rsidTr="00BC13C8">
        <w:tc>
          <w:tcPr>
            <w:tcW w:w="667" w:type="dxa"/>
          </w:tcPr>
          <w:p w14:paraId="0C64CDF0" w14:textId="77777777" w:rsidR="00A80E97" w:rsidRDefault="00A80E97" w:rsidP="00BC13C8">
            <w:pPr>
              <w:pStyle w:val="TableHeading"/>
            </w:pPr>
            <w:r>
              <w:t>90</w:t>
            </w:r>
          </w:p>
        </w:tc>
        <w:tc>
          <w:tcPr>
            <w:tcW w:w="700" w:type="dxa"/>
          </w:tcPr>
          <w:p w14:paraId="123D23E4" w14:textId="77777777" w:rsidR="00A80E97" w:rsidRDefault="00A80E97" w:rsidP="00BC13C8">
            <w:pPr>
              <w:pStyle w:val="Tabletext0"/>
            </w:pPr>
            <w:r>
              <w:t>1000</w:t>
            </w:r>
          </w:p>
        </w:tc>
        <w:tc>
          <w:tcPr>
            <w:tcW w:w="700" w:type="dxa"/>
          </w:tcPr>
          <w:p w14:paraId="4E96A20B" w14:textId="77777777" w:rsidR="00A80E97" w:rsidRDefault="00A80E97" w:rsidP="00BC13C8">
            <w:pPr>
              <w:pStyle w:val="Tabletext0"/>
            </w:pPr>
            <w:r>
              <w:t>1000</w:t>
            </w:r>
          </w:p>
        </w:tc>
        <w:tc>
          <w:tcPr>
            <w:tcW w:w="700" w:type="dxa"/>
          </w:tcPr>
          <w:p w14:paraId="03D34D07" w14:textId="77777777" w:rsidR="00A80E97" w:rsidRDefault="00A80E97" w:rsidP="00BC13C8">
            <w:pPr>
              <w:pStyle w:val="Tabletext0"/>
            </w:pPr>
            <w:r>
              <w:t>1100</w:t>
            </w:r>
          </w:p>
        </w:tc>
        <w:tc>
          <w:tcPr>
            <w:tcW w:w="699" w:type="dxa"/>
          </w:tcPr>
          <w:p w14:paraId="5C3EAE87" w14:textId="77777777" w:rsidR="00A80E97" w:rsidRDefault="00A80E97" w:rsidP="00BC13C8">
            <w:pPr>
              <w:pStyle w:val="Tabletext0"/>
            </w:pPr>
            <w:r>
              <w:t>1200</w:t>
            </w:r>
          </w:p>
        </w:tc>
        <w:tc>
          <w:tcPr>
            <w:tcW w:w="699" w:type="dxa"/>
          </w:tcPr>
          <w:p w14:paraId="6BBA5897" w14:textId="77777777" w:rsidR="00A80E97" w:rsidRDefault="00A80E97" w:rsidP="00BC13C8">
            <w:pPr>
              <w:pStyle w:val="Tabletext0"/>
            </w:pPr>
            <w:r>
              <w:t>1200</w:t>
            </w:r>
          </w:p>
        </w:tc>
        <w:tc>
          <w:tcPr>
            <w:tcW w:w="699" w:type="dxa"/>
          </w:tcPr>
          <w:p w14:paraId="66E59A1B" w14:textId="77777777" w:rsidR="00A80E97" w:rsidRDefault="00A80E97" w:rsidP="00BC13C8">
            <w:pPr>
              <w:pStyle w:val="Tabletext0"/>
            </w:pPr>
            <w:r>
              <w:t>1300</w:t>
            </w:r>
          </w:p>
        </w:tc>
        <w:tc>
          <w:tcPr>
            <w:tcW w:w="699" w:type="dxa"/>
          </w:tcPr>
          <w:p w14:paraId="1155E463" w14:textId="77777777" w:rsidR="00A80E97" w:rsidRDefault="00A80E97" w:rsidP="00BC13C8">
            <w:pPr>
              <w:pStyle w:val="Tabletext0"/>
            </w:pPr>
            <w:r>
              <w:t>1400</w:t>
            </w:r>
          </w:p>
        </w:tc>
        <w:tc>
          <w:tcPr>
            <w:tcW w:w="700" w:type="dxa"/>
          </w:tcPr>
          <w:p w14:paraId="272776FE" w14:textId="77777777" w:rsidR="00A80E97" w:rsidRDefault="00A80E97" w:rsidP="00BC13C8">
            <w:pPr>
              <w:pStyle w:val="Tabletext0"/>
            </w:pPr>
            <w:r>
              <w:t>1600</w:t>
            </w:r>
          </w:p>
        </w:tc>
        <w:tc>
          <w:tcPr>
            <w:tcW w:w="700" w:type="dxa"/>
          </w:tcPr>
          <w:p w14:paraId="300CBDA0" w14:textId="77777777" w:rsidR="00A80E97" w:rsidRDefault="00A80E97" w:rsidP="00BC13C8">
            <w:pPr>
              <w:pStyle w:val="Tabletext0"/>
            </w:pPr>
            <w:r>
              <w:t>1600</w:t>
            </w:r>
          </w:p>
        </w:tc>
        <w:tc>
          <w:tcPr>
            <w:tcW w:w="700" w:type="dxa"/>
          </w:tcPr>
          <w:p w14:paraId="73D3644F" w14:textId="77777777" w:rsidR="00A80E97" w:rsidRDefault="00A80E97" w:rsidP="00BC13C8">
            <w:pPr>
              <w:pStyle w:val="Tabletext0"/>
            </w:pPr>
            <w:r>
              <w:t>1700</w:t>
            </w:r>
          </w:p>
        </w:tc>
        <w:tc>
          <w:tcPr>
            <w:tcW w:w="700" w:type="dxa"/>
          </w:tcPr>
          <w:p w14:paraId="0FBC2BF4" w14:textId="77777777" w:rsidR="00A80E97" w:rsidRDefault="00A80E97" w:rsidP="00BC13C8">
            <w:pPr>
              <w:pStyle w:val="Tabletext0"/>
            </w:pPr>
            <w:r>
              <w:t>1800</w:t>
            </w:r>
          </w:p>
        </w:tc>
        <w:tc>
          <w:tcPr>
            <w:tcW w:w="700" w:type="dxa"/>
          </w:tcPr>
          <w:p w14:paraId="40EEEFDB" w14:textId="77777777" w:rsidR="00A80E97" w:rsidRDefault="00A80E97" w:rsidP="00BC13C8">
            <w:pPr>
              <w:pStyle w:val="Tabletext0"/>
            </w:pPr>
            <w:r>
              <w:t>1800</w:t>
            </w:r>
          </w:p>
        </w:tc>
      </w:tr>
      <w:tr w:rsidR="00A80E97" w14:paraId="09237675" w14:textId="77777777" w:rsidTr="00BC13C8">
        <w:tc>
          <w:tcPr>
            <w:tcW w:w="667" w:type="dxa"/>
          </w:tcPr>
          <w:p w14:paraId="733656D7" w14:textId="77777777" w:rsidR="00A80E97" w:rsidRDefault="00A80E97" w:rsidP="00BC13C8">
            <w:pPr>
              <w:pStyle w:val="TableHeading"/>
            </w:pPr>
            <w:r>
              <w:t>105</w:t>
            </w:r>
          </w:p>
        </w:tc>
        <w:tc>
          <w:tcPr>
            <w:tcW w:w="700" w:type="dxa"/>
          </w:tcPr>
          <w:p w14:paraId="06AE5DA9" w14:textId="77777777" w:rsidR="00A80E97" w:rsidRDefault="00A80E97" w:rsidP="00BC13C8">
            <w:pPr>
              <w:pStyle w:val="Tabletext0"/>
            </w:pPr>
            <w:r>
              <w:t>800</w:t>
            </w:r>
          </w:p>
        </w:tc>
        <w:tc>
          <w:tcPr>
            <w:tcW w:w="700" w:type="dxa"/>
          </w:tcPr>
          <w:p w14:paraId="6A4BD111" w14:textId="77777777" w:rsidR="00A80E97" w:rsidRDefault="00A80E97" w:rsidP="00BC13C8">
            <w:pPr>
              <w:pStyle w:val="Tabletext0"/>
            </w:pPr>
            <w:r>
              <w:t>900</w:t>
            </w:r>
          </w:p>
        </w:tc>
        <w:tc>
          <w:tcPr>
            <w:tcW w:w="700" w:type="dxa"/>
          </w:tcPr>
          <w:p w14:paraId="79A06D9C" w14:textId="77777777" w:rsidR="00A80E97" w:rsidRDefault="00A80E97" w:rsidP="00BC13C8">
            <w:pPr>
              <w:pStyle w:val="Tabletext0"/>
            </w:pPr>
            <w:r>
              <w:t>900</w:t>
            </w:r>
          </w:p>
        </w:tc>
        <w:tc>
          <w:tcPr>
            <w:tcW w:w="699" w:type="dxa"/>
          </w:tcPr>
          <w:p w14:paraId="1A9A0438" w14:textId="77777777" w:rsidR="00A80E97" w:rsidRDefault="00A80E97" w:rsidP="00BC13C8">
            <w:pPr>
              <w:pStyle w:val="Tabletext0"/>
            </w:pPr>
            <w:r>
              <w:t>1000</w:t>
            </w:r>
          </w:p>
        </w:tc>
        <w:tc>
          <w:tcPr>
            <w:tcW w:w="699" w:type="dxa"/>
          </w:tcPr>
          <w:p w14:paraId="21A08647" w14:textId="77777777" w:rsidR="00A80E97" w:rsidRDefault="00A80E97" w:rsidP="00BC13C8">
            <w:pPr>
              <w:pStyle w:val="Tabletext0"/>
            </w:pPr>
            <w:r>
              <w:t>1000</w:t>
            </w:r>
          </w:p>
        </w:tc>
        <w:tc>
          <w:tcPr>
            <w:tcW w:w="699" w:type="dxa"/>
          </w:tcPr>
          <w:p w14:paraId="264C1288" w14:textId="77777777" w:rsidR="00A80E97" w:rsidRDefault="00A80E97" w:rsidP="00BC13C8">
            <w:pPr>
              <w:pStyle w:val="Tabletext0"/>
            </w:pPr>
            <w:r>
              <w:t>1100</w:t>
            </w:r>
          </w:p>
        </w:tc>
        <w:tc>
          <w:tcPr>
            <w:tcW w:w="699" w:type="dxa"/>
          </w:tcPr>
          <w:p w14:paraId="4F6FC2D9" w14:textId="77777777" w:rsidR="00A80E97" w:rsidRDefault="00A80E97" w:rsidP="00BC13C8">
            <w:pPr>
              <w:pStyle w:val="Tabletext0"/>
            </w:pPr>
            <w:r>
              <w:t>1200</w:t>
            </w:r>
          </w:p>
        </w:tc>
        <w:tc>
          <w:tcPr>
            <w:tcW w:w="700" w:type="dxa"/>
          </w:tcPr>
          <w:p w14:paraId="0D92D7B3" w14:textId="77777777" w:rsidR="00A80E97" w:rsidRDefault="00A80E97" w:rsidP="00BC13C8">
            <w:pPr>
              <w:pStyle w:val="Tabletext0"/>
            </w:pPr>
            <w:r>
              <w:t>1300</w:t>
            </w:r>
          </w:p>
        </w:tc>
        <w:tc>
          <w:tcPr>
            <w:tcW w:w="700" w:type="dxa"/>
          </w:tcPr>
          <w:p w14:paraId="5569B1D6" w14:textId="77777777" w:rsidR="00A80E97" w:rsidRDefault="00A80E97" w:rsidP="00BC13C8">
            <w:pPr>
              <w:pStyle w:val="Tabletext0"/>
            </w:pPr>
            <w:r>
              <w:t>1400</w:t>
            </w:r>
          </w:p>
        </w:tc>
        <w:tc>
          <w:tcPr>
            <w:tcW w:w="700" w:type="dxa"/>
          </w:tcPr>
          <w:p w14:paraId="52D84757" w14:textId="77777777" w:rsidR="00A80E97" w:rsidRDefault="00A80E97" w:rsidP="00BC13C8">
            <w:pPr>
              <w:pStyle w:val="Tabletext0"/>
            </w:pPr>
            <w:r>
              <w:t>1400</w:t>
            </w:r>
          </w:p>
        </w:tc>
        <w:tc>
          <w:tcPr>
            <w:tcW w:w="700" w:type="dxa"/>
          </w:tcPr>
          <w:p w14:paraId="4E35C453" w14:textId="77777777" w:rsidR="00A80E97" w:rsidRDefault="00A80E97" w:rsidP="00BC13C8">
            <w:pPr>
              <w:pStyle w:val="Tabletext0"/>
            </w:pPr>
            <w:r>
              <w:t>1500</w:t>
            </w:r>
          </w:p>
        </w:tc>
        <w:tc>
          <w:tcPr>
            <w:tcW w:w="700" w:type="dxa"/>
          </w:tcPr>
          <w:p w14:paraId="7FB97752" w14:textId="77777777" w:rsidR="00A80E97" w:rsidRDefault="00A80E97" w:rsidP="00BC13C8">
            <w:pPr>
              <w:pStyle w:val="Tabletext0"/>
            </w:pPr>
            <w:r>
              <w:t>1500</w:t>
            </w:r>
          </w:p>
        </w:tc>
      </w:tr>
    </w:tbl>
    <w:p w14:paraId="7FA6D6AC" w14:textId="5EF9CCA4" w:rsidR="00A80E97" w:rsidRDefault="00A80E97" w:rsidP="00A80E97">
      <w:pPr>
        <w:pStyle w:val="TableFigNotes18"/>
        <w:rPr>
          <w:rFonts w:ascii="Arial" w:hAnsi="Arial"/>
          <w:sz w:val="26"/>
          <w:szCs w:val="28"/>
        </w:rPr>
      </w:pPr>
      <w:r>
        <w:rPr>
          <w:vertAlign w:val="superscript"/>
        </w:rPr>
        <w:t>a</w:t>
      </w:r>
      <w:r>
        <w:t xml:space="preserve"> Maximum dose per infusion is 20 mg/kg/week</w:t>
      </w:r>
      <w:r>
        <w:br/>
        <w:t>Source: Royal Children’s Hospital (</w:t>
      </w:r>
      <w:r w:rsidRPr="00A80E97">
        <w:t>2013)</w:t>
      </w:r>
      <w:hyperlink w:anchor="_ENREF_396" w:tooltip=", 2013 #1020" w:history="1">
        <w:r w:rsidR="00E62798">
          <w:fldChar w:fldCharType="begin"/>
        </w:r>
        <w:r w:rsidR="00E62798">
          <w:instrText xml:space="preserve"> ADDIN EN.CITE &lt;EndNote&gt;&lt;Cite ExcludeAuth="1"&gt;&lt;Year&gt;2013&lt;/Year&gt;&lt;RecNum&gt;1020&lt;/RecNum&gt;&lt;DisplayText&gt;&lt;style face="superscript"&gt;396&lt;/style&gt;&lt;/DisplayText&gt;&lt;record&gt;&lt;rec-number&gt;1020&lt;/rec-number&gt;&lt;foreign-keys&gt;&lt;key app="EN" db-id="9edve2wadsavt5ewavaxtda4f2tavzvts9ee" timestamp="1437632473"&gt;1020&lt;/key&gt;&lt;/foreign-keys&gt;&lt;ref-type name="Report"&gt;27&lt;/ref-type&gt;&lt;contributors&gt;&lt;/contributors&gt;&lt;titles&gt;&lt;title&gt;Day Medical Unit –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396</w:t>
        </w:r>
        <w:r w:rsidR="00E62798">
          <w:fldChar w:fldCharType="end"/>
        </w:r>
      </w:hyperlink>
    </w:p>
    <w:p w14:paraId="30842F1C" w14:textId="313799C0" w:rsidR="00A80E97" w:rsidRPr="00C85D3F" w:rsidRDefault="00A80E97" w:rsidP="00A80E97">
      <w:pPr>
        <w:pStyle w:val="Heading2a"/>
      </w:pPr>
      <w:r w:rsidRPr="00A80E97">
        <w:t>I3</w:t>
      </w:r>
      <w:r w:rsidRPr="00A80E97">
        <w:tab/>
      </w:r>
      <w:r w:rsidRPr="00C85D3F">
        <w:t xml:space="preserve">Iron </w:t>
      </w:r>
      <w:r>
        <w:t xml:space="preserve">sucrose (Venofer) </w:t>
      </w:r>
      <w:r w:rsidRPr="00C85D3F">
        <w:t>dose</w:t>
      </w:r>
      <w:hyperlink w:anchor="_ENREF_397" w:tooltip=", 2012 #1021" w:history="1">
        <w:r w:rsidR="00E62798">
          <w:fldChar w:fldCharType="begin"/>
        </w:r>
        <w:r w:rsidR="00E62798">
          <w:instrText xml:space="preserve"> ADDIN EN.CITE &lt;EndNote&gt;&lt;Cite ExcludeAuth="1"&gt;&lt;Year&gt;2012&lt;/Year&gt;&lt;RecNum&gt;1021&lt;/RecNum&gt;&lt;DisplayText&gt;&lt;style face="superscript"&gt;397&lt;/style&gt;&lt;/DisplayText&gt;&lt;record&gt;&lt;rec-number&gt;1021&lt;/rec-number&gt;&lt;foreign-keys&gt;&lt;key app="EN" db-id="9edve2wadsavt5ewavaxtda4f2tavzvts9ee" timestamp="1437632480"&gt;1021&lt;/key&gt;&lt;/foreign-keys&gt;&lt;ref-type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397</w:t>
        </w:r>
        <w:r w:rsidR="00E62798">
          <w:fldChar w:fldCharType="end"/>
        </w:r>
      </w:hyperlink>
    </w:p>
    <w:p w14:paraId="5A101F62" w14:textId="0F1B412D" w:rsidR="00A80E97" w:rsidRPr="00012F0E" w:rsidRDefault="00A80E97" w:rsidP="00A80E97">
      <w:pPr>
        <w:pStyle w:val="Bullet6"/>
      </w:pPr>
      <w:r w:rsidRPr="00012F0E">
        <w:t xml:space="preserve">Dose (ml) of iron sucrose </w:t>
      </w:r>
      <w:r>
        <w:rPr>
          <w:lang w:val="en-AU"/>
        </w:rPr>
        <w:t xml:space="preserve">– </w:t>
      </w:r>
      <w:r w:rsidRPr="00012F0E">
        <w:t>20</w:t>
      </w:r>
      <w:r>
        <w:t> </w:t>
      </w:r>
      <w:r w:rsidRPr="00012F0E">
        <w:t>mg/</w:t>
      </w:r>
      <w:r w:rsidR="00C77D1F" w:rsidRPr="00012F0E">
        <w:t>m</w:t>
      </w:r>
      <w:r w:rsidR="00C77D1F">
        <w:rPr>
          <w:lang w:val="en-AU"/>
        </w:rPr>
        <w:t>L</w:t>
      </w:r>
      <w:r>
        <w:rPr>
          <w:lang w:val="en-AU"/>
        </w:rPr>
        <w:t>.</w:t>
      </w:r>
    </w:p>
    <w:p w14:paraId="3790E71E" w14:textId="23A024C8" w:rsidR="00A80E97" w:rsidRPr="00012F0E" w:rsidRDefault="00A80E97" w:rsidP="00A80E97">
      <w:pPr>
        <w:pStyle w:val="Bullet6"/>
      </w:pPr>
      <w:r w:rsidRPr="00012F0E">
        <w:t xml:space="preserve">Ampule </w:t>
      </w:r>
      <w:r>
        <w:rPr>
          <w:lang w:val="en-AU"/>
        </w:rPr>
        <w:t>of</w:t>
      </w:r>
      <w:r w:rsidRPr="00012F0E">
        <w:t xml:space="preserve"> 5</w:t>
      </w:r>
      <w:r>
        <w:t> </w:t>
      </w:r>
      <w:r w:rsidR="00C77D1F" w:rsidRPr="00012F0E">
        <w:t>m</w:t>
      </w:r>
      <w:r w:rsidR="00C77D1F">
        <w:rPr>
          <w:lang w:val="en-AU"/>
        </w:rPr>
        <w:t>L</w:t>
      </w:r>
      <w:r w:rsidR="00C77D1F" w:rsidRPr="00012F0E">
        <w:t xml:space="preserve"> </w:t>
      </w:r>
      <w:r>
        <w:rPr>
          <w:lang w:val="en-AU"/>
        </w:rPr>
        <w:t>is equivalent to</w:t>
      </w:r>
      <w:r w:rsidRPr="00012F0E">
        <w:t xml:space="preserve"> 100</w:t>
      </w:r>
      <w:r>
        <w:t> </w:t>
      </w:r>
      <w:r w:rsidRPr="00012F0E">
        <w:t>mg of iron</w:t>
      </w:r>
      <w:r>
        <w:rPr>
          <w:lang w:val="en-AU"/>
        </w:rPr>
        <w:t>.</w:t>
      </w:r>
    </w:p>
    <w:p w14:paraId="4CFF2EAF" w14:textId="77777777" w:rsidR="00A80E97" w:rsidRPr="00012F0E" w:rsidRDefault="00A80E97" w:rsidP="00A80E97">
      <w:pPr>
        <w:pStyle w:val="Bullet6"/>
      </w:pPr>
      <w:r w:rsidRPr="00012F0E">
        <w:t xml:space="preserve">Maximum dose </w:t>
      </w:r>
      <w:r>
        <w:rPr>
          <w:lang w:val="en-AU"/>
        </w:rPr>
        <w:t xml:space="preserve">– </w:t>
      </w:r>
      <w:r w:rsidRPr="00012F0E">
        <w:t>100</w:t>
      </w:r>
      <w:r>
        <w:t> mg</w:t>
      </w:r>
      <w:r w:rsidRPr="00012F0E">
        <w:t xml:space="preserve"> not more than three times per week. </w:t>
      </w:r>
    </w:p>
    <w:p w14:paraId="74AEBFAB" w14:textId="5E762981" w:rsidR="00A80E97" w:rsidRPr="00012F0E" w:rsidRDefault="00A80E97" w:rsidP="00A80E97">
      <w:pPr>
        <w:pStyle w:val="Bullet6"/>
      </w:pPr>
      <w:r w:rsidRPr="00012F0E">
        <w:t xml:space="preserve">Dilute with 0.9% </w:t>
      </w:r>
      <w:r w:rsidR="00C77D1F">
        <w:rPr>
          <w:lang w:val="en-AU"/>
        </w:rPr>
        <w:t>sodium chloride</w:t>
      </w:r>
      <w:r w:rsidR="00C77D1F" w:rsidRPr="00012F0E">
        <w:t xml:space="preserve"> </w:t>
      </w:r>
      <w:r w:rsidRPr="00012F0E">
        <w:t>to a maximum concentration of 1</w:t>
      </w:r>
      <w:r>
        <w:t> </w:t>
      </w:r>
      <w:r w:rsidRPr="00012F0E">
        <w:t>mg/</w:t>
      </w:r>
      <w:r w:rsidR="00C77D1F" w:rsidRPr="00012F0E">
        <w:t>m</w:t>
      </w:r>
      <w:r w:rsidR="00C77D1F">
        <w:rPr>
          <w:lang w:val="en-AU"/>
        </w:rPr>
        <w:t>L</w:t>
      </w:r>
      <w:r>
        <w:rPr>
          <w:lang w:val="en-AU"/>
        </w:rPr>
        <w:t>.</w:t>
      </w:r>
    </w:p>
    <w:p w14:paraId="6EFC09FD" w14:textId="3DEDCD13" w:rsidR="00A80E97" w:rsidRPr="00012F0E" w:rsidRDefault="00A80E97" w:rsidP="00A80E97">
      <w:pPr>
        <w:pStyle w:val="Bullet6"/>
      </w:pPr>
      <w:r w:rsidRPr="00012F0E">
        <w:t>Commence at 40</w:t>
      </w:r>
      <w:r>
        <w:t> </w:t>
      </w:r>
      <w:r w:rsidR="00C77D1F" w:rsidRPr="00012F0E">
        <w:t>m</w:t>
      </w:r>
      <w:r w:rsidR="00C77D1F">
        <w:rPr>
          <w:lang w:val="en-AU"/>
        </w:rPr>
        <w:t>L</w:t>
      </w:r>
      <w:r w:rsidRPr="00012F0E">
        <w:t>/</w:t>
      </w:r>
      <w:r>
        <w:t>hour</w:t>
      </w:r>
      <w:r w:rsidRPr="00012F0E">
        <w:t xml:space="preserve"> for </w:t>
      </w:r>
      <w:r>
        <w:rPr>
          <w:lang w:val="en-AU"/>
        </w:rPr>
        <w:t xml:space="preserve">the first </w:t>
      </w:r>
      <w:r w:rsidRPr="00012F0E">
        <w:t>50</w:t>
      </w:r>
      <w:r>
        <w:t xml:space="preserve"> </w:t>
      </w:r>
      <w:r w:rsidR="00C77D1F">
        <w:t>m</w:t>
      </w:r>
      <w:r w:rsidR="00C77D1F">
        <w:rPr>
          <w:lang w:val="en-AU"/>
        </w:rPr>
        <w:t>L</w:t>
      </w:r>
      <w:r>
        <w:t>.</w:t>
      </w:r>
    </w:p>
    <w:p w14:paraId="56182D50" w14:textId="68DED81B" w:rsidR="00A80E97" w:rsidRPr="00012F0E" w:rsidRDefault="00A80E97" w:rsidP="00A80E97">
      <w:pPr>
        <w:pStyle w:val="Bullet12"/>
      </w:pPr>
      <w:r w:rsidRPr="00012F0E">
        <w:t>Then increase by 20</w:t>
      </w:r>
      <w:r>
        <w:t> </w:t>
      </w:r>
      <w:r w:rsidR="00C77D1F">
        <w:t>m</w:t>
      </w:r>
      <w:r w:rsidR="00C77D1F">
        <w:rPr>
          <w:lang w:val="en-AU"/>
        </w:rPr>
        <w:t>L</w:t>
      </w:r>
      <w:r w:rsidRPr="00012F0E">
        <w:t>/</w:t>
      </w:r>
      <w:r>
        <w:t>hour</w:t>
      </w:r>
      <w:r w:rsidRPr="00012F0E">
        <w:t xml:space="preserve"> every 15 minutes</w:t>
      </w:r>
      <w:r>
        <w:rPr>
          <w:lang w:val="en-AU"/>
        </w:rPr>
        <w:t>,</w:t>
      </w:r>
      <w:r w:rsidRPr="00012F0E">
        <w:t xml:space="preserve"> to a maximum of 100</w:t>
      </w:r>
      <w:r>
        <w:t> </w:t>
      </w:r>
      <w:r w:rsidR="00C77D1F" w:rsidRPr="00012F0E">
        <w:t>m</w:t>
      </w:r>
      <w:r w:rsidR="00C77D1F">
        <w:rPr>
          <w:lang w:val="en-AU"/>
        </w:rPr>
        <w:t>L</w:t>
      </w:r>
      <w:r w:rsidRPr="00012F0E">
        <w:t>/</w:t>
      </w:r>
      <w:r>
        <w:t>hour</w:t>
      </w:r>
      <w:r>
        <w:rPr>
          <w:lang w:val="en-AU"/>
        </w:rPr>
        <w:t>.</w:t>
      </w:r>
    </w:p>
    <w:p w14:paraId="788F4062" w14:textId="48156C2F" w:rsidR="00A80E97" w:rsidRDefault="00A80E97" w:rsidP="00A80E97">
      <w:pPr>
        <w:pStyle w:val="TableName"/>
      </w:pPr>
      <w:bookmarkStart w:id="296" w:name="_Toc427758403"/>
      <w:r>
        <w:t>Table I-2</w:t>
      </w:r>
      <w:r>
        <w:tab/>
      </w:r>
      <w:r w:rsidRPr="00375148">
        <w:t>Dose (</w:t>
      </w:r>
      <w:r w:rsidR="00C77D1F" w:rsidRPr="00375148">
        <w:t>m</w:t>
      </w:r>
      <w:r w:rsidR="00C77D1F">
        <w:t>L</w:t>
      </w:r>
      <w:r w:rsidR="00C77D1F" w:rsidRPr="00375148">
        <w:t xml:space="preserve"> </w:t>
      </w:r>
      <w:r w:rsidRPr="00375148">
        <w:t xml:space="preserve">of </w:t>
      </w:r>
      <w:r w:rsidR="00910374">
        <w:t>IV</w:t>
      </w:r>
      <w:r w:rsidR="00910374" w:rsidRPr="00375148">
        <w:t xml:space="preserve"> </w:t>
      </w:r>
      <w:r w:rsidRPr="00375148">
        <w:t xml:space="preserve">iron </w:t>
      </w:r>
      <w:r>
        <w:t>sucrose</w:t>
      </w:r>
      <w:r w:rsidRPr="00375148">
        <w:t xml:space="preserve">) based on </w:t>
      </w:r>
      <w:r>
        <w:t>Hb</w:t>
      </w:r>
      <w:r w:rsidRPr="00375148">
        <w:t xml:space="preserve"> concen</w:t>
      </w:r>
      <w:r>
        <w:t>tration and body weight</w:t>
      </w:r>
      <w:bookmarkEnd w:id="296"/>
      <w:r>
        <w:t xml:space="preserve"> </w:t>
      </w:r>
    </w:p>
    <w:tbl>
      <w:tblPr>
        <w:tblStyle w:val="TableGrid"/>
        <w:tblW w:w="0" w:type="auto"/>
        <w:tblInd w:w="720" w:type="dxa"/>
        <w:tblLook w:val="04A0" w:firstRow="1" w:lastRow="0" w:firstColumn="1" w:lastColumn="0" w:noHBand="0" w:noVBand="1"/>
      </w:tblPr>
      <w:tblGrid>
        <w:gridCol w:w="666"/>
        <w:gridCol w:w="443"/>
        <w:gridCol w:w="329"/>
        <w:gridCol w:w="397"/>
        <w:gridCol w:w="397"/>
        <w:gridCol w:w="397"/>
        <w:gridCol w:w="397"/>
        <w:gridCol w:w="397"/>
        <w:gridCol w:w="397"/>
        <w:gridCol w:w="397"/>
        <w:gridCol w:w="397"/>
        <w:gridCol w:w="397"/>
        <w:gridCol w:w="397"/>
        <w:gridCol w:w="397"/>
        <w:gridCol w:w="397"/>
        <w:gridCol w:w="464"/>
        <w:gridCol w:w="464"/>
        <w:gridCol w:w="464"/>
        <w:gridCol w:w="464"/>
        <w:gridCol w:w="464"/>
      </w:tblGrid>
      <w:tr w:rsidR="00A80E97" w14:paraId="50A6443F" w14:textId="77777777" w:rsidTr="00BC13C8">
        <w:tc>
          <w:tcPr>
            <w:tcW w:w="827" w:type="dxa"/>
            <w:vMerge w:val="restart"/>
          </w:tcPr>
          <w:p w14:paraId="2AA5E624" w14:textId="77777777" w:rsidR="00A80E97" w:rsidRPr="0019182F" w:rsidRDefault="00A80E97" w:rsidP="00BC13C8">
            <w:pPr>
              <w:pStyle w:val="TableHeading"/>
              <w:rPr>
                <w:vertAlign w:val="superscript"/>
              </w:rPr>
            </w:pPr>
            <w:r>
              <w:t>Hb (g/L)</w:t>
            </w:r>
            <w:r>
              <w:rPr>
                <w:vertAlign w:val="superscript"/>
              </w:rPr>
              <w:t>a</w:t>
            </w:r>
          </w:p>
        </w:tc>
        <w:tc>
          <w:tcPr>
            <w:tcW w:w="467" w:type="dxa"/>
          </w:tcPr>
          <w:p w14:paraId="397AB457" w14:textId="77777777" w:rsidR="00A80E97" w:rsidRDefault="00A80E97" w:rsidP="00BC13C8">
            <w:pPr>
              <w:pStyle w:val="TableHeading"/>
            </w:pPr>
          </w:p>
        </w:tc>
        <w:tc>
          <w:tcPr>
            <w:tcW w:w="8436" w:type="dxa"/>
            <w:gridSpan w:val="18"/>
          </w:tcPr>
          <w:p w14:paraId="33654F77" w14:textId="77777777" w:rsidR="00A80E97" w:rsidRDefault="00A80E97" w:rsidP="00BC13C8">
            <w:pPr>
              <w:pStyle w:val="TableHeading"/>
              <w:jc w:val="center"/>
            </w:pPr>
            <w:r>
              <w:t>Body weight (kg)</w:t>
            </w:r>
          </w:p>
        </w:tc>
      </w:tr>
      <w:tr w:rsidR="00A80E97" w14:paraId="307054F2" w14:textId="77777777" w:rsidTr="00BC13C8">
        <w:tc>
          <w:tcPr>
            <w:tcW w:w="827" w:type="dxa"/>
            <w:vMerge/>
          </w:tcPr>
          <w:p w14:paraId="159511AF" w14:textId="77777777" w:rsidR="00A80E97" w:rsidRDefault="00A80E97" w:rsidP="00BC13C8">
            <w:pPr>
              <w:pStyle w:val="TableHeading"/>
            </w:pPr>
          </w:p>
        </w:tc>
        <w:tc>
          <w:tcPr>
            <w:tcW w:w="467" w:type="dxa"/>
          </w:tcPr>
          <w:p w14:paraId="12D43687" w14:textId="77777777" w:rsidR="00A80E97" w:rsidRPr="00910374" w:rsidRDefault="00A80E97" w:rsidP="00BC13C8">
            <w:pPr>
              <w:pStyle w:val="TableHeading"/>
              <w:rPr>
                <w:sz w:val="18"/>
                <w:szCs w:val="18"/>
              </w:rPr>
            </w:pPr>
          </w:p>
        </w:tc>
        <w:tc>
          <w:tcPr>
            <w:tcW w:w="467" w:type="dxa"/>
          </w:tcPr>
          <w:p w14:paraId="723C853F" w14:textId="77777777" w:rsidR="00A80E97" w:rsidRPr="00910374" w:rsidRDefault="00A80E97" w:rsidP="00BC13C8">
            <w:pPr>
              <w:pStyle w:val="TableHeading"/>
              <w:rPr>
                <w:sz w:val="18"/>
                <w:szCs w:val="18"/>
              </w:rPr>
            </w:pPr>
            <w:r w:rsidRPr="00910374">
              <w:rPr>
                <w:sz w:val="18"/>
                <w:szCs w:val="18"/>
              </w:rPr>
              <w:t>5</w:t>
            </w:r>
          </w:p>
        </w:tc>
        <w:tc>
          <w:tcPr>
            <w:tcW w:w="468" w:type="dxa"/>
          </w:tcPr>
          <w:p w14:paraId="16D0C889" w14:textId="77777777" w:rsidR="00A80E97" w:rsidRPr="00910374" w:rsidRDefault="00A80E97" w:rsidP="00BC13C8">
            <w:pPr>
              <w:pStyle w:val="TableHeading"/>
              <w:rPr>
                <w:sz w:val="18"/>
                <w:szCs w:val="18"/>
              </w:rPr>
            </w:pPr>
            <w:r w:rsidRPr="00910374">
              <w:rPr>
                <w:sz w:val="18"/>
                <w:szCs w:val="18"/>
              </w:rPr>
              <w:t>10</w:t>
            </w:r>
          </w:p>
        </w:tc>
        <w:tc>
          <w:tcPr>
            <w:tcW w:w="468" w:type="dxa"/>
          </w:tcPr>
          <w:p w14:paraId="62A9F2FA" w14:textId="77777777" w:rsidR="00A80E97" w:rsidRPr="00910374" w:rsidRDefault="00A80E97" w:rsidP="00BC13C8">
            <w:pPr>
              <w:pStyle w:val="TableHeading"/>
              <w:rPr>
                <w:sz w:val="18"/>
                <w:szCs w:val="18"/>
              </w:rPr>
            </w:pPr>
            <w:r w:rsidRPr="00910374">
              <w:rPr>
                <w:sz w:val="18"/>
                <w:szCs w:val="18"/>
              </w:rPr>
              <w:t>15</w:t>
            </w:r>
          </w:p>
        </w:tc>
        <w:tc>
          <w:tcPr>
            <w:tcW w:w="468" w:type="dxa"/>
          </w:tcPr>
          <w:p w14:paraId="2CDB5E67" w14:textId="77777777" w:rsidR="00A80E97" w:rsidRPr="00910374" w:rsidRDefault="00A80E97" w:rsidP="00BC13C8">
            <w:pPr>
              <w:pStyle w:val="TableHeading"/>
              <w:rPr>
                <w:sz w:val="18"/>
                <w:szCs w:val="18"/>
              </w:rPr>
            </w:pPr>
            <w:r w:rsidRPr="00910374">
              <w:rPr>
                <w:sz w:val="18"/>
                <w:szCs w:val="18"/>
              </w:rPr>
              <w:t>20</w:t>
            </w:r>
          </w:p>
        </w:tc>
        <w:tc>
          <w:tcPr>
            <w:tcW w:w="468" w:type="dxa"/>
          </w:tcPr>
          <w:p w14:paraId="76C15960" w14:textId="77777777" w:rsidR="00A80E97" w:rsidRPr="00910374" w:rsidRDefault="00A80E97" w:rsidP="00BC13C8">
            <w:pPr>
              <w:pStyle w:val="TableHeading"/>
              <w:rPr>
                <w:sz w:val="18"/>
                <w:szCs w:val="18"/>
              </w:rPr>
            </w:pPr>
            <w:r w:rsidRPr="00910374">
              <w:rPr>
                <w:sz w:val="18"/>
                <w:szCs w:val="18"/>
              </w:rPr>
              <w:t>25</w:t>
            </w:r>
          </w:p>
        </w:tc>
        <w:tc>
          <w:tcPr>
            <w:tcW w:w="469" w:type="dxa"/>
          </w:tcPr>
          <w:p w14:paraId="728EAE69" w14:textId="77777777" w:rsidR="00A80E97" w:rsidRPr="00910374" w:rsidRDefault="00A80E97" w:rsidP="00BC13C8">
            <w:pPr>
              <w:pStyle w:val="TableHeading"/>
              <w:rPr>
                <w:sz w:val="18"/>
                <w:szCs w:val="18"/>
              </w:rPr>
            </w:pPr>
            <w:r w:rsidRPr="00910374">
              <w:rPr>
                <w:sz w:val="18"/>
                <w:szCs w:val="18"/>
              </w:rPr>
              <w:t>30</w:t>
            </w:r>
          </w:p>
        </w:tc>
        <w:tc>
          <w:tcPr>
            <w:tcW w:w="469" w:type="dxa"/>
          </w:tcPr>
          <w:p w14:paraId="66C5D9C5" w14:textId="77777777" w:rsidR="00A80E97" w:rsidRPr="00910374" w:rsidRDefault="00A80E97" w:rsidP="00BC13C8">
            <w:pPr>
              <w:pStyle w:val="TableHeading"/>
              <w:rPr>
                <w:sz w:val="18"/>
                <w:szCs w:val="18"/>
              </w:rPr>
            </w:pPr>
            <w:r w:rsidRPr="00910374">
              <w:rPr>
                <w:sz w:val="18"/>
                <w:szCs w:val="18"/>
              </w:rPr>
              <w:t>35</w:t>
            </w:r>
          </w:p>
        </w:tc>
        <w:tc>
          <w:tcPr>
            <w:tcW w:w="469" w:type="dxa"/>
          </w:tcPr>
          <w:p w14:paraId="4F403C7F" w14:textId="77777777" w:rsidR="00A80E97" w:rsidRPr="00910374" w:rsidRDefault="00A80E97" w:rsidP="00BC13C8">
            <w:pPr>
              <w:pStyle w:val="TableHeading"/>
              <w:rPr>
                <w:sz w:val="18"/>
                <w:szCs w:val="18"/>
              </w:rPr>
            </w:pPr>
            <w:r w:rsidRPr="00910374">
              <w:rPr>
                <w:sz w:val="18"/>
                <w:szCs w:val="18"/>
              </w:rPr>
              <w:t>40</w:t>
            </w:r>
          </w:p>
        </w:tc>
        <w:tc>
          <w:tcPr>
            <w:tcW w:w="469" w:type="dxa"/>
          </w:tcPr>
          <w:p w14:paraId="6E5DBD7C" w14:textId="77777777" w:rsidR="00A80E97" w:rsidRPr="00910374" w:rsidRDefault="00A80E97" w:rsidP="00BC13C8">
            <w:pPr>
              <w:pStyle w:val="TableHeading"/>
              <w:rPr>
                <w:sz w:val="18"/>
                <w:szCs w:val="18"/>
              </w:rPr>
            </w:pPr>
            <w:r w:rsidRPr="00910374">
              <w:rPr>
                <w:sz w:val="18"/>
                <w:szCs w:val="18"/>
              </w:rPr>
              <w:t>45</w:t>
            </w:r>
          </w:p>
        </w:tc>
        <w:tc>
          <w:tcPr>
            <w:tcW w:w="469" w:type="dxa"/>
          </w:tcPr>
          <w:p w14:paraId="1D3B26B9" w14:textId="77777777" w:rsidR="00A80E97" w:rsidRPr="00910374" w:rsidRDefault="00A80E97" w:rsidP="00BC13C8">
            <w:pPr>
              <w:pStyle w:val="TableHeading"/>
              <w:rPr>
                <w:sz w:val="18"/>
                <w:szCs w:val="18"/>
              </w:rPr>
            </w:pPr>
            <w:r w:rsidRPr="00910374">
              <w:rPr>
                <w:sz w:val="18"/>
                <w:szCs w:val="18"/>
              </w:rPr>
              <w:t>50</w:t>
            </w:r>
          </w:p>
        </w:tc>
        <w:tc>
          <w:tcPr>
            <w:tcW w:w="469" w:type="dxa"/>
          </w:tcPr>
          <w:p w14:paraId="0149579C" w14:textId="77777777" w:rsidR="00A80E97" w:rsidRPr="00910374" w:rsidRDefault="00A80E97" w:rsidP="00BC13C8">
            <w:pPr>
              <w:pStyle w:val="TableHeading"/>
              <w:rPr>
                <w:sz w:val="18"/>
                <w:szCs w:val="18"/>
              </w:rPr>
            </w:pPr>
            <w:r w:rsidRPr="00910374">
              <w:rPr>
                <w:sz w:val="18"/>
                <w:szCs w:val="18"/>
              </w:rPr>
              <w:t>55</w:t>
            </w:r>
          </w:p>
        </w:tc>
        <w:tc>
          <w:tcPr>
            <w:tcW w:w="469" w:type="dxa"/>
          </w:tcPr>
          <w:p w14:paraId="75B2AB53" w14:textId="77777777" w:rsidR="00A80E97" w:rsidRPr="00910374" w:rsidRDefault="00A80E97" w:rsidP="00BC13C8">
            <w:pPr>
              <w:pStyle w:val="TableHeading"/>
              <w:rPr>
                <w:sz w:val="18"/>
                <w:szCs w:val="18"/>
              </w:rPr>
            </w:pPr>
            <w:r w:rsidRPr="00910374">
              <w:rPr>
                <w:sz w:val="18"/>
                <w:szCs w:val="18"/>
              </w:rPr>
              <w:t>60</w:t>
            </w:r>
          </w:p>
        </w:tc>
        <w:tc>
          <w:tcPr>
            <w:tcW w:w="469" w:type="dxa"/>
          </w:tcPr>
          <w:p w14:paraId="62637D12" w14:textId="77777777" w:rsidR="00A80E97" w:rsidRPr="00910374" w:rsidRDefault="00A80E97" w:rsidP="00BC13C8">
            <w:pPr>
              <w:pStyle w:val="TableHeading"/>
              <w:rPr>
                <w:sz w:val="18"/>
                <w:szCs w:val="18"/>
              </w:rPr>
            </w:pPr>
            <w:r w:rsidRPr="00910374">
              <w:rPr>
                <w:sz w:val="18"/>
                <w:szCs w:val="18"/>
              </w:rPr>
              <w:t>65</w:t>
            </w:r>
          </w:p>
        </w:tc>
        <w:tc>
          <w:tcPr>
            <w:tcW w:w="469" w:type="dxa"/>
          </w:tcPr>
          <w:p w14:paraId="1DC212E7" w14:textId="77777777" w:rsidR="00A80E97" w:rsidRPr="00910374" w:rsidRDefault="00A80E97" w:rsidP="00BC13C8">
            <w:pPr>
              <w:pStyle w:val="TableHeading"/>
              <w:rPr>
                <w:sz w:val="18"/>
                <w:szCs w:val="18"/>
              </w:rPr>
            </w:pPr>
            <w:r w:rsidRPr="00910374">
              <w:rPr>
                <w:sz w:val="18"/>
                <w:szCs w:val="18"/>
              </w:rPr>
              <w:t>70</w:t>
            </w:r>
          </w:p>
        </w:tc>
        <w:tc>
          <w:tcPr>
            <w:tcW w:w="469" w:type="dxa"/>
          </w:tcPr>
          <w:p w14:paraId="395BE8F5" w14:textId="77777777" w:rsidR="00A80E97" w:rsidRPr="00910374" w:rsidRDefault="00A80E97" w:rsidP="00BC13C8">
            <w:pPr>
              <w:pStyle w:val="TableHeading"/>
              <w:rPr>
                <w:sz w:val="18"/>
                <w:szCs w:val="18"/>
              </w:rPr>
            </w:pPr>
            <w:r w:rsidRPr="00910374">
              <w:rPr>
                <w:sz w:val="18"/>
                <w:szCs w:val="18"/>
              </w:rPr>
              <w:t>75</w:t>
            </w:r>
          </w:p>
        </w:tc>
        <w:tc>
          <w:tcPr>
            <w:tcW w:w="469" w:type="dxa"/>
          </w:tcPr>
          <w:p w14:paraId="1604CBF5" w14:textId="77777777" w:rsidR="00A80E97" w:rsidRPr="00910374" w:rsidRDefault="00A80E97" w:rsidP="00BC13C8">
            <w:pPr>
              <w:pStyle w:val="TableHeading"/>
              <w:rPr>
                <w:sz w:val="18"/>
                <w:szCs w:val="18"/>
              </w:rPr>
            </w:pPr>
            <w:r w:rsidRPr="00910374">
              <w:rPr>
                <w:sz w:val="18"/>
                <w:szCs w:val="18"/>
              </w:rPr>
              <w:t>80</w:t>
            </w:r>
          </w:p>
        </w:tc>
        <w:tc>
          <w:tcPr>
            <w:tcW w:w="469" w:type="dxa"/>
          </w:tcPr>
          <w:p w14:paraId="51113E62" w14:textId="77777777" w:rsidR="00A80E97" w:rsidRPr="00910374" w:rsidRDefault="00A80E97" w:rsidP="00BC13C8">
            <w:pPr>
              <w:pStyle w:val="TableHeading"/>
              <w:rPr>
                <w:sz w:val="18"/>
                <w:szCs w:val="18"/>
              </w:rPr>
            </w:pPr>
            <w:r w:rsidRPr="00910374">
              <w:rPr>
                <w:sz w:val="18"/>
                <w:szCs w:val="18"/>
              </w:rPr>
              <w:t>85</w:t>
            </w:r>
          </w:p>
        </w:tc>
        <w:tc>
          <w:tcPr>
            <w:tcW w:w="469" w:type="dxa"/>
          </w:tcPr>
          <w:p w14:paraId="1D932147" w14:textId="77777777" w:rsidR="00A80E97" w:rsidRPr="00910374" w:rsidRDefault="00A80E97" w:rsidP="00BC13C8">
            <w:pPr>
              <w:pStyle w:val="TableHeading"/>
              <w:rPr>
                <w:sz w:val="18"/>
                <w:szCs w:val="18"/>
              </w:rPr>
            </w:pPr>
            <w:r w:rsidRPr="00910374">
              <w:rPr>
                <w:sz w:val="18"/>
                <w:szCs w:val="18"/>
              </w:rPr>
              <w:t>90</w:t>
            </w:r>
          </w:p>
        </w:tc>
      </w:tr>
      <w:tr w:rsidR="00A80E97" w14:paraId="12B45710" w14:textId="77777777" w:rsidTr="00BC13C8">
        <w:tc>
          <w:tcPr>
            <w:tcW w:w="827" w:type="dxa"/>
          </w:tcPr>
          <w:p w14:paraId="60778B93" w14:textId="77777777" w:rsidR="00A80E97" w:rsidRDefault="00A80E97" w:rsidP="00BC13C8">
            <w:pPr>
              <w:pStyle w:val="TableHeading"/>
            </w:pPr>
            <w:r>
              <w:t>60</w:t>
            </w:r>
          </w:p>
        </w:tc>
        <w:tc>
          <w:tcPr>
            <w:tcW w:w="467" w:type="dxa"/>
          </w:tcPr>
          <w:p w14:paraId="65326110" w14:textId="78E421E2" w:rsidR="00A80E97" w:rsidRPr="00910374" w:rsidRDefault="00B26915" w:rsidP="00B26915">
            <w:pPr>
              <w:pStyle w:val="TableHeading"/>
              <w:rPr>
                <w:sz w:val="18"/>
                <w:szCs w:val="18"/>
              </w:rPr>
            </w:pPr>
            <w:r w:rsidRPr="00910374">
              <w:rPr>
                <w:sz w:val="18"/>
                <w:szCs w:val="18"/>
              </w:rPr>
              <w:t>m</w:t>
            </w:r>
            <w:r>
              <w:rPr>
                <w:sz w:val="18"/>
                <w:szCs w:val="18"/>
              </w:rPr>
              <w:t>L</w:t>
            </w:r>
          </w:p>
        </w:tc>
        <w:tc>
          <w:tcPr>
            <w:tcW w:w="467" w:type="dxa"/>
          </w:tcPr>
          <w:p w14:paraId="58C29AC6" w14:textId="77777777" w:rsidR="00A80E97" w:rsidRPr="00910374" w:rsidRDefault="00A80E97" w:rsidP="00BC13C8">
            <w:pPr>
              <w:pStyle w:val="Tabletext0"/>
              <w:rPr>
                <w:b/>
                <w:color w:val="00B0F0"/>
                <w:sz w:val="18"/>
                <w:szCs w:val="18"/>
                <w:lang w:val="en-AU"/>
              </w:rPr>
            </w:pPr>
            <w:r w:rsidRPr="00910374">
              <w:rPr>
                <w:b/>
                <w:color w:val="00B0F0"/>
                <w:sz w:val="18"/>
                <w:szCs w:val="18"/>
                <w:lang w:val="en-AU"/>
              </w:rPr>
              <w:t>8</w:t>
            </w:r>
          </w:p>
        </w:tc>
        <w:tc>
          <w:tcPr>
            <w:tcW w:w="468" w:type="dxa"/>
          </w:tcPr>
          <w:p w14:paraId="3CB8705A"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16</w:t>
            </w:r>
          </w:p>
        </w:tc>
        <w:tc>
          <w:tcPr>
            <w:tcW w:w="468" w:type="dxa"/>
          </w:tcPr>
          <w:p w14:paraId="0ABAFF0C"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24</w:t>
            </w:r>
          </w:p>
        </w:tc>
        <w:tc>
          <w:tcPr>
            <w:tcW w:w="468" w:type="dxa"/>
          </w:tcPr>
          <w:p w14:paraId="42D7146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32</w:t>
            </w:r>
          </w:p>
        </w:tc>
        <w:tc>
          <w:tcPr>
            <w:tcW w:w="468" w:type="dxa"/>
          </w:tcPr>
          <w:p w14:paraId="5035766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40</w:t>
            </w:r>
          </w:p>
        </w:tc>
        <w:tc>
          <w:tcPr>
            <w:tcW w:w="469" w:type="dxa"/>
          </w:tcPr>
          <w:p w14:paraId="2E0B100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48</w:t>
            </w:r>
          </w:p>
        </w:tc>
        <w:tc>
          <w:tcPr>
            <w:tcW w:w="469" w:type="dxa"/>
          </w:tcPr>
          <w:p w14:paraId="7971A2A5"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63</w:t>
            </w:r>
          </w:p>
        </w:tc>
        <w:tc>
          <w:tcPr>
            <w:tcW w:w="469" w:type="dxa"/>
          </w:tcPr>
          <w:p w14:paraId="17797B32"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68</w:t>
            </w:r>
          </w:p>
        </w:tc>
        <w:tc>
          <w:tcPr>
            <w:tcW w:w="469" w:type="dxa"/>
          </w:tcPr>
          <w:p w14:paraId="2A77EC55"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74</w:t>
            </w:r>
          </w:p>
        </w:tc>
        <w:tc>
          <w:tcPr>
            <w:tcW w:w="469" w:type="dxa"/>
          </w:tcPr>
          <w:p w14:paraId="55B23113"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79</w:t>
            </w:r>
          </w:p>
        </w:tc>
        <w:tc>
          <w:tcPr>
            <w:tcW w:w="469" w:type="dxa"/>
          </w:tcPr>
          <w:p w14:paraId="30118896"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84</w:t>
            </w:r>
          </w:p>
        </w:tc>
        <w:tc>
          <w:tcPr>
            <w:tcW w:w="469" w:type="dxa"/>
          </w:tcPr>
          <w:p w14:paraId="2BB19E7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90</w:t>
            </w:r>
          </w:p>
        </w:tc>
        <w:tc>
          <w:tcPr>
            <w:tcW w:w="469" w:type="dxa"/>
          </w:tcPr>
          <w:p w14:paraId="5817EE27"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95</w:t>
            </w:r>
          </w:p>
        </w:tc>
        <w:tc>
          <w:tcPr>
            <w:tcW w:w="469" w:type="dxa"/>
          </w:tcPr>
          <w:p w14:paraId="2918223D"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101</w:t>
            </w:r>
          </w:p>
        </w:tc>
        <w:tc>
          <w:tcPr>
            <w:tcW w:w="469" w:type="dxa"/>
          </w:tcPr>
          <w:p w14:paraId="1DE6505C"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106</w:t>
            </w:r>
          </w:p>
        </w:tc>
        <w:tc>
          <w:tcPr>
            <w:tcW w:w="469" w:type="dxa"/>
          </w:tcPr>
          <w:p w14:paraId="27A596DD"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111</w:t>
            </w:r>
          </w:p>
        </w:tc>
        <w:tc>
          <w:tcPr>
            <w:tcW w:w="469" w:type="dxa"/>
          </w:tcPr>
          <w:p w14:paraId="16997407"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117</w:t>
            </w:r>
          </w:p>
        </w:tc>
        <w:tc>
          <w:tcPr>
            <w:tcW w:w="469" w:type="dxa"/>
          </w:tcPr>
          <w:p w14:paraId="1804FEEC"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122</w:t>
            </w:r>
          </w:p>
        </w:tc>
      </w:tr>
      <w:tr w:rsidR="00A80E97" w14:paraId="14D16DCD" w14:textId="77777777" w:rsidTr="00BC13C8">
        <w:tc>
          <w:tcPr>
            <w:tcW w:w="827" w:type="dxa"/>
          </w:tcPr>
          <w:p w14:paraId="2B7CC48D" w14:textId="77777777" w:rsidR="00A80E97" w:rsidRDefault="00A80E97" w:rsidP="00BC13C8">
            <w:pPr>
              <w:pStyle w:val="TableHeading"/>
            </w:pPr>
            <w:r>
              <w:t>75</w:t>
            </w:r>
          </w:p>
        </w:tc>
        <w:tc>
          <w:tcPr>
            <w:tcW w:w="467" w:type="dxa"/>
          </w:tcPr>
          <w:p w14:paraId="6C8D107D" w14:textId="62F4E0FF" w:rsidR="00A80E97" w:rsidRPr="00910374" w:rsidRDefault="00B26915" w:rsidP="00B26915">
            <w:pPr>
              <w:pStyle w:val="TableHeading"/>
              <w:rPr>
                <w:sz w:val="18"/>
                <w:szCs w:val="18"/>
              </w:rPr>
            </w:pPr>
            <w:r w:rsidRPr="00910374">
              <w:rPr>
                <w:sz w:val="18"/>
                <w:szCs w:val="18"/>
              </w:rPr>
              <w:t>m</w:t>
            </w:r>
            <w:r>
              <w:rPr>
                <w:sz w:val="18"/>
                <w:szCs w:val="18"/>
              </w:rPr>
              <w:t>L</w:t>
            </w:r>
          </w:p>
        </w:tc>
        <w:tc>
          <w:tcPr>
            <w:tcW w:w="467" w:type="dxa"/>
          </w:tcPr>
          <w:p w14:paraId="7ABE7F3F" w14:textId="77777777" w:rsidR="00A80E97" w:rsidRPr="00910374" w:rsidRDefault="00A80E97" w:rsidP="00BC13C8">
            <w:pPr>
              <w:pStyle w:val="Tabletext0"/>
              <w:rPr>
                <w:b/>
                <w:color w:val="00B0F0"/>
                <w:sz w:val="18"/>
                <w:szCs w:val="18"/>
                <w:lang w:val="en-AU"/>
              </w:rPr>
            </w:pPr>
            <w:r w:rsidRPr="00910374">
              <w:rPr>
                <w:b/>
                <w:color w:val="00B0F0"/>
                <w:sz w:val="18"/>
                <w:szCs w:val="18"/>
                <w:lang w:val="en-AU"/>
              </w:rPr>
              <w:t>7</w:t>
            </w:r>
          </w:p>
        </w:tc>
        <w:tc>
          <w:tcPr>
            <w:tcW w:w="468" w:type="dxa"/>
          </w:tcPr>
          <w:p w14:paraId="79248D31"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14</w:t>
            </w:r>
          </w:p>
        </w:tc>
        <w:tc>
          <w:tcPr>
            <w:tcW w:w="468" w:type="dxa"/>
          </w:tcPr>
          <w:p w14:paraId="0A499401"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21</w:t>
            </w:r>
          </w:p>
        </w:tc>
        <w:tc>
          <w:tcPr>
            <w:tcW w:w="468" w:type="dxa"/>
          </w:tcPr>
          <w:p w14:paraId="43BF9FF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28</w:t>
            </w:r>
          </w:p>
        </w:tc>
        <w:tc>
          <w:tcPr>
            <w:tcW w:w="468" w:type="dxa"/>
          </w:tcPr>
          <w:p w14:paraId="29678F28"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35</w:t>
            </w:r>
          </w:p>
        </w:tc>
        <w:tc>
          <w:tcPr>
            <w:tcW w:w="469" w:type="dxa"/>
          </w:tcPr>
          <w:p w14:paraId="04EBCAA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42</w:t>
            </w:r>
          </w:p>
        </w:tc>
        <w:tc>
          <w:tcPr>
            <w:tcW w:w="469" w:type="dxa"/>
          </w:tcPr>
          <w:p w14:paraId="64C90E7A"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57</w:t>
            </w:r>
          </w:p>
        </w:tc>
        <w:tc>
          <w:tcPr>
            <w:tcW w:w="469" w:type="dxa"/>
          </w:tcPr>
          <w:p w14:paraId="103D3A8F"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61</w:t>
            </w:r>
          </w:p>
        </w:tc>
        <w:tc>
          <w:tcPr>
            <w:tcW w:w="469" w:type="dxa"/>
          </w:tcPr>
          <w:p w14:paraId="17FC4A6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66</w:t>
            </w:r>
          </w:p>
        </w:tc>
        <w:tc>
          <w:tcPr>
            <w:tcW w:w="469" w:type="dxa"/>
          </w:tcPr>
          <w:p w14:paraId="44C02691"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70</w:t>
            </w:r>
          </w:p>
        </w:tc>
        <w:tc>
          <w:tcPr>
            <w:tcW w:w="469" w:type="dxa"/>
          </w:tcPr>
          <w:p w14:paraId="1A9462E4"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75</w:t>
            </w:r>
          </w:p>
        </w:tc>
        <w:tc>
          <w:tcPr>
            <w:tcW w:w="469" w:type="dxa"/>
          </w:tcPr>
          <w:p w14:paraId="49A292FA"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79</w:t>
            </w:r>
          </w:p>
        </w:tc>
        <w:tc>
          <w:tcPr>
            <w:tcW w:w="469" w:type="dxa"/>
          </w:tcPr>
          <w:p w14:paraId="7CED6BF7"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84</w:t>
            </w:r>
          </w:p>
        </w:tc>
        <w:tc>
          <w:tcPr>
            <w:tcW w:w="469" w:type="dxa"/>
          </w:tcPr>
          <w:p w14:paraId="3B53D931"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88</w:t>
            </w:r>
          </w:p>
        </w:tc>
        <w:tc>
          <w:tcPr>
            <w:tcW w:w="469" w:type="dxa"/>
          </w:tcPr>
          <w:p w14:paraId="1AC00D63"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93</w:t>
            </w:r>
          </w:p>
        </w:tc>
        <w:tc>
          <w:tcPr>
            <w:tcW w:w="469" w:type="dxa"/>
          </w:tcPr>
          <w:p w14:paraId="54CE479C" w14:textId="77777777" w:rsidR="00A80E97" w:rsidRPr="00910374" w:rsidRDefault="00A80E97" w:rsidP="00BC13C8">
            <w:pPr>
              <w:pStyle w:val="Tabletext0"/>
              <w:rPr>
                <w:b/>
                <w:color w:val="7030A0"/>
                <w:sz w:val="18"/>
                <w:szCs w:val="18"/>
              </w:rPr>
            </w:pPr>
            <w:r w:rsidRPr="00910374">
              <w:rPr>
                <w:b/>
                <w:color w:val="7030A0"/>
                <w:sz w:val="18"/>
                <w:szCs w:val="18"/>
                <w:lang w:val="en-AU"/>
              </w:rPr>
              <w:t>97</w:t>
            </w:r>
          </w:p>
        </w:tc>
        <w:tc>
          <w:tcPr>
            <w:tcW w:w="469" w:type="dxa"/>
          </w:tcPr>
          <w:p w14:paraId="089E11C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102</w:t>
            </w:r>
          </w:p>
        </w:tc>
        <w:tc>
          <w:tcPr>
            <w:tcW w:w="469" w:type="dxa"/>
          </w:tcPr>
          <w:p w14:paraId="331DAF0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106</w:t>
            </w:r>
          </w:p>
        </w:tc>
      </w:tr>
      <w:tr w:rsidR="00A80E97" w14:paraId="481579FD" w14:textId="77777777" w:rsidTr="00BC13C8">
        <w:tc>
          <w:tcPr>
            <w:tcW w:w="827" w:type="dxa"/>
          </w:tcPr>
          <w:p w14:paraId="416E106A" w14:textId="77777777" w:rsidR="00A80E97" w:rsidRDefault="00A80E97" w:rsidP="00BC13C8">
            <w:pPr>
              <w:pStyle w:val="TableHeading"/>
            </w:pPr>
            <w:r>
              <w:t>90</w:t>
            </w:r>
          </w:p>
        </w:tc>
        <w:tc>
          <w:tcPr>
            <w:tcW w:w="467" w:type="dxa"/>
          </w:tcPr>
          <w:p w14:paraId="36787C2A" w14:textId="67688740" w:rsidR="00A80E97" w:rsidRPr="00910374" w:rsidRDefault="00B26915" w:rsidP="00B26915">
            <w:pPr>
              <w:pStyle w:val="TableHeading"/>
              <w:rPr>
                <w:sz w:val="18"/>
                <w:szCs w:val="18"/>
              </w:rPr>
            </w:pPr>
            <w:r w:rsidRPr="00910374">
              <w:rPr>
                <w:sz w:val="18"/>
                <w:szCs w:val="18"/>
              </w:rPr>
              <w:t>m</w:t>
            </w:r>
            <w:r>
              <w:rPr>
                <w:sz w:val="18"/>
                <w:szCs w:val="18"/>
              </w:rPr>
              <w:t>L</w:t>
            </w:r>
          </w:p>
        </w:tc>
        <w:tc>
          <w:tcPr>
            <w:tcW w:w="467" w:type="dxa"/>
          </w:tcPr>
          <w:p w14:paraId="47401FF0" w14:textId="77777777" w:rsidR="00A80E97" w:rsidRPr="00910374" w:rsidRDefault="00A80E97" w:rsidP="00BC13C8">
            <w:pPr>
              <w:pStyle w:val="Tabletext0"/>
              <w:rPr>
                <w:b/>
                <w:color w:val="00B0F0"/>
                <w:sz w:val="18"/>
                <w:szCs w:val="18"/>
                <w:lang w:val="en-AU"/>
              </w:rPr>
            </w:pPr>
            <w:r w:rsidRPr="00910374">
              <w:rPr>
                <w:b/>
                <w:color w:val="00B0F0"/>
                <w:sz w:val="18"/>
                <w:szCs w:val="18"/>
                <w:lang w:val="en-AU"/>
              </w:rPr>
              <w:t>6</w:t>
            </w:r>
          </w:p>
        </w:tc>
        <w:tc>
          <w:tcPr>
            <w:tcW w:w="468" w:type="dxa"/>
          </w:tcPr>
          <w:p w14:paraId="02161B60"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12</w:t>
            </w:r>
          </w:p>
        </w:tc>
        <w:tc>
          <w:tcPr>
            <w:tcW w:w="468" w:type="dxa"/>
          </w:tcPr>
          <w:p w14:paraId="2524D58B"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19</w:t>
            </w:r>
          </w:p>
        </w:tc>
        <w:tc>
          <w:tcPr>
            <w:tcW w:w="468" w:type="dxa"/>
          </w:tcPr>
          <w:p w14:paraId="1120FAA9"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25</w:t>
            </w:r>
          </w:p>
        </w:tc>
        <w:tc>
          <w:tcPr>
            <w:tcW w:w="468" w:type="dxa"/>
          </w:tcPr>
          <w:p w14:paraId="393CE29D"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31</w:t>
            </w:r>
          </w:p>
        </w:tc>
        <w:tc>
          <w:tcPr>
            <w:tcW w:w="469" w:type="dxa"/>
          </w:tcPr>
          <w:p w14:paraId="6FCE63D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37</w:t>
            </w:r>
          </w:p>
        </w:tc>
        <w:tc>
          <w:tcPr>
            <w:tcW w:w="469" w:type="dxa"/>
          </w:tcPr>
          <w:p w14:paraId="5BDA3CC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50</w:t>
            </w:r>
          </w:p>
        </w:tc>
        <w:tc>
          <w:tcPr>
            <w:tcW w:w="469" w:type="dxa"/>
          </w:tcPr>
          <w:p w14:paraId="5E596A63"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54</w:t>
            </w:r>
          </w:p>
        </w:tc>
        <w:tc>
          <w:tcPr>
            <w:tcW w:w="469" w:type="dxa"/>
          </w:tcPr>
          <w:p w14:paraId="27535399"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57</w:t>
            </w:r>
          </w:p>
        </w:tc>
        <w:tc>
          <w:tcPr>
            <w:tcW w:w="469" w:type="dxa"/>
          </w:tcPr>
          <w:p w14:paraId="42BAE32F"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61</w:t>
            </w:r>
          </w:p>
        </w:tc>
        <w:tc>
          <w:tcPr>
            <w:tcW w:w="469" w:type="dxa"/>
          </w:tcPr>
          <w:p w14:paraId="16AA4A4F"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65</w:t>
            </w:r>
          </w:p>
        </w:tc>
        <w:tc>
          <w:tcPr>
            <w:tcW w:w="469" w:type="dxa"/>
          </w:tcPr>
          <w:p w14:paraId="1DF17013"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68</w:t>
            </w:r>
          </w:p>
        </w:tc>
        <w:tc>
          <w:tcPr>
            <w:tcW w:w="469" w:type="dxa"/>
          </w:tcPr>
          <w:p w14:paraId="5265454B"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72</w:t>
            </w:r>
          </w:p>
        </w:tc>
        <w:tc>
          <w:tcPr>
            <w:tcW w:w="469" w:type="dxa"/>
          </w:tcPr>
          <w:p w14:paraId="12203786"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75</w:t>
            </w:r>
          </w:p>
        </w:tc>
        <w:tc>
          <w:tcPr>
            <w:tcW w:w="469" w:type="dxa"/>
          </w:tcPr>
          <w:p w14:paraId="78FECB05"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79</w:t>
            </w:r>
          </w:p>
        </w:tc>
        <w:tc>
          <w:tcPr>
            <w:tcW w:w="469" w:type="dxa"/>
          </w:tcPr>
          <w:p w14:paraId="61BF799F"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83</w:t>
            </w:r>
          </w:p>
        </w:tc>
        <w:tc>
          <w:tcPr>
            <w:tcW w:w="469" w:type="dxa"/>
          </w:tcPr>
          <w:p w14:paraId="09A9BDE1"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86</w:t>
            </w:r>
          </w:p>
        </w:tc>
        <w:tc>
          <w:tcPr>
            <w:tcW w:w="469" w:type="dxa"/>
          </w:tcPr>
          <w:p w14:paraId="4FE6108B"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90</w:t>
            </w:r>
          </w:p>
        </w:tc>
      </w:tr>
      <w:tr w:rsidR="00A80E97" w14:paraId="0143668C" w14:textId="77777777" w:rsidTr="00BC13C8">
        <w:tc>
          <w:tcPr>
            <w:tcW w:w="827" w:type="dxa"/>
          </w:tcPr>
          <w:p w14:paraId="7AF5C269" w14:textId="77777777" w:rsidR="00A80E97" w:rsidRDefault="00A80E97" w:rsidP="00BC13C8">
            <w:pPr>
              <w:pStyle w:val="TableHeading"/>
            </w:pPr>
            <w:r>
              <w:t>105</w:t>
            </w:r>
          </w:p>
        </w:tc>
        <w:tc>
          <w:tcPr>
            <w:tcW w:w="467" w:type="dxa"/>
          </w:tcPr>
          <w:p w14:paraId="41303EBD" w14:textId="3019A2AE" w:rsidR="00A80E97" w:rsidRPr="00910374" w:rsidRDefault="00B26915" w:rsidP="00B26915">
            <w:pPr>
              <w:pStyle w:val="TableHeading"/>
              <w:rPr>
                <w:sz w:val="18"/>
                <w:szCs w:val="18"/>
              </w:rPr>
            </w:pPr>
            <w:r w:rsidRPr="00910374">
              <w:rPr>
                <w:sz w:val="18"/>
                <w:szCs w:val="18"/>
              </w:rPr>
              <w:t>m</w:t>
            </w:r>
            <w:r>
              <w:rPr>
                <w:sz w:val="18"/>
                <w:szCs w:val="18"/>
              </w:rPr>
              <w:t>L</w:t>
            </w:r>
          </w:p>
        </w:tc>
        <w:tc>
          <w:tcPr>
            <w:tcW w:w="467" w:type="dxa"/>
          </w:tcPr>
          <w:p w14:paraId="72E3B797" w14:textId="77777777" w:rsidR="00A80E97" w:rsidRPr="00910374" w:rsidRDefault="00A80E97" w:rsidP="00BC13C8">
            <w:pPr>
              <w:pStyle w:val="Tabletext0"/>
              <w:rPr>
                <w:b/>
                <w:color w:val="00B0F0"/>
                <w:sz w:val="18"/>
                <w:szCs w:val="18"/>
                <w:lang w:val="en-AU"/>
              </w:rPr>
            </w:pPr>
            <w:r w:rsidRPr="00910374">
              <w:rPr>
                <w:b/>
                <w:color w:val="00B0F0"/>
                <w:sz w:val="18"/>
                <w:szCs w:val="18"/>
                <w:lang w:val="en-AU"/>
              </w:rPr>
              <w:t>5</w:t>
            </w:r>
          </w:p>
        </w:tc>
        <w:tc>
          <w:tcPr>
            <w:tcW w:w="468" w:type="dxa"/>
          </w:tcPr>
          <w:p w14:paraId="25072161"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11</w:t>
            </w:r>
          </w:p>
        </w:tc>
        <w:tc>
          <w:tcPr>
            <w:tcW w:w="468" w:type="dxa"/>
          </w:tcPr>
          <w:p w14:paraId="1D985417"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16</w:t>
            </w:r>
          </w:p>
        </w:tc>
        <w:tc>
          <w:tcPr>
            <w:tcW w:w="468" w:type="dxa"/>
          </w:tcPr>
          <w:p w14:paraId="77DEC5A0" w14:textId="77777777" w:rsidR="00A80E97" w:rsidRPr="00910374" w:rsidRDefault="00A80E97" w:rsidP="00BC13C8">
            <w:pPr>
              <w:pStyle w:val="Tabletext0"/>
              <w:rPr>
                <w:b/>
                <w:color w:val="FF0000"/>
                <w:sz w:val="18"/>
                <w:szCs w:val="18"/>
                <w:lang w:val="en-AU"/>
              </w:rPr>
            </w:pPr>
            <w:r w:rsidRPr="00910374">
              <w:rPr>
                <w:b/>
                <w:color w:val="FF0000"/>
                <w:sz w:val="18"/>
                <w:szCs w:val="18"/>
                <w:lang w:val="en-AU"/>
              </w:rPr>
              <w:t>21</w:t>
            </w:r>
          </w:p>
        </w:tc>
        <w:tc>
          <w:tcPr>
            <w:tcW w:w="468" w:type="dxa"/>
          </w:tcPr>
          <w:p w14:paraId="38509212"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26</w:t>
            </w:r>
          </w:p>
        </w:tc>
        <w:tc>
          <w:tcPr>
            <w:tcW w:w="469" w:type="dxa"/>
          </w:tcPr>
          <w:p w14:paraId="06009BA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32</w:t>
            </w:r>
          </w:p>
        </w:tc>
        <w:tc>
          <w:tcPr>
            <w:tcW w:w="469" w:type="dxa"/>
          </w:tcPr>
          <w:p w14:paraId="605F0FDB"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44</w:t>
            </w:r>
          </w:p>
        </w:tc>
        <w:tc>
          <w:tcPr>
            <w:tcW w:w="469" w:type="dxa"/>
          </w:tcPr>
          <w:p w14:paraId="39F03062"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47</w:t>
            </w:r>
          </w:p>
        </w:tc>
        <w:tc>
          <w:tcPr>
            <w:tcW w:w="469" w:type="dxa"/>
          </w:tcPr>
          <w:p w14:paraId="4E7CE1B0"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49</w:t>
            </w:r>
          </w:p>
        </w:tc>
        <w:tc>
          <w:tcPr>
            <w:tcW w:w="469" w:type="dxa"/>
          </w:tcPr>
          <w:p w14:paraId="27EAFEB9"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52</w:t>
            </w:r>
          </w:p>
        </w:tc>
        <w:tc>
          <w:tcPr>
            <w:tcW w:w="469" w:type="dxa"/>
          </w:tcPr>
          <w:p w14:paraId="7D3AB441"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55</w:t>
            </w:r>
          </w:p>
        </w:tc>
        <w:tc>
          <w:tcPr>
            <w:tcW w:w="469" w:type="dxa"/>
          </w:tcPr>
          <w:p w14:paraId="50221288"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57</w:t>
            </w:r>
          </w:p>
        </w:tc>
        <w:tc>
          <w:tcPr>
            <w:tcW w:w="469" w:type="dxa"/>
          </w:tcPr>
          <w:p w14:paraId="462DBB0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60</w:t>
            </w:r>
          </w:p>
        </w:tc>
        <w:tc>
          <w:tcPr>
            <w:tcW w:w="469" w:type="dxa"/>
          </w:tcPr>
          <w:p w14:paraId="636DE525"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63</w:t>
            </w:r>
          </w:p>
        </w:tc>
        <w:tc>
          <w:tcPr>
            <w:tcW w:w="469" w:type="dxa"/>
          </w:tcPr>
          <w:p w14:paraId="09FCAD36"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66</w:t>
            </w:r>
          </w:p>
        </w:tc>
        <w:tc>
          <w:tcPr>
            <w:tcW w:w="469" w:type="dxa"/>
          </w:tcPr>
          <w:p w14:paraId="3D8DB241"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68</w:t>
            </w:r>
          </w:p>
        </w:tc>
        <w:tc>
          <w:tcPr>
            <w:tcW w:w="469" w:type="dxa"/>
          </w:tcPr>
          <w:p w14:paraId="7FFC45F2"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71</w:t>
            </w:r>
          </w:p>
        </w:tc>
        <w:tc>
          <w:tcPr>
            <w:tcW w:w="469" w:type="dxa"/>
          </w:tcPr>
          <w:p w14:paraId="0C14490E" w14:textId="77777777" w:rsidR="00A80E97" w:rsidRPr="00910374" w:rsidRDefault="00A80E97" w:rsidP="00BC13C8">
            <w:pPr>
              <w:pStyle w:val="Tabletext0"/>
              <w:rPr>
                <w:b/>
                <w:color w:val="7030A0"/>
                <w:sz w:val="18"/>
                <w:szCs w:val="18"/>
                <w:lang w:val="en-AU"/>
              </w:rPr>
            </w:pPr>
            <w:r w:rsidRPr="00910374">
              <w:rPr>
                <w:b/>
                <w:color w:val="7030A0"/>
                <w:sz w:val="18"/>
                <w:szCs w:val="18"/>
                <w:lang w:val="en-AU"/>
              </w:rPr>
              <w:t>74</w:t>
            </w:r>
          </w:p>
        </w:tc>
      </w:tr>
    </w:tbl>
    <w:p w14:paraId="11C1AEC7" w14:textId="0AD4695A" w:rsidR="00A80E97" w:rsidRDefault="006A116C" w:rsidP="00A80E97">
      <w:pPr>
        <w:pStyle w:val="TableFigNotes18"/>
      </w:pPr>
      <w:r>
        <w:rPr>
          <w:vertAlign w:val="superscript"/>
        </w:rPr>
        <w:t>a</w:t>
      </w:r>
      <w:r>
        <w:t xml:space="preserve"> </w:t>
      </w:r>
      <w:r w:rsidR="00A80E97" w:rsidRPr="00CD1307">
        <w:t>Maximum dose 100</w:t>
      </w:r>
      <w:r w:rsidR="00A80E97">
        <w:t> mg</w:t>
      </w:r>
      <w:r w:rsidR="00A80E97" w:rsidRPr="00CD1307">
        <w:t xml:space="preserve"> not more than three times per week.</w:t>
      </w:r>
      <w:r w:rsidR="00A80E97">
        <w:br/>
        <w:t>Source: Royal Children’s Hospital (2012)</w:t>
      </w:r>
      <w:hyperlink w:anchor="_ENREF_397" w:tooltip=", 2012 #1021" w:history="1">
        <w:r w:rsidR="00E62798">
          <w:fldChar w:fldCharType="begin"/>
        </w:r>
        <w:r w:rsidR="00E62798">
          <w:instrText xml:space="preserve"> ADDIN EN.CITE &lt;EndNote&gt;&lt;Cite ExcludeAuth="1"&gt;&lt;Year&gt;2012&lt;/Year&gt;&lt;RecNum&gt;1021&lt;/RecNum&gt;&lt;DisplayText&gt;&lt;style face="superscript"&gt;397&lt;/style&gt;&lt;/DisplayText&gt;&lt;record&gt;&lt;rec-number&gt;1021&lt;/rec-number&gt;&lt;foreign-keys&gt;&lt;key app="EN" db-id="9edve2wadsavt5ewavaxtda4f2tavzvts9ee" timestamp="1437632480"&gt;1021&lt;/key&gt;&lt;/foreign-keys&gt;&lt;ref-type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397</w:t>
        </w:r>
        <w:r w:rsidR="00E62798">
          <w:fldChar w:fldCharType="end"/>
        </w:r>
      </w:hyperlink>
    </w:p>
    <w:p w14:paraId="4E5AB853" w14:textId="77777777" w:rsidR="00A80E97" w:rsidRPr="00C85D3F" w:rsidRDefault="00A80E97" w:rsidP="00A80E97">
      <w:pPr>
        <w:pStyle w:val="Bullet6"/>
      </w:pPr>
      <w:r w:rsidRPr="00C85D3F">
        <w:t>Use Hb closest to patient’s Hb</w:t>
      </w:r>
      <w:r>
        <w:rPr>
          <w:lang w:val="en-AU"/>
        </w:rPr>
        <w:t>.</w:t>
      </w:r>
    </w:p>
    <w:p w14:paraId="095E17B1" w14:textId="4A43FBA0" w:rsidR="00A80E97" w:rsidRDefault="00A80E97" w:rsidP="00A80E97">
      <w:pPr>
        <w:pStyle w:val="Bullet6"/>
      </w:pPr>
      <w:r>
        <w:t xml:space="preserve">Doses coloured </w:t>
      </w:r>
      <w:r w:rsidRPr="0019182F">
        <w:rPr>
          <w:color w:val="00B0F0"/>
        </w:rPr>
        <w:t>blue</w:t>
      </w:r>
      <w:r>
        <w:t xml:space="preserve"> may be diluted in 250 </w:t>
      </w:r>
      <w:r w:rsidR="00C77D1F">
        <w:t>m</w:t>
      </w:r>
      <w:r w:rsidR="00C77D1F">
        <w:rPr>
          <w:lang w:val="en-AU"/>
        </w:rPr>
        <w:t>L</w:t>
      </w:r>
      <w:r w:rsidR="00C77D1F">
        <w:t xml:space="preserve"> </w:t>
      </w:r>
      <w:r>
        <w:t xml:space="preserve">of 0.9% </w:t>
      </w:r>
      <w:r w:rsidR="00C77D1F">
        <w:rPr>
          <w:lang w:val="en-AU"/>
        </w:rPr>
        <w:t>sodium chloride</w:t>
      </w:r>
      <w:r>
        <w:rPr>
          <w:lang w:val="en-AU"/>
        </w:rPr>
        <w:t>.</w:t>
      </w:r>
    </w:p>
    <w:p w14:paraId="79BFA0B0" w14:textId="32012182" w:rsidR="00A80E97" w:rsidRDefault="00A80E97" w:rsidP="00A80E97">
      <w:pPr>
        <w:pStyle w:val="Bullet6"/>
      </w:pPr>
      <w:r>
        <w:t xml:space="preserve">Doses coloured </w:t>
      </w:r>
      <w:r w:rsidRPr="0019182F">
        <w:rPr>
          <w:color w:val="FF0000"/>
        </w:rPr>
        <w:t>red</w:t>
      </w:r>
      <w:r w:rsidRPr="00C85D3F">
        <w:t xml:space="preserve"> </w:t>
      </w:r>
      <w:r>
        <w:t>may be diluted in 500 </w:t>
      </w:r>
      <w:r w:rsidR="00C77D1F">
        <w:t>m</w:t>
      </w:r>
      <w:r w:rsidR="00C77D1F">
        <w:rPr>
          <w:lang w:val="en-AU"/>
        </w:rPr>
        <w:t>L</w:t>
      </w:r>
      <w:r w:rsidR="00C77D1F">
        <w:t xml:space="preserve"> </w:t>
      </w:r>
      <w:r>
        <w:t xml:space="preserve">of 0.9% </w:t>
      </w:r>
      <w:r w:rsidR="00C77D1F">
        <w:rPr>
          <w:lang w:val="en-AU"/>
        </w:rPr>
        <w:t>sodium chloride</w:t>
      </w:r>
      <w:r>
        <w:rPr>
          <w:lang w:val="en-AU"/>
        </w:rPr>
        <w:t>.</w:t>
      </w:r>
    </w:p>
    <w:p w14:paraId="47847367" w14:textId="645B53B0" w:rsidR="00A80E97" w:rsidRPr="00A03947" w:rsidRDefault="00A80E97" w:rsidP="00A80E97">
      <w:pPr>
        <w:pStyle w:val="Bullet12"/>
      </w:pPr>
      <w:r>
        <w:t xml:space="preserve">Doses coloured </w:t>
      </w:r>
      <w:r w:rsidRPr="0019182F">
        <w:rPr>
          <w:color w:val="7030A0"/>
        </w:rPr>
        <w:t>purple</w:t>
      </w:r>
      <w:r w:rsidRPr="00C85D3F">
        <w:t xml:space="preserve"> </w:t>
      </w:r>
      <w:r w:rsidR="00B26915">
        <w:rPr>
          <w:lang w:val="en-AU"/>
        </w:rPr>
        <w:t>need</w:t>
      </w:r>
      <w:r w:rsidR="00B26915">
        <w:t xml:space="preserve"> </w:t>
      </w:r>
      <w:r>
        <w:t>dilution in 1000 </w:t>
      </w:r>
      <w:r w:rsidR="00C77D1F">
        <w:t>m</w:t>
      </w:r>
      <w:r w:rsidR="00C77D1F">
        <w:rPr>
          <w:lang w:val="en-AU"/>
        </w:rPr>
        <w:t>L</w:t>
      </w:r>
      <w:r w:rsidR="00C77D1F">
        <w:t xml:space="preserve"> </w:t>
      </w:r>
      <w:r>
        <w:t xml:space="preserve">of 0.9% </w:t>
      </w:r>
      <w:r w:rsidR="00C77D1F">
        <w:rPr>
          <w:lang w:val="en-AU"/>
        </w:rPr>
        <w:t>sodium chloride</w:t>
      </w:r>
      <w:r>
        <w:rPr>
          <w:lang w:val="en-AU"/>
        </w:rPr>
        <w:t>.</w:t>
      </w:r>
    </w:p>
    <w:p w14:paraId="3F4C0CD0" w14:textId="2B097571" w:rsidR="00A80E97" w:rsidRPr="00C85D3F" w:rsidRDefault="00A80E97" w:rsidP="00A80E97">
      <w:pPr>
        <w:pStyle w:val="Heading2a"/>
      </w:pPr>
      <w:r>
        <w:rPr>
          <w:lang w:val="en-AU"/>
        </w:rPr>
        <w:t>I4</w:t>
      </w:r>
      <w:r>
        <w:rPr>
          <w:lang w:val="en-AU"/>
        </w:rPr>
        <w:tab/>
      </w:r>
      <w:r w:rsidRPr="00C85D3F">
        <w:t>Iron polymaltose</w:t>
      </w:r>
      <w:r>
        <w:t xml:space="preserve"> (Ferrosig)</w:t>
      </w:r>
      <w:r w:rsidRPr="00C85D3F">
        <w:t xml:space="preserve"> dose</w:t>
      </w:r>
      <w:hyperlink w:anchor="_ENREF_398" w:tooltip=", 2012 #1022" w:history="1">
        <w:r w:rsidR="00E62798">
          <w:fldChar w:fldCharType="begin"/>
        </w:r>
        <w:r w:rsidR="00E62798">
          <w:instrText xml:space="preserve"> ADDIN EN.CITE &lt;EndNote&gt;&lt;Cite ExcludeAuth="1"&gt;&lt;Year&gt;2012&lt;/Year&gt;&lt;RecNum&gt;1022&lt;/RecNum&gt;&lt;DisplayText&gt;&lt;style face="superscript"&gt;398&lt;/style&gt;&lt;/DisplayText&gt;&lt;record&gt;&lt;rec-number&gt;1022&lt;/rec-number&gt;&lt;foreign-keys&gt;&lt;key app="EN" db-id="9edve2wadsavt5ewavaxtda4f2tavzvts9ee" timestamp="1437632586"&gt;1022&lt;/key&gt;&lt;/foreign-keys&gt;&lt;ref-type name="Report"&gt;27&lt;/ref-type&gt;&lt;contributors&gt;&lt;/contributors&gt;&lt;titles&gt;&lt;title&gt;Day Medical Unit – Treatment protocol: Administration of iron polymaltose (Ferrosig)&lt;/title&gt;&lt;/titles&gt;&lt;dates&gt;&lt;year&gt;2012&lt;/year&gt;&lt;/dates&gt;&lt;pub-location&gt;Melbourne,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398</w:t>
        </w:r>
        <w:r w:rsidR="00E62798">
          <w:fldChar w:fldCharType="end"/>
        </w:r>
      </w:hyperlink>
    </w:p>
    <w:p w14:paraId="63944B98" w14:textId="74A9CC9C" w:rsidR="00A80E97" w:rsidRDefault="00A80E97" w:rsidP="00A80E97">
      <w:pPr>
        <w:pStyle w:val="Bullet6"/>
        <w:keepNext/>
      </w:pPr>
      <w:r w:rsidRPr="00B2040A">
        <w:t>Dos</w:t>
      </w:r>
      <w:r>
        <w:t>e (</w:t>
      </w:r>
      <w:r w:rsidR="00B26915">
        <w:t>m</w:t>
      </w:r>
      <w:r w:rsidR="00B26915">
        <w:rPr>
          <w:lang w:val="en-AU"/>
        </w:rPr>
        <w:t>L</w:t>
      </w:r>
      <w:r>
        <w:t xml:space="preserve">) of </w:t>
      </w:r>
      <w:r w:rsidR="006A116C">
        <w:t xml:space="preserve">iron </w:t>
      </w:r>
      <w:r>
        <w:t xml:space="preserve">polymaltose </w:t>
      </w:r>
      <w:r w:rsidRPr="00B2040A">
        <w:t>50</w:t>
      </w:r>
      <w:r>
        <w:t> mg</w:t>
      </w:r>
      <w:r w:rsidRPr="00B2040A">
        <w:t>/</w:t>
      </w:r>
      <w:r w:rsidR="00B26915" w:rsidRPr="00B2040A">
        <w:t>m</w:t>
      </w:r>
      <w:r w:rsidR="00B26915">
        <w:rPr>
          <w:lang w:val="en-AU"/>
        </w:rPr>
        <w:t>L</w:t>
      </w:r>
      <w:r>
        <w:rPr>
          <w:lang w:val="en-AU"/>
        </w:rPr>
        <w:t>.</w:t>
      </w:r>
    </w:p>
    <w:p w14:paraId="4B2503B9" w14:textId="311B7D53" w:rsidR="00A80E97" w:rsidRDefault="00A80E97" w:rsidP="00A80E97">
      <w:pPr>
        <w:pStyle w:val="Bullet6"/>
      </w:pPr>
      <w:r>
        <w:t>Ampule = 2 </w:t>
      </w:r>
      <w:r w:rsidR="00B26915">
        <w:t>m</w:t>
      </w:r>
      <w:r w:rsidR="00B26915">
        <w:rPr>
          <w:lang w:val="en-AU"/>
        </w:rPr>
        <w:t>L</w:t>
      </w:r>
      <w:r w:rsidR="00B26915">
        <w:t xml:space="preserve"> </w:t>
      </w:r>
      <w:r>
        <w:t>of iron polymaltose = 100 mg of iron.</w:t>
      </w:r>
    </w:p>
    <w:p w14:paraId="660CB38F" w14:textId="77777777" w:rsidR="00A80E97" w:rsidRPr="00B2040A" w:rsidRDefault="00A80E97" w:rsidP="00A80E97">
      <w:pPr>
        <w:pStyle w:val="Bullet6"/>
      </w:pPr>
      <w:r>
        <w:t>Maximum dose 2500 mg/infusion</w:t>
      </w:r>
      <w:r>
        <w:rPr>
          <w:lang w:val="en-AU"/>
        </w:rPr>
        <w:t>.</w:t>
      </w:r>
    </w:p>
    <w:p w14:paraId="10516F9C" w14:textId="506453F6" w:rsidR="00A80E97" w:rsidRDefault="00A80E97" w:rsidP="00A80E97">
      <w:pPr>
        <w:pStyle w:val="Bullet6"/>
      </w:pPr>
      <w:r>
        <w:t xml:space="preserve">Dilute with 0.9% </w:t>
      </w:r>
      <w:r w:rsidR="00B26915">
        <w:rPr>
          <w:lang w:val="en-AU"/>
        </w:rPr>
        <w:t>sodium chloride</w:t>
      </w:r>
      <w:r>
        <w:t xml:space="preserve"> to a </w:t>
      </w:r>
      <w:r w:rsidRPr="00C67731">
        <w:t>maximum</w:t>
      </w:r>
      <w:r>
        <w:t xml:space="preserve"> concentration of 5 mg/</w:t>
      </w:r>
      <w:r w:rsidR="00B26915">
        <w:t>m</w:t>
      </w:r>
      <w:r w:rsidR="00B26915">
        <w:rPr>
          <w:lang w:val="en-AU"/>
        </w:rPr>
        <w:t>L</w:t>
      </w:r>
      <w:r>
        <w:rPr>
          <w:lang w:val="en-AU"/>
        </w:rPr>
        <w:t>.</w:t>
      </w:r>
    </w:p>
    <w:p w14:paraId="1F33746A" w14:textId="7E14BDFC" w:rsidR="00A80E97" w:rsidRPr="00B2040A" w:rsidRDefault="00A80E97" w:rsidP="00A80E97">
      <w:pPr>
        <w:pStyle w:val="Bullet6"/>
      </w:pPr>
      <w:r w:rsidRPr="00B2040A">
        <w:t>Standard infusion (500</w:t>
      </w:r>
      <w:r>
        <w:t> </w:t>
      </w:r>
      <w:r w:rsidR="00B26915">
        <w:t>m</w:t>
      </w:r>
      <w:r w:rsidR="00B26915">
        <w:rPr>
          <w:lang w:val="en-AU"/>
        </w:rPr>
        <w:t>L</w:t>
      </w:r>
      <w:r w:rsidR="00B26915" w:rsidRPr="00B2040A">
        <w:t xml:space="preserve"> </w:t>
      </w:r>
      <w:r w:rsidRPr="00B2040A">
        <w:t>0.9% saline)</w:t>
      </w:r>
      <w:r>
        <w:rPr>
          <w:lang w:val="en-AU"/>
        </w:rPr>
        <w:t>:</w:t>
      </w:r>
    </w:p>
    <w:p w14:paraId="1405B797" w14:textId="7CC9792F" w:rsidR="00A80E97" w:rsidRPr="00A80E97" w:rsidRDefault="00A80E97" w:rsidP="00A80E97">
      <w:pPr>
        <w:pStyle w:val="Dash6"/>
      </w:pPr>
      <w:r w:rsidRPr="00B2040A">
        <w:t xml:space="preserve">commence </w:t>
      </w:r>
      <w:r w:rsidRPr="00A80E97">
        <w:t>infusion at 40 </w:t>
      </w:r>
      <w:r w:rsidR="00B26915" w:rsidRPr="00A80E97">
        <w:t>m</w:t>
      </w:r>
      <w:r w:rsidR="00B26915">
        <w:t>L</w:t>
      </w:r>
      <w:r w:rsidRPr="00A80E97">
        <w:t>/hour for 75 minutes (50ml)</w:t>
      </w:r>
    </w:p>
    <w:p w14:paraId="3A60CE5C" w14:textId="6A30396B" w:rsidR="00A80E97" w:rsidRPr="00B2040A" w:rsidRDefault="00A80E97" w:rsidP="00A80E97">
      <w:pPr>
        <w:pStyle w:val="Dash6"/>
      </w:pPr>
      <w:r w:rsidRPr="00A80E97">
        <w:t>then increas</w:t>
      </w:r>
      <w:r>
        <w:t>e by 20 </w:t>
      </w:r>
      <w:r w:rsidR="00B26915">
        <w:t>mL</w:t>
      </w:r>
      <w:r>
        <w:t>/hour 15 minutely to a maximum rate of 120 </w:t>
      </w:r>
      <w:r w:rsidR="00B26915">
        <w:t>mL</w:t>
      </w:r>
      <w:r>
        <w:t>/hour.</w:t>
      </w:r>
    </w:p>
    <w:p w14:paraId="2ED9633C" w14:textId="4165B8CB" w:rsidR="00A80E97" w:rsidRPr="00B2040A" w:rsidRDefault="00A80E97" w:rsidP="00A80E97">
      <w:pPr>
        <w:pStyle w:val="Bullet6"/>
      </w:pPr>
      <w:r w:rsidRPr="00B2040A">
        <w:t>For smaller patients or fluid restricted (250</w:t>
      </w:r>
      <w:r>
        <w:t> </w:t>
      </w:r>
      <w:r w:rsidR="00B26915">
        <w:t>m</w:t>
      </w:r>
      <w:r w:rsidR="00B26915">
        <w:rPr>
          <w:lang w:val="en-AU"/>
        </w:rPr>
        <w:t>L</w:t>
      </w:r>
      <w:r w:rsidR="00B26915" w:rsidRPr="00B2040A">
        <w:t xml:space="preserve"> </w:t>
      </w:r>
      <w:r w:rsidRPr="00B2040A">
        <w:t>0.9% saline)</w:t>
      </w:r>
      <w:r>
        <w:rPr>
          <w:lang w:val="en-AU"/>
        </w:rPr>
        <w:t>:</w:t>
      </w:r>
    </w:p>
    <w:p w14:paraId="64C0B708" w14:textId="22165AEA" w:rsidR="00A80E97" w:rsidRDefault="00A80E97" w:rsidP="00A80E97">
      <w:pPr>
        <w:pStyle w:val="Dash6"/>
      </w:pPr>
      <w:r w:rsidRPr="00B2040A">
        <w:t>commence infuse at 20</w:t>
      </w:r>
      <w:r>
        <w:t> </w:t>
      </w:r>
      <w:r w:rsidR="00B26915">
        <w:t>mL</w:t>
      </w:r>
      <w:r w:rsidRPr="00B2040A">
        <w:t>/</w:t>
      </w:r>
      <w:r>
        <w:t>hour</w:t>
      </w:r>
      <w:r w:rsidRPr="00B2040A">
        <w:t xml:space="preserve"> for 75 minutes (25</w:t>
      </w:r>
      <w:r>
        <w:t> </w:t>
      </w:r>
      <w:r w:rsidR="00B26915">
        <w:t>mL</w:t>
      </w:r>
      <w:r w:rsidRPr="00B2040A">
        <w:t>)</w:t>
      </w:r>
    </w:p>
    <w:p w14:paraId="503A9DA0" w14:textId="7D9E788F" w:rsidR="00A80E97" w:rsidRDefault="00A80E97" w:rsidP="00A80E97">
      <w:pPr>
        <w:pStyle w:val="Dash12"/>
      </w:pPr>
      <w:r>
        <w:t>then grade up by 10 </w:t>
      </w:r>
      <w:r w:rsidR="00B26915">
        <w:t>mL</w:t>
      </w:r>
      <w:r>
        <w:t>/hour to a maximum rate of 60 </w:t>
      </w:r>
      <w:r w:rsidR="00B26915">
        <w:t>mL</w:t>
      </w:r>
      <w:r>
        <w:t>/hour.</w:t>
      </w:r>
    </w:p>
    <w:p w14:paraId="73BDD64B" w14:textId="438401F5" w:rsidR="00A80E97" w:rsidRPr="00375148" w:rsidRDefault="00A80E97" w:rsidP="00A80E97">
      <w:pPr>
        <w:pStyle w:val="TableName"/>
      </w:pPr>
      <w:bookmarkStart w:id="297" w:name="_Toc427758404"/>
      <w:r>
        <w:t>Table I-3</w:t>
      </w:r>
      <w:r>
        <w:tab/>
      </w:r>
      <w:r w:rsidRPr="00375148">
        <w:t>Dose (</w:t>
      </w:r>
      <w:r w:rsidR="00B26915" w:rsidRPr="00375148">
        <w:t>m</w:t>
      </w:r>
      <w:r w:rsidR="00B26915">
        <w:t>L</w:t>
      </w:r>
      <w:r w:rsidR="00B26915" w:rsidRPr="00375148">
        <w:t xml:space="preserve"> </w:t>
      </w:r>
      <w:r w:rsidRPr="00375148">
        <w:t xml:space="preserve">of </w:t>
      </w:r>
      <w:r w:rsidR="00910374">
        <w:t>IV</w:t>
      </w:r>
      <w:r w:rsidR="00910374" w:rsidRPr="00375148">
        <w:t xml:space="preserve"> </w:t>
      </w:r>
      <w:r w:rsidRPr="00375148">
        <w:t xml:space="preserve">iron polymaltose) based on </w:t>
      </w:r>
      <w:r>
        <w:t>Hb concentration and body weight</w:t>
      </w:r>
      <w:bookmarkEnd w:id="297"/>
    </w:p>
    <w:tbl>
      <w:tblPr>
        <w:tblStyle w:val="TableGrid"/>
        <w:tblW w:w="0" w:type="auto"/>
        <w:tblInd w:w="720" w:type="dxa"/>
        <w:tblLook w:val="04A0" w:firstRow="1" w:lastRow="0" w:firstColumn="1" w:lastColumn="0" w:noHBand="0" w:noVBand="1"/>
      </w:tblPr>
      <w:tblGrid>
        <w:gridCol w:w="675"/>
        <w:gridCol w:w="464"/>
        <w:gridCol w:w="344"/>
        <w:gridCol w:w="415"/>
        <w:gridCol w:w="414"/>
        <w:gridCol w:w="414"/>
        <w:gridCol w:w="414"/>
        <w:gridCol w:w="414"/>
        <w:gridCol w:w="414"/>
        <w:gridCol w:w="414"/>
        <w:gridCol w:w="414"/>
        <w:gridCol w:w="414"/>
        <w:gridCol w:w="414"/>
        <w:gridCol w:w="414"/>
        <w:gridCol w:w="414"/>
        <w:gridCol w:w="414"/>
        <w:gridCol w:w="414"/>
        <w:gridCol w:w="414"/>
        <w:gridCol w:w="414"/>
        <w:gridCol w:w="414"/>
      </w:tblGrid>
      <w:tr w:rsidR="00A80E97" w14:paraId="64F89F66" w14:textId="77777777" w:rsidTr="00BC13C8">
        <w:tc>
          <w:tcPr>
            <w:tcW w:w="827" w:type="dxa"/>
            <w:vMerge w:val="restart"/>
          </w:tcPr>
          <w:p w14:paraId="54D2ECE9" w14:textId="77777777" w:rsidR="00A80E97" w:rsidRPr="0019182F" w:rsidRDefault="00A80E97" w:rsidP="00BC13C8">
            <w:pPr>
              <w:pStyle w:val="TableHeading"/>
              <w:rPr>
                <w:vertAlign w:val="superscript"/>
              </w:rPr>
            </w:pPr>
            <w:r>
              <w:t>Hb (g/L)</w:t>
            </w:r>
            <w:r>
              <w:rPr>
                <w:vertAlign w:val="superscript"/>
              </w:rPr>
              <w:t>a</w:t>
            </w:r>
          </w:p>
        </w:tc>
        <w:tc>
          <w:tcPr>
            <w:tcW w:w="467" w:type="dxa"/>
          </w:tcPr>
          <w:p w14:paraId="3AD7959D" w14:textId="77777777" w:rsidR="00A80E97" w:rsidRDefault="00A80E97" w:rsidP="00BC13C8">
            <w:pPr>
              <w:pStyle w:val="TableHeading"/>
            </w:pPr>
          </w:p>
        </w:tc>
        <w:tc>
          <w:tcPr>
            <w:tcW w:w="8436" w:type="dxa"/>
            <w:gridSpan w:val="18"/>
          </w:tcPr>
          <w:p w14:paraId="7B93823F" w14:textId="77777777" w:rsidR="00A80E97" w:rsidRDefault="00A80E97" w:rsidP="00BC13C8">
            <w:pPr>
              <w:pStyle w:val="TableHeading"/>
              <w:jc w:val="center"/>
            </w:pPr>
            <w:r>
              <w:t>Body weight (kg)</w:t>
            </w:r>
          </w:p>
        </w:tc>
      </w:tr>
      <w:tr w:rsidR="00A80E97" w14:paraId="56269D55" w14:textId="77777777" w:rsidTr="00BC13C8">
        <w:tc>
          <w:tcPr>
            <w:tcW w:w="827" w:type="dxa"/>
            <w:vMerge/>
          </w:tcPr>
          <w:p w14:paraId="3107F747" w14:textId="77777777" w:rsidR="00A80E97" w:rsidRDefault="00A80E97" w:rsidP="00BC13C8">
            <w:pPr>
              <w:pStyle w:val="TableHeading"/>
            </w:pPr>
          </w:p>
        </w:tc>
        <w:tc>
          <w:tcPr>
            <w:tcW w:w="467" w:type="dxa"/>
          </w:tcPr>
          <w:p w14:paraId="19A635DD" w14:textId="77777777" w:rsidR="00A80E97" w:rsidRDefault="00A80E97" w:rsidP="00BC13C8">
            <w:pPr>
              <w:pStyle w:val="TableHeading"/>
            </w:pPr>
          </w:p>
        </w:tc>
        <w:tc>
          <w:tcPr>
            <w:tcW w:w="467" w:type="dxa"/>
          </w:tcPr>
          <w:p w14:paraId="186D1550" w14:textId="77777777" w:rsidR="00A80E97" w:rsidRDefault="00A80E97" w:rsidP="00BC13C8">
            <w:pPr>
              <w:pStyle w:val="TableHeading"/>
            </w:pPr>
            <w:r>
              <w:t>5</w:t>
            </w:r>
          </w:p>
        </w:tc>
        <w:tc>
          <w:tcPr>
            <w:tcW w:w="468" w:type="dxa"/>
          </w:tcPr>
          <w:p w14:paraId="2BD7501E" w14:textId="77777777" w:rsidR="00A80E97" w:rsidRDefault="00A80E97" w:rsidP="00BC13C8">
            <w:pPr>
              <w:pStyle w:val="TableHeading"/>
            </w:pPr>
            <w:r>
              <w:t>10</w:t>
            </w:r>
          </w:p>
        </w:tc>
        <w:tc>
          <w:tcPr>
            <w:tcW w:w="468" w:type="dxa"/>
          </w:tcPr>
          <w:p w14:paraId="7E294F42" w14:textId="77777777" w:rsidR="00A80E97" w:rsidRDefault="00A80E97" w:rsidP="00BC13C8">
            <w:pPr>
              <w:pStyle w:val="TableHeading"/>
            </w:pPr>
            <w:r>
              <w:t>15</w:t>
            </w:r>
          </w:p>
        </w:tc>
        <w:tc>
          <w:tcPr>
            <w:tcW w:w="468" w:type="dxa"/>
          </w:tcPr>
          <w:p w14:paraId="11D2984E" w14:textId="77777777" w:rsidR="00A80E97" w:rsidRDefault="00A80E97" w:rsidP="00BC13C8">
            <w:pPr>
              <w:pStyle w:val="TableHeading"/>
            </w:pPr>
            <w:r>
              <w:t>20</w:t>
            </w:r>
          </w:p>
        </w:tc>
        <w:tc>
          <w:tcPr>
            <w:tcW w:w="468" w:type="dxa"/>
          </w:tcPr>
          <w:p w14:paraId="5729AF97" w14:textId="77777777" w:rsidR="00A80E97" w:rsidRDefault="00A80E97" w:rsidP="00BC13C8">
            <w:pPr>
              <w:pStyle w:val="TableHeading"/>
            </w:pPr>
            <w:r>
              <w:t>25</w:t>
            </w:r>
          </w:p>
        </w:tc>
        <w:tc>
          <w:tcPr>
            <w:tcW w:w="469" w:type="dxa"/>
          </w:tcPr>
          <w:p w14:paraId="75422A17" w14:textId="77777777" w:rsidR="00A80E97" w:rsidRDefault="00A80E97" w:rsidP="00BC13C8">
            <w:pPr>
              <w:pStyle w:val="TableHeading"/>
            </w:pPr>
            <w:r>
              <w:t>30</w:t>
            </w:r>
          </w:p>
        </w:tc>
        <w:tc>
          <w:tcPr>
            <w:tcW w:w="469" w:type="dxa"/>
          </w:tcPr>
          <w:p w14:paraId="0655A653" w14:textId="77777777" w:rsidR="00A80E97" w:rsidRDefault="00A80E97" w:rsidP="00BC13C8">
            <w:pPr>
              <w:pStyle w:val="TableHeading"/>
            </w:pPr>
            <w:r>
              <w:t>35</w:t>
            </w:r>
          </w:p>
        </w:tc>
        <w:tc>
          <w:tcPr>
            <w:tcW w:w="469" w:type="dxa"/>
          </w:tcPr>
          <w:p w14:paraId="1EDA7C45" w14:textId="77777777" w:rsidR="00A80E97" w:rsidRDefault="00A80E97" w:rsidP="00BC13C8">
            <w:pPr>
              <w:pStyle w:val="TableHeading"/>
            </w:pPr>
            <w:r>
              <w:t>40</w:t>
            </w:r>
          </w:p>
        </w:tc>
        <w:tc>
          <w:tcPr>
            <w:tcW w:w="469" w:type="dxa"/>
          </w:tcPr>
          <w:p w14:paraId="3EDE2CCC" w14:textId="77777777" w:rsidR="00A80E97" w:rsidRDefault="00A80E97" w:rsidP="00BC13C8">
            <w:pPr>
              <w:pStyle w:val="TableHeading"/>
            </w:pPr>
            <w:r>
              <w:t>45</w:t>
            </w:r>
          </w:p>
        </w:tc>
        <w:tc>
          <w:tcPr>
            <w:tcW w:w="469" w:type="dxa"/>
          </w:tcPr>
          <w:p w14:paraId="6C695DC1" w14:textId="77777777" w:rsidR="00A80E97" w:rsidRDefault="00A80E97" w:rsidP="00BC13C8">
            <w:pPr>
              <w:pStyle w:val="TableHeading"/>
            </w:pPr>
            <w:r>
              <w:t>50</w:t>
            </w:r>
          </w:p>
        </w:tc>
        <w:tc>
          <w:tcPr>
            <w:tcW w:w="469" w:type="dxa"/>
          </w:tcPr>
          <w:p w14:paraId="213EB88A" w14:textId="77777777" w:rsidR="00A80E97" w:rsidRDefault="00A80E97" w:rsidP="00BC13C8">
            <w:pPr>
              <w:pStyle w:val="TableHeading"/>
            </w:pPr>
            <w:r>
              <w:t>55</w:t>
            </w:r>
          </w:p>
        </w:tc>
        <w:tc>
          <w:tcPr>
            <w:tcW w:w="469" w:type="dxa"/>
          </w:tcPr>
          <w:p w14:paraId="7E3A50AF" w14:textId="77777777" w:rsidR="00A80E97" w:rsidRDefault="00A80E97" w:rsidP="00BC13C8">
            <w:pPr>
              <w:pStyle w:val="TableHeading"/>
            </w:pPr>
            <w:r>
              <w:t>60</w:t>
            </w:r>
          </w:p>
        </w:tc>
        <w:tc>
          <w:tcPr>
            <w:tcW w:w="469" w:type="dxa"/>
          </w:tcPr>
          <w:p w14:paraId="1E363F84" w14:textId="77777777" w:rsidR="00A80E97" w:rsidRDefault="00A80E97" w:rsidP="00BC13C8">
            <w:pPr>
              <w:pStyle w:val="TableHeading"/>
            </w:pPr>
            <w:r>
              <w:t>65</w:t>
            </w:r>
          </w:p>
        </w:tc>
        <w:tc>
          <w:tcPr>
            <w:tcW w:w="469" w:type="dxa"/>
          </w:tcPr>
          <w:p w14:paraId="222F5AD6" w14:textId="77777777" w:rsidR="00A80E97" w:rsidRDefault="00A80E97" w:rsidP="00BC13C8">
            <w:pPr>
              <w:pStyle w:val="TableHeading"/>
            </w:pPr>
            <w:r>
              <w:t>70</w:t>
            </w:r>
          </w:p>
        </w:tc>
        <w:tc>
          <w:tcPr>
            <w:tcW w:w="469" w:type="dxa"/>
          </w:tcPr>
          <w:p w14:paraId="0DBC79D8" w14:textId="77777777" w:rsidR="00A80E97" w:rsidRDefault="00A80E97" w:rsidP="00BC13C8">
            <w:pPr>
              <w:pStyle w:val="TableHeading"/>
            </w:pPr>
            <w:r>
              <w:t>75</w:t>
            </w:r>
          </w:p>
        </w:tc>
        <w:tc>
          <w:tcPr>
            <w:tcW w:w="469" w:type="dxa"/>
          </w:tcPr>
          <w:p w14:paraId="129B0C7E" w14:textId="77777777" w:rsidR="00A80E97" w:rsidRDefault="00A80E97" w:rsidP="00BC13C8">
            <w:pPr>
              <w:pStyle w:val="TableHeading"/>
            </w:pPr>
            <w:r>
              <w:t>80</w:t>
            </w:r>
          </w:p>
        </w:tc>
        <w:tc>
          <w:tcPr>
            <w:tcW w:w="469" w:type="dxa"/>
          </w:tcPr>
          <w:p w14:paraId="613AFA04" w14:textId="77777777" w:rsidR="00A80E97" w:rsidRDefault="00A80E97" w:rsidP="00BC13C8">
            <w:pPr>
              <w:pStyle w:val="TableHeading"/>
            </w:pPr>
            <w:r>
              <w:t>85</w:t>
            </w:r>
          </w:p>
        </w:tc>
        <w:tc>
          <w:tcPr>
            <w:tcW w:w="469" w:type="dxa"/>
          </w:tcPr>
          <w:p w14:paraId="2E9646CB" w14:textId="77777777" w:rsidR="00A80E97" w:rsidRDefault="00A80E97" w:rsidP="00BC13C8">
            <w:pPr>
              <w:pStyle w:val="TableHeading"/>
            </w:pPr>
            <w:r>
              <w:t>90</w:t>
            </w:r>
          </w:p>
        </w:tc>
      </w:tr>
      <w:tr w:rsidR="00A80E97" w14:paraId="358DD4E2" w14:textId="77777777" w:rsidTr="00BC13C8">
        <w:tc>
          <w:tcPr>
            <w:tcW w:w="827" w:type="dxa"/>
          </w:tcPr>
          <w:p w14:paraId="226E9993" w14:textId="77777777" w:rsidR="00A80E97" w:rsidRDefault="00A80E97" w:rsidP="00BC13C8">
            <w:pPr>
              <w:pStyle w:val="TableHeading"/>
            </w:pPr>
            <w:r>
              <w:t>60</w:t>
            </w:r>
          </w:p>
        </w:tc>
        <w:tc>
          <w:tcPr>
            <w:tcW w:w="467" w:type="dxa"/>
          </w:tcPr>
          <w:p w14:paraId="08067220" w14:textId="3A4BDF28" w:rsidR="00A80E97" w:rsidRPr="0019182F" w:rsidRDefault="00B26915" w:rsidP="00B26915">
            <w:pPr>
              <w:pStyle w:val="TableHeading"/>
            </w:pPr>
            <w:r>
              <w:t>mL</w:t>
            </w:r>
          </w:p>
        </w:tc>
        <w:tc>
          <w:tcPr>
            <w:tcW w:w="467" w:type="dxa"/>
          </w:tcPr>
          <w:p w14:paraId="7A54E14E" w14:textId="77777777" w:rsidR="00A80E97" w:rsidRPr="00A02AC3" w:rsidRDefault="00A80E97" w:rsidP="00BC13C8">
            <w:pPr>
              <w:pStyle w:val="Tabletext0"/>
              <w:rPr>
                <w:b/>
                <w:color w:val="00B0F0"/>
              </w:rPr>
            </w:pPr>
            <w:r w:rsidRPr="00A02AC3">
              <w:rPr>
                <w:b/>
                <w:color w:val="00B0F0"/>
              </w:rPr>
              <w:t>3</w:t>
            </w:r>
          </w:p>
        </w:tc>
        <w:tc>
          <w:tcPr>
            <w:tcW w:w="468" w:type="dxa"/>
          </w:tcPr>
          <w:p w14:paraId="25546992" w14:textId="77777777" w:rsidR="00A80E97" w:rsidRPr="00A02AC3" w:rsidRDefault="00A80E97" w:rsidP="00BC13C8">
            <w:pPr>
              <w:pStyle w:val="Tabletext0"/>
              <w:rPr>
                <w:b/>
                <w:color w:val="00B0F0"/>
              </w:rPr>
            </w:pPr>
            <w:r w:rsidRPr="00A02AC3">
              <w:rPr>
                <w:b/>
                <w:color w:val="00B0F0"/>
              </w:rPr>
              <w:t>6</w:t>
            </w:r>
          </w:p>
        </w:tc>
        <w:tc>
          <w:tcPr>
            <w:tcW w:w="468" w:type="dxa"/>
          </w:tcPr>
          <w:p w14:paraId="3262BFCF" w14:textId="77777777" w:rsidR="00A80E97" w:rsidRPr="00A02AC3" w:rsidRDefault="00A80E97" w:rsidP="00BC13C8">
            <w:pPr>
              <w:pStyle w:val="Tabletext0"/>
              <w:rPr>
                <w:b/>
                <w:color w:val="00B0F0"/>
                <w:lang w:val="en-AU"/>
              </w:rPr>
            </w:pPr>
            <w:r w:rsidRPr="00A02AC3">
              <w:rPr>
                <w:b/>
                <w:color w:val="00B0F0"/>
                <w:lang w:val="en-AU"/>
              </w:rPr>
              <w:t>10</w:t>
            </w:r>
          </w:p>
        </w:tc>
        <w:tc>
          <w:tcPr>
            <w:tcW w:w="468" w:type="dxa"/>
          </w:tcPr>
          <w:p w14:paraId="116543C4" w14:textId="77777777" w:rsidR="00A80E97" w:rsidRPr="00A02AC3" w:rsidRDefault="00A80E97" w:rsidP="00BC13C8">
            <w:pPr>
              <w:pStyle w:val="Tabletext0"/>
              <w:rPr>
                <w:b/>
                <w:color w:val="FF0000"/>
                <w:lang w:val="en-AU"/>
              </w:rPr>
            </w:pPr>
            <w:r w:rsidRPr="00A02AC3">
              <w:rPr>
                <w:b/>
                <w:color w:val="FF0000"/>
                <w:lang w:val="en-AU"/>
              </w:rPr>
              <w:t>13</w:t>
            </w:r>
          </w:p>
        </w:tc>
        <w:tc>
          <w:tcPr>
            <w:tcW w:w="468" w:type="dxa"/>
          </w:tcPr>
          <w:p w14:paraId="74E56854" w14:textId="77777777" w:rsidR="00A80E97" w:rsidRPr="00A02AC3" w:rsidRDefault="00A80E97" w:rsidP="00BC13C8">
            <w:pPr>
              <w:pStyle w:val="Tabletext0"/>
              <w:rPr>
                <w:b/>
                <w:color w:val="FF0000"/>
                <w:lang w:val="en-AU"/>
              </w:rPr>
            </w:pPr>
            <w:r w:rsidRPr="00A02AC3">
              <w:rPr>
                <w:b/>
                <w:color w:val="FF0000"/>
                <w:lang w:val="en-AU"/>
              </w:rPr>
              <w:t>16</w:t>
            </w:r>
          </w:p>
        </w:tc>
        <w:tc>
          <w:tcPr>
            <w:tcW w:w="469" w:type="dxa"/>
          </w:tcPr>
          <w:p w14:paraId="1FE04C37" w14:textId="77777777" w:rsidR="00A80E97" w:rsidRPr="00A02AC3" w:rsidRDefault="00A80E97" w:rsidP="00BC13C8">
            <w:pPr>
              <w:pStyle w:val="Tabletext0"/>
              <w:rPr>
                <w:b/>
                <w:color w:val="FF0000"/>
                <w:lang w:val="en-AU"/>
              </w:rPr>
            </w:pPr>
            <w:r w:rsidRPr="00A02AC3">
              <w:rPr>
                <w:b/>
                <w:color w:val="FF0000"/>
                <w:lang w:val="en-AU"/>
              </w:rPr>
              <w:t>19</w:t>
            </w:r>
          </w:p>
        </w:tc>
        <w:tc>
          <w:tcPr>
            <w:tcW w:w="469" w:type="dxa"/>
          </w:tcPr>
          <w:p w14:paraId="7AD88A75" w14:textId="77777777" w:rsidR="00A80E97" w:rsidRPr="00A02AC3" w:rsidRDefault="00A80E97" w:rsidP="00BC13C8">
            <w:pPr>
              <w:pStyle w:val="Tabletext0"/>
              <w:rPr>
                <w:b/>
                <w:color w:val="7030A0"/>
                <w:lang w:val="en-AU"/>
              </w:rPr>
            </w:pPr>
            <w:r w:rsidRPr="00A02AC3">
              <w:rPr>
                <w:b/>
                <w:color w:val="7030A0"/>
                <w:lang w:val="en-AU"/>
              </w:rPr>
              <w:t>25</w:t>
            </w:r>
          </w:p>
        </w:tc>
        <w:tc>
          <w:tcPr>
            <w:tcW w:w="469" w:type="dxa"/>
          </w:tcPr>
          <w:p w14:paraId="60449859" w14:textId="77777777" w:rsidR="00A80E97" w:rsidRPr="00A02AC3" w:rsidRDefault="00A80E97" w:rsidP="00BC13C8">
            <w:pPr>
              <w:pStyle w:val="Tabletext0"/>
              <w:rPr>
                <w:b/>
                <w:color w:val="7030A0"/>
                <w:lang w:val="en-AU"/>
              </w:rPr>
            </w:pPr>
            <w:r w:rsidRPr="00A02AC3">
              <w:rPr>
                <w:b/>
                <w:color w:val="7030A0"/>
                <w:lang w:val="en-AU"/>
              </w:rPr>
              <w:t>27</w:t>
            </w:r>
          </w:p>
        </w:tc>
        <w:tc>
          <w:tcPr>
            <w:tcW w:w="469" w:type="dxa"/>
          </w:tcPr>
          <w:p w14:paraId="42957343" w14:textId="77777777" w:rsidR="00A80E97" w:rsidRPr="00A02AC3" w:rsidRDefault="00A80E97" w:rsidP="00BC13C8">
            <w:pPr>
              <w:pStyle w:val="Tabletext0"/>
              <w:rPr>
                <w:b/>
                <w:color w:val="7030A0"/>
                <w:lang w:val="en-AU"/>
              </w:rPr>
            </w:pPr>
            <w:r w:rsidRPr="00A02AC3">
              <w:rPr>
                <w:b/>
                <w:color w:val="7030A0"/>
                <w:lang w:val="en-AU"/>
              </w:rPr>
              <w:t>30</w:t>
            </w:r>
          </w:p>
        </w:tc>
        <w:tc>
          <w:tcPr>
            <w:tcW w:w="469" w:type="dxa"/>
          </w:tcPr>
          <w:p w14:paraId="7A739E83" w14:textId="77777777" w:rsidR="00A80E97" w:rsidRPr="00A02AC3" w:rsidRDefault="00A80E97" w:rsidP="00BC13C8">
            <w:pPr>
              <w:pStyle w:val="Tabletext0"/>
              <w:rPr>
                <w:b/>
                <w:color w:val="7030A0"/>
                <w:lang w:val="en-AU"/>
              </w:rPr>
            </w:pPr>
            <w:r w:rsidRPr="00A02AC3">
              <w:rPr>
                <w:b/>
                <w:color w:val="7030A0"/>
                <w:lang w:val="en-AU"/>
              </w:rPr>
              <w:t>32</w:t>
            </w:r>
          </w:p>
        </w:tc>
        <w:tc>
          <w:tcPr>
            <w:tcW w:w="469" w:type="dxa"/>
          </w:tcPr>
          <w:p w14:paraId="40950B3D" w14:textId="77777777" w:rsidR="00A80E97" w:rsidRPr="00A02AC3" w:rsidRDefault="00A80E97" w:rsidP="00BC13C8">
            <w:pPr>
              <w:pStyle w:val="Tabletext0"/>
              <w:rPr>
                <w:b/>
                <w:color w:val="7030A0"/>
                <w:lang w:val="en-AU"/>
              </w:rPr>
            </w:pPr>
            <w:r w:rsidRPr="00A02AC3">
              <w:rPr>
                <w:b/>
                <w:color w:val="7030A0"/>
                <w:lang w:val="en-AU"/>
              </w:rPr>
              <w:t>34</w:t>
            </w:r>
          </w:p>
        </w:tc>
        <w:tc>
          <w:tcPr>
            <w:tcW w:w="469" w:type="dxa"/>
          </w:tcPr>
          <w:p w14:paraId="30DD028C" w14:textId="77777777" w:rsidR="00A80E97" w:rsidRPr="00A02AC3" w:rsidRDefault="00A80E97" w:rsidP="00BC13C8">
            <w:pPr>
              <w:pStyle w:val="Tabletext0"/>
              <w:rPr>
                <w:b/>
                <w:color w:val="7030A0"/>
                <w:lang w:val="en-AU"/>
              </w:rPr>
            </w:pPr>
            <w:r w:rsidRPr="00A02AC3">
              <w:rPr>
                <w:b/>
                <w:color w:val="7030A0"/>
                <w:lang w:val="en-AU"/>
              </w:rPr>
              <w:t>36</w:t>
            </w:r>
          </w:p>
        </w:tc>
        <w:tc>
          <w:tcPr>
            <w:tcW w:w="469" w:type="dxa"/>
          </w:tcPr>
          <w:p w14:paraId="29B7711A" w14:textId="77777777" w:rsidR="00A80E97" w:rsidRPr="00A02AC3" w:rsidRDefault="00A80E97" w:rsidP="00BC13C8">
            <w:pPr>
              <w:pStyle w:val="Tabletext0"/>
              <w:rPr>
                <w:b/>
                <w:color w:val="7030A0"/>
                <w:lang w:val="en-AU"/>
              </w:rPr>
            </w:pPr>
            <w:r w:rsidRPr="00A02AC3">
              <w:rPr>
                <w:b/>
                <w:color w:val="7030A0"/>
                <w:lang w:val="en-AU"/>
              </w:rPr>
              <w:t>38</w:t>
            </w:r>
          </w:p>
        </w:tc>
        <w:tc>
          <w:tcPr>
            <w:tcW w:w="469" w:type="dxa"/>
          </w:tcPr>
          <w:p w14:paraId="7D7ACDC8" w14:textId="77777777" w:rsidR="00A80E97" w:rsidRPr="00A02AC3" w:rsidRDefault="00A80E97" w:rsidP="00BC13C8">
            <w:pPr>
              <w:pStyle w:val="Tabletext0"/>
              <w:rPr>
                <w:b/>
                <w:color w:val="7030A0"/>
                <w:lang w:val="en-AU"/>
              </w:rPr>
            </w:pPr>
            <w:r w:rsidRPr="00A02AC3">
              <w:rPr>
                <w:b/>
                <w:color w:val="7030A0"/>
                <w:lang w:val="en-AU"/>
              </w:rPr>
              <w:t>40</w:t>
            </w:r>
          </w:p>
        </w:tc>
        <w:tc>
          <w:tcPr>
            <w:tcW w:w="469" w:type="dxa"/>
          </w:tcPr>
          <w:p w14:paraId="6B355B9A" w14:textId="77777777" w:rsidR="00A80E97" w:rsidRPr="00A02AC3" w:rsidRDefault="00A80E97" w:rsidP="00BC13C8">
            <w:pPr>
              <w:pStyle w:val="Tabletext0"/>
              <w:rPr>
                <w:b/>
                <w:color w:val="7030A0"/>
                <w:lang w:val="en-AU"/>
              </w:rPr>
            </w:pPr>
            <w:r w:rsidRPr="00A02AC3">
              <w:rPr>
                <w:b/>
                <w:color w:val="7030A0"/>
                <w:lang w:val="en-AU"/>
              </w:rPr>
              <w:t>42</w:t>
            </w:r>
          </w:p>
        </w:tc>
        <w:tc>
          <w:tcPr>
            <w:tcW w:w="469" w:type="dxa"/>
          </w:tcPr>
          <w:p w14:paraId="79081D26" w14:textId="77777777" w:rsidR="00A80E97" w:rsidRPr="00A02AC3" w:rsidRDefault="00A80E97" w:rsidP="00BC13C8">
            <w:pPr>
              <w:pStyle w:val="Tabletext0"/>
              <w:rPr>
                <w:b/>
                <w:color w:val="7030A0"/>
                <w:lang w:val="en-AU"/>
              </w:rPr>
            </w:pPr>
            <w:r w:rsidRPr="00A02AC3">
              <w:rPr>
                <w:b/>
                <w:color w:val="7030A0"/>
                <w:lang w:val="en-AU"/>
              </w:rPr>
              <w:t>45</w:t>
            </w:r>
          </w:p>
        </w:tc>
        <w:tc>
          <w:tcPr>
            <w:tcW w:w="469" w:type="dxa"/>
          </w:tcPr>
          <w:p w14:paraId="475344E6" w14:textId="77777777" w:rsidR="00A80E97" w:rsidRPr="00A02AC3" w:rsidRDefault="00A80E97" w:rsidP="00BC13C8">
            <w:pPr>
              <w:pStyle w:val="Tabletext0"/>
              <w:rPr>
                <w:b/>
                <w:color w:val="7030A0"/>
                <w:lang w:val="en-AU"/>
              </w:rPr>
            </w:pPr>
            <w:r w:rsidRPr="00A02AC3">
              <w:rPr>
                <w:b/>
                <w:color w:val="7030A0"/>
                <w:lang w:val="en-AU"/>
              </w:rPr>
              <w:t>47</w:t>
            </w:r>
          </w:p>
        </w:tc>
        <w:tc>
          <w:tcPr>
            <w:tcW w:w="469" w:type="dxa"/>
          </w:tcPr>
          <w:p w14:paraId="6086FC67" w14:textId="77777777" w:rsidR="00A80E97" w:rsidRPr="00A02AC3" w:rsidRDefault="00A80E97" w:rsidP="00BC13C8">
            <w:pPr>
              <w:pStyle w:val="Tabletext0"/>
              <w:rPr>
                <w:b/>
                <w:color w:val="7030A0"/>
                <w:lang w:val="en-AU"/>
              </w:rPr>
            </w:pPr>
            <w:r w:rsidRPr="00A02AC3">
              <w:rPr>
                <w:b/>
                <w:color w:val="7030A0"/>
                <w:lang w:val="en-AU"/>
              </w:rPr>
              <w:t>49</w:t>
            </w:r>
          </w:p>
        </w:tc>
      </w:tr>
      <w:tr w:rsidR="00A80E97" w14:paraId="6A2B1FBB" w14:textId="77777777" w:rsidTr="00BC13C8">
        <w:tc>
          <w:tcPr>
            <w:tcW w:w="827" w:type="dxa"/>
          </w:tcPr>
          <w:p w14:paraId="1D2CB74C" w14:textId="77777777" w:rsidR="00A80E97" w:rsidRDefault="00A80E97" w:rsidP="00BC13C8">
            <w:pPr>
              <w:pStyle w:val="TableHeading"/>
            </w:pPr>
            <w:r>
              <w:t>75</w:t>
            </w:r>
          </w:p>
        </w:tc>
        <w:tc>
          <w:tcPr>
            <w:tcW w:w="467" w:type="dxa"/>
          </w:tcPr>
          <w:p w14:paraId="5780A63D" w14:textId="0BBCE27E" w:rsidR="00A80E97" w:rsidRPr="0019182F" w:rsidRDefault="00B26915" w:rsidP="00B26915">
            <w:pPr>
              <w:pStyle w:val="TableHeading"/>
            </w:pPr>
            <w:r>
              <w:t>mL</w:t>
            </w:r>
          </w:p>
        </w:tc>
        <w:tc>
          <w:tcPr>
            <w:tcW w:w="467" w:type="dxa"/>
          </w:tcPr>
          <w:p w14:paraId="7D7664DF" w14:textId="77777777" w:rsidR="00A80E97" w:rsidRPr="00A02AC3" w:rsidRDefault="00A80E97" w:rsidP="00BC13C8">
            <w:pPr>
              <w:pStyle w:val="Tabletext0"/>
              <w:rPr>
                <w:b/>
                <w:color w:val="00B0F0"/>
                <w:lang w:val="en-AU"/>
              </w:rPr>
            </w:pPr>
            <w:r w:rsidRPr="00A02AC3">
              <w:rPr>
                <w:b/>
                <w:color w:val="00B0F0"/>
                <w:lang w:val="en-AU"/>
              </w:rPr>
              <w:t>3</w:t>
            </w:r>
          </w:p>
        </w:tc>
        <w:tc>
          <w:tcPr>
            <w:tcW w:w="468" w:type="dxa"/>
          </w:tcPr>
          <w:p w14:paraId="4208C2BC" w14:textId="77777777" w:rsidR="00A80E97" w:rsidRPr="00A02AC3" w:rsidRDefault="00A80E97" w:rsidP="00BC13C8">
            <w:pPr>
              <w:pStyle w:val="Tabletext0"/>
              <w:rPr>
                <w:b/>
                <w:color w:val="00B0F0"/>
                <w:lang w:val="en-AU"/>
              </w:rPr>
            </w:pPr>
            <w:r w:rsidRPr="00A02AC3">
              <w:rPr>
                <w:b/>
                <w:color w:val="00B0F0"/>
                <w:lang w:val="en-AU"/>
              </w:rPr>
              <w:t>6</w:t>
            </w:r>
          </w:p>
        </w:tc>
        <w:tc>
          <w:tcPr>
            <w:tcW w:w="468" w:type="dxa"/>
          </w:tcPr>
          <w:p w14:paraId="65238CB9" w14:textId="77777777" w:rsidR="00A80E97" w:rsidRPr="00A02AC3" w:rsidRDefault="00A80E97" w:rsidP="00BC13C8">
            <w:pPr>
              <w:pStyle w:val="Tabletext0"/>
              <w:rPr>
                <w:b/>
                <w:color w:val="00B0F0"/>
                <w:lang w:val="en-AU"/>
              </w:rPr>
            </w:pPr>
            <w:r w:rsidRPr="00A02AC3">
              <w:rPr>
                <w:b/>
                <w:color w:val="00B0F0"/>
                <w:lang w:val="en-AU"/>
              </w:rPr>
              <w:t>9</w:t>
            </w:r>
          </w:p>
        </w:tc>
        <w:tc>
          <w:tcPr>
            <w:tcW w:w="468" w:type="dxa"/>
          </w:tcPr>
          <w:p w14:paraId="1FDA7AAA" w14:textId="77777777" w:rsidR="00A80E97" w:rsidRPr="00A02AC3" w:rsidRDefault="00A80E97" w:rsidP="00BC13C8">
            <w:pPr>
              <w:pStyle w:val="Tabletext0"/>
              <w:rPr>
                <w:b/>
                <w:color w:val="00B0F0"/>
                <w:lang w:val="en-AU"/>
              </w:rPr>
            </w:pPr>
            <w:r w:rsidRPr="00A02AC3">
              <w:rPr>
                <w:b/>
                <w:color w:val="00B0F0"/>
                <w:lang w:val="en-AU"/>
              </w:rPr>
              <w:t>11</w:t>
            </w:r>
          </w:p>
        </w:tc>
        <w:tc>
          <w:tcPr>
            <w:tcW w:w="468" w:type="dxa"/>
          </w:tcPr>
          <w:p w14:paraId="1BA07CFD" w14:textId="77777777" w:rsidR="00A80E97" w:rsidRPr="00A02AC3" w:rsidRDefault="00A80E97" w:rsidP="00BC13C8">
            <w:pPr>
              <w:pStyle w:val="Tabletext0"/>
              <w:rPr>
                <w:b/>
                <w:color w:val="FF0000"/>
                <w:lang w:val="en-AU"/>
              </w:rPr>
            </w:pPr>
            <w:r w:rsidRPr="00A02AC3">
              <w:rPr>
                <w:b/>
                <w:color w:val="FF0000"/>
                <w:lang w:val="en-AU"/>
              </w:rPr>
              <w:t>14</w:t>
            </w:r>
          </w:p>
        </w:tc>
        <w:tc>
          <w:tcPr>
            <w:tcW w:w="469" w:type="dxa"/>
          </w:tcPr>
          <w:p w14:paraId="76E7B658" w14:textId="77777777" w:rsidR="00A80E97" w:rsidRPr="00A02AC3" w:rsidRDefault="00A80E97" w:rsidP="00BC13C8">
            <w:pPr>
              <w:pStyle w:val="Tabletext0"/>
              <w:rPr>
                <w:b/>
                <w:color w:val="FF0000"/>
                <w:lang w:val="en-AU"/>
              </w:rPr>
            </w:pPr>
            <w:r w:rsidRPr="00A02AC3">
              <w:rPr>
                <w:b/>
                <w:color w:val="FF0000"/>
                <w:lang w:val="en-AU"/>
              </w:rPr>
              <w:t>17</w:t>
            </w:r>
          </w:p>
        </w:tc>
        <w:tc>
          <w:tcPr>
            <w:tcW w:w="469" w:type="dxa"/>
          </w:tcPr>
          <w:p w14:paraId="324B5644" w14:textId="77777777" w:rsidR="00A80E97" w:rsidRPr="00A02AC3" w:rsidRDefault="00A80E97" w:rsidP="00BC13C8">
            <w:pPr>
              <w:pStyle w:val="Tabletext0"/>
              <w:rPr>
                <w:b/>
                <w:color w:val="FF0000"/>
                <w:lang w:val="en-AU"/>
              </w:rPr>
            </w:pPr>
            <w:r w:rsidRPr="00A02AC3">
              <w:rPr>
                <w:b/>
                <w:color w:val="FF0000"/>
                <w:lang w:val="en-AU"/>
              </w:rPr>
              <w:t>23</w:t>
            </w:r>
          </w:p>
        </w:tc>
        <w:tc>
          <w:tcPr>
            <w:tcW w:w="469" w:type="dxa"/>
          </w:tcPr>
          <w:p w14:paraId="0F3931C4" w14:textId="77777777" w:rsidR="00A80E97" w:rsidRPr="00A02AC3" w:rsidRDefault="00A80E97" w:rsidP="00BC13C8">
            <w:pPr>
              <w:pStyle w:val="Tabletext0"/>
              <w:rPr>
                <w:b/>
                <w:color w:val="7030A0"/>
                <w:lang w:val="en-AU"/>
              </w:rPr>
            </w:pPr>
            <w:r w:rsidRPr="00A02AC3">
              <w:rPr>
                <w:b/>
                <w:color w:val="7030A0"/>
                <w:lang w:val="en-AU"/>
              </w:rPr>
              <w:t>24</w:t>
            </w:r>
          </w:p>
        </w:tc>
        <w:tc>
          <w:tcPr>
            <w:tcW w:w="469" w:type="dxa"/>
          </w:tcPr>
          <w:p w14:paraId="2036F57C" w14:textId="77777777" w:rsidR="00A80E97" w:rsidRPr="00A02AC3" w:rsidRDefault="00A80E97" w:rsidP="00BC13C8">
            <w:pPr>
              <w:pStyle w:val="Tabletext0"/>
              <w:rPr>
                <w:b/>
                <w:color w:val="7030A0"/>
                <w:lang w:val="en-AU"/>
              </w:rPr>
            </w:pPr>
            <w:r w:rsidRPr="00A02AC3">
              <w:rPr>
                <w:b/>
                <w:color w:val="7030A0"/>
                <w:lang w:val="en-AU"/>
              </w:rPr>
              <w:t>26</w:t>
            </w:r>
          </w:p>
        </w:tc>
        <w:tc>
          <w:tcPr>
            <w:tcW w:w="469" w:type="dxa"/>
          </w:tcPr>
          <w:p w14:paraId="7774623F" w14:textId="77777777" w:rsidR="00A80E97" w:rsidRPr="00A02AC3" w:rsidRDefault="00A80E97" w:rsidP="00BC13C8">
            <w:pPr>
              <w:pStyle w:val="Tabletext0"/>
              <w:rPr>
                <w:b/>
                <w:color w:val="7030A0"/>
                <w:lang w:val="en-AU"/>
              </w:rPr>
            </w:pPr>
            <w:r w:rsidRPr="00A02AC3">
              <w:rPr>
                <w:b/>
                <w:color w:val="7030A0"/>
                <w:lang w:val="en-AU"/>
              </w:rPr>
              <w:t>28</w:t>
            </w:r>
          </w:p>
        </w:tc>
        <w:tc>
          <w:tcPr>
            <w:tcW w:w="469" w:type="dxa"/>
          </w:tcPr>
          <w:p w14:paraId="46EA00AD" w14:textId="77777777" w:rsidR="00A80E97" w:rsidRPr="00A02AC3" w:rsidRDefault="00A80E97" w:rsidP="00BC13C8">
            <w:pPr>
              <w:pStyle w:val="Tabletext0"/>
              <w:rPr>
                <w:b/>
                <w:color w:val="7030A0"/>
                <w:lang w:val="en-AU"/>
              </w:rPr>
            </w:pPr>
            <w:r w:rsidRPr="00A02AC3">
              <w:rPr>
                <w:b/>
                <w:color w:val="7030A0"/>
                <w:lang w:val="en-AU"/>
              </w:rPr>
              <w:t>30</w:t>
            </w:r>
          </w:p>
        </w:tc>
        <w:tc>
          <w:tcPr>
            <w:tcW w:w="469" w:type="dxa"/>
          </w:tcPr>
          <w:p w14:paraId="1A28B502" w14:textId="77777777" w:rsidR="00A80E97" w:rsidRPr="00A02AC3" w:rsidRDefault="00A80E97" w:rsidP="00BC13C8">
            <w:pPr>
              <w:pStyle w:val="Tabletext0"/>
              <w:rPr>
                <w:b/>
                <w:color w:val="7030A0"/>
                <w:lang w:val="en-AU"/>
              </w:rPr>
            </w:pPr>
            <w:r w:rsidRPr="00A02AC3">
              <w:rPr>
                <w:b/>
                <w:color w:val="7030A0"/>
                <w:lang w:val="en-AU"/>
              </w:rPr>
              <w:t>32</w:t>
            </w:r>
          </w:p>
        </w:tc>
        <w:tc>
          <w:tcPr>
            <w:tcW w:w="469" w:type="dxa"/>
          </w:tcPr>
          <w:p w14:paraId="26B4BE22" w14:textId="77777777" w:rsidR="00A80E97" w:rsidRPr="00A02AC3" w:rsidRDefault="00A80E97" w:rsidP="00BC13C8">
            <w:pPr>
              <w:pStyle w:val="Tabletext0"/>
              <w:rPr>
                <w:b/>
                <w:color w:val="7030A0"/>
                <w:lang w:val="en-AU"/>
              </w:rPr>
            </w:pPr>
            <w:r w:rsidRPr="00A02AC3">
              <w:rPr>
                <w:b/>
                <w:color w:val="7030A0"/>
                <w:lang w:val="en-AU"/>
              </w:rPr>
              <w:t>33</w:t>
            </w:r>
          </w:p>
        </w:tc>
        <w:tc>
          <w:tcPr>
            <w:tcW w:w="469" w:type="dxa"/>
          </w:tcPr>
          <w:p w14:paraId="7EEEDEDC" w14:textId="77777777" w:rsidR="00A80E97" w:rsidRPr="00A02AC3" w:rsidRDefault="00A80E97" w:rsidP="00BC13C8">
            <w:pPr>
              <w:pStyle w:val="Tabletext0"/>
              <w:rPr>
                <w:b/>
                <w:color w:val="7030A0"/>
                <w:lang w:val="en-AU"/>
              </w:rPr>
            </w:pPr>
            <w:r w:rsidRPr="00A02AC3">
              <w:rPr>
                <w:b/>
                <w:color w:val="7030A0"/>
                <w:lang w:val="en-AU"/>
              </w:rPr>
              <w:t>35</w:t>
            </w:r>
          </w:p>
        </w:tc>
        <w:tc>
          <w:tcPr>
            <w:tcW w:w="469" w:type="dxa"/>
          </w:tcPr>
          <w:p w14:paraId="2CE8AD30" w14:textId="77777777" w:rsidR="00A80E97" w:rsidRPr="00A02AC3" w:rsidRDefault="00A80E97" w:rsidP="00BC13C8">
            <w:pPr>
              <w:pStyle w:val="Tabletext0"/>
              <w:rPr>
                <w:b/>
                <w:color w:val="7030A0"/>
                <w:lang w:val="en-AU"/>
              </w:rPr>
            </w:pPr>
            <w:r w:rsidRPr="00A02AC3">
              <w:rPr>
                <w:b/>
                <w:color w:val="7030A0"/>
                <w:lang w:val="en-AU"/>
              </w:rPr>
              <w:t>37</w:t>
            </w:r>
          </w:p>
        </w:tc>
        <w:tc>
          <w:tcPr>
            <w:tcW w:w="469" w:type="dxa"/>
          </w:tcPr>
          <w:p w14:paraId="7548C94D" w14:textId="77777777" w:rsidR="00A80E97" w:rsidRPr="00A02AC3" w:rsidRDefault="00A80E97" w:rsidP="00BC13C8">
            <w:pPr>
              <w:pStyle w:val="Tabletext0"/>
              <w:rPr>
                <w:b/>
                <w:color w:val="7030A0"/>
                <w:lang w:val="en-AU"/>
              </w:rPr>
            </w:pPr>
            <w:r w:rsidRPr="00A02AC3">
              <w:rPr>
                <w:b/>
                <w:color w:val="7030A0"/>
                <w:lang w:val="en-AU"/>
              </w:rPr>
              <w:t>39</w:t>
            </w:r>
          </w:p>
        </w:tc>
        <w:tc>
          <w:tcPr>
            <w:tcW w:w="469" w:type="dxa"/>
          </w:tcPr>
          <w:p w14:paraId="045F7807" w14:textId="77777777" w:rsidR="00A80E97" w:rsidRPr="00A02AC3" w:rsidRDefault="00A80E97" w:rsidP="00BC13C8">
            <w:pPr>
              <w:pStyle w:val="Tabletext0"/>
              <w:rPr>
                <w:b/>
                <w:color w:val="7030A0"/>
                <w:lang w:val="en-AU"/>
              </w:rPr>
            </w:pPr>
            <w:r w:rsidRPr="00A02AC3">
              <w:rPr>
                <w:b/>
                <w:color w:val="7030A0"/>
                <w:lang w:val="en-AU"/>
              </w:rPr>
              <w:t>41</w:t>
            </w:r>
          </w:p>
        </w:tc>
        <w:tc>
          <w:tcPr>
            <w:tcW w:w="469" w:type="dxa"/>
          </w:tcPr>
          <w:p w14:paraId="5D8C4B21" w14:textId="77777777" w:rsidR="00A80E97" w:rsidRPr="00A02AC3" w:rsidRDefault="00A80E97" w:rsidP="00BC13C8">
            <w:pPr>
              <w:pStyle w:val="Tabletext0"/>
              <w:rPr>
                <w:b/>
                <w:color w:val="7030A0"/>
                <w:lang w:val="en-AU"/>
              </w:rPr>
            </w:pPr>
            <w:r w:rsidRPr="00A02AC3">
              <w:rPr>
                <w:b/>
                <w:color w:val="7030A0"/>
                <w:lang w:val="en-AU"/>
              </w:rPr>
              <w:t>43</w:t>
            </w:r>
          </w:p>
        </w:tc>
      </w:tr>
      <w:tr w:rsidR="00A80E97" w14:paraId="3DC1C670" w14:textId="77777777" w:rsidTr="00BC13C8">
        <w:tc>
          <w:tcPr>
            <w:tcW w:w="827" w:type="dxa"/>
          </w:tcPr>
          <w:p w14:paraId="136D349C" w14:textId="77777777" w:rsidR="00A80E97" w:rsidRDefault="00A80E97" w:rsidP="00BC13C8">
            <w:pPr>
              <w:pStyle w:val="TableHeading"/>
            </w:pPr>
            <w:r>
              <w:t>90</w:t>
            </w:r>
          </w:p>
        </w:tc>
        <w:tc>
          <w:tcPr>
            <w:tcW w:w="467" w:type="dxa"/>
          </w:tcPr>
          <w:p w14:paraId="5F87F8D2" w14:textId="6849B0E5" w:rsidR="00A80E97" w:rsidRPr="0019182F" w:rsidRDefault="00B26915" w:rsidP="00B26915">
            <w:pPr>
              <w:pStyle w:val="TableHeading"/>
            </w:pPr>
            <w:r>
              <w:t>mL</w:t>
            </w:r>
          </w:p>
        </w:tc>
        <w:tc>
          <w:tcPr>
            <w:tcW w:w="467" w:type="dxa"/>
          </w:tcPr>
          <w:p w14:paraId="7E617A4F" w14:textId="77777777" w:rsidR="00A80E97" w:rsidRPr="00A02AC3" w:rsidRDefault="00A80E97" w:rsidP="00BC13C8">
            <w:pPr>
              <w:pStyle w:val="Tabletext0"/>
              <w:rPr>
                <w:b/>
                <w:color w:val="00B0F0"/>
                <w:lang w:val="en-AU"/>
              </w:rPr>
            </w:pPr>
            <w:r w:rsidRPr="00A02AC3">
              <w:rPr>
                <w:b/>
                <w:color w:val="00B0F0"/>
                <w:lang w:val="en-AU"/>
              </w:rPr>
              <w:t>3</w:t>
            </w:r>
          </w:p>
        </w:tc>
        <w:tc>
          <w:tcPr>
            <w:tcW w:w="468" w:type="dxa"/>
          </w:tcPr>
          <w:p w14:paraId="7C9E29B9" w14:textId="77777777" w:rsidR="00A80E97" w:rsidRPr="00A02AC3" w:rsidRDefault="00A80E97" w:rsidP="00BC13C8">
            <w:pPr>
              <w:pStyle w:val="Tabletext0"/>
              <w:rPr>
                <w:b/>
                <w:color w:val="00B0F0"/>
                <w:lang w:val="en-AU"/>
              </w:rPr>
            </w:pPr>
            <w:r w:rsidRPr="00A02AC3">
              <w:rPr>
                <w:b/>
                <w:color w:val="00B0F0"/>
                <w:lang w:val="en-AU"/>
              </w:rPr>
              <w:t>5</w:t>
            </w:r>
          </w:p>
        </w:tc>
        <w:tc>
          <w:tcPr>
            <w:tcW w:w="468" w:type="dxa"/>
          </w:tcPr>
          <w:p w14:paraId="5AB39651" w14:textId="77777777" w:rsidR="00A80E97" w:rsidRPr="00A02AC3" w:rsidRDefault="00A80E97" w:rsidP="00BC13C8">
            <w:pPr>
              <w:pStyle w:val="Tabletext0"/>
              <w:rPr>
                <w:b/>
                <w:color w:val="00B0F0"/>
                <w:lang w:val="en-AU"/>
              </w:rPr>
            </w:pPr>
            <w:r w:rsidRPr="00A02AC3">
              <w:rPr>
                <w:b/>
                <w:color w:val="00B0F0"/>
                <w:lang w:val="en-AU"/>
              </w:rPr>
              <w:t>7</w:t>
            </w:r>
          </w:p>
        </w:tc>
        <w:tc>
          <w:tcPr>
            <w:tcW w:w="468" w:type="dxa"/>
          </w:tcPr>
          <w:p w14:paraId="369A81DC" w14:textId="77777777" w:rsidR="00A80E97" w:rsidRPr="00A02AC3" w:rsidRDefault="00A80E97" w:rsidP="00BC13C8">
            <w:pPr>
              <w:pStyle w:val="Tabletext0"/>
              <w:rPr>
                <w:b/>
                <w:color w:val="00B0F0"/>
                <w:lang w:val="en-AU"/>
              </w:rPr>
            </w:pPr>
            <w:r w:rsidRPr="00A02AC3">
              <w:rPr>
                <w:b/>
                <w:color w:val="00B0F0"/>
                <w:lang w:val="en-AU"/>
              </w:rPr>
              <w:t>10</w:t>
            </w:r>
          </w:p>
        </w:tc>
        <w:tc>
          <w:tcPr>
            <w:tcW w:w="468" w:type="dxa"/>
          </w:tcPr>
          <w:p w14:paraId="6074A5FE" w14:textId="77777777" w:rsidR="00A80E97" w:rsidRPr="00A02AC3" w:rsidRDefault="00A80E97" w:rsidP="00BC13C8">
            <w:pPr>
              <w:pStyle w:val="Tabletext0"/>
              <w:rPr>
                <w:b/>
                <w:color w:val="00B0F0"/>
                <w:lang w:val="en-AU"/>
              </w:rPr>
            </w:pPr>
            <w:r w:rsidRPr="00A02AC3">
              <w:rPr>
                <w:b/>
                <w:color w:val="00B0F0"/>
                <w:lang w:val="en-AU"/>
              </w:rPr>
              <w:t>12</w:t>
            </w:r>
          </w:p>
        </w:tc>
        <w:tc>
          <w:tcPr>
            <w:tcW w:w="469" w:type="dxa"/>
          </w:tcPr>
          <w:p w14:paraId="7610EFA4" w14:textId="77777777" w:rsidR="00A80E97" w:rsidRPr="00A02AC3" w:rsidRDefault="00A80E97" w:rsidP="00BC13C8">
            <w:pPr>
              <w:pStyle w:val="Tabletext0"/>
              <w:rPr>
                <w:b/>
                <w:color w:val="FF0000"/>
                <w:lang w:val="en-AU"/>
              </w:rPr>
            </w:pPr>
            <w:r w:rsidRPr="00A02AC3">
              <w:rPr>
                <w:b/>
                <w:color w:val="FF0000"/>
                <w:lang w:val="en-AU"/>
              </w:rPr>
              <w:t>15</w:t>
            </w:r>
          </w:p>
        </w:tc>
        <w:tc>
          <w:tcPr>
            <w:tcW w:w="469" w:type="dxa"/>
          </w:tcPr>
          <w:p w14:paraId="02C655C7" w14:textId="77777777" w:rsidR="00A80E97" w:rsidRPr="00A02AC3" w:rsidRDefault="00A80E97" w:rsidP="00BC13C8">
            <w:pPr>
              <w:pStyle w:val="Tabletext0"/>
              <w:rPr>
                <w:b/>
                <w:color w:val="FF0000"/>
                <w:lang w:val="en-AU"/>
              </w:rPr>
            </w:pPr>
            <w:r w:rsidRPr="00A02AC3">
              <w:rPr>
                <w:b/>
                <w:color w:val="FF0000"/>
                <w:lang w:val="en-AU"/>
              </w:rPr>
              <w:t>20</w:t>
            </w:r>
          </w:p>
        </w:tc>
        <w:tc>
          <w:tcPr>
            <w:tcW w:w="469" w:type="dxa"/>
          </w:tcPr>
          <w:p w14:paraId="0DD555B0" w14:textId="77777777" w:rsidR="00A80E97" w:rsidRPr="00A02AC3" w:rsidRDefault="00A80E97" w:rsidP="00BC13C8">
            <w:pPr>
              <w:pStyle w:val="Tabletext0"/>
              <w:rPr>
                <w:b/>
                <w:color w:val="FF0000"/>
                <w:lang w:val="en-AU"/>
              </w:rPr>
            </w:pPr>
            <w:r w:rsidRPr="00A02AC3">
              <w:rPr>
                <w:b/>
                <w:color w:val="FF0000"/>
                <w:lang w:val="en-AU"/>
              </w:rPr>
              <w:t>22</w:t>
            </w:r>
          </w:p>
        </w:tc>
        <w:tc>
          <w:tcPr>
            <w:tcW w:w="469" w:type="dxa"/>
          </w:tcPr>
          <w:p w14:paraId="4C4502BA" w14:textId="77777777" w:rsidR="00A80E97" w:rsidRPr="00A02AC3" w:rsidRDefault="00A80E97" w:rsidP="00BC13C8">
            <w:pPr>
              <w:pStyle w:val="Tabletext0"/>
              <w:rPr>
                <w:b/>
                <w:color w:val="FF0000"/>
                <w:lang w:val="en-AU"/>
              </w:rPr>
            </w:pPr>
            <w:r w:rsidRPr="00A02AC3">
              <w:rPr>
                <w:b/>
                <w:color w:val="FF0000"/>
                <w:lang w:val="en-AU"/>
              </w:rPr>
              <w:t>23</w:t>
            </w:r>
          </w:p>
        </w:tc>
        <w:tc>
          <w:tcPr>
            <w:tcW w:w="469" w:type="dxa"/>
          </w:tcPr>
          <w:p w14:paraId="0E86767C" w14:textId="77777777" w:rsidR="00A80E97" w:rsidRPr="00A02AC3" w:rsidRDefault="00A80E97" w:rsidP="00BC13C8">
            <w:pPr>
              <w:pStyle w:val="Tabletext0"/>
              <w:rPr>
                <w:b/>
                <w:color w:val="7030A0"/>
                <w:lang w:val="en-AU"/>
              </w:rPr>
            </w:pPr>
            <w:r w:rsidRPr="00A02AC3">
              <w:rPr>
                <w:b/>
                <w:color w:val="7030A0"/>
                <w:lang w:val="en-AU"/>
              </w:rPr>
              <w:t>24</w:t>
            </w:r>
          </w:p>
        </w:tc>
        <w:tc>
          <w:tcPr>
            <w:tcW w:w="469" w:type="dxa"/>
          </w:tcPr>
          <w:p w14:paraId="577C2F83" w14:textId="77777777" w:rsidR="00A80E97" w:rsidRPr="00A02AC3" w:rsidRDefault="00A80E97" w:rsidP="00BC13C8">
            <w:pPr>
              <w:pStyle w:val="Tabletext0"/>
              <w:rPr>
                <w:b/>
                <w:color w:val="7030A0"/>
                <w:lang w:val="en-AU"/>
              </w:rPr>
            </w:pPr>
            <w:r w:rsidRPr="00A02AC3">
              <w:rPr>
                <w:b/>
                <w:color w:val="7030A0"/>
                <w:lang w:val="en-AU"/>
              </w:rPr>
              <w:t>26</w:t>
            </w:r>
          </w:p>
        </w:tc>
        <w:tc>
          <w:tcPr>
            <w:tcW w:w="469" w:type="dxa"/>
          </w:tcPr>
          <w:p w14:paraId="5237A4D5" w14:textId="77777777" w:rsidR="00A80E97" w:rsidRPr="00A02AC3" w:rsidRDefault="00A80E97" w:rsidP="00BC13C8">
            <w:pPr>
              <w:pStyle w:val="Tabletext0"/>
              <w:rPr>
                <w:b/>
                <w:color w:val="7030A0"/>
                <w:lang w:val="en-AU"/>
              </w:rPr>
            </w:pPr>
            <w:r w:rsidRPr="00A02AC3">
              <w:rPr>
                <w:b/>
                <w:color w:val="7030A0"/>
                <w:lang w:val="en-AU"/>
              </w:rPr>
              <w:t>27</w:t>
            </w:r>
          </w:p>
        </w:tc>
        <w:tc>
          <w:tcPr>
            <w:tcW w:w="469" w:type="dxa"/>
          </w:tcPr>
          <w:p w14:paraId="3BBB5CF7" w14:textId="77777777" w:rsidR="00A80E97" w:rsidRPr="00A02AC3" w:rsidRDefault="00A80E97" w:rsidP="00BC13C8">
            <w:pPr>
              <w:pStyle w:val="Tabletext0"/>
              <w:rPr>
                <w:b/>
                <w:color w:val="7030A0"/>
                <w:lang w:val="en-AU"/>
              </w:rPr>
            </w:pPr>
            <w:r w:rsidRPr="00A02AC3">
              <w:rPr>
                <w:b/>
                <w:color w:val="7030A0"/>
                <w:lang w:val="en-AU"/>
              </w:rPr>
              <w:t>29</w:t>
            </w:r>
          </w:p>
        </w:tc>
        <w:tc>
          <w:tcPr>
            <w:tcW w:w="469" w:type="dxa"/>
          </w:tcPr>
          <w:p w14:paraId="1DEA448D" w14:textId="77777777" w:rsidR="00A80E97" w:rsidRPr="00A02AC3" w:rsidRDefault="00A80E97" w:rsidP="00BC13C8">
            <w:pPr>
              <w:pStyle w:val="Tabletext0"/>
              <w:rPr>
                <w:b/>
                <w:color w:val="7030A0"/>
                <w:lang w:val="en-AU"/>
              </w:rPr>
            </w:pPr>
            <w:r w:rsidRPr="00A02AC3">
              <w:rPr>
                <w:b/>
                <w:color w:val="7030A0"/>
                <w:lang w:val="en-AU"/>
              </w:rPr>
              <w:t>30</w:t>
            </w:r>
          </w:p>
        </w:tc>
        <w:tc>
          <w:tcPr>
            <w:tcW w:w="469" w:type="dxa"/>
          </w:tcPr>
          <w:p w14:paraId="3F54A060" w14:textId="77777777" w:rsidR="00A80E97" w:rsidRPr="00A02AC3" w:rsidRDefault="00A80E97" w:rsidP="00BC13C8">
            <w:pPr>
              <w:pStyle w:val="Tabletext0"/>
              <w:rPr>
                <w:b/>
                <w:color w:val="7030A0"/>
                <w:lang w:val="en-AU"/>
              </w:rPr>
            </w:pPr>
            <w:r w:rsidRPr="00A02AC3">
              <w:rPr>
                <w:b/>
                <w:color w:val="7030A0"/>
                <w:lang w:val="en-AU"/>
              </w:rPr>
              <w:t>32</w:t>
            </w:r>
          </w:p>
        </w:tc>
        <w:tc>
          <w:tcPr>
            <w:tcW w:w="469" w:type="dxa"/>
          </w:tcPr>
          <w:p w14:paraId="2C9963D5" w14:textId="77777777" w:rsidR="00A80E97" w:rsidRPr="00A02AC3" w:rsidRDefault="00A80E97" w:rsidP="00BC13C8">
            <w:pPr>
              <w:pStyle w:val="Tabletext0"/>
              <w:rPr>
                <w:b/>
                <w:color w:val="7030A0"/>
                <w:lang w:val="en-AU"/>
              </w:rPr>
            </w:pPr>
            <w:r w:rsidRPr="00A02AC3">
              <w:rPr>
                <w:b/>
                <w:color w:val="7030A0"/>
                <w:lang w:val="en-AU"/>
              </w:rPr>
              <w:t>33</w:t>
            </w:r>
          </w:p>
        </w:tc>
        <w:tc>
          <w:tcPr>
            <w:tcW w:w="469" w:type="dxa"/>
          </w:tcPr>
          <w:p w14:paraId="1397BDDF" w14:textId="77777777" w:rsidR="00A80E97" w:rsidRPr="00A02AC3" w:rsidRDefault="00A80E97" w:rsidP="00BC13C8">
            <w:pPr>
              <w:pStyle w:val="Tabletext0"/>
              <w:rPr>
                <w:b/>
                <w:color w:val="7030A0"/>
                <w:lang w:val="en-AU"/>
              </w:rPr>
            </w:pPr>
            <w:r w:rsidRPr="00A02AC3">
              <w:rPr>
                <w:b/>
                <w:color w:val="7030A0"/>
                <w:lang w:val="en-AU"/>
              </w:rPr>
              <w:t>34</w:t>
            </w:r>
          </w:p>
        </w:tc>
        <w:tc>
          <w:tcPr>
            <w:tcW w:w="469" w:type="dxa"/>
          </w:tcPr>
          <w:p w14:paraId="3F5BBF2C" w14:textId="77777777" w:rsidR="00A80E97" w:rsidRPr="00A02AC3" w:rsidRDefault="00A80E97" w:rsidP="00BC13C8">
            <w:pPr>
              <w:pStyle w:val="Tabletext0"/>
              <w:rPr>
                <w:b/>
                <w:color w:val="7030A0"/>
                <w:lang w:val="en-AU"/>
              </w:rPr>
            </w:pPr>
            <w:r w:rsidRPr="00A02AC3">
              <w:rPr>
                <w:b/>
                <w:color w:val="7030A0"/>
                <w:lang w:val="en-AU"/>
              </w:rPr>
              <w:t>36</w:t>
            </w:r>
          </w:p>
        </w:tc>
      </w:tr>
      <w:tr w:rsidR="00A80E97" w14:paraId="3BF8FA26" w14:textId="77777777" w:rsidTr="00BC13C8">
        <w:tc>
          <w:tcPr>
            <w:tcW w:w="827" w:type="dxa"/>
          </w:tcPr>
          <w:p w14:paraId="4DE68D27" w14:textId="77777777" w:rsidR="00A80E97" w:rsidRDefault="00A80E97" w:rsidP="00BC13C8">
            <w:pPr>
              <w:pStyle w:val="TableHeading"/>
            </w:pPr>
            <w:r>
              <w:t>105</w:t>
            </w:r>
          </w:p>
        </w:tc>
        <w:tc>
          <w:tcPr>
            <w:tcW w:w="467" w:type="dxa"/>
          </w:tcPr>
          <w:p w14:paraId="20C20289" w14:textId="6E143913" w:rsidR="00A80E97" w:rsidRPr="0019182F" w:rsidRDefault="00B26915" w:rsidP="00B26915">
            <w:pPr>
              <w:pStyle w:val="TableHeading"/>
            </w:pPr>
            <w:r>
              <w:t>mL</w:t>
            </w:r>
          </w:p>
        </w:tc>
        <w:tc>
          <w:tcPr>
            <w:tcW w:w="467" w:type="dxa"/>
          </w:tcPr>
          <w:p w14:paraId="4DE814CA" w14:textId="77777777" w:rsidR="00A80E97" w:rsidRPr="00A02AC3" w:rsidRDefault="00A80E97" w:rsidP="00BC13C8">
            <w:pPr>
              <w:pStyle w:val="Tabletext0"/>
              <w:rPr>
                <w:b/>
                <w:color w:val="00B0F0"/>
                <w:lang w:val="en-AU"/>
              </w:rPr>
            </w:pPr>
            <w:r w:rsidRPr="00A02AC3">
              <w:rPr>
                <w:b/>
                <w:color w:val="00B0F0"/>
                <w:lang w:val="en-AU"/>
              </w:rPr>
              <w:t>2</w:t>
            </w:r>
          </w:p>
        </w:tc>
        <w:tc>
          <w:tcPr>
            <w:tcW w:w="468" w:type="dxa"/>
          </w:tcPr>
          <w:p w14:paraId="5B726D1C" w14:textId="77777777" w:rsidR="00A80E97" w:rsidRPr="00A02AC3" w:rsidRDefault="00A80E97" w:rsidP="00BC13C8">
            <w:pPr>
              <w:pStyle w:val="Tabletext0"/>
              <w:rPr>
                <w:b/>
                <w:color w:val="00B0F0"/>
                <w:lang w:val="en-AU"/>
              </w:rPr>
            </w:pPr>
            <w:r w:rsidRPr="00A02AC3">
              <w:rPr>
                <w:b/>
                <w:color w:val="00B0F0"/>
                <w:lang w:val="en-AU"/>
              </w:rPr>
              <w:t>4</w:t>
            </w:r>
          </w:p>
        </w:tc>
        <w:tc>
          <w:tcPr>
            <w:tcW w:w="468" w:type="dxa"/>
          </w:tcPr>
          <w:p w14:paraId="4FD0C24F" w14:textId="77777777" w:rsidR="00A80E97" w:rsidRPr="00A02AC3" w:rsidRDefault="00A80E97" w:rsidP="00BC13C8">
            <w:pPr>
              <w:pStyle w:val="Tabletext0"/>
              <w:rPr>
                <w:b/>
                <w:color w:val="00B0F0"/>
                <w:lang w:val="en-AU"/>
              </w:rPr>
            </w:pPr>
            <w:r w:rsidRPr="00A02AC3">
              <w:rPr>
                <w:b/>
                <w:color w:val="00B0F0"/>
                <w:lang w:val="en-AU"/>
              </w:rPr>
              <w:t>6</w:t>
            </w:r>
          </w:p>
        </w:tc>
        <w:tc>
          <w:tcPr>
            <w:tcW w:w="468" w:type="dxa"/>
          </w:tcPr>
          <w:p w14:paraId="16BB2333" w14:textId="77777777" w:rsidR="00A80E97" w:rsidRPr="00A02AC3" w:rsidRDefault="00A80E97" w:rsidP="00BC13C8">
            <w:pPr>
              <w:pStyle w:val="Tabletext0"/>
              <w:rPr>
                <w:b/>
                <w:color w:val="00B0F0"/>
                <w:lang w:val="en-AU"/>
              </w:rPr>
            </w:pPr>
            <w:r w:rsidRPr="00A02AC3">
              <w:rPr>
                <w:b/>
                <w:color w:val="00B0F0"/>
                <w:lang w:val="en-AU"/>
              </w:rPr>
              <w:t>8</w:t>
            </w:r>
          </w:p>
        </w:tc>
        <w:tc>
          <w:tcPr>
            <w:tcW w:w="468" w:type="dxa"/>
          </w:tcPr>
          <w:p w14:paraId="24420E7B" w14:textId="77777777" w:rsidR="00A80E97" w:rsidRPr="00A02AC3" w:rsidRDefault="00A80E97" w:rsidP="00BC13C8">
            <w:pPr>
              <w:pStyle w:val="Tabletext0"/>
              <w:rPr>
                <w:b/>
                <w:color w:val="00B0F0"/>
                <w:lang w:val="en-AU"/>
              </w:rPr>
            </w:pPr>
            <w:r w:rsidRPr="00A02AC3">
              <w:rPr>
                <w:b/>
                <w:color w:val="00B0F0"/>
                <w:lang w:val="en-AU"/>
              </w:rPr>
              <w:t>11</w:t>
            </w:r>
          </w:p>
        </w:tc>
        <w:tc>
          <w:tcPr>
            <w:tcW w:w="469" w:type="dxa"/>
          </w:tcPr>
          <w:p w14:paraId="15324BF1" w14:textId="77777777" w:rsidR="00A80E97" w:rsidRPr="00A02AC3" w:rsidRDefault="00A80E97" w:rsidP="00BC13C8">
            <w:pPr>
              <w:pStyle w:val="Tabletext0"/>
              <w:rPr>
                <w:b/>
                <w:color w:val="FF0000"/>
                <w:lang w:val="en-AU"/>
              </w:rPr>
            </w:pPr>
            <w:r w:rsidRPr="00A02AC3">
              <w:rPr>
                <w:b/>
                <w:color w:val="FF0000"/>
                <w:lang w:val="en-AU"/>
              </w:rPr>
              <w:t>13</w:t>
            </w:r>
          </w:p>
        </w:tc>
        <w:tc>
          <w:tcPr>
            <w:tcW w:w="469" w:type="dxa"/>
          </w:tcPr>
          <w:p w14:paraId="45982C6D" w14:textId="77777777" w:rsidR="00A80E97" w:rsidRPr="00A02AC3" w:rsidRDefault="00A80E97" w:rsidP="00BC13C8">
            <w:pPr>
              <w:pStyle w:val="Tabletext0"/>
              <w:rPr>
                <w:b/>
                <w:color w:val="FF0000"/>
                <w:lang w:val="en-AU"/>
              </w:rPr>
            </w:pPr>
            <w:r w:rsidRPr="00A02AC3">
              <w:rPr>
                <w:b/>
                <w:color w:val="FF0000"/>
                <w:lang w:val="en-AU"/>
              </w:rPr>
              <w:t>18</w:t>
            </w:r>
          </w:p>
        </w:tc>
        <w:tc>
          <w:tcPr>
            <w:tcW w:w="469" w:type="dxa"/>
          </w:tcPr>
          <w:p w14:paraId="79ED1D32" w14:textId="77777777" w:rsidR="00A80E97" w:rsidRPr="00A02AC3" w:rsidRDefault="00A80E97" w:rsidP="00BC13C8">
            <w:pPr>
              <w:pStyle w:val="Tabletext0"/>
              <w:rPr>
                <w:b/>
                <w:color w:val="FF0000"/>
                <w:lang w:val="en-AU"/>
              </w:rPr>
            </w:pPr>
            <w:r w:rsidRPr="00A02AC3">
              <w:rPr>
                <w:b/>
                <w:color w:val="FF0000"/>
                <w:lang w:val="en-AU"/>
              </w:rPr>
              <w:t>19</w:t>
            </w:r>
          </w:p>
        </w:tc>
        <w:tc>
          <w:tcPr>
            <w:tcW w:w="469" w:type="dxa"/>
          </w:tcPr>
          <w:p w14:paraId="188611EF" w14:textId="77777777" w:rsidR="00A80E97" w:rsidRPr="00A02AC3" w:rsidRDefault="00A80E97" w:rsidP="00BC13C8">
            <w:pPr>
              <w:pStyle w:val="Tabletext0"/>
              <w:rPr>
                <w:b/>
                <w:color w:val="FF0000"/>
                <w:lang w:val="en-AU"/>
              </w:rPr>
            </w:pPr>
            <w:r w:rsidRPr="00A02AC3">
              <w:rPr>
                <w:b/>
                <w:color w:val="FF0000"/>
                <w:lang w:val="en-AU"/>
              </w:rPr>
              <w:t>20</w:t>
            </w:r>
          </w:p>
        </w:tc>
        <w:tc>
          <w:tcPr>
            <w:tcW w:w="469" w:type="dxa"/>
          </w:tcPr>
          <w:p w14:paraId="6A6AC095" w14:textId="77777777" w:rsidR="00A80E97" w:rsidRPr="00A02AC3" w:rsidRDefault="00A80E97" w:rsidP="00BC13C8">
            <w:pPr>
              <w:pStyle w:val="Tabletext0"/>
              <w:rPr>
                <w:b/>
                <w:color w:val="FF0000"/>
                <w:lang w:val="en-AU"/>
              </w:rPr>
            </w:pPr>
            <w:r w:rsidRPr="00A02AC3">
              <w:rPr>
                <w:b/>
                <w:color w:val="FF0000"/>
                <w:lang w:val="en-AU"/>
              </w:rPr>
              <w:t>21</w:t>
            </w:r>
          </w:p>
        </w:tc>
        <w:tc>
          <w:tcPr>
            <w:tcW w:w="469" w:type="dxa"/>
          </w:tcPr>
          <w:p w14:paraId="1C6B0E44" w14:textId="77777777" w:rsidR="00A80E97" w:rsidRPr="00A02AC3" w:rsidRDefault="00A80E97" w:rsidP="00BC13C8">
            <w:pPr>
              <w:pStyle w:val="Tabletext0"/>
              <w:rPr>
                <w:b/>
                <w:color w:val="FF0000"/>
                <w:lang w:val="en-AU"/>
              </w:rPr>
            </w:pPr>
            <w:r w:rsidRPr="00A02AC3">
              <w:rPr>
                <w:b/>
                <w:color w:val="FF0000"/>
                <w:lang w:val="en-AU"/>
              </w:rPr>
              <w:t>22</w:t>
            </w:r>
          </w:p>
        </w:tc>
        <w:tc>
          <w:tcPr>
            <w:tcW w:w="469" w:type="dxa"/>
          </w:tcPr>
          <w:p w14:paraId="520EFD06" w14:textId="77777777" w:rsidR="00A80E97" w:rsidRPr="00A02AC3" w:rsidRDefault="00A80E97" w:rsidP="00BC13C8">
            <w:pPr>
              <w:pStyle w:val="Tabletext0"/>
              <w:rPr>
                <w:b/>
                <w:color w:val="FF0000"/>
                <w:lang w:val="en-AU"/>
              </w:rPr>
            </w:pPr>
            <w:r w:rsidRPr="00A02AC3">
              <w:rPr>
                <w:b/>
                <w:color w:val="FF0000"/>
                <w:lang w:val="en-AU"/>
              </w:rPr>
              <w:t>23</w:t>
            </w:r>
          </w:p>
        </w:tc>
        <w:tc>
          <w:tcPr>
            <w:tcW w:w="469" w:type="dxa"/>
          </w:tcPr>
          <w:p w14:paraId="240DC378" w14:textId="77777777" w:rsidR="00A80E97" w:rsidRPr="00E54EF6" w:rsidRDefault="00A80E97" w:rsidP="00BC13C8">
            <w:pPr>
              <w:pStyle w:val="Tabletext0"/>
              <w:rPr>
                <w:b/>
                <w:color w:val="7030A0"/>
                <w:lang w:val="en-AU"/>
              </w:rPr>
            </w:pPr>
            <w:r w:rsidRPr="00E54EF6">
              <w:rPr>
                <w:b/>
                <w:color w:val="7030A0"/>
                <w:lang w:val="en-AU"/>
              </w:rPr>
              <w:t>24</w:t>
            </w:r>
          </w:p>
        </w:tc>
        <w:tc>
          <w:tcPr>
            <w:tcW w:w="469" w:type="dxa"/>
          </w:tcPr>
          <w:p w14:paraId="3F10A8D6" w14:textId="77777777" w:rsidR="00A80E97" w:rsidRPr="00E54EF6" w:rsidRDefault="00A80E97" w:rsidP="00BC13C8">
            <w:pPr>
              <w:pStyle w:val="Tabletext0"/>
              <w:rPr>
                <w:b/>
                <w:color w:val="7030A0"/>
                <w:lang w:val="en-AU"/>
              </w:rPr>
            </w:pPr>
            <w:r w:rsidRPr="00E54EF6">
              <w:rPr>
                <w:b/>
                <w:color w:val="7030A0"/>
                <w:lang w:val="en-AU"/>
              </w:rPr>
              <w:t>25</w:t>
            </w:r>
          </w:p>
        </w:tc>
        <w:tc>
          <w:tcPr>
            <w:tcW w:w="469" w:type="dxa"/>
          </w:tcPr>
          <w:p w14:paraId="7D29F633" w14:textId="77777777" w:rsidR="00A80E97" w:rsidRPr="00E54EF6" w:rsidRDefault="00A80E97" w:rsidP="00BC13C8">
            <w:pPr>
              <w:pStyle w:val="Tabletext0"/>
              <w:rPr>
                <w:b/>
                <w:color w:val="7030A0"/>
                <w:lang w:val="en-AU"/>
              </w:rPr>
            </w:pPr>
            <w:r w:rsidRPr="00E54EF6">
              <w:rPr>
                <w:b/>
                <w:color w:val="7030A0"/>
                <w:lang w:val="en-AU"/>
              </w:rPr>
              <w:t>26</w:t>
            </w:r>
          </w:p>
        </w:tc>
        <w:tc>
          <w:tcPr>
            <w:tcW w:w="469" w:type="dxa"/>
          </w:tcPr>
          <w:p w14:paraId="4DD70846" w14:textId="77777777" w:rsidR="00A80E97" w:rsidRPr="00E54EF6" w:rsidRDefault="00A80E97" w:rsidP="00BC13C8">
            <w:pPr>
              <w:pStyle w:val="Tabletext0"/>
              <w:rPr>
                <w:b/>
                <w:color w:val="7030A0"/>
                <w:lang w:val="en-AU"/>
              </w:rPr>
            </w:pPr>
            <w:r w:rsidRPr="00E54EF6">
              <w:rPr>
                <w:b/>
                <w:color w:val="7030A0"/>
                <w:lang w:val="en-AU"/>
              </w:rPr>
              <w:t>27</w:t>
            </w:r>
          </w:p>
        </w:tc>
        <w:tc>
          <w:tcPr>
            <w:tcW w:w="469" w:type="dxa"/>
          </w:tcPr>
          <w:p w14:paraId="4D65481C" w14:textId="77777777" w:rsidR="00A80E97" w:rsidRPr="00E54EF6" w:rsidRDefault="00A80E97" w:rsidP="00BC13C8">
            <w:pPr>
              <w:pStyle w:val="Tabletext0"/>
              <w:rPr>
                <w:b/>
                <w:color w:val="7030A0"/>
                <w:lang w:val="en-AU"/>
              </w:rPr>
            </w:pPr>
            <w:r w:rsidRPr="00E54EF6">
              <w:rPr>
                <w:b/>
                <w:color w:val="7030A0"/>
                <w:lang w:val="en-AU"/>
              </w:rPr>
              <w:t>28</w:t>
            </w:r>
          </w:p>
        </w:tc>
        <w:tc>
          <w:tcPr>
            <w:tcW w:w="469" w:type="dxa"/>
          </w:tcPr>
          <w:p w14:paraId="418C3C7A" w14:textId="77777777" w:rsidR="00A80E97" w:rsidRPr="00E54EF6" w:rsidRDefault="00A80E97" w:rsidP="00BC13C8">
            <w:pPr>
              <w:pStyle w:val="Tabletext0"/>
              <w:rPr>
                <w:b/>
                <w:color w:val="7030A0"/>
                <w:lang w:val="en-AU"/>
              </w:rPr>
            </w:pPr>
            <w:r w:rsidRPr="00E54EF6">
              <w:rPr>
                <w:b/>
                <w:color w:val="7030A0"/>
                <w:lang w:val="en-AU"/>
              </w:rPr>
              <w:t>29</w:t>
            </w:r>
          </w:p>
        </w:tc>
      </w:tr>
    </w:tbl>
    <w:p w14:paraId="59A157DF" w14:textId="7FFE4AC2" w:rsidR="00A80E97" w:rsidRPr="00C85D3F" w:rsidRDefault="00A80E97" w:rsidP="00A80E97">
      <w:pPr>
        <w:pStyle w:val="TableFigNotes18"/>
      </w:pPr>
      <w:r w:rsidRPr="006A116C">
        <w:rPr>
          <w:vertAlign w:val="superscript"/>
        </w:rPr>
        <w:t>a</w:t>
      </w:r>
      <w:r>
        <w:t xml:space="preserve"> Maximum dose 2500 mg/infusion</w:t>
      </w:r>
      <w:r>
        <w:br/>
        <w:t>Source: Royal Children’s Hospital (2012)</w:t>
      </w:r>
      <w:hyperlink w:anchor="_ENREF_398" w:tooltip=", 2012 #1022" w:history="1">
        <w:r w:rsidR="00E62798">
          <w:fldChar w:fldCharType="begin"/>
        </w:r>
        <w:r w:rsidR="00E62798">
          <w:instrText xml:space="preserve"> ADDIN EN.CITE &lt;EndNote&gt;&lt;Cite ExcludeAuth="1"&gt;&lt;Year&gt;2012&lt;/Year&gt;&lt;RecNum&gt;1022&lt;/RecNum&gt;&lt;DisplayText&gt;&lt;style face="superscript"&gt;398&lt;/style&gt;&lt;/DisplayText&gt;&lt;record&gt;&lt;rec-number&gt;1022&lt;/rec-number&gt;&lt;foreign-keys&gt;&lt;key app="EN" db-id="9edve2wadsavt5ewavaxtda4f2tavzvts9ee" timestamp="1437632586"&gt;1022&lt;/key&gt;&lt;/foreign-keys&gt;&lt;ref-type name="Report"&gt;27&lt;/ref-type&gt;&lt;contributors&gt;&lt;/contributors&gt;&lt;titles&gt;&lt;title&gt;Day Medical Unit – Treatment protocol: Administration of iron polymaltose (Ferrosig)&lt;/title&gt;&lt;/titles&gt;&lt;dates&gt;&lt;year&gt;2012&lt;/year&gt;&lt;/dates&gt;&lt;pub-location&gt;Melbourne, Australia&lt;/pub-location&gt;&lt;publisher&gt;Royal Children&amp;apos;s Hospital&lt;/publisher&gt;&lt;urls&gt;&lt;/urls&gt;&lt;/record&gt;&lt;/Cite&gt;&lt;/EndNote&gt;</w:instrText>
        </w:r>
        <w:r w:rsidR="00E62798">
          <w:fldChar w:fldCharType="separate"/>
        </w:r>
        <w:r w:rsidR="00E62798" w:rsidRPr="00E62798">
          <w:rPr>
            <w:noProof/>
            <w:vertAlign w:val="superscript"/>
          </w:rPr>
          <w:t>398</w:t>
        </w:r>
        <w:r w:rsidR="00E62798">
          <w:fldChar w:fldCharType="end"/>
        </w:r>
      </w:hyperlink>
    </w:p>
    <w:p w14:paraId="1DB4FE93" w14:textId="77777777" w:rsidR="00A80E97" w:rsidRPr="00C85D3F" w:rsidRDefault="00A80E97" w:rsidP="00A80E97">
      <w:pPr>
        <w:pStyle w:val="Bullet6"/>
      </w:pPr>
      <w:r w:rsidRPr="00C85D3F">
        <w:t>Use Hb closest to patient’s Hb</w:t>
      </w:r>
      <w:r>
        <w:rPr>
          <w:lang w:val="en-AU"/>
        </w:rPr>
        <w:t>.</w:t>
      </w:r>
    </w:p>
    <w:p w14:paraId="43970AD8" w14:textId="03D483F1" w:rsidR="00A80E97" w:rsidRDefault="00A80E97" w:rsidP="00A80E97">
      <w:pPr>
        <w:pStyle w:val="Bullet6"/>
      </w:pPr>
      <w:r>
        <w:t>Doses coloured</w:t>
      </w:r>
      <w:r w:rsidRPr="00A06213">
        <w:rPr>
          <w:b/>
          <w:color w:val="00B0F0"/>
        </w:rPr>
        <w:t xml:space="preserve"> blue</w:t>
      </w:r>
      <w:r w:rsidRPr="00A06213">
        <w:rPr>
          <w:color w:val="00B0F0"/>
        </w:rPr>
        <w:t xml:space="preserve"> </w:t>
      </w:r>
      <w:r>
        <w:t>may be diluted in 250</w:t>
      </w:r>
      <w:r>
        <w:rPr>
          <w:lang w:val="en-AU"/>
        </w:rPr>
        <w:t> </w:t>
      </w:r>
      <w:r w:rsidR="00B26915">
        <w:t>m</w:t>
      </w:r>
      <w:r w:rsidR="00B26915">
        <w:rPr>
          <w:lang w:val="en-AU"/>
        </w:rPr>
        <w:t>L</w:t>
      </w:r>
      <w:r w:rsidR="00B26915">
        <w:t xml:space="preserve"> </w:t>
      </w:r>
      <w:r>
        <w:t xml:space="preserve">of 0.9% </w:t>
      </w:r>
      <w:r w:rsidR="00B26915">
        <w:rPr>
          <w:lang w:val="en-AU"/>
        </w:rPr>
        <w:t>sodium chloride</w:t>
      </w:r>
      <w:r>
        <w:rPr>
          <w:lang w:val="en-AU"/>
        </w:rPr>
        <w:t>.</w:t>
      </w:r>
    </w:p>
    <w:p w14:paraId="1487D836" w14:textId="5CBDF918" w:rsidR="00A80E97" w:rsidRDefault="00A80E97" w:rsidP="00A80E97">
      <w:pPr>
        <w:pStyle w:val="Bullet6"/>
      </w:pPr>
      <w:r>
        <w:t xml:space="preserve">Doses coloured </w:t>
      </w:r>
      <w:r w:rsidRPr="00A06213">
        <w:rPr>
          <w:b/>
          <w:color w:val="FF0000"/>
        </w:rPr>
        <w:t>red</w:t>
      </w:r>
      <w:r w:rsidRPr="00A06213">
        <w:rPr>
          <w:color w:val="FF0000"/>
        </w:rPr>
        <w:t xml:space="preserve"> </w:t>
      </w:r>
      <w:r>
        <w:t>may be diluted in 500</w:t>
      </w:r>
      <w:r>
        <w:rPr>
          <w:lang w:val="en-AU"/>
        </w:rPr>
        <w:t> </w:t>
      </w:r>
      <w:r w:rsidR="00B26915">
        <w:t>m</w:t>
      </w:r>
      <w:r w:rsidR="00B26915">
        <w:rPr>
          <w:lang w:val="en-AU"/>
        </w:rPr>
        <w:t>L</w:t>
      </w:r>
      <w:r w:rsidR="00B26915">
        <w:t xml:space="preserve"> </w:t>
      </w:r>
      <w:r>
        <w:t xml:space="preserve">of 0.9% </w:t>
      </w:r>
      <w:r w:rsidR="00B26915">
        <w:rPr>
          <w:lang w:val="en-AU"/>
        </w:rPr>
        <w:t>sodium chloride</w:t>
      </w:r>
      <w:r>
        <w:rPr>
          <w:lang w:val="en-AU"/>
        </w:rPr>
        <w:t>.</w:t>
      </w:r>
    </w:p>
    <w:p w14:paraId="3A7E5DFE" w14:textId="3DE1FE22" w:rsidR="00A80E97" w:rsidRPr="00A03947" w:rsidRDefault="00A80E97" w:rsidP="00A80E97">
      <w:pPr>
        <w:pStyle w:val="Bullet12"/>
      </w:pPr>
      <w:r>
        <w:t xml:space="preserve">Doses coloured </w:t>
      </w:r>
      <w:r w:rsidRPr="00A06213">
        <w:rPr>
          <w:b/>
          <w:color w:val="7030A0"/>
        </w:rPr>
        <w:t>purple</w:t>
      </w:r>
      <w:r w:rsidRPr="00C85D3F">
        <w:t xml:space="preserve"> </w:t>
      </w:r>
      <w:r>
        <w:t>need dilution in 1000</w:t>
      </w:r>
      <w:r>
        <w:rPr>
          <w:lang w:val="en-AU"/>
        </w:rPr>
        <w:t> </w:t>
      </w:r>
      <w:r w:rsidR="00B26915">
        <w:t>m</w:t>
      </w:r>
      <w:r w:rsidR="00B26915">
        <w:rPr>
          <w:lang w:val="en-AU"/>
        </w:rPr>
        <w:t>L</w:t>
      </w:r>
      <w:r w:rsidR="00B26915">
        <w:t xml:space="preserve"> </w:t>
      </w:r>
      <w:r>
        <w:t xml:space="preserve">of 0.9% </w:t>
      </w:r>
      <w:r w:rsidR="00B26915">
        <w:rPr>
          <w:lang w:val="en-AU"/>
        </w:rPr>
        <w:t>sodium chloride</w:t>
      </w:r>
      <w:r>
        <w:rPr>
          <w:lang w:val="en-AU"/>
        </w:rPr>
        <w:t>.</w:t>
      </w:r>
    </w:p>
    <w:p w14:paraId="664673E7" w14:textId="77777777" w:rsidR="00380ADB" w:rsidRDefault="00380ADB">
      <w:pPr>
        <w:spacing w:after="0"/>
        <w:ind w:left="0"/>
        <w:rPr>
          <w:rFonts w:ascii="Arial" w:hAnsi="Arial" w:cs="Times New Roman"/>
          <w:b/>
          <w:bCs/>
          <w:spacing w:val="40"/>
          <w:kern w:val="28"/>
          <w:sz w:val="36"/>
          <w:szCs w:val="32"/>
        </w:rPr>
      </w:pPr>
      <w:r>
        <w:br w:type="page"/>
      </w:r>
    </w:p>
    <w:p w14:paraId="37D94068" w14:textId="5BA0EA79" w:rsidR="00380ADB" w:rsidRDefault="00380ADB" w:rsidP="00380ADB">
      <w:pPr>
        <w:pStyle w:val="Heading1"/>
        <w:ind w:left="0" w:firstLine="0"/>
        <w:rPr>
          <w:lang w:val="en-AU"/>
        </w:rPr>
      </w:pPr>
      <w:bookmarkStart w:id="298" w:name="_Toc427851412"/>
      <w:r>
        <w:rPr>
          <w:lang w:val="en-AU"/>
        </w:rPr>
        <w:t>Appendix J</w:t>
      </w:r>
      <w:r>
        <w:rPr>
          <w:lang w:val="en-AU"/>
        </w:rPr>
        <w:tab/>
      </w:r>
      <w:r w:rsidR="008B5AAD">
        <w:rPr>
          <w:lang w:val="en-AU"/>
        </w:rPr>
        <w:t>Transfusion volume calculation for neonates, infants and small children</w:t>
      </w:r>
      <w:bookmarkEnd w:id="298"/>
    </w:p>
    <w:p w14:paraId="3709171D" w14:textId="08E863BE" w:rsidR="00E33939" w:rsidRPr="00D16ED7" w:rsidRDefault="00D765D9" w:rsidP="00D765D9">
      <w:pPr>
        <w:pStyle w:val="Normalbeforebullet"/>
      </w:pPr>
      <w:r>
        <w:t>In calculating t</w:t>
      </w:r>
      <w:r w:rsidR="00E33939" w:rsidRPr="00D16ED7">
        <w:t>ransfusion volume</w:t>
      </w:r>
      <w:r w:rsidR="00E33939">
        <w:t xml:space="preserve"> for neonates, infants and small children:</w:t>
      </w:r>
    </w:p>
    <w:p w14:paraId="72C8794A" w14:textId="6EF9BB42" w:rsidR="00E33939" w:rsidRDefault="00D765D9" w:rsidP="00D765D9">
      <w:pPr>
        <w:pStyle w:val="Bullet6"/>
      </w:pPr>
      <w:r>
        <w:t>th</w:t>
      </w:r>
      <w:r>
        <w:rPr>
          <w:lang w:val="en-AU"/>
        </w:rPr>
        <w:t>e</w:t>
      </w:r>
      <w:r>
        <w:t xml:space="preserve"> </w:t>
      </w:r>
      <w:r w:rsidR="00E33939">
        <w:t>dose or transfusion volume of blood components for neonates, infants and children should be carefully calculate</w:t>
      </w:r>
      <w:r>
        <w:t>d and prescribed in mL</w:t>
      </w:r>
      <w:r>
        <w:rPr>
          <w:lang w:val="en-AU"/>
        </w:rPr>
        <w:t xml:space="preserve"> (</w:t>
      </w:r>
      <w:r>
        <w:t>not in ‘</w:t>
      </w:r>
      <w:r w:rsidR="00E33939">
        <w:t>units</w:t>
      </w:r>
      <w:r>
        <w:rPr>
          <w:lang w:val="en-AU"/>
        </w:rPr>
        <w:t>’)</w:t>
      </w:r>
      <w:r w:rsidR="00E33939">
        <w:t>, wit</w:t>
      </w:r>
      <w:r>
        <w:t>h a specified transfusion rate</w:t>
      </w:r>
    </w:p>
    <w:p w14:paraId="0FE21036" w14:textId="10F53CEF" w:rsidR="00E33939" w:rsidRDefault="00D765D9" w:rsidP="00D765D9">
      <w:pPr>
        <w:pStyle w:val="Bullet12"/>
      </w:pPr>
      <w:r>
        <w:rPr>
          <w:lang w:val="en-AU"/>
        </w:rPr>
        <w:t>a</w:t>
      </w:r>
      <w:r w:rsidR="00E33939">
        <w:t>n administration rate of up to 6</w:t>
      </w:r>
      <w:r>
        <w:rPr>
          <w:lang w:val="en-AU"/>
        </w:rPr>
        <w:t> </w:t>
      </w:r>
      <w:r w:rsidR="00E33939">
        <w:t>mL/kg/h</w:t>
      </w:r>
      <w:r>
        <w:rPr>
          <w:lang w:val="en-AU"/>
        </w:rPr>
        <w:t>ou</w:t>
      </w:r>
      <w:r w:rsidR="00E33939">
        <w:t>r (for a 20 mL/kg transfusion) or</w:t>
      </w:r>
      <w:r w:rsidR="004E2E70">
        <w:t xml:space="preserve"> </w:t>
      </w:r>
      <w:r w:rsidR="00E33939">
        <w:t>5</w:t>
      </w:r>
      <w:r>
        <w:rPr>
          <w:lang w:val="en-AU"/>
        </w:rPr>
        <w:t> </w:t>
      </w:r>
      <w:r w:rsidR="00E33939">
        <w:t xml:space="preserve">mL/kg/hour (for a 15 mL/kg transfusion) will allow proper checking procedures and completion of the transfusion within the 4 hours that </w:t>
      </w:r>
      <w:r w:rsidR="00BB78D3">
        <w:t>RBCs</w:t>
      </w:r>
      <w:r w:rsidR="00E33939">
        <w:t xml:space="preserve"> can be out of a blood refrigerator</w:t>
      </w:r>
      <w:r>
        <w:rPr>
          <w:lang w:val="en-AU"/>
        </w:rPr>
        <w:t>.</w:t>
      </w:r>
    </w:p>
    <w:p w14:paraId="6E9492B3" w14:textId="0A8D48D1" w:rsidR="00E33939" w:rsidRPr="002E3C23" w:rsidRDefault="00E33939" w:rsidP="00D765D9">
      <w:r>
        <w:t>T</w:t>
      </w:r>
      <w:r w:rsidRPr="002E3C23">
        <w:t xml:space="preserve">ransfusion volume can be calculated using the </w:t>
      </w:r>
      <w:r w:rsidR="00D765D9">
        <w:t xml:space="preserve">following </w:t>
      </w:r>
      <w:r w:rsidRPr="002E3C23">
        <w:t>formula:</w:t>
      </w:r>
      <w:hyperlink w:anchor="_ENREF_399" w:tooltip="Luban, 2012 #1122" w:history="1">
        <w:r w:rsidR="00E62798">
          <w:fldChar w:fldCharType="begin"/>
        </w:r>
        <w:r w:rsidR="00E62798">
          <w:instrText xml:space="preserve"> ADDIN EN.CITE &lt;EndNote&gt;&lt;Cite&gt;&lt;Author&gt;Luban&lt;/Author&gt;&lt;Year&gt;2012&lt;/Year&gt;&lt;RecNum&gt;1122&lt;/RecNum&gt;&lt;DisplayText&gt;&lt;style face="superscript"&gt;399&lt;/style&gt;&lt;/DisplayText&gt;&lt;record&gt;&lt;rec-number&gt;1122&lt;/rec-number&gt;&lt;foreign-keys&gt;&lt;key app="EN" db-id="9edve2wadsavt5ewavaxtda4f2tavzvts9ee" timestamp="1439442716"&gt;1122&lt;/key&gt;&lt;/foreign-keys&gt;&lt;ref-type name="Book Section"&gt;5&lt;/ref-type&gt;&lt;contributors&gt;&lt;authors&gt;&lt;author&gt;Luban, N.L.C.&lt;/author&gt;&lt;/authors&gt;&lt;secondary-authors&gt;&lt;author&gt;MacDonald, MG&lt;/author&gt;&lt;author&gt;Ramasethu, J, &lt;/author&gt;&lt;author&gt;Khodayar, R-B&lt;/author&gt;&lt;/secondary-authors&gt;&lt;/contributors&gt;&lt;titles&gt;&lt;title&gt;Transfusion of blood and blood products&lt;/title&gt;&lt;secondary-title&gt;Atlas of procedures in neonatology, Fifth edition &lt;/secondary-title&gt;&lt;/titles&gt;&lt;dates&gt;&lt;year&gt;2012&lt;/year&gt;&lt;/dates&gt;&lt;publisher&gt;Wolters Kluwer/Lippincott Williams &amp;amp; Wilkins&lt;/publisher&gt;&lt;urls&gt;&lt;/urls&gt;&lt;/record&gt;&lt;/Cite&gt;&lt;/EndNote&gt;</w:instrText>
        </w:r>
        <w:r w:rsidR="00E62798">
          <w:fldChar w:fldCharType="separate"/>
        </w:r>
        <w:r w:rsidR="00E62798" w:rsidRPr="00E62798">
          <w:rPr>
            <w:noProof/>
            <w:vertAlign w:val="superscript"/>
          </w:rPr>
          <w:t>399</w:t>
        </w:r>
        <w:r w:rsidR="00E62798">
          <w:fldChar w:fldCharType="end"/>
        </w:r>
      </w:hyperlink>
    </w:p>
    <w:p w14:paraId="54CCC7E0" w14:textId="40A6E2F1" w:rsidR="00E33939" w:rsidRDefault="00E33939" w:rsidP="00E33939">
      <w:pPr>
        <w:pBdr>
          <w:top w:val="single" w:sz="4" w:space="1" w:color="auto"/>
          <w:left w:val="single" w:sz="4" w:space="4" w:color="auto"/>
          <w:bottom w:val="single" w:sz="4" w:space="1" w:color="auto"/>
          <w:right w:val="single" w:sz="4" w:space="4" w:color="auto"/>
          <w:between w:val="single" w:sz="4" w:space="1" w:color="auto"/>
          <w:bar w:val="single" w:sz="4" w:color="auto"/>
        </w:pBdr>
        <w:shd w:val="pct15" w:color="auto" w:fill="auto"/>
        <w:spacing w:before="120" w:after="0"/>
        <w:jc w:val="center"/>
      </w:pPr>
      <w:r>
        <w:t xml:space="preserve">Transfusion volume (mL) = patient’s weight x EBV </w:t>
      </w:r>
      <w:r w:rsidR="00306159">
        <w:t>×</w:t>
      </w:r>
      <w:r>
        <w:t xml:space="preserve"> (desired Hb – patient’s Hb) / Hb of donor unit</w:t>
      </w:r>
    </w:p>
    <w:p w14:paraId="7C874B4B" w14:textId="4F1D8DE3" w:rsidR="00D765D9" w:rsidRDefault="00D765D9" w:rsidP="00D765D9">
      <w:pPr>
        <w:pStyle w:val="Normalbeforebullet"/>
      </w:pPr>
      <w:r>
        <w:t>where:</w:t>
      </w:r>
    </w:p>
    <w:p w14:paraId="4F1CB71D" w14:textId="180B376D" w:rsidR="00E33939" w:rsidRDefault="00E33939" w:rsidP="00D765D9">
      <w:pPr>
        <w:pStyle w:val="Bullet6"/>
      </w:pPr>
      <w:r>
        <w:t>weight</w:t>
      </w:r>
      <w:r w:rsidR="004E2E70">
        <w:t xml:space="preserve"> </w:t>
      </w:r>
      <w:r>
        <w:t>is in kg</w:t>
      </w:r>
    </w:p>
    <w:p w14:paraId="1BA9AC1A" w14:textId="7771C684" w:rsidR="00E33939" w:rsidRDefault="00E33939" w:rsidP="00D765D9">
      <w:pPr>
        <w:pStyle w:val="Bullet6"/>
      </w:pPr>
      <w:r>
        <w:t>the patient’s estimated blood volume (EBV)</w:t>
      </w:r>
      <w:r w:rsidR="004E2E70">
        <w:t xml:space="preserve"> </w:t>
      </w:r>
      <w:r>
        <w:t>is in mL/kg</w:t>
      </w:r>
      <w:r w:rsidR="00D765D9">
        <w:rPr>
          <w:lang w:val="en-AU"/>
        </w:rPr>
        <w:t xml:space="preserve"> – t</w:t>
      </w:r>
      <w:r>
        <w:t>his decreases with age, from 100</w:t>
      </w:r>
      <w:r w:rsidR="00D765D9">
        <w:rPr>
          <w:lang w:val="en-AU"/>
        </w:rPr>
        <w:t>–</w:t>
      </w:r>
      <w:r>
        <w:t>120 mL/kg in extremely preterm infants, to 80</w:t>
      </w:r>
      <w:r w:rsidR="00D765D9">
        <w:rPr>
          <w:lang w:val="en-AU"/>
        </w:rPr>
        <w:t>–</w:t>
      </w:r>
      <w:r>
        <w:t xml:space="preserve">85 mL/kg in term infants and </w:t>
      </w:r>
      <w:r w:rsidR="00D765D9">
        <w:rPr>
          <w:lang w:val="en-AU"/>
        </w:rPr>
        <w:t>about</w:t>
      </w:r>
      <w:r>
        <w:t xml:space="preserve"> 70 mL/kg in older infants and children</w:t>
      </w:r>
    </w:p>
    <w:p w14:paraId="573C2FBF" w14:textId="0BEEE4CD" w:rsidR="00E33939" w:rsidRDefault="00D765D9" w:rsidP="00D765D9">
      <w:pPr>
        <w:pStyle w:val="Bullet12"/>
      </w:pPr>
      <w:r>
        <w:rPr>
          <w:lang w:val="en-AU"/>
        </w:rPr>
        <w:t>haematocrit (Hct)</w:t>
      </w:r>
      <w:r w:rsidR="00E33939">
        <w:t xml:space="preserve"> can be substituted for Hb in the formula, provided it is used throughout</w:t>
      </w:r>
      <w:r>
        <w:rPr>
          <w:lang w:val="en-AU"/>
        </w:rPr>
        <w:t>;</w:t>
      </w:r>
      <w:r w:rsidR="00E33939">
        <w:t xml:space="preserve"> Hb can be estimated from Hct using the formula Hb = Hct </w:t>
      </w:r>
      <w:r>
        <w:t>×</w:t>
      </w:r>
      <w:r w:rsidR="00E33939">
        <w:t xml:space="preserve"> 1000/3</w:t>
      </w:r>
    </w:p>
    <w:p w14:paraId="3B00851C" w14:textId="2B2F4882" w:rsidR="00E33939" w:rsidRDefault="00D765D9" w:rsidP="00D765D9">
      <w:pPr>
        <w:pStyle w:val="TableName"/>
      </w:pPr>
      <w:bookmarkStart w:id="299" w:name="_Toc427758405"/>
      <w:r>
        <w:t>Table J.1</w:t>
      </w:r>
      <w:r>
        <w:tab/>
      </w:r>
      <w:r w:rsidR="00306159">
        <w:t>H</w:t>
      </w:r>
      <w:r w:rsidR="006A116C">
        <w:t>c</w:t>
      </w:r>
      <w:r w:rsidR="00306159">
        <w:t>t values</w:t>
      </w:r>
      <w:bookmarkEnd w:id="299"/>
    </w:p>
    <w:tbl>
      <w:tblPr>
        <w:tblStyle w:val="TableGrid"/>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4565"/>
      </w:tblGrid>
      <w:tr w:rsidR="00E33939" w14:paraId="7D398577" w14:textId="77777777" w:rsidTr="00306159">
        <w:tc>
          <w:tcPr>
            <w:tcW w:w="3657" w:type="dxa"/>
          </w:tcPr>
          <w:p w14:paraId="1DFF4B08" w14:textId="48AC5850" w:rsidR="00E33939" w:rsidRDefault="00306159" w:rsidP="00306159">
            <w:pPr>
              <w:pStyle w:val="TableHeading"/>
            </w:pPr>
            <w:r>
              <w:t>Cell type</w:t>
            </w:r>
          </w:p>
        </w:tc>
        <w:tc>
          <w:tcPr>
            <w:tcW w:w="4565" w:type="dxa"/>
          </w:tcPr>
          <w:p w14:paraId="65EE2CCC" w14:textId="5539794C" w:rsidR="00E33939" w:rsidRDefault="00E33939" w:rsidP="00306159">
            <w:pPr>
              <w:pStyle w:val="TableHeading"/>
              <w:jc w:val="center"/>
            </w:pPr>
            <w:r>
              <w:t xml:space="preserve">Hct </w:t>
            </w:r>
            <w:r w:rsidR="004E2E70">
              <w:rPr>
                <w:rFonts w:cstheme="minorHAnsi"/>
              </w:rPr>
              <w:t xml:space="preserve">± </w:t>
            </w:r>
            <w:r>
              <w:t>SD [range]</w:t>
            </w:r>
          </w:p>
        </w:tc>
      </w:tr>
      <w:tr w:rsidR="00E33939" w14:paraId="463E8B3C" w14:textId="77777777" w:rsidTr="00306159">
        <w:tc>
          <w:tcPr>
            <w:tcW w:w="3657" w:type="dxa"/>
          </w:tcPr>
          <w:p w14:paraId="22C233FF" w14:textId="4FFD7918" w:rsidR="00E33939" w:rsidRDefault="00E33939" w:rsidP="00BB78D3">
            <w:pPr>
              <w:pStyle w:val="TableText"/>
            </w:pPr>
            <w:r>
              <w:t xml:space="preserve">Paediatric </w:t>
            </w:r>
            <w:r w:rsidR="00BB78D3">
              <w:t>RBCs</w:t>
            </w:r>
            <w:r w:rsidR="00306159">
              <w:t xml:space="preserve"> leucocyte depleted</w:t>
            </w:r>
          </w:p>
        </w:tc>
        <w:tc>
          <w:tcPr>
            <w:tcW w:w="4565" w:type="dxa"/>
          </w:tcPr>
          <w:p w14:paraId="0F518A97" w14:textId="2F88683F" w:rsidR="00E33939" w:rsidRDefault="00E33939" w:rsidP="00306159">
            <w:pPr>
              <w:pStyle w:val="TableText"/>
              <w:jc w:val="center"/>
            </w:pPr>
            <w:r>
              <w:t xml:space="preserve">0.63 </w:t>
            </w:r>
            <w:r w:rsidR="004E2E70">
              <w:rPr>
                <w:rFonts w:cstheme="minorHAnsi"/>
              </w:rPr>
              <w:t xml:space="preserve">± </w:t>
            </w:r>
            <w:r>
              <w:rPr>
                <w:rFonts w:cstheme="minorHAnsi"/>
              </w:rPr>
              <w:t>0.03 [0.5</w:t>
            </w:r>
            <w:r w:rsidR="00306159">
              <w:rPr>
                <w:rFonts w:cstheme="minorHAnsi"/>
              </w:rPr>
              <w:t>–</w:t>
            </w:r>
            <w:r>
              <w:rPr>
                <w:rFonts w:cstheme="minorHAnsi"/>
              </w:rPr>
              <w:t>0.7]</w:t>
            </w:r>
          </w:p>
        </w:tc>
      </w:tr>
      <w:tr w:rsidR="00E33939" w14:paraId="1E125BD6" w14:textId="77777777" w:rsidTr="00306159">
        <w:tc>
          <w:tcPr>
            <w:tcW w:w="3657" w:type="dxa"/>
          </w:tcPr>
          <w:p w14:paraId="68706877" w14:textId="4A1B6DB4" w:rsidR="00E33939" w:rsidRDefault="00BB78D3" w:rsidP="00D765D9">
            <w:pPr>
              <w:pStyle w:val="TableText"/>
            </w:pPr>
            <w:r>
              <w:t>RBCs</w:t>
            </w:r>
            <w:r w:rsidR="00306159">
              <w:t xml:space="preserve"> leucocyte depleted</w:t>
            </w:r>
          </w:p>
        </w:tc>
        <w:tc>
          <w:tcPr>
            <w:tcW w:w="4565" w:type="dxa"/>
          </w:tcPr>
          <w:p w14:paraId="3B649E1C" w14:textId="5EDA69DB" w:rsidR="00E33939" w:rsidRDefault="00E33939" w:rsidP="00306159">
            <w:pPr>
              <w:pStyle w:val="TableText"/>
              <w:jc w:val="center"/>
            </w:pPr>
            <w:r>
              <w:t xml:space="preserve">0.59 </w:t>
            </w:r>
            <w:r w:rsidR="004E2E70">
              <w:rPr>
                <w:rFonts w:cstheme="minorHAnsi"/>
              </w:rPr>
              <w:t xml:space="preserve">± </w:t>
            </w:r>
            <w:r>
              <w:t>0.03 [</w:t>
            </w:r>
            <w:r>
              <w:rPr>
                <w:rFonts w:cstheme="minorHAnsi"/>
              </w:rPr>
              <w:t>0.5</w:t>
            </w:r>
            <w:r w:rsidR="00306159">
              <w:rPr>
                <w:rFonts w:cstheme="minorHAnsi"/>
              </w:rPr>
              <w:t>–</w:t>
            </w:r>
            <w:r>
              <w:rPr>
                <w:rFonts w:cstheme="minorHAnsi"/>
              </w:rPr>
              <w:t>0.7</w:t>
            </w:r>
            <w:r>
              <w:t>]</w:t>
            </w:r>
          </w:p>
        </w:tc>
      </w:tr>
    </w:tbl>
    <w:p w14:paraId="4159D50B" w14:textId="14AE64AF" w:rsidR="00E33939" w:rsidRDefault="00306159" w:rsidP="00D765D9">
      <w:pPr>
        <w:pStyle w:val="TableFigNotes18"/>
      </w:pPr>
      <w:r>
        <w:t xml:space="preserve">Hct, haematocrit; </w:t>
      </w:r>
      <w:r w:rsidR="00BB78D3">
        <w:t xml:space="preserve">RBC, red blood cell; </w:t>
      </w:r>
      <w:r>
        <w:t>SD, standard deviation</w:t>
      </w:r>
      <w:r>
        <w:br/>
      </w:r>
      <w:r w:rsidR="00D765D9">
        <w:t>Source: Australian Red Cross Blood Service data (1 July 2013 to 30 June 2014)</w:t>
      </w:r>
      <w:r w:rsidR="00D765D9">
        <w:rPr>
          <w:rStyle w:val="FootnoteReference"/>
        </w:rPr>
        <w:footnoteReference w:id="22"/>
      </w:r>
    </w:p>
    <w:p w14:paraId="2E4ED898" w14:textId="77777777" w:rsidR="00E33939" w:rsidRDefault="00E33939" w:rsidP="00306159">
      <w:pPr>
        <w:pStyle w:val="Heading4"/>
      </w:pPr>
      <w:r>
        <w:t>Neonates</w:t>
      </w:r>
    </w:p>
    <w:p w14:paraId="7CCA5EB8" w14:textId="21DF39B1" w:rsidR="00306159" w:rsidRPr="00306159" w:rsidRDefault="00306159" w:rsidP="00306159">
      <w:pPr>
        <w:pStyle w:val="Normalbeforebullet"/>
        <w:rPr>
          <w:lang w:val="en-AU"/>
        </w:rPr>
      </w:pPr>
      <w:r>
        <w:t>In neonates</w:t>
      </w:r>
      <w:r w:rsidR="00B26915" w:rsidRPr="00B26915">
        <w:t xml:space="preserve"> </w:t>
      </w:r>
      <w:r w:rsidR="00B26915">
        <w:t>typical transfusion dose is 10–20mL/kg (</w:t>
      </w:r>
      <w:r w:rsidR="00B26915">
        <w:rPr>
          <w:lang w:val="en-AU"/>
        </w:rPr>
        <w:t xml:space="preserve">where the </w:t>
      </w:r>
      <w:r w:rsidR="00B26915">
        <w:t xml:space="preserve">upper end </w:t>
      </w:r>
      <w:r w:rsidR="00B26915">
        <w:rPr>
          <w:lang w:val="en-AU"/>
        </w:rPr>
        <w:t>of the range applies to</w:t>
      </w:r>
      <w:r w:rsidR="00B26915">
        <w:t xml:space="preserve"> severe anaemia, expected ongoing risk factors or concurrent bleeding)</w:t>
      </w:r>
    </w:p>
    <w:p w14:paraId="792992EC" w14:textId="0BB4FEE4" w:rsidR="00E33939" w:rsidRDefault="00E33939" w:rsidP="00306159">
      <w:pPr>
        <w:pStyle w:val="Bullet12"/>
        <w:rPr>
          <w:u w:val="single"/>
        </w:rPr>
      </w:pPr>
    </w:p>
    <w:p w14:paraId="67D36CF8" w14:textId="194C6005" w:rsidR="00E33939" w:rsidRPr="00306159" w:rsidRDefault="00306159" w:rsidP="00306159">
      <w:pPr>
        <w:pStyle w:val="TableName"/>
      </w:pPr>
      <w:bookmarkStart w:id="300" w:name="_Toc427758406"/>
      <w:r>
        <w:t>Table J.2</w:t>
      </w:r>
      <w:r>
        <w:tab/>
      </w:r>
      <w:r w:rsidR="00E33939" w:rsidRPr="00003A30">
        <w:t xml:space="preserve">Approximate </w:t>
      </w:r>
      <w:r w:rsidR="00910374">
        <w:t>Hb</w:t>
      </w:r>
      <w:r w:rsidR="00E33939" w:rsidRPr="00003A30">
        <w:t xml:space="preserve"> increments that can be expected for transfusion</w:t>
      </w:r>
      <w:bookmarkEnd w:id="300"/>
      <w:r w:rsidR="00E33939" w:rsidRPr="00003A30">
        <w:t xml:space="preserve"> </w:t>
      </w:r>
    </w:p>
    <w:tbl>
      <w:tblPr>
        <w:tblW w:w="9298" w:type="dxa"/>
        <w:tblInd w:w="93" w:type="dxa"/>
        <w:tblLayout w:type="fixed"/>
        <w:tblLook w:val="04A0" w:firstRow="1" w:lastRow="0" w:firstColumn="1" w:lastColumn="0" w:noHBand="0" w:noVBand="1"/>
      </w:tblPr>
      <w:tblGrid>
        <w:gridCol w:w="2324"/>
        <w:gridCol w:w="2325"/>
        <w:gridCol w:w="2324"/>
        <w:gridCol w:w="2325"/>
      </w:tblGrid>
      <w:tr w:rsidR="00E33939" w:rsidRPr="00F93B10" w14:paraId="74A6FBD2" w14:textId="77777777" w:rsidTr="00D765D9">
        <w:trPr>
          <w:trHeight w:val="315"/>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84328" w14:textId="77777777" w:rsidR="00E33939" w:rsidRPr="00F93B10" w:rsidRDefault="00E33939" w:rsidP="00306159">
            <w:pPr>
              <w:pStyle w:val="TableText"/>
            </w:pPr>
          </w:p>
        </w:tc>
        <w:tc>
          <w:tcPr>
            <w:tcW w:w="697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9051FF0" w14:textId="7F2A4956" w:rsidR="00E33939" w:rsidRPr="00F93B10" w:rsidRDefault="00E33939" w:rsidP="00306159">
            <w:pPr>
              <w:pStyle w:val="TableHeading"/>
              <w:jc w:val="center"/>
              <w:rPr>
                <w:rFonts w:eastAsiaTheme="minorHAnsi"/>
                <w:lang w:eastAsia="en-US"/>
              </w:rPr>
            </w:pPr>
            <w:r>
              <w:rPr>
                <w:rFonts w:eastAsiaTheme="minorHAnsi"/>
                <w:lang w:eastAsia="en-US"/>
              </w:rPr>
              <w:t xml:space="preserve">Estimated Hb </w:t>
            </w:r>
            <w:r w:rsidR="00306159">
              <w:rPr>
                <w:rFonts w:eastAsiaTheme="minorHAnsi"/>
                <w:lang w:eastAsia="en-US"/>
              </w:rPr>
              <w:t xml:space="preserve">(g/L) </w:t>
            </w:r>
            <w:r>
              <w:rPr>
                <w:rFonts w:eastAsiaTheme="minorHAnsi"/>
                <w:lang w:eastAsia="en-US"/>
              </w:rPr>
              <w:t>after transfusion</w:t>
            </w:r>
          </w:p>
        </w:tc>
      </w:tr>
      <w:tr w:rsidR="00E33939" w:rsidRPr="00F93B10" w14:paraId="1CC688E9" w14:textId="77777777" w:rsidTr="00D765D9">
        <w:trPr>
          <w:trHeight w:val="315"/>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ABFD" w14:textId="01DFBB8A" w:rsidR="00E33939" w:rsidRPr="00F93B10" w:rsidRDefault="00E33939" w:rsidP="00306159">
            <w:pPr>
              <w:pStyle w:val="TableHeading"/>
            </w:pPr>
            <w:r w:rsidRPr="00F93B10">
              <w:t>Current Hb</w:t>
            </w:r>
            <w:r w:rsidR="00306159">
              <w:t xml:space="preserve"> (g/L)</w:t>
            </w:r>
          </w:p>
        </w:tc>
        <w:tc>
          <w:tcPr>
            <w:tcW w:w="2325"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82DD6C3" w14:textId="7006BA39" w:rsidR="00E33939" w:rsidRPr="00F93B10" w:rsidRDefault="00306159" w:rsidP="00306159">
            <w:pPr>
              <w:pStyle w:val="TableHeading"/>
              <w:jc w:val="center"/>
            </w:pPr>
            <w:r>
              <w:rPr>
                <w:rFonts w:eastAsiaTheme="minorHAnsi"/>
                <w:lang w:eastAsia="en-US"/>
              </w:rPr>
              <w:t xml:space="preserve">Transfusion of </w:t>
            </w:r>
            <w:r>
              <w:rPr>
                <w:rFonts w:eastAsiaTheme="minorHAnsi"/>
                <w:lang w:eastAsia="en-US"/>
              </w:rPr>
              <w:br/>
            </w:r>
            <w:r w:rsidR="00E33939" w:rsidRPr="00F93B10">
              <w:rPr>
                <w:rFonts w:eastAsiaTheme="minorHAnsi"/>
                <w:lang w:eastAsia="en-US"/>
              </w:rPr>
              <w:t>10 mL/kg</w:t>
            </w:r>
          </w:p>
        </w:tc>
        <w:tc>
          <w:tcPr>
            <w:tcW w:w="2324"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194C61D" w14:textId="4D2314F7" w:rsidR="00E33939" w:rsidRPr="00F93B10" w:rsidRDefault="00306159" w:rsidP="00306159">
            <w:pPr>
              <w:pStyle w:val="TableHeading"/>
              <w:jc w:val="center"/>
            </w:pPr>
            <w:r>
              <w:rPr>
                <w:rFonts w:eastAsiaTheme="minorHAnsi"/>
                <w:lang w:eastAsia="en-US"/>
              </w:rPr>
              <w:t>Transfusion</w:t>
            </w:r>
            <w:r w:rsidRPr="00F93B10">
              <w:rPr>
                <w:rFonts w:eastAsiaTheme="minorHAnsi"/>
                <w:lang w:eastAsia="en-US"/>
              </w:rPr>
              <w:t xml:space="preserve"> </w:t>
            </w:r>
            <w:r>
              <w:rPr>
                <w:rFonts w:eastAsiaTheme="minorHAnsi"/>
                <w:lang w:eastAsia="en-US"/>
              </w:rPr>
              <w:t xml:space="preserve">of </w:t>
            </w:r>
            <w:r>
              <w:rPr>
                <w:rFonts w:eastAsiaTheme="minorHAnsi"/>
                <w:lang w:eastAsia="en-US"/>
              </w:rPr>
              <w:br/>
            </w:r>
            <w:r w:rsidR="00E33939" w:rsidRPr="00F93B10">
              <w:rPr>
                <w:rFonts w:eastAsiaTheme="minorHAnsi"/>
                <w:lang w:eastAsia="en-US"/>
              </w:rPr>
              <w:t xml:space="preserve">15 mL/kg </w:t>
            </w:r>
          </w:p>
        </w:tc>
        <w:tc>
          <w:tcPr>
            <w:tcW w:w="2325"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381271E" w14:textId="55E83619" w:rsidR="00E33939" w:rsidRPr="00F93B10" w:rsidRDefault="00306159" w:rsidP="00306159">
            <w:pPr>
              <w:pStyle w:val="TableHeading"/>
              <w:jc w:val="center"/>
            </w:pPr>
            <w:r>
              <w:rPr>
                <w:rFonts w:eastAsiaTheme="minorHAnsi"/>
                <w:lang w:eastAsia="en-US"/>
              </w:rPr>
              <w:t>Transfusion</w:t>
            </w:r>
            <w:r w:rsidRPr="00F93B10">
              <w:rPr>
                <w:rFonts w:eastAsiaTheme="minorHAnsi"/>
                <w:lang w:eastAsia="en-US"/>
              </w:rPr>
              <w:t xml:space="preserve"> </w:t>
            </w:r>
            <w:r>
              <w:rPr>
                <w:rFonts w:eastAsiaTheme="minorHAnsi"/>
                <w:lang w:eastAsia="en-US"/>
              </w:rPr>
              <w:t xml:space="preserve">of </w:t>
            </w:r>
            <w:r>
              <w:rPr>
                <w:rFonts w:eastAsiaTheme="minorHAnsi"/>
                <w:lang w:eastAsia="en-US"/>
              </w:rPr>
              <w:br/>
            </w:r>
            <w:r w:rsidR="00E33939" w:rsidRPr="00F93B10">
              <w:rPr>
                <w:rFonts w:eastAsiaTheme="minorHAnsi"/>
                <w:lang w:eastAsia="en-US"/>
              </w:rPr>
              <w:t xml:space="preserve">20 mL/kg </w:t>
            </w:r>
          </w:p>
        </w:tc>
      </w:tr>
      <w:tr w:rsidR="00E33939" w:rsidRPr="00F93B10" w14:paraId="30F20FBA" w14:textId="77777777" w:rsidTr="00D765D9">
        <w:trPr>
          <w:trHeight w:val="300"/>
        </w:trPr>
        <w:tc>
          <w:tcPr>
            <w:tcW w:w="9298"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77F126A" w14:textId="77777777" w:rsidR="00E33939" w:rsidRPr="00F93B10" w:rsidRDefault="00E33939" w:rsidP="00306159">
            <w:pPr>
              <w:pStyle w:val="TableText"/>
            </w:pPr>
            <w:r w:rsidRPr="00F93B10">
              <w:t>Very preterm infant with estimated blood volume 100 mL/kg</w:t>
            </w:r>
          </w:p>
        </w:tc>
      </w:tr>
      <w:tr w:rsidR="00E33939" w:rsidRPr="00F93B10" w14:paraId="5799EA9A"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21448" w14:textId="77777777" w:rsidR="00E33939" w:rsidRPr="00F93B10" w:rsidRDefault="00E33939" w:rsidP="00306159">
            <w:pPr>
              <w:pStyle w:val="TableText"/>
              <w:ind w:right="1038"/>
              <w:jc w:val="right"/>
            </w:pPr>
            <w:r w:rsidRPr="00F93B10">
              <w:t>70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0F375" w14:textId="77777777" w:rsidR="00E33939" w:rsidRPr="00F93B10" w:rsidRDefault="00E33939" w:rsidP="00306159">
            <w:pPr>
              <w:pStyle w:val="TableText"/>
              <w:ind w:right="1038"/>
              <w:jc w:val="right"/>
            </w:pPr>
            <w:r w:rsidRPr="00F93B10">
              <w:t>91</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8BF85" w14:textId="77777777" w:rsidR="00E33939" w:rsidRPr="00F93B10" w:rsidRDefault="00E33939" w:rsidP="00306159">
            <w:pPr>
              <w:pStyle w:val="TableText"/>
              <w:ind w:right="1038"/>
              <w:jc w:val="right"/>
            </w:pPr>
            <w:r w:rsidRPr="00F93B10">
              <w:t>102</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405D" w14:textId="77777777" w:rsidR="00E33939" w:rsidRPr="00F93B10" w:rsidRDefault="00E33939" w:rsidP="00306159">
            <w:pPr>
              <w:pStyle w:val="TableText"/>
              <w:ind w:right="1038"/>
              <w:jc w:val="right"/>
            </w:pPr>
            <w:r w:rsidRPr="00F93B10">
              <w:t>112</w:t>
            </w:r>
          </w:p>
        </w:tc>
      </w:tr>
      <w:tr w:rsidR="00E33939" w:rsidRPr="00F93B10" w14:paraId="03A92FD8"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A0657" w14:textId="77777777" w:rsidR="00E33939" w:rsidRPr="00F93B10" w:rsidRDefault="00E33939" w:rsidP="00306159">
            <w:pPr>
              <w:pStyle w:val="TableText"/>
              <w:ind w:right="1038"/>
              <w:jc w:val="right"/>
            </w:pPr>
            <w:r w:rsidRPr="00F93B10">
              <w:t>80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0A67" w14:textId="77777777" w:rsidR="00E33939" w:rsidRPr="00F93B10" w:rsidRDefault="00E33939" w:rsidP="00306159">
            <w:pPr>
              <w:pStyle w:val="TableText"/>
              <w:ind w:right="1038"/>
              <w:jc w:val="right"/>
            </w:pPr>
            <w:r w:rsidRPr="00F93B10">
              <w:t>101</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E03D" w14:textId="77777777" w:rsidR="00E33939" w:rsidRPr="00F93B10" w:rsidRDefault="00E33939" w:rsidP="00306159">
            <w:pPr>
              <w:pStyle w:val="TableText"/>
              <w:ind w:right="1038"/>
              <w:jc w:val="right"/>
            </w:pPr>
            <w:r w:rsidRPr="00F93B10">
              <w:t>112</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87A9" w14:textId="77777777" w:rsidR="00E33939" w:rsidRPr="00F93B10" w:rsidRDefault="00E33939" w:rsidP="00306159">
            <w:pPr>
              <w:pStyle w:val="TableText"/>
              <w:ind w:right="1038"/>
              <w:jc w:val="right"/>
            </w:pPr>
            <w:r w:rsidRPr="00F93B10">
              <w:t>122</w:t>
            </w:r>
          </w:p>
        </w:tc>
      </w:tr>
      <w:tr w:rsidR="00E33939" w:rsidRPr="00F93B10" w14:paraId="4E5BCF08"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D35F5" w14:textId="77777777" w:rsidR="00E33939" w:rsidRPr="00F93B10" w:rsidRDefault="00E33939" w:rsidP="00306159">
            <w:pPr>
              <w:pStyle w:val="TableText"/>
              <w:ind w:right="1038"/>
              <w:jc w:val="right"/>
            </w:pPr>
            <w:r w:rsidRPr="00F93B10">
              <w:t>90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BAC3C" w14:textId="77777777" w:rsidR="00E33939" w:rsidRPr="00F93B10" w:rsidRDefault="00E33939" w:rsidP="00306159">
            <w:pPr>
              <w:pStyle w:val="TableText"/>
              <w:ind w:right="1038"/>
              <w:jc w:val="right"/>
            </w:pPr>
            <w:r w:rsidRPr="00F93B10">
              <w:t>111</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1E10" w14:textId="77777777" w:rsidR="00E33939" w:rsidRPr="00F93B10" w:rsidRDefault="00E33939" w:rsidP="00306159">
            <w:pPr>
              <w:pStyle w:val="TableText"/>
              <w:ind w:right="1038"/>
              <w:jc w:val="right"/>
            </w:pPr>
            <w:r w:rsidRPr="00F93B10">
              <w:t>122</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D225C" w14:textId="77777777" w:rsidR="00E33939" w:rsidRPr="00F93B10" w:rsidRDefault="00E33939" w:rsidP="00306159">
            <w:pPr>
              <w:pStyle w:val="TableText"/>
              <w:ind w:right="1038"/>
              <w:jc w:val="right"/>
            </w:pPr>
            <w:r w:rsidRPr="00F93B10">
              <w:t>132</w:t>
            </w:r>
          </w:p>
        </w:tc>
      </w:tr>
      <w:tr w:rsidR="00E33939" w:rsidRPr="00F93B10" w14:paraId="4250A6F1" w14:textId="77777777" w:rsidTr="00D765D9">
        <w:trPr>
          <w:trHeight w:val="300"/>
        </w:trPr>
        <w:tc>
          <w:tcPr>
            <w:tcW w:w="9298"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332234CF" w14:textId="77777777" w:rsidR="00E33939" w:rsidRPr="00F93B10" w:rsidRDefault="00E33939" w:rsidP="00306159">
            <w:pPr>
              <w:pStyle w:val="TableText"/>
            </w:pPr>
            <w:r w:rsidRPr="00F93B10">
              <w:t>Term infant</w:t>
            </w:r>
            <w:r>
              <w:t xml:space="preserve"> with estimated blood volume 80 </w:t>
            </w:r>
            <w:r w:rsidRPr="00F93B10">
              <w:t>mL/kg</w:t>
            </w:r>
          </w:p>
        </w:tc>
      </w:tr>
      <w:tr w:rsidR="00E33939" w:rsidRPr="00F93B10" w14:paraId="1E5BDB59"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138CE" w14:textId="77777777" w:rsidR="00E33939" w:rsidRPr="00F93B10" w:rsidRDefault="00E33939" w:rsidP="00306159">
            <w:pPr>
              <w:pStyle w:val="TableText"/>
              <w:ind w:right="1038"/>
              <w:jc w:val="right"/>
            </w:pPr>
            <w:r w:rsidRPr="00F93B10">
              <w:t>70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CF4BA" w14:textId="77777777" w:rsidR="00E33939" w:rsidRPr="00F93B10" w:rsidRDefault="00E33939" w:rsidP="00306159">
            <w:pPr>
              <w:pStyle w:val="TableText"/>
              <w:ind w:right="1038"/>
              <w:jc w:val="right"/>
            </w:pPr>
            <w:r w:rsidRPr="00F93B10">
              <w:t>96</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5EC3" w14:textId="77777777" w:rsidR="00E33939" w:rsidRPr="00F93B10" w:rsidRDefault="00E33939" w:rsidP="00306159">
            <w:pPr>
              <w:pStyle w:val="TableText"/>
              <w:ind w:right="1038"/>
              <w:jc w:val="right"/>
            </w:pPr>
            <w:r w:rsidRPr="00F93B10">
              <w:t>109</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1147D" w14:textId="77777777" w:rsidR="00E33939" w:rsidRPr="00F93B10" w:rsidRDefault="00E33939" w:rsidP="00306159">
            <w:pPr>
              <w:pStyle w:val="TableText"/>
              <w:ind w:right="1038"/>
              <w:jc w:val="right"/>
            </w:pPr>
            <w:r w:rsidRPr="00F93B10">
              <w:t>123</w:t>
            </w:r>
          </w:p>
        </w:tc>
      </w:tr>
      <w:tr w:rsidR="00E33939" w:rsidRPr="00F93B10" w14:paraId="409E66A3"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ABA4D" w14:textId="77777777" w:rsidR="00E33939" w:rsidRPr="00F93B10" w:rsidRDefault="00E33939" w:rsidP="00306159">
            <w:pPr>
              <w:pStyle w:val="TableText"/>
              <w:ind w:right="1038"/>
              <w:jc w:val="right"/>
            </w:pPr>
            <w:r w:rsidRPr="00F93B10">
              <w:t>80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F510" w14:textId="77777777" w:rsidR="00E33939" w:rsidRPr="00F93B10" w:rsidRDefault="00E33939" w:rsidP="00306159">
            <w:pPr>
              <w:pStyle w:val="TableText"/>
              <w:ind w:right="1038"/>
              <w:jc w:val="right"/>
            </w:pPr>
            <w:r w:rsidRPr="00F93B10">
              <w:t>106</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B3F88" w14:textId="77777777" w:rsidR="00E33939" w:rsidRPr="00F93B10" w:rsidRDefault="00E33939" w:rsidP="00306159">
            <w:pPr>
              <w:pStyle w:val="TableText"/>
              <w:ind w:right="1038"/>
              <w:jc w:val="right"/>
            </w:pPr>
            <w:r w:rsidRPr="00F93B10">
              <w:t>119</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FA47" w14:textId="77777777" w:rsidR="00E33939" w:rsidRPr="00F93B10" w:rsidRDefault="00E33939" w:rsidP="00306159">
            <w:pPr>
              <w:pStyle w:val="TableText"/>
              <w:ind w:right="1038"/>
              <w:jc w:val="right"/>
            </w:pPr>
            <w:r w:rsidRPr="00F93B10">
              <w:t>133</w:t>
            </w:r>
          </w:p>
        </w:tc>
      </w:tr>
      <w:tr w:rsidR="00E33939" w:rsidRPr="00F93B10" w14:paraId="0724E26A" w14:textId="77777777" w:rsidTr="00D765D9">
        <w:trPr>
          <w:trHeight w:val="300"/>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443D3" w14:textId="77777777" w:rsidR="00E33939" w:rsidRPr="00F93B10" w:rsidRDefault="00E33939" w:rsidP="00306159">
            <w:pPr>
              <w:pStyle w:val="TableText"/>
              <w:ind w:right="1038"/>
              <w:jc w:val="right"/>
            </w:pPr>
            <w:r w:rsidRPr="00F93B10">
              <w:t>90</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AA981" w14:textId="77777777" w:rsidR="00E33939" w:rsidRPr="00F93B10" w:rsidRDefault="00E33939" w:rsidP="00306159">
            <w:pPr>
              <w:pStyle w:val="TableText"/>
              <w:ind w:right="1038"/>
              <w:jc w:val="right"/>
            </w:pPr>
            <w:r w:rsidRPr="00F93B10">
              <w:t>116</w:t>
            </w:r>
          </w:p>
        </w:tc>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58803" w14:textId="77777777" w:rsidR="00E33939" w:rsidRPr="00F93B10" w:rsidRDefault="00E33939" w:rsidP="00306159">
            <w:pPr>
              <w:pStyle w:val="TableText"/>
              <w:ind w:right="1038"/>
              <w:jc w:val="right"/>
            </w:pPr>
            <w:r w:rsidRPr="00F93B10">
              <w:t>129</w:t>
            </w:r>
          </w:p>
        </w:tc>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C63C" w14:textId="77777777" w:rsidR="00E33939" w:rsidRPr="00F93B10" w:rsidRDefault="00E33939" w:rsidP="00306159">
            <w:pPr>
              <w:pStyle w:val="TableText"/>
              <w:ind w:right="1038"/>
              <w:jc w:val="right"/>
            </w:pPr>
            <w:r w:rsidRPr="00F93B10">
              <w:t>143</w:t>
            </w:r>
          </w:p>
        </w:tc>
      </w:tr>
    </w:tbl>
    <w:p w14:paraId="2D0E9E4D" w14:textId="26C5973F" w:rsidR="00E33939" w:rsidRDefault="00306159" w:rsidP="00306159">
      <w:pPr>
        <w:pStyle w:val="TableFigNotes18"/>
      </w:pPr>
      <w:r>
        <w:t>Hb, haemoglobin</w:t>
      </w:r>
    </w:p>
    <w:p w14:paraId="1E64278A" w14:textId="766C4339" w:rsidR="00E33939" w:rsidRDefault="00E33939" w:rsidP="00306159">
      <w:pPr>
        <w:pStyle w:val="Heading4"/>
      </w:pPr>
      <w:r>
        <w:t>Infants and children less than 20</w:t>
      </w:r>
      <w:r w:rsidR="00306159">
        <w:rPr>
          <w:lang w:val="en-AU"/>
        </w:rPr>
        <w:t> </w:t>
      </w:r>
      <w:r>
        <w:t>kg</w:t>
      </w:r>
    </w:p>
    <w:p w14:paraId="034D9BAC" w14:textId="43ED1275" w:rsidR="00E33939" w:rsidRDefault="00306159" w:rsidP="00306159">
      <w:r>
        <w:t>In infants and children less than 20 kg, b</w:t>
      </w:r>
      <w:r w:rsidR="00E33939">
        <w:t>lood volume and Hb of donor unit are usually estimated to be similar for all patients, rather than varying transfusion by transfusion</w:t>
      </w:r>
      <w:r>
        <w:t>. Therefore,</w:t>
      </w:r>
      <w:r w:rsidR="00E33939">
        <w:t xml:space="preserve"> the formula can be simplified to</w:t>
      </w:r>
      <w:r>
        <w:t xml:space="preserve"> the following</w:t>
      </w:r>
      <w:r w:rsidR="00E33939">
        <w:t>:</w:t>
      </w:r>
    </w:p>
    <w:p w14:paraId="5359D459" w14:textId="109CB7AF" w:rsidR="00E33939" w:rsidRDefault="00E33939" w:rsidP="00E33939">
      <w:pPr>
        <w:pBdr>
          <w:top w:val="single" w:sz="4" w:space="1" w:color="auto"/>
          <w:left w:val="single" w:sz="4" w:space="4" w:color="auto"/>
          <w:bottom w:val="single" w:sz="4" w:space="1" w:color="auto"/>
          <w:right w:val="single" w:sz="4" w:space="4" w:color="auto"/>
          <w:between w:val="single" w:sz="4" w:space="1" w:color="auto"/>
          <w:bar w:val="single" w:sz="4" w:color="auto"/>
        </w:pBdr>
        <w:shd w:val="pct15" w:color="auto" w:fill="auto"/>
        <w:spacing w:before="120" w:after="0"/>
        <w:jc w:val="center"/>
      </w:pPr>
      <w:r>
        <w:t xml:space="preserve">Transfusion volume (mL) = patient’s weight </w:t>
      </w:r>
      <w:r w:rsidR="00306159">
        <w:t>×</w:t>
      </w:r>
      <w:r>
        <w:t xml:space="preserve"> (desired Hb</w:t>
      </w:r>
      <w:r w:rsidR="00306159">
        <w:t xml:space="preserve"> –</w:t>
      </w:r>
      <w:r>
        <w:t xml:space="preserve"> patient’s Hb)</w:t>
      </w:r>
      <w:r w:rsidR="00306159">
        <w:t xml:space="preserve"> × </w:t>
      </w:r>
      <w:r>
        <w:t>transfusion factor</w:t>
      </w:r>
    </w:p>
    <w:p w14:paraId="673F61E7" w14:textId="77777777" w:rsidR="00306159" w:rsidRDefault="00306159" w:rsidP="00306159"/>
    <w:p w14:paraId="38344362" w14:textId="1727B12F" w:rsidR="00E33939" w:rsidRDefault="00E33939" w:rsidP="00306159">
      <w:r>
        <w:t>Based on the typical Hct for Australian RBC</w:t>
      </w:r>
      <w:r w:rsidR="00306159">
        <w:t>s</w:t>
      </w:r>
      <w:r>
        <w:t xml:space="preserve"> (see above), and assuming EBV = 70 mL/kg the ‘transfusion factor’ should be 5. This is in keeping with studies </w:t>
      </w:r>
      <w:r w:rsidR="00306159">
        <w:t>showing</w:t>
      </w:r>
      <w:r>
        <w:t xml:space="preserve"> that factors of 3 and 4 are insufficient to achieve </w:t>
      </w:r>
      <w:r w:rsidR="00306159">
        <w:t xml:space="preserve">the </w:t>
      </w:r>
      <w:r>
        <w:t>desi</w:t>
      </w:r>
      <w:r w:rsidR="00306159">
        <w:t>red Hb</w:t>
      </w:r>
      <w:r>
        <w:t xml:space="preserve"> increment</w:t>
      </w:r>
      <w:r w:rsidR="00306159">
        <w:t>,</w:t>
      </w:r>
      <w:r>
        <w:t xml:space="preserve"> and </w:t>
      </w:r>
      <w:r w:rsidR="00306159">
        <w:t xml:space="preserve">that </w:t>
      </w:r>
      <w:r>
        <w:t>a factor of 4.8 or 5.02 is more appropriate</w:t>
      </w:r>
      <w:r w:rsidR="00306159">
        <w:t>.</w:t>
      </w:r>
      <w:hyperlink w:anchor="_ENREF_400" w:tooltip="Davies, 2007 #25" w:history="1">
        <w:r w:rsidR="00E62798">
          <w:fldChar w:fldCharType="begin">
            <w:fldData xml:space="preserve">PEVuZE5vdGU+PENpdGU+PEF1dGhvcj5EYXZpZXM8L0F1dGhvcj48WWVhcj4yMDA3PC9ZZWFyPjxS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</w:fldData>
          </w:fldChar>
        </w:r>
        <w:r w:rsidR="00E62798">
          <w:instrText xml:space="preserve"> ADDIN EN.CITE </w:instrText>
        </w:r>
        <w:r w:rsidR="00E62798">
          <w:fldChar w:fldCharType="begin">
            <w:fldData xml:space="preserve">PEVuZE5vdGU+PENpdGU+PEF1dGhvcj5EYXZpZXM8L0F1dGhvcj48WWVhcj4yMDA3PC9ZZWFyPjxS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</w:fldData>
          </w:fldChar>
        </w:r>
        <w:r w:rsidR="00E62798">
          <w:instrText xml:space="preserve"> ADDIN EN.CITE.DATA </w:instrText>
        </w:r>
        <w:r w:rsidR="00E62798">
          <w:fldChar w:fldCharType="end"/>
        </w:r>
        <w:r w:rsidR="00E62798">
          <w:fldChar w:fldCharType="separate"/>
        </w:r>
        <w:r w:rsidR="00E62798" w:rsidRPr="00E62798">
          <w:rPr>
            <w:noProof/>
            <w:vertAlign w:val="superscript"/>
          </w:rPr>
          <w:t>400-401</w:t>
        </w:r>
        <w:r w:rsidR="00E62798">
          <w:fldChar w:fldCharType="end"/>
        </w:r>
      </w:hyperlink>
    </w:p>
    <w:p w14:paraId="4809EA68" w14:textId="220C5A30" w:rsidR="00E33939" w:rsidRDefault="00E33939" w:rsidP="00306159">
      <w:r>
        <w:t xml:space="preserve">A </w:t>
      </w:r>
      <w:r w:rsidR="00306159">
        <w:t xml:space="preserve">transfusion of </w:t>
      </w:r>
      <w:r>
        <w:t>10</w:t>
      </w:r>
      <w:r w:rsidR="00306159">
        <w:t> </w:t>
      </w:r>
      <w:r>
        <w:t>mL/kg will increase Hb by approximately 20</w:t>
      </w:r>
      <w:r w:rsidR="00306159">
        <w:t> </w:t>
      </w:r>
      <w:r>
        <w:t>g/L</w:t>
      </w:r>
      <w:r w:rsidR="00306159">
        <w:t>.</w:t>
      </w:r>
      <w:r>
        <w:t xml:space="preserve"> </w:t>
      </w:r>
    </w:p>
    <w:p w14:paraId="5814D7A5" w14:textId="77777777" w:rsidR="00E33939" w:rsidRPr="004254BE" w:rsidRDefault="00E33939" w:rsidP="00A10EBE">
      <w:pPr>
        <w:spacing w:after="0"/>
        <w:ind w:left="0"/>
      </w:pPr>
    </w:p>
    <w:p w14:paraId="2488A74E" w14:textId="77777777" w:rsidR="00380ADB" w:rsidRDefault="00380ADB" w:rsidP="006A2939"/>
    <w:p w14:paraId="0DABE462" w14:textId="77777777" w:rsidR="006A2939" w:rsidRDefault="006A2939" w:rsidP="00380ADB">
      <w:pPr>
        <w:pStyle w:val="Heading1"/>
        <w:ind w:left="0" w:firstLine="0"/>
        <w:rPr>
          <w:lang w:val="en-AU"/>
        </w:rPr>
        <w:sectPr w:rsidR="006A2939" w:rsidSect="00CD29C9">
          <w:footnotePr>
            <w:numFmt w:val="lowerLetter"/>
          </w:footnotePr>
          <w:pgSz w:w="11906" w:h="16838" w:code="9"/>
          <w:pgMar w:top="1440" w:right="1440" w:bottom="1440" w:left="1440" w:header="578" w:footer="578" w:gutter="0"/>
          <w:cols w:space="720"/>
          <w:titlePg/>
          <w:docGrid w:linePitch="360"/>
        </w:sectPr>
      </w:pPr>
    </w:p>
    <w:p w14:paraId="71CF6471" w14:textId="77777777" w:rsidR="006A2939" w:rsidRDefault="00380ADB" w:rsidP="006A2939">
      <w:pPr>
        <w:pStyle w:val="Heading1"/>
        <w:spacing w:after="120"/>
        <w:ind w:left="0" w:firstLine="0"/>
        <w:rPr>
          <w:lang w:val="en-AU"/>
        </w:rPr>
        <w:sectPr w:rsidR="006A2939" w:rsidSect="006A2939">
          <w:footnotePr>
            <w:numFmt w:val="lowerLetter"/>
          </w:footnotePr>
          <w:pgSz w:w="11906" w:h="16838" w:code="9"/>
          <w:pgMar w:top="1440" w:right="1440" w:bottom="1440" w:left="1440" w:header="578" w:footer="578" w:gutter="0"/>
          <w:cols w:space="720"/>
          <w:titlePg/>
          <w:docGrid w:linePitch="360"/>
        </w:sectPr>
      </w:pPr>
      <w:bookmarkStart w:id="301" w:name="_Toc427851413"/>
      <w:r>
        <w:rPr>
          <w:lang w:val="en-AU"/>
        </w:rPr>
        <w:t>Appendix K</w:t>
      </w:r>
      <w:r>
        <w:rPr>
          <w:lang w:val="en-AU"/>
        </w:rPr>
        <w:tab/>
      </w:r>
      <w:r w:rsidR="008F5693">
        <w:rPr>
          <w:lang w:val="en-AU"/>
        </w:rPr>
        <w:t>Critical bleeding protocol</w:t>
      </w:r>
      <w:bookmarkEnd w:id="301"/>
    </w:p>
    <w:p w14:paraId="703821BC" w14:textId="58414D25" w:rsidR="006A2939" w:rsidRDefault="006A2939" w:rsidP="006A2939">
      <w:r>
        <w:rPr>
          <w:noProof/>
        </w:rPr>
        <w:drawing>
          <wp:inline distT="0" distB="0" distL="0" distR="0" wp14:anchorId="4DDC0575" wp14:editId="0BB007BC">
            <wp:extent cx="7554085" cy="566540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JPG"/>
                    <pic:cNvPicPr/>
                  </pic:nvPicPr>
                  <pic:blipFill>
                    <a:blip r:embed="rId60">
                      <a:extLst>
                        <a:ext uri="{28A0092B-C50C-407E-A947-70E740481C1C}">
                          <a14:useLocalDpi xmlns:a14="http://schemas.microsoft.com/office/drawing/2010/main" val="0"/>
                        </a:ext>
                      </a:extLst>
                    </a:blip>
                    <a:stretch>
                      <a:fillRect/>
                    </a:stretch>
                  </pic:blipFill>
                  <pic:spPr>
                    <a:xfrm>
                      <a:off x="0" y="0"/>
                      <a:ext cx="7644892" cy="5733506"/>
                    </a:xfrm>
                    <a:prstGeom prst="rect">
                      <a:avLst/>
                    </a:prstGeom>
                  </pic:spPr>
                </pic:pic>
              </a:graphicData>
            </a:graphic>
          </wp:inline>
        </w:drawing>
      </w:r>
    </w:p>
    <w:p w14:paraId="4698354B" w14:textId="44BD16FF" w:rsidR="006A2939" w:rsidRDefault="006A2939" w:rsidP="006A2939">
      <w:pPr>
        <w:sectPr w:rsidR="006A2939" w:rsidSect="006A2939">
          <w:footnotePr>
            <w:numFmt w:val="lowerLetter"/>
          </w:footnotePr>
          <w:pgSz w:w="16838" w:h="11906" w:orient="landscape" w:code="9"/>
          <w:pgMar w:top="1440" w:right="1440" w:bottom="1440" w:left="1440" w:header="578" w:footer="578" w:gutter="0"/>
          <w:cols w:space="720"/>
          <w:titlePg/>
          <w:docGrid w:linePitch="360"/>
        </w:sectPr>
      </w:pPr>
      <w:r>
        <w:rPr>
          <w:noProof/>
        </w:rPr>
        <w:drawing>
          <wp:inline distT="0" distB="0" distL="0" distR="0" wp14:anchorId="25280AA8" wp14:editId="7B663762">
            <wp:extent cx="7660468" cy="574519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JPG"/>
                    <pic:cNvPicPr/>
                  </pic:nvPicPr>
                  <pic:blipFill>
                    <a:blip r:embed="rId61">
                      <a:extLst>
                        <a:ext uri="{28A0092B-C50C-407E-A947-70E740481C1C}">
                          <a14:useLocalDpi xmlns:a14="http://schemas.microsoft.com/office/drawing/2010/main" val="0"/>
                        </a:ext>
                      </a:extLst>
                    </a:blip>
                    <a:stretch>
                      <a:fillRect/>
                    </a:stretch>
                  </pic:blipFill>
                  <pic:spPr>
                    <a:xfrm>
                      <a:off x="0" y="0"/>
                      <a:ext cx="7660468" cy="5745192"/>
                    </a:xfrm>
                    <a:prstGeom prst="rect">
                      <a:avLst/>
                    </a:prstGeom>
                  </pic:spPr>
                </pic:pic>
              </a:graphicData>
            </a:graphic>
          </wp:inline>
        </w:drawing>
      </w:r>
    </w:p>
    <w:p w14:paraId="34C63A5F" w14:textId="77777777" w:rsidR="00E62798" w:rsidRDefault="00B71F7D" w:rsidP="00622DA2">
      <w:pPr>
        <w:pStyle w:val="Heading1"/>
      </w:pPr>
      <w:bookmarkStart w:id="302" w:name="_Toc427851414"/>
      <w:r>
        <w:t>References</w:t>
      </w:r>
      <w:bookmarkEnd w:id="259"/>
      <w:bookmarkEnd w:id="302"/>
    </w:p>
    <w:p w14:paraId="0796B747" w14:textId="77777777" w:rsidR="00E62798" w:rsidRDefault="00E62798" w:rsidP="00622DA2">
      <w:pPr>
        <w:pStyle w:val="Heading1"/>
      </w:pPr>
    </w:p>
    <w:p w14:paraId="60CCC599" w14:textId="72AC4C74" w:rsidR="00E62798" w:rsidRPr="00E62798" w:rsidRDefault="00E62798" w:rsidP="00E62798">
      <w:pPr>
        <w:pStyle w:val="EndNoteBibliography"/>
        <w:spacing w:after="0"/>
        <w:ind w:hanging="720"/>
      </w:pPr>
      <w:r>
        <w:fldChar w:fldCharType="begin"/>
      </w:r>
      <w:r>
        <w:instrText xml:space="preserve"> ADDIN EN.REFLIST </w:instrText>
      </w:r>
      <w:r>
        <w:fldChar w:fldCharType="separate"/>
      </w:r>
      <w:bookmarkStart w:id="303" w:name="_ENREF_1"/>
      <w:r w:rsidRPr="00E62798">
        <w:t>1</w:t>
      </w:r>
      <w:r w:rsidRPr="00E62798">
        <w:tab/>
        <w:t xml:space="preserve">National Blood Authority (NBA) (2011). </w:t>
      </w:r>
      <w:r w:rsidRPr="00E62798">
        <w:rPr>
          <w:i/>
        </w:rPr>
        <w:t>Patient Blood Management Guidelines: Module 1 – Critical Bleeding/Massive Transfusion</w:t>
      </w:r>
      <w:r w:rsidRPr="00E62798">
        <w:t xml:space="preserve">, NBA, Canberra, Australia. </w:t>
      </w:r>
      <w:hyperlink r:id="rId62" w:history="1">
        <w:r w:rsidRPr="00E62798">
          <w:rPr>
            <w:rStyle w:val="Hyperlink"/>
          </w:rPr>
          <w:t>http://www.blood.gov.au/pbm-module-1</w:t>
        </w:r>
        <w:bookmarkEnd w:id="303"/>
      </w:hyperlink>
    </w:p>
    <w:p w14:paraId="71FA962A" w14:textId="6FC8BEEA" w:rsidR="00E62798" w:rsidRPr="00E62798" w:rsidRDefault="00E62798" w:rsidP="00E62798">
      <w:pPr>
        <w:pStyle w:val="EndNoteBibliography"/>
        <w:spacing w:after="0"/>
        <w:ind w:hanging="720"/>
      </w:pPr>
      <w:bookmarkStart w:id="304" w:name="_ENREF_2"/>
      <w:r w:rsidRPr="00E62798">
        <w:t>2</w:t>
      </w:r>
      <w:r w:rsidRPr="00E62798">
        <w:tab/>
        <w:t xml:space="preserve">National Blood Authority (NBA) (2012). </w:t>
      </w:r>
      <w:r w:rsidRPr="00E62798">
        <w:rPr>
          <w:i/>
        </w:rPr>
        <w:t>Patient Blood Management Guidelines: Module 2 – Perioperative</w:t>
      </w:r>
      <w:r w:rsidRPr="00E62798">
        <w:t xml:space="preserve">, NBA, Canberra, Australia. </w:t>
      </w:r>
      <w:hyperlink r:id="rId63" w:history="1">
        <w:r w:rsidRPr="00E62798">
          <w:rPr>
            <w:rStyle w:val="Hyperlink"/>
          </w:rPr>
          <w:t>http://www.blood.gov.au/pbm-module-2</w:t>
        </w:r>
        <w:bookmarkEnd w:id="304"/>
      </w:hyperlink>
    </w:p>
    <w:p w14:paraId="696CA5C4" w14:textId="1B06CB46" w:rsidR="00E62798" w:rsidRPr="00E62798" w:rsidRDefault="00E62798" w:rsidP="00E62798">
      <w:pPr>
        <w:pStyle w:val="EndNoteBibliography"/>
        <w:spacing w:after="0"/>
        <w:ind w:hanging="720"/>
      </w:pPr>
      <w:bookmarkStart w:id="305" w:name="_ENREF_3"/>
      <w:r w:rsidRPr="00E62798">
        <w:t>3</w:t>
      </w:r>
      <w:r w:rsidRPr="00E62798">
        <w:tab/>
        <w:t xml:space="preserve">National Blood Authority (NBA) (2012). </w:t>
      </w:r>
      <w:r w:rsidRPr="00E62798">
        <w:rPr>
          <w:i/>
        </w:rPr>
        <w:t>Patient Blood Management Guidelines: Module 3 – Medical</w:t>
      </w:r>
      <w:r w:rsidRPr="00E62798">
        <w:t xml:space="preserve">, NBA, Canberra, Australia. </w:t>
      </w:r>
      <w:hyperlink r:id="rId64" w:history="1">
        <w:r w:rsidRPr="00E62798">
          <w:rPr>
            <w:rStyle w:val="Hyperlink"/>
          </w:rPr>
          <w:t>http://www.blood.gov.au/pbm-module-3</w:t>
        </w:r>
        <w:bookmarkEnd w:id="305"/>
      </w:hyperlink>
    </w:p>
    <w:p w14:paraId="59B6C317" w14:textId="7C07223C" w:rsidR="00E62798" w:rsidRPr="00E62798" w:rsidRDefault="00E62798" w:rsidP="00E62798">
      <w:pPr>
        <w:pStyle w:val="EndNoteBibliography"/>
        <w:spacing w:after="0"/>
        <w:ind w:hanging="720"/>
      </w:pPr>
      <w:bookmarkStart w:id="306" w:name="_ENREF_4"/>
      <w:r w:rsidRPr="00E62798">
        <w:t>4</w:t>
      </w:r>
      <w:r w:rsidRPr="00E62798">
        <w:tab/>
        <w:t xml:space="preserve">National Blood Authority (NBA) (2013). </w:t>
      </w:r>
      <w:r w:rsidRPr="00E62798">
        <w:rPr>
          <w:i/>
        </w:rPr>
        <w:t>Patient Blood Management Guidelines: Module 4 – Critical Care</w:t>
      </w:r>
      <w:r w:rsidRPr="00E62798">
        <w:t xml:space="preserve">, NBA, Canberra, Australia. </w:t>
      </w:r>
      <w:hyperlink r:id="rId65" w:history="1">
        <w:r w:rsidRPr="00E62798">
          <w:rPr>
            <w:rStyle w:val="Hyperlink"/>
          </w:rPr>
          <w:t>http://www.blood.gov.au/pbm-module-4</w:t>
        </w:r>
        <w:bookmarkEnd w:id="306"/>
      </w:hyperlink>
    </w:p>
    <w:p w14:paraId="6F841464" w14:textId="5B9D368A" w:rsidR="00E62798" w:rsidRPr="00E62798" w:rsidRDefault="00E62798" w:rsidP="00E62798">
      <w:pPr>
        <w:pStyle w:val="EndNoteBibliography"/>
        <w:spacing w:after="0"/>
        <w:ind w:hanging="720"/>
      </w:pPr>
      <w:bookmarkStart w:id="307" w:name="_ENREF_5"/>
      <w:r w:rsidRPr="00E62798">
        <w:t>5</w:t>
      </w:r>
      <w:r w:rsidRPr="00E62798">
        <w:tab/>
        <w:t xml:space="preserve">National Blood Authority (NBA) (2015). </w:t>
      </w:r>
      <w:r w:rsidRPr="00E62798">
        <w:rPr>
          <w:i/>
        </w:rPr>
        <w:t>Patient Blood Management Guidelines: Module 5 – Obstetrics and Maternity</w:t>
      </w:r>
      <w:r w:rsidRPr="00E62798">
        <w:t xml:space="preserve">, NBA, Canberra, Australia. </w:t>
      </w:r>
      <w:hyperlink r:id="rId66" w:history="1">
        <w:r w:rsidRPr="00E62798">
          <w:rPr>
            <w:rStyle w:val="Hyperlink"/>
          </w:rPr>
          <w:t>http://www.blood.gov.au/pbm-module-5</w:t>
        </w:r>
        <w:bookmarkEnd w:id="307"/>
      </w:hyperlink>
    </w:p>
    <w:p w14:paraId="75E412DB" w14:textId="3BE9742C" w:rsidR="00E62798" w:rsidRPr="00E62798" w:rsidRDefault="00E62798" w:rsidP="00E62798">
      <w:pPr>
        <w:pStyle w:val="EndNoteBibliography"/>
        <w:spacing w:after="0"/>
        <w:ind w:hanging="720"/>
      </w:pPr>
      <w:bookmarkStart w:id="308" w:name="_ENREF_6"/>
      <w:r w:rsidRPr="00E62798">
        <w:t>6</w:t>
      </w:r>
      <w:r w:rsidRPr="00E62798">
        <w:tab/>
        <w:t xml:space="preserve">National Health and Medical Research Council (NHMRC) and Australasian Society of Blood Transfusion (ASBT) (2001). </w:t>
      </w:r>
      <w:r w:rsidRPr="00E62798">
        <w:rPr>
          <w:i/>
        </w:rPr>
        <w:t>Clinical practice guidelines on the use of blood components</w:t>
      </w:r>
      <w:r w:rsidRPr="00E62798">
        <w:t xml:space="preserve">, NHMRC, Canberra, Australia. </w:t>
      </w:r>
      <w:hyperlink r:id="rId67" w:history="1">
        <w:r w:rsidRPr="00E62798">
          <w:rPr>
            <w:rStyle w:val="Hyperlink"/>
          </w:rPr>
          <w:t>http://www.nhmrc.gov.au/_files_nhmrc/file/publications/synopses/cp78.pdf</w:t>
        </w:r>
        <w:bookmarkEnd w:id="308"/>
      </w:hyperlink>
    </w:p>
    <w:p w14:paraId="2BEC92D0" w14:textId="77777777" w:rsidR="00E62798" w:rsidRPr="00E62798" w:rsidRDefault="00E62798" w:rsidP="00E62798">
      <w:pPr>
        <w:pStyle w:val="EndNoteBibliography"/>
        <w:spacing w:after="0"/>
        <w:ind w:hanging="720"/>
      </w:pPr>
      <w:bookmarkStart w:id="309" w:name="_ENREF_7"/>
      <w:r w:rsidRPr="00E62798">
        <w:t>7</w:t>
      </w:r>
      <w:r w:rsidRPr="00E62798">
        <w:tab/>
        <w:t xml:space="preserve">National Blood Authority (NBA) (In preparation). </w:t>
      </w:r>
      <w:r w:rsidRPr="00E62798">
        <w:rPr>
          <w:i/>
        </w:rPr>
        <w:t>Patient Blood Management Guidelines: Module 6 – Neonatal and Paediatrics: Technical Report Volume 1 – Appendixes</w:t>
      </w:r>
      <w:r w:rsidRPr="00E62798">
        <w:t>, NBA, Canberra, Australia.</w:t>
      </w:r>
      <w:bookmarkEnd w:id="309"/>
    </w:p>
    <w:p w14:paraId="12BA529D" w14:textId="77777777" w:rsidR="00E62798" w:rsidRPr="00E62798" w:rsidRDefault="00E62798" w:rsidP="00E62798">
      <w:pPr>
        <w:pStyle w:val="EndNoteBibliography"/>
        <w:spacing w:after="0"/>
        <w:ind w:hanging="720"/>
      </w:pPr>
      <w:bookmarkStart w:id="310" w:name="_ENREF_8"/>
      <w:r w:rsidRPr="00E62798">
        <w:t>8</w:t>
      </w:r>
      <w:r w:rsidRPr="00E62798">
        <w:tab/>
        <w:t xml:space="preserve">National Blood Authority (NBA) (In preparation). </w:t>
      </w:r>
      <w:r w:rsidRPr="00E62798">
        <w:rPr>
          <w:i/>
        </w:rPr>
        <w:t>Patient Blood Management Guidelines: Module 6 – Neonatal and Paediatrics: Technical Report Volume 2 – Annexes</w:t>
      </w:r>
      <w:r w:rsidRPr="00E62798">
        <w:t>, NBA, Canberra, Australia.</w:t>
      </w:r>
      <w:bookmarkEnd w:id="310"/>
    </w:p>
    <w:p w14:paraId="488B2D71" w14:textId="3145B54B" w:rsidR="00E62798" w:rsidRPr="00E62798" w:rsidRDefault="00E62798" w:rsidP="00E62798">
      <w:pPr>
        <w:pStyle w:val="EndNoteBibliography"/>
        <w:spacing w:after="0"/>
        <w:ind w:hanging="720"/>
      </w:pPr>
      <w:bookmarkStart w:id="311" w:name="_ENREF_9"/>
      <w:r w:rsidRPr="00E62798">
        <w:t>9</w:t>
      </w:r>
      <w:r w:rsidRPr="00E62798">
        <w:tab/>
        <w:t xml:space="preserve">Adams RJ, McKie VC, Hsu L, Beatrice F, Vichinsky E, Pegelow C, et al. (1998). Prevention of a first stroke by transfusions in children with sickle cell anemia and abnormal results on transcranial Doppler ultrasonography, </w:t>
      </w:r>
      <w:r w:rsidRPr="00E62798">
        <w:rPr>
          <w:i/>
        </w:rPr>
        <w:t>New England Journal of Medicine</w:t>
      </w:r>
      <w:r w:rsidRPr="00E62798">
        <w:t xml:space="preserve"> 339(1):5–11. </w:t>
      </w:r>
      <w:hyperlink r:id="rId68" w:history="1">
        <w:r w:rsidRPr="00E62798">
          <w:rPr>
            <w:rStyle w:val="Hyperlink"/>
          </w:rPr>
          <w:t>http://www.nejm.org/doi/pdf/10.1056/NEJM199807023390102</w:t>
        </w:r>
        <w:bookmarkEnd w:id="311"/>
      </w:hyperlink>
    </w:p>
    <w:p w14:paraId="3CA783EA" w14:textId="5EF3513F" w:rsidR="00E62798" w:rsidRPr="00E62798" w:rsidRDefault="00E62798" w:rsidP="00E62798">
      <w:pPr>
        <w:pStyle w:val="EndNoteBibliography"/>
        <w:spacing w:after="0"/>
        <w:ind w:hanging="720"/>
      </w:pPr>
      <w:bookmarkStart w:id="312" w:name="_ENREF_10"/>
      <w:r w:rsidRPr="00E62798">
        <w:t>10</w:t>
      </w:r>
      <w:r w:rsidRPr="00E62798">
        <w:tab/>
        <w:t xml:space="preserve">Debaun MR, Gordon M, McKinstry RC, Noetzel MJ, White DA, Sarnaik SA, et al. (2014). Controlled trial of transfusions for silent cerebral infarcts in sickle cell anemia, </w:t>
      </w:r>
      <w:r w:rsidRPr="00E62798">
        <w:rPr>
          <w:i/>
        </w:rPr>
        <w:t>New England Journal of Medicine</w:t>
      </w:r>
      <w:r w:rsidRPr="00E62798">
        <w:t xml:space="preserve"> 371(8):699–710. </w:t>
      </w:r>
      <w:hyperlink r:id="rId69" w:history="1">
        <w:r w:rsidRPr="00E62798">
          <w:rPr>
            <w:rStyle w:val="Hyperlink"/>
          </w:rPr>
          <w:t>http://www.nejm.org/doi/pdf/10.1056/NEJMoa1401731</w:t>
        </w:r>
        <w:bookmarkEnd w:id="312"/>
      </w:hyperlink>
    </w:p>
    <w:p w14:paraId="1C144B5E" w14:textId="451AB144" w:rsidR="00E62798" w:rsidRPr="00E62798" w:rsidRDefault="00E62798" w:rsidP="00E62798">
      <w:pPr>
        <w:pStyle w:val="EndNoteBibliography"/>
        <w:spacing w:after="0"/>
        <w:ind w:hanging="720"/>
      </w:pPr>
      <w:bookmarkStart w:id="313" w:name="_ENREF_11"/>
      <w:r w:rsidRPr="00E62798">
        <w:t>11</w:t>
      </w:r>
      <w:r w:rsidRPr="00E62798">
        <w:tab/>
        <w:t xml:space="preserve">Kidney Disease: Improving Global Outcomes (KDIGO) Anemia Work Group (2012). KDIGO Clinical practice guideline for anemia in chronic kidney disease, </w:t>
      </w:r>
      <w:r w:rsidRPr="00E62798">
        <w:rPr>
          <w:i/>
        </w:rPr>
        <w:t>Kidney Int</w:t>
      </w:r>
      <w:r w:rsidRPr="00E62798">
        <w:t xml:space="preserve"> 2(4):279–335. </w:t>
      </w:r>
      <w:hyperlink r:id="rId70" w:history="1">
        <w:r w:rsidRPr="00E62798">
          <w:rPr>
            <w:rStyle w:val="Hyperlink"/>
          </w:rPr>
          <w:t>http://kdigo.org/home/guidelines/anemia-in-ckd/</w:t>
        </w:r>
        <w:bookmarkEnd w:id="313"/>
      </w:hyperlink>
    </w:p>
    <w:p w14:paraId="5E4BC22C" w14:textId="44E12633" w:rsidR="00E62798" w:rsidRPr="00E62798" w:rsidRDefault="00E62798" w:rsidP="00E62798">
      <w:pPr>
        <w:pStyle w:val="EndNoteBibliography"/>
        <w:spacing w:after="0"/>
        <w:ind w:hanging="720"/>
      </w:pPr>
      <w:bookmarkStart w:id="314" w:name="_ENREF_12"/>
      <w:r w:rsidRPr="00E62798">
        <w:t>12</w:t>
      </w:r>
      <w:r w:rsidRPr="00E62798">
        <w:tab/>
        <w:t xml:space="preserve">(2015). </w:t>
      </w:r>
      <w:r w:rsidRPr="00E62798">
        <w:rPr>
          <w:i/>
        </w:rPr>
        <w:t>Anaemia management in people with chronic kidney disease</w:t>
      </w:r>
      <w:r w:rsidRPr="00E62798">
        <w:t xml:space="preserve">, National Institute for Health and Care Excellence (NICE), UK. </w:t>
      </w:r>
      <w:hyperlink r:id="rId71" w:history="1">
        <w:r w:rsidRPr="00E62798">
          <w:rPr>
            <w:rStyle w:val="Hyperlink"/>
          </w:rPr>
          <w:t>http://www.nice.org.uk/guidance/ng8/resources/anaemia-management-in-people-with-chronic-kidney-disease-51046844101</w:t>
        </w:r>
        <w:bookmarkEnd w:id="314"/>
      </w:hyperlink>
    </w:p>
    <w:p w14:paraId="09F70C7C" w14:textId="3E36D528" w:rsidR="00E62798" w:rsidRPr="00E62798" w:rsidRDefault="00E62798" w:rsidP="00E62798">
      <w:pPr>
        <w:pStyle w:val="EndNoteBibliography"/>
        <w:spacing w:after="0"/>
        <w:ind w:hanging="720"/>
      </w:pPr>
      <w:bookmarkStart w:id="315" w:name="_ENREF_13"/>
      <w:r w:rsidRPr="00E62798">
        <w:t>13</w:t>
      </w:r>
      <w:r w:rsidRPr="00E62798">
        <w:tab/>
        <w:t xml:space="preserve">Domellof M, Braegger C, Campoy C, Colomb V, Decsi T, Fewtrell M, et al. (2014). Iron requirements of infants and toddlers, </w:t>
      </w:r>
      <w:r w:rsidRPr="00E62798">
        <w:rPr>
          <w:i/>
        </w:rPr>
        <w:t>J Pediatr Gastroenterol Nutr</w:t>
      </w:r>
      <w:r w:rsidRPr="00E62798">
        <w:t xml:space="preserve"> 58(1):119–129. </w:t>
      </w:r>
      <w:hyperlink r:id="rId72" w:history="1">
        <w:r w:rsidRPr="00E62798">
          <w:rPr>
            <w:rStyle w:val="Hyperlink"/>
          </w:rPr>
          <w:t>http://www.ncbi.nlm.nih.gov/pubmed/24135983</w:t>
        </w:r>
        <w:bookmarkEnd w:id="315"/>
      </w:hyperlink>
    </w:p>
    <w:p w14:paraId="564D3D14" w14:textId="65425528" w:rsidR="00E62798" w:rsidRPr="00E62798" w:rsidRDefault="00E62798" w:rsidP="00E62798">
      <w:pPr>
        <w:pStyle w:val="EndNoteBibliography"/>
        <w:spacing w:after="0"/>
        <w:ind w:hanging="720"/>
      </w:pPr>
      <w:bookmarkStart w:id="316" w:name="_ENREF_14"/>
      <w:r w:rsidRPr="00E62798">
        <w:t>14</w:t>
      </w:r>
      <w:r w:rsidRPr="00E62798">
        <w:tab/>
        <w:t xml:space="preserve">Pottie K, Greenaway C, Feightner J, Welch V, Swinkels H, Rashid M, et al. (2011). Evidence-based clinical guidelines for immigrants and refugees, </w:t>
      </w:r>
      <w:r w:rsidRPr="00E62798">
        <w:rPr>
          <w:i/>
        </w:rPr>
        <w:t>CMAJ</w:t>
      </w:r>
      <w:r w:rsidRPr="00E62798">
        <w:t xml:space="preserve"> 183(12):E824–925. </w:t>
      </w:r>
      <w:hyperlink r:id="rId73" w:history="1">
        <w:r w:rsidRPr="00E62798">
          <w:rPr>
            <w:rStyle w:val="Hyperlink"/>
          </w:rPr>
          <w:t>http://www.ncbi.nlm.nih.gov/pubmed/20530168</w:t>
        </w:r>
        <w:bookmarkEnd w:id="316"/>
      </w:hyperlink>
    </w:p>
    <w:p w14:paraId="70D6BB8B" w14:textId="2EE8AA4C" w:rsidR="00E62798" w:rsidRPr="00E62798" w:rsidRDefault="00E62798" w:rsidP="00E62798">
      <w:pPr>
        <w:pStyle w:val="EndNoteBibliography"/>
        <w:spacing w:after="0"/>
        <w:ind w:hanging="720"/>
      </w:pPr>
      <w:bookmarkStart w:id="317" w:name="_ENREF_15"/>
      <w:r w:rsidRPr="00E62798">
        <w:t>15</w:t>
      </w:r>
      <w:r w:rsidRPr="00E62798">
        <w:tab/>
        <w:t xml:space="preserve">Baker RI, Coughlin PB, Gallus AS, Harper PL, Salem HH, Wood EM, et al. (2004). Warfarin reversal: consensus guidelines, on behalf of the Australasian Society of Thrombosis and Haemostasis, </w:t>
      </w:r>
      <w:r w:rsidRPr="00E62798">
        <w:rPr>
          <w:i/>
        </w:rPr>
        <w:t>The Medical Journal of Australia</w:t>
      </w:r>
      <w:r w:rsidRPr="00E62798">
        <w:t xml:space="preserve"> 181(9):492–497. </w:t>
      </w:r>
      <w:hyperlink r:id="rId74" w:history="1">
        <w:r w:rsidRPr="00E62798">
          <w:rPr>
            <w:rStyle w:val="Hyperlink"/>
          </w:rPr>
          <w:t>https://www.mja.com.au/system/files/issues/181_09_011104/bak10441_fm.pdf</w:t>
        </w:r>
        <w:bookmarkEnd w:id="317"/>
      </w:hyperlink>
    </w:p>
    <w:p w14:paraId="30389624" w14:textId="6AF27B1C" w:rsidR="00E62798" w:rsidRPr="00E62798" w:rsidRDefault="00E62798" w:rsidP="00E62798">
      <w:pPr>
        <w:pStyle w:val="EndNoteBibliography"/>
        <w:spacing w:after="0"/>
        <w:ind w:hanging="720"/>
      </w:pPr>
      <w:bookmarkStart w:id="318" w:name="_ENREF_16"/>
      <w:r w:rsidRPr="00E62798">
        <w:t>16</w:t>
      </w:r>
      <w:r w:rsidRPr="00E62798">
        <w:tab/>
        <w:t xml:space="preserve">O'Shaughnessy DF, Atterbury C, Bolton Maggs P, Murphy M, Thomas D, Yates S, et al. (2004). Guidelines for the use of fresh-frozen plasma, cryoprecipitate and cryosupernatant, </w:t>
      </w:r>
      <w:r w:rsidRPr="00E62798">
        <w:rPr>
          <w:i/>
        </w:rPr>
        <w:t>Br J Haematol</w:t>
      </w:r>
      <w:r w:rsidRPr="00E62798">
        <w:t xml:space="preserve"> 126(1):11-28. </w:t>
      </w:r>
      <w:hyperlink r:id="rId75" w:history="1">
        <w:r w:rsidRPr="00E62798">
          <w:rPr>
            <w:rStyle w:val="Hyperlink"/>
          </w:rPr>
          <w:t>http://www.ncbi.nlm.nih.gov/pubmed/15198728</w:t>
        </w:r>
        <w:bookmarkEnd w:id="318"/>
      </w:hyperlink>
    </w:p>
    <w:p w14:paraId="7D9C8917" w14:textId="7329785A" w:rsidR="00E62798" w:rsidRPr="00E62798" w:rsidRDefault="00E62798" w:rsidP="00E62798">
      <w:pPr>
        <w:pStyle w:val="EndNoteBibliography"/>
        <w:spacing w:after="0"/>
        <w:ind w:hanging="720"/>
      </w:pPr>
      <w:bookmarkStart w:id="319" w:name="_ENREF_17"/>
      <w:r w:rsidRPr="00E62798">
        <w:t>17</w:t>
      </w:r>
      <w:r w:rsidRPr="00E62798">
        <w:tab/>
        <w:t xml:space="preserve">Treleaven J, Gennery A, Marsh J, Norfolk D, Page L, Parker A, et al. (2011). Guidelines on the use of irradiated blood components prepared by the British Committee for Standards in Haematology blood transfusion task force, </w:t>
      </w:r>
      <w:r w:rsidRPr="00E62798">
        <w:rPr>
          <w:i/>
        </w:rPr>
        <w:t>Br J Haematol</w:t>
      </w:r>
      <w:r w:rsidRPr="00E62798">
        <w:t xml:space="preserve"> 152(1):35–51. </w:t>
      </w:r>
      <w:hyperlink r:id="rId76" w:history="1">
        <w:r w:rsidRPr="00E62798">
          <w:rPr>
            <w:rStyle w:val="Hyperlink"/>
          </w:rPr>
          <w:t>http://onlinelibrary.wiley.com/store/10.1111/j.1365-2141.2010.08444.x/asset/j.1365-2141.2010.08444.x.pdf?v=1&amp;t=i6718wmk&amp;s=e835b22ab47f0481e338307fd908768947388726</w:t>
        </w:r>
        <w:bookmarkEnd w:id="319"/>
      </w:hyperlink>
    </w:p>
    <w:p w14:paraId="698C858E" w14:textId="20BE370F" w:rsidR="00E62798" w:rsidRPr="00E62798" w:rsidRDefault="00E62798" w:rsidP="00E62798">
      <w:pPr>
        <w:pStyle w:val="EndNoteBibliography"/>
        <w:spacing w:after="0"/>
        <w:ind w:hanging="720"/>
      </w:pPr>
      <w:bookmarkStart w:id="320" w:name="_ENREF_18"/>
      <w:r w:rsidRPr="00E62798">
        <w:t>18</w:t>
      </w:r>
      <w:r w:rsidRPr="00E62798">
        <w:tab/>
        <w:t xml:space="preserve">Australian &amp; New Zealand Society of Blood Transfusion (ANZSBT) (2011). </w:t>
      </w:r>
      <w:r w:rsidRPr="00E62798">
        <w:rPr>
          <w:i/>
        </w:rPr>
        <w:t>Prevention of transfusion-associated graft-versus-host disease (TA-GVHD)</w:t>
      </w:r>
      <w:r w:rsidRPr="00E62798">
        <w:t xml:space="preserve">, ANZBST. </w:t>
      </w:r>
      <w:hyperlink r:id="rId77" w:anchor="societyg" w:history="1">
        <w:r w:rsidRPr="00E62798">
          <w:rPr>
            <w:rStyle w:val="Hyperlink"/>
          </w:rPr>
          <w:t>http://www.anzsbt.org.au/publications/index.cfm#societyg</w:t>
        </w:r>
        <w:bookmarkEnd w:id="320"/>
      </w:hyperlink>
    </w:p>
    <w:p w14:paraId="65C4509A" w14:textId="4DB2E85E" w:rsidR="00E62798" w:rsidRPr="00E62798" w:rsidRDefault="00E62798" w:rsidP="00E62798">
      <w:pPr>
        <w:pStyle w:val="EndNoteBibliography"/>
        <w:spacing w:after="0"/>
        <w:ind w:hanging="720"/>
      </w:pPr>
      <w:bookmarkStart w:id="321" w:name="_ENREF_19"/>
      <w:r w:rsidRPr="00E62798">
        <w:t>19</w:t>
      </w:r>
      <w:r w:rsidRPr="00E62798">
        <w:tab/>
        <w:t xml:space="preserve">McDonald SJ, Middleton P, Dowswell T and Morris PS (2013). Effect of timing of umbilical cord clamping of term infants on maternal and neonatal outcomes, </w:t>
      </w:r>
      <w:r w:rsidRPr="00E62798">
        <w:rPr>
          <w:i/>
        </w:rPr>
        <w:t>Cochrane Database Syst Rev</w:t>
      </w:r>
      <w:r w:rsidRPr="00E62798">
        <w:t xml:space="preserve"> 7:CD004074. </w:t>
      </w:r>
      <w:hyperlink r:id="rId78" w:history="1">
        <w:r w:rsidRPr="00E62798">
          <w:rPr>
            <w:rStyle w:val="Hyperlink"/>
          </w:rPr>
          <w:t>http://www.ncbi.nlm.nih.gov/pubmed/23843134</w:t>
        </w:r>
        <w:bookmarkEnd w:id="321"/>
      </w:hyperlink>
    </w:p>
    <w:p w14:paraId="20DC8F5D" w14:textId="2941458A" w:rsidR="00E62798" w:rsidRPr="00E62798" w:rsidRDefault="00E62798" w:rsidP="00E62798">
      <w:pPr>
        <w:pStyle w:val="EndNoteBibliography"/>
        <w:spacing w:after="0"/>
        <w:ind w:hanging="720"/>
      </w:pPr>
      <w:bookmarkStart w:id="322" w:name="_ENREF_20"/>
      <w:r w:rsidRPr="00E62798">
        <w:t>20</w:t>
      </w:r>
      <w:r w:rsidRPr="00E62798">
        <w:tab/>
        <w:t xml:space="preserve">(2012). </w:t>
      </w:r>
      <w:r w:rsidRPr="00E62798">
        <w:rPr>
          <w:i/>
        </w:rPr>
        <w:t>Criteria for the clinical use of intravenous immunoglobulin in Australia, Second edition</w:t>
      </w:r>
      <w:r w:rsidRPr="00E62798">
        <w:t xml:space="preserve">, Standing Council on Health. </w:t>
      </w:r>
      <w:hyperlink r:id="rId79" w:anchor="cdn-09" w:history="1">
        <w:r w:rsidRPr="00E62798">
          <w:rPr>
            <w:rStyle w:val="Hyperlink"/>
          </w:rPr>
          <w:t>http://www.blood.gov.au/pubs/ivig/conditions-for-which-IVIg-has-an-emerging-therapeutic-role.html#cdn-09</w:t>
        </w:r>
        <w:bookmarkEnd w:id="322"/>
      </w:hyperlink>
    </w:p>
    <w:p w14:paraId="70074EB8" w14:textId="34BD375D" w:rsidR="00E62798" w:rsidRPr="00E62798" w:rsidRDefault="00E62798" w:rsidP="00E62798">
      <w:pPr>
        <w:pStyle w:val="EndNoteBibliography"/>
        <w:spacing w:after="0"/>
        <w:ind w:hanging="720"/>
      </w:pPr>
      <w:bookmarkStart w:id="323" w:name="_ENREF_21"/>
      <w:r w:rsidRPr="00E62798">
        <w:t>21</w:t>
      </w:r>
      <w:r w:rsidRPr="00E62798">
        <w:tab/>
        <w:t xml:space="preserve">Tran HA, Chunilal SD, Harper PL, Tran H, Wood EM, Gallus AS, et al. (2013). An update of consensus guidelines for warfarin reversal, </w:t>
      </w:r>
      <w:r w:rsidRPr="00E62798">
        <w:rPr>
          <w:i/>
        </w:rPr>
        <w:t>The Medical Journal of Australia</w:t>
      </w:r>
      <w:r w:rsidRPr="00E62798">
        <w:t xml:space="preserve"> 198(4):198–199. </w:t>
      </w:r>
      <w:hyperlink r:id="rId80" w:history="1">
        <w:r w:rsidRPr="00E62798">
          <w:rPr>
            <w:rStyle w:val="Hyperlink"/>
          </w:rPr>
          <w:t>https://www.mja.com.au/system/files/issues/tra10614_web_fm_0.pdf</w:t>
        </w:r>
        <w:bookmarkEnd w:id="323"/>
      </w:hyperlink>
    </w:p>
    <w:p w14:paraId="7BAF2748" w14:textId="7FDDD7CF" w:rsidR="00E62798" w:rsidRPr="00E62798" w:rsidRDefault="00E62798" w:rsidP="00E62798">
      <w:pPr>
        <w:pStyle w:val="EndNoteBibliography"/>
        <w:spacing w:after="0"/>
        <w:ind w:hanging="720"/>
      </w:pPr>
      <w:bookmarkStart w:id="324" w:name="_ENREF_22"/>
      <w:r w:rsidRPr="00E62798">
        <w:t>22</w:t>
      </w:r>
      <w:r w:rsidRPr="00E62798">
        <w:tab/>
        <w:t xml:space="preserve">National Health and Medical Research Council (NHMRC) (2000). </w:t>
      </w:r>
      <w:r w:rsidRPr="00E62798">
        <w:rPr>
          <w:i/>
        </w:rPr>
        <w:t>How to use the evidence: assessment and application of scientific evidence</w:t>
      </w:r>
      <w:r w:rsidRPr="00E62798">
        <w:t xml:space="preserve">, NHMRC handbook series, NHMRC, Canberra, Australia. </w:t>
      </w:r>
      <w:hyperlink r:id="rId81" w:history="1">
        <w:r w:rsidRPr="00E62798">
          <w:rPr>
            <w:rStyle w:val="Hyperlink"/>
          </w:rPr>
          <w:t>http://www.nhmrc.gov.au/publications/synopses/cp69syn.htm</w:t>
        </w:r>
        <w:bookmarkEnd w:id="324"/>
      </w:hyperlink>
    </w:p>
    <w:p w14:paraId="2F4B2592" w14:textId="53AB4623" w:rsidR="00E62798" w:rsidRPr="00E62798" w:rsidRDefault="00E62798" w:rsidP="00E62798">
      <w:pPr>
        <w:pStyle w:val="EndNoteBibliography"/>
        <w:spacing w:after="0"/>
        <w:ind w:hanging="720"/>
      </w:pPr>
      <w:bookmarkStart w:id="325" w:name="_ENREF_23"/>
      <w:r w:rsidRPr="00E62798">
        <w:t>23</w:t>
      </w:r>
      <w:r w:rsidRPr="00E62798">
        <w:tab/>
        <w:t xml:space="preserve">National Health and Medical Research Council (NHMRC) (2011). </w:t>
      </w:r>
      <w:r w:rsidRPr="00E62798">
        <w:rPr>
          <w:i/>
        </w:rPr>
        <w:t>Procedures and requirements for meeting the 2011 NHMRC standard for clinical practice guidelines</w:t>
      </w:r>
      <w:r w:rsidRPr="00E62798">
        <w:t xml:space="preserve">, NHMRC, Canberra, Australia. </w:t>
      </w:r>
      <w:hyperlink r:id="rId82" w:history="1">
        <w:r w:rsidRPr="00E62798">
          <w:rPr>
            <w:rStyle w:val="Hyperlink"/>
          </w:rPr>
          <w:t>http://www.nhmrc.gov.au/guidelines/publications/cp133-and-cp133a</w:t>
        </w:r>
        <w:bookmarkEnd w:id="325"/>
      </w:hyperlink>
    </w:p>
    <w:p w14:paraId="0499CE9E" w14:textId="3E5DE0EB" w:rsidR="00E62798" w:rsidRPr="00E62798" w:rsidRDefault="00E62798" w:rsidP="00E62798">
      <w:pPr>
        <w:pStyle w:val="EndNoteBibliography"/>
        <w:spacing w:after="0"/>
        <w:ind w:hanging="720"/>
      </w:pPr>
      <w:bookmarkStart w:id="326" w:name="_ENREF_24"/>
      <w:r w:rsidRPr="00E62798">
        <w:t>24</w:t>
      </w:r>
      <w:r w:rsidRPr="00E62798">
        <w:tab/>
        <w:t xml:space="preserve">National Health and Medical Research Council (NHMRC) (2009). </w:t>
      </w:r>
      <w:r w:rsidRPr="00E62798">
        <w:rPr>
          <w:i/>
        </w:rPr>
        <w:t>NHMRC additional levels of evidence and grades for recommendations for developers of guidelines</w:t>
      </w:r>
      <w:r w:rsidRPr="00E62798">
        <w:t xml:space="preserve">, NHMRC, Canberra, Australia. </w:t>
      </w:r>
      <w:hyperlink r:id="rId83" w:history="1">
        <w:r w:rsidRPr="00E62798">
          <w:rPr>
            <w:rStyle w:val="Hyperlink"/>
          </w:rPr>
          <w:t>http://www.nhmrc.gov.au/guidelines/consult/consultations/add_levels_grades_dev_guidelines2.htm</w:t>
        </w:r>
        <w:bookmarkEnd w:id="326"/>
      </w:hyperlink>
    </w:p>
    <w:p w14:paraId="1499DA0C" w14:textId="05D05CD7" w:rsidR="00E62798" w:rsidRPr="00E62798" w:rsidRDefault="00E62798" w:rsidP="00E62798">
      <w:pPr>
        <w:pStyle w:val="EndNoteBibliography"/>
        <w:spacing w:after="0"/>
        <w:ind w:hanging="720"/>
      </w:pPr>
      <w:bookmarkStart w:id="327" w:name="_ENREF_25"/>
      <w:r w:rsidRPr="00E62798">
        <w:t>25</w:t>
      </w:r>
      <w:r w:rsidRPr="00E62798">
        <w:tab/>
        <w:t xml:space="preserve">WFH (2012). </w:t>
      </w:r>
      <w:r w:rsidRPr="00E62798">
        <w:rPr>
          <w:i/>
        </w:rPr>
        <w:t>Guidelines for the management of hemophilia (2nd edition)</w:t>
      </w:r>
      <w:r w:rsidRPr="00E62798">
        <w:t xml:space="preserve">, World Federation of Hemophilia (WFH). </w:t>
      </w:r>
      <w:hyperlink r:id="rId84" w:history="1">
        <w:r w:rsidRPr="00E62798">
          <w:rPr>
            <w:rStyle w:val="Hyperlink"/>
          </w:rPr>
          <w:t>http://www1.wfh.org/publication/files/pdf-1472.pdf</w:t>
        </w:r>
        <w:bookmarkEnd w:id="327"/>
      </w:hyperlink>
    </w:p>
    <w:p w14:paraId="53DF0B7B" w14:textId="07EBAB34" w:rsidR="00E62798" w:rsidRPr="00E62798" w:rsidRDefault="00E62798" w:rsidP="00E62798">
      <w:pPr>
        <w:pStyle w:val="EndNoteBibliography"/>
        <w:spacing w:after="0"/>
        <w:ind w:hanging="720"/>
      </w:pPr>
      <w:bookmarkStart w:id="328" w:name="_ENREF_26"/>
      <w:r w:rsidRPr="00E62798">
        <w:t>26</w:t>
      </w:r>
      <w:r w:rsidRPr="00E62798">
        <w:tab/>
        <w:t xml:space="preserve">Aquino D, Marley JV, Senior K, Leonard D, Helmer J, Joshua A, et al. (2013). </w:t>
      </w:r>
      <w:r w:rsidRPr="00E62798">
        <w:rPr>
          <w:i/>
        </w:rPr>
        <w:t>Early Childhood Nutrition and Anaemia Prevention Project: Executive summary</w:t>
      </w:r>
      <w:r w:rsidRPr="00E62798">
        <w:t xml:space="preserve">, The Fred Hollows Foundation, Indigenous Australia Program, Darwin. </w:t>
      </w:r>
      <w:hyperlink r:id="rId85" w:history="1">
        <w:r w:rsidRPr="00E62798">
          <w:rPr>
            <w:rStyle w:val="Hyperlink"/>
          </w:rPr>
          <w:t>http://www.kamsc.org.au/research/downloads/ECNAPP_Exec_Summary_for_web.pdf</w:t>
        </w:r>
        <w:bookmarkEnd w:id="328"/>
      </w:hyperlink>
    </w:p>
    <w:p w14:paraId="48F904C8" w14:textId="751FBD88" w:rsidR="00E62798" w:rsidRPr="00E62798" w:rsidRDefault="00E62798" w:rsidP="00E62798">
      <w:pPr>
        <w:pStyle w:val="EndNoteBibliography"/>
        <w:spacing w:after="0"/>
        <w:ind w:hanging="720"/>
      </w:pPr>
      <w:bookmarkStart w:id="329" w:name="_ENREF_27"/>
      <w:r w:rsidRPr="00E62798">
        <w:t>27</w:t>
      </w:r>
      <w:r w:rsidRPr="00E62798">
        <w:tab/>
        <w:t xml:space="preserve">Bar-Zeeve SJ, Kruske SG, Barclay LM, Bar-Zeev N and Kildea SV (2013). Adherence to management guidelines for growth faltering and anaemia in remote dwelling Australian Aboriginal infants and barriers to health service delivery, </w:t>
      </w:r>
      <w:r w:rsidRPr="00E62798">
        <w:rPr>
          <w:i/>
        </w:rPr>
        <w:t>BMC Health Services Research</w:t>
      </w:r>
      <w:r w:rsidRPr="00E62798">
        <w:t xml:space="preserve"> 13(250):1–12. </w:t>
      </w:r>
      <w:hyperlink r:id="rId86" w:history="1">
        <w:r w:rsidRPr="00E62798">
          <w:rPr>
            <w:rStyle w:val="Hyperlink"/>
          </w:rPr>
          <w:t>http://www.biomedcentral.com/content/pdf/1472-6963-13-250.pdf</w:t>
        </w:r>
        <w:bookmarkEnd w:id="329"/>
      </w:hyperlink>
    </w:p>
    <w:p w14:paraId="15DDE4FA" w14:textId="5CBCCA94" w:rsidR="00E62798" w:rsidRPr="00E62798" w:rsidRDefault="00E62798" w:rsidP="00E62798">
      <w:pPr>
        <w:pStyle w:val="EndNoteBibliography"/>
        <w:spacing w:after="0"/>
        <w:ind w:hanging="720"/>
      </w:pPr>
      <w:bookmarkStart w:id="330" w:name="_ENREF_28"/>
      <w:r w:rsidRPr="00E62798">
        <w:t>28</w:t>
      </w:r>
      <w:r w:rsidRPr="00E62798">
        <w:tab/>
        <w:t xml:space="preserve">Brewster DR (2004). Iron deficiency in minority groups in Australia, </w:t>
      </w:r>
      <w:r w:rsidRPr="00E62798">
        <w:rPr>
          <w:i/>
        </w:rPr>
        <w:t>J Paediatr Child Health</w:t>
      </w:r>
      <w:r w:rsidRPr="00E62798">
        <w:t xml:space="preserve"> 40(8):422–423. </w:t>
      </w:r>
      <w:hyperlink r:id="rId87" w:history="1">
        <w:r w:rsidRPr="00E62798">
          <w:rPr>
            <w:rStyle w:val="Hyperlink"/>
          </w:rPr>
          <w:t>http://www.ncbi.nlm.nih.gov/pubmed/15265180</w:t>
        </w:r>
        <w:bookmarkEnd w:id="330"/>
      </w:hyperlink>
    </w:p>
    <w:p w14:paraId="3482C263" w14:textId="4C005ED3" w:rsidR="00E62798" w:rsidRPr="00E62798" w:rsidRDefault="00E62798" w:rsidP="00E62798">
      <w:pPr>
        <w:pStyle w:val="EndNoteBibliography"/>
        <w:spacing w:after="0"/>
        <w:ind w:hanging="720"/>
      </w:pPr>
      <w:bookmarkStart w:id="331" w:name="_ENREF_29"/>
      <w:r w:rsidRPr="00E62798">
        <w:t>29</w:t>
      </w:r>
      <w:r w:rsidRPr="00E62798">
        <w:tab/>
        <w:t xml:space="preserve">Ciacci C, Sabbatini F, Cavallaro R, Castiglione F, Di Bella S, Iovino P, et al. (2004). Helicobacter pylori impairs iron absorption in infected individuals, </w:t>
      </w:r>
      <w:r w:rsidRPr="00E62798">
        <w:rPr>
          <w:i/>
        </w:rPr>
        <w:t>Digestive and Liver Disease</w:t>
      </w:r>
      <w:r w:rsidRPr="00E62798">
        <w:t xml:space="preserve"> 36(7):455–460. </w:t>
      </w:r>
      <w:hyperlink r:id="rId88" w:history="1">
        <w:r w:rsidRPr="00E62798">
          <w:rPr>
            <w:rStyle w:val="Hyperlink"/>
          </w:rPr>
          <w:t>http://www.dldjournalonline.com/article/S1590-8658(04)00126-4/abstract</w:t>
        </w:r>
        <w:bookmarkEnd w:id="331"/>
      </w:hyperlink>
    </w:p>
    <w:p w14:paraId="5264AEA9" w14:textId="77777777" w:rsidR="00E62798" w:rsidRPr="00E62798" w:rsidRDefault="00E62798" w:rsidP="00E62798">
      <w:pPr>
        <w:pStyle w:val="EndNoteBibliography"/>
        <w:spacing w:after="0"/>
        <w:ind w:hanging="720"/>
      </w:pPr>
      <w:bookmarkStart w:id="332" w:name="_ENREF_30"/>
      <w:r w:rsidRPr="00E62798">
        <w:t>30</w:t>
      </w:r>
      <w:r w:rsidRPr="00E62798">
        <w:tab/>
        <w:t>Hopkins RM, Gracey MS, Hobbs RP, Spargo RM, Yates M and Thompson RCA (1997). The prevalence of hookworm infection, iron deficiency and anaemia in an aboriginal community in north-west Australia, 166(5):241–244.</w:t>
      </w:r>
      <w:bookmarkEnd w:id="332"/>
    </w:p>
    <w:p w14:paraId="2F298B51" w14:textId="02E0DF06" w:rsidR="00E62798" w:rsidRPr="00E62798" w:rsidRDefault="00E62798" w:rsidP="00E62798">
      <w:pPr>
        <w:pStyle w:val="EndNoteBibliography"/>
        <w:spacing w:after="0"/>
        <w:ind w:hanging="720"/>
      </w:pPr>
      <w:bookmarkStart w:id="333" w:name="_ENREF_31"/>
      <w:r w:rsidRPr="00E62798">
        <w:t>31</w:t>
      </w:r>
      <w:r w:rsidRPr="00E62798">
        <w:tab/>
        <w:t xml:space="preserve">Kirpalani H and Zupancic JAF (2012). Do transfusions cause necrotizing enterocolitis? The complementary role of randomized trials and observational studies, </w:t>
      </w:r>
      <w:r w:rsidRPr="00E62798">
        <w:rPr>
          <w:i/>
        </w:rPr>
        <w:t>Seminars in Perinatology</w:t>
      </w:r>
      <w:r w:rsidRPr="00E62798">
        <w:t xml:space="preserve"> 36(4):269–276. </w:t>
      </w:r>
      <w:hyperlink r:id="rId89" w:history="1">
        <w:r w:rsidRPr="00E62798">
          <w:rPr>
            <w:rStyle w:val="Hyperlink"/>
          </w:rPr>
          <w:t>http://www.seminperinat.com/article/S0146-0005(12)00029-8/abstract</w:t>
        </w:r>
        <w:bookmarkEnd w:id="333"/>
      </w:hyperlink>
    </w:p>
    <w:p w14:paraId="0EC2A7BA" w14:textId="406CD2C4" w:rsidR="00E62798" w:rsidRPr="00E62798" w:rsidRDefault="00E62798" w:rsidP="00E62798">
      <w:pPr>
        <w:pStyle w:val="EndNoteBibliography"/>
        <w:spacing w:after="0"/>
        <w:ind w:hanging="720"/>
      </w:pPr>
      <w:bookmarkStart w:id="334" w:name="_ENREF_32"/>
      <w:r w:rsidRPr="00E62798">
        <w:t>32</w:t>
      </w:r>
      <w:r w:rsidRPr="00E62798">
        <w:tab/>
        <w:t xml:space="preserve">Mohamed A and Shah PS (2012). Transfusion associated necrotizing enterocolitis: A meta-analysis of observational data, </w:t>
      </w:r>
      <w:r w:rsidRPr="00E62798">
        <w:rPr>
          <w:i/>
        </w:rPr>
        <w:t>Pediatrics</w:t>
      </w:r>
      <w:r w:rsidRPr="00E62798">
        <w:t xml:space="preserve"> 129(3):529–540. </w:t>
      </w:r>
      <w:hyperlink r:id="rId90" w:history="1">
        <w:r w:rsidRPr="00E62798">
          <w:rPr>
            <w:rStyle w:val="Hyperlink"/>
          </w:rPr>
          <w:t>http://pediatrics.aappublications.org/content/129/3/529.full.pdf</w:t>
        </w:r>
        <w:bookmarkEnd w:id="334"/>
      </w:hyperlink>
    </w:p>
    <w:p w14:paraId="5A67B64B" w14:textId="4E8D3A6A" w:rsidR="00E62798" w:rsidRPr="00E62798" w:rsidRDefault="00E62798" w:rsidP="00E62798">
      <w:pPr>
        <w:pStyle w:val="EndNoteBibliography"/>
        <w:spacing w:after="0"/>
        <w:ind w:hanging="720"/>
      </w:pPr>
      <w:bookmarkStart w:id="335" w:name="_ENREF_33"/>
      <w:r w:rsidRPr="00E62798">
        <w:t>33</w:t>
      </w:r>
      <w:r w:rsidRPr="00E62798">
        <w:tab/>
        <w:t xml:space="preserve">AlFaleh K, Al-Jebreen A, Baqays A, Al-Hallali A, Bedaiwi K, Al-Balahi N, et al. (2014). Association of packed red blood cell transfusion and necrotizing enterocolitis in very low birth weight infants, </w:t>
      </w:r>
      <w:r w:rsidRPr="00E62798">
        <w:rPr>
          <w:i/>
        </w:rPr>
        <w:t>J Neonatal Perinatal Med</w:t>
      </w:r>
      <w:r w:rsidRPr="00E62798">
        <w:t xml:space="preserve"> 7(3):193–198. </w:t>
      </w:r>
      <w:hyperlink r:id="rId91" w:history="1">
        <w:r w:rsidRPr="00E62798">
          <w:rPr>
            <w:rStyle w:val="Hyperlink"/>
          </w:rPr>
          <w:t>http://www.ncbi.nlm.nih.gov/pubmed/25318632</w:t>
        </w:r>
        <w:bookmarkEnd w:id="335"/>
      </w:hyperlink>
    </w:p>
    <w:p w14:paraId="1AC85AD1" w14:textId="4AC9C4AD" w:rsidR="00E62798" w:rsidRPr="00E62798" w:rsidRDefault="00E62798" w:rsidP="00E62798">
      <w:pPr>
        <w:pStyle w:val="EndNoteBibliography"/>
        <w:spacing w:after="0"/>
        <w:ind w:hanging="720"/>
      </w:pPr>
      <w:bookmarkStart w:id="336" w:name="_ENREF_34"/>
      <w:r w:rsidRPr="00E62798">
        <w:t>34</w:t>
      </w:r>
      <w:r w:rsidRPr="00E62798">
        <w:tab/>
        <w:t xml:space="preserve">Baer VL, Lambert DK, Henry E, Snow GL, Butler A and Christensen RD (2011). Among very-low-birth-weight neonates is red blood cell transfusion an independent risk factor for subsequently developing a severe intraventricular hemorrhage?, </w:t>
      </w:r>
      <w:r w:rsidRPr="00E62798">
        <w:rPr>
          <w:i/>
        </w:rPr>
        <w:t>Transfusion</w:t>
      </w:r>
      <w:r w:rsidRPr="00E62798">
        <w:t xml:space="preserve"> 51(6):1170–1178. </w:t>
      </w:r>
      <w:hyperlink r:id="rId92" w:history="1">
        <w:r w:rsidRPr="00E62798">
          <w:rPr>
            <w:rStyle w:val="Hyperlink"/>
          </w:rPr>
          <w:t>http://onlinelibrary.wiley.com/doi/10.1111/j.1537-2995.2010.02980.x/abstract</w:t>
        </w:r>
        <w:bookmarkEnd w:id="336"/>
      </w:hyperlink>
    </w:p>
    <w:p w14:paraId="5E0052FE" w14:textId="11A1465B" w:rsidR="00E62798" w:rsidRPr="00E62798" w:rsidRDefault="00E62798" w:rsidP="00E62798">
      <w:pPr>
        <w:pStyle w:val="EndNoteBibliography"/>
        <w:spacing w:after="0"/>
        <w:ind w:hanging="720"/>
      </w:pPr>
      <w:bookmarkStart w:id="337" w:name="_ENREF_35"/>
      <w:r w:rsidRPr="00E62798">
        <w:t>35</w:t>
      </w:r>
      <w:r w:rsidRPr="00E62798">
        <w:tab/>
        <w:t xml:space="preserve">Demirel G, Celik IH, Aksoy HT, Erdeve O, Oguz SS, Uras N, et al. (2012). Transfusion-associated necrotising enterocolitis in very low birth weight premature infants, </w:t>
      </w:r>
      <w:r w:rsidRPr="00E62798">
        <w:rPr>
          <w:i/>
        </w:rPr>
        <w:t>Transfusion Medicine</w:t>
      </w:r>
      <w:r w:rsidRPr="00E62798">
        <w:t xml:space="preserve"> 22(5):332–337. </w:t>
      </w:r>
      <w:hyperlink r:id="rId93" w:history="1">
        <w:r w:rsidRPr="00E62798">
          <w:rPr>
            <w:rStyle w:val="Hyperlink"/>
          </w:rPr>
          <w:t>http://onlinelibrary.wiley.com/doi/10.1111/j.1365-3148.2012.01170.x/abstract</w:t>
        </w:r>
        <w:bookmarkEnd w:id="337"/>
      </w:hyperlink>
    </w:p>
    <w:p w14:paraId="68F793C7" w14:textId="26416FC4" w:rsidR="00E62798" w:rsidRPr="00E62798" w:rsidRDefault="00E62798" w:rsidP="00E62798">
      <w:pPr>
        <w:pStyle w:val="EndNoteBibliography"/>
        <w:spacing w:after="0"/>
        <w:ind w:hanging="720"/>
      </w:pPr>
      <w:bookmarkStart w:id="338" w:name="_ENREF_36"/>
      <w:r w:rsidRPr="00E62798">
        <w:t>36</w:t>
      </w:r>
      <w:r w:rsidRPr="00E62798">
        <w:tab/>
        <w:t xml:space="preserve">Dos Santos AMN, Guinsburg R, De Almeida MFB, Procianoy RS, Leone CR, Marba STM, et al. (2011). Red blood cell transfusions are independently associated with intra-hospital mortality in very low birth weight preterm infants, </w:t>
      </w:r>
      <w:r w:rsidRPr="00E62798">
        <w:rPr>
          <w:i/>
        </w:rPr>
        <w:t>Journal of Pediatrics</w:t>
      </w:r>
      <w:r w:rsidRPr="00E62798">
        <w:t xml:space="preserve"> 159(3):371–376. </w:t>
      </w:r>
      <w:hyperlink r:id="rId94" w:history="1">
        <w:r w:rsidRPr="00E62798">
          <w:rPr>
            <w:rStyle w:val="Hyperlink"/>
          </w:rPr>
          <w:t>http://www.sciencedirect.com/science/article/pii/S0022347611002459</w:t>
        </w:r>
        <w:bookmarkEnd w:id="338"/>
      </w:hyperlink>
    </w:p>
    <w:p w14:paraId="203EFF3B" w14:textId="68CCE7A3" w:rsidR="00E62798" w:rsidRPr="00E62798" w:rsidRDefault="00E62798" w:rsidP="00E62798">
      <w:pPr>
        <w:pStyle w:val="EndNoteBibliography"/>
        <w:spacing w:after="0"/>
        <w:ind w:hanging="720"/>
      </w:pPr>
      <w:bookmarkStart w:id="339" w:name="_ENREF_37"/>
      <w:r w:rsidRPr="00E62798">
        <w:t>37</w:t>
      </w:r>
      <w:r w:rsidRPr="00E62798">
        <w:tab/>
        <w:t xml:space="preserve">Elabiad MT, Harsono M, Talati AJ and Dhanireddy R (2013). Effect of birth weight on the association between necrotising enterocolitis and red blood cell transfusions in (less-than or equal to)1500 g infants, </w:t>
      </w:r>
      <w:r w:rsidRPr="00E62798">
        <w:rPr>
          <w:i/>
        </w:rPr>
        <w:t>BMJ Open</w:t>
      </w:r>
      <w:r w:rsidRPr="00E62798">
        <w:t xml:space="preserve"> 3(11). </w:t>
      </w:r>
      <w:hyperlink r:id="rId95" w:history="1">
        <w:r w:rsidRPr="00E62798">
          <w:rPr>
            <w:rStyle w:val="Hyperlink"/>
          </w:rPr>
          <w:t>http://dx.doi.org/10.1136/bmjopen-2013-003823</w:t>
        </w:r>
        <w:bookmarkEnd w:id="339"/>
      </w:hyperlink>
    </w:p>
    <w:p w14:paraId="583E33B6" w14:textId="005F34F6" w:rsidR="00E62798" w:rsidRPr="00E62798" w:rsidRDefault="00E62798" w:rsidP="00E62798">
      <w:pPr>
        <w:pStyle w:val="EndNoteBibliography"/>
        <w:spacing w:after="0"/>
        <w:ind w:hanging="720"/>
      </w:pPr>
      <w:bookmarkStart w:id="340" w:name="_ENREF_38"/>
      <w:r w:rsidRPr="00E62798">
        <w:t>38</w:t>
      </w:r>
      <w:r w:rsidRPr="00E62798">
        <w:tab/>
        <w:t xml:space="preserve">Feghhi M, Altayeb SMH, Haghi F, Kasiri A, Farahi F, Dehdashtyan M, et al. (2012). Incidence of retinopathy of prematurity and risk factors in the South-Western Region of Iran, </w:t>
      </w:r>
      <w:r w:rsidRPr="00E62798">
        <w:rPr>
          <w:i/>
        </w:rPr>
        <w:t>Middle East African Journal of Ophthalmology</w:t>
      </w:r>
      <w:r w:rsidRPr="00E62798">
        <w:t xml:space="preserve"> 19(1):101–106. </w:t>
      </w:r>
      <w:hyperlink r:id="rId96" w:history="1">
        <w:r w:rsidRPr="00E62798">
          <w:rPr>
            <w:rStyle w:val="Hyperlink"/>
          </w:rPr>
          <w:t>http://www.meajo.org/article.asp?issn=0974-9233;year=2012;volume=19;issue=1;spage=101;epage=106;aulast=Feghhi</w:t>
        </w:r>
        <w:bookmarkEnd w:id="340"/>
      </w:hyperlink>
    </w:p>
    <w:p w14:paraId="3A52283C" w14:textId="788B718E" w:rsidR="00E62798" w:rsidRPr="00E62798" w:rsidRDefault="00E62798" w:rsidP="00E62798">
      <w:pPr>
        <w:pStyle w:val="EndNoteBibliography"/>
        <w:spacing w:after="0"/>
        <w:ind w:hanging="720"/>
      </w:pPr>
      <w:bookmarkStart w:id="341" w:name="_ENREF_39"/>
      <w:r w:rsidRPr="00E62798">
        <w:t>39</w:t>
      </w:r>
      <w:r w:rsidRPr="00E62798">
        <w:tab/>
        <w:t xml:space="preserve">Fortes Filho JB, Borges Fortes BG, Tartarella MB and Procianoy RS (2013). Incidence and main risk factors for severe retinopathy of prematurity in infants weighing less than 1000 grams in Brazil, </w:t>
      </w:r>
      <w:r w:rsidRPr="00E62798">
        <w:rPr>
          <w:i/>
        </w:rPr>
        <w:t>Journal of Tropical Pediatrics</w:t>
      </w:r>
      <w:r w:rsidRPr="00E62798">
        <w:t xml:space="preserve"> 59(6):502–506. </w:t>
      </w:r>
      <w:hyperlink r:id="rId97" w:history="1">
        <w:r w:rsidRPr="00E62798">
          <w:rPr>
            <w:rStyle w:val="Hyperlink"/>
          </w:rPr>
          <w:t>http://dx.doi.org/10.1093/tropej/fmt036</w:t>
        </w:r>
        <w:bookmarkEnd w:id="341"/>
      </w:hyperlink>
    </w:p>
    <w:p w14:paraId="013DB9E1" w14:textId="3CEED699" w:rsidR="00E62798" w:rsidRPr="00E62798" w:rsidRDefault="00E62798" w:rsidP="00E62798">
      <w:pPr>
        <w:pStyle w:val="EndNoteBibliography"/>
        <w:spacing w:after="0"/>
        <w:ind w:hanging="720"/>
      </w:pPr>
      <w:bookmarkStart w:id="342" w:name="_ENREF_40"/>
      <w:r w:rsidRPr="00E62798">
        <w:t>40</w:t>
      </w:r>
      <w:r w:rsidRPr="00E62798">
        <w:tab/>
        <w:t xml:space="preserve">Hakeem A, Mohamed GB and Othman MF (2012). Retinopathy of prematurity: A study of incidence and risk factors in nicu of al-minya university hospital in egypt, </w:t>
      </w:r>
      <w:r w:rsidRPr="00E62798">
        <w:rPr>
          <w:i/>
        </w:rPr>
        <w:t>Journal of Clinical Neonatology</w:t>
      </w:r>
      <w:r w:rsidRPr="00E62798">
        <w:t xml:space="preserve"> 1(2):76–81. </w:t>
      </w:r>
      <w:hyperlink r:id="rId98" w:history="1">
        <w:r w:rsidRPr="00E62798">
          <w:rPr>
            <w:rStyle w:val="Hyperlink"/>
          </w:rPr>
          <w:t>http://dx.doi.org/10.4103/2249-4847.96755</w:t>
        </w:r>
        <w:bookmarkEnd w:id="342"/>
      </w:hyperlink>
    </w:p>
    <w:p w14:paraId="27CBBD65" w14:textId="7ABF8FDE" w:rsidR="00E62798" w:rsidRPr="00E62798" w:rsidRDefault="00E62798" w:rsidP="00E62798">
      <w:pPr>
        <w:pStyle w:val="EndNoteBibliography"/>
        <w:spacing w:after="0"/>
        <w:ind w:hanging="720"/>
      </w:pPr>
      <w:bookmarkStart w:id="343" w:name="_ENREF_41"/>
      <w:r w:rsidRPr="00E62798">
        <w:t>41</w:t>
      </w:r>
      <w:r w:rsidRPr="00E62798">
        <w:tab/>
        <w:t xml:space="preserve">Kabatas EU, Beken S, Aydin B, Dilli D, Zenciroglu A and Okumus N (2013). The risk factors for retinopathy of prematurity and need of laser photocoagulation: A single center experience, </w:t>
      </w:r>
      <w:r w:rsidRPr="00E62798">
        <w:rPr>
          <w:i/>
        </w:rPr>
        <w:t>Gazi Medical Journal</w:t>
      </w:r>
      <w:r w:rsidRPr="00E62798">
        <w:t xml:space="preserve"> 24(4). </w:t>
      </w:r>
      <w:hyperlink r:id="rId99" w:history="1">
        <w:r w:rsidRPr="00E62798">
          <w:rPr>
            <w:rStyle w:val="Hyperlink"/>
          </w:rPr>
          <w:t>http://dx.doi.org/10.12996/gmj.2013.31</w:t>
        </w:r>
        <w:bookmarkEnd w:id="343"/>
      </w:hyperlink>
    </w:p>
    <w:p w14:paraId="359FE374" w14:textId="2397AE9C" w:rsidR="00E62798" w:rsidRPr="00E62798" w:rsidRDefault="00E62798" w:rsidP="00E62798">
      <w:pPr>
        <w:pStyle w:val="EndNoteBibliography"/>
        <w:spacing w:after="0"/>
        <w:ind w:hanging="720"/>
      </w:pPr>
      <w:bookmarkStart w:id="344" w:name="_ENREF_42"/>
      <w:r w:rsidRPr="00E62798">
        <w:t>42</w:t>
      </w:r>
      <w:r w:rsidRPr="00E62798">
        <w:tab/>
        <w:t xml:space="preserve">Li ML, Hsu SM, Chang YS, Shih MH, Lin YC, Lin CH, et al. (2013). Retinopathy of prematurity in southern Taiwan: A 10-year tertiary medical center study, </w:t>
      </w:r>
      <w:r w:rsidRPr="00E62798">
        <w:rPr>
          <w:i/>
        </w:rPr>
        <w:t>Journal of the Formosan Medical Association</w:t>
      </w:r>
      <w:r w:rsidRPr="00E62798">
        <w:t xml:space="preserve"> 112(8):445–453. </w:t>
      </w:r>
      <w:hyperlink r:id="rId100" w:history="1">
        <w:r w:rsidRPr="00E62798">
          <w:rPr>
            <w:rStyle w:val="Hyperlink"/>
          </w:rPr>
          <w:t>http://www.jfma-online.com/article/S0929-6646(12)00236-7/pdf</w:t>
        </w:r>
        <w:bookmarkEnd w:id="344"/>
      </w:hyperlink>
    </w:p>
    <w:p w14:paraId="42A637F4" w14:textId="2868FEDB" w:rsidR="00E62798" w:rsidRPr="00E62798" w:rsidRDefault="00E62798" w:rsidP="00E62798">
      <w:pPr>
        <w:pStyle w:val="EndNoteBibliography"/>
        <w:spacing w:after="0"/>
        <w:ind w:hanging="720"/>
      </w:pPr>
      <w:bookmarkStart w:id="345" w:name="_ENREF_43"/>
      <w:r w:rsidRPr="00E62798">
        <w:t>43</w:t>
      </w:r>
      <w:r w:rsidRPr="00E62798">
        <w:tab/>
        <w:t xml:space="preserve">Navaei F, Aliabady B, Moghtaderi J, Moghtaderi M and Kelishadi R (2010). Early outcome of preterm infants with birth weight of 1500 g or less and gestational age of 30 weeks or less in Isfahan city, Iran, </w:t>
      </w:r>
      <w:r w:rsidRPr="00E62798">
        <w:rPr>
          <w:i/>
        </w:rPr>
        <w:t>World J Pediatr</w:t>
      </w:r>
      <w:r w:rsidRPr="00E62798">
        <w:t xml:space="preserve"> 6(3):228-232. </w:t>
      </w:r>
      <w:hyperlink r:id="rId101" w:history="1">
        <w:r w:rsidRPr="00E62798">
          <w:rPr>
            <w:rStyle w:val="Hyperlink"/>
          </w:rPr>
          <w:t>http://www.ncbi.nlm.nih.gov/pubmed/20549417</w:t>
        </w:r>
        <w:bookmarkEnd w:id="345"/>
      </w:hyperlink>
    </w:p>
    <w:p w14:paraId="41EF416B" w14:textId="1A52FA5E" w:rsidR="00E62798" w:rsidRPr="00E62798" w:rsidRDefault="00E62798" w:rsidP="00E62798">
      <w:pPr>
        <w:pStyle w:val="EndNoteBibliography"/>
        <w:spacing w:after="0"/>
        <w:ind w:hanging="720"/>
      </w:pPr>
      <w:bookmarkStart w:id="346" w:name="_ENREF_44"/>
      <w:r w:rsidRPr="00E62798">
        <w:t>44</w:t>
      </w:r>
      <w:r w:rsidRPr="00E62798">
        <w:tab/>
        <w:t xml:space="preserve">Stritzke AI, Smyth J, Synnes A, Lee SK and Shah PS (2013). Transfusion-associated necrotising enterocolitis in neonates, </w:t>
      </w:r>
      <w:r w:rsidRPr="00E62798">
        <w:rPr>
          <w:i/>
        </w:rPr>
        <w:t>Archives of Disease in Childhood: Fetal and Neonatal Edition</w:t>
      </w:r>
      <w:r w:rsidRPr="00E62798">
        <w:t xml:space="preserve"> 98(1):F10–F14. </w:t>
      </w:r>
      <w:hyperlink r:id="rId102" w:history="1">
        <w:r w:rsidRPr="00E62798">
          <w:rPr>
            <w:rStyle w:val="Hyperlink"/>
          </w:rPr>
          <w:t>http://fn.bmj.com/content/98/1/F10.long</w:t>
        </w:r>
        <w:bookmarkEnd w:id="346"/>
      </w:hyperlink>
    </w:p>
    <w:p w14:paraId="728A8A6F" w14:textId="37230A16" w:rsidR="00E62798" w:rsidRPr="00E62798" w:rsidRDefault="00E62798" w:rsidP="00E62798">
      <w:pPr>
        <w:pStyle w:val="EndNoteBibliography"/>
        <w:spacing w:after="0"/>
        <w:ind w:hanging="720"/>
      </w:pPr>
      <w:bookmarkStart w:id="347" w:name="_ENREF_45"/>
      <w:r w:rsidRPr="00E62798">
        <w:t>45</w:t>
      </w:r>
      <w:r w:rsidRPr="00E62798">
        <w:tab/>
        <w:t xml:space="preserve">Wan-Huen P, Bateman D, Shapiro DM and Parravicini E (2013). Packed red blood cell transfusion is an independent risk factor for necrotizing enterocolitis in premature infants, </w:t>
      </w:r>
      <w:r w:rsidRPr="00E62798">
        <w:rPr>
          <w:i/>
        </w:rPr>
        <w:t>Journal of Perinatology</w:t>
      </w:r>
      <w:r w:rsidRPr="00E62798">
        <w:t xml:space="preserve"> 33(10):786–790. </w:t>
      </w:r>
      <w:hyperlink r:id="rId103" w:history="1">
        <w:r w:rsidRPr="00E62798">
          <w:rPr>
            <w:rStyle w:val="Hyperlink"/>
          </w:rPr>
          <w:t>http://dx.doi.org/10.1038/jp.2013.60</w:t>
        </w:r>
        <w:bookmarkEnd w:id="347"/>
      </w:hyperlink>
    </w:p>
    <w:p w14:paraId="086B990B" w14:textId="6D55285B" w:rsidR="00E62798" w:rsidRPr="00E62798" w:rsidRDefault="00E62798" w:rsidP="00E62798">
      <w:pPr>
        <w:pStyle w:val="EndNoteBibliography"/>
        <w:spacing w:after="0"/>
        <w:ind w:hanging="720"/>
      </w:pPr>
      <w:bookmarkStart w:id="348" w:name="_ENREF_46"/>
      <w:r w:rsidRPr="00E62798">
        <w:t>46</w:t>
      </w:r>
      <w:r w:rsidRPr="00E62798">
        <w:tab/>
        <w:t xml:space="preserve">Weintraub Z, Carmi N, Elouti H and Rumelt S (2011). The association between stage 3 or higher retinopathy of prematurity and other disorders of prematurity, </w:t>
      </w:r>
      <w:r w:rsidRPr="00E62798">
        <w:rPr>
          <w:i/>
        </w:rPr>
        <w:t>Canadian Journal of Ophthalmology</w:t>
      </w:r>
      <w:r w:rsidRPr="00E62798">
        <w:t xml:space="preserve"> 46(5):419–424. </w:t>
      </w:r>
      <w:hyperlink r:id="rId104" w:history="1">
        <w:r w:rsidRPr="00E62798">
          <w:rPr>
            <w:rStyle w:val="Hyperlink"/>
          </w:rPr>
          <w:t>http://www.canadianjournalofophthalmology.ca/article/S0008-4182(11)00166-9/abstract</w:t>
        </w:r>
        <w:bookmarkEnd w:id="348"/>
      </w:hyperlink>
    </w:p>
    <w:p w14:paraId="77737EB9" w14:textId="752AE1A0" w:rsidR="00E62798" w:rsidRPr="00E62798" w:rsidRDefault="00E62798" w:rsidP="00E62798">
      <w:pPr>
        <w:pStyle w:val="EndNoteBibliography"/>
        <w:spacing w:after="0"/>
        <w:ind w:hanging="720"/>
      </w:pPr>
      <w:bookmarkStart w:id="349" w:name="_ENREF_47"/>
      <w:r w:rsidRPr="00E62798">
        <w:t>47</w:t>
      </w:r>
      <w:r w:rsidRPr="00E62798">
        <w:tab/>
        <w:t xml:space="preserve">Bassler D, Weitz M, Bialkowski A and Poets CF (2008). Restrictive versus liberal red blood cell transfusion strategies for preterm infants: A systematic review of randomized controlled trials, </w:t>
      </w:r>
      <w:r w:rsidRPr="00E62798">
        <w:rPr>
          <w:i/>
        </w:rPr>
        <w:t>Current Pediatric Reviews</w:t>
      </w:r>
      <w:r w:rsidRPr="00E62798">
        <w:t xml:space="preserve"> 4(3):143–150. </w:t>
      </w:r>
      <w:hyperlink r:id="rId105" w:history="1">
        <w:r w:rsidRPr="00E62798">
          <w:rPr>
            <w:rStyle w:val="Hyperlink"/>
          </w:rPr>
          <w:t>http://dx.doi.org/10.2174/157339608785855983</w:t>
        </w:r>
        <w:bookmarkEnd w:id="349"/>
      </w:hyperlink>
    </w:p>
    <w:p w14:paraId="294B64A4" w14:textId="070846BA" w:rsidR="00E62798" w:rsidRPr="00E62798" w:rsidRDefault="00E62798" w:rsidP="00E62798">
      <w:pPr>
        <w:pStyle w:val="EndNoteBibliography"/>
        <w:spacing w:after="0"/>
        <w:ind w:hanging="720"/>
      </w:pPr>
      <w:bookmarkStart w:id="350" w:name="_ENREF_48"/>
      <w:r w:rsidRPr="00E62798">
        <w:t>48</w:t>
      </w:r>
      <w:r w:rsidRPr="00E62798">
        <w:tab/>
        <w:t xml:space="preserve">Ibrahim M, Ho SKY and Yeo CL (2014). Restrictive versus liberal red blood cell transfusion thresholds in very low birth weight infants: A systematic review and meta-analysis, </w:t>
      </w:r>
      <w:r w:rsidRPr="00E62798">
        <w:rPr>
          <w:i/>
        </w:rPr>
        <w:t>Journal of Paediatrics and Child Health</w:t>
      </w:r>
      <w:r w:rsidRPr="00E62798">
        <w:t xml:space="preserve"> 50(2):122–130. </w:t>
      </w:r>
      <w:hyperlink r:id="rId106" w:history="1">
        <w:r w:rsidRPr="00E62798">
          <w:rPr>
            <w:rStyle w:val="Hyperlink"/>
          </w:rPr>
          <w:t>http://dx.doi.org/10.1111/jpc.12409</w:t>
        </w:r>
        <w:bookmarkEnd w:id="350"/>
      </w:hyperlink>
    </w:p>
    <w:p w14:paraId="22EC7F27" w14:textId="17FF7686" w:rsidR="00E62798" w:rsidRPr="00E62798" w:rsidRDefault="00E62798" w:rsidP="00E62798">
      <w:pPr>
        <w:pStyle w:val="EndNoteBibliography"/>
        <w:spacing w:after="0"/>
        <w:ind w:hanging="720"/>
      </w:pPr>
      <w:bookmarkStart w:id="351" w:name="_ENREF_49"/>
      <w:r w:rsidRPr="00E62798">
        <w:t>49</w:t>
      </w:r>
      <w:r w:rsidRPr="00E62798">
        <w:tab/>
        <w:t xml:space="preserve">Venkatesh V, Khan R, Curley A, Hopewell S, Doree C and Stanworth S (2012). The safety and efficacy of red cell transfusions in neonates: A systematic review of randomized controlled trials, </w:t>
      </w:r>
      <w:r w:rsidRPr="00E62798">
        <w:rPr>
          <w:i/>
        </w:rPr>
        <w:t>Br J Haematol</w:t>
      </w:r>
      <w:r w:rsidRPr="00E62798">
        <w:t xml:space="preserve"> 158(3):370–385. </w:t>
      </w:r>
      <w:hyperlink r:id="rId107" w:history="1">
        <w:r w:rsidRPr="00E62798">
          <w:rPr>
            <w:rStyle w:val="Hyperlink"/>
          </w:rPr>
          <w:t>http://onlinelibrary.wiley.com/store/10.1111/j.1365-2141.2012.09180.x/asset/bjh9180.pdf?v=1&amp;t=i7cjieyn&amp;s=7bd53943fb622f00991723d31ed63825d6438702</w:t>
        </w:r>
        <w:bookmarkEnd w:id="351"/>
      </w:hyperlink>
    </w:p>
    <w:p w14:paraId="12CC5F19" w14:textId="7A5AC4C3" w:rsidR="00E62798" w:rsidRPr="00E62798" w:rsidRDefault="00E62798" w:rsidP="00E62798">
      <w:pPr>
        <w:pStyle w:val="EndNoteBibliography"/>
        <w:spacing w:after="0"/>
        <w:ind w:hanging="720"/>
      </w:pPr>
      <w:bookmarkStart w:id="352" w:name="_ENREF_50"/>
      <w:r w:rsidRPr="00E62798">
        <w:t>50</w:t>
      </w:r>
      <w:r w:rsidRPr="00E62798">
        <w:tab/>
        <w:t xml:space="preserve">Whyte R and Kirpalani H (2011). Low versus high haemoglobin concentration threshold for blood transfusion for preventing morbidity and mortality in very low birth weight infants, </w:t>
      </w:r>
      <w:r w:rsidRPr="00E62798">
        <w:rPr>
          <w:i/>
        </w:rPr>
        <w:t>Cochrane database of systematic reviews (Online)</w:t>
      </w:r>
      <w:r w:rsidRPr="00E62798">
        <w:t xml:space="preserve"> (11):CD000512. </w:t>
      </w:r>
      <w:hyperlink r:id="rId108" w:history="1">
        <w:r w:rsidRPr="00E62798">
          <w:rPr>
            <w:rStyle w:val="Hyperlink"/>
          </w:rPr>
          <w:t>http://www.embase.com/search/results?subaction=viewrecord&amp;from=export&amp;id=L560067527</w:t>
        </w:r>
        <w:bookmarkEnd w:id="352"/>
      </w:hyperlink>
    </w:p>
    <w:p w14:paraId="22374A46" w14:textId="404CCDF6" w:rsidR="00E62798" w:rsidRPr="00E62798" w:rsidRDefault="00E62798" w:rsidP="00E62798">
      <w:pPr>
        <w:pStyle w:val="EndNoteBibliography"/>
        <w:spacing w:after="0"/>
        <w:ind w:hanging="720"/>
      </w:pPr>
      <w:bookmarkStart w:id="353" w:name="_ENREF_51"/>
      <w:r w:rsidRPr="00E62798">
        <w:t>51</w:t>
      </w:r>
      <w:r w:rsidRPr="00E62798">
        <w:tab/>
        <w:t xml:space="preserve">Bell EF, Strauss RG, Widness JA, Mahoney LT, Mock DM, Seward VJ, et al. (2005). Randomized trial of liberal versus restrictive guidelines for red blood cell transfusion in preterm infants, </w:t>
      </w:r>
      <w:r w:rsidRPr="00E62798">
        <w:rPr>
          <w:i/>
        </w:rPr>
        <w:t>Pediatrics</w:t>
      </w:r>
      <w:r w:rsidRPr="00E62798">
        <w:t xml:space="preserve"> 115(6):1685–1691. </w:t>
      </w:r>
      <w:hyperlink r:id="rId109" w:history="1">
        <w:r w:rsidRPr="00E62798">
          <w:rPr>
            <w:rStyle w:val="Hyperlink"/>
          </w:rPr>
          <w:t>http://www.ncbi.nlm.nih.gov/pmc/articles/PMC2866196/pdf/nihms-199759.pdf</w:t>
        </w:r>
        <w:bookmarkEnd w:id="353"/>
      </w:hyperlink>
    </w:p>
    <w:p w14:paraId="7A1EF19E" w14:textId="2D80A560" w:rsidR="00E62798" w:rsidRPr="00E62798" w:rsidRDefault="00E62798" w:rsidP="00E62798">
      <w:pPr>
        <w:pStyle w:val="EndNoteBibliography"/>
        <w:spacing w:after="0"/>
        <w:ind w:hanging="720"/>
      </w:pPr>
      <w:bookmarkStart w:id="354" w:name="_ENREF_52"/>
      <w:r w:rsidRPr="00E62798">
        <w:t>52</w:t>
      </w:r>
      <w:r w:rsidRPr="00E62798">
        <w:tab/>
        <w:t xml:space="preserve">Chen HL, Tseng HI, Lu CC, Yang SN, Fan HC and Yang RC (2009). Effect of Blood Transfusions on the Outcome of Very Low Body Weight Preterm Infants under Two Different Transfusion Criteria, </w:t>
      </w:r>
      <w:r w:rsidRPr="00E62798">
        <w:rPr>
          <w:i/>
        </w:rPr>
        <w:t>Pediatrics and Neonatology</w:t>
      </w:r>
      <w:r w:rsidRPr="00E62798">
        <w:t xml:space="preserve"> 50(3):110–116. </w:t>
      </w:r>
      <w:hyperlink r:id="rId110" w:history="1">
        <w:r w:rsidRPr="00E62798">
          <w:rPr>
            <w:rStyle w:val="Hyperlink"/>
          </w:rPr>
          <w:t>http://www.pediatr-neonatol.com/article/S1875-9572(09)60045-0/pdf</w:t>
        </w:r>
        <w:bookmarkEnd w:id="354"/>
      </w:hyperlink>
    </w:p>
    <w:p w14:paraId="12CEB458" w14:textId="3676E1E9" w:rsidR="00E62798" w:rsidRPr="00E62798" w:rsidRDefault="00E62798" w:rsidP="00E62798">
      <w:pPr>
        <w:pStyle w:val="EndNoteBibliography"/>
        <w:spacing w:after="0"/>
        <w:ind w:hanging="720"/>
      </w:pPr>
      <w:bookmarkStart w:id="355" w:name="_ENREF_53"/>
      <w:r w:rsidRPr="00E62798">
        <w:t>53</w:t>
      </w:r>
      <w:r w:rsidRPr="00E62798">
        <w:tab/>
        <w:t xml:space="preserve">Kirpalani H, Whyte RK, Andersen C, Asztalos EV, Heddle N, Blajchman MA, et al. (2006). The premature infants in need of transfusion (pint) study: A randomized, controlled trial of a restrictive (LOW) versus liberal (HIGH) transfusion threshold for extremely low birth weight infants, </w:t>
      </w:r>
      <w:r w:rsidRPr="00E62798">
        <w:rPr>
          <w:i/>
        </w:rPr>
        <w:t>Journal of Pediatrics</w:t>
      </w:r>
      <w:r w:rsidRPr="00E62798">
        <w:t xml:space="preserve"> 149(3):301–307. </w:t>
      </w:r>
      <w:hyperlink r:id="rId111" w:history="1">
        <w:r w:rsidRPr="00E62798">
          <w:rPr>
            <w:rStyle w:val="Hyperlink"/>
          </w:rPr>
          <w:t>http://www.jpeds.com/article/S0022-3476(06)00444-6/abstract</w:t>
        </w:r>
        <w:bookmarkEnd w:id="355"/>
      </w:hyperlink>
    </w:p>
    <w:p w14:paraId="07BA6EC1" w14:textId="222BCB7D" w:rsidR="00E62798" w:rsidRPr="00E62798" w:rsidRDefault="00E62798" w:rsidP="00E62798">
      <w:pPr>
        <w:pStyle w:val="EndNoteBibliography"/>
        <w:spacing w:after="0"/>
        <w:ind w:hanging="720"/>
      </w:pPr>
      <w:bookmarkStart w:id="356" w:name="_ENREF_54"/>
      <w:r w:rsidRPr="00E62798">
        <w:t>54</w:t>
      </w:r>
      <w:r w:rsidRPr="00E62798">
        <w:tab/>
        <w:t xml:space="preserve">Brooks SE, Marcus DM, Gillis D, Pirie E, Johnson MH and Bhatia J (1999). The effect of blood transfusion protocol on retinopathy of prematurity: A prospective, randomized study, </w:t>
      </w:r>
      <w:r w:rsidRPr="00E62798">
        <w:rPr>
          <w:i/>
        </w:rPr>
        <w:t>Pediatrics</w:t>
      </w:r>
      <w:r w:rsidRPr="00E62798">
        <w:t xml:space="preserve"> 104(3 I):514–518. </w:t>
      </w:r>
      <w:hyperlink r:id="rId112" w:history="1">
        <w:r w:rsidRPr="00E62798">
          <w:rPr>
            <w:rStyle w:val="Hyperlink"/>
          </w:rPr>
          <w:t>http://dx.doi.org/10.1542/peds.104.3.514</w:t>
        </w:r>
        <w:bookmarkEnd w:id="356"/>
      </w:hyperlink>
    </w:p>
    <w:p w14:paraId="6BD4A626" w14:textId="77777777" w:rsidR="00E62798" w:rsidRPr="00E62798" w:rsidRDefault="00E62798" w:rsidP="00E62798">
      <w:pPr>
        <w:pStyle w:val="EndNoteBibliography"/>
        <w:spacing w:after="0"/>
        <w:ind w:hanging="720"/>
      </w:pPr>
      <w:bookmarkStart w:id="357" w:name="_ENREF_55"/>
      <w:r w:rsidRPr="00E62798">
        <w:t>55</w:t>
      </w:r>
      <w:r w:rsidRPr="00E62798">
        <w:tab/>
        <w:t xml:space="preserve">Connelly RJ, Stone SH and Whyte RK (1998). Early vs. late red cell transfusion in low birth weight infants, </w:t>
      </w:r>
      <w:r w:rsidRPr="00E62798">
        <w:rPr>
          <w:i/>
        </w:rPr>
        <w:t>Pediatr Res</w:t>
      </w:r>
      <w:r w:rsidRPr="00E62798">
        <w:t xml:space="preserve"> 43(4):170A.</w:t>
      </w:r>
      <w:bookmarkEnd w:id="357"/>
    </w:p>
    <w:p w14:paraId="790F1D28" w14:textId="46446F03" w:rsidR="00E62798" w:rsidRPr="00E62798" w:rsidRDefault="00E62798" w:rsidP="00E62798">
      <w:pPr>
        <w:pStyle w:val="EndNoteBibliography"/>
        <w:spacing w:after="0"/>
        <w:ind w:hanging="720"/>
      </w:pPr>
      <w:bookmarkStart w:id="358" w:name="_ENREF_56"/>
      <w:r w:rsidRPr="00E62798">
        <w:t>56</w:t>
      </w:r>
      <w:r w:rsidRPr="00E62798">
        <w:tab/>
        <w:t xml:space="preserve">Whyte RK, Kirpalani H, Asztalos EV, Andersen C, Blajchman M, Heddle N, et al. (2009). Neurodevelopmental outcome of extremely low birth weight infants randomly assigned to restrictive or liberal hemoglobin thresholds for blood transfusion, </w:t>
      </w:r>
      <w:r w:rsidRPr="00E62798">
        <w:rPr>
          <w:i/>
        </w:rPr>
        <w:t>Pediatrics</w:t>
      </w:r>
      <w:r w:rsidRPr="00E62798">
        <w:t xml:space="preserve"> 123(1):207–213. </w:t>
      </w:r>
      <w:hyperlink r:id="rId113" w:history="1">
        <w:r w:rsidRPr="00E62798">
          <w:rPr>
            <w:rStyle w:val="Hyperlink"/>
          </w:rPr>
          <w:t>http://pediatrics.aappublications.org/content/123/1/207.long</w:t>
        </w:r>
        <w:bookmarkEnd w:id="358"/>
      </w:hyperlink>
    </w:p>
    <w:p w14:paraId="2BE10027" w14:textId="474946B7" w:rsidR="00E62798" w:rsidRPr="00E62798" w:rsidRDefault="00E62798" w:rsidP="00E62798">
      <w:pPr>
        <w:pStyle w:val="EndNoteBibliography"/>
        <w:spacing w:after="0"/>
        <w:ind w:hanging="720"/>
      </w:pPr>
      <w:bookmarkStart w:id="359" w:name="_ENREF_57"/>
      <w:r w:rsidRPr="00E62798">
        <w:t>57</w:t>
      </w:r>
      <w:r w:rsidRPr="00E62798">
        <w:tab/>
        <w:t xml:space="preserve">Boost Ii United Kingdom Collaborative Group, Boost Ii Australia Collaborative Group, Boost Ii New Zealand Collaborative Group, Stenson BJ, Tarnow-Mordi WO, Darlow BA, et al. (2013). Oxygen saturation and outcomes in preterm infants, </w:t>
      </w:r>
      <w:r w:rsidRPr="00E62798">
        <w:rPr>
          <w:i/>
        </w:rPr>
        <w:t>N Engl J Med</w:t>
      </w:r>
      <w:r w:rsidRPr="00E62798">
        <w:t xml:space="preserve"> 368(22):2094–2104. </w:t>
      </w:r>
      <w:hyperlink r:id="rId114" w:history="1">
        <w:r w:rsidRPr="00E62798">
          <w:rPr>
            <w:rStyle w:val="Hyperlink"/>
          </w:rPr>
          <w:t>http://www.ncbi.nlm.nih.gov/pubmed/23642047</w:t>
        </w:r>
        <w:bookmarkEnd w:id="359"/>
      </w:hyperlink>
    </w:p>
    <w:p w14:paraId="723F0E05" w14:textId="302B3C02" w:rsidR="00E62798" w:rsidRPr="00E62798" w:rsidRDefault="00E62798" w:rsidP="00E62798">
      <w:pPr>
        <w:pStyle w:val="EndNoteBibliography"/>
        <w:spacing w:after="0"/>
        <w:ind w:hanging="720"/>
      </w:pPr>
      <w:bookmarkStart w:id="360" w:name="_ENREF_58"/>
      <w:r w:rsidRPr="00E62798">
        <w:t>58</w:t>
      </w:r>
      <w:r w:rsidRPr="00E62798">
        <w:tab/>
        <w:t xml:space="preserve">Carson JL, Grossman BJ, Kleinman S, Tinmouth AT, Marques MB, Fung MK, et al. (2012). Red blood cell transfusion: a clinical practice guideline from the AABB, </w:t>
      </w:r>
      <w:r w:rsidRPr="00E62798">
        <w:rPr>
          <w:i/>
        </w:rPr>
        <w:t>Annals of Internal Medicine</w:t>
      </w:r>
      <w:r w:rsidRPr="00E62798">
        <w:t xml:space="preserve"> 157(1):49–58. </w:t>
      </w:r>
      <w:hyperlink r:id="rId115" w:history="1">
        <w:r w:rsidRPr="00E62798">
          <w:rPr>
            <w:rStyle w:val="Hyperlink"/>
          </w:rPr>
          <w:t>http://annals.org/data/Journals/AIM/24329/0000605-201207030-00008.pdf</w:t>
        </w:r>
        <w:bookmarkEnd w:id="360"/>
      </w:hyperlink>
    </w:p>
    <w:p w14:paraId="60245C8A" w14:textId="517E3CCB" w:rsidR="00E62798" w:rsidRPr="00E62798" w:rsidRDefault="00E62798" w:rsidP="00E62798">
      <w:pPr>
        <w:pStyle w:val="EndNoteBibliography"/>
        <w:spacing w:after="0"/>
        <w:ind w:hanging="720"/>
      </w:pPr>
      <w:bookmarkStart w:id="361" w:name="_ENREF_59"/>
      <w:r w:rsidRPr="00E62798">
        <w:t>59</w:t>
      </w:r>
      <w:r w:rsidRPr="00E62798">
        <w:tab/>
        <w:t xml:space="preserve">Lacroix J, Hebert PC, Hutchison JS, Hume HA, Tucci M, Ducruet T, et al. (2007). Transfusion strategies for patients in pediatric intensive care units, </w:t>
      </w:r>
      <w:r w:rsidRPr="00E62798">
        <w:rPr>
          <w:i/>
        </w:rPr>
        <w:t>New England Journal of Medicine</w:t>
      </w:r>
      <w:r w:rsidRPr="00E62798">
        <w:t xml:space="preserve"> 356(16):1609–1619. </w:t>
      </w:r>
      <w:hyperlink r:id="rId116" w:history="1">
        <w:r w:rsidRPr="00E62798">
          <w:rPr>
            <w:rStyle w:val="Hyperlink"/>
          </w:rPr>
          <w:t>http://www.nejm.org/doi/pdf/10.1056/NEJMoa066240</w:t>
        </w:r>
        <w:bookmarkEnd w:id="361"/>
      </w:hyperlink>
    </w:p>
    <w:p w14:paraId="0E7088AF" w14:textId="04F283C3" w:rsidR="00E62798" w:rsidRPr="00E62798" w:rsidRDefault="00E62798" w:rsidP="00E62798">
      <w:pPr>
        <w:pStyle w:val="EndNoteBibliography"/>
        <w:spacing w:after="0"/>
        <w:ind w:hanging="720"/>
      </w:pPr>
      <w:bookmarkStart w:id="362" w:name="_ENREF_60"/>
      <w:r w:rsidRPr="00E62798">
        <w:t>60</w:t>
      </w:r>
      <w:r w:rsidRPr="00E62798">
        <w:tab/>
      </w:r>
      <w:r w:rsidRPr="00E62798">
        <w:rPr>
          <w:i/>
        </w:rPr>
        <w:t>TCD With Transfusions Changing to Hydroxyurea (TWiTCH): A Phase III Randomized Clinical Trial to Compare Standard Therapy (Erythrocyte Transfusions) With Alternative Therapy (Hydroxyurea) for the Maintenance of Lowered TCD Velocities in Pediatric Subjects With Sickle Cell Anemia and Abnormal Pre-treatment TCD Velocities</w:t>
      </w:r>
      <w:r w:rsidRPr="00E62798">
        <w:t xml:space="preserve">. </w:t>
      </w:r>
      <w:hyperlink r:id="rId117" w:history="1">
        <w:r w:rsidRPr="00E62798">
          <w:rPr>
            <w:rStyle w:val="Hyperlink"/>
          </w:rPr>
          <w:t>https://clinicaltrials.gov/ct2/show/study/NCT01425307?term=Twitch+sickle+cell&amp;rank=1</w:t>
        </w:r>
        <w:bookmarkEnd w:id="362"/>
      </w:hyperlink>
    </w:p>
    <w:p w14:paraId="09362290" w14:textId="2BC70F06" w:rsidR="00E62798" w:rsidRPr="00E62798" w:rsidRDefault="00E62798" w:rsidP="00E62798">
      <w:pPr>
        <w:pStyle w:val="EndNoteBibliography"/>
        <w:spacing w:after="0"/>
        <w:ind w:hanging="720"/>
      </w:pPr>
      <w:bookmarkStart w:id="363" w:name="_ENREF_61"/>
      <w:r w:rsidRPr="00E62798">
        <w:t>61</w:t>
      </w:r>
      <w:r w:rsidRPr="00E62798">
        <w:tab/>
        <w:t xml:space="preserve">Bernaudin M, Bellail A, Marti HH, Yvon A, Vivien D, Duchatelle I, et al. (2000). Neurons and astrocytes express EPO mRNA: oxygen-sensing mechanisms that involve the redox-state of the brain, </w:t>
      </w:r>
      <w:r w:rsidRPr="00E62798">
        <w:rPr>
          <w:i/>
        </w:rPr>
        <w:t>Glia</w:t>
      </w:r>
      <w:r w:rsidRPr="00E62798">
        <w:t xml:space="preserve"> 30(3):271–278. </w:t>
      </w:r>
      <w:hyperlink r:id="rId118" w:history="1">
        <w:r w:rsidRPr="00E62798">
          <w:rPr>
            <w:rStyle w:val="Hyperlink"/>
          </w:rPr>
          <w:t>http://www.ncbi.nlm.nih.gov/pubmed/10756076</w:t>
        </w:r>
        <w:bookmarkEnd w:id="363"/>
      </w:hyperlink>
    </w:p>
    <w:p w14:paraId="441814D7" w14:textId="5A2634CA" w:rsidR="00E62798" w:rsidRPr="00E62798" w:rsidRDefault="00E62798" w:rsidP="00E62798">
      <w:pPr>
        <w:pStyle w:val="EndNoteBibliography"/>
        <w:spacing w:after="0"/>
        <w:ind w:hanging="720"/>
      </w:pPr>
      <w:bookmarkStart w:id="364" w:name="_ENREF_62"/>
      <w:r w:rsidRPr="00E62798">
        <w:t>62</w:t>
      </w:r>
      <w:r w:rsidRPr="00E62798">
        <w:tab/>
        <w:t xml:space="preserve">Pegelow CH, Macklin EA, Moser FG, Wang WC, Bello JA, Miller ST, et al. (2002). Longitudinal changes in brain magnetic resonance imaging findings in children with sickle cell disease, </w:t>
      </w:r>
      <w:r w:rsidRPr="00E62798">
        <w:rPr>
          <w:i/>
        </w:rPr>
        <w:t>Blood</w:t>
      </w:r>
      <w:r w:rsidRPr="00E62798">
        <w:t xml:space="preserve"> 99(8):3014–3018. </w:t>
      </w:r>
      <w:hyperlink r:id="rId119" w:history="1">
        <w:r w:rsidRPr="00E62798">
          <w:rPr>
            <w:rStyle w:val="Hyperlink"/>
          </w:rPr>
          <w:t>http://www.ncbi.nlm.nih.gov/pubmed/11929794</w:t>
        </w:r>
        <w:bookmarkEnd w:id="364"/>
      </w:hyperlink>
    </w:p>
    <w:p w14:paraId="29CD743B" w14:textId="56271654" w:rsidR="00E62798" w:rsidRPr="00E62798" w:rsidRDefault="00E62798" w:rsidP="00E62798">
      <w:pPr>
        <w:pStyle w:val="EndNoteBibliography"/>
        <w:spacing w:after="0"/>
        <w:ind w:hanging="720"/>
      </w:pPr>
      <w:bookmarkStart w:id="365" w:name="_ENREF_63"/>
      <w:r w:rsidRPr="00E62798">
        <w:t>63</w:t>
      </w:r>
      <w:r w:rsidRPr="00E62798">
        <w:tab/>
        <w:t xml:space="preserve">Cherry MG, Greenhalgh J, Osipenko L, Venkatachalam M, Boland A, Dundar Y, et al. (2012). The clinical effectiveness and cost-effectiveness of primary stroke prevention in children with sickle cell disease: A Systematic Review and Economic Evaluation, </w:t>
      </w:r>
      <w:r w:rsidRPr="00E62798">
        <w:rPr>
          <w:i/>
        </w:rPr>
        <w:t>Health Technology Assessment</w:t>
      </w:r>
      <w:r w:rsidRPr="00E62798">
        <w:t xml:space="preserve"> 16(43):1–129. </w:t>
      </w:r>
      <w:hyperlink r:id="rId120" w:history="1">
        <w:r w:rsidRPr="00E62798">
          <w:rPr>
            <w:rStyle w:val="Hyperlink"/>
          </w:rPr>
          <w:t>http://dx.doi.org/10.3310/hta16430</w:t>
        </w:r>
        <w:bookmarkEnd w:id="365"/>
      </w:hyperlink>
    </w:p>
    <w:p w14:paraId="405444F2" w14:textId="77777777" w:rsidR="00E62798" w:rsidRPr="00E62798" w:rsidRDefault="00E62798" w:rsidP="00E62798">
      <w:pPr>
        <w:pStyle w:val="EndNoteBibliography"/>
        <w:spacing w:after="0"/>
        <w:ind w:hanging="720"/>
      </w:pPr>
      <w:bookmarkStart w:id="366" w:name="_ENREF_64"/>
      <w:r w:rsidRPr="00E62798">
        <w:t>64</w:t>
      </w:r>
      <w:r w:rsidRPr="00E62798">
        <w:tab/>
        <w:t xml:space="preserve">Wang WC and Dwan K (2013). Blood transfusion for preventing primary and secondary stroke in people with sickle cell disease, </w:t>
      </w:r>
      <w:r w:rsidRPr="00E62798">
        <w:rPr>
          <w:i/>
        </w:rPr>
        <w:t>Cochrane Database of Systematic Reviews</w:t>
      </w:r>
      <w:r w:rsidRPr="00E62798">
        <w:t>.</w:t>
      </w:r>
      <w:bookmarkEnd w:id="366"/>
    </w:p>
    <w:p w14:paraId="38E0BF7A" w14:textId="78FBD4E5" w:rsidR="00E62798" w:rsidRPr="00E62798" w:rsidRDefault="00E62798" w:rsidP="00E62798">
      <w:pPr>
        <w:pStyle w:val="EndNoteBibliography"/>
        <w:spacing w:after="0"/>
        <w:ind w:hanging="720"/>
      </w:pPr>
      <w:bookmarkStart w:id="367" w:name="_ENREF_65"/>
      <w:r w:rsidRPr="00E62798">
        <w:t>65</w:t>
      </w:r>
      <w:r w:rsidRPr="00E62798">
        <w:tab/>
        <w:t xml:space="preserve">Adams RJ and Brambilla D (2005). Discontinuing prophylactic transfusions used to prevent stroke in sickle cell disease, </w:t>
      </w:r>
      <w:r w:rsidRPr="00E62798">
        <w:rPr>
          <w:i/>
        </w:rPr>
        <w:t>New England Journal of Medicine</w:t>
      </w:r>
      <w:r w:rsidRPr="00E62798">
        <w:t xml:space="preserve"> 353(26):2769–2778. </w:t>
      </w:r>
      <w:hyperlink r:id="rId121" w:history="1">
        <w:r w:rsidRPr="00E62798">
          <w:rPr>
            <w:rStyle w:val="Hyperlink"/>
          </w:rPr>
          <w:t>http://www.nejm.org/doi/pdf/10.1056/NEJMoa050460</w:t>
        </w:r>
        <w:bookmarkEnd w:id="367"/>
      </w:hyperlink>
    </w:p>
    <w:p w14:paraId="3005B00F" w14:textId="67D4C442" w:rsidR="00E62798" w:rsidRPr="00E62798" w:rsidRDefault="00E62798" w:rsidP="00E62798">
      <w:pPr>
        <w:pStyle w:val="EndNoteBibliography"/>
        <w:spacing w:after="0"/>
        <w:ind w:hanging="720"/>
      </w:pPr>
      <w:bookmarkStart w:id="368" w:name="_ENREF_66"/>
      <w:r w:rsidRPr="00E62798">
        <w:t>66</w:t>
      </w:r>
      <w:r w:rsidRPr="00E62798">
        <w:tab/>
        <w:t xml:space="preserve">Pegelow CH, Wang W, Granger S, Hsu LL, Vichinsky E, Moser FG, et al. (2001). Silent infarcts in children with sickle cell anemia and abnormal cerebral artery velocity, </w:t>
      </w:r>
      <w:r w:rsidRPr="00E62798">
        <w:rPr>
          <w:i/>
        </w:rPr>
        <w:t>Archives of Neurology</w:t>
      </w:r>
      <w:r w:rsidRPr="00E62798">
        <w:t xml:space="preserve"> 58(12):2017–2021. </w:t>
      </w:r>
      <w:hyperlink r:id="rId122" w:history="1">
        <w:r w:rsidRPr="00E62798">
          <w:rPr>
            <w:rStyle w:val="Hyperlink"/>
          </w:rPr>
          <w:t>http://archneur.jamanetwork.com/data/Journals/NEUR/6833/NOC10072.pdf</w:t>
        </w:r>
        <w:bookmarkEnd w:id="368"/>
      </w:hyperlink>
    </w:p>
    <w:p w14:paraId="49C16776" w14:textId="434B6A38" w:rsidR="00E62798" w:rsidRPr="00E62798" w:rsidRDefault="00E62798" w:rsidP="00E62798">
      <w:pPr>
        <w:pStyle w:val="EndNoteBibliography"/>
        <w:spacing w:after="0"/>
        <w:ind w:hanging="720"/>
      </w:pPr>
      <w:bookmarkStart w:id="369" w:name="_ENREF_67"/>
      <w:r w:rsidRPr="00E62798">
        <w:t>67</w:t>
      </w:r>
      <w:r w:rsidRPr="00E62798">
        <w:tab/>
        <w:t xml:space="preserve">US Department of Health and Human Services and National Institutes of Health (NIH) (2014). </w:t>
      </w:r>
      <w:r w:rsidRPr="00E62798">
        <w:rPr>
          <w:i/>
        </w:rPr>
        <w:t>Evidence-based management of sickle cell disease: Expert panel report</w:t>
      </w:r>
      <w:r w:rsidRPr="00E62798">
        <w:t xml:space="preserve">, Bethesda, USA. </w:t>
      </w:r>
      <w:hyperlink r:id="rId123" w:history="1">
        <w:r w:rsidRPr="00E62798">
          <w:rPr>
            <w:rStyle w:val="Hyperlink"/>
          </w:rPr>
          <w:t>https://www.nhlbi.nih.gov/health-pro/guidelines/sickle-cell-disease-guidelines</w:t>
        </w:r>
        <w:bookmarkEnd w:id="369"/>
      </w:hyperlink>
    </w:p>
    <w:p w14:paraId="14962D70" w14:textId="74EA19CB" w:rsidR="00E62798" w:rsidRPr="00E62798" w:rsidRDefault="00E62798" w:rsidP="00E62798">
      <w:pPr>
        <w:pStyle w:val="EndNoteBibliography"/>
        <w:spacing w:after="0"/>
        <w:ind w:hanging="720"/>
      </w:pPr>
      <w:bookmarkStart w:id="370" w:name="_ENREF_68"/>
      <w:r w:rsidRPr="00E62798">
        <w:t>68</w:t>
      </w:r>
      <w:r w:rsidRPr="00E62798">
        <w:tab/>
        <w:t xml:space="preserve">Cazzola M, Borgna-Pignatti C, Locatelli F, Ponchio L, Beguin Y and De Stefano P (1997). A moderate transfusion regimen may reduce iron loading in beta-thalassemia major without producing excessive expansion of erythropoiesis, </w:t>
      </w:r>
      <w:r w:rsidRPr="00E62798">
        <w:rPr>
          <w:i/>
        </w:rPr>
        <w:t>Transfusion</w:t>
      </w:r>
      <w:r w:rsidRPr="00E62798">
        <w:t xml:space="preserve"> 37(2):135–140. </w:t>
      </w:r>
      <w:hyperlink r:id="rId124" w:history="1">
        <w:r w:rsidRPr="00E62798">
          <w:rPr>
            <w:rStyle w:val="Hyperlink"/>
          </w:rPr>
          <w:t>http://www.ncbi.nlm.nih.gov/pubmed/9051086</w:t>
        </w:r>
        <w:bookmarkEnd w:id="370"/>
      </w:hyperlink>
    </w:p>
    <w:p w14:paraId="3CEBA011" w14:textId="5877DE51" w:rsidR="00E62798" w:rsidRPr="00E62798" w:rsidRDefault="00E62798" w:rsidP="00E62798">
      <w:pPr>
        <w:pStyle w:val="EndNoteBibliography"/>
        <w:spacing w:after="0"/>
        <w:ind w:hanging="720"/>
      </w:pPr>
      <w:bookmarkStart w:id="371" w:name="_ENREF_69"/>
      <w:r w:rsidRPr="00E62798">
        <w:t>69</w:t>
      </w:r>
      <w:r w:rsidRPr="00E62798">
        <w:tab/>
        <w:t xml:space="preserve">Masera G, Terzoli S, Avanzini A, Fontanelli G, Mauri RA, Piacentini G, et al. (1982). Evaluation of the supertransfusion regimen in homozygous beta-thalassaemia children, </w:t>
      </w:r>
      <w:r w:rsidRPr="00E62798">
        <w:rPr>
          <w:i/>
        </w:rPr>
        <w:t>Br J Haematol</w:t>
      </w:r>
      <w:r w:rsidRPr="00E62798">
        <w:t xml:space="preserve"> 52(1):111–113. </w:t>
      </w:r>
      <w:hyperlink r:id="rId125" w:history="1">
        <w:r w:rsidRPr="00E62798">
          <w:rPr>
            <w:rStyle w:val="Hyperlink"/>
          </w:rPr>
          <w:t>http://www.ncbi.nlm.nih.gov/pubmed/7115620</w:t>
        </w:r>
        <w:bookmarkEnd w:id="371"/>
      </w:hyperlink>
    </w:p>
    <w:p w14:paraId="59864EF4" w14:textId="0A3E0221" w:rsidR="00E62798" w:rsidRPr="00E62798" w:rsidRDefault="00E62798" w:rsidP="00E62798">
      <w:pPr>
        <w:pStyle w:val="EndNoteBibliography"/>
        <w:spacing w:after="0"/>
        <w:ind w:hanging="720"/>
      </w:pPr>
      <w:bookmarkStart w:id="372" w:name="_ENREF_70"/>
      <w:r w:rsidRPr="00E62798">
        <w:t>70</w:t>
      </w:r>
      <w:r w:rsidRPr="00E62798">
        <w:tab/>
        <w:t xml:space="preserve">Torcharus K, Withayathawornwong W, Sriphaisal T, Krutvacho T, Arnutti P and Suwanasophorn C (1993). High transfusion in children with beta-thalassemia/Hb E: clinical and laboratory assessment of 18 cases, </w:t>
      </w:r>
      <w:r w:rsidRPr="00E62798">
        <w:rPr>
          <w:i/>
        </w:rPr>
        <w:t>Southeast Asian J Trop Med Public Health</w:t>
      </w:r>
      <w:r w:rsidRPr="00E62798">
        <w:t xml:space="preserve"> 24 Suppl 1:96–99. </w:t>
      </w:r>
      <w:hyperlink r:id="rId126" w:history="1">
        <w:r w:rsidRPr="00E62798">
          <w:rPr>
            <w:rStyle w:val="Hyperlink"/>
          </w:rPr>
          <w:t>http://www.ncbi.nlm.nih.gov/pubmed/7886617</w:t>
        </w:r>
        <w:bookmarkEnd w:id="372"/>
      </w:hyperlink>
    </w:p>
    <w:p w14:paraId="04724818" w14:textId="28099553" w:rsidR="00E62798" w:rsidRPr="00E62798" w:rsidRDefault="00E62798" w:rsidP="00E62798">
      <w:pPr>
        <w:pStyle w:val="EndNoteBibliography"/>
        <w:spacing w:after="0"/>
        <w:ind w:hanging="720"/>
      </w:pPr>
      <w:bookmarkStart w:id="373" w:name="_ENREF_71"/>
      <w:r w:rsidRPr="00E62798">
        <w:t>71</w:t>
      </w:r>
      <w:r w:rsidRPr="00E62798">
        <w:tab/>
        <w:t xml:space="preserve">Jaime-Perez JC, Colunga-Pedraza PR and Gomez-Almaguer D (2011). Is the number of blood products transfused associated with lower survival in children with acute lymphoblastic leukemia?, </w:t>
      </w:r>
      <w:r w:rsidRPr="00E62798">
        <w:rPr>
          <w:i/>
        </w:rPr>
        <w:t>Pediatric Blood and Cancer</w:t>
      </w:r>
      <w:r w:rsidRPr="00E62798">
        <w:t xml:space="preserve"> 57(2):217–223. </w:t>
      </w:r>
      <w:hyperlink r:id="rId127" w:history="1">
        <w:r w:rsidRPr="00E62798">
          <w:rPr>
            <w:rStyle w:val="Hyperlink"/>
          </w:rPr>
          <w:t>http://dx.doi.org/10.1002/pbc.22957</w:t>
        </w:r>
        <w:bookmarkEnd w:id="373"/>
      </w:hyperlink>
    </w:p>
    <w:p w14:paraId="70F4630F" w14:textId="20ABF3B2" w:rsidR="00E62798" w:rsidRPr="00E62798" w:rsidRDefault="00E62798" w:rsidP="00E62798">
      <w:pPr>
        <w:pStyle w:val="EndNoteBibliography"/>
        <w:spacing w:after="0"/>
        <w:ind w:hanging="720"/>
      </w:pPr>
      <w:bookmarkStart w:id="374" w:name="_ENREF_72"/>
      <w:r w:rsidRPr="00E62798">
        <w:t>72</w:t>
      </w:r>
      <w:r w:rsidRPr="00E62798">
        <w:tab/>
        <w:t xml:space="preserve">Kneyber MCJ, Grotenhuis F, Berger RFM, Ebels TW, Burgerhof JGM and Albers MJIJ (2013). Transfusion of leukocyte-depleted RBCs is independently associated with increased morbidity after pediatric cardiac surgery, </w:t>
      </w:r>
      <w:r w:rsidRPr="00E62798">
        <w:rPr>
          <w:i/>
        </w:rPr>
        <w:t>Pediatric Critical Care Medicine</w:t>
      </w:r>
      <w:r w:rsidRPr="00E62798">
        <w:t xml:space="preserve"> 14(3):298–305. </w:t>
      </w:r>
      <w:hyperlink r:id="rId128" w:history="1">
        <w:r w:rsidRPr="00E62798">
          <w:rPr>
            <w:rStyle w:val="Hyperlink"/>
          </w:rPr>
          <w:t>http://dx.doi.org/10.1097/PCC.0b013e3182745472</w:t>
        </w:r>
        <w:bookmarkEnd w:id="374"/>
      </w:hyperlink>
    </w:p>
    <w:p w14:paraId="0441F264" w14:textId="477D7976" w:rsidR="00E62798" w:rsidRPr="00E62798" w:rsidRDefault="00E62798" w:rsidP="00E62798">
      <w:pPr>
        <w:pStyle w:val="EndNoteBibliography"/>
        <w:spacing w:after="0"/>
        <w:ind w:hanging="720"/>
      </w:pPr>
      <w:bookmarkStart w:id="375" w:name="_ENREF_73"/>
      <w:r w:rsidRPr="00E62798">
        <w:t>73</w:t>
      </w:r>
      <w:r w:rsidRPr="00E62798">
        <w:tab/>
        <w:t xml:space="preserve">Nacoti M, Cazzaniga S, Lorusso F, Naldi L, Brambillasca P, Benigni A, et al. (2012). The impact of perioperative transfusion of blood products on survival after pediatric liver transplantation, </w:t>
      </w:r>
      <w:r w:rsidRPr="00E62798">
        <w:rPr>
          <w:i/>
        </w:rPr>
        <w:t>Pediatric Transplantation</w:t>
      </w:r>
      <w:r w:rsidRPr="00E62798">
        <w:t xml:space="preserve"> 16(4):357–366. </w:t>
      </w:r>
      <w:hyperlink r:id="rId129" w:history="1">
        <w:r w:rsidRPr="00E62798">
          <w:rPr>
            <w:rStyle w:val="Hyperlink"/>
          </w:rPr>
          <w:t>http://www.ncbi.nlm.nih.gov/pubmed/22429563</w:t>
        </w:r>
        <w:bookmarkEnd w:id="375"/>
      </w:hyperlink>
    </w:p>
    <w:p w14:paraId="00ED6781" w14:textId="33131A52" w:rsidR="00E62798" w:rsidRPr="00E62798" w:rsidRDefault="00E62798" w:rsidP="00E62798">
      <w:pPr>
        <w:pStyle w:val="EndNoteBibliography"/>
        <w:spacing w:after="0"/>
        <w:ind w:hanging="720"/>
      </w:pPr>
      <w:bookmarkStart w:id="376" w:name="_ENREF_74"/>
      <w:r w:rsidRPr="00E62798">
        <w:t>74</w:t>
      </w:r>
      <w:r w:rsidRPr="00E62798">
        <w:tab/>
        <w:t xml:space="preserve">Redlin M, Kukucka M, Boettcher W, Schoenfeld H, Huebler M, Kuppe H, et al. (2013). Blood transfusion determines postoperative morbidity in pediatric cardiac surgery applying a comprehensive blood-sparing approach, </w:t>
      </w:r>
      <w:r w:rsidRPr="00E62798">
        <w:rPr>
          <w:i/>
        </w:rPr>
        <w:t>Journal of Thoracic and Cardiovascular Surgery</w:t>
      </w:r>
      <w:r w:rsidRPr="00E62798">
        <w:t xml:space="preserve"> 146(3):537–542. </w:t>
      </w:r>
      <w:hyperlink r:id="rId130" w:history="1">
        <w:r w:rsidRPr="00E62798">
          <w:rPr>
            <w:rStyle w:val="Hyperlink"/>
          </w:rPr>
          <w:t>http://www.jtcvsonline.org/article/S0022-5223(12)01432-8/abstract</w:t>
        </w:r>
        <w:bookmarkEnd w:id="376"/>
      </w:hyperlink>
    </w:p>
    <w:p w14:paraId="6157F7AD" w14:textId="77777777" w:rsidR="00E62798" w:rsidRPr="00E62798" w:rsidRDefault="00E62798" w:rsidP="00E62798">
      <w:pPr>
        <w:pStyle w:val="EndNoteBibliography"/>
        <w:spacing w:after="0"/>
        <w:ind w:hanging="720"/>
      </w:pPr>
      <w:bookmarkStart w:id="377" w:name="_ENREF_75"/>
      <w:r w:rsidRPr="00E62798">
        <w:t>75</w:t>
      </w:r>
      <w:r w:rsidRPr="00E62798">
        <w:tab/>
        <w:t xml:space="preserve">Wilkinson KL, Brunskill SJ, Doree C, Trivella M, Gill R and Murphy MF (2014). Red cell transfusion management for patients undergoing cardiac surgery for congenital heart disease, </w:t>
      </w:r>
      <w:r w:rsidRPr="00E62798">
        <w:rPr>
          <w:i/>
        </w:rPr>
        <w:t>Cochrane Database of Systematic Reviews</w:t>
      </w:r>
      <w:r w:rsidRPr="00E62798">
        <w:t>.</w:t>
      </w:r>
      <w:bookmarkEnd w:id="377"/>
    </w:p>
    <w:p w14:paraId="2DB319B4" w14:textId="6BC5677D" w:rsidR="00E62798" w:rsidRPr="00E62798" w:rsidRDefault="00E62798" w:rsidP="00E62798">
      <w:pPr>
        <w:pStyle w:val="EndNoteBibliography"/>
        <w:spacing w:after="0"/>
        <w:ind w:hanging="720"/>
      </w:pPr>
      <w:bookmarkStart w:id="378" w:name="_ENREF_76"/>
      <w:r w:rsidRPr="00E62798">
        <w:t>76</w:t>
      </w:r>
      <w:r w:rsidRPr="00E62798">
        <w:tab/>
        <w:t xml:space="preserve">Cholette JM, Rubenstein JS, Alfieris GM, Powers KS, Eaton M and Lerner NB (2011). Children with single-ventricle physiology do not benefit from higher hemoglobin levels post cavopulmonary connection: Results of a prospective, randomized, controlled trial of a restrictive versus liberal red-cell transfusion strategy, </w:t>
      </w:r>
      <w:r w:rsidRPr="00E62798">
        <w:rPr>
          <w:i/>
        </w:rPr>
        <w:t>Pediatric Critical Care Medicine</w:t>
      </w:r>
      <w:r w:rsidRPr="00E62798">
        <w:t xml:space="preserve"> 12(1):39–45. </w:t>
      </w:r>
      <w:hyperlink r:id="rId131" w:history="1">
        <w:r w:rsidRPr="00E62798">
          <w:rPr>
            <w:rStyle w:val="Hyperlink"/>
          </w:rPr>
          <w:t>http://dx.doi.org/10.1097/PCC.0b013e3181e329db</w:t>
        </w:r>
        <w:bookmarkEnd w:id="378"/>
      </w:hyperlink>
    </w:p>
    <w:p w14:paraId="0D8028FC" w14:textId="1DBD3185" w:rsidR="00E62798" w:rsidRPr="00E62798" w:rsidRDefault="00E62798" w:rsidP="00E62798">
      <w:pPr>
        <w:pStyle w:val="EndNoteBibliography"/>
        <w:spacing w:after="0"/>
        <w:ind w:hanging="720"/>
      </w:pPr>
      <w:bookmarkStart w:id="379" w:name="_ENREF_77"/>
      <w:r w:rsidRPr="00E62798">
        <w:t>77</w:t>
      </w:r>
      <w:r w:rsidRPr="00E62798">
        <w:tab/>
        <w:t xml:space="preserve">Willems A, Harrington K, Lacroix J, Biarent D, Joffe AR, Wensley D, et al. (2010). Comparison of two red-cell transfusion strategies after pediatric cardiac surgery: A subgroup analysis, </w:t>
      </w:r>
      <w:r w:rsidRPr="00E62798">
        <w:rPr>
          <w:i/>
        </w:rPr>
        <w:t>Critical Care Medicine</w:t>
      </w:r>
      <w:r w:rsidRPr="00E62798">
        <w:t xml:space="preserve"> 38(2):649–656. </w:t>
      </w:r>
      <w:hyperlink r:id="rId132" w:history="1">
        <w:r w:rsidRPr="00E62798">
          <w:rPr>
            <w:rStyle w:val="Hyperlink"/>
          </w:rPr>
          <w:t>http://dx.doi.org/10.1097/CCM.0b013e3181bc816c</w:t>
        </w:r>
        <w:bookmarkEnd w:id="379"/>
      </w:hyperlink>
    </w:p>
    <w:p w14:paraId="4841CB86" w14:textId="37696792" w:rsidR="00E62798" w:rsidRPr="00E62798" w:rsidRDefault="00E62798" w:rsidP="00E62798">
      <w:pPr>
        <w:pStyle w:val="EndNoteBibliography"/>
        <w:spacing w:after="0"/>
        <w:ind w:hanging="720"/>
      </w:pPr>
      <w:bookmarkStart w:id="380" w:name="_ENREF_78"/>
      <w:r w:rsidRPr="00E62798">
        <w:t>78</w:t>
      </w:r>
      <w:r w:rsidRPr="00E62798">
        <w:tab/>
        <w:t xml:space="preserve">Rouette J, Trottier H, Ducruet T, Beaunoyer M, Lacroix J and Tucci M (2010). Red blood cell transfusion threshold in postsurgical pediatric intensive care patients: A randomized clinical trial, </w:t>
      </w:r>
      <w:r w:rsidRPr="00E62798">
        <w:rPr>
          <w:i/>
        </w:rPr>
        <w:t>Annals of Surgery</w:t>
      </w:r>
      <w:r w:rsidRPr="00E62798">
        <w:t xml:space="preserve"> 251(3):421–427. </w:t>
      </w:r>
      <w:hyperlink r:id="rId133" w:history="1">
        <w:r w:rsidRPr="00E62798">
          <w:rPr>
            <w:rStyle w:val="Hyperlink"/>
          </w:rPr>
          <w:t>http://dx.doi.org/10.1097/SLA.0b013e3181c5dc2e</w:t>
        </w:r>
        <w:bookmarkEnd w:id="380"/>
      </w:hyperlink>
    </w:p>
    <w:p w14:paraId="10B3D429" w14:textId="766C927D" w:rsidR="00E62798" w:rsidRPr="00E62798" w:rsidRDefault="00E62798" w:rsidP="00E62798">
      <w:pPr>
        <w:pStyle w:val="EndNoteBibliography"/>
        <w:spacing w:after="0"/>
        <w:ind w:hanging="720"/>
      </w:pPr>
      <w:bookmarkStart w:id="381" w:name="_ENREF_79"/>
      <w:r w:rsidRPr="00E62798">
        <w:t>79</w:t>
      </w:r>
      <w:r w:rsidRPr="00E62798">
        <w:tab/>
        <w:t xml:space="preserve">Robitaille N, Lacroix J, Alexandrov L, Clayton L, Cortier M, Schultz KR, et al. (2013). Excess of Veno-Occlusive Disease in a Randomized Clinical Trial on a Higher Trigger for Red Blood Cell Transfusion after Bone Marrow Transplantation: A Canadian Blood and Marrow Transplant Group Trial, </w:t>
      </w:r>
      <w:r w:rsidRPr="00E62798">
        <w:rPr>
          <w:i/>
        </w:rPr>
        <w:t>Biology of Blood and Marrow Transplantation</w:t>
      </w:r>
      <w:r w:rsidRPr="00E62798">
        <w:t xml:space="preserve"> 19(3):468–473. </w:t>
      </w:r>
      <w:hyperlink r:id="rId134" w:history="1">
        <w:r w:rsidRPr="00E62798">
          <w:rPr>
            <w:rStyle w:val="Hyperlink"/>
          </w:rPr>
          <w:t>http://www.bbmt.org/article/S1083-8791(12)01138-X/pdf</w:t>
        </w:r>
        <w:bookmarkEnd w:id="381"/>
      </w:hyperlink>
    </w:p>
    <w:p w14:paraId="7FC2C7EA" w14:textId="7BD254C1" w:rsidR="00E62798" w:rsidRPr="00E62798" w:rsidRDefault="00E62798" w:rsidP="00E62798">
      <w:pPr>
        <w:pStyle w:val="EndNoteBibliography"/>
        <w:spacing w:after="0"/>
        <w:ind w:hanging="720"/>
      </w:pPr>
      <w:bookmarkStart w:id="382" w:name="_ENREF_80"/>
      <w:r w:rsidRPr="00E62798">
        <w:t>80</w:t>
      </w:r>
      <w:r w:rsidRPr="00E62798">
        <w:tab/>
        <w:t xml:space="preserve">Acker SN, Partrick DA, Ross JT, Nadlonek NA, Bronsert M and Bensard DD (2014). Blood component transfusion increases the risk of death in children with traumatic brain injury, </w:t>
      </w:r>
      <w:r w:rsidRPr="00E62798">
        <w:rPr>
          <w:i/>
        </w:rPr>
        <w:t>Journal of Trauma and Acute Care Surgery</w:t>
      </w:r>
      <w:r w:rsidRPr="00E62798">
        <w:t xml:space="preserve"> 76(4):1082–1088. </w:t>
      </w:r>
      <w:hyperlink r:id="rId135" w:history="1">
        <w:r w:rsidRPr="00E62798">
          <w:rPr>
            <w:rStyle w:val="Hyperlink"/>
          </w:rPr>
          <w:t>http://dx.doi.org/10.1097/TA.0000000000000095</w:t>
        </w:r>
        <w:bookmarkEnd w:id="382"/>
      </w:hyperlink>
    </w:p>
    <w:p w14:paraId="4017EB6F" w14:textId="2DC2C0B5" w:rsidR="00E62798" w:rsidRPr="00E62798" w:rsidRDefault="00E62798" w:rsidP="00E62798">
      <w:pPr>
        <w:pStyle w:val="EndNoteBibliography"/>
        <w:spacing w:after="0"/>
        <w:ind w:hanging="720"/>
      </w:pPr>
      <w:bookmarkStart w:id="383" w:name="_ENREF_81"/>
      <w:r w:rsidRPr="00E62798">
        <w:t>81</w:t>
      </w:r>
      <w:r w:rsidRPr="00E62798">
        <w:tab/>
        <w:t xml:space="preserve">Fremgen HE, Bratton SL, Metzger RR and Barnhart DC (2014). Pediatric liver lacerations and intensive care: Evaluation of ICU triage strategies, </w:t>
      </w:r>
      <w:r w:rsidRPr="00E62798">
        <w:rPr>
          <w:i/>
        </w:rPr>
        <w:t>Pediatric Critical Care Medicine</w:t>
      </w:r>
      <w:r w:rsidRPr="00E62798">
        <w:t xml:space="preserve"> 15(4):e183–e191. </w:t>
      </w:r>
      <w:hyperlink r:id="rId136" w:history="1">
        <w:r w:rsidRPr="00E62798">
          <w:rPr>
            <w:rStyle w:val="Hyperlink"/>
          </w:rPr>
          <w:t>http://dx.doi.org/10.1097/PCC.0000000000000102</w:t>
        </w:r>
        <w:bookmarkEnd w:id="383"/>
      </w:hyperlink>
    </w:p>
    <w:p w14:paraId="22E828CF" w14:textId="7F25F49D" w:rsidR="00E62798" w:rsidRPr="00E62798" w:rsidRDefault="00E62798" w:rsidP="00E62798">
      <w:pPr>
        <w:pStyle w:val="EndNoteBibliography"/>
        <w:spacing w:after="0"/>
        <w:ind w:hanging="720"/>
      </w:pPr>
      <w:bookmarkStart w:id="384" w:name="_ENREF_82"/>
      <w:r w:rsidRPr="00E62798">
        <w:t>82</w:t>
      </w:r>
      <w:r w:rsidRPr="00E62798">
        <w:tab/>
        <w:t xml:space="preserve">Hassan NE, DeCou JM, Reischman D, Nickoles TA, Gleason E, Ropele DL, et al. (2014). RBC transfusions in children requiring intensive care admission after traumatic injury, </w:t>
      </w:r>
      <w:r w:rsidRPr="00E62798">
        <w:rPr>
          <w:i/>
        </w:rPr>
        <w:t>Pediatric Critical Care Medicine</w:t>
      </w:r>
      <w:r w:rsidRPr="00E62798">
        <w:t xml:space="preserve">. </w:t>
      </w:r>
      <w:hyperlink r:id="rId137" w:history="1">
        <w:r w:rsidRPr="00E62798">
          <w:rPr>
            <w:rStyle w:val="Hyperlink"/>
          </w:rPr>
          <w:t>http://dx.doi.org/10.1097/PCC.0000000000000192</w:t>
        </w:r>
        <w:bookmarkEnd w:id="384"/>
      </w:hyperlink>
    </w:p>
    <w:p w14:paraId="5B185DF2" w14:textId="77EB8058" w:rsidR="00E62798" w:rsidRPr="00E62798" w:rsidRDefault="00E62798" w:rsidP="00E62798">
      <w:pPr>
        <w:pStyle w:val="EndNoteBibliography"/>
        <w:spacing w:after="0"/>
        <w:ind w:hanging="720"/>
      </w:pPr>
      <w:bookmarkStart w:id="385" w:name="_ENREF_83"/>
      <w:r w:rsidRPr="00E62798">
        <w:t>83</w:t>
      </w:r>
      <w:r w:rsidRPr="00E62798">
        <w:tab/>
        <w:t xml:space="preserve">Carson JL, Carless PA and Hebert PC (2012). Transfusion thresholds and other strategies for guiding allogeneic red blood cell transfusion, </w:t>
      </w:r>
      <w:r w:rsidRPr="00E62798">
        <w:rPr>
          <w:i/>
        </w:rPr>
        <w:t>Cochrane Database of Systematic Reviews</w:t>
      </w:r>
      <w:r w:rsidRPr="00E62798">
        <w:t xml:space="preserve"> (4). </w:t>
      </w:r>
      <w:hyperlink r:id="rId138" w:history="1">
        <w:r w:rsidRPr="00E62798">
          <w:rPr>
            <w:rStyle w:val="Hyperlink"/>
          </w:rPr>
          <w:t>http://onlinelibrary.wiley.com/doi/10.1002/14651858.CD002042.pub3/pdf</w:t>
        </w:r>
        <w:bookmarkEnd w:id="385"/>
      </w:hyperlink>
    </w:p>
    <w:p w14:paraId="2BB4E38C" w14:textId="6CBC9035" w:rsidR="00E62798" w:rsidRPr="00E62798" w:rsidRDefault="00E62798" w:rsidP="00E62798">
      <w:pPr>
        <w:pStyle w:val="EndNoteBibliography"/>
        <w:spacing w:after="0"/>
        <w:ind w:hanging="720"/>
      </w:pPr>
      <w:bookmarkStart w:id="386" w:name="_ENREF_84"/>
      <w:r w:rsidRPr="00E62798">
        <w:t>84</w:t>
      </w:r>
      <w:r w:rsidRPr="00E62798">
        <w:tab/>
        <w:t xml:space="preserve">Desjardins P, Turgeon AF, Tremblay MH, Lauzier F, Zarychanski R, Boutin A, et al. (2012). Hemoglobin levels and transfusions in neurocritically ill patients: A systematic review of comparative studies, </w:t>
      </w:r>
      <w:r w:rsidRPr="00E62798">
        <w:rPr>
          <w:i/>
        </w:rPr>
        <w:t>Crit Care</w:t>
      </w:r>
      <w:r w:rsidRPr="00E62798">
        <w:t xml:space="preserve"> 16(2). </w:t>
      </w:r>
      <w:hyperlink r:id="rId139" w:history="1">
        <w:r w:rsidRPr="00E62798">
          <w:rPr>
            <w:rStyle w:val="Hyperlink"/>
          </w:rPr>
          <w:t>http://dx.doi.org/10.1186/cc11293</w:t>
        </w:r>
        <w:bookmarkEnd w:id="386"/>
      </w:hyperlink>
    </w:p>
    <w:p w14:paraId="1AD30AFF" w14:textId="13BC12C6" w:rsidR="00E62798" w:rsidRPr="00E62798" w:rsidRDefault="00E62798" w:rsidP="00E62798">
      <w:pPr>
        <w:pStyle w:val="EndNoteBibliography"/>
        <w:spacing w:after="0"/>
        <w:ind w:hanging="720"/>
      </w:pPr>
      <w:bookmarkStart w:id="387" w:name="_ENREF_85"/>
      <w:r w:rsidRPr="00E62798">
        <w:t>85</w:t>
      </w:r>
      <w:r w:rsidRPr="00E62798">
        <w:tab/>
        <w:t xml:space="preserve">Aher SM and Ohlsson A (2012). Late erythropoietin for preventing red blood cell transfusion in preterm and/or low birth weight infants, </w:t>
      </w:r>
      <w:r w:rsidRPr="00E62798">
        <w:rPr>
          <w:i/>
        </w:rPr>
        <w:t>Cochrane database of systematic reviews (Online)</w:t>
      </w:r>
      <w:r w:rsidRPr="00E62798">
        <w:t xml:space="preserve"> 9:CD004868. </w:t>
      </w:r>
      <w:hyperlink r:id="rId140" w:history="1">
        <w:r w:rsidRPr="00E62798">
          <w:rPr>
            <w:rStyle w:val="Hyperlink"/>
          </w:rPr>
          <w:t>http://onlinelibrary.wiley.com/store/10.1002/14651858.CD004868.pub3/asset/CD004868.pdf?v=1&amp;t=i7cj6vg7&amp;s=087822d8d9761f683303b3217245e028201185f4</w:t>
        </w:r>
        <w:bookmarkEnd w:id="387"/>
      </w:hyperlink>
    </w:p>
    <w:p w14:paraId="1846297E" w14:textId="0C193DF4" w:rsidR="00E62798" w:rsidRPr="00E62798" w:rsidRDefault="00E62798" w:rsidP="00E62798">
      <w:pPr>
        <w:pStyle w:val="EndNoteBibliography"/>
        <w:spacing w:after="0"/>
        <w:ind w:hanging="720"/>
      </w:pPr>
      <w:bookmarkStart w:id="388" w:name="_ENREF_86"/>
      <w:r w:rsidRPr="00E62798">
        <w:t>86</w:t>
      </w:r>
      <w:r w:rsidRPr="00E62798">
        <w:tab/>
        <w:t xml:space="preserve">Garcia MG, Hutson AD and Christensen RD (2002). Effect of recombinant erythropoietin on "late" transfusions in the neonatal intensive care unit: A meta-analysis, </w:t>
      </w:r>
      <w:r w:rsidRPr="00E62798">
        <w:rPr>
          <w:i/>
        </w:rPr>
        <w:t>Journal of Perinatology</w:t>
      </w:r>
      <w:r w:rsidRPr="00E62798">
        <w:t xml:space="preserve"> 22(2):108–111. </w:t>
      </w:r>
      <w:hyperlink r:id="rId141" w:history="1">
        <w:r w:rsidRPr="00E62798">
          <w:rPr>
            <w:rStyle w:val="Hyperlink"/>
          </w:rPr>
          <w:t>http://www.nature.com/jp/journal/v22/n2/pdf/7210677a.pdf</w:t>
        </w:r>
        <w:bookmarkEnd w:id="388"/>
      </w:hyperlink>
    </w:p>
    <w:p w14:paraId="4CBED6D5" w14:textId="19C5F7FF" w:rsidR="00E62798" w:rsidRPr="00E62798" w:rsidRDefault="00E62798" w:rsidP="00E62798">
      <w:pPr>
        <w:pStyle w:val="EndNoteBibliography"/>
        <w:spacing w:after="0"/>
        <w:ind w:hanging="720"/>
      </w:pPr>
      <w:bookmarkStart w:id="389" w:name="_ENREF_87"/>
      <w:r w:rsidRPr="00E62798">
        <w:t>87</w:t>
      </w:r>
      <w:r w:rsidRPr="00E62798">
        <w:tab/>
        <w:t xml:space="preserve">Kotto-Kome AC, Garcia MG, Calhoun DA and Christensen RD (2004). Effect of beginning recombinant erythropoietin treatment within the first week of life, among very-low-birth-weight neonates, on "early" and "late" erythrocyte transfusions: A meta-analysis, </w:t>
      </w:r>
      <w:r w:rsidRPr="00E62798">
        <w:rPr>
          <w:i/>
        </w:rPr>
        <w:t>Journal of Perinatology</w:t>
      </w:r>
      <w:r w:rsidRPr="00E62798">
        <w:t xml:space="preserve"> 24(1):24–29. </w:t>
      </w:r>
      <w:hyperlink r:id="rId142" w:history="1">
        <w:r w:rsidRPr="00E62798">
          <w:rPr>
            <w:rStyle w:val="Hyperlink"/>
          </w:rPr>
          <w:t>http://www.nature.com/jp/journal/v24/n1/pdf/7211018a.pdf</w:t>
        </w:r>
        <w:bookmarkEnd w:id="389"/>
      </w:hyperlink>
    </w:p>
    <w:p w14:paraId="579B6F54" w14:textId="35141B33" w:rsidR="00E62798" w:rsidRPr="00E62798" w:rsidRDefault="00E62798" w:rsidP="00E62798">
      <w:pPr>
        <w:pStyle w:val="EndNoteBibliography"/>
        <w:spacing w:after="0"/>
        <w:ind w:hanging="720"/>
      </w:pPr>
      <w:bookmarkStart w:id="390" w:name="_ENREF_88"/>
      <w:r w:rsidRPr="00E62798">
        <w:t>88</w:t>
      </w:r>
      <w:r w:rsidRPr="00E62798">
        <w:tab/>
        <w:t xml:space="preserve">Ohlsson A and Aher SM (2012). Early erythropoietin for preventing red blood cell transfusion in preterm and/or low birth weight infants, </w:t>
      </w:r>
      <w:r w:rsidRPr="00E62798">
        <w:rPr>
          <w:i/>
        </w:rPr>
        <w:t>Cochrane database of systematic reviews (Online)</w:t>
      </w:r>
      <w:r w:rsidRPr="00E62798">
        <w:t xml:space="preserve"> 9:CD004863. </w:t>
      </w:r>
      <w:hyperlink r:id="rId143" w:history="1">
        <w:r w:rsidRPr="00E62798">
          <w:rPr>
            <w:rStyle w:val="Hyperlink"/>
          </w:rPr>
          <w:t>http://onlinelibrary.wiley.com/store/10.1002/14651858.CD004863.pub3/asset/CD004863.pdf?v=1&amp;t=i7cj8hx8&amp;s=942e4e221b6e730c654041e1f6f94411f1d6e01b</w:t>
        </w:r>
        <w:bookmarkEnd w:id="390"/>
      </w:hyperlink>
    </w:p>
    <w:p w14:paraId="666692B2" w14:textId="11875512" w:rsidR="00E62798" w:rsidRPr="00E62798" w:rsidRDefault="00E62798" w:rsidP="00E62798">
      <w:pPr>
        <w:pStyle w:val="EndNoteBibliography"/>
        <w:spacing w:after="0"/>
        <w:ind w:hanging="720"/>
      </w:pPr>
      <w:bookmarkStart w:id="391" w:name="_ENREF_89"/>
      <w:r w:rsidRPr="00E62798">
        <w:t>89</w:t>
      </w:r>
      <w:r w:rsidRPr="00E62798">
        <w:tab/>
        <w:t xml:space="preserve">Vamvakas EC and Strauss RG (2001). Meta-analysis of controlled clinical trials studying the efficacy of rHuEPO in reducing blood transfusions in the anemia of prematurity, </w:t>
      </w:r>
      <w:r w:rsidRPr="00E62798">
        <w:rPr>
          <w:i/>
        </w:rPr>
        <w:t>Transfusion</w:t>
      </w:r>
      <w:r w:rsidRPr="00E62798">
        <w:t xml:space="preserve"> 41(3):406–415. </w:t>
      </w:r>
      <w:hyperlink r:id="rId144" w:history="1">
        <w:r w:rsidRPr="00E62798">
          <w:rPr>
            <w:rStyle w:val="Hyperlink"/>
          </w:rPr>
          <w:t>http://onlinelibrary.wiley.com/doi/10.1046/j.1537-2995.2001.41030406.x/abstract</w:t>
        </w:r>
        <w:bookmarkEnd w:id="391"/>
      </w:hyperlink>
    </w:p>
    <w:p w14:paraId="6DE03E46" w14:textId="3793BCE1" w:rsidR="00E62798" w:rsidRPr="00E62798" w:rsidRDefault="00E62798" w:rsidP="00E62798">
      <w:pPr>
        <w:pStyle w:val="EndNoteBibliography"/>
        <w:spacing w:after="0"/>
        <w:ind w:hanging="720"/>
      </w:pPr>
      <w:bookmarkStart w:id="392" w:name="_ENREF_90"/>
      <w:r w:rsidRPr="00E62798">
        <w:t>90</w:t>
      </w:r>
      <w:r w:rsidRPr="00E62798">
        <w:tab/>
        <w:t xml:space="preserve">Xu XJ, Huang HY and Chen HL (2014). Erythropoietin and retinopathy of prematurity: a meta-analysis, </w:t>
      </w:r>
      <w:r w:rsidRPr="00E62798">
        <w:rPr>
          <w:i/>
        </w:rPr>
        <w:t>European Journal of Pediatrics</w:t>
      </w:r>
      <w:r w:rsidRPr="00E62798">
        <w:t xml:space="preserve">. </w:t>
      </w:r>
      <w:hyperlink r:id="rId145" w:history="1">
        <w:r w:rsidRPr="00E62798">
          <w:rPr>
            <w:rStyle w:val="Hyperlink"/>
          </w:rPr>
          <w:t>http://dx.doi.org/10.1007/s00431-014-2332-4</w:t>
        </w:r>
        <w:bookmarkEnd w:id="392"/>
      </w:hyperlink>
    </w:p>
    <w:p w14:paraId="31C43332" w14:textId="7FDA502E" w:rsidR="00E62798" w:rsidRPr="00E62798" w:rsidRDefault="00E62798" w:rsidP="00E62798">
      <w:pPr>
        <w:pStyle w:val="EndNoteBibliography"/>
        <w:spacing w:after="0"/>
        <w:ind w:hanging="720"/>
      </w:pPr>
      <w:bookmarkStart w:id="393" w:name="_ENREF_91"/>
      <w:r w:rsidRPr="00E62798">
        <w:t>91</w:t>
      </w:r>
      <w:r w:rsidRPr="00E62798">
        <w:tab/>
        <w:t xml:space="preserve">El-Ganzoury MM, Awad HA, El-Farrash RA, El-Gammasy TM, Ismail EA, Mohamed HE, et al. (2014). Enteral Granulocyte-Colony Stimulating Factor and Erythropoietin Early in Life Improves Feeding Tolerance in Preterm Infants: A Randomized Controlled Trial, </w:t>
      </w:r>
      <w:r w:rsidRPr="00E62798">
        <w:rPr>
          <w:i/>
        </w:rPr>
        <w:t>Journal of Pediatrics</w:t>
      </w:r>
      <w:r w:rsidRPr="00E62798">
        <w:t xml:space="preserve">. </w:t>
      </w:r>
      <w:hyperlink r:id="rId146" w:history="1">
        <w:r w:rsidRPr="00E62798">
          <w:rPr>
            <w:rStyle w:val="Hyperlink"/>
          </w:rPr>
          <w:t>http://dx.doi.org/10.1016/j.jpeds.2014.07.034</w:t>
        </w:r>
        <w:bookmarkEnd w:id="393"/>
      </w:hyperlink>
    </w:p>
    <w:p w14:paraId="6DB33319" w14:textId="5DD31D53" w:rsidR="00E62798" w:rsidRPr="00E62798" w:rsidRDefault="00E62798" w:rsidP="00E62798">
      <w:pPr>
        <w:pStyle w:val="EndNoteBibliography"/>
        <w:spacing w:after="0"/>
        <w:ind w:hanging="720"/>
      </w:pPr>
      <w:bookmarkStart w:id="394" w:name="_ENREF_92"/>
      <w:r w:rsidRPr="00E62798">
        <w:t>92</w:t>
      </w:r>
      <w:r w:rsidRPr="00E62798">
        <w:tab/>
        <w:t xml:space="preserve">Jim WT, Chen LT, Huang FY and Shu CH (2000). The early use of recombinant human erythropoietin in anemia of prematurity, </w:t>
      </w:r>
      <w:r w:rsidRPr="00E62798">
        <w:rPr>
          <w:i/>
        </w:rPr>
        <w:t>Clinical Neonatology</w:t>
      </w:r>
      <w:r w:rsidRPr="00E62798">
        <w:t xml:space="preserve"> 7(2):12–16. </w:t>
      </w:r>
      <w:hyperlink r:id="rId147" w:history="1">
        <w:r w:rsidRPr="00E62798">
          <w:rPr>
            <w:rStyle w:val="Hyperlink"/>
          </w:rPr>
          <w:t>http://www.embase.com/search/results?subaction=viewrecord&amp;from=export&amp;id=L47248848</w:t>
        </w:r>
        <w:bookmarkEnd w:id="394"/>
      </w:hyperlink>
    </w:p>
    <w:p w14:paraId="481A62B4" w14:textId="7187DAC3" w:rsidR="00E62798" w:rsidRPr="00E62798" w:rsidRDefault="00E62798" w:rsidP="00E62798">
      <w:pPr>
        <w:pStyle w:val="EndNoteBibliography"/>
        <w:spacing w:after="0"/>
        <w:ind w:hanging="720"/>
      </w:pPr>
      <w:bookmarkStart w:id="395" w:name="_ENREF_93"/>
      <w:r w:rsidRPr="00E62798">
        <w:t>93</w:t>
      </w:r>
      <w:r w:rsidRPr="00E62798">
        <w:tab/>
        <w:t xml:space="preserve">Kremenopoulos G, Soubasi V, Tsantali C, Diamanti E and Tsakiris D (1997). The best timing of recombinant human erythropoietin administration in anemia of prematurity: A randomized controlled study, </w:t>
      </w:r>
      <w:r w:rsidRPr="00E62798">
        <w:rPr>
          <w:i/>
        </w:rPr>
        <w:t>International Journal of Pediatric Hematology/Oncology</w:t>
      </w:r>
      <w:r w:rsidRPr="00E62798">
        <w:t xml:space="preserve"> 4(4):373–383. </w:t>
      </w:r>
      <w:hyperlink r:id="rId148" w:history="1">
        <w:r w:rsidRPr="00E62798">
          <w:rPr>
            <w:rStyle w:val="Hyperlink"/>
          </w:rPr>
          <w:t>http://www.embase.com/search/results?subaction=viewrecord&amp;from=export&amp;id=L27501001</w:t>
        </w:r>
        <w:bookmarkEnd w:id="395"/>
      </w:hyperlink>
    </w:p>
    <w:p w14:paraId="1851D233" w14:textId="77777777" w:rsidR="00E62798" w:rsidRPr="00E62798" w:rsidRDefault="00E62798" w:rsidP="00E62798">
      <w:pPr>
        <w:pStyle w:val="EndNoteBibliography"/>
        <w:spacing w:after="0"/>
        <w:ind w:hanging="720"/>
      </w:pPr>
      <w:bookmarkStart w:id="396" w:name="_ENREF_94"/>
      <w:r w:rsidRPr="00E62798">
        <w:t>94</w:t>
      </w:r>
      <w:r w:rsidRPr="00E62798">
        <w:tab/>
        <w:t xml:space="preserve">Ovali F, Samanci N and Dagoglu T (1996). Management of late anemia in rhesus hemolytic disease: Use of recombinant human erythropoietin (a pilot study), </w:t>
      </w:r>
      <w:r w:rsidRPr="00E62798">
        <w:rPr>
          <w:i/>
        </w:rPr>
        <w:t>Pediatr Res</w:t>
      </w:r>
      <w:r w:rsidRPr="00E62798">
        <w:t xml:space="preserve"> 39(5):831–834.</w:t>
      </w:r>
      <w:bookmarkEnd w:id="396"/>
    </w:p>
    <w:p w14:paraId="4A60B340" w14:textId="3B2775CE" w:rsidR="00E62798" w:rsidRPr="00E62798" w:rsidRDefault="00E62798" w:rsidP="00E62798">
      <w:pPr>
        <w:pStyle w:val="EndNoteBibliography"/>
        <w:spacing w:after="0"/>
        <w:ind w:hanging="720"/>
      </w:pPr>
      <w:bookmarkStart w:id="397" w:name="_ENREF_95"/>
      <w:r w:rsidRPr="00E62798">
        <w:t>95</w:t>
      </w:r>
      <w:r w:rsidRPr="00E62798">
        <w:tab/>
        <w:t xml:space="preserve">Aher SM and Ohlsson A (2014). Late erythropoietin for preventing red blood cell transfusion in preterm and/or low birth weight infants, </w:t>
      </w:r>
      <w:r w:rsidRPr="00E62798">
        <w:rPr>
          <w:i/>
        </w:rPr>
        <w:t>Cochrane Database Syst Rev</w:t>
      </w:r>
      <w:r w:rsidRPr="00E62798">
        <w:t xml:space="preserve"> 4:CD004868. </w:t>
      </w:r>
      <w:hyperlink r:id="rId149" w:history="1">
        <w:r w:rsidRPr="00E62798">
          <w:rPr>
            <w:rStyle w:val="Hyperlink"/>
          </w:rPr>
          <w:t>http://www.ncbi.nlm.nih.gov/pubmed/24760628</w:t>
        </w:r>
        <w:bookmarkEnd w:id="397"/>
      </w:hyperlink>
    </w:p>
    <w:p w14:paraId="2CB36DCA" w14:textId="467F39EC" w:rsidR="00E62798" w:rsidRPr="00E62798" w:rsidRDefault="00E62798" w:rsidP="00E62798">
      <w:pPr>
        <w:pStyle w:val="EndNoteBibliography"/>
        <w:spacing w:after="0"/>
        <w:ind w:hanging="720"/>
      </w:pPr>
      <w:bookmarkStart w:id="398" w:name="_ENREF_96"/>
      <w:r w:rsidRPr="00E62798">
        <w:t>96</w:t>
      </w:r>
      <w:r w:rsidRPr="00E62798">
        <w:tab/>
        <w:t xml:space="preserve">Ohlsson A and Aher SM (2014). Early erythropoietin for preventing red blood cell transfusion in preterm and/or low birth weight infants, </w:t>
      </w:r>
      <w:r w:rsidRPr="00E62798">
        <w:rPr>
          <w:i/>
        </w:rPr>
        <w:t>Cochrane Database Syst Rev</w:t>
      </w:r>
      <w:r w:rsidRPr="00E62798">
        <w:t xml:space="preserve"> 4:CD004863. </w:t>
      </w:r>
      <w:hyperlink r:id="rId150" w:history="1">
        <w:r w:rsidRPr="00E62798">
          <w:rPr>
            <w:rStyle w:val="Hyperlink"/>
          </w:rPr>
          <w:t>http://www.ncbi.nlm.nih.gov/pubmed/24771408</w:t>
        </w:r>
        <w:bookmarkEnd w:id="398"/>
      </w:hyperlink>
    </w:p>
    <w:p w14:paraId="4137F0F6" w14:textId="287679E4" w:rsidR="00E62798" w:rsidRPr="00E62798" w:rsidRDefault="00E62798" w:rsidP="00E62798">
      <w:pPr>
        <w:pStyle w:val="EndNoteBibliography"/>
        <w:spacing w:after="0"/>
        <w:ind w:hanging="720"/>
      </w:pPr>
      <w:bookmarkStart w:id="399" w:name="_ENREF_97"/>
      <w:r w:rsidRPr="00E62798">
        <w:t>97</w:t>
      </w:r>
      <w:r w:rsidRPr="00E62798">
        <w:tab/>
        <w:t xml:space="preserve">Collard KJ (2009). Iron homeostasis in the neonate, </w:t>
      </w:r>
      <w:r w:rsidRPr="00E62798">
        <w:rPr>
          <w:i/>
        </w:rPr>
        <w:t>Pediatrics</w:t>
      </w:r>
      <w:r w:rsidRPr="00E62798">
        <w:t xml:space="preserve"> 123(4):1208-1216. </w:t>
      </w:r>
      <w:hyperlink r:id="rId151" w:history="1">
        <w:r w:rsidRPr="00E62798">
          <w:rPr>
            <w:rStyle w:val="Hyperlink"/>
          </w:rPr>
          <w:t>http://www.ncbi.nlm.nih.gov/pubmed/19336381</w:t>
        </w:r>
        <w:bookmarkEnd w:id="399"/>
      </w:hyperlink>
    </w:p>
    <w:p w14:paraId="754D2193" w14:textId="757D2596" w:rsidR="00E62798" w:rsidRPr="00E62798" w:rsidRDefault="00E62798" w:rsidP="00E62798">
      <w:pPr>
        <w:pStyle w:val="EndNoteBibliography"/>
        <w:spacing w:after="0"/>
        <w:ind w:hanging="720"/>
      </w:pPr>
      <w:bookmarkStart w:id="400" w:name="_ENREF_98"/>
      <w:r w:rsidRPr="00E62798">
        <w:t>98</w:t>
      </w:r>
      <w:r w:rsidRPr="00E62798">
        <w:tab/>
        <w:t xml:space="preserve">Friel JK, Andrews WL, Aziz K, Kwa PG, Lepage G and L'Abbe MR (2001). A randomized trial of two levels of iron supplementation and developmental outcome in low birth weight infants, </w:t>
      </w:r>
      <w:r w:rsidRPr="00E62798">
        <w:rPr>
          <w:i/>
        </w:rPr>
        <w:t>J Pediatr</w:t>
      </w:r>
      <w:r w:rsidRPr="00E62798">
        <w:t xml:space="preserve"> 139(2):254-260. </w:t>
      </w:r>
      <w:hyperlink r:id="rId152" w:history="1">
        <w:r w:rsidRPr="00E62798">
          <w:rPr>
            <w:rStyle w:val="Hyperlink"/>
          </w:rPr>
          <w:t>http://www.ncbi.nlm.nih.gov/pubmed/11487753</w:t>
        </w:r>
        <w:bookmarkEnd w:id="400"/>
      </w:hyperlink>
    </w:p>
    <w:p w14:paraId="709325BE" w14:textId="2C7EA17C" w:rsidR="00E62798" w:rsidRPr="00E62798" w:rsidRDefault="00E62798" w:rsidP="00E62798">
      <w:pPr>
        <w:pStyle w:val="EndNoteBibliography"/>
        <w:spacing w:after="0"/>
        <w:ind w:hanging="720"/>
      </w:pPr>
      <w:bookmarkStart w:id="401" w:name="_ENREF_99"/>
      <w:r w:rsidRPr="00E62798">
        <w:t>99</w:t>
      </w:r>
      <w:r w:rsidRPr="00E62798">
        <w:tab/>
        <w:t xml:space="preserve">Long H, Yi JM, Hu PL, Li ZB, Qiu WY, Wang F, et al. (2012). Benefits of iron supplementation for low birth weight infants: a systematic review, </w:t>
      </w:r>
      <w:r w:rsidRPr="00E62798">
        <w:rPr>
          <w:i/>
        </w:rPr>
        <w:t>BMC Pediatr</w:t>
      </w:r>
      <w:r w:rsidRPr="00E62798">
        <w:t xml:space="preserve"> 12:99. </w:t>
      </w:r>
      <w:hyperlink r:id="rId153" w:history="1">
        <w:r w:rsidRPr="00E62798">
          <w:rPr>
            <w:rStyle w:val="Hyperlink"/>
          </w:rPr>
          <w:t>http://www.ncbi.nlm.nih.gov/pubmed/22794149</w:t>
        </w:r>
        <w:bookmarkEnd w:id="401"/>
      </w:hyperlink>
    </w:p>
    <w:p w14:paraId="2316FECE" w14:textId="5C5582E8" w:rsidR="00E62798" w:rsidRPr="00E62798" w:rsidRDefault="00E62798" w:rsidP="00E62798">
      <w:pPr>
        <w:pStyle w:val="EndNoteBibliography"/>
        <w:spacing w:after="0"/>
        <w:ind w:hanging="720"/>
      </w:pPr>
      <w:bookmarkStart w:id="402" w:name="_ENREF_100"/>
      <w:r w:rsidRPr="00E62798">
        <w:t>100</w:t>
      </w:r>
      <w:r w:rsidRPr="00E62798">
        <w:tab/>
        <w:t xml:space="preserve">Taylor TA and Kennedy KA (2013). Randomized trial of iron supplementation versus routine iron intake in VLBW infants, </w:t>
      </w:r>
      <w:r w:rsidRPr="00E62798">
        <w:rPr>
          <w:i/>
        </w:rPr>
        <w:t>Pediatrics</w:t>
      </w:r>
      <w:r w:rsidRPr="00E62798">
        <w:t xml:space="preserve"> 131(2):e433–e438. </w:t>
      </w:r>
      <w:hyperlink r:id="rId154" w:history="1">
        <w:r w:rsidRPr="00E62798">
          <w:rPr>
            <w:rStyle w:val="Hyperlink"/>
          </w:rPr>
          <w:t>http://pediatrics.aappublications.org/content/131/2/e433.full.pdf</w:t>
        </w:r>
        <w:bookmarkEnd w:id="402"/>
      </w:hyperlink>
    </w:p>
    <w:p w14:paraId="6DD7F151" w14:textId="10FBCBB8" w:rsidR="00E62798" w:rsidRPr="00E62798" w:rsidRDefault="00E62798" w:rsidP="00E62798">
      <w:pPr>
        <w:pStyle w:val="EndNoteBibliography"/>
        <w:spacing w:after="0"/>
        <w:ind w:hanging="720"/>
      </w:pPr>
      <w:bookmarkStart w:id="403" w:name="_ENREF_101"/>
      <w:r w:rsidRPr="00E62798">
        <w:t>101</w:t>
      </w:r>
      <w:r w:rsidRPr="00E62798">
        <w:tab/>
        <w:t xml:space="preserve">Sankar MJ, Saxena R, Mani K, Agarwal R, Deorari AK and Paul VK (2009). Early iron supplementation in very low birth weight infants - A randomized controlled trial, </w:t>
      </w:r>
      <w:r w:rsidRPr="00E62798">
        <w:rPr>
          <w:i/>
        </w:rPr>
        <w:t>Acta Paediatrica, International Journal of Paediatrics</w:t>
      </w:r>
      <w:r w:rsidRPr="00E62798">
        <w:t xml:space="preserve"> 98(6):953–958. </w:t>
      </w:r>
      <w:hyperlink r:id="rId155" w:history="1">
        <w:r w:rsidRPr="00E62798">
          <w:rPr>
            <w:rStyle w:val="Hyperlink"/>
          </w:rPr>
          <w:t>http://www.embase.com/search/results?subaction=viewrecord&amp;from=export&amp;id=L354556418</w:t>
        </w:r>
        <w:bookmarkEnd w:id="403"/>
      </w:hyperlink>
    </w:p>
    <w:p w14:paraId="4989291C" w14:textId="67491B14" w:rsidR="00E62798" w:rsidRPr="00E62798" w:rsidRDefault="00E62798" w:rsidP="00E62798">
      <w:pPr>
        <w:pStyle w:val="EndNoteBibliography"/>
        <w:spacing w:after="0"/>
        <w:ind w:hanging="720"/>
      </w:pPr>
      <w:bookmarkStart w:id="404" w:name="_ENREF_102"/>
      <w:r w:rsidRPr="00E62798">
        <w:t>102</w:t>
      </w:r>
      <w:r w:rsidRPr="00E62798">
        <w:tab/>
        <w:t xml:space="preserve">Berseth CL, Van Aerde JE, Gross S, Stolz SI, Harris CL and Hansen JW (2004). Growth, efficacy, and safety of feeding an iron-fortified human milk fortifier, </w:t>
      </w:r>
      <w:r w:rsidRPr="00E62798">
        <w:rPr>
          <w:i/>
        </w:rPr>
        <w:t>Pediatrics</w:t>
      </w:r>
      <w:r w:rsidRPr="00E62798">
        <w:t xml:space="preserve"> 114(6):e699–706. </w:t>
      </w:r>
      <w:hyperlink r:id="rId156" w:history="1">
        <w:r w:rsidRPr="00E62798">
          <w:rPr>
            <w:rStyle w:val="Hyperlink"/>
          </w:rPr>
          <w:t>http://www.ncbi.nlm.nih.gov/pubmed/15545616</w:t>
        </w:r>
        <w:bookmarkEnd w:id="404"/>
      </w:hyperlink>
    </w:p>
    <w:p w14:paraId="54BD370C" w14:textId="54855854" w:rsidR="00E62798" w:rsidRPr="00E62798" w:rsidRDefault="00E62798" w:rsidP="00E62798">
      <w:pPr>
        <w:pStyle w:val="EndNoteBibliography"/>
        <w:spacing w:after="0"/>
        <w:ind w:hanging="720"/>
      </w:pPr>
      <w:bookmarkStart w:id="405" w:name="_ENREF_103"/>
      <w:r w:rsidRPr="00E62798">
        <w:t>103</w:t>
      </w:r>
      <w:r w:rsidRPr="00E62798">
        <w:tab/>
        <w:t xml:space="preserve">Franz AR, Mihatsch WA, Sander S, Kron M and Pohlandt F (2000). Prospective randomized trial of early versus late enteral iron supplementation in infants with a birth weight of less than 1301 grams, </w:t>
      </w:r>
      <w:r w:rsidRPr="00E62798">
        <w:rPr>
          <w:i/>
        </w:rPr>
        <w:t>Pediatrics</w:t>
      </w:r>
      <w:r w:rsidRPr="00E62798">
        <w:t xml:space="preserve"> 106(4):700–706. </w:t>
      </w:r>
      <w:hyperlink r:id="rId157" w:history="1">
        <w:r w:rsidRPr="00E62798">
          <w:rPr>
            <w:rStyle w:val="Hyperlink"/>
          </w:rPr>
          <w:t>http://www.ncbi.nlm.nih.gov/pubmed/11015511</w:t>
        </w:r>
        <w:bookmarkEnd w:id="405"/>
      </w:hyperlink>
    </w:p>
    <w:p w14:paraId="4FB7F845" w14:textId="0EDDF5FA" w:rsidR="00E62798" w:rsidRPr="00E62798" w:rsidRDefault="00E62798" w:rsidP="00E62798">
      <w:pPr>
        <w:pStyle w:val="EndNoteBibliography"/>
        <w:spacing w:after="0"/>
        <w:ind w:hanging="720"/>
      </w:pPr>
      <w:bookmarkStart w:id="406" w:name="_ENREF_104"/>
      <w:r w:rsidRPr="00E62798">
        <w:t>104</w:t>
      </w:r>
      <w:r w:rsidRPr="00E62798">
        <w:tab/>
        <w:t xml:space="preserve">Agostoni C, Buonocore G, Carnielli VP, De Curtis M, Darmaun D, Decsi T, et al. (2010). Enteral nutrient supply for preterm infants: commentary from the European Society of Paediatric Gastroenterology, Hepatology and Nutrition Committee on Nutrition, </w:t>
      </w:r>
      <w:r w:rsidRPr="00E62798">
        <w:rPr>
          <w:i/>
        </w:rPr>
        <w:t>J Pediatr Gastroenterol Nutr</w:t>
      </w:r>
      <w:r w:rsidRPr="00E62798">
        <w:t xml:space="preserve"> 50(1):85–91. </w:t>
      </w:r>
      <w:hyperlink r:id="rId158" w:history="1">
        <w:r w:rsidRPr="00E62798">
          <w:rPr>
            <w:rStyle w:val="Hyperlink"/>
          </w:rPr>
          <w:t>http://www.ncbi.nlm.nih.gov/pubmed/19881390</w:t>
        </w:r>
        <w:bookmarkEnd w:id="406"/>
      </w:hyperlink>
    </w:p>
    <w:p w14:paraId="54430997" w14:textId="77777777" w:rsidR="00E62798" w:rsidRPr="00E62798" w:rsidRDefault="00E62798" w:rsidP="00E62798">
      <w:pPr>
        <w:pStyle w:val="EndNoteBibliography"/>
        <w:spacing w:after="0"/>
        <w:ind w:hanging="720"/>
      </w:pPr>
      <w:bookmarkStart w:id="407" w:name="_ENREF_105"/>
      <w:r w:rsidRPr="00E62798">
        <w:t>105</w:t>
      </w:r>
      <w:r w:rsidRPr="00E62798">
        <w:tab/>
        <w:t xml:space="preserve">Kleinman R and Greer F (Eds.) (2014). </w:t>
      </w:r>
      <w:r w:rsidRPr="00E62798">
        <w:rPr>
          <w:i/>
        </w:rPr>
        <w:t xml:space="preserve">Pediatric Nutrition Handbook, 7th edition, </w:t>
      </w:r>
      <w:r w:rsidRPr="00E62798">
        <w:t>American Academy of Pediatrics Committee on Nutrition, Elk Grove Village, IL.</w:t>
      </w:r>
      <w:bookmarkEnd w:id="407"/>
    </w:p>
    <w:p w14:paraId="45F24E35" w14:textId="4154A7E9" w:rsidR="00E62798" w:rsidRPr="00E62798" w:rsidRDefault="00E62798" w:rsidP="00E62798">
      <w:pPr>
        <w:pStyle w:val="EndNoteBibliography"/>
        <w:spacing w:after="0"/>
        <w:ind w:hanging="720"/>
      </w:pPr>
      <w:bookmarkStart w:id="408" w:name="_ENREF_106"/>
      <w:r w:rsidRPr="00E62798">
        <w:t>106</w:t>
      </w:r>
      <w:r w:rsidRPr="00E62798">
        <w:tab/>
        <w:t xml:space="preserve">Pasricha SR, Hayes E, Kalumba K and Biggs BA (2013). Effect of daily iron supplementation on health in children aged 4-23 months: A systematic review and meta-analysis of randomised controlled trials, </w:t>
      </w:r>
      <w:r w:rsidRPr="00E62798">
        <w:rPr>
          <w:i/>
        </w:rPr>
        <w:t>The Lancet Global Health</w:t>
      </w:r>
      <w:r w:rsidRPr="00E62798">
        <w:t xml:space="preserve"> 1(2):e77–e86. </w:t>
      </w:r>
      <w:hyperlink r:id="rId159" w:history="1">
        <w:r w:rsidRPr="00E62798">
          <w:rPr>
            <w:rStyle w:val="Hyperlink"/>
          </w:rPr>
          <w:t>http://www.thelancet.com/pdfs/journals/langlo/PIIS2214-109X(13)70046-9.pdf</w:t>
        </w:r>
        <w:bookmarkEnd w:id="408"/>
      </w:hyperlink>
    </w:p>
    <w:p w14:paraId="60F794AD" w14:textId="4F682B2F" w:rsidR="00E62798" w:rsidRPr="00E62798" w:rsidRDefault="00E62798" w:rsidP="00E62798">
      <w:pPr>
        <w:pStyle w:val="EndNoteBibliography"/>
        <w:spacing w:after="0"/>
        <w:ind w:hanging="720"/>
      </w:pPr>
      <w:bookmarkStart w:id="409" w:name="_ENREF_107"/>
      <w:r w:rsidRPr="00E62798">
        <w:t>107</w:t>
      </w:r>
      <w:r w:rsidRPr="00E62798">
        <w:tab/>
        <w:t xml:space="preserve">Okebe JU, Yahav D, Shbita R and Paul M (2011). Oral iron supplements for children in malaria-endemic areas, </w:t>
      </w:r>
      <w:r w:rsidRPr="00E62798">
        <w:rPr>
          <w:i/>
        </w:rPr>
        <w:t>Cochrane database of systematic reviews (Online)</w:t>
      </w:r>
      <w:r w:rsidRPr="00E62798">
        <w:t xml:space="preserve"> (10):CD006589. </w:t>
      </w:r>
      <w:hyperlink r:id="rId160" w:history="1">
        <w:r w:rsidRPr="00E62798">
          <w:rPr>
            <w:rStyle w:val="Hyperlink"/>
          </w:rPr>
          <w:t>http://www.embase.com/search/results?subaction=viewrecord&amp;from=export&amp;id=L362839424</w:t>
        </w:r>
        <w:bookmarkEnd w:id="409"/>
      </w:hyperlink>
    </w:p>
    <w:p w14:paraId="0C8F9EBD" w14:textId="5D651A00" w:rsidR="00E62798" w:rsidRPr="00E62798" w:rsidRDefault="00E62798" w:rsidP="00E62798">
      <w:pPr>
        <w:pStyle w:val="EndNoteBibliography"/>
        <w:spacing w:after="0"/>
        <w:ind w:hanging="720"/>
      </w:pPr>
      <w:bookmarkStart w:id="410" w:name="_ENREF_108"/>
      <w:r w:rsidRPr="00E62798">
        <w:t>108</w:t>
      </w:r>
      <w:r w:rsidRPr="00E62798">
        <w:tab/>
        <w:t xml:space="preserve">Feusner J and Hastings C (2002). Recombinant human erythropoietin in pediatric oncology: a review (Structured abstract), </w:t>
      </w:r>
      <w:r w:rsidRPr="00E62798">
        <w:rPr>
          <w:i/>
        </w:rPr>
        <w:t>Medical and Pediatric Oncology</w:t>
      </w:r>
      <w:r w:rsidRPr="00E62798">
        <w:t xml:space="preserve"> 39:463–468. </w:t>
      </w:r>
      <w:hyperlink r:id="rId161" w:history="1">
        <w:r w:rsidRPr="00E62798">
          <w:rPr>
            <w:rStyle w:val="Hyperlink"/>
          </w:rPr>
          <w:t>http://onlinelibrary.wiley.com/doi/10.1002/mpo.10187/abstract</w:t>
        </w:r>
        <w:bookmarkEnd w:id="410"/>
      </w:hyperlink>
    </w:p>
    <w:p w14:paraId="136B62D0" w14:textId="77777777" w:rsidR="00E62798" w:rsidRPr="00E62798" w:rsidRDefault="00E62798" w:rsidP="00E62798">
      <w:pPr>
        <w:pStyle w:val="EndNoteBibliography"/>
        <w:spacing w:after="0"/>
        <w:ind w:hanging="720"/>
      </w:pPr>
      <w:bookmarkStart w:id="411" w:name="_ENREF_109"/>
      <w:r w:rsidRPr="00E62798">
        <w:t>109</w:t>
      </w:r>
      <w:r w:rsidRPr="00E62798">
        <w:tab/>
        <w:t xml:space="preserve">Grant MD, Piper M, Bohlius J, Tonia T, Robert N, Vats V, et al. (2013). </w:t>
      </w:r>
      <w:r w:rsidRPr="00E62798">
        <w:rPr>
          <w:i/>
        </w:rPr>
        <w:t>Epoetin and darbepoetin formanaging anemia in patients undergoing cancer treatment: comparative effectiveness update</w:t>
      </w:r>
      <w:r w:rsidRPr="00E62798">
        <w:t>, Comparative Effectiveness Review No. 113, Agency for Healthcare Research and Quality, Rockville, MD.</w:t>
      </w:r>
      <w:bookmarkEnd w:id="411"/>
    </w:p>
    <w:p w14:paraId="20B4CEEA" w14:textId="472CAA0F" w:rsidR="00E62798" w:rsidRPr="00E62798" w:rsidRDefault="00E62798" w:rsidP="00E62798">
      <w:pPr>
        <w:pStyle w:val="EndNoteBibliography"/>
        <w:spacing w:after="0"/>
        <w:ind w:hanging="720"/>
      </w:pPr>
      <w:bookmarkStart w:id="412" w:name="_ENREF_110"/>
      <w:r w:rsidRPr="00E62798">
        <w:t>110</w:t>
      </w:r>
      <w:r w:rsidRPr="00E62798">
        <w:tab/>
        <w:t xml:space="preserve">Mystakidou K, Potamianou A and Tsilika E (2007). Erythropoietic growth factors for children with cancer: A systematic review of the literature, </w:t>
      </w:r>
      <w:r w:rsidRPr="00E62798">
        <w:rPr>
          <w:i/>
        </w:rPr>
        <w:t>Current Medical Research and Opinion</w:t>
      </w:r>
      <w:r w:rsidRPr="00E62798">
        <w:t xml:space="preserve"> 23(11):2841–2847. </w:t>
      </w:r>
      <w:hyperlink r:id="rId162" w:history="1">
        <w:r w:rsidRPr="00E62798">
          <w:rPr>
            <w:rStyle w:val="Hyperlink"/>
          </w:rPr>
          <w:t>http://informahealthcare.com/doi/abs/10.1185/030079907X242601%20</w:t>
        </w:r>
        <w:bookmarkEnd w:id="412"/>
      </w:hyperlink>
    </w:p>
    <w:p w14:paraId="547C230C" w14:textId="5E827EAD" w:rsidR="00E62798" w:rsidRPr="00E62798" w:rsidRDefault="00E62798" w:rsidP="00E62798">
      <w:pPr>
        <w:pStyle w:val="EndNoteBibliography"/>
        <w:spacing w:after="0"/>
        <w:ind w:hanging="720"/>
      </w:pPr>
      <w:bookmarkStart w:id="413" w:name="_ENREF_111"/>
      <w:r w:rsidRPr="00E62798">
        <w:t>111</w:t>
      </w:r>
      <w:r w:rsidRPr="00E62798">
        <w:tab/>
        <w:t xml:space="preserve">Ross SD, Allen IE, Henry DH, Seaman C, Sercus B and Goodnough LT (2006). Clinical benefits and risks associated with epoetin and darbepoetin in patients with chemotherapy-induced anemia: a systematic review of the literature (Structured abstract), </w:t>
      </w:r>
      <w:r w:rsidRPr="00E62798">
        <w:rPr>
          <w:i/>
        </w:rPr>
        <w:t>Clinical Therapeutics</w:t>
      </w:r>
      <w:r w:rsidRPr="00E62798">
        <w:t xml:space="preserve"> 28:801–831. </w:t>
      </w:r>
      <w:hyperlink r:id="rId163" w:history="1">
        <w:r w:rsidRPr="00E62798">
          <w:rPr>
            <w:rStyle w:val="Hyperlink"/>
          </w:rPr>
          <w:t>http://www.clinicaltherapeutics.com/article/S0149-2918(06)00139-1/abstract</w:t>
        </w:r>
        <w:bookmarkEnd w:id="413"/>
      </w:hyperlink>
    </w:p>
    <w:p w14:paraId="740467D5" w14:textId="4322FDF8" w:rsidR="00E62798" w:rsidRPr="00E62798" w:rsidRDefault="00E62798" w:rsidP="00E62798">
      <w:pPr>
        <w:pStyle w:val="EndNoteBibliography"/>
        <w:spacing w:after="0"/>
        <w:ind w:hanging="720"/>
      </w:pPr>
      <w:bookmarkStart w:id="414" w:name="_ENREF_112"/>
      <w:r w:rsidRPr="00E62798">
        <w:t>112</w:t>
      </w:r>
      <w:r w:rsidRPr="00E62798">
        <w:tab/>
        <w:t xml:space="preserve">Tonia T, Mettler A, Robert N, Schwarzer G, Seidenfeld J, Weingart O, et al. (2012). Erythropoietin or darbepoetin for patients with cancer, </w:t>
      </w:r>
      <w:r w:rsidRPr="00E62798">
        <w:rPr>
          <w:i/>
        </w:rPr>
        <w:t>Cochrane Database of Systematic Reviews</w:t>
      </w:r>
      <w:r w:rsidRPr="00E62798">
        <w:t xml:space="preserve"> (12). </w:t>
      </w:r>
      <w:hyperlink r:id="rId164" w:history="1">
        <w:r w:rsidRPr="00E62798">
          <w:rPr>
            <w:rStyle w:val="Hyperlink"/>
          </w:rPr>
          <w:t>http://onlinelibrary.wiley.com/doi/10.1002/14651858.CD003407.pub5/pdf</w:t>
        </w:r>
        <w:bookmarkEnd w:id="414"/>
      </w:hyperlink>
    </w:p>
    <w:p w14:paraId="1B79F614" w14:textId="77777777" w:rsidR="00E62798" w:rsidRPr="00E62798" w:rsidRDefault="00E62798" w:rsidP="00E62798">
      <w:pPr>
        <w:pStyle w:val="EndNoteBibliography"/>
        <w:spacing w:after="0"/>
        <w:ind w:hanging="720"/>
      </w:pPr>
      <w:bookmarkStart w:id="415" w:name="_ENREF_113"/>
      <w:r w:rsidRPr="00E62798">
        <w:t>113</w:t>
      </w:r>
      <w:r w:rsidRPr="00E62798">
        <w:tab/>
        <w:t xml:space="preserve">Bennetts G, Bertolone S, Bray G and al. e (1995). Erythropoietin reduces volume of red cell transfusions required in some subsets of children with acute lymphocytic leukemia [abstract], </w:t>
      </w:r>
      <w:r w:rsidRPr="00E62798">
        <w:rPr>
          <w:i/>
        </w:rPr>
        <w:t>Blood</w:t>
      </w:r>
      <w:r w:rsidRPr="00E62798">
        <w:t xml:space="preserve"> 10:853.</w:t>
      </w:r>
      <w:bookmarkEnd w:id="415"/>
    </w:p>
    <w:p w14:paraId="5764DE75" w14:textId="62D2406C" w:rsidR="00E62798" w:rsidRPr="00E62798" w:rsidRDefault="00E62798" w:rsidP="00E62798">
      <w:pPr>
        <w:pStyle w:val="EndNoteBibliography"/>
        <w:spacing w:after="0"/>
        <w:ind w:hanging="720"/>
      </w:pPr>
      <w:bookmarkStart w:id="416" w:name="_ENREF_114"/>
      <w:r w:rsidRPr="00E62798">
        <w:t>114</w:t>
      </w:r>
      <w:r w:rsidRPr="00E62798">
        <w:tab/>
        <w:t xml:space="preserve">Csaki C, Ferencz T, Schuler D and Borsi J (1998). Recombinant human erythropoietin in the prevention of chemotherapy-induced anaemia in children with malignant solid tumours, </w:t>
      </w:r>
      <w:r w:rsidRPr="00E62798">
        <w:rPr>
          <w:i/>
        </w:rPr>
        <w:t>European Journal of Cancer</w:t>
      </w:r>
      <w:r w:rsidRPr="00E62798">
        <w:t xml:space="preserve"> 34(3):364–367. </w:t>
      </w:r>
      <w:hyperlink r:id="rId165" w:history="1">
        <w:r w:rsidRPr="00E62798">
          <w:rPr>
            <w:rStyle w:val="Hyperlink"/>
          </w:rPr>
          <w:t>http://www.sciencedirect.com/science/article/pii/S095980499710065X</w:t>
        </w:r>
        <w:bookmarkEnd w:id="416"/>
      </w:hyperlink>
    </w:p>
    <w:p w14:paraId="7791A6D9" w14:textId="2CCC101E" w:rsidR="00E62798" w:rsidRPr="00E62798" w:rsidRDefault="00E62798" w:rsidP="00E62798">
      <w:pPr>
        <w:pStyle w:val="EndNoteBibliography"/>
        <w:spacing w:after="0"/>
        <w:ind w:hanging="720"/>
      </w:pPr>
      <w:bookmarkStart w:id="417" w:name="_ENREF_115"/>
      <w:r w:rsidRPr="00E62798">
        <w:t>115</w:t>
      </w:r>
      <w:r w:rsidRPr="00E62798">
        <w:tab/>
        <w:t xml:space="preserve">Porter JC, Leahey A, Polise K, Bunin G and Manno CS (1996). Recombinant human erythropoietin reduces the need for erythrocyte and platelet transfusions in pediatric patients with sarcoma: a randomized, double-blind, placebo-controlled trial, </w:t>
      </w:r>
      <w:r w:rsidRPr="00E62798">
        <w:rPr>
          <w:i/>
        </w:rPr>
        <w:t>J Pediatr</w:t>
      </w:r>
      <w:r w:rsidRPr="00E62798">
        <w:t xml:space="preserve"> 129(5):656–660. </w:t>
      </w:r>
      <w:hyperlink r:id="rId166" w:history="1">
        <w:r w:rsidRPr="00E62798">
          <w:rPr>
            <w:rStyle w:val="Hyperlink"/>
          </w:rPr>
          <w:t>http://www.ncbi.nlm.nih.gov/pubmed/8917229</w:t>
        </w:r>
        <w:bookmarkEnd w:id="417"/>
      </w:hyperlink>
    </w:p>
    <w:p w14:paraId="6ED01F45" w14:textId="77777777" w:rsidR="00E62798" w:rsidRPr="00E62798" w:rsidRDefault="00E62798" w:rsidP="00E62798">
      <w:pPr>
        <w:pStyle w:val="EndNoteBibliography"/>
        <w:spacing w:after="0"/>
        <w:ind w:hanging="720"/>
      </w:pPr>
      <w:bookmarkStart w:id="418" w:name="_ENREF_116"/>
      <w:r w:rsidRPr="00E62798">
        <w:t>116</w:t>
      </w:r>
      <w:r w:rsidRPr="00E62798">
        <w:tab/>
        <w:t xml:space="preserve">Ragni G, Clerico A, Sordi A and al. e (1998). Recombinant human erythropoietin (rHuEPO) in children with cancer: A randomized study [abstract], </w:t>
      </w:r>
      <w:r w:rsidRPr="00E62798">
        <w:rPr>
          <w:i/>
        </w:rPr>
        <w:t>Med Pediatr Oncol</w:t>
      </w:r>
      <w:r w:rsidRPr="00E62798">
        <w:t xml:space="preserve"> 31:274.</w:t>
      </w:r>
      <w:bookmarkEnd w:id="418"/>
    </w:p>
    <w:p w14:paraId="08579549" w14:textId="0D7E2359" w:rsidR="00E62798" w:rsidRPr="00E62798" w:rsidRDefault="00E62798" w:rsidP="00E62798">
      <w:pPr>
        <w:pStyle w:val="EndNoteBibliography"/>
        <w:spacing w:after="0"/>
        <w:ind w:hanging="720"/>
      </w:pPr>
      <w:bookmarkStart w:id="419" w:name="_ENREF_117"/>
      <w:r w:rsidRPr="00E62798">
        <w:t>117</w:t>
      </w:r>
      <w:r w:rsidRPr="00E62798">
        <w:tab/>
        <w:t xml:space="preserve">Razzouk BI, Hord JD, Hockenberry M, Hinds PS, Feusner J, Williams D, et al. (2006). Double-blind, placebo-controlled study of quality of life, hematologic end points, and safety of weekly epoetin alfa in children with cancer receiving myelosuppressive chemotherapy, </w:t>
      </w:r>
      <w:r w:rsidRPr="00E62798">
        <w:rPr>
          <w:i/>
        </w:rPr>
        <w:t>J Clin Oncol</w:t>
      </w:r>
      <w:r w:rsidRPr="00E62798">
        <w:t xml:space="preserve"> 24(22):3583–3589. </w:t>
      </w:r>
      <w:hyperlink r:id="rId167" w:history="1">
        <w:r w:rsidRPr="00E62798">
          <w:rPr>
            <w:rStyle w:val="Hyperlink"/>
          </w:rPr>
          <w:t>http://www.ncbi.nlm.nih.gov/pubmed/16877725</w:t>
        </w:r>
        <w:bookmarkEnd w:id="419"/>
      </w:hyperlink>
    </w:p>
    <w:p w14:paraId="294A33F0" w14:textId="641A54D7" w:rsidR="00E62798" w:rsidRPr="00E62798" w:rsidRDefault="00E62798" w:rsidP="00E62798">
      <w:pPr>
        <w:pStyle w:val="EndNoteBibliography"/>
        <w:spacing w:after="0"/>
        <w:ind w:hanging="720"/>
      </w:pPr>
      <w:bookmarkStart w:id="420" w:name="_ENREF_118"/>
      <w:r w:rsidRPr="00E62798">
        <w:t>118</w:t>
      </w:r>
      <w:r w:rsidRPr="00E62798">
        <w:tab/>
        <w:t xml:space="preserve">Varan A, Büyükpamukçu M, Kutluk T and Akyüz C (1999). Recombinant human erythropoietin treatment for chemotherapy-related anemia in children, </w:t>
      </w:r>
      <w:r w:rsidRPr="00E62798">
        <w:rPr>
          <w:i/>
        </w:rPr>
        <w:t>Pediatrics</w:t>
      </w:r>
      <w:r w:rsidRPr="00E62798">
        <w:t xml:space="preserve"> 103(2):e16–e16. </w:t>
      </w:r>
      <w:hyperlink r:id="rId168" w:history="1">
        <w:r w:rsidRPr="00E62798">
          <w:rPr>
            <w:rStyle w:val="Hyperlink"/>
          </w:rPr>
          <w:t>http://pediatrics.aappublications.org/content/103/2/e16.short</w:t>
        </w:r>
        <w:bookmarkEnd w:id="420"/>
      </w:hyperlink>
    </w:p>
    <w:p w14:paraId="691AFB04" w14:textId="42EDFAEC" w:rsidR="00E62798" w:rsidRPr="00E62798" w:rsidRDefault="00E62798" w:rsidP="00E62798">
      <w:pPr>
        <w:pStyle w:val="EndNoteBibliography"/>
        <w:spacing w:after="0"/>
        <w:ind w:hanging="720"/>
      </w:pPr>
      <w:bookmarkStart w:id="421" w:name="_ENREF_119"/>
      <w:r w:rsidRPr="00E62798">
        <w:t>119</w:t>
      </w:r>
      <w:r w:rsidRPr="00E62798">
        <w:tab/>
        <w:t xml:space="preserve">Wagner LM, Billups CA, Furman WL, Rao BN and Santana VM (2004). Combined use of erythropoietin and granulocyte colony-stimulating factor does not decrease blood transfusion requirements during induction therapy for high-risk neuroblastoma: a randomized controlled trial, </w:t>
      </w:r>
      <w:r w:rsidRPr="00E62798">
        <w:rPr>
          <w:i/>
        </w:rPr>
        <w:t>Journal of clinical oncology</w:t>
      </w:r>
      <w:r w:rsidRPr="00E62798">
        <w:t xml:space="preserve"> 22(10):1886–1893. </w:t>
      </w:r>
      <w:hyperlink r:id="rId169" w:history="1">
        <w:r w:rsidRPr="00E62798">
          <w:rPr>
            <w:rStyle w:val="Hyperlink"/>
          </w:rPr>
          <w:t>http://jco.ascopubs.org/content/22/10/1886.short</w:t>
        </w:r>
        <w:bookmarkEnd w:id="421"/>
      </w:hyperlink>
    </w:p>
    <w:p w14:paraId="26F4ED1D" w14:textId="4AF9ED65" w:rsidR="00E62798" w:rsidRPr="00E62798" w:rsidRDefault="00E62798" w:rsidP="00E62798">
      <w:pPr>
        <w:pStyle w:val="EndNoteBibliography"/>
        <w:spacing w:after="0"/>
        <w:ind w:hanging="720"/>
      </w:pPr>
      <w:bookmarkStart w:id="422" w:name="_ENREF_120"/>
      <w:r w:rsidRPr="00E62798">
        <w:t>120</w:t>
      </w:r>
      <w:r w:rsidRPr="00E62798">
        <w:tab/>
        <w:t xml:space="preserve">(2011). </w:t>
      </w:r>
      <w:r w:rsidRPr="00E62798">
        <w:rPr>
          <w:i/>
        </w:rPr>
        <w:t>Anaemia management in people with chronic kidney disease</w:t>
      </w:r>
      <w:r w:rsidRPr="00E62798">
        <w:t xml:space="preserve">, National Institute for Health and Care Excellence (NICE), UK. </w:t>
      </w:r>
      <w:hyperlink r:id="rId170" w:history="1">
        <w:r w:rsidRPr="00E62798">
          <w:rPr>
            <w:rStyle w:val="Hyperlink"/>
          </w:rPr>
          <w:t>http://www.nice.org.uk/guidance/cg114</w:t>
        </w:r>
        <w:bookmarkEnd w:id="422"/>
      </w:hyperlink>
    </w:p>
    <w:p w14:paraId="7FF5DB42" w14:textId="2EA0EEFE" w:rsidR="00E62798" w:rsidRPr="00E62798" w:rsidRDefault="00E62798" w:rsidP="00E62798">
      <w:pPr>
        <w:pStyle w:val="EndNoteBibliography"/>
        <w:spacing w:after="0"/>
        <w:ind w:hanging="720"/>
      </w:pPr>
      <w:bookmarkStart w:id="423" w:name="_ENREF_121"/>
      <w:r w:rsidRPr="00E62798">
        <w:t>121</w:t>
      </w:r>
      <w:r w:rsidRPr="00E62798">
        <w:tab/>
        <w:t xml:space="preserve">Cody J, Daly C, Campbell M, Donaldson C, Khan I, Rabindranath K, et al. (2005). Recombinant human erythropoietin for chronic renal failure anaemia in pre-dialysis patients, </w:t>
      </w:r>
      <w:r w:rsidRPr="00E62798">
        <w:rPr>
          <w:i/>
        </w:rPr>
        <w:t>Cochrane Database Syst Rev</w:t>
      </w:r>
      <w:r w:rsidRPr="00E62798">
        <w:t xml:space="preserve"> (3):CD003266. </w:t>
      </w:r>
      <w:hyperlink r:id="rId171" w:history="1">
        <w:r w:rsidRPr="00E62798">
          <w:rPr>
            <w:rStyle w:val="Hyperlink"/>
          </w:rPr>
          <w:t>http://www.ncbi.nlm.nih.gov/pubmed/16034896</w:t>
        </w:r>
        <w:bookmarkEnd w:id="423"/>
      </w:hyperlink>
    </w:p>
    <w:p w14:paraId="395A8604" w14:textId="30587F18" w:rsidR="00E62798" w:rsidRPr="00E62798" w:rsidRDefault="00E62798" w:rsidP="00E62798">
      <w:pPr>
        <w:pStyle w:val="EndNoteBibliography"/>
        <w:spacing w:after="0"/>
        <w:ind w:hanging="720"/>
      </w:pPr>
      <w:bookmarkStart w:id="424" w:name="_ENREF_122"/>
      <w:r w:rsidRPr="00E62798">
        <w:t>122</w:t>
      </w:r>
      <w:r w:rsidRPr="00E62798">
        <w:tab/>
        <w:t xml:space="preserve">Pape L, Ahlenstiel T, Kreuzer M, Drube J, Froede K, Franke D, et al. (2009). Early erythropoietin reduced the need for red blood cell transfusion in childhood hemolytic uremic syndrome - A randomized prospective pilot trial, </w:t>
      </w:r>
      <w:r w:rsidRPr="00E62798">
        <w:rPr>
          <w:i/>
        </w:rPr>
        <w:t>Pediatric Nephrology</w:t>
      </w:r>
      <w:r w:rsidRPr="00E62798">
        <w:t xml:space="preserve"> 24(5):1061–1064. </w:t>
      </w:r>
      <w:hyperlink r:id="rId172" w:history="1">
        <w:r w:rsidRPr="00E62798">
          <w:rPr>
            <w:rStyle w:val="Hyperlink"/>
          </w:rPr>
          <w:t>http://link.springer.com/article/10.1007%2Fs00467-008-1087-4</w:t>
        </w:r>
        <w:bookmarkEnd w:id="424"/>
      </w:hyperlink>
    </w:p>
    <w:p w14:paraId="31267750" w14:textId="065EF942" w:rsidR="00E62798" w:rsidRPr="00E62798" w:rsidRDefault="00E62798" w:rsidP="00E62798">
      <w:pPr>
        <w:pStyle w:val="EndNoteBibliography"/>
        <w:spacing w:after="0"/>
        <w:ind w:hanging="720"/>
      </w:pPr>
      <w:bookmarkStart w:id="425" w:name="_ENREF_123"/>
      <w:r w:rsidRPr="00E62798">
        <w:t>123</w:t>
      </w:r>
      <w:r w:rsidRPr="00E62798">
        <w:tab/>
        <w:t xml:space="preserve">Albaramki J, Hodson EM, Craig JC and Webster AC (2012). Parenteral versus oral iron therapy for adults and children with chronic kidney disease, </w:t>
      </w:r>
      <w:r w:rsidRPr="00E62798">
        <w:rPr>
          <w:i/>
        </w:rPr>
        <w:t>Cochrane Database Syst Rev</w:t>
      </w:r>
      <w:r w:rsidRPr="00E62798">
        <w:t xml:space="preserve"> 1:CD007857. </w:t>
      </w:r>
      <w:hyperlink r:id="rId173" w:history="1">
        <w:r w:rsidRPr="00E62798">
          <w:rPr>
            <w:rStyle w:val="Hyperlink"/>
          </w:rPr>
          <w:t>http://www.ncbi.nlm.nih.gov/pubmed/22258974</w:t>
        </w:r>
        <w:bookmarkEnd w:id="425"/>
      </w:hyperlink>
    </w:p>
    <w:p w14:paraId="25BD46EC" w14:textId="79B684DF" w:rsidR="00E62798" w:rsidRPr="00E62798" w:rsidRDefault="00E62798" w:rsidP="00E62798">
      <w:pPr>
        <w:pStyle w:val="EndNoteBibliography"/>
        <w:spacing w:after="0"/>
        <w:ind w:hanging="720"/>
      </w:pPr>
      <w:bookmarkStart w:id="426" w:name="_ENREF_124"/>
      <w:r w:rsidRPr="00E62798">
        <w:t>124</w:t>
      </w:r>
      <w:r w:rsidRPr="00E62798">
        <w:tab/>
        <w:t xml:space="preserve">Warady BA, Kausz A, Lerner G, Brewer ED, Chadha V, Brugnara C, et al. (2004). Iron therapy in the pediatric hemodialysis population, </w:t>
      </w:r>
      <w:r w:rsidRPr="00E62798">
        <w:rPr>
          <w:i/>
        </w:rPr>
        <w:t>Pediatric Nephrology</w:t>
      </w:r>
      <w:r w:rsidRPr="00E62798">
        <w:t xml:space="preserve"> 19(6):655–661. </w:t>
      </w:r>
      <w:hyperlink r:id="rId174" w:history="1">
        <w:r w:rsidRPr="00E62798">
          <w:rPr>
            <w:rStyle w:val="Hyperlink"/>
          </w:rPr>
          <w:t>http://link.springer.com/article/10.1007%2Fs00467-004-1457-5</w:t>
        </w:r>
        <w:bookmarkEnd w:id="426"/>
      </w:hyperlink>
    </w:p>
    <w:p w14:paraId="1506F2AB" w14:textId="656204EE" w:rsidR="00E62798" w:rsidRPr="00E62798" w:rsidRDefault="00E62798" w:rsidP="00E62798">
      <w:pPr>
        <w:pStyle w:val="EndNoteBibliography"/>
        <w:spacing w:after="0"/>
        <w:ind w:hanging="720"/>
      </w:pPr>
      <w:bookmarkStart w:id="427" w:name="_ENREF_125"/>
      <w:r w:rsidRPr="00E62798">
        <w:t>125</w:t>
      </w:r>
      <w:r w:rsidRPr="00E62798">
        <w:tab/>
        <w:t xml:space="preserve">Voskaridou E, Christoulas D, Bilalis A, Plata E, Varvagiannis K, Stamatopoulos G, et al. (2010). The effect of prolonged administration of hydroxyurea on morbidity and mortality in adult patients with sickle cell syndromes: results of a 17-year, single-center trial (LaSHS), </w:t>
      </w:r>
      <w:r w:rsidRPr="00E62798">
        <w:rPr>
          <w:i/>
        </w:rPr>
        <w:t>Blood</w:t>
      </w:r>
      <w:r w:rsidRPr="00E62798">
        <w:t xml:space="preserve"> 115(12):2354-2363. </w:t>
      </w:r>
      <w:hyperlink r:id="rId175" w:history="1">
        <w:r w:rsidRPr="00E62798">
          <w:rPr>
            <w:rStyle w:val="Hyperlink"/>
          </w:rPr>
          <w:t>http://www.ncbi.nlm.nih.gov/pubmed/19903897</w:t>
        </w:r>
        <w:bookmarkEnd w:id="427"/>
      </w:hyperlink>
    </w:p>
    <w:p w14:paraId="69BE01E8" w14:textId="7451174B" w:rsidR="00E62798" w:rsidRPr="00E62798" w:rsidRDefault="00E62798" w:rsidP="00E62798">
      <w:pPr>
        <w:pStyle w:val="EndNoteBibliography"/>
        <w:spacing w:after="0"/>
        <w:ind w:hanging="720"/>
      </w:pPr>
      <w:bookmarkStart w:id="428" w:name="_ENREF_126"/>
      <w:r w:rsidRPr="00E62798">
        <w:t>126</w:t>
      </w:r>
      <w:r w:rsidRPr="00E62798">
        <w:tab/>
        <w:t xml:space="preserve">Jones AP, Davies S and Olujohungbe A (2001). Hydroxyurea for sickle cell disease, </w:t>
      </w:r>
      <w:r w:rsidRPr="00E62798">
        <w:rPr>
          <w:i/>
        </w:rPr>
        <w:t>Cochrane Database Syst Rev</w:t>
      </w:r>
      <w:r w:rsidRPr="00E62798">
        <w:t xml:space="preserve"> (2):CD002202. </w:t>
      </w:r>
      <w:hyperlink r:id="rId176" w:history="1">
        <w:r w:rsidRPr="00E62798">
          <w:rPr>
            <w:rStyle w:val="Hyperlink"/>
          </w:rPr>
          <w:t>http://onlinelibrary.wiley.com/doi/10.1002/14651858.CD002202/epdf</w:t>
        </w:r>
        <w:bookmarkEnd w:id="428"/>
      </w:hyperlink>
    </w:p>
    <w:p w14:paraId="1085F4B7" w14:textId="65A62875" w:rsidR="00E62798" w:rsidRPr="00E62798" w:rsidRDefault="00E62798" w:rsidP="00E62798">
      <w:pPr>
        <w:pStyle w:val="EndNoteBibliography"/>
        <w:spacing w:after="0"/>
        <w:ind w:hanging="720"/>
      </w:pPr>
      <w:bookmarkStart w:id="429" w:name="_ENREF_127"/>
      <w:r w:rsidRPr="00E62798">
        <w:t>127</w:t>
      </w:r>
      <w:r w:rsidRPr="00E62798">
        <w:tab/>
        <w:t xml:space="preserve">Mulaku M, Opiyo N, Karumbi J, Kitonyi G, Thoithi G and English M (2013). Evidence review of hydroxyurea for the prevention of sickle cell complications in low-income countries, </w:t>
      </w:r>
      <w:r w:rsidRPr="00E62798">
        <w:rPr>
          <w:i/>
        </w:rPr>
        <w:t>Archives of Disease in Childhood</w:t>
      </w:r>
      <w:r w:rsidRPr="00E62798">
        <w:t xml:space="preserve"> 98(11):908–914. </w:t>
      </w:r>
      <w:hyperlink r:id="rId177" w:history="1">
        <w:r w:rsidRPr="00E62798">
          <w:rPr>
            <w:rStyle w:val="Hyperlink"/>
          </w:rPr>
          <w:t>http://adc.bmj.com/content/98/11/908.full.pdf</w:t>
        </w:r>
        <w:bookmarkEnd w:id="429"/>
      </w:hyperlink>
    </w:p>
    <w:p w14:paraId="2C9493C7" w14:textId="066A66D4" w:rsidR="00E62798" w:rsidRPr="00E62798" w:rsidRDefault="00E62798" w:rsidP="00E62798">
      <w:pPr>
        <w:pStyle w:val="EndNoteBibliography"/>
        <w:spacing w:after="0"/>
        <w:ind w:hanging="720"/>
      </w:pPr>
      <w:bookmarkStart w:id="430" w:name="_ENREF_128"/>
      <w:r w:rsidRPr="00E62798">
        <w:t>128</w:t>
      </w:r>
      <w:r w:rsidRPr="00E62798">
        <w:tab/>
        <w:t xml:space="preserve">Segal JB, Strouse JJ, Beach MC, Haywood C, Witkop C, Park H, et al. (2008). Hydroxyurea for the treatment of sickle cell disease, </w:t>
      </w:r>
      <w:r w:rsidRPr="00E62798">
        <w:rPr>
          <w:i/>
        </w:rPr>
        <w:t>Evid Rep Technol Assess (Full Rep)</w:t>
      </w:r>
      <w:r w:rsidRPr="00E62798">
        <w:t xml:space="preserve"> (165):1-95. </w:t>
      </w:r>
      <w:hyperlink r:id="rId178" w:history="1">
        <w:r w:rsidRPr="00E62798">
          <w:rPr>
            <w:rStyle w:val="Hyperlink"/>
          </w:rPr>
          <w:t>http://www.ncbi.nlm.nih.gov/pubmed/18457478</w:t>
        </w:r>
        <w:bookmarkEnd w:id="430"/>
      </w:hyperlink>
    </w:p>
    <w:p w14:paraId="6DD6D30A" w14:textId="232277B4" w:rsidR="00E62798" w:rsidRPr="00E62798" w:rsidRDefault="00E62798" w:rsidP="00E62798">
      <w:pPr>
        <w:pStyle w:val="EndNoteBibliography"/>
        <w:spacing w:after="0"/>
        <w:ind w:hanging="720"/>
      </w:pPr>
      <w:bookmarkStart w:id="431" w:name="_ENREF_129"/>
      <w:r w:rsidRPr="00E62798">
        <w:t>129</w:t>
      </w:r>
      <w:r w:rsidRPr="00E62798">
        <w:tab/>
        <w:t xml:space="preserve">Jain DL, Sarathi V, Desai S, Bhatnagar M and Lodha A (2012). Low fixed-dose hydroxyurea in severely affected Indian children with sickle cell disease, </w:t>
      </w:r>
      <w:r w:rsidRPr="00E62798">
        <w:rPr>
          <w:i/>
        </w:rPr>
        <w:t>Hemoglobin</w:t>
      </w:r>
      <w:r w:rsidRPr="00E62798">
        <w:t xml:space="preserve"> 36(4):323–332. </w:t>
      </w:r>
      <w:hyperlink r:id="rId179" w:history="1">
        <w:r w:rsidRPr="00E62798">
          <w:rPr>
            <w:rStyle w:val="Hyperlink"/>
          </w:rPr>
          <w:t>http://informahealthcare.com/doi/abs/10.3109/03630269.2012.697948</w:t>
        </w:r>
        <w:bookmarkEnd w:id="431"/>
      </w:hyperlink>
    </w:p>
    <w:p w14:paraId="6DB3E423" w14:textId="15EE40BC" w:rsidR="00E62798" w:rsidRPr="00E62798" w:rsidRDefault="00E62798" w:rsidP="00E62798">
      <w:pPr>
        <w:pStyle w:val="EndNoteBibliography"/>
        <w:spacing w:after="0"/>
        <w:ind w:hanging="720"/>
      </w:pPr>
      <w:bookmarkStart w:id="432" w:name="_ENREF_130"/>
      <w:r w:rsidRPr="00E62798">
        <w:t>130</w:t>
      </w:r>
      <w:r w:rsidRPr="00E62798">
        <w:tab/>
        <w:t xml:space="preserve">Wang WC, Ware RE, Miller ST, Iyer RV, Casella JF, Minniti CP, et al. (2011). Hydroxycarbamide in very young children with sickle-cell anaemia: A multicentre, randomised, controlled trial (BABY HUG), </w:t>
      </w:r>
      <w:r w:rsidRPr="00E62798">
        <w:rPr>
          <w:i/>
        </w:rPr>
        <w:t>The Lancet</w:t>
      </w:r>
      <w:r w:rsidRPr="00E62798">
        <w:t xml:space="preserve"> 377(9778):1663–1672. </w:t>
      </w:r>
      <w:hyperlink r:id="rId180" w:history="1">
        <w:r w:rsidRPr="00E62798">
          <w:rPr>
            <w:rStyle w:val="Hyperlink"/>
          </w:rPr>
          <w:t>http://www.ncbi.nlm.nih.gov/pmc/articles/PMC3133619/pdf/nihms298546.pdf</w:t>
        </w:r>
        <w:bookmarkEnd w:id="432"/>
      </w:hyperlink>
    </w:p>
    <w:p w14:paraId="4AA09A17" w14:textId="15400922" w:rsidR="00E62798" w:rsidRPr="00E62798" w:rsidRDefault="00E62798" w:rsidP="00E62798">
      <w:pPr>
        <w:pStyle w:val="EndNoteBibliography"/>
        <w:spacing w:after="0"/>
        <w:ind w:hanging="720"/>
      </w:pPr>
      <w:bookmarkStart w:id="433" w:name="_ENREF_131"/>
      <w:r w:rsidRPr="00E62798">
        <w:t>131</w:t>
      </w:r>
      <w:r w:rsidRPr="00E62798">
        <w:tab/>
        <w:t xml:space="preserve">Andropoulos DB, Brady K, Easley RB, Dickerson HA, Voigt RG, Shekerdemian LS, et al. (2013). Erythropoietin neuroprotection in neonatal cardiac surgery: A phase I/II safety and efficacy trial, </w:t>
      </w:r>
      <w:r w:rsidRPr="00E62798">
        <w:rPr>
          <w:i/>
        </w:rPr>
        <w:t>Journal of Thoracic and Cardiovascular Surgery</w:t>
      </w:r>
      <w:r w:rsidRPr="00E62798">
        <w:t xml:space="preserve"> 146(1):124–131. </w:t>
      </w:r>
      <w:hyperlink r:id="rId181" w:history="1">
        <w:r w:rsidRPr="00E62798">
          <w:rPr>
            <w:rStyle w:val="Hyperlink"/>
          </w:rPr>
          <w:t>http://www.ncbi.nlm.nih.gov/pmc/articles/PMC3579008/pdf/nihms417782.pdf</w:t>
        </w:r>
        <w:bookmarkEnd w:id="433"/>
      </w:hyperlink>
    </w:p>
    <w:p w14:paraId="758BEA53" w14:textId="2B90B305" w:rsidR="00E62798" w:rsidRPr="00E62798" w:rsidRDefault="00E62798" w:rsidP="00E62798">
      <w:pPr>
        <w:pStyle w:val="EndNoteBibliography"/>
        <w:spacing w:after="0"/>
        <w:ind w:hanging="720"/>
      </w:pPr>
      <w:bookmarkStart w:id="434" w:name="_ENREF_132"/>
      <w:r w:rsidRPr="00E62798">
        <w:t>132</w:t>
      </w:r>
      <w:r w:rsidRPr="00E62798">
        <w:tab/>
        <w:t xml:space="preserve">Bierer R, Roohi M, Peceny C and Ohls RK (2009). Erythropoietin increases reticulocyte counts and maintains hematocrit in neonates requiring surgery, </w:t>
      </w:r>
      <w:r w:rsidRPr="00E62798">
        <w:rPr>
          <w:i/>
        </w:rPr>
        <w:t>Journal of Pediatric Surgery</w:t>
      </w:r>
      <w:r w:rsidRPr="00E62798">
        <w:t xml:space="preserve"> 44(8):1540–1545. </w:t>
      </w:r>
      <w:hyperlink r:id="rId182" w:history="1">
        <w:r w:rsidRPr="00E62798">
          <w:rPr>
            <w:rStyle w:val="Hyperlink"/>
          </w:rPr>
          <w:t>http://www.ncbi.nlm.nih.gov/pmc/articles/PMC3086684/pdf/nihms281836.pdf</w:t>
        </w:r>
        <w:bookmarkEnd w:id="434"/>
      </w:hyperlink>
    </w:p>
    <w:p w14:paraId="54C138F9" w14:textId="13068449" w:rsidR="00E62798" w:rsidRPr="00E62798" w:rsidRDefault="00E62798" w:rsidP="00E62798">
      <w:pPr>
        <w:pStyle w:val="EndNoteBibliography"/>
        <w:spacing w:after="0"/>
        <w:ind w:hanging="720"/>
      </w:pPr>
      <w:bookmarkStart w:id="435" w:name="_ENREF_133"/>
      <w:r w:rsidRPr="00E62798">
        <w:t>133</w:t>
      </w:r>
      <w:r w:rsidRPr="00E62798">
        <w:tab/>
        <w:t xml:space="preserve">Fearon JA and Weinthal J (2002). The use of recombinant erythropoietin in the reduction of blood transfusion rates in craniosynostosis repair in infants and children, </w:t>
      </w:r>
      <w:r w:rsidRPr="00E62798">
        <w:rPr>
          <w:i/>
        </w:rPr>
        <w:t>Plastic and Reconstructive Surgery</w:t>
      </w:r>
      <w:r w:rsidRPr="00E62798">
        <w:t xml:space="preserve"> 109(7):2190–2196. </w:t>
      </w:r>
      <w:hyperlink r:id="rId183" w:history="1">
        <w:r w:rsidRPr="00E62798">
          <w:rPr>
            <w:rStyle w:val="Hyperlink"/>
          </w:rPr>
          <w:t>http://www.embase.com/search/results?subaction=viewrecord&amp;from=export&amp;id=L34556189</w:t>
        </w:r>
        <w:bookmarkEnd w:id="435"/>
      </w:hyperlink>
    </w:p>
    <w:p w14:paraId="701FE66C" w14:textId="02A56801" w:rsidR="00E62798" w:rsidRPr="00E62798" w:rsidRDefault="00E62798" w:rsidP="00E62798">
      <w:pPr>
        <w:pStyle w:val="EndNoteBibliography"/>
        <w:spacing w:after="0"/>
        <w:ind w:hanging="720"/>
      </w:pPr>
      <w:bookmarkStart w:id="436" w:name="_ENREF_134"/>
      <w:r w:rsidRPr="00E62798">
        <w:t>134</w:t>
      </w:r>
      <w:r w:rsidRPr="00E62798">
        <w:tab/>
        <w:t xml:space="preserve">Chicella MF and Krueger KP (2006). Prospective randomized double-blind placebo controlled trial of recombinant human erythropoietin administration to reduce blood transfusions in anemic pediatric intensive care patients, </w:t>
      </w:r>
      <w:r w:rsidRPr="00E62798">
        <w:rPr>
          <w:i/>
        </w:rPr>
        <w:t>The Journal of Pediatric Pharmacology and Therapeutics</w:t>
      </w:r>
      <w:r w:rsidRPr="00E62798">
        <w:t xml:space="preserve"> 11(2):101–106. </w:t>
      </w:r>
      <w:hyperlink r:id="rId184" w:history="1">
        <w:r w:rsidRPr="00E62798">
          <w:rPr>
            <w:rStyle w:val="Hyperlink"/>
          </w:rPr>
          <w:t>http://www.jppt.org/doi/abs/10.5863/1551-6776-11.2.101</w:t>
        </w:r>
        <w:bookmarkEnd w:id="436"/>
      </w:hyperlink>
    </w:p>
    <w:p w14:paraId="26944BD3" w14:textId="3C2E0932" w:rsidR="00E62798" w:rsidRPr="00E62798" w:rsidRDefault="00E62798" w:rsidP="00E62798">
      <w:pPr>
        <w:pStyle w:val="EndNoteBibliography"/>
        <w:spacing w:after="0"/>
        <w:ind w:hanging="720"/>
      </w:pPr>
      <w:bookmarkStart w:id="437" w:name="_ENREF_135"/>
      <w:r w:rsidRPr="00E62798">
        <w:t>135</w:t>
      </w:r>
      <w:r w:rsidRPr="00E62798">
        <w:tab/>
        <w:t xml:space="preserve">Jacobs BR, Lyons K and Brilli RJ (2003). Erythropoietin therapy in children with bronchiolitis and anemia, </w:t>
      </w:r>
      <w:r w:rsidRPr="00E62798">
        <w:rPr>
          <w:i/>
        </w:rPr>
        <w:t>Pediatric critical care medicine : a journal of the Society of Critical Care Medicine and the World Federation of Pediatric Intensive and Critical Care Societies</w:t>
      </w:r>
      <w:r w:rsidRPr="00E62798">
        <w:t xml:space="preserve"> 4(1):44–48. </w:t>
      </w:r>
      <w:hyperlink r:id="rId185" w:history="1">
        <w:r w:rsidRPr="00E62798">
          <w:rPr>
            <w:rStyle w:val="Hyperlink"/>
          </w:rPr>
          <w:t>http://www.embase.com/search/results?subaction=viewrecord&amp;from=export&amp;id=L36652247</w:t>
        </w:r>
        <w:bookmarkEnd w:id="437"/>
      </w:hyperlink>
    </w:p>
    <w:p w14:paraId="1E63228C" w14:textId="58C912F7" w:rsidR="00E62798" w:rsidRPr="00E62798" w:rsidRDefault="00E62798" w:rsidP="00E62798">
      <w:pPr>
        <w:pStyle w:val="EndNoteBibliography"/>
        <w:spacing w:after="0"/>
        <w:ind w:hanging="720"/>
      </w:pPr>
      <w:bookmarkStart w:id="438" w:name="_ENREF_136"/>
      <w:r w:rsidRPr="00E62798">
        <w:t>136</w:t>
      </w:r>
      <w:r w:rsidRPr="00E62798">
        <w:tab/>
        <w:t xml:space="preserve">Osborn DA and Evans N (2004). Early volume expansion for prevention of morbidity and mortality in very preterm infants, </w:t>
      </w:r>
      <w:r w:rsidRPr="00E62798">
        <w:rPr>
          <w:i/>
        </w:rPr>
        <w:t>Cochrane database of systematic reviews (Online)</w:t>
      </w:r>
      <w:r w:rsidRPr="00E62798">
        <w:t xml:space="preserve"> (2):CD002055. </w:t>
      </w:r>
      <w:hyperlink r:id="rId186" w:history="1">
        <w:r w:rsidRPr="00E62798">
          <w:rPr>
            <w:rStyle w:val="Hyperlink"/>
          </w:rPr>
          <w:t>http://www.embase.com/search/results?subaction=viewrecord&amp;from=export&amp;id=L39041654</w:t>
        </w:r>
        <w:bookmarkEnd w:id="438"/>
      </w:hyperlink>
    </w:p>
    <w:p w14:paraId="5D6C461A" w14:textId="77777777" w:rsidR="00E62798" w:rsidRPr="00E62798" w:rsidRDefault="00E62798" w:rsidP="00E62798">
      <w:pPr>
        <w:pStyle w:val="EndNoteBibliography"/>
        <w:spacing w:after="0"/>
        <w:ind w:hanging="720"/>
      </w:pPr>
      <w:bookmarkStart w:id="439" w:name="_ENREF_137"/>
      <w:r w:rsidRPr="00E62798">
        <w:t>137</w:t>
      </w:r>
      <w:r w:rsidRPr="00E62798">
        <w:tab/>
        <w:t xml:space="preserve">The Northern Neonatal Nursing Initiative Trial G (1996a). A randomized trial comparing the effect of prophylactic intravenous fresh frozen plasma, gelatin or gluocse on early mortality and morbidity in preterm babies, </w:t>
      </w:r>
      <w:r w:rsidRPr="00E62798">
        <w:rPr>
          <w:i/>
        </w:rPr>
        <w:t>Eur J Pediatr</w:t>
      </w:r>
      <w:r w:rsidRPr="00E62798">
        <w:t xml:space="preserve"> 155:580–588.</w:t>
      </w:r>
      <w:bookmarkEnd w:id="439"/>
    </w:p>
    <w:p w14:paraId="29B751A9" w14:textId="77777777" w:rsidR="00E62798" w:rsidRPr="00E62798" w:rsidRDefault="00E62798" w:rsidP="00E62798">
      <w:pPr>
        <w:pStyle w:val="EndNoteBibliography"/>
        <w:spacing w:after="0"/>
        <w:ind w:hanging="720"/>
      </w:pPr>
      <w:bookmarkStart w:id="440" w:name="_ENREF_138"/>
      <w:r w:rsidRPr="00E62798">
        <w:t>138</w:t>
      </w:r>
      <w:r w:rsidRPr="00E62798">
        <w:tab/>
        <w:t xml:space="preserve">The Northern Neonatal Nursing Initiative Trial Group (1996b). Randomised trial of prophylactic early fresh-frozen plasma or gelatin or glucose in preterm babies: outcome at 2 years, </w:t>
      </w:r>
      <w:r w:rsidRPr="00E62798">
        <w:rPr>
          <w:i/>
        </w:rPr>
        <w:t>The Lancet</w:t>
      </w:r>
      <w:r w:rsidRPr="00E62798">
        <w:t xml:space="preserve"> 348:229–232.</w:t>
      </w:r>
      <w:bookmarkEnd w:id="440"/>
    </w:p>
    <w:p w14:paraId="05B4D64F" w14:textId="59A1AD8E" w:rsidR="00E62798" w:rsidRPr="00E62798" w:rsidRDefault="00E62798" w:rsidP="00E62798">
      <w:pPr>
        <w:pStyle w:val="EndNoteBibliography"/>
        <w:spacing w:after="0"/>
        <w:ind w:hanging="720"/>
      </w:pPr>
      <w:bookmarkStart w:id="441" w:name="_ENREF_139"/>
      <w:r w:rsidRPr="00E62798">
        <w:t>139</w:t>
      </w:r>
      <w:r w:rsidRPr="00E62798">
        <w:tab/>
        <w:t xml:space="preserve">Baer VL, Lambert DK, Henry E, Snow GL, Sola-Visner MC and Christensen RD (2007). Do platelet transfusions in the NICU adversely affect survival? Analysis of 1600 thrombocytopenic neonates in a multihospital healthcare system, </w:t>
      </w:r>
      <w:r w:rsidRPr="00E62798">
        <w:rPr>
          <w:i/>
        </w:rPr>
        <w:t>Journal of Perinatology</w:t>
      </w:r>
      <w:r w:rsidRPr="00E62798">
        <w:t xml:space="preserve"> 27(12):790–796. </w:t>
      </w:r>
      <w:hyperlink r:id="rId187" w:history="1">
        <w:r w:rsidRPr="00E62798">
          <w:rPr>
            <w:rStyle w:val="Hyperlink"/>
          </w:rPr>
          <w:t>http://www.ncbi.nlm.nih.gov/pubmed/17855804</w:t>
        </w:r>
        <w:bookmarkEnd w:id="441"/>
      </w:hyperlink>
    </w:p>
    <w:p w14:paraId="62A1D8C1" w14:textId="6E822243" w:rsidR="00E62798" w:rsidRPr="00E62798" w:rsidRDefault="00E62798" w:rsidP="00E62798">
      <w:pPr>
        <w:pStyle w:val="EndNoteBibliography"/>
        <w:spacing w:after="0"/>
        <w:ind w:hanging="720"/>
      </w:pPr>
      <w:bookmarkStart w:id="442" w:name="_ENREF_140"/>
      <w:r w:rsidRPr="00E62798">
        <w:t>140</w:t>
      </w:r>
      <w:r w:rsidRPr="00E62798">
        <w:tab/>
        <w:t xml:space="preserve">Bonifacio L, Petrova A, Nanjundaswamy S and Mehta R (2007). Thrombocytopenia related neonatal outcome in preterms, </w:t>
      </w:r>
      <w:r w:rsidRPr="00E62798">
        <w:rPr>
          <w:i/>
        </w:rPr>
        <w:t>Indian Journal of Pediatrics</w:t>
      </w:r>
      <w:r w:rsidRPr="00E62798">
        <w:t xml:space="preserve"> 74(3):267–274. </w:t>
      </w:r>
      <w:hyperlink r:id="rId188" w:history="1">
        <w:r w:rsidRPr="00E62798">
          <w:rPr>
            <w:rStyle w:val="Hyperlink"/>
          </w:rPr>
          <w:t>http://www.ncbi.nlm.nih.gov/pubmed/17401266</w:t>
        </w:r>
        <w:bookmarkEnd w:id="442"/>
      </w:hyperlink>
    </w:p>
    <w:p w14:paraId="2A3D3E4C" w14:textId="22186F2B" w:rsidR="00E62798" w:rsidRPr="00E62798" w:rsidRDefault="00E62798" w:rsidP="00E62798">
      <w:pPr>
        <w:pStyle w:val="EndNoteBibliography"/>
        <w:spacing w:after="0"/>
        <w:ind w:hanging="720"/>
      </w:pPr>
      <w:bookmarkStart w:id="443" w:name="_ENREF_141"/>
      <w:r w:rsidRPr="00E62798">
        <w:t>141</w:t>
      </w:r>
      <w:r w:rsidRPr="00E62798">
        <w:tab/>
        <w:t xml:space="preserve">Christensen RD, Henry E, Wiedmeier SE, Stoddard RA, Sola-Visner MC, Lambert DK, et al. (2006). Thrombocytopenia among extremely low birth weight neonates: Data from a multihospital healthcare system, </w:t>
      </w:r>
      <w:r w:rsidRPr="00E62798">
        <w:rPr>
          <w:i/>
        </w:rPr>
        <w:t>Journal of Perinatology</w:t>
      </w:r>
      <w:r w:rsidRPr="00E62798">
        <w:t xml:space="preserve"> 26(6):348–353. </w:t>
      </w:r>
      <w:hyperlink r:id="rId189" w:history="1">
        <w:r w:rsidRPr="00E62798">
          <w:rPr>
            <w:rStyle w:val="Hyperlink"/>
          </w:rPr>
          <w:t>http://www.ncbi.nlm.nih.gov/pubmed/16642027</w:t>
        </w:r>
        <w:bookmarkEnd w:id="443"/>
      </w:hyperlink>
    </w:p>
    <w:p w14:paraId="2812B734" w14:textId="2F4FC3CE" w:rsidR="00E62798" w:rsidRPr="00E62798" w:rsidRDefault="00E62798" w:rsidP="00E62798">
      <w:pPr>
        <w:pStyle w:val="EndNoteBibliography"/>
        <w:spacing w:after="0"/>
        <w:ind w:hanging="720"/>
      </w:pPr>
      <w:bookmarkStart w:id="444" w:name="_ENREF_142"/>
      <w:r w:rsidRPr="00E62798">
        <w:t>142</w:t>
      </w:r>
      <w:r w:rsidRPr="00E62798">
        <w:tab/>
        <w:t xml:space="preserve">Von Lindern JS, Hulzebos CV, Bos AF, Brand A, Walther FJ and Lopriore E (2012). Thrombocytopaenia and intraventricular haemorrhage in very premature infants: A tale of two cities, </w:t>
      </w:r>
      <w:r w:rsidRPr="00E62798">
        <w:rPr>
          <w:i/>
        </w:rPr>
        <w:t>Arch Dis Child Fetal Neonatal Ed</w:t>
      </w:r>
      <w:r w:rsidRPr="00E62798">
        <w:t xml:space="preserve"> 97(5):F348–352. </w:t>
      </w:r>
      <w:hyperlink r:id="rId190" w:history="1">
        <w:r w:rsidRPr="00E62798">
          <w:rPr>
            <w:rStyle w:val="Hyperlink"/>
          </w:rPr>
          <w:t>http://fn.bmj.com/content/97/5/F348.long</w:t>
        </w:r>
        <w:bookmarkEnd w:id="444"/>
      </w:hyperlink>
    </w:p>
    <w:p w14:paraId="124B60F7" w14:textId="2D7AB535" w:rsidR="00E62798" w:rsidRPr="00E62798" w:rsidRDefault="00E62798" w:rsidP="00E62798">
      <w:pPr>
        <w:pStyle w:val="EndNoteBibliography"/>
        <w:spacing w:after="0"/>
        <w:ind w:hanging="720"/>
      </w:pPr>
      <w:bookmarkStart w:id="445" w:name="_ENREF_143"/>
      <w:r w:rsidRPr="00E62798">
        <w:t>143</w:t>
      </w:r>
      <w:r w:rsidRPr="00E62798">
        <w:tab/>
        <w:t xml:space="preserve">Curley A, Venkatesh V, Stanworth S, Clarke P, Watts T, New H, et al. (2014). Platelets for neonatal transfusion - study 2: a randomised controlled trial to compare two different platelet count thresholds for prophylactic platelet transfusion to preterm neonates, </w:t>
      </w:r>
      <w:r w:rsidRPr="00E62798">
        <w:rPr>
          <w:i/>
        </w:rPr>
        <w:t>Neonatology</w:t>
      </w:r>
      <w:r w:rsidRPr="00E62798">
        <w:t xml:space="preserve"> 106(2):102-106. </w:t>
      </w:r>
      <w:hyperlink r:id="rId191" w:history="1">
        <w:r w:rsidRPr="00E62798">
          <w:rPr>
            <w:rStyle w:val="Hyperlink"/>
          </w:rPr>
          <w:t>http://www.ncbi.nlm.nih.gov/pubmed/24851997</w:t>
        </w:r>
        <w:bookmarkEnd w:id="445"/>
      </w:hyperlink>
    </w:p>
    <w:p w14:paraId="46D78734" w14:textId="24FA4D10" w:rsidR="00E62798" w:rsidRPr="00E62798" w:rsidRDefault="00E62798" w:rsidP="00E62798">
      <w:pPr>
        <w:pStyle w:val="EndNoteBibliography"/>
        <w:spacing w:after="0"/>
        <w:ind w:hanging="720"/>
      </w:pPr>
      <w:bookmarkStart w:id="446" w:name="_ENREF_144"/>
      <w:r w:rsidRPr="00E62798">
        <w:t>144</w:t>
      </w:r>
      <w:r w:rsidRPr="00E62798">
        <w:tab/>
        <w:t xml:space="preserve">Estcourt L, Stanworth S, Doree C, Hopewell S, Murphy MF, Tinmouth A, et al. (2012). Prophylactic platelet transfusion for prevention of bleeding in patients with haematological disorders after chemotherapy and stem cell transplantation, </w:t>
      </w:r>
      <w:r w:rsidRPr="00E62798">
        <w:rPr>
          <w:i/>
        </w:rPr>
        <w:t>Cochrane Database of Systematic Reviews</w:t>
      </w:r>
      <w:r w:rsidRPr="00E62798">
        <w:t xml:space="preserve"> 16(5). </w:t>
      </w:r>
      <w:hyperlink r:id="rId192" w:history="1">
        <w:r w:rsidRPr="00E62798">
          <w:rPr>
            <w:rStyle w:val="Hyperlink"/>
          </w:rPr>
          <w:t>http://www.ncbi.nlm.nih.gov/pubmed/22592695</w:t>
        </w:r>
        <w:bookmarkEnd w:id="446"/>
      </w:hyperlink>
    </w:p>
    <w:p w14:paraId="32CA0F54" w14:textId="6312072C" w:rsidR="00E62798" w:rsidRPr="00E62798" w:rsidRDefault="00E62798" w:rsidP="00E62798">
      <w:pPr>
        <w:pStyle w:val="EndNoteBibliography"/>
        <w:spacing w:after="0"/>
        <w:ind w:hanging="720"/>
      </w:pPr>
      <w:bookmarkStart w:id="447" w:name="_ENREF_145"/>
      <w:r w:rsidRPr="00E62798">
        <w:t>145</w:t>
      </w:r>
      <w:r w:rsidRPr="00E62798">
        <w:tab/>
        <w:t xml:space="preserve">Roy AJ, Jaffe N and Djerassi I (1973). Prophylactic platelet transfusions in children with acute leukemia: a dose response study, </w:t>
      </w:r>
      <w:r w:rsidRPr="00E62798">
        <w:rPr>
          <w:i/>
        </w:rPr>
        <w:t>Transfusion</w:t>
      </w:r>
      <w:r w:rsidRPr="00E62798">
        <w:t xml:space="preserve"> 13(5):283-290. </w:t>
      </w:r>
      <w:hyperlink r:id="rId193" w:history="1">
        <w:r w:rsidRPr="00E62798">
          <w:rPr>
            <w:rStyle w:val="Hyperlink"/>
          </w:rPr>
          <w:t>http://www.ncbi.nlm.nih.gov/pubmed/4750180</w:t>
        </w:r>
        <w:bookmarkEnd w:id="447"/>
      </w:hyperlink>
    </w:p>
    <w:p w14:paraId="3A5C40AA" w14:textId="7A20C164" w:rsidR="00E62798" w:rsidRPr="00E62798" w:rsidRDefault="00E62798" w:rsidP="00E62798">
      <w:pPr>
        <w:pStyle w:val="EndNoteBibliography"/>
        <w:spacing w:after="0"/>
        <w:ind w:hanging="720"/>
      </w:pPr>
      <w:bookmarkStart w:id="448" w:name="_ENREF_146"/>
      <w:r w:rsidRPr="00E62798">
        <w:t>146</w:t>
      </w:r>
      <w:r w:rsidRPr="00E62798">
        <w:tab/>
        <w:t xml:space="preserve">Murphy S, Litwin S, Herring LM, Koch P, Remischovsky J, Donaldson MH, et al. (1982). Indications for platelet transfusion in children with acute leukemia, </w:t>
      </w:r>
      <w:r w:rsidRPr="00E62798">
        <w:rPr>
          <w:i/>
        </w:rPr>
        <w:t>Am J Hematol</w:t>
      </w:r>
      <w:r w:rsidRPr="00E62798">
        <w:t xml:space="preserve"> 12(4):347-356. </w:t>
      </w:r>
      <w:hyperlink r:id="rId194" w:history="1">
        <w:r w:rsidRPr="00E62798">
          <w:rPr>
            <w:rStyle w:val="Hyperlink"/>
          </w:rPr>
          <w:t>http://www.ncbi.nlm.nih.gov/pubmed/6981349</w:t>
        </w:r>
        <w:bookmarkEnd w:id="448"/>
      </w:hyperlink>
    </w:p>
    <w:p w14:paraId="0F4C8593" w14:textId="284168CD" w:rsidR="00E62798" w:rsidRPr="00E62798" w:rsidRDefault="00E62798" w:rsidP="00E62798">
      <w:pPr>
        <w:pStyle w:val="EndNoteBibliography"/>
        <w:spacing w:after="0"/>
        <w:ind w:hanging="720"/>
      </w:pPr>
      <w:bookmarkStart w:id="449" w:name="_ENREF_147"/>
      <w:r w:rsidRPr="00E62798">
        <w:t>147</w:t>
      </w:r>
      <w:r w:rsidRPr="00E62798">
        <w:tab/>
        <w:t xml:space="preserve">Nahirniak S, Slichter SJ, Tanael S, Rebulla P, Pavenski K, Vassallo R, et al. (2015). Guidance on platelet transfusion for patients with hypoproliferative thrombocytopenia, </w:t>
      </w:r>
      <w:r w:rsidRPr="00E62798">
        <w:rPr>
          <w:i/>
        </w:rPr>
        <w:t>Transfus Med Rev</w:t>
      </w:r>
      <w:r w:rsidRPr="00E62798">
        <w:t xml:space="preserve"> 29(1):3-13. </w:t>
      </w:r>
      <w:hyperlink r:id="rId195" w:history="1">
        <w:r w:rsidRPr="00E62798">
          <w:rPr>
            <w:rStyle w:val="Hyperlink"/>
          </w:rPr>
          <w:t>http://www.ncbi.nlm.nih.gov/pubmed/25537844</w:t>
        </w:r>
        <w:bookmarkEnd w:id="449"/>
      </w:hyperlink>
    </w:p>
    <w:p w14:paraId="2735264C" w14:textId="198FEF78" w:rsidR="00E62798" w:rsidRPr="00E62798" w:rsidRDefault="00E62798" w:rsidP="00E62798">
      <w:pPr>
        <w:pStyle w:val="EndNoteBibliography"/>
        <w:spacing w:after="0"/>
        <w:ind w:hanging="720"/>
      </w:pPr>
      <w:bookmarkStart w:id="450" w:name="_ENREF_148"/>
      <w:r w:rsidRPr="00E62798">
        <w:t>148</w:t>
      </w:r>
      <w:r w:rsidRPr="00E62798">
        <w:tab/>
        <w:t xml:space="preserve">Kaufman RM, Djulbegovic B, Gernsheimer T, Kleinman S, Tinmouth AT, Capocelli KE, et al. (2015). Platelet transfusion: a clinical practice guideline from the AABB, </w:t>
      </w:r>
      <w:r w:rsidRPr="00E62798">
        <w:rPr>
          <w:i/>
        </w:rPr>
        <w:t>Ann Intern Med</w:t>
      </w:r>
      <w:r w:rsidRPr="00E62798">
        <w:t xml:space="preserve"> 162(3):205-213. </w:t>
      </w:r>
      <w:hyperlink r:id="rId196" w:history="1">
        <w:r w:rsidRPr="00E62798">
          <w:rPr>
            <w:rStyle w:val="Hyperlink"/>
          </w:rPr>
          <w:t>http://www.ncbi.nlm.nih.gov/pubmed/25383671</w:t>
        </w:r>
        <w:bookmarkEnd w:id="450"/>
      </w:hyperlink>
    </w:p>
    <w:p w14:paraId="3949E7F0" w14:textId="2523CCD8" w:rsidR="00E62798" w:rsidRPr="00E62798" w:rsidRDefault="00E62798" w:rsidP="00E62798">
      <w:pPr>
        <w:pStyle w:val="EndNoteBibliography"/>
        <w:spacing w:after="0"/>
        <w:ind w:hanging="720"/>
      </w:pPr>
      <w:bookmarkStart w:id="451" w:name="_ENREF_149"/>
      <w:r w:rsidRPr="00E62798">
        <w:t>149</w:t>
      </w:r>
      <w:r w:rsidRPr="00E62798">
        <w:tab/>
        <w:t xml:space="preserve">Lee JW, Yoo YC, Park HK, Bang SO, Lee KY and Bai SJ (2013). Fresh frozen plasma in pump priming for congenital heart surgery: Evaluation of effects on postoperative coagulation profiles using a fibrinogen assay and rotational thromboelastometry, </w:t>
      </w:r>
      <w:r w:rsidRPr="00E62798">
        <w:rPr>
          <w:i/>
        </w:rPr>
        <w:t>Yonsei Medical Journal</w:t>
      </w:r>
      <w:r w:rsidRPr="00E62798">
        <w:t xml:space="preserve"> 54(3):752–762. </w:t>
      </w:r>
      <w:hyperlink r:id="rId197" w:history="1">
        <w:r w:rsidRPr="00E62798">
          <w:rPr>
            <w:rStyle w:val="Hyperlink"/>
          </w:rPr>
          <w:t>http://www.ncbi.nlm.nih.gov/pmc/articles/PMC3635629/pdf/ymj-54-752.pdf</w:t>
        </w:r>
        <w:bookmarkEnd w:id="451"/>
      </w:hyperlink>
    </w:p>
    <w:p w14:paraId="0920E63A" w14:textId="2EDDED5C" w:rsidR="00E62798" w:rsidRPr="00E62798" w:rsidRDefault="00E62798" w:rsidP="00E62798">
      <w:pPr>
        <w:pStyle w:val="EndNoteBibliography"/>
        <w:spacing w:after="0"/>
        <w:ind w:hanging="720"/>
      </w:pPr>
      <w:bookmarkStart w:id="452" w:name="_ENREF_150"/>
      <w:r w:rsidRPr="00E62798">
        <w:t>150</w:t>
      </w:r>
      <w:r w:rsidRPr="00E62798">
        <w:tab/>
        <w:t xml:space="preserve">McCall MM, Blackwell MM, Smyre JT, Sistino JJ, Acsell JR, Dorman BH, et al. (2004). Fresh frozen plasma in the pediatric pump prime: A prospective, randomized trial, </w:t>
      </w:r>
      <w:r w:rsidRPr="00E62798">
        <w:rPr>
          <w:i/>
        </w:rPr>
        <w:t>Annals of Thoracic Surgery</w:t>
      </w:r>
      <w:r w:rsidRPr="00E62798">
        <w:t xml:space="preserve"> 77(3):983–987. </w:t>
      </w:r>
      <w:hyperlink r:id="rId198" w:history="1">
        <w:r w:rsidRPr="00E62798">
          <w:rPr>
            <w:rStyle w:val="Hyperlink"/>
          </w:rPr>
          <w:t>http://www.annalsthoracicsurgery.org/article/S0003-4975(03)01873-3/pdf</w:t>
        </w:r>
        <w:bookmarkEnd w:id="452"/>
      </w:hyperlink>
    </w:p>
    <w:p w14:paraId="483B8C0A" w14:textId="63C826C0" w:rsidR="00E62798" w:rsidRPr="00E62798" w:rsidRDefault="00E62798" w:rsidP="00E62798">
      <w:pPr>
        <w:pStyle w:val="EndNoteBibliography"/>
        <w:spacing w:after="0"/>
        <w:ind w:hanging="720"/>
      </w:pPr>
      <w:bookmarkStart w:id="453" w:name="_ENREF_151"/>
      <w:r w:rsidRPr="00E62798">
        <w:t>151</w:t>
      </w:r>
      <w:r w:rsidRPr="00E62798">
        <w:tab/>
        <w:t xml:space="preserve">Oliver, Jr., Beynen FM, Nuttall GA, Schroeder DR, Ereth MH, Dearani JA, et al. (2003). Blood loss in infants and children for open heart operations: Albumin 5% versus fresh-frozen plasma in the prime, </w:t>
      </w:r>
      <w:r w:rsidRPr="00E62798">
        <w:rPr>
          <w:i/>
        </w:rPr>
        <w:t>Annals of Thoracic Surgery</w:t>
      </w:r>
      <w:r w:rsidRPr="00E62798">
        <w:t xml:space="preserve"> 75(5):1506–1512. </w:t>
      </w:r>
      <w:hyperlink r:id="rId199" w:history="1">
        <w:r w:rsidRPr="00E62798">
          <w:rPr>
            <w:rStyle w:val="Hyperlink"/>
          </w:rPr>
          <w:t>http://www.annalsthoracicsurgery.org/article/S0003-4975(02)04991-3/pdf</w:t>
        </w:r>
        <w:bookmarkEnd w:id="453"/>
      </w:hyperlink>
    </w:p>
    <w:p w14:paraId="47C05CBC" w14:textId="1D864043" w:rsidR="00E62798" w:rsidRPr="00E62798" w:rsidRDefault="00E62798" w:rsidP="00E62798">
      <w:pPr>
        <w:pStyle w:val="EndNoteBibliography"/>
        <w:spacing w:after="0"/>
        <w:ind w:hanging="720"/>
      </w:pPr>
      <w:bookmarkStart w:id="454" w:name="_ENREF_152"/>
      <w:r w:rsidRPr="00E62798">
        <w:t>152</w:t>
      </w:r>
      <w:r w:rsidRPr="00E62798">
        <w:tab/>
        <w:t xml:space="preserve">British Committee for Standards in Haematology BTTF (2003). Guidelines for the use of platelet transfusions, </w:t>
      </w:r>
      <w:r w:rsidRPr="00E62798">
        <w:rPr>
          <w:i/>
        </w:rPr>
        <w:t>Br J Haematol</w:t>
      </w:r>
      <w:r w:rsidRPr="00E62798">
        <w:t xml:space="preserve"> 122(1):10–23. </w:t>
      </w:r>
      <w:hyperlink r:id="rId200" w:history="1">
        <w:r w:rsidRPr="00E62798">
          <w:rPr>
            <w:rStyle w:val="Hyperlink"/>
          </w:rPr>
          <w:t>http://onlinelibrary.wiley.com/store/10.1046/j.1365-2141.2003.04468.x/asset/j.1365-2141.2003.04468.x.pdf?v=1&amp;t=i8wrvhu3&amp;s=cb4be396ff1b4b0096669308ddb29fd06023531e</w:t>
        </w:r>
        <w:bookmarkEnd w:id="454"/>
      </w:hyperlink>
    </w:p>
    <w:p w14:paraId="0BC3720F" w14:textId="7F64006E" w:rsidR="00E62798" w:rsidRPr="00E62798" w:rsidRDefault="00E62798" w:rsidP="00E62798">
      <w:pPr>
        <w:pStyle w:val="EndNoteBibliography"/>
        <w:spacing w:after="0"/>
        <w:ind w:hanging="720"/>
      </w:pPr>
      <w:bookmarkStart w:id="455" w:name="_ENREF_153"/>
      <w:r w:rsidRPr="00E62798">
        <w:t>153</w:t>
      </w:r>
      <w:r w:rsidRPr="00E62798">
        <w:tab/>
        <w:t xml:space="preserve">Lunde J, Stensballe J, Wikkelso A, Johansen M and Afshari A (2014). Fibrinogen concentrate for bleeding--a systematic review, </w:t>
      </w:r>
      <w:r w:rsidRPr="00E62798">
        <w:rPr>
          <w:i/>
        </w:rPr>
        <w:t>Acta Anaesthesiol Scand</w:t>
      </w:r>
      <w:r w:rsidRPr="00E62798">
        <w:t xml:space="preserve"> 58(9):1061-1074. </w:t>
      </w:r>
      <w:hyperlink r:id="rId201" w:history="1">
        <w:r w:rsidRPr="00E62798">
          <w:rPr>
            <w:rStyle w:val="Hyperlink"/>
          </w:rPr>
          <w:t>http://www.ncbi.nlm.nih.gov/pubmed/25059813</w:t>
        </w:r>
        <w:bookmarkEnd w:id="455"/>
      </w:hyperlink>
    </w:p>
    <w:p w14:paraId="09117F88" w14:textId="613D45D7" w:rsidR="00E62798" w:rsidRPr="00E62798" w:rsidRDefault="00E62798" w:rsidP="00E62798">
      <w:pPr>
        <w:pStyle w:val="EndNoteBibliography"/>
        <w:spacing w:after="0"/>
        <w:ind w:hanging="720"/>
      </w:pPr>
      <w:bookmarkStart w:id="456" w:name="_ENREF_154"/>
      <w:r w:rsidRPr="00E62798">
        <w:t>154</w:t>
      </w:r>
      <w:r w:rsidRPr="00E62798">
        <w:tab/>
        <w:t xml:space="preserve">Galas FRBG, de Almeida JP, Fukushima JT, Vincent JL, Osawa EA, Zeferino S, et al. (2014). Hemostatic effects of fibrinogen concentrate compared with cryoprecipitate in children after cardiac surgery: A randomized pilot trial, </w:t>
      </w:r>
      <w:r w:rsidRPr="00E62798">
        <w:rPr>
          <w:i/>
        </w:rPr>
        <w:t>Journal of Thoracic and Cardiovascular Surgery</w:t>
      </w:r>
      <w:r w:rsidRPr="00E62798">
        <w:t xml:space="preserve">. </w:t>
      </w:r>
      <w:hyperlink r:id="rId202" w:history="1">
        <w:r w:rsidRPr="00E62798">
          <w:rPr>
            <w:rStyle w:val="Hyperlink"/>
          </w:rPr>
          <w:t>http://dx.doi.org/10.1016/j.jtcvs.2014.04.029</w:t>
        </w:r>
        <w:bookmarkEnd w:id="456"/>
      </w:hyperlink>
    </w:p>
    <w:p w14:paraId="4854CF82" w14:textId="01779862" w:rsidR="00E62798" w:rsidRPr="00E62798" w:rsidRDefault="00E62798" w:rsidP="00E62798">
      <w:pPr>
        <w:pStyle w:val="EndNoteBibliography"/>
        <w:spacing w:after="0"/>
        <w:ind w:hanging="720"/>
      </w:pPr>
      <w:bookmarkStart w:id="457" w:name="_ENREF_155"/>
      <w:r w:rsidRPr="00E62798">
        <w:t>155</w:t>
      </w:r>
      <w:r w:rsidRPr="00E62798">
        <w:tab/>
        <w:t xml:space="preserve">Church GD, Matthay MA, Liu K, Milet M and Flori HR (2009). Blood product transfusions and clinical outcomes in pediatric patients with acute lung injury, </w:t>
      </w:r>
      <w:r w:rsidRPr="00E62798">
        <w:rPr>
          <w:i/>
        </w:rPr>
        <w:t>Pediatric Critical Care Medicine</w:t>
      </w:r>
      <w:r w:rsidRPr="00E62798">
        <w:t xml:space="preserve"> 10(3):297–302. </w:t>
      </w:r>
      <w:hyperlink r:id="rId203" w:history="1">
        <w:r w:rsidRPr="00E62798">
          <w:rPr>
            <w:rStyle w:val="Hyperlink"/>
          </w:rPr>
          <w:t>http://www.ncbi.nlm.nih.gov/pubmed/19307809</w:t>
        </w:r>
        <w:bookmarkEnd w:id="457"/>
      </w:hyperlink>
    </w:p>
    <w:p w14:paraId="5CDB2AA0" w14:textId="44F893C1" w:rsidR="00E62798" w:rsidRPr="00E62798" w:rsidRDefault="00E62798" w:rsidP="00E62798">
      <w:pPr>
        <w:pStyle w:val="EndNoteBibliography"/>
        <w:spacing w:after="0"/>
        <w:ind w:hanging="720"/>
      </w:pPr>
      <w:bookmarkStart w:id="458" w:name="_ENREF_156"/>
      <w:r w:rsidRPr="00E62798">
        <w:t>156</w:t>
      </w:r>
      <w:r w:rsidRPr="00E62798">
        <w:tab/>
        <w:t xml:space="preserve">Karam O, Lacroix J, Robitaille N, Rimensberger PC and Tucci M (2013). Association between plasma transfusions and clinical outcome in critically ill children: A prospective observational study, </w:t>
      </w:r>
      <w:r w:rsidRPr="00E62798">
        <w:rPr>
          <w:i/>
        </w:rPr>
        <w:t>Vox Sanguinis</w:t>
      </w:r>
      <w:r w:rsidRPr="00E62798">
        <w:t xml:space="preserve"> 104(4):342–349. </w:t>
      </w:r>
      <w:hyperlink r:id="rId204" w:history="1">
        <w:r w:rsidRPr="00E62798">
          <w:rPr>
            <w:rStyle w:val="Hyperlink"/>
          </w:rPr>
          <w:t>http://onlinelibrary.wiley.com/doi/10.1111/vox.12009/abstract</w:t>
        </w:r>
        <w:bookmarkEnd w:id="458"/>
      </w:hyperlink>
    </w:p>
    <w:p w14:paraId="2273AA3E" w14:textId="09B5E7B9" w:rsidR="00E62798" w:rsidRPr="00E62798" w:rsidRDefault="00E62798" w:rsidP="00E62798">
      <w:pPr>
        <w:pStyle w:val="EndNoteBibliography"/>
        <w:spacing w:after="0"/>
        <w:ind w:hanging="720"/>
      </w:pPr>
      <w:bookmarkStart w:id="459" w:name="_ENREF_157"/>
      <w:r w:rsidRPr="00E62798">
        <w:t>157</w:t>
      </w:r>
      <w:r w:rsidRPr="00E62798">
        <w:tab/>
        <w:t xml:space="preserve">Vain NE, Satragno DS, Gorenstein AN, Gordillo JE, Berazategui JP, Alda MG, et al. (2014). Effect of gravity on volume of placental transfusion: a multicentre, randomised, non-inferiority trial, </w:t>
      </w:r>
      <w:r w:rsidRPr="00E62798">
        <w:rPr>
          <w:i/>
        </w:rPr>
        <w:t>Lancet</w:t>
      </w:r>
      <w:r w:rsidRPr="00E62798">
        <w:t xml:space="preserve"> 384(9939):235-240. </w:t>
      </w:r>
      <w:hyperlink r:id="rId205" w:history="1">
        <w:r w:rsidRPr="00E62798">
          <w:rPr>
            <w:rStyle w:val="Hyperlink"/>
          </w:rPr>
          <w:t>http://www.ncbi.nlm.nih.gov/pubmed/24746755</w:t>
        </w:r>
        <w:bookmarkEnd w:id="459"/>
      </w:hyperlink>
    </w:p>
    <w:p w14:paraId="019830F1" w14:textId="465DB8AE" w:rsidR="00E62798" w:rsidRPr="00E62798" w:rsidRDefault="00E62798" w:rsidP="00E62798">
      <w:pPr>
        <w:pStyle w:val="EndNoteBibliography"/>
        <w:spacing w:after="0"/>
        <w:ind w:hanging="720"/>
      </w:pPr>
      <w:bookmarkStart w:id="460" w:name="_ENREF_158"/>
      <w:r w:rsidRPr="00E62798">
        <w:t>158</w:t>
      </w:r>
      <w:r w:rsidRPr="00E62798">
        <w:tab/>
        <w:t xml:space="preserve">Airey RJ, Farrar D and Duley L (2010). Alternative positions for the baby at birth before clamping the umbilical cord, </w:t>
      </w:r>
      <w:r w:rsidRPr="00E62798">
        <w:rPr>
          <w:i/>
        </w:rPr>
        <w:t>Cochrane Database Syst Rev</w:t>
      </w:r>
      <w:r w:rsidRPr="00E62798">
        <w:t xml:space="preserve"> (10):CD007555. </w:t>
      </w:r>
      <w:hyperlink r:id="rId206" w:history="1">
        <w:r w:rsidRPr="00E62798">
          <w:rPr>
            <w:rStyle w:val="Hyperlink"/>
          </w:rPr>
          <w:t>http://www.ncbi.nlm.nih.gov/pubmed/20927760</w:t>
        </w:r>
        <w:bookmarkEnd w:id="460"/>
      </w:hyperlink>
    </w:p>
    <w:p w14:paraId="015392FF" w14:textId="77F508D1" w:rsidR="00E62798" w:rsidRPr="00E62798" w:rsidRDefault="00E62798" w:rsidP="00E62798">
      <w:pPr>
        <w:pStyle w:val="EndNoteBibliography"/>
        <w:spacing w:after="0"/>
        <w:ind w:hanging="720"/>
      </w:pPr>
      <w:bookmarkStart w:id="461" w:name="_ENREF_159"/>
      <w:r w:rsidRPr="00E62798">
        <w:t>159</w:t>
      </w:r>
      <w:r w:rsidRPr="00E62798">
        <w:tab/>
        <w:t xml:space="preserve">Backes CH, Rivera BK, Haque U, Bridge JA, Smith CV, Hutchon DJR, et al. (2014). Placental transfusion strategies in very preterm neonates: A systematic review and meta-analysis, </w:t>
      </w:r>
      <w:r w:rsidRPr="00E62798">
        <w:rPr>
          <w:i/>
        </w:rPr>
        <w:t>Obstetrics and Gynecology</w:t>
      </w:r>
      <w:r w:rsidRPr="00E62798">
        <w:t xml:space="preserve"> 124(1):47–56. </w:t>
      </w:r>
      <w:hyperlink r:id="rId207" w:history="1">
        <w:r w:rsidRPr="00E62798">
          <w:rPr>
            <w:rStyle w:val="Hyperlink"/>
          </w:rPr>
          <w:t>http://dx.doi.org/10.1097/AOG.0000000000000324</w:t>
        </w:r>
        <w:bookmarkEnd w:id="461"/>
      </w:hyperlink>
    </w:p>
    <w:p w14:paraId="4EAC129D" w14:textId="30B960D1" w:rsidR="00E62798" w:rsidRPr="00E62798" w:rsidRDefault="00E62798" w:rsidP="00E62798">
      <w:pPr>
        <w:pStyle w:val="EndNoteBibliography"/>
        <w:spacing w:after="0"/>
        <w:ind w:hanging="720"/>
      </w:pPr>
      <w:bookmarkStart w:id="462" w:name="_ENREF_160"/>
      <w:r w:rsidRPr="00E62798">
        <w:t>160</w:t>
      </w:r>
      <w:r w:rsidRPr="00E62798">
        <w:tab/>
        <w:t xml:space="preserve">Ghavam S, Batra D, Mercer J, Kugelman A, Hosono S, Oh W, et al. (2013). Effects of placental transfusion in extremely low birthweight infants: Meta-analysis of long- and short-term outcomes, </w:t>
      </w:r>
      <w:r w:rsidRPr="00E62798">
        <w:rPr>
          <w:i/>
        </w:rPr>
        <w:t>Transfusion</w:t>
      </w:r>
      <w:r w:rsidRPr="00E62798">
        <w:t xml:space="preserve"> 54(4):1192–1198. </w:t>
      </w:r>
      <w:hyperlink r:id="rId208" w:history="1">
        <w:r w:rsidRPr="00E62798">
          <w:rPr>
            <w:rStyle w:val="Hyperlink"/>
          </w:rPr>
          <w:t>http://onlinelibrary.wiley.com/doi/10.1111/trf.12469/abstract</w:t>
        </w:r>
        <w:bookmarkEnd w:id="462"/>
      </w:hyperlink>
    </w:p>
    <w:p w14:paraId="7518FF6D" w14:textId="3E811472" w:rsidR="00E62798" w:rsidRPr="00E62798" w:rsidRDefault="00E62798" w:rsidP="00E62798">
      <w:pPr>
        <w:pStyle w:val="EndNoteBibliography"/>
        <w:spacing w:after="0"/>
        <w:ind w:hanging="720"/>
      </w:pPr>
      <w:bookmarkStart w:id="463" w:name="_ENREF_161"/>
      <w:r w:rsidRPr="00E62798">
        <w:t>161</w:t>
      </w:r>
      <w:r w:rsidRPr="00E62798">
        <w:tab/>
        <w:t xml:space="preserve">Mathew JL (2011). Timing of umbilical cord clamping in term and preterm deliveries and infant and maternal outcomes: A systematic review of randomized controlled trials, </w:t>
      </w:r>
      <w:r w:rsidRPr="00E62798">
        <w:rPr>
          <w:i/>
        </w:rPr>
        <w:t>Indian Pediatrics</w:t>
      </w:r>
      <w:r w:rsidRPr="00E62798">
        <w:t xml:space="preserve"> 48(2):123–129. </w:t>
      </w:r>
      <w:hyperlink r:id="rId209" w:history="1">
        <w:r w:rsidRPr="00E62798">
          <w:rPr>
            <w:rStyle w:val="Hyperlink"/>
          </w:rPr>
          <w:t>http://www.embase.com/search/results?subaction=viewrecord&amp;from=export&amp;id=L361595745</w:t>
        </w:r>
        <w:bookmarkEnd w:id="463"/>
      </w:hyperlink>
    </w:p>
    <w:p w14:paraId="7236C047" w14:textId="72BC9084" w:rsidR="00E62798" w:rsidRPr="00E62798" w:rsidRDefault="00E62798" w:rsidP="00E62798">
      <w:pPr>
        <w:pStyle w:val="EndNoteBibliography"/>
        <w:spacing w:after="0"/>
        <w:ind w:hanging="720"/>
      </w:pPr>
      <w:bookmarkStart w:id="464" w:name="_ENREF_162"/>
      <w:r w:rsidRPr="00E62798">
        <w:t>162</w:t>
      </w:r>
      <w:r w:rsidRPr="00E62798">
        <w:tab/>
        <w:t xml:space="preserve">Rabe H, Diaz-Rossello JL, Duley L and Dowswell T (2012). Effect of timing of umbilical cord clamping and other strategies to influence placental transfusion at preterm birth on maternal and infant outcomes, </w:t>
      </w:r>
      <w:r w:rsidRPr="00E62798">
        <w:rPr>
          <w:i/>
        </w:rPr>
        <w:t>Cochrane database of systematic reviews (Online)</w:t>
      </w:r>
      <w:r w:rsidRPr="00E62798">
        <w:t xml:space="preserve"> 8:CD003248. </w:t>
      </w:r>
      <w:hyperlink r:id="rId210" w:history="1">
        <w:r w:rsidRPr="00E62798">
          <w:rPr>
            <w:rStyle w:val="Hyperlink"/>
          </w:rPr>
          <w:t>http://onlinelibrary.wiley.com/store/10.1002/14651858.CD003248.pub3/asset/CD003248.pdf?v=1&amp;t=ib8vzpvn&amp;s=c8dc1f9b1a3381b5fec4e1ebd1ae74974f8cdf2f</w:t>
        </w:r>
        <w:bookmarkEnd w:id="464"/>
      </w:hyperlink>
    </w:p>
    <w:p w14:paraId="232167D0" w14:textId="46D5CB9D" w:rsidR="00E62798" w:rsidRPr="00E62798" w:rsidRDefault="00E62798" w:rsidP="00E62798">
      <w:pPr>
        <w:pStyle w:val="EndNoteBibliography"/>
        <w:spacing w:after="0"/>
        <w:ind w:hanging="720"/>
      </w:pPr>
      <w:bookmarkStart w:id="465" w:name="_ENREF_163"/>
      <w:r w:rsidRPr="00E62798">
        <w:t>163</w:t>
      </w:r>
      <w:r w:rsidRPr="00E62798">
        <w:tab/>
        <w:t xml:space="preserve">Alan S, Arsan S, Okulu E, Akin IM, Kilic A, Taskin S, et al. (2014). Effects of umbilical cord milking on the need for packed red blood cell transfusions and early neonatal hemodynamic adaptation in preterm infants born (less-than or equal to)1500 g: A prospective, randomized, controlled trial, </w:t>
      </w:r>
      <w:r w:rsidRPr="00E62798">
        <w:rPr>
          <w:i/>
        </w:rPr>
        <w:t>J Pediatr Hematol Oncol</w:t>
      </w:r>
      <w:r w:rsidRPr="00E62798">
        <w:t xml:space="preserve">. </w:t>
      </w:r>
      <w:hyperlink r:id="rId211" w:history="1">
        <w:r w:rsidRPr="00E62798">
          <w:rPr>
            <w:rStyle w:val="Hyperlink"/>
          </w:rPr>
          <w:t>http://dx.doi.org/10.1097/MPH.0000000000000143</w:t>
        </w:r>
        <w:bookmarkEnd w:id="465"/>
      </w:hyperlink>
    </w:p>
    <w:p w14:paraId="36E0ACA3" w14:textId="62CCB9A4" w:rsidR="00E62798" w:rsidRPr="00E62798" w:rsidRDefault="00E62798" w:rsidP="00E62798">
      <w:pPr>
        <w:pStyle w:val="EndNoteBibliography"/>
        <w:spacing w:after="0"/>
        <w:ind w:hanging="720"/>
      </w:pPr>
      <w:bookmarkStart w:id="466" w:name="_ENREF_164"/>
      <w:r w:rsidRPr="00E62798">
        <w:t>164</w:t>
      </w:r>
      <w:r w:rsidRPr="00E62798">
        <w:tab/>
        <w:t xml:space="preserve">Katheria AC, Leone TA, Woelkers D, Garey DM, Rich W and Finer NN (2014). The effects of umbilical cord milking on hemodynamics and neonatal outcomes in premature neonates, </w:t>
      </w:r>
      <w:r w:rsidRPr="00E62798">
        <w:rPr>
          <w:i/>
        </w:rPr>
        <w:t>J Pediatr</w:t>
      </w:r>
      <w:r w:rsidRPr="00E62798">
        <w:t xml:space="preserve"> 164(5):1045–1050.e1041. </w:t>
      </w:r>
      <w:hyperlink r:id="rId212" w:history="1">
        <w:r w:rsidRPr="00E62798">
          <w:rPr>
            <w:rStyle w:val="Hyperlink"/>
          </w:rPr>
          <w:t>http://www.jpeds.com/article/S0022-3476(14)00030-4/abstract</w:t>
        </w:r>
        <w:bookmarkEnd w:id="466"/>
      </w:hyperlink>
    </w:p>
    <w:p w14:paraId="62132F56" w14:textId="38CCFF82" w:rsidR="00E62798" w:rsidRPr="00E62798" w:rsidRDefault="00E62798" w:rsidP="00E62798">
      <w:pPr>
        <w:pStyle w:val="EndNoteBibliography"/>
        <w:spacing w:after="0"/>
        <w:ind w:hanging="720"/>
      </w:pPr>
      <w:bookmarkStart w:id="467" w:name="_ENREF_165"/>
      <w:r w:rsidRPr="00E62798">
        <w:t>165</w:t>
      </w:r>
      <w:r w:rsidRPr="00E62798">
        <w:tab/>
        <w:t xml:space="preserve">Bowen JR, Patterson JA, Roberts CL, Isbister JP, Irving DO and Ford JB (2015). Red cell and platelet transfusions in neonates: a population-based study, </w:t>
      </w:r>
      <w:r w:rsidRPr="00E62798">
        <w:rPr>
          <w:i/>
        </w:rPr>
        <w:t>Arch Dis Child Fetal Neonatal Ed</w:t>
      </w:r>
      <w:r w:rsidRPr="00E62798">
        <w:t xml:space="preserve">. </w:t>
      </w:r>
      <w:hyperlink r:id="rId213" w:history="1">
        <w:r w:rsidRPr="00E62798">
          <w:rPr>
            <w:rStyle w:val="Hyperlink"/>
          </w:rPr>
          <w:t>http://www.ncbi.nlm.nih.gov/pubmed/25977265</w:t>
        </w:r>
        <w:bookmarkEnd w:id="467"/>
      </w:hyperlink>
    </w:p>
    <w:p w14:paraId="7D9E31C0" w14:textId="0C9793B9" w:rsidR="00E62798" w:rsidRPr="00E62798" w:rsidRDefault="00E62798" w:rsidP="00E62798">
      <w:pPr>
        <w:pStyle w:val="EndNoteBibliography"/>
        <w:spacing w:after="0"/>
        <w:ind w:hanging="720"/>
      </w:pPr>
      <w:bookmarkStart w:id="468" w:name="_ENREF_166"/>
      <w:r w:rsidRPr="00E62798">
        <w:t>166</w:t>
      </w:r>
      <w:r w:rsidRPr="00E62798">
        <w:tab/>
        <w:t xml:space="preserve">Hammerman C, Vreman HJ, Kaplan M and Stevenson DK (1996). Intravenous immune globulin in neonatal immune hemolytic disease: does it reduce hemolysis?, </w:t>
      </w:r>
      <w:r w:rsidRPr="00E62798">
        <w:rPr>
          <w:i/>
        </w:rPr>
        <w:t>Acta Paediatr</w:t>
      </w:r>
      <w:r w:rsidRPr="00E62798">
        <w:t xml:space="preserve"> 85(11):1351-1353. </w:t>
      </w:r>
      <w:hyperlink r:id="rId214" w:history="1">
        <w:r w:rsidRPr="00E62798">
          <w:rPr>
            <w:rStyle w:val="Hyperlink"/>
          </w:rPr>
          <w:t>http://www.ncbi.nlm.nih.gov/pubmed/8955465</w:t>
        </w:r>
        <w:bookmarkEnd w:id="468"/>
      </w:hyperlink>
    </w:p>
    <w:p w14:paraId="2C5BA646" w14:textId="1EE43921" w:rsidR="00E62798" w:rsidRPr="00E62798" w:rsidRDefault="00E62798" w:rsidP="00E62798">
      <w:pPr>
        <w:pStyle w:val="EndNoteBibliography"/>
        <w:spacing w:after="0"/>
        <w:ind w:hanging="720"/>
      </w:pPr>
      <w:bookmarkStart w:id="469" w:name="_ENREF_167"/>
      <w:r w:rsidRPr="00E62798">
        <w:t>167</w:t>
      </w:r>
      <w:r w:rsidRPr="00E62798">
        <w:tab/>
        <w:t xml:space="preserve">Louis D, More K, Oberoi S and Shah PS (2014). Intravenous immunoglobulin in isoimmune haemolytic disease of newborn: An updated systematic review and meta-analysis, </w:t>
      </w:r>
      <w:r w:rsidRPr="00E62798">
        <w:rPr>
          <w:i/>
        </w:rPr>
        <w:t>Archives of Disease in Childhood: Fetal and Neonatal Edition</w:t>
      </w:r>
      <w:r w:rsidRPr="00E62798">
        <w:t xml:space="preserve">. </w:t>
      </w:r>
      <w:hyperlink r:id="rId215" w:history="1">
        <w:r w:rsidRPr="00E62798">
          <w:rPr>
            <w:rStyle w:val="Hyperlink"/>
          </w:rPr>
          <w:t>http://www.embase.com/search/results?subaction=viewrecord&amp;from=export&amp;id=L53004290</w:t>
        </w:r>
        <w:bookmarkEnd w:id="469"/>
      </w:hyperlink>
    </w:p>
    <w:p w14:paraId="58659725" w14:textId="20C3639A" w:rsidR="00E62798" w:rsidRPr="00E62798" w:rsidRDefault="00E62798" w:rsidP="00E62798">
      <w:pPr>
        <w:pStyle w:val="EndNoteBibliography"/>
        <w:spacing w:after="0"/>
        <w:ind w:hanging="720"/>
      </w:pPr>
      <w:bookmarkStart w:id="470" w:name="_ENREF_168"/>
      <w:r w:rsidRPr="00E62798">
        <w:t>168</w:t>
      </w:r>
      <w:r w:rsidRPr="00E62798">
        <w:tab/>
        <w:t xml:space="preserve">Chitty HE, Ziegler N, Savoia H, Doyle LW and Fox LM (2013). Neonatal exchange transfusions in the 21st century: a single hospital study, </w:t>
      </w:r>
      <w:r w:rsidRPr="00E62798">
        <w:rPr>
          <w:i/>
        </w:rPr>
        <w:t>J Paediatr Child Health</w:t>
      </w:r>
      <w:r w:rsidRPr="00E62798">
        <w:t xml:space="preserve"> 49(10):825-832. </w:t>
      </w:r>
      <w:hyperlink r:id="rId216" w:history="1">
        <w:r w:rsidRPr="00E62798">
          <w:rPr>
            <w:rStyle w:val="Hyperlink"/>
          </w:rPr>
          <w:t>http://www.ncbi.nlm.nih.gov/pubmed/23834341</w:t>
        </w:r>
        <w:bookmarkEnd w:id="470"/>
      </w:hyperlink>
    </w:p>
    <w:p w14:paraId="3B59BED5" w14:textId="77777777" w:rsidR="00E62798" w:rsidRPr="00E62798" w:rsidRDefault="00E62798" w:rsidP="00E62798">
      <w:pPr>
        <w:pStyle w:val="EndNoteBibliography"/>
        <w:spacing w:after="0"/>
        <w:ind w:hanging="720"/>
      </w:pPr>
      <w:bookmarkStart w:id="471" w:name="_ENREF_169"/>
      <w:r w:rsidRPr="00E62798">
        <w:t>169</w:t>
      </w:r>
      <w:r w:rsidRPr="00E62798">
        <w:tab/>
        <w:t xml:space="preserve">Liley HG, Gardener G, Lopriore E and Smits-Wintjens V (2015). Immune Hemolytic Disease, In Orkin SH, Nathan DG, et al. (eds.), </w:t>
      </w:r>
      <w:r w:rsidRPr="00E62798">
        <w:rPr>
          <w:i/>
        </w:rPr>
        <w:t>Nathan and Oskit's Hematology and Oncology of Infancy and Childhood, 8th Edition</w:t>
      </w:r>
      <w:r w:rsidRPr="00E62798">
        <w:t>, Elsevier.</w:t>
      </w:r>
      <w:bookmarkEnd w:id="471"/>
    </w:p>
    <w:p w14:paraId="3440660D" w14:textId="3C6E7EAA" w:rsidR="00E62798" w:rsidRPr="00E62798" w:rsidRDefault="00E62798" w:rsidP="00E62798">
      <w:pPr>
        <w:pStyle w:val="EndNoteBibliography"/>
        <w:spacing w:after="0"/>
        <w:ind w:hanging="720"/>
      </w:pPr>
      <w:bookmarkStart w:id="472" w:name="_ENREF_170"/>
      <w:r w:rsidRPr="00E62798">
        <w:t>170</w:t>
      </w:r>
      <w:r w:rsidRPr="00E62798">
        <w:tab/>
        <w:t xml:space="preserve">Caputo M, Patel N, Angelini GD, Siena P, Stoica S, Parry AJ, et al. (2011). Effect of normothermic cardiopulmonary bypass on renal injury in pediatric cardiac surgery: a randomized controlled trial, </w:t>
      </w:r>
      <w:r w:rsidRPr="00E62798">
        <w:rPr>
          <w:i/>
        </w:rPr>
        <w:t>J Thorac Cardiovasc Surg</w:t>
      </w:r>
      <w:r w:rsidRPr="00E62798">
        <w:t xml:space="preserve"> 142:1114–1121, 1121. </w:t>
      </w:r>
      <w:hyperlink r:id="rId217" w:history="1">
        <w:r w:rsidRPr="00E62798">
          <w:rPr>
            <w:rStyle w:val="Hyperlink"/>
          </w:rPr>
          <w:t>http://www.jtcvsonline.org/article/S0022-5223(11)00848-8/pdf</w:t>
        </w:r>
        <w:bookmarkEnd w:id="472"/>
      </w:hyperlink>
    </w:p>
    <w:p w14:paraId="18AFCCDD" w14:textId="40359E46" w:rsidR="00E62798" w:rsidRPr="00E62798" w:rsidRDefault="00E62798" w:rsidP="00E62798">
      <w:pPr>
        <w:pStyle w:val="EndNoteBibliography"/>
        <w:spacing w:after="0"/>
        <w:ind w:hanging="720"/>
      </w:pPr>
      <w:bookmarkStart w:id="473" w:name="_ENREF_171"/>
      <w:r w:rsidRPr="00E62798">
        <w:t>171</w:t>
      </w:r>
      <w:r w:rsidRPr="00E62798">
        <w:tab/>
        <w:t xml:space="preserve">Precious DS, Splinter W and Bosco D (1996). Induced hypotensive anesthesia for adolescent orthognathic surgery patients, </w:t>
      </w:r>
      <w:r w:rsidRPr="00E62798">
        <w:rPr>
          <w:i/>
        </w:rPr>
        <w:t>Journal of Oral and Maxillofacial Surgery</w:t>
      </w:r>
      <w:r w:rsidRPr="00E62798">
        <w:t xml:space="preserve"> 54(6):680–683, discussion 683–684. </w:t>
      </w:r>
      <w:hyperlink r:id="rId218" w:history="1">
        <w:r w:rsidRPr="00E62798">
          <w:rPr>
            <w:rStyle w:val="Hyperlink"/>
          </w:rPr>
          <w:t>http://www.joms.org/article/S0278-2391(96)90679-5/abstract</w:t>
        </w:r>
        <w:bookmarkEnd w:id="473"/>
      </w:hyperlink>
    </w:p>
    <w:p w14:paraId="467ABD8D" w14:textId="77777777" w:rsidR="00E62798" w:rsidRPr="00E62798" w:rsidRDefault="00E62798" w:rsidP="00E62798">
      <w:pPr>
        <w:pStyle w:val="EndNoteBibliography"/>
        <w:spacing w:after="0"/>
        <w:ind w:hanging="720"/>
      </w:pPr>
      <w:bookmarkStart w:id="474" w:name="_ENREF_172"/>
      <w:r w:rsidRPr="00E62798">
        <w:t>172</w:t>
      </w:r>
      <w:r w:rsidRPr="00E62798">
        <w:tab/>
        <w:t xml:space="preserve">Friesen RH, Perryman KM, Weigers KR, Mitchell MB and et al. (2006). </w:t>
      </w:r>
      <w:r w:rsidRPr="00E62798">
        <w:rPr>
          <w:i/>
        </w:rPr>
        <w:t>A trial of fresh autologous whole blood to treat dilutional coagulopathy following cardiopulmonary bypass in infants</w:t>
      </w:r>
      <w:r w:rsidRPr="00E62798">
        <w:t>, 16:429–435.</w:t>
      </w:r>
      <w:bookmarkEnd w:id="474"/>
    </w:p>
    <w:p w14:paraId="05233A49" w14:textId="77777777" w:rsidR="00E62798" w:rsidRPr="00E62798" w:rsidRDefault="00E62798" w:rsidP="00E62798">
      <w:pPr>
        <w:pStyle w:val="EndNoteBibliography"/>
        <w:spacing w:after="0"/>
        <w:ind w:hanging="720"/>
      </w:pPr>
      <w:bookmarkStart w:id="475" w:name="_ENREF_173"/>
      <w:r w:rsidRPr="00E62798">
        <w:t>173</w:t>
      </w:r>
      <w:r w:rsidRPr="00E62798">
        <w:tab/>
        <w:t xml:space="preserve">Hans P, Collin V, Bonhomme V, Damas F, Born JD and Lamy M (2000). Evaluation of acute normovolemic hemodilution for surgical repair of craniosynostosis, </w:t>
      </w:r>
      <w:r w:rsidRPr="00E62798">
        <w:rPr>
          <w:i/>
        </w:rPr>
        <w:t>Journal of Neurosurgical Anesthesiology</w:t>
      </w:r>
      <w:r w:rsidRPr="00E62798">
        <w:t xml:space="preserve"> 12(1):33–36.</w:t>
      </w:r>
      <w:bookmarkEnd w:id="475"/>
    </w:p>
    <w:p w14:paraId="1B85F198" w14:textId="77777777" w:rsidR="00E62798" w:rsidRPr="00E62798" w:rsidRDefault="00E62798" w:rsidP="00E62798">
      <w:pPr>
        <w:pStyle w:val="EndNoteBibliography"/>
        <w:spacing w:after="0"/>
        <w:ind w:hanging="720"/>
      </w:pPr>
      <w:bookmarkStart w:id="476" w:name="_ENREF_174"/>
      <w:r w:rsidRPr="00E62798">
        <w:t>174</w:t>
      </w:r>
      <w:r w:rsidRPr="00E62798">
        <w:tab/>
        <w:t xml:space="preserve">Lisander B, Jonsson R and Nordwall A (1996). Combination of blood-saving methods decreases homologous blood requirements in scoliosis surgery, </w:t>
      </w:r>
      <w:r w:rsidRPr="00E62798">
        <w:rPr>
          <w:i/>
        </w:rPr>
        <w:t>Anaesthesia and Intensive Care</w:t>
      </w:r>
      <w:r w:rsidRPr="00E62798">
        <w:t xml:space="preserve"> 24(5):555–558.</w:t>
      </w:r>
      <w:bookmarkEnd w:id="476"/>
    </w:p>
    <w:p w14:paraId="53591329" w14:textId="2C4780D9" w:rsidR="00E62798" w:rsidRPr="00E62798" w:rsidRDefault="00E62798" w:rsidP="00E62798">
      <w:pPr>
        <w:pStyle w:val="EndNoteBibliography"/>
        <w:spacing w:after="0"/>
        <w:ind w:hanging="720"/>
      </w:pPr>
      <w:bookmarkStart w:id="477" w:name="_ENREF_175"/>
      <w:r w:rsidRPr="00E62798">
        <w:t>175</w:t>
      </w:r>
      <w:r w:rsidRPr="00E62798">
        <w:tab/>
        <w:t xml:space="preserve">Cholette JM, Powers KS, Alfieris GM, Angona R, Henrichs KF, Masel D, et al. (2013). Transfusion of cell saver salvaged blood in neonates and infants undergoing open heart surgery significantly reduces RBC and coagulant product transfusions and donor exposures: results of a prospective, randomized, clinical trial, </w:t>
      </w:r>
      <w:r w:rsidRPr="00E62798">
        <w:rPr>
          <w:i/>
        </w:rPr>
        <w:t>Pediatric Critical Care Medicine</w:t>
      </w:r>
      <w:r w:rsidRPr="00E62798">
        <w:t xml:space="preserve"> 14(2):137–147. </w:t>
      </w:r>
      <w:hyperlink r:id="rId219" w:history="1">
        <w:r w:rsidRPr="00E62798">
          <w:rPr>
            <w:rStyle w:val="Hyperlink"/>
          </w:rPr>
          <w:t>http://www.ncbi.nlm.nih.gov/pmc/articles/PMC3671922/pdf/nihms463601.pdf</w:t>
        </w:r>
        <w:bookmarkEnd w:id="477"/>
      </w:hyperlink>
    </w:p>
    <w:p w14:paraId="487B6B87" w14:textId="0A590E8F" w:rsidR="00E62798" w:rsidRPr="00E62798" w:rsidRDefault="00E62798" w:rsidP="00E62798">
      <w:pPr>
        <w:pStyle w:val="EndNoteBibliography"/>
        <w:spacing w:after="0"/>
        <w:ind w:hanging="720"/>
      </w:pPr>
      <w:bookmarkStart w:id="478" w:name="_ENREF_176"/>
      <w:r w:rsidRPr="00E62798">
        <w:t>176</w:t>
      </w:r>
      <w:r w:rsidRPr="00E62798">
        <w:tab/>
        <w:t xml:space="preserve">Ye L, Lin R, Fan Y, Yang L, Hu J and Shu Q (2013). Effects of circuit residual volume salvage reinfusion on the postoperative clinical outcome for pediatric patients undergoing cardiac surgery, </w:t>
      </w:r>
      <w:r w:rsidRPr="00E62798">
        <w:rPr>
          <w:i/>
        </w:rPr>
        <w:t>Pediatric Cardiology</w:t>
      </w:r>
      <w:r w:rsidRPr="00E62798">
        <w:t xml:space="preserve"> 34(5):1088–1093. </w:t>
      </w:r>
      <w:hyperlink r:id="rId220" w:history="1">
        <w:r w:rsidRPr="00E62798">
          <w:rPr>
            <w:rStyle w:val="Hyperlink"/>
          </w:rPr>
          <w:t>http://link.springer.com/article/10.1007%2Fs00246-012-0606-z</w:t>
        </w:r>
        <w:bookmarkEnd w:id="478"/>
      </w:hyperlink>
    </w:p>
    <w:p w14:paraId="707E71E3" w14:textId="6B825E81" w:rsidR="00E62798" w:rsidRPr="00E62798" w:rsidRDefault="00E62798" w:rsidP="00E62798">
      <w:pPr>
        <w:pStyle w:val="EndNoteBibliography"/>
        <w:spacing w:after="0"/>
        <w:ind w:hanging="720"/>
      </w:pPr>
      <w:bookmarkStart w:id="479" w:name="_ENREF_177"/>
      <w:r w:rsidRPr="00E62798">
        <w:t>177</w:t>
      </w:r>
      <w:r w:rsidRPr="00E62798">
        <w:tab/>
        <w:t xml:space="preserve">Nakayama Y, Nakajima Y, Tanaka KA, Sessler DI, Maeda S, Iida J, et al. (2015). Thromboelastometry-guided intraoperative haemostatic management reduces bleeding and red cell transfusion after paediatric cardiac surgery, </w:t>
      </w:r>
      <w:r w:rsidRPr="00E62798">
        <w:rPr>
          <w:i/>
        </w:rPr>
        <w:t>Br J Anaesth</w:t>
      </w:r>
      <w:r w:rsidRPr="00E62798">
        <w:t xml:space="preserve"> 114(1):91–102. </w:t>
      </w:r>
      <w:hyperlink r:id="rId221" w:history="1">
        <w:r w:rsidRPr="00E62798">
          <w:rPr>
            <w:rStyle w:val="Hyperlink"/>
          </w:rPr>
          <w:t>http://www.ncbi.nlm.nih.gov/pubmed/25303988</w:t>
        </w:r>
        <w:bookmarkEnd w:id="479"/>
      </w:hyperlink>
    </w:p>
    <w:p w14:paraId="5E8873C0" w14:textId="718CD153" w:rsidR="00E62798" w:rsidRPr="00E62798" w:rsidRDefault="00E62798" w:rsidP="00E62798">
      <w:pPr>
        <w:pStyle w:val="EndNoteBibliography"/>
        <w:spacing w:after="0"/>
        <w:ind w:hanging="720"/>
      </w:pPr>
      <w:bookmarkStart w:id="480" w:name="_ENREF_178"/>
      <w:r w:rsidRPr="00E62798">
        <w:t>178</w:t>
      </w:r>
      <w:r w:rsidRPr="00E62798">
        <w:tab/>
        <w:t xml:space="preserve">Arnold DM, Fergusson DA, Chan AKC, Cook RJ, Fraser GA, Lim W, et al. (2006). Avoiding transfusions in children undergoing cardiac surgery: A meta-analysis of randomized trials of aprotinin, </w:t>
      </w:r>
      <w:r w:rsidRPr="00E62798">
        <w:rPr>
          <w:i/>
        </w:rPr>
        <w:t>Anesthesia and Analgesia</w:t>
      </w:r>
      <w:r w:rsidRPr="00E62798">
        <w:t xml:space="preserve"> 102(3):731–737. </w:t>
      </w:r>
      <w:hyperlink r:id="rId222" w:history="1">
        <w:r w:rsidRPr="00E62798">
          <w:rPr>
            <w:rStyle w:val="Hyperlink"/>
          </w:rPr>
          <w:t>http://www.embase.com/search/results?subaction=viewrecord&amp;from=export&amp;id=L43306387</w:t>
        </w:r>
        <w:bookmarkEnd w:id="480"/>
      </w:hyperlink>
    </w:p>
    <w:p w14:paraId="56ECA6F2" w14:textId="4CDC8048" w:rsidR="00E62798" w:rsidRPr="00E62798" w:rsidRDefault="00E62798" w:rsidP="00E62798">
      <w:pPr>
        <w:pStyle w:val="EndNoteBibliography"/>
        <w:ind w:hanging="720"/>
      </w:pPr>
      <w:bookmarkStart w:id="481" w:name="_ENREF_179"/>
      <w:r w:rsidRPr="00E62798">
        <w:t>179</w:t>
      </w:r>
      <w:r w:rsidRPr="00E62798">
        <w:tab/>
        <w:t xml:space="preserve">Faraoni D and Goobie SM (2014). The efficacy of antifibrinolytic drugs in children undergoing noncardiac surgery: A systematic review of the literature, </w:t>
      </w:r>
      <w:r w:rsidRPr="00E62798">
        <w:rPr>
          <w:i/>
        </w:rPr>
        <w:t>Anesthesia and Analgesia</w:t>
      </w:r>
      <w:r w:rsidRPr="00E62798">
        <w:t xml:space="preserve"> 118(3):628–636. </w:t>
      </w:r>
      <w:hyperlink r:id="rId223" w:history="1">
        <w:r w:rsidRPr="00E62798">
          <w:rPr>
            <w:rStyle w:val="Hyperlink"/>
          </w:rPr>
          <w:t>http://www.embase.com/search/results?subaction=viewrecord&amp;from=export&amp;id=L372489518</w:t>
        </w:r>
      </w:hyperlink>
    </w:p>
    <w:p w14:paraId="1B0CAA5A" w14:textId="2C23F2E1" w:rsidR="00E62798" w:rsidRPr="00E62798" w:rsidRDefault="00AF414B" w:rsidP="00E62798">
      <w:pPr>
        <w:pStyle w:val="EndNoteBibliography"/>
        <w:spacing w:after="0"/>
        <w:ind w:left="0"/>
      </w:pPr>
      <w:hyperlink r:id="rId224" w:history="1">
        <w:r w:rsidR="00E62798" w:rsidRPr="00E62798">
          <w:rPr>
            <w:rStyle w:val="Hyperlink"/>
          </w:rPr>
          <w:t>http://dx.doi.org/10.1213/ANE.0000000000000080</w:t>
        </w:r>
        <w:bookmarkEnd w:id="481"/>
      </w:hyperlink>
    </w:p>
    <w:p w14:paraId="770C082B" w14:textId="77777777" w:rsidR="00E62798" w:rsidRPr="00E62798" w:rsidRDefault="00E62798" w:rsidP="00E62798">
      <w:pPr>
        <w:pStyle w:val="EndNoteBibliography"/>
        <w:spacing w:after="0"/>
        <w:ind w:hanging="720"/>
      </w:pPr>
      <w:bookmarkStart w:id="482" w:name="_ENREF_180"/>
      <w:r w:rsidRPr="00E62798">
        <w:t>180</w:t>
      </w:r>
      <w:r w:rsidRPr="00E62798">
        <w:tab/>
        <w:t xml:space="preserve">Ker K, Beecher D and Roberts I (2013). Topical application of tranexamic acid for the reduction of bleeding, </w:t>
      </w:r>
      <w:r w:rsidRPr="00E62798">
        <w:rPr>
          <w:i/>
        </w:rPr>
        <w:t>Cochrane Database of Systematic Reviews</w:t>
      </w:r>
      <w:r w:rsidRPr="00E62798">
        <w:t>.</w:t>
      </w:r>
      <w:bookmarkEnd w:id="482"/>
    </w:p>
    <w:p w14:paraId="6D6C033F" w14:textId="758FA03C" w:rsidR="00E62798" w:rsidRPr="00E62798" w:rsidRDefault="00E62798" w:rsidP="00E62798">
      <w:pPr>
        <w:pStyle w:val="EndNoteBibliography"/>
        <w:spacing w:after="0"/>
        <w:ind w:hanging="720"/>
      </w:pPr>
      <w:bookmarkStart w:id="483" w:name="_ENREF_181"/>
      <w:r w:rsidRPr="00E62798">
        <w:t>181</w:t>
      </w:r>
      <w:r w:rsidRPr="00E62798">
        <w:tab/>
        <w:t xml:space="preserve">Schouten ES, Van De Pol AC, Schouten ANJ, Turner NM, Jansen NJG and Bollen CW (2009). The effect of aprotinin, tranexamic acid, and aminocaproic acid on blood loss and use of blood products in major pediatric surgery: A meta-analysis, </w:t>
      </w:r>
      <w:r w:rsidRPr="00E62798">
        <w:rPr>
          <w:i/>
        </w:rPr>
        <w:t>Pediatric Critical Care Medicine</w:t>
      </w:r>
      <w:r w:rsidRPr="00E62798">
        <w:t xml:space="preserve"> 10(2):182–190. </w:t>
      </w:r>
      <w:hyperlink r:id="rId225" w:history="1">
        <w:r w:rsidRPr="00E62798">
          <w:rPr>
            <w:rStyle w:val="Hyperlink"/>
          </w:rPr>
          <w:t>http://dx.doi.org/10.1097/PCC.0b013e3181956d61</w:t>
        </w:r>
        <w:bookmarkEnd w:id="483"/>
      </w:hyperlink>
    </w:p>
    <w:p w14:paraId="3F012843" w14:textId="4D79B0E7" w:rsidR="00E62798" w:rsidRPr="00E62798" w:rsidRDefault="00E62798" w:rsidP="00E62798">
      <w:pPr>
        <w:pStyle w:val="EndNoteBibliography"/>
        <w:spacing w:after="0"/>
        <w:ind w:hanging="720"/>
      </w:pPr>
      <w:bookmarkStart w:id="484" w:name="_ENREF_182"/>
      <w:r w:rsidRPr="00E62798">
        <w:t>182</w:t>
      </w:r>
      <w:r w:rsidRPr="00E62798">
        <w:tab/>
        <w:t xml:space="preserve">Song G, Yang P, Zhu S, Luo E, Feng G, Hu J, et al. (2013). Tranexamic acid reducing blood transfusion in children undergoing craniosynostosis surgery, </w:t>
      </w:r>
      <w:r w:rsidRPr="00E62798">
        <w:rPr>
          <w:i/>
        </w:rPr>
        <w:t>Journal of Craniofacial Surgery</w:t>
      </w:r>
      <w:r w:rsidRPr="00E62798">
        <w:t xml:space="preserve"> 24(1):299–303. </w:t>
      </w:r>
      <w:hyperlink r:id="rId226" w:history="1">
        <w:r w:rsidRPr="00E62798">
          <w:rPr>
            <w:rStyle w:val="Hyperlink"/>
          </w:rPr>
          <w:t>http://dx.doi.org/10.1097/SCS.0b013e3182710232</w:t>
        </w:r>
        <w:bookmarkEnd w:id="484"/>
      </w:hyperlink>
    </w:p>
    <w:p w14:paraId="37C36E4F" w14:textId="77777777" w:rsidR="00E62798" w:rsidRPr="00E62798" w:rsidRDefault="00E62798" w:rsidP="00E62798">
      <w:pPr>
        <w:pStyle w:val="EndNoteBibliography"/>
        <w:spacing w:after="0"/>
        <w:ind w:hanging="720"/>
      </w:pPr>
      <w:bookmarkStart w:id="485" w:name="_ENREF_183"/>
      <w:r w:rsidRPr="00E62798">
        <w:t>183</w:t>
      </w:r>
      <w:r w:rsidRPr="00E62798">
        <w:tab/>
        <w:t xml:space="preserve">Tzortzopoulou A, Cepeda MS, Schumann R and Carr DB (2008). Antifibrinolytic agents for reducing blood loss in scoliosis surgery in children, </w:t>
      </w:r>
      <w:r w:rsidRPr="00E62798">
        <w:rPr>
          <w:i/>
        </w:rPr>
        <w:t>Cochrane Database of Systematic Reviews</w:t>
      </w:r>
      <w:r w:rsidRPr="00E62798">
        <w:t>.</w:t>
      </w:r>
      <w:bookmarkEnd w:id="485"/>
    </w:p>
    <w:p w14:paraId="345634BD" w14:textId="10A62826" w:rsidR="00E62798" w:rsidRPr="00E62798" w:rsidRDefault="00E62798" w:rsidP="00E62798">
      <w:pPr>
        <w:pStyle w:val="EndNoteBibliography"/>
        <w:spacing w:after="0"/>
        <w:ind w:hanging="720"/>
      </w:pPr>
      <w:bookmarkStart w:id="486" w:name="_ENREF_184"/>
      <w:r w:rsidRPr="00E62798">
        <w:t>184</w:t>
      </w:r>
      <w:r w:rsidRPr="00E62798">
        <w:tab/>
        <w:t xml:space="preserve">Basta MN, Stricker PA and Taylor JA (2012). A systematic review of the use of antifibrinolytic agents in pediatric surgery and implications for craniofacial use, </w:t>
      </w:r>
      <w:r w:rsidRPr="00E62798">
        <w:rPr>
          <w:i/>
        </w:rPr>
        <w:t>Pediatr Surg Int</w:t>
      </w:r>
      <w:r w:rsidRPr="00E62798">
        <w:t xml:space="preserve"> 28(11):1059-1069. </w:t>
      </w:r>
      <w:hyperlink r:id="rId227" w:history="1">
        <w:r w:rsidRPr="00E62798">
          <w:rPr>
            <w:rStyle w:val="Hyperlink"/>
          </w:rPr>
          <w:t>http://www.ncbi.nlm.nih.gov/pubmed/22940882</w:t>
        </w:r>
        <w:bookmarkEnd w:id="486"/>
      </w:hyperlink>
    </w:p>
    <w:p w14:paraId="635DBDE6" w14:textId="01921908" w:rsidR="00E62798" w:rsidRPr="00E62798" w:rsidRDefault="00E62798" w:rsidP="00E62798">
      <w:pPr>
        <w:pStyle w:val="EndNoteBibliography"/>
        <w:spacing w:after="0"/>
        <w:ind w:hanging="720"/>
      </w:pPr>
      <w:bookmarkStart w:id="487" w:name="_ENREF_185"/>
      <w:r w:rsidRPr="00E62798">
        <w:t>185</w:t>
      </w:r>
      <w:r w:rsidRPr="00E62798">
        <w:tab/>
        <w:t xml:space="preserve">Badeaux J and Hawley D (2014). A systematic review of the effectiveness of intravenous tranexamic acid administration in managing perioperative blood loss in patients undergoing spine surgery, </w:t>
      </w:r>
      <w:r w:rsidRPr="00E62798">
        <w:rPr>
          <w:i/>
        </w:rPr>
        <w:t>J Perianesth Nurs</w:t>
      </w:r>
      <w:r w:rsidRPr="00E62798">
        <w:t xml:space="preserve"> 29(6):459-465. </w:t>
      </w:r>
      <w:hyperlink r:id="rId228" w:history="1">
        <w:r w:rsidRPr="00E62798">
          <w:rPr>
            <w:rStyle w:val="Hyperlink"/>
          </w:rPr>
          <w:t>http://www.ncbi.nlm.nih.gov/pubmed/25458625</w:t>
        </w:r>
        <w:bookmarkEnd w:id="487"/>
      </w:hyperlink>
    </w:p>
    <w:p w14:paraId="19AAD8CE" w14:textId="77777777" w:rsidR="00E62798" w:rsidRPr="00E62798" w:rsidRDefault="00E62798" w:rsidP="00E62798">
      <w:pPr>
        <w:pStyle w:val="EndNoteBibliography"/>
        <w:spacing w:after="0"/>
        <w:ind w:hanging="720"/>
      </w:pPr>
      <w:bookmarkStart w:id="488" w:name="_ENREF_186"/>
      <w:r w:rsidRPr="00E62798">
        <w:t>186</w:t>
      </w:r>
      <w:r w:rsidRPr="00E62798">
        <w:tab/>
        <w:t xml:space="preserve">Aggarwal V, Kapoor PM, Choudhury M, Kiran U and Chowdhury U (2012). </w:t>
      </w:r>
      <w:r w:rsidRPr="00E62798">
        <w:rPr>
          <w:i/>
        </w:rPr>
        <w:t>Utility of sonoclot analysis and tranexamic acid in tetralogy of Fallot patients undergoing intracardiac repair</w:t>
      </w:r>
      <w:r w:rsidRPr="00E62798">
        <w:t>, 15:26–31.</w:t>
      </w:r>
      <w:bookmarkEnd w:id="488"/>
    </w:p>
    <w:p w14:paraId="45A520B2" w14:textId="37DF65FE" w:rsidR="00E62798" w:rsidRPr="00E62798" w:rsidRDefault="00E62798" w:rsidP="00E62798">
      <w:pPr>
        <w:pStyle w:val="EndNoteBibliography"/>
        <w:spacing w:after="0"/>
        <w:ind w:hanging="720"/>
      </w:pPr>
      <w:bookmarkStart w:id="489" w:name="_ENREF_187"/>
      <w:r w:rsidRPr="00E62798">
        <w:t>187</w:t>
      </w:r>
      <w:r w:rsidRPr="00E62798">
        <w:tab/>
        <w:t xml:space="preserve">Coniff RF, Ceithaml EL, Pourmojhadam K, D'Errico CC, Dietrich W and Greeley WJ (1998). Bayer 022 compassionate-use pediatric study, </w:t>
      </w:r>
      <w:r w:rsidRPr="00E62798">
        <w:rPr>
          <w:i/>
        </w:rPr>
        <w:t>Annals of Thoracic Surgery</w:t>
      </w:r>
      <w:r w:rsidRPr="00E62798">
        <w:t xml:space="preserve"> 65(6 SUPPL.):S31–S34. </w:t>
      </w:r>
      <w:hyperlink r:id="rId229" w:history="1">
        <w:r w:rsidRPr="00E62798">
          <w:rPr>
            <w:rStyle w:val="Hyperlink"/>
          </w:rPr>
          <w:t>http://www.embase.com/search/results?subaction=viewrecord&amp;from=export&amp;id=L28308473</w:t>
        </w:r>
        <w:bookmarkEnd w:id="489"/>
      </w:hyperlink>
    </w:p>
    <w:p w14:paraId="1C666F2E" w14:textId="0C9C1846" w:rsidR="00E62798" w:rsidRPr="00E62798" w:rsidRDefault="00E62798" w:rsidP="00E62798">
      <w:pPr>
        <w:pStyle w:val="EndNoteBibliography"/>
        <w:spacing w:after="0"/>
        <w:ind w:hanging="720"/>
      </w:pPr>
      <w:bookmarkStart w:id="490" w:name="_ENREF_188"/>
      <w:r w:rsidRPr="00E62798">
        <w:t>188</w:t>
      </w:r>
      <w:r w:rsidRPr="00E62798">
        <w:tab/>
        <w:t xml:space="preserve">Ferreira CA, de Andrade Vicente WV, Evora PRB, Rodrigues AJ, Klamt JG, de Carvalho Panzeli Carlotti AP, et al. (2010). Assessment of aprotinin in the reduction of inflammatory systemic response in children undergoing surgery with cardiopulmonary bypass, </w:t>
      </w:r>
      <w:r w:rsidRPr="00E62798">
        <w:rPr>
          <w:i/>
        </w:rPr>
        <w:t>Brazilian Journal of Cardiovascular Surgery</w:t>
      </w:r>
      <w:r w:rsidRPr="00E62798">
        <w:t xml:space="preserve"> 25(1):85–98. </w:t>
      </w:r>
      <w:hyperlink r:id="rId230" w:history="1">
        <w:r w:rsidRPr="00E62798">
          <w:rPr>
            <w:rStyle w:val="Hyperlink"/>
          </w:rPr>
          <w:t>http://www.embase.com/search/results?subaction=viewrecord&amp;from=export&amp;id=L359111284</w:t>
        </w:r>
        <w:bookmarkEnd w:id="490"/>
      </w:hyperlink>
    </w:p>
    <w:p w14:paraId="5F596A1F" w14:textId="2744E8BB" w:rsidR="00E62798" w:rsidRPr="00E62798" w:rsidRDefault="00E62798" w:rsidP="00E62798">
      <w:pPr>
        <w:pStyle w:val="EndNoteBibliography"/>
        <w:spacing w:after="0"/>
        <w:ind w:hanging="720"/>
      </w:pPr>
      <w:bookmarkStart w:id="491" w:name="_ENREF_189"/>
      <w:r w:rsidRPr="00E62798">
        <w:t>189</w:t>
      </w:r>
      <w:r w:rsidRPr="00E62798">
        <w:tab/>
        <w:t xml:space="preserve">Flaujac C, Pouard P, Boutouyrie P, Emmerich J, Bachelot-Loza C and Lasne D (2007). Platelet dysfunction after normothermic cardiopulmonary bypass in children: Effect of high-dose aprotinin, </w:t>
      </w:r>
      <w:r w:rsidRPr="00E62798">
        <w:rPr>
          <w:i/>
        </w:rPr>
        <w:t>Thrombosis and Haemostasis</w:t>
      </w:r>
      <w:r w:rsidRPr="00E62798">
        <w:t xml:space="preserve"> 98(2):385–391. </w:t>
      </w:r>
      <w:hyperlink r:id="rId231" w:history="1">
        <w:r w:rsidRPr="00E62798">
          <w:rPr>
            <w:rStyle w:val="Hyperlink"/>
          </w:rPr>
          <w:t>http://www.embase.com/search/results?subaction=viewrecord&amp;from=export&amp;id=L47250242</w:t>
        </w:r>
        <w:bookmarkEnd w:id="491"/>
      </w:hyperlink>
    </w:p>
    <w:p w14:paraId="35B47A7A" w14:textId="2CF216C0" w:rsidR="00E62798" w:rsidRPr="00E62798" w:rsidRDefault="00E62798" w:rsidP="00E62798">
      <w:pPr>
        <w:pStyle w:val="EndNoteBibliography"/>
        <w:spacing w:after="0"/>
        <w:ind w:hanging="720"/>
      </w:pPr>
      <w:bookmarkStart w:id="492" w:name="_ENREF_190"/>
      <w:r w:rsidRPr="00E62798">
        <w:t>190</w:t>
      </w:r>
      <w:r w:rsidRPr="00E62798">
        <w:tab/>
        <w:t xml:space="preserve">Sarupria A, Makhija N, Lakshmy R and Kiran U (2013). Comparison of different doses of (epsilon)-aminocaproic acid in children for tetralogy of fallot surgery: Clinical efficacy and safety, </w:t>
      </w:r>
      <w:r w:rsidRPr="00E62798">
        <w:rPr>
          <w:i/>
        </w:rPr>
        <w:t>Journal of Cardiothoracic and Vascular Anesthesia</w:t>
      </w:r>
      <w:r w:rsidRPr="00E62798">
        <w:t xml:space="preserve"> 27(1):23–29. </w:t>
      </w:r>
      <w:hyperlink r:id="rId232" w:history="1">
        <w:r w:rsidRPr="00E62798">
          <w:rPr>
            <w:rStyle w:val="Hyperlink"/>
          </w:rPr>
          <w:t>http://www.jcvaonline.com/article/S1053-0770(12)00344-8/abstract</w:t>
        </w:r>
        <w:bookmarkEnd w:id="492"/>
      </w:hyperlink>
    </w:p>
    <w:p w14:paraId="05555FBB" w14:textId="539B8725" w:rsidR="00E62798" w:rsidRPr="00E62798" w:rsidRDefault="00E62798" w:rsidP="00E62798">
      <w:pPr>
        <w:pStyle w:val="EndNoteBibliography"/>
        <w:spacing w:after="0"/>
        <w:ind w:hanging="720"/>
      </w:pPr>
      <w:bookmarkStart w:id="493" w:name="_ENREF_191"/>
      <w:r w:rsidRPr="00E62798">
        <w:t>191</w:t>
      </w:r>
      <w:r w:rsidRPr="00E62798">
        <w:tab/>
        <w:t xml:space="preserve">Singh R, Manimozhi V, Nagaraj G, Vasanth K, Sanjay KB, John C, et al. (2001). Aprotinin for open cardiac surgery in cyanotic heart disease, </w:t>
      </w:r>
      <w:r w:rsidRPr="00E62798">
        <w:rPr>
          <w:i/>
        </w:rPr>
        <w:t>Asian Cardiovascular and Thoracic Annals</w:t>
      </w:r>
      <w:r w:rsidRPr="00E62798">
        <w:t xml:space="preserve"> 9(2):101–104. </w:t>
      </w:r>
      <w:hyperlink r:id="rId233" w:history="1">
        <w:r w:rsidRPr="00E62798">
          <w:rPr>
            <w:rStyle w:val="Hyperlink"/>
          </w:rPr>
          <w:t>http://www.embase.com/search/results?subaction=viewrecord&amp;from=export&amp;id=L32618900</w:t>
        </w:r>
        <w:bookmarkEnd w:id="493"/>
      </w:hyperlink>
    </w:p>
    <w:p w14:paraId="2FF9D8DC" w14:textId="33036CE6" w:rsidR="00E62798" w:rsidRPr="00E62798" w:rsidRDefault="00E62798" w:rsidP="00E62798">
      <w:pPr>
        <w:pStyle w:val="EndNoteBibliography"/>
        <w:spacing w:after="0"/>
        <w:ind w:hanging="720"/>
      </w:pPr>
      <w:bookmarkStart w:id="494" w:name="_ENREF_192"/>
      <w:r w:rsidRPr="00E62798">
        <w:t>192</w:t>
      </w:r>
      <w:r w:rsidRPr="00E62798">
        <w:tab/>
        <w:t xml:space="preserve">Vacharaksa K, Prakanrattana U, Suksompong S and Chumpathong S (2002). Tranexamic acid as a means of reducing the need for blood and blood component therapy in children undergoing open heart surgery for congenital cyanotic heart disease, </w:t>
      </w:r>
      <w:r w:rsidRPr="00E62798">
        <w:rPr>
          <w:i/>
        </w:rPr>
        <w:t>Journal of the Medical Association of Thailand</w:t>
      </w:r>
      <w:r w:rsidRPr="00E62798">
        <w:t xml:space="preserve"> 85(SUPPL. 3):S904–S909. </w:t>
      </w:r>
      <w:hyperlink r:id="rId234" w:history="1">
        <w:r w:rsidRPr="00E62798">
          <w:rPr>
            <w:rStyle w:val="Hyperlink"/>
          </w:rPr>
          <w:t>http://www.embase.com/search/results?subaction=viewrecord&amp;from=export&amp;id=L36025031</w:t>
        </w:r>
        <w:bookmarkEnd w:id="494"/>
      </w:hyperlink>
    </w:p>
    <w:p w14:paraId="654810E9" w14:textId="77777777" w:rsidR="00E62798" w:rsidRPr="00E62798" w:rsidRDefault="00E62798" w:rsidP="00E62798">
      <w:pPr>
        <w:pStyle w:val="EndNoteBibliography"/>
        <w:spacing w:after="0"/>
        <w:ind w:hanging="720"/>
      </w:pPr>
      <w:bookmarkStart w:id="495" w:name="_ENREF_193"/>
      <w:r w:rsidRPr="00E62798">
        <w:t>193</w:t>
      </w:r>
      <w:r w:rsidRPr="00E62798">
        <w:tab/>
        <w:t xml:space="preserve">Thompson GH, Florentino-Pineda I and Poe-Kochert C (2005). </w:t>
      </w:r>
      <w:r w:rsidRPr="00E62798">
        <w:rPr>
          <w:i/>
        </w:rPr>
        <w:t xml:space="preserve">The Role of Amicar in Decreasing Perioperative Blood Loss in Idiopathic Scoliosis  </w:t>
      </w:r>
      <w:r w:rsidRPr="00E62798">
        <w:t>30:S94–S99.</w:t>
      </w:r>
      <w:bookmarkEnd w:id="495"/>
    </w:p>
    <w:p w14:paraId="61504FE3" w14:textId="77777777" w:rsidR="00E62798" w:rsidRPr="00E62798" w:rsidRDefault="00E62798" w:rsidP="00E62798">
      <w:pPr>
        <w:pStyle w:val="EndNoteBibliography"/>
        <w:spacing w:after="0"/>
        <w:ind w:hanging="720"/>
      </w:pPr>
      <w:bookmarkStart w:id="496" w:name="_ENREF_194"/>
      <w:r w:rsidRPr="00E62798">
        <w:t>194</w:t>
      </w:r>
      <w:r w:rsidRPr="00E62798">
        <w:tab/>
        <w:t xml:space="preserve">Verma K, Errico T, Diefenbach C, Hoelscher C, Peters A, Dryer J, et al. (2014). The relative efficacy of antifibrinolytics in adolescent idiopathic scoliosis: A prospective randomized trial, </w:t>
      </w:r>
      <w:r w:rsidRPr="00E62798">
        <w:rPr>
          <w:i/>
        </w:rPr>
        <w:t>Journal of Bone and Joint Surgery American Volume</w:t>
      </w:r>
      <w:r w:rsidRPr="00E62798">
        <w:t xml:space="preserve"> 96:e80–e80.</w:t>
      </w:r>
      <w:bookmarkEnd w:id="496"/>
    </w:p>
    <w:p w14:paraId="152EDB18" w14:textId="77777777" w:rsidR="00E62798" w:rsidRPr="00E62798" w:rsidRDefault="00E62798" w:rsidP="00E62798">
      <w:pPr>
        <w:pStyle w:val="EndNoteBibliography"/>
        <w:spacing w:after="0"/>
        <w:ind w:hanging="720"/>
      </w:pPr>
      <w:bookmarkStart w:id="497" w:name="_ENREF_195"/>
      <w:r w:rsidRPr="00E62798">
        <w:t>195</w:t>
      </w:r>
      <w:r w:rsidRPr="00E62798">
        <w:tab/>
        <w:t xml:space="preserve">Ahmed Z, Stricker L, Rozzelle A and Zestos M (2014). </w:t>
      </w:r>
      <w:r w:rsidRPr="00E62798">
        <w:rPr>
          <w:i/>
        </w:rPr>
        <w:t>Aprotinin and transfusion requirements in pediatric craniofacial surgery</w:t>
      </w:r>
      <w:r w:rsidRPr="00E62798">
        <w:t>, 24:141–145.</w:t>
      </w:r>
      <w:bookmarkEnd w:id="497"/>
    </w:p>
    <w:p w14:paraId="7C504159" w14:textId="77777777" w:rsidR="00E62798" w:rsidRPr="00E62798" w:rsidRDefault="00E62798" w:rsidP="00E62798">
      <w:pPr>
        <w:pStyle w:val="EndNoteBibliography"/>
        <w:spacing w:after="0"/>
        <w:ind w:hanging="720"/>
      </w:pPr>
      <w:bookmarkStart w:id="498" w:name="_ENREF_196"/>
      <w:r w:rsidRPr="00E62798">
        <w:t>196</w:t>
      </w:r>
      <w:r w:rsidRPr="00E62798">
        <w:tab/>
        <w:t xml:space="preserve">D'Errico CC, Munro HM, Buchman SR, Wagner D and Muraszko KM (2003). </w:t>
      </w:r>
      <w:r w:rsidRPr="00E62798">
        <w:rPr>
          <w:i/>
        </w:rPr>
        <w:t>Efficacy of aprotinin in children undergoing craniofacial surgery</w:t>
      </w:r>
      <w:r w:rsidRPr="00E62798">
        <w:t>, 99:287–290.</w:t>
      </w:r>
      <w:bookmarkEnd w:id="498"/>
    </w:p>
    <w:p w14:paraId="5D021085" w14:textId="692820A0" w:rsidR="00E62798" w:rsidRPr="00E62798" w:rsidRDefault="00E62798" w:rsidP="00E62798">
      <w:pPr>
        <w:pStyle w:val="EndNoteBibliography"/>
        <w:spacing w:after="0"/>
        <w:ind w:hanging="720"/>
      </w:pPr>
      <w:bookmarkStart w:id="499" w:name="_ENREF_197"/>
      <w:r w:rsidRPr="00E62798">
        <w:t>197</w:t>
      </w:r>
      <w:r w:rsidRPr="00E62798">
        <w:tab/>
        <w:t xml:space="preserve">Eldaba AA, Amr YM and Albirmawy OA (2013). Effects of tranexamic acid during endoscopic sinsus surgery in children, </w:t>
      </w:r>
      <w:r w:rsidRPr="00E62798">
        <w:rPr>
          <w:i/>
        </w:rPr>
        <w:t>Saudi Journal of Anaesthesia</w:t>
      </w:r>
      <w:r w:rsidRPr="00E62798">
        <w:t xml:space="preserve"> 7:229–233. </w:t>
      </w:r>
      <w:hyperlink r:id="rId235" w:history="1">
        <w:r w:rsidRPr="00E62798">
          <w:rPr>
            <w:rStyle w:val="Hyperlink"/>
          </w:rPr>
          <w:t>http://www.saudija.org/article.asp?issn=1658-354X;year=2013;volume=7;issue=3;spage=229;epage=233;aulast=Eldaba</w:t>
        </w:r>
        <w:bookmarkEnd w:id="499"/>
      </w:hyperlink>
    </w:p>
    <w:p w14:paraId="13A07059" w14:textId="77777777" w:rsidR="00E62798" w:rsidRPr="00E62798" w:rsidRDefault="00E62798" w:rsidP="00E62798">
      <w:pPr>
        <w:pStyle w:val="EndNoteBibliography"/>
        <w:spacing w:after="0"/>
        <w:ind w:hanging="720"/>
      </w:pPr>
      <w:bookmarkStart w:id="500" w:name="_ENREF_198"/>
      <w:r w:rsidRPr="00E62798">
        <w:t>198</w:t>
      </w:r>
      <w:r w:rsidRPr="00E62798">
        <w:tab/>
        <w:t xml:space="preserve">Florentino-Pineda I, Thompson GH, Poe-Kochert C, Huang RP, Haber LL and Blakemore LC (2004). </w:t>
      </w:r>
      <w:r w:rsidRPr="00E62798">
        <w:rPr>
          <w:i/>
        </w:rPr>
        <w:t>The effect of Amicar in perioperative blood loss in idiopathic scoliosis. The results of a prospective, randomized double-blind study</w:t>
      </w:r>
      <w:r w:rsidRPr="00E62798">
        <w:t>, 29:233–238.</w:t>
      </w:r>
      <w:bookmarkEnd w:id="500"/>
    </w:p>
    <w:p w14:paraId="01779AAC" w14:textId="77777777" w:rsidR="00E62798" w:rsidRPr="00E62798" w:rsidRDefault="00E62798" w:rsidP="00E62798">
      <w:pPr>
        <w:pStyle w:val="EndNoteBibliography"/>
        <w:spacing w:after="0"/>
        <w:ind w:hanging="720"/>
      </w:pPr>
      <w:bookmarkStart w:id="501" w:name="_ENREF_199"/>
      <w:r w:rsidRPr="00E62798">
        <w:t>199</w:t>
      </w:r>
      <w:r w:rsidRPr="00E62798">
        <w:tab/>
        <w:t xml:space="preserve">Khoshhal K, Mukhtar I, Clark P, Jarvis J, Letts M and Splinter W (2003). </w:t>
      </w:r>
      <w:r w:rsidRPr="00E62798">
        <w:rPr>
          <w:i/>
        </w:rPr>
        <w:t>Efficacy of aprotinin in reducing blood loss in spinal fusion for idiopathic scoliosis</w:t>
      </w:r>
      <w:r w:rsidRPr="00E62798">
        <w:t>, 23:661–664.</w:t>
      </w:r>
      <w:bookmarkEnd w:id="501"/>
    </w:p>
    <w:p w14:paraId="076551EC" w14:textId="77777777" w:rsidR="00E62798" w:rsidRPr="00E62798" w:rsidRDefault="00E62798" w:rsidP="00E62798">
      <w:pPr>
        <w:pStyle w:val="EndNoteBibliography"/>
        <w:spacing w:after="0"/>
        <w:ind w:hanging="720"/>
      </w:pPr>
      <w:bookmarkStart w:id="502" w:name="_ENREF_200"/>
      <w:r w:rsidRPr="00E62798">
        <w:t>200</w:t>
      </w:r>
      <w:r w:rsidRPr="00E62798">
        <w:tab/>
        <w:t xml:space="preserve">Neilipovitz D, Murto K, Hall L, Barrowman N and Splinter W (2001). </w:t>
      </w:r>
      <w:r w:rsidRPr="00E62798">
        <w:rPr>
          <w:i/>
        </w:rPr>
        <w:t>A randomized trial of tranexamic acid to reduce blood transfusion for scoliosis surgery</w:t>
      </w:r>
      <w:r w:rsidRPr="00E62798">
        <w:t>, 93:82–87.</w:t>
      </w:r>
      <w:bookmarkEnd w:id="502"/>
    </w:p>
    <w:p w14:paraId="0D9D78BD" w14:textId="77777777" w:rsidR="00E62798" w:rsidRPr="00E62798" w:rsidRDefault="00E62798" w:rsidP="00E62798">
      <w:pPr>
        <w:pStyle w:val="EndNoteBibliography"/>
        <w:spacing w:after="0"/>
        <w:ind w:hanging="720"/>
      </w:pPr>
      <w:bookmarkStart w:id="503" w:name="_ENREF_201"/>
      <w:r w:rsidRPr="00E62798">
        <w:t>201</w:t>
      </w:r>
      <w:r w:rsidRPr="00E62798">
        <w:tab/>
        <w:t xml:space="preserve">Sethna NF, Zurakowski D, Brustowicz M, Bacsik J, Sullivan L and Shapiro F (2005). </w:t>
      </w:r>
      <w:r w:rsidRPr="00E62798">
        <w:rPr>
          <w:i/>
        </w:rPr>
        <w:t>Tranexamic acid reduces intraoperative blood loss in pediatric patients undergoing scoliosis surgery</w:t>
      </w:r>
      <w:r w:rsidRPr="00E62798">
        <w:t>, 102:727–732.</w:t>
      </w:r>
      <w:bookmarkEnd w:id="503"/>
    </w:p>
    <w:p w14:paraId="360523D5" w14:textId="6310DB24" w:rsidR="00E62798" w:rsidRPr="00E62798" w:rsidRDefault="00E62798" w:rsidP="00E62798">
      <w:pPr>
        <w:pStyle w:val="EndNoteBibliography"/>
        <w:spacing w:after="0"/>
        <w:ind w:hanging="720"/>
      </w:pPr>
      <w:bookmarkStart w:id="504" w:name="_ENREF_202"/>
      <w:r w:rsidRPr="00E62798">
        <w:t>202</w:t>
      </w:r>
      <w:r w:rsidRPr="00E62798">
        <w:tab/>
        <w:t xml:space="preserve">Dadure C, Sauter M, Bringuier S, Bigorre M, Raux O, Rochette A, et al. (2011). Intraoperative tranexamic acid reduces blood transfusion in children undergoing craniosynostosis surgery: a randomized double-blind study, </w:t>
      </w:r>
      <w:r w:rsidRPr="00E62798">
        <w:rPr>
          <w:i/>
        </w:rPr>
        <w:t>Anesthesiology</w:t>
      </w:r>
      <w:r w:rsidRPr="00E62798">
        <w:t xml:space="preserve"> 114:856–861. </w:t>
      </w:r>
      <w:hyperlink r:id="rId236" w:history="1">
        <w:r w:rsidRPr="00E62798">
          <w:rPr>
            <w:rStyle w:val="Hyperlink"/>
          </w:rPr>
          <w:t>http://anesthesiology.pubs.asahq.org/data/Journals/JASA/931106/0000542-201104000-00020.pdf</w:t>
        </w:r>
        <w:bookmarkEnd w:id="504"/>
      </w:hyperlink>
    </w:p>
    <w:p w14:paraId="06297D21" w14:textId="6F46008D" w:rsidR="00E62798" w:rsidRPr="00E62798" w:rsidRDefault="00E62798" w:rsidP="00E62798">
      <w:pPr>
        <w:pStyle w:val="EndNoteBibliography"/>
        <w:spacing w:after="0"/>
        <w:ind w:hanging="720"/>
      </w:pPr>
      <w:bookmarkStart w:id="505" w:name="_ENREF_203"/>
      <w:r w:rsidRPr="00E62798">
        <w:t>203</w:t>
      </w:r>
      <w:r w:rsidRPr="00E62798">
        <w:tab/>
        <w:t xml:space="preserve">Goobie SM, Meier PM, Pereira LM, McGowan FX, Prescilla RP, Scharp LA, et al. (2011). Efficacy of tranexamic acid in pediatric craniosynostosis surgery: a double-blind, placebo-controlled trial, </w:t>
      </w:r>
      <w:r w:rsidRPr="00E62798">
        <w:rPr>
          <w:i/>
        </w:rPr>
        <w:t>Anesthesiology</w:t>
      </w:r>
      <w:r w:rsidRPr="00E62798">
        <w:t xml:space="preserve"> 114:862–871. </w:t>
      </w:r>
      <w:hyperlink r:id="rId237" w:history="1">
        <w:r w:rsidRPr="00E62798">
          <w:rPr>
            <w:rStyle w:val="Hyperlink"/>
          </w:rPr>
          <w:t>http://anesthesiology.pubs.asahq.org/data/Journals/JASA/931106/0000542-201104000-00021.pdf</w:t>
        </w:r>
        <w:bookmarkEnd w:id="505"/>
      </w:hyperlink>
    </w:p>
    <w:p w14:paraId="587F618F" w14:textId="425A790E" w:rsidR="00E62798" w:rsidRPr="00E62798" w:rsidRDefault="00E62798" w:rsidP="00E62798">
      <w:pPr>
        <w:pStyle w:val="EndNoteBibliography"/>
        <w:spacing w:after="0"/>
        <w:ind w:hanging="720"/>
      </w:pPr>
      <w:bookmarkStart w:id="506" w:name="_ENREF_204"/>
      <w:r w:rsidRPr="00E62798">
        <w:t>204</w:t>
      </w:r>
      <w:r w:rsidRPr="00E62798">
        <w:tab/>
        <w:t xml:space="preserve">Maugans TA, Martin D, Taylor J, Salisbury S and Istaphanous G (2011). Comparative analysis of tranexamic acid use in minimally invasive versus open craniosynostosis procedures, </w:t>
      </w:r>
      <w:r w:rsidRPr="00E62798">
        <w:rPr>
          <w:i/>
        </w:rPr>
        <w:t>J Craniofac Surg</w:t>
      </w:r>
      <w:r w:rsidRPr="00E62798">
        <w:t xml:space="preserve"> 22(5):1772-1778. </w:t>
      </w:r>
      <w:hyperlink r:id="rId238" w:history="1">
        <w:r w:rsidRPr="00E62798">
          <w:rPr>
            <w:rStyle w:val="Hyperlink"/>
          </w:rPr>
          <w:t>http://www.ncbi.nlm.nih.gov/pubmed/21959429</w:t>
        </w:r>
        <w:bookmarkEnd w:id="506"/>
      </w:hyperlink>
    </w:p>
    <w:p w14:paraId="3F2E34F3" w14:textId="3FC0D1B2" w:rsidR="00E62798" w:rsidRPr="00E62798" w:rsidRDefault="00E62798" w:rsidP="00E62798">
      <w:pPr>
        <w:pStyle w:val="EndNoteBibliography"/>
        <w:spacing w:after="0"/>
        <w:ind w:hanging="720"/>
      </w:pPr>
      <w:bookmarkStart w:id="507" w:name="_ENREF_205"/>
      <w:r w:rsidRPr="00E62798">
        <w:t>205</w:t>
      </w:r>
      <w:r w:rsidRPr="00E62798">
        <w:tab/>
        <w:t xml:space="preserve">Albirmawy OA, Saafan ME, Shehata EM, Basuni AS and Eldaba AA (2013). Topical application of tranexamic acid after adenoidectomy: A double-blind, prospective, randomized, controlled study, </w:t>
      </w:r>
      <w:r w:rsidRPr="00E62798">
        <w:rPr>
          <w:i/>
        </w:rPr>
        <w:t>International Journal of Pediatric Otorhinolaryngology</w:t>
      </w:r>
      <w:r w:rsidRPr="00E62798">
        <w:t xml:space="preserve"> 77:1139–1142. </w:t>
      </w:r>
      <w:hyperlink r:id="rId239" w:history="1">
        <w:r w:rsidRPr="00E62798">
          <w:rPr>
            <w:rStyle w:val="Hyperlink"/>
          </w:rPr>
          <w:t>http://www.ijporlonline.com/article/S0165-5876(13)00180-8/abstract</w:t>
        </w:r>
        <w:bookmarkEnd w:id="507"/>
      </w:hyperlink>
    </w:p>
    <w:p w14:paraId="43CC089B" w14:textId="77777777" w:rsidR="00E62798" w:rsidRPr="00E62798" w:rsidRDefault="00E62798" w:rsidP="00E62798">
      <w:pPr>
        <w:pStyle w:val="EndNoteBibliography"/>
        <w:spacing w:after="0"/>
        <w:ind w:hanging="720"/>
      </w:pPr>
      <w:bookmarkStart w:id="508" w:name="_ENREF_206"/>
      <w:r w:rsidRPr="00E62798">
        <w:t>206</w:t>
      </w:r>
      <w:r w:rsidRPr="00E62798">
        <w:tab/>
        <w:t xml:space="preserve">Cole JW, Murray DJ, Snider RJ, Bassett GS, Bridwell KH and Lenke LG (2003). </w:t>
      </w:r>
      <w:r w:rsidRPr="00E62798">
        <w:rPr>
          <w:i/>
        </w:rPr>
        <w:t>Aprotinin reduces blood loss during spinal surgery in children</w:t>
      </w:r>
      <w:r w:rsidRPr="00E62798">
        <w:t>, 28:2482–2485.</w:t>
      </w:r>
      <w:bookmarkEnd w:id="508"/>
    </w:p>
    <w:p w14:paraId="4DE4FE9A" w14:textId="001F074C" w:rsidR="00E62798" w:rsidRPr="00E62798" w:rsidRDefault="00E62798" w:rsidP="00E62798">
      <w:pPr>
        <w:pStyle w:val="EndNoteBibliography"/>
        <w:spacing w:after="0"/>
        <w:ind w:hanging="720"/>
      </w:pPr>
      <w:bookmarkStart w:id="509" w:name="_ENREF_207"/>
      <w:r w:rsidRPr="00E62798">
        <w:t>207</w:t>
      </w:r>
      <w:r w:rsidRPr="00E62798">
        <w:tab/>
        <w:t xml:space="preserve">Faraoni D, Willems A, Melot C, De Hert S and Van der Linden P (2012). Efficacy of tranexamic acid in paediatric cardiac surgery: A systematic review and meta-analysis, </w:t>
      </w:r>
      <w:r w:rsidRPr="00E62798">
        <w:rPr>
          <w:i/>
        </w:rPr>
        <w:t>European Journal of Cardio-Thoracic Surgery</w:t>
      </w:r>
      <w:r w:rsidRPr="00E62798">
        <w:t xml:space="preserve"> 42(5):781–786. </w:t>
      </w:r>
      <w:hyperlink r:id="rId240" w:history="1">
        <w:r w:rsidRPr="00E62798">
          <w:rPr>
            <w:rStyle w:val="Hyperlink"/>
          </w:rPr>
          <w:t>http://ejcts.oxfordjournals.org/content/42/5/781.full.pdf</w:t>
        </w:r>
        <w:bookmarkEnd w:id="509"/>
      </w:hyperlink>
    </w:p>
    <w:p w14:paraId="2A358F18" w14:textId="7BD40518" w:rsidR="00E62798" w:rsidRPr="00E62798" w:rsidRDefault="00E62798" w:rsidP="00E62798">
      <w:pPr>
        <w:pStyle w:val="EndNoteBibliography"/>
        <w:ind w:hanging="720"/>
      </w:pPr>
      <w:bookmarkStart w:id="510" w:name="_ENREF_208"/>
      <w:r w:rsidRPr="00E62798">
        <w:t>208</w:t>
      </w:r>
      <w:r w:rsidRPr="00E62798">
        <w:tab/>
        <w:t xml:space="preserve">Chauhan S, Das SN, Bisoi A, Kale S and Kiran U (2004a). Comparison of Epsilon Aminocaproic Acid and Tranexamic Acid in Pediatric Cardiac Surgery, </w:t>
      </w:r>
      <w:r w:rsidRPr="00E62798">
        <w:rPr>
          <w:i/>
        </w:rPr>
        <w:t>Journal of Cardiothoracic and Vascular Anesthesia</w:t>
      </w:r>
      <w:r w:rsidRPr="00E62798">
        <w:t xml:space="preserve"> 18(2):141–143. </w:t>
      </w:r>
      <w:hyperlink r:id="rId241" w:history="1">
        <w:r w:rsidRPr="00E62798">
          <w:rPr>
            <w:rStyle w:val="Hyperlink"/>
          </w:rPr>
          <w:t>http://www.embase.com/search/results?subaction=viewrecord&amp;from=export&amp;id=L38506857</w:t>
        </w:r>
      </w:hyperlink>
    </w:p>
    <w:p w14:paraId="3C3E4372" w14:textId="4FA5FB5A" w:rsidR="00E62798" w:rsidRPr="00E62798" w:rsidRDefault="00AF414B" w:rsidP="00E62798">
      <w:pPr>
        <w:pStyle w:val="EndNoteBibliography"/>
        <w:spacing w:after="0"/>
        <w:ind w:left="0"/>
      </w:pPr>
      <w:hyperlink r:id="rId242" w:history="1">
        <w:r w:rsidR="00E62798" w:rsidRPr="00E62798">
          <w:rPr>
            <w:rStyle w:val="Hyperlink"/>
          </w:rPr>
          <w:t>http://www.jcvaonline.com/article/S1053-0770(04)00029-1/abstract</w:t>
        </w:r>
        <w:bookmarkEnd w:id="510"/>
      </w:hyperlink>
    </w:p>
    <w:p w14:paraId="75574828" w14:textId="2D637F9B" w:rsidR="00E62798" w:rsidRPr="00E62798" w:rsidRDefault="00E62798" w:rsidP="00E62798">
      <w:pPr>
        <w:pStyle w:val="EndNoteBibliography"/>
        <w:spacing w:after="0"/>
        <w:ind w:hanging="720"/>
      </w:pPr>
      <w:bookmarkStart w:id="511" w:name="_ENREF_209"/>
      <w:r w:rsidRPr="00E62798">
        <w:t>209</w:t>
      </w:r>
      <w:r w:rsidRPr="00E62798">
        <w:tab/>
        <w:t xml:space="preserve">Brum MR, Miura MS, Castro SF, Machado GM, Lima LH and Lubianca-Neto JF (2012). Tranexamic acid in adenotonsillectomy in children: a double-blind randomized clinical trial, </w:t>
      </w:r>
      <w:r w:rsidRPr="00E62798">
        <w:rPr>
          <w:i/>
        </w:rPr>
        <w:t>International Journal of Pediatric Otorhinolaryngology</w:t>
      </w:r>
      <w:r w:rsidRPr="00E62798">
        <w:t xml:space="preserve"> 76:1401–1405. </w:t>
      </w:r>
      <w:hyperlink r:id="rId243" w:history="1">
        <w:r w:rsidRPr="00E62798">
          <w:rPr>
            <w:rStyle w:val="Hyperlink"/>
          </w:rPr>
          <w:t>http://www.ijporlonline.com/article/S0165-5876(12)00292-3/abstract</w:t>
        </w:r>
        <w:bookmarkEnd w:id="511"/>
      </w:hyperlink>
    </w:p>
    <w:p w14:paraId="0C6A2C5C" w14:textId="2830992F" w:rsidR="00E62798" w:rsidRPr="00E62798" w:rsidRDefault="00E62798" w:rsidP="00E62798">
      <w:pPr>
        <w:pStyle w:val="EndNoteBibliography"/>
        <w:spacing w:after="0"/>
        <w:ind w:hanging="720"/>
      </w:pPr>
      <w:bookmarkStart w:id="512" w:name="_ENREF_210"/>
      <w:r w:rsidRPr="00E62798">
        <w:t>210</w:t>
      </w:r>
      <w:r w:rsidRPr="00E62798">
        <w:tab/>
        <w:t xml:space="preserve">Pasquali SK, Li JS, He X, Jacobs ML, O'Brien SM, Hall M, et al. (2012). Comparative analysis of antifibrinolytic medications in pediatric heart surgery, </w:t>
      </w:r>
      <w:r w:rsidRPr="00E62798">
        <w:rPr>
          <w:i/>
        </w:rPr>
        <w:t>J Thorac Cardiovasc Surg</w:t>
      </w:r>
      <w:r w:rsidRPr="00E62798">
        <w:t xml:space="preserve"> 143(3):550-557. </w:t>
      </w:r>
      <w:hyperlink r:id="rId244" w:history="1">
        <w:r w:rsidRPr="00E62798">
          <w:rPr>
            <w:rStyle w:val="Hyperlink"/>
          </w:rPr>
          <w:t>http://www.ncbi.nlm.nih.gov/pubmed/22264414</w:t>
        </w:r>
        <w:bookmarkEnd w:id="512"/>
      </w:hyperlink>
    </w:p>
    <w:p w14:paraId="2F9F1855" w14:textId="57411FD3" w:rsidR="00E62798" w:rsidRPr="00E62798" w:rsidRDefault="00E62798" w:rsidP="00E62798">
      <w:pPr>
        <w:pStyle w:val="EndNoteBibliography"/>
        <w:spacing w:after="0"/>
        <w:ind w:hanging="720"/>
      </w:pPr>
      <w:bookmarkStart w:id="513" w:name="_ENREF_211"/>
      <w:r w:rsidRPr="00E62798">
        <w:t>211</w:t>
      </w:r>
      <w:r w:rsidRPr="00E62798">
        <w:tab/>
        <w:t xml:space="preserve">Goobie SM, Meier PM, Sethna NF, Soriano SG, Zurakowski D, Samant S, et al. (2013). Population pharmacokinetics of tranexamic acid in paediatric patients undergoing craniosynostosis surgery, </w:t>
      </w:r>
      <w:r w:rsidRPr="00E62798">
        <w:rPr>
          <w:i/>
        </w:rPr>
        <w:t>Clin Pharmacokinet</w:t>
      </w:r>
      <w:r w:rsidRPr="00E62798">
        <w:t xml:space="preserve"> 52(4):267-276. </w:t>
      </w:r>
      <w:hyperlink r:id="rId245" w:history="1">
        <w:r w:rsidRPr="00E62798">
          <w:rPr>
            <w:rStyle w:val="Hyperlink"/>
          </w:rPr>
          <w:t>http://www.ncbi.nlm.nih.gov/pubmed/23371895</w:t>
        </w:r>
        <w:bookmarkEnd w:id="513"/>
      </w:hyperlink>
    </w:p>
    <w:p w14:paraId="3C8F0F44" w14:textId="3D6CE539" w:rsidR="00E62798" w:rsidRPr="00E62798" w:rsidRDefault="00E62798" w:rsidP="00E62798">
      <w:pPr>
        <w:pStyle w:val="EndNoteBibliography"/>
        <w:spacing w:after="0"/>
        <w:ind w:hanging="720"/>
      </w:pPr>
      <w:bookmarkStart w:id="514" w:name="_ENREF_212"/>
      <w:r w:rsidRPr="00E62798">
        <w:t>212</w:t>
      </w:r>
      <w:r w:rsidRPr="00E62798">
        <w:tab/>
        <w:t xml:space="preserve">Wesley MC, Pereira LM, Scharp LA, Emani SM, McGowan FX, Jr. and DiNardo JA (2015). Pharmacokinetics of tranexamic acid in neonates, infants, and children undergoing cardiac surgery with cardiopulmonary bypass, </w:t>
      </w:r>
      <w:r w:rsidRPr="00E62798">
        <w:rPr>
          <w:i/>
        </w:rPr>
        <w:t>Anesthesiology</w:t>
      </w:r>
      <w:r w:rsidRPr="00E62798">
        <w:t xml:space="preserve"> 122(4):746–758. </w:t>
      </w:r>
      <w:hyperlink r:id="rId246" w:history="1">
        <w:r w:rsidRPr="00E62798">
          <w:rPr>
            <w:rStyle w:val="Hyperlink"/>
          </w:rPr>
          <w:t>http://www.ncbi.nlm.nih.gov/pubmed/25585004</w:t>
        </w:r>
        <w:bookmarkEnd w:id="514"/>
      </w:hyperlink>
    </w:p>
    <w:p w14:paraId="2B23B8C9" w14:textId="77777777" w:rsidR="00E62798" w:rsidRPr="00E62798" w:rsidRDefault="00E62798" w:rsidP="00E62798">
      <w:pPr>
        <w:pStyle w:val="EndNoteBibliography"/>
        <w:spacing w:after="0"/>
        <w:ind w:hanging="720"/>
      </w:pPr>
      <w:bookmarkStart w:id="515" w:name="_ENREF_213"/>
      <w:r w:rsidRPr="00E62798">
        <w:t>213</w:t>
      </w:r>
      <w:r w:rsidRPr="00E62798">
        <w:tab/>
        <w:t xml:space="preserve">Simpson E, Lin Y, Stanworth S, Birchall J, Doree C and Hyde C (2012). Recombinant factor VIIa for the prevention and treatment of bleeding in patients without haemophilia, </w:t>
      </w:r>
      <w:r w:rsidRPr="00E62798">
        <w:rPr>
          <w:i/>
        </w:rPr>
        <w:t>Cochrane Database of Systematic Reviews</w:t>
      </w:r>
      <w:r w:rsidRPr="00E62798">
        <w:t>.</w:t>
      </w:r>
      <w:bookmarkEnd w:id="515"/>
    </w:p>
    <w:p w14:paraId="423A4BC2" w14:textId="3CF3323B" w:rsidR="00E62798" w:rsidRPr="00E62798" w:rsidRDefault="00E62798" w:rsidP="00E62798">
      <w:pPr>
        <w:pStyle w:val="EndNoteBibliography"/>
        <w:spacing w:after="0"/>
        <w:ind w:hanging="720"/>
      </w:pPr>
      <w:bookmarkStart w:id="516" w:name="_ENREF_214"/>
      <w:r w:rsidRPr="00E62798">
        <w:t>214</w:t>
      </w:r>
      <w:r w:rsidRPr="00E62798">
        <w:tab/>
        <w:t xml:space="preserve">Ekert H, Brizard C, Eyers R, Cochrane A and Henning R (2006). Elective administration in infants of low-dose recombinant activated factor VII (rFVIIa) in cardiopulmonary bypass surgery for congenital heart disease does not shorten time to chest closure or reduce blood loss and need for transfusions, </w:t>
      </w:r>
      <w:r w:rsidRPr="00E62798">
        <w:rPr>
          <w:i/>
        </w:rPr>
        <w:t>Blood Coagulation and Fibrinolysis</w:t>
      </w:r>
      <w:r w:rsidRPr="00E62798">
        <w:t xml:space="preserve"> 17(5):389–395. </w:t>
      </w:r>
      <w:hyperlink r:id="rId247" w:history="1">
        <w:r w:rsidRPr="00E62798">
          <w:rPr>
            <w:rStyle w:val="Hyperlink"/>
          </w:rPr>
          <w:t>http://www.embase.com/search/results?subaction=viewrecord&amp;from=export&amp;id=L43941581</w:t>
        </w:r>
        <w:bookmarkEnd w:id="516"/>
      </w:hyperlink>
    </w:p>
    <w:p w14:paraId="761B7E34" w14:textId="77777777" w:rsidR="00E62798" w:rsidRPr="00E62798" w:rsidRDefault="00E62798" w:rsidP="00E62798">
      <w:pPr>
        <w:pStyle w:val="EndNoteBibliography"/>
        <w:spacing w:after="0"/>
        <w:ind w:hanging="720"/>
      </w:pPr>
      <w:bookmarkStart w:id="517" w:name="_ENREF_215"/>
      <w:r w:rsidRPr="00E62798">
        <w:t>215</w:t>
      </w:r>
      <w:r w:rsidRPr="00E62798">
        <w:tab/>
        <w:t xml:space="preserve">Mozol K, Haponiuk I, Byszewski A and Maruszewski B (2008). Cost-effectiveness of mini-circuit cardiopulmonary bypass in newborns and infants undergoing open heart surgery, </w:t>
      </w:r>
      <w:r w:rsidRPr="00E62798">
        <w:rPr>
          <w:i/>
        </w:rPr>
        <w:t>Kardiologia.Polska</w:t>
      </w:r>
      <w:r w:rsidRPr="00E62798">
        <w:t xml:space="preserve"> 66:925–931.</w:t>
      </w:r>
      <w:bookmarkEnd w:id="517"/>
    </w:p>
    <w:p w14:paraId="4FFD9C37" w14:textId="77777777" w:rsidR="00E62798" w:rsidRPr="00E62798" w:rsidRDefault="00E62798" w:rsidP="00E62798">
      <w:pPr>
        <w:pStyle w:val="EndNoteBibliography"/>
        <w:spacing w:after="0"/>
        <w:ind w:hanging="720"/>
      </w:pPr>
      <w:bookmarkStart w:id="518" w:name="_ENREF_216"/>
      <w:r w:rsidRPr="00E62798">
        <w:t>216</w:t>
      </w:r>
      <w:r w:rsidRPr="00E62798">
        <w:tab/>
        <w:t xml:space="preserve">CATSIN (2013). </w:t>
      </w:r>
      <w:r w:rsidRPr="00E62798">
        <w:rPr>
          <w:i/>
        </w:rPr>
        <w:t>Towards a shared understanding of terms and concepts: strengthening nursing and midwifery care of Aboriginal and Torres Strait Islander peoples</w:t>
      </w:r>
      <w:r w:rsidRPr="00E62798">
        <w:t>, Congress of Aboriginal and Torres Strait Islander Nurses (CATSIN), Canberra.</w:t>
      </w:r>
      <w:bookmarkEnd w:id="518"/>
    </w:p>
    <w:p w14:paraId="016E6242" w14:textId="77777777" w:rsidR="00E62798" w:rsidRPr="00E62798" w:rsidRDefault="00E62798" w:rsidP="00E62798">
      <w:pPr>
        <w:pStyle w:val="EndNoteBibliography"/>
        <w:spacing w:after="0"/>
        <w:ind w:hanging="720"/>
      </w:pPr>
      <w:bookmarkStart w:id="519" w:name="_ENREF_217"/>
      <w:r w:rsidRPr="00E62798">
        <w:t>217</w:t>
      </w:r>
      <w:r w:rsidRPr="00E62798">
        <w:tab/>
        <w:t xml:space="preserve">Holland C (2015). </w:t>
      </w:r>
      <w:r w:rsidRPr="00E62798">
        <w:rPr>
          <w:i/>
        </w:rPr>
        <w:t>Close the gap: progress and priorities report 2015</w:t>
      </w:r>
      <w:r w:rsidRPr="00E62798">
        <w:t>, Australian Human Rights Commission, Sydney.</w:t>
      </w:r>
      <w:bookmarkEnd w:id="519"/>
    </w:p>
    <w:p w14:paraId="5E734CF3" w14:textId="77777777" w:rsidR="00E62798" w:rsidRPr="00E62798" w:rsidRDefault="00E62798" w:rsidP="00E62798">
      <w:pPr>
        <w:pStyle w:val="EndNoteBibliography"/>
        <w:spacing w:after="0"/>
        <w:ind w:hanging="720"/>
      </w:pPr>
      <w:bookmarkStart w:id="520" w:name="_ENREF_218"/>
      <w:r w:rsidRPr="00E62798">
        <w:t>218</w:t>
      </w:r>
      <w:r w:rsidRPr="00E62798">
        <w:tab/>
        <w:t xml:space="preserve">Coffin J (2007). Rising to the challenge in Aboriginal health by creating cultural security, </w:t>
      </w:r>
      <w:r w:rsidRPr="00E62798">
        <w:rPr>
          <w:i/>
        </w:rPr>
        <w:t>Aboriginal and Islander Health Worker Journal</w:t>
      </w:r>
      <w:r w:rsidRPr="00E62798">
        <w:t xml:space="preserve"> 31(3):22–24.</w:t>
      </w:r>
      <w:bookmarkEnd w:id="520"/>
    </w:p>
    <w:p w14:paraId="4120D658" w14:textId="77777777" w:rsidR="00E62798" w:rsidRPr="00E62798" w:rsidRDefault="00E62798" w:rsidP="00E62798">
      <w:pPr>
        <w:pStyle w:val="EndNoteBibliography"/>
        <w:spacing w:after="0"/>
        <w:ind w:hanging="720"/>
      </w:pPr>
      <w:bookmarkStart w:id="521" w:name="_ENREF_219"/>
      <w:r w:rsidRPr="00E62798">
        <w:t>219</w:t>
      </w:r>
      <w:r w:rsidRPr="00E62798">
        <w:tab/>
        <w:t xml:space="preserve">Department of Health GoWA (2003). </w:t>
      </w:r>
      <w:r w:rsidRPr="00E62798">
        <w:rPr>
          <w:i/>
        </w:rPr>
        <w:t>Aboriginal cultural security: a background paper</w:t>
      </w:r>
      <w:r w:rsidRPr="00E62798">
        <w:t>, Government of Western Australia, Perth.</w:t>
      </w:r>
      <w:bookmarkEnd w:id="521"/>
    </w:p>
    <w:p w14:paraId="5D720E36" w14:textId="77777777" w:rsidR="00E62798" w:rsidRPr="00E62798" w:rsidRDefault="00E62798" w:rsidP="00E62798">
      <w:pPr>
        <w:pStyle w:val="EndNoteBibliography"/>
        <w:spacing w:after="0"/>
        <w:ind w:hanging="720"/>
      </w:pPr>
      <w:bookmarkStart w:id="522" w:name="_ENREF_220"/>
      <w:r w:rsidRPr="00E62798">
        <w:t>220</w:t>
      </w:r>
      <w:r w:rsidRPr="00E62798">
        <w:tab/>
        <w:t>Dudgeon P, Wright M and Coffin J (2010). Talking It and Walking It: Cultural Competence, 13(3):29–44.</w:t>
      </w:r>
      <w:bookmarkEnd w:id="522"/>
    </w:p>
    <w:p w14:paraId="162E7977" w14:textId="77777777" w:rsidR="00E62798" w:rsidRPr="00E62798" w:rsidRDefault="00E62798" w:rsidP="00E62798">
      <w:pPr>
        <w:pStyle w:val="EndNoteBibliography"/>
        <w:spacing w:after="0"/>
        <w:ind w:hanging="720"/>
      </w:pPr>
      <w:bookmarkStart w:id="523" w:name="_ENREF_221"/>
      <w:r w:rsidRPr="00E62798">
        <w:t>221</w:t>
      </w:r>
      <w:r w:rsidRPr="00E62798">
        <w:tab/>
        <w:t>Dunbar T (2011). Aboriginal people's experiences of health and family services in the Northern Territory, 4(2):2–16.</w:t>
      </w:r>
      <w:bookmarkEnd w:id="523"/>
    </w:p>
    <w:p w14:paraId="13EED2F1" w14:textId="77777777" w:rsidR="00E62798" w:rsidRPr="00E62798" w:rsidRDefault="00E62798" w:rsidP="00E62798">
      <w:pPr>
        <w:pStyle w:val="EndNoteBibliography"/>
        <w:spacing w:after="0"/>
        <w:ind w:hanging="720"/>
      </w:pPr>
      <w:bookmarkStart w:id="524" w:name="_ENREF_222"/>
      <w:r w:rsidRPr="00E62798">
        <w:t>222</w:t>
      </w:r>
      <w:r w:rsidRPr="00E62798">
        <w:tab/>
        <w:t xml:space="preserve">Kruske S, Kildea S and Barclay L (2006). Cultural safety and maternity care for Aboriginal and Torres Strait Islander Australians, </w:t>
      </w:r>
      <w:r w:rsidRPr="00E62798">
        <w:rPr>
          <w:i/>
        </w:rPr>
        <w:t>Women and Birth ; Journal of the Australian College of Midwives</w:t>
      </w:r>
      <w:r w:rsidRPr="00E62798">
        <w:t xml:space="preserve"> 19(3):73–77.</w:t>
      </w:r>
      <w:bookmarkEnd w:id="524"/>
    </w:p>
    <w:p w14:paraId="7D5AAD4E" w14:textId="77777777" w:rsidR="00E62798" w:rsidRPr="00E62798" w:rsidRDefault="00E62798" w:rsidP="00E62798">
      <w:pPr>
        <w:pStyle w:val="EndNoteBibliography"/>
        <w:spacing w:after="0"/>
        <w:ind w:hanging="720"/>
      </w:pPr>
      <w:bookmarkStart w:id="525" w:name="_ENREF_223"/>
      <w:r w:rsidRPr="00E62798">
        <w:t>223</w:t>
      </w:r>
      <w:r w:rsidRPr="00E62798">
        <w:tab/>
        <w:t xml:space="preserve">Reibel T and Walker R (2010). Antenatal services for Aboriginal women: the relevance of cultural competence, </w:t>
      </w:r>
      <w:r w:rsidRPr="00E62798">
        <w:rPr>
          <w:i/>
        </w:rPr>
        <w:t>Quality in Primary Care</w:t>
      </w:r>
      <w:r w:rsidRPr="00E62798">
        <w:t xml:space="preserve"> 18(1):65–74.</w:t>
      </w:r>
      <w:bookmarkEnd w:id="525"/>
    </w:p>
    <w:p w14:paraId="0F4697BF" w14:textId="77777777" w:rsidR="00E62798" w:rsidRPr="00E62798" w:rsidRDefault="00E62798" w:rsidP="00E62798">
      <w:pPr>
        <w:pStyle w:val="EndNoteBibliography"/>
        <w:spacing w:after="0"/>
        <w:ind w:hanging="720"/>
      </w:pPr>
      <w:bookmarkStart w:id="526" w:name="_ENREF_224"/>
      <w:r w:rsidRPr="00E62798">
        <w:t>224</w:t>
      </w:r>
      <w:r w:rsidRPr="00E62798">
        <w:tab/>
        <w:t xml:space="preserve">Taylor K and Guerin P (2010). </w:t>
      </w:r>
      <w:r w:rsidRPr="00E62798">
        <w:rPr>
          <w:i/>
        </w:rPr>
        <w:t>Health care and Indigenous Australians: Cultural safety in practice</w:t>
      </w:r>
      <w:r w:rsidRPr="00E62798">
        <w:t>, Palgrave McMillan, South Yarra.</w:t>
      </w:r>
      <w:bookmarkEnd w:id="526"/>
    </w:p>
    <w:p w14:paraId="63616652" w14:textId="3A358CC6" w:rsidR="00E62798" w:rsidRPr="00E62798" w:rsidRDefault="00E62798" w:rsidP="00E62798">
      <w:pPr>
        <w:pStyle w:val="EndNoteBibliography"/>
        <w:spacing w:after="0"/>
        <w:ind w:hanging="720"/>
      </w:pPr>
      <w:bookmarkStart w:id="527" w:name="_ENREF_225"/>
      <w:r w:rsidRPr="00E62798">
        <w:t>225</w:t>
      </w:r>
      <w:r w:rsidRPr="00E62798">
        <w:tab/>
        <w:t xml:space="preserve">Kildea S and Wagner VV (2013). </w:t>
      </w:r>
      <w:r w:rsidRPr="00E62798">
        <w:rPr>
          <w:i/>
        </w:rPr>
        <w:t>'Birthing on Country' maternity service delivery models: a rapid review An Evidence Check review brokered by the Sax Institute for the Maternity Services Inter-Jurisdictional Committee Maternity Services Inter Jurisdictional Committee for the Australian Health Ministers’ Advisory Council</w:t>
      </w:r>
      <w:r w:rsidRPr="00E62798">
        <w:t xml:space="preserve">, Sax Institute and Maternity Services Inter-Jurisdictional Committee Maternity Services Inter Jurisdictional Committee, Sydney. </w:t>
      </w:r>
      <w:hyperlink r:id="rId248" w:history="1">
        <w:r w:rsidRPr="00E62798">
          <w:rPr>
            <w:rStyle w:val="Hyperlink"/>
          </w:rPr>
          <w:t>http://www.researchgate.net/publication/265554018_'Birthing_on_Country'_maternity_service_delivery_models_a_rapid_review_An_Evidence_Check_review_brokered_by_the_Sax_Institute_for_the_Maternity_Services_Inter-Jurisdictional_Committee_Maternity_Services_Inter_Jurisdictional_Committee</w:t>
        </w:r>
        <w:bookmarkEnd w:id="527"/>
      </w:hyperlink>
    </w:p>
    <w:p w14:paraId="0018ECDC" w14:textId="77777777" w:rsidR="00E62798" w:rsidRPr="00E62798" w:rsidRDefault="00E62798" w:rsidP="00E62798">
      <w:pPr>
        <w:pStyle w:val="EndNoteBibliography"/>
        <w:spacing w:after="0"/>
        <w:ind w:hanging="720"/>
      </w:pPr>
      <w:bookmarkStart w:id="528" w:name="_ENREF_226"/>
      <w:r w:rsidRPr="00E62798">
        <w:t>226</w:t>
      </w:r>
      <w:r w:rsidRPr="00E62798">
        <w:tab/>
        <w:t xml:space="preserve">Australian Institute of Health and Welfare (AIHW) (2011). </w:t>
      </w:r>
      <w:r w:rsidRPr="00E62798">
        <w:rPr>
          <w:i/>
        </w:rPr>
        <w:t>The health and welfare of Australia’s Aboriginal and Torres Strait Islander people</w:t>
      </w:r>
      <w:r w:rsidRPr="00E62798">
        <w:t>, Cat. No. IHW 42, AIHW, Canberra.</w:t>
      </w:r>
      <w:bookmarkEnd w:id="528"/>
    </w:p>
    <w:p w14:paraId="5F79245E" w14:textId="505C45A2" w:rsidR="00E62798" w:rsidRPr="00E62798" w:rsidRDefault="00E62798" w:rsidP="00E62798">
      <w:pPr>
        <w:pStyle w:val="EndNoteBibliography"/>
        <w:spacing w:after="0"/>
        <w:ind w:hanging="720"/>
      </w:pPr>
      <w:bookmarkStart w:id="529" w:name="_ENREF_227"/>
      <w:r w:rsidRPr="00E62798">
        <w:t>227</w:t>
      </w:r>
      <w:r w:rsidRPr="00E62798">
        <w:tab/>
        <w:t xml:space="preserve">Holt DC, McCarthy JS and Carapetis JR (2010). Parasitic diseases of remote Indigenous communities in Australia, </w:t>
      </w:r>
      <w:r w:rsidRPr="00E62798">
        <w:rPr>
          <w:i/>
        </w:rPr>
        <w:t>Int J Parasitol</w:t>
      </w:r>
      <w:r w:rsidRPr="00E62798">
        <w:t xml:space="preserve"> 40(10):1119-1126. </w:t>
      </w:r>
      <w:hyperlink r:id="rId249" w:history="1">
        <w:r w:rsidRPr="00E62798">
          <w:rPr>
            <w:rStyle w:val="Hyperlink"/>
          </w:rPr>
          <w:t>http://www.ncbi.nlm.nih.gov/pubmed/20412810</w:t>
        </w:r>
        <w:bookmarkEnd w:id="529"/>
      </w:hyperlink>
    </w:p>
    <w:p w14:paraId="649C3B04" w14:textId="54F71C77" w:rsidR="00E62798" w:rsidRPr="00E62798" w:rsidRDefault="00E62798" w:rsidP="00E62798">
      <w:pPr>
        <w:pStyle w:val="EndNoteBibliography"/>
        <w:spacing w:after="0"/>
        <w:ind w:hanging="720"/>
      </w:pPr>
      <w:bookmarkStart w:id="530" w:name="_ENREF_228"/>
      <w:r w:rsidRPr="00E62798">
        <w:t>228</w:t>
      </w:r>
      <w:r w:rsidRPr="00E62798">
        <w:tab/>
        <w:t xml:space="preserve">Windsor HM, Abioye-Kuteyi EA, Leber JM, Morrow SD, Bulsara MK and Marshall BJ (2005). Prevalence of Helicobacter pylori in Indigenous Western Australians: comparison between urban and remote rural populations, </w:t>
      </w:r>
      <w:r w:rsidRPr="00E62798">
        <w:rPr>
          <w:i/>
        </w:rPr>
        <w:t>Med J Aust</w:t>
      </w:r>
      <w:r w:rsidRPr="00E62798">
        <w:t xml:space="preserve"> 182(5):210-213. </w:t>
      </w:r>
      <w:hyperlink r:id="rId250" w:history="1">
        <w:r w:rsidRPr="00E62798">
          <w:rPr>
            <w:rStyle w:val="Hyperlink"/>
          </w:rPr>
          <w:t>http://www.ncbi.nlm.nih.gov/pubmed/15748129</w:t>
        </w:r>
        <w:bookmarkEnd w:id="530"/>
      </w:hyperlink>
    </w:p>
    <w:p w14:paraId="7FCC1538" w14:textId="77777777" w:rsidR="00E62798" w:rsidRPr="00E62798" w:rsidRDefault="00E62798" w:rsidP="00E62798">
      <w:pPr>
        <w:pStyle w:val="EndNoteBibliography"/>
        <w:spacing w:after="0"/>
        <w:ind w:hanging="720"/>
      </w:pPr>
      <w:bookmarkStart w:id="531" w:name="_ENREF_229"/>
      <w:r w:rsidRPr="00E62798">
        <w:t>229</w:t>
      </w:r>
      <w:r w:rsidRPr="00E62798">
        <w:tab/>
        <w:t xml:space="preserve">Li Z, Zeki R, L H and Sullivan EA (2011). </w:t>
      </w:r>
      <w:r w:rsidRPr="00E62798">
        <w:rPr>
          <w:i/>
        </w:rPr>
        <w:t>Australia's mothers and babies</w:t>
      </w:r>
      <w:r w:rsidRPr="00E62798">
        <w:t>, Perinatal statistics series, No. 28, Australian Institute of Health and Welfare.</w:t>
      </w:r>
      <w:bookmarkEnd w:id="531"/>
    </w:p>
    <w:p w14:paraId="4A4EF6B2" w14:textId="77777777" w:rsidR="00E62798" w:rsidRPr="00E62798" w:rsidRDefault="00E62798" w:rsidP="00E62798">
      <w:pPr>
        <w:pStyle w:val="EndNoteBibliography"/>
        <w:spacing w:after="0"/>
        <w:ind w:hanging="720"/>
      </w:pPr>
      <w:bookmarkStart w:id="532" w:name="_ENREF_230"/>
      <w:r w:rsidRPr="00E62798">
        <w:t>230</w:t>
      </w:r>
      <w:r w:rsidRPr="00E62798">
        <w:tab/>
        <w:t xml:space="preserve">Australian Institute of Health and Welfare (AIHW) (2015). </w:t>
      </w:r>
      <w:r w:rsidRPr="00E62798">
        <w:rPr>
          <w:i/>
        </w:rPr>
        <w:t>The health and welfare of Australia’s Aboriginal and Torres Strait Islander people</w:t>
      </w:r>
      <w:r w:rsidRPr="00E62798">
        <w:t>, Cat. No. IHW 147, AIHW, Canberra.</w:t>
      </w:r>
      <w:bookmarkEnd w:id="532"/>
    </w:p>
    <w:p w14:paraId="4284449D" w14:textId="77777777" w:rsidR="00E62798" w:rsidRPr="00E62798" w:rsidRDefault="00E62798" w:rsidP="00E62798">
      <w:pPr>
        <w:pStyle w:val="EndNoteBibliography"/>
        <w:spacing w:after="0"/>
        <w:ind w:hanging="720"/>
      </w:pPr>
      <w:bookmarkStart w:id="533" w:name="_ENREF_231"/>
      <w:r w:rsidRPr="00E62798">
        <w:t>231</w:t>
      </w:r>
      <w:r w:rsidRPr="00E62798">
        <w:tab/>
        <w:t xml:space="preserve">Kumar A, Jain S, Singh NP and Singh T (2005). Oral versus high dose parenteral iron supplementation in pregnancy, </w:t>
      </w:r>
      <w:r w:rsidRPr="00E62798">
        <w:rPr>
          <w:i/>
        </w:rPr>
        <w:t>International Journal of Gynaecology and Obstetrics: the Official Organ of the International Federation of Gynaecology and Obstetrics</w:t>
      </w:r>
      <w:r w:rsidRPr="00E62798">
        <w:t xml:space="preserve"> 89(1):7–13.</w:t>
      </w:r>
      <w:bookmarkEnd w:id="533"/>
    </w:p>
    <w:p w14:paraId="55FD8AF6" w14:textId="0FF38CE5" w:rsidR="00E62798" w:rsidRPr="00E62798" w:rsidRDefault="00E62798" w:rsidP="00E62798">
      <w:pPr>
        <w:pStyle w:val="EndNoteBibliography"/>
        <w:spacing w:after="0"/>
        <w:ind w:hanging="720"/>
      </w:pPr>
      <w:bookmarkStart w:id="534" w:name="_ENREF_232"/>
      <w:r w:rsidRPr="00E62798">
        <w:t>232</w:t>
      </w:r>
      <w:r w:rsidRPr="00E62798">
        <w:tab/>
        <w:t xml:space="preserve">Hess JR and Greenwalt TG (2002). Storage of red blood cells: new approaches, </w:t>
      </w:r>
      <w:r w:rsidRPr="00E62798">
        <w:rPr>
          <w:i/>
        </w:rPr>
        <w:t>Transfus Med Rev</w:t>
      </w:r>
      <w:r w:rsidRPr="00E62798">
        <w:t xml:space="preserve"> 16(4):283–295. </w:t>
      </w:r>
      <w:hyperlink r:id="rId251" w:history="1">
        <w:r w:rsidRPr="00E62798">
          <w:rPr>
            <w:rStyle w:val="Hyperlink"/>
          </w:rPr>
          <w:t>http://www.ncbi.nlm.nih.gov/pubmed/12415514</w:t>
        </w:r>
        <w:bookmarkEnd w:id="534"/>
      </w:hyperlink>
    </w:p>
    <w:p w14:paraId="61F13895" w14:textId="2D686BE0" w:rsidR="00E62798" w:rsidRPr="00E62798" w:rsidRDefault="00E62798" w:rsidP="00E62798">
      <w:pPr>
        <w:pStyle w:val="EndNoteBibliography"/>
        <w:spacing w:after="0"/>
        <w:ind w:hanging="720"/>
      </w:pPr>
      <w:bookmarkStart w:id="535" w:name="_ENREF_233"/>
      <w:r w:rsidRPr="00E62798">
        <w:t>233</w:t>
      </w:r>
      <w:r w:rsidRPr="00E62798">
        <w:tab/>
        <w:t xml:space="preserve">Triulzi DJ and Yazer MH (2010). Clinical studies of the effect of blood storage on patient outcomes, </w:t>
      </w:r>
      <w:r w:rsidRPr="00E62798">
        <w:rPr>
          <w:i/>
        </w:rPr>
        <w:t>Transfus Apher Sci</w:t>
      </w:r>
      <w:r w:rsidRPr="00E62798">
        <w:t xml:space="preserve"> 43(1):95–106. </w:t>
      </w:r>
      <w:hyperlink r:id="rId252" w:history="1">
        <w:r w:rsidRPr="00E62798">
          <w:rPr>
            <w:rStyle w:val="Hyperlink"/>
          </w:rPr>
          <w:t>http://www.ncbi.nlm.nih.gov/pubmed/20656558</w:t>
        </w:r>
        <w:bookmarkEnd w:id="535"/>
      </w:hyperlink>
    </w:p>
    <w:p w14:paraId="7597DEED" w14:textId="3A5C002E" w:rsidR="00E62798" w:rsidRPr="00E62798" w:rsidRDefault="00E62798" w:rsidP="00E62798">
      <w:pPr>
        <w:pStyle w:val="EndNoteBibliography"/>
        <w:spacing w:after="0"/>
        <w:ind w:hanging="720"/>
      </w:pPr>
      <w:bookmarkStart w:id="536" w:name="_ENREF_234"/>
      <w:r w:rsidRPr="00E62798">
        <w:t>234</w:t>
      </w:r>
      <w:r w:rsidRPr="00E62798">
        <w:tab/>
        <w:t xml:space="preserve">Gibson BE, Todd A, Roberts I, Pamphilon D, Rodeck C, Bolton-Maggs P, et al. (2004). Transfusion guidelines for neonates and older children, </w:t>
      </w:r>
      <w:r w:rsidRPr="00E62798">
        <w:rPr>
          <w:i/>
        </w:rPr>
        <w:t>Br J Haematol</w:t>
      </w:r>
      <w:r w:rsidRPr="00E62798">
        <w:t xml:space="preserve"> 124(4):433–453. </w:t>
      </w:r>
      <w:hyperlink r:id="rId253" w:history="1">
        <w:r w:rsidRPr="00E62798">
          <w:rPr>
            <w:rStyle w:val="Hyperlink"/>
          </w:rPr>
          <w:t>http://www.ncbi.nlm.nih.gov/pubmed/14984493</w:t>
        </w:r>
        <w:bookmarkEnd w:id="536"/>
      </w:hyperlink>
    </w:p>
    <w:p w14:paraId="7F7FC468" w14:textId="77777777" w:rsidR="00E62798" w:rsidRPr="00E62798" w:rsidRDefault="00E62798" w:rsidP="00E62798">
      <w:pPr>
        <w:pStyle w:val="EndNoteBibliography"/>
        <w:spacing w:after="0"/>
        <w:ind w:hanging="720"/>
      </w:pPr>
      <w:bookmarkStart w:id="537" w:name="_ENREF_235"/>
      <w:r w:rsidRPr="00E62798">
        <w:t>235</w:t>
      </w:r>
      <w:r w:rsidRPr="00E62798">
        <w:tab/>
        <w:t xml:space="preserve">Kennedy MS (2011). Perinatal issues in transfusion practice, In Roback JD, Grossman BJ, et al. (eds.), </w:t>
      </w:r>
      <w:r w:rsidRPr="00E62798">
        <w:rPr>
          <w:i/>
        </w:rPr>
        <w:t>Technical Manual</w:t>
      </w:r>
      <w:r w:rsidRPr="00E62798">
        <w:t>, AABB, Bethesda, MD, 631–644.</w:t>
      </w:r>
      <w:bookmarkEnd w:id="537"/>
    </w:p>
    <w:p w14:paraId="698DF3AA" w14:textId="486EF853" w:rsidR="00E62798" w:rsidRPr="00E62798" w:rsidRDefault="00E62798" w:rsidP="00E62798">
      <w:pPr>
        <w:pStyle w:val="EndNoteBibliography"/>
        <w:spacing w:after="0"/>
        <w:ind w:hanging="720"/>
      </w:pPr>
      <w:bookmarkStart w:id="538" w:name="_ENREF_236"/>
      <w:r w:rsidRPr="00E62798">
        <w:t>236</w:t>
      </w:r>
      <w:r w:rsidRPr="00E62798">
        <w:tab/>
        <w:t xml:space="preserve">Strauss RG (2010). RBC storage and avoiding hyperkalemia from transfusions to neonates &amp; infants, </w:t>
      </w:r>
      <w:r w:rsidRPr="00E62798">
        <w:rPr>
          <w:i/>
        </w:rPr>
        <w:t>Transfusion</w:t>
      </w:r>
      <w:r w:rsidRPr="00E62798">
        <w:t xml:space="preserve"> 50(9):1862–1865. </w:t>
      </w:r>
      <w:hyperlink r:id="rId254" w:history="1">
        <w:r w:rsidRPr="00E62798">
          <w:rPr>
            <w:rStyle w:val="Hyperlink"/>
          </w:rPr>
          <w:t>http://www.ncbi.nlm.nih.gov/pubmed/21552366</w:t>
        </w:r>
        <w:bookmarkEnd w:id="538"/>
      </w:hyperlink>
    </w:p>
    <w:p w14:paraId="27A632EC" w14:textId="35359D2D" w:rsidR="00E62798" w:rsidRPr="00E62798" w:rsidRDefault="00E62798" w:rsidP="00E62798">
      <w:pPr>
        <w:pStyle w:val="EndNoteBibliography"/>
        <w:spacing w:after="0"/>
        <w:ind w:hanging="720"/>
      </w:pPr>
      <w:bookmarkStart w:id="539" w:name="_ENREF_237"/>
      <w:r w:rsidRPr="00E62798">
        <w:t>237</w:t>
      </w:r>
      <w:r w:rsidRPr="00E62798">
        <w:tab/>
      </w:r>
      <w:r w:rsidRPr="00E62798">
        <w:rPr>
          <w:i/>
        </w:rPr>
        <w:t>Exchange transfusion: Neonatal</w:t>
      </w:r>
      <w:r w:rsidRPr="00E62798">
        <w:t xml:space="preserve">, Royal Children's Hospital, Melbourne. </w:t>
      </w:r>
      <w:hyperlink r:id="rId255" w:history="1">
        <w:r w:rsidRPr="00E62798">
          <w:rPr>
            <w:rStyle w:val="Hyperlink"/>
          </w:rPr>
          <w:t>http://www.rch.org.au/uploadedFiles/Main/Content/neonatal_rch/EXCHANGE_TRANSFUSION.pdf</w:t>
        </w:r>
      </w:hyperlink>
      <w:r w:rsidRPr="00E62798">
        <w:t xml:space="preserve"> </w:t>
      </w:r>
      <w:bookmarkEnd w:id="539"/>
    </w:p>
    <w:p w14:paraId="69949476" w14:textId="77777777" w:rsidR="00E62798" w:rsidRPr="00E62798" w:rsidRDefault="00E62798" w:rsidP="00E62798">
      <w:pPr>
        <w:pStyle w:val="EndNoteBibliography"/>
        <w:spacing w:after="0"/>
        <w:ind w:hanging="720"/>
      </w:pPr>
      <w:bookmarkStart w:id="540" w:name="_ENREF_238"/>
      <w:r w:rsidRPr="00E62798">
        <w:t>238</w:t>
      </w:r>
      <w:r w:rsidRPr="00E62798">
        <w:tab/>
        <w:t xml:space="preserve">Ramasethu J (2012). Exchange transfusion, In MacDonald M, Ramasethu J, et al. (eds.), </w:t>
      </w:r>
      <w:r w:rsidRPr="00E62798">
        <w:rPr>
          <w:i/>
        </w:rPr>
        <w:t xml:space="preserve">Atlas of procedures in neonatology, Fifth edition </w:t>
      </w:r>
      <w:r w:rsidRPr="00E62798">
        <w:t>Wolters Kluwer/Lippincott Williams &amp; Wilkins.</w:t>
      </w:r>
      <w:bookmarkEnd w:id="540"/>
    </w:p>
    <w:p w14:paraId="2B32A7E5" w14:textId="77777777" w:rsidR="00E62798" w:rsidRPr="00E62798" w:rsidRDefault="00E62798" w:rsidP="00E62798">
      <w:pPr>
        <w:pStyle w:val="EndNoteBibliography"/>
        <w:spacing w:after="0"/>
        <w:ind w:hanging="720"/>
      </w:pPr>
      <w:bookmarkStart w:id="541" w:name="_ENREF_239"/>
      <w:r w:rsidRPr="00E62798">
        <w:t>239</w:t>
      </w:r>
      <w:r w:rsidRPr="00E62798">
        <w:tab/>
        <w:t xml:space="preserve">UK Blood Transfusion &amp; Tissue Transplantation Services (2013). </w:t>
      </w:r>
      <w:r w:rsidRPr="00E62798">
        <w:rPr>
          <w:i/>
        </w:rPr>
        <w:t>Guidelines for the blood tranfusion services in the United Kingdom</w:t>
      </w:r>
      <w:r w:rsidRPr="00E62798">
        <w:t>, The Stationary Office, London.</w:t>
      </w:r>
      <w:bookmarkEnd w:id="541"/>
    </w:p>
    <w:p w14:paraId="1298838E" w14:textId="40A6C0B4" w:rsidR="00E62798" w:rsidRPr="00E62798" w:rsidRDefault="00E62798" w:rsidP="00E62798">
      <w:pPr>
        <w:pStyle w:val="EndNoteBibliography"/>
        <w:spacing w:after="0"/>
        <w:ind w:hanging="720"/>
      </w:pPr>
      <w:bookmarkStart w:id="542" w:name="_ENREF_240"/>
      <w:r w:rsidRPr="00E62798">
        <w:t>240</w:t>
      </w:r>
      <w:r w:rsidRPr="00E62798">
        <w:tab/>
        <w:t xml:space="preserve">ANZSBT (2007). </w:t>
      </w:r>
      <w:r w:rsidRPr="00E62798">
        <w:rPr>
          <w:i/>
        </w:rPr>
        <w:t>Guidelines for pretransfusion laboratory practice</w:t>
      </w:r>
      <w:r w:rsidRPr="00E62798">
        <w:t xml:space="preserve">, 3rd Edition, Australian &amp; New Zealand Society of Blood Transfusion Inc (ANZSBT). </w:t>
      </w:r>
      <w:hyperlink r:id="rId256" w:history="1">
        <w:r w:rsidRPr="00E62798">
          <w:rPr>
            <w:rStyle w:val="Hyperlink"/>
          </w:rPr>
          <w:t>www.anzsbt.org.au/publications/documents/PLP_Guidelines_Mar07.pdf</w:t>
        </w:r>
        <w:bookmarkEnd w:id="542"/>
      </w:hyperlink>
    </w:p>
    <w:p w14:paraId="76A6527E" w14:textId="438D2E6F" w:rsidR="00E62798" w:rsidRPr="00E62798" w:rsidRDefault="00E62798" w:rsidP="00E62798">
      <w:pPr>
        <w:pStyle w:val="EndNoteBibliography"/>
        <w:spacing w:after="0"/>
        <w:ind w:hanging="720"/>
      </w:pPr>
      <w:bookmarkStart w:id="543" w:name="_ENREF_241"/>
      <w:r w:rsidRPr="00E62798">
        <w:t>241</w:t>
      </w:r>
      <w:r w:rsidRPr="00E62798">
        <w:tab/>
        <w:t xml:space="preserve">Ranucci M, Carlucci C, Isgro G, Boncilli A, De Benedetti D, De la Torre T, et al. (2009). Duration of red blood cell storage and outcomes in pediatric cardiac surgery: an association found for pump prime blood, </w:t>
      </w:r>
      <w:r w:rsidRPr="00E62798">
        <w:rPr>
          <w:i/>
        </w:rPr>
        <w:t>Crit Care</w:t>
      </w:r>
      <w:r w:rsidRPr="00E62798">
        <w:t xml:space="preserve"> 13(6):R207. </w:t>
      </w:r>
      <w:hyperlink r:id="rId257" w:history="1">
        <w:r w:rsidRPr="00E62798">
          <w:rPr>
            <w:rStyle w:val="Hyperlink"/>
          </w:rPr>
          <w:t>http://www.ncbi.nlm.nih.gov/pubmed/20025760</w:t>
        </w:r>
        <w:bookmarkEnd w:id="543"/>
      </w:hyperlink>
    </w:p>
    <w:p w14:paraId="55632D9F" w14:textId="40214682" w:rsidR="00E62798" w:rsidRPr="00E62798" w:rsidRDefault="00E62798" w:rsidP="00E62798">
      <w:pPr>
        <w:pStyle w:val="EndNoteBibliography"/>
        <w:spacing w:after="0"/>
        <w:ind w:hanging="720"/>
      </w:pPr>
      <w:bookmarkStart w:id="544" w:name="_ENREF_242"/>
      <w:r w:rsidRPr="00E62798">
        <w:t>242</w:t>
      </w:r>
      <w:r w:rsidRPr="00E62798">
        <w:tab/>
        <w:t xml:space="preserve">Fergusson DA, Hebert P, Hogan DL, LeBel L, Rouvinez-Bouali N, Smyth JA, et al. (2012). Effect of fresh red blood cell transfusions on clinical outcomes in premature, very low-birth-weight infants: the ARIPI randomized trial, </w:t>
      </w:r>
      <w:r w:rsidRPr="00E62798">
        <w:rPr>
          <w:i/>
        </w:rPr>
        <w:t>JAMA</w:t>
      </w:r>
      <w:r w:rsidRPr="00E62798">
        <w:t xml:space="preserve"> 308(14):1443–1451. </w:t>
      </w:r>
      <w:hyperlink r:id="rId258" w:history="1">
        <w:r w:rsidRPr="00E62798">
          <w:rPr>
            <w:rStyle w:val="Hyperlink"/>
          </w:rPr>
          <w:t>http://www.ncbi.nlm.nih.gov/pubmed/23045213</w:t>
        </w:r>
        <w:bookmarkEnd w:id="544"/>
      </w:hyperlink>
    </w:p>
    <w:p w14:paraId="54E6E6BC" w14:textId="3351E189" w:rsidR="00E62798" w:rsidRPr="00E62798" w:rsidRDefault="00E62798" w:rsidP="00E62798">
      <w:pPr>
        <w:pStyle w:val="EndNoteBibliography"/>
        <w:spacing w:after="0"/>
        <w:ind w:hanging="720"/>
      </w:pPr>
      <w:bookmarkStart w:id="545" w:name="_ENREF_243"/>
      <w:r w:rsidRPr="00E62798">
        <w:t>243</w:t>
      </w:r>
      <w:r w:rsidRPr="00E62798">
        <w:tab/>
        <w:t xml:space="preserve">Gauvin F, Spinella PC, Lacroix J, Choker G, Ducruet T, Karam O, et al. (2010). Association between length of storage of transfused red blood cells and multiple organ dysfunction syndrome in pediatric intensive care patients, </w:t>
      </w:r>
      <w:r w:rsidRPr="00E62798">
        <w:rPr>
          <w:i/>
        </w:rPr>
        <w:t>Transfusion</w:t>
      </w:r>
      <w:r w:rsidRPr="00E62798">
        <w:t xml:space="preserve"> 50(9):1902–1913. </w:t>
      </w:r>
      <w:hyperlink r:id="rId259" w:history="1">
        <w:r w:rsidRPr="00E62798">
          <w:rPr>
            <w:rStyle w:val="Hyperlink"/>
          </w:rPr>
          <w:t>http://www.ncbi.nlm.nih.gov/pubmed/20456697</w:t>
        </w:r>
        <w:bookmarkEnd w:id="545"/>
      </w:hyperlink>
    </w:p>
    <w:p w14:paraId="242B6302" w14:textId="4EB6A1C1" w:rsidR="00E62798" w:rsidRPr="00E62798" w:rsidRDefault="00E62798" w:rsidP="00E62798">
      <w:pPr>
        <w:pStyle w:val="EndNoteBibliography"/>
        <w:spacing w:after="0"/>
        <w:ind w:hanging="720"/>
      </w:pPr>
      <w:bookmarkStart w:id="546" w:name="_ENREF_244"/>
      <w:r w:rsidRPr="00E62798">
        <w:t>244</w:t>
      </w:r>
      <w:r w:rsidRPr="00E62798">
        <w:tab/>
        <w:t xml:space="preserve">Karam O, Tucci M, Bateman ST, Ducruet T, Spinella PC, Randolph AG, et al. (2010). Association between length of storage of red blood cell units and outcome of critically ill children: a prospective observational study, </w:t>
      </w:r>
      <w:r w:rsidRPr="00E62798">
        <w:rPr>
          <w:i/>
        </w:rPr>
        <w:t>Crit Care</w:t>
      </w:r>
      <w:r w:rsidRPr="00E62798">
        <w:t xml:space="preserve"> 14(2):R57. </w:t>
      </w:r>
      <w:hyperlink r:id="rId260" w:history="1">
        <w:r w:rsidRPr="00E62798">
          <w:rPr>
            <w:rStyle w:val="Hyperlink"/>
          </w:rPr>
          <w:t>http://www.ncbi.nlm.nih.gov/pubmed/20377853</w:t>
        </w:r>
        <w:bookmarkEnd w:id="546"/>
      </w:hyperlink>
    </w:p>
    <w:p w14:paraId="3D53C9DC" w14:textId="69781983" w:rsidR="00E62798" w:rsidRPr="00E62798" w:rsidRDefault="00E62798" w:rsidP="00E62798">
      <w:pPr>
        <w:pStyle w:val="EndNoteBibliography"/>
        <w:spacing w:after="0"/>
        <w:ind w:hanging="720"/>
      </w:pPr>
      <w:bookmarkStart w:id="547" w:name="_ENREF_245"/>
      <w:r w:rsidRPr="00E62798">
        <w:t>245</w:t>
      </w:r>
      <w:r w:rsidRPr="00E62798">
        <w:tab/>
        <w:t xml:space="preserve">ANZSBT (2007). </w:t>
      </w:r>
      <w:r w:rsidRPr="00E62798">
        <w:rPr>
          <w:i/>
        </w:rPr>
        <w:t>Guidelines for blood grouping &amp; antibody screening in the antenatal &amp; perinatal setting</w:t>
      </w:r>
      <w:r w:rsidRPr="00E62798">
        <w:t xml:space="preserve">, 3rd Edition, Australian &amp; New Zealand Society of Blood Transfusion Inc (ANZSBT). </w:t>
      </w:r>
      <w:hyperlink r:id="rId261" w:history="1">
        <w:r w:rsidRPr="00E62798">
          <w:rPr>
            <w:rStyle w:val="Hyperlink"/>
          </w:rPr>
          <w:t>http://www.anzsbt.org.au/publications/documents/Antenatal_Guidelines_Mar07.pdf</w:t>
        </w:r>
        <w:bookmarkEnd w:id="547"/>
      </w:hyperlink>
    </w:p>
    <w:p w14:paraId="5DF2CBB6" w14:textId="35FB8923" w:rsidR="00E62798" w:rsidRPr="00E62798" w:rsidRDefault="00E62798" w:rsidP="00E62798">
      <w:pPr>
        <w:pStyle w:val="EndNoteBibliography"/>
        <w:spacing w:after="0"/>
        <w:ind w:hanging="720"/>
      </w:pPr>
      <w:bookmarkStart w:id="548" w:name="_ENREF_246"/>
      <w:r w:rsidRPr="00E62798">
        <w:t>246</w:t>
      </w:r>
      <w:r w:rsidRPr="00E62798">
        <w:tab/>
        <w:t xml:space="preserve">van Wamelen DJ, Klumper FJ, de Haas M, Meerman RH, van Kamp IL and Oepkes D (2007). Obstetric history and antibody titer in estimating severity of Kell alloimmunization in pregnancy, </w:t>
      </w:r>
      <w:r w:rsidRPr="00E62798">
        <w:rPr>
          <w:i/>
        </w:rPr>
        <w:t>Obstet Gynecol</w:t>
      </w:r>
      <w:r w:rsidRPr="00E62798">
        <w:t xml:space="preserve"> 109(5):1093–1098. </w:t>
      </w:r>
      <w:hyperlink r:id="rId262" w:history="1">
        <w:r w:rsidRPr="00E62798">
          <w:rPr>
            <w:rStyle w:val="Hyperlink"/>
          </w:rPr>
          <w:t>http://www.ncbi.nlm.nih.gov/pubmed/17470588</w:t>
        </w:r>
        <w:bookmarkEnd w:id="548"/>
      </w:hyperlink>
    </w:p>
    <w:p w14:paraId="2DDE72DF" w14:textId="1639FF57" w:rsidR="00E62798" w:rsidRPr="00E62798" w:rsidRDefault="00E62798" w:rsidP="00E62798">
      <w:pPr>
        <w:pStyle w:val="EndNoteBibliography"/>
        <w:spacing w:after="0"/>
        <w:ind w:hanging="720"/>
      </w:pPr>
      <w:bookmarkStart w:id="549" w:name="_ENREF_247"/>
      <w:r w:rsidRPr="00E62798">
        <w:t>247</w:t>
      </w:r>
      <w:r w:rsidRPr="00E62798">
        <w:tab/>
        <w:t xml:space="preserve">(2013). </w:t>
      </w:r>
      <w:r w:rsidRPr="00E62798">
        <w:rPr>
          <w:i/>
        </w:rPr>
        <w:t>Handbook of transfusion medicine (5th edition)</w:t>
      </w:r>
      <w:r w:rsidRPr="00E62798">
        <w:t xml:space="preserve">, United Kingdom Blood Services, TSO. </w:t>
      </w:r>
      <w:hyperlink r:id="rId263" w:history="1">
        <w:r w:rsidRPr="00E62798">
          <w:rPr>
            <w:rStyle w:val="Hyperlink"/>
          </w:rPr>
          <w:t>http://www.transfusionguidelines.org.uk/transfusion-handbook</w:t>
        </w:r>
        <w:bookmarkEnd w:id="549"/>
      </w:hyperlink>
    </w:p>
    <w:p w14:paraId="6BD1EC1D" w14:textId="73B077E2" w:rsidR="00E62798" w:rsidRPr="00E62798" w:rsidRDefault="00E62798" w:rsidP="00E62798">
      <w:pPr>
        <w:pStyle w:val="EndNoteBibliography"/>
        <w:spacing w:after="0"/>
        <w:ind w:hanging="720"/>
      </w:pPr>
      <w:bookmarkStart w:id="550" w:name="_ENREF_248"/>
      <w:r w:rsidRPr="00E62798">
        <w:t>248</w:t>
      </w:r>
      <w:r w:rsidRPr="00E62798">
        <w:tab/>
        <w:t xml:space="preserve">Vamvakas EC (2005). Is white blood cell reduction equivalent to antibody screening in preventing transmission of cytomegalovirus by transfusion? A review of the literature and meta-analysis, </w:t>
      </w:r>
      <w:r w:rsidRPr="00E62798">
        <w:rPr>
          <w:i/>
        </w:rPr>
        <w:t>Transfus Med Rev</w:t>
      </w:r>
      <w:r w:rsidRPr="00E62798">
        <w:t xml:space="preserve"> 19(3):181–199. </w:t>
      </w:r>
      <w:hyperlink r:id="rId264" w:history="1">
        <w:r w:rsidRPr="00E62798">
          <w:rPr>
            <w:rStyle w:val="Hyperlink"/>
          </w:rPr>
          <w:t>http://www.tmreviews.com/article/S0887-7963(05)00012-X/abstract</w:t>
        </w:r>
        <w:bookmarkEnd w:id="550"/>
      </w:hyperlink>
    </w:p>
    <w:p w14:paraId="39B2D58D" w14:textId="15594317" w:rsidR="00E62798" w:rsidRPr="00E62798" w:rsidRDefault="00E62798" w:rsidP="00E62798">
      <w:pPr>
        <w:pStyle w:val="EndNoteBibliography"/>
        <w:spacing w:after="0"/>
        <w:ind w:hanging="720"/>
      </w:pPr>
      <w:bookmarkStart w:id="551" w:name="_ENREF_249"/>
      <w:r w:rsidRPr="00E62798">
        <w:t>249</w:t>
      </w:r>
      <w:r w:rsidRPr="00E62798">
        <w:tab/>
        <w:t xml:space="preserve">Preiksaitis JK (2000). The cytomegalovirus-"safe" blood product: is leukoreduction equivalent to antibody screening?, </w:t>
      </w:r>
      <w:r w:rsidRPr="00E62798">
        <w:rPr>
          <w:i/>
        </w:rPr>
        <w:t>Transfus Med Rev</w:t>
      </w:r>
      <w:r w:rsidRPr="00E62798">
        <w:t xml:space="preserve"> 14(2):112–136. </w:t>
      </w:r>
      <w:hyperlink r:id="rId265" w:history="1">
        <w:r w:rsidRPr="00E62798">
          <w:rPr>
            <w:rStyle w:val="Hyperlink"/>
          </w:rPr>
          <w:t>http://www.tmreviews.com/article/S0887-7963(00)80003-6/abstract</w:t>
        </w:r>
        <w:bookmarkEnd w:id="551"/>
      </w:hyperlink>
    </w:p>
    <w:p w14:paraId="005BC4F1" w14:textId="41F21C39" w:rsidR="00E62798" w:rsidRPr="00E62798" w:rsidRDefault="00E62798" w:rsidP="00E62798">
      <w:pPr>
        <w:pStyle w:val="EndNoteBibliography"/>
        <w:spacing w:after="0"/>
        <w:ind w:hanging="720"/>
      </w:pPr>
      <w:bookmarkStart w:id="552" w:name="_ENREF_250"/>
      <w:r w:rsidRPr="00E62798">
        <w:t>250</w:t>
      </w:r>
      <w:r w:rsidRPr="00E62798">
        <w:tab/>
        <w:t xml:space="preserve">Drew WL and Roback JD (2007). Prevention of transfusion-transmitted cytomegalovirus: reactivation of the debate?, </w:t>
      </w:r>
      <w:r w:rsidRPr="00E62798">
        <w:rPr>
          <w:i/>
        </w:rPr>
        <w:t>Transfusion</w:t>
      </w:r>
      <w:r w:rsidRPr="00E62798">
        <w:t xml:space="preserve"> 47(11):1955–1958. </w:t>
      </w:r>
      <w:hyperlink r:id="rId266" w:history="1">
        <w:r w:rsidRPr="00E62798">
          <w:rPr>
            <w:rStyle w:val="Hyperlink"/>
          </w:rPr>
          <w:t>http://onlinelibrary.wiley.com/doi/10.1111/j.1537-2995.2007.01494.x/abstract</w:t>
        </w:r>
        <w:bookmarkEnd w:id="552"/>
      </w:hyperlink>
    </w:p>
    <w:p w14:paraId="3C94594B" w14:textId="1ADFA92A" w:rsidR="00E62798" w:rsidRPr="00E62798" w:rsidRDefault="00E62798" w:rsidP="00E62798">
      <w:pPr>
        <w:pStyle w:val="EndNoteBibliography"/>
        <w:spacing w:after="0"/>
        <w:ind w:hanging="720"/>
      </w:pPr>
      <w:bookmarkStart w:id="553" w:name="_ENREF_251"/>
      <w:r w:rsidRPr="00E62798">
        <w:t>251</w:t>
      </w:r>
      <w:r w:rsidRPr="00E62798">
        <w:tab/>
        <w:t xml:space="preserve">Seed CR, Wong J, Polizzotto MN, Faddy H, Keller AJ and Pink J (2015). The residual risk of transfusion-transmitted cytomegalovirus infection associated with leucodepleted blood components, </w:t>
      </w:r>
      <w:r w:rsidRPr="00E62798">
        <w:rPr>
          <w:i/>
        </w:rPr>
        <w:t>Vox Sang</w:t>
      </w:r>
      <w:r w:rsidRPr="00E62798">
        <w:t xml:space="preserve"> 109(1):11-17. </w:t>
      </w:r>
      <w:hyperlink r:id="rId267" w:history="1">
        <w:r w:rsidRPr="00E62798">
          <w:rPr>
            <w:rStyle w:val="Hyperlink"/>
          </w:rPr>
          <w:t>http://www.ncbi.nlm.nih.gov/pubmed/25854287</w:t>
        </w:r>
        <w:bookmarkEnd w:id="553"/>
      </w:hyperlink>
    </w:p>
    <w:p w14:paraId="7B1538F9" w14:textId="19ACB244" w:rsidR="00E62798" w:rsidRPr="00E62798" w:rsidRDefault="00E62798" w:rsidP="00E62798">
      <w:pPr>
        <w:pStyle w:val="EndNoteBibliography"/>
        <w:spacing w:after="0"/>
        <w:ind w:hanging="720"/>
      </w:pPr>
      <w:bookmarkStart w:id="554" w:name="_ENREF_252"/>
      <w:r w:rsidRPr="00E62798">
        <w:t>252</w:t>
      </w:r>
      <w:r w:rsidRPr="00E62798">
        <w:tab/>
        <w:t xml:space="preserve">Roback JD, Conlan M, Drew WL, Ljungman P, Nichols WG and Preiksaitis JK (2006). The role of photochemical treatment with amotosalen and UV-A light in the prevention of transfusion-transmitted cytomegalovirus infections, </w:t>
      </w:r>
      <w:r w:rsidRPr="00E62798">
        <w:rPr>
          <w:i/>
        </w:rPr>
        <w:t>Transfus Med Rev</w:t>
      </w:r>
      <w:r w:rsidRPr="00E62798">
        <w:t xml:space="preserve"> 20(1):45–56. </w:t>
      </w:r>
      <w:hyperlink r:id="rId268" w:history="1">
        <w:r w:rsidRPr="00E62798">
          <w:rPr>
            <w:rStyle w:val="Hyperlink"/>
          </w:rPr>
          <w:t>http://www.tmreviews.com/article/S0887-7963(05)00081-7/abstract</w:t>
        </w:r>
        <w:bookmarkEnd w:id="554"/>
      </w:hyperlink>
    </w:p>
    <w:p w14:paraId="08027308" w14:textId="6782AC42" w:rsidR="00E62798" w:rsidRPr="00E62798" w:rsidRDefault="00E62798" w:rsidP="00E62798">
      <w:pPr>
        <w:pStyle w:val="EndNoteBibliography"/>
        <w:spacing w:after="0"/>
        <w:ind w:hanging="720"/>
      </w:pPr>
      <w:bookmarkStart w:id="555" w:name="_ENREF_253"/>
      <w:r w:rsidRPr="00E62798">
        <w:t>253</w:t>
      </w:r>
      <w:r w:rsidRPr="00E62798">
        <w:tab/>
        <w:t xml:space="preserve">Canadian Blood Services (2011). CMV seronegative, irradiated and washed blood components, </w:t>
      </w:r>
      <w:r w:rsidRPr="00E62798">
        <w:rPr>
          <w:i/>
        </w:rPr>
        <w:t>Clinical guide to transfusion</w:t>
      </w:r>
      <w:r w:rsidRPr="00E62798">
        <w:t xml:space="preserve">. </w:t>
      </w:r>
      <w:hyperlink r:id="rId269" w:history="1">
        <w:r w:rsidRPr="00E62798">
          <w:rPr>
            <w:rStyle w:val="Hyperlink"/>
          </w:rPr>
          <w:t>http://www.transfusionmedicine.ca/resources/clinical-guide-transfusion</w:t>
        </w:r>
        <w:bookmarkEnd w:id="555"/>
      </w:hyperlink>
    </w:p>
    <w:p w14:paraId="39F6B18E" w14:textId="5A7F9F33" w:rsidR="00E62798" w:rsidRPr="00E62798" w:rsidRDefault="00E62798" w:rsidP="00E62798">
      <w:pPr>
        <w:pStyle w:val="EndNoteBibliography"/>
        <w:spacing w:after="0"/>
        <w:ind w:hanging="720"/>
      </w:pPr>
      <w:bookmarkStart w:id="556" w:name="_ENREF_254"/>
      <w:r w:rsidRPr="00E62798">
        <w:t>254</w:t>
      </w:r>
      <w:r w:rsidRPr="00E62798">
        <w:tab/>
        <w:t xml:space="preserve">American Association of Blood Banks (1997). </w:t>
      </w:r>
      <w:r w:rsidRPr="00E62798">
        <w:rPr>
          <w:i/>
        </w:rPr>
        <w:t>Statement of the American Association of Blood Banks Before the Blood Products Advisory Committee on the Effect of Leukoreduction on CMV Transmission Through Blood Transfusion. AABB Bulletin #97-2</w:t>
      </w:r>
      <w:r w:rsidRPr="00E62798">
        <w:t xml:space="preserve">. </w:t>
      </w:r>
      <w:hyperlink r:id="rId270" w:history="1">
        <w:r w:rsidRPr="00E62798">
          <w:rPr>
            <w:rStyle w:val="Hyperlink"/>
          </w:rPr>
          <w:t>http://www.aabb.org/advocacy/statements/Pages/cmvstate.aspx</w:t>
        </w:r>
        <w:bookmarkEnd w:id="556"/>
      </w:hyperlink>
    </w:p>
    <w:p w14:paraId="09B6E813" w14:textId="35FAC599" w:rsidR="00E62798" w:rsidRPr="00E62798" w:rsidRDefault="00E62798" w:rsidP="00E62798">
      <w:pPr>
        <w:pStyle w:val="EndNoteBibliography"/>
        <w:spacing w:after="0"/>
        <w:ind w:hanging="720"/>
      </w:pPr>
      <w:bookmarkStart w:id="557" w:name="_ENREF_255"/>
      <w:r w:rsidRPr="00E62798">
        <w:t>255</w:t>
      </w:r>
      <w:r w:rsidRPr="00E62798">
        <w:tab/>
        <w:t xml:space="preserve">Advisory Committee on the Safety of Blood (2012). </w:t>
      </w:r>
      <w:r w:rsidRPr="00E62798">
        <w:rPr>
          <w:i/>
        </w:rPr>
        <w:t>Cytomegalovirus tested blood components: Position Statement. SaBTO report of the Cytomegalovirus Steering Group</w:t>
      </w:r>
      <w:r w:rsidRPr="00E62798">
        <w:t xml:space="preserve">, Department of Health. </w:t>
      </w:r>
      <w:hyperlink r:id="rId271" w:history="1">
        <w:r w:rsidRPr="00E62798">
          <w:rPr>
            <w:rStyle w:val="Hyperlink"/>
          </w:rPr>
          <w:t>https://www.gov.uk/government/uploads/system/uploads/attachment_data/file/215125/dh_133086.pdf</w:t>
        </w:r>
        <w:bookmarkEnd w:id="557"/>
      </w:hyperlink>
    </w:p>
    <w:p w14:paraId="0A1B35A6" w14:textId="73CF4D87" w:rsidR="00E62798" w:rsidRPr="00E62798" w:rsidRDefault="00E62798" w:rsidP="00E62798">
      <w:pPr>
        <w:pStyle w:val="EndNoteBibliography"/>
        <w:spacing w:after="0"/>
        <w:ind w:hanging="720"/>
      </w:pPr>
      <w:bookmarkStart w:id="558" w:name="_ENREF_256"/>
      <w:r w:rsidRPr="00E62798">
        <w:t>256</w:t>
      </w:r>
      <w:r w:rsidRPr="00E62798">
        <w:tab/>
        <w:t xml:space="preserve">Thiele T, Kruger W, Zimmermann K, Ittermann T, Wessel A, Steinmetz I, et al. (2011). Transmission of cytomegalovirus (CMV) infection by leukoreduced blood products not tested for CMV antibodies: a single-center prospective study in high-risk patients undergoing allogeneic hematopoietic stem cell transplantation (CME), </w:t>
      </w:r>
      <w:r w:rsidRPr="00E62798">
        <w:rPr>
          <w:i/>
        </w:rPr>
        <w:t>Transfusion</w:t>
      </w:r>
      <w:r w:rsidRPr="00E62798">
        <w:t xml:space="preserve"> 51(12):2620–2626. </w:t>
      </w:r>
      <w:hyperlink r:id="rId272" w:history="1">
        <w:r w:rsidRPr="00E62798">
          <w:rPr>
            <w:rStyle w:val="Hyperlink"/>
          </w:rPr>
          <w:t>http://www.ncbi.nlm.nih.gov/pubmed/21645009</w:t>
        </w:r>
        <w:bookmarkEnd w:id="558"/>
      </w:hyperlink>
    </w:p>
    <w:p w14:paraId="7CA9BDCA" w14:textId="6EE30FD4" w:rsidR="00E62798" w:rsidRPr="00E62798" w:rsidRDefault="00E62798" w:rsidP="00E62798">
      <w:pPr>
        <w:pStyle w:val="EndNoteBibliography"/>
        <w:spacing w:after="0"/>
        <w:ind w:hanging="720"/>
      </w:pPr>
      <w:bookmarkStart w:id="559" w:name="_ENREF_257"/>
      <w:r w:rsidRPr="00E62798">
        <w:t>257</w:t>
      </w:r>
      <w:r w:rsidRPr="00E62798">
        <w:tab/>
        <w:t xml:space="preserve">Nash T, Hoffmann S, Butch S, Davenport R and Cooling L (2012). Safety of leukoreduced, cytomegalovirus (CMV)-untested components in CMV-negative allogeneic human progenitor cell transplant recipients, </w:t>
      </w:r>
      <w:r w:rsidRPr="00E62798">
        <w:rPr>
          <w:i/>
        </w:rPr>
        <w:t>Transfusion</w:t>
      </w:r>
      <w:r w:rsidRPr="00E62798">
        <w:t xml:space="preserve"> 52(10):2270–2272. </w:t>
      </w:r>
      <w:hyperlink r:id="rId273" w:history="1">
        <w:r w:rsidRPr="00E62798">
          <w:rPr>
            <w:rStyle w:val="Hyperlink"/>
          </w:rPr>
          <w:t>http://onlinelibrary.wiley.com/doi/10.1111/j.1537-2995.2012.03739.x/abstract</w:t>
        </w:r>
        <w:bookmarkEnd w:id="559"/>
      </w:hyperlink>
    </w:p>
    <w:p w14:paraId="17C8A632" w14:textId="74AAF1F4" w:rsidR="00E62798" w:rsidRPr="00E62798" w:rsidRDefault="00E62798" w:rsidP="00E62798">
      <w:pPr>
        <w:pStyle w:val="EndNoteBibliography"/>
        <w:spacing w:after="0"/>
        <w:ind w:hanging="720"/>
      </w:pPr>
      <w:bookmarkStart w:id="560" w:name="_ENREF_258"/>
      <w:r w:rsidRPr="00E62798">
        <w:t>258</w:t>
      </w:r>
      <w:r w:rsidRPr="00E62798">
        <w:tab/>
        <w:t xml:space="preserve">Curtis BR and McFarland JG (2014). Human platelet antigens - 2013, </w:t>
      </w:r>
      <w:r w:rsidRPr="00E62798">
        <w:rPr>
          <w:i/>
        </w:rPr>
        <w:t>Vox Sang</w:t>
      </w:r>
      <w:r w:rsidRPr="00E62798">
        <w:t xml:space="preserve"> 106(2):93–102. </w:t>
      </w:r>
      <w:hyperlink r:id="rId274" w:history="1">
        <w:r w:rsidRPr="00E62798">
          <w:rPr>
            <w:rStyle w:val="Hyperlink"/>
          </w:rPr>
          <w:t>http://www.ncbi.nlm.nih.gov/pubmed/24102564</w:t>
        </w:r>
        <w:bookmarkEnd w:id="560"/>
      </w:hyperlink>
    </w:p>
    <w:p w14:paraId="1BF9E0C9" w14:textId="77777777" w:rsidR="00E62798" w:rsidRPr="00E62798" w:rsidRDefault="00E62798" w:rsidP="00E62798">
      <w:pPr>
        <w:pStyle w:val="EndNoteBibliography"/>
        <w:spacing w:after="0"/>
        <w:ind w:hanging="720"/>
      </w:pPr>
      <w:bookmarkStart w:id="561" w:name="_ENREF_259"/>
      <w:r w:rsidRPr="00E62798">
        <w:t>259</w:t>
      </w:r>
      <w:r w:rsidRPr="00E62798">
        <w:tab/>
        <w:t xml:space="preserve">Mueller-Eckhardt C KV, Grubert A et al. (1989). 348 cases of suspected neonatal alloimmune thrombocytopenia, </w:t>
      </w:r>
      <w:r w:rsidRPr="00E62798">
        <w:rPr>
          <w:i/>
        </w:rPr>
        <w:t>The Lancet</w:t>
      </w:r>
      <w:r w:rsidRPr="00E62798">
        <w:t xml:space="preserve"> 1:363–366.</w:t>
      </w:r>
      <w:bookmarkEnd w:id="561"/>
    </w:p>
    <w:p w14:paraId="0B3D013F" w14:textId="77777777" w:rsidR="00E62798" w:rsidRPr="00E62798" w:rsidRDefault="00E62798" w:rsidP="00E62798">
      <w:pPr>
        <w:pStyle w:val="EndNoteBibliography"/>
        <w:spacing w:after="0"/>
        <w:ind w:hanging="720"/>
      </w:pPr>
      <w:bookmarkStart w:id="562" w:name="_ENREF_260"/>
      <w:r w:rsidRPr="00E62798">
        <w:t>260</w:t>
      </w:r>
      <w:r w:rsidRPr="00E62798">
        <w:tab/>
        <w:t xml:space="preserve">Davoren A CBR, Aster R.H, McFarland J.G (2004). Human platelet antigen-specific alloantibodies implicated in 1162 cases of neonatal alloimmune thrombocytopenia, </w:t>
      </w:r>
      <w:r w:rsidRPr="00E62798">
        <w:rPr>
          <w:i/>
        </w:rPr>
        <w:t>Transfusion</w:t>
      </w:r>
      <w:r w:rsidRPr="00E62798">
        <w:t xml:space="preserve"> 44:1220–1225.</w:t>
      </w:r>
      <w:bookmarkEnd w:id="562"/>
    </w:p>
    <w:p w14:paraId="1D58AD21" w14:textId="227A2923" w:rsidR="00E62798" w:rsidRPr="00E62798" w:rsidRDefault="00E62798" w:rsidP="00E62798">
      <w:pPr>
        <w:pStyle w:val="EndNoteBibliography"/>
        <w:spacing w:after="0"/>
        <w:ind w:hanging="720"/>
      </w:pPr>
      <w:bookmarkStart w:id="563" w:name="_ENREF_261"/>
      <w:r w:rsidRPr="00E62798">
        <w:t>261</w:t>
      </w:r>
      <w:r w:rsidRPr="00E62798">
        <w:tab/>
        <w:t xml:space="preserve">Bennett JA, Palmer LJ, Musk AW and Erber WN (2002). Gene frequencies of human platelet antigens 1-5 in indigenous Australians in Western Australia, </w:t>
      </w:r>
      <w:r w:rsidRPr="00E62798">
        <w:rPr>
          <w:i/>
        </w:rPr>
        <w:t>Transfus Med</w:t>
      </w:r>
      <w:r w:rsidRPr="00E62798">
        <w:t xml:space="preserve"> 12(3):199–203. </w:t>
      </w:r>
      <w:hyperlink r:id="rId275" w:history="1">
        <w:r w:rsidRPr="00E62798">
          <w:rPr>
            <w:rStyle w:val="Hyperlink"/>
          </w:rPr>
          <w:t>http://www.ncbi.nlm.nih.gov/pubmed/12071877</w:t>
        </w:r>
        <w:bookmarkEnd w:id="563"/>
      </w:hyperlink>
    </w:p>
    <w:p w14:paraId="28C53A35" w14:textId="563A3C82" w:rsidR="00E62798" w:rsidRPr="00E62798" w:rsidRDefault="00E62798" w:rsidP="00E62798">
      <w:pPr>
        <w:pStyle w:val="EndNoteBibliography"/>
        <w:spacing w:after="0"/>
        <w:ind w:hanging="720"/>
      </w:pPr>
      <w:bookmarkStart w:id="564" w:name="_ENREF_262"/>
      <w:r w:rsidRPr="00E62798">
        <w:t>262</w:t>
      </w:r>
      <w:r w:rsidRPr="00E62798">
        <w:tab/>
        <w:t xml:space="preserve">Sainio S, Jarvenpaa AL, Renlund M, Riikonen S, Teramo K and Kekomaki R (2000). Thrombocytopenia in term infants: a population-based study, </w:t>
      </w:r>
      <w:r w:rsidRPr="00E62798">
        <w:rPr>
          <w:i/>
        </w:rPr>
        <w:t>Obstet Gynecol</w:t>
      </w:r>
      <w:r w:rsidRPr="00E62798">
        <w:t xml:space="preserve"> 95(3):441-446. </w:t>
      </w:r>
      <w:hyperlink r:id="rId276" w:history="1">
        <w:r w:rsidRPr="00E62798">
          <w:rPr>
            <w:rStyle w:val="Hyperlink"/>
          </w:rPr>
          <w:t>http://www.ncbi.nlm.nih.gov/pubmed/10711560</w:t>
        </w:r>
        <w:bookmarkEnd w:id="564"/>
      </w:hyperlink>
    </w:p>
    <w:p w14:paraId="48AA0B47" w14:textId="5A9A2EFA" w:rsidR="00E62798" w:rsidRPr="00E62798" w:rsidRDefault="00E62798" w:rsidP="00E62798">
      <w:pPr>
        <w:pStyle w:val="EndNoteBibliography"/>
        <w:spacing w:after="0"/>
        <w:ind w:hanging="720"/>
      </w:pPr>
      <w:bookmarkStart w:id="565" w:name="_ENREF_263"/>
      <w:r w:rsidRPr="00E62798">
        <w:t>263</w:t>
      </w:r>
      <w:r w:rsidRPr="00E62798">
        <w:tab/>
        <w:t xml:space="preserve">Spencer JA and Burrows RF (2001). Feto-maternal alloimmune thrombocytopenia: a literature review and statistical analysis, </w:t>
      </w:r>
      <w:r w:rsidRPr="00E62798">
        <w:rPr>
          <w:i/>
        </w:rPr>
        <w:t>Aust N Z J Obstet Gynaecol</w:t>
      </w:r>
      <w:r w:rsidRPr="00E62798">
        <w:t xml:space="preserve"> 41(1):45–55. </w:t>
      </w:r>
      <w:hyperlink r:id="rId277" w:history="1">
        <w:r w:rsidRPr="00E62798">
          <w:rPr>
            <w:rStyle w:val="Hyperlink"/>
          </w:rPr>
          <w:t>http://www.ncbi.nlm.nih.gov/pubmed/11284646</w:t>
        </w:r>
        <w:bookmarkEnd w:id="565"/>
      </w:hyperlink>
    </w:p>
    <w:p w14:paraId="29C2FFBB" w14:textId="77777777" w:rsidR="00E62798" w:rsidRPr="00E62798" w:rsidRDefault="00E62798" w:rsidP="00E62798">
      <w:pPr>
        <w:pStyle w:val="EndNoteBibliography"/>
        <w:spacing w:after="0"/>
        <w:ind w:hanging="720"/>
      </w:pPr>
      <w:bookmarkStart w:id="566" w:name="_ENREF_264"/>
      <w:r w:rsidRPr="00E62798">
        <w:t>264</w:t>
      </w:r>
      <w:r w:rsidRPr="00E62798">
        <w:tab/>
        <w:t xml:space="preserve">Risson D.C DMWaWBA (2012). Review of neonatal alloimmune thrombocytopenia, </w:t>
      </w:r>
      <w:r w:rsidRPr="00E62798">
        <w:rPr>
          <w:i/>
        </w:rPr>
        <w:t>Journal of Paediatrics and Child Health</w:t>
      </w:r>
      <w:r w:rsidRPr="00E62798">
        <w:t xml:space="preserve"> 48:816–822.</w:t>
      </w:r>
      <w:bookmarkEnd w:id="566"/>
    </w:p>
    <w:p w14:paraId="1830778F" w14:textId="77777777" w:rsidR="00E62798" w:rsidRPr="00E62798" w:rsidRDefault="00E62798" w:rsidP="00E62798">
      <w:pPr>
        <w:pStyle w:val="EndNoteBibliography"/>
        <w:spacing w:after="0"/>
        <w:ind w:hanging="720"/>
      </w:pPr>
      <w:bookmarkStart w:id="567" w:name="_ENREF_265"/>
      <w:r w:rsidRPr="00E62798">
        <w:t>265</w:t>
      </w:r>
      <w:r w:rsidRPr="00E62798">
        <w:tab/>
        <w:t xml:space="preserve">Bakchoul T BD, Heckmann M et al. (2014). Management of infants born with severe neonatal alloimmune thrombocytopenia: the role of platelet transfusions and intravenous immunoglobulin, </w:t>
      </w:r>
      <w:r w:rsidRPr="00E62798">
        <w:rPr>
          <w:i/>
        </w:rPr>
        <w:t>Transfusion</w:t>
      </w:r>
      <w:r w:rsidRPr="00E62798">
        <w:t xml:space="preserve"> 54(3):640–645.</w:t>
      </w:r>
      <w:bookmarkEnd w:id="567"/>
    </w:p>
    <w:p w14:paraId="1668923D" w14:textId="77777777" w:rsidR="00E62798" w:rsidRPr="00E62798" w:rsidRDefault="00E62798" w:rsidP="00E62798">
      <w:pPr>
        <w:pStyle w:val="EndNoteBibliography"/>
        <w:spacing w:after="0"/>
        <w:ind w:hanging="720"/>
      </w:pPr>
      <w:bookmarkStart w:id="568" w:name="_ENREF_266"/>
      <w:r w:rsidRPr="00E62798">
        <w:t>266</w:t>
      </w:r>
      <w:r w:rsidRPr="00E62798">
        <w:tab/>
        <w:t xml:space="preserve">Kiefel V BD, Kroll H et al (2006). Antigen-positive platelet transfusion in neonatal alloimmune thrombocytopenia (NAIT), </w:t>
      </w:r>
      <w:r w:rsidRPr="00E62798">
        <w:rPr>
          <w:i/>
        </w:rPr>
        <w:t>Blood</w:t>
      </w:r>
      <w:r w:rsidRPr="00E62798">
        <w:t xml:space="preserve"> 107:3761–3763.</w:t>
      </w:r>
      <w:bookmarkEnd w:id="568"/>
    </w:p>
    <w:p w14:paraId="320D59A4" w14:textId="77777777" w:rsidR="00E62798" w:rsidRPr="00E62798" w:rsidRDefault="00E62798" w:rsidP="00E62798">
      <w:pPr>
        <w:pStyle w:val="EndNoteBibliography"/>
        <w:spacing w:after="0"/>
        <w:ind w:hanging="720"/>
      </w:pPr>
      <w:bookmarkStart w:id="569" w:name="_ENREF_267"/>
      <w:r w:rsidRPr="00E62798">
        <w:t>267</w:t>
      </w:r>
      <w:r w:rsidRPr="00E62798">
        <w:tab/>
        <w:t xml:space="preserve">Win N, Ouwehand WH and Hurd C (1997). Provision of platelets for severe neonatal thrombocytopenia, </w:t>
      </w:r>
      <w:r w:rsidRPr="00E62798">
        <w:rPr>
          <w:i/>
        </w:rPr>
        <w:t>Br J Haematol</w:t>
      </w:r>
      <w:r w:rsidRPr="00E62798">
        <w:t xml:space="preserve"> 97:927–940.</w:t>
      </w:r>
      <w:bookmarkEnd w:id="569"/>
    </w:p>
    <w:p w14:paraId="104AA021" w14:textId="07AC7E2F" w:rsidR="00E62798" w:rsidRPr="00E62798" w:rsidRDefault="00E62798" w:rsidP="00E62798">
      <w:pPr>
        <w:pStyle w:val="EndNoteBibliography"/>
        <w:spacing w:after="0"/>
        <w:ind w:hanging="720"/>
      </w:pPr>
      <w:bookmarkStart w:id="570" w:name="_ENREF_268"/>
      <w:r w:rsidRPr="00E62798">
        <w:t>268</w:t>
      </w:r>
      <w:r w:rsidRPr="00E62798">
        <w:tab/>
        <w:t xml:space="preserve">Stroncek DF and Rebulla P (2007). Platelet transfusions, </w:t>
      </w:r>
      <w:r w:rsidRPr="00E62798">
        <w:rPr>
          <w:i/>
        </w:rPr>
        <w:t>Lancet</w:t>
      </w:r>
      <w:r w:rsidRPr="00E62798">
        <w:t xml:space="preserve"> 370(9585):427–438. </w:t>
      </w:r>
      <w:hyperlink r:id="rId278" w:history="1">
        <w:r w:rsidRPr="00E62798">
          <w:rPr>
            <w:rStyle w:val="Hyperlink"/>
          </w:rPr>
          <w:t>http://www.thelancet.com/journals/lancet/article/PIIS0140-6736(07)61198-2/abstract</w:t>
        </w:r>
        <w:bookmarkEnd w:id="570"/>
      </w:hyperlink>
    </w:p>
    <w:p w14:paraId="2F167298" w14:textId="19D8C8DC" w:rsidR="00E62798" w:rsidRPr="00E62798" w:rsidRDefault="00E62798" w:rsidP="00E62798">
      <w:pPr>
        <w:pStyle w:val="EndNoteBibliography"/>
        <w:spacing w:after="0"/>
        <w:ind w:hanging="720"/>
      </w:pPr>
      <w:bookmarkStart w:id="571" w:name="_ENREF_269"/>
      <w:r w:rsidRPr="00E62798">
        <w:t>269</w:t>
      </w:r>
      <w:r w:rsidRPr="00E62798">
        <w:tab/>
        <w:t xml:space="preserve">Williamson LM (2000). Leucocyte depletion of the blood supply - how will patients benefit?, </w:t>
      </w:r>
      <w:r w:rsidRPr="00E62798">
        <w:rPr>
          <w:i/>
        </w:rPr>
        <w:t>Br J Haematol</w:t>
      </w:r>
      <w:r w:rsidRPr="00E62798">
        <w:t xml:space="preserve"> 110(2):256–272. </w:t>
      </w:r>
      <w:hyperlink r:id="rId279" w:history="1">
        <w:r w:rsidRPr="00E62798">
          <w:rPr>
            <w:rStyle w:val="Hyperlink"/>
          </w:rPr>
          <w:t>http://onlinelibrary.wiley.com/store/10.1046/j.1365-2141.2000.02062.x/asset/j.1365-2141.2000.02062.x.pdf?v=1&amp;t=i8wruya2&amp;s=74f48e82a7df96b9a8b15ab677ecae24b0c0c831</w:t>
        </w:r>
        <w:bookmarkEnd w:id="571"/>
      </w:hyperlink>
    </w:p>
    <w:p w14:paraId="58208219" w14:textId="361C5CE7" w:rsidR="00E62798" w:rsidRPr="00E62798" w:rsidRDefault="00E62798" w:rsidP="00E62798">
      <w:pPr>
        <w:pStyle w:val="EndNoteBibliography"/>
        <w:spacing w:after="0"/>
        <w:ind w:hanging="720"/>
      </w:pPr>
      <w:bookmarkStart w:id="572" w:name="_ENREF_270"/>
      <w:r w:rsidRPr="00E62798">
        <w:t>270</w:t>
      </w:r>
      <w:r w:rsidRPr="00E62798">
        <w:tab/>
        <w:t xml:space="preserve">Nahirniak S, Slichter SJ, Tanael S, Rebulla P, Pavenski K, Vassallo R, et al. (2015). Guidance on platelet transfusion for patients with hypoproliferative thrombocytopenia, </w:t>
      </w:r>
      <w:r w:rsidRPr="00E62798">
        <w:rPr>
          <w:i/>
        </w:rPr>
        <w:t>Transfus Med Rev</w:t>
      </w:r>
      <w:r w:rsidRPr="00E62798">
        <w:t xml:space="preserve"> 29(1):3–13. </w:t>
      </w:r>
      <w:hyperlink r:id="rId280" w:history="1">
        <w:r w:rsidRPr="00E62798">
          <w:rPr>
            <w:rStyle w:val="Hyperlink"/>
          </w:rPr>
          <w:t>http://www.ncbi.nlm.nih.gov/pubmed/25537844</w:t>
        </w:r>
        <w:bookmarkEnd w:id="572"/>
      </w:hyperlink>
    </w:p>
    <w:p w14:paraId="2F1EC1C5" w14:textId="2C7850EE" w:rsidR="00E62798" w:rsidRPr="00E62798" w:rsidRDefault="00E62798" w:rsidP="00E62798">
      <w:pPr>
        <w:pStyle w:val="EndNoteBibliography"/>
        <w:spacing w:after="0"/>
        <w:ind w:hanging="720"/>
      </w:pPr>
      <w:bookmarkStart w:id="573" w:name="_ENREF_271"/>
      <w:r w:rsidRPr="00E62798">
        <w:t>271</w:t>
      </w:r>
      <w:r w:rsidRPr="00E62798">
        <w:tab/>
        <w:t xml:space="preserve">Bolton-Maggs PH, Chalmers EA, Collins PW, Harrison P, Kitchen S, Liesner RJ, et al. (2006). A review of inherited platelet disorders with guidelines for their management on behalf of the UKHCDO, </w:t>
      </w:r>
      <w:r w:rsidRPr="00E62798">
        <w:rPr>
          <w:i/>
        </w:rPr>
        <w:t>Br J Haematol</w:t>
      </w:r>
      <w:r w:rsidRPr="00E62798">
        <w:t xml:space="preserve"> 135(5):603–633. </w:t>
      </w:r>
      <w:hyperlink r:id="rId281" w:history="1">
        <w:r w:rsidRPr="00E62798">
          <w:rPr>
            <w:rStyle w:val="Hyperlink"/>
          </w:rPr>
          <w:t>http://onlinelibrary.wiley.com/store/10.1111/j.1365-2141.2006.06343.x/asset/j.1365-2141.2006.06343.x.pdf?v=1&amp;t=i8wrvnos&amp;s=294e42b570fc55c125e469ffef68e4f32b8215a3</w:t>
        </w:r>
        <w:bookmarkEnd w:id="573"/>
      </w:hyperlink>
    </w:p>
    <w:p w14:paraId="62647254" w14:textId="7901BFB6" w:rsidR="00E62798" w:rsidRPr="00E62798" w:rsidRDefault="00E62798" w:rsidP="00E62798">
      <w:pPr>
        <w:pStyle w:val="EndNoteBibliography"/>
        <w:spacing w:after="0"/>
        <w:ind w:hanging="720"/>
      </w:pPr>
      <w:bookmarkStart w:id="574" w:name="_ENREF_272"/>
      <w:r w:rsidRPr="00E62798">
        <w:t>272</w:t>
      </w:r>
      <w:r w:rsidRPr="00E62798">
        <w:tab/>
        <w:t xml:space="preserve">Schlegel N, Bardet V, Kenet G, Muntean W, Zieger B, Nowak-Gottl U, et al. (2010). Diagnostic and therapeutic considerations on inherited platelet disorders in neonates and children, </w:t>
      </w:r>
      <w:r w:rsidRPr="00E62798">
        <w:rPr>
          <w:i/>
        </w:rPr>
        <w:t>Klinische Padiatrie</w:t>
      </w:r>
      <w:r w:rsidRPr="00E62798">
        <w:t xml:space="preserve"> 222(3):209–214. </w:t>
      </w:r>
      <w:hyperlink r:id="rId282" w:history="1">
        <w:r w:rsidRPr="00E62798">
          <w:rPr>
            <w:rStyle w:val="Hyperlink"/>
          </w:rPr>
          <w:t>https://www.thieme-connect.com/DOI/DOI?10.1055/s-0030-1249065</w:t>
        </w:r>
        <w:bookmarkEnd w:id="574"/>
      </w:hyperlink>
    </w:p>
    <w:p w14:paraId="3B06C93C" w14:textId="5F8E6D51" w:rsidR="00E62798" w:rsidRPr="00E62798" w:rsidRDefault="00E62798" w:rsidP="00E62798">
      <w:pPr>
        <w:pStyle w:val="EndNoteBibliography"/>
        <w:spacing w:after="0"/>
        <w:ind w:hanging="720"/>
      </w:pPr>
      <w:bookmarkStart w:id="575" w:name="_ENREF_273"/>
      <w:r w:rsidRPr="00E62798">
        <w:t>273</w:t>
      </w:r>
      <w:r w:rsidRPr="00E62798">
        <w:tab/>
        <w:t xml:space="preserve">Blumberg N, Heal JM and Rowe JM (2004). A randomized trial of washed red blood cell and platelet transfusions in adult acute leukemia [ISRCTN76536440], </w:t>
      </w:r>
      <w:r w:rsidRPr="00E62798">
        <w:rPr>
          <w:i/>
        </w:rPr>
        <w:t>BMC blood disorders</w:t>
      </w:r>
      <w:r w:rsidRPr="00E62798">
        <w:t xml:space="preserve"> 4(1):6. </w:t>
      </w:r>
      <w:hyperlink r:id="rId283" w:history="1">
        <w:r w:rsidRPr="00E62798">
          <w:rPr>
            <w:rStyle w:val="Hyperlink"/>
          </w:rPr>
          <w:t>http://www.ncbi.nlm.nih.gov/pubmed/15588315</w:t>
        </w:r>
        <w:bookmarkEnd w:id="575"/>
      </w:hyperlink>
    </w:p>
    <w:p w14:paraId="054AD691" w14:textId="09353689" w:rsidR="00E62798" w:rsidRPr="00E62798" w:rsidRDefault="00E62798" w:rsidP="00E62798">
      <w:pPr>
        <w:pStyle w:val="EndNoteBibliography"/>
        <w:spacing w:after="0"/>
        <w:ind w:hanging="720"/>
      </w:pPr>
      <w:bookmarkStart w:id="576" w:name="_ENREF_274"/>
      <w:r w:rsidRPr="00E62798">
        <w:t>274</w:t>
      </w:r>
      <w:r w:rsidRPr="00E62798">
        <w:tab/>
        <w:t xml:space="preserve">Blumberg N, Heal JM, Gettings KF, Phipps RP, Masel D, Refaai MA, et al. (2010). An association between decreased cardiopulmonary complications (transfusion-related acute lung injury and transfusion-associated circulatory overload) and implementation of universal leukoreduction of blood transfusions, </w:t>
      </w:r>
      <w:r w:rsidRPr="00E62798">
        <w:rPr>
          <w:i/>
        </w:rPr>
        <w:t>Transfusion</w:t>
      </w:r>
      <w:r w:rsidRPr="00E62798">
        <w:t xml:space="preserve"> 50(12):2738–2744. </w:t>
      </w:r>
      <w:hyperlink r:id="rId284" w:history="1">
        <w:r w:rsidRPr="00E62798">
          <w:rPr>
            <w:rStyle w:val="Hyperlink"/>
          </w:rPr>
          <w:t>http://www.ncbi.nlm.nih.gov/pubmed/20561296</w:t>
        </w:r>
        <w:bookmarkEnd w:id="576"/>
      </w:hyperlink>
    </w:p>
    <w:p w14:paraId="0EA1802F" w14:textId="6EA234D0" w:rsidR="00E62798" w:rsidRPr="00E62798" w:rsidRDefault="00E62798" w:rsidP="00E62798">
      <w:pPr>
        <w:pStyle w:val="EndNoteBibliography"/>
        <w:spacing w:after="0"/>
        <w:ind w:hanging="720"/>
      </w:pPr>
      <w:bookmarkStart w:id="577" w:name="_ENREF_275"/>
      <w:r w:rsidRPr="00E62798">
        <w:t>275</w:t>
      </w:r>
      <w:r w:rsidRPr="00E62798">
        <w:tab/>
        <w:t xml:space="preserve">Belizaire RM, Makley AT, Campion EM, Sonnier DI, Goodman MD, Dorlac WC, et al. (2012). Resuscitation with washed aged packed red blood cell units decreases the proinflammatory response in mice after hemorrhage, </w:t>
      </w:r>
      <w:r w:rsidRPr="00E62798">
        <w:rPr>
          <w:i/>
        </w:rPr>
        <w:t>J Trauma Acute Care Surg</w:t>
      </w:r>
      <w:r w:rsidRPr="00E62798">
        <w:t xml:space="preserve"> 73(2 Suppl 1):S128–133. </w:t>
      </w:r>
      <w:hyperlink r:id="rId285" w:history="1">
        <w:r w:rsidRPr="00E62798">
          <w:rPr>
            <w:rStyle w:val="Hyperlink"/>
          </w:rPr>
          <w:t>http://www.ncbi.nlm.nih.gov/pubmed/22847082</w:t>
        </w:r>
        <w:bookmarkEnd w:id="577"/>
      </w:hyperlink>
    </w:p>
    <w:p w14:paraId="560BE1F9" w14:textId="5A5AD9F9" w:rsidR="00E62798" w:rsidRPr="00E62798" w:rsidRDefault="00E62798" w:rsidP="00E62798">
      <w:pPr>
        <w:pStyle w:val="EndNoteBibliography"/>
        <w:spacing w:after="0"/>
        <w:ind w:hanging="720"/>
      </w:pPr>
      <w:bookmarkStart w:id="578" w:name="_ENREF_276"/>
      <w:r w:rsidRPr="00E62798">
        <w:t>276</w:t>
      </w:r>
      <w:r w:rsidRPr="00E62798">
        <w:tab/>
        <w:t xml:space="preserve">Moise K (2013). Intrauterine fetal transfusion of red blood cells, In Lockwood C &amp; Barss V (eds.), </w:t>
      </w:r>
      <w:r w:rsidRPr="00E62798">
        <w:rPr>
          <w:i/>
        </w:rPr>
        <w:t>UpToDate</w:t>
      </w:r>
      <w:r w:rsidRPr="00E62798">
        <w:t xml:space="preserve">. </w:t>
      </w:r>
      <w:hyperlink r:id="rId286" w:history="1">
        <w:r w:rsidRPr="00E62798">
          <w:rPr>
            <w:rStyle w:val="Hyperlink"/>
          </w:rPr>
          <w:t>http://www.uptodate.com/contents/intrauterine-fetal-transfusion-of-red-blood-cells</w:t>
        </w:r>
        <w:bookmarkEnd w:id="578"/>
      </w:hyperlink>
    </w:p>
    <w:p w14:paraId="53EDC377" w14:textId="5D197DB5" w:rsidR="00E62798" w:rsidRPr="00E62798" w:rsidRDefault="00E62798" w:rsidP="00E62798">
      <w:pPr>
        <w:pStyle w:val="EndNoteBibliography"/>
        <w:spacing w:after="0"/>
        <w:ind w:hanging="720"/>
      </w:pPr>
      <w:bookmarkStart w:id="579" w:name="_ENREF_277"/>
      <w:r w:rsidRPr="00E62798">
        <w:t>277</w:t>
      </w:r>
      <w:r w:rsidRPr="00E62798">
        <w:tab/>
        <w:t xml:space="preserve">Cholette JM, Henrichs KF, Alfieris GM, Powers KS, Phipps R, Spinelli SL, et al. (2012). Washing red blood cells and platelets transfused in cardiac surgery reduces postoperative inflammation and number of transfusions: results of a prospective, randomized, controlled clinical trial, </w:t>
      </w:r>
      <w:r w:rsidRPr="00E62798">
        <w:rPr>
          <w:i/>
        </w:rPr>
        <w:t>Pediatr Crit Care Med</w:t>
      </w:r>
      <w:r w:rsidRPr="00E62798">
        <w:t xml:space="preserve"> 13(3):290–299. </w:t>
      </w:r>
      <w:hyperlink r:id="rId287" w:history="1">
        <w:r w:rsidRPr="00E62798">
          <w:rPr>
            <w:rStyle w:val="Hyperlink"/>
          </w:rPr>
          <w:t>http://www.ncbi.nlm.nih.gov/pubmed/21926663</w:t>
        </w:r>
        <w:bookmarkEnd w:id="579"/>
      </w:hyperlink>
    </w:p>
    <w:p w14:paraId="3450257E" w14:textId="6FB59C95" w:rsidR="00E62798" w:rsidRPr="00E62798" w:rsidRDefault="00E62798" w:rsidP="00E62798">
      <w:pPr>
        <w:pStyle w:val="EndNoteBibliography"/>
        <w:spacing w:after="0"/>
        <w:ind w:hanging="720"/>
      </w:pPr>
      <w:bookmarkStart w:id="580" w:name="_ENREF_278"/>
      <w:r w:rsidRPr="00E62798">
        <w:t>278</w:t>
      </w:r>
      <w:r w:rsidRPr="00E62798">
        <w:tab/>
        <w:t xml:space="preserve">Hosking MP, Beynen FM, Raimundo HS, Oliver WC, Jr. and Williamson KR (1990). A comparison of washed red blood cells versus packed red blood cells (AS-1) for cardiopulmonary bypass prime and their effects on blood glucose concentration in children, </w:t>
      </w:r>
      <w:r w:rsidRPr="00E62798">
        <w:rPr>
          <w:i/>
        </w:rPr>
        <w:t>Anesthesiology</w:t>
      </w:r>
      <w:r w:rsidRPr="00E62798">
        <w:t xml:space="preserve"> 72(6):987–990. </w:t>
      </w:r>
      <w:hyperlink r:id="rId288" w:history="1">
        <w:r w:rsidRPr="00E62798">
          <w:rPr>
            <w:rStyle w:val="Hyperlink"/>
          </w:rPr>
          <w:t>http://www.ncbi.nlm.nih.gov/pubmed/2112346</w:t>
        </w:r>
        <w:bookmarkEnd w:id="580"/>
      </w:hyperlink>
    </w:p>
    <w:p w14:paraId="17C610AC" w14:textId="2EA1C693" w:rsidR="00E62798" w:rsidRPr="00E62798" w:rsidRDefault="00E62798" w:rsidP="00E62798">
      <w:pPr>
        <w:pStyle w:val="EndNoteBibliography"/>
        <w:spacing w:after="0"/>
        <w:ind w:hanging="720"/>
      </w:pPr>
      <w:bookmarkStart w:id="581" w:name="_ENREF_279"/>
      <w:r w:rsidRPr="00E62798">
        <w:t>279</w:t>
      </w:r>
      <w:r w:rsidRPr="00E62798">
        <w:tab/>
        <w:t xml:space="preserve">Swindell CG, Barker TA, McGuirk SP, Jones TJ, Barron DJ, Brawn WJ, et al. (2007). Washing of irradiated red blood cells prevents hyperkalaemia during cardiopulmonary bypass in neonates and infants undergoing surgery for complex congenital heart disease, </w:t>
      </w:r>
      <w:r w:rsidRPr="00E62798">
        <w:rPr>
          <w:i/>
        </w:rPr>
        <w:t>Eur J Cardiothorac Surg</w:t>
      </w:r>
      <w:r w:rsidRPr="00E62798">
        <w:t xml:space="preserve"> 31(4):659–664. </w:t>
      </w:r>
      <w:hyperlink r:id="rId289" w:history="1">
        <w:r w:rsidRPr="00E62798">
          <w:rPr>
            <w:rStyle w:val="Hyperlink"/>
          </w:rPr>
          <w:t>http://www.ncbi.nlm.nih.gov/pubmed/17291775</w:t>
        </w:r>
        <w:bookmarkEnd w:id="581"/>
      </w:hyperlink>
    </w:p>
    <w:p w14:paraId="022247BB" w14:textId="006BE37C" w:rsidR="00E62798" w:rsidRPr="00E62798" w:rsidRDefault="00E62798" w:rsidP="00E62798">
      <w:pPr>
        <w:pStyle w:val="EndNoteBibliography"/>
        <w:spacing w:after="0"/>
        <w:ind w:hanging="720"/>
      </w:pPr>
      <w:bookmarkStart w:id="582" w:name="_ENREF_280"/>
      <w:r w:rsidRPr="00E62798">
        <w:t>280</w:t>
      </w:r>
      <w:r w:rsidRPr="00E62798">
        <w:tab/>
        <w:t xml:space="preserve">Strauss RG (2000). Data-driven blood banking practices for neonatal RBC transfusions, </w:t>
      </w:r>
      <w:r w:rsidRPr="00E62798">
        <w:rPr>
          <w:i/>
        </w:rPr>
        <w:t>Transfusion</w:t>
      </w:r>
      <w:r w:rsidRPr="00E62798">
        <w:t xml:space="preserve"> 40(12):1528–1540. </w:t>
      </w:r>
      <w:hyperlink r:id="rId290" w:history="1">
        <w:r w:rsidRPr="00E62798">
          <w:rPr>
            <w:rStyle w:val="Hyperlink"/>
          </w:rPr>
          <w:t>http://www.ncbi.nlm.nih.gov/pubmed/11134575</w:t>
        </w:r>
        <w:bookmarkEnd w:id="582"/>
      </w:hyperlink>
    </w:p>
    <w:p w14:paraId="202B6B18" w14:textId="71E17F9D" w:rsidR="00E62798" w:rsidRPr="00E62798" w:rsidRDefault="00E62798" w:rsidP="00E62798">
      <w:pPr>
        <w:pStyle w:val="EndNoteBibliography"/>
        <w:spacing w:after="0"/>
        <w:ind w:hanging="720"/>
      </w:pPr>
      <w:bookmarkStart w:id="583" w:name="_ENREF_281"/>
      <w:r w:rsidRPr="00E62798">
        <w:t>281</w:t>
      </w:r>
      <w:r w:rsidRPr="00E62798">
        <w:tab/>
        <w:t xml:space="preserve">van Kamp IL, Klumper FJCM, Meerman RH, Oepkes D, Scherjon SA and Kanhai HH (2004). Treatment of fetal anemia due to red-cell alloimmunization with intrauterine transfusions in the Netherlands, 1988-1999, </w:t>
      </w:r>
      <w:r w:rsidRPr="00E62798">
        <w:rPr>
          <w:i/>
        </w:rPr>
        <w:t>Acta Obstetricia et Gynecologica Scandinavica</w:t>
      </w:r>
      <w:r w:rsidRPr="00E62798">
        <w:t xml:space="preserve"> 83(8):731–737. </w:t>
      </w:r>
      <w:hyperlink r:id="rId291" w:history="1">
        <w:r w:rsidRPr="00E62798">
          <w:rPr>
            <w:rStyle w:val="Hyperlink"/>
          </w:rPr>
          <w:t>http://onlinelibrary.wiley.com/doi/10.1111/j.0001-6349.2004.00394.x/abstract</w:t>
        </w:r>
        <w:bookmarkEnd w:id="583"/>
      </w:hyperlink>
    </w:p>
    <w:p w14:paraId="57A91C6F" w14:textId="77777777" w:rsidR="00E62798" w:rsidRPr="00E62798" w:rsidRDefault="00E62798" w:rsidP="00E62798">
      <w:pPr>
        <w:pStyle w:val="EndNoteBibliography"/>
        <w:spacing w:after="0"/>
        <w:ind w:hanging="720"/>
      </w:pPr>
      <w:bookmarkStart w:id="584" w:name="_ENREF_282"/>
      <w:r w:rsidRPr="00E62798">
        <w:t>282</w:t>
      </w:r>
      <w:r w:rsidRPr="00E62798">
        <w:tab/>
        <w:t xml:space="preserve">Somerset DA, Moore A, Whittle MJ, Martin W and Kilby MD (2006). An audit of outcome in intravascular transfusions using the intrahepatic portion of the fetal umbilical vein compared to cordocentesis, </w:t>
      </w:r>
      <w:r w:rsidRPr="00E62798">
        <w:rPr>
          <w:i/>
        </w:rPr>
        <w:t>Fetal Diagnosis and Therapy</w:t>
      </w:r>
      <w:r w:rsidRPr="00E62798">
        <w:t xml:space="preserve"> 21(3):272–276.</w:t>
      </w:r>
      <w:bookmarkEnd w:id="584"/>
    </w:p>
    <w:p w14:paraId="4151D398" w14:textId="10FEB41D" w:rsidR="00E62798" w:rsidRPr="00E62798" w:rsidRDefault="00E62798" w:rsidP="00E62798">
      <w:pPr>
        <w:pStyle w:val="EndNoteBibliography"/>
        <w:spacing w:after="0"/>
        <w:ind w:hanging="720"/>
      </w:pPr>
      <w:bookmarkStart w:id="585" w:name="_ENREF_283"/>
      <w:r w:rsidRPr="00E62798">
        <w:t>283</w:t>
      </w:r>
      <w:r w:rsidRPr="00E62798">
        <w:tab/>
        <w:t xml:space="preserve">Mari G, Deter RL, Carpenter RL, Rahman F, Zimmerman R, Moise KJ, Jr., et al. (2000). Noninvasive diagnosis by Doppler ultrasonography of fetal anemia due to maternal red-cell alloimmunization. Collaborative Group for Doppler Assessment of the Blood Velocity in Anemic Fetuses, </w:t>
      </w:r>
      <w:r w:rsidRPr="00E62798">
        <w:rPr>
          <w:i/>
        </w:rPr>
        <w:t>N Engl J Med</w:t>
      </w:r>
      <w:r w:rsidRPr="00E62798">
        <w:t xml:space="preserve"> 342(1):9–14. </w:t>
      </w:r>
      <w:hyperlink r:id="rId292" w:history="1">
        <w:r w:rsidRPr="00E62798">
          <w:rPr>
            <w:rStyle w:val="Hyperlink"/>
          </w:rPr>
          <w:t>http://www.ncbi.nlm.nih.gov/pubmed/10620643</w:t>
        </w:r>
        <w:bookmarkEnd w:id="585"/>
      </w:hyperlink>
    </w:p>
    <w:p w14:paraId="4DA1E4BB" w14:textId="7138422C" w:rsidR="00E62798" w:rsidRPr="00E62798" w:rsidRDefault="00E62798" w:rsidP="00E62798">
      <w:pPr>
        <w:pStyle w:val="EndNoteBibliography"/>
        <w:spacing w:after="0"/>
        <w:ind w:hanging="720"/>
      </w:pPr>
      <w:bookmarkStart w:id="586" w:name="_ENREF_284"/>
      <w:r w:rsidRPr="00E62798">
        <w:t>284</w:t>
      </w:r>
      <w:r w:rsidRPr="00E62798">
        <w:tab/>
        <w:t xml:space="preserve">Scheier M, Hernandez-Andrade E, Fonseca EB and Nicolaides KH (2006). Prediction of severe fetal anemia in red blood cell alloimmunization after previous intrauterine transfusions, </w:t>
      </w:r>
      <w:r w:rsidRPr="00E62798">
        <w:rPr>
          <w:i/>
        </w:rPr>
        <w:t>Am J Obstet Gynecol</w:t>
      </w:r>
      <w:r w:rsidRPr="00E62798">
        <w:t xml:space="preserve"> 195(6):1550–1556. </w:t>
      </w:r>
      <w:hyperlink r:id="rId293" w:history="1">
        <w:r w:rsidRPr="00E62798">
          <w:rPr>
            <w:rStyle w:val="Hyperlink"/>
          </w:rPr>
          <w:t>http://www.ajog.org/article/S0002-9378(06)00447-9/abstract</w:t>
        </w:r>
        <w:bookmarkEnd w:id="586"/>
      </w:hyperlink>
    </w:p>
    <w:p w14:paraId="75C3B8A0" w14:textId="24F323F0" w:rsidR="00E62798" w:rsidRPr="00E62798" w:rsidRDefault="00E62798" w:rsidP="00E62798">
      <w:pPr>
        <w:pStyle w:val="EndNoteBibliography"/>
        <w:spacing w:after="0"/>
        <w:ind w:hanging="720"/>
      </w:pPr>
      <w:bookmarkStart w:id="587" w:name="_ENREF_285"/>
      <w:r w:rsidRPr="00E62798">
        <w:t>285</w:t>
      </w:r>
      <w:r w:rsidRPr="00E62798">
        <w:tab/>
        <w:t xml:space="preserve">Detti L, Oz U, Guney I, Ferguson JE, Bahado-Singh RO, Mari G, et al. (2001). Doppler ultrasound velocimetry for timing the second intrauterine transfusion in fetuses with anemia from red cell alloimmunization, </w:t>
      </w:r>
      <w:r w:rsidRPr="00E62798">
        <w:rPr>
          <w:i/>
        </w:rPr>
        <w:t>Am J Obstet Gynecol</w:t>
      </w:r>
      <w:r w:rsidRPr="00E62798">
        <w:t xml:space="preserve"> 185(5):1048–1051. </w:t>
      </w:r>
      <w:hyperlink r:id="rId294" w:history="1">
        <w:r w:rsidRPr="00E62798">
          <w:rPr>
            <w:rStyle w:val="Hyperlink"/>
          </w:rPr>
          <w:t>http://www.ncbi.nlm.nih.gov/pubmed/11717631</w:t>
        </w:r>
        <w:bookmarkEnd w:id="587"/>
      </w:hyperlink>
    </w:p>
    <w:p w14:paraId="6D3A7434" w14:textId="7F6E12B2" w:rsidR="00E62798" w:rsidRPr="00E62798" w:rsidRDefault="00E62798" w:rsidP="00E62798">
      <w:pPr>
        <w:pStyle w:val="EndNoteBibliography"/>
        <w:spacing w:after="0"/>
        <w:ind w:hanging="720"/>
      </w:pPr>
      <w:bookmarkStart w:id="588" w:name="_ENREF_286"/>
      <w:r w:rsidRPr="00E62798">
        <w:t>286</w:t>
      </w:r>
      <w:r w:rsidRPr="00E62798">
        <w:tab/>
        <w:t xml:space="preserve">Wong KS, Connan K, Rowlands S, Kornman LH and Savoia HF (2013). Antenatal immunoglobulin for fetal red blood cell alloimmunization, </w:t>
      </w:r>
      <w:r w:rsidRPr="00E62798">
        <w:rPr>
          <w:i/>
        </w:rPr>
        <w:t>Cochrane Database Syst Rev</w:t>
      </w:r>
      <w:r w:rsidRPr="00E62798">
        <w:t xml:space="preserve"> 5:CD008267. </w:t>
      </w:r>
      <w:hyperlink r:id="rId295" w:history="1">
        <w:r w:rsidRPr="00E62798">
          <w:rPr>
            <w:rStyle w:val="Hyperlink"/>
          </w:rPr>
          <w:t>http://www.ncbi.nlm.nih.gov/pubmed/23728672</w:t>
        </w:r>
        <w:bookmarkEnd w:id="588"/>
      </w:hyperlink>
    </w:p>
    <w:p w14:paraId="0BEB7E86" w14:textId="77777777" w:rsidR="00E62798" w:rsidRPr="00E62798" w:rsidRDefault="00E62798" w:rsidP="00E62798">
      <w:pPr>
        <w:pStyle w:val="EndNoteBibliography"/>
        <w:spacing w:after="0"/>
        <w:ind w:hanging="720"/>
      </w:pPr>
      <w:bookmarkStart w:id="589" w:name="_ENREF_287"/>
      <w:r w:rsidRPr="00E62798">
        <w:t>287</w:t>
      </w:r>
      <w:r w:rsidRPr="00E62798">
        <w:tab/>
        <w:t xml:space="preserve">Van Kamp IL, Klumper FJCM, Oepkes D, Meerman RH, Scherjon SA, Vandenbussche FP, et al. (2005). Complications of intrauterine intravascular transfusion for fetal anemia due to maternal red-cell alloimmunization, </w:t>
      </w:r>
      <w:r w:rsidRPr="00E62798">
        <w:rPr>
          <w:i/>
        </w:rPr>
        <w:t>Am J Obstet Gynecol</w:t>
      </w:r>
      <w:r w:rsidRPr="00E62798">
        <w:t xml:space="preserve"> 192(1):171–177.</w:t>
      </w:r>
      <w:bookmarkEnd w:id="589"/>
    </w:p>
    <w:p w14:paraId="50D3B6E9" w14:textId="77777777" w:rsidR="00E62798" w:rsidRPr="00E62798" w:rsidRDefault="00E62798" w:rsidP="00E62798">
      <w:pPr>
        <w:pStyle w:val="EndNoteBibliography"/>
        <w:spacing w:after="0"/>
        <w:ind w:hanging="720"/>
      </w:pPr>
      <w:bookmarkStart w:id="590" w:name="_ENREF_288"/>
      <w:r w:rsidRPr="00E62798">
        <w:t>288</w:t>
      </w:r>
      <w:r w:rsidRPr="00E62798">
        <w:tab/>
        <w:t xml:space="preserve">Canlorbe G, Mace G, Cortey A, Cynober E, Castaigne V, Larsen M, et al. (2011). Management of very early fetal anemia resulting from red-cell alloimmunization before 20 weeks of gestation, </w:t>
      </w:r>
      <w:r w:rsidRPr="00E62798">
        <w:rPr>
          <w:i/>
        </w:rPr>
        <w:t>Obstetrics and Gynecology</w:t>
      </w:r>
      <w:r w:rsidRPr="00E62798">
        <w:t xml:space="preserve"> 118(6):1323–1329.</w:t>
      </w:r>
      <w:bookmarkEnd w:id="590"/>
    </w:p>
    <w:p w14:paraId="20CD1E4F" w14:textId="3FD76861" w:rsidR="00E62798" w:rsidRPr="00E62798" w:rsidRDefault="00E62798" w:rsidP="00E62798">
      <w:pPr>
        <w:pStyle w:val="EndNoteBibliography"/>
        <w:spacing w:after="0"/>
        <w:ind w:hanging="720"/>
      </w:pPr>
      <w:bookmarkStart w:id="591" w:name="_ENREF_289"/>
      <w:r w:rsidRPr="00E62798">
        <w:t>289</w:t>
      </w:r>
      <w:r w:rsidRPr="00E62798">
        <w:tab/>
        <w:t xml:space="preserve">Bateman ST, Lacroix J, Boven K, Forbes P, Barton R, Thomas NJ, et al. (2008). Anemia, blood loss, and blood transfusions in North American children in the intensive care unit, </w:t>
      </w:r>
      <w:r w:rsidRPr="00E62798">
        <w:rPr>
          <w:i/>
        </w:rPr>
        <w:t>Am J Respir Crit Care Med</w:t>
      </w:r>
      <w:r w:rsidRPr="00E62798">
        <w:t xml:space="preserve"> 178(1):26–33. </w:t>
      </w:r>
      <w:hyperlink r:id="rId296" w:history="1">
        <w:r w:rsidRPr="00E62798">
          <w:rPr>
            <w:rStyle w:val="Hyperlink"/>
          </w:rPr>
          <w:t>http://www.ncbi.nlm.nih.gov/pubmed/18420962</w:t>
        </w:r>
        <w:bookmarkEnd w:id="591"/>
      </w:hyperlink>
    </w:p>
    <w:p w14:paraId="08FC468F" w14:textId="1D2EAE99" w:rsidR="00E62798" w:rsidRPr="00E62798" w:rsidRDefault="00E62798" w:rsidP="00E62798">
      <w:pPr>
        <w:pStyle w:val="EndNoteBibliography"/>
        <w:spacing w:after="0"/>
        <w:ind w:hanging="720"/>
      </w:pPr>
      <w:bookmarkStart w:id="592" w:name="_ENREF_290"/>
      <w:r w:rsidRPr="00E62798">
        <w:t>290</w:t>
      </w:r>
      <w:r w:rsidRPr="00E62798">
        <w:tab/>
        <w:t xml:space="preserve">Bednarek FJ, Weisberger S, Richardson DK, Frantz ID, 3rd, Shah B and Rubin LP (1998). Variations in blood transfusions among newborn intensive care units. SNAP II Study Group, </w:t>
      </w:r>
      <w:r w:rsidRPr="00E62798">
        <w:rPr>
          <w:i/>
        </w:rPr>
        <w:t>J Pediatr</w:t>
      </w:r>
      <w:r w:rsidRPr="00E62798">
        <w:t xml:space="preserve"> 133(5):601–607. </w:t>
      </w:r>
      <w:hyperlink r:id="rId297" w:history="1">
        <w:r w:rsidRPr="00E62798">
          <w:rPr>
            <w:rStyle w:val="Hyperlink"/>
          </w:rPr>
          <w:t>http://www.ncbi.nlm.nih.gov/pubmed/9821414</w:t>
        </w:r>
        <w:bookmarkEnd w:id="592"/>
      </w:hyperlink>
    </w:p>
    <w:p w14:paraId="2811E021" w14:textId="742AC6C2" w:rsidR="00E62798" w:rsidRPr="00E62798" w:rsidRDefault="00E62798" w:rsidP="00E62798">
      <w:pPr>
        <w:pStyle w:val="EndNoteBibliography"/>
        <w:spacing w:after="0"/>
        <w:ind w:hanging="720"/>
      </w:pPr>
      <w:bookmarkStart w:id="593" w:name="_ENREF_291"/>
      <w:r w:rsidRPr="00E62798">
        <w:t>291</w:t>
      </w:r>
      <w:r w:rsidRPr="00E62798">
        <w:tab/>
        <w:t xml:space="preserve">Valentine SL and Bateman ST (2012). Identifying factors to minimize phlebotomy-induced blood loss in the pediatric intensive care unit, </w:t>
      </w:r>
      <w:r w:rsidRPr="00E62798">
        <w:rPr>
          <w:i/>
        </w:rPr>
        <w:t>Pediatr Crit Care Med</w:t>
      </w:r>
      <w:r w:rsidRPr="00E62798">
        <w:t xml:space="preserve"> 13(1):22–27. </w:t>
      </w:r>
      <w:hyperlink r:id="rId298" w:history="1">
        <w:r w:rsidRPr="00E62798">
          <w:rPr>
            <w:rStyle w:val="Hyperlink"/>
          </w:rPr>
          <w:t>http://www.ncbi.nlm.nih.gov/pubmed/21499175</w:t>
        </w:r>
        <w:bookmarkEnd w:id="593"/>
      </w:hyperlink>
    </w:p>
    <w:p w14:paraId="024C91A3" w14:textId="06D3FF21" w:rsidR="00E62798" w:rsidRPr="00E62798" w:rsidRDefault="00E62798" w:rsidP="00E62798">
      <w:pPr>
        <w:pStyle w:val="EndNoteBibliography"/>
        <w:spacing w:after="0"/>
        <w:ind w:hanging="720"/>
      </w:pPr>
      <w:bookmarkStart w:id="594" w:name="_ENREF_292"/>
      <w:r w:rsidRPr="00E62798">
        <w:t>292</w:t>
      </w:r>
      <w:r w:rsidRPr="00E62798">
        <w:tab/>
        <w:t xml:space="preserve">Lin JC, Strauss RG, Kulhavy JC, Johnson KJ, Zimmerman MB, Cress GA, et al. (2000). Phlebotomy overdraw in the neonatal intensive care nursery, </w:t>
      </w:r>
      <w:r w:rsidRPr="00E62798">
        <w:rPr>
          <w:i/>
        </w:rPr>
        <w:t>Pediatrics</w:t>
      </w:r>
      <w:r w:rsidRPr="00E62798">
        <w:t xml:space="preserve"> 106(2):E19. </w:t>
      </w:r>
      <w:hyperlink r:id="rId299" w:history="1">
        <w:r w:rsidRPr="00E62798">
          <w:rPr>
            <w:rStyle w:val="Hyperlink"/>
          </w:rPr>
          <w:t>http://www.ncbi.nlm.nih.gov/pubmed/10920175</w:t>
        </w:r>
        <w:bookmarkEnd w:id="594"/>
      </w:hyperlink>
    </w:p>
    <w:p w14:paraId="146FB860" w14:textId="4DCC9935" w:rsidR="00E62798" w:rsidRPr="00E62798" w:rsidRDefault="00E62798" w:rsidP="00E62798">
      <w:pPr>
        <w:pStyle w:val="EndNoteBibliography"/>
        <w:spacing w:after="0"/>
        <w:ind w:hanging="720"/>
      </w:pPr>
      <w:bookmarkStart w:id="595" w:name="_ENREF_293"/>
      <w:r w:rsidRPr="00E62798">
        <w:t>293</w:t>
      </w:r>
      <w:r w:rsidRPr="00E62798">
        <w:tab/>
        <w:t xml:space="preserve">Raju TN, Stevenson DK, Higgins RD and Stark AR (2009). Safe and effective devices and instruments for use in the neonatal intensive care units: NICHD Workshop summary, </w:t>
      </w:r>
      <w:r w:rsidRPr="00E62798">
        <w:rPr>
          <w:i/>
        </w:rPr>
        <w:t>Biomed Instrum Technol</w:t>
      </w:r>
      <w:r w:rsidRPr="00E62798">
        <w:t xml:space="preserve"> 43(5):408–418. </w:t>
      </w:r>
      <w:hyperlink r:id="rId300" w:history="1">
        <w:r w:rsidRPr="00E62798">
          <w:rPr>
            <w:rStyle w:val="Hyperlink"/>
          </w:rPr>
          <w:t>http://www.ncbi.nlm.nih.gov/pubmed/19842778</w:t>
        </w:r>
        <w:bookmarkEnd w:id="595"/>
      </w:hyperlink>
    </w:p>
    <w:p w14:paraId="7214F374" w14:textId="0B8DFE02" w:rsidR="00E62798" w:rsidRPr="00E62798" w:rsidRDefault="00E62798" w:rsidP="00E62798">
      <w:pPr>
        <w:pStyle w:val="EndNoteBibliography"/>
        <w:spacing w:after="0"/>
        <w:ind w:hanging="720"/>
      </w:pPr>
      <w:bookmarkStart w:id="596" w:name="_ENREF_294"/>
      <w:r w:rsidRPr="00E62798">
        <w:t>294</w:t>
      </w:r>
      <w:r w:rsidRPr="00E62798">
        <w:tab/>
        <w:t xml:space="preserve">Obladen M, Sachsenweger M and Stahnke M (1988). Blood sampling in very low birth weight infants receiving different levels of intensive care, </w:t>
      </w:r>
      <w:r w:rsidRPr="00E62798">
        <w:rPr>
          <w:i/>
        </w:rPr>
        <w:t>Eur J Pediatr</w:t>
      </w:r>
      <w:r w:rsidRPr="00E62798">
        <w:t xml:space="preserve"> 147(4):399–404. </w:t>
      </w:r>
      <w:hyperlink r:id="rId301" w:history="1">
        <w:r w:rsidRPr="00E62798">
          <w:rPr>
            <w:rStyle w:val="Hyperlink"/>
          </w:rPr>
          <w:t>http://www.ncbi.nlm.nih.gov/pubmed/3396595</w:t>
        </w:r>
        <w:bookmarkEnd w:id="596"/>
      </w:hyperlink>
    </w:p>
    <w:p w14:paraId="4A4DB78C" w14:textId="75480C82" w:rsidR="00E62798" w:rsidRPr="00E62798" w:rsidRDefault="00E62798" w:rsidP="00E62798">
      <w:pPr>
        <w:pStyle w:val="EndNoteBibliography"/>
        <w:spacing w:after="0"/>
        <w:ind w:hanging="720"/>
      </w:pPr>
      <w:bookmarkStart w:id="597" w:name="_ENREF_295"/>
      <w:r w:rsidRPr="00E62798">
        <w:t>295</w:t>
      </w:r>
      <w:r w:rsidRPr="00E62798">
        <w:tab/>
        <w:t xml:space="preserve">Barie PS and Hydo LJ (1997). Lessons learned: durability and progress of a program for ancillary cost reduction in surgical critical care, </w:t>
      </w:r>
      <w:r w:rsidRPr="00E62798">
        <w:rPr>
          <w:i/>
        </w:rPr>
        <w:t>J Trauma</w:t>
      </w:r>
      <w:r w:rsidRPr="00E62798">
        <w:t xml:space="preserve"> 43(4):590-594; discussion 594-596. </w:t>
      </w:r>
      <w:hyperlink r:id="rId302" w:history="1">
        <w:r w:rsidRPr="00E62798">
          <w:rPr>
            <w:rStyle w:val="Hyperlink"/>
          </w:rPr>
          <w:t>http://www.ncbi.nlm.nih.gov/pubmed/9356053</w:t>
        </w:r>
        <w:bookmarkEnd w:id="597"/>
      </w:hyperlink>
    </w:p>
    <w:p w14:paraId="22486DD6" w14:textId="4F9BCCF6" w:rsidR="00E62798" w:rsidRPr="00E62798" w:rsidRDefault="00E62798" w:rsidP="00E62798">
      <w:pPr>
        <w:pStyle w:val="EndNoteBibliography"/>
        <w:spacing w:after="0"/>
        <w:ind w:hanging="720"/>
      </w:pPr>
      <w:bookmarkStart w:id="598" w:name="_ENREF_296"/>
      <w:r w:rsidRPr="00E62798">
        <w:t>296</w:t>
      </w:r>
      <w:r w:rsidRPr="00E62798">
        <w:tab/>
        <w:t xml:space="preserve">Roberts DE, Bell DD, Ostryzniuk T, Dobson K, Oppenheimer L, Martens D, et al. (1993). Eliminating needless testing in intensive care--an information-based team management approach, </w:t>
      </w:r>
      <w:r w:rsidRPr="00E62798">
        <w:rPr>
          <w:i/>
        </w:rPr>
        <w:t>Crit Care Med</w:t>
      </w:r>
      <w:r w:rsidRPr="00E62798">
        <w:t xml:space="preserve"> 21(10):1452-1458. </w:t>
      </w:r>
      <w:hyperlink r:id="rId303" w:history="1">
        <w:r w:rsidRPr="00E62798">
          <w:rPr>
            <w:rStyle w:val="Hyperlink"/>
          </w:rPr>
          <w:t>http://www.ncbi.nlm.nih.gov/pubmed/8403952</w:t>
        </w:r>
        <w:bookmarkEnd w:id="598"/>
      </w:hyperlink>
    </w:p>
    <w:p w14:paraId="0B1011ED" w14:textId="76C66A09" w:rsidR="00E62798" w:rsidRPr="00E62798" w:rsidRDefault="00E62798" w:rsidP="00E62798">
      <w:pPr>
        <w:pStyle w:val="EndNoteBibliography"/>
        <w:spacing w:after="0"/>
        <w:ind w:hanging="720"/>
      </w:pPr>
      <w:bookmarkStart w:id="599" w:name="_ENREF_297"/>
      <w:r w:rsidRPr="00E62798">
        <w:t>297</w:t>
      </w:r>
      <w:r w:rsidRPr="00E62798">
        <w:tab/>
        <w:t xml:space="preserve">Prat G, Lefevre M, Nowak E, Tonnelier JM, Renault A, L'Her E, et al. (2009). Impact of clinical guidelines to improve appropriateness of laboratory tests and chest radiographs, </w:t>
      </w:r>
      <w:r w:rsidRPr="00E62798">
        <w:rPr>
          <w:i/>
        </w:rPr>
        <w:t>Intensive Care Med</w:t>
      </w:r>
      <w:r w:rsidRPr="00E62798">
        <w:t xml:space="preserve"> 35(6):1047-1053. </w:t>
      </w:r>
      <w:hyperlink r:id="rId304" w:history="1">
        <w:r w:rsidRPr="00E62798">
          <w:rPr>
            <w:rStyle w:val="Hyperlink"/>
          </w:rPr>
          <w:t>http://www.ncbi.nlm.nih.gov/pubmed/19221715</w:t>
        </w:r>
        <w:bookmarkEnd w:id="599"/>
      </w:hyperlink>
    </w:p>
    <w:p w14:paraId="5EACCD91" w14:textId="48679DE7" w:rsidR="00E62798" w:rsidRPr="00E62798" w:rsidRDefault="00E62798" w:rsidP="00E62798">
      <w:pPr>
        <w:pStyle w:val="EndNoteBibliography"/>
        <w:spacing w:after="0"/>
        <w:ind w:hanging="720"/>
      </w:pPr>
      <w:bookmarkStart w:id="600" w:name="_ENREF_298"/>
      <w:r w:rsidRPr="00E62798">
        <w:t>298</w:t>
      </w:r>
      <w:r w:rsidRPr="00E62798">
        <w:tab/>
        <w:t xml:space="preserve">Carroll PD and Widness JA (2012). Nonpharmacological, blood conservation techniques for preventing neonatal anemia--effective and promising strategies for reducing transfusion, </w:t>
      </w:r>
      <w:r w:rsidRPr="00E62798">
        <w:rPr>
          <w:i/>
        </w:rPr>
        <w:t>Semin Perinatol</w:t>
      </w:r>
      <w:r w:rsidRPr="00E62798">
        <w:t xml:space="preserve"> 36(4):232-243. </w:t>
      </w:r>
      <w:hyperlink r:id="rId305" w:history="1">
        <w:r w:rsidRPr="00E62798">
          <w:rPr>
            <w:rStyle w:val="Hyperlink"/>
          </w:rPr>
          <w:t>http://www.ncbi.nlm.nih.gov/pubmed/22818543</w:t>
        </w:r>
        <w:bookmarkEnd w:id="600"/>
      </w:hyperlink>
    </w:p>
    <w:p w14:paraId="1F3AB83A" w14:textId="317F88F6" w:rsidR="00E62798" w:rsidRPr="00E62798" w:rsidRDefault="00E62798" w:rsidP="00E62798">
      <w:pPr>
        <w:pStyle w:val="EndNoteBibliography"/>
        <w:spacing w:after="0"/>
        <w:ind w:hanging="720"/>
      </w:pPr>
      <w:bookmarkStart w:id="601" w:name="_ENREF_299"/>
      <w:r w:rsidRPr="00E62798">
        <w:t>299</w:t>
      </w:r>
      <w:r w:rsidRPr="00E62798">
        <w:tab/>
        <w:t xml:space="preserve">McEvoy MT and Shander A (2013). Anemia, bleeding, and blood transfusion in the intensive care unit: causes, risks, costs, and new strategies, </w:t>
      </w:r>
      <w:r w:rsidRPr="00E62798">
        <w:rPr>
          <w:i/>
        </w:rPr>
        <w:t>Am J Crit Care</w:t>
      </w:r>
      <w:r w:rsidRPr="00E62798">
        <w:t xml:space="preserve"> 22(6 Suppl):eS1-13; quiz eS14. </w:t>
      </w:r>
      <w:hyperlink r:id="rId306" w:history="1">
        <w:r w:rsidRPr="00E62798">
          <w:rPr>
            <w:rStyle w:val="Hyperlink"/>
          </w:rPr>
          <w:t>http://www.ncbi.nlm.nih.gov/pubmed/24186829</w:t>
        </w:r>
        <w:bookmarkEnd w:id="601"/>
      </w:hyperlink>
    </w:p>
    <w:p w14:paraId="173AE710" w14:textId="04B3EF1E" w:rsidR="00E62798" w:rsidRPr="00E62798" w:rsidRDefault="00E62798" w:rsidP="00E62798">
      <w:pPr>
        <w:pStyle w:val="EndNoteBibliography"/>
        <w:spacing w:after="0"/>
        <w:ind w:hanging="720"/>
      </w:pPr>
      <w:bookmarkStart w:id="602" w:name="_ENREF_300"/>
      <w:r w:rsidRPr="00E62798">
        <w:t>300</w:t>
      </w:r>
      <w:r w:rsidRPr="00E62798">
        <w:tab/>
        <w:t xml:space="preserve">Christensen RD, Carroll PD and Josephson CD (2014). Evidence-based advances in transfusion practice in neonatal intensive care units, </w:t>
      </w:r>
      <w:r w:rsidRPr="00E62798">
        <w:rPr>
          <w:i/>
        </w:rPr>
        <w:t>Neonatology</w:t>
      </w:r>
      <w:r w:rsidRPr="00E62798">
        <w:t xml:space="preserve"> 106(3):245-253. </w:t>
      </w:r>
      <w:hyperlink r:id="rId307" w:history="1">
        <w:r w:rsidRPr="00E62798">
          <w:rPr>
            <w:rStyle w:val="Hyperlink"/>
          </w:rPr>
          <w:t>http://www.ncbi.nlm.nih.gov/pubmed/25300949</w:t>
        </w:r>
        <w:bookmarkEnd w:id="602"/>
      </w:hyperlink>
    </w:p>
    <w:p w14:paraId="032D5D32" w14:textId="1F94163A" w:rsidR="00E62798" w:rsidRPr="00E62798" w:rsidRDefault="00E62798" w:rsidP="00E62798">
      <w:pPr>
        <w:pStyle w:val="EndNoteBibliography"/>
        <w:spacing w:after="0"/>
        <w:ind w:hanging="720"/>
      </w:pPr>
      <w:bookmarkStart w:id="603" w:name="_ENREF_301"/>
      <w:r w:rsidRPr="00E62798">
        <w:t>301</w:t>
      </w:r>
      <w:r w:rsidRPr="00E62798">
        <w:tab/>
        <w:t xml:space="preserve">Bishara N and Ohls RK (2009). Current controversies in the management of the anemia of prematurity, </w:t>
      </w:r>
      <w:r w:rsidRPr="00E62798">
        <w:rPr>
          <w:i/>
        </w:rPr>
        <w:t>Semin Perinatol</w:t>
      </w:r>
      <w:r w:rsidRPr="00E62798">
        <w:t xml:space="preserve"> 33(1):29-34. </w:t>
      </w:r>
      <w:hyperlink r:id="rId308" w:history="1">
        <w:r w:rsidRPr="00E62798">
          <w:rPr>
            <w:rStyle w:val="Hyperlink"/>
          </w:rPr>
          <w:t>http://www.ncbi.nlm.nih.gov/pubmed/19167579</w:t>
        </w:r>
        <w:bookmarkEnd w:id="603"/>
      </w:hyperlink>
    </w:p>
    <w:p w14:paraId="02141EAF" w14:textId="313E860E" w:rsidR="00E62798" w:rsidRPr="00E62798" w:rsidRDefault="00E62798" w:rsidP="00E62798">
      <w:pPr>
        <w:pStyle w:val="EndNoteBibliography"/>
        <w:spacing w:after="0"/>
        <w:ind w:hanging="720"/>
      </w:pPr>
      <w:bookmarkStart w:id="604" w:name="_ENREF_302"/>
      <w:r w:rsidRPr="00E62798">
        <w:t>302</w:t>
      </w:r>
      <w:r w:rsidRPr="00E62798">
        <w:tab/>
        <w:t xml:space="preserve">Shander A and Goodnough LT (2006). Objectives and limitations of bloodless medical care, </w:t>
      </w:r>
      <w:r w:rsidRPr="00E62798">
        <w:rPr>
          <w:i/>
        </w:rPr>
        <w:t>Curr Opin Hematol</w:t>
      </w:r>
      <w:r w:rsidRPr="00E62798">
        <w:t xml:space="preserve"> 13(6):462-470. </w:t>
      </w:r>
      <w:hyperlink r:id="rId309" w:history="1">
        <w:r w:rsidRPr="00E62798">
          <w:rPr>
            <w:rStyle w:val="Hyperlink"/>
          </w:rPr>
          <w:t>http://www.ncbi.nlm.nih.gov/pubmed/17053460</w:t>
        </w:r>
        <w:bookmarkEnd w:id="604"/>
      </w:hyperlink>
    </w:p>
    <w:p w14:paraId="4E76DBF2" w14:textId="63EC1789" w:rsidR="00E62798" w:rsidRPr="00E62798" w:rsidRDefault="00E62798" w:rsidP="00E62798">
      <w:pPr>
        <w:pStyle w:val="EndNoteBibliography"/>
        <w:spacing w:after="0"/>
        <w:ind w:hanging="720"/>
      </w:pPr>
      <w:bookmarkStart w:id="605" w:name="_ENREF_303"/>
      <w:r w:rsidRPr="00E62798">
        <w:t>303</w:t>
      </w:r>
      <w:r w:rsidRPr="00E62798">
        <w:tab/>
        <w:t xml:space="preserve">Weiss M, Fischer J, Boeckmann M, Rohrer B and Baenziger O (2001). Evaluation of a simple method for minimizing iatrogenic blood loss from discard volumes in critically ill newborns and children, </w:t>
      </w:r>
      <w:r w:rsidRPr="00E62798">
        <w:rPr>
          <w:i/>
        </w:rPr>
        <w:t>Intensive Care Med</w:t>
      </w:r>
      <w:r w:rsidRPr="00E62798">
        <w:t xml:space="preserve"> 27(6):1064–1072. </w:t>
      </w:r>
      <w:hyperlink r:id="rId310" w:history="1">
        <w:r w:rsidRPr="00E62798">
          <w:rPr>
            <w:rStyle w:val="Hyperlink"/>
          </w:rPr>
          <w:t>http://www.ncbi.nlm.nih.gov/pubmed/11497140</w:t>
        </w:r>
        <w:bookmarkEnd w:id="605"/>
      </w:hyperlink>
    </w:p>
    <w:p w14:paraId="097235B5" w14:textId="395F7A69" w:rsidR="00E62798" w:rsidRPr="00E62798" w:rsidRDefault="00E62798" w:rsidP="00E62798">
      <w:pPr>
        <w:pStyle w:val="EndNoteBibliography"/>
        <w:spacing w:after="0"/>
        <w:ind w:hanging="720"/>
      </w:pPr>
      <w:bookmarkStart w:id="606" w:name="_ENREF_304"/>
      <w:r w:rsidRPr="00E62798">
        <w:t>304</w:t>
      </w:r>
      <w:r w:rsidRPr="00E62798">
        <w:tab/>
        <w:t xml:space="preserve">Page C, Retter A and Wyncoll D (2013). Blood conservation devices in critical care: a narrative review, </w:t>
      </w:r>
      <w:r w:rsidRPr="00E62798">
        <w:rPr>
          <w:i/>
        </w:rPr>
        <w:t>Ann Intensive Care</w:t>
      </w:r>
      <w:r w:rsidRPr="00E62798">
        <w:t xml:space="preserve"> 3:14. </w:t>
      </w:r>
      <w:hyperlink r:id="rId311" w:history="1">
        <w:r w:rsidRPr="00E62798">
          <w:rPr>
            <w:rStyle w:val="Hyperlink"/>
          </w:rPr>
          <w:t>http://www.ncbi.nlm.nih.gov/pubmed/23714376</w:t>
        </w:r>
        <w:bookmarkEnd w:id="606"/>
      </w:hyperlink>
    </w:p>
    <w:p w14:paraId="472DB74A" w14:textId="4C630C7A" w:rsidR="00E62798" w:rsidRPr="00E62798" w:rsidRDefault="00E62798" w:rsidP="00E62798">
      <w:pPr>
        <w:pStyle w:val="EndNoteBibliography"/>
        <w:spacing w:after="0"/>
        <w:ind w:hanging="720"/>
      </w:pPr>
      <w:bookmarkStart w:id="607" w:name="_ENREF_305"/>
      <w:r w:rsidRPr="00E62798">
        <w:t>305</w:t>
      </w:r>
      <w:r w:rsidRPr="00E62798">
        <w:tab/>
        <w:t xml:space="preserve">Tang M, Feng M, Chen L, Zhang J, Ji P and Luo S (2014). Closed blood conservation device for reducing catheter-related infections in children after cardiac surgery, </w:t>
      </w:r>
      <w:r w:rsidRPr="00E62798">
        <w:rPr>
          <w:i/>
        </w:rPr>
        <w:t>Crit Care Nurse</w:t>
      </w:r>
      <w:r w:rsidRPr="00E62798">
        <w:t xml:space="preserve"> 34(5):53–60; quiz 61. </w:t>
      </w:r>
      <w:hyperlink r:id="rId312" w:history="1">
        <w:r w:rsidRPr="00E62798">
          <w:rPr>
            <w:rStyle w:val="Hyperlink"/>
          </w:rPr>
          <w:t>http://www.ncbi.nlm.nih.gov/pubmed/25274764</w:t>
        </w:r>
        <w:bookmarkEnd w:id="607"/>
      </w:hyperlink>
    </w:p>
    <w:p w14:paraId="1C8FADFD" w14:textId="6E96F927" w:rsidR="00E62798" w:rsidRPr="00E62798" w:rsidRDefault="00E62798" w:rsidP="00E62798">
      <w:pPr>
        <w:pStyle w:val="EndNoteBibliography"/>
        <w:spacing w:after="0"/>
        <w:ind w:hanging="720"/>
      </w:pPr>
      <w:bookmarkStart w:id="608" w:name="_ENREF_306"/>
      <w:r w:rsidRPr="00E62798">
        <w:t>306</w:t>
      </w:r>
      <w:r w:rsidRPr="00E62798">
        <w:tab/>
        <w:t xml:space="preserve">Billman GF, Hughes AB, Dudell GG, Waldman E, Adcock LM, Hall DM, et al. (2002). Clinical performance of an in-line, ex vivo point-of-care monitor: a multicenter study, </w:t>
      </w:r>
      <w:r w:rsidRPr="00E62798">
        <w:rPr>
          <w:i/>
        </w:rPr>
        <w:t>Clin Chem</w:t>
      </w:r>
      <w:r w:rsidRPr="00E62798">
        <w:t xml:space="preserve"> 48(11):2030–2043. </w:t>
      </w:r>
      <w:hyperlink r:id="rId313" w:history="1">
        <w:r w:rsidRPr="00E62798">
          <w:rPr>
            <w:rStyle w:val="Hyperlink"/>
          </w:rPr>
          <w:t>http://www.ncbi.nlm.nih.gov/pubmed/12406990</w:t>
        </w:r>
        <w:bookmarkEnd w:id="608"/>
      </w:hyperlink>
    </w:p>
    <w:p w14:paraId="7A6819DD" w14:textId="3CFECBE2" w:rsidR="00E62798" w:rsidRPr="00E62798" w:rsidRDefault="00E62798" w:rsidP="00E62798">
      <w:pPr>
        <w:pStyle w:val="EndNoteBibliography"/>
        <w:spacing w:after="0"/>
        <w:ind w:hanging="720"/>
      </w:pPr>
      <w:bookmarkStart w:id="609" w:name="_ENREF_307"/>
      <w:r w:rsidRPr="00E62798">
        <w:t>307</w:t>
      </w:r>
      <w:r w:rsidRPr="00E62798">
        <w:tab/>
        <w:t xml:space="preserve">Widness JA, Madan A, Grindeanu LA, Zimmerman MB, Wong DK and Stevenson DK (2005). Reduction in red blood cell transfusions among preterm infants: results of a randomized trial with an in-line blood gas and chemistry monitor, </w:t>
      </w:r>
      <w:r w:rsidRPr="00E62798">
        <w:rPr>
          <w:i/>
        </w:rPr>
        <w:t>Pediatrics</w:t>
      </w:r>
      <w:r w:rsidRPr="00E62798">
        <w:t xml:space="preserve"> 115(5):1299–1306. </w:t>
      </w:r>
      <w:hyperlink r:id="rId314" w:history="1">
        <w:r w:rsidRPr="00E62798">
          <w:rPr>
            <w:rStyle w:val="Hyperlink"/>
          </w:rPr>
          <w:t>http://www.ncbi.nlm.nih.gov/pubmed/15867038</w:t>
        </w:r>
        <w:bookmarkEnd w:id="609"/>
      </w:hyperlink>
    </w:p>
    <w:p w14:paraId="27555936" w14:textId="10005BB4" w:rsidR="00E62798" w:rsidRPr="00E62798" w:rsidRDefault="00E62798" w:rsidP="00E62798">
      <w:pPr>
        <w:pStyle w:val="EndNoteBibliography"/>
        <w:spacing w:after="0"/>
        <w:ind w:hanging="720"/>
      </w:pPr>
      <w:bookmarkStart w:id="610" w:name="_ENREF_308"/>
      <w:r w:rsidRPr="00E62798">
        <w:t>308</w:t>
      </w:r>
      <w:r w:rsidRPr="00E62798">
        <w:tab/>
        <w:t xml:space="preserve">Australian Red Cross Blood Service (2012). </w:t>
      </w:r>
      <w:r w:rsidRPr="00E62798">
        <w:rPr>
          <w:i/>
        </w:rPr>
        <w:t>Blood component information: circular of information</w:t>
      </w:r>
      <w:r w:rsidRPr="00E62798">
        <w:t xml:space="preserve">. </w:t>
      </w:r>
      <w:hyperlink r:id="rId315" w:history="1">
        <w:r w:rsidRPr="00E62798">
          <w:rPr>
            <w:rStyle w:val="Hyperlink"/>
          </w:rPr>
          <w:t>http://resources.transfusion.com.au/cdm/ref/collection/p16691coll1/id/135</w:t>
        </w:r>
        <w:bookmarkEnd w:id="610"/>
      </w:hyperlink>
    </w:p>
    <w:p w14:paraId="2136BD7B" w14:textId="0AD554B2" w:rsidR="00E62798" w:rsidRPr="00E62798" w:rsidRDefault="00E62798" w:rsidP="00E62798">
      <w:pPr>
        <w:pStyle w:val="EndNoteBibliography"/>
        <w:spacing w:after="0"/>
        <w:ind w:hanging="720"/>
      </w:pPr>
      <w:bookmarkStart w:id="611" w:name="_ENREF_309"/>
      <w:r w:rsidRPr="00E62798">
        <w:t>309</w:t>
      </w:r>
      <w:r w:rsidRPr="00E62798">
        <w:tab/>
        <w:t xml:space="preserve">CSL Limited (Bioplasma Division) </w:t>
      </w:r>
      <w:r w:rsidRPr="00E62798">
        <w:rPr>
          <w:i/>
        </w:rPr>
        <w:t>Prothrombinex-VF product information</w:t>
      </w:r>
      <w:r w:rsidRPr="00E62798">
        <w:t xml:space="preserve">. </w:t>
      </w:r>
      <w:hyperlink r:id="rId316" w:history="1">
        <w:r w:rsidRPr="00E62798">
          <w:rPr>
            <w:rStyle w:val="Hyperlink"/>
          </w:rPr>
          <w:t>http://www.csl.com.au/productfinder/prothrombinexau</w:t>
        </w:r>
        <w:bookmarkEnd w:id="611"/>
      </w:hyperlink>
    </w:p>
    <w:p w14:paraId="239604C5" w14:textId="5C8D5187" w:rsidR="00E62798" w:rsidRPr="00E62798" w:rsidRDefault="00E62798" w:rsidP="00E62798">
      <w:pPr>
        <w:pStyle w:val="EndNoteBibliography"/>
        <w:spacing w:after="0"/>
        <w:ind w:hanging="720"/>
      </w:pPr>
      <w:bookmarkStart w:id="612" w:name="_ENREF_310"/>
      <w:r w:rsidRPr="00E62798">
        <w:t>310</w:t>
      </w:r>
      <w:r w:rsidRPr="00E62798">
        <w:tab/>
        <w:t xml:space="preserve">Sarode R, Milling TJ, Refaai MA, Mangione A, Schneider A, Durn BL, et al. (2013). Efficacy and safety of a 4-factor prothrombin complex concentrate in patients on vitamin K antagonists presenting with major bleeding: a randomized, plasma-controlled, phase IIIb study, </w:t>
      </w:r>
      <w:r w:rsidRPr="00E62798">
        <w:rPr>
          <w:i/>
        </w:rPr>
        <w:t>Circulation</w:t>
      </w:r>
      <w:r w:rsidRPr="00E62798">
        <w:t xml:space="preserve"> 128(11):1234–1243. </w:t>
      </w:r>
      <w:hyperlink r:id="rId317" w:history="1">
        <w:r w:rsidRPr="00E62798">
          <w:rPr>
            <w:rStyle w:val="Hyperlink"/>
          </w:rPr>
          <w:t>http://circ.ahajournals.org/content/128/11/1234.full.pdf</w:t>
        </w:r>
        <w:bookmarkEnd w:id="612"/>
      </w:hyperlink>
    </w:p>
    <w:p w14:paraId="506EA2FF" w14:textId="67482D8E" w:rsidR="00E62798" w:rsidRPr="00E62798" w:rsidRDefault="00E62798" w:rsidP="00E62798">
      <w:pPr>
        <w:pStyle w:val="EndNoteBibliography"/>
        <w:spacing w:after="0"/>
        <w:ind w:hanging="720"/>
      </w:pPr>
      <w:bookmarkStart w:id="613" w:name="_ENREF_311"/>
      <w:r w:rsidRPr="00E62798">
        <w:t>311</w:t>
      </w:r>
      <w:r w:rsidRPr="00E62798">
        <w:tab/>
        <w:t xml:space="preserve">Voils SA and Baird B (2012). Systematic review: 3-factor versus 4-factor prothrombin complex concentrate for warfarin reversal: does it matter?, </w:t>
      </w:r>
      <w:r w:rsidRPr="00E62798">
        <w:rPr>
          <w:i/>
        </w:rPr>
        <w:t>Thrombosis Research</w:t>
      </w:r>
      <w:r w:rsidRPr="00E62798">
        <w:t xml:space="preserve"> 130(6):833–840. </w:t>
      </w:r>
      <w:hyperlink r:id="rId318" w:history="1">
        <w:r w:rsidRPr="00E62798">
          <w:rPr>
            <w:rStyle w:val="Hyperlink"/>
          </w:rPr>
          <w:t>http://www.thrombosisresearch.com/article/S0049-3848(12)00759-1/abstract</w:t>
        </w:r>
        <w:bookmarkEnd w:id="613"/>
      </w:hyperlink>
    </w:p>
    <w:p w14:paraId="1D8A64DB" w14:textId="52E26D2C" w:rsidR="00E62798" w:rsidRPr="00E62798" w:rsidRDefault="00E62798" w:rsidP="00E62798">
      <w:pPr>
        <w:pStyle w:val="EndNoteBibliography"/>
        <w:spacing w:after="0"/>
        <w:ind w:hanging="720"/>
      </w:pPr>
      <w:bookmarkStart w:id="614" w:name="_ENREF_312"/>
      <w:r w:rsidRPr="00E62798">
        <w:t>312</w:t>
      </w:r>
      <w:r w:rsidRPr="00E62798">
        <w:tab/>
        <w:t xml:space="preserve">Demeyere R, Gillardin S, Arnout J and Strengers PF (2010). Comparison of fresh frozen plasma and prothrombin complex concentrate for the reversal of oral anticoagulants in patients undergoing cardiopulmonary bypass surgery: a randomized study, </w:t>
      </w:r>
      <w:r w:rsidRPr="00E62798">
        <w:rPr>
          <w:i/>
        </w:rPr>
        <w:t>Vox Sanguinis</w:t>
      </w:r>
      <w:r w:rsidRPr="00E62798">
        <w:t xml:space="preserve"> 99(3):251–260. </w:t>
      </w:r>
      <w:hyperlink r:id="rId319" w:history="1">
        <w:r w:rsidRPr="00E62798">
          <w:rPr>
            <w:rStyle w:val="Hyperlink"/>
          </w:rPr>
          <w:t>http://onlinelibrary.wiley.com/doi/10.1111/j.1423-0410.2010.01339.x/abstract</w:t>
        </w:r>
        <w:bookmarkEnd w:id="614"/>
      </w:hyperlink>
    </w:p>
    <w:p w14:paraId="2C39D9D9" w14:textId="612AC692" w:rsidR="00E62798" w:rsidRPr="00E62798" w:rsidRDefault="00E62798" w:rsidP="00E62798">
      <w:pPr>
        <w:pStyle w:val="EndNoteBibliography"/>
        <w:spacing w:after="0"/>
        <w:ind w:hanging="720"/>
      </w:pPr>
      <w:bookmarkStart w:id="615" w:name="_ENREF_313"/>
      <w:r w:rsidRPr="00E62798">
        <w:t>313</w:t>
      </w:r>
      <w:r w:rsidRPr="00E62798">
        <w:tab/>
        <w:t xml:space="preserve">Giorni C, Ricci Z, Iodice F, Garisto C, Favia I, Polito A, et al. (2014). Use of Confidex to control perioperative bleeding in pediatric heart surgery: prospective cohort study, </w:t>
      </w:r>
      <w:r w:rsidRPr="00E62798">
        <w:rPr>
          <w:i/>
        </w:rPr>
        <w:t>Pediatr Cardiol</w:t>
      </w:r>
      <w:r w:rsidRPr="00E62798">
        <w:t xml:space="preserve"> 35(2):208-214. </w:t>
      </w:r>
      <w:hyperlink r:id="rId320" w:history="1">
        <w:r w:rsidRPr="00E62798">
          <w:rPr>
            <w:rStyle w:val="Hyperlink"/>
          </w:rPr>
          <w:t>http://www.ncbi.nlm.nih.gov/pubmed/23843105</w:t>
        </w:r>
        <w:bookmarkEnd w:id="615"/>
      </w:hyperlink>
    </w:p>
    <w:p w14:paraId="54748597" w14:textId="01B4DD27" w:rsidR="00E62798" w:rsidRPr="00E62798" w:rsidRDefault="00E62798" w:rsidP="00E62798">
      <w:pPr>
        <w:pStyle w:val="EndNoteBibliography"/>
        <w:spacing w:after="0"/>
        <w:ind w:hanging="720"/>
      </w:pPr>
      <w:bookmarkStart w:id="616" w:name="_ENREF_314"/>
      <w:r w:rsidRPr="00E62798">
        <w:t>314</w:t>
      </w:r>
      <w:r w:rsidRPr="00E62798">
        <w:tab/>
        <w:t xml:space="preserve">Arnekian V, Camous J, Fattal S, Rezaiguia-Delclaux S, Nottin R and Stephan F (2012). Use of prothrombin complex concentrate for excessive bleeding after cardiac surgery, </w:t>
      </w:r>
      <w:r w:rsidRPr="00E62798">
        <w:rPr>
          <w:i/>
        </w:rPr>
        <w:t>Interactive Cardiovascular and Thoracic Surgery</w:t>
      </w:r>
      <w:r w:rsidRPr="00E62798">
        <w:t xml:space="preserve"> 15(3):382–389. </w:t>
      </w:r>
      <w:hyperlink r:id="rId321" w:history="1">
        <w:r w:rsidRPr="00E62798">
          <w:rPr>
            <w:rStyle w:val="Hyperlink"/>
          </w:rPr>
          <w:t>http://www.ncbi.nlm.nih.gov/pmc/articles/PMC3422937/pdf/ivs224.pdf</w:t>
        </w:r>
        <w:bookmarkEnd w:id="616"/>
      </w:hyperlink>
    </w:p>
    <w:p w14:paraId="41B6291B" w14:textId="51EC6C43" w:rsidR="00E62798" w:rsidRPr="00E62798" w:rsidRDefault="00E62798" w:rsidP="00E62798">
      <w:pPr>
        <w:pStyle w:val="EndNoteBibliography"/>
        <w:spacing w:after="0"/>
        <w:ind w:hanging="720"/>
      </w:pPr>
      <w:bookmarkStart w:id="617" w:name="_ENREF_315"/>
      <w:r w:rsidRPr="00E62798">
        <w:t>315</w:t>
      </w:r>
      <w:r w:rsidRPr="00E62798">
        <w:tab/>
        <w:t xml:space="preserve">Bobbitt L, Merriman E, Raynes J, Henderson R, Blacklock H and Chunilal S (2011). PROTHROMBINEX((R))-VF (PTX-VF) usage for reversal of coagulopathy: prospective evaluation of thrombogenic risk, </w:t>
      </w:r>
      <w:r w:rsidRPr="00E62798">
        <w:rPr>
          <w:i/>
        </w:rPr>
        <w:t>Thrombosis Research</w:t>
      </w:r>
      <w:r w:rsidRPr="00E62798">
        <w:t xml:space="preserve"> 128(6):577–582. </w:t>
      </w:r>
      <w:hyperlink r:id="rId322" w:history="1">
        <w:r w:rsidRPr="00E62798">
          <w:rPr>
            <w:rStyle w:val="Hyperlink"/>
          </w:rPr>
          <w:t>http://www.thrombosisresearch.com/article/S0049-3848(11)00180-0/abstract</w:t>
        </w:r>
        <w:bookmarkEnd w:id="617"/>
      </w:hyperlink>
    </w:p>
    <w:p w14:paraId="1A75D7CD" w14:textId="77777777" w:rsidR="00E62798" w:rsidRPr="00E62798" w:rsidRDefault="00E62798" w:rsidP="00E62798">
      <w:pPr>
        <w:pStyle w:val="EndNoteBibliography"/>
        <w:spacing w:after="0"/>
        <w:ind w:hanging="720"/>
      </w:pPr>
      <w:bookmarkStart w:id="618" w:name="_ENREF_316"/>
      <w:r w:rsidRPr="00E62798">
        <w:t>316</w:t>
      </w:r>
      <w:r w:rsidRPr="00E62798">
        <w:tab/>
        <w:t xml:space="preserve">Streiff MB (2011). Prothrombin complex concentrates for reversal of vitamin K antagonists: assessing the risks, </w:t>
      </w:r>
      <w:r w:rsidRPr="00E62798">
        <w:rPr>
          <w:i/>
        </w:rPr>
        <w:t>Thrombosis and Haemostasis</w:t>
      </w:r>
      <w:r w:rsidRPr="00E62798">
        <w:t xml:space="preserve"> 106(3):389–390.</w:t>
      </w:r>
      <w:bookmarkEnd w:id="618"/>
    </w:p>
    <w:p w14:paraId="6AFC8102" w14:textId="77777777" w:rsidR="00E62798" w:rsidRPr="00E62798" w:rsidRDefault="00E62798" w:rsidP="00E62798">
      <w:pPr>
        <w:pStyle w:val="EndNoteBibliography"/>
        <w:spacing w:after="0"/>
        <w:ind w:hanging="720"/>
      </w:pPr>
      <w:bookmarkStart w:id="619" w:name="_ENREF_317"/>
      <w:r w:rsidRPr="00E62798">
        <w:t>317</w:t>
      </w:r>
      <w:r w:rsidRPr="00E62798">
        <w:tab/>
        <w:t xml:space="preserve">Dentali F, Marchesi C, Pierfranceschi MG, Crowther M, Garcia D, Hylek E, et al. (2011). Safety of prothrombin complex concentrates for rapid anticoagulation reversal of vitamin K antagonists. A meta-analysis, </w:t>
      </w:r>
      <w:r w:rsidRPr="00E62798">
        <w:rPr>
          <w:i/>
        </w:rPr>
        <w:t>Thrombosis and Haemostasis</w:t>
      </w:r>
      <w:r w:rsidRPr="00E62798">
        <w:t xml:space="preserve"> 106(3):429–438.</w:t>
      </w:r>
      <w:bookmarkEnd w:id="619"/>
    </w:p>
    <w:p w14:paraId="0F72C7C0" w14:textId="1B8221ED" w:rsidR="00E62798" w:rsidRPr="00E62798" w:rsidRDefault="00E62798" w:rsidP="00E62798">
      <w:pPr>
        <w:pStyle w:val="EndNoteBibliography"/>
        <w:spacing w:after="0"/>
        <w:ind w:hanging="720"/>
      </w:pPr>
      <w:bookmarkStart w:id="620" w:name="_ENREF_318"/>
      <w:r w:rsidRPr="00E62798">
        <w:t>318</w:t>
      </w:r>
      <w:r w:rsidRPr="00E62798">
        <w:tab/>
        <w:t xml:space="preserve">Toy P, Gajic O, Bacchetti P, Looney MR, Gropper MA, Hubmayr R, et al. (2012). Transfusion-related acute lung injury: incidence and risk factors, </w:t>
      </w:r>
      <w:r w:rsidRPr="00E62798">
        <w:rPr>
          <w:i/>
        </w:rPr>
        <w:t>Blood</w:t>
      </w:r>
      <w:r w:rsidRPr="00E62798">
        <w:t xml:space="preserve"> 119(7):1757–1767. </w:t>
      </w:r>
      <w:hyperlink r:id="rId323" w:history="1">
        <w:r w:rsidRPr="00E62798">
          <w:rPr>
            <w:rStyle w:val="Hyperlink"/>
          </w:rPr>
          <w:t>http://www.bloodjournal.org/content/bloodjournal/119/7/1757.full.pdf</w:t>
        </w:r>
        <w:bookmarkEnd w:id="620"/>
      </w:hyperlink>
    </w:p>
    <w:p w14:paraId="57BB5222" w14:textId="7B5A563E" w:rsidR="00E62798" w:rsidRPr="00E62798" w:rsidRDefault="00E62798" w:rsidP="00E62798">
      <w:pPr>
        <w:pStyle w:val="EndNoteBibliography"/>
        <w:spacing w:after="0"/>
        <w:ind w:hanging="720"/>
      </w:pPr>
      <w:bookmarkStart w:id="621" w:name="_ENREF_319"/>
      <w:r w:rsidRPr="00E62798">
        <w:t>319</w:t>
      </w:r>
      <w:r w:rsidRPr="00E62798">
        <w:tab/>
        <w:t xml:space="preserve">Alam A, Lin Y, Lima A, Hansen M and Callum JL (2013). The prevention of transfusion-associated circulatory overload, </w:t>
      </w:r>
      <w:r w:rsidRPr="00E62798">
        <w:rPr>
          <w:i/>
        </w:rPr>
        <w:t>Transfus Med Rev</w:t>
      </w:r>
      <w:r w:rsidRPr="00E62798">
        <w:t xml:space="preserve"> 27(2):105–112. </w:t>
      </w:r>
      <w:hyperlink r:id="rId324" w:history="1">
        <w:r w:rsidRPr="00E62798">
          <w:rPr>
            <w:rStyle w:val="Hyperlink"/>
          </w:rPr>
          <w:t>http://www.tmreviews.com/article/S0887-7963(13)00005-9/abstract</w:t>
        </w:r>
        <w:bookmarkEnd w:id="621"/>
      </w:hyperlink>
    </w:p>
    <w:p w14:paraId="41EC31CC" w14:textId="62D9B6F4" w:rsidR="00E62798" w:rsidRPr="00E62798" w:rsidRDefault="00E62798" w:rsidP="00E62798">
      <w:pPr>
        <w:pStyle w:val="EndNoteBibliography"/>
        <w:spacing w:after="0"/>
        <w:ind w:hanging="720"/>
      </w:pPr>
      <w:bookmarkStart w:id="622" w:name="_ENREF_320"/>
      <w:r w:rsidRPr="00E62798">
        <w:t>320</w:t>
      </w:r>
      <w:r w:rsidRPr="00E62798">
        <w:tab/>
        <w:t xml:space="preserve">Popovsky MA (2006). Pulmonary consequences of transfusion: TRALI and TACO, </w:t>
      </w:r>
      <w:r w:rsidRPr="00E62798">
        <w:rPr>
          <w:i/>
        </w:rPr>
        <w:t>Transfusion and Apheresis Science</w:t>
      </w:r>
      <w:r w:rsidRPr="00E62798">
        <w:t xml:space="preserve"> 34(3):243–244. </w:t>
      </w:r>
      <w:hyperlink r:id="rId325" w:history="1">
        <w:r w:rsidRPr="00E62798">
          <w:rPr>
            <w:rStyle w:val="Hyperlink"/>
          </w:rPr>
          <w:t>http://www.trasci.com/article/S1473-0502(06)00054-1/abstract</w:t>
        </w:r>
        <w:bookmarkEnd w:id="622"/>
      </w:hyperlink>
    </w:p>
    <w:p w14:paraId="538F2AB1" w14:textId="2D1989B6" w:rsidR="00E62798" w:rsidRPr="00E62798" w:rsidRDefault="00E62798" w:rsidP="00E62798">
      <w:pPr>
        <w:pStyle w:val="EndNoteBibliography"/>
        <w:spacing w:after="0"/>
        <w:ind w:hanging="720"/>
      </w:pPr>
      <w:bookmarkStart w:id="623" w:name="_ENREF_321"/>
      <w:r w:rsidRPr="00E62798">
        <w:t>321</w:t>
      </w:r>
      <w:r w:rsidRPr="00E62798">
        <w:tab/>
        <w:t xml:space="preserve">Serious Hazards of T (2011). Annual SHOT Report. </w:t>
      </w:r>
      <w:hyperlink r:id="rId326" w:history="1">
        <w:r w:rsidRPr="00E62798">
          <w:rPr>
            <w:rStyle w:val="Hyperlink"/>
          </w:rPr>
          <w:t>http://www.shotuk.org/wp-content/uploads/2012/07/SHOT-Summary_FinalWebVersion2012_06_261.pdf</w:t>
        </w:r>
        <w:bookmarkEnd w:id="623"/>
      </w:hyperlink>
    </w:p>
    <w:p w14:paraId="2AEF6243" w14:textId="6F2F60BA" w:rsidR="00E62798" w:rsidRPr="00E62798" w:rsidRDefault="00E62798" w:rsidP="00E62798">
      <w:pPr>
        <w:pStyle w:val="EndNoteBibliography"/>
        <w:spacing w:after="0"/>
        <w:ind w:hanging="720"/>
      </w:pPr>
      <w:bookmarkStart w:id="624" w:name="_ENREF_322"/>
      <w:r w:rsidRPr="00E62798">
        <w:t>322</w:t>
      </w:r>
      <w:r w:rsidRPr="00E62798">
        <w:tab/>
        <w:t xml:space="preserve">Li G, Rachmale S, Kojicic M, Shahjehan K, Malinchoc M, Kor DJ, et al. (2011). Incidence and transfusion risk factors for transfusion-associated circulatory overload among medical intensive care unit patients, </w:t>
      </w:r>
      <w:r w:rsidRPr="00E62798">
        <w:rPr>
          <w:i/>
        </w:rPr>
        <w:t>Transfusion</w:t>
      </w:r>
      <w:r w:rsidRPr="00E62798">
        <w:t xml:space="preserve"> 51(2):338–343. </w:t>
      </w:r>
      <w:hyperlink r:id="rId327" w:history="1">
        <w:r w:rsidRPr="00E62798">
          <w:rPr>
            <w:rStyle w:val="Hyperlink"/>
          </w:rPr>
          <w:t>http://www.ncbi.nlm.nih.gov/pmc/articles/PMC3006039/pdf/nihms219753.pdf</w:t>
        </w:r>
        <w:bookmarkEnd w:id="624"/>
      </w:hyperlink>
    </w:p>
    <w:p w14:paraId="6C6ADF7C" w14:textId="3256F27C" w:rsidR="00E62798" w:rsidRPr="00E62798" w:rsidRDefault="00E62798" w:rsidP="00E62798">
      <w:pPr>
        <w:pStyle w:val="EndNoteBibliography"/>
        <w:spacing w:after="0"/>
        <w:ind w:hanging="720"/>
      </w:pPr>
      <w:bookmarkStart w:id="625" w:name="_ENREF_323"/>
      <w:r w:rsidRPr="00E62798">
        <w:t>323</w:t>
      </w:r>
      <w:r w:rsidRPr="00E62798">
        <w:tab/>
        <w:t xml:space="preserve">Narick C, Triulzi DJ and Yazer MH (2012). Transfusion-associated circulatory overload after plasma transfusion, </w:t>
      </w:r>
      <w:r w:rsidRPr="00E62798">
        <w:rPr>
          <w:i/>
        </w:rPr>
        <w:t>Transfusion</w:t>
      </w:r>
      <w:r w:rsidRPr="00E62798">
        <w:t xml:space="preserve"> 52(1):160–165. </w:t>
      </w:r>
      <w:hyperlink r:id="rId328" w:history="1">
        <w:r w:rsidRPr="00E62798">
          <w:rPr>
            <w:rStyle w:val="Hyperlink"/>
          </w:rPr>
          <w:t>http://onlinelibrary.wiley.com/doi/10.1111/j.1537-2995.2011.03247.x/abstract</w:t>
        </w:r>
        <w:bookmarkEnd w:id="625"/>
      </w:hyperlink>
    </w:p>
    <w:p w14:paraId="7B0A7692" w14:textId="55EF1197" w:rsidR="00E62798" w:rsidRPr="00E62798" w:rsidRDefault="00E62798" w:rsidP="00E62798">
      <w:pPr>
        <w:pStyle w:val="EndNoteBibliography"/>
        <w:spacing w:after="0"/>
        <w:ind w:hanging="720"/>
      </w:pPr>
      <w:bookmarkStart w:id="626" w:name="_ENREF_324"/>
      <w:r w:rsidRPr="00E62798">
        <w:t>324</w:t>
      </w:r>
      <w:r w:rsidRPr="00E62798">
        <w:tab/>
        <w:t xml:space="preserve">Zou S, Dorsey KA, Notari EP, Foster GA, Krysztof DE, Musavi F, et al. (2010). Prevalence, incidence, and residual risk of human immunodeficiency virus and hepatitis C virus infections among United States blood donors since the introduction of nucleic acid testing, </w:t>
      </w:r>
      <w:r w:rsidRPr="00E62798">
        <w:rPr>
          <w:i/>
        </w:rPr>
        <w:t>Transfusion</w:t>
      </w:r>
      <w:r w:rsidRPr="00E62798">
        <w:t xml:space="preserve"> 50(7):1495–1504. </w:t>
      </w:r>
      <w:hyperlink r:id="rId329" w:history="1">
        <w:r w:rsidRPr="00E62798">
          <w:rPr>
            <w:rStyle w:val="Hyperlink"/>
          </w:rPr>
          <w:t>http://onlinelibrary.wiley.com/doi/10.1111/j.1537-2995.2010.02622.x/abstract</w:t>
        </w:r>
        <w:bookmarkEnd w:id="626"/>
      </w:hyperlink>
    </w:p>
    <w:p w14:paraId="5A34A2A2" w14:textId="61030DFB" w:rsidR="00E62798" w:rsidRPr="00E62798" w:rsidRDefault="00E62798" w:rsidP="00E62798">
      <w:pPr>
        <w:pStyle w:val="EndNoteBibliography"/>
        <w:spacing w:after="0"/>
        <w:ind w:hanging="720"/>
      </w:pPr>
      <w:bookmarkStart w:id="627" w:name="_ENREF_325"/>
      <w:r w:rsidRPr="00E62798">
        <w:t>325</w:t>
      </w:r>
      <w:r w:rsidRPr="00E62798">
        <w:tab/>
        <w:t xml:space="preserve">Zou S, Stramer SL, Notari EP, Kuhns MC, Krysztof D, Musavi F, et al. (2009). Current incidence and residual risk of hepatitis B infection among blood donors in the United States, </w:t>
      </w:r>
      <w:r w:rsidRPr="00E62798">
        <w:rPr>
          <w:i/>
        </w:rPr>
        <w:t>Transfusion</w:t>
      </w:r>
      <w:r w:rsidRPr="00E62798">
        <w:t xml:space="preserve"> 49(8):1609–1620. </w:t>
      </w:r>
      <w:hyperlink r:id="rId330" w:history="1">
        <w:r w:rsidRPr="00E62798">
          <w:rPr>
            <w:rStyle w:val="Hyperlink"/>
          </w:rPr>
          <w:t>http://onlinelibrary.wiley.com/doi/10.1111/j.1537-2995.2009.02195.x/abstract</w:t>
        </w:r>
        <w:bookmarkEnd w:id="627"/>
      </w:hyperlink>
    </w:p>
    <w:p w14:paraId="51AAF2E9" w14:textId="3C287EEC" w:rsidR="00E62798" w:rsidRPr="00E62798" w:rsidRDefault="00E62798" w:rsidP="00E62798">
      <w:pPr>
        <w:pStyle w:val="EndNoteBibliography"/>
        <w:spacing w:after="0"/>
        <w:ind w:hanging="720"/>
      </w:pPr>
      <w:bookmarkStart w:id="628" w:name="_ENREF_326"/>
      <w:r w:rsidRPr="00E62798">
        <w:t>326</w:t>
      </w:r>
      <w:r w:rsidRPr="00E62798">
        <w:tab/>
        <w:t xml:space="preserve">Pace Napoleone C, Valori A, Crupi G, Ocello S, Santoro F, Vouhe P, et al. (2009). An observational study of CoSeal for the prevention of adhesions in pediatric cardiac surgery, 9(6):978–982. </w:t>
      </w:r>
      <w:hyperlink r:id="rId331" w:history="1">
        <w:r w:rsidRPr="00E62798">
          <w:rPr>
            <w:rStyle w:val="Hyperlink"/>
          </w:rPr>
          <w:t>http://icvts.oxfordjournals.org/content/9/6/978.full.pdf</w:t>
        </w:r>
        <w:bookmarkEnd w:id="628"/>
      </w:hyperlink>
    </w:p>
    <w:p w14:paraId="57306F80" w14:textId="45B0637F" w:rsidR="00E62798" w:rsidRPr="00E62798" w:rsidRDefault="00E62798" w:rsidP="00E62798">
      <w:pPr>
        <w:pStyle w:val="EndNoteBibliography"/>
        <w:spacing w:after="0"/>
        <w:ind w:hanging="720"/>
      </w:pPr>
      <w:bookmarkStart w:id="629" w:name="_ENREF_327"/>
      <w:r w:rsidRPr="00E62798">
        <w:t>327</w:t>
      </w:r>
      <w:r w:rsidRPr="00E62798">
        <w:tab/>
        <w:t xml:space="preserve">Kuschel TJ, Gruszka A, Hermanns-Sachweh B, Elyakoubi J, Sachweh JS, Vazquez-Jimenez JF, et al. (2013). Prevention of postoperative pericardial adhesions with TachoSil, </w:t>
      </w:r>
      <w:r w:rsidRPr="00E62798">
        <w:rPr>
          <w:i/>
        </w:rPr>
        <w:t>The Annals of Thoracic Surgery</w:t>
      </w:r>
      <w:r w:rsidRPr="00E62798">
        <w:t xml:space="preserve"> 95(1):183–188. </w:t>
      </w:r>
      <w:hyperlink r:id="rId332" w:history="1">
        <w:r w:rsidRPr="00E62798">
          <w:rPr>
            <w:rStyle w:val="Hyperlink"/>
          </w:rPr>
          <w:t>http://www.annalsthoracicsurgery.org/article/S0003-4975(12)01889-9/pdf</w:t>
        </w:r>
        <w:bookmarkEnd w:id="629"/>
      </w:hyperlink>
    </w:p>
    <w:p w14:paraId="2C02EA65" w14:textId="2B82416F" w:rsidR="00E62798" w:rsidRPr="00E62798" w:rsidRDefault="00E62798" w:rsidP="00E62798">
      <w:pPr>
        <w:pStyle w:val="EndNoteBibliography"/>
        <w:spacing w:after="0"/>
        <w:ind w:hanging="720"/>
      </w:pPr>
      <w:bookmarkStart w:id="630" w:name="_ENREF_328"/>
      <w:r w:rsidRPr="00E62798">
        <w:t>328</w:t>
      </w:r>
      <w:r w:rsidRPr="00E62798">
        <w:tab/>
        <w:t xml:space="preserve">Tackett SM, Sugarman R, Kreuwel HTC, Alvarez P and Nasso G (2014). Hospital economic impact from hemostatic matrix usage in cardiac surgery, </w:t>
      </w:r>
      <w:r w:rsidRPr="00E62798">
        <w:rPr>
          <w:i/>
        </w:rPr>
        <w:t>Journal of Medical Economics</w:t>
      </w:r>
      <w:r w:rsidRPr="00E62798">
        <w:t xml:space="preserve"> 17(9):670–676. </w:t>
      </w:r>
      <w:hyperlink r:id="rId333" w:history="1">
        <w:r w:rsidRPr="00E62798">
          <w:rPr>
            <w:rStyle w:val="Hyperlink"/>
          </w:rPr>
          <w:t>http://informahealthcare.com/doi/pdfplus/10.3111/13696998.2014.928638</w:t>
        </w:r>
        <w:bookmarkEnd w:id="630"/>
      </w:hyperlink>
    </w:p>
    <w:p w14:paraId="32244E28" w14:textId="735FFA0B" w:rsidR="00E62798" w:rsidRPr="00E62798" w:rsidRDefault="00E62798" w:rsidP="00E62798">
      <w:pPr>
        <w:pStyle w:val="EndNoteBibliography"/>
        <w:spacing w:after="0"/>
        <w:ind w:hanging="720"/>
      </w:pPr>
      <w:bookmarkStart w:id="631" w:name="_ENREF_329"/>
      <w:r w:rsidRPr="00E62798">
        <w:t>329</w:t>
      </w:r>
      <w:r w:rsidRPr="00E62798">
        <w:tab/>
        <w:t xml:space="preserve">LeMaire SA, Schmittling ZC, Coselli JS, Undar A, Deady BA, Clubb FJ, et al. (2002). BioGlue surgical adhesive impairs aortic growth and causes anastomotic strictures, </w:t>
      </w:r>
      <w:r w:rsidRPr="00E62798">
        <w:rPr>
          <w:i/>
        </w:rPr>
        <w:t>The Annals of Thoracic Surgery</w:t>
      </w:r>
      <w:r w:rsidRPr="00E62798">
        <w:t xml:space="preserve"> 73(5):1500–1505, discussion 1506. </w:t>
      </w:r>
      <w:hyperlink r:id="rId334" w:history="1">
        <w:r w:rsidRPr="00E62798">
          <w:rPr>
            <w:rStyle w:val="Hyperlink"/>
          </w:rPr>
          <w:t>http://www.annalsthoracicsurgery.org/article/S0003-4975(02)03512-9/pdf</w:t>
        </w:r>
        <w:bookmarkEnd w:id="631"/>
      </w:hyperlink>
    </w:p>
    <w:p w14:paraId="3C0292B1" w14:textId="08FC8E1A" w:rsidR="00E62798" w:rsidRPr="00E62798" w:rsidRDefault="00E62798" w:rsidP="00E62798">
      <w:pPr>
        <w:pStyle w:val="EndNoteBibliography"/>
        <w:spacing w:after="0"/>
        <w:ind w:hanging="720"/>
      </w:pPr>
      <w:bookmarkStart w:id="632" w:name="_ENREF_330"/>
      <w:r w:rsidRPr="00E62798">
        <w:t>330</w:t>
      </w:r>
      <w:r w:rsidRPr="00E62798">
        <w:tab/>
        <w:t xml:space="preserve">Ortel TL, Mercer MC, Thames EH, Moore KD and Lawson JH (2001). Immunologic impact and clinical outcomes after surgical exposure to bovine thrombin, </w:t>
      </w:r>
      <w:r w:rsidRPr="00E62798">
        <w:rPr>
          <w:i/>
        </w:rPr>
        <w:t>Annals of Surgery</w:t>
      </w:r>
      <w:r w:rsidRPr="00E62798">
        <w:t xml:space="preserve"> 233(1):88–96. </w:t>
      </w:r>
      <w:hyperlink r:id="rId335" w:history="1">
        <w:r w:rsidRPr="00E62798">
          <w:rPr>
            <w:rStyle w:val="Hyperlink"/>
          </w:rPr>
          <w:t>http://www.ncbi.nlm.nih.gov/pmc/articles/PMC1421171/pdf/20010100s00014p88.pdf</w:t>
        </w:r>
        <w:bookmarkEnd w:id="632"/>
      </w:hyperlink>
    </w:p>
    <w:p w14:paraId="0D4B4D44" w14:textId="34E4527E" w:rsidR="00E62798" w:rsidRPr="00E62798" w:rsidRDefault="00E62798" w:rsidP="00E62798">
      <w:pPr>
        <w:pStyle w:val="EndNoteBibliography"/>
        <w:spacing w:after="0"/>
        <w:ind w:hanging="720"/>
      </w:pPr>
      <w:bookmarkStart w:id="633" w:name="_ENREF_331"/>
      <w:r w:rsidRPr="00E62798">
        <w:t>331</w:t>
      </w:r>
      <w:r w:rsidRPr="00E62798">
        <w:tab/>
        <w:t xml:space="preserve">Cauchy F, Gaujoux S, Ronot M, Fuks D, Dokmak S, Sauvanet A, et al. (2014). Local venous thrombotic risk of an expanding haemostatic agent used during liver resection, </w:t>
      </w:r>
      <w:r w:rsidRPr="00E62798">
        <w:rPr>
          <w:i/>
        </w:rPr>
        <w:t>World Journal of Surgery</w:t>
      </w:r>
      <w:r w:rsidRPr="00E62798">
        <w:t xml:space="preserve"> 38(9):2363–2369. </w:t>
      </w:r>
      <w:hyperlink r:id="rId336" w:history="1">
        <w:r w:rsidRPr="00E62798">
          <w:rPr>
            <w:rStyle w:val="Hyperlink"/>
          </w:rPr>
          <w:t>http://link.springer.com/article/10.1007%2Fs00268-014-2552-9</w:t>
        </w:r>
        <w:bookmarkEnd w:id="633"/>
      </w:hyperlink>
    </w:p>
    <w:p w14:paraId="5E640592" w14:textId="3E31858A" w:rsidR="00E62798" w:rsidRPr="00E62798" w:rsidRDefault="00E62798" w:rsidP="00E62798">
      <w:pPr>
        <w:pStyle w:val="EndNoteBibliography"/>
        <w:spacing w:after="0"/>
        <w:ind w:hanging="720"/>
      </w:pPr>
      <w:bookmarkStart w:id="634" w:name="_ENREF_332"/>
      <w:r w:rsidRPr="00E62798">
        <w:t>332</w:t>
      </w:r>
      <w:r w:rsidRPr="00E62798">
        <w:tab/>
        <w:t xml:space="preserve">Robicsek F (2004). Microfibrillar collagen hemostat in cardiac surgery, </w:t>
      </w:r>
      <w:r w:rsidRPr="00E62798">
        <w:rPr>
          <w:i/>
        </w:rPr>
        <w:t>J Thorac Cardiovasc Surg</w:t>
      </w:r>
      <w:r w:rsidRPr="00E62798">
        <w:t xml:space="preserve"> 127(4):1228–, author reply 1228. </w:t>
      </w:r>
      <w:hyperlink r:id="rId337" w:history="1">
        <w:r w:rsidRPr="00E62798">
          <w:rPr>
            <w:rStyle w:val="Hyperlink"/>
          </w:rPr>
          <w:t>http://www.jtcvsonline.org/article/S0022-5223(04)00017-0/pdf</w:t>
        </w:r>
        <w:bookmarkEnd w:id="634"/>
      </w:hyperlink>
    </w:p>
    <w:p w14:paraId="50362AAA" w14:textId="47E23CE9" w:rsidR="00E62798" w:rsidRPr="00E62798" w:rsidRDefault="00E62798" w:rsidP="00E62798">
      <w:pPr>
        <w:pStyle w:val="EndNoteBibliography"/>
        <w:spacing w:after="0"/>
        <w:ind w:hanging="720"/>
      </w:pPr>
      <w:bookmarkStart w:id="635" w:name="_ENREF_333"/>
      <w:r w:rsidRPr="00E62798">
        <w:t>333</w:t>
      </w:r>
      <w:r w:rsidRPr="00E62798">
        <w:tab/>
        <w:t xml:space="preserve">Robicsek F, Masters TN, Littman L and Born GV (1981). The embolization of bone wax from sternotomy incisions, </w:t>
      </w:r>
      <w:r w:rsidRPr="00E62798">
        <w:rPr>
          <w:i/>
        </w:rPr>
        <w:t>The Annals of Thoracic Surgery</w:t>
      </w:r>
      <w:r w:rsidRPr="00E62798">
        <w:t xml:space="preserve"> 31(4):357–359. </w:t>
      </w:r>
      <w:hyperlink r:id="rId338" w:history="1">
        <w:r w:rsidRPr="00E62798">
          <w:rPr>
            <w:rStyle w:val="Hyperlink"/>
          </w:rPr>
          <w:t>http://www.annalsthoracicsurgery.org/article/S0003-4975(10)60967-8/pdf</w:t>
        </w:r>
        <w:bookmarkEnd w:id="635"/>
      </w:hyperlink>
    </w:p>
    <w:p w14:paraId="56458742" w14:textId="7F8D4D49" w:rsidR="00E62798" w:rsidRPr="00E62798" w:rsidRDefault="00E62798" w:rsidP="00E62798">
      <w:pPr>
        <w:pStyle w:val="EndNoteBibliography"/>
        <w:spacing w:after="0"/>
        <w:ind w:hanging="720"/>
      </w:pPr>
      <w:bookmarkStart w:id="636" w:name="_ENREF_334"/>
      <w:r w:rsidRPr="00E62798">
        <w:t>334</w:t>
      </w:r>
      <w:r w:rsidRPr="00E62798">
        <w:tab/>
        <w:t xml:space="preserve">Yang JC, Kim TW and Park KH (2013). Gelfoam-induced swallowing difficulty after anterior cervical spine surgery, </w:t>
      </w:r>
      <w:r w:rsidRPr="00E62798">
        <w:rPr>
          <w:i/>
        </w:rPr>
        <w:t>Korean Journal of Spine</w:t>
      </w:r>
      <w:r w:rsidRPr="00E62798">
        <w:t xml:space="preserve"> 10(2):94–96. </w:t>
      </w:r>
      <w:hyperlink r:id="rId339" w:history="1">
        <w:r w:rsidRPr="00E62798">
          <w:rPr>
            <w:rStyle w:val="Hyperlink"/>
          </w:rPr>
          <w:t>http://www.ncbi.nlm.nih.gov/pmc/articles/PMC3941718/pdf/kjs-10-94.pdf</w:t>
        </w:r>
        <w:bookmarkEnd w:id="636"/>
      </w:hyperlink>
    </w:p>
    <w:p w14:paraId="216FDC12" w14:textId="1BD68148" w:rsidR="00E62798" w:rsidRPr="00E62798" w:rsidRDefault="00E62798" w:rsidP="00E62798">
      <w:pPr>
        <w:pStyle w:val="EndNoteBibliography"/>
        <w:spacing w:after="0"/>
        <w:ind w:hanging="720"/>
      </w:pPr>
      <w:bookmarkStart w:id="637" w:name="_ENREF_335"/>
      <w:r w:rsidRPr="00E62798">
        <w:t>335</w:t>
      </w:r>
      <w:r w:rsidRPr="00E62798">
        <w:tab/>
        <w:t xml:space="preserve">Vestergaard RF, Nielsen PH, Terp KA, S?balle K, Andersen G and Hasenkam JM (2014). Effect of hemostatic material on sternal healing after cardiac surgery, </w:t>
      </w:r>
      <w:r w:rsidRPr="00E62798">
        <w:rPr>
          <w:i/>
        </w:rPr>
        <w:t>The Annals of Thoracic Surgery</w:t>
      </w:r>
      <w:r w:rsidRPr="00E62798">
        <w:t xml:space="preserve"> 97(1):153–160. </w:t>
      </w:r>
      <w:hyperlink r:id="rId340" w:history="1">
        <w:r w:rsidRPr="00E62798">
          <w:rPr>
            <w:rStyle w:val="Hyperlink"/>
          </w:rPr>
          <w:t>http://www.annalsthoracicsurgery.org/article/S0003-4975(13)01900-0/pdf</w:t>
        </w:r>
        <w:bookmarkEnd w:id="637"/>
      </w:hyperlink>
    </w:p>
    <w:p w14:paraId="7397FCFE" w14:textId="1F6B6DCC" w:rsidR="00E62798" w:rsidRPr="00E62798" w:rsidRDefault="00E62798" w:rsidP="00E62798">
      <w:pPr>
        <w:pStyle w:val="EndNoteBibliography"/>
        <w:spacing w:after="0"/>
        <w:ind w:hanging="720"/>
      </w:pPr>
      <w:bookmarkStart w:id="638" w:name="_ENREF_336"/>
      <w:r w:rsidRPr="00E62798">
        <w:t>336</w:t>
      </w:r>
      <w:r w:rsidRPr="00E62798">
        <w:tab/>
        <w:t xml:space="preserve">Kazui T, Washiyama N, Bashar AH, Terada H, Suzuki K, Yamashita K, et al. (2001). Role of biologic glue repair of proximal aortic dissection in the development of early and midterm redissection of the aortic root, </w:t>
      </w:r>
      <w:r w:rsidRPr="00E62798">
        <w:rPr>
          <w:i/>
        </w:rPr>
        <w:t>The Annals of Thoracic Surgery</w:t>
      </w:r>
      <w:r w:rsidRPr="00E62798">
        <w:t xml:space="preserve"> 72(2):509–514. </w:t>
      </w:r>
      <w:hyperlink r:id="rId341" w:history="1">
        <w:r w:rsidRPr="00E62798">
          <w:rPr>
            <w:rStyle w:val="Hyperlink"/>
          </w:rPr>
          <w:t>http://www.annalsthoracicsurgery.org/article/S0003-4975(01)02777-1/pdf</w:t>
        </w:r>
        <w:bookmarkEnd w:id="638"/>
      </w:hyperlink>
    </w:p>
    <w:p w14:paraId="10B45C25" w14:textId="7C8D8E9D" w:rsidR="00E62798" w:rsidRPr="00E62798" w:rsidRDefault="00E62798" w:rsidP="00E62798">
      <w:pPr>
        <w:pStyle w:val="EndNoteBibliography"/>
        <w:spacing w:after="0"/>
        <w:ind w:hanging="720"/>
      </w:pPr>
      <w:bookmarkStart w:id="639" w:name="_ENREF_337"/>
      <w:r w:rsidRPr="00E62798">
        <w:t>337</w:t>
      </w:r>
      <w:r w:rsidRPr="00E62798">
        <w:tab/>
        <w:t xml:space="preserve">Ngaage DL, Edwards WD, Bell MR and Sundt TM (2005). A cautionary note regarding long-term sequelae of biologic glue, </w:t>
      </w:r>
      <w:r w:rsidRPr="00E62798">
        <w:rPr>
          <w:i/>
        </w:rPr>
        <w:t>J Thorac Cardiovasc Surg</w:t>
      </w:r>
      <w:r w:rsidRPr="00E62798">
        <w:t xml:space="preserve"> 129(4):937–938. </w:t>
      </w:r>
      <w:hyperlink r:id="rId342" w:history="1">
        <w:r w:rsidRPr="00E62798">
          <w:rPr>
            <w:rStyle w:val="Hyperlink"/>
          </w:rPr>
          <w:t>http://www.jtcvsonline.org/article/S0022-5223(04)01162-6/pdf</w:t>
        </w:r>
        <w:bookmarkEnd w:id="639"/>
      </w:hyperlink>
    </w:p>
    <w:p w14:paraId="00154A0B" w14:textId="36CA1672" w:rsidR="00E62798" w:rsidRPr="00E62798" w:rsidRDefault="00E62798" w:rsidP="00E62798">
      <w:pPr>
        <w:pStyle w:val="EndNoteBibliography"/>
        <w:spacing w:after="0"/>
        <w:ind w:hanging="720"/>
      </w:pPr>
      <w:bookmarkStart w:id="640" w:name="_ENREF_338"/>
      <w:r w:rsidRPr="00E62798">
        <w:t>338</w:t>
      </w:r>
      <w:r w:rsidRPr="00E62798">
        <w:tab/>
        <w:t xml:space="preserve">Boodhwani M, Williams K, Babaev A, Gill G, Saleem N and Rubens FD (2006). Ultrafiltration reduces blood transfusions following cardiac surgery: A meta-analysis, </w:t>
      </w:r>
      <w:r w:rsidRPr="00E62798">
        <w:rPr>
          <w:i/>
        </w:rPr>
        <w:t>European Journal of Cardio-Thoracic Surgery</w:t>
      </w:r>
      <w:r w:rsidRPr="00E62798">
        <w:t xml:space="preserve"> 30(6):892–897. </w:t>
      </w:r>
      <w:hyperlink r:id="rId343" w:history="1">
        <w:r w:rsidRPr="00E62798">
          <w:rPr>
            <w:rStyle w:val="Hyperlink"/>
          </w:rPr>
          <w:t>http://ejcts.oxfordjournals.org/content/30/6/892.full.pdf</w:t>
        </w:r>
        <w:bookmarkEnd w:id="640"/>
      </w:hyperlink>
    </w:p>
    <w:p w14:paraId="6E9586BF" w14:textId="1BA79AFC" w:rsidR="00E62798" w:rsidRPr="00E62798" w:rsidRDefault="00E62798" w:rsidP="00E62798">
      <w:pPr>
        <w:pStyle w:val="EndNoteBibliography"/>
        <w:spacing w:after="0"/>
        <w:ind w:hanging="720"/>
      </w:pPr>
      <w:bookmarkStart w:id="641" w:name="_ENREF_339"/>
      <w:r w:rsidRPr="00E62798">
        <w:t>339</w:t>
      </w:r>
      <w:r w:rsidRPr="00E62798">
        <w:tab/>
        <w:t xml:space="preserve">Golab HD, Scohy TV, de Jong PL, Takkenberg JJ and Bogers AJ (2008). Intraoperative cell salvage in infants undergoing elective cardiac surgery: a prospective trial, </w:t>
      </w:r>
      <w:r w:rsidRPr="00E62798">
        <w:rPr>
          <w:i/>
        </w:rPr>
        <w:t>European Journal of Cardio-Thoracic Surgery</w:t>
      </w:r>
      <w:r w:rsidRPr="00E62798">
        <w:t xml:space="preserve"> 34(2):354–359. </w:t>
      </w:r>
      <w:hyperlink r:id="rId344" w:history="1">
        <w:r w:rsidRPr="00E62798">
          <w:rPr>
            <w:rStyle w:val="Hyperlink"/>
          </w:rPr>
          <w:t>http://ejcts.oxfordjournals.org/content/34/2/354.full.pdf</w:t>
        </w:r>
        <w:bookmarkEnd w:id="641"/>
      </w:hyperlink>
    </w:p>
    <w:p w14:paraId="0FDB9939" w14:textId="695A6F8A" w:rsidR="00E62798" w:rsidRPr="00E62798" w:rsidRDefault="00E62798" w:rsidP="00E62798">
      <w:pPr>
        <w:pStyle w:val="EndNoteBibliography"/>
        <w:spacing w:after="0"/>
        <w:ind w:hanging="720"/>
      </w:pPr>
      <w:bookmarkStart w:id="642" w:name="_ENREF_340"/>
      <w:r w:rsidRPr="00E62798">
        <w:t>340</w:t>
      </w:r>
      <w:r w:rsidRPr="00E62798">
        <w:tab/>
        <w:t xml:space="preserve">Codispoti M and Mankad PS (2002). Significant merits of a fibrin sealant in the presence of coagulopathy following paediatric cardiac surgery: randomised controlled trial, </w:t>
      </w:r>
      <w:r w:rsidRPr="00E62798">
        <w:rPr>
          <w:i/>
        </w:rPr>
        <w:t>European Journal of Cardio-Thoracic Surgery</w:t>
      </w:r>
      <w:r w:rsidRPr="00E62798">
        <w:t xml:space="preserve"> 22(2):200–205. </w:t>
      </w:r>
      <w:hyperlink r:id="rId345" w:history="1">
        <w:r w:rsidRPr="00E62798">
          <w:rPr>
            <w:rStyle w:val="Hyperlink"/>
          </w:rPr>
          <w:t>http://ejcts.oxfordjournals.org/content/22/2/200.full.pdf</w:t>
        </w:r>
        <w:bookmarkEnd w:id="642"/>
      </w:hyperlink>
    </w:p>
    <w:p w14:paraId="612D4FDD" w14:textId="339EA3C4" w:rsidR="00E62798" w:rsidRPr="00E62798" w:rsidRDefault="00E62798" w:rsidP="00E62798">
      <w:pPr>
        <w:pStyle w:val="EndNoteBibliography"/>
        <w:spacing w:after="0"/>
        <w:ind w:hanging="720"/>
      </w:pPr>
      <w:bookmarkStart w:id="643" w:name="_ENREF_341"/>
      <w:r w:rsidRPr="00E62798">
        <w:t>341</w:t>
      </w:r>
      <w:r w:rsidRPr="00E62798">
        <w:tab/>
        <w:t xml:space="preserve">Atkinson JB, Gomperts ED, Kang R, Lee M, Arensman RM, Bartlett RH, et al. (1997). Prospective, randomized evaluation of the efficacy of fibrin sealant as a topical hemostatic agent at the cannulation site in neonates undergoing extracorporeal membrane oxygenation, </w:t>
      </w:r>
      <w:r w:rsidRPr="00E62798">
        <w:rPr>
          <w:i/>
        </w:rPr>
        <w:t>American Journal of Surgery</w:t>
      </w:r>
      <w:r w:rsidRPr="00E62798">
        <w:t xml:space="preserve"> 173(6):479–484. </w:t>
      </w:r>
      <w:hyperlink r:id="rId346" w:history="1">
        <w:r w:rsidRPr="00E62798">
          <w:rPr>
            <w:rStyle w:val="Hyperlink"/>
          </w:rPr>
          <w:t>http://www.americanjournalofsurgery.com/article/S0002-9610(97)00018-4/abstract</w:t>
        </w:r>
        <w:bookmarkEnd w:id="643"/>
      </w:hyperlink>
    </w:p>
    <w:p w14:paraId="7C3D66B5" w14:textId="16BF7758" w:rsidR="00E62798" w:rsidRPr="00E62798" w:rsidRDefault="00E62798" w:rsidP="00E62798">
      <w:pPr>
        <w:pStyle w:val="EndNoteBibliography"/>
        <w:spacing w:after="0"/>
        <w:ind w:hanging="720"/>
      </w:pPr>
      <w:bookmarkStart w:id="644" w:name="_ENREF_342"/>
      <w:r w:rsidRPr="00E62798">
        <w:t>342</w:t>
      </w:r>
      <w:r w:rsidRPr="00E62798">
        <w:tab/>
        <w:t xml:space="preserve">CoStasis Multi-center Collaborative Writing C (2001). A novel collagen-based composite offers effective hemostasis for multiple surgical indications: Results of a randomized controlled trial, 129(4):445–450. </w:t>
      </w:r>
      <w:hyperlink r:id="rId347" w:history="1">
        <w:r w:rsidRPr="00E62798">
          <w:rPr>
            <w:rStyle w:val="Hyperlink"/>
          </w:rPr>
          <w:t>http://www.surgjournal.com/article/S0039-6060(01)81890-0/abstract</w:t>
        </w:r>
        <w:bookmarkEnd w:id="644"/>
      </w:hyperlink>
    </w:p>
    <w:p w14:paraId="4C0C078D" w14:textId="59CB9EFC" w:rsidR="00E62798" w:rsidRPr="00E62798" w:rsidRDefault="00E62798" w:rsidP="00E62798">
      <w:pPr>
        <w:pStyle w:val="EndNoteBibliography"/>
        <w:spacing w:after="0"/>
        <w:ind w:hanging="720"/>
      </w:pPr>
      <w:bookmarkStart w:id="645" w:name="_ENREF_343"/>
      <w:r w:rsidRPr="00E62798">
        <w:t>343</w:t>
      </w:r>
      <w:r w:rsidRPr="00E62798">
        <w:tab/>
        <w:t xml:space="preserve">Sirlak M, Eryilmaz S, Yazicioglu L, Kiziltepe U, Eyileten Z, Durdu MS, et al. (2003). Comparative study of microfibrillar collagen hemostat (Colgel) and oxidized cellulose (Surgicel) in high transfusion-risk cardiac surgery, </w:t>
      </w:r>
      <w:r w:rsidRPr="00E62798">
        <w:rPr>
          <w:i/>
        </w:rPr>
        <w:t>J Thorac Cardiovasc Surg</w:t>
      </w:r>
      <w:r w:rsidRPr="00E62798">
        <w:t xml:space="preserve"> 126(3):666–670. </w:t>
      </w:r>
      <w:hyperlink r:id="rId348" w:history="1">
        <w:r w:rsidRPr="00E62798">
          <w:rPr>
            <w:rStyle w:val="Hyperlink"/>
          </w:rPr>
          <w:t>http://www.jtcvsonline.org/article/S0022-5223(03)00042-4/pdf</w:t>
        </w:r>
        <w:bookmarkEnd w:id="645"/>
      </w:hyperlink>
    </w:p>
    <w:p w14:paraId="55B83452" w14:textId="5A4CCD2F" w:rsidR="00E62798" w:rsidRPr="00E62798" w:rsidRDefault="00E62798" w:rsidP="00E62798">
      <w:pPr>
        <w:pStyle w:val="EndNoteBibliography"/>
        <w:spacing w:after="0"/>
        <w:ind w:hanging="720"/>
      </w:pPr>
      <w:bookmarkStart w:id="646" w:name="_ENREF_344"/>
      <w:r w:rsidRPr="00E62798">
        <w:t>344</w:t>
      </w:r>
      <w:r w:rsidRPr="00E62798">
        <w:tab/>
        <w:t xml:space="preserve">Chapman WC, Singla N, Genyk Y, McNeil JW, Renkens KL, Reynolds TC, et al. (2007). A phase 3, randomized, double-blind comparative study of the efficacy and safety of topical recombinant human thrombin and bovine thrombin in surgical hemostasis, </w:t>
      </w:r>
      <w:r w:rsidRPr="00E62798">
        <w:rPr>
          <w:i/>
        </w:rPr>
        <w:t>Journal of the American College of Surgeons</w:t>
      </w:r>
      <w:r w:rsidRPr="00E62798">
        <w:t xml:space="preserve"> 205(2):256–265. </w:t>
      </w:r>
      <w:hyperlink r:id="rId349" w:history="1">
        <w:r w:rsidRPr="00E62798">
          <w:rPr>
            <w:rStyle w:val="Hyperlink"/>
          </w:rPr>
          <w:t>http://www.journalacs.org/article/S1072-7515(07)00456-5/abstract</w:t>
        </w:r>
        <w:bookmarkEnd w:id="646"/>
      </w:hyperlink>
    </w:p>
    <w:p w14:paraId="4CB1461D" w14:textId="6FB35581" w:rsidR="00E62798" w:rsidRPr="00E62798" w:rsidRDefault="00E62798" w:rsidP="00E62798">
      <w:pPr>
        <w:pStyle w:val="EndNoteBibliography"/>
        <w:spacing w:after="0"/>
        <w:ind w:hanging="720"/>
      </w:pPr>
      <w:bookmarkStart w:id="647" w:name="_ENREF_345"/>
      <w:r w:rsidRPr="00E62798">
        <w:t>345</w:t>
      </w:r>
      <w:r w:rsidRPr="00E62798">
        <w:tab/>
        <w:t xml:space="preserve">Weaver FA, Lew W, Granke K, Yonehiro L, Delange B, Alexander WA, et al. (2008). A comparison of recombinant thrombin to bovine thrombin as a hemostatic ancillary in patients undergoing peripheral arterial bypass and arteriovenous graft procedures, </w:t>
      </w:r>
      <w:r w:rsidRPr="00E62798">
        <w:rPr>
          <w:i/>
        </w:rPr>
        <w:t>Journal of Vascular Surgery</w:t>
      </w:r>
      <w:r w:rsidRPr="00E62798">
        <w:t xml:space="preserve"> 47(6):1266–1273. </w:t>
      </w:r>
      <w:hyperlink r:id="rId350" w:history="1">
        <w:r w:rsidRPr="00E62798">
          <w:rPr>
            <w:rStyle w:val="Hyperlink"/>
          </w:rPr>
          <w:t>http://www.jvascsurg.org/article/S0741-5214(08)00106-7/pdf</w:t>
        </w:r>
        <w:bookmarkEnd w:id="647"/>
      </w:hyperlink>
    </w:p>
    <w:p w14:paraId="40F96064" w14:textId="6AC12C18" w:rsidR="00E62798" w:rsidRPr="00E62798" w:rsidRDefault="00E62798" w:rsidP="00E62798">
      <w:pPr>
        <w:pStyle w:val="EndNoteBibliography"/>
        <w:spacing w:after="0"/>
        <w:ind w:hanging="720"/>
      </w:pPr>
      <w:bookmarkStart w:id="648" w:name="_ENREF_346"/>
      <w:r w:rsidRPr="00E62798">
        <w:t>346</w:t>
      </w:r>
      <w:r w:rsidRPr="00E62798">
        <w:tab/>
        <w:t xml:space="preserve">Lumsden AB, Heyman ER and Closure Medical Surgical Sealant Study G (2006). Prospective randomized study evaluating an absorbable cyanoacrylate for use in vascular reconstructions, </w:t>
      </w:r>
      <w:r w:rsidRPr="00E62798">
        <w:rPr>
          <w:i/>
        </w:rPr>
        <w:t>Journal of Vascular Surgery</w:t>
      </w:r>
      <w:r w:rsidRPr="00E62798">
        <w:t xml:space="preserve"> 44(5):1002–1009, discussion 1009. </w:t>
      </w:r>
      <w:hyperlink r:id="rId351" w:history="1">
        <w:r w:rsidRPr="00E62798">
          <w:rPr>
            <w:rStyle w:val="Hyperlink"/>
          </w:rPr>
          <w:t>http://www.jvascsurg.org/article/S0741-5214(06)01213-4/pdf</w:t>
        </w:r>
        <w:bookmarkEnd w:id="648"/>
      </w:hyperlink>
    </w:p>
    <w:p w14:paraId="5D805F4A" w14:textId="71C5577D" w:rsidR="00E62798" w:rsidRPr="00E62798" w:rsidRDefault="00E62798" w:rsidP="00E62798">
      <w:pPr>
        <w:pStyle w:val="EndNoteBibliography"/>
        <w:spacing w:after="0"/>
        <w:ind w:hanging="720"/>
      </w:pPr>
      <w:bookmarkStart w:id="649" w:name="_ENREF_347"/>
      <w:r w:rsidRPr="00E62798">
        <w:t>347</w:t>
      </w:r>
      <w:r w:rsidRPr="00E62798">
        <w:tab/>
        <w:t xml:space="preserve">Oz MC, Cosgrove DM, Badduke BR, Hill JD, Flannery MR, Palumbo R, et al. (2000). Controlled clinical trial of a novel hemostatic agent in cardiac surgery, </w:t>
      </w:r>
      <w:r w:rsidRPr="00E62798">
        <w:rPr>
          <w:i/>
        </w:rPr>
        <w:t>The Annals of Thoracic Surgery</w:t>
      </w:r>
      <w:r w:rsidRPr="00E62798">
        <w:t xml:space="preserve"> 69(5):1376–1382. </w:t>
      </w:r>
      <w:hyperlink r:id="rId352" w:history="1">
        <w:r w:rsidRPr="00E62798">
          <w:rPr>
            <w:rStyle w:val="Hyperlink"/>
          </w:rPr>
          <w:t>http://www.annalsthoracicsurgery.org/article/S0003-4975(00)01194-2/pdf</w:t>
        </w:r>
        <w:bookmarkEnd w:id="649"/>
      </w:hyperlink>
    </w:p>
    <w:p w14:paraId="194D37A3" w14:textId="666A046B" w:rsidR="00E62798" w:rsidRPr="00E62798" w:rsidRDefault="00E62798" w:rsidP="00E62798">
      <w:pPr>
        <w:pStyle w:val="EndNoteBibliography"/>
        <w:spacing w:after="0"/>
        <w:ind w:hanging="720"/>
      </w:pPr>
      <w:bookmarkStart w:id="650" w:name="_ENREF_348"/>
      <w:r w:rsidRPr="00E62798">
        <w:t>348</w:t>
      </w:r>
      <w:r w:rsidRPr="00E62798">
        <w:tab/>
        <w:t xml:space="preserve">Glickman M, Gheissari A, Money S, Martin J, Ballard JL and CoSeal Multicenter Vascular Surgery Study G (2002). A polymeric sealant inhibits anastomotic suture hole bleeding more rapidly than gelfoam/thrombin: results of a randomized controlled trial, </w:t>
      </w:r>
      <w:r w:rsidRPr="00E62798">
        <w:rPr>
          <w:i/>
        </w:rPr>
        <w:t>Archives of Surgery (Chicago, Ill.)</w:t>
      </w:r>
      <w:r w:rsidRPr="00E62798">
        <w:t xml:space="preserve"> 137(3):326–331, discussion 332. </w:t>
      </w:r>
      <w:hyperlink r:id="rId353" w:history="1">
        <w:r w:rsidRPr="00E62798">
          <w:rPr>
            <w:rStyle w:val="Hyperlink"/>
          </w:rPr>
          <w:t>http://archsurg.jamanetwork.com/data/Journals/SURG/5348/soa1157.pdf</w:t>
        </w:r>
        <w:bookmarkEnd w:id="650"/>
      </w:hyperlink>
    </w:p>
    <w:p w14:paraId="558D5048" w14:textId="1AA5125E" w:rsidR="00E62798" w:rsidRPr="00E62798" w:rsidRDefault="00E62798" w:rsidP="00E62798">
      <w:pPr>
        <w:pStyle w:val="EndNoteBibliography"/>
        <w:spacing w:after="0"/>
        <w:ind w:hanging="720"/>
      </w:pPr>
      <w:bookmarkStart w:id="651" w:name="_ENREF_349"/>
      <w:r w:rsidRPr="00E62798">
        <w:t>349</w:t>
      </w:r>
      <w:r w:rsidRPr="00E62798">
        <w:tab/>
        <w:t xml:space="preserve">Saha SP, Muluk S, Schenk W, Dennis JW, Ploder B, Grigorian A, et al. (2012). A prospective randomized study comparing fibrin sealant to manual compression for the treatment of anastomotic suture-hole bleeding in expanded polytetrafluoroethylene grafts, </w:t>
      </w:r>
      <w:r w:rsidRPr="00E62798">
        <w:rPr>
          <w:i/>
        </w:rPr>
        <w:t>Journal of Vascular Surgery</w:t>
      </w:r>
      <w:r w:rsidRPr="00E62798">
        <w:t xml:space="preserve"> 56(1):134–141. </w:t>
      </w:r>
      <w:hyperlink r:id="rId354" w:history="1">
        <w:r w:rsidRPr="00E62798">
          <w:rPr>
            <w:rStyle w:val="Hyperlink"/>
          </w:rPr>
          <w:t>http://www.jvascsurg.org/article/S0741-5214(12)00077-8/pdf</w:t>
        </w:r>
        <w:bookmarkEnd w:id="651"/>
      </w:hyperlink>
    </w:p>
    <w:p w14:paraId="12AC883F" w14:textId="34A19C76" w:rsidR="00E62798" w:rsidRPr="00E62798" w:rsidRDefault="00E62798" w:rsidP="00E62798">
      <w:pPr>
        <w:pStyle w:val="EndNoteBibliography"/>
        <w:spacing w:after="0"/>
        <w:ind w:hanging="720"/>
      </w:pPr>
      <w:bookmarkStart w:id="652" w:name="_ENREF_350"/>
      <w:r w:rsidRPr="00E62798">
        <w:t>350</w:t>
      </w:r>
      <w:r w:rsidRPr="00E62798">
        <w:tab/>
        <w:t xml:space="preserve">Nasso G, Piancone F, Bonifazi R, Romano V, Visicchio G, De Filippo CM, et al. (2009). Prospective, randomized clinical trial of the FloSeal matrix sealant in cardiac surgery, </w:t>
      </w:r>
      <w:r w:rsidRPr="00E62798">
        <w:rPr>
          <w:i/>
        </w:rPr>
        <w:t>The Annals of Thoracic Surgery</w:t>
      </w:r>
      <w:r w:rsidRPr="00E62798">
        <w:t xml:space="preserve"> 88(5):1520–1526. </w:t>
      </w:r>
      <w:hyperlink r:id="rId355" w:history="1">
        <w:r w:rsidRPr="00E62798">
          <w:rPr>
            <w:rStyle w:val="Hyperlink"/>
          </w:rPr>
          <w:t>http://www.annalsthoracicsurgery.org/article/S0003-4975(09)01487-8/pdf</w:t>
        </w:r>
        <w:bookmarkEnd w:id="652"/>
      </w:hyperlink>
    </w:p>
    <w:p w14:paraId="1474C034" w14:textId="206DB40B" w:rsidR="00E62798" w:rsidRPr="00E62798" w:rsidRDefault="00E62798" w:rsidP="00E62798">
      <w:pPr>
        <w:pStyle w:val="EndNoteBibliography"/>
        <w:spacing w:after="0"/>
        <w:ind w:hanging="720"/>
      </w:pPr>
      <w:bookmarkStart w:id="653" w:name="_ENREF_351"/>
      <w:r w:rsidRPr="00E62798">
        <w:t>351</w:t>
      </w:r>
      <w:r w:rsidRPr="00E62798">
        <w:tab/>
        <w:t xml:space="preserve">Fischer CP, Bochicchio G, Shen J, Patel B, Batiller J and Hart JC (2013). A prospective, randomized, controlled trial of the efficacy and safety of fibrin pad as an adjunct to control soft tissue bleeding during abdominal, retroperitoneal, pelvic, and thoracic surgery, </w:t>
      </w:r>
      <w:r w:rsidRPr="00E62798">
        <w:rPr>
          <w:i/>
        </w:rPr>
        <w:t>Journal of the American College of Surgeons</w:t>
      </w:r>
      <w:r w:rsidRPr="00E62798">
        <w:t xml:space="preserve"> 217(3):385–393. </w:t>
      </w:r>
      <w:hyperlink r:id="rId356" w:history="1">
        <w:r w:rsidRPr="00E62798">
          <w:rPr>
            <w:rStyle w:val="Hyperlink"/>
          </w:rPr>
          <w:t>http://www.journalacs.org/article/S1072-7515(13)00325-6/abstract</w:t>
        </w:r>
        <w:bookmarkEnd w:id="653"/>
      </w:hyperlink>
    </w:p>
    <w:p w14:paraId="327BCC67" w14:textId="7E54EECB" w:rsidR="00E62798" w:rsidRPr="00E62798" w:rsidRDefault="00E62798" w:rsidP="00E62798">
      <w:pPr>
        <w:pStyle w:val="EndNoteBibliography"/>
        <w:spacing w:after="0"/>
        <w:ind w:hanging="720"/>
      </w:pPr>
      <w:bookmarkStart w:id="654" w:name="_ENREF_352"/>
      <w:r w:rsidRPr="00E62798">
        <w:t>352</w:t>
      </w:r>
      <w:r w:rsidRPr="00E62798">
        <w:tab/>
        <w:t xml:space="preserve">Ferraris VA, Brown JR, Despotis GJ, Hammon JW, Reece TB, Saha SP, et al. (2011). 2011 update to the Society of Thoracic Surgeons and the Society of Cardiovascular Anesthesiologists blood conservation clinical practice guidelines, </w:t>
      </w:r>
      <w:r w:rsidRPr="00E62798">
        <w:rPr>
          <w:i/>
        </w:rPr>
        <w:t>The Annals of Thoracic Surgery</w:t>
      </w:r>
      <w:r w:rsidRPr="00E62798">
        <w:t xml:space="preserve"> 91(3):944–982. </w:t>
      </w:r>
      <w:hyperlink r:id="rId357" w:history="1">
        <w:r w:rsidRPr="00E62798">
          <w:rPr>
            <w:rStyle w:val="Hyperlink"/>
          </w:rPr>
          <w:t>http://www.annalsthoracicsurgery.org/article/S0003-4975(10)02888-2/pdf</w:t>
        </w:r>
        <w:bookmarkEnd w:id="654"/>
      </w:hyperlink>
    </w:p>
    <w:p w14:paraId="5D3FB51F" w14:textId="63AFF307" w:rsidR="00E62798" w:rsidRPr="00E62798" w:rsidRDefault="00E62798" w:rsidP="00E62798">
      <w:pPr>
        <w:pStyle w:val="EndNoteBibliography"/>
        <w:spacing w:after="0"/>
        <w:ind w:hanging="720"/>
      </w:pPr>
      <w:bookmarkStart w:id="655" w:name="_ENREF_353"/>
      <w:r w:rsidRPr="00E62798">
        <w:t>353</w:t>
      </w:r>
      <w:r w:rsidRPr="00E62798">
        <w:tab/>
        <w:t xml:space="preserve">Barnard J and Millner R (2009). A review of topical hemostatic agents for use in cardiac surgery, </w:t>
      </w:r>
      <w:r w:rsidRPr="00E62798">
        <w:rPr>
          <w:i/>
        </w:rPr>
        <w:t>The Annals of Thoracic Surgery</w:t>
      </w:r>
      <w:r w:rsidRPr="00E62798">
        <w:t xml:space="preserve"> 88(4):1377–1383. </w:t>
      </w:r>
      <w:hyperlink r:id="rId358" w:history="1">
        <w:r w:rsidRPr="00E62798">
          <w:rPr>
            <w:rStyle w:val="Hyperlink"/>
          </w:rPr>
          <w:t>http://www.annalsthoracicsurgery.org/article/S0003-4975(09)00382-8/pdf</w:t>
        </w:r>
        <w:bookmarkEnd w:id="655"/>
      </w:hyperlink>
    </w:p>
    <w:p w14:paraId="5ABFF184" w14:textId="77777777" w:rsidR="00E62798" w:rsidRPr="00E62798" w:rsidRDefault="00E62798" w:rsidP="00E62798">
      <w:pPr>
        <w:pStyle w:val="EndNoteBibliography"/>
        <w:spacing w:after="0"/>
        <w:ind w:hanging="720"/>
      </w:pPr>
      <w:bookmarkStart w:id="656" w:name="_ENREF_354"/>
      <w:r w:rsidRPr="00E62798">
        <w:t>354</w:t>
      </w:r>
      <w:r w:rsidRPr="00E62798">
        <w:tab/>
        <w:t xml:space="preserve">Achneck HE, Sileshi B, Jamiolkowski RM, Albala DM, Shapiro ML and Lawson JH (2010). A comprehensive review of topical hemostatic agents: efficacy and recommendations for use, </w:t>
      </w:r>
      <w:r w:rsidRPr="00E62798">
        <w:rPr>
          <w:i/>
        </w:rPr>
        <w:t>Annals of Surgery</w:t>
      </w:r>
      <w:r w:rsidRPr="00E62798">
        <w:t xml:space="preserve"> 251(2):217–228.</w:t>
      </w:r>
      <w:bookmarkEnd w:id="656"/>
    </w:p>
    <w:p w14:paraId="165582C3" w14:textId="06BC2B83" w:rsidR="00E62798" w:rsidRPr="00E62798" w:rsidRDefault="00E62798" w:rsidP="00E62798">
      <w:pPr>
        <w:pStyle w:val="EndNoteBibliography"/>
        <w:spacing w:after="0"/>
        <w:ind w:hanging="720"/>
      </w:pPr>
      <w:bookmarkStart w:id="657" w:name="_ENREF_355"/>
      <w:r w:rsidRPr="00E62798">
        <w:t>355</w:t>
      </w:r>
      <w:r w:rsidRPr="00E62798">
        <w:tab/>
        <w:t xml:space="preserve">Gabay M and Boucher BA (2013). An essential primer for understanding the role of topical hemostats, surgical sealants, and adhesives for maintaining hemostasis, </w:t>
      </w:r>
      <w:r w:rsidRPr="00E62798">
        <w:rPr>
          <w:i/>
        </w:rPr>
        <w:t>Pharmacotherapy</w:t>
      </w:r>
      <w:r w:rsidRPr="00E62798">
        <w:t xml:space="preserve"> 33(9):935–955. </w:t>
      </w:r>
      <w:hyperlink r:id="rId359" w:history="1">
        <w:r w:rsidRPr="00E62798">
          <w:rPr>
            <w:rStyle w:val="Hyperlink"/>
          </w:rPr>
          <w:t>http://onlinelibrary.wiley.com/doi/10.1002/phar.1291/abstract</w:t>
        </w:r>
        <w:bookmarkEnd w:id="657"/>
      </w:hyperlink>
    </w:p>
    <w:p w14:paraId="147FB9DD" w14:textId="0AFDD96E" w:rsidR="00E62798" w:rsidRPr="00E62798" w:rsidRDefault="00E62798" w:rsidP="00E62798">
      <w:pPr>
        <w:pStyle w:val="EndNoteBibliography"/>
        <w:spacing w:after="0"/>
        <w:ind w:hanging="720"/>
      </w:pPr>
      <w:bookmarkStart w:id="658" w:name="_ENREF_356"/>
      <w:r w:rsidRPr="00E62798">
        <w:t>356</w:t>
      </w:r>
      <w:r w:rsidRPr="00E62798">
        <w:tab/>
        <w:t xml:space="preserve">Ozawa S (2013). Patient blood management: use of topical hemostatic and sealant agents, </w:t>
      </w:r>
      <w:r w:rsidRPr="00E62798">
        <w:rPr>
          <w:i/>
        </w:rPr>
        <w:t>AORN Journal</w:t>
      </w:r>
      <w:r w:rsidRPr="00E62798">
        <w:t xml:space="preserve"> 98(5):461–478. </w:t>
      </w:r>
      <w:hyperlink r:id="rId360" w:history="1">
        <w:r w:rsidRPr="00E62798">
          <w:rPr>
            <w:rStyle w:val="Hyperlink"/>
          </w:rPr>
          <w:t>http://www.aornjournal.org/article/S0001-2092(13)00907-1/abstract</w:t>
        </w:r>
        <w:bookmarkEnd w:id="658"/>
      </w:hyperlink>
    </w:p>
    <w:p w14:paraId="330594C3" w14:textId="0534CAD4" w:rsidR="00E62798" w:rsidRPr="00E62798" w:rsidRDefault="00E62798" w:rsidP="00E62798">
      <w:pPr>
        <w:pStyle w:val="EndNoteBibliography"/>
        <w:spacing w:after="0"/>
        <w:ind w:hanging="720"/>
      </w:pPr>
      <w:bookmarkStart w:id="659" w:name="_ENREF_357"/>
      <w:r w:rsidRPr="00E62798">
        <w:t>357</w:t>
      </w:r>
      <w:r w:rsidRPr="00E62798">
        <w:tab/>
        <w:t xml:space="preserve">WHO (2008). </w:t>
      </w:r>
      <w:r w:rsidRPr="00E62798">
        <w:rPr>
          <w:i/>
        </w:rPr>
        <w:t>Worldwide prevalence of anaemia 1993–2005: WHO global database on anaemia</w:t>
      </w:r>
      <w:r w:rsidRPr="00E62798">
        <w:t xml:space="preserve">, World Health Organization (WHO), Geneva. </w:t>
      </w:r>
      <w:hyperlink r:id="rId361" w:history="1">
        <w:r w:rsidRPr="00E62798">
          <w:rPr>
            <w:rStyle w:val="Hyperlink"/>
          </w:rPr>
          <w:t>http://whqlibdoc.who.int/publications/2008/9789241596657eng.pdf</w:t>
        </w:r>
        <w:bookmarkEnd w:id="659"/>
      </w:hyperlink>
    </w:p>
    <w:p w14:paraId="69C726E5" w14:textId="4EB205B2" w:rsidR="00E62798" w:rsidRPr="00E62798" w:rsidRDefault="00E62798" w:rsidP="00E62798">
      <w:pPr>
        <w:pStyle w:val="EndNoteBibliography"/>
        <w:spacing w:after="0"/>
        <w:ind w:hanging="720"/>
      </w:pPr>
      <w:bookmarkStart w:id="660" w:name="_ENREF_358"/>
      <w:r w:rsidRPr="00E62798">
        <w:t>358</w:t>
      </w:r>
      <w:r w:rsidRPr="00E62798">
        <w:tab/>
        <w:t xml:space="preserve">Kassebaum NJ, Jasrasaria R, Naghavi M, Wulf SK, Johns N, Lozano R, et al. (2014). A systematic analysis of global anemia burden from 1990 to 2010, </w:t>
      </w:r>
      <w:r w:rsidRPr="00E62798">
        <w:rPr>
          <w:i/>
        </w:rPr>
        <w:t>Blood</w:t>
      </w:r>
      <w:r w:rsidRPr="00E62798">
        <w:t xml:space="preserve"> 123(5):615–624. </w:t>
      </w:r>
      <w:hyperlink r:id="rId362" w:history="1">
        <w:r w:rsidRPr="00E62798">
          <w:rPr>
            <w:rStyle w:val="Hyperlink"/>
          </w:rPr>
          <w:t>http://www.bloodjournal.org/content/123/5/615.long?sso-checked=true</w:t>
        </w:r>
        <w:bookmarkEnd w:id="660"/>
      </w:hyperlink>
    </w:p>
    <w:p w14:paraId="4201C574" w14:textId="77777777" w:rsidR="00E62798" w:rsidRPr="00E62798" w:rsidRDefault="00E62798" w:rsidP="00E62798">
      <w:pPr>
        <w:pStyle w:val="EndNoteBibliography"/>
        <w:spacing w:after="0"/>
        <w:ind w:hanging="720"/>
      </w:pPr>
      <w:bookmarkStart w:id="661" w:name="_ENREF_359"/>
      <w:r w:rsidRPr="00E62798">
        <w:t>359</w:t>
      </w:r>
      <w:r w:rsidRPr="00E62798">
        <w:tab/>
        <w:t>Domellof M, Braegger C, Campoy C, Colomb V, Decsi T, Fewtrell M, et al. (2014). Iron requirements of infants and toddlers, 58(1):119–129.</w:t>
      </w:r>
      <w:bookmarkEnd w:id="661"/>
    </w:p>
    <w:p w14:paraId="7D909E62" w14:textId="7261855B" w:rsidR="00E62798" w:rsidRPr="00E62798" w:rsidRDefault="00E62798" w:rsidP="00E62798">
      <w:pPr>
        <w:pStyle w:val="EndNoteBibliography"/>
        <w:spacing w:after="0"/>
        <w:ind w:hanging="720"/>
      </w:pPr>
      <w:bookmarkStart w:id="662" w:name="_ENREF_360"/>
      <w:r w:rsidRPr="00E62798">
        <w:t>360</w:t>
      </w:r>
      <w:r w:rsidRPr="00E62798">
        <w:tab/>
        <w:t xml:space="preserve">Grant CC, Wall CR, Brewster D, Nicholson R, Whitehall J, Super L, et al. (2007). Policy statement on iron deficiency in pre-school-aged children, </w:t>
      </w:r>
      <w:r w:rsidRPr="00E62798">
        <w:rPr>
          <w:i/>
        </w:rPr>
        <w:t>J Paediatr Child Health</w:t>
      </w:r>
      <w:r w:rsidRPr="00E62798">
        <w:t xml:space="preserve"> 43(7-8):513–521. </w:t>
      </w:r>
      <w:hyperlink r:id="rId363" w:history="1">
        <w:r w:rsidRPr="00E62798">
          <w:rPr>
            <w:rStyle w:val="Hyperlink"/>
          </w:rPr>
          <w:t>http://www.ncbi.nlm.nih.gov/pubmed/17635678</w:t>
        </w:r>
        <w:bookmarkEnd w:id="662"/>
      </w:hyperlink>
    </w:p>
    <w:p w14:paraId="5F33BBC3" w14:textId="77777777" w:rsidR="00E62798" w:rsidRPr="00E62798" w:rsidRDefault="00E62798" w:rsidP="00E62798">
      <w:pPr>
        <w:pStyle w:val="EndNoteBibliography"/>
        <w:spacing w:after="0"/>
        <w:ind w:hanging="720"/>
      </w:pPr>
      <w:bookmarkStart w:id="663" w:name="_ENREF_361"/>
      <w:r w:rsidRPr="00E62798">
        <w:t>361</w:t>
      </w:r>
      <w:r w:rsidRPr="00E62798">
        <w:tab/>
        <w:t xml:space="preserve">European Society of Paediatric Gastroenterology Nutrition (1987). Nutrition and feeding of preterm infants. Committee on Nutrition of the Preterm Infant, European Society of Paediatric Gastroenterology and Nutrition, </w:t>
      </w:r>
      <w:r w:rsidRPr="00E62798">
        <w:rPr>
          <w:i/>
        </w:rPr>
        <w:t>Acta Paediatrica (Oslo, Norway). Supplement</w:t>
      </w:r>
      <w:r w:rsidRPr="00E62798">
        <w:t xml:space="preserve"> 336:1–14.</w:t>
      </w:r>
      <w:bookmarkEnd w:id="663"/>
    </w:p>
    <w:p w14:paraId="2E6EFA62" w14:textId="77777777" w:rsidR="00E62798" w:rsidRPr="00E62798" w:rsidRDefault="00E62798" w:rsidP="00E62798">
      <w:pPr>
        <w:pStyle w:val="EndNoteBibliography"/>
        <w:spacing w:after="0"/>
        <w:ind w:hanging="720"/>
      </w:pPr>
      <w:bookmarkStart w:id="664" w:name="_ENREF_362"/>
      <w:r w:rsidRPr="00E62798">
        <w:t>362</w:t>
      </w:r>
      <w:r w:rsidRPr="00E62798">
        <w:tab/>
        <w:t xml:space="preserve">Cormack B (2003). </w:t>
      </w:r>
      <w:r w:rsidRPr="00E62798">
        <w:rPr>
          <w:i/>
        </w:rPr>
        <w:t>Neonatal and Infant Nutrition Handbook</w:t>
      </w:r>
      <w:r w:rsidRPr="00E62798">
        <w:t>, Auckland District Health Board, Auckland.</w:t>
      </w:r>
      <w:bookmarkEnd w:id="664"/>
    </w:p>
    <w:p w14:paraId="729A7B4D" w14:textId="77777777" w:rsidR="00E62798" w:rsidRPr="00E62798" w:rsidRDefault="00E62798" w:rsidP="00E62798">
      <w:pPr>
        <w:pStyle w:val="EndNoteBibliography"/>
        <w:spacing w:after="0"/>
        <w:ind w:hanging="720"/>
      </w:pPr>
      <w:bookmarkStart w:id="665" w:name="_ENREF_363"/>
      <w:r w:rsidRPr="00E62798">
        <w:t>363</w:t>
      </w:r>
      <w:r w:rsidRPr="00E62798">
        <w:tab/>
        <w:t xml:space="preserve">NHMRC and MoH (2006). </w:t>
      </w:r>
      <w:r w:rsidRPr="00E62798">
        <w:rPr>
          <w:i/>
        </w:rPr>
        <w:t>Nutrient Reference Values for Australia and New Zealand Including Recommended Dietary Intakes</w:t>
      </w:r>
      <w:r w:rsidRPr="00E62798">
        <w:t>, Australian National Health and Medical Research Council (NHMRC) and New Zealand Ministry of Health (MoH).</w:t>
      </w:r>
      <w:bookmarkEnd w:id="665"/>
    </w:p>
    <w:p w14:paraId="63B8CEEC" w14:textId="77777777" w:rsidR="00E62798" w:rsidRPr="00E62798" w:rsidRDefault="00E62798" w:rsidP="00E62798">
      <w:pPr>
        <w:pStyle w:val="EndNoteBibliography"/>
        <w:spacing w:after="0"/>
        <w:ind w:hanging="720"/>
      </w:pPr>
      <w:bookmarkStart w:id="666" w:name="_ENREF_364"/>
      <w:r w:rsidRPr="00E62798">
        <w:t>364</w:t>
      </w:r>
      <w:r w:rsidRPr="00E62798">
        <w:tab/>
        <w:t xml:space="preserve">(2013). </w:t>
      </w:r>
      <w:r w:rsidRPr="00E62798">
        <w:rPr>
          <w:i/>
        </w:rPr>
        <w:t>Iron studies standardised reporting protocol</w:t>
      </w:r>
      <w:r w:rsidRPr="00E62798">
        <w:t>, Royal College of Pathologists of Australasia.</w:t>
      </w:r>
      <w:bookmarkEnd w:id="666"/>
    </w:p>
    <w:p w14:paraId="746DEA24" w14:textId="69427708" w:rsidR="00E62798" w:rsidRPr="00E62798" w:rsidRDefault="00E62798" w:rsidP="00E62798">
      <w:pPr>
        <w:pStyle w:val="EndNoteBibliography"/>
        <w:spacing w:after="0"/>
        <w:ind w:hanging="720"/>
      </w:pPr>
      <w:bookmarkStart w:id="667" w:name="_ENREF_365"/>
      <w:r w:rsidRPr="00E62798">
        <w:t>365</w:t>
      </w:r>
      <w:r w:rsidRPr="00E62798">
        <w:tab/>
        <w:t xml:space="preserve">Ritchie B, McNeil Y and Brewster DR (2004). Soluble transferrin receptor in Aboriginal children with a high prevalence of iron deficiency and infection, </w:t>
      </w:r>
      <w:r w:rsidRPr="00E62798">
        <w:rPr>
          <w:i/>
        </w:rPr>
        <w:t>Tropical Medicine &amp; International Health</w:t>
      </w:r>
      <w:r w:rsidRPr="00E62798">
        <w:t xml:space="preserve"> 9(1):96–105. </w:t>
      </w:r>
      <w:hyperlink r:id="rId364" w:history="1">
        <w:r w:rsidRPr="00E62798">
          <w:rPr>
            <w:rStyle w:val="Hyperlink"/>
          </w:rPr>
          <w:t>http://onlinelibrary.wiley.com/store/10.1046/j.1365-3156.2003.01158.x/asset/j.1365-3156.2003.01158.x.pdf?v=1&amp;t=iagfxhob&amp;s=aeb4635832e92066da78409712e07e6d6a90810f</w:t>
        </w:r>
        <w:bookmarkEnd w:id="667"/>
      </w:hyperlink>
    </w:p>
    <w:p w14:paraId="70ABE5C0" w14:textId="5946A002" w:rsidR="00E62798" w:rsidRPr="00E62798" w:rsidRDefault="00E62798" w:rsidP="00E62798">
      <w:pPr>
        <w:pStyle w:val="EndNoteBibliography"/>
        <w:spacing w:after="0"/>
        <w:ind w:hanging="720"/>
      </w:pPr>
      <w:bookmarkStart w:id="668" w:name="_ENREF_366"/>
      <w:r w:rsidRPr="00E62798">
        <w:t>366</w:t>
      </w:r>
      <w:r w:rsidRPr="00E62798">
        <w:tab/>
        <w:t xml:space="preserve">Powers JM and Buchanan GR (2014). Diagnosis and management of iron deficiency anemia, </w:t>
      </w:r>
      <w:r w:rsidRPr="00E62798">
        <w:rPr>
          <w:i/>
        </w:rPr>
        <w:t>Hematol Oncol Clin North Am</w:t>
      </w:r>
      <w:r w:rsidRPr="00E62798">
        <w:t xml:space="preserve"> 28(4):729–745, vi–vii. </w:t>
      </w:r>
      <w:hyperlink r:id="rId365" w:history="1">
        <w:r w:rsidRPr="00E62798">
          <w:rPr>
            <w:rStyle w:val="Hyperlink"/>
          </w:rPr>
          <w:t>http://www.ncbi.nlm.nih.gov/pubmed/25064710</w:t>
        </w:r>
        <w:bookmarkEnd w:id="668"/>
      </w:hyperlink>
    </w:p>
    <w:p w14:paraId="678F75C8" w14:textId="6B471B03" w:rsidR="00E62798" w:rsidRPr="00E62798" w:rsidRDefault="00E62798" w:rsidP="00E62798">
      <w:pPr>
        <w:pStyle w:val="EndNoteBibliography"/>
        <w:spacing w:after="0"/>
        <w:ind w:hanging="720"/>
      </w:pPr>
      <w:bookmarkStart w:id="669" w:name="_ENREF_367"/>
      <w:r w:rsidRPr="00E62798">
        <w:t>367</w:t>
      </w:r>
      <w:r w:rsidRPr="00E62798">
        <w:tab/>
        <w:t xml:space="preserve">Gastroenterological Society of Australia (2008.). </w:t>
      </w:r>
      <w:r w:rsidRPr="00E62798">
        <w:rPr>
          <w:i/>
        </w:rPr>
        <w:t>Clinical update: Iron deficiency, First Edition</w:t>
      </w:r>
      <w:r w:rsidRPr="00E62798">
        <w:t xml:space="preserve">, Digestive Health Foundation, Sydney. </w:t>
      </w:r>
      <w:hyperlink r:id="rId366" w:history="1">
        <w:r w:rsidRPr="00E62798">
          <w:rPr>
            <w:rStyle w:val="Hyperlink"/>
          </w:rPr>
          <w:t>http://www.gesa.org.au</w:t>
        </w:r>
        <w:bookmarkEnd w:id="669"/>
      </w:hyperlink>
    </w:p>
    <w:p w14:paraId="08B4645D" w14:textId="7A6477CD" w:rsidR="00E62798" w:rsidRPr="00E62798" w:rsidRDefault="00E62798" w:rsidP="00E62798">
      <w:pPr>
        <w:pStyle w:val="EndNoteBibliography"/>
        <w:spacing w:after="0"/>
        <w:ind w:hanging="720"/>
      </w:pPr>
      <w:bookmarkStart w:id="670" w:name="_ENREF_368"/>
      <w:r w:rsidRPr="00E62798">
        <w:t>368</w:t>
      </w:r>
      <w:r w:rsidRPr="00E62798">
        <w:tab/>
        <w:t xml:space="preserve">Pasricha SR, Flecknoe-Brown SC, Allen KJ, Gibson PR, McMahon LP, Olynyk JK, et al. (2010). Diagnosis and management of iron deficiency anaemia: a clinical update, </w:t>
      </w:r>
      <w:r w:rsidRPr="00E62798">
        <w:rPr>
          <w:i/>
        </w:rPr>
        <w:t>Med J Aust</w:t>
      </w:r>
      <w:r w:rsidRPr="00E62798">
        <w:t xml:space="preserve"> 193(9):525–532. </w:t>
      </w:r>
      <w:hyperlink r:id="rId367" w:history="1">
        <w:r w:rsidRPr="00E62798">
          <w:rPr>
            <w:rStyle w:val="Hyperlink"/>
          </w:rPr>
          <w:t>http://www.ncbi.nlm.nih.gov/pubmed/21034387</w:t>
        </w:r>
        <w:bookmarkEnd w:id="670"/>
      </w:hyperlink>
    </w:p>
    <w:p w14:paraId="0EE0DF46" w14:textId="79343223" w:rsidR="00E62798" w:rsidRPr="00E62798" w:rsidRDefault="00E62798" w:rsidP="00E62798">
      <w:pPr>
        <w:pStyle w:val="EndNoteBibliography"/>
        <w:spacing w:after="0"/>
        <w:ind w:hanging="720"/>
      </w:pPr>
      <w:bookmarkStart w:id="671" w:name="_ENREF_369"/>
      <w:r w:rsidRPr="00E62798">
        <w:t>369</w:t>
      </w:r>
      <w:r w:rsidRPr="00E62798">
        <w:tab/>
        <w:t xml:space="preserve">Goddard AF, James MW, McIntyre AS, Scott BB and British Society of G (2011). Guidelines for the management of iron deficiency anaemia, </w:t>
      </w:r>
      <w:r w:rsidRPr="00E62798">
        <w:rPr>
          <w:i/>
        </w:rPr>
        <w:t>Gut</w:t>
      </w:r>
      <w:r w:rsidRPr="00E62798">
        <w:t xml:space="preserve"> 60(10):1309–1316. </w:t>
      </w:r>
      <w:hyperlink r:id="rId368" w:history="1">
        <w:r w:rsidRPr="00E62798">
          <w:rPr>
            <w:rStyle w:val="Hyperlink"/>
          </w:rPr>
          <w:t>http://gut.bmj.com/content/60/10/1309.full.pdf</w:t>
        </w:r>
        <w:bookmarkEnd w:id="671"/>
      </w:hyperlink>
    </w:p>
    <w:p w14:paraId="55617FE5" w14:textId="1DECAC94" w:rsidR="00E62798" w:rsidRPr="00E62798" w:rsidRDefault="00E62798" w:rsidP="00E62798">
      <w:pPr>
        <w:pStyle w:val="EndNoteBibliography"/>
        <w:spacing w:after="0"/>
        <w:ind w:hanging="720"/>
      </w:pPr>
      <w:bookmarkStart w:id="672" w:name="_ENREF_370"/>
      <w:r w:rsidRPr="00E62798">
        <w:t>370</w:t>
      </w:r>
      <w:r w:rsidRPr="00E62798">
        <w:tab/>
      </w:r>
      <w:r w:rsidRPr="00E62798">
        <w:rPr>
          <w:i/>
        </w:rPr>
        <w:t>Point-of-care quick reference: Iron deficiency anemia</w:t>
      </w:r>
      <w:r w:rsidRPr="00E62798">
        <w:t xml:space="preserve">, American Academy of Pediatrics. </w:t>
      </w:r>
      <w:hyperlink r:id="rId369" w:history="1">
        <w:r w:rsidRPr="00E62798">
          <w:rPr>
            <w:rStyle w:val="Hyperlink"/>
          </w:rPr>
          <w:t>http://pediatriccare.solutions.aap.org/Content.aspx?gbosid=165534</w:t>
        </w:r>
        <w:bookmarkEnd w:id="672"/>
      </w:hyperlink>
    </w:p>
    <w:p w14:paraId="3FA06910" w14:textId="77777777" w:rsidR="00E62798" w:rsidRPr="00E62798" w:rsidRDefault="00E62798" w:rsidP="00E62798">
      <w:pPr>
        <w:pStyle w:val="EndNoteBibliography"/>
        <w:spacing w:after="0"/>
        <w:ind w:hanging="720"/>
      </w:pPr>
      <w:bookmarkStart w:id="673" w:name="_ENREF_371"/>
      <w:r w:rsidRPr="00E62798">
        <w:t>371</w:t>
      </w:r>
      <w:r w:rsidRPr="00E62798">
        <w:tab/>
        <w:t xml:space="preserve">Paediatric Pharmacopoiea (2002). </w:t>
      </w:r>
      <w:r w:rsidRPr="00E62798">
        <w:rPr>
          <w:i/>
        </w:rPr>
        <w:t>Pocket prescriber (13th Edition)</w:t>
      </w:r>
      <w:r w:rsidRPr="00E62798">
        <w:t>, 13th ed, Pharmacy Department, The Royal Children's Hospital.</w:t>
      </w:r>
      <w:bookmarkEnd w:id="673"/>
    </w:p>
    <w:p w14:paraId="014F01E8" w14:textId="04334D5B" w:rsidR="00E62798" w:rsidRPr="00E62798" w:rsidRDefault="00E62798" w:rsidP="00E62798">
      <w:pPr>
        <w:pStyle w:val="EndNoteBibliography"/>
        <w:spacing w:after="0"/>
        <w:ind w:hanging="720"/>
      </w:pPr>
      <w:bookmarkStart w:id="674" w:name="_ENREF_372"/>
      <w:r w:rsidRPr="00E62798">
        <w:t>372</w:t>
      </w:r>
      <w:r w:rsidRPr="00E62798">
        <w:tab/>
        <w:t xml:space="preserve">Crary SE, Hall K and Buchanan GR (2011). Intravenous iron sucrose for children with iron deficiency failing to respond to oral iron therapy, </w:t>
      </w:r>
      <w:r w:rsidRPr="00E62798">
        <w:rPr>
          <w:i/>
        </w:rPr>
        <w:t>Pediatr Blood Cancer</w:t>
      </w:r>
      <w:r w:rsidRPr="00E62798">
        <w:t xml:space="preserve"> 56(4):615–619. </w:t>
      </w:r>
      <w:hyperlink r:id="rId370" w:history="1">
        <w:r w:rsidRPr="00E62798">
          <w:rPr>
            <w:rStyle w:val="Hyperlink"/>
          </w:rPr>
          <w:t>http://onlinelibrary.wiley.com/doi/10.1002/pbc.22930/abstract</w:t>
        </w:r>
        <w:bookmarkEnd w:id="674"/>
      </w:hyperlink>
    </w:p>
    <w:p w14:paraId="22F9DA08" w14:textId="40EE8D9C" w:rsidR="00E62798" w:rsidRPr="00E62798" w:rsidRDefault="00E62798" w:rsidP="00E62798">
      <w:pPr>
        <w:pStyle w:val="EndNoteBibliography"/>
        <w:spacing w:after="0"/>
        <w:ind w:hanging="720"/>
      </w:pPr>
      <w:bookmarkStart w:id="675" w:name="_ENREF_373"/>
      <w:r w:rsidRPr="00E62798">
        <w:t>373</w:t>
      </w:r>
      <w:r w:rsidRPr="00E62798">
        <w:tab/>
        <w:t xml:space="preserve">Laass MW, Straub S, Chainey S, Virgin G and Cushway T (2014). Effectiveness and safety of ferric carboxymaltose treatment in children and adolescents with inflammatory bowel disease and other gastrointestinal diseases, </w:t>
      </w:r>
      <w:r w:rsidRPr="00E62798">
        <w:rPr>
          <w:i/>
        </w:rPr>
        <w:t>BMC Gastroenterol</w:t>
      </w:r>
      <w:r w:rsidRPr="00E62798">
        <w:t xml:space="preserve"> 14:184. </w:t>
      </w:r>
      <w:hyperlink r:id="rId371" w:history="1">
        <w:r w:rsidRPr="00E62798">
          <w:rPr>
            <w:rStyle w:val="Hyperlink"/>
          </w:rPr>
          <w:t>http://www.ncbi.nlm.nih.gov/pubmed/25326048</w:t>
        </w:r>
        <w:bookmarkEnd w:id="675"/>
      </w:hyperlink>
    </w:p>
    <w:p w14:paraId="71B4255B" w14:textId="77777777" w:rsidR="00E62798" w:rsidRPr="00E62798" w:rsidRDefault="00E62798" w:rsidP="00E62798">
      <w:pPr>
        <w:pStyle w:val="EndNoteBibliography"/>
        <w:spacing w:after="0"/>
        <w:ind w:hanging="720"/>
      </w:pPr>
      <w:bookmarkStart w:id="676" w:name="_ENREF_374"/>
      <w:r w:rsidRPr="00E62798">
        <w:t>374</w:t>
      </w:r>
      <w:r w:rsidRPr="00E62798">
        <w:tab/>
        <w:t xml:space="preserve">Pinsk V, Levy J, Moser A, Yerushalmi B and Kapelushnik J (2008). Efficacy and safety of intravenous iron sucrose therapy in a group of children with iron deficiency anemia, </w:t>
      </w:r>
      <w:r w:rsidRPr="00E62798">
        <w:rPr>
          <w:i/>
        </w:rPr>
        <w:t>The Israel Medical Association Journal</w:t>
      </w:r>
      <w:r w:rsidRPr="00E62798">
        <w:t xml:space="preserve"> 10(5):335–338.</w:t>
      </w:r>
      <w:bookmarkEnd w:id="676"/>
    </w:p>
    <w:p w14:paraId="353D7ED5" w14:textId="77777777" w:rsidR="00E62798" w:rsidRPr="00E62798" w:rsidRDefault="00E62798" w:rsidP="00E62798">
      <w:pPr>
        <w:pStyle w:val="EndNoteBibliography"/>
        <w:spacing w:after="0"/>
        <w:ind w:hanging="720"/>
      </w:pPr>
      <w:bookmarkStart w:id="677" w:name="_ENREF_375"/>
      <w:r w:rsidRPr="00E62798">
        <w:t>375</w:t>
      </w:r>
      <w:r w:rsidRPr="00E62798">
        <w:tab/>
        <w:t xml:space="preserve">Tenenbein M and Rodgers GC (1994). The four A's of decreasing the toll of childhood iron poisoning deaths, </w:t>
      </w:r>
      <w:r w:rsidRPr="00E62798">
        <w:rPr>
          <w:i/>
        </w:rPr>
        <w:t>Archives of Family Medicine</w:t>
      </w:r>
      <w:r w:rsidRPr="00E62798">
        <w:t xml:space="preserve"> 3(9):754–755.</w:t>
      </w:r>
      <w:bookmarkEnd w:id="677"/>
    </w:p>
    <w:p w14:paraId="02BFB3E0" w14:textId="723D7DC4" w:rsidR="00E62798" w:rsidRPr="00E62798" w:rsidRDefault="00E62798" w:rsidP="00E62798">
      <w:pPr>
        <w:pStyle w:val="EndNoteBibliography"/>
        <w:spacing w:after="0"/>
        <w:ind w:hanging="720"/>
      </w:pPr>
      <w:bookmarkStart w:id="678" w:name="_ENREF_376"/>
      <w:r w:rsidRPr="00E62798">
        <w:t>376</w:t>
      </w:r>
      <w:r w:rsidRPr="00E62798">
        <w:tab/>
        <w:t xml:space="preserve">Hendrickson JE, Shaz BH, Pereira G, Atkins E, Johnson KK, Bao G, et al. (2012). Coagulopathy is prevalent and associated with adverse outcomes in transfused pediatric trauma patients, </w:t>
      </w:r>
      <w:r w:rsidRPr="00E62798">
        <w:rPr>
          <w:i/>
        </w:rPr>
        <w:t>J Pediatr</w:t>
      </w:r>
      <w:r w:rsidRPr="00E62798">
        <w:t xml:space="preserve"> 160(2):204–209 e203. </w:t>
      </w:r>
      <w:hyperlink r:id="rId372" w:history="1">
        <w:r w:rsidRPr="00E62798">
          <w:rPr>
            <w:rStyle w:val="Hyperlink"/>
          </w:rPr>
          <w:t>http://www.ncbi.nlm.nih.gov/pubmed/21925679</w:t>
        </w:r>
        <w:bookmarkEnd w:id="678"/>
      </w:hyperlink>
    </w:p>
    <w:p w14:paraId="2E244F25" w14:textId="1CF2DA0C" w:rsidR="00E62798" w:rsidRPr="00E62798" w:rsidRDefault="00E62798" w:rsidP="00E62798">
      <w:pPr>
        <w:pStyle w:val="EndNoteBibliography"/>
        <w:spacing w:after="0"/>
        <w:ind w:hanging="720"/>
      </w:pPr>
      <w:bookmarkStart w:id="679" w:name="_ENREF_377"/>
      <w:r w:rsidRPr="00E62798">
        <w:t>377</w:t>
      </w:r>
      <w:r w:rsidRPr="00E62798">
        <w:tab/>
        <w:t xml:space="preserve">Hendrickson JE, Shaz BH, Pereira G, Parker PM, Jessup P, Atwell F, et al. (2012). Implementation of a pediatric trauma massive transfusion protocol: one institution's experience, </w:t>
      </w:r>
      <w:r w:rsidRPr="00E62798">
        <w:rPr>
          <w:i/>
        </w:rPr>
        <w:t>Transfusion</w:t>
      </w:r>
      <w:r w:rsidRPr="00E62798">
        <w:t xml:space="preserve"> 52(6):1228–1236. </w:t>
      </w:r>
      <w:hyperlink r:id="rId373" w:history="1">
        <w:r w:rsidRPr="00E62798">
          <w:rPr>
            <w:rStyle w:val="Hyperlink"/>
          </w:rPr>
          <w:t>http://www.ncbi.nlm.nih.gov/pubmed/22128884</w:t>
        </w:r>
        <w:bookmarkEnd w:id="679"/>
      </w:hyperlink>
    </w:p>
    <w:p w14:paraId="0C820322" w14:textId="71CA0417" w:rsidR="00E62798" w:rsidRPr="00E62798" w:rsidRDefault="00E62798" w:rsidP="00E62798">
      <w:pPr>
        <w:pStyle w:val="EndNoteBibliography"/>
        <w:spacing w:after="0"/>
        <w:ind w:hanging="720"/>
      </w:pPr>
      <w:bookmarkStart w:id="680" w:name="_ENREF_378"/>
      <w:r w:rsidRPr="00E62798">
        <w:t>378</w:t>
      </w:r>
      <w:r w:rsidRPr="00E62798">
        <w:tab/>
        <w:t xml:space="preserve">Chidester SJ, Williams N, Wang W and Groner JI (2012). A pediatric massive transfusion protocol, </w:t>
      </w:r>
      <w:r w:rsidRPr="00E62798">
        <w:rPr>
          <w:i/>
        </w:rPr>
        <w:t>J Trauma Acute Care Surg</w:t>
      </w:r>
      <w:r w:rsidRPr="00E62798">
        <w:t xml:space="preserve"> 73(5):1273–1277. </w:t>
      </w:r>
      <w:hyperlink r:id="rId374" w:history="1">
        <w:r w:rsidRPr="00E62798">
          <w:rPr>
            <w:rStyle w:val="Hyperlink"/>
          </w:rPr>
          <w:t>http://www.ncbi.nlm.nih.gov/pubmed/23064608</w:t>
        </w:r>
        <w:bookmarkEnd w:id="680"/>
      </w:hyperlink>
    </w:p>
    <w:p w14:paraId="3CC1991D" w14:textId="3301ADB4" w:rsidR="00E62798" w:rsidRPr="00E62798" w:rsidRDefault="00E62798" w:rsidP="00E62798">
      <w:pPr>
        <w:pStyle w:val="EndNoteBibliography"/>
        <w:spacing w:after="0"/>
        <w:ind w:hanging="720"/>
      </w:pPr>
      <w:bookmarkStart w:id="681" w:name="_ENREF_379"/>
      <w:r w:rsidRPr="00E62798">
        <w:t>379</w:t>
      </w:r>
      <w:r w:rsidRPr="00E62798">
        <w:tab/>
        <w:t xml:space="preserve">Dressler AM, Finck CM, Carroll CL, Bonanni CC and Spinella PC (2010). Use of a massive transfusion protocol with hemostatic resuscitation for severe intraoperative bleeding in a child, </w:t>
      </w:r>
      <w:r w:rsidRPr="00E62798">
        <w:rPr>
          <w:i/>
        </w:rPr>
        <w:t>J Pediatr Surg</w:t>
      </w:r>
      <w:r w:rsidRPr="00E62798">
        <w:t xml:space="preserve"> 45(7):1530–1533. </w:t>
      </w:r>
      <w:hyperlink r:id="rId375" w:history="1">
        <w:r w:rsidRPr="00E62798">
          <w:rPr>
            <w:rStyle w:val="Hyperlink"/>
          </w:rPr>
          <w:t>http://www.ncbi.nlm.nih.gov/pubmed/20638538</w:t>
        </w:r>
        <w:bookmarkEnd w:id="681"/>
      </w:hyperlink>
    </w:p>
    <w:p w14:paraId="4674A2C8" w14:textId="629C73DC" w:rsidR="00E62798" w:rsidRPr="00E62798" w:rsidRDefault="00E62798" w:rsidP="00E62798">
      <w:pPr>
        <w:pStyle w:val="EndNoteBibliography"/>
        <w:spacing w:after="0"/>
        <w:ind w:hanging="720"/>
      </w:pPr>
      <w:bookmarkStart w:id="682" w:name="_ENREF_380"/>
      <w:r w:rsidRPr="00E62798">
        <w:t>380</w:t>
      </w:r>
      <w:r w:rsidRPr="00E62798">
        <w:tab/>
        <w:t xml:space="preserve">Diab YA, Wong EC and Luban NL (2013). Massive transfusion in children and neonates, </w:t>
      </w:r>
      <w:r w:rsidRPr="00E62798">
        <w:rPr>
          <w:i/>
        </w:rPr>
        <w:t>Br J Haematol</w:t>
      </w:r>
      <w:r w:rsidRPr="00E62798">
        <w:t xml:space="preserve"> 161(1):15–26. </w:t>
      </w:r>
      <w:hyperlink r:id="rId376" w:history="1">
        <w:r w:rsidRPr="00E62798">
          <w:rPr>
            <w:rStyle w:val="Hyperlink"/>
          </w:rPr>
          <w:t>http://www.ncbi.nlm.nih.gov/pubmed/23432321</w:t>
        </w:r>
        <w:bookmarkEnd w:id="682"/>
      </w:hyperlink>
    </w:p>
    <w:p w14:paraId="6484ABD9" w14:textId="04C10287" w:rsidR="00E62798" w:rsidRPr="00E62798" w:rsidRDefault="00E62798" w:rsidP="00E62798">
      <w:pPr>
        <w:pStyle w:val="EndNoteBibliography"/>
        <w:spacing w:after="0"/>
        <w:ind w:hanging="720"/>
      </w:pPr>
      <w:bookmarkStart w:id="683" w:name="_ENREF_381"/>
      <w:r w:rsidRPr="00E62798">
        <w:t>381</w:t>
      </w:r>
      <w:r w:rsidRPr="00E62798">
        <w:tab/>
        <w:t xml:space="preserve">(2015). </w:t>
      </w:r>
      <w:r w:rsidRPr="00E62798">
        <w:rPr>
          <w:i/>
        </w:rPr>
        <w:t>Transfusion of Prematures (TOP) Trial</w:t>
      </w:r>
      <w:r w:rsidRPr="00E62798">
        <w:t xml:space="preserve">. </w:t>
      </w:r>
      <w:hyperlink r:id="rId377" w:history="1">
        <w:r w:rsidRPr="00E62798">
          <w:rPr>
            <w:rStyle w:val="Hyperlink"/>
          </w:rPr>
          <w:t>https://clinicaltrials.gov/ct2/show/NCT01702805</w:t>
        </w:r>
        <w:bookmarkEnd w:id="683"/>
      </w:hyperlink>
    </w:p>
    <w:p w14:paraId="2A60BCC3" w14:textId="77777777" w:rsidR="00E62798" w:rsidRPr="00E62798" w:rsidRDefault="00E62798" w:rsidP="00E62798">
      <w:pPr>
        <w:pStyle w:val="EndNoteBibliography"/>
        <w:spacing w:after="0"/>
        <w:ind w:hanging="720"/>
      </w:pPr>
      <w:bookmarkStart w:id="684" w:name="_ENREF_382"/>
      <w:r w:rsidRPr="00E62798">
        <w:t>382</w:t>
      </w:r>
      <w:r w:rsidRPr="00E62798">
        <w:tab/>
        <w:t>&lt;ETTNO_Information_HomepageCPCS_AF.pdf&gt;.</w:t>
      </w:r>
      <w:bookmarkEnd w:id="684"/>
    </w:p>
    <w:p w14:paraId="2909B6DB" w14:textId="14850C95" w:rsidR="00E62798" w:rsidRPr="00E62798" w:rsidRDefault="00E62798" w:rsidP="00E62798">
      <w:pPr>
        <w:pStyle w:val="EndNoteBibliography"/>
        <w:spacing w:after="0"/>
        <w:ind w:hanging="720"/>
      </w:pPr>
      <w:bookmarkStart w:id="685" w:name="_ENREF_383"/>
      <w:r w:rsidRPr="00E62798">
        <w:t>383</w:t>
      </w:r>
      <w:r w:rsidRPr="00E62798">
        <w:tab/>
        <w:t xml:space="preserve">(2013). </w:t>
      </w:r>
      <w:r w:rsidRPr="00E62798">
        <w:rPr>
          <w:i/>
        </w:rPr>
        <w:t xml:space="preserve">National Patient Blood Management Guidelines Implementation Strategy 2013–17 </w:t>
      </w:r>
      <w:r w:rsidRPr="00E62798">
        <w:t xml:space="preserve">National Blood Authority, Canberra. </w:t>
      </w:r>
      <w:hyperlink r:id="rId378" w:history="1">
        <w:r w:rsidRPr="00E62798">
          <w:rPr>
            <w:rStyle w:val="Hyperlink"/>
          </w:rPr>
          <w:t>http://www.blood.gov.au/implementing-pbm</w:t>
        </w:r>
        <w:bookmarkEnd w:id="685"/>
      </w:hyperlink>
    </w:p>
    <w:p w14:paraId="77F1934A" w14:textId="19D363DB" w:rsidR="00E62798" w:rsidRPr="00E62798" w:rsidRDefault="00E62798" w:rsidP="00E62798">
      <w:pPr>
        <w:pStyle w:val="EndNoteBibliography"/>
        <w:spacing w:after="0"/>
        <w:ind w:hanging="720"/>
      </w:pPr>
      <w:bookmarkStart w:id="686" w:name="_ENREF_384"/>
      <w:r w:rsidRPr="00E62798">
        <w:t>384</w:t>
      </w:r>
      <w:r w:rsidRPr="00E62798">
        <w:tab/>
        <w:t xml:space="preserve">Australian Council on Healthcare Standards (2013). </w:t>
      </w:r>
      <w:r w:rsidRPr="00E62798">
        <w:rPr>
          <w:i/>
        </w:rPr>
        <w:t>National Safety and Quality Health Service (NSQHS) Standards</w:t>
      </w:r>
      <w:r w:rsidRPr="00E62798">
        <w:t xml:space="preserve">. </w:t>
      </w:r>
      <w:hyperlink r:id="rId379" w:anchor="NSQHS-Standards" w:history="1">
        <w:r w:rsidRPr="00E62798">
          <w:rPr>
            <w:rStyle w:val="Hyperlink"/>
          </w:rPr>
          <w:t>http://www.safetyandquality.gov.au/our-work/accreditation-and-the-nsqhs-standards/resources-to-implement-the-nsqhs-standards/#NSQHS-Standards</w:t>
        </w:r>
        <w:bookmarkEnd w:id="686"/>
      </w:hyperlink>
    </w:p>
    <w:p w14:paraId="24154396" w14:textId="4BAEA7AD" w:rsidR="00E62798" w:rsidRPr="00E62798" w:rsidRDefault="00E62798" w:rsidP="00E62798">
      <w:pPr>
        <w:pStyle w:val="EndNoteBibliography"/>
        <w:spacing w:after="0"/>
        <w:ind w:hanging="720"/>
      </w:pPr>
      <w:bookmarkStart w:id="687" w:name="_ENREF_385"/>
      <w:r w:rsidRPr="00E62798">
        <w:t>385</w:t>
      </w:r>
      <w:r w:rsidRPr="00E62798">
        <w:tab/>
        <w:t xml:space="preserve">(2013). </w:t>
      </w:r>
      <w:r w:rsidRPr="00E62798">
        <w:rPr>
          <w:i/>
        </w:rPr>
        <w:t>National Blood Sector Education and Training Strategy 2013–2016</w:t>
      </w:r>
      <w:r w:rsidRPr="00E62798">
        <w:t xml:space="preserve">, National Blood Authority, Canberra. </w:t>
      </w:r>
      <w:hyperlink r:id="rId380" w:history="1">
        <w:r w:rsidRPr="00E62798">
          <w:rPr>
            <w:rStyle w:val="Hyperlink"/>
          </w:rPr>
          <w:t>http://www.blood.gov.au/education-and-training</w:t>
        </w:r>
        <w:bookmarkEnd w:id="687"/>
      </w:hyperlink>
    </w:p>
    <w:p w14:paraId="22F42E65" w14:textId="2181CD76" w:rsidR="00E62798" w:rsidRPr="00E62798" w:rsidRDefault="00E62798" w:rsidP="00E62798">
      <w:pPr>
        <w:pStyle w:val="EndNoteBibliography"/>
        <w:spacing w:after="0"/>
        <w:ind w:hanging="720"/>
      </w:pPr>
      <w:bookmarkStart w:id="688" w:name="_ENREF_386"/>
      <w:r w:rsidRPr="00E62798">
        <w:t>386</w:t>
      </w:r>
      <w:r w:rsidRPr="00E62798">
        <w:tab/>
        <w:t xml:space="preserve">(2011). </w:t>
      </w:r>
      <w:r w:rsidRPr="00E62798">
        <w:rPr>
          <w:i/>
        </w:rPr>
        <w:t>National Safety and Quality Health Service Standards</w:t>
      </w:r>
      <w:r w:rsidRPr="00E62798">
        <w:t xml:space="preserve">, Australian Commission on Safety and Quality in Health Care, Sydney. </w:t>
      </w:r>
      <w:hyperlink r:id="rId381" w:history="1">
        <w:r w:rsidRPr="00E62798">
          <w:rPr>
            <w:rStyle w:val="Hyperlink"/>
          </w:rPr>
          <w:t>http://www.safetyandquality.gov.au/wp-content/uploads/2011/09/NSQHS-Standards-Sept-2012.pdf</w:t>
        </w:r>
        <w:bookmarkEnd w:id="688"/>
      </w:hyperlink>
    </w:p>
    <w:p w14:paraId="6884CA7F" w14:textId="1FCE5278" w:rsidR="00E62798" w:rsidRPr="00E62798" w:rsidRDefault="00E62798" w:rsidP="00E62798">
      <w:pPr>
        <w:pStyle w:val="EndNoteBibliography"/>
        <w:spacing w:after="0"/>
        <w:ind w:hanging="720"/>
      </w:pPr>
      <w:bookmarkStart w:id="689" w:name="_ENREF_387"/>
      <w:r w:rsidRPr="00E62798">
        <w:t>387</w:t>
      </w:r>
      <w:r w:rsidRPr="00E62798">
        <w:tab/>
        <w:t xml:space="preserve">Snyder-Ramos SA, Mohnle P, Weng YS, Bottiger BW, Kulier A, Levin J, et al. (2008). The ongoing variability in blood transfusion practices in cardiac surgery, </w:t>
      </w:r>
      <w:r w:rsidRPr="00E62798">
        <w:rPr>
          <w:i/>
        </w:rPr>
        <w:t>Transfusion</w:t>
      </w:r>
      <w:r w:rsidRPr="00E62798">
        <w:t xml:space="preserve"> 48(7):1284–1299. </w:t>
      </w:r>
      <w:hyperlink r:id="rId382" w:history="1">
        <w:r w:rsidRPr="00E62798">
          <w:rPr>
            <w:rStyle w:val="Hyperlink"/>
          </w:rPr>
          <w:t>http://www.ncbi.nlm.nih.gov/pubmed/18422857</w:t>
        </w:r>
      </w:hyperlink>
      <w:r w:rsidRPr="00E62798">
        <w:t xml:space="preserve"> </w:t>
      </w:r>
      <w:bookmarkEnd w:id="689"/>
    </w:p>
    <w:p w14:paraId="63A1956A" w14:textId="77777777" w:rsidR="00E62798" w:rsidRPr="00E62798" w:rsidRDefault="00E62798" w:rsidP="00E62798">
      <w:pPr>
        <w:pStyle w:val="EndNoteBibliography"/>
        <w:spacing w:after="0"/>
        <w:ind w:hanging="720"/>
      </w:pPr>
      <w:bookmarkStart w:id="690" w:name="_ENREF_388"/>
      <w:r w:rsidRPr="00E62798">
        <w:t>388</w:t>
      </w:r>
      <w:r w:rsidRPr="00E62798">
        <w:tab/>
        <w:t xml:space="preserve">National Blood Authority (NBA) (In preparation). </w:t>
      </w:r>
      <w:r w:rsidRPr="00E62798">
        <w:rPr>
          <w:i/>
        </w:rPr>
        <w:t>Patient Blood Management Guidelines: Module 5 – Obstetrics and Maternity: Technical Report Volume 1 – Appendixes</w:t>
      </w:r>
      <w:r w:rsidRPr="00E62798">
        <w:t>, NBA, Canberra, Australia.</w:t>
      </w:r>
      <w:bookmarkEnd w:id="690"/>
    </w:p>
    <w:p w14:paraId="6B11BCC8" w14:textId="77777777" w:rsidR="00E62798" w:rsidRPr="00E62798" w:rsidRDefault="00E62798" w:rsidP="00E62798">
      <w:pPr>
        <w:pStyle w:val="EndNoteBibliography"/>
        <w:spacing w:after="0"/>
        <w:ind w:hanging="720"/>
      </w:pPr>
      <w:bookmarkStart w:id="691" w:name="_ENREF_389"/>
      <w:r w:rsidRPr="00E62798">
        <w:t>389</w:t>
      </w:r>
      <w:r w:rsidRPr="00E62798">
        <w:tab/>
        <w:t xml:space="preserve">National Blood Authority (NBA) (In preparation). </w:t>
      </w:r>
      <w:r w:rsidRPr="00E62798">
        <w:rPr>
          <w:i/>
        </w:rPr>
        <w:t>Patient Blood Management Guidelines: Module 5 – Obstetrics and Maternity: Technical Report Volume 2 – Annexes</w:t>
      </w:r>
      <w:r w:rsidRPr="00E62798">
        <w:t>, NBA, Canberra, Australia.</w:t>
      </w:r>
      <w:bookmarkEnd w:id="691"/>
    </w:p>
    <w:p w14:paraId="5EC1BFA7" w14:textId="7C17182B" w:rsidR="00E62798" w:rsidRPr="00E62798" w:rsidRDefault="00E62798" w:rsidP="00E62798">
      <w:pPr>
        <w:pStyle w:val="EndNoteBibliography"/>
        <w:spacing w:after="0"/>
        <w:ind w:hanging="720"/>
      </w:pPr>
      <w:bookmarkStart w:id="692" w:name="_ENREF_390"/>
      <w:r w:rsidRPr="00E62798">
        <w:t>390</w:t>
      </w:r>
      <w:r w:rsidRPr="00E62798">
        <w:tab/>
        <w:t xml:space="preserve">Brouwers MC, Kho ME, Browman GP, Burgers JS, Cluzeau F, Feder G, et al. (2010). AGREE II: advancing guideline development, reporting and evaluation in health care, </w:t>
      </w:r>
      <w:r w:rsidRPr="00E62798">
        <w:rPr>
          <w:i/>
        </w:rPr>
        <w:t>CMAJ</w:t>
      </w:r>
      <w:r w:rsidRPr="00E62798">
        <w:t xml:space="preserve"> 182(18):E839-842. </w:t>
      </w:r>
      <w:hyperlink r:id="rId383" w:history="1">
        <w:r w:rsidRPr="00E62798">
          <w:rPr>
            <w:rStyle w:val="Hyperlink"/>
          </w:rPr>
          <w:t>http://www.ncbi.nlm.nih.gov/pubmed/20603348</w:t>
        </w:r>
        <w:bookmarkEnd w:id="692"/>
      </w:hyperlink>
    </w:p>
    <w:p w14:paraId="1649F9DF" w14:textId="68E70026" w:rsidR="00E62798" w:rsidRPr="00E62798" w:rsidRDefault="00E62798" w:rsidP="00E62798">
      <w:pPr>
        <w:pStyle w:val="EndNoteBibliography"/>
        <w:spacing w:after="0"/>
        <w:ind w:hanging="720"/>
      </w:pPr>
      <w:bookmarkStart w:id="693" w:name="_ENREF_391"/>
      <w:r w:rsidRPr="00E62798">
        <w:t>391</w:t>
      </w:r>
      <w:r w:rsidRPr="00E62798">
        <w:tab/>
        <w:t xml:space="preserve">Calman K (1996). The health of the nation, </w:t>
      </w:r>
      <w:r w:rsidRPr="00E62798">
        <w:rPr>
          <w:i/>
        </w:rPr>
        <w:t>British Journal of Hospital Medicine</w:t>
      </w:r>
      <w:r w:rsidRPr="00E62798">
        <w:t xml:space="preserve"> 56(4):125–126. </w:t>
      </w:r>
      <w:hyperlink r:id="rId384" w:history="1">
        <w:r w:rsidRPr="00E62798">
          <w:rPr>
            <w:rStyle w:val="Hyperlink"/>
          </w:rPr>
          <w:t>http://www.ncbi.nlm.nih.gov/pubmed/8872334</w:t>
        </w:r>
        <w:bookmarkEnd w:id="693"/>
      </w:hyperlink>
    </w:p>
    <w:p w14:paraId="383808D5" w14:textId="77777777" w:rsidR="00E62798" w:rsidRPr="00E62798" w:rsidRDefault="00E62798" w:rsidP="00E62798">
      <w:pPr>
        <w:pStyle w:val="EndNoteBibliography"/>
        <w:spacing w:after="0"/>
        <w:ind w:hanging="720"/>
      </w:pPr>
      <w:bookmarkStart w:id="694" w:name="_ENREF_392"/>
      <w:r w:rsidRPr="00E62798">
        <w:t>392</w:t>
      </w:r>
      <w:r w:rsidRPr="00E62798">
        <w:tab/>
        <w:t xml:space="preserve">(2003). </w:t>
      </w:r>
      <w:r w:rsidRPr="00E62798">
        <w:rPr>
          <w:i/>
        </w:rPr>
        <w:t>National Blood Agrreement</w:t>
      </w:r>
      <w:r w:rsidRPr="00E62798">
        <w:t>, Canberra.</w:t>
      </w:r>
      <w:bookmarkEnd w:id="694"/>
    </w:p>
    <w:p w14:paraId="196033DB" w14:textId="6FF3D3CF" w:rsidR="00E62798" w:rsidRPr="00E62798" w:rsidRDefault="00E62798" w:rsidP="00E62798">
      <w:pPr>
        <w:pStyle w:val="EndNoteBibliography"/>
        <w:spacing w:after="0"/>
        <w:ind w:hanging="720"/>
      </w:pPr>
      <w:bookmarkStart w:id="695" w:name="_ENREF_393"/>
      <w:r w:rsidRPr="00E62798">
        <w:t>393</w:t>
      </w:r>
      <w:r w:rsidRPr="00E62798">
        <w:tab/>
        <w:t xml:space="preserve">Guillen U, Cummings JJ, Bell EF, Hosono S, Frantz AR, Maier RF, et al. (2012). International survey of transfusion practices for extremely premature infants, </w:t>
      </w:r>
      <w:r w:rsidRPr="00E62798">
        <w:rPr>
          <w:i/>
        </w:rPr>
        <w:t>Semin Perinatol</w:t>
      </w:r>
      <w:r w:rsidRPr="00E62798">
        <w:t xml:space="preserve"> 36(4):244–247. </w:t>
      </w:r>
      <w:hyperlink r:id="rId385" w:history="1">
        <w:r w:rsidRPr="00E62798">
          <w:rPr>
            <w:rStyle w:val="Hyperlink"/>
          </w:rPr>
          <w:t>http://www.ncbi.nlm.nih.gov/pubmed/22818544</w:t>
        </w:r>
        <w:bookmarkEnd w:id="695"/>
      </w:hyperlink>
    </w:p>
    <w:p w14:paraId="15929DF9" w14:textId="71533502" w:rsidR="00E62798" w:rsidRPr="00E62798" w:rsidRDefault="00E62798" w:rsidP="00E62798">
      <w:pPr>
        <w:pStyle w:val="EndNoteBibliography"/>
        <w:spacing w:after="0"/>
        <w:ind w:hanging="720"/>
      </w:pPr>
      <w:bookmarkStart w:id="696" w:name="_ENREF_394"/>
      <w:r w:rsidRPr="00E62798">
        <w:t>394</w:t>
      </w:r>
      <w:r w:rsidRPr="00E62798">
        <w:tab/>
        <w:t xml:space="preserve">Blanchette VS and Zipursky A (1984). Assessment of anemia in newborn infants, </w:t>
      </w:r>
      <w:r w:rsidRPr="00E62798">
        <w:rPr>
          <w:i/>
        </w:rPr>
        <w:t>Clin Perinatol</w:t>
      </w:r>
      <w:r w:rsidRPr="00E62798">
        <w:t xml:space="preserve"> 11(2):489–510. </w:t>
      </w:r>
      <w:hyperlink r:id="rId386" w:history="1">
        <w:r w:rsidRPr="00E62798">
          <w:rPr>
            <w:rStyle w:val="Hyperlink"/>
          </w:rPr>
          <w:t>http://www.ncbi.nlm.nih.gov/pubmed/6378489</w:t>
        </w:r>
        <w:bookmarkEnd w:id="696"/>
      </w:hyperlink>
    </w:p>
    <w:p w14:paraId="49C5AFA4" w14:textId="44D60657" w:rsidR="00E62798" w:rsidRPr="00E62798" w:rsidRDefault="00E62798" w:rsidP="00E62798">
      <w:pPr>
        <w:pStyle w:val="EndNoteBibliography"/>
        <w:spacing w:after="0"/>
        <w:ind w:hanging="720"/>
      </w:pPr>
      <w:bookmarkStart w:id="697" w:name="_ENREF_395"/>
      <w:r w:rsidRPr="00E62798">
        <w:t>395</w:t>
      </w:r>
      <w:r w:rsidRPr="00E62798">
        <w:tab/>
        <w:t xml:space="preserve">RCPCH (2012). </w:t>
      </w:r>
      <w:r w:rsidRPr="00E62798">
        <w:rPr>
          <w:i/>
        </w:rPr>
        <w:t>Major trauma and the use of tranexamic acid in children</w:t>
      </w:r>
      <w:r w:rsidRPr="00E62798">
        <w:t xml:space="preserve">, Royal College of Paediatrics and Child Health. </w:t>
      </w:r>
      <w:hyperlink r:id="rId387" w:anchor="TXA" w:history="1">
        <w:r w:rsidRPr="00E62798">
          <w:rPr>
            <w:rStyle w:val="Hyperlink"/>
          </w:rPr>
          <w:t>http://www.rcpch.ac.uk/improving-child-health/quality-improvement-and-clinical-audit/childrens-medicines/childrens-medicine#TXA</w:t>
        </w:r>
        <w:bookmarkEnd w:id="697"/>
      </w:hyperlink>
    </w:p>
    <w:p w14:paraId="74F0DEAE" w14:textId="77777777" w:rsidR="00E62798" w:rsidRPr="00E62798" w:rsidRDefault="00E62798" w:rsidP="00E62798">
      <w:pPr>
        <w:pStyle w:val="EndNoteBibliography"/>
        <w:spacing w:after="0"/>
        <w:ind w:hanging="720"/>
      </w:pPr>
      <w:bookmarkStart w:id="698" w:name="_ENREF_396"/>
      <w:r w:rsidRPr="00E62798">
        <w:t>396</w:t>
      </w:r>
      <w:r w:rsidRPr="00E62798">
        <w:tab/>
        <w:t xml:space="preserve">(2013). </w:t>
      </w:r>
      <w:r w:rsidRPr="00E62798">
        <w:rPr>
          <w:i/>
        </w:rPr>
        <w:t>Day Medical Unit – Treatment protocol: Administration of iron carboxymaltose (Ferinject);Version 4</w:t>
      </w:r>
      <w:r w:rsidRPr="00E62798">
        <w:t>, Royal Children's Hospital, Melbourne, Australia.</w:t>
      </w:r>
      <w:bookmarkEnd w:id="698"/>
    </w:p>
    <w:p w14:paraId="5A37A71D" w14:textId="77777777" w:rsidR="00E62798" w:rsidRPr="00E62798" w:rsidRDefault="00E62798" w:rsidP="00E62798">
      <w:pPr>
        <w:pStyle w:val="EndNoteBibliography"/>
        <w:spacing w:after="0"/>
        <w:ind w:hanging="720"/>
      </w:pPr>
      <w:bookmarkStart w:id="699" w:name="_ENREF_397"/>
      <w:r w:rsidRPr="00E62798">
        <w:t>397</w:t>
      </w:r>
      <w:r w:rsidRPr="00E62798">
        <w:tab/>
        <w:t xml:space="preserve">(2012). </w:t>
      </w:r>
      <w:r w:rsidRPr="00E62798">
        <w:rPr>
          <w:i/>
        </w:rPr>
        <w:t>Day Medical Unit – Treatment protocol: Administration of iron sucrose (Venofer)</w:t>
      </w:r>
      <w:r w:rsidRPr="00E62798">
        <w:t>, Royal Children's Hospital, Melbourne, Australia.</w:t>
      </w:r>
      <w:bookmarkEnd w:id="699"/>
    </w:p>
    <w:p w14:paraId="06E54DF5" w14:textId="77777777" w:rsidR="00E62798" w:rsidRPr="00E62798" w:rsidRDefault="00E62798" w:rsidP="00E62798">
      <w:pPr>
        <w:pStyle w:val="EndNoteBibliography"/>
        <w:spacing w:after="0"/>
        <w:ind w:hanging="720"/>
      </w:pPr>
      <w:bookmarkStart w:id="700" w:name="_ENREF_398"/>
      <w:r w:rsidRPr="00E62798">
        <w:t>398</w:t>
      </w:r>
      <w:r w:rsidRPr="00E62798">
        <w:tab/>
        <w:t xml:space="preserve">(2012). </w:t>
      </w:r>
      <w:r w:rsidRPr="00E62798">
        <w:rPr>
          <w:i/>
        </w:rPr>
        <w:t>Day Medical Unit – Treatment protocol: Administration of iron polymaltose (Ferrosig)</w:t>
      </w:r>
      <w:r w:rsidRPr="00E62798">
        <w:t>, Royal Children's Hospital, Melbourne, Australia.</w:t>
      </w:r>
      <w:bookmarkEnd w:id="700"/>
    </w:p>
    <w:p w14:paraId="0E0241DE" w14:textId="77777777" w:rsidR="00E62798" w:rsidRPr="00E62798" w:rsidRDefault="00E62798" w:rsidP="00E62798">
      <w:pPr>
        <w:pStyle w:val="EndNoteBibliography"/>
        <w:spacing w:after="0"/>
        <w:ind w:hanging="720"/>
      </w:pPr>
      <w:bookmarkStart w:id="701" w:name="_ENREF_399"/>
      <w:r w:rsidRPr="00E62798">
        <w:t>399</w:t>
      </w:r>
      <w:r w:rsidRPr="00E62798">
        <w:tab/>
        <w:t xml:space="preserve">Luban NLC (2012). Transfusion of blood and blood products, In MacDonald M, Ramasethu J, et al. (eds.), </w:t>
      </w:r>
      <w:r w:rsidRPr="00E62798">
        <w:rPr>
          <w:i/>
        </w:rPr>
        <w:t xml:space="preserve">Atlas of procedures in neonatology, Fifth edition </w:t>
      </w:r>
      <w:r w:rsidRPr="00E62798">
        <w:t>Wolters Kluwer/Lippincott Williams &amp; Wilkins.</w:t>
      </w:r>
      <w:bookmarkEnd w:id="701"/>
    </w:p>
    <w:p w14:paraId="069BF3E1" w14:textId="3BBAEF23" w:rsidR="00E62798" w:rsidRPr="00E62798" w:rsidRDefault="00E62798" w:rsidP="00E62798">
      <w:pPr>
        <w:pStyle w:val="EndNoteBibliography"/>
        <w:spacing w:after="0"/>
        <w:ind w:hanging="720"/>
      </w:pPr>
      <w:bookmarkStart w:id="702" w:name="_ENREF_400"/>
      <w:r w:rsidRPr="00E62798">
        <w:t>400</w:t>
      </w:r>
      <w:r w:rsidRPr="00E62798">
        <w:tab/>
        <w:t xml:space="preserve">Davies P, Robertson S, Hegde S, Greenwood R, Massey E and Davis P (2007). Calculating the required transfusion volume in children, </w:t>
      </w:r>
      <w:r w:rsidRPr="00E62798">
        <w:rPr>
          <w:i/>
        </w:rPr>
        <w:t>Transfusion</w:t>
      </w:r>
      <w:r w:rsidRPr="00E62798">
        <w:t xml:space="preserve"> 47(2):212–216. </w:t>
      </w:r>
      <w:hyperlink r:id="rId388" w:history="1">
        <w:r w:rsidRPr="00E62798">
          <w:rPr>
            <w:rStyle w:val="Hyperlink"/>
          </w:rPr>
          <w:t>http://www.ncbi.nlm.nih.gov/pubmed/17302766</w:t>
        </w:r>
        <w:bookmarkEnd w:id="702"/>
      </w:hyperlink>
    </w:p>
    <w:p w14:paraId="31FED645" w14:textId="664C0313" w:rsidR="00E62798" w:rsidRPr="00E62798" w:rsidRDefault="00E62798" w:rsidP="00E62798">
      <w:pPr>
        <w:pStyle w:val="EndNoteBibliography"/>
        <w:ind w:hanging="720"/>
      </w:pPr>
      <w:bookmarkStart w:id="703" w:name="_ENREF_401"/>
      <w:r w:rsidRPr="00E62798">
        <w:t>401</w:t>
      </w:r>
      <w:r w:rsidRPr="00E62798">
        <w:tab/>
        <w:t xml:space="preserve">Morris KP, Naqvi N, Davies P, Smith M and Lee PW (2005). A new formula for blood transfusion volume in the critically ill, </w:t>
      </w:r>
      <w:r w:rsidRPr="00E62798">
        <w:rPr>
          <w:i/>
        </w:rPr>
        <w:t>Arch Dis Child</w:t>
      </w:r>
      <w:r w:rsidRPr="00E62798">
        <w:t xml:space="preserve"> 90(7):724–728. </w:t>
      </w:r>
      <w:hyperlink r:id="rId389" w:history="1">
        <w:r w:rsidRPr="00E62798">
          <w:rPr>
            <w:rStyle w:val="Hyperlink"/>
          </w:rPr>
          <w:t>http://www.ncbi.nlm.nih.gov/pubmed/15970617</w:t>
        </w:r>
        <w:bookmarkEnd w:id="703"/>
      </w:hyperlink>
    </w:p>
    <w:p w14:paraId="033AE146" w14:textId="7C7F12BD" w:rsidR="00FF1963" w:rsidRDefault="00E62798" w:rsidP="00622DA2">
      <w:pPr>
        <w:pStyle w:val="Heading1"/>
      </w:pPr>
      <w:r>
        <w:fldChar w:fldCharType="end"/>
      </w:r>
    </w:p>
    <w:sectPr w:rsidR="00FF1963" w:rsidSect="00CD29C9">
      <w:footnotePr>
        <w:numFmt w:val="lowerLetter"/>
      </w:footnotePr>
      <w:pgSz w:w="11906" w:h="16838" w:code="9"/>
      <w:pgMar w:top="1440" w:right="1440" w:bottom="1440" w:left="1440" w:header="578"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33F1" w14:textId="77777777" w:rsidR="005C0634" w:rsidRDefault="005C0634" w:rsidP="00151726">
      <w:r>
        <w:separator/>
      </w:r>
    </w:p>
  </w:endnote>
  <w:endnote w:type="continuationSeparator" w:id="0">
    <w:p w14:paraId="7B0D74CA" w14:textId="77777777" w:rsidR="005C0634" w:rsidRDefault="005C0634" w:rsidP="0015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ZGELB+TradeGothic-CondEighteen">
    <w:altName w:val="Trade Gothic"/>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TitilliumText22L Lt">
    <w:altName w:val="Arial"/>
    <w:panose1 w:val="00000000000000000000"/>
    <w:charset w:val="00"/>
    <w:family w:val="modern"/>
    <w:notTrueType/>
    <w:pitch w:val="variable"/>
    <w:sig w:usb0="A00000EF" w:usb1="0000004B" w:usb2="00000000" w:usb3="00000000" w:csb0="00000193" w:csb1="00000000"/>
  </w:font>
  <w:font w:name="Helvetica">
    <w:panose1 w:val="020B0504020202020204"/>
    <w:charset w:val="00"/>
    <w:family w:val="swiss"/>
    <w:notTrueType/>
    <w:pitch w:val="variable"/>
    <w:sig w:usb0="00000003" w:usb1="00000000" w:usb2="00000000" w:usb3="00000000" w:csb0="00000001" w:csb1="00000000"/>
  </w:font>
  <w:font w:name="Segoe UI">
    <w:altName w:val="Menlo Bold"/>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vMINION-R">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D8F8" w14:textId="77777777" w:rsidR="005C0634" w:rsidRPr="00725009" w:rsidRDefault="005C0634" w:rsidP="00040473">
    <w:pPr>
      <w:pStyle w:val="Footer"/>
      <w:pBdr>
        <w:top w:val="none" w:sz="0" w:space="0" w:color="auto"/>
      </w:pBdr>
      <w:jc w:val="right"/>
      <w:rPr>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B873D" w14:textId="76A3DE6F" w:rsidR="005C0634" w:rsidRPr="00040473" w:rsidRDefault="005C0634" w:rsidP="00040473">
    <w:pPr>
      <w:pStyle w:val="Footer"/>
      <w:tabs>
        <w:tab w:val="left" w:pos="8864"/>
      </w:tabs>
      <w:rPr>
        <w:lang w:val="en-AU"/>
      </w:rPr>
    </w:pPr>
    <w:r w:rsidRPr="008933D5">
      <w:rPr>
        <w:sz w:val="18"/>
        <w:szCs w:val="18"/>
      </w:rPr>
      <w:t xml:space="preserve">Patient Blood Management Guidelines: Module </w:t>
    </w:r>
    <w:r>
      <w:rPr>
        <w:sz w:val="18"/>
        <w:szCs w:val="18"/>
        <w:lang w:val="en-US"/>
      </w:rPr>
      <w:t>6</w:t>
    </w:r>
    <w:r w:rsidRPr="008933D5">
      <w:rPr>
        <w:sz w:val="18"/>
        <w:szCs w:val="18"/>
      </w:rPr>
      <w:t xml:space="preserve"> – </w:t>
    </w:r>
    <w:r>
      <w:rPr>
        <w:sz w:val="18"/>
        <w:szCs w:val="18"/>
        <w:lang w:val="en-US"/>
      </w:rPr>
      <w:t>Neonatal and Paediatrics</w:t>
    </w:r>
    <w:r>
      <w:rPr>
        <w:i w:val="0"/>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A8D6" w14:textId="77777777" w:rsidR="005C0634" w:rsidRPr="00040473" w:rsidRDefault="005C0634" w:rsidP="008A35F1">
    <w:pPr>
      <w:pStyle w:val="Footer"/>
      <w:jc w:val="right"/>
      <w:rPr>
        <w:lang w:val="en-AU"/>
      </w:rPr>
    </w:pPr>
    <w:r w:rsidRPr="008933D5">
      <w:rPr>
        <w:sz w:val="18"/>
        <w:szCs w:val="18"/>
      </w:rPr>
      <w:t xml:space="preserve">Patient Blood Management Guidelines: Module </w:t>
    </w:r>
    <w:r>
      <w:rPr>
        <w:sz w:val="18"/>
        <w:szCs w:val="18"/>
        <w:lang w:val="en-US"/>
      </w:rPr>
      <w:t>5</w:t>
    </w:r>
    <w:r w:rsidRPr="008933D5">
      <w:rPr>
        <w:sz w:val="18"/>
        <w:szCs w:val="18"/>
      </w:rPr>
      <w:t xml:space="preserve"> – </w:t>
    </w:r>
    <w:r>
      <w:rPr>
        <w:sz w:val="18"/>
        <w:szCs w:val="18"/>
        <w:lang w:val="en-US"/>
      </w:rPr>
      <w:t>Obstetrics and maternity</w:t>
    </w:r>
    <w:r>
      <w:rPr>
        <w:i w:val="0"/>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AEE4C" w14:textId="77777777" w:rsidR="005C0634" w:rsidRPr="0006732D" w:rsidRDefault="005C0634" w:rsidP="00794187">
    <w:pPr>
      <w:pStyle w:val="Footer"/>
      <w:tabs>
        <w:tab w:val="left" w:pos="8789"/>
      </w:tabs>
      <w:rPr>
        <w:sz w:val="18"/>
        <w:szCs w:val="18"/>
        <w:lang w:val="en-US"/>
      </w:rPr>
    </w:pPr>
    <w:r w:rsidRPr="008933D5">
      <w:rPr>
        <w:sz w:val="18"/>
        <w:szCs w:val="18"/>
      </w:rPr>
      <w:t xml:space="preserve">Patient blood management guidelines: Module </w:t>
    </w:r>
    <w:r>
      <w:rPr>
        <w:sz w:val="18"/>
        <w:szCs w:val="18"/>
        <w:lang w:val="en-US"/>
      </w:rPr>
      <w:t>6</w:t>
    </w:r>
    <w:r w:rsidRPr="008933D5">
      <w:rPr>
        <w:sz w:val="18"/>
        <w:szCs w:val="18"/>
      </w:rPr>
      <w:t xml:space="preserve"> – </w:t>
    </w:r>
    <w:r>
      <w:rPr>
        <w:sz w:val="18"/>
        <w:szCs w:val="18"/>
        <w:lang w:val="en-US"/>
      </w:rPr>
      <w:t>Neonatal and Paediatrics</w:t>
    </w:r>
    <w:r>
      <w:rPr>
        <w:i w:val="0"/>
        <w:sz w:val="18"/>
        <w:szCs w:val="18"/>
      </w:rPr>
      <w:tab/>
    </w:r>
    <w:r w:rsidRPr="00040473">
      <w:rPr>
        <w:i w:val="0"/>
        <w:sz w:val="18"/>
        <w:szCs w:val="18"/>
      </w:rPr>
      <w:fldChar w:fldCharType="begin"/>
    </w:r>
    <w:r w:rsidRPr="00040473">
      <w:rPr>
        <w:i w:val="0"/>
        <w:sz w:val="18"/>
        <w:szCs w:val="18"/>
      </w:rPr>
      <w:instrText xml:space="preserve"> PAGE   \* MERGEFORMAT </w:instrText>
    </w:r>
    <w:r w:rsidRPr="00040473">
      <w:rPr>
        <w:i w:val="0"/>
        <w:sz w:val="18"/>
        <w:szCs w:val="18"/>
      </w:rPr>
      <w:fldChar w:fldCharType="separate"/>
    </w:r>
    <w:r w:rsidR="00AF414B">
      <w:rPr>
        <w:i w:val="0"/>
        <w:noProof/>
        <w:sz w:val="18"/>
        <w:szCs w:val="18"/>
      </w:rPr>
      <w:t>17</w:t>
    </w:r>
    <w:r w:rsidRPr="00040473">
      <w:rPr>
        <w:i w:val="0"/>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20DD" w14:textId="77777777" w:rsidR="005C0634" w:rsidRDefault="005C0634" w:rsidP="008A35F1">
    <w:pPr>
      <w:pStyle w:val="Footer"/>
      <w:jc w:val="right"/>
    </w:pPr>
    <w:r w:rsidRPr="008933D5">
      <w:rPr>
        <w:sz w:val="18"/>
        <w:szCs w:val="18"/>
      </w:rPr>
      <w:t xml:space="preserve">Patient Blood Management Guidelines: Module </w:t>
    </w:r>
    <w:r>
      <w:rPr>
        <w:sz w:val="18"/>
        <w:szCs w:val="18"/>
        <w:lang w:val="en-US"/>
      </w:rPr>
      <w:t>6</w:t>
    </w:r>
    <w:r w:rsidRPr="008933D5">
      <w:rPr>
        <w:sz w:val="18"/>
        <w:szCs w:val="18"/>
      </w:rPr>
      <w:t xml:space="preserve"> – </w:t>
    </w:r>
    <w:r>
      <w:rPr>
        <w:sz w:val="18"/>
        <w:szCs w:val="18"/>
        <w:lang w:val="en-US"/>
      </w:rPr>
      <w:t>Neonatal and Paediatrics</w:t>
    </w:r>
    <w:r>
      <w:rPr>
        <w:i w:val="0"/>
        <w:sz w:val="18"/>
        <w:szCs w:val="18"/>
      </w:rPr>
      <w:tab/>
    </w:r>
    <w:r w:rsidRPr="008A35F1">
      <w:rPr>
        <w:rStyle w:val="PageNumber"/>
        <w:b w:val="0"/>
        <w:i w:val="0"/>
      </w:rPr>
      <w:fldChar w:fldCharType="begin"/>
    </w:r>
    <w:r w:rsidRPr="008A35F1">
      <w:rPr>
        <w:rStyle w:val="PageNumber"/>
        <w:b w:val="0"/>
        <w:i w:val="0"/>
      </w:rPr>
      <w:instrText xml:space="preserve"> PAGE </w:instrText>
    </w:r>
    <w:r w:rsidRPr="008A35F1">
      <w:rPr>
        <w:rStyle w:val="PageNumber"/>
        <w:b w:val="0"/>
        <w:i w:val="0"/>
      </w:rPr>
      <w:fldChar w:fldCharType="separate"/>
    </w:r>
    <w:r w:rsidR="00AF414B">
      <w:rPr>
        <w:rStyle w:val="PageNumber"/>
        <w:b w:val="0"/>
        <w:i w:val="0"/>
        <w:noProof/>
      </w:rPr>
      <w:t>15</w:t>
    </w:r>
    <w:r w:rsidRPr="008A35F1">
      <w:rPr>
        <w:rStyle w:val="PageNumber"/>
        <w:b w:val="0"/>
        <w:i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F41C" w14:textId="77777777" w:rsidR="005C0634" w:rsidRPr="009C7E9F" w:rsidRDefault="005C0634" w:rsidP="009C7E9F">
    <w:pPr>
      <w:pStyle w:val="Footer"/>
    </w:pPr>
    <w:r w:rsidRPr="00903EDD">
      <w:rPr>
        <w:sz w:val="18"/>
        <w:szCs w:val="18"/>
      </w:rPr>
      <w:t xml:space="preserve">Patient Blood Management Guidelines: </w:t>
    </w:r>
    <w:r w:rsidRPr="008933D5">
      <w:rPr>
        <w:sz w:val="18"/>
        <w:szCs w:val="18"/>
      </w:rPr>
      <w:t xml:space="preserve">Module </w:t>
    </w:r>
    <w:r>
      <w:rPr>
        <w:sz w:val="18"/>
        <w:szCs w:val="18"/>
        <w:lang w:val="en-US"/>
      </w:rPr>
      <w:t>5</w:t>
    </w:r>
    <w:r w:rsidRPr="008933D5">
      <w:rPr>
        <w:sz w:val="18"/>
        <w:szCs w:val="18"/>
      </w:rPr>
      <w:t xml:space="preserve"> – </w:t>
    </w:r>
    <w:r>
      <w:rPr>
        <w:sz w:val="18"/>
        <w:szCs w:val="18"/>
        <w:lang w:val="en-US"/>
      </w:rPr>
      <w:t>Obstetrics and maternity</w:t>
    </w:r>
    <w:r>
      <w:rPr>
        <w:i w:val="0"/>
        <w:sz w:val="18"/>
        <w:szCs w:val="18"/>
      </w:rPr>
      <w:tab/>
    </w:r>
    <w:r w:rsidRPr="008A35F1">
      <w:rPr>
        <w:rStyle w:val="PageNumber"/>
        <w:b w:val="0"/>
        <w:i w:val="0"/>
      </w:rPr>
      <w:fldChar w:fldCharType="begin"/>
    </w:r>
    <w:r w:rsidRPr="008A35F1">
      <w:rPr>
        <w:rStyle w:val="PageNumber"/>
        <w:b w:val="0"/>
        <w:i w:val="0"/>
      </w:rPr>
      <w:instrText xml:space="preserve"> PAGE </w:instrText>
    </w:r>
    <w:r w:rsidRPr="008A35F1">
      <w:rPr>
        <w:rStyle w:val="PageNumber"/>
        <w:b w:val="0"/>
        <w:i w:val="0"/>
      </w:rPr>
      <w:fldChar w:fldCharType="separate"/>
    </w:r>
    <w:r>
      <w:rPr>
        <w:rStyle w:val="PageNumber"/>
        <w:b w:val="0"/>
        <w:i w:val="0"/>
        <w:noProof/>
      </w:rPr>
      <w:t>90</w:t>
    </w:r>
    <w:r w:rsidRPr="008A35F1">
      <w:rPr>
        <w:rStyle w:val="PageNumber"/>
        <w:b w:val="0"/>
        <w:i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456E" w14:textId="77777777" w:rsidR="005C0634" w:rsidRDefault="005C0634" w:rsidP="00404894">
    <w:pPr>
      <w:pStyle w:val="Footer"/>
    </w:pPr>
    <w:r w:rsidRPr="00824E7D">
      <w:rPr>
        <w:sz w:val="18"/>
        <w:szCs w:val="18"/>
      </w:rPr>
      <w:t xml:space="preserve">Patient Blood Management Guidelines: </w:t>
    </w:r>
    <w:r w:rsidRPr="008933D5">
      <w:rPr>
        <w:sz w:val="18"/>
        <w:szCs w:val="18"/>
      </w:rPr>
      <w:t xml:space="preserve">Module </w:t>
    </w:r>
    <w:r>
      <w:rPr>
        <w:sz w:val="18"/>
        <w:szCs w:val="18"/>
        <w:lang w:val="en-US"/>
      </w:rPr>
      <w:t>6 – Neonatal and Paediatrics</w:t>
    </w:r>
    <w:r>
      <w:rPr>
        <w:i w:val="0"/>
        <w:sz w:val="18"/>
        <w:szCs w:val="18"/>
      </w:rPr>
      <w:tab/>
    </w:r>
    <w:r w:rsidRPr="008A35F1">
      <w:rPr>
        <w:rStyle w:val="PageNumber"/>
        <w:b w:val="0"/>
        <w:i w:val="0"/>
      </w:rPr>
      <w:fldChar w:fldCharType="begin"/>
    </w:r>
    <w:r w:rsidRPr="008A35F1">
      <w:rPr>
        <w:rStyle w:val="PageNumber"/>
        <w:b w:val="0"/>
        <w:i w:val="0"/>
      </w:rPr>
      <w:instrText xml:space="preserve"> PAGE </w:instrText>
    </w:r>
    <w:r w:rsidRPr="008A35F1">
      <w:rPr>
        <w:rStyle w:val="PageNumber"/>
        <w:b w:val="0"/>
        <w:i w:val="0"/>
      </w:rPr>
      <w:fldChar w:fldCharType="separate"/>
    </w:r>
    <w:r w:rsidR="00AF414B">
      <w:rPr>
        <w:rStyle w:val="PageNumber"/>
        <w:b w:val="0"/>
        <w:i w:val="0"/>
        <w:noProof/>
      </w:rPr>
      <w:t>28</w:t>
    </w:r>
    <w:r w:rsidRPr="008A35F1">
      <w:rPr>
        <w:rStyle w:val="PageNumber"/>
        <w:b w:val="0"/>
        <w:i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3C39D" w14:textId="77777777" w:rsidR="005C0634" w:rsidRDefault="005C0634" w:rsidP="009C7E9F">
    <w:pPr>
      <w:pStyle w:val="Footer"/>
    </w:pPr>
    <w:r w:rsidRPr="00903EDD">
      <w:rPr>
        <w:sz w:val="18"/>
        <w:szCs w:val="18"/>
      </w:rPr>
      <w:t xml:space="preserve">Patient Blood Management Guidelines: </w:t>
    </w:r>
    <w:r w:rsidRPr="008933D5">
      <w:rPr>
        <w:sz w:val="18"/>
        <w:szCs w:val="18"/>
      </w:rPr>
      <w:t xml:space="preserve">Module </w:t>
    </w:r>
    <w:r>
      <w:rPr>
        <w:sz w:val="18"/>
        <w:szCs w:val="18"/>
        <w:lang w:val="en-US"/>
      </w:rPr>
      <w:t>6 – Neonatal and Paediatrics</w:t>
    </w:r>
    <w:r>
      <w:rPr>
        <w:i w:val="0"/>
        <w:sz w:val="18"/>
        <w:szCs w:val="18"/>
      </w:rPr>
      <w:tab/>
    </w:r>
    <w:r w:rsidRPr="008A35F1">
      <w:rPr>
        <w:rStyle w:val="PageNumber"/>
        <w:b w:val="0"/>
        <w:i w:val="0"/>
      </w:rPr>
      <w:fldChar w:fldCharType="begin"/>
    </w:r>
    <w:r w:rsidRPr="008A35F1">
      <w:rPr>
        <w:rStyle w:val="PageNumber"/>
        <w:b w:val="0"/>
        <w:i w:val="0"/>
      </w:rPr>
      <w:instrText xml:space="preserve"> PAGE </w:instrText>
    </w:r>
    <w:r w:rsidRPr="008A35F1">
      <w:rPr>
        <w:rStyle w:val="PageNumber"/>
        <w:b w:val="0"/>
        <w:i w:val="0"/>
      </w:rPr>
      <w:fldChar w:fldCharType="separate"/>
    </w:r>
    <w:r w:rsidR="00AF414B">
      <w:rPr>
        <w:rStyle w:val="PageNumber"/>
        <w:b w:val="0"/>
        <w:i w:val="0"/>
        <w:noProof/>
      </w:rPr>
      <w:t>19</w:t>
    </w:r>
    <w:r w:rsidRPr="008A35F1">
      <w:rPr>
        <w:rStyle w:val="PageNumber"/>
        <w:b w:val="0"/>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072C3" w14:textId="77777777" w:rsidR="005C0634" w:rsidRDefault="005C0634" w:rsidP="00151726">
      <w:r>
        <w:separator/>
      </w:r>
    </w:p>
  </w:footnote>
  <w:footnote w:type="continuationSeparator" w:id="0">
    <w:p w14:paraId="6FF1713A" w14:textId="77777777" w:rsidR="005C0634" w:rsidRDefault="005C0634" w:rsidP="00151726">
      <w:r>
        <w:continuationSeparator/>
      </w:r>
    </w:p>
  </w:footnote>
  <w:footnote w:id="1">
    <w:p w14:paraId="2E196406" w14:textId="788D07C9" w:rsidR="005C0634" w:rsidRDefault="005C0634">
      <w:pPr>
        <w:pStyle w:val="FootnoteText"/>
      </w:pPr>
      <w:r>
        <w:rPr>
          <w:rStyle w:val="FootnoteReference"/>
        </w:rPr>
        <w:footnoteRef/>
      </w:r>
      <w:r>
        <w:t xml:space="preserve"> The</w:t>
      </w:r>
      <w:r w:rsidRPr="00270490">
        <w:t xml:space="preserve"> structure of the Australian blood </w:t>
      </w:r>
      <w:r>
        <w:t>sector is outlined in Appendix D</w:t>
      </w:r>
    </w:p>
  </w:footnote>
  <w:footnote w:id="2">
    <w:p w14:paraId="74311442" w14:textId="278B32ED" w:rsidR="005C0634" w:rsidRPr="004D4926" w:rsidRDefault="005C0634" w:rsidP="000742CA">
      <w:pPr>
        <w:pStyle w:val="FootnoteText"/>
        <w:rPr>
          <w:lang w:val="en-US"/>
        </w:rPr>
      </w:pPr>
      <w:r>
        <w:rPr>
          <w:rStyle w:val="FootnoteReference"/>
        </w:rPr>
        <w:footnoteRef/>
      </w:r>
      <w:r>
        <w:t xml:space="preserve"> </w:t>
      </w:r>
      <w:r w:rsidRPr="004667A5">
        <w:t>This evidence has not undergone a strict systematic review process (secondary outcomes were only extracted from studies that reported one or more primary outcomes)</w:t>
      </w:r>
      <w:r>
        <w:rPr>
          <w:lang w:val="en-AU"/>
        </w:rPr>
        <w:t>;</w:t>
      </w:r>
      <w:r w:rsidRPr="004667A5">
        <w:t xml:space="preserve"> therefore</w:t>
      </w:r>
      <w:r>
        <w:rPr>
          <w:lang w:val="en-AU"/>
        </w:rPr>
        <w:t>,</w:t>
      </w:r>
      <w:r w:rsidRPr="004667A5">
        <w:t xml:space="preserve"> these results should be interpreted with caution.</w:t>
      </w:r>
    </w:p>
  </w:footnote>
  <w:footnote w:id="3">
    <w:p w14:paraId="19E30C9C" w14:textId="32C14D97"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rPr>
          <w:lang w:val="en-AU"/>
        </w:rPr>
        <w:t>;</w:t>
      </w:r>
      <w:r w:rsidRPr="004667A5">
        <w:t xml:space="preserve"> therefore</w:t>
      </w:r>
      <w:r>
        <w:rPr>
          <w:lang w:val="en-AU"/>
        </w:rPr>
        <w:t>,</w:t>
      </w:r>
      <w:r w:rsidRPr="004667A5">
        <w:t xml:space="preserve"> these results should be interpreted with caution.</w:t>
      </w:r>
    </w:p>
  </w:footnote>
  <w:footnote w:id="4">
    <w:p w14:paraId="36676E0D" w14:textId="6D213716"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rPr>
          <w:lang w:val="en-AU"/>
        </w:rPr>
        <w:t>;</w:t>
      </w:r>
      <w:r w:rsidRPr="004667A5">
        <w:t xml:space="preserve"> therefore</w:t>
      </w:r>
      <w:r>
        <w:rPr>
          <w:lang w:val="en-AU"/>
        </w:rPr>
        <w:t>,</w:t>
      </w:r>
      <w:r w:rsidRPr="004667A5">
        <w:t xml:space="preserve"> these results should be interpreted with caution.</w:t>
      </w:r>
    </w:p>
  </w:footnote>
  <w:footnote w:id="5">
    <w:p w14:paraId="38F5B719" w14:textId="24514111"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rPr>
          <w:lang w:val="en-AU"/>
        </w:rPr>
        <w:t>;</w:t>
      </w:r>
      <w:r w:rsidRPr="004667A5">
        <w:t xml:space="preserve"> therefore</w:t>
      </w:r>
      <w:r>
        <w:rPr>
          <w:lang w:val="en-AU"/>
        </w:rPr>
        <w:t>,</w:t>
      </w:r>
      <w:r w:rsidRPr="004667A5">
        <w:t xml:space="preserve"> these results should be interpreted with caution.</w:t>
      </w:r>
    </w:p>
  </w:footnote>
  <w:footnote w:id="6">
    <w:p w14:paraId="457E13C5" w14:textId="03E910C7"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t>;</w:t>
      </w:r>
      <w:r w:rsidRPr="004667A5">
        <w:t xml:space="preserve"> therefore</w:t>
      </w:r>
      <w:r>
        <w:t>,</w:t>
      </w:r>
      <w:r w:rsidRPr="004667A5">
        <w:t xml:space="preserve"> these results should be interpreted with caution.</w:t>
      </w:r>
    </w:p>
  </w:footnote>
  <w:footnote w:id="7">
    <w:p w14:paraId="10C956AB" w14:textId="3CCED880"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t>;</w:t>
      </w:r>
      <w:r w:rsidRPr="004667A5">
        <w:t xml:space="preserve"> therefore</w:t>
      </w:r>
      <w:r>
        <w:t>,</w:t>
      </w:r>
      <w:r w:rsidRPr="004667A5">
        <w:t xml:space="preserve"> these results should be interpreted with caution.</w:t>
      </w:r>
    </w:p>
  </w:footnote>
  <w:footnote w:id="8">
    <w:p w14:paraId="170E9964" w14:textId="4F966F6A" w:rsidR="005C0634" w:rsidRPr="004D4926" w:rsidRDefault="005C0634" w:rsidP="000742CA">
      <w:pPr>
        <w:pStyle w:val="FootnoteText"/>
        <w:rPr>
          <w:lang w:val="en-US"/>
        </w:rPr>
      </w:pPr>
      <w:r>
        <w:rPr>
          <w:rStyle w:val="FootnoteReference"/>
        </w:rPr>
        <w:footnoteRef/>
      </w:r>
      <w:r>
        <w:t xml:space="preserve"> </w:t>
      </w:r>
      <w:r>
        <w:rPr>
          <w:lang w:val="en-AU"/>
        </w:rPr>
        <w:t>This</w:t>
      </w:r>
      <w:r w:rsidRPr="004667A5">
        <w:t xml:space="preserve"> evidence has not undergone a strict systematic review process (secondary outcomes were only extracted from studies that reported one or more primary outcomes)</w:t>
      </w:r>
      <w:r>
        <w:t>;</w:t>
      </w:r>
      <w:r w:rsidRPr="004667A5">
        <w:t xml:space="preserve"> therefore</w:t>
      </w:r>
      <w:r>
        <w:t>,</w:t>
      </w:r>
      <w:r w:rsidRPr="004667A5">
        <w:t xml:space="preserve"> these results should be interpreted with caution.</w:t>
      </w:r>
    </w:p>
  </w:footnote>
  <w:footnote w:id="9">
    <w:p w14:paraId="4657A06F" w14:textId="77777777" w:rsidR="005C0634" w:rsidRPr="00B2327D" w:rsidRDefault="005C0634" w:rsidP="00B2327D">
      <w:pPr>
        <w:pStyle w:val="FootnoteText"/>
        <w:rPr>
          <w:lang w:val="en-AU"/>
        </w:rPr>
      </w:pPr>
      <w:r>
        <w:rPr>
          <w:rStyle w:val="FootnoteReference"/>
        </w:rPr>
        <w:footnoteRef/>
      </w:r>
      <w:r>
        <w:t xml:space="preserve"> Premature and low birth weight infants </w:t>
      </w:r>
      <w:r>
        <w:rPr>
          <w:lang w:val="en-AU"/>
        </w:rPr>
        <w:t xml:space="preserve">are </w:t>
      </w:r>
      <w:r w:rsidRPr="00EB3D51">
        <w:t xml:space="preserve">covered in </w:t>
      </w:r>
      <w:r w:rsidRPr="00EB3D51">
        <w:rPr>
          <w:lang w:val="en-AU"/>
        </w:rPr>
        <w:t>the previous section</w:t>
      </w:r>
    </w:p>
  </w:footnote>
  <w:footnote w:id="10">
    <w:p w14:paraId="261F5ECE" w14:textId="56195DB9" w:rsidR="005C0634" w:rsidRPr="004D4926" w:rsidRDefault="005C0634" w:rsidP="000742CA">
      <w:pPr>
        <w:pStyle w:val="FootnoteText"/>
        <w:rPr>
          <w:lang w:val="en-US"/>
        </w:rPr>
      </w:pPr>
      <w:r>
        <w:rPr>
          <w:rStyle w:val="FootnoteReference"/>
        </w:rPr>
        <w:footnoteRef/>
      </w:r>
      <w:r>
        <w:t xml:space="preserve"> T</w:t>
      </w:r>
      <w:r w:rsidRPr="004667A5">
        <w:t>his evidence has not undergone a strict systematic review process (secondary outcomes were only extracted from studies that reported one or more primary outcomes)</w:t>
      </w:r>
      <w:r>
        <w:t>;</w:t>
      </w:r>
      <w:r w:rsidRPr="004667A5">
        <w:t xml:space="preserve"> therefore</w:t>
      </w:r>
      <w:r>
        <w:t>,</w:t>
      </w:r>
      <w:r w:rsidRPr="004667A5">
        <w:t xml:space="preserve"> these results should be interpreted with caution.</w:t>
      </w:r>
    </w:p>
  </w:footnote>
  <w:footnote w:id="11">
    <w:p w14:paraId="0B611147" w14:textId="47F1AC52" w:rsidR="005C0634" w:rsidRPr="009E678B" w:rsidRDefault="005C0634">
      <w:pPr>
        <w:pStyle w:val="FootnoteText"/>
        <w:rPr>
          <w:lang w:val="en-AU"/>
        </w:rPr>
      </w:pPr>
      <w:r>
        <w:rPr>
          <w:rStyle w:val="FootnoteReference"/>
        </w:rPr>
        <w:footnoteRef/>
      </w:r>
      <w:r>
        <w:t xml:space="preserve"> The Jurisdictional Blood Committee (JBC) recently approved the addition of fibrinogen concentrate for patients with congenital fibrinogen deficiency to the list of products funded and supplied under the national blood arrangements administered by the NBA. Fibrinogen concentrate became available for treatment of congenital fibrinogen deficiency under the NBA arrangements from 1 July 2014.</w:t>
      </w:r>
    </w:p>
  </w:footnote>
  <w:footnote w:id="12">
    <w:p w14:paraId="54583EE6" w14:textId="4057D596" w:rsidR="005C0634" w:rsidRPr="00A935D4" w:rsidRDefault="005C0634">
      <w:pPr>
        <w:pStyle w:val="FootnoteText"/>
        <w:rPr>
          <w:lang w:val="en-AU"/>
        </w:rPr>
      </w:pPr>
      <w:r>
        <w:rPr>
          <w:rStyle w:val="FootnoteReference"/>
        </w:rPr>
        <w:footnoteRef/>
      </w:r>
      <w:r>
        <w:t xml:space="preserve"> </w:t>
      </w:r>
      <w:r w:rsidRPr="00506EA3">
        <w:t>Cryoprecipitate and fibrinogen concentrate are therapeutic interventions used in the correction of low fibrinogen levels</w:t>
      </w:r>
      <w:r>
        <w:rPr>
          <w:lang w:val="en-AU"/>
        </w:rPr>
        <w:t>.</w:t>
      </w:r>
    </w:p>
  </w:footnote>
  <w:footnote w:id="13">
    <w:p w14:paraId="5F3D69AD" w14:textId="165B1C42" w:rsidR="005C0634" w:rsidRPr="00A935D4" w:rsidRDefault="005C0634">
      <w:pPr>
        <w:pStyle w:val="FootnoteText"/>
        <w:rPr>
          <w:lang w:val="en-AU"/>
        </w:rPr>
      </w:pPr>
      <w:r>
        <w:rPr>
          <w:rStyle w:val="FootnoteReference"/>
        </w:rPr>
        <w:footnoteRef/>
      </w:r>
      <w:r>
        <w:t xml:space="preserve"> The Jurisdictional Blood Committee (JBC) recently approved the addition of fibrinogen concentrate for patients with congenital fibrinogen deficiency to the list of products funded and supplied under the national blood arrangements administered by the NBA. Fibrinogen concentrate became available for treatment of congenital fibrinogen deficiency under the NBA arrangements from 1 July 2014.</w:t>
      </w:r>
    </w:p>
  </w:footnote>
  <w:footnote w:id="14">
    <w:p w14:paraId="6622A7D2" w14:textId="0A81D41A" w:rsidR="005C0634" w:rsidRPr="00B14F36" w:rsidRDefault="005C0634">
      <w:pPr>
        <w:pStyle w:val="FootnoteText"/>
        <w:rPr>
          <w:lang w:val="en-AU"/>
        </w:rPr>
      </w:pPr>
      <w:r>
        <w:rPr>
          <w:rStyle w:val="FootnoteReference"/>
        </w:rPr>
        <w:footnoteRef/>
      </w:r>
      <w:r>
        <w:t xml:space="preserve"> </w:t>
      </w:r>
      <w:r>
        <w:rPr>
          <w:rStyle w:val="FootnoteTextChar"/>
        </w:rPr>
        <w:t>For this module, cultural safety is defined as the ‘effective (health care) of a person/family from another culture by a (health professional) who has undertaken a process of reflection on (their) own cultural identity and (that) recognises the impact of the (health professional’s) culture on their own (health professional’s) practice’. Unsafe cultural practice is defined as ‘any action which diminishes, demeans or disempowers the cultural identity and wellbeing of an individual’</w:t>
      </w:r>
      <w:hyperlink w:anchor="_ENREF_216" w:tooltip="CATSIN, 2013 #961" w:history="1">
        <w:r>
          <w:rPr>
            <w:rStyle w:val="FootnoteTextChar"/>
          </w:rPr>
          <w:fldChar w:fldCharType="begin"/>
        </w:r>
        <w:r>
          <w:rPr>
            <w:rStyle w:val="FootnoteTextChar"/>
          </w:rPr>
          <w:instrText xml:space="preserve"> ADDIN EN.CITE &lt;EndNote&gt;&lt;Cite&gt;&lt;Author&gt;CATSIN&lt;/Author&gt;&lt;Year&gt;2013&lt;/Year&gt;&lt;RecNum&gt;961&lt;/RecNum&gt;&lt;DisplayText&gt;&lt;style face="superscript"&gt;216&lt;/style&gt;&lt;/DisplayText&gt;&lt;record&gt;&lt;rec-number&gt;961&lt;/rec-number&gt;&lt;foreign-keys&gt;&lt;key app="EN" db-id="9edve2wadsavt5ewavaxtda4f2tavzvts9ee" timestamp="1436405415"&gt;961&lt;/key&gt;&lt;/foreign-keys&gt;&lt;ref-type name="Report"&gt;27&lt;/ref-type&gt;&lt;contributors&gt;&lt;authors&gt;&lt;author&gt;CATSIN, &lt;/author&gt;&lt;/authors&gt;&lt;/contributors&gt;&lt;titles&gt;&lt;title&gt;Towards a shared understanding of terms and concepts: strengthening nursing and midwifery care of Aboriginal and Torres Strait Islander peoples&lt;/title&gt;&lt;/titles&gt;&lt;dates&gt;&lt;year&gt;2013&lt;/year&gt;&lt;/dates&gt;&lt;pub-location&gt;Canberra&lt;/pub-location&gt;&lt;publisher&gt;Congress of Aboriginal and Torres Strait Islander Nurses (CATSIN)&lt;/publisher&gt;&lt;urls&gt;&lt;/urls&gt;&lt;/record&gt;&lt;/Cite&gt;&lt;/EndNote&gt;</w:instrText>
        </w:r>
        <w:r>
          <w:rPr>
            <w:rStyle w:val="FootnoteTextChar"/>
          </w:rPr>
          <w:fldChar w:fldCharType="separate"/>
        </w:r>
        <w:r w:rsidRPr="00E62798">
          <w:rPr>
            <w:rStyle w:val="FootnoteTextChar"/>
            <w:noProof/>
            <w:vertAlign w:val="superscript"/>
          </w:rPr>
          <w:t>216</w:t>
        </w:r>
        <w:r>
          <w:rPr>
            <w:rStyle w:val="FootnoteTextChar"/>
          </w:rPr>
          <w:fldChar w:fldCharType="end"/>
        </w:r>
      </w:hyperlink>
      <w:r>
        <w:rPr>
          <w:rStyle w:val="FootnoteTextChar"/>
        </w:rPr>
        <w:t xml:space="preserve"> (p.6). The terminology as well as the meaning of culturally secure care is extensively described in the literature</w:t>
      </w:r>
      <w:hyperlink w:anchor="_ENREF_217" w:tooltip="Holland, 2015 #951" w:history="1">
        <w:r>
          <w:rPr>
            <w:rStyle w:val="FootnoteTextChar"/>
          </w:rPr>
          <w:fldChar w:fldCharType="begin">
            <w:fldData xml:space="preserve">PEVuZE5vdGU+PENpdGU+PEF1dGhvcj5Ib2xsYW5kPC9BdXRob3I+PFllYXI+MjAxNTwvWWVhcj48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=
</w:fldData>
          </w:fldChar>
        </w:r>
        <w:r>
          <w:rPr>
            <w:rStyle w:val="FootnoteTextChar"/>
          </w:rPr>
          <w:instrText xml:space="preserve"> ADDIN EN.CITE </w:instrText>
        </w:r>
        <w:r>
          <w:rPr>
            <w:rStyle w:val="FootnoteTextChar"/>
          </w:rPr>
          <w:fldChar w:fldCharType="begin">
            <w:fldData xml:space="preserve">PEVuZE5vdGU+PENpdGU+PEF1dGhvcj5Ib2xsYW5kPC9BdXRob3I+PFllYXI+MjAxNTwvWWVhcj48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=
</w:fldData>
          </w:fldChar>
        </w:r>
        <w:r>
          <w:rPr>
            <w:rStyle w:val="FootnoteTextChar"/>
          </w:rPr>
          <w:instrText xml:space="preserve"> ADDIN EN.CITE.DATA </w:instrText>
        </w:r>
        <w:r>
          <w:rPr>
            <w:rStyle w:val="FootnoteTextChar"/>
          </w:rPr>
        </w:r>
        <w:r>
          <w:rPr>
            <w:rStyle w:val="FootnoteTextChar"/>
          </w:rPr>
          <w:fldChar w:fldCharType="end"/>
        </w:r>
        <w:r>
          <w:rPr>
            <w:rStyle w:val="FootnoteTextChar"/>
          </w:rPr>
        </w:r>
        <w:r>
          <w:rPr>
            <w:rStyle w:val="FootnoteTextChar"/>
          </w:rPr>
          <w:fldChar w:fldCharType="separate"/>
        </w:r>
        <w:r w:rsidRPr="00E62798">
          <w:rPr>
            <w:rStyle w:val="FootnoteTextChar"/>
            <w:noProof/>
            <w:vertAlign w:val="superscript"/>
          </w:rPr>
          <w:t>217-225</w:t>
        </w:r>
        <w:r>
          <w:rPr>
            <w:rStyle w:val="FootnoteTextChar"/>
          </w:rPr>
          <w:fldChar w:fldCharType="end"/>
        </w:r>
      </w:hyperlink>
      <w:r>
        <w:rPr>
          <w:rStyle w:val="FootnoteTextChar"/>
        </w:rPr>
        <w:t xml:space="preserve"> and can be confusing for the non-expert.</w:t>
      </w:r>
    </w:p>
  </w:footnote>
  <w:footnote w:id="15">
    <w:p w14:paraId="159D7965" w14:textId="13A35B96" w:rsidR="005C0634" w:rsidRPr="002F02AB" w:rsidRDefault="005C0634" w:rsidP="00B14F36">
      <w:pPr>
        <w:pStyle w:val="FootnoteText"/>
        <w:rPr>
          <w:lang w:val="en-AU"/>
        </w:rPr>
      </w:pPr>
      <w:r>
        <w:rPr>
          <w:rStyle w:val="FootnoteReference"/>
        </w:rPr>
        <w:footnoteRef/>
      </w:r>
      <w:r>
        <w:t xml:space="preserve"> </w:t>
      </w:r>
      <w:r>
        <w:rPr>
          <w:lang w:val="en-AU"/>
        </w:rPr>
        <w:t xml:space="preserve">CRANA Plus is </w:t>
      </w:r>
      <w:r>
        <w:t>a professional organisation representing Australian rural and remote nurses and midwives</w:t>
      </w:r>
      <w:r>
        <w:rPr>
          <w:lang w:val="en-AU"/>
        </w:rPr>
        <w:t xml:space="preserve"> (see </w:t>
      </w:r>
      <w:hyperlink r:id="rId1" w:history="1">
        <w:r w:rsidRPr="00D40FBC">
          <w:rPr>
            <w:rStyle w:val="Hyperlink"/>
          </w:rPr>
          <w:t>https://crana.org.au/</w:t>
        </w:r>
      </w:hyperlink>
      <w:r>
        <w:rPr>
          <w:lang w:val="en-AU"/>
        </w:rPr>
        <w:t>)</w:t>
      </w:r>
    </w:p>
  </w:footnote>
  <w:footnote w:id="16">
    <w:p w14:paraId="1D7720F8" w14:textId="55704B4C" w:rsidR="005C0634" w:rsidRPr="002F02AB" w:rsidRDefault="005C0634">
      <w:pPr>
        <w:pStyle w:val="FootnoteText"/>
        <w:rPr>
          <w:lang w:val="en-AU"/>
        </w:rPr>
      </w:pPr>
      <w:r>
        <w:rPr>
          <w:rStyle w:val="FootnoteReference"/>
        </w:rPr>
        <w:footnoteRef/>
      </w:r>
      <w:r>
        <w:t xml:space="preserve"> </w:t>
      </w:r>
      <w:r>
        <w:rPr>
          <w:lang w:val="en-AU"/>
        </w:rPr>
        <w:t>This is a draft list that has been adapted and reproduced here with permission.</w:t>
      </w:r>
    </w:p>
  </w:footnote>
  <w:footnote w:id="17">
    <w:p w14:paraId="5028F77F" w14:textId="77777777" w:rsidR="005C0634" w:rsidRDefault="005C0634" w:rsidP="00D93C65">
      <w:pPr>
        <w:pStyle w:val="FootnoteText"/>
      </w:pPr>
      <w:r>
        <w:rPr>
          <w:rStyle w:val="FootnoteReference"/>
        </w:rPr>
        <w:footnoteRef/>
      </w:r>
      <w:r>
        <w:t xml:space="preserve"> </w:t>
      </w:r>
      <w:r w:rsidRPr="00445D1F">
        <w:rPr>
          <w:szCs w:val="18"/>
        </w:rPr>
        <w:t>The PCC available in Australia is produced by CSL Limited</w:t>
      </w:r>
      <w:r>
        <w:rPr>
          <w:szCs w:val="18"/>
        </w:rPr>
        <w:t xml:space="preserve">, </w:t>
      </w:r>
      <w:r w:rsidRPr="00445D1F">
        <w:rPr>
          <w:szCs w:val="18"/>
        </w:rPr>
        <w:t>and distributed by the Australian Red Cross Blood Service.</w:t>
      </w:r>
    </w:p>
  </w:footnote>
  <w:footnote w:id="18">
    <w:p w14:paraId="79134034" w14:textId="7856B6F9" w:rsidR="005C0634" w:rsidRPr="00C45F30" w:rsidRDefault="005C0634" w:rsidP="00E51CC9">
      <w:pPr>
        <w:pStyle w:val="FootnoteText"/>
        <w:rPr>
          <w:lang w:val="en-AU"/>
        </w:rPr>
      </w:pPr>
      <w:r>
        <w:rPr>
          <w:rStyle w:val="FootnoteReference"/>
        </w:rPr>
        <w:footnoteRef/>
      </w:r>
      <w:r>
        <w:t xml:space="preserve"> </w:t>
      </w:r>
      <w:r>
        <w:rPr>
          <w:lang w:val="en-AU"/>
        </w:rPr>
        <w:t xml:space="preserve">Adapted from Box 3.1 in </w:t>
      </w:r>
      <w:r w:rsidRPr="00A21FE4">
        <w:rPr>
          <w:i/>
        </w:rPr>
        <w:t>Patient Blood Management Guidelines: Module 2</w:t>
      </w:r>
      <w:r>
        <w:rPr>
          <w:i/>
        </w:rPr>
        <w:t xml:space="preserve"> </w:t>
      </w:r>
      <w:r w:rsidRPr="00A21FE4">
        <w:rPr>
          <w:i/>
        </w:rPr>
        <w:t>– Perioperative</w:t>
      </w:r>
      <w:r>
        <w:t>.</w:t>
      </w:r>
      <w:hyperlink w:anchor="_ENREF_2" w:tooltip="National Blood Authority (NBA), 2012 #198" w:history="1">
        <w:r>
          <w:fldChar w:fldCharType="begin"/>
        </w:r>
        <w:r>
          <w:instrText xml:space="preserve"> ADDIN EN.CITE &lt;EndNote&gt;&lt;Cite&gt;&lt;Author&gt;National Blood Authority (NBA)&lt;/Author&gt;&lt;Year&gt;2012&lt;/Year&gt;&lt;RecNum&gt;198&lt;/RecNum&gt;&lt;DisplayText&gt;&lt;style face="superscript"&gt;2&lt;/style&gt;&lt;/DisplayText&gt;&lt;record&gt;&lt;rec-number&gt;198&lt;/rec-number&gt;&lt;foreign-keys&gt;&lt;key app="EN" db-id="9edve2wadsavt5ewavaxtda4f2tavzvts9ee" timestamp="1439290110"&gt;198&lt;/key&gt;&lt;key app="ENWeb" db-id=""&gt;0&lt;/key&gt;&lt;/foreign-keys&gt;&lt;ref-type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fldChar w:fldCharType="separate"/>
        </w:r>
        <w:r w:rsidRPr="00E62798">
          <w:rPr>
            <w:noProof/>
            <w:vertAlign w:val="superscript"/>
          </w:rPr>
          <w:t>2</w:t>
        </w:r>
        <w:r>
          <w:fldChar w:fldCharType="end"/>
        </w:r>
      </w:hyperlink>
    </w:p>
  </w:footnote>
  <w:footnote w:id="19">
    <w:p w14:paraId="24405F08" w14:textId="222D71E9" w:rsidR="005C0634" w:rsidRPr="003B3866" w:rsidRDefault="005C0634" w:rsidP="008323CA">
      <w:pPr>
        <w:pStyle w:val="FootnoteText"/>
        <w:rPr>
          <w:lang w:val="en-AU"/>
        </w:rPr>
      </w:pPr>
      <w:r>
        <w:rPr>
          <w:rStyle w:val="FootnoteReference"/>
        </w:rPr>
        <w:footnoteRef/>
      </w:r>
      <w:r>
        <w:t xml:space="preserve"> </w:t>
      </w:r>
      <w:r w:rsidRPr="00A21FE4">
        <w:t xml:space="preserve">The Phase III TWiTCH trial comparing RBC transfusion to hydroxyurea in paediatric sickle cell patients was stopped early because hydroxyurea was found to be as effective as transfusions in lowering the mean </w:t>
      </w:r>
      <w:r>
        <w:rPr>
          <w:lang w:val="en-AU"/>
        </w:rPr>
        <w:t>TCD</w:t>
      </w:r>
      <w:r w:rsidRPr="00A21FE4">
        <w:t xml:space="preserve"> velocity of blood flow. Complete data, including the secondary outcome of primary stroke</w:t>
      </w:r>
      <w:r>
        <w:rPr>
          <w:lang w:val="en-AU"/>
        </w:rPr>
        <w:t>,</w:t>
      </w:r>
      <w:r w:rsidRPr="00A21FE4">
        <w:t xml:space="preserve"> are not available. We await publication of the full trial results before a reassessment of </w:t>
      </w:r>
      <w:r>
        <w:rPr>
          <w:lang w:val="en-AU"/>
        </w:rPr>
        <w:t xml:space="preserve">the </w:t>
      </w:r>
      <w:r w:rsidRPr="00A21FE4">
        <w:t>current recommendations (R1 and R4) and practice points (PP11) are made</w:t>
      </w:r>
      <w:r>
        <w:rPr>
          <w:lang w:val="en-AU"/>
        </w:rPr>
        <w:t>.</w:t>
      </w:r>
    </w:p>
  </w:footnote>
  <w:footnote w:id="20">
    <w:p w14:paraId="1D15B96F" w14:textId="77777777" w:rsidR="005C0634" w:rsidRDefault="005C0634" w:rsidP="00F7006A">
      <w:pPr>
        <w:pStyle w:val="FootnoteText"/>
      </w:pPr>
      <w:r>
        <w:rPr>
          <w:rStyle w:val="FootnoteReference"/>
        </w:rPr>
        <w:footnoteRef/>
      </w:r>
      <w:r>
        <w:t xml:space="preserve"> </w:t>
      </w:r>
      <w:r w:rsidRPr="0016194E">
        <w:t>http://www.</w:t>
      </w:r>
      <w:r>
        <w:t>blood</w:t>
      </w:r>
      <w:r w:rsidRPr="0016194E">
        <w:t>.gov.au/</w:t>
      </w:r>
    </w:p>
  </w:footnote>
  <w:footnote w:id="21">
    <w:p w14:paraId="01760D5C" w14:textId="77777777" w:rsidR="005C0634" w:rsidRDefault="005C0634" w:rsidP="0041081F">
      <w:pPr>
        <w:pStyle w:val="FootnoteText"/>
      </w:pPr>
      <w:r>
        <w:rPr>
          <w:rStyle w:val="FootnoteReference"/>
        </w:rPr>
        <w:footnoteRef/>
      </w:r>
      <w:r>
        <w:t xml:space="preserve"> </w:t>
      </w:r>
      <w:r w:rsidRPr="0016194E">
        <w:t>http://www.</w:t>
      </w:r>
      <w:r>
        <w:t>blood</w:t>
      </w:r>
      <w:r w:rsidRPr="0016194E">
        <w:t>.gov.au/</w:t>
      </w:r>
    </w:p>
  </w:footnote>
  <w:footnote w:id="22">
    <w:p w14:paraId="56C0DCAA" w14:textId="71560400" w:rsidR="005C0634" w:rsidRPr="00D765D9" w:rsidRDefault="005C0634">
      <w:pPr>
        <w:pStyle w:val="FootnoteText"/>
        <w:rPr>
          <w:lang w:val="en-AU"/>
        </w:rPr>
      </w:pPr>
      <w:r>
        <w:rPr>
          <w:rStyle w:val="FootnoteReference"/>
        </w:rPr>
        <w:footnoteRef/>
      </w:r>
      <w:r>
        <w:t xml:space="preserve"> </w:t>
      </w:r>
      <w:r w:rsidRPr="00D765D9">
        <w:t>http://www.transfusion.com.au/blood_products/components/red_cells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4E8C2" w14:textId="660A461D" w:rsidR="005C0634" w:rsidRDefault="00AF414B">
    <w:pPr>
      <w:pStyle w:val="Header"/>
    </w:pPr>
    <w:r>
      <w:rPr>
        <w:noProof/>
      </w:rPr>
      <w:pict w14:anchorId="7C947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79" o:spid="_x0000_s2303" type="#_x0000_t136" style="position:absolute;margin-left:0;margin-top:0;width:549.45pt;height:86.75pt;rotation:315;z-index:-25163417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8161" w14:textId="2F99484B" w:rsidR="005C0634" w:rsidRDefault="00AF414B">
    <w:pPr>
      <w:pStyle w:val="Header"/>
    </w:pPr>
    <w:r>
      <w:rPr>
        <w:noProof/>
      </w:rPr>
      <w:pict w14:anchorId="442A8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8" o:spid="_x0000_s2312" type="#_x0000_t136" style="position:absolute;margin-left:0;margin-top:0;width:549.45pt;height:86.75pt;rotation:315;z-index:-25161574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7388" w14:textId="4910CA70" w:rsidR="005C0634" w:rsidRPr="00D61580" w:rsidRDefault="00AF414B" w:rsidP="003C10DB">
    <w:pPr>
      <w:pStyle w:val="Header"/>
      <w:rPr>
        <w:lang w:val="en-US"/>
      </w:rPr>
    </w:pPr>
    <w:r>
      <w:rPr>
        <w:noProof/>
      </w:rPr>
      <w:pict w14:anchorId="28FE9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9" o:spid="_x0000_s2313" type="#_x0000_t136" style="position:absolute;margin-left:0;margin-top:0;width:549.45pt;height:86.75pt;rotation:315;z-index:-25161369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3ADDE" w14:textId="7C116F1D" w:rsidR="005C0634" w:rsidRDefault="00AF414B">
    <w:pPr>
      <w:pStyle w:val="Header"/>
    </w:pPr>
    <w:r>
      <w:rPr>
        <w:noProof/>
      </w:rPr>
      <w:pict w14:anchorId="03DAC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7" o:spid="_x0000_s2311" type="#_x0000_t136" style="position:absolute;margin-left:0;margin-top:0;width:549.45pt;height:86.75pt;rotation:315;z-index:-25161779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00A4B" w14:textId="79620467" w:rsidR="005C0634" w:rsidRDefault="00AF414B">
    <w:pPr>
      <w:pStyle w:val="Header"/>
    </w:pPr>
    <w:r>
      <w:rPr>
        <w:noProof/>
      </w:rPr>
      <w:pict w14:anchorId="5A25D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1" o:spid="_x0000_s2315" type="#_x0000_t136" style="position:absolute;margin-left:0;margin-top:0;width:549.45pt;height:86.75pt;rotation:315;z-index:-251609600;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CDCC5" w14:textId="7674D0C0" w:rsidR="005C0634" w:rsidRPr="00670D8C" w:rsidRDefault="00AF414B" w:rsidP="00F00BFD">
    <w:pPr>
      <w:pStyle w:val="Header"/>
      <w:jc w:val="right"/>
      <w:rPr>
        <w:lang w:val="en-US"/>
      </w:rPr>
    </w:pPr>
    <w:r>
      <w:rPr>
        <w:noProof/>
      </w:rPr>
      <w:pict w14:anchorId="238D1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2" o:spid="_x0000_s2316" type="#_x0000_t136" style="position:absolute;left:0;text-align:left;margin-left:0;margin-top:0;width:549.45pt;height:86.75pt;rotation:315;z-index:-25160755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r w:rsidR="005C0634">
      <w:rPr>
        <w:noProof/>
        <w:lang w:val="en-AU"/>
      </w:rPr>
      <mc:AlternateContent>
        <mc:Choice Requires="wps">
          <w:drawing>
            <wp:anchor distT="0" distB="0" distL="114300" distR="114300" simplePos="0" relativeHeight="251678208" behindDoc="1" locked="0" layoutInCell="0" allowOverlap="1" wp14:anchorId="55B8E38D" wp14:editId="30FE7822">
              <wp:simplePos x="0" y="0"/>
              <wp:positionH relativeFrom="margin">
                <wp:align>center</wp:align>
              </wp:positionH>
              <wp:positionV relativeFrom="margin">
                <wp:align>center</wp:align>
              </wp:positionV>
              <wp:extent cx="5074920" cy="3044825"/>
              <wp:effectExtent l="342900" t="1358900" r="335280" b="1349375"/>
              <wp:wrapNone/>
              <wp:docPr id="1" name="WordArt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074920" cy="304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63040C" id="_x0000_t202" coordsize="21600,21600" o:spt="202" path="m,l,21600r21600,l21600,xe">
              <v:stroke joinstyle="miter"/>
              <v:path gradientshapeok="t" o:connecttype="rect"/>
            </v:shapetype>
            <v:shape id="WordArt 858" o:spid="_x0000_s1026" type="#_x0000_t202" style="position:absolute;margin-left:0;margin-top:0;width:399.6pt;height:239.75pt;rotation:-45;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" o:allowincell="f" filled="f" stroked="f">
              <v:stroke joinstyle="round"/>
              <o:lock v:ext="edit" text="t" shapetype="t"/>
              <w10:wrap anchorx="margin" anchory="margin"/>
            </v:shape>
          </w:pict>
        </mc:Fallback>
      </mc:AlternateContent>
    </w:r>
    <w:r w:rsidR="005C0634" w:rsidRPr="007862AD">
      <w:rPr>
        <w:lang w:val="en-US"/>
      </w:rPr>
      <w:t>Findings of systematic review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7DFEF" w14:textId="01EB8B07" w:rsidR="005C0634" w:rsidRDefault="00AF414B">
    <w:pPr>
      <w:pStyle w:val="Header"/>
    </w:pPr>
    <w:r>
      <w:rPr>
        <w:noProof/>
      </w:rPr>
      <w:pict w14:anchorId="3A058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0" o:spid="_x0000_s2314" type="#_x0000_t136" style="position:absolute;margin-left:0;margin-top:0;width:549.45pt;height:86.75pt;rotation:315;z-index:-25161164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BEEAF" w14:textId="49EAB2C6" w:rsidR="005C0634" w:rsidRDefault="00AF414B">
    <w:pPr>
      <w:pStyle w:val="Header"/>
    </w:pPr>
    <w:r>
      <w:rPr>
        <w:noProof/>
      </w:rPr>
      <w:pict w14:anchorId="088AA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4" o:spid="_x0000_s2318" type="#_x0000_t136" style="position:absolute;margin-left:0;margin-top:0;width:549.45pt;height:86.75pt;rotation:315;z-index:-25160345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4857C" w14:textId="1D6C391A" w:rsidR="005C0634" w:rsidRDefault="00AF414B">
    <w:pPr>
      <w:pStyle w:val="Header"/>
    </w:pPr>
    <w:r>
      <w:rPr>
        <w:noProof/>
      </w:rPr>
      <w:pict w14:anchorId="79DFE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5" o:spid="_x0000_s2319" type="#_x0000_t136" style="position:absolute;margin-left:0;margin-top:0;width:549.45pt;height:86.75pt;rotation:315;z-index:-25160140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E30A" w14:textId="0A0E9067" w:rsidR="005C0634" w:rsidRDefault="00AF414B">
    <w:pPr>
      <w:pStyle w:val="Header"/>
    </w:pPr>
    <w:r>
      <w:rPr>
        <w:noProof/>
      </w:rPr>
      <w:pict w14:anchorId="56A81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3" o:spid="_x0000_s2317" type="#_x0000_t136" style="position:absolute;margin-left:0;margin-top:0;width:549.45pt;height:86.75pt;rotation:315;z-index:-25160550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D157" w14:textId="59AC404D" w:rsidR="005C0634" w:rsidRDefault="00AF414B">
    <w:pPr>
      <w:pStyle w:val="Header"/>
    </w:pPr>
    <w:r>
      <w:rPr>
        <w:noProof/>
      </w:rPr>
      <w:pict w14:anchorId="4DF56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7" o:spid="_x0000_s2321" type="#_x0000_t136" style="position:absolute;margin-left:0;margin-top:0;width:549.45pt;height:86.75pt;rotation:315;z-index:-25159731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r w:rsidR="005C0634">
      <w:rPr>
        <w:noProof/>
        <w:lang w:val="en-AU"/>
      </w:rPr>
      <mc:AlternateContent>
        <mc:Choice Requires="wps">
          <w:drawing>
            <wp:anchor distT="0" distB="0" distL="114300" distR="114300" simplePos="0" relativeHeight="251661312" behindDoc="1" locked="0" layoutInCell="0" allowOverlap="1" wp14:anchorId="56CE839E" wp14:editId="4B9C20EF">
              <wp:simplePos x="0" y="0"/>
              <wp:positionH relativeFrom="margin">
                <wp:align>center</wp:align>
              </wp:positionH>
              <wp:positionV relativeFrom="margin">
                <wp:align>center</wp:align>
              </wp:positionV>
              <wp:extent cx="5050155" cy="3030220"/>
              <wp:effectExtent l="0" t="0" r="0" b="0"/>
              <wp:wrapNone/>
              <wp:docPr id="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2876F2" w14:textId="77777777" w:rsidR="005C0634" w:rsidRDefault="005C0634" w:rsidP="00207AAB">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0" o:spid="_x0000_s1085" type="#_x0000_t202" style="position:absolute;margin-left:0;margin-top:0;width:397.65pt;height:238.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Sku/TogCAAD9BAAADgAAAAAAAAAAAAAAAAAuAgAAZHJzL2Uyb0RvYy54bWxQSwECLQAUAAYACAAA&#10;ACEAICYc8dwAAAAFAQAADwAAAAAAAAAAAAAAAADiBAAAZHJzL2Rvd25yZXYueG1sUEsFBgAAAAAE&#10;AAQA8wAAAOsFAAAAAA==&#10;" o:allowincell="f" filled="f" stroked="f">
              <v:stroke joinstyle="round"/>
              <o:lock v:ext="edit" text="t" shapetype="t"/>
              <v:textbox style="mso-fit-shape-to-text:t">
                <w:txbxContent>
                  <w:p w14:paraId="482876F2" w14:textId="77777777" w:rsidR="005C0634" w:rsidRDefault="005C0634" w:rsidP="00207AAB">
                    <w:pPr>
                      <w:pStyle w:val="NormalWeb"/>
                      <w:spacing w:after="0"/>
                      <w:jc w:val="center"/>
                    </w:pPr>
                    <w:r>
                      <w:rPr>
                        <w:rFonts w:ascii="Calibri" w:hAnsi="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5FC54" w14:textId="021C2A34" w:rsidR="005C0634" w:rsidRDefault="00AF414B">
    <w:pPr>
      <w:pStyle w:val="Header"/>
    </w:pPr>
    <w:r>
      <w:rPr>
        <w:noProof/>
      </w:rPr>
      <w:pict w14:anchorId="66EF3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0" o:spid="_x0000_s2304" type="#_x0000_t136" style="position:absolute;margin-left:0;margin-top:0;width:549.45pt;height:86.75pt;rotation:315;z-index:-25163212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2A079" w14:textId="38CACF6E" w:rsidR="005C0634" w:rsidRDefault="00AF414B">
    <w:pPr>
      <w:pStyle w:val="Header"/>
    </w:pPr>
    <w:r>
      <w:rPr>
        <w:noProof/>
      </w:rPr>
      <w:pict w14:anchorId="368C2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8" o:spid="_x0000_s2322" type="#_x0000_t136" style="position:absolute;margin-left:0;margin-top:0;width:549.45pt;height:86.75pt;rotation:315;z-index:-25159526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r w:rsidR="005C0634">
      <w:rPr>
        <w:noProof/>
        <w:lang w:val="en-AU"/>
      </w:rPr>
      <mc:AlternateContent>
        <mc:Choice Requires="wps">
          <w:drawing>
            <wp:anchor distT="0" distB="0" distL="114300" distR="114300" simplePos="0" relativeHeight="251663360" behindDoc="1" locked="0" layoutInCell="0" allowOverlap="1" wp14:anchorId="382537D5" wp14:editId="06DBC218">
              <wp:simplePos x="0" y="0"/>
              <wp:positionH relativeFrom="margin">
                <wp:align>center</wp:align>
              </wp:positionH>
              <wp:positionV relativeFrom="margin">
                <wp:align>center</wp:align>
              </wp:positionV>
              <wp:extent cx="5050155" cy="106680"/>
              <wp:effectExtent l="0" t="0" r="0" b="0"/>
              <wp:wrapNone/>
              <wp:docPr id="7"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5A2AF9" w14:textId="77777777" w:rsidR="005C0634" w:rsidRDefault="005C0634" w:rsidP="00207AAB">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1" o:spid="_x0000_s1086" type="#_x0000_t202" style="position:absolute;margin-left:0;margin-top:0;width:397.65pt;height:8.4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" o:allowincell="f" filled="f" stroked="f">
              <v:stroke joinstyle="round"/>
              <o:lock v:ext="edit" text="t" shapetype="t"/>
              <v:textbox style="mso-fit-shape-to-text:t">
                <w:txbxContent>
                  <w:p w14:paraId="575A2AF9" w14:textId="77777777" w:rsidR="005C0634" w:rsidRDefault="005C0634" w:rsidP="00207AAB">
                    <w:pPr>
                      <w:pStyle w:val="NormalWeb"/>
                      <w:spacing w:after="0"/>
                      <w:jc w:val="center"/>
                    </w:pPr>
                    <w:r>
                      <w:rPr>
                        <w:rFonts w:ascii="Calibri" w:hAnsi="Calibri"/>
                        <w:color w:val="C0C0C0"/>
                        <w:sz w:val="2"/>
                        <w:szCs w:val="2"/>
                      </w:rPr>
                      <w:t>Draft</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51CF1" w14:textId="4EB9A6FC" w:rsidR="005C0634" w:rsidRDefault="00AF414B">
    <w:pPr>
      <w:pStyle w:val="Header"/>
    </w:pPr>
    <w:r>
      <w:rPr>
        <w:noProof/>
      </w:rPr>
      <w:pict w14:anchorId="1932D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6" o:spid="_x0000_s2320" type="#_x0000_t136" style="position:absolute;margin-left:0;margin-top:0;width:549.45pt;height:86.75pt;rotation:315;z-index:-251599360;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r w:rsidR="005C0634">
      <w:rPr>
        <w:noProof/>
        <w:lang w:val="en-AU"/>
      </w:rPr>
      <mc:AlternateContent>
        <mc:Choice Requires="wps">
          <w:drawing>
            <wp:anchor distT="0" distB="0" distL="114300" distR="114300" simplePos="0" relativeHeight="251659264" behindDoc="1" locked="0" layoutInCell="0" allowOverlap="1" wp14:anchorId="3BF0281C" wp14:editId="073F91C4">
              <wp:simplePos x="0" y="0"/>
              <wp:positionH relativeFrom="margin">
                <wp:align>center</wp:align>
              </wp:positionH>
              <wp:positionV relativeFrom="margin">
                <wp:align>center</wp:align>
              </wp:positionV>
              <wp:extent cx="5050155" cy="106680"/>
              <wp:effectExtent l="0" t="0" r="0" b="0"/>
              <wp:wrapNone/>
              <wp:docPr id="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235135" w14:textId="77777777" w:rsidR="005C0634" w:rsidRDefault="005C0634" w:rsidP="00207AAB">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9" o:spid="_x0000_s1087" type="#_x0000_t202" style="position:absolute;margin-left:0;margin-top:0;width:397.65pt;height:8.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" o:allowincell="f" filled="f" stroked="f">
              <v:stroke joinstyle="round"/>
              <o:lock v:ext="edit" text="t" shapetype="t"/>
              <v:textbox style="mso-fit-shape-to-text:t">
                <w:txbxContent>
                  <w:p w14:paraId="6E235135" w14:textId="77777777" w:rsidR="005C0634" w:rsidRDefault="005C0634" w:rsidP="00207AAB">
                    <w:pPr>
                      <w:pStyle w:val="NormalWeb"/>
                      <w:spacing w:after="0"/>
                      <w:jc w:val="center"/>
                    </w:pPr>
                    <w:r>
                      <w:rPr>
                        <w:rFonts w:ascii="Calibri" w:hAnsi="Calibri"/>
                        <w:color w:val="C0C0C0"/>
                        <w:sz w:val="2"/>
                        <w:szCs w:val="2"/>
                      </w:rPr>
                      <w:t>Draft</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A047C" w14:textId="575FCC8F" w:rsidR="005C0634" w:rsidRDefault="00AF414B">
    <w:pPr>
      <w:pStyle w:val="Header"/>
    </w:pPr>
    <w:r>
      <w:rPr>
        <w:noProof/>
      </w:rPr>
      <w:pict w14:anchorId="5ED61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100" o:spid="_x0000_s2324" type="#_x0000_t136" style="position:absolute;margin-left:0;margin-top:0;width:549.45pt;height:86.75pt;rotation:315;z-index:-25159116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54D5C" w14:textId="39B51E10" w:rsidR="005C0634" w:rsidRDefault="00AF414B">
    <w:pPr>
      <w:pStyle w:val="Header"/>
    </w:pPr>
    <w:r>
      <w:rPr>
        <w:noProof/>
      </w:rPr>
      <w:pict w14:anchorId="71A09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101" o:spid="_x0000_s2325" type="#_x0000_t136" style="position:absolute;margin-left:0;margin-top:0;width:549.45pt;height:86.75pt;rotation:315;z-index:-251589120;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F3449" w14:textId="2A7F351E" w:rsidR="005C0634" w:rsidRDefault="00AF414B">
    <w:pPr>
      <w:pStyle w:val="Header"/>
    </w:pPr>
    <w:r>
      <w:rPr>
        <w:noProof/>
      </w:rPr>
      <w:pict w14:anchorId="6FA51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99" o:spid="_x0000_s2323" type="#_x0000_t136" style="position:absolute;margin-left:0;margin-top:0;width:549.45pt;height:86.75pt;rotation:315;z-index:-25159321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80E32" w14:textId="5E73B24E" w:rsidR="005C0634" w:rsidRDefault="00AF414B">
    <w:pPr>
      <w:pStyle w:val="Header"/>
    </w:pPr>
    <w:r>
      <w:rPr>
        <w:noProof/>
      </w:rPr>
      <w:pict w14:anchorId="61DFB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103" o:spid="_x0000_s2327" type="#_x0000_t136" style="position:absolute;margin-left:0;margin-top:0;width:549.45pt;height:86.75pt;rotation:315;z-index:-25158502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305C6" w14:textId="351AAEB5" w:rsidR="005C0634" w:rsidRPr="00D61580" w:rsidRDefault="00AF414B" w:rsidP="00D61580">
    <w:pPr>
      <w:pStyle w:val="Header"/>
      <w:jc w:val="right"/>
      <w:rPr>
        <w:lang w:val="en-US"/>
      </w:rPr>
    </w:pPr>
    <w:r>
      <w:rPr>
        <w:noProof/>
      </w:rPr>
      <w:pict w14:anchorId="20F01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104" o:spid="_x0000_s2328" type="#_x0000_t136" style="position:absolute;left:0;text-align:left;margin-left:0;margin-top:0;width:549.45pt;height:86.75pt;rotation:315;z-index:-25158297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1223B" w14:textId="592786A7" w:rsidR="005C0634" w:rsidRDefault="00AF414B">
    <w:pPr>
      <w:pStyle w:val="Header"/>
    </w:pPr>
    <w:r>
      <w:rPr>
        <w:noProof/>
      </w:rPr>
      <w:pict w14:anchorId="7D3AF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102" o:spid="_x0000_s2326" type="#_x0000_t136" style="position:absolute;margin-left:0;margin-top:0;width:549.45pt;height:86.75pt;rotation:315;z-index:-25158707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B93F8" w14:textId="30D153B0" w:rsidR="005C0634" w:rsidRDefault="00AF414B">
    <w:pPr>
      <w:pStyle w:val="Header"/>
    </w:pPr>
    <w:r>
      <w:rPr>
        <w:noProof/>
      </w:rPr>
      <w:pict w14:anchorId="5280C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78" o:spid="_x0000_s2302" type="#_x0000_t136" style="position:absolute;margin-left:0;margin-top:0;width:549.45pt;height:86.75pt;rotation:315;z-index:-25163622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59EA" w14:textId="2CBC96DB" w:rsidR="005C0634" w:rsidRDefault="00AF414B">
    <w:pPr>
      <w:pStyle w:val="Header"/>
    </w:pPr>
    <w:r>
      <w:rPr>
        <w:noProof/>
      </w:rPr>
      <w:pict w14:anchorId="30259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2" o:spid="_x0000_s2306" type="#_x0000_t136" style="position:absolute;margin-left:0;margin-top:0;width:549.45pt;height:86.75pt;rotation:315;z-index:-25162803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E669F" w14:textId="670722ED" w:rsidR="005C0634" w:rsidRDefault="00AF414B">
    <w:pPr>
      <w:pStyle w:val="Header"/>
    </w:pPr>
    <w:r>
      <w:rPr>
        <w:noProof/>
      </w:rPr>
      <w:pict w14:anchorId="2A06E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3" o:spid="_x0000_s2307" type="#_x0000_t136" style="position:absolute;margin-left:0;margin-top:0;width:549.45pt;height:86.75pt;rotation:315;z-index:-251625984;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62956" w14:textId="66850F14" w:rsidR="005C0634" w:rsidRDefault="00AF414B">
    <w:pPr>
      <w:pStyle w:val="Header"/>
    </w:pPr>
    <w:r>
      <w:rPr>
        <w:noProof/>
      </w:rPr>
      <w:pict w14:anchorId="01CB1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1" o:spid="_x0000_s2305" type="#_x0000_t136" style="position:absolute;margin-left:0;margin-top:0;width:549.45pt;height:86.75pt;rotation:315;z-index:-251630080;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9AECF" w14:textId="1425D12A" w:rsidR="005C0634" w:rsidRDefault="00AF414B">
    <w:pPr>
      <w:pStyle w:val="Header"/>
    </w:pPr>
    <w:r>
      <w:rPr>
        <w:noProof/>
      </w:rPr>
      <w:pict w14:anchorId="5D580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5" o:spid="_x0000_s2309" type="#_x0000_t136" style="position:absolute;margin-left:0;margin-top:0;width:549.45pt;height:86.75pt;rotation:315;z-index:-25162188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D60DC" w14:textId="2640DD76" w:rsidR="005C0634" w:rsidRDefault="00AF414B">
    <w:pPr>
      <w:pStyle w:val="Header"/>
    </w:pPr>
    <w:r>
      <w:rPr>
        <w:noProof/>
      </w:rPr>
      <w:pict w14:anchorId="70CDE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6" o:spid="_x0000_s2310" type="#_x0000_t136" style="position:absolute;margin-left:0;margin-top:0;width:549.45pt;height:86.75pt;rotation:315;z-index:-251619840;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2C04" w14:textId="72C30CB5" w:rsidR="005C0634" w:rsidRDefault="00AF414B">
    <w:pPr>
      <w:pStyle w:val="Header"/>
    </w:pPr>
    <w:r>
      <w:rPr>
        <w:noProof/>
      </w:rPr>
      <w:pict w14:anchorId="7C340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4" o:spid="_x0000_s2308" type="#_x0000_t136" style="position:absolute;margin-left:0;margin-top:0;width:549.45pt;height:86.75pt;rotation:315;z-index:-25162393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881F2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46A5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712482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594F6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E47E677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2B2880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AEA6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F4CEB6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9B5CB8F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6971CA"/>
    <w:multiLevelType w:val="hybridMultilevel"/>
    <w:tmpl w:val="5A9C9FE6"/>
    <w:lvl w:ilvl="0" w:tplc="DD94F8A4">
      <w:start w:val="1"/>
      <w:numFmt w:val="bullet"/>
      <w:pStyle w:val="BoxBullet"/>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0E620FB"/>
    <w:multiLevelType w:val="hybridMultilevel"/>
    <w:tmpl w:val="0B0AFA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26455F8"/>
    <w:multiLevelType w:val="multilevel"/>
    <w:tmpl w:val="B7887C9A"/>
    <w:lvl w:ilvl="0">
      <w:start w:val="1"/>
      <w:numFmt w:val="decimal"/>
      <w:pStyle w:val="Evidencenumberedlist"/>
      <w:lvlText w:val="%1."/>
      <w:lvlJc w:val="left"/>
      <w:pPr>
        <w:tabs>
          <w:tab w:val="num" w:pos="720"/>
        </w:tabs>
        <w:ind w:left="1100" w:hanging="380"/>
      </w:pPr>
      <w:rPr>
        <w:rFonts w:ascii="Calibri" w:hAnsi="Calibri" w:hint="default"/>
        <w:color w:val="auto"/>
        <w:sz w:val="22"/>
      </w:rPr>
    </w:lvl>
    <w:lvl w:ilvl="1">
      <w:start w:val="8"/>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nsid w:val="03E7619C"/>
    <w:multiLevelType w:val="hybridMultilevel"/>
    <w:tmpl w:val="E26E16F6"/>
    <w:lvl w:ilvl="0" w:tplc="FFFFFFFF">
      <w:start w:val="1"/>
      <w:numFmt w:val="decimal"/>
      <w:pStyle w:val="Bodybullets"/>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05BC1E26"/>
    <w:multiLevelType w:val="hybridMultilevel"/>
    <w:tmpl w:val="ADAE79D4"/>
    <w:lvl w:ilvl="0" w:tplc="FFFFFFFF">
      <w:start w:val="1"/>
      <w:numFmt w:val="decimal"/>
      <w:pStyle w:val="ChapterHeading"/>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4">
    <w:nsid w:val="06105138"/>
    <w:multiLevelType w:val="hybridMultilevel"/>
    <w:tmpl w:val="909AD470"/>
    <w:lvl w:ilvl="0" w:tplc="6226CEE6">
      <w:start w:val="1"/>
      <w:numFmt w:val="bullet"/>
      <w:pStyle w:val="Dash0"/>
      <w:lvlText w:val="–"/>
      <w:lvlJc w:val="left"/>
      <w:pPr>
        <w:tabs>
          <w:tab w:val="num" w:pos="216"/>
        </w:tabs>
        <w:ind w:left="360" w:firstLine="0"/>
      </w:pPr>
      <w:rPr>
        <w:rFonts w:ascii="Times New Roman" w:hAnsi="Times New Roman" w:cs="Times New Roman" w:hint="default"/>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0FFF5BAA"/>
    <w:multiLevelType w:val="hybridMultilevel"/>
    <w:tmpl w:val="B6E4E3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0595AE0"/>
    <w:multiLevelType w:val="hybridMultilevel"/>
    <w:tmpl w:val="321C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392032"/>
    <w:multiLevelType w:val="hybridMultilevel"/>
    <w:tmpl w:val="69E4BADC"/>
    <w:lvl w:ilvl="0" w:tplc="362ECD9A">
      <w:start w:val="1"/>
      <w:numFmt w:val="bullet"/>
      <w:pStyle w:val="Bodyitals"/>
      <w:lvlText w:val=""/>
      <w:lvlJc w:val="left"/>
      <w:pPr>
        <w:tabs>
          <w:tab w:val="num" w:pos="357"/>
        </w:tabs>
        <w:ind w:left="340" w:hanging="56"/>
      </w:pPr>
      <w:rPr>
        <w:rFonts w:ascii="Symbol" w:hAnsi="Symbol" w:hint="default"/>
        <w:color w:val="auto"/>
        <w:sz w:val="20"/>
        <w:u w:val="none"/>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1D66019D"/>
    <w:multiLevelType w:val="hybridMultilevel"/>
    <w:tmpl w:val="1BACF9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0725B4E"/>
    <w:multiLevelType w:val="multilevel"/>
    <w:tmpl w:val="0F3E156E"/>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1C11C9E"/>
    <w:multiLevelType w:val="hybridMultilevel"/>
    <w:tmpl w:val="0994E41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234C53C5"/>
    <w:multiLevelType w:val="hybridMultilevel"/>
    <w:tmpl w:val="E468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50C00CC"/>
    <w:multiLevelType w:val="hybridMultilevel"/>
    <w:tmpl w:val="492A2F6E"/>
    <w:lvl w:ilvl="0" w:tplc="F8D0FAC2">
      <w:start w:val="1"/>
      <w:numFmt w:val="decimal"/>
      <w:pStyle w:val="BodyTextnumberedlist"/>
      <w:lvlText w:val="%1."/>
      <w:lvlJc w:val="left"/>
      <w:pPr>
        <w:tabs>
          <w:tab w:val="num" w:pos="1208"/>
        </w:tabs>
        <w:ind w:left="851"/>
      </w:pPr>
      <w:rPr>
        <w:rFonts w:cs="Times New Roman" w:hint="default"/>
      </w:rPr>
    </w:lvl>
    <w:lvl w:ilvl="1" w:tplc="04090019" w:tentative="1">
      <w:start w:val="1"/>
      <w:numFmt w:val="lowerLetter"/>
      <w:lvlText w:val="%2."/>
      <w:lvlJc w:val="left"/>
      <w:pPr>
        <w:tabs>
          <w:tab w:val="num" w:pos="1571"/>
        </w:tabs>
        <w:ind w:left="1571" w:hanging="360"/>
      </w:pPr>
      <w:rPr>
        <w:rFonts w:cs="Times New Roman"/>
      </w:rPr>
    </w:lvl>
    <w:lvl w:ilvl="2" w:tplc="0409001B" w:tentative="1">
      <w:start w:val="1"/>
      <w:numFmt w:val="lowerRoman"/>
      <w:lvlText w:val="%3."/>
      <w:lvlJc w:val="right"/>
      <w:pPr>
        <w:tabs>
          <w:tab w:val="num" w:pos="2291"/>
        </w:tabs>
        <w:ind w:left="2291" w:hanging="180"/>
      </w:pPr>
      <w:rPr>
        <w:rFonts w:cs="Times New Roman"/>
      </w:rPr>
    </w:lvl>
    <w:lvl w:ilvl="3" w:tplc="0409000F" w:tentative="1">
      <w:start w:val="1"/>
      <w:numFmt w:val="decimal"/>
      <w:lvlText w:val="%4."/>
      <w:lvlJc w:val="left"/>
      <w:pPr>
        <w:tabs>
          <w:tab w:val="num" w:pos="3011"/>
        </w:tabs>
        <w:ind w:left="3011" w:hanging="360"/>
      </w:pPr>
      <w:rPr>
        <w:rFonts w:cs="Times New Roman"/>
      </w:rPr>
    </w:lvl>
    <w:lvl w:ilvl="4" w:tplc="04090019" w:tentative="1">
      <w:start w:val="1"/>
      <w:numFmt w:val="lowerLetter"/>
      <w:lvlText w:val="%5."/>
      <w:lvlJc w:val="left"/>
      <w:pPr>
        <w:tabs>
          <w:tab w:val="num" w:pos="3731"/>
        </w:tabs>
        <w:ind w:left="3731" w:hanging="360"/>
      </w:pPr>
      <w:rPr>
        <w:rFonts w:cs="Times New Roman"/>
      </w:rPr>
    </w:lvl>
    <w:lvl w:ilvl="5" w:tplc="0409001B" w:tentative="1">
      <w:start w:val="1"/>
      <w:numFmt w:val="lowerRoman"/>
      <w:lvlText w:val="%6."/>
      <w:lvlJc w:val="right"/>
      <w:pPr>
        <w:tabs>
          <w:tab w:val="num" w:pos="4451"/>
        </w:tabs>
        <w:ind w:left="4451" w:hanging="180"/>
      </w:pPr>
      <w:rPr>
        <w:rFonts w:cs="Times New Roman"/>
      </w:rPr>
    </w:lvl>
    <w:lvl w:ilvl="6" w:tplc="0409000F" w:tentative="1">
      <w:start w:val="1"/>
      <w:numFmt w:val="decimal"/>
      <w:lvlText w:val="%7."/>
      <w:lvlJc w:val="left"/>
      <w:pPr>
        <w:tabs>
          <w:tab w:val="num" w:pos="5171"/>
        </w:tabs>
        <w:ind w:left="5171" w:hanging="360"/>
      </w:pPr>
      <w:rPr>
        <w:rFonts w:cs="Times New Roman"/>
      </w:rPr>
    </w:lvl>
    <w:lvl w:ilvl="7" w:tplc="04090019" w:tentative="1">
      <w:start w:val="1"/>
      <w:numFmt w:val="lowerLetter"/>
      <w:lvlText w:val="%8."/>
      <w:lvlJc w:val="left"/>
      <w:pPr>
        <w:tabs>
          <w:tab w:val="num" w:pos="5891"/>
        </w:tabs>
        <w:ind w:left="5891" w:hanging="360"/>
      </w:pPr>
      <w:rPr>
        <w:rFonts w:cs="Times New Roman"/>
      </w:rPr>
    </w:lvl>
    <w:lvl w:ilvl="8" w:tplc="0409001B" w:tentative="1">
      <w:start w:val="1"/>
      <w:numFmt w:val="lowerRoman"/>
      <w:lvlText w:val="%9."/>
      <w:lvlJc w:val="right"/>
      <w:pPr>
        <w:tabs>
          <w:tab w:val="num" w:pos="6611"/>
        </w:tabs>
        <w:ind w:left="6611" w:hanging="180"/>
      </w:pPr>
      <w:rPr>
        <w:rFonts w:cs="Times New Roman"/>
      </w:rPr>
    </w:lvl>
  </w:abstractNum>
  <w:abstractNum w:abstractNumId="23">
    <w:nsid w:val="257070CE"/>
    <w:multiLevelType w:val="hybridMultilevel"/>
    <w:tmpl w:val="006A5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B0215E3"/>
    <w:multiLevelType w:val="hybridMultilevel"/>
    <w:tmpl w:val="B31CE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2EFD6144"/>
    <w:multiLevelType w:val="hybridMultilevel"/>
    <w:tmpl w:val="3858037A"/>
    <w:lvl w:ilvl="0" w:tplc="B5482CF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30986319"/>
    <w:multiLevelType w:val="multilevel"/>
    <w:tmpl w:val="E68E744E"/>
    <w:lvl w:ilvl="0">
      <w:start w:val="3"/>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1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17E60A2"/>
    <w:multiLevelType w:val="hybridMultilevel"/>
    <w:tmpl w:val="4E7C5508"/>
    <w:lvl w:ilvl="0" w:tplc="83605EF4">
      <w:start w:val="1"/>
      <w:numFmt w:val="decimal"/>
      <w:pStyle w:val="ListNos0"/>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22C7181"/>
    <w:multiLevelType w:val="hybridMultilevel"/>
    <w:tmpl w:val="F962AA4C"/>
    <w:lvl w:ilvl="0" w:tplc="98F80EB4">
      <w:start w:val="1"/>
      <w:numFmt w:val="bullet"/>
      <w:pStyle w:val="Bodytext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2E41A9E"/>
    <w:multiLevelType w:val="hybridMultilevel"/>
    <w:tmpl w:val="CD8863D2"/>
    <w:lvl w:ilvl="0" w:tplc="D81A12C8">
      <w:start w:val="1"/>
      <w:numFmt w:val="bullet"/>
      <w:pStyle w:val="Evidencebullets"/>
      <w:lvlText w:val=""/>
      <w:lvlJc w:val="left"/>
      <w:pPr>
        <w:tabs>
          <w:tab w:val="num" w:pos="340"/>
        </w:tabs>
        <w:ind w:left="1247" w:hanging="340"/>
      </w:pPr>
      <w:rPr>
        <w:rFonts w:ascii="Symbol" w:hAnsi="Symbol" w:hint="default"/>
        <w:sz w:val="22"/>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0">
    <w:nsid w:val="35466F4C"/>
    <w:multiLevelType w:val="hybridMultilevel"/>
    <w:tmpl w:val="44307596"/>
    <w:lvl w:ilvl="0" w:tplc="8E50126E">
      <w:start w:val="1"/>
      <w:numFmt w:val="bullet"/>
      <w:pStyle w:val="Tabletextbullet"/>
      <w:lvlText w:val=""/>
      <w:lvlJc w:val="left"/>
      <w:pPr>
        <w:tabs>
          <w:tab w:val="num" w:pos="187"/>
        </w:tabs>
        <w:ind w:left="187" w:hanging="18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6B571FD"/>
    <w:multiLevelType w:val="hybridMultilevel"/>
    <w:tmpl w:val="E7788CF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9D9093E"/>
    <w:multiLevelType w:val="hybridMultilevel"/>
    <w:tmpl w:val="63C012B4"/>
    <w:name w:val="WW8Num1223"/>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C3E4482"/>
    <w:multiLevelType w:val="multilevel"/>
    <w:tmpl w:val="D9B0B0B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CCC2898"/>
    <w:multiLevelType w:val="hybridMultilevel"/>
    <w:tmpl w:val="48148906"/>
    <w:lvl w:ilvl="0" w:tplc="3B021FD4">
      <w:start w:val="1"/>
      <w:numFmt w:val="lowerLetter"/>
      <w:pStyle w:val="Chaptersub-headings"/>
      <w:lvlText w:val="%1."/>
      <w:lvlJc w:val="right"/>
      <w:pPr>
        <w:ind w:left="2138" w:hanging="360"/>
      </w:pPr>
      <w:rPr>
        <w:rFonts w:hint="default"/>
        <w:sz w:val="20"/>
        <w:szCs w:val="20"/>
      </w:rPr>
    </w:lvl>
    <w:lvl w:ilvl="1" w:tplc="8528F0F8" w:tentative="1">
      <w:start w:val="1"/>
      <w:numFmt w:val="lowerLetter"/>
      <w:lvlText w:val="%2."/>
      <w:lvlJc w:val="left"/>
      <w:pPr>
        <w:ind w:left="2858" w:hanging="360"/>
      </w:pPr>
    </w:lvl>
    <w:lvl w:ilvl="2" w:tplc="0F92929C" w:tentative="1">
      <w:start w:val="1"/>
      <w:numFmt w:val="lowerRoman"/>
      <w:lvlText w:val="%3."/>
      <w:lvlJc w:val="right"/>
      <w:pPr>
        <w:ind w:left="3578" w:hanging="180"/>
      </w:pPr>
    </w:lvl>
    <w:lvl w:ilvl="3" w:tplc="0DBA0310" w:tentative="1">
      <w:start w:val="1"/>
      <w:numFmt w:val="decimal"/>
      <w:lvlText w:val="%4."/>
      <w:lvlJc w:val="left"/>
      <w:pPr>
        <w:ind w:left="4298" w:hanging="360"/>
      </w:pPr>
    </w:lvl>
    <w:lvl w:ilvl="4" w:tplc="F278AE1A" w:tentative="1">
      <w:start w:val="1"/>
      <w:numFmt w:val="lowerLetter"/>
      <w:lvlText w:val="%5."/>
      <w:lvlJc w:val="left"/>
      <w:pPr>
        <w:ind w:left="5018" w:hanging="360"/>
      </w:pPr>
    </w:lvl>
    <w:lvl w:ilvl="5" w:tplc="AF527E04" w:tentative="1">
      <w:start w:val="1"/>
      <w:numFmt w:val="lowerRoman"/>
      <w:lvlText w:val="%6."/>
      <w:lvlJc w:val="right"/>
      <w:pPr>
        <w:ind w:left="5738" w:hanging="180"/>
      </w:pPr>
    </w:lvl>
    <w:lvl w:ilvl="6" w:tplc="FBAC929A" w:tentative="1">
      <w:start w:val="1"/>
      <w:numFmt w:val="decimal"/>
      <w:lvlText w:val="%7."/>
      <w:lvlJc w:val="left"/>
      <w:pPr>
        <w:ind w:left="6458" w:hanging="360"/>
      </w:pPr>
    </w:lvl>
    <w:lvl w:ilvl="7" w:tplc="923C8046" w:tentative="1">
      <w:start w:val="1"/>
      <w:numFmt w:val="lowerLetter"/>
      <w:lvlText w:val="%8."/>
      <w:lvlJc w:val="left"/>
      <w:pPr>
        <w:ind w:left="7178" w:hanging="360"/>
      </w:pPr>
    </w:lvl>
    <w:lvl w:ilvl="8" w:tplc="69007FD4" w:tentative="1">
      <w:start w:val="1"/>
      <w:numFmt w:val="lowerRoman"/>
      <w:lvlText w:val="%9."/>
      <w:lvlJc w:val="right"/>
      <w:pPr>
        <w:ind w:left="7898" w:hanging="180"/>
      </w:pPr>
    </w:lvl>
  </w:abstractNum>
  <w:abstractNum w:abstractNumId="35">
    <w:nsid w:val="414231F2"/>
    <w:multiLevelType w:val="multilevel"/>
    <w:tmpl w:val="9246FCB2"/>
    <w:lvl w:ilvl="0">
      <w:start w:val="1"/>
      <w:numFmt w:val="decimal"/>
      <w:pStyle w:val="R1-bul"/>
      <w:lvlText w:val="R%1."/>
      <w:lvlJc w:val="left"/>
      <w:pPr>
        <w:tabs>
          <w:tab w:val="num" w:pos="360"/>
        </w:tabs>
        <w:ind w:left="36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6">
    <w:nsid w:val="462F4A0B"/>
    <w:multiLevelType w:val="hybridMultilevel"/>
    <w:tmpl w:val="1F64CA1A"/>
    <w:lvl w:ilvl="0" w:tplc="0F48C02A">
      <w:start w:val="1"/>
      <w:numFmt w:val="bullet"/>
      <w:pStyle w:val="TableBullet"/>
      <w:lvlText w:val="•"/>
      <w:lvlJc w:val="left"/>
      <w:pPr>
        <w:tabs>
          <w:tab w:val="num" w:pos="360"/>
        </w:tabs>
        <w:ind w:left="360" w:hanging="360"/>
      </w:pPr>
      <w:rPr>
        <w:rFonts w:ascii="Verdana" w:hAnsi="Verdana" w:hint="default"/>
        <w:sz w:val="18"/>
      </w:rPr>
    </w:lvl>
    <w:lvl w:ilvl="1" w:tplc="AE20B1F2" w:tentative="1">
      <w:start w:val="1"/>
      <w:numFmt w:val="bullet"/>
      <w:lvlText w:val="o"/>
      <w:lvlJc w:val="left"/>
      <w:pPr>
        <w:tabs>
          <w:tab w:val="num" w:pos="1440"/>
        </w:tabs>
        <w:ind w:left="1440" w:hanging="360"/>
      </w:pPr>
      <w:rPr>
        <w:rFonts w:ascii="Courier New" w:hAnsi="Courier New" w:cs="Courier New" w:hint="default"/>
      </w:rPr>
    </w:lvl>
    <w:lvl w:ilvl="2" w:tplc="04E6519A">
      <w:start w:val="1"/>
      <w:numFmt w:val="bullet"/>
      <w:lvlText w:val=""/>
      <w:lvlJc w:val="left"/>
      <w:pPr>
        <w:tabs>
          <w:tab w:val="num" w:pos="2160"/>
        </w:tabs>
        <w:ind w:left="2160" w:hanging="360"/>
      </w:pPr>
      <w:rPr>
        <w:rFonts w:ascii="Wingdings" w:hAnsi="Wingdings" w:hint="default"/>
      </w:rPr>
    </w:lvl>
    <w:lvl w:ilvl="3" w:tplc="FE080BA8" w:tentative="1">
      <w:start w:val="1"/>
      <w:numFmt w:val="bullet"/>
      <w:lvlText w:val=""/>
      <w:lvlJc w:val="left"/>
      <w:pPr>
        <w:tabs>
          <w:tab w:val="num" w:pos="2880"/>
        </w:tabs>
        <w:ind w:left="2880" w:hanging="360"/>
      </w:pPr>
      <w:rPr>
        <w:rFonts w:ascii="Symbol" w:hAnsi="Symbol" w:hint="default"/>
      </w:rPr>
    </w:lvl>
    <w:lvl w:ilvl="4" w:tplc="ACEEC448" w:tentative="1">
      <w:start w:val="1"/>
      <w:numFmt w:val="bullet"/>
      <w:lvlText w:val="o"/>
      <w:lvlJc w:val="left"/>
      <w:pPr>
        <w:tabs>
          <w:tab w:val="num" w:pos="3600"/>
        </w:tabs>
        <w:ind w:left="3600" w:hanging="360"/>
      </w:pPr>
      <w:rPr>
        <w:rFonts w:ascii="Courier New" w:hAnsi="Courier New" w:cs="Courier New" w:hint="default"/>
      </w:rPr>
    </w:lvl>
    <w:lvl w:ilvl="5" w:tplc="88ACD994" w:tentative="1">
      <w:start w:val="1"/>
      <w:numFmt w:val="bullet"/>
      <w:lvlText w:val=""/>
      <w:lvlJc w:val="left"/>
      <w:pPr>
        <w:tabs>
          <w:tab w:val="num" w:pos="4320"/>
        </w:tabs>
        <w:ind w:left="4320" w:hanging="360"/>
      </w:pPr>
      <w:rPr>
        <w:rFonts w:ascii="Wingdings" w:hAnsi="Wingdings" w:hint="default"/>
      </w:rPr>
    </w:lvl>
    <w:lvl w:ilvl="6" w:tplc="7A326544" w:tentative="1">
      <w:start w:val="1"/>
      <w:numFmt w:val="bullet"/>
      <w:lvlText w:val=""/>
      <w:lvlJc w:val="left"/>
      <w:pPr>
        <w:tabs>
          <w:tab w:val="num" w:pos="5040"/>
        </w:tabs>
        <w:ind w:left="5040" w:hanging="360"/>
      </w:pPr>
      <w:rPr>
        <w:rFonts w:ascii="Symbol" w:hAnsi="Symbol" w:hint="default"/>
      </w:rPr>
    </w:lvl>
    <w:lvl w:ilvl="7" w:tplc="4DC031F0" w:tentative="1">
      <w:start w:val="1"/>
      <w:numFmt w:val="bullet"/>
      <w:lvlText w:val="o"/>
      <w:lvlJc w:val="left"/>
      <w:pPr>
        <w:tabs>
          <w:tab w:val="num" w:pos="5760"/>
        </w:tabs>
        <w:ind w:left="5760" w:hanging="360"/>
      </w:pPr>
      <w:rPr>
        <w:rFonts w:ascii="Courier New" w:hAnsi="Courier New" w:cs="Courier New" w:hint="default"/>
      </w:rPr>
    </w:lvl>
    <w:lvl w:ilvl="8" w:tplc="165E7DF0" w:tentative="1">
      <w:start w:val="1"/>
      <w:numFmt w:val="bullet"/>
      <w:lvlText w:val=""/>
      <w:lvlJc w:val="left"/>
      <w:pPr>
        <w:tabs>
          <w:tab w:val="num" w:pos="6480"/>
        </w:tabs>
        <w:ind w:left="6480" w:hanging="360"/>
      </w:pPr>
      <w:rPr>
        <w:rFonts w:ascii="Wingdings" w:hAnsi="Wingdings" w:hint="default"/>
      </w:rPr>
    </w:lvl>
  </w:abstractNum>
  <w:abstractNum w:abstractNumId="37">
    <w:nsid w:val="47AD742A"/>
    <w:multiLevelType w:val="hybridMultilevel"/>
    <w:tmpl w:val="CCE4FE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84425F8"/>
    <w:multiLevelType w:val="hybridMultilevel"/>
    <w:tmpl w:val="9AE24B4A"/>
    <w:lvl w:ilvl="0" w:tplc="BA0E2262">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4D0C1DA1"/>
    <w:multiLevelType w:val="hybridMultilevel"/>
    <w:tmpl w:val="DFA42BF4"/>
    <w:lvl w:ilvl="0" w:tplc="72246EB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5027235D"/>
    <w:multiLevelType w:val="multilevel"/>
    <w:tmpl w:val="9288E972"/>
    <w:lvl w:ilvl="0">
      <w:start w:val="1"/>
      <w:numFmt w:val="decimal"/>
      <w:pStyle w:val="Tabletextnoindent"/>
      <w:lvlText w:val="ES1.%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10D2700"/>
    <w:multiLevelType w:val="hybridMultilevel"/>
    <w:tmpl w:val="A8229A98"/>
    <w:lvl w:ilvl="0" w:tplc="0C090001">
      <w:start w:val="1"/>
      <w:numFmt w:val="bullet"/>
      <w:lvlText w:val=""/>
      <w:lvlJc w:val="left"/>
      <w:pPr>
        <w:tabs>
          <w:tab w:val="num" w:pos="720"/>
        </w:tabs>
        <w:ind w:left="720" w:hanging="360"/>
      </w:pPr>
      <w:rPr>
        <w:rFonts w:ascii="Symbol" w:hAnsi="Symbol" w:hint="default"/>
      </w:rPr>
    </w:lvl>
    <w:lvl w:ilvl="1" w:tplc="C276AE5E">
      <w:start w:val="1"/>
      <w:numFmt w:val="bullet"/>
      <w:pStyle w:val="bulletlist"/>
      <w:lvlText w:val=""/>
      <w:lvlJc w:val="left"/>
      <w:pPr>
        <w:tabs>
          <w:tab w:val="num" w:pos="1440"/>
        </w:tabs>
        <w:ind w:left="1440" w:hanging="360"/>
      </w:pPr>
      <w:rPr>
        <w:rFonts w:ascii="Symbol" w:hAnsi="Symbol" w:hint="default"/>
        <w:sz w:val="18"/>
        <w:szCs w:val="18"/>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517373CB"/>
    <w:multiLevelType w:val="multilevel"/>
    <w:tmpl w:val="FCBA35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2BE098D"/>
    <w:multiLevelType w:val="multilevel"/>
    <w:tmpl w:val="1B889DF6"/>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53A63BCB"/>
    <w:multiLevelType w:val="hybridMultilevel"/>
    <w:tmpl w:val="121051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557403FC"/>
    <w:multiLevelType w:val="hybridMultilevel"/>
    <w:tmpl w:val="C8108D4A"/>
    <w:lvl w:ilvl="0" w:tplc="9C609584">
      <w:start w:val="1"/>
      <w:numFmt w:val="decimal"/>
      <w:pStyle w:val="T1-bul"/>
      <w:lvlText w:val="T%1."/>
      <w:lvlJc w:val="left"/>
      <w:pPr>
        <w:ind w:left="720" w:hanging="360"/>
      </w:pPr>
      <w:rPr>
        <w:rFonts w:hint="default"/>
      </w:rPr>
    </w:lvl>
    <w:lvl w:ilvl="1" w:tplc="8744A06E" w:tentative="1">
      <w:start w:val="1"/>
      <w:numFmt w:val="lowerLetter"/>
      <w:lvlText w:val="%2."/>
      <w:lvlJc w:val="left"/>
      <w:pPr>
        <w:ind w:left="1440" w:hanging="360"/>
      </w:pPr>
    </w:lvl>
    <w:lvl w:ilvl="2" w:tplc="32E87668" w:tentative="1">
      <w:start w:val="1"/>
      <w:numFmt w:val="lowerRoman"/>
      <w:lvlText w:val="%3."/>
      <w:lvlJc w:val="right"/>
      <w:pPr>
        <w:ind w:left="2160" w:hanging="180"/>
      </w:pPr>
    </w:lvl>
    <w:lvl w:ilvl="3" w:tplc="E9888F72" w:tentative="1">
      <w:start w:val="1"/>
      <w:numFmt w:val="decimal"/>
      <w:lvlText w:val="%4."/>
      <w:lvlJc w:val="left"/>
      <w:pPr>
        <w:ind w:left="2880" w:hanging="360"/>
      </w:pPr>
    </w:lvl>
    <w:lvl w:ilvl="4" w:tplc="A342A208" w:tentative="1">
      <w:start w:val="1"/>
      <w:numFmt w:val="lowerLetter"/>
      <w:lvlText w:val="%5."/>
      <w:lvlJc w:val="left"/>
      <w:pPr>
        <w:ind w:left="3600" w:hanging="360"/>
      </w:pPr>
    </w:lvl>
    <w:lvl w:ilvl="5" w:tplc="9606C8D6" w:tentative="1">
      <w:start w:val="1"/>
      <w:numFmt w:val="lowerRoman"/>
      <w:lvlText w:val="%6."/>
      <w:lvlJc w:val="right"/>
      <w:pPr>
        <w:ind w:left="4320" w:hanging="180"/>
      </w:pPr>
    </w:lvl>
    <w:lvl w:ilvl="6" w:tplc="3412DF94" w:tentative="1">
      <w:start w:val="1"/>
      <w:numFmt w:val="decimal"/>
      <w:lvlText w:val="%7."/>
      <w:lvlJc w:val="left"/>
      <w:pPr>
        <w:ind w:left="5040" w:hanging="360"/>
      </w:pPr>
    </w:lvl>
    <w:lvl w:ilvl="7" w:tplc="DF486092" w:tentative="1">
      <w:start w:val="1"/>
      <w:numFmt w:val="lowerLetter"/>
      <w:lvlText w:val="%8."/>
      <w:lvlJc w:val="left"/>
      <w:pPr>
        <w:ind w:left="5760" w:hanging="360"/>
      </w:pPr>
    </w:lvl>
    <w:lvl w:ilvl="8" w:tplc="43B83AFA" w:tentative="1">
      <w:start w:val="1"/>
      <w:numFmt w:val="lowerRoman"/>
      <w:lvlText w:val="%9."/>
      <w:lvlJc w:val="right"/>
      <w:pPr>
        <w:ind w:left="6480" w:hanging="180"/>
      </w:pPr>
    </w:lvl>
  </w:abstractNum>
  <w:abstractNum w:abstractNumId="46">
    <w:nsid w:val="59E60964"/>
    <w:multiLevelType w:val="hybridMultilevel"/>
    <w:tmpl w:val="7F427B24"/>
    <w:lvl w:ilvl="0" w:tplc="B01EDF86">
      <w:start w:val="1"/>
      <w:numFmt w:val="bullet"/>
      <w:pStyle w:val="listbody"/>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nsid w:val="5C376983"/>
    <w:multiLevelType w:val="hybridMultilevel"/>
    <w:tmpl w:val="30F0ACB0"/>
    <w:lvl w:ilvl="0" w:tplc="D5A229A2">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8">
    <w:nsid w:val="5C6264B4"/>
    <w:multiLevelType w:val="hybridMultilevel"/>
    <w:tmpl w:val="04C2F852"/>
    <w:lvl w:ilvl="0" w:tplc="A4A6F0A4">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695C9020" w:tentative="1">
      <w:start w:val="1"/>
      <w:numFmt w:val="bullet"/>
      <w:lvlText w:val="o"/>
      <w:lvlJc w:val="left"/>
      <w:pPr>
        <w:tabs>
          <w:tab w:val="num" w:pos="1440"/>
        </w:tabs>
        <w:ind w:left="1440" w:hanging="360"/>
      </w:pPr>
      <w:rPr>
        <w:rFonts w:ascii="Courier New" w:hAnsi="Courier New" w:cs="Courier New" w:hint="default"/>
      </w:rPr>
    </w:lvl>
    <w:lvl w:ilvl="2" w:tplc="88906BA0" w:tentative="1">
      <w:start w:val="1"/>
      <w:numFmt w:val="bullet"/>
      <w:lvlText w:val=""/>
      <w:lvlJc w:val="left"/>
      <w:pPr>
        <w:tabs>
          <w:tab w:val="num" w:pos="2160"/>
        </w:tabs>
        <w:ind w:left="2160" w:hanging="360"/>
      </w:pPr>
      <w:rPr>
        <w:rFonts w:ascii="Wingdings" w:hAnsi="Wingdings" w:hint="default"/>
      </w:rPr>
    </w:lvl>
    <w:lvl w:ilvl="3" w:tplc="44225F32" w:tentative="1">
      <w:start w:val="1"/>
      <w:numFmt w:val="bullet"/>
      <w:lvlText w:val=""/>
      <w:lvlJc w:val="left"/>
      <w:pPr>
        <w:tabs>
          <w:tab w:val="num" w:pos="2880"/>
        </w:tabs>
        <w:ind w:left="2880" w:hanging="360"/>
      </w:pPr>
      <w:rPr>
        <w:rFonts w:ascii="Symbol" w:hAnsi="Symbol" w:hint="default"/>
      </w:rPr>
    </w:lvl>
    <w:lvl w:ilvl="4" w:tplc="810292BA" w:tentative="1">
      <w:start w:val="1"/>
      <w:numFmt w:val="bullet"/>
      <w:lvlText w:val="o"/>
      <w:lvlJc w:val="left"/>
      <w:pPr>
        <w:tabs>
          <w:tab w:val="num" w:pos="3600"/>
        </w:tabs>
        <w:ind w:left="3600" w:hanging="360"/>
      </w:pPr>
      <w:rPr>
        <w:rFonts w:ascii="Courier New" w:hAnsi="Courier New" w:cs="Courier New" w:hint="default"/>
      </w:rPr>
    </w:lvl>
    <w:lvl w:ilvl="5" w:tplc="8CD67436" w:tentative="1">
      <w:start w:val="1"/>
      <w:numFmt w:val="bullet"/>
      <w:lvlText w:val=""/>
      <w:lvlJc w:val="left"/>
      <w:pPr>
        <w:tabs>
          <w:tab w:val="num" w:pos="4320"/>
        </w:tabs>
        <w:ind w:left="4320" w:hanging="360"/>
      </w:pPr>
      <w:rPr>
        <w:rFonts w:ascii="Wingdings" w:hAnsi="Wingdings" w:hint="default"/>
      </w:rPr>
    </w:lvl>
    <w:lvl w:ilvl="6" w:tplc="B2B8D97E" w:tentative="1">
      <w:start w:val="1"/>
      <w:numFmt w:val="bullet"/>
      <w:lvlText w:val=""/>
      <w:lvlJc w:val="left"/>
      <w:pPr>
        <w:tabs>
          <w:tab w:val="num" w:pos="5040"/>
        </w:tabs>
        <w:ind w:left="5040" w:hanging="360"/>
      </w:pPr>
      <w:rPr>
        <w:rFonts w:ascii="Symbol" w:hAnsi="Symbol" w:hint="default"/>
      </w:rPr>
    </w:lvl>
    <w:lvl w:ilvl="7" w:tplc="45180366" w:tentative="1">
      <w:start w:val="1"/>
      <w:numFmt w:val="bullet"/>
      <w:lvlText w:val="o"/>
      <w:lvlJc w:val="left"/>
      <w:pPr>
        <w:tabs>
          <w:tab w:val="num" w:pos="5760"/>
        </w:tabs>
        <w:ind w:left="5760" w:hanging="360"/>
      </w:pPr>
      <w:rPr>
        <w:rFonts w:ascii="Courier New" w:hAnsi="Courier New" w:cs="Courier New" w:hint="default"/>
      </w:rPr>
    </w:lvl>
    <w:lvl w:ilvl="8" w:tplc="CF9054C6" w:tentative="1">
      <w:start w:val="1"/>
      <w:numFmt w:val="bullet"/>
      <w:lvlText w:val=""/>
      <w:lvlJc w:val="left"/>
      <w:pPr>
        <w:tabs>
          <w:tab w:val="num" w:pos="6480"/>
        </w:tabs>
        <w:ind w:left="6480" w:hanging="360"/>
      </w:pPr>
      <w:rPr>
        <w:rFonts w:ascii="Wingdings" w:hAnsi="Wingdings" w:hint="default"/>
      </w:rPr>
    </w:lvl>
  </w:abstractNum>
  <w:abstractNum w:abstractNumId="49">
    <w:nsid w:val="5F371DED"/>
    <w:multiLevelType w:val="hybridMultilevel"/>
    <w:tmpl w:val="9104ED16"/>
    <w:name w:val="headingsroche"/>
    <w:lvl w:ilvl="0" w:tplc="39887E4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0">
    <w:nsid w:val="639506FB"/>
    <w:multiLevelType w:val="hybridMultilevel"/>
    <w:tmpl w:val="79F2A1C4"/>
    <w:lvl w:ilvl="0" w:tplc="373EAD64">
      <w:start w:val="1"/>
      <w:numFmt w:val="bullet"/>
      <w:pStyle w:val="Tabletextbullets"/>
      <w:lvlText w:val=""/>
      <w:lvlJc w:val="left"/>
      <w:pPr>
        <w:tabs>
          <w:tab w:val="num" w:pos="357"/>
        </w:tabs>
        <w:ind w:left="357" w:firstLine="363"/>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6337DEC"/>
    <w:multiLevelType w:val="hybridMultilevel"/>
    <w:tmpl w:val="B6A0A468"/>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6AD40B34"/>
    <w:multiLevelType w:val="multilevel"/>
    <w:tmpl w:val="ED52ED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6C5542A8"/>
    <w:multiLevelType w:val="hybridMultilevel"/>
    <w:tmpl w:val="632E40E4"/>
    <w:lvl w:ilvl="0" w:tplc="E8A6AD2A">
      <w:start w:val="1"/>
      <w:numFmt w:val="bullet"/>
      <w:pStyle w:val="Tablebullet0"/>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4">
    <w:nsid w:val="701523E9"/>
    <w:multiLevelType w:val="hybridMultilevel"/>
    <w:tmpl w:val="67D24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75DA7863"/>
    <w:multiLevelType w:val="hybridMultilevel"/>
    <w:tmpl w:val="77A69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83E2F92"/>
    <w:multiLevelType w:val="hybridMultilevel"/>
    <w:tmpl w:val="72221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8DC5AAA"/>
    <w:multiLevelType w:val="multilevel"/>
    <w:tmpl w:val="BD6C48D4"/>
    <w:lvl w:ilvl="0">
      <w:start w:val="1"/>
      <w:numFmt w:val="decimal"/>
      <w:pStyle w:val="PP1-bull"/>
      <w:lvlText w:val="PP%1."/>
      <w:lvlJc w:val="left"/>
      <w:pPr>
        <w:tabs>
          <w:tab w:val="num" w:pos="360"/>
        </w:tabs>
        <w:ind w:left="36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8">
    <w:nsid w:val="78E81FDC"/>
    <w:multiLevelType w:val="hybridMultilevel"/>
    <w:tmpl w:val="DDD27E30"/>
    <w:lvl w:ilvl="0" w:tplc="7A80EB10">
      <w:start w:val="1"/>
      <w:numFmt w:val="bullet"/>
      <w:pStyle w:val="Bullet0"/>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7A69500A"/>
    <w:multiLevelType w:val="hybridMultilevel"/>
    <w:tmpl w:val="8CD8D5A6"/>
    <w:lvl w:ilvl="0" w:tplc="B76E6F14">
      <w:start w:val="1"/>
      <w:numFmt w:val="decimal"/>
      <w:pStyle w:val="TableListPICO"/>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nsid w:val="7AA31E77"/>
    <w:multiLevelType w:val="multilevel"/>
    <w:tmpl w:val="8FAE8D68"/>
    <w:lvl w:ilvl="0">
      <w:start w:val="1"/>
      <w:numFmt w:val="decimal"/>
      <w:pStyle w:val="Chapterheading0"/>
      <w:lvlText w:val="%1"/>
      <w:lvlJc w:val="left"/>
      <w:pPr>
        <w:tabs>
          <w:tab w:val="num" w:pos="907"/>
        </w:tabs>
        <w:ind w:left="680" w:hanging="680"/>
      </w:pPr>
      <w:rPr>
        <w:rFonts w:cs="Times New Roman" w:hint="default"/>
      </w:rPr>
    </w:lvl>
    <w:lvl w:ilvl="1">
      <w:start w:val="1"/>
      <w:numFmt w:val="decimal"/>
      <w:lvlText w:val="%1.%2"/>
      <w:lvlJc w:val="left"/>
      <w:pPr>
        <w:tabs>
          <w:tab w:val="num" w:pos="907"/>
        </w:tabs>
        <w:ind w:left="680" w:hanging="680"/>
      </w:pPr>
      <w:rPr>
        <w:rFonts w:cs="Times New Roman" w:hint="default"/>
      </w:rPr>
    </w:lvl>
    <w:lvl w:ilvl="2">
      <w:start w:val="1"/>
      <w:numFmt w:val="decimal"/>
      <w:lvlText w:val="%1.%2.%3"/>
      <w:lvlJc w:val="left"/>
      <w:pPr>
        <w:tabs>
          <w:tab w:val="num" w:pos="907"/>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nsid w:val="7D157298"/>
    <w:multiLevelType w:val="hybridMultilevel"/>
    <w:tmpl w:val="C4FED558"/>
    <w:lvl w:ilvl="0" w:tplc="0C090001">
      <w:start w:val="1"/>
      <w:numFmt w:val="decimal"/>
      <w:pStyle w:val="Bodybullet"/>
      <w:lvlText w:val="%1."/>
      <w:lvlJc w:val="left"/>
      <w:pPr>
        <w:tabs>
          <w:tab w:val="num" w:pos="900"/>
        </w:tabs>
        <w:ind w:left="90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2">
    <w:nsid w:val="7DB67C63"/>
    <w:multiLevelType w:val="hybridMultilevel"/>
    <w:tmpl w:val="6FC2F672"/>
    <w:lvl w:ilvl="0" w:tplc="FD22B85A">
      <w:start w:val="1"/>
      <w:numFmt w:val="bullet"/>
      <w:pStyle w:val="Tabledash0"/>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48"/>
  </w:num>
  <w:num w:numId="3">
    <w:abstractNumId w:val="58"/>
  </w:num>
  <w:num w:numId="4">
    <w:abstractNumId w:val="14"/>
  </w:num>
  <w:num w:numId="5">
    <w:abstractNumId w:val="9"/>
  </w:num>
  <w:num w:numId="6">
    <w:abstractNumId w:val="13"/>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35"/>
  </w:num>
  <w:num w:numId="11">
    <w:abstractNumId w:val="45"/>
  </w:num>
  <w:num w:numId="12">
    <w:abstractNumId w:val="42"/>
  </w:num>
  <w:num w:numId="13">
    <w:abstractNumId w:val="34"/>
    <w:lvlOverride w:ilvl="0">
      <w:startOverride w:val="1"/>
    </w:lvlOverride>
  </w:num>
  <w:num w:numId="14">
    <w:abstractNumId w:val="11"/>
  </w:num>
  <w:num w:numId="15">
    <w:abstractNumId w:val="17"/>
  </w:num>
  <w:num w:numId="16">
    <w:abstractNumId w:val="60"/>
  </w:num>
  <w:num w:numId="17">
    <w:abstractNumId w:val="33"/>
  </w:num>
  <w:num w:numId="18">
    <w:abstractNumId w:val="53"/>
  </w:num>
  <w:num w:numId="19">
    <w:abstractNumId w:val="10"/>
  </w:num>
  <w:num w:numId="20">
    <w:abstractNumId w:val="58"/>
  </w:num>
  <w:num w:numId="21">
    <w:abstractNumId w:val="18"/>
  </w:num>
  <w:num w:numId="22">
    <w:abstractNumId w:val="24"/>
  </w:num>
  <w:num w:numId="23">
    <w:abstractNumId w:val="44"/>
  </w:num>
  <w:num w:numId="24">
    <w:abstractNumId w:val="20"/>
  </w:num>
  <w:num w:numId="25">
    <w:abstractNumId w:val="40"/>
  </w:num>
  <w:num w:numId="26">
    <w:abstractNumId w:val="28"/>
  </w:num>
  <w:num w:numId="27">
    <w:abstractNumId w:val="22"/>
    <w:lvlOverride w:ilvl="0">
      <w:startOverride w:val="1"/>
    </w:lvlOverride>
  </w:num>
  <w:num w:numId="28">
    <w:abstractNumId w:val="41"/>
  </w:num>
  <w:num w:numId="29">
    <w:abstractNumId w:val="29"/>
  </w:num>
  <w:num w:numId="30">
    <w:abstractNumId w:val="46"/>
  </w:num>
  <w:num w:numId="31">
    <w:abstractNumId w:val="8"/>
  </w:num>
  <w:num w:numId="32">
    <w:abstractNumId w:val="7"/>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27"/>
  </w:num>
  <w:num w:numId="41">
    <w:abstractNumId w:val="62"/>
  </w:num>
  <w:num w:numId="42">
    <w:abstractNumId w:val="51"/>
  </w:num>
  <w:num w:numId="43">
    <w:abstractNumId w:val="30"/>
  </w:num>
  <w:num w:numId="44">
    <w:abstractNumId w:val="50"/>
  </w:num>
  <w:num w:numId="45">
    <w:abstractNumId w:val="59"/>
  </w:num>
  <w:num w:numId="46">
    <w:abstractNumId w:val="47"/>
  </w:num>
  <w:num w:numId="47">
    <w:abstractNumId w:val="26"/>
  </w:num>
  <w:num w:numId="48">
    <w:abstractNumId w:val="43"/>
  </w:num>
  <w:num w:numId="49">
    <w:abstractNumId w:val="19"/>
  </w:num>
  <w:num w:numId="50">
    <w:abstractNumId w:val="58"/>
  </w:num>
  <w:num w:numId="51">
    <w:abstractNumId w:val="52"/>
  </w:num>
  <w:num w:numId="52">
    <w:abstractNumId w:val="37"/>
  </w:num>
  <w:num w:numId="53">
    <w:abstractNumId w:val="55"/>
  </w:num>
  <w:num w:numId="54">
    <w:abstractNumId w:val="21"/>
  </w:num>
  <w:num w:numId="55">
    <w:abstractNumId w:val="16"/>
  </w:num>
  <w:num w:numId="56">
    <w:abstractNumId w:val="23"/>
  </w:num>
  <w:num w:numId="57">
    <w:abstractNumId w:val="39"/>
  </w:num>
  <w:num w:numId="58">
    <w:abstractNumId w:val="25"/>
  </w:num>
  <w:num w:numId="59">
    <w:abstractNumId w:val="15"/>
  </w:num>
  <w:num w:numId="60">
    <w:abstractNumId w:val="54"/>
  </w:num>
  <w:num w:numId="61">
    <w:abstractNumId w:val="31"/>
  </w:num>
  <w:num w:numId="62">
    <w:abstractNumId w:val="56"/>
  </w:num>
  <w:num w:numId="63">
    <w:abstractNumId w:val="3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laryc01">
    <w15:presenceInfo w15:providerId="None" w15:userId="hilaryc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ttachedTemplate r:id="rId1"/>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329" fillcolor="#f2dcdb">
      <v:fill color="#f2dcdb"/>
      <v:textbox style="mso-rotate-with-shape:t"/>
    </o:shapedefaults>
    <o:shapelayout v:ext="edit">
      <o:idmap v:ext="edit" data="2"/>
    </o:shapelayout>
  </w:hdrShapeDefault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ES-BLOOD-03&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dve2wadsavt5ewavaxtda4f2tavzvts9ee&quot;&gt;Module6-07&lt;record-ids&gt;&lt;item&gt;21&lt;/item&gt;&lt;item&gt;25&lt;/item&gt;&lt;item&gt;54&lt;/item&gt;&lt;item&gt;55&lt;/item&gt;&lt;item&gt;56&lt;/item&gt;&lt;item&gt;57&lt;/item&gt;&lt;item&gt;58&lt;/item&gt;&lt;item&gt;59&lt;/item&gt;&lt;item&gt;60&lt;/item&gt;&lt;item&gt;63&lt;/item&gt;&lt;item&gt;64&lt;/item&gt;&lt;item&gt;65&lt;/item&gt;&lt;item&gt;66&lt;/item&gt;&lt;item&gt;70&lt;/item&gt;&lt;item&gt;71&lt;/item&gt;&lt;item&gt;72&lt;/item&gt;&lt;item&gt;76&lt;/item&gt;&lt;item&gt;77&lt;/item&gt;&lt;item&gt;78&lt;/item&gt;&lt;item&gt;79&lt;/item&gt;&lt;item&gt;85&lt;/item&gt;&lt;item&gt;88&lt;/item&gt;&lt;item&gt;89&lt;/item&gt;&lt;item&gt;90&lt;/item&gt;&lt;item&gt;91&lt;/item&gt;&lt;item&gt;92&lt;/item&gt;&lt;item&gt;93&lt;/item&gt;&lt;item&gt;94&lt;/item&gt;&lt;item&gt;95&lt;/item&gt;&lt;item&gt;96&lt;/item&gt;&lt;item&gt;97&lt;/item&gt;&lt;item&gt;99&lt;/item&gt;&lt;item&gt;100&lt;/item&gt;&lt;item&gt;101&lt;/item&gt;&lt;item&gt;102&lt;/item&gt;&lt;item&gt;103&lt;/item&gt;&lt;item&gt;105&lt;/item&gt;&lt;item&gt;106&lt;/item&gt;&lt;item&gt;109&lt;/item&gt;&lt;item&gt;110&lt;/item&gt;&lt;item&gt;113&lt;/item&gt;&lt;item&gt;114&lt;/item&gt;&lt;item&gt;115&lt;/item&gt;&lt;item&gt;116&lt;/item&gt;&lt;item&gt;117&lt;/item&gt;&lt;item&gt;118&lt;/item&gt;&lt;item&gt;119&lt;/item&gt;&lt;item&gt;121&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5&lt;/item&gt;&lt;item&gt;179&lt;/item&gt;&lt;item&gt;181&lt;/item&gt;&lt;item&gt;182&lt;/item&gt;&lt;item&gt;183&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2&lt;/item&gt;&lt;item&gt;230&lt;/item&gt;&lt;item&gt;231&lt;/item&gt;&lt;item&gt;336&lt;/item&gt;&lt;item&gt;337&lt;/item&gt;&lt;item&gt;370&lt;/item&gt;&lt;item&gt;374&lt;/item&gt;&lt;item&gt;445&lt;/item&gt;&lt;item&gt;460&lt;/item&gt;&lt;item&gt;461&lt;/item&gt;&lt;item&gt;462&lt;/item&gt;&lt;item&gt;463&lt;/item&gt;&lt;item&gt;468&lt;/item&gt;&lt;item&gt;469&lt;/item&gt;&lt;item&gt;470&lt;/item&gt;&lt;item&gt;479&lt;/item&gt;&lt;item&gt;482&lt;/item&gt;&lt;item&gt;483&lt;/item&gt;&lt;item&gt;484&lt;/item&gt;&lt;item&gt;486&lt;/item&gt;&lt;item&gt;487&lt;/item&gt;&lt;item&gt;488&lt;/item&gt;&lt;item&gt;490&lt;/item&gt;&lt;item&gt;491&lt;/item&gt;&lt;item&gt;494&lt;/item&gt;&lt;item&gt;495&lt;/item&gt;&lt;item&gt;496&lt;/item&gt;&lt;item&gt;498&lt;/item&gt;&lt;item&gt;499&lt;/item&gt;&lt;item&gt;500&lt;/item&gt;&lt;item&gt;502&lt;/item&gt;&lt;item&gt;507&lt;/item&gt;&lt;item&gt;525&lt;/item&gt;&lt;item&gt;532&lt;/item&gt;&lt;item&gt;533&lt;/item&gt;&lt;item&gt;534&lt;/item&gt;&lt;item&gt;535&lt;/item&gt;&lt;item&gt;536&lt;/item&gt;&lt;item&gt;538&lt;/item&gt;&lt;item&gt;539&lt;/item&gt;&lt;item&gt;540&lt;/item&gt;&lt;item&gt;541&lt;/item&gt;&lt;item&gt;542&lt;/item&gt;&lt;item&gt;544&lt;/item&gt;&lt;item&gt;546&lt;/item&gt;&lt;item&gt;547&lt;/item&gt;&lt;item&gt;548&lt;/item&gt;&lt;item&gt;549&lt;/item&gt;&lt;item&gt;550&lt;/item&gt;&lt;item&gt;551&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3&lt;/item&gt;&lt;item&gt;594&lt;/item&gt;&lt;item&gt;596&lt;/item&gt;&lt;item&gt;597&lt;/item&gt;&lt;item&gt;598&lt;/item&gt;&lt;item&gt;599&lt;/item&gt;&lt;item&gt;600&lt;/item&gt;&lt;item&gt;602&lt;/item&gt;&lt;item&gt;603&lt;/item&gt;&lt;item&gt;605&lt;/item&gt;&lt;item&gt;606&lt;/item&gt;&lt;item&gt;607&lt;/item&gt;&lt;item&gt;608&lt;/item&gt;&lt;item&gt;610&lt;/item&gt;&lt;item&gt;611&lt;/item&gt;&lt;item&gt;612&lt;/item&gt;&lt;item&gt;619&lt;/item&gt;&lt;item&gt;620&lt;/item&gt;&lt;item&gt;625&lt;/item&gt;&lt;item&gt;626&lt;/item&gt;&lt;item&gt;630&lt;/item&gt;&lt;item&gt;631&lt;/item&gt;&lt;item&gt;632&lt;/item&gt;&lt;item&gt;700&lt;/item&gt;&lt;item&gt;724&lt;/item&gt;&lt;item&gt;732&lt;/item&gt;&lt;item&gt;755&lt;/item&gt;&lt;item&gt;756&lt;/item&gt;&lt;item&gt;757&lt;/item&gt;&lt;item&gt;758&lt;/item&gt;&lt;item&gt;759&lt;/item&gt;&lt;item&gt;764&lt;/item&gt;&lt;item&gt;781&lt;/item&gt;&lt;item&gt;786&lt;/item&gt;&lt;item&gt;787&lt;/item&gt;&lt;item&gt;790&lt;/item&gt;&lt;item&gt;793&lt;/item&gt;&lt;item&gt;794&lt;/item&gt;&lt;item&gt;795&lt;/item&gt;&lt;item&gt;798&lt;/item&gt;&lt;item&gt;799&lt;/item&gt;&lt;item&gt;802&lt;/item&gt;&lt;item&gt;803&lt;/item&gt;&lt;item&gt;806&lt;/item&gt;&lt;item&gt;808&lt;/item&gt;&lt;item&gt;812&lt;/item&gt;&lt;item&gt;813&lt;/item&gt;&lt;item&gt;815&lt;/item&gt;&lt;item&gt;817&lt;/item&gt;&lt;item&gt;819&lt;/item&gt;&lt;item&gt;822&lt;/item&gt;&lt;item&gt;825&lt;/item&gt;&lt;item&gt;829&lt;/item&gt;&lt;item&gt;830&lt;/item&gt;&lt;item&gt;832&lt;/item&gt;&lt;item&gt;833&lt;/item&gt;&lt;item&gt;837&lt;/item&gt;&lt;item&gt;838&lt;/item&gt;&lt;item&gt;839&lt;/item&gt;&lt;item&gt;841&lt;/item&gt;&lt;item&gt;842&lt;/item&gt;&lt;item&gt;844&lt;/item&gt;&lt;item&gt;845&lt;/item&gt;&lt;item&gt;850&lt;/item&gt;&lt;item&gt;852&lt;/item&gt;&lt;item&gt;856&lt;/item&gt;&lt;item&gt;859&lt;/item&gt;&lt;item&gt;860&lt;/item&gt;&lt;item&gt;862&lt;/item&gt;&lt;item&gt;863&lt;/item&gt;&lt;item&gt;867&lt;/item&gt;&lt;item&gt;869&lt;/item&gt;&lt;item&gt;870&lt;/item&gt;&lt;item&gt;871&lt;/item&gt;&lt;item&gt;872&lt;/item&gt;&lt;item&gt;873&lt;/item&gt;&lt;item&gt;874&lt;/item&gt;&lt;item&gt;875&lt;/item&gt;&lt;item&gt;877&lt;/item&gt;&lt;item&gt;880&lt;/item&gt;&lt;item&gt;889&lt;/item&gt;&lt;item&gt;890&lt;/item&gt;&lt;item&gt;894&lt;/item&gt;&lt;item&gt;896&lt;/item&gt;&lt;item&gt;904&lt;/item&gt;&lt;item&gt;906&lt;/item&gt;&lt;item&gt;910&lt;/item&gt;&lt;item&gt;915&lt;/item&gt;&lt;item&gt;916&lt;/item&gt;&lt;item&gt;918&lt;/item&gt;&lt;item&gt;920&lt;/item&gt;&lt;item&gt;921&lt;/item&gt;&lt;item&gt;923&lt;/item&gt;&lt;item&gt;925&lt;/item&gt;&lt;item&gt;926&lt;/item&gt;&lt;item&gt;928&lt;/item&gt;&lt;item&gt;930&lt;/item&gt;&lt;item&gt;933&lt;/item&gt;&lt;item&gt;937&lt;/item&gt;&lt;item&gt;938&lt;/item&gt;&lt;item&gt;939&lt;/item&gt;&lt;item&gt;940&lt;/item&gt;&lt;item&gt;941&lt;/item&gt;&lt;item&gt;944&lt;/item&gt;&lt;item&gt;946&lt;/item&gt;&lt;item&gt;947&lt;/item&gt;&lt;item&gt;948&lt;/item&gt;&lt;item&gt;949&lt;/item&gt;&lt;item&gt;950&lt;/item&gt;&lt;item&gt;951&lt;/item&gt;&lt;item&gt;953&lt;/item&gt;&lt;item&gt;954&lt;/item&gt;&lt;item&gt;955&lt;/item&gt;&lt;item&gt;956&lt;/item&gt;&lt;item&gt;957&lt;/item&gt;&lt;item&gt;958&lt;/item&gt;&lt;item&gt;959&lt;/item&gt;&lt;item&gt;960&lt;/item&gt;&lt;item&gt;961&lt;/item&gt;&lt;item&gt;962&lt;/item&gt;&lt;item&gt;963&lt;/item&gt;&lt;item&gt;976&lt;/item&gt;&lt;item&gt;977&lt;/item&gt;&lt;item&gt;979&lt;/item&gt;&lt;item&gt;997&lt;/item&gt;&lt;item&gt;999&lt;/item&gt;&lt;item&gt;1000&lt;/item&gt;&lt;item&gt;1001&lt;/item&gt;&lt;item&gt;1002&lt;/item&gt;&lt;item&gt;1004&lt;/item&gt;&lt;item&gt;1012&lt;/item&gt;&lt;item&gt;1018&lt;/item&gt;&lt;item&gt;1019&lt;/item&gt;&lt;item&gt;1020&lt;/item&gt;&lt;item&gt;1021&lt;/item&gt;&lt;item&gt;1022&lt;/item&gt;&lt;item&gt;1024&lt;/item&gt;&lt;item&gt;1026&lt;/item&gt;&lt;item&gt;1027&lt;/item&gt;&lt;item&gt;1028&lt;/item&gt;&lt;item&gt;1035&lt;/item&gt;&lt;item&gt;1036&lt;/item&gt;&lt;item&gt;1038&lt;/item&gt;&lt;item&gt;1039&lt;/item&gt;&lt;item&gt;1040&lt;/item&gt;&lt;item&gt;1041&lt;/item&gt;&lt;item&gt;1044&lt;/item&gt;&lt;item&gt;1046&lt;/item&gt;&lt;item&gt;1047&lt;/item&gt;&lt;item&gt;1048&lt;/item&gt;&lt;item&gt;1049&lt;/item&gt;&lt;item&gt;1050&lt;/item&gt;&lt;item&gt;1051&lt;/item&gt;&lt;item&gt;1052&lt;/item&gt;&lt;item&gt;1053&lt;/item&gt;&lt;item&gt;1055&lt;/item&gt;&lt;item&gt;1056&lt;/item&gt;&lt;item&gt;1057&lt;/item&gt;&lt;item&gt;1058&lt;/item&gt;&lt;item&gt;1059&lt;/item&gt;&lt;item&gt;1060&lt;/item&gt;&lt;item&gt;1063&lt;/item&gt;&lt;item&gt;1068&lt;/item&gt;&lt;item&gt;1069&lt;/item&gt;&lt;item&gt;1070&lt;/item&gt;&lt;item&gt;1071&lt;/item&gt;&lt;item&gt;1077&lt;/item&gt;&lt;item&gt;1081&lt;/item&gt;&lt;item&gt;1082&lt;/item&gt;&lt;item&gt;1088&lt;/item&gt;&lt;item&gt;1091&lt;/item&gt;&lt;item&gt;1092&lt;/item&gt;&lt;item&gt;1093&lt;/item&gt;&lt;item&gt;1094&lt;/item&gt;&lt;item&gt;1096&lt;/item&gt;&lt;item&gt;1097&lt;/item&gt;&lt;item&gt;1098&lt;/item&gt;&lt;item&gt;1099&lt;/item&gt;&lt;item&gt;1103&lt;/item&gt;&lt;item&gt;1104&lt;/item&gt;&lt;item&gt;1105&lt;/item&gt;&lt;item&gt;1106&lt;/item&gt;&lt;item&gt;1107&lt;/item&gt;&lt;item&gt;1108&lt;/item&gt;&lt;item&gt;1109&lt;/item&gt;&lt;item&gt;1111&lt;/item&gt;&lt;item&gt;1112&lt;/item&gt;&lt;item&gt;1114&lt;/item&gt;&lt;item&gt;1116&lt;/item&gt;&lt;item&gt;1117&lt;/item&gt;&lt;item&gt;1118&lt;/item&gt;&lt;item&gt;1121&lt;/item&gt;&lt;item&gt;1122&lt;/item&gt;&lt;item&gt;1177&lt;/item&gt;&lt;/record-ids&gt;&lt;/item&gt;&lt;/Libraries&gt;"/>
    <w:docVar w:name="prepared" w:val="橄ㄴ鞘ݱङ찔㈇"/>
  </w:docVars>
  <w:rsids>
    <w:rsidRoot w:val="00A87686"/>
    <w:rsid w:val="00000173"/>
    <w:rsid w:val="00000A47"/>
    <w:rsid w:val="000011E6"/>
    <w:rsid w:val="00001323"/>
    <w:rsid w:val="00001571"/>
    <w:rsid w:val="00001D36"/>
    <w:rsid w:val="00002290"/>
    <w:rsid w:val="00002397"/>
    <w:rsid w:val="00002970"/>
    <w:rsid w:val="00002A93"/>
    <w:rsid w:val="00002BEF"/>
    <w:rsid w:val="00002CB9"/>
    <w:rsid w:val="00002EB2"/>
    <w:rsid w:val="000035E2"/>
    <w:rsid w:val="0000495D"/>
    <w:rsid w:val="00005793"/>
    <w:rsid w:val="00005AE6"/>
    <w:rsid w:val="00005E35"/>
    <w:rsid w:val="000069F0"/>
    <w:rsid w:val="00007787"/>
    <w:rsid w:val="000077F8"/>
    <w:rsid w:val="00007F33"/>
    <w:rsid w:val="00010A25"/>
    <w:rsid w:val="000113A7"/>
    <w:rsid w:val="000119A2"/>
    <w:rsid w:val="00011FFF"/>
    <w:rsid w:val="00012084"/>
    <w:rsid w:val="000120E6"/>
    <w:rsid w:val="00012267"/>
    <w:rsid w:val="0001248A"/>
    <w:rsid w:val="00012704"/>
    <w:rsid w:val="00012EAA"/>
    <w:rsid w:val="0001398F"/>
    <w:rsid w:val="00014263"/>
    <w:rsid w:val="00014B03"/>
    <w:rsid w:val="00014B69"/>
    <w:rsid w:val="000151D0"/>
    <w:rsid w:val="00015404"/>
    <w:rsid w:val="000155F3"/>
    <w:rsid w:val="0001585D"/>
    <w:rsid w:val="000164C5"/>
    <w:rsid w:val="00016A00"/>
    <w:rsid w:val="0001749B"/>
    <w:rsid w:val="000175E6"/>
    <w:rsid w:val="000178FF"/>
    <w:rsid w:val="0001792F"/>
    <w:rsid w:val="00017DFD"/>
    <w:rsid w:val="000201F6"/>
    <w:rsid w:val="000201FC"/>
    <w:rsid w:val="0002034B"/>
    <w:rsid w:val="00020544"/>
    <w:rsid w:val="0002115F"/>
    <w:rsid w:val="0002247C"/>
    <w:rsid w:val="00022997"/>
    <w:rsid w:val="000231BD"/>
    <w:rsid w:val="000234DA"/>
    <w:rsid w:val="00023674"/>
    <w:rsid w:val="00023D18"/>
    <w:rsid w:val="00023E6A"/>
    <w:rsid w:val="00024325"/>
    <w:rsid w:val="00024509"/>
    <w:rsid w:val="0002454C"/>
    <w:rsid w:val="0002461F"/>
    <w:rsid w:val="00024DFA"/>
    <w:rsid w:val="000251F8"/>
    <w:rsid w:val="00025404"/>
    <w:rsid w:val="0002571B"/>
    <w:rsid w:val="0002621A"/>
    <w:rsid w:val="00026326"/>
    <w:rsid w:val="000263E2"/>
    <w:rsid w:val="00026531"/>
    <w:rsid w:val="00026A3F"/>
    <w:rsid w:val="00027397"/>
    <w:rsid w:val="00027C9E"/>
    <w:rsid w:val="00027D45"/>
    <w:rsid w:val="000302D1"/>
    <w:rsid w:val="0003039C"/>
    <w:rsid w:val="00030BAC"/>
    <w:rsid w:val="00031C82"/>
    <w:rsid w:val="00032729"/>
    <w:rsid w:val="0003275D"/>
    <w:rsid w:val="00032BD6"/>
    <w:rsid w:val="00032E84"/>
    <w:rsid w:val="0003352B"/>
    <w:rsid w:val="00033663"/>
    <w:rsid w:val="00033BCA"/>
    <w:rsid w:val="00033E4D"/>
    <w:rsid w:val="000340D7"/>
    <w:rsid w:val="00034451"/>
    <w:rsid w:val="00034F36"/>
    <w:rsid w:val="000369E2"/>
    <w:rsid w:val="00037414"/>
    <w:rsid w:val="00040473"/>
    <w:rsid w:val="00040985"/>
    <w:rsid w:val="00040A64"/>
    <w:rsid w:val="00041047"/>
    <w:rsid w:val="00041227"/>
    <w:rsid w:val="00041C4D"/>
    <w:rsid w:val="00041E94"/>
    <w:rsid w:val="00042D49"/>
    <w:rsid w:val="00043698"/>
    <w:rsid w:val="000437EF"/>
    <w:rsid w:val="00043B4B"/>
    <w:rsid w:val="00044425"/>
    <w:rsid w:val="00044D18"/>
    <w:rsid w:val="00044FE0"/>
    <w:rsid w:val="00045298"/>
    <w:rsid w:val="00045312"/>
    <w:rsid w:val="000455A4"/>
    <w:rsid w:val="00045810"/>
    <w:rsid w:val="00045D23"/>
    <w:rsid w:val="00046526"/>
    <w:rsid w:val="000467B6"/>
    <w:rsid w:val="00046CD8"/>
    <w:rsid w:val="00047170"/>
    <w:rsid w:val="0004719D"/>
    <w:rsid w:val="0004749B"/>
    <w:rsid w:val="000474C8"/>
    <w:rsid w:val="00047D76"/>
    <w:rsid w:val="00047DF3"/>
    <w:rsid w:val="00047E89"/>
    <w:rsid w:val="000501A8"/>
    <w:rsid w:val="00050AC5"/>
    <w:rsid w:val="000513D7"/>
    <w:rsid w:val="00051493"/>
    <w:rsid w:val="00051E8D"/>
    <w:rsid w:val="00052BB5"/>
    <w:rsid w:val="00052D07"/>
    <w:rsid w:val="00052F62"/>
    <w:rsid w:val="0005311C"/>
    <w:rsid w:val="000535B8"/>
    <w:rsid w:val="00053A92"/>
    <w:rsid w:val="00054467"/>
    <w:rsid w:val="0005456F"/>
    <w:rsid w:val="00054A64"/>
    <w:rsid w:val="00054A6D"/>
    <w:rsid w:val="00054C94"/>
    <w:rsid w:val="00054EC4"/>
    <w:rsid w:val="00055495"/>
    <w:rsid w:val="00055A2E"/>
    <w:rsid w:val="00055E3C"/>
    <w:rsid w:val="00056C63"/>
    <w:rsid w:val="00056D96"/>
    <w:rsid w:val="000571B9"/>
    <w:rsid w:val="0005770A"/>
    <w:rsid w:val="00060376"/>
    <w:rsid w:val="0006057C"/>
    <w:rsid w:val="00061A3E"/>
    <w:rsid w:val="000625AC"/>
    <w:rsid w:val="00062DCD"/>
    <w:rsid w:val="00062DF6"/>
    <w:rsid w:val="0006365C"/>
    <w:rsid w:val="000636DD"/>
    <w:rsid w:val="000637F2"/>
    <w:rsid w:val="00063A05"/>
    <w:rsid w:val="00063C43"/>
    <w:rsid w:val="00064464"/>
    <w:rsid w:val="000647FC"/>
    <w:rsid w:val="00065024"/>
    <w:rsid w:val="000654EA"/>
    <w:rsid w:val="00065C87"/>
    <w:rsid w:val="00065ED6"/>
    <w:rsid w:val="00066E3B"/>
    <w:rsid w:val="0006732D"/>
    <w:rsid w:val="0006743D"/>
    <w:rsid w:val="00067801"/>
    <w:rsid w:val="00067A8C"/>
    <w:rsid w:val="00067DAE"/>
    <w:rsid w:val="000703F8"/>
    <w:rsid w:val="00070B45"/>
    <w:rsid w:val="00070CEC"/>
    <w:rsid w:val="00071947"/>
    <w:rsid w:val="00071D9D"/>
    <w:rsid w:val="00071E0B"/>
    <w:rsid w:val="0007233C"/>
    <w:rsid w:val="0007284D"/>
    <w:rsid w:val="00072B7D"/>
    <w:rsid w:val="00072EA8"/>
    <w:rsid w:val="00073007"/>
    <w:rsid w:val="000730DD"/>
    <w:rsid w:val="000733A1"/>
    <w:rsid w:val="00073447"/>
    <w:rsid w:val="00073503"/>
    <w:rsid w:val="000742CA"/>
    <w:rsid w:val="000743C5"/>
    <w:rsid w:val="00074C45"/>
    <w:rsid w:val="000753ED"/>
    <w:rsid w:val="0007566F"/>
    <w:rsid w:val="000758C6"/>
    <w:rsid w:val="00075C06"/>
    <w:rsid w:val="00075C31"/>
    <w:rsid w:val="00075C5F"/>
    <w:rsid w:val="00075ED6"/>
    <w:rsid w:val="00076253"/>
    <w:rsid w:val="00076CC8"/>
    <w:rsid w:val="000778E4"/>
    <w:rsid w:val="00077E97"/>
    <w:rsid w:val="00080148"/>
    <w:rsid w:val="00081D88"/>
    <w:rsid w:val="00082197"/>
    <w:rsid w:val="000822C4"/>
    <w:rsid w:val="00082D9E"/>
    <w:rsid w:val="00082E74"/>
    <w:rsid w:val="00082F09"/>
    <w:rsid w:val="000832C6"/>
    <w:rsid w:val="00083A06"/>
    <w:rsid w:val="00083A56"/>
    <w:rsid w:val="00083CD6"/>
    <w:rsid w:val="00083E84"/>
    <w:rsid w:val="000843EF"/>
    <w:rsid w:val="0008465A"/>
    <w:rsid w:val="00084707"/>
    <w:rsid w:val="00084A69"/>
    <w:rsid w:val="00084B0F"/>
    <w:rsid w:val="00085033"/>
    <w:rsid w:val="000850FB"/>
    <w:rsid w:val="0008560B"/>
    <w:rsid w:val="00085C4A"/>
    <w:rsid w:val="00085EA6"/>
    <w:rsid w:val="0008624B"/>
    <w:rsid w:val="000863A3"/>
    <w:rsid w:val="00086848"/>
    <w:rsid w:val="0008696F"/>
    <w:rsid w:val="00086D2F"/>
    <w:rsid w:val="00086D38"/>
    <w:rsid w:val="00086F57"/>
    <w:rsid w:val="0008753A"/>
    <w:rsid w:val="00087FA3"/>
    <w:rsid w:val="00087FC3"/>
    <w:rsid w:val="00090056"/>
    <w:rsid w:val="00090958"/>
    <w:rsid w:val="000909D2"/>
    <w:rsid w:val="0009138C"/>
    <w:rsid w:val="000917A0"/>
    <w:rsid w:val="000917C5"/>
    <w:rsid w:val="00091FD5"/>
    <w:rsid w:val="00092296"/>
    <w:rsid w:val="00092847"/>
    <w:rsid w:val="00092CA4"/>
    <w:rsid w:val="00092DBD"/>
    <w:rsid w:val="00092FDD"/>
    <w:rsid w:val="000931C2"/>
    <w:rsid w:val="000935BF"/>
    <w:rsid w:val="00093A02"/>
    <w:rsid w:val="00094148"/>
    <w:rsid w:val="000949C8"/>
    <w:rsid w:val="00094A27"/>
    <w:rsid w:val="00094CAE"/>
    <w:rsid w:val="00094E86"/>
    <w:rsid w:val="00094F6F"/>
    <w:rsid w:val="000951DA"/>
    <w:rsid w:val="00095C41"/>
    <w:rsid w:val="0009602F"/>
    <w:rsid w:val="0009656F"/>
    <w:rsid w:val="00096AC1"/>
    <w:rsid w:val="000976CE"/>
    <w:rsid w:val="000A028E"/>
    <w:rsid w:val="000A138B"/>
    <w:rsid w:val="000A13A5"/>
    <w:rsid w:val="000A1AF3"/>
    <w:rsid w:val="000A1D1A"/>
    <w:rsid w:val="000A2050"/>
    <w:rsid w:val="000A20E2"/>
    <w:rsid w:val="000A243F"/>
    <w:rsid w:val="000A26FA"/>
    <w:rsid w:val="000A2D90"/>
    <w:rsid w:val="000A3F8D"/>
    <w:rsid w:val="000A4559"/>
    <w:rsid w:val="000A4B91"/>
    <w:rsid w:val="000A4BCD"/>
    <w:rsid w:val="000A4BF1"/>
    <w:rsid w:val="000A4E04"/>
    <w:rsid w:val="000A4F58"/>
    <w:rsid w:val="000A4FD3"/>
    <w:rsid w:val="000A5877"/>
    <w:rsid w:val="000A62CB"/>
    <w:rsid w:val="000A6629"/>
    <w:rsid w:val="000A6A1F"/>
    <w:rsid w:val="000A6B25"/>
    <w:rsid w:val="000A6D33"/>
    <w:rsid w:val="000A6D90"/>
    <w:rsid w:val="000A6EDF"/>
    <w:rsid w:val="000A7B87"/>
    <w:rsid w:val="000A7F53"/>
    <w:rsid w:val="000B057F"/>
    <w:rsid w:val="000B05EC"/>
    <w:rsid w:val="000B1302"/>
    <w:rsid w:val="000B1BFE"/>
    <w:rsid w:val="000B226B"/>
    <w:rsid w:val="000B22AC"/>
    <w:rsid w:val="000B2329"/>
    <w:rsid w:val="000B2791"/>
    <w:rsid w:val="000B2CB2"/>
    <w:rsid w:val="000B3782"/>
    <w:rsid w:val="000B39EB"/>
    <w:rsid w:val="000B43B3"/>
    <w:rsid w:val="000B43D8"/>
    <w:rsid w:val="000B43F7"/>
    <w:rsid w:val="000B5040"/>
    <w:rsid w:val="000B59CA"/>
    <w:rsid w:val="000B5FB0"/>
    <w:rsid w:val="000B6035"/>
    <w:rsid w:val="000B68C8"/>
    <w:rsid w:val="000B6F6D"/>
    <w:rsid w:val="000B790C"/>
    <w:rsid w:val="000B7C95"/>
    <w:rsid w:val="000C0366"/>
    <w:rsid w:val="000C0C6E"/>
    <w:rsid w:val="000C1E98"/>
    <w:rsid w:val="000C20C2"/>
    <w:rsid w:val="000C2EE7"/>
    <w:rsid w:val="000C313C"/>
    <w:rsid w:val="000C33DF"/>
    <w:rsid w:val="000C34C1"/>
    <w:rsid w:val="000C3957"/>
    <w:rsid w:val="000C3B29"/>
    <w:rsid w:val="000C45FD"/>
    <w:rsid w:val="000C4760"/>
    <w:rsid w:val="000C5192"/>
    <w:rsid w:val="000C5403"/>
    <w:rsid w:val="000C5662"/>
    <w:rsid w:val="000C56A1"/>
    <w:rsid w:val="000C58BD"/>
    <w:rsid w:val="000C5F4B"/>
    <w:rsid w:val="000C6242"/>
    <w:rsid w:val="000C71B9"/>
    <w:rsid w:val="000D02B5"/>
    <w:rsid w:val="000D0909"/>
    <w:rsid w:val="000D15AC"/>
    <w:rsid w:val="000D45C6"/>
    <w:rsid w:val="000D4DFC"/>
    <w:rsid w:val="000D5373"/>
    <w:rsid w:val="000D5905"/>
    <w:rsid w:val="000D6C70"/>
    <w:rsid w:val="000D70D3"/>
    <w:rsid w:val="000D7ABE"/>
    <w:rsid w:val="000E0266"/>
    <w:rsid w:val="000E03AB"/>
    <w:rsid w:val="000E0A20"/>
    <w:rsid w:val="000E0AA1"/>
    <w:rsid w:val="000E0C79"/>
    <w:rsid w:val="000E0EF1"/>
    <w:rsid w:val="000E1224"/>
    <w:rsid w:val="000E1ACD"/>
    <w:rsid w:val="000E223F"/>
    <w:rsid w:val="000E23B7"/>
    <w:rsid w:val="000E2BE0"/>
    <w:rsid w:val="000E2C92"/>
    <w:rsid w:val="000E300D"/>
    <w:rsid w:val="000E33F4"/>
    <w:rsid w:val="000E3407"/>
    <w:rsid w:val="000E34AD"/>
    <w:rsid w:val="000E35F6"/>
    <w:rsid w:val="000E3618"/>
    <w:rsid w:val="000E3719"/>
    <w:rsid w:val="000E389D"/>
    <w:rsid w:val="000E3D6F"/>
    <w:rsid w:val="000E4060"/>
    <w:rsid w:val="000E43ED"/>
    <w:rsid w:val="000E47E8"/>
    <w:rsid w:val="000E491A"/>
    <w:rsid w:val="000E4F57"/>
    <w:rsid w:val="000E62D8"/>
    <w:rsid w:val="000E638A"/>
    <w:rsid w:val="000E648A"/>
    <w:rsid w:val="000E697C"/>
    <w:rsid w:val="000E6C05"/>
    <w:rsid w:val="000E6DB9"/>
    <w:rsid w:val="000E6EC1"/>
    <w:rsid w:val="000E7411"/>
    <w:rsid w:val="000E76C1"/>
    <w:rsid w:val="000E7EC9"/>
    <w:rsid w:val="000F1561"/>
    <w:rsid w:val="000F197D"/>
    <w:rsid w:val="000F1B5B"/>
    <w:rsid w:val="000F2145"/>
    <w:rsid w:val="000F229D"/>
    <w:rsid w:val="000F23F1"/>
    <w:rsid w:val="000F24C1"/>
    <w:rsid w:val="000F278E"/>
    <w:rsid w:val="000F2FF6"/>
    <w:rsid w:val="000F3E9C"/>
    <w:rsid w:val="000F3EE0"/>
    <w:rsid w:val="000F4DF1"/>
    <w:rsid w:val="000F4EE0"/>
    <w:rsid w:val="000F4FF9"/>
    <w:rsid w:val="000F5166"/>
    <w:rsid w:val="000F56EE"/>
    <w:rsid w:val="000F5740"/>
    <w:rsid w:val="000F5973"/>
    <w:rsid w:val="000F5DDF"/>
    <w:rsid w:val="000F5EC3"/>
    <w:rsid w:val="000F60C0"/>
    <w:rsid w:val="000F656C"/>
    <w:rsid w:val="000F67A9"/>
    <w:rsid w:val="000F6BA2"/>
    <w:rsid w:val="000F7AC6"/>
    <w:rsid w:val="000F7C75"/>
    <w:rsid w:val="000F7E28"/>
    <w:rsid w:val="000F7F24"/>
    <w:rsid w:val="001004EA"/>
    <w:rsid w:val="00100BCE"/>
    <w:rsid w:val="00100F85"/>
    <w:rsid w:val="00101701"/>
    <w:rsid w:val="00101992"/>
    <w:rsid w:val="00102381"/>
    <w:rsid w:val="00102624"/>
    <w:rsid w:val="001031C0"/>
    <w:rsid w:val="00103213"/>
    <w:rsid w:val="00103283"/>
    <w:rsid w:val="00104056"/>
    <w:rsid w:val="001041EA"/>
    <w:rsid w:val="00104266"/>
    <w:rsid w:val="001049DF"/>
    <w:rsid w:val="00104A84"/>
    <w:rsid w:val="00104D6F"/>
    <w:rsid w:val="00104E8E"/>
    <w:rsid w:val="00104F76"/>
    <w:rsid w:val="00105663"/>
    <w:rsid w:val="00105C0D"/>
    <w:rsid w:val="00105D40"/>
    <w:rsid w:val="00105D64"/>
    <w:rsid w:val="00105EBA"/>
    <w:rsid w:val="00106601"/>
    <w:rsid w:val="00106862"/>
    <w:rsid w:val="00107883"/>
    <w:rsid w:val="0010792D"/>
    <w:rsid w:val="00107A4A"/>
    <w:rsid w:val="00107E81"/>
    <w:rsid w:val="0011017E"/>
    <w:rsid w:val="0011029E"/>
    <w:rsid w:val="00110567"/>
    <w:rsid w:val="00110D7F"/>
    <w:rsid w:val="00111042"/>
    <w:rsid w:val="00111504"/>
    <w:rsid w:val="00112995"/>
    <w:rsid w:val="00112A06"/>
    <w:rsid w:val="00113371"/>
    <w:rsid w:val="001137C9"/>
    <w:rsid w:val="00113CD2"/>
    <w:rsid w:val="00113D53"/>
    <w:rsid w:val="00113D8F"/>
    <w:rsid w:val="0011432C"/>
    <w:rsid w:val="001143E8"/>
    <w:rsid w:val="001144A9"/>
    <w:rsid w:val="001149A4"/>
    <w:rsid w:val="00114C33"/>
    <w:rsid w:val="00114D14"/>
    <w:rsid w:val="001154AE"/>
    <w:rsid w:val="001164A7"/>
    <w:rsid w:val="0011694A"/>
    <w:rsid w:val="00116E13"/>
    <w:rsid w:val="00117124"/>
    <w:rsid w:val="0011770B"/>
    <w:rsid w:val="00117DEC"/>
    <w:rsid w:val="001204D5"/>
    <w:rsid w:val="00120D0D"/>
    <w:rsid w:val="001216D7"/>
    <w:rsid w:val="00121A9A"/>
    <w:rsid w:val="001221CB"/>
    <w:rsid w:val="00122313"/>
    <w:rsid w:val="001226D2"/>
    <w:rsid w:val="00122F03"/>
    <w:rsid w:val="00122F89"/>
    <w:rsid w:val="001239C9"/>
    <w:rsid w:val="00123F2F"/>
    <w:rsid w:val="00124F41"/>
    <w:rsid w:val="0012599C"/>
    <w:rsid w:val="00125DA6"/>
    <w:rsid w:val="00125FE5"/>
    <w:rsid w:val="00126191"/>
    <w:rsid w:val="001268BC"/>
    <w:rsid w:val="0012720B"/>
    <w:rsid w:val="001272DA"/>
    <w:rsid w:val="001274E1"/>
    <w:rsid w:val="0012769A"/>
    <w:rsid w:val="001276E9"/>
    <w:rsid w:val="0012773E"/>
    <w:rsid w:val="00127DE8"/>
    <w:rsid w:val="00127E7F"/>
    <w:rsid w:val="0013041D"/>
    <w:rsid w:val="00130E5F"/>
    <w:rsid w:val="00131DC7"/>
    <w:rsid w:val="0013247B"/>
    <w:rsid w:val="00133647"/>
    <w:rsid w:val="0013371B"/>
    <w:rsid w:val="001337A7"/>
    <w:rsid w:val="001341EB"/>
    <w:rsid w:val="00134A90"/>
    <w:rsid w:val="00134AA0"/>
    <w:rsid w:val="00134C29"/>
    <w:rsid w:val="00134E5B"/>
    <w:rsid w:val="001355E0"/>
    <w:rsid w:val="00135BAA"/>
    <w:rsid w:val="00135DFE"/>
    <w:rsid w:val="00135FDB"/>
    <w:rsid w:val="00136135"/>
    <w:rsid w:val="0013634A"/>
    <w:rsid w:val="001366F1"/>
    <w:rsid w:val="00136703"/>
    <w:rsid w:val="00136C3A"/>
    <w:rsid w:val="00136CFD"/>
    <w:rsid w:val="00136EE4"/>
    <w:rsid w:val="00137222"/>
    <w:rsid w:val="00137404"/>
    <w:rsid w:val="00137764"/>
    <w:rsid w:val="00137998"/>
    <w:rsid w:val="00137E31"/>
    <w:rsid w:val="00140451"/>
    <w:rsid w:val="001404CE"/>
    <w:rsid w:val="00140909"/>
    <w:rsid w:val="0014146F"/>
    <w:rsid w:val="00141888"/>
    <w:rsid w:val="00141D05"/>
    <w:rsid w:val="00141D32"/>
    <w:rsid w:val="00141F97"/>
    <w:rsid w:val="0014234B"/>
    <w:rsid w:val="001434F3"/>
    <w:rsid w:val="00143BE7"/>
    <w:rsid w:val="00144609"/>
    <w:rsid w:val="0014494D"/>
    <w:rsid w:val="00144F8D"/>
    <w:rsid w:val="001457EE"/>
    <w:rsid w:val="00145971"/>
    <w:rsid w:val="001463C9"/>
    <w:rsid w:val="00146A32"/>
    <w:rsid w:val="00146A56"/>
    <w:rsid w:val="001470A1"/>
    <w:rsid w:val="00147366"/>
    <w:rsid w:val="0014777C"/>
    <w:rsid w:val="001477C4"/>
    <w:rsid w:val="00147EA8"/>
    <w:rsid w:val="00150802"/>
    <w:rsid w:val="001508FE"/>
    <w:rsid w:val="00150A42"/>
    <w:rsid w:val="00150A73"/>
    <w:rsid w:val="00150BF2"/>
    <w:rsid w:val="00150D32"/>
    <w:rsid w:val="00151077"/>
    <w:rsid w:val="0015132C"/>
    <w:rsid w:val="001515FC"/>
    <w:rsid w:val="00151677"/>
    <w:rsid w:val="00151726"/>
    <w:rsid w:val="001518A1"/>
    <w:rsid w:val="001518F3"/>
    <w:rsid w:val="00151B75"/>
    <w:rsid w:val="00151BD9"/>
    <w:rsid w:val="00151C9A"/>
    <w:rsid w:val="00151E40"/>
    <w:rsid w:val="00151E43"/>
    <w:rsid w:val="00152625"/>
    <w:rsid w:val="00152832"/>
    <w:rsid w:val="00152A69"/>
    <w:rsid w:val="00152E4E"/>
    <w:rsid w:val="001539E8"/>
    <w:rsid w:val="00154049"/>
    <w:rsid w:val="0015434C"/>
    <w:rsid w:val="00154847"/>
    <w:rsid w:val="00154B08"/>
    <w:rsid w:val="00154C38"/>
    <w:rsid w:val="00155063"/>
    <w:rsid w:val="001550AC"/>
    <w:rsid w:val="00155711"/>
    <w:rsid w:val="0015586E"/>
    <w:rsid w:val="00156361"/>
    <w:rsid w:val="00156AE0"/>
    <w:rsid w:val="00156B9A"/>
    <w:rsid w:val="00157A65"/>
    <w:rsid w:val="001604D3"/>
    <w:rsid w:val="00160A84"/>
    <w:rsid w:val="00160DF5"/>
    <w:rsid w:val="00160E41"/>
    <w:rsid w:val="0016148D"/>
    <w:rsid w:val="00161492"/>
    <w:rsid w:val="00161693"/>
    <w:rsid w:val="001616D5"/>
    <w:rsid w:val="0016194E"/>
    <w:rsid w:val="00162141"/>
    <w:rsid w:val="0016222D"/>
    <w:rsid w:val="001628DF"/>
    <w:rsid w:val="00162DA1"/>
    <w:rsid w:val="00162DA6"/>
    <w:rsid w:val="00162DE6"/>
    <w:rsid w:val="00162ED0"/>
    <w:rsid w:val="0016331D"/>
    <w:rsid w:val="00163BA8"/>
    <w:rsid w:val="00164155"/>
    <w:rsid w:val="00164970"/>
    <w:rsid w:val="00164C7E"/>
    <w:rsid w:val="001655B0"/>
    <w:rsid w:val="001658C6"/>
    <w:rsid w:val="001662CC"/>
    <w:rsid w:val="001668B6"/>
    <w:rsid w:val="00167225"/>
    <w:rsid w:val="0016750F"/>
    <w:rsid w:val="00167690"/>
    <w:rsid w:val="00167BAA"/>
    <w:rsid w:val="00167BB1"/>
    <w:rsid w:val="00170686"/>
    <w:rsid w:val="00171103"/>
    <w:rsid w:val="00171309"/>
    <w:rsid w:val="001721C9"/>
    <w:rsid w:val="0017230E"/>
    <w:rsid w:val="001728F5"/>
    <w:rsid w:val="00172D28"/>
    <w:rsid w:val="001736A5"/>
    <w:rsid w:val="00173885"/>
    <w:rsid w:val="00173B7A"/>
    <w:rsid w:val="00173DC4"/>
    <w:rsid w:val="00173DE7"/>
    <w:rsid w:val="00173E91"/>
    <w:rsid w:val="00173EBC"/>
    <w:rsid w:val="00173FE6"/>
    <w:rsid w:val="00174BE5"/>
    <w:rsid w:val="00174E86"/>
    <w:rsid w:val="0017570B"/>
    <w:rsid w:val="00175B8E"/>
    <w:rsid w:val="00175D98"/>
    <w:rsid w:val="00175FD4"/>
    <w:rsid w:val="00176D05"/>
    <w:rsid w:val="00177449"/>
    <w:rsid w:val="001777ED"/>
    <w:rsid w:val="0017781C"/>
    <w:rsid w:val="00177EA4"/>
    <w:rsid w:val="00180545"/>
    <w:rsid w:val="001808CA"/>
    <w:rsid w:val="001808F3"/>
    <w:rsid w:val="00180960"/>
    <w:rsid w:val="00180DE4"/>
    <w:rsid w:val="00181287"/>
    <w:rsid w:val="001813C1"/>
    <w:rsid w:val="00181833"/>
    <w:rsid w:val="00181879"/>
    <w:rsid w:val="00181E8A"/>
    <w:rsid w:val="00182B1F"/>
    <w:rsid w:val="00182C20"/>
    <w:rsid w:val="001833FF"/>
    <w:rsid w:val="001839FD"/>
    <w:rsid w:val="00184113"/>
    <w:rsid w:val="001843F1"/>
    <w:rsid w:val="0018477C"/>
    <w:rsid w:val="00184931"/>
    <w:rsid w:val="00184BC3"/>
    <w:rsid w:val="00184C8A"/>
    <w:rsid w:val="00184D7B"/>
    <w:rsid w:val="00185063"/>
    <w:rsid w:val="00185242"/>
    <w:rsid w:val="0018576D"/>
    <w:rsid w:val="00185771"/>
    <w:rsid w:val="00185BD8"/>
    <w:rsid w:val="00185E1E"/>
    <w:rsid w:val="00186091"/>
    <w:rsid w:val="001869E8"/>
    <w:rsid w:val="00186A2A"/>
    <w:rsid w:val="00186C3E"/>
    <w:rsid w:val="00187210"/>
    <w:rsid w:val="00187807"/>
    <w:rsid w:val="00187AF0"/>
    <w:rsid w:val="00187F41"/>
    <w:rsid w:val="001902A4"/>
    <w:rsid w:val="00190896"/>
    <w:rsid w:val="00190B6D"/>
    <w:rsid w:val="00190EF2"/>
    <w:rsid w:val="001911DC"/>
    <w:rsid w:val="00191543"/>
    <w:rsid w:val="00191872"/>
    <w:rsid w:val="001919EE"/>
    <w:rsid w:val="00191C09"/>
    <w:rsid w:val="001922C5"/>
    <w:rsid w:val="00192A47"/>
    <w:rsid w:val="00193609"/>
    <w:rsid w:val="00193915"/>
    <w:rsid w:val="00193B35"/>
    <w:rsid w:val="00194112"/>
    <w:rsid w:val="0019440C"/>
    <w:rsid w:val="001944D9"/>
    <w:rsid w:val="00194B46"/>
    <w:rsid w:val="00194BE3"/>
    <w:rsid w:val="00194D51"/>
    <w:rsid w:val="00194DEA"/>
    <w:rsid w:val="00195431"/>
    <w:rsid w:val="00195468"/>
    <w:rsid w:val="001961F0"/>
    <w:rsid w:val="00196783"/>
    <w:rsid w:val="00196E36"/>
    <w:rsid w:val="00196F13"/>
    <w:rsid w:val="001A09B1"/>
    <w:rsid w:val="001A0D26"/>
    <w:rsid w:val="001A0E95"/>
    <w:rsid w:val="001A1147"/>
    <w:rsid w:val="001A18A3"/>
    <w:rsid w:val="001A1E49"/>
    <w:rsid w:val="001A234D"/>
    <w:rsid w:val="001A25E2"/>
    <w:rsid w:val="001A2BC9"/>
    <w:rsid w:val="001A2BDA"/>
    <w:rsid w:val="001A2D72"/>
    <w:rsid w:val="001A2E83"/>
    <w:rsid w:val="001A30F6"/>
    <w:rsid w:val="001A34C2"/>
    <w:rsid w:val="001A3746"/>
    <w:rsid w:val="001A3A1F"/>
    <w:rsid w:val="001A3A54"/>
    <w:rsid w:val="001A3D16"/>
    <w:rsid w:val="001A41DD"/>
    <w:rsid w:val="001A44AE"/>
    <w:rsid w:val="001A4AA8"/>
    <w:rsid w:val="001A50F3"/>
    <w:rsid w:val="001A57D4"/>
    <w:rsid w:val="001A5AAA"/>
    <w:rsid w:val="001A65FE"/>
    <w:rsid w:val="001A674D"/>
    <w:rsid w:val="001A7A9B"/>
    <w:rsid w:val="001B01F4"/>
    <w:rsid w:val="001B0BAF"/>
    <w:rsid w:val="001B0F18"/>
    <w:rsid w:val="001B12D3"/>
    <w:rsid w:val="001B1550"/>
    <w:rsid w:val="001B1C8B"/>
    <w:rsid w:val="001B2203"/>
    <w:rsid w:val="001B2470"/>
    <w:rsid w:val="001B2C98"/>
    <w:rsid w:val="001B2CED"/>
    <w:rsid w:val="001B30B3"/>
    <w:rsid w:val="001B3181"/>
    <w:rsid w:val="001B4305"/>
    <w:rsid w:val="001B4F70"/>
    <w:rsid w:val="001B5205"/>
    <w:rsid w:val="001B5AEA"/>
    <w:rsid w:val="001B5BC1"/>
    <w:rsid w:val="001B5E16"/>
    <w:rsid w:val="001B606A"/>
    <w:rsid w:val="001B6811"/>
    <w:rsid w:val="001B6849"/>
    <w:rsid w:val="001B6898"/>
    <w:rsid w:val="001B6BA6"/>
    <w:rsid w:val="001B6C2A"/>
    <w:rsid w:val="001C01D5"/>
    <w:rsid w:val="001C033E"/>
    <w:rsid w:val="001C037F"/>
    <w:rsid w:val="001C075C"/>
    <w:rsid w:val="001C182B"/>
    <w:rsid w:val="001C18C5"/>
    <w:rsid w:val="001C2974"/>
    <w:rsid w:val="001C3087"/>
    <w:rsid w:val="001C4137"/>
    <w:rsid w:val="001C4305"/>
    <w:rsid w:val="001C469C"/>
    <w:rsid w:val="001C484B"/>
    <w:rsid w:val="001C4E37"/>
    <w:rsid w:val="001C4F22"/>
    <w:rsid w:val="001C4FBC"/>
    <w:rsid w:val="001C5155"/>
    <w:rsid w:val="001C58C9"/>
    <w:rsid w:val="001C5F2E"/>
    <w:rsid w:val="001C60DD"/>
    <w:rsid w:val="001C6242"/>
    <w:rsid w:val="001C6BA4"/>
    <w:rsid w:val="001C7906"/>
    <w:rsid w:val="001C7CA7"/>
    <w:rsid w:val="001C7F66"/>
    <w:rsid w:val="001D013C"/>
    <w:rsid w:val="001D062D"/>
    <w:rsid w:val="001D06CF"/>
    <w:rsid w:val="001D07B8"/>
    <w:rsid w:val="001D0A37"/>
    <w:rsid w:val="001D0B82"/>
    <w:rsid w:val="001D1222"/>
    <w:rsid w:val="001D163C"/>
    <w:rsid w:val="001D1911"/>
    <w:rsid w:val="001D1AAD"/>
    <w:rsid w:val="001D2214"/>
    <w:rsid w:val="001D235F"/>
    <w:rsid w:val="001D2912"/>
    <w:rsid w:val="001D3FE7"/>
    <w:rsid w:val="001D446C"/>
    <w:rsid w:val="001D4E0E"/>
    <w:rsid w:val="001D57AB"/>
    <w:rsid w:val="001D5B4F"/>
    <w:rsid w:val="001D6140"/>
    <w:rsid w:val="001D65F4"/>
    <w:rsid w:val="001D6B42"/>
    <w:rsid w:val="001D6DE7"/>
    <w:rsid w:val="001D6E9E"/>
    <w:rsid w:val="001D6FED"/>
    <w:rsid w:val="001D7DE6"/>
    <w:rsid w:val="001E029D"/>
    <w:rsid w:val="001E0624"/>
    <w:rsid w:val="001E11C9"/>
    <w:rsid w:val="001E121C"/>
    <w:rsid w:val="001E155B"/>
    <w:rsid w:val="001E15BA"/>
    <w:rsid w:val="001E1727"/>
    <w:rsid w:val="001E1744"/>
    <w:rsid w:val="001E1F30"/>
    <w:rsid w:val="001E23D1"/>
    <w:rsid w:val="001E2427"/>
    <w:rsid w:val="001E3960"/>
    <w:rsid w:val="001E41A0"/>
    <w:rsid w:val="001E4BAB"/>
    <w:rsid w:val="001E4D5E"/>
    <w:rsid w:val="001E5604"/>
    <w:rsid w:val="001E56D1"/>
    <w:rsid w:val="001E5AE6"/>
    <w:rsid w:val="001E5B1F"/>
    <w:rsid w:val="001E5B32"/>
    <w:rsid w:val="001E613A"/>
    <w:rsid w:val="001E615C"/>
    <w:rsid w:val="001E6667"/>
    <w:rsid w:val="001E6C87"/>
    <w:rsid w:val="001E742E"/>
    <w:rsid w:val="001E75AB"/>
    <w:rsid w:val="001E765E"/>
    <w:rsid w:val="001E7A2D"/>
    <w:rsid w:val="001E7B68"/>
    <w:rsid w:val="001F0573"/>
    <w:rsid w:val="001F0602"/>
    <w:rsid w:val="001F127B"/>
    <w:rsid w:val="001F1414"/>
    <w:rsid w:val="001F161F"/>
    <w:rsid w:val="001F16FF"/>
    <w:rsid w:val="001F1F7C"/>
    <w:rsid w:val="001F3912"/>
    <w:rsid w:val="001F3920"/>
    <w:rsid w:val="001F4407"/>
    <w:rsid w:val="001F4493"/>
    <w:rsid w:val="001F477F"/>
    <w:rsid w:val="001F4D99"/>
    <w:rsid w:val="001F5718"/>
    <w:rsid w:val="001F59E0"/>
    <w:rsid w:val="001F6745"/>
    <w:rsid w:val="001F6A62"/>
    <w:rsid w:val="001F7DB7"/>
    <w:rsid w:val="001F7E40"/>
    <w:rsid w:val="002000D1"/>
    <w:rsid w:val="00200379"/>
    <w:rsid w:val="00200517"/>
    <w:rsid w:val="002005C1"/>
    <w:rsid w:val="00200F5C"/>
    <w:rsid w:val="002010B4"/>
    <w:rsid w:val="002016CC"/>
    <w:rsid w:val="00201D51"/>
    <w:rsid w:val="00202494"/>
    <w:rsid w:val="002026EF"/>
    <w:rsid w:val="00202F32"/>
    <w:rsid w:val="002036F5"/>
    <w:rsid w:val="00203733"/>
    <w:rsid w:val="00203B50"/>
    <w:rsid w:val="00203B71"/>
    <w:rsid w:val="00203BAF"/>
    <w:rsid w:val="00203C34"/>
    <w:rsid w:val="00204103"/>
    <w:rsid w:val="0020412C"/>
    <w:rsid w:val="002044B8"/>
    <w:rsid w:val="00204B97"/>
    <w:rsid w:val="00204C52"/>
    <w:rsid w:val="00204D1A"/>
    <w:rsid w:val="0020578B"/>
    <w:rsid w:val="002058E6"/>
    <w:rsid w:val="0020597C"/>
    <w:rsid w:val="00205FF6"/>
    <w:rsid w:val="002060FE"/>
    <w:rsid w:val="00206385"/>
    <w:rsid w:val="002063CB"/>
    <w:rsid w:val="00206416"/>
    <w:rsid w:val="00206576"/>
    <w:rsid w:val="002069E8"/>
    <w:rsid w:val="002070D5"/>
    <w:rsid w:val="00207350"/>
    <w:rsid w:val="0020742F"/>
    <w:rsid w:val="002074D7"/>
    <w:rsid w:val="002075C8"/>
    <w:rsid w:val="00207741"/>
    <w:rsid w:val="0020776C"/>
    <w:rsid w:val="0020787B"/>
    <w:rsid w:val="00207AAB"/>
    <w:rsid w:val="002100AC"/>
    <w:rsid w:val="002104DB"/>
    <w:rsid w:val="00210D10"/>
    <w:rsid w:val="00210EDA"/>
    <w:rsid w:val="002111C9"/>
    <w:rsid w:val="0021159A"/>
    <w:rsid w:val="0021188D"/>
    <w:rsid w:val="00212326"/>
    <w:rsid w:val="00212CEB"/>
    <w:rsid w:val="0021318D"/>
    <w:rsid w:val="002138E2"/>
    <w:rsid w:val="00213950"/>
    <w:rsid w:val="00213C1A"/>
    <w:rsid w:val="002141E9"/>
    <w:rsid w:val="002148D0"/>
    <w:rsid w:val="00215E9D"/>
    <w:rsid w:val="00215F0B"/>
    <w:rsid w:val="00215F31"/>
    <w:rsid w:val="002169E6"/>
    <w:rsid w:val="00216B8E"/>
    <w:rsid w:val="00216C01"/>
    <w:rsid w:val="002175F6"/>
    <w:rsid w:val="00217C1C"/>
    <w:rsid w:val="00217ED3"/>
    <w:rsid w:val="00217F78"/>
    <w:rsid w:val="002204AD"/>
    <w:rsid w:val="00220566"/>
    <w:rsid w:val="0022062F"/>
    <w:rsid w:val="0022076E"/>
    <w:rsid w:val="00220963"/>
    <w:rsid w:val="00220D6F"/>
    <w:rsid w:val="00221246"/>
    <w:rsid w:val="0022130D"/>
    <w:rsid w:val="00221470"/>
    <w:rsid w:val="0022167F"/>
    <w:rsid w:val="00221DF9"/>
    <w:rsid w:val="00221F48"/>
    <w:rsid w:val="00222484"/>
    <w:rsid w:val="0022257A"/>
    <w:rsid w:val="002225FD"/>
    <w:rsid w:val="0022272A"/>
    <w:rsid w:val="00222AF8"/>
    <w:rsid w:val="002248F2"/>
    <w:rsid w:val="00224949"/>
    <w:rsid w:val="00224B07"/>
    <w:rsid w:val="00224B61"/>
    <w:rsid w:val="00224F08"/>
    <w:rsid w:val="0022590A"/>
    <w:rsid w:val="00225A02"/>
    <w:rsid w:val="00225B70"/>
    <w:rsid w:val="00226FFD"/>
    <w:rsid w:val="002277A0"/>
    <w:rsid w:val="00227FAC"/>
    <w:rsid w:val="00230C00"/>
    <w:rsid w:val="00230D3E"/>
    <w:rsid w:val="00231506"/>
    <w:rsid w:val="002327D2"/>
    <w:rsid w:val="002328BA"/>
    <w:rsid w:val="00232A83"/>
    <w:rsid w:val="00233271"/>
    <w:rsid w:val="00233303"/>
    <w:rsid w:val="00233335"/>
    <w:rsid w:val="0023334F"/>
    <w:rsid w:val="0023359D"/>
    <w:rsid w:val="00233C6A"/>
    <w:rsid w:val="00233CF8"/>
    <w:rsid w:val="0023413D"/>
    <w:rsid w:val="00235008"/>
    <w:rsid w:val="002353E2"/>
    <w:rsid w:val="00236C92"/>
    <w:rsid w:val="00236EE2"/>
    <w:rsid w:val="0023714C"/>
    <w:rsid w:val="0023772F"/>
    <w:rsid w:val="00237DE8"/>
    <w:rsid w:val="00237FB7"/>
    <w:rsid w:val="00240583"/>
    <w:rsid w:val="0024094F"/>
    <w:rsid w:val="00240DA5"/>
    <w:rsid w:val="00241687"/>
    <w:rsid w:val="0024172C"/>
    <w:rsid w:val="00242AD5"/>
    <w:rsid w:val="0024352F"/>
    <w:rsid w:val="00243650"/>
    <w:rsid w:val="00243976"/>
    <w:rsid w:val="00244398"/>
    <w:rsid w:val="002447B5"/>
    <w:rsid w:val="00244A37"/>
    <w:rsid w:val="00244B1A"/>
    <w:rsid w:val="00244E59"/>
    <w:rsid w:val="002454D2"/>
    <w:rsid w:val="002455F4"/>
    <w:rsid w:val="00245979"/>
    <w:rsid w:val="00245CF4"/>
    <w:rsid w:val="00246AAD"/>
    <w:rsid w:val="00246D4A"/>
    <w:rsid w:val="0024720F"/>
    <w:rsid w:val="0024737B"/>
    <w:rsid w:val="00247797"/>
    <w:rsid w:val="0024784E"/>
    <w:rsid w:val="002479FF"/>
    <w:rsid w:val="00247E52"/>
    <w:rsid w:val="002504B8"/>
    <w:rsid w:val="002504ED"/>
    <w:rsid w:val="00250C85"/>
    <w:rsid w:val="00250C94"/>
    <w:rsid w:val="002510C7"/>
    <w:rsid w:val="002515FE"/>
    <w:rsid w:val="0025209B"/>
    <w:rsid w:val="002530E7"/>
    <w:rsid w:val="00253674"/>
    <w:rsid w:val="002537A2"/>
    <w:rsid w:val="002539C8"/>
    <w:rsid w:val="002541AD"/>
    <w:rsid w:val="00254240"/>
    <w:rsid w:val="00254587"/>
    <w:rsid w:val="0025461D"/>
    <w:rsid w:val="002546FA"/>
    <w:rsid w:val="002548C5"/>
    <w:rsid w:val="00254AEA"/>
    <w:rsid w:val="00254BD1"/>
    <w:rsid w:val="002550F0"/>
    <w:rsid w:val="002555A5"/>
    <w:rsid w:val="002559B0"/>
    <w:rsid w:val="00255A60"/>
    <w:rsid w:val="00255AAC"/>
    <w:rsid w:val="00255B02"/>
    <w:rsid w:val="00255FED"/>
    <w:rsid w:val="00256474"/>
    <w:rsid w:val="00256614"/>
    <w:rsid w:val="00256B79"/>
    <w:rsid w:val="002571CD"/>
    <w:rsid w:val="002575F3"/>
    <w:rsid w:val="00257FDB"/>
    <w:rsid w:val="00260FD3"/>
    <w:rsid w:val="00261031"/>
    <w:rsid w:val="002610D2"/>
    <w:rsid w:val="0026127A"/>
    <w:rsid w:val="002619FA"/>
    <w:rsid w:val="00261B97"/>
    <w:rsid w:val="002622F9"/>
    <w:rsid w:val="00262501"/>
    <w:rsid w:val="0026256C"/>
    <w:rsid w:val="00262584"/>
    <w:rsid w:val="00262835"/>
    <w:rsid w:val="0026291E"/>
    <w:rsid w:val="00262A30"/>
    <w:rsid w:val="0026389D"/>
    <w:rsid w:val="00263C55"/>
    <w:rsid w:val="00264351"/>
    <w:rsid w:val="00264A64"/>
    <w:rsid w:val="00264B7B"/>
    <w:rsid w:val="00264B90"/>
    <w:rsid w:val="0026518B"/>
    <w:rsid w:val="0026586B"/>
    <w:rsid w:val="00266E0E"/>
    <w:rsid w:val="0026783F"/>
    <w:rsid w:val="00267C32"/>
    <w:rsid w:val="00270490"/>
    <w:rsid w:val="002704A7"/>
    <w:rsid w:val="002704F1"/>
    <w:rsid w:val="002709A4"/>
    <w:rsid w:val="00270DDA"/>
    <w:rsid w:val="00272247"/>
    <w:rsid w:val="002725C5"/>
    <w:rsid w:val="00272618"/>
    <w:rsid w:val="00272F59"/>
    <w:rsid w:val="0027392C"/>
    <w:rsid w:val="00274815"/>
    <w:rsid w:val="0027484D"/>
    <w:rsid w:val="00275659"/>
    <w:rsid w:val="002756A4"/>
    <w:rsid w:val="00275C90"/>
    <w:rsid w:val="00275FC6"/>
    <w:rsid w:val="0027670A"/>
    <w:rsid w:val="0027686C"/>
    <w:rsid w:val="002768FA"/>
    <w:rsid w:val="00276BEA"/>
    <w:rsid w:val="00276FAE"/>
    <w:rsid w:val="00277325"/>
    <w:rsid w:val="0027733F"/>
    <w:rsid w:val="00277717"/>
    <w:rsid w:val="0027790E"/>
    <w:rsid w:val="00277C2A"/>
    <w:rsid w:val="00280000"/>
    <w:rsid w:val="0028013A"/>
    <w:rsid w:val="00280525"/>
    <w:rsid w:val="002807FD"/>
    <w:rsid w:val="0028084C"/>
    <w:rsid w:val="00280900"/>
    <w:rsid w:val="0028171D"/>
    <w:rsid w:val="00281AD0"/>
    <w:rsid w:val="00281B3D"/>
    <w:rsid w:val="00281FAA"/>
    <w:rsid w:val="00282179"/>
    <w:rsid w:val="002829EF"/>
    <w:rsid w:val="00282B1E"/>
    <w:rsid w:val="00282D8E"/>
    <w:rsid w:val="00283269"/>
    <w:rsid w:val="00283356"/>
    <w:rsid w:val="00283477"/>
    <w:rsid w:val="00283787"/>
    <w:rsid w:val="002837C9"/>
    <w:rsid w:val="00284736"/>
    <w:rsid w:val="002848BE"/>
    <w:rsid w:val="00284DB3"/>
    <w:rsid w:val="00284DB6"/>
    <w:rsid w:val="00284E1B"/>
    <w:rsid w:val="00285005"/>
    <w:rsid w:val="00285423"/>
    <w:rsid w:val="00285D63"/>
    <w:rsid w:val="002860AB"/>
    <w:rsid w:val="002869CA"/>
    <w:rsid w:val="00286F19"/>
    <w:rsid w:val="00287109"/>
    <w:rsid w:val="002873F7"/>
    <w:rsid w:val="00287464"/>
    <w:rsid w:val="00287519"/>
    <w:rsid w:val="002875F1"/>
    <w:rsid w:val="00287AC8"/>
    <w:rsid w:val="00287FC0"/>
    <w:rsid w:val="0029003E"/>
    <w:rsid w:val="0029041F"/>
    <w:rsid w:val="00291550"/>
    <w:rsid w:val="00291781"/>
    <w:rsid w:val="00291A6D"/>
    <w:rsid w:val="00292005"/>
    <w:rsid w:val="00292748"/>
    <w:rsid w:val="0029296D"/>
    <w:rsid w:val="002932E8"/>
    <w:rsid w:val="0029424F"/>
    <w:rsid w:val="00294B86"/>
    <w:rsid w:val="00294FD1"/>
    <w:rsid w:val="00295065"/>
    <w:rsid w:val="00295BBF"/>
    <w:rsid w:val="0029601D"/>
    <w:rsid w:val="002960FC"/>
    <w:rsid w:val="0029732D"/>
    <w:rsid w:val="002977E9"/>
    <w:rsid w:val="002A02E9"/>
    <w:rsid w:val="002A04C6"/>
    <w:rsid w:val="002A0ABA"/>
    <w:rsid w:val="002A27E7"/>
    <w:rsid w:val="002A283B"/>
    <w:rsid w:val="002A2A10"/>
    <w:rsid w:val="002A2D32"/>
    <w:rsid w:val="002A33A4"/>
    <w:rsid w:val="002A347F"/>
    <w:rsid w:val="002A47A8"/>
    <w:rsid w:val="002A4883"/>
    <w:rsid w:val="002A4DC3"/>
    <w:rsid w:val="002A5315"/>
    <w:rsid w:val="002A55BD"/>
    <w:rsid w:val="002A5B32"/>
    <w:rsid w:val="002A5DE9"/>
    <w:rsid w:val="002A6020"/>
    <w:rsid w:val="002A61F5"/>
    <w:rsid w:val="002A661A"/>
    <w:rsid w:val="002A69FB"/>
    <w:rsid w:val="002A7050"/>
    <w:rsid w:val="002A7B36"/>
    <w:rsid w:val="002B01F1"/>
    <w:rsid w:val="002B047D"/>
    <w:rsid w:val="002B04F8"/>
    <w:rsid w:val="002B06CA"/>
    <w:rsid w:val="002B08F1"/>
    <w:rsid w:val="002B09C6"/>
    <w:rsid w:val="002B0BBB"/>
    <w:rsid w:val="002B11B8"/>
    <w:rsid w:val="002B1244"/>
    <w:rsid w:val="002B12F0"/>
    <w:rsid w:val="002B1A44"/>
    <w:rsid w:val="002B1D08"/>
    <w:rsid w:val="002B2942"/>
    <w:rsid w:val="002B2BF3"/>
    <w:rsid w:val="002B2C2B"/>
    <w:rsid w:val="002B2F59"/>
    <w:rsid w:val="002B3AF4"/>
    <w:rsid w:val="002B3E09"/>
    <w:rsid w:val="002B3F9B"/>
    <w:rsid w:val="002B43B6"/>
    <w:rsid w:val="002B45C7"/>
    <w:rsid w:val="002B48F5"/>
    <w:rsid w:val="002B557A"/>
    <w:rsid w:val="002B5F0E"/>
    <w:rsid w:val="002B6B9C"/>
    <w:rsid w:val="002B6D0A"/>
    <w:rsid w:val="002B6D33"/>
    <w:rsid w:val="002B71AB"/>
    <w:rsid w:val="002B743D"/>
    <w:rsid w:val="002B7C3C"/>
    <w:rsid w:val="002B7E93"/>
    <w:rsid w:val="002B7F32"/>
    <w:rsid w:val="002C0EE8"/>
    <w:rsid w:val="002C0F65"/>
    <w:rsid w:val="002C1984"/>
    <w:rsid w:val="002C1F91"/>
    <w:rsid w:val="002C2284"/>
    <w:rsid w:val="002C27EE"/>
    <w:rsid w:val="002C2937"/>
    <w:rsid w:val="002C34FB"/>
    <w:rsid w:val="002C3690"/>
    <w:rsid w:val="002C383E"/>
    <w:rsid w:val="002C3BB1"/>
    <w:rsid w:val="002C3BE0"/>
    <w:rsid w:val="002C4066"/>
    <w:rsid w:val="002C40EB"/>
    <w:rsid w:val="002C4695"/>
    <w:rsid w:val="002C4D58"/>
    <w:rsid w:val="002C4F0B"/>
    <w:rsid w:val="002C5564"/>
    <w:rsid w:val="002C5F0B"/>
    <w:rsid w:val="002C5FF9"/>
    <w:rsid w:val="002C6CD8"/>
    <w:rsid w:val="002C6ECB"/>
    <w:rsid w:val="002C6FE9"/>
    <w:rsid w:val="002C7545"/>
    <w:rsid w:val="002C7828"/>
    <w:rsid w:val="002C79F4"/>
    <w:rsid w:val="002C7B43"/>
    <w:rsid w:val="002C7B90"/>
    <w:rsid w:val="002D002A"/>
    <w:rsid w:val="002D0BDD"/>
    <w:rsid w:val="002D139B"/>
    <w:rsid w:val="002D174F"/>
    <w:rsid w:val="002D1C5F"/>
    <w:rsid w:val="002D1CB8"/>
    <w:rsid w:val="002D1E6F"/>
    <w:rsid w:val="002D1F4C"/>
    <w:rsid w:val="002D2A6B"/>
    <w:rsid w:val="002D30F0"/>
    <w:rsid w:val="002D3DE3"/>
    <w:rsid w:val="002D45FF"/>
    <w:rsid w:val="002D4CF5"/>
    <w:rsid w:val="002D4EE9"/>
    <w:rsid w:val="002D5065"/>
    <w:rsid w:val="002D5632"/>
    <w:rsid w:val="002D57A1"/>
    <w:rsid w:val="002D6319"/>
    <w:rsid w:val="002D637C"/>
    <w:rsid w:val="002D6DCF"/>
    <w:rsid w:val="002D7072"/>
    <w:rsid w:val="002D74E9"/>
    <w:rsid w:val="002D75EE"/>
    <w:rsid w:val="002D77C6"/>
    <w:rsid w:val="002D7E45"/>
    <w:rsid w:val="002E0256"/>
    <w:rsid w:val="002E0A67"/>
    <w:rsid w:val="002E0C16"/>
    <w:rsid w:val="002E0E14"/>
    <w:rsid w:val="002E11B8"/>
    <w:rsid w:val="002E1511"/>
    <w:rsid w:val="002E19A0"/>
    <w:rsid w:val="002E1ABC"/>
    <w:rsid w:val="002E1B74"/>
    <w:rsid w:val="002E1E5F"/>
    <w:rsid w:val="002E216D"/>
    <w:rsid w:val="002E31B0"/>
    <w:rsid w:val="002E356E"/>
    <w:rsid w:val="002E37BA"/>
    <w:rsid w:val="002E3942"/>
    <w:rsid w:val="002E4505"/>
    <w:rsid w:val="002E4836"/>
    <w:rsid w:val="002E4B00"/>
    <w:rsid w:val="002E4D2B"/>
    <w:rsid w:val="002E4E50"/>
    <w:rsid w:val="002E5272"/>
    <w:rsid w:val="002E685C"/>
    <w:rsid w:val="002E6A46"/>
    <w:rsid w:val="002E6A8F"/>
    <w:rsid w:val="002E6E45"/>
    <w:rsid w:val="002E74DD"/>
    <w:rsid w:val="002E788A"/>
    <w:rsid w:val="002E7A23"/>
    <w:rsid w:val="002E7B97"/>
    <w:rsid w:val="002E7ED3"/>
    <w:rsid w:val="002F02AB"/>
    <w:rsid w:val="002F070E"/>
    <w:rsid w:val="002F079A"/>
    <w:rsid w:val="002F1790"/>
    <w:rsid w:val="002F1A32"/>
    <w:rsid w:val="002F1A6E"/>
    <w:rsid w:val="002F1EE9"/>
    <w:rsid w:val="002F212A"/>
    <w:rsid w:val="002F26BB"/>
    <w:rsid w:val="002F2FD4"/>
    <w:rsid w:val="002F3482"/>
    <w:rsid w:val="002F3B15"/>
    <w:rsid w:val="002F3C9D"/>
    <w:rsid w:val="002F4680"/>
    <w:rsid w:val="002F4813"/>
    <w:rsid w:val="002F59ED"/>
    <w:rsid w:val="002F64B0"/>
    <w:rsid w:val="002F6A8F"/>
    <w:rsid w:val="002F6D32"/>
    <w:rsid w:val="00300AFC"/>
    <w:rsid w:val="0030150F"/>
    <w:rsid w:val="00301ED8"/>
    <w:rsid w:val="003025E5"/>
    <w:rsid w:val="00303352"/>
    <w:rsid w:val="00303512"/>
    <w:rsid w:val="0030362A"/>
    <w:rsid w:val="0030387F"/>
    <w:rsid w:val="003048C0"/>
    <w:rsid w:val="0030494A"/>
    <w:rsid w:val="00304FA2"/>
    <w:rsid w:val="00305D18"/>
    <w:rsid w:val="00305F89"/>
    <w:rsid w:val="00306159"/>
    <w:rsid w:val="003069AD"/>
    <w:rsid w:val="00306BA2"/>
    <w:rsid w:val="0030704F"/>
    <w:rsid w:val="0030722E"/>
    <w:rsid w:val="0030751A"/>
    <w:rsid w:val="003100C0"/>
    <w:rsid w:val="00310AF4"/>
    <w:rsid w:val="00311306"/>
    <w:rsid w:val="0031153F"/>
    <w:rsid w:val="00311C6F"/>
    <w:rsid w:val="00311FC1"/>
    <w:rsid w:val="003120F2"/>
    <w:rsid w:val="003124F6"/>
    <w:rsid w:val="0031370D"/>
    <w:rsid w:val="003137C7"/>
    <w:rsid w:val="00314421"/>
    <w:rsid w:val="0031469E"/>
    <w:rsid w:val="00314A09"/>
    <w:rsid w:val="00316FFC"/>
    <w:rsid w:val="00317173"/>
    <w:rsid w:val="003176B5"/>
    <w:rsid w:val="003177EB"/>
    <w:rsid w:val="0032132C"/>
    <w:rsid w:val="003215E9"/>
    <w:rsid w:val="003221D7"/>
    <w:rsid w:val="00323741"/>
    <w:rsid w:val="00323C3D"/>
    <w:rsid w:val="00323CAD"/>
    <w:rsid w:val="003242B3"/>
    <w:rsid w:val="00324686"/>
    <w:rsid w:val="00324885"/>
    <w:rsid w:val="00324CE9"/>
    <w:rsid w:val="0032591B"/>
    <w:rsid w:val="00325B62"/>
    <w:rsid w:val="00326726"/>
    <w:rsid w:val="00326769"/>
    <w:rsid w:val="00326C23"/>
    <w:rsid w:val="00327346"/>
    <w:rsid w:val="00327A5D"/>
    <w:rsid w:val="0033011E"/>
    <w:rsid w:val="003301EA"/>
    <w:rsid w:val="0033062D"/>
    <w:rsid w:val="00330644"/>
    <w:rsid w:val="00330712"/>
    <w:rsid w:val="0033081D"/>
    <w:rsid w:val="00330A7D"/>
    <w:rsid w:val="00330CB6"/>
    <w:rsid w:val="00331A42"/>
    <w:rsid w:val="003323AF"/>
    <w:rsid w:val="0033270A"/>
    <w:rsid w:val="00332F9F"/>
    <w:rsid w:val="00333753"/>
    <w:rsid w:val="00333C23"/>
    <w:rsid w:val="00333D0B"/>
    <w:rsid w:val="00333D28"/>
    <w:rsid w:val="003345E5"/>
    <w:rsid w:val="00334654"/>
    <w:rsid w:val="003348B8"/>
    <w:rsid w:val="00334A25"/>
    <w:rsid w:val="00335332"/>
    <w:rsid w:val="00335EEF"/>
    <w:rsid w:val="003362EB"/>
    <w:rsid w:val="0033640C"/>
    <w:rsid w:val="00336422"/>
    <w:rsid w:val="0033676A"/>
    <w:rsid w:val="00337CE5"/>
    <w:rsid w:val="00337DFA"/>
    <w:rsid w:val="00340040"/>
    <w:rsid w:val="003404ED"/>
    <w:rsid w:val="00340580"/>
    <w:rsid w:val="003406BE"/>
    <w:rsid w:val="0034083D"/>
    <w:rsid w:val="00340CD9"/>
    <w:rsid w:val="00341155"/>
    <w:rsid w:val="003418FD"/>
    <w:rsid w:val="003422FA"/>
    <w:rsid w:val="00342431"/>
    <w:rsid w:val="00342B84"/>
    <w:rsid w:val="00342C92"/>
    <w:rsid w:val="0034325B"/>
    <w:rsid w:val="003432A6"/>
    <w:rsid w:val="003436FB"/>
    <w:rsid w:val="00344045"/>
    <w:rsid w:val="00344382"/>
    <w:rsid w:val="003445F8"/>
    <w:rsid w:val="00344660"/>
    <w:rsid w:val="00344DF7"/>
    <w:rsid w:val="00344F6C"/>
    <w:rsid w:val="003451D7"/>
    <w:rsid w:val="00345856"/>
    <w:rsid w:val="00347402"/>
    <w:rsid w:val="003500D2"/>
    <w:rsid w:val="0035035F"/>
    <w:rsid w:val="0035061A"/>
    <w:rsid w:val="003511B2"/>
    <w:rsid w:val="00351A16"/>
    <w:rsid w:val="003520AB"/>
    <w:rsid w:val="003521B1"/>
    <w:rsid w:val="003530CB"/>
    <w:rsid w:val="00353546"/>
    <w:rsid w:val="0035441F"/>
    <w:rsid w:val="00354A0F"/>
    <w:rsid w:val="00354DE5"/>
    <w:rsid w:val="003554AF"/>
    <w:rsid w:val="00355981"/>
    <w:rsid w:val="00355BC9"/>
    <w:rsid w:val="00355E96"/>
    <w:rsid w:val="00356A8B"/>
    <w:rsid w:val="00360454"/>
    <w:rsid w:val="00360F83"/>
    <w:rsid w:val="00361168"/>
    <w:rsid w:val="003612FF"/>
    <w:rsid w:val="0036142A"/>
    <w:rsid w:val="00361787"/>
    <w:rsid w:val="00362481"/>
    <w:rsid w:val="00362B6C"/>
    <w:rsid w:val="00362E08"/>
    <w:rsid w:val="003632C4"/>
    <w:rsid w:val="003635FC"/>
    <w:rsid w:val="003636A0"/>
    <w:rsid w:val="003637AE"/>
    <w:rsid w:val="00363925"/>
    <w:rsid w:val="00363967"/>
    <w:rsid w:val="0036429E"/>
    <w:rsid w:val="003643AD"/>
    <w:rsid w:val="003645B5"/>
    <w:rsid w:val="003646A8"/>
    <w:rsid w:val="00364E2C"/>
    <w:rsid w:val="00364F89"/>
    <w:rsid w:val="00365153"/>
    <w:rsid w:val="00365650"/>
    <w:rsid w:val="0036576D"/>
    <w:rsid w:val="00365CF4"/>
    <w:rsid w:val="00365D09"/>
    <w:rsid w:val="00365DB0"/>
    <w:rsid w:val="00366141"/>
    <w:rsid w:val="0036627C"/>
    <w:rsid w:val="00366432"/>
    <w:rsid w:val="00366498"/>
    <w:rsid w:val="00366AB3"/>
    <w:rsid w:val="00366DBE"/>
    <w:rsid w:val="00367358"/>
    <w:rsid w:val="00367957"/>
    <w:rsid w:val="00367E9C"/>
    <w:rsid w:val="003701ED"/>
    <w:rsid w:val="00371972"/>
    <w:rsid w:val="00372209"/>
    <w:rsid w:val="00372ADE"/>
    <w:rsid w:val="003732F3"/>
    <w:rsid w:val="00373F46"/>
    <w:rsid w:val="00374937"/>
    <w:rsid w:val="00374D76"/>
    <w:rsid w:val="00374DB5"/>
    <w:rsid w:val="00374DF5"/>
    <w:rsid w:val="00374F9C"/>
    <w:rsid w:val="0037536B"/>
    <w:rsid w:val="003756B8"/>
    <w:rsid w:val="00375815"/>
    <w:rsid w:val="003763A7"/>
    <w:rsid w:val="00376860"/>
    <w:rsid w:val="00376BBC"/>
    <w:rsid w:val="00376EC3"/>
    <w:rsid w:val="00377020"/>
    <w:rsid w:val="0037719E"/>
    <w:rsid w:val="003772A2"/>
    <w:rsid w:val="00377F0B"/>
    <w:rsid w:val="00377F5D"/>
    <w:rsid w:val="00380186"/>
    <w:rsid w:val="0038046E"/>
    <w:rsid w:val="00380511"/>
    <w:rsid w:val="00380542"/>
    <w:rsid w:val="003809CE"/>
    <w:rsid w:val="00380ADB"/>
    <w:rsid w:val="00380BE8"/>
    <w:rsid w:val="003824FD"/>
    <w:rsid w:val="0038281B"/>
    <w:rsid w:val="00383563"/>
    <w:rsid w:val="003836EA"/>
    <w:rsid w:val="003840AB"/>
    <w:rsid w:val="003841B6"/>
    <w:rsid w:val="003846B4"/>
    <w:rsid w:val="00384C3E"/>
    <w:rsid w:val="00384E76"/>
    <w:rsid w:val="00385457"/>
    <w:rsid w:val="003858A9"/>
    <w:rsid w:val="003860D7"/>
    <w:rsid w:val="00386161"/>
    <w:rsid w:val="00386218"/>
    <w:rsid w:val="00386265"/>
    <w:rsid w:val="0038642B"/>
    <w:rsid w:val="00386AAB"/>
    <w:rsid w:val="00386AE1"/>
    <w:rsid w:val="00386D4B"/>
    <w:rsid w:val="0038710C"/>
    <w:rsid w:val="0038749A"/>
    <w:rsid w:val="00387551"/>
    <w:rsid w:val="0038777F"/>
    <w:rsid w:val="00387945"/>
    <w:rsid w:val="00387D32"/>
    <w:rsid w:val="00387DD0"/>
    <w:rsid w:val="003906DD"/>
    <w:rsid w:val="00390E40"/>
    <w:rsid w:val="003918E0"/>
    <w:rsid w:val="00391D8E"/>
    <w:rsid w:val="00392306"/>
    <w:rsid w:val="00392AF6"/>
    <w:rsid w:val="0039334B"/>
    <w:rsid w:val="00393368"/>
    <w:rsid w:val="00393C15"/>
    <w:rsid w:val="003945DC"/>
    <w:rsid w:val="00394745"/>
    <w:rsid w:val="003947E9"/>
    <w:rsid w:val="00394DE4"/>
    <w:rsid w:val="00396E22"/>
    <w:rsid w:val="00396F96"/>
    <w:rsid w:val="00397071"/>
    <w:rsid w:val="003A0297"/>
    <w:rsid w:val="003A07D9"/>
    <w:rsid w:val="003A0D55"/>
    <w:rsid w:val="003A162D"/>
    <w:rsid w:val="003A1CDD"/>
    <w:rsid w:val="003A248B"/>
    <w:rsid w:val="003A3290"/>
    <w:rsid w:val="003A37F2"/>
    <w:rsid w:val="003A3D7B"/>
    <w:rsid w:val="003A5029"/>
    <w:rsid w:val="003A5542"/>
    <w:rsid w:val="003A5973"/>
    <w:rsid w:val="003A5989"/>
    <w:rsid w:val="003A5BB6"/>
    <w:rsid w:val="003A5CD3"/>
    <w:rsid w:val="003A6096"/>
    <w:rsid w:val="003A6131"/>
    <w:rsid w:val="003A6334"/>
    <w:rsid w:val="003A6585"/>
    <w:rsid w:val="003A71BF"/>
    <w:rsid w:val="003A7993"/>
    <w:rsid w:val="003B003B"/>
    <w:rsid w:val="003B14EE"/>
    <w:rsid w:val="003B2554"/>
    <w:rsid w:val="003B2AB6"/>
    <w:rsid w:val="003B2FA0"/>
    <w:rsid w:val="003B3355"/>
    <w:rsid w:val="003B33AF"/>
    <w:rsid w:val="003B3412"/>
    <w:rsid w:val="003B37C7"/>
    <w:rsid w:val="003B3866"/>
    <w:rsid w:val="003B3B8C"/>
    <w:rsid w:val="003B4066"/>
    <w:rsid w:val="003B45D4"/>
    <w:rsid w:val="003B4DAD"/>
    <w:rsid w:val="003B523D"/>
    <w:rsid w:val="003B5700"/>
    <w:rsid w:val="003B5938"/>
    <w:rsid w:val="003B5ADB"/>
    <w:rsid w:val="003B5CF6"/>
    <w:rsid w:val="003B603D"/>
    <w:rsid w:val="003B690E"/>
    <w:rsid w:val="003B7038"/>
    <w:rsid w:val="003B721E"/>
    <w:rsid w:val="003B7222"/>
    <w:rsid w:val="003B725C"/>
    <w:rsid w:val="003B7772"/>
    <w:rsid w:val="003B7A8B"/>
    <w:rsid w:val="003B7E3B"/>
    <w:rsid w:val="003C00AF"/>
    <w:rsid w:val="003C02C8"/>
    <w:rsid w:val="003C0356"/>
    <w:rsid w:val="003C0844"/>
    <w:rsid w:val="003C0E2B"/>
    <w:rsid w:val="003C10DB"/>
    <w:rsid w:val="003C1213"/>
    <w:rsid w:val="003C13CF"/>
    <w:rsid w:val="003C17D3"/>
    <w:rsid w:val="003C2096"/>
    <w:rsid w:val="003C22A1"/>
    <w:rsid w:val="003C234F"/>
    <w:rsid w:val="003C2850"/>
    <w:rsid w:val="003C38FB"/>
    <w:rsid w:val="003C40EB"/>
    <w:rsid w:val="003C46A1"/>
    <w:rsid w:val="003C4AA2"/>
    <w:rsid w:val="003C56A8"/>
    <w:rsid w:val="003C571D"/>
    <w:rsid w:val="003C572A"/>
    <w:rsid w:val="003C5A6E"/>
    <w:rsid w:val="003C5BA9"/>
    <w:rsid w:val="003C5DC1"/>
    <w:rsid w:val="003C6485"/>
    <w:rsid w:val="003C68DB"/>
    <w:rsid w:val="003C69DB"/>
    <w:rsid w:val="003C6F17"/>
    <w:rsid w:val="003C730E"/>
    <w:rsid w:val="003C7B19"/>
    <w:rsid w:val="003C7FAE"/>
    <w:rsid w:val="003D0835"/>
    <w:rsid w:val="003D0846"/>
    <w:rsid w:val="003D0D74"/>
    <w:rsid w:val="003D1159"/>
    <w:rsid w:val="003D1666"/>
    <w:rsid w:val="003D19C0"/>
    <w:rsid w:val="003D21BD"/>
    <w:rsid w:val="003D2287"/>
    <w:rsid w:val="003D2EC8"/>
    <w:rsid w:val="003D3107"/>
    <w:rsid w:val="003D3598"/>
    <w:rsid w:val="003D35FF"/>
    <w:rsid w:val="003D37F9"/>
    <w:rsid w:val="003D3D9E"/>
    <w:rsid w:val="003D400A"/>
    <w:rsid w:val="003D405E"/>
    <w:rsid w:val="003D411D"/>
    <w:rsid w:val="003D4351"/>
    <w:rsid w:val="003D4D74"/>
    <w:rsid w:val="003D51F2"/>
    <w:rsid w:val="003D54C7"/>
    <w:rsid w:val="003D5804"/>
    <w:rsid w:val="003D58D6"/>
    <w:rsid w:val="003D5C47"/>
    <w:rsid w:val="003D6187"/>
    <w:rsid w:val="003D64C3"/>
    <w:rsid w:val="003D6781"/>
    <w:rsid w:val="003D77C2"/>
    <w:rsid w:val="003D791D"/>
    <w:rsid w:val="003D7C3A"/>
    <w:rsid w:val="003D7C43"/>
    <w:rsid w:val="003D7E0D"/>
    <w:rsid w:val="003D7EED"/>
    <w:rsid w:val="003E0F27"/>
    <w:rsid w:val="003E18EE"/>
    <w:rsid w:val="003E1D3F"/>
    <w:rsid w:val="003E1E03"/>
    <w:rsid w:val="003E22F6"/>
    <w:rsid w:val="003E2676"/>
    <w:rsid w:val="003E2735"/>
    <w:rsid w:val="003E2CD8"/>
    <w:rsid w:val="003E3F09"/>
    <w:rsid w:val="003E4FF8"/>
    <w:rsid w:val="003E549D"/>
    <w:rsid w:val="003E55A3"/>
    <w:rsid w:val="003E5A05"/>
    <w:rsid w:val="003E5AC6"/>
    <w:rsid w:val="003E665F"/>
    <w:rsid w:val="003E6BEF"/>
    <w:rsid w:val="003E6D41"/>
    <w:rsid w:val="003E6EA7"/>
    <w:rsid w:val="003E707E"/>
    <w:rsid w:val="003E737D"/>
    <w:rsid w:val="003E751E"/>
    <w:rsid w:val="003E75C1"/>
    <w:rsid w:val="003F176A"/>
    <w:rsid w:val="003F18D5"/>
    <w:rsid w:val="003F1B58"/>
    <w:rsid w:val="003F1B78"/>
    <w:rsid w:val="003F1B7E"/>
    <w:rsid w:val="003F245A"/>
    <w:rsid w:val="003F24F4"/>
    <w:rsid w:val="003F26F6"/>
    <w:rsid w:val="003F289C"/>
    <w:rsid w:val="003F290F"/>
    <w:rsid w:val="003F2D1E"/>
    <w:rsid w:val="003F341F"/>
    <w:rsid w:val="003F3674"/>
    <w:rsid w:val="003F3756"/>
    <w:rsid w:val="003F3B9D"/>
    <w:rsid w:val="003F3BF8"/>
    <w:rsid w:val="003F3E24"/>
    <w:rsid w:val="003F4002"/>
    <w:rsid w:val="003F4112"/>
    <w:rsid w:val="003F4165"/>
    <w:rsid w:val="003F420A"/>
    <w:rsid w:val="003F425F"/>
    <w:rsid w:val="003F465E"/>
    <w:rsid w:val="003F5247"/>
    <w:rsid w:val="003F57DB"/>
    <w:rsid w:val="003F58A5"/>
    <w:rsid w:val="003F5B32"/>
    <w:rsid w:val="003F5B34"/>
    <w:rsid w:val="003F625E"/>
    <w:rsid w:val="003F6557"/>
    <w:rsid w:val="003F72B5"/>
    <w:rsid w:val="003F757A"/>
    <w:rsid w:val="003F7A90"/>
    <w:rsid w:val="003F7D56"/>
    <w:rsid w:val="003F7D90"/>
    <w:rsid w:val="003F7EEB"/>
    <w:rsid w:val="004000F2"/>
    <w:rsid w:val="004006DD"/>
    <w:rsid w:val="00400AF1"/>
    <w:rsid w:val="00400F24"/>
    <w:rsid w:val="004018E3"/>
    <w:rsid w:val="00401E19"/>
    <w:rsid w:val="004020D7"/>
    <w:rsid w:val="004023D4"/>
    <w:rsid w:val="004024B9"/>
    <w:rsid w:val="00402555"/>
    <w:rsid w:val="0040277B"/>
    <w:rsid w:val="00402C04"/>
    <w:rsid w:val="00402E4C"/>
    <w:rsid w:val="0040343A"/>
    <w:rsid w:val="00403B3B"/>
    <w:rsid w:val="00403BEE"/>
    <w:rsid w:val="0040413B"/>
    <w:rsid w:val="004047CD"/>
    <w:rsid w:val="00404894"/>
    <w:rsid w:val="00404AD8"/>
    <w:rsid w:val="00404BA4"/>
    <w:rsid w:val="004054A9"/>
    <w:rsid w:val="00405867"/>
    <w:rsid w:val="0040597E"/>
    <w:rsid w:val="00405A1E"/>
    <w:rsid w:val="00405E3E"/>
    <w:rsid w:val="004062FA"/>
    <w:rsid w:val="004068AA"/>
    <w:rsid w:val="00406BA1"/>
    <w:rsid w:val="00406BC7"/>
    <w:rsid w:val="00407A54"/>
    <w:rsid w:val="0041033A"/>
    <w:rsid w:val="004105C6"/>
    <w:rsid w:val="0041081F"/>
    <w:rsid w:val="004108A5"/>
    <w:rsid w:val="00410AC5"/>
    <w:rsid w:val="00410B49"/>
    <w:rsid w:val="00410C24"/>
    <w:rsid w:val="0041105B"/>
    <w:rsid w:val="00411CA7"/>
    <w:rsid w:val="00411DB4"/>
    <w:rsid w:val="00411DD9"/>
    <w:rsid w:val="00412449"/>
    <w:rsid w:val="00412670"/>
    <w:rsid w:val="00412A25"/>
    <w:rsid w:val="00412A3F"/>
    <w:rsid w:val="00412BF4"/>
    <w:rsid w:val="00412DCF"/>
    <w:rsid w:val="00412EEF"/>
    <w:rsid w:val="00413295"/>
    <w:rsid w:val="004136B3"/>
    <w:rsid w:val="00413755"/>
    <w:rsid w:val="00413A10"/>
    <w:rsid w:val="00413D61"/>
    <w:rsid w:val="00414098"/>
    <w:rsid w:val="00414B7F"/>
    <w:rsid w:val="004152C7"/>
    <w:rsid w:val="00415461"/>
    <w:rsid w:val="004155C8"/>
    <w:rsid w:val="00415905"/>
    <w:rsid w:val="0041592A"/>
    <w:rsid w:val="00416210"/>
    <w:rsid w:val="00416821"/>
    <w:rsid w:val="00416F59"/>
    <w:rsid w:val="00417059"/>
    <w:rsid w:val="004175C8"/>
    <w:rsid w:val="004176BF"/>
    <w:rsid w:val="004206A4"/>
    <w:rsid w:val="00420DE0"/>
    <w:rsid w:val="00421723"/>
    <w:rsid w:val="00421771"/>
    <w:rsid w:val="004221E1"/>
    <w:rsid w:val="004221F3"/>
    <w:rsid w:val="0042261E"/>
    <w:rsid w:val="00422B84"/>
    <w:rsid w:val="00422EB4"/>
    <w:rsid w:val="00423003"/>
    <w:rsid w:val="0042332C"/>
    <w:rsid w:val="00423E62"/>
    <w:rsid w:val="00424348"/>
    <w:rsid w:val="00424FBA"/>
    <w:rsid w:val="00425019"/>
    <w:rsid w:val="00425362"/>
    <w:rsid w:val="00425678"/>
    <w:rsid w:val="00425BE6"/>
    <w:rsid w:val="00426081"/>
    <w:rsid w:val="004262A0"/>
    <w:rsid w:val="00426CE7"/>
    <w:rsid w:val="00426D45"/>
    <w:rsid w:val="00426E01"/>
    <w:rsid w:val="00427CDE"/>
    <w:rsid w:val="00427D35"/>
    <w:rsid w:val="00427D36"/>
    <w:rsid w:val="0043074C"/>
    <w:rsid w:val="00430BD3"/>
    <w:rsid w:val="0043111A"/>
    <w:rsid w:val="004312C2"/>
    <w:rsid w:val="004323ED"/>
    <w:rsid w:val="00432F58"/>
    <w:rsid w:val="004333D9"/>
    <w:rsid w:val="004334F6"/>
    <w:rsid w:val="004335CC"/>
    <w:rsid w:val="00433E5E"/>
    <w:rsid w:val="00434526"/>
    <w:rsid w:val="00434812"/>
    <w:rsid w:val="00435427"/>
    <w:rsid w:val="0043584E"/>
    <w:rsid w:val="0043589B"/>
    <w:rsid w:val="004358B5"/>
    <w:rsid w:val="00435DE6"/>
    <w:rsid w:val="004361C8"/>
    <w:rsid w:val="004365CB"/>
    <w:rsid w:val="004367A2"/>
    <w:rsid w:val="00436F7D"/>
    <w:rsid w:val="0043716F"/>
    <w:rsid w:val="00437696"/>
    <w:rsid w:val="004376DD"/>
    <w:rsid w:val="00437D11"/>
    <w:rsid w:val="00440145"/>
    <w:rsid w:val="00440781"/>
    <w:rsid w:val="00441099"/>
    <w:rsid w:val="0044159D"/>
    <w:rsid w:val="00441AD1"/>
    <w:rsid w:val="00443DC6"/>
    <w:rsid w:val="00444573"/>
    <w:rsid w:val="00444814"/>
    <w:rsid w:val="00444F64"/>
    <w:rsid w:val="00446911"/>
    <w:rsid w:val="00446DE5"/>
    <w:rsid w:val="00446EA4"/>
    <w:rsid w:val="004479F7"/>
    <w:rsid w:val="00447BE7"/>
    <w:rsid w:val="00447BF2"/>
    <w:rsid w:val="00447F12"/>
    <w:rsid w:val="0045036F"/>
    <w:rsid w:val="004504CC"/>
    <w:rsid w:val="0045068D"/>
    <w:rsid w:val="004506F0"/>
    <w:rsid w:val="004509FF"/>
    <w:rsid w:val="00450BE2"/>
    <w:rsid w:val="00450CCC"/>
    <w:rsid w:val="00451232"/>
    <w:rsid w:val="00451892"/>
    <w:rsid w:val="00451EAD"/>
    <w:rsid w:val="0045207B"/>
    <w:rsid w:val="004520DB"/>
    <w:rsid w:val="00453466"/>
    <w:rsid w:val="004544FE"/>
    <w:rsid w:val="00454545"/>
    <w:rsid w:val="00454F0E"/>
    <w:rsid w:val="00454F89"/>
    <w:rsid w:val="004558B2"/>
    <w:rsid w:val="00455928"/>
    <w:rsid w:val="00456146"/>
    <w:rsid w:val="0045676F"/>
    <w:rsid w:val="00456A77"/>
    <w:rsid w:val="00456B4F"/>
    <w:rsid w:val="004570C7"/>
    <w:rsid w:val="00457312"/>
    <w:rsid w:val="0045737B"/>
    <w:rsid w:val="00457C6A"/>
    <w:rsid w:val="004604C1"/>
    <w:rsid w:val="004609C3"/>
    <w:rsid w:val="00460C76"/>
    <w:rsid w:val="00461549"/>
    <w:rsid w:val="0046239A"/>
    <w:rsid w:val="00462C61"/>
    <w:rsid w:val="00462F84"/>
    <w:rsid w:val="0046308D"/>
    <w:rsid w:val="004632CD"/>
    <w:rsid w:val="00463792"/>
    <w:rsid w:val="00463D1D"/>
    <w:rsid w:val="004642F9"/>
    <w:rsid w:val="0046446A"/>
    <w:rsid w:val="00464555"/>
    <w:rsid w:val="00464583"/>
    <w:rsid w:val="004646CD"/>
    <w:rsid w:val="004652D4"/>
    <w:rsid w:val="00465B6E"/>
    <w:rsid w:val="00465E85"/>
    <w:rsid w:val="004661C8"/>
    <w:rsid w:val="00466D87"/>
    <w:rsid w:val="004672E3"/>
    <w:rsid w:val="00467B8B"/>
    <w:rsid w:val="00467EEA"/>
    <w:rsid w:val="00470514"/>
    <w:rsid w:val="00470823"/>
    <w:rsid w:val="00470AB7"/>
    <w:rsid w:val="00470F40"/>
    <w:rsid w:val="004717F9"/>
    <w:rsid w:val="00471EC0"/>
    <w:rsid w:val="00472880"/>
    <w:rsid w:val="00472CA0"/>
    <w:rsid w:val="00472F84"/>
    <w:rsid w:val="00473246"/>
    <w:rsid w:val="0047405D"/>
    <w:rsid w:val="004743D8"/>
    <w:rsid w:val="0047449E"/>
    <w:rsid w:val="00474704"/>
    <w:rsid w:val="00474765"/>
    <w:rsid w:val="004748C0"/>
    <w:rsid w:val="00474979"/>
    <w:rsid w:val="00474F09"/>
    <w:rsid w:val="00475127"/>
    <w:rsid w:val="004759EF"/>
    <w:rsid w:val="004760FF"/>
    <w:rsid w:val="004761E5"/>
    <w:rsid w:val="004764A1"/>
    <w:rsid w:val="004766AA"/>
    <w:rsid w:val="00476887"/>
    <w:rsid w:val="00476C8F"/>
    <w:rsid w:val="00476D46"/>
    <w:rsid w:val="00477223"/>
    <w:rsid w:val="00477882"/>
    <w:rsid w:val="00480244"/>
    <w:rsid w:val="00480315"/>
    <w:rsid w:val="0048126D"/>
    <w:rsid w:val="0048195B"/>
    <w:rsid w:val="00481B44"/>
    <w:rsid w:val="00481EA7"/>
    <w:rsid w:val="00482612"/>
    <w:rsid w:val="0048282A"/>
    <w:rsid w:val="004828DA"/>
    <w:rsid w:val="00482AC6"/>
    <w:rsid w:val="00482C72"/>
    <w:rsid w:val="00483669"/>
    <w:rsid w:val="00483924"/>
    <w:rsid w:val="00483C68"/>
    <w:rsid w:val="00484312"/>
    <w:rsid w:val="004856FD"/>
    <w:rsid w:val="00486EB3"/>
    <w:rsid w:val="004870FA"/>
    <w:rsid w:val="00487C43"/>
    <w:rsid w:val="00490301"/>
    <w:rsid w:val="00490E70"/>
    <w:rsid w:val="00491EF6"/>
    <w:rsid w:val="004922B9"/>
    <w:rsid w:val="004922C8"/>
    <w:rsid w:val="004928BF"/>
    <w:rsid w:val="0049299D"/>
    <w:rsid w:val="00492B14"/>
    <w:rsid w:val="004948A2"/>
    <w:rsid w:val="00495355"/>
    <w:rsid w:val="004954F0"/>
    <w:rsid w:val="00495B40"/>
    <w:rsid w:val="004960C7"/>
    <w:rsid w:val="0049615E"/>
    <w:rsid w:val="00496DE4"/>
    <w:rsid w:val="00496E9E"/>
    <w:rsid w:val="0049715E"/>
    <w:rsid w:val="00497373"/>
    <w:rsid w:val="004973A5"/>
    <w:rsid w:val="0049776D"/>
    <w:rsid w:val="00497DA0"/>
    <w:rsid w:val="004A14AC"/>
    <w:rsid w:val="004A1BF8"/>
    <w:rsid w:val="004A1BFB"/>
    <w:rsid w:val="004A1D06"/>
    <w:rsid w:val="004A1E60"/>
    <w:rsid w:val="004A2442"/>
    <w:rsid w:val="004A3081"/>
    <w:rsid w:val="004A3312"/>
    <w:rsid w:val="004A3599"/>
    <w:rsid w:val="004A3736"/>
    <w:rsid w:val="004A3E47"/>
    <w:rsid w:val="004A3EB9"/>
    <w:rsid w:val="004A406C"/>
    <w:rsid w:val="004A41FA"/>
    <w:rsid w:val="004A4817"/>
    <w:rsid w:val="004A596F"/>
    <w:rsid w:val="004A60B8"/>
    <w:rsid w:val="004A63BC"/>
    <w:rsid w:val="004A6CE8"/>
    <w:rsid w:val="004A7053"/>
    <w:rsid w:val="004A709C"/>
    <w:rsid w:val="004A77AD"/>
    <w:rsid w:val="004A7FFD"/>
    <w:rsid w:val="004B098E"/>
    <w:rsid w:val="004B0ACC"/>
    <w:rsid w:val="004B1067"/>
    <w:rsid w:val="004B136E"/>
    <w:rsid w:val="004B141F"/>
    <w:rsid w:val="004B15EB"/>
    <w:rsid w:val="004B1DD3"/>
    <w:rsid w:val="004B2630"/>
    <w:rsid w:val="004B2848"/>
    <w:rsid w:val="004B2EB0"/>
    <w:rsid w:val="004B3882"/>
    <w:rsid w:val="004B3E19"/>
    <w:rsid w:val="004B48A0"/>
    <w:rsid w:val="004B56FC"/>
    <w:rsid w:val="004B592D"/>
    <w:rsid w:val="004B5C01"/>
    <w:rsid w:val="004B5C6C"/>
    <w:rsid w:val="004B5EFA"/>
    <w:rsid w:val="004B635D"/>
    <w:rsid w:val="004B6B60"/>
    <w:rsid w:val="004B6CF4"/>
    <w:rsid w:val="004B6FB1"/>
    <w:rsid w:val="004B74F7"/>
    <w:rsid w:val="004B78A1"/>
    <w:rsid w:val="004B7A8F"/>
    <w:rsid w:val="004C0807"/>
    <w:rsid w:val="004C0CD4"/>
    <w:rsid w:val="004C0E2C"/>
    <w:rsid w:val="004C0FAF"/>
    <w:rsid w:val="004C13A6"/>
    <w:rsid w:val="004C1795"/>
    <w:rsid w:val="004C1956"/>
    <w:rsid w:val="004C1B83"/>
    <w:rsid w:val="004C1C0D"/>
    <w:rsid w:val="004C1CEF"/>
    <w:rsid w:val="004C287C"/>
    <w:rsid w:val="004C291A"/>
    <w:rsid w:val="004C3A56"/>
    <w:rsid w:val="004C3BA9"/>
    <w:rsid w:val="004C41DE"/>
    <w:rsid w:val="004C426B"/>
    <w:rsid w:val="004C4BA4"/>
    <w:rsid w:val="004C523B"/>
    <w:rsid w:val="004C58E0"/>
    <w:rsid w:val="004C5935"/>
    <w:rsid w:val="004C5CD1"/>
    <w:rsid w:val="004C65EE"/>
    <w:rsid w:val="004C67FE"/>
    <w:rsid w:val="004C6841"/>
    <w:rsid w:val="004C68CA"/>
    <w:rsid w:val="004C7223"/>
    <w:rsid w:val="004C7927"/>
    <w:rsid w:val="004C7A00"/>
    <w:rsid w:val="004C7F0B"/>
    <w:rsid w:val="004D0BA7"/>
    <w:rsid w:val="004D0DC2"/>
    <w:rsid w:val="004D21AD"/>
    <w:rsid w:val="004D36CF"/>
    <w:rsid w:val="004D393D"/>
    <w:rsid w:val="004D4A62"/>
    <w:rsid w:val="004D50B7"/>
    <w:rsid w:val="004D57E2"/>
    <w:rsid w:val="004D599B"/>
    <w:rsid w:val="004D621E"/>
    <w:rsid w:val="004D6741"/>
    <w:rsid w:val="004D6949"/>
    <w:rsid w:val="004D6D79"/>
    <w:rsid w:val="004D6E23"/>
    <w:rsid w:val="004D6EA2"/>
    <w:rsid w:val="004D70ED"/>
    <w:rsid w:val="004D73C9"/>
    <w:rsid w:val="004D76F9"/>
    <w:rsid w:val="004D77AF"/>
    <w:rsid w:val="004D790C"/>
    <w:rsid w:val="004D7A83"/>
    <w:rsid w:val="004D7D36"/>
    <w:rsid w:val="004D7E9C"/>
    <w:rsid w:val="004E02CB"/>
    <w:rsid w:val="004E0339"/>
    <w:rsid w:val="004E05F1"/>
    <w:rsid w:val="004E09B3"/>
    <w:rsid w:val="004E0B4C"/>
    <w:rsid w:val="004E1175"/>
    <w:rsid w:val="004E1B1A"/>
    <w:rsid w:val="004E245F"/>
    <w:rsid w:val="004E279A"/>
    <w:rsid w:val="004E2E3C"/>
    <w:rsid w:val="004E2E70"/>
    <w:rsid w:val="004E3020"/>
    <w:rsid w:val="004E3B1D"/>
    <w:rsid w:val="004E4035"/>
    <w:rsid w:val="004E4500"/>
    <w:rsid w:val="004E4FCC"/>
    <w:rsid w:val="004E509B"/>
    <w:rsid w:val="004E5330"/>
    <w:rsid w:val="004E5C2C"/>
    <w:rsid w:val="004E6083"/>
    <w:rsid w:val="004E6550"/>
    <w:rsid w:val="004E66E4"/>
    <w:rsid w:val="004E6B69"/>
    <w:rsid w:val="004E7632"/>
    <w:rsid w:val="004E77B2"/>
    <w:rsid w:val="004E77DD"/>
    <w:rsid w:val="004F0000"/>
    <w:rsid w:val="004F0B03"/>
    <w:rsid w:val="004F0E12"/>
    <w:rsid w:val="004F1078"/>
    <w:rsid w:val="004F12B9"/>
    <w:rsid w:val="004F1359"/>
    <w:rsid w:val="004F1705"/>
    <w:rsid w:val="004F1C45"/>
    <w:rsid w:val="004F1D64"/>
    <w:rsid w:val="004F1D8C"/>
    <w:rsid w:val="004F23CB"/>
    <w:rsid w:val="004F2951"/>
    <w:rsid w:val="004F299B"/>
    <w:rsid w:val="004F2B53"/>
    <w:rsid w:val="004F3833"/>
    <w:rsid w:val="004F3D36"/>
    <w:rsid w:val="004F4929"/>
    <w:rsid w:val="004F49D9"/>
    <w:rsid w:val="004F4B22"/>
    <w:rsid w:val="004F4EF9"/>
    <w:rsid w:val="004F5072"/>
    <w:rsid w:val="004F5150"/>
    <w:rsid w:val="004F557E"/>
    <w:rsid w:val="004F5676"/>
    <w:rsid w:val="004F5BC6"/>
    <w:rsid w:val="004F5D22"/>
    <w:rsid w:val="004F5D24"/>
    <w:rsid w:val="004F6A74"/>
    <w:rsid w:val="004F6FBC"/>
    <w:rsid w:val="004F744C"/>
    <w:rsid w:val="004F797E"/>
    <w:rsid w:val="004F7C86"/>
    <w:rsid w:val="004F7FE6"/>
    <w:rsid w:val="00500145"/>
    <w:rsid w:val="00500CD7"/>
    <w:rsid w:val="00500E7E"/>
    <w:rsid w:val="00501252"/>
    <w:rsid w:val="005018DB"/>
    <w:rsid w:val="00501AE8"/>
    <w:rsid w:val="00501C44"/>
    <w:rsid w:val="005020FB"/>
    <w:rsid w:val="00504418"/>
    <w:rsid w:val="00504B7D"/>
    <w:rsid w:val="00504EF1"/>
    <w:rsid w:val="0050500F"/>
    <w:rsid w:val="005050C2"/>
    <w:rsid w:val="00505849"/>
    <w:rsid w:val="00505FF7"/>
    <w:rsid w:val="00506020"/>
    <w:rsid w:val="005060D9"/>
    <w:rsid w:val="0050667F"/>
    <w:rsid w:val="00506990"/>
    <w:rsid w:val="00506994"/>
    <w:rsid w:val="00506EA3"/>
    <w:rsid w:val="00506EDD"/>
    <w:rsid w:val="00507200"/>
    <w:rsid w:val="005077E5"/>
    <w:rsid w:val="00507A84"/>
    <w:rsid w:val="00507D33"/>
    <w:rsid w:val="00507EE8"/>
    <w:rsid w:val="00510322"/>
    <w:rsid w:val="00510335"/>
    <w:rsid w:val="00510474"/>
    <w:rsid w:val="00510AE8"/>
    <w:rsid w:val="00511A1A"/>
    <w:rsid w:val="00512369"/>
    <w:rsid w:val="005127D8"/>
    <w:rsid w:val="005127EA"/>
    <w:rsid w:val="00512B61"/>
    <w:rsid w:val="00513056"/>
    <w:rsid w:val="005130C9"/>
    <w:rsid w:val="005135BA"/>
    <w:rsid w:val="005136BF"/>
    <w:rsid w:val="00513959"/>
    <w:rsid w:val="005143B2"/>
    <w:rsid w:val="00514538"/>
    <w:rsid w:val="005153BE"/>
    <w:rsid w:val="00515494"/>
    <w:rsid w:val="00515C3F"/>
    <w:rsid w:val="005163D2"/>
    <w:rsid w:val="0051651E"/>
    <w:rsid w:val="005166E8"/>
    <w:rsid w:val="00516F53"/>
    <w:rsid w:val="00517313"/>
    <w:rsid w:val="005173C4"/>
    <w:rsid w:val="0051785E"/>
    <w:rsid w:val="00517D40"/>
    <w:rsid w:val="005219C7"/>
    <w:rsid w:val="00521AAE"/>
    <w:rsid w:val="00521CBE"/>
    <w:rsid w:val="00522701"/>
    <w:rsid w:val="0052318E"/>
    <w:rsid w:val="00523BAD"/>
    <w:rsid w:val="00524583"/>
    <w:rsid w:val="00524DD8"/>
    <w:rsid w:val="00525773"/>
    <w:rsid w:val="0052578B"/>
    <w:rsid w:val="00525D60"/>
    <w:rsid w:val="00526075"/>
    <w:rsid w:val="00526374"/>
    <w:rsid w:val="00526803"/>
    <w:rsid w:val="00526990"/>
    <w:rsid w:val="005275AE"/>
    <w:rsid w:val="00527897"/>
    <w:rsid w:val="00527A8B"/>
    <w:rsid w:val="00527ECE"/>
    <w:rsid w:val="00527EDE"/>
    <w:rsid w:val="00530678"/>
    <w:rsid w:val="00530C56"/>
    <w:rsid w:val="005315CC"/>
    <w:rsid w:val="005318E1"/>
    <w:rsid w:val="00531D8B"/>
    <w:rsid w:val="00531FF7"/>
    <w:rsid w:val="00532311"/>
    <w:rsid w:val="00532438"/>
    <w:rsid w:val="005328A8"/>
    <w:rsid w:val="00532AC0"/>
    <w:rsid w:val="00532C56"/>
    <w:rsid w:val="00532F0D"/>
    <w:rsid w:val="00533AC5"/>
    <w:rsid w:val="0053412C"/>
    <w:rsid w:val="005347EA"/>
    <w:rsid w:val="00535749"/>
    <w:rsid w:val="00535846"/>
    <w:rsid w:val="005358D0"/>
    <w:rsid w:val="00535E3C"/>
    <w:rsid w:val="00535E61"/>
    <w:rsid w:val="00536A01"/>
    <w:rsid w:val="00536CC9"/>
    <w:rsid w:val="00537878"/>
    <w:rsid w:val="005412CC"/>
    <w:rsid w:val="00541491"/>
    <w:rsid w:val="00541851"/>
    <w:rsid w:val="00542036"/>
    <w:rsid w:val="00542A0D"/>
    <w:rsid w:val="00542C80"/>
    <w:rsid w:val="00542CB2"/>
    <w:rsid w:val="00542DE0"/>
    <w:rsid w:val="00542E82"/>
    <w:rsid w:val="005435D0"/>
    <w:rsid w:val="00543AE4"/>
    <w:rsid w:val="00543BC3"/>
    <w:rsid w:val="00543C8E"/>
    <w:rsid w:val="00545A31"/>
    <w:rsid w:val="00545C42"/>
    <w:rsid w:val="005469F0"/>
    <w:rsid w:val="00546BED"/>
    <w:rsid w:val="00546DBD"/>
    <w:rsid w:val="005477CF"/>
    <w:rsid w:val="00547902"/>
    <w:rsid w:val="00547D48"/>
    <w:rsid w:val="00547DC0"/>
    <w:rsid w:val="005503A9"/>
    <w:rsid w:val="0055065C"/>
    <w:rsid w:val="00550BD9"/>
    <w:rsid w:val="00550EEF"/>
    <w:rsid w:val="00551350"/>
    <w:rsid w:val="005516CE"/>
    <w:rsid w:val="005519B5"/>
    <w:rsid w:val="00552344"/>
    <w:rsid w:val="005523D5"/>
    <w:rsid w:val="00552E90"/>
    <w:rsid w:val="005532AA"/>
    <w:rsid w:val="00553C07"/>
    <w:rsid w:val="0055423C"/>
    <w:rsid w:val="00554381"/>
    <w:rsid w:val="005552A4"/>
    <w:rsid w:val="0055550C"/>
    <w:rsid w:val="0055553C"/>
    <w:rsid w:val="00556232"/>
    <w:rsid w:val="00556A3E"/>
    <w:rsid w:val="00557F78"/>
    <w:rsid w:val="00560298"/>
    <w:rsid w:val="00560354"/>
    <w:rsid w:val="00560E8F"/>
    <w:rsid w:val="0056111A"/>
    <w:rsid w:val="00562BA1"/>
    <w:rsid w:val="00562C4F"/>
    <w:rsid w:val="00563152"/>
    <w:rsid w:val="00563325"/>
    <w:rsid w:val="005636A2"/>
    <w:rsid w:val="00563A65"/>
    <w:rsid w:val="00563EFF"/>
    <w:rsid w:val="005648D5"/>
    <w:rsid w:val="00564938"/>
    <w:rsid w:val="00564A42"/>
    <w:rsid w:val="00564B95"/>
    <w:rsid w:val="00564E0D"/>
    <w:rsid w:val="0056507C"/>
    <w:rsid w:val="00565170"/>
    <w:rsid w:val="005656BA"/>
    <w:rsid w:val="00565E25"/>
    <w:rsid w:val="00566022"/>
    <w:rsid w:val="0056654D"/>
    <w:rsid w:val="00566CBD"/>
    <w:rsid w:val="005674CA"/>
    <w:rsid w:val="0056760C"/>
    <w:rsid w:val="00567BCC"/>
    <w:rsid w:val="00570AA8"/>
    <w:rsid w:val="00570DCD"/>
    <w:rsid w:val="005714D4"/>
    <w:rsid w:val="00571FE4"/>
    <w:rsid w:val="00572701"/>
    <w:rsid w:val="005728DA"/>
    <w:rsid w:val="00572A1A"/>
    <w:rsid w:val="0057304A"/>
    <w:rsid w:val="005732C8"/>
    <w:rsid w:val="00573AA2"/>
    <w:rsid w:val="00573F50"/>
    <w:rsid w:val="00573FB7"/>
    <w:rsid w:val="005743BC"/>
    <w:rsid w:val="00574644"/>
    <w:rsid w:val="005749D4"/>
    <w:rsid w:val="00574B9C"/>
    <w:rsid w:val="00575A19"/>
    <w:rsid w:val="00575DC7"/>
    <w:rsid w:val="00576BA0"/>
    <w:rsid w:val="00576C9B"/>
    <w:rsid w:val="005774E9"/>
    <w:rsid w:val="00577E33"/>
    <w:rsid w:val="00581514"/>
    <w:rsid w:val="00581562"/>
    <w:rsid w:val="0058195A"/>
    <w:rsid w:val="00581CB3"/>
    <w:rsid w:val="00581E94"/>
    <w:rsid w:val="00582106"/>
    <w:rsid w:val="0058241E"/>
    <w:rsid w:val="00582B3B"/>
    <w:rsid w:val="00582DD1"/>
    <w:rsid w:val="005831AF"/>
    <w:rsid w:val="00583297"/>
    <w:rsid w:val="00583663"/>
    <w:rsid w:val="00583A25"/>
    <w:rsid w:val="00583E45"/>
    <w:rsid w:val="00584592"/>
    <w:rsid w:val="00584682"/>
    <w:rsid w:val="00584781"/>
    <w:rsid w:val="0058489E"/>
    <w:rsid w:val="00584C68"/>
    <w:rsid w:val="00584D86"/>
    <w:rsid w:val="0058555C"/>
    <w:rsid w:val="00585575"/>
    <w:rsid w:val="0058585E"/>
    <w:rsid w:val="00585C33"/>
    <w:rsid w:val="00585E32"/>
    <w:rsid w:val="00586653"/>
    <w:rsid w:val="00586C8F"/>
    <w:rsid w:val="0058748E"/>
    <w:rsid w:val="005878B8"/>
    <w:rsid w:val="005903B1"/>
    <w:rsid w:val="005904B8"/>
    <w:rsid w:val="00590F97"/>
    <w:rsid w:val="00591668"/>
    <w:rsid w:val="00591E11"/>
    <w:rsid w:val="005920B9"/>
    <w:rsid w:val="0059257D"/>
    <w:rsid w:val="00592707"/>
    <w:rsid w:val="0059283C"/>
    <w:rsid w:val="00592C93"/>
    <w:rsid w:val="00593186"/>
    <w:rsid w:val="005931E4"/>
    <w:rsid w:val="00593289"/>
    <w:rsid w:val="005934E8"/>
    <w:rsid w:val="00593B71"/>
    <w:rsid w:val="00593BC0"/>
    <w:rsid w:val="00594987"/>
    <w:rsid w:val="00594A0A"/>
    <w:rsid w:val="00594FD9"/>
    <w:rsid w:val="00595CD0"/>
    <w:rsid w:val="00596461"/>
    <w:rsid w:val="00596549"/>
    <w:rsid w:val="00596602"/>
    <w:rsid w:val="00596A62"/>
    <w:rsid w:val="00597A7A"/>
    <w:rsid w:val="00597D8B"/>
    <w:rsid w:val="005A07C3"/>
    <w:rsid w:val="005A116F"/>
    <w:rsid w:val="005A1466"/>
    <w:rsid w:val="005A1487"/>
    <w:rsid w:val="005A223D"/>
    <w:rsid w:val="005A2917"/>
    <w:rsid w:val="005A2BD3"/>
    <w:rsid w:val="005A2D82"/>
    <w:rsid w:val="005A315C"/>
    <w:rsid w:val="005A36D0"/>
    <w:rsid w:val="005A3804"/>
    <w:rsid w:val="005A3BBC"/>
    <w:rsid w:val="005A3DB6"/>
    <w:rsid w:val="005A3DE6"/>
    <w:rsid w:val="005A4667"/>
    <w:rsid w:val="005A4B59"/>
    <w:rsid w:val="005A52F9"/>
    <w:rsid w:val="005A5A05"/>
    <w:rsid w:val="005A5A8E"/>
    <w:rsid w:val="005A5B48"/>
    <w:rsid w:val="005A6433"/>
    <w:rsid w:val="005A6643"/>
    <w:rsid w:val="005A67F8"/>
    <w:rsid w:val="005A6D53"/>
    <w:rsid w:val="005A73BB"/>
    <w:rsid w:val="005A7F50"/>
    <w:rsid w:val="005B002A"/>
    <w:rsid w:val="005B0439"/>
    <w:rsid w:val="005B0C16"/>
    <w:rsid w:val="005B0CBB"/>
    <w:rsid w:val="005B0EC1"/>
    <w:rsid w:val="005B0F0B"/>
    <w:rsid w:val="005B112A"/>
    <w:rsid w:val="005B18EB"/>
    <w:rsid w:val="005B21C2"/>
    <w:rsid w:val="005B264F"/>
    <w:rsid w:val="005B2958"/>
    <w:rsid w:val="005B34EF"/>
    <w:rsid w:val="005B3D38"/>
    <w:rsid w:val="005B3DFB"/>
    <w:rsid w:val="005B3EBC"/>
    <w:rsid w:val="005B3F35"/>
    <w:rsid w:val="005B4145"/>
    <w:rsid w:val="005B4C3B"/>
    <w:rsid w:val="005B50C2"/>
    <w:rsid w:val="005B679A"/>
    <w:rsid w:val="005B6B4C"/>
    <w:rsid w:val="005B70AB"/>
    <w:rsid w:val="005B75BA"/>
    <w:rsid w:val="005B7A41"/>
    <w:rsid w:val="005B7BF5"/>
    <w:rsid w:val="005B7C24"/>
    <w:rsid w:val="005C0144"/>
    <w:rsid w:val="005C0389"/>
    <w:rsid w:val="005C0634"/>
    <w:rsid w:val="005C0CC8"/>
    <w:rsid w:val="005C1354"/>
    <w:rsid w:val="005C1B00"/>
    <w:rsid w:val="005C1F80"/>
    <w:rsid w:val="005C217B"/>
    <w:rsid w:val="005C2306"/>
    <w:rsid w:val="005C3176"/>
    <w:rsid w:val="005C36D6"/>
    <w:rsid w:val="005C3A49"/>
    <w:rsid w:val="005C3B9B"/>
    <w:rsid w:val="005C3C3E"/>
    <w:rsid w:val="005C3E39"/>
    <w:rsid w:val="005C44D8"/>
    <w:rsid w:val="005C459C"/>
    <w:rsid w:val="005C4E93"/>
    <w:rsid w:val="005C5967"/>
    <w:rsid w:val="005C6205"/>
    <w:rsid w:val="005C7729"/>
    <w:rsid w:val="005C7968"/>
    <w:rsid w:val="005C7EFF"/>
    <w:rsid w:val="005D00A6"/>
    <w:rsid w:val="005D013D"/>
    <w:rsid w:val="005D1BEB"/>
    <w:rsid w:val="005D1C7C"/>
    <w:rsid w:val="005D2044"/>
    <w:rsid w:val="005D216F"/>
    <w:rsid w:val="005D225F"/>
    <w:rsid w:val="005D27B2"/>
    <w:rsid w:val="005D297B"/>
    <w:rsid w:val="005D2FA5"/>
    <w:rsid w:val="005D3747"/>
    <w:rsid w:val="005D4689"/>
    <w:rsid w:val="005D4E2C"/>
    <w:rsid w:val="005D54A8"/>
    <w:rsid w:val="005D5D88"/>
    <w:rsid w:val="005D5E32"/>
    <w:rsid w:val="005D61A5"/>
    <w:rsid w:val="005D6838"/>
    <w:rsid w:val="005D68ED"/>
    <w:rsid w:val="005D6953"/>
    <w:rsid w:val="005D76F0"/>
    <w:rsid w:val="005D7E11"/>
    <w:rsid w:val="005E0DEF"/>
    <w:rsid w:val="005E0ED2"/>
    <w:rsid w:val="005E1B29"/>
    <w:rsid w:val="005E1E6F"/>
    <w:rsid w:val="005E2023"/>
    <w:rsid w:val="005E2118"/>
    <w:rsid w:val="005E28AC"/>
    <w:rsid w:val="005E29F9"/>
    <w:rsid w:val="005E2AA6"/>
    <w:rsid w:val="005E2B20"/>
    <w:rsid w:val="005E2C64"/>
    <w:rsid w:val="005E2FA0"/>
    <w:rsid w:val="005E3408"/>
    <w:rsid w:val="005E3460"/>
    <w:rsid w:val="005E36B7"/>
    <w:rsid w:val="005E38DA"/>
    <w:rsid w:val="005E3DA7"/>
    <w:rsid w:val="005E41A9"/>
    <w:rsid w:val="005E4FF1"/>
    <w:rsid w:val="005E56EE"/>
    <w:rsid w:val="005E5E1E"/>
    <w:rsid w:val="005E5FEE"/>
    <w:rsid w:val="005E610B"/>
    <w:rsid w:val="005E6756"/>
    <w:rsid w:val="005E726A"/>
    <w:rsid w:val="005E756B"/>
    <w:rsid w:val="005F07ED"/>
    <w:rsid w:val="005F0ABD"/>
    <w:rsid w:val="005F0F90"/>
    <w:rsid w:val="005F0FFB"/>
    <w:rsid w:val="005F1230"/>
    <w:rsid w:val="005F15F0"/>
    <w:rsid w:val="005F1CD0"/>
    <w:rsid w:val="005F21D2"/>
    <w:rsid w:val="005F2270"/>
    <w:rsid w:val="005F2CED"/>
    <w:rsid w:val="005F2EAD"/>
    <w:rsid w:val="005F2F3F"/>
    <w:rsid w:val="005F2F7D"/>
    <w:rsid w:val="005F331D"/>
    <w:rsid w:val="005F34D8"/>
    <w:rsid w:val="005F48A6"/>
    <w:rsid w:val="005F4949"/>
    <w:rsid w:val="005F49E9"/>
    <w:rsid w:val="005F527C"/>
    <w:rsid w:val="005F553E"/>
    <w:rsid w:val="005F6138"/>
    <w:rsid w:val="005F7A87"/>
    <w:rsid w:val="005F7FA3"/>
    <w:rsid w:val="00600845"/>
    <w:rsid w:val="0060091B"/>
    <w:rsid w:val="006010B2"/>
    <w:rsid w:val="00602A78"/>
    <w:rsid w:val="00602CC8"/>
    <w:rsid w:val="006033D7"/>
    <w:rsid w:val="00603677"/>
    <w:rsid w:val="00605075"/>
    <w:rsid w:val="0060519B"/>
    <w:rsid w:val="00605229"/>
    <w:rsid w:val="00605DC2"/>
    <w:rsid w:val="00605E76"/>
    <w:rsid w:val="00605F5F"/>
    <w:rsid w:val="00606196"/>
    <w:rsid w:val="006069EB"/>
    <w:rsid w:val="00607042"/>
    <w:rsid w:val="00607492"/>
    <w:rsid w:val="00607D88"/>
    <w:rsid w:val="00607FEC"/>
    <w:rsid w:val="006103A2"/>
    <w:rsid w:val="00610584"/>
    <w:rsid w:val="00610615"/>
    <w:rsid w:val="00610D87"/>
    <w:rsid w:val="00610E44"/>
    <w:rsid w:val="006112E9"/>
    <w:rsid w:val="00611322"/>
    <w:rsid w:val="0061135D"/>
    <w:rsid w:val="006114A4"/>
    <w:rsid w:val="00611600"/>
    <w:rsid w:val="00612356"/>
    <w:rsid w:val="006128A6"/>
    <w:rsid w:val="00612ECD"/>
    <w:rsid w:val="00612F18"/>
    <w:rsid w:val="006139FB"/>
    <w:rsid w:val="00613B8A"/>
    <w:rsid w:val="00613BBD"/>
    <w:rsid w:val="00613BD5"/>
    <w:rsid w:val="00614628"/>
    <w:rsid w:val="00614981"/>
    <w:rsid w:val="00614C6B"/>
    <w:rsid w:val="006154A5"/>
    <w:rsid w:val="00615F06"/>
    <w:rsid w:val="0061657D"/>
    <w:rsid w:val="00616DE1"/>
    <w:rsid w:val="00617200"/>
    <w:rsid w:val="006178BA"/>
    <w:rsid w:val="00617BD2"/>
    <w:rsid w:val="00617C8D"/>
    <w:rsid w:val="00620449"/>
    <w:rsid w:val="006204C4"/>
    <w:rsid w:val="00620846"/>
    <w:rsid w:val="00620BBE"/>
    <w:rsid w:val="006212C5"/>
    <w:rsid w:val="00621438"/>
    <w:rsid w:val="00621DCA"/>
    <w:rsid w:val="00621F50"/>
    <w:rsid w:val="00622DA2"/>
    <w:rsid w:val="006232BB"/>
    <w:rsid w:val="0062345A"/>
    <w:rsid w:val="006234F1"/>
    <w:rsid w:val="0062422C"/>
    <w:rsid w:val="00624571"/>
    <w:rsid w:val="006248E5"/>
    <w:rsid w:val="00624978"/>
    <w:rsid w:val="00624ABF"/>
    <w:rsid w:val="00624E80"/>
    <w:rsid w:val="00624FDE"/>
    <w:rsid w:val="006255E5"/>
    <w:rsid w:val="00626A0E"/>
    <w:rsid w:val="00626B01"/>
    <w:rsid w:val="00626B9C"/>
    <w:rsid w:val="006270A5"/>
    <w:rsid w:val="00627B02"/>
    <w:rsid w:val="00627DE2"/>
    <w:rsid w:val="0063003A"/>
    <w:rsid w:val="00630F9B"/>
    <w:rsid w:val="00631315"/>
    <w:rsid w:val="006317C6"/>
    <w:rsid w:val="00631CE3"/>
    <w:rsid w:val="00632120"/>
    <w:rsid w:val="00633422"/>
    <w:rsid w:val="0063363D"/>
    <w:rsid w:val="00633C31"/>
    <w:rsid w:val="0063447B"/>
    <w:rsid w:val="00634F6B"/>
    <w:rsid w:val="0063515C"/>
    <w:rsid w:val="006354B7"/>
    <w:rsid w:val="00635583"/>
    <w:rsid w:val="0063567F"/>
    <w:rsid w:val="00635911"/>
    <w:rsid w:val="00635BED"/>
    <w:rsid w:val="00636093"/>
    <w:rsid w:val="006366A9"/>
    <w:rsid w:val="00636A85"/>
    <w:rsid w:val="0063789A"/>
    <w:rsid w:val="00637A9D"/>
    <w:rsid w:val="00637F37"/>
    <w:rsid w:val="00640025"/>
    <w:rsid w:val="0064087E"/>
    <w:rsid w:val="006409E2"/>
    <w:rsid w:val="006411FB"/>
    <w:rsid w:val="00641964"/>
    <w:rsid w:val="00641BA7"/>
    <w:rsid w:val="00642660"/>
    <w:rsid w:val="00642719"/>
    <w:rsid w:val="006427A0"/>
    <w:rsid w:val="00642CCE"/>
    <w:rsid w:val="00642D31"/>
    <w:rsid w:val="00642E64"/>
    <w:rsid w:val="00642FB9"/>
    <w:rsid w:val="00643220"/>
    <w:rsid w:val="00643537"/>
    <w:rsid w:val="0064394F"/>
    <w:rsid w:val="00643BC6"/>
    <w:rsid w:val="00643BCF"/>
    <w:rsid w:val="00644553"/>
    <w:rsid w:val="0064567B"/>
    <w:rsid w:val="00645F96"/>
    <w:rsid w:val="0064619B"/>
    <w:rsid w:val="00646742"/>
    <w:rsid w:val="00646B8E"/>
    <w:rsid w:val="00646CC1"/>
    <w:rsid w:val="00646EB3"/>
    <w:rsid w:val="00646FB5"/>
    <w:rsid w:val="00647039"/>
    <w:rsid w:val="00647A23"/>
    <w:rsid w:val="00647A5A"/>
    <w:rsid w:val="00647CA0"/>
    <w:rsid w:val="00650F20"/>
    <w:rsid w:val="00650FEC"/>
    <w:rsid w:val="00651108"/>
    <w:rsid w:val="0065196D"/>
    <w:rsid w:val="00651D29"/>
    <w:rsid w:val="00651DB1"/>
    <w:rsid w:val="006528DB"/>
    <w:rsid w:val="00652F11"/>
    <w:rsid w:val="0065313B"/>
    <w:rsid w:val="00653436"/>
    <w:rsid w:val="006537D0"/>
    <w:rsid w:val="00653FD0"/>
    <w:rsid w:val="00654026"/>
    <w:rsid w:val="00654FAA"/>
    <w:rsid w:val="006550F7"/>
    <w:rsid w:val="006553F7"/>
    <w:rsid w:val="0065625A"/>
    <w:rsid w:val="00656582"/>
    <w:rsid w:val="006576A2"/>
    <w:rsid w:val="006578C3"/>
    <w:rsid w:val="006579FD"/>
    <w:rsid w:val="00657CF9"/>
    <w:rsid w:val="006601FE"/>
    <w:rsid w:val="0066052B"/>
    <w:rsid w:val="0066072A"/>
    <w:rsid w:val="0066072E"/>
    <w:rsid w:val="00660C86"/>
    <w:rsid w:val="006612DB"/>
    <w:rsid w:val="0066183B"/>
    <w:rsid w:val="00661921"/>
    <w:rsid w:val="00661E3E"/>
    <w:rsid w:val="00661F25"/>
    <w:rsid w:val="0066217F"/>
    <w:rsid w:val="00662688"/>
    <w:rsid w:val="006629A0"/>
    <w:rsid w:val="00662D03"/>
    <w:rsid w:val="006635DD"/>
    <w:rsid w:val="00663848"/>
    <w:rsid w:val="0066385F"/>
    <w:rsid w:val="00664068"/>
    <w:rsid w:val="0066406E"/>
    <w:rsid w:val="00664160"/>
    <w:rsid w:val="0066536D"/>
    <w:rsid w:val="006657AF"/>
    <w:rsid w:val="006657DD"/>
    <w:rsid w:val="00665A69"/>
    <w:rsid w:val="00665AAA"/>
    <w:rsid w:val="00665D5A"/>
    <w:rsid w:val="00665E91"/>
    <w:rsid w:val="00666791"/>
    <w:rsid w:val="00666A40"/>
    <w:rsid w:val="00666D3D"/>
    <w:rsid w:val="00666D88"/>
    <w:rsid w:val="00666FDC"/>
    <w:rsid w:val="00667056"/>
    <w:rsid w:val="00667315"/>
    <w:rsid w:val="0067041E"/>
    <w:rsid w:val="00670446"/>
    <w:rsid w:val="00670D26"/>
    <w:rsid w:val="00670EA5"/>
    <w:rsid w:val="00670EF0"/>
    <w:rsid w:val="0067114E"/>
    <w:rsid w:val="00671848"/>
    <w:rsid w:val="0067188E"/>
    <w:rsid w:val="006718D6"/>
    <w:rsid w:val="00672950"/>
    <w:rsid w:val="00672980"/>
    <w:rsid w:val="00672C8D"/>
    <w:rsid w:val="00672FE1"/>
    <w:rsid w:val="00673582"/>
    <w:rsid w:val="006747A1"/>
    <w:rsid w:val="006749FF"/>
    <w:rsid w:val="00675819"/>
    <w:rsid w:val="00675A82"/>
    <w:rsid w:val="00675B2E"/>
    <w:rsid w:val="00675C89"/>
    <w:rsid w:val="0067671B"/>
    <w:rsid w:val="00676C0C"/>
    <w:rsid w:val="00676C13"/>
    <w:rsid w:val="0067766F"/>
    <w:rsid w:val="0068007C"/>
    <w:rsid w:val="00680224"/>
    <w:rsid w:val="006802FE"/>
    <w:rsid w:val="00680985"/>
    <w:rsid w:val="00680C31"/>
    <w:rsid w:val="006810D6"/>
    <w:rsid w:val="006810D9"/>
    <w:rsid w:val="00681167"/>
    <w:rsid w:val="0068133B"/>
    <w:rsid w:val="006820D3"/>
    <w:rsid w:val="00683125"/>
    <w:rsid w:val="0068348E"/>
    <w:rsid w:val="006836B5"/>
    <w:rsid w:val="00683E93"/>
    <w:rsid w:val="0068415F"/>
    <w:rsid w:val="006841B7"/>
    <w:rsid w:val="006848D4"/>
    <w:rsid w:val="00684A01"/>
    <w:rsid w:val="006853DA"/>
    <w:rsid w:val="00685C22"/>
    <w:rsid w:val="00685E09"/>
    <w:rsid w:val="006861EF"/>
    <w:rsid w:val="00686340"/>
    <w:rsid w:val="00686FA2"/>
    <w:rsid w:val="00687561"/>
    <w:rsid w:val="006875CF"/>
    <w:rsid w:val="00687686"/>
    <w:rsid w:val="0068770F"/>
    <w:rsid w:val="00687A0A"/>
    <w:rsid w:val="00687AD6"/>
    <w:rsid w:val="00687B41"/>
    <w:rsid w:val="00687BB2"/>
    <w:rsid w:val="00690172"/>
    <w:rsid w:val="0069052E"/>
    <w:rsid w:val="00690AB5"/>
    <w:rsid w:val="00690B43"/>
    <w:rsid w:val="00690B5B"/>
    <w:rsid w:val="00691078"/>
    <w:rsid w:val="00691921"/>
    <w:rsid w:val="00691D6B"/>
    <w:rsid w:val="00693180"/>
    <w:rsid w:val="0069346D"/>
    <w:rsid w:val="006935A1"/>
    <w:rsid w:val="00693D31"/>
    <w:rsid w:val="00693FA2"/>
    <w:rsid w:val="00694D76"/>
    <w:rsid w:val="00694D7F"/>
    <w:rsid w:val="00694E65"/>
    <w:rsid w:val="00695182"/>
    <w:rsid w:val="00695518"/>
    <w:rsid w:val="006958D8"/>
    <w:rsid w:val="00695AA4"/>
    <w:rsid w:val="00695D88"/>
    <w:rsid w:val="006963D8"/>
    <w:rsid w:val="0069678C"/>
    <w:rsid w:val="006A01BE"/>
    <w:rsid w:val="006A0741"/>
    <w:rsid w:val="006A0A21"/>
    <w:rsid w:val="006A0A7F"/>
    <w:rsid w:val="006A116C"/>
    <w:rsid w:val="006A1782"/>
    <w:rsid w:val="006A1B93"/>
    <w:rsid w:val="006A1E2B"/>
    <w:rsid w:val="006A2016"/>
    <w:rsid w:val="006A2113"/>
    <w:rsid w:val="006A27CF"/>
    <w:rsid w:val="006A2939"/>
    <w:rsid w:val="006A463F"/>
    <w:rsid w:val="006A47C1"/>
    <w:rsid w:val="006A4B2C"/>
    <w:rsid w:val="006A517B"/>
    <w:rsid w:val="006A5D19"/>
    <w:rsid w:val="006A5D2A"/>
    <w:rsid w:val="006A69E9"/>
    <w:rsid w:val="006A6ABC"/>
    <w:rsid w:val="006A6E50"/>
    <w:rsid w:val="006A6E85"/>
    <w:rsid w:val="006A6EFA"/>
    <w:rsid w:val="006A7278"/>
    <w:rsid w:val="006A73C2"/>
    <w:rsid w:val="006A7887"/>
    <w:rsid w:val="006A7B93"/>
    <w:rsid w:val="006A7F88"/>
    <w:rsid w:val="006B05C8"/>
    <w:rsid w:val="006B0745"/>
    <w:rsid w:val="006B0E85"/>
    <w:rsid w:val="006B1150"/>
    <w:rsid w:val="006B16EE"/>
    <w:rsid w:val="006B1A9C"/>
    <w:rsid w:val="006B1CF6"/>
    <w:rsid w:val="006B200C"/>
    <w:rsid w:val="006B2134"/>
    <w:rsid w:val="006B2624"/>
    <w:rsid w:val="006B267C"/>
    <w:rsid w:val="006B272C"/>
    <w:rsid w:val="006B2E22"/>
    <w:rsid w:val="006B2F77"/>
    <w:rsid w:val="006B330B"/>
    <w:rsid w:val="006B3A1F"/>
    <w:rsid w:val="006B40AB"/>
    <w:rsid w:val="006B424F"/>
    <w:rsid w:val="006B449F"/>
    <w:rsid w:val="006B46D0"/>
    <w:rsid w:val="006B4DCC"/>
    <w:rsid w:val="006B5289"/>
    <w:rsid w:val="006B52EA"/>
    <w:rsid w:val="006B540D"/>
    <w:rsid w:val="006B5D5A"/>
    <w:rsid w:val="006B6529"/>
    <w:rsid w:val="006B6679"/>
    <w:rsid w:val="006B66BA"/>
    <w:rsid w:val="006B6CA4"/>
    <w:rsid w:val="006B6DBD"/>
    <w:rsid w:val="006B7839"/>
    <w:rsid w:val="006B7D2C"/>
    <w:rsid w:val="006B7D45"/>
    <w:rsid w:val="006C111D"/>
    <w:rsid w:val="006C1594"/>
    <w:rsid w:val="006C18A1"/>
    <w:rsid w:val="006C1AF7"/>
    <w:rsid w:val="006C1D53"/>
    <w:rsid w:val="006C1F7A"/>
    <w:rsid w:val="006C2CB5"/>
    <w:rsid w:val="006C31AF"/>
    <w:rsid w:val="006C4990"/>
    <w:rsid w:val="006C5298"/>
    <w:rsid w:val="006C5DF5"/>
    <w:rsid w:val="006C7B44"/>
    <w:rsid w:val="006C7FA9"/>
    <w:rsid w:val="006D0333"/>
    <w:rsid w:val="006D0ADA"/>
    <w:rsid w:val="006D0F43"/>
    <w:rsid w:val="006D11A2"/>
    <w:rsid w:val="006D1527"/>
    <w:rsid w:val="006D16E4"/>
    <w:rsid w:val="006D1CEF"/>
    <w:rsid w:val="006D26DF"/>
    <w:rsid w:val="006D34AA"/>
    <w:rsid w:val="006D3B34"/>
    <w:rsid w:val="006D422C"/>
    <w:rsid w:val="006D45C0"/>
    <w:rsid w:val="006D47FA"/>
    <w:rsid w:val="006D542E"/>
    <w:rsid w:val="006D5C4C"/>
    <w:rsid w:val="006D5DDF"/>
    <w:rsid w:val="006D6AFB"/>
    <w:rsid w:val="006D7108"/>
    <w:rsid w:val="006D719F"/>
    <w:rsid w:val="006D7246"/>
    <w:rsid w:val="006D75A5"/>
    <w:rsid w:val="006D75AD"/>
    <w:rsid w:val="006D763D"/>
    <w:rsid w:val="006E046A"/>
    <w:rsid w:val="006E04C2"/>
    <w:rsid w:val="006E1012"/>
    <w:rsid w:val="006E17A1"/>
    <w:rsid w:val="006E18B1"/>
    <w:rsid w:val="006E1D25"/>
    <w:rsid w:val="006E2237"/>
    <w:rsid w:val="006E2265"/>
    <w:rsid w:val="006E2374"/>
    <w:rsid w:val="006E2FB8"/>
    <w:rsid w:val="006E32E9"/>
    <w:rsid w:val="006E35FD"/>
    <w:rsid w:val="006E3704"/>
    <w:rsid w:val="006E51BE"/>
    <w:rsid w:val="006E59B2"/>
    <w:rsid w:val="006E5B6F"/>
    <w:rsid w:val="006E60DF"/>
    <w:rsid w:val="006E63D2"/>
    <w:rsid w:val="006E6B0D"/>
    <w:rsid w:val="006E7030"/>
    <w:rsid w:val="006E74F1"/>
    <w:rsid w:val="006E7A18"/>
    <w:rsid w:val="006E7CBB"/>
    <w:rsid w:val="006F04C3"/>
    <w:rsid w:val="006F10CA"/>
    <w:rsid w:val="006F131E"/>
    <w:rsid w:val="006F1343"/>
    <w:rsid w:val="006F1678"/>
    <w:rsid w:val="006F172D"/>
    <w:rsid w:val="006F1A90"/>
    <w:rsid w:val="006F2463"/>
    <w:rsid w:val="006F2812"/>
    <w:rsid w:val="006F2949"/>
    <w:rsid w:val="006F2AD9"/>
    <w:rsid w:val="006F2D2B"/>
    <w:rsid w:val="006F2D7F"/>
    <w:rsid w:val="006F2DCE"/>
    <w:rsid w:val="006F321B"/>
    <w:rsid w:val="006F34A7"/>
    <w:rsid w:val="006F378A"/>
    <w:rsid w:val="006F3C86"/>
    <w:rsid w:val="006F4372"/>
    <w:rsid w:val="006F507E"/>
    <w:rsid w:val="006F5143"/>
    <w:rsid w:val="006F51A6"/>
    <w:rsid w:val="006F52DF"/>
    <w:rsid w:val="006F5851"/>
    <w:rsid w:val="006F606C"/>
    <w:rsid w:val="006F6693"/>
    <w:rsid w:val="006F68C5"/>
    <w:rsid w:val="006F6AEF"/>
    <w:rsid w:val="006F7065"/>
    <w:rsid w:val="006F76BA"/>
    <w:rsid w:val="006F7F64"/>
    <w:rsid w:val="00700549"/>
    <w:rsid w:val="00700DB0"/>
    <w:rsid w:val="00700E42"/>
    <w:rsid w:val="0070127D"/>
    <w:rsid w:val="00701AF3"/>
    <w:rsid w:val="00701D14"/>
    <w:rsid w:val="00702621"/>
    <w:rsid w:val="00703075"/>
    <w:rsid w:val="00703734"/>
    <w:rsid w:val="007038E3"/>
    <w:rsid w:val="00703A9D"/>
    <w:rsid w:val="00703BC0"/>
    <w:rsid w:val="0070482A"/>
    <w:rsid w:val="00704FB8"/>
    <w:rsid w:val="00705351"/>
    <w:rsid w:val="00705E6F"/>
    <w:rsid w:val="00706326"/>
    <w:rsid w:val="007065CC"/>
    <w:rsid w:val="00706748"/>
    <w:rsid w:val="00706DE1"/>
    <w:rsid w:val="00707009"/>
    <w:rsid w:val="007077AC"/>
    <w:rsid w:val="007077F8"/>
    <w:rsid w:val="0070794A"/>
    <w:rsid w:val="00707AEF"/>
    <w:rsid w:val="007106AB"/>
    <w:rsid w:val="00710AAA"/>
    <w:rsid w:val="007111D2"/>
    <w:rsid w:val="007115D3"/>
    <w:rsid w:val="00711732"/>
    <w:rsid w:val="00712041"/>
    <w:rsid w:val="0071216F"/>
    <w:rsid w:val="007123B0"/>
    <w:rsid w:val="00712DE5"/>
    <w:rsid w:val="00712FBE"/>
    <w:rsid w:val="00713413"/>
    <w:rsid w:val="00713C96"/>
    <w:rsid w:val="00713EAD"/>
    <w:rsid w:val="00714722"/>
    <w:rsid w:val="0071510F"/>
    <w:rsid w:val="00715634"/>
    <w:rsid w:val="00715A93"/>
    <w:rsid w:val="00715B58"/>
    <w:rsid w:val="00715CB3"/>
    <w:rsid w:val="00715DC1"/>
    <w:rsid w:val="007161C8"/>
    <w:rsid w:val="00716362"/>
    <w:rsid w:val="0071721D"/>
    <w:rsid w:val="00720096"/>
    <w:rsid w:val="0072033B"/>
    <w:rsid w:val="0072041F"/>
    <w:rsid w:val="00720A6B"/>
    <w:rsid w:val="007213A8"/>
    <w:rsid w:val="00721F3B"/>
    <w:rsid w:val="007220CD"/>
    <w:rsid w:val="00722169"/>
    <w:rsid w:val="00722C93"/>
    <w:rsid w:val="00723017"/>
    <w:rsid w:val="0072358D"/>
    <w:rsid w:val="007236A8"/>
    <w:rsid w:val="00723740"/>
    <w:rsid w:val="00724209"/>
    <w:rsid w:val="0072442F"/>
    <w:rsid w:val="00724CCD"/>
    <w:rsid w:val="00724F0D"/>
    <w:rsid w:val="00725009"/>
    <w:rsid w:val="0072509F"/>
    <w:rsid w:val="007257B5"/>
    <w:rsid w:val="00725B64"/>
    <w:rsid w:val="00726DC2"/>
    <w:rsid w:val="00727744"/>
    <w:rsid w:val="00730DAA"/>
    <w:rsid w:val="00730F36"/>
    <w:rsid w:val="007315B7"/>
    <w:rsid w:val="00731C0C"/>
    <w:rsid w:val="00731CAE"/>
    <w:rsid w:val="00732214"/>
    <w:rsid w:val="00732321"/>
    <w:rsid w:val="00732E09"/>
    <w:rsid w:val="0073403B"/>
    <w:rsid w:val="007359BA"/>
    <w:rsid w:val="00736409"/>
    <w:rsid w:val="007365D1"/>
    <w:rsid w:val="007370F6"/>
    <w:rsid w:val="00737B5E"/>
    <w:rsid w:val="00737D03"/>
    <w:rsid w:val="0074086A"/>
    <w:rsid w:val="00740AE9"/>
    <w:rsid w:val="00740BFE"/>
    <w:rsid w:val="007411E0"/>
    <w:rsid w:val="0074197C"/>
    <w:rsid w:val="00741BF2"/>
    <w:rsid w:val="00741C85"/>
    <w:rsid w:val="00741F5F"/>
    <w:rsid w:val="00742415"/>
    <w:rsid w:val="007431D0"/>
    <w:rsid w:val="007437AC"/>
    <w:rsid w:val="00743882"/>
    <w:rsid w:val="00743942"/>
    <w:rsid w:val="0074397B"/>
    <w:rsid w:val="00743A64"/>
    <w:rsid w:val="0074412A"/>
    <w:rsid w:val="00744F9E"/>
    <w:rsid w:val="007450BD"/>
    <w:rsid w:val="007456A5"/>
    <w:rsid w:val="00745735"/>
    <w:rsid w:val="007465E9"/>
    <w:rsid w:val="007469BD"/>
    <w:rsid w:val="00746A09"/>
    <w:rsid w:val="00746B79"/>
    <w:rsid w:val="0074750D"/>
    <w:rsid w:val="00747B93"/>
    <w:rsid w:val="00747EDC"/>
    <w:rsid w:val="0075053D"/>
    <w:rsid w:val="007508BA"/>
    <w:rsid w:val="00750FA7"/>
    <w:rsid w:val="00750FE6"/>
    <w:rsid w:val="0075152F"/>
    <w:rsid w:val="007519EC"/>
    <w:rsid w:val="00751A77"/>
    <w:rsid w:val="0075225E"/>
    <w:rsid w:val="0075248C"/>
    <w:rsid w:val="00752615"/>
    <w:rsid w:val="00752695"/>
    <w:rsid w:val="0075292A"/>
    <w:rsid w:val="00752D64"/>
    <w:rsid w:val="00753AFE"/>
    <w:rsid w:val="00753BA1"/>
    <w:rsid w:val="00753F65"/>
    <w:rsid w:val="00754BD8"/>
    <w:rsid w:val="00755A50"/>
    <w:rsid w:val="00755B89"/>
    <w:rsid w:val="00755F96"/>
    <w:rsid w:val="0075653A"/>
    <w:rsid w:val="00756B01"/>
    <w:rsid w:val="00760598"/>
    <w:rsid w:val="007605AB"/>
    <w:rsid w:val="00760800"/>
    <w:rsid w:val="00761200"/>
    <w:rsid w:val="007612BF"/>
    <w:rsid w:val="00761487"/>
    <w:rsid w:val="00761844"/>
    <w:rsid w:val="0076241D"/>
    <w:rsid w:val="00762974"/>
    <w:rsid w:val="00762DD8"/>
    <w:rsid w:val="00763643"/>
    <w:rsid w:val="007637C3"/>
    <w:rsid w:val="00763836"/>
    <w:rsid w:val="007647E7"/>
    <w:rsid w:val="00764A94"/>
    <w:rsid w:val="007657A1"/>
    <w:rsid w:val="00765D6B"/>
    <w:rsid w:val="00765D7C"/>
    <w:rsid w:val="00767040"/>
    <w:rsid w:val="007672D9"/>
    <w:rsid w:val="00767531"/>
    <w:rsid w:val="00767587"/>
    <w:rsid w:val="00767627"/>
    <w:rsid w:val="007678E9"/>
    <w:rsid w:val="0076794F"/>
    <w:rsid w:val="00767A2D"/>
    <w:rsid w:val="00770140"/>
    <w:rsid w:val="007703E9"/>
    <w:rsid w:val="00770F73"/>
    <w:rsid w:val="0077132B"/>
    <w:rsid w:val="0077140E"/>
    <w:rsid w:val="00771EB4"/>
    <w:rsid w:val="00771EFE"/>
    <w:rsid w:val="00772252"/>
    <w:rsid w:val="00772607"/>
    <w:rsid w:val="00772F42"/>
    <w:rsid w:val="00773B06"/>
    <w:rsid w:val="00773FFE"/>
    <w:rsid w:val="007743C8"/>
    <w:rsid w:val="0077488A"/>
    <w:rsid w:val="00774B73"/>
    <w:rsid w:val="00774E5B"/>
    <w:rsid w:val="00774E5F"/>
    <w:rsid w:val="00775053"/>
    <w:rsid w:val="00775611"/>
    <w:rsid w:val="00775D99"/>
    <w:rsid w:val="00777762"/>
    <w:rsid w:val="00777DE7"/>
    <w:rsid w:val="00780282"/>
    <w:rsid w:val="007813D6"/>
    <w:rsid w:val="00781C19"/>
    <w:rsid w:val="00781ED0"/>
    <w:rsid w:val="00782195"/>
    <w:rsid w:val="00782720"/>
    <w:rsid w:val="00782F0D"/>
    <w:rsid w:val="00783816"/>
    <w:rsid w:val="00783CEB"/>
    <w:rsid w:val="00783FE3"/>
    <w:rsid w:val="00784381"/>
    <w:rsid w:val="00784C7E"/>
    <w:rsid w:val="007851D1"/>
    <w:rsid w:val="00785282"/>
    <w:rsid w:val="00785618"/>
    <w:rsid w:val="00785FDF"/>
    <w:rsid w:val="0078660E"/>
    <w:rsid w:val="007869A4"/>
    <w:rsid w:val="00787421"/>
    <w:rsid w:val="00787B5B"/>
    <w:rsid w:val="00787D85"/>
    <w:rsid w:val="00787F10"/>
    <w:rsid w:val="0079028D"/>
    <w:rsid w:val="00790385"/>
    <w:rsid w:val="00790551"/>
    <w:rsid w:val="007905DA"/>
    <w:rsid w:val="007915E6"/>
    <w:rsid w:val="00791C4A"/>
    <w:rsid w:val="00791DED"/>
    <w:rsid w:val="00792458"/>
    <w:rsid w:val="00793673"/>
    <w:rsid w:val="00794187"/>
    <w:rsid w:val="0079437F"/>
    <w:rsid w:val="007943AC"/>
    <w:rsid w:val="00794782"/>
    <w:rsid w:val="00795A43"/>
    <w:rsid w:val="00795B6E"/>
    <w:rsid w:val="00795BC0"/>
    <w:rsid w:val="00795DFE"/>
    <w:rsid w:val="00796830"/>
    <w:rsid w:val="00796B40"/>
    <w:rsid w:val="00796E6A"/>
    <w:rsid w:val="007972DD"/>
    <w:rsid w:val="00797786"/>
    <w:rsid w:val="00797898"/>
    <w:rsid w:val="00797A10"/>
    <w:rsid w:val="00797A43"/>
    <w:rsid w:val="00797AEE"/>
    <w:rsid w:val="00797E2F"/>
    <w:rsid w:val="00797EF3"/>
    <w:rsid w:val="00797F5D"/>
    <w:rsid w:val="00797FB6"/>
    <w:rsid w:val="007A008D"/>
    <w:rsid w:val="007A033F"/>
    <w:rsid w:val="007A0CB8"/>
    <w:rsid w:val="007A0F06"/>
    <w:rsid w:val="007A0FF4"/>
    <w:rsid w:val="007A1656"/>
    <w:rsid w:val="007A19FB"/>
    <w:rsid w:val="007A1C31"/>
    <w:rsid w:val="007A1D4D"/>
    <w:rsid w:val="007A2680"/>
    <w:rsid w:val="007A3185"/>
    <w:rsid w:val="007A399E"/>
    <w:rsid w:val="007A55CA"/>
    <w:rsid w:val="007A5932"/>
    <w:rsid w:val="007A59D3"/>
    <w:rsid w:val="007A681B"/>
    <w:rsid w:val="007A7B3C"/>
    <w:rsid w:val="007B041C"/>
    <w:rsid w:val="007B07E5"/>
    <w:rsid w:val="007B0AF7"/>
    <w:rsid w:val="007B0B9B"/>
    <w:rsid w:val="007B0BFD"/>
    <w:rsid w:val="007B117C"/>
    <w:rsid w:val="007B182C"/>
    <w:rsid w:val="007B1B41"/>
    <w:rsid w:val="007B23A4"/>
    <w:rsid w:val="007B23F4"/>
    <w:rsid w:val="007B2B75"/>
    <w:rsid w:val="007B3457"/>
    <w:rsid w:val="007B34D7"/>
    <w:rsid w:val="007B36BE"/>
    <w:rsid w:val="007B486D"/>
    <w:rsid w:val="007B4A15"/>
    <w:rsid w:val="007B4EDA"/>
    <w:rsid w:val="007B4F31"/>
    <w:rsid w:val="007B5093"/>
    <w:rsid w:val="007B5518"/>
    <w:rsid w:val="007B5AA1"/>
    <w:rsid w:val="007B6992"/>
    <w:rsid w:val="007B6B3F"/>
    <w:rsid w:val="007B7944"/>
    <w:rsid w:val="007B7C19"/>
    <w:rsid w:val="007C018B"/>
    <w:rsid w:val="007C0310"/>
    <w:rsid w:val="007C0583"/>
    <w:rsid w:val="007C0DC2"/>
    <w:rsid w:val="007C0FC6"/>
    <w:rsid w:val="007C1042"/>
    <w:rsid w:val="007C14E6"/>
    <w:rsid w:val="007C156A"/>
    <w:rsid w:val="007C15D9"/>
    <w:rsid w:val="007C1B3E"/>
    <w:rsid w:val="007C2EE3"/>
    <w:rsid w:val="007C2FE4"/>
    <w:rsid w:val="007C3083"/>
    <w:rsid w:val="007C3D39"/>
    <w:rsid w:val="007C4147"/>
    <w:rsid w:val="007C495E"/>
    <w:rsid w:val="007C4FAB"/>
    <w:rsid w:val="007C567D"/>
    <w:rsid w:val="007C61D0"/>
    <w:rsid w:val="007C76F7"/>
    <w:rsid w:val="007D0206"/>
    <w:rsid w:val="007D02ED"/>
    <w:rsid w:val="007D0394"/>
    <w:rsid w:val="007D054E"/>
    <w:rsid w:val="007D08E7"/>
    <w:rsid w:val="007D0E07"/>
    <w:rsid w:val="007D106A"/>
    <w:rsid w:val="007D113E"/>
    <w:rsid w:val="007D1380"/>
    <w:rsid w:val="007D27EE"/>
    <w:rsid w:val="007D29DE"/>
    <w:rsid w:val="007D2A21"/>
    <w:rsid w:val="007D2BA6"/>
    <w:rsid w:val="007D427B"/>
    <w:rsid w:val="007D4891"/>
    <w:rsid w:val="007D4C02"/>
    <w:rsid w:val="007D4D1E"/>
    <w:rsid w:val="007D5102"/>
    <w:rsid w:val="007D555A"/>
    <w:rsid w:val="007D57E9"/>
    <w:rsid w:val="007D596D"/>
    <w:rsid w:val="007D59C2"/>
    <w:rsid w:val="007D5AFE"/>
    <w:rsid w:val="007D611C"/>
    <w:rsid w:val="007D62C9"/>
    <w:rsid w:val="007D6506"/>
    <w:rsid w:val="007D69FF"/>
    <w:rsid w:val="007D71B1"/>
    <w:rsid w:val="007D729D"/>
    <w:rsid w:val="007D786F"/>
    <w:rsid w:val="007D7AFA"/>
    <w:rsid w:val="007D7F50"/>
    <w:rsid w:val="007E05FD"/>
    <w:rsid w:val="007E1458"/>
    <w:rsid w:val="007E16A8"/>
    <w:rsid w:val="007E18C0"/>
    <w:rsid w:val="007E23E9"/>
    <w:rsid w:val="007E250B"/>
    <w:rsid w:val="007E2709"/>
    <w:rsid w:val="007E2C25"/>
    <w:rsid w:val="007E2CA5"/>
    <w:rsid w:val="007E2FC1"/>
    <w:rsid w:val="007E3BF7"/>
    <w:rsid w:val="007E3C09"/>
    <w:rsid w:val="007E3D4A"/>
    <w:rsid w:val="007E3EAD"/>
    <w:rsid w:val="007E47FE"/>
    <w:rsid w:val="007E52D6"/>
    <w:rsid w:val="007E55B1"/>
    <w:rsid w:val="007E5655"/>
    <w:rsid w:val="007E592F"/>
    <w:rsid w:val="007E6289"/>
    <w:rsid w:val="007E767E"/>
    <w:rsid w:val="007E78B5"/>
    <w:rsid w:val="007F00AD"/>
    <w:rsid w:val="007F01F3"/>
    <w:rsid w:val="007F0380"/>
    <w:rsid w:val="007F0468"/>
    <w:rsid w:val="007F053E"/>
    <w:rsid w:val="007F07BB"/>
    <w:rsid w:val="007F1950"/>
    <w:rsid w:val="007F219D"/>
    <w:rsid w:val="007F2CD6"/>
    <w:rsid w:val="007F2DB8"/>
    <w:rsid w:val="007F2DFD"/>
    <w:rsid w:val="007F32A9"/>
    <w:rsid w:val="007F32B9"/>
    <w:rsid w:val="007F3861"/>
    <w:rsid w:val="007F3D08"/>
    <w:rsid w:val="007F3DA3"/>
    <w:rsid w:val="007F3F06"/>
    <w:rsid w:val="007F4549"/>
    <w:rsid w:val="007F5262"/>
    <w:rsid w:val="007F5407"/>
    <w:rsid w:val="007F6028"/>
    <w:rsid w:val="007F630F"/>
    <w:rsid w:val="007F66B9"/>
    <w:rsid w:val="007F6958"/>
    <w:rsid w:val="007F6CD5"/>
    <w:rsid w:val="007F6FCC"/>
    <w:rsid w:val="007F741E"/>
    <w:rsid w:val="007F7612"/>
    <w:rsid w:val="007F7FB6"/>
    <w:rsid w:val="00801243"/>
    <w:rsid w:val="008012F5"/>
    <w:rsid w:val="008017B5"/>
    <w:rsid w:val="0080181E"/>
    <w:rsid w:val="00801AAC"/>
    <w:rsid w:val="00802258"/>
    <w:rsid w:val="0080258E"/>
    <w:rsid w:val="00802900"/>
    <w:rsid w:val="00802998"/>
    <w:rsid w:val="008033E3"/>
    <w:rsid w:val="008036D6"/>
    <w:rsid w:val="00803729"/>
    <w:rsid w:val="00803C4D"/>
    <w:rsid w:val="00803E30"/>
    <w:rsid w:val="0080414C"/>
    <w:rsid w:val="00804253"/>
    <w:rsid w:val="008049F1"/>
    <w:rsid w:val="00804BD0"/>
    <w:rsid w:val="00804CB7"/>
    <w:rsid w:val="00804F5B"/>
    <w:rsid w:val="00805048"/>
    <w:rsid w:val="00805A7F"/>
    <w:rsid w:val="00805FBE"/>
    <w:rsid w:val="00806520"/>
    <w:rsid w:val="00806612"/>
    <w:rsid w:val="00806B05"/>
    <w:rsid w:val="00806FD7"/>
    <w:rsid w:val="00807311"/>
    <w:rsid w:val="008075FA"/>
    <w:rsid w:val="00807D4E"/>
    <w:rsid w:val="00807D96"/>
    <w:rsid w:val="00810490"/>
    <w:rsid w:val="008105D9"/>
    <w:rsid w:val="008107A5"/>
    <w:rsid w:val="00810BEB"/>
    <w:rsid w:val="00811802"/>
    <w:rsid w:val="00811805"/>
    <w:rsid w:val="00811BCC"/>
    <w:rsid w:val="008121E4"/>
    <w:rsid w:val="00812250"/>
    <w:rsid w:val="00812514"/>
    <w:rsid w:val="00812BB6"/>
    <w:rsid w:val="00812D14"/>
    <w:rsid w:val="0081347A"/>
    <w:rsid w:val="00813BEF"/>
    <w:rsid w:val="00813EDC"/>
    <w:rsid w:val="00814897"/>
    <w:rsid w:val="00814909"/>
    <w:rsid w:val="00814E4B"/>
    <w:rsid w:val="00815104"/>
    <w:rsid w:val="0081532E"/>
    <w:rsid w:val="00815E8D"/>
    <w:rsid w:val="00815F53"/>
    <w:rsid w:val="008166BD"/>
    <w:rsid w:val="0081671E"/>
    <w:rsid w:val="008169C8"/>
    <w:rsid w:val="00816C0B"/>
    <w:rsid w:val="00816E51"/>
    <w:rsid w:val="00817477"/>
    <w:rsid w:val="00817B11"/>
    <w:rsid w:val="00817BED"/>
    <w:rsid w:val="00820898"/>
    <w:rsid w:val="00820A5E"/>
    <w:rsid w:val="00820B43"/>
    <w:rsid w:val="00820C12"/>
    <w:rsid w:val="00821186"/>
    <w:rsid w:val="00821FF9"/>
    <w:rsid w:val="008220CA"/>
    <w:rsid w:val="00822285"/>
    <w:rsid w:val="00822634"/>
    <w:rsid w:val="00822665"/>
    <w:rsid w:val="00822816"/>
    <w:rsid w:val="00823523"/>
    <w:rsid w:val="00823FE9"/>
    <w:rsid w:val="00824121"/>
    <w:rsid w:val="0082427A"/>
    <w:rsid w:val="00824E7D"/>
    <w:rsid w:val="00824F7B"/>
    <w:rsid w:val="008251C8"/>
    <w:rsid w:val="008254F5"/>
    <w:rsid w:val="008254F6"/>
    <w:rsid w:val="00826017"/>
    <w:rsid w:val="0082606E"/>
    <w:rsid w:val="0082659F"/>
    <w:rsid w:val="00826780"/>
    <w:rsid w:val="00826A37"/>
    <w:rsid w:val="00826A54"/>
    <w:rsid w:val="008270B8"/>
    <w:rsid w:val="00827229"/>
    <w:rsid w:val="00827582"/>
    <w:rsid w:val="00827593"/>
    <w:rsid w:val="0082780B"/>
    <w:rsid w:val="00827A1C"/>
    <w:rsid w:val="00830F53"/>
    <w:rsid w:val="0083185A"/>
    <w:rsid w:val="00831926"/>
    <w:rsid w:val="00831F2A"/>
    <w:rsid w:val="00832040"/>
    <w:rsid w:val="008323CA"/>
    <w:rsid w:val="008324B4"/>
    <w:rsid w:val="008326CB"/>
    <w:rsid w:val="00832789"/>
    <w:rsid w:val="00832A15"/>
    <w:rsid w:val="00832D12"/>
    <w:rsid w:val="00832D37"/>
    <w:rsid w:val="00832DE5"/>
    <w:rsid w:val="00832FA5"/>
    <w:rsid w:val="00832FC7"/>
    <w:rsid w:val="008330FB"/>
    <w:rsid w:val="0083311B"/>
    <w:rsid w:val="008332BA"/>
    <w:rsid w:val="00833C7C"/>
    <w:rsid w:val="00835486"/>
    <w:rsid w:val="00835B91"/>
    <w:rsid w:val="00835DDC"/>
    <w:rsid w:val="00835F13"/>
    <w:rsid w:val="00836436"/>
    <w:rsid w:val="00836A95"/>
    <w:rsid w:val="00836B54"/>
    <w:rsid w:val="008370EB"/>
    <w:rsid w:val="00837263"/>
    <w:rsid w:val="00837957"/>
    <w:rsid w:val="00837B30"/>
    <w:rsid w:val="00837C42"/>
    <w:rsid w:val="00840600"/>
    <w:rsid w:val="00840AD0"/>
    <w:rsid w:val="00840CFB"/>
    <w:rsid w:val="00840DAC"/>
    <w:rsid w:val="0084103E"/>
    <w:rsid w:val="0084118A"/>
    <w:rsid w:val="0084140F"/>
    <w:rsid w:val="008414B9"/>
    <w:rsid w:val="00841B5D"/>
    <w:rsid w:val="008420E4"/>
    <w:rsid w:val="0084210E"/>
    <w:rsid w:val="00842305"/>
    <w:rsid w:val="008425E5"/>
    <w:rsid w:val="0084267D"/>
    <w:rsid w:val="008429DC"/>
    <w:rsid w:val="00842F50"/>
    <w:rsid w:val="0084309A"/>
    <w:rsid w:val="00843A43"/>
    <w:rsid w:val="00843E5A"/>
    <w:rsid w:val="00844316"/>
    <w:rsid w:val="00844E51"/>
    <w:rsid w:val="00845269"/>
    <w:rsid w:val="00845B2D"/>
    <w:rsid w:val="00845C6D"/>
    <w:rsid w:val="00845C74"/>
    <w:rsid w:val="008469E2"/>
    <w:rsid w:val="00846A8E"/>
    <w:rsid w:val="00846EC8"/>
    <w:rsid w:val="008476BB"/>
    <w:rsid w:val="00847B6C"/>
    <w:rsid w:val="00850516"/>
    <w:rsid w:val="008505DB"/>
    <w:rsid w:val="0085083B"/>
    <w:rsid w:val="00851D2A"/>
    <w:rsid w:val="008522D2"/>
    <w:rsid w:val="00852531"/>
    <w:rsid w:val="00852B7E"/>
    <w:rsid w:val="00852E40"/>
    <w:rsid w:val="00853956"/>
    <w:rsid w:val="00853EC9"/>
    <w:rsid w:val="008549CF"/>
    <w:rsid w:val="00854C4E"/>
    <w:rsid w:val="00855226"/>
    <w:rsid w:val="00855E9B"/>
    <w:rsid w:val="00855F8D"/>
    <w:rsid w:val="008562D9"/>
    <w:rsid w:val="00856A5B"/>
    <w:rsid w:val="00856DB2"/>
    <w:rsid w:val="008575B0"/>
    <w:rsid w:val="00857CE5"/>
    <w:rsid w:val="00857D75"/>
    <w:rsid w:val="00860515"/>
    <w:rsid w:val="008609F0"/>
    <w:rsid w:val="00860B51"/>
    <w:rsid w:val="00860E54"/>
    <w:rsid w:val="00860F74"/>
    <w:rsid w:val="0086170E"/>
    <w:rsid w:val="008617B5"/>
    <w:rsid w:val="00861CC6"/>
    <w:rsid w:val="00861DB3"/>
    <w:rsid w:val="00862056"/>
    <w:rsid w:val="008624B0"/>
    <w:rsid w:val="008625BD"/>
    <w:rsid w:val="00862691"/>
    <w:rsid w:val="00862DC8"/>
    <w:rsid w:val="00862E15"/>
    <w:rsid w:val="00863058"/>
    <w:rsid w:val="008630FB"/>
    <w:rsid w:val="008634C9"/>
    <w:rsid w:val="0086350E"/>
    <w:rsid w:val="0086380B"/>
    <w:rsid w:val="00863BDB"/>
    <w:rsid w:val="00863DEC"/>
    <w:rsid w:val="00864039"/>
    <w:rsid w:val="008642DA"/>
    <w:rsid w:val="0086432D"/>
    <w:rsid w:val="0086518C"/>
    <w:rsid w:val="0086619D"/>
    <w:rsid w:val="00866684"/>
    <w:rsid w:val="00867147"/>
    <w:rsid w:val="0086731F"/>
    <w:rsid w:val="0087018A"/>
    <w:rsid w:val="00870217"/>
    <w:rsid w:val="00870C4D"/>
    <w:rsid w:val="00870F67"/>
    <w:rsid w:val="008711C7"/>
    <w:rsid w:val="00871204"/>
    <w:rsid w:val="008716BD"/>
    <w:rsid w:val="00872696"/>
    <w:rsid w:val="00872A9F"/>
    <w:rsid w:val="00872B49"/>
    <w:rsid w:val="00872FC6"/>
    <w:rsid w:val="00873449"/>
    <w:rsid w:val="00873817"/>
    <w:rsid w:val="008746A2"/>
    <w:rsid w:val="008749FD"/>
    <w:rsid w:val="00874BE8"/>
    <w:rsid w:val="0087559B"/>
    <w:rsid w:val="008758E3"/>
    <w:rsid w:val="00876469"/>
    <w:rsid w:val="00876931"/>
    <w:rsid w:val="00876C0C"/>
    <w:rsid w:val="00877895"/>
    <w:rsid w:val="00880039"/>
    <w:rsid w:val="00880240"/>
    <w:rsid w:val="0088038D"/>
    <w:rsid w:val="008805E2"/>
    <w:rsid w:val="00880960"/>
    <w:rsid w:val="00880994"/>
    <w:rsid w:val="00880AD4"/>
    <w:rsid w:val="00881E79"/>
    <w:rsid w:val="00882A1D"/>
    <w:rsid w:val="00882B16"/>
    <w:rsid w:val="0088348C"/>
    <w:rsid w:val="00883B9F"/>
    <w:rsid w:val="0088405E"/>
    <w:rsid w:val="00884A8E"/>
    <w:rsid w:val="00884B9F"/>
    <w:rsid w:val="00885706"/>
    <w:rsid w:val="0088570C"/>
    <w:rsid w:val="00885757"/>
    <w:rsid w:val="00885C47"/>
    <w:rsid w:val="0088638F"/>
    <w:rsid w:val="00886761"/>
    <w:rsid w:val="008867BB"/>
    <w:rsid w:val="00886B5E"/>
    <w:rsid w:val="00886B81"/>
    <w:rsid w:val="00887584"/>
    <w:rsid w:val="008876F5"/>
    <w:rsid w:val="008879B2"/>
    <w:rsid w:val="008879EF"/>
    <w:rsid w:val="0089141E"/>
    <w:rsid w:val="008915B2"/>
    <w:rsid w:val="00891EB7"/>
    <w:rsid w:val="00891F89"/>
    <w:rsid w:val="0089220C"/>
    <w:rsid w:val="008927E0"/>
    <w:rsid w:val="008933D5"/>
    <w:rsid w:val="00893FA8"/>
    <w:rsid w:val="0089421B"/>
    <w:rsid w:val="00894245"/>
    <w:rsid w:val="00894330"/>
    <w:rsid w:val="0089459A"/>
    <w:rsid w:val="00894705"/>
    <w:rsid w:val="00894DF8"/>
    <w:rsid w:val="00895AFD"/>
    <w:rsid w:val="00895F3B"/>
    <w:rsid w:val="008963E4"/>
    <w:rsid w:val="0089690A"/>
    <w:rsid w:val="008969B4"/>
    <w:rsid w:val="00896A16"/>
    <w:rsid w:val="00897351"/>
    <w:rsid w:val="008A0DF2"/>
    <w:rsid w:val="008A1511"/>
    <w:rsid w:val="008A1537"/>
    <w:rsid w:val="008A15B2"/>
    <w:rsid w:val="008A1D41"/>
    <w:rsid w:val="008A1EB1"/>
    <w:rsid w:val="008A218E"/>
    <w:rsid w:val="008A2485"/>
    <w:rsid w:val="008A2F2B"/>
    <w:rsid w:val="008A35D8"/>
    <w:rsid w:val="008A35F1"/>
    <w:rsid w:val="008A395E"/>
    <w:rsid w:val="008A3B9D"/>
    <w:rsid w:val="008A40A7"/>
    <w:rsid w:val="008A4127"/>
    <w:rsid w:val="008A4397"/>
    <w:rsid w:val="008A5168"/>
    <w:rsid w:val="008A57B1"/>
    <w:rsid w:val="008A5C91"/>
    <w:rsid w:val="008A5D0E"/>
    <w:rsid w:val="008A62D7"/>
    <w:rsid w:val="008A6558"/>
    <w:rsid w:val="008A6972"/>
    <w:rsid w:val="008A7094"/>
    <w:rsid w:val="008A7197"/>
    <w:rsid w:val="008A7E60"/>
    <w:rsid w:val="008A7E7B"/>
    <w:rsid w:val="008A7F98"/>
    <w:rsid w:val="008B02A2"/>
    <w:rsid w:val="008B0431"/>
    <w:rsid w:val="008B0B15"/>
    <w:rsid w:val="008B0BEB"/>
    <w:rsid w:val="008B1254"/>
    <w:rsid w:val="008B139C"/>
    <w:rsid w:val="008B18F6"/>
    <w:rsid w:val="008B1FBC"/>
    <w:rsid w:val="008B20A0"/>
    <w:rsid w:val="008B21BF"/>
    <w:rsid w:val="008B24E5"/>
    <w:rsid w:val="008B2589"/>
    <w:rsid w:val="008B3777"/>
    <w:rsid w:val="008B3B5B"/>
    <w:rsid w:val="008B3D35"/>
    <w:rsid w:val="008B3DA0"/>
    <w:rsid w:val="008B42AF"/>
    <w:rsid w:val="008B4495"/>
    <w:rsid w:val="008B4E1F"/>
    <w:rsid w:val="008B4F46"/>
    <w:rsid w:val="008B526A"/>
    <w:rsid w:val="008B5702"/>
    <w:rsid w:val="008B5849"/>
    <w:rsid w:val="008B5AAD"/>
    <w:rsid w:val="008B5AC4"/>
    <w:rsid w:val="008B612B"/>
    <w:rsid w:val="008B63D4"/>
    <w:rsid w:val="008B63E3"/>
    <w:rsid w:val="008B662E"/>
    <w:rsid w:val="008B687D"/>
    <w:rsid w:val="008B6C5F"/>
    <w:rsid w:val="008B7A26"/>
    <w:rsid w:val="008C0034"/>
    <w:rsid w:val="008C018F"/>
    <w:rsid w:val="008C01D1"/>
    <w:rsid w:val="008C0652"/>
    <w:rsid w:val="008C08C6"/>
    <w:rsid w:val="008C108F"/>
    <w:rsid w:val="008C1294"/>
    <w:rsid w:val="008C1EAF"/>
    <w:rsid w:val="008C20CF"/>
    <w:rsid w:val="008C24AE"/>
    <w:rsid w:val="008C2618"/>
    <w:rsid w:val="008C2954"/>
    <w:rsid w:val="008C321A"/>
    <w:rsid w:val="008C347B"/>
    <w:rsid w:val="008C3B05"/>
    <w:rsid w:val="008C4219"/>
    <w:rsid w:val="008C424F"/>
    <w:rsid w:val="008C5878"/>
    <w:rsid w:val="008C5BE1"/>
    <w:rsid w:val="008C5CEA"/>
    <w:rsid w:val="008C600D"/>
    <w:rsid w:val="008C68FA"/>
    <w:rsid w:val="008C6BA4"/>
    <w:rsid w:val="008C6C94"/>
    <w:rsid w:val="008C7325"/>
    <w:rsid w:val="008C74F5"/>
    <w:rsid w:val="008C752A"/>
    <w:rsid w:val="008C78B5"/>
    <w:rsid w:val="008D036B"/>
    <w:rsid w:val="008D06AF"/>
    <w:rsid w:val="008D1052"/>
    <w:rsid w:val="008D176B"/>
    <w:rsid w:val="008D18E3"/>
    <w:rsid w:val="008D21CC"/>
    <w:rsid w:val="008D23B2"/>
    <w:rsid w:val="008D23D7"/>
    <w:rsid w:val="008D262B"/>
    <w:rsid w:val="008D28D9"/>
    <w:rsid w:val="008D2EBD"/>
    <w:rsid w:val="008D2EE8"/>
    <w:rsid w:val="008D3069"/>
    <w:rsid w:val="008D3079"/>
    <w:rsid w:val="008D321F"/>
    <w:rsid w:val="008D322E"/>
    <w:rsid w:val="008D396D"/>
    <w:rsid w:val="008D3AD1"/>
    <w:rsid w:val="008D3AD2"/>
    <w:rsid w:val="008D43ED"/>
    <w:rsid w:val="008D4E6C"/>
    <w:rsid w:val="008D4F15"/>
    <w:rsid w:val="008D5021"/>
    <w:rsid w:val="008D57A6"/>
    <w:rsid w:val="008D5A74"/>
    <w:rsid w:val="008D5E67"/>
    <w:rsid w:val="008D6223"/>
    <w:rsid w:val="008D6294"/>
    <w:rsid w:val="008D6D0F"/>
    <w:rsid w:val="008D6E55"/>
    <w:rsid w:val="008D71DB"/>
    <w:rsid w:val="008D7837"/>
    <w:rsid w:val="008D7BE3"/>
    <w:rsid w:val="008E055A"/>
    <w:rsid w:val="008E0F21"/>
    <w:rsid w:val="008E10EF"/>
    <w:rsid w:val="008E111D"/>
    <w:rsid w:val="008E1178"/>
    <w:rsid w:val="008E1627"/>
    <w:rsid w:val="008E28DD"/>
    <w:rsid w:val="008E2995"/>
    <w:rsid w:val="008E2E64"/>
    <w:rsid w:val="008E2F5E"/>
    <w:rsid w:val="008E371A"/>
    <w:rsid w:val="008E3FD8"/>
    <w:rsid w:val="008E426A"/>
    <w:rsid w:val="008E43CF"/>
    <w:rsid w:val="008E4475"/>
    <w:rsid w:val="008E4ECF"/>
    <w:rsid w:val="008E5674"/>
    <w:rsid w:val="008E6A00"/>
    <w:rsid w:val="008E7213"/>
    <w:rsid w:val="008E76E5"/>
    <w:rsid w:val="008E791A"/>
    <w:rsid w:val="008E7FB4"/>
    <w:rsid w:val="008F0351"/>
    <w:rsid w:val="008F03FD"/>
    <w:rsid w:val="008F0955"/>
    <w:rsid w:val="008F099D"/>
    <w:rsid w:val="008F1594"/>
    <w:rsid w:val="008F179B"/>
    <w:rsid w:val="008F1938"/>
    <w:rsid w:val="008F1F96"/>
    <w:rsid w:val="008F25C8"/>
    <w:rsid w:val="008F260B"/>
    <w:rsid w:val="008F29B8"/>
    <w:rsid w:val="008F2BE2"/>
    <w:rsid w:val="008F2CF2"/>
    <w:rsid w:val="008F2D44"/>
    <w:rsid w:val="008F2DE5"/>
    <w:rsid w:val="008F430A"/>
    <w:rsid w:val="008F43A5"/>
    <w:rsid w:val="008F4476"/>
    <w:rsid w:val="008F47BD"/>
    <w:rsid w:val="008F4B81"/>
    <w:rsid w:val="008F4F12"/>
    <w:rsid w:val="008F51EE"/>
    <w:rsid w:val="008F54EC"/>
    <w:rsid w:val="008F5693"/>
    <w:rsid w:val="008F5A1E"/>
    <w:rsid w:val="008F5A93"/>
    <w:rsid w:val="008F5CC6"/>
    <w:rsid w:val="008F5D52"/>
    <w:rsid w:val="008F5F99"/>
    <w:rsid w:val="008F69AB"/>
    <w:rsid w:val="008F6C4A"/>
    <w:rsid w:val="008F6FAA"/>
    <w:rsid w:val="008F731E"/>
    <w:rsid w:val="008F7398"/>
    <w:rsid w:val="008F7C4F"/>
    <w:rsid w:val="008F7CBA"/>
    <w:rsid w:val="00900070"/>
    <w:rsid w:val="009000AF"/>
    <w:rsid w:val="00900205"/>
    <w:rsid w:val="00900576"/>
    <w:rsid w:val="0090077D"/>
    <w:rsid w:val="00900F56"/>
    <w:rsid w:val="0090125E"/>
    <w:rsid w:val="009014CA"/>
    <w:rsid w:val="009022F9"/>
    <w:rsid w:val="00902EE5"/>
    <w:rsid w:val="009034CF"/>
    <w:rsid w:val="009037F0"/>
    <w:rsid w:val="00903EDD"/>
    <w:rsid w:val="009041FD"/>
    <w:rsid w:val="0090450F"/>
    <w:rsid w:val="0090525C"/>
    <w:rsid w:val="009052A7"/>
    <w:rsid w:val="00905F0C"/>
    <w:rsid w:val="009060DE"/>
    <w:rsid w:val="0090668A"/>
    <w:rsid w:val="00906B70"/>
    <w:rsid w:val="0090769E"/>
    <w:rsid w:val="00907766"/>
    <w:rsid w:val="00907B2D"/>
    <w:rsid w:val="00910297"/>
    <w:rsid w:val="00910374"/>
    <w:rsid w:val="00910BED"/>
    <w:rsid w:val="00910F9E"/>
    <w:rsid w:val="0091112A"/>
    <w:rsid w:val="00911831"/>
    <w:rsid w:val="009124FF"/>
    <w:rsid w:val="00912B2B"/>
    <w:rsid w:val="00912CBA"/>
    <w:rsid w:val="00913506"/>
    <w:rsid w:val="00913751"/>
    <w:rsid w:val="0091427F"/>
    <w:rsid w:val="00914AB7"/>
    <w:rsid w:val="00914BEB"/>
    <w:rsid w:val="00915074"/>
    <w:rsid w:val="00915542"/>
    <w:rsid w:val="00915848"/>
    <w:rsid w:val="009161DE"/>
    <w:rsid w:val="00916279"/>
    <w:rsid w:val="00916B23"/>
    <w:rsid w:val="00917C28"/>
    <w:rsid w:val="00917DCC"/>
    <w:rsid w:val="00920077"/>
    <w:rsid w:val="00920321"/>
    <w:rsid w:val="00920580"/>
    <w:rsid w:val="009205D8"/>
    <w:rsid w:val="00921617"/>
    <w:rsid w:val="00921E42"/>
    <w:rsid w:val="00922039"/>
    <w:rsid w:val="00922516"/>
    <w:rsid w:val="00922733"/>
    <w:rsid w:val="00922F87"/>
    <w:rsid w:val="0092346E"/>
    <w:rsid w:val="0092369D"/>
    <w:rsid w:val="00923CF1"/>
    <w:rsid w:val="0092466A"/>
    <w:rsid w:val="00924707"/>
    <w:rsid w:val="009249C1"/>
    <w:rsid w:val="00924A95"/>
    <w:rsid w:val="00924DE2"/>
    <w:rsid w:val="00924FAE"/>
    <w:rsid w:val="00924FB7"/>
    <w:rsid w:val="0092514D"/>
    <w:rsid w:val="009253B7"/>
    <w:rsid w:val="009254D2"/>
    <w:rsid w:val="00925F87"/>
    <w:rsid w:val="009261BD"/>
    <w:rsid w:val="00926889"/>
    <w:rsid w:val="00926B2F"/>
    <w:rsid w:val="009302BE"/>
    <w:rsid w:val="00930C14"/>
    <w:rsid w:val="00930FAD"/>
    <w:rsid w:val="0093294E"/>
    <w:rsid w:val="009332C8"/>
    <w:rsid w:val="00933BB2"/>
    <w:rsid w:val="00933E41"/>
    <w:rsid w:val="00933FA8"/>
    <w:rsid w:val="00934C6F"/>
    <w:rsid w:val="00934F34"/>
    <w:rsid w:val="00935117"/>
    <w:rsid w:val="00935270"/>
    <w:rsid w:val="0093586B"/>
    <w:rsid w:val="00935B5C"/>
    <w:rsid w:val="00935FEF"/>
    <w:rsid w:val="009369CF"/>
    <w:rsid w:val="00936A2A"/>
    <w:rsid w:val="00937236"/>
    <w:rsid w:val="009373DA"/>
    <w:rsid w:val="009374A2"/>
    <w:rsid w:val="0094036C"/>
    <w:rsid w:val="00940379"/>
    <w:rsid w:val="00940571"/>
    <w:rsid w:val="00940649"/>
    <w:rsid w:val="00940724"/>
    <w:rsid w:val="00940AD5"/>
    <w:rsid w:val="00940D69"/>
    <w:rsid w:val="0094164B"/>
    <w:rsid w:val="00942602"/>
    <w:rsid w:val="00942854"/>
    <w:rsid w:val="009429A0"/>
    <w:rsid w:val="00942C4A"/>
    <w:rsid w:val="0094327A"/>
    <w:rsid w:val="0094343F"/>
    <w:rsid w:val="0094357C"/>
    <w:rsid w:val="009435FF"/>
    <w:rsid w:val="00943DA9"/>
    <w:rsid w:val="00944D4E"/>
    <w:rsid w:val="00944EDF"/>
    <w:rsid w:val="009450F0"/>
    <w:rsid w:val="009451D2"/>
    <w:rsid w:val="00945551"/>
    <w:rsid w:val="00945DE4"/>
    <w:rsid w:val="00946681"/>
    <w:rsid w:val="00946BDC"/>
    <w:rsid w:val="00946E39"/>
    <w:rsid w:val="00947B0A"/>
    <w:rsid w:val="00947DC8"/>
    <w:rsid w:val="00947F82"/>
    <w:rsid w:val="00950449"/>
    <w:rsid w:val="00950E52"/>
    <w:rsid w:val="0095106E"/>
    <w:rsid w:val="009511E2"/>
    <w:rsid w:val="00951872"/>
    <w:rsid w:val="00951FFA"/>
    <w:rsid w:val="0095202A"/>
    <w:rsid w:val="009523FB"/>
    <w:rsid w:val="0095243C"/>
    <w:rsid w:val="00952A2B"/>
    <w:rsid w:val="00952D8F"/>
    <w:rsid w:val="00952E0D"/>
    <w:rsid w:val="00952EA5"/>
    <w:rsid w:val="00952F9D"/>
    <w:rsid w:val="00953E91"/>
    <w:rsid w:val="00954116"/>
    <w:rsid w:val="0095433E"/>
    <w:rsid w:val="00954CDF"/>
    <w:rsid w:val="009554B8"/>
    <w:rsid w:val="00955C61"/>
    <w:rsid w:val="00955EC6"/>
    <w:rsid w:val="00955F8F"/>
    <w:rsid w:val="0095601B"/>
    <w:rsid w:val="00956173"/>
    <w:rsid w:val="00956302"/>
    <w:rsid w:val="00956402"/>
    <w:rsid w:val="00957184"/>
    <w:rsid w:val="00957996"/>
    <w:rsid w:val="00960544"/>
    <w:rsid w:val="009608B1"/>
    <w:rsid w:val="009610AF"/>
    <w:rsid w:val="00961A4E"/>
    <w:rsid w:val="00961DD4"/>
    <w:rsid w:val="00961DE0"/>
    <w:rsid w:val="00961EC4"/>
    <w:rsid w:val="00962D57"/>
    <w:rsid w:val="00962DF7"/>
    <w:rsid w:val="009630E5"/>
    <w:rsid w:val="0096349F"/>
    <w:rsid w:val="0096447E"/>
    <w:rsid w:val="00964539"/>
    <w:rsid w:val="00964A74"/>
    <w:rsid w:val="00965226"/>
    <w:rsid w:val="00965729"/>
    <w:rsid w:val="00966215"/>
    <w:rsid w:val="0096668A"/>
    <w:rsid w:val="00966BAC"/>
    <w:rsid w:val="00966D40"/>
    <w:rsid w:val="00967444"/>
    <w:rsid w:val="00967752"/>
    <w:rsid w:val="009677F6"/>
    <w:rsid w:val="00967F21"/>
    <w:rsid w:val="00967F90"/>
    <w:rsid w:val="0097029C"/>
    <w:rsid w:val="0097032D"/>
    <w:rsid w:val="00970E6A"/>
    <w:rsid w:val="009718CF"/>
    <w:rsid w:val="0097199B"/>
    <w:rsid w:val="009719FD"/>
    <w:rsid w:val="00971BF7"/>
    <w:rsid w:val="00973201"/>
    <w:rsid w:val="00973674"/>
    <w:rsid w:val="00973EB0"/>
    <w:rsid w:val="00973F13"/>
    <w:rsid w:val="00974005"/>
    <w:rsid w:val="00974182"/>
    <w:rsid w:val="00974753"/>
    <w:rsid w:val="00974DB9"/>
    <w:rsid w:val="00974F6B"/>
    <w:rsid w:val="00975166"/>
    <w:rsid w:val="0097566F"/>
    <w:rsid w:val="0097583C"/>
    <w:rsid w:val="0097590E"/>
    <w:rsid w:val="00975990"/>
    <w:rsid w:val="00975CDA"/>
    <w:rsid w:val="00975D9E"/>
    <w:rsid w:val="00975F7F"/>
    <w:rsid w:val="00976CEB"/>
    <w:rsid w:val="0097704A"/>
    <w:rsid w:val="00977362"/>
    <w:rsid w:val="0097787C"/>
    <w:rsid w:val="00977D8C"/>
    <w:rsid w:val="00980348"/>
    <w:rsid w:val="00980D7F"/>
    <w:rsid w:val="0098159F"/>
    <w:rsid w:val="00981BFE"/>
    <w:rsid w:val="009820CA"/>
    <w:rsid w:val="009824A2"/>
    <w:rsid w:val="00982781"/>
    <w:rsid w:val="00982EEE"/>
    <w:rsid w:val="00983878"/>
    <w:rsid w:val="009849F9"/>
    <w:rsid w:val="0098564F"/>
    <w:rsid w:val="009858F7"/>
    <w:rsid w:val="00985920"/>
    <w:rsid w:val="009859D5"/>
    <w:rsid w:val="00985F8B"/>
    <w:rsid w:val="009860F2"/>
    <w:rsid w:val="009866F3"/>
    <w:rsid w:val="0098781E"/>
    <w:rsid w:val="00987D7C"/>
    <w:rsid w:val="00987EFC"/>
    <w:rsid w:val="00990555"/>
    <w:rsid w:val="00991511"/>
    <w:rsid w:val="009919E3"/>
    <w:rsid w:val="009922AD"/>
    <w:rsid w:val="00992518"/>
    <w:rsid w:val="00992529"/>
    <w:rsid w:val="00992E25"/>
    <w:rsid w:val="0099349C"/>
    <w:rsid w:val="00993C73"/>
    <w:rsid w:val="00994598"/>
    <w:rsid w:val="009947A7"/>
    <w:rsid w:val="00994D2B"/>
    <w:rsid w:val="0099501C"/>
    <w:rsid w:val="00996053"/>
    <w:rsid w:val="009960FB"/>
    <w:rsid w:val="009969CE"/>
    <w:rsid w:val="00996D98"/>
    <w:rsid w:val="00997441"/>
    <w:rsid w:val="00997723"/>
    <w:rsid w:val="00997A41"/>
    <w:rsid w:val="00997CC9"/>
    <w:rsid w:val="009A0659"/>
    <w:rsid w:val="009A0890"/>
    <w:rsid w:val="009A0E82"/>
    <w:rsid w:val="009A0E84"/>
    <w:rsid w:val="009A14F1"/>
    <w:rsid w:val="009A164D"/>
    <w:rsid w:val="009A189C"/>
    <w:rsid w:val="009A1EB3"/>
    <w:rsid w:val="009A2338"/>
    <w:rsid w:val="009A2545"/>
    <w:rsid w:val="009A2C9E"/>
    <w:rsid w:val="009A2ED1"/>
    <w:rsid w:val="009A346A"/>
    <w:rsid w:val="009A3483"/>
    <w:rsid w:val="009A36B7"/>
    <w:rsid w:val="009A3D3A"/>
    <w:rsid w:val="009A44E9"/>
    <w:rsid w:val="009A44F8"/>
    <w:rsid w:val="009A4E6E"/>
    <w:rsid w:val="009A4FB0"/>
    <w:rsid w:val="009A5316"/>
    <w:rsid w:val="009A5632"/>
    <w:rsid w:val="009A56F7"/>
    <w:rsid w:val="009A5DCC"/>
    <w:rsid w:val="009A5EB4"/>
    <w:rsid w:val="009A61AD"/>
    <w:rsid w:val="009A6933"/>
    <w:rsid w:val="009A6F89"/>
    <w:rsid w:val="009A7383"/>
    <w:rsid w:val="009A74C5"/>
    <w:rsid w:val="009A7A64"/>
    <w:rsid w:val="009A7CAF"/>
    <w:rsid w:val="009A7FB8"/>
    <w:rsid w:val="009B0165"/>
    <w:rsid w:val="009B01F4"/>
    <w:rsid w:val="009B05AB"/>
    <w:rsid w:val="009B120E"/>
    <w:rsid w:val="009B1240"/>
    <w:rsid w:val="009B17BA"/>
    <w:rsid w:val="009B1855"/>
    <w:rsid w:val="009B2004"/>
    <w:rsid w:val="009B20EF"/>
    <w:rsid w:val="009B28B3"/>
    <w:rsid w:val="009B2C09"/>
    <w:rsid w:val="009B2C5C"/>
    <w:rsid w:val="009B2FA1"/>
    <w:rsid w:val="009B3FE2"/>
    <w:rsid w:val="009B42AE"/>
    <w:rsid w:val="009B4383"/>
    <w:rsid w:val="009B442D"/>
    <w:rsid w:val="009B449C"/>
    <w:rsid w:val="009B4A0C"/>
    <w:rsid w:val="009B4CE5"/>
    <w:rsid w:val="009B4D3B"/>
    <w:rsid w:val="009B4F06"/>
    <w:rsid w:val="009B51F9"/>
    <w:rsid w:val="009B5471"/>
    <w:rsid w:val="009B5CAB"/>
    <w:rsid w:val="009B5D1C"/>
    <w:rsid w:val="009B626C"/>
    <w:rsid w:val="009B6969"/>
    <w:rsid w:val="009B6A7D"/>
    <w:rsid w:val="009B70C2"/>
    <w:rsid w:val="009C0920"/>
    <w:rsid w:val="009C0ACF"/>
    <w:rsid w:val="009C0E9F"/>
    <w:rsid w:val="009C1B04"/>
    <w:rsid w:val="009C2E9D"/>
    <w:rsid w:val="009C2EAD"/>
    <w:rsid w:val="009C4859"/>
    <w:rsid w:val="009C508E"/>
    <w:rsid w:val="009C5221"/>
    <w:rsid w:val="009C595D"/>
    <w:rsid w:val="009C59C1"/>
    <w:rsid w:val="009C5D89"/>
    <w:rsid w:val="009C5F47"/>
    <w:rsid w:val="009C5F73"/>
    <w:rsid w:val="009C60BF"/>
    <w:rsid w:val="009C63A4"/>
    <w:rsid w:val="009C6CB2"/>
    <w:rsid w:val="009C7ABE"/>
    <w:rsid w:val="009C7E9F"/>
    <w:rsid w:val="009C7EFC"/>
    <w:rsid w:val="009D1009"/>
    <w:rsid w:val="009D32EB"/>
    <w:rsid w:val="009D3E16"/>
    <w:rsid w:val="009D4341"/>
    <w:rsid w:val="009D463B"/>
    <w:rsid w:val="009D4AC3"/>
    <w:rsid w:val="009D5192"/>
    <w:rsid w:val="009D538B"/>
    <w:rsid w:val="009D5E7C"/>
    <w:rsid w:val="009D6787"/>
    <w:rsid w:val="009D6BDF"/>
    <w:rsid w:val="009D7C48"/>
    <w:rsid w:val="009E0006"/>
    <w:rsid w:val="009E00E4"/>
    <w:rsid w:val="009E094A"/>
    <w:rsid w:val="009E0F32"/>
    <w:rsid w:val="009E161C"/>
    <w:rsid w:val="009E1A53"/>
    <w:rsid w:val="009E1A8F"/>
    <w:rsid w:val="009E1E4E"/>
    <w:rsid w:val="009E216D"/>
    <w:rsid w:val="009E21EE"/>
    <w:rsid w:val="009E2532"/>
    <w:rsid w:val="009E34D1"/>
    <w:rsid w:val="009E3995"/>
    <w:rsid w:val="009E4619"/>
    <w:rsid w:val="009E4A34"/>
    <w:rsid w:val="009E512F"/>
    <w:rsid w:val="009E5777"/>
    <w:rsid w:val="009E58BB"/>
    <w:rsid w:val="009E5906"/>
    <w:rsid w:val="009E5E42"/>
    <w:rsid w:val="009E678B"/>
    <w:rsid w:val="009E6A21"/>
    <w:rsid w:val="009E70E8"/>
    <w:rsid w:val="009E72DD"/>
    <w:rsid w:val="009E764E"/>
    <w:rsid w:val="009E7888"/>
    <w:rsid w:val="009E7B0E"/>
    <w:rsid w:val="009E7B89"/>
    <w:rsid w:val="009E7DE2"/>
    <w:rsid w:val="009E7E6C"/>
    <w:rsid w:val="009F0133"/>
    <w:rsid w:val="009F09BD"/>
    <w:rsid w:val="009F0BF9"/>
    <w:rsid w:val="009F0CD1"/>
    <w:rsid w:val="009F142B"/>
    <w:rsid w:val="009F1611"/>
    <w:rsid w:val="009F1C24"/>
    <w:rsid w:val="009F24F4"/>
    <w:rsid w:val="009F2CB5"/>
    <w:rsid w:val="009F30F0"/>
    <w:rsid w:val="009F3472"/>
    <w:rsid w:val="009F354E"/>
    <w:rsid w:val="009F40EB"/>
    <w:rsid w:val="009F441D"/>
    <w:rsid w:val="009F4558"/>
    <w:rsid w:val="009F4879"/>
    <w:rsid w:val="009F4ABB"/>
    <w:rsid w:val="009F4B02"/>
    <w:rsid w:val="009F5904"/>
    <w:rsid w:val="009F5BE9"/>
    <w:rsid w:val="009F63D2"/>
    <w:rsid w:val="00A0016F"/>
    <w:rsid w:val="00A003F5"/>
    <w:rsid w:val="00A00507"/>
    <w:rsid w:val="00A00616"/>
    <w:rsid w:val="00A00A9C"/>
    <w:rsid w:val="00A00CC8"/>
    <w:rsid w:val="00A014F9"/>
    <w:rsid w:val="00A0165A"/>
    <w:rsid w:val="00A01802"/>
    <w:rsid w:val="00A01CC0"/>
    <w:rsid w:val="00A02881"/>
    <w:rsid w:val="00A02CDF"/>
    <w:rsid w:val="00A0312E"/>
    <w:rsid w:val="00A03537"/>
    <w:rsid w:val="00A03E06"/>
    <w:rsid w:val="00A03FAD"/>
    <w:rsid w:val="00A0421C"/>
    <w:rsid w:val="00A04583"/>
    <w:rsid w:val="00A04ADD"/>
    <w:rsid w:val="00A04F3C"/>
    <w:rsid w:val="00A054FC"/>
    <w:rsid w:val="00A074FC"/>
    <w:rsid w:val="00A075B1"/>
    <w:rsid w:val="00A07D90"/>
    <w:rsid w:val="00A10EBE"/>
    <w:rsid w:val="00A10EC4"/>
    <w:rsid w:val="00A11171"/>
    <w:rsid w:val="00A112D1"/>
    <w:rsid w:val="00A11378"/>
    <w:rsid w:val="00A12236"/>
    <w:rsid w:val="00A122B9"/>
    <w:rsid w:val="00A1250A"/>
    <w:rsid w:val="00A126CB"/>
    <w:rsid w:val="00A13191"/>
    <w:rsid w:val="00A13940"/>
    <w:rsid w:val="00A13B69"/>
    <w:rsid w:val="00A14D0A"/>
    <w:rsid w:val="00A150A4"/>
    <w:rsid w:val="00A152E2"/>
    <w:rsid w:val="00A156C8"/>
    <w:rsid w:val="00A16630"/>
    <w:rsid w:val="00A16CAD"/>
    <w:rsid w:val="00A16D17"/>
    <w:rsid w:val="00A17009"/>
    <w:rsid w:val="00A17422"/>
    <w:rsid w:val="00A214FE"/>
    <w:rsid w:val="00A21595"/>
    <w:rsid w:val="00A2198F"/>
    <w:rsid w:val="00A21A25"/>
    <w:rsid w:val="00A21B97"/>
    <w:rsid w:val="00A2269A"/>
    <w:rsid w:val="00A22BF6"/>
    <w:rsid w:val="00A23374"/>
    <w:rsid w:val="00A24AB3"/>
    <w:rsid w:val="00A24F63"/>
    <w:rsid w:val="00A25056"/>
    <w:rsid w:val="00A255A3"/>
    <w:rsid w:val="00A25DA1"/>
    <w:rsid w:val="00A2679A"/>
    <w:rsid w:val="00A26AF8"/>
    <w:rsid w:val="00A2782D"/>
    <w:rsid w:val="00A30BC2"/>
    <w:rsid w:val="00A31148"/>
    <w:rsid w:val="00A31D28"/>
    <w:rsid w:val="00A31EEC"/>
    <w:rsid w:val="00A3244C"/>
    <w:rsid w:val="00A33351"/>
    <w:rsid w:val="00A33429"/>
    <w:rsid w:val="00A33C67"/>
    <w:rsid w:val="00A34648"/>
    <w:rsid w:val="00A348A1"/>
    <w:rsid w:val="00A34FFD"/>
    <w:rsid w:val="00A35215"/>
    <w:rsid w:val="00A35B7D"/>
    <w:rsid w:val="00A3665C"/>
    <w:rsid w:val="00A3670A"/>
    <w:rsid w:val="00A3695C"/>
    <w:rsid w:val="00A36C22"/>
    <w:rsid w:val="00A36C89"/>
    <w:rsid w:val="00A3760D"/>
    <w:rsid w:val="00A37634"/>
    <w:rsid w:val="00A37A9B"/>
    <w:rsid w:val="00A37EEE"/>
    <w:rsid w:val="00A402D6"/>
    <w:rsid w:val="00A407A9"/>
    <w:rsid w:val="00A40AFC"/>
    <w:rsid w:val="00A40D87"/>
    <w:rsid w:val="00A41D9F"/>
    <w:rsid w:val="00A426B5"/>
    <w:rsid w:val="00A428AB"/>
    <w:rsid w:val="00A43267"/>
    <w:rsid w:val="00A4397E"/>
    <w:rsid w:val="00A4418D"/>
    <w:rsid w:val="00A442AF"/>
    <w:rsid w:val="00A4490E"/>
    <w:rsid w:val="00A44A3B"/>
    <w:rsid w:val="00A454F2"/>
    <w:rsid w:val="00A4556A"/>
    <w:rsid w:val="00A455C6"/>
    <w:rsid w:val="00A45971"/>
    <w:rsid w:val="00A45B50"/>
    <w:rsid w:val="00A45BC6"/>
    <w:rsid w:val="00A45C1B"/>
    <w:rsid w:val="00A460C9"/>
    <w:rsid w:val="00A46352"/>
    <w:rsid w:val="00A4667B"/>
    <w:rsid w:val="00A467A3"/>
    <w:rsid w:val="00A467D2"/>
    <w:rsid w:val="00A46DD9"/>
    <w:rsid w:val="00A46DE0"/>
    <w:rsid w:val="00A471D0"/>
    <w:rsid w:val="00A47317"/>
    <w:rsid w:val="00A4733F"/>
    <w:rsid w:val="00A47EC4"/>
    <w:rsid w:val="00A47F9E"/>
    <w:rsid w:val="00A5169F"/>
    <w:rsid w:val="00A51798"/>
    <w:rsid w:val="00A52107"/>
    <w:rsid w:val="00A526E7"/>
    <w:rsid w:val="00A52FF4"/>
    <w:rsid w:val="00A53102"/>
    <w:rsid w:val="00A53B78"/>
    <w:rsid w:val="00A541BE"/>
    <w:rsid w:val="00A542F1"/>
    <w:rsid w:val="00A5443A"/>
    <w:rsid w:val="00A544CE"/>
    <w:rsid w:val="00A54C64"/>
    <w:rsid w:val="00A5588C"/>
    <w:rsid w:val="00A5598F"/>
    <w:rsid w:val="00A56090"/>
    <w:rsid w:val="00A56935"/>
    <w:rsid w:val="00A56BF7"/>
    <w:rsid w:val="00A57361"/>
    <w:rsid w:val="00A605DE"/>
    <w:rsid w:val="00A61C7B"/>
    <w:rsid w:val="00A61E8B"/>
    <w:rsid w:val="00A622EA"/>
    <w:rsid w:val="00A624C3"/>
    <w:rsid w:val="00A625ED"/>
    <w:rsid w:val="00A62654"/>
    <w:rsid w:val="00A6282D"/>
    <w:rsid w:val="00A62B68"/>
    <w:rsid w:val="00A62D92"/>
    <w:rsid w:val="00A6383D"/>
    <w:rsid w:val="00A63A46"/>
    <w:rsid w:val="00A63C12"/>
    <w:rsid w:val="00A63F4A"/>
    <w:rsid w:val="00A64130"/>
    <w:rsid w:val="00A64171"/>
    <w:rsid w:val="00A64D63"/>
    <w:rsid w:val="00A64F2B"/>
    <w:rsid w:val="00A65809"/>
    <w:rsid w:val="00A65CDA"/>
    <w:rsid w:val="00A65ECE"/>
    <w:rsid w:val="00A65F3B"/>
    <w:rsid w:val="00A6651D"/>
    <w:rsid w:val="00A67052"/>
    <w:rsid w:val="00A674C9"/>
    <w:rsid w:val="00A67523"/>
    <w:rsid w:val="00A67964"/>
    <w:rsid w:val="00A70759"/>
    <w:rsid w:val="00A708C9"/>
    <w:rsid w:val="00A70B9C"/>
    <w:rsid w:val="00A70C64"/>
    <w:rsid w:val="00A71110"/>
    <w:rsid w:val="00A71162"/>
    <w:rsid w:val="00A711BB"/>
    <w:rsid w:val="00A7139D"/>
    <w:rsid w:val="00A71E23"/>
    <w:rsid w:val="00A71EDE"/>
    <w:rsid w:val="00A72E4A"/>
    <w:rsid w:val="00A73D93"/>
    <w:rsid w:val="00A741FF"/>
    <w:rsid w:val="00A74269"/>
    <w:rsid w:val="00A74449"/>
    <w:rsid w:val="00A75606"/>
    <w:rsid w:val="00A75801"/>
    <w:rsid w:val="00A76030"/>
    <w:rsid w:val="00A763A4"/>
    <w:rsid w:val="00A765C7"/>
    <w:rsid w:val="00A77896"/>
    <w:rsid w:val="00A779E8"/>
    <w:rsid w:val="00A77AF8"/>
    <w:rsid w:val="00A77CC0"/>
    <w:rsid w:val="00A77E72"/>
    <w:rsid w:val="00A80036"/>
    <w:rsid w:val="00A80263"/>
    <w:rsid w:val="00A803F8"/>
    <w:rsid w:val="00A80400"/>
    <w:rsid w:val="00A8085E"/>
    <w:rsid w:val="00A80C95"/>
    <w:rsid w:val="00A80D35"/>
    <w:rsid w:val="00A80E97"/>
    <w:rsid w:val="00A80F31"/>
    <w:rsid w:val="00A80F79"/>
    <w:rsid w:val="00A81070"/>
    <w:rsid w:val="00A81176"/>
    <w:rsid w:val="00A81D46"/>
    <w:rsid w:val="00A81F2F"/>
    <w:rsid w:val="00A82013"/>
    <w:rsid w:val="00A824A5"/>
    <w:rsid w:val="00A824C9"/>
    <w:rsid w:val="00A8284E"/>
    <w:rsid w:val="00A829C1"/>
    <w:rsid w:val="00A82A4A"/>
    <w:rsid w:val="00A8347E"/>
    <w:rsid w:val="00A83571"/>
    <w:rsid w:val="00A835A6"/>
    <w:rsid w:val="00A83900"/>
    <w:rsid w:val="00A83E36"/>
    <w:rsid w:val="00A83E5C"/>
    <w:rsid w:val="00A847C8"/>
    <w:rsid w:val="00A84969"/>
    <w:rsid w:val="00A84B50"/>
    <w:rsid w:val="00A84E7B"/>
    <w:rsid w:val="00A85171"/>
    <w:rsid w:val="00A85646"/>
    <w:rsid w:val="00A8598D"/>
    <w:rsid w:val="00A86B79"/>
    <w:rsid w:val="00A86CF2"/>
    <w:rsid w:val="00A86E15"/>
    <w:rsid w:val="00A86E5F"/>
    <w:rsid w:val="00A86F37"/>
    <w:rsid w:val="00A87686"/>
    <w:rsid w:val="00A87825"/>
    <w:rsid w:val="00A879D7"/>
    <w:rsid w:val="00A87AED"/>
    <w:rsid w:val="00A87CC3"/>
    <w:rsid w:val="00A906E4"/>
    <w:rsid w:val="00A90C93"/>
    <w:rsid w:val="00A90EF9"/>
    <w:rsid w:val="00A91047"/>
    <w:rsid w:val="00A917EC"/>
    <w:rsid w:val="00A918E8"/>
    <w:rsid w:val="00A9208C"/>
    <w:rsid w:val="00A92484"/>
    <w:rsid w:val="00A92CDA"/>
    <w:rsid w:val="00A92CDE"/>
    <w:rsid w:val="00A92DA8"/>
    <w:rsid w:val="00A933C8"/>
    <w:rsid w:val="00A935D4"/>
    <w:rsid w:val="00A944B3"/>
    <w:rsid w:val="00A94606"/>
    <w:rsid w:val="00A9462B"/>
    <w:rsid w:val="00A95BD0"/>
    <w:rsid w:val="00A95F23"/>
    <w:rsid w:val="00A966D3"/>
    <w:rsid w:val="00A97477"/>
    <w:rsid w:val="00A976CE"/>
    <w:rsid w:val="00AA067A"/>
    <w:rsid w:val="00AA0847"/>
    <w:rsid w:val="00AA1030"/>
    <w:rsid w:val="00AA1531"/>
    <w:rsid w:val="00AA1595"/>
    <w:rsid w:val="00AA1634"/>
    <w:rsid w:val="00AA21F9"/>
    <w:rsid w:val="00AA2B36"/>
    <w:rsid w:val="00AA2C80"/>
    <w:rsid w:val="00AA2D8B"/>
    <w:rsid w:val="00AA2E63"/>
    <w:rsid w:val="00AA39CE"/>
    <w:rsid w:val="00AA42FC"/>
    <w:rsid w:val="00AA440B"/>
    <w:rsid w:val="00AA52B1"/>
    <w:rsid w:val="00AA55B4"/>
    <w:rsid w:val="00AA5985"/>
    <w:rsid w:val="00AA5F75"/>
    <w:rsid w:val="00AA5FAC"/>
    <w:rsid w:val="00AA60F2"/>
    <w:rsid w:val="00AA61A1"/>
    <w:rsid w:val="00AA61DA"/>
    <w:rsid w:val="00AA6D5B"/>
    <w:rsid w:val="00AA718F"/>
    <w:rsid w:val="00AB088B"/>
    <w:rsid w:val="00AB0986"/>
    <w:rsid w:val="00AB1355"/>
    <w:rsid w:val="00AB1AB9"/>
    <w:rsid w:val="00AB1CB2"/>
    <w:rsid w:val="00AB1CCC"/>
    <w:rsid w:val="00AB232A"/>
    <w:rsid w:val="00AB23E8"/>
    <w:rsid w:val="00AB26EC"/>
    <w:rsid w:val="00AB2846"/>
    <w:rsid w:val="00AB3320"/>
    <w:rsid w:val="00AB397B"/>
    <w:rsid w:val="00AB4C4F"/>
    <w:rsid w:val="00AB51A5"/>
    <w:rsid w:val="00AB5E36"/>
    <w:rsid w:val="00AB5F0E"/>
    <w:rsid w:val="00AB61CB"/>
    <w:rsid w:val="00AB6250"/>
    <w:rsid w:val="00AB64EA"/>
    <w:rsid w:val="00AB6651"/>
    <w:rsid w:val="00AB6FC2"/>
    <w:rsid w:val="00AB72EC"/>
    <w:rsid w:val="00AB7B25"/>
    <w:rsid w:val="00AB7F72"/>
    <w:rsid w:val="00AB7FEE"/>
    <w:rsid w:val="00AC089E"/>
    <w:rsid w:val="00AC0951"/>
    <w:rsid w:val="00AC0AB2"/>
    <w:rsid w:val="00AC0C92"/>
    <w:rsid w:val="00AC0CD3"/>
    <w:rsid w:val="00AC0CDE"/>
    <w:rsid w:val="00AC1082"/>
    <w:rsid w:val="00AC13F5"/>
    <w:rsid w:val="00AC152D"/>
    <w:rsid w:val="00AC1A65"/>
    <w:rsid w:val="00AC231A"/>
    <w:rsid w:val="00AC28BF"/>
    <w:rsid w:val="00AC328B"/>
    <w:rsid w:val="00AC342C"/>
    <w:rsid w:val="00AC3D6E"/>
    <w:rsid w:val="00AC4AF6"/>
    <w:rsid w:val="00AC53E1"/>
    <w:rsid w:val="00AC5D6A"/>
    <w:rsid w:val="00AC60B5"/>
    <w:rsid w:val="00AC6504"/>
    <w:rsid w:val="00AD001D"/>
    <w:rsid w:val="00AD018B"/>
    <w:rsid w:val="00AD05F7"/>
    <w:rsid w:val="00AD0839"/>
    <w:rsid w:val="00AD08FD"/>
    <w:rsid w:val="00AD0B2E"/>
    <w:rsid w:val="00AD0CF7"/>
    <w:rsid w:val="00AD12D0"/>
    <w:rsid w:val="00AD18D2"/>
    <w:rsid w:val="00AD1B4D"/>
    <w:rsid w:val="00AD1BD8"/>
    <w:rsid w:val="00AD1D4D"/>
    <w:rsid w:val="00AD1E77"/>
    <w:rsid w:val="00AD205E"/>
    <w:rsid w:val="00AD2C70"/>
    <w:rsid w:val="00AD2D3C"/>
    <w:rsid w:val="00AD3A6F"/>
    <w:rsid w:val="00AD3DB2"/>
    <w:rsid w:val="00AD44DC"/>
    <w:rsid w:val="00AD491D"/>
    <w:rsid w:val="00AD4CD6"/>
    <w:rsid w:val="00AD5158"/>
    <w:rsid w:val="00AD5343"/>
    <w:rsid w:val="00AD54E0"/>
    <w:rsid w:val="00AD562A"/>
    <w:rsid w:val="00AD5DF6"/>
    <w:rsid w:val="00AD6081"/>
    <w:rsid w:val="00AD62C5"/>
    <w:rsid w:val="00AD6EB0"/>
    <w:rsid w:val="00AD7523"/>
    <w:rsid w:val="00AE0F54"/>
    <w:rsid w:val="00AE13E9"/>
    <w:rsid w:val="00AE14B4"/>
    <w:rsid w:val="00AE14F9"/>
    <w:rsid w:val="00AE1699"/>
    <w:rsid w:val="00AE1DFA"/>
    <w:rsid w:val="00AE2896"/>
    <w:rsid w:val="00AE2EDE"/>
    <w:rsid w:val="00AE2F46"/>
    <w:rsid w:val="00AE37D5"/>
    <w:rsid w:val="00AE3C2C"/>
    <w:rsid w:val="00AE3FDF"/>
    <w:rsid w:val="00AE4026"/>
    <w:rsid w:val="00AE5727"/>
    <w:rsid w:val="00AE57CE"/>
    <w:rsid w:val="00AE5D3D"/>
    <w:rsid w:val="00AE6658"/>
    <w:rsid w:val="00AE696E"/>
    <w:rsid w:val="00AE6999"/>
    <w:rsid w:val="00AE6CE7"/>
    <w:rsid w:val="00AE6D28"/>
    <w:rsid w:val="00AE6F87"/>
    <w:rsid w:val="00AE71D2"/>
    <w:rsid w:val="00AE78CC"/>
    <w:rsid w:val="00AE7EC8"/>
    <w:rsid w:val="00AE7F99"/>
    <w:rsid w:val="00AF0288"/>
    <w:rsid w:val="00AF0384"/>
    <w:rsid w:val="00AF138D"/>
    <w:rsid w:val="00AF1421"/>
    <w:rsid w:val="00AF23CD"/>
    <w:rsid w:val="00AF273B"/>
    <w:rsid w:val="00AF2943"/>
    <w:rsid w:val="00AF2B2A"/>
    <w:rsid w:val="00AF2C03"/>
    <w:rsid w:val="00AF2D67"/>
    <w:rsid w:val="00AF3475"/>
    <w:rsid w:val="00AF376A"/>
    <w:rsid w:val="00AF3838"/>
    <w:rsid w:val="00AF414B"/>
    <w:rsid w:val="00AF4475"/>
    <w:rsid w:val="00AF482B"/>
    <w:rsid w:val="00AF4888"/>
    <w:rsid w:val="00AF4C6C"/>
    <w:rsid w:val="00AF4DC2"/>
    <w:rsid w:val="00AF5358"/>
    <w:rsid w:val="00AF5B96"/>
    <w:rsid w:val="00AF6148"/>
    <w:rsid w:val="00AF6343"/>
    <w:rsid w:val="00AF6A75"/>
    <w:rsid w:val="00AF6F8C"/>
    <w:rsid w:val="00AF748A"/>
    <w:rsid w:val="00AF7D5D"/>
    <w:rsid w:val="00B00CE2"/>
    <w:rsid w:val="00B010CE"/>
    <w:rsid w:val="00B01224"/>
    <w:rsid w:val="00B01542"/>
    <w:rsid w:val="00B01784"/>
    <w:rsid w:val="00B01A93"/>
    <w:rsid w:val="00B01BD3"/>
    <w:rsid w:val="00B02E1F"/>
    <w:rsid w:val="00B0307D"/>
    <w:rsid w:val="00B030FF"/>
    <w:rsid w:val="00B03321"/>
    <w:rsid w:val="00B03409"/>
    <w:rsid w:val="00B0359B"/>
    <w:rsid w:val="00B052F7"/>
    <w:rsid w:val="00B05993"/>
    <w:rsid w:val="00B05BDA"/>
    <w:rsid w:val="00B068EA"/>
    <w:rsid w:val="00B06AE2"/>
    <w:rsid w:val="00B07558"/>
    <w:rsid w:val="00B07F20"/>
    <w:rsid w:val="00B100EF"/>
    <w:rsid w:val="00B10658"/>
    <w:rsid w:val="00B109F3"/>
    <w:rsid w:val="00B10B85"/>
    <w:rsid w:val="00B10D35"/>
    <w:rsid w:val="00B10E85"/>
    <w:rsid w:val="00B1132E"/>
    <w:rsid w:val="00B1146E"/>
    <w:rsid w:val="00B116D6"/>
    <w:rsid w:val="00B1195B"/>
    <w:rsid w:val="00B12524"/>
    <w:rsid w:val="00B1311C"/>
    <w:rsid w:val="00B1325C"/>
    <w:rsid w:val="00B13281"/>
    <w:rsid w:val="00B1334F"/>
    <w:rsid w:val="00B13A6E"/>
    <w:rsid w:val="00B13BA4"/>
    <w:rsid w:val="00B140E9"/>
    <w:rsid w:val="00B14F36"/>
    <w:rsid w:val="00B15031"/>
    <w:rsid w:val="00B1521F"/>
    <w:rsid w:val="00B15271"/>
    <w:rsid w:val="00B154F6"/>
    <w:rsid w:val="00B15885"/>
    <w:rsid w:val="00B15C1E"/>
    <w:rsid w:val="00B1629F"/>
    <w:rsid w:val="00B1663A"/>
    <w:rsid w:val="00B1671C"/>
    <w:rsid w:val="00B16B76"/>
    <w:rsid w:val="00B17212"/>
    <w:rsid w:val="00B172D0"/>
    <w:rsid w:val="00B17D14"/>
    <w:rsid w:val="00B200BB"/>
    <w:rsid w:val="00B203AA"/>
    <w:rsid w:val="00B20957"/>
    <w:rsid w:val="00B209F8"/>
    <w:rsid w:val="00B214CB"/>
    <w:rsid w:val="00B216C2"/>
    <w:rsid w:val="00B2252E"/>
    <w:rsid w:val="00B22AEC"/>
    <w:rsid w:val="00B22C2E"/>
    <w:rsid w:val="00B2327D"/>
    <w:rsid w:val="00B236F0"/>
    <w:rsid w:val="00B23816"/>
    <w:rsid w:val="00B23B8C"/>
    <w:rsid w:val="00B24380"/>
    <w:rsid w:val="00B24512"/>
    <w:rsid w:val="00B2538E"/>
    <w:rsid w:val="00B25927"/>
    <w:rsid w:val="00B25F00"/>
    <w:rsid w:val="00B25F58"/>
    <w:rsid w:val="00B2605A"/>
    <w:rsid w:val="00B26225"/>
    <w:rsid w:val="00B2688A"/>
    <w:rsid w:val="00B26915"/>
    <w:rsid w:val="00B27144"/>
    <w:rsid w:val="00B273CE"/>
    <w:rsid w:val="00B277E6"/>
    <w:rsid w:val="00B27A1E"/>
    <w:rsid w:val="00B27BA1"/>
    <w:rsid w:val="00B27C3F"/>
    <w:rsid w:val="00B27F49"/>
    <w:rsid w:val="00B3011C"/>
    <w:rsid w:val="00B30419"/>
    <w:rsid w:val="00B30CD9"/>
    <w:rsid w:val="00B30D25"/>
    <w:rsid w:val="00B30E37"/>
    <w:rsid w:val="00B3216C"/>
    <w:rsid w:val="00B32598"/>
    <w:rsid w:val="00B325B2"/>
    <w:rsid w:val="00B32737"/>
    <w:rsid w:val="00B32D30"/>
    <w:rsid w:val="00B32FC2"/>
    <w:rsid w:val="00B33B59"/>
    <w:rsid w:val="00B33D8B"/>
    <w:rsid w:val="00B3496E"/>
    <w:rsid w:val="00B34B84"/>
    <w:rsid w:val="00B3531B"/>
    <w:rsid w:val="00B354D3"/>
    <w:rsid w:val="00B35832"/>
    <w:rsid w:val="00B3607D"/>
    <w:rsid w:val="00B362C1"/>
    <w:rsid w:val="00B366AF"/>
    <w:rsid w:val="00B36875"/>
    <w:rsid w:val="00B36BF6"/>
    <w:rsid w:val="00B3717E"/>
    <w:rsid w:val="00B374F4"/>
    <w:rsid w:val="00B37F56"/>
    <w:rsid w:val="00B400D3"/>
    <w:rsid w:val="00B404AD"/>
    <w:rsid w:val="00B404BA"/>
    <w:rsid w:val="00B4061A"/>
    <w:rsid w:val="00B41B45"/>
    <w:rsid w:val="00B421C9"/>
    <w:rsid w:val="00B42943"/>
    <w:rsid w:val="00B42A98"/>
    <w:rsid w:val="00B434CA"/>
    <w:rsid w:val="00B43B28"/>
    <w:rsid w:val="00B44667"/>
    <w:rsid w:val="00B44A13"/>
    <w:rsid w:val="00B44EF4"/>
    <w:rsid w:val="00B4578C"/>
    <w:rsid w:val="00B46235"/>
    <w:rsid w:val="00B46509"/>
    <w:rsid w:val="00B465FA"/>
    <w:rsid w:val="00B467F6"/>
    <w:rsid w:val="00B46B0F"/>
    <w:rsid w:val="00B46E27"/>
    <w:rsid w:val="00B47234"/>
    <w:rsid w:val="00B47F47"/>
    <w:rsid w:val="00B50304"/>
    <w:rsid w:val="00B50636"/>
    <w:rsid w:val="00B507D0"/>
    <w:rsid w:val="00B50841"/>
    <w:rsid w:val="00B509C8"/>
    <w:rsid w:val="00B50D3C"/>
    <w:rsid w:val="00B516B7"/>
    <w:rsid w:val="00B51765"/>
    <w:rsid w:val="00B51AE4"/>
    <w:rsid w:val="00B51C88"/>
    <w:rsid w:val="00B51E13"/>
    <w:rsid w:val="00B52629"/>
    <w:rsid w:val="00B52636"/>
    <w:rsid w:val="00B52866"/>
    <w:rsid w:val="00B533BB"/>
    <w:rsid w:val="00B534AB"/>
    <w:rsid w:val="00B539F6"/>
    <w:rsid w:val="00B53F40"/>
    <w:rsid w:val="00B53FC8"/>
    <w:rsid w:val="00B54168"/>
    <w:rsid w:val="00B54640"/>
    <w:rsid w:val="00B54DF3"/>
    <w:rsid w:val="00B5516C"/>
    <w:rsid w:val="00B55823"/>
    <w:rsid w:val="00B55876"/>
    <w:rsid w:val="00B5599B"/>
    <w:rsid w:val="00B561D3"/>
    <w:rsid w:val="00B562D3"/>
    <w:rsid w:val="00B60649"/>
    <w:rsid w:val="00B60876"/>
    <w:rsid w:val="00B60DBE"/>
    <w:rsid w:val="00B61661"/>
    <w:rsid w:val="00B61985"/>
    <w:rsid w:val="00B61BB8"/>
    <w:rsid w:val="00B621B2"/>
    <w:rsid w:val="00B623E5"/>
    <w:rsid w:val="00B6280D"/>
    <w:rsid w:val="00B62BAC"/>
    <w:rsid w:val="00B630C3"/>
    <w:rsid w:val="00B63399"/>
    <w:rsid w:val="00B63443"/>
    <w:rsid w:val="00B63663"/>
    <w:rsid w:val="00B639EE"/>
    <w:rsid w:val="00B63BEF"/>
    <w:rsid w:val="00B64530"/>
    <w:rsid w:val="00B64A8E"/>
    <w:rsid w:val="00B64E48"/>
    <w:rsid w:val="00B64F91"/>
    <w:rsid w:val="00B654B9"/>
    <w:rsid w:val="00B6587A"/>
    <w:rsid w:val="00B65B61"/>
    <w:rsid w:val="00B65FED"/>
    <w:rsid w:val="00B661A0"/>
    <w:rsid w:val="00B66277"/>
    <w:rsid w:val="00B66F4B"/>
    <w:rsid w:val="00B66FAE"/>
    <w:rsid w:val="00B6718E"/>
    <w:rsid w:val="00B6742A"/>
    <w:rsid w:val="00B677EE"/>
    <w:rsid w:val="00B67B3F"/>
    <w:rsid w:val="00B70151"/>
    <w:rsid w:val="00B70323"/>
    <w:rsid w:val="00B7119D"/>
    <w:rsid w:val="00B7171F"/>
    <w:rsid w:val="00B71E7C"/>
    <w:rsid w:val="00B71F7D"/>
    <w:rsid w:val="00B71F9E"/>
    <w:rsid w:val="00B725D7"/>
    <w:rsid w:val="00B72F63"/>
    <w:rsid w:val="00B7321C"/>
    <w:rsid w:val="00B7326F"/>
    <w:rsid w:val="00B733E3"/>
    <w:rsid w:val="00B734EA"/>
    <w:rsid w:val="00B73635"/>
    <w:rsid w:val="00B7392A"/>
    <w:rsid w:val="00B73F8B"/>
    <w:rsid w:val="00B74312"/>
    <w:rsid w:val="00B74ED5"/>
    <w:rsid w:val="00B75333"/>
    <w:rsid w:val="00B753E4"/>
    <w:rsid w:val="00B761D4"/>
    <w:rsid w:val="00B76411"/>
    <w:rsid w:val="00B76850"/>
    <w:rsid w:val="00B76AE1"/>
    <w:rsid w:val="00B7732A"/>
    <w:rsid w:val="00B774C5"/>
    <w:rsid w:val="00B77B02"/>
    <w:rsid w:val="00B77F33"/>
    <w:rsid w:val="00B80151"/>
    <w:rsid w:val="00B80488"/>
    <w:rsid w:val="00B8091A"/>
    <w:rsid w:val="00B80B35"/>
    <w:rsid w:val="00B80B92"/>
    <w:rsid w:val="00B80D28"/>
    <w:rsid w:val="00B810D0"/>
    <w:rsid w:val="00B812AA"/>
    <w:rsid w:val="00B818BF"/>
    <w:rsid w:val="00B82B0A"/>
    <w:rsid w:val="00B82B1C"/>
    <w:rsid w:val="00B82B47"/>
    <w:rsid w:val="00B82F75"/>
    <w:rsid w:val="00B8319F"/>
    <w:rsid w:val="00B837B0"/>
    <w:rsid w:val="00B842C8"/>
    <w:rsid w:val="00B84FAC"/>
    <w:rsid w:val="00B855A4"/>
    <w:rsid w:val="00B85768"/>
    <w:rsid w:val="00B85C35"/>
    <w:rsid w:val="00B85CE5"/>
    <w:rsid w:val="00B85EB4"/>
    <w:rsid w:val="00B8646C"/>
    <w:rsid w:val="00B87397"/>
    <w:rsid w:val="00B878BF"/>
    <w:rsid w:val="00B879A3"/>
    <w:rsid w:val="00B87C6E"/>
    <w:rsid w:val="00B87DF9"/>
    <w:rsid w:val="00B90530"/>
    <w:rsid w:val="00B90839"/>
    <w:rsid w:val="00B90C7F"/>
    <w:rsid w:val="00B910B1"/>
    <w:rsid w:val="00B913A9"/>
    <w:rsid w:val="00B92AAC"/>
    <w:rsid w:val="00B9341E"/>
    <w:rsid w:val="00B9392D"/>
    <w:rsid w:val="00B93ABA"/>
    <w:rsid w:val="00B93FA3"/>
    <w:rsid w:val="00B946F1"/>
    <w:rsid w:val="00B94B9D"/>
    <w:rsid w:val="00B955B5"/>
    <w:rsid w:val="00B95D05"/>
    <w:rsid w:val="00B95FD8"/>
    <w:rsid w:val="00B96850"/>
    <w:rsid w:val="00B9723E"/>
    <w:rsid w:val="00BA02AA"/>
    <w:rsid w:val="00BA0713"/>
    <w:rsid w:val="00BA07BA"/>
    <w:rsid w:val="00BA0F14"/>
    <w:rsid w:val="00BA1024"/>
    <w:rsid w:val="00BA16A2"/>
    <w:rsid w:val="00BA1E50"/>
    <w:rsid w:val="00BA1FE7"/>
    <w:rsid w:val="00BA258C"/>
    <w:rsid w:val="00BA2CE4"/>
    <w:rsid w:val="00BA33FC"/>
    <w:rsid w:val="00BA3876"/>
    <w:rsid w:val="00BA392B"/>
    <w:rsid w:val="00BA4077"/>
    <w:rsid w:val="00BA41F5"/>
    <w:rsid w:val="00BA4406"/>
    <w:rsid w:val="00BA565C"/>
    <w:rsid w:val="00BA5A2C"/>
    <w:rsid w:val="00BA5C20"/>
    <w:rsid w:val="00BA5EC8"/>
    <w:rsid w:val="00BA65C4"/>
    <w:rsid w:val="00BA6748"/>
    <w:rsid w:val="00BA67CA"/>
    <w:rsid w:val="00BA6B33"/>
    <w:rsid w:val="00BA6FAC"/>
    <w:rsid w:val="00BA7094"/>
    <w:rsid w:val="00BA70BC"/>
    <w:rsid w:val="00BA745F"/>
    <w:rsid w:val="00BA750E"/>
    <w:rsid w:val="00BA75B5"/>
    <w:rsid w:val="00BB074B"/>
    <w:rsid w:val="00BB09D8"/>
    <w:rsid w:val="00BB0AC6"/>
    <w:rsid w:val="00BB107D"/>
    <w:rsid w:val="00BB1B90"/>
    <w:rsid w:val="00BB21A0"/>
    <w:rsid w:val="00BB2943"/>
    <w:rsid w:val="00BB2A41"/>
    <w:rsid w:val="00BB2ADF"/>
    <w:rsid w:val="00BB2C6B"/>
    <w:rsid w:val="00BB2F09"/>
    <w:rsid w:val="00BB3119"/>
    <w:rsid w:val="00BB3273"/>
    <w:rsid w:val="00BB4898"/>
    <w:rsid w:val="00BB4FB0"/>
    <w:rsid w:val="00BB5955"/>
    <w:rsid w:val="00BB6253"/>
    <w:rsid w:val="00BB6460"/>
    <w:rsid w:val="00BB672E"/>
    <w:rsid w:val="00BB6C12"/>
    <w:rsid w:val="00BB71F0"/>
    <w:rsid w:val="00BB7226"/>
    <w:rsid w:val="00BB750C"/>
    <w:rsid w:val="00BB7594"/>
    <w:rsid w:val="00BB7605"/>
    <w:rsid w:val="00BB76B6"/>
    <w:rsid w:val="00BB78D3"/>
    <w:rsid w:val="00BB79C5"/>
    <w:rsid w:val="00BB7AF6"/>
    <w:rsid w:val="00BC02A2"/>
    <w:rsid w:val="00BC05E3"/>
    <w:rsid w:val="00BC138F"/>
    <w:rsid w:val="00BC13C8"/>
    <w:rsid w:val="00BC1AB7"/>
    <w:rsid w:val="00BC1E2F"/>
    <w:rsid w:val="00BC1E5E"/>
    <w:rsid w:val="00BC24EC"/>
    <w:rsid w:val="00BC2D76"/>
    <w:rsid w:val="00BC2DD9"/>
    <w:rsid w:val="00BC3492"/>
    <w:rsid w:val="00BC3618"/>
    <w:rsid w:val="00BC366F"/>
    <w:rsid w:val="00BC4399"/>
    <w:rsid w:val="00BC4F43"/>
    <w:rsid w:val="00BC530C"/>
    <w:rsid w:val="00BC531E"/>
    <w:rsid w:val="00BC54DF"/>
    <w:rsid w:val="00BC5ED1"/>
    <w:rsid w:val="00BC61A4"/>
    <w:rsid w:val="00BC646B"/>
    <w:rsid w:val="00BC6BA8"/>
    <w:rsid w:val="00BC733F"/>
    <w:rsid w:val="00BC7813"/>
    <w:rsid w:val="00BC7B86"/>
    <w:rsid w:val="00BC7D28"/>
    <w:rsid w:val="00BC7F5C"/>
    <w:rsid w:val="00BD01F1"/>
    <w:rsid w:val="00BD074E"/>
    <w:rsid w:val="00BD0C71"/>
    <w:rsid w:val="00BD0E6C"/>
    <w:rsid w:val="00BD1319"/>
    <w:rsid w:val="00BD15D8"/>
    <w:rsid w:val="00BD2065"/>
    <w:rsid w:val="00BD2A09"/>
    <w:rsid w:val="00BD31DD"/>
    <w:rsid w:val="00BD358C"/>
    <w:rsid w:val="00BD36AB"/>
    <w:rsid w:val="00BD40EF"/>
    <w:rsid w:val="00BD4145"/>
    <w:rsid w:val="00BD43E3"/>
    <w:rsid w:val="00BD5221"/>
    <w:rsid w:val="00BD5346"/>
    <w:rsid w:val="00BD56C4"/>
    <w:rsid w:val="00BD5EDD"/>
    <w:rsid w:val="00BD5FDA"/>
    <w:rsid w:val="00BD644B"/>
    <w:rsid w:val="00BD6890"/>
    <w:rsid w:val="00BD69C9"/>
    <w:rsid w:val="00BD6FF1"/>
    <w:rsid w:val="00BE01B6"/>
    <w:rsid w:val="00BE01CA"/>
    <w:rsid w:val="00BE0685"/>
    <w:rsid w:val="00BE08A7"/>
    <w:rsid w:val="00BE08E0"/>
    <w:rsid w:val="00BE0C68"/>
    <w:rsid w:val="00BE113B"/>
    <w:rsid w:val="00BE1272"/>
    <w:rsid w:val="00BE18AE"/>
    <w:rsid w:val="00BE2010"/>
    <w:rsid w:val="00BE3738"/>
    <w:rsid w:val="00BE3994"/>
    <w:rsid w:val="00BE42C2"/>
    <w:rsid w:val="00BE4728"/>
    <w:rsid w:val="00BE4C7A"/>
    <w:rsid w:val="00BE4E99"/>
    <w:rsid w:val="00BE50C3"/>
    <w:rsid w:val="00BE6156"/>
    <w:rsid w:val="00BE7024"/>
    <w:rsid w:val="00BE7518"/>
    <w:rsid w:val="00BF0362"/>
    <w:rsid w:val="00BF065F"/>
    <w:rsid w:val="00BF0BF5"/>
    <w:rsid w:val="00BF2663"/>
    <w:rsid w:val="00BF2664"/>
    <w:rsid w:val="00BF2E9B"/>
    <w:rsid w:val="00BF361B"/>
    <w:rsid w:val="00BF3727"/>
    <w:rsid w:val="00BF41EC"/>
    <w:rsid w:val="00BF580A"/>
    <w:rsid w:val="00BF59DA"/>
    <w:rsid w:val="00BF5BF5"/>
    <w:rsid w:val="00BF64AB"/>
    <w:rsid w:val="00BF6650"/>
    <w:rsid w:val="00BF6925"/>
    <w:rsid w:val="00BF6B25"/>
    <w:rsid w:val="00BF7516"/>
    <w:rsid w:val="00BF780F"/>
    <w:rsid w:val="00BF7AD6"/>
    <w:rsid w:val="00BF7E2F"/>
    <w:rsid w:val="00C00399"/>
    <w:rsid w:val="00C0040D"/>
    <w:rsid w:val="00C0083D"/>
    <w:rsid w:val="00C008AC"/>
    <w:rsid w:val="00C008BC"/>
    <w:rsid w:val="00C009C9"/>
    <w:rsid w:val="00C01044"/>
    <w:rsid w:val="00C01B44"/>
    <w:rsid w:val="00C01F5C"/>
    <w:rsid w:val="00C028A6"/>
    <w:rsid w:val="00C02B69"/>
    <w:rsid w:val="00C038FB"/>
    <w:rsid w:val="00C0410C"/>
    <w:rsid w:val="00C0432F"/>
    <w:rsid w:val="00C045C6"/>
    <w:rsid w:val="00C0493D"/>
    <w:rsid w:val="00C056BA"/>
    <w:rsid w:val="00C05D6B"/>
    <w:rsid w:val="00C05EEF"/>
    <w:rsid w:val="00C063DC"/>
    <w:rsid w:val="00C064B6"/>
    <w:rsid w:val="00C0672E"/>
    <w:rsid w:val="00C0682F"/>
    <w:rsid w:val="00C06BA7"/>
    <w:rsid w:val="00C07B2E"/>
    <w:rsid w:val="00C07D4F"/>
    <w:rsid w:val="00C10725"/>
    <w:rsid w:val="00C10824"/>
    <w:rsid w:val="00C109D1"/>
    <w:rsid w:val="00C10EBA"/>
    <w:rsid w:val="00C10F73"/>
    <w:rsid w:val="00C115C0"/>
    <w:rsid w:val="00C120BF"/>
    <w:rsid w:val="00C1234F"/>
    <w:rsid w:val="00C13EC6"/>
    <w:rsid w:val="00C13FE9"/>
    <w:rsid w:val="00C14C7B"/>
    <w:rsid w:val="00C14FD5"/>
    <w:rsid w:val="00C15139"/>
    <w:rsid w:val="00C1536D"/>
    <w:rsid w:val="00C15490"/>
    <w:rsid w:val="00C1564D"/>
    <w:rsid w:val="00C1602E"/>
    <w:rsid w:val="00C1685F"/>
    <w:rsid w:val="00C16B6C"/>
    <w:rsid w:val="00C171B9"/>
    <w:rsid w:val="00C173C3"/>
    <w:rsid w:val="00C179E4"/>
    <w:rsid w:val="00C17B22"/>
    <w:rsid w:val="00C17D05"/>
    <w:rsid w:val="00C17F1D"/>
    <w:rsid w:val="00C20554"/>
    <w:rsid w:val="00C20CDF"/>
    <w:rsid w:val="00C213CB"/>
    <w:rsid w:val="00C21584"/>
    <w:rsid w:val="00C218F6"/>
    <w:rsid w:val="00C21985"/>
    <w:rsid w:val="00C219CC"/>
    <w:rsid w:val="00C21A42"/>
    <w:rsid w:val="00C222A0"/>
    <w:rsid w:val="00C224D2"/>
    <w:rsid w:val="00C2264B"/>
    <w:rsid w:val="00C2264C"/>
    <w:rsid w:val="00C22665"/>
    <w:rsid w:val="00C23051"/>
    <w:rsid w:val="00C2382F"/>
    <w:rsid w:val="00C2445D"/>
    <w:rsid w:val="00C24F74"/>
    <w:rsid w:val="00C24FF6"/>
    <w:rsid w:val="00C2549C"/>
    <w:rsid w:val="00C2555D"/>
    <w:rsid w:val="00C2562D"/>
    <w:rsid w:val="00C25900"/>
    <w:rsid w:val="00C25FBF"/>
    <w:rsid w:val="00C263AE"/>
    <w:rsid w:val="00C2677B"/>
    <w:rsid w:val="00C26858"/>
    <w:rsid w:val="00C2698F"/>
    <w:rsid w:val="00C26CEA"/>
    <w:rsid w:val="00C26F03"/>
    <w:rsid w:val="00C276BC"/>
    <w:rsid w:val="00C27DA1"/>
    <w:rsid w:val="00C30255"/>
    <w:rsid w:val="00C303E7"/>
    <w:rsid w:val="00C3092B"/>
    <w:rsid w:val="00C30D2F"/>
    <w:rsid w:val="00C312EF"/>
    <w:rsid w:val="00C3151F"/>
    <w:rsid w:val="00C31647"/>
    <w:rsid w:val="00C31B72"/>
    <w:rsid w:val="00C31EE5"/>
    <w:rsid w:val="00C31FAF"/>
    <w:rsid w:val="00C32E97"/>
    <w:rsid w:val="00C3306B"/>
    <w:rsid w:val="00C333D8"/>
    <w:rsid w:val="00C3356D"/>
    <w:rsid w:val="00C33B82"/>
    <w:rsid w:val="00C34418"/>
    <w:rsid w:val="00C345DF"/>
    <w:rsid w:val="00C34A49"/>
    <w:rsid w:val="00C34FA2"/>
    <w:rsid w:val="00C35CA6"/>
    <w:rsid w:val="00C364C3"/>
    <w:rsid w:val="00C36880"/>
    <w:rsid w:val="00C36ABA"/>
    <w:rsid w:val="00C36AF4"/>
    <w:rsid w:val="00C36DEA"/>
    <w:rsid w:val="00C37051"/>
    <w:rsid w:val="00C40061"/>
    <w:rsid w:val="00C40367"/>
    <w:rsid w:val="00C408C6"/>
    <w:rsid w:val="00C40C73"/>
    <w:rsid w:val="00C41955"/>
    <w:rsid w:val="00C42175"/>
    <w:rsid w:val="00C42863"/>
    <w:rsid w:val="00C42A63"/>
    <w:rsid w:val="00C433AF"/>
    <w:rsid w:val="00C43BEE"/>
    <w:rsid w:val="00C44627"/>
    <w:rsid w:val="00C4470C"/>
    <w:rsid w:val="00C44C8E"/>
    <w:rsid w:val="00C45384"/>
    <w:rsid w:val="00C4576D"/>
    <w:rsid w:val="00C45F30"/>
    <w:rsid w:val="00C4691C"/>
    <w:rsid w:val="00C46D34"/>
    <w:rsid w:val="00C46E77"/>
    <w:rsid w:val="00C470F6"/>
    <w:rsid w:val="00C473DB"/>
    <w:rsid w:val="00C502D7"/>
    <w:rsid w:val="00C503F3"/>
    <w:rsid w:val="00C505B5"/>
    <w:rsid w:val="00C50725"/>
    <w:rsid w:val="00C50FC6"/>
    <w:rsid w:val="00C513CC"/>
    <w:rsid w:val="00C514C4"/>
    <w:rsid w:val="00C516CE"/>
    <w:rsid w:val="00C51BA8"/>
    <w:rsid w:val="00C51DBD"/>
    <w:rsid w:val="00C52648"/>
    <w:rsid w:val="00C52763"/>
    <w:rsid w:val="00C52890"/>
    <w:rsid w:val="00C52C40"/>
    <w:rsid w:val="00C52CC3"/>
    <w:rsid w:val="00C52D1C"/>
    <w:rsid w:val="00C5317C"/>
    <w:rsid w:val="00C536BE"/>
    <w:rsid w:val="00C540DF"/>
    <w:rsid w:val="00C54346"/>
    <w:rsid w:val="00C545FC"/>
    <w:rsid w:val="00C5494D"/>
    <w:rsid w:val="00C54C65"/>
    <w:rsid w:val="00C55050"/>
    <w:rsid w:val="00C55B55"/>
    <w:rsid w:val="00C560F4"/>
    <w:rsid w:val="00C56CB3"/>
    <w:rsid w:val="00C5730E"/>
    <w:rsid w:val="00C57578"/>
    <w:rsid w:val="00C57582"/>
    <w:rsid w:val="00C576DF"/>
    <w:rsid w:val="00C57C18"/>
    <w:rsid w:val="00C602A6"/>
    <w:rsid w:val="00C6032C"/>
    <w:rsid w:val="00C604E4"/>
    <w:rsid w:val="00C60670"/>
    <w:rsid w:val="00C607BB"/>
    <w:rsid w:val="00C60BC5"/>
    <w:rsid w:val="00C61131"/>
    <w:rsid w:val="00C611F4"/>
    <w:rsid w:val="00C61561"/>
    <w:rsid w:val="00C61861"/>
    <w:rsid w:val="00C61B54"/>
    <w:rsid w:val="00C61EB4"/>
    <w:rsid w:val="00C61F2C"/>
    <w:rsid w:val="00C61FE5"/>
    <w:rsid w:val="00C62091"/>
    <w:rsid w:val="00C62C56"/>
    <w:rsid w:val="00C62CAD"/>
    <w:rsid w:val="00C62EB6"/>
    <w:rsid w:val="00C632A7"/>
    <w:rsid w:val="00C636AB"/>
    <w:rsid w:val="00C63E21"/>
    <w:rsid w:val="00C63F40"/>
    <w:rsid w:val="00C644C0"/>
    <w:rsid w:val="00C64AA1"/>
    <w:rsid w:val="00C64B8D"/>
    <w:rsid w:val="00C64C3D"/>
    <w:rsid w:val="00C64DF8"/>
    <w:rsid w:val="00C6549F"/>
    <w:rsid w:val="00C65C22"/>
    <w:rsid w:val="00C66D6D"/>
    <w:rsid w:val="00C66DDB"/>
    <w:rsid w:val="00C671E6"/>
    <w:rsid w:val="00C675FC"/>
    <w:rsid w:val="00C7052D"/>
    <w:rsid w:val="00C706E5"/>
    <w:rsid w:val="00C728F5"/>
    <w:rsid w:val="00C72B29"/>
    <w:rsid w:val="00C72BAB"/>
    <w:rsid w:val="00C72CCD"/>
    <w:rsid w:val="00C735D9"/>
    <w:rsid w:val="00C7392C"/>
    <w:rsid w:val="00C73C76"/>
    <w:rsid w:val="00C743F4"/>
    <w:rsid w:val="00C74434"/>
    <w:rsid w:val="00C744FD"/>
    <w:rsid w:val="00C74AAD"/>
    <w:rsid w:val="00C74BCE"/>
    <w:rsid w:val="00C74DDC"/>
    <w:rsid w:val="00C75A03"/>
    <w:rsid w:val="00C75A04"/>
    <w:rsid w:val="00C75BC3"/>
    <w:rsid w:val="00C7647B"/>
    <w:rsid w:val="00C76EAF"/>
    <w:rsid w:val="00C77071"/>
    <w:rsid w:val="00C77227"/>
    <w:rsid w:val="00C77290"/>
    <w:rsid w:val="00C779D4"/>
    <w:rsid w:val="00C77D1F"/>
    <w:rsid w:val="00C802FE"/>
    <w:rsid w:val="00C80800"/>
    <w:rsid w:val="00C8088E"/>
    <w:rsid w:val="00C80AEA"/>
    <w:rsid w:val="00C80DC1"/>
    <w:rsid w:val="00C813B8"/>
    <w:rsid w:val="00C81A78"/>
    <w:rsid w:val="00C81AFB"/>
    <w:rsid w:val="00C81C79"/>
    <w:rsid w:val="00C82394"/>
    <w:rsid w:val="00C82B8C"/>
    <w:rsid w:val="00C82C78"/>
    <w:rsid w:val="00C837EB"/>
    <w:rsid w:val="00C83DF6"/>
    <w:rsid w:val="00C8461B"/>
    <w:rsid w:val="00C84A6E"/>
    <w:rsid w:val="00C84B9F"/>
    <w:rsid w:val="00C85BDF"/>
    <w:rsid w:val="00C8635F"/>
    <w:rsid w:val="00C867A4"/>
    <w:rsid w:val="00C86A2D"/>
    <w:rsid w:val="00C86BB1"/>
    <w:rsid w:val="00C87443"/>
    <w:rsid w:val="00C874A5"/>
    <w:rsid w:val="00C879F6"/>
    <w:rsid w:val="00C87EE3"/>
    <w:rsid w:val="00C90161"/>
    <w:rsid w:val="00C90979"/>
    <w:rsid w:val="00C90A55"/>
    <w:rsid w:val="00C90D3A"/>
    <w:rsid w:val="00C9138A"/>
    <w:rsid w:val="00C913EB"/>
    <w:rsid w:val="00C918A5"/>
    <w:rsid w:val="00C91EC9"/>
    <w:rsid w:val="00C92256"/>
    <w:rsid w:val="00C93152"/>
    <w:rsid w:val="00C931C4"/>
    <w:rsid w:val="00C93D06"/>
    <w:rsid w:val="00C93D78"/>
    <w:rsid w:val="00C9450C"/>
    <w:rsid w:val="00C94C32"/>
    <w:rsid w:val="00C94E82"/>
    <w:rsid w:val="00C95299"/>
    <w:rsid w:val="00C957C6"/>
    <w:rsid w:val="00C95A42"/>
    <w:rsid w:val="00C964B6"/>
    <w:rsid w:val="00C96D0E"/>
    <w:rsid w:val="00C97256"/>
    <w:rsid w:val="00C97526"/>
    <w:rsid w:val="00C97D6B"/>
    <w:rsid w:val="00CA0478"/>
    <w:rsid w:val="00CA0A83"/>
    <w:rsid w:val="00CA0FB6"/>
    <w:rsid w:val="00CA139A"/>
    <w:rsid w:val="00CA149D"/>
    <w:rsid w:val="00CA18CF"/>
    <w:rsid w:val="00CA1DA9"/>
    <w:rsid w:val="00CA276C"/>
    <w:rsid w:val="00CA2D90"/>
    <w:rsid w:val="00CA2DC3"/>
    <w:rsid w:val="00CA4031"/>
    <w:rsid w:val="00CA4391"/>
    <w:rsid w:val="00CA45D7"/>
    <w:rsid w:val="00CA4D6E"/>
    <w:rsid w:val="00CA51F5"/>
    <w:rsid w:val="00CA5609"/>
    <w:rsid w:val="00CA649B"/>
    <w:rsid w:val="00CA6560"/>
    <w:rsid w:val="00CA6CF3"/>
    <w:rsid w:val="00CA78D8"/>
    <w:rsid w:val="00CA7DED"/>
    <w:rsid w:val="00CB09CA"/>
    <w:rsid w:val="00CB1699"/>
    <w:rsid w:val="00CB1DCC"/>
    <w:rsid w:val="00CB1E7E"/>
    <w:rsid w:val="00CB2262"/>
    <w:rsid w:val="00CB2854"/>
    <w:rsid w:val="00CB2B79"/>
    <w:rsid w:val="00CB2EE2"/>
    <w:rsid w:val="00CB33A9"/>
    <w:rsid w:val="00CB34EE"/>
    <w:rsid w:val="00CB3B21"/>
    <w:rsid w:val="00CB4025"/>
    <w:rsid w:val="00CB4963"/>
    <w:rsid w:val="00CB4AD7"/>
    <w:rsid w:val="00CB59C9"/>
    <w:rsid w:val="00CB5A89"/>
    <w:rsid w:val="00CB5F45"/>
    <w:rsid w:val="00CB68B7"/>
    <w:rsid w:val="00CB69AC"/>
    <w:rsid w:val="00CC0562"/>
    <w:rsid w:val="00CC0662"/>
    <w:rsid w:val="00CC0CF0"/>
    <w:rsid w:val="00CC0DFC"/>
    <w:rsid w:val="00CC1C31"/>
    <w:rsid w:val="00CC2274"/>
    <w:rsid w:val="00CC23A7"/>
    <w:rsid w:val="00CC2826"/>
    <w:rsid w:val="00CC282F"/>
    <w:rsid w:val="00CC298A"/>
    <w:rsid w:val="00CC2E4D"/>
    <w:rsid w:val="00CC426A"/>
    <w:rsid w:val="00CC48A1"/>
    <w:rsid w:val="00CC4FDD"/>
    <w:rsid w:val="00CC50F3"/>
    <w:rsid w:val="00CC518C"/>
    <w:rsid w:val="00CC56CF"/>
    <w:rsid w:val="00CC599B"/>
    <w:rsid w:val="00CC5C44"/>
    <w:rsid w:val="00CC6283"/>
    <w:rsid w:val="00CC6311"/>
    <w:rsid w:val="00CC65A5"/>
    <w:rsid w:val="00CC7338"/>
    <w:rsid w:val="00CC75EB"/>
    <w:rsid w:val="00CC7898"/>
    <w:rsid w:val="00CD023C"/>
    <w:rsid w:val="00CD06F3"/>
    <w:rsid w:val="00CD09E2"/>
    <w:rsid w:val="00CD101E"/>
    <w:rsid w:val="00CD1750"/>
    <w:rsid w:val="00CD1760"/>
    <w:rsid w:val="00CD1963"/>
    <w:rsid w:val="00CD1AA3"/>
    <w:rsid w:val="00CD1B51"/>
    <w:rsid w:val="00CD1C15"/>
    <w:rsid w:val="00CD2265"/>
    <w:rsid w:val="00CD29C9"/>
    <w:rsid w:val="00CD2B76"/>
    <w:rsid w:val="00CD3790"/>
    <w:rsid w:val="00CD3DE2"/>
    <w:rsid w:val="00CD3F5B"/>
    <w:rsid w:val="00CD4155"/>
    <w:rsid w:val="00CD46B6"/>
    <w:rsid w:val="00CD4C1F"/>
    <w:rsid w:val="00CD5998"/>
    <w:rsid w:val="00CD5F38"/>
    <w:rsid w:val="00CD6153"/>
    <w:rsid w:val="00CD638B"/>
    <w:rsid w:val="00CD65CD"/>
    <w:rsid w:val="00CD65E3"/>
    <w:rsid w:val="00CD6762"/>
    <w:rsid w:val="00CD68CB"/>
    <w:rsid w:val="00CD6BBD"/>
    <w:rsid w:val="00CD6E0E"/>
    <w:rsid w:val="00CD7837"/>
    <w:rsid w:val="00CD7C42"/>
    <w:rsid w:val="00CE0B46"/>
    <w:rsid w:val="00CE1220"/>
    <w:rsid w:val="00CE18F7"/>
    <w:rsid w:val="00CE1CD4"/>
    <w:rsid w:val="00CE1E75"/>
    <w:rsid w:val="00CE2071"/>
    <w:rsid w:val="00CE2AF4"/>
    <w:rsid w:val="00CE2C77"/>
    <w:rsid w:val="00CE32C8"/>
    <w:rsid w:val="00CE34B7"/>
    <w:rsid w:val="00CE3933"/>
    <w:rsid w:val="00CE3AF3"/>
    <w:rsid w:val="00CE466F"/>
    <w:rsid w:val="00CE4A56"/>
    <w:rsid w:val="00CE4DB4"/>
    <w:rsid w:val="00CE53B0"/>
    <w:rsid w:val="00CE575E"/>
    <w:rsid w:val="00CE5AC9"/>
    <w:rsid w:val="00CE5CEE"/>
    <w:rsid w:val="00CE6033"/>
    <w:rsid w:val="00CE6A97"/>
    <w:rsid w:val="00CE703D"/>
    <w:rsid w:val="00CE7CEF"/>
    <w:rsid w:val="00CE7DC2"/>
    <w:rsid w:val="00CE7DFE"/>
    <w:rsid w:val="00CF02E7"/>
    <w:rsid w:val="00CF03B4"/>
    <w:rsid w:val="00CF14B0"/>
    <w:rsid w:val="00CF1546"/>
    <w:rsid w:val="00CF1BE4"/>
    <w:rsid w:val="00CF2048"/>
    <w:rsid w:val="00CF2148"/>
    <w:rsid w:val="00CF2795"/>
    <w:rsid w:val="00CF3342"/>
    <w:rsid w:val="00CF3593"/>
    <w:rsid w:val="00CF40D1"/>
    <w:rsid w:val="00CF480B"/>
    <w:rsid w:val="00CF493C"/>
    <w:rsid w:val="00CF49E0"/>
    <w:rsid w:val="00CF52E4"/>
    <w:rsid w:val="00CF57C5"/>
    <w:rsid w:val="00CF58F4"/>
    <w:rsid w:val="00CF5D00"/>
    <w:rsid w:val="00CF5D7A"/>
    <w:rsid w:val="00CF5F2A"/>
    <w:rsid w:val="00CF6536"/>
    <w:rsid w:val="00CF732C"/>
    <w:rsid w:val="00CF7A07"/>
    <w:rsid w:val="00CF7C10"/>
    <w:rsid w:val="00CF7C2A"/>
    <w:rsid w:val="00D001F6"/>
    <w:rsid w:val="00D00EBE"/>
    <w:rsid w:val="00D00F43"/>
    <w:rsid w:val="00D00F89"/>
    <w:rsid w:val="00D01263"/>
    <w:rsid w:val="00D012AE"/>
    <w:rsid w:val="00D0145A"/>
    <w:rsid w:val="00D017BC"/>
    <w:rsid w:val="00D01AD9"/>
    <w:rsid w:val="00D01B57"/>
    <w:rsid w:val="00D01C7B"/>
    <w:rsid w:val="00D0242E"/>
    <w:rsid w:val="00D02695"/>
    <w:rsid w:val="00D0321B"/>
    <w:rsid w:val="00D03DEC"/>
    <w:rsid w:val="00D0418D"/>
    <w:rsid w:val="00D04A05"/>
    <w:rsid w:val="00D04C3B"/>
    <w:rsid w:val="00D04D28"/>
    <w:rsid w:val="00D050AD"/>
    <w:rsid w:val="00D05491"/>
    <w:rsid w:val="00D055F2"/>
    <w:rsid w:val="00D05A4D"/>
    <w:rsid w:val="00D05B33"/>
    <w:rsid w:val="00D05C65"/>
    <w:rsid w:val="00D05DEE"/>
    <w:rsid w:val="00D06428"/>
    <w:rsid w:val="00D065DD"/>
    <w:rsid w:val="00D0687A"/>
    <w:rsid w:val="00D06973"/>
    <w:rsid w:val="00D06B31"/>
    <w:rsid w:val="00D06CF9"/>
    <w:rsid w:val="00D06D56"/>
    <w:rsid w:val="00D070EF"/>
    <w:rsid w:val="00D076A1"/>
    <w:rsid w:val="00D07DFD"/>
    <w:rsid w:val="00D100BD"/>
    <w:rsid w:val="00D100F4"/>
    <w:rsid w:val="00D102FE"/>
    <w:rsid w:val="00D105C2"/>
    <w:rsid w:val="00D1064A"/>
    <w:rsid w:val="00D1150F"/>
    <w:rsid w:val="00D11517"/>
    <w:rsid w:val="00D11644"/>
    <w:rsid w:val="00D11B4F"/>
    <w:rsid w:val="00D11F46"/>
    <w:rsid w:val="00D1207E"/>
    <w:rsid w:val="00D120D7"/>
    <w:rsid w:val="00D1227A"/>
    <w:rsid w:val="00D12621"/>
    <w:rsid w:val="00D13081"/>
    <w:rsid w:val="00D1330F"/>
    <w:rsid w:val="00D1365A"/>
    <w:rsid w:val="00D13A23"/>
    <w:rsid w:val="00D13D96"/>
    <w:rsid w:val="00D14286"/>
    <w:rsid w:val="00D142A1"/>
    <w:rsid w:val="00D1468F"/>
    <w:rsid w:val="00D14B69"/>
    <w:rsid w:val="00D14B77"/>
    <w:rsid w:val="00D16055"/>
    <w:rsid w:val="00D16236"/>
    <w:rsid w:val="00D16830"/>
    <w:rsid w:val="00D16E55"/>
    <w:rsid w:val="00D173D6"/>
    <w:rsid w:val="00D17646"/>
    <w:rsid w:val="00D17B58"/>
    <w:rsid w:val="00D17F98"/>
    <w:rsid w:val="00D20299"/>
    <w:rsid w:val="00D21037"/>
    <w:rsid w:val="00D21232"/>
    <w:rsid w:val="00D21BB3"/>
    <w:rsid w:val="00D21F2E"/>
    <w:rsid w:val="00D224C8"/>
    <w:rsid w:val="00D22523"/>
    <w:rsid w:val="00D22A78"/>
    <w:rsid w:val="00D22ACE"/>
    <w:rsid w:val="00D22B93"/>
    <w:rsid w:val="00D23197"/>
    <w:rsid w:val="00D23A27"/>
    <w:rsid w:val="00D23D96"/>
    <w:rsid w:val="00D23E2E"/>
    <w:rsid w:val="00D24603"/>
    <w:rsid w:val="00D248B3"/>
    <w:rsid w:val="00D24B71"/>
    <w:rsid w:val="00D2515F"/>
    <w:rsid w:val="00D255D5"/>
    <w:rsid w:val="00D26182"/>
    <w:rsid w:val="00D268E0"/>
    <w:rsid w:val="00D26AA9"/>
    <w:rsid w:val="00D26BA7"/>
    <w:rsid w:val="00D26D03"/>
    <w:rsid w:val="00D27328"/>
    <w:rsid w:val="00D274EC"/>
    <w:rsid w:val="00D27840"/>
    <w:rsid w:val="00D27E24"/>
    <w:rsid w:val="00D31F41"/>
    <w:rsid w:val="00D32403"/>
    <w:rsid w:val="00D3289E"/>
    <w:rsid w:val="00D32E29"/>
    <w:rsid w:val="00D330C0"/>
    <w:rsid w:val="00D333E9"/>
    <w:rsid w:val="00D335AD"/>
    <w:rsid w:val="00D33833"/>
    <w:rsid w:val="00D3396D"/>
    <w:rsid w:val="00D33D45"/>
    <w:rsid w:val="00D340F8"/>
    <w:rsid w:val="00D341AB"/>
    <w:rsid w:val="00D344C5"/>
    <w:rsid w:val="00D35B49"/>
    <w:rsid w:val="00D373D0"/>
    <w:rsid w:val="00D37710"/>
    <w:rsid w:val="00D37AB8"/>
    <w:rsid w:val="00D37F5C"/>
    <w:rsid w:val="00D4048C"/>
    <w:rsid w:val="00D413DD"/>
    <w:rsid w:val="00D414F8"/>
    <w:rsid w:val="00D41832"/>
    <w:rsid w:val="00D41C2E"/>
    <w:rsid w:val="00D41D78"/>
    <w:rsid w:val="00D41F5B"/>
    <w:rsid w:val="00D4246F"/>
    <w:rsid w:val="00D42814"/>
    <w:rsid w:val="00D42A38"/>
    <w:rsid w:val="00D42A39"/>
    <w:rsid w:val="00D42F1E"/>
    <w:rsid w:val="00D43365"/>
    <w:rsid w:val="00D43730"/>
    <w:rsid w:val="00D43CEF"/>
    <w:rsid w:val="00D43EDA"/>
    <w:rsid w:val="00D44064"/>
    <w:rsid w:val="00D445BE"/>
    <w:rsid w:val="00D44649"/>
    <w:rsid w:val="00D448E3"/>
    <w:rsid w:val="00D44A31"/>
    <w:rsid w:val="00D44AEE"/>
    <w:rsid w:val="00D44C32"/>
    <w:rsid w:val="00D44CA7"/>
    <w:rsid w:val="00D44E25"/>
    <w:rsid w:val="00D45129"/>
    <w:rsid w:val="00D4545C"/>
    <w:rsid w:val="00D45634"/>
    <w:rsid w:val="00D45BA0"/>
    <w:rsid w:val="00D45E1A"/>
    <w:rsid w:val="00D45F23"/>
    <w:rsid w:val="00D460EE"/>
    <w:rsid w:val="00D46206"/>
    <w:rsid w:val="00D4642E"/>
    <w:rsid w:val="00D468F3"/>
    <w:rsid w:val="00D46CBD"/>
    <w:rsid w:val="00D46E9E"/>
    <w:rsid w:val="00D46F68"/>
    <w:rsid w:val="00D478F9"/>
    <w:rsid w:val="00D4792E"/>
    <w:rsid w:val="00D47A2D"/>
    <w:rsid w:val="00D50273"/>
    <w:rsid w:val="00D50611"/>
    <w:rsid w:val="00D507AD"/>
    <w:rsid w:val="00D50C32"/>
    <w:rsid w:val="00D51BBC"/>
    <w:rsid w:val="00D5210F"/>
    <w:rsid w:val="00D52A33"/>
    <w:rsid w:val="00D52B5A"/>
    <w:rsid w:val="00D52DD4"/>
    <w:rsid w:val="00D530A7"/>
    <w:rsid w:val="00D538F6"/>
    <w:rsid w:val="00D54479"/>
    <w:rsid w:val="00D54F4A"/>
    <w:rsid w:val="00D55F7D"/>
    <w:rsid w:val="00D5620F"/>
    <w:rsid w:val="00D56F9F"/>
    <w:rsid w:val="00D57015"/>
    <w:rsid w:val="00D576C3"/>
    <w:rsid w:val="00D6045F"/>
    <w:rsid w:val="00D60A5A"/>
    <w:rsid w:val="00D614A3"/>
    <w:rsid w:val="00D61580"/>
    <w:rsid w:val="00D61678"/>
    <w:rsid w:val="00D61A44"/>
    <w:rsid w:val="00D6224C"/>
    <w:rsid w:val="00D62913"/>
    <w:rsid w:val="00D629C4"/>
    <w:rsid w:val="00D62B17"/>
    <w:rsid w:val="00D62F8B"/>
    <w:rsid w:val="00D63A04"/>
    <w:rsid w:val="00D65510"/>
    <w:rsid w:val="00D65856"/>
    <w:rsid w:val="00D6595F"/>
    <w:rsid w:val="00D665D9"/>
    <w:rsid w:val="00D66B94"/>
    <w:rsid w:val="00D67047"/>
    <w:rsid w:val="00D674D7"/>
    <w:rsid w:val="00D676F8"/>
    <w:rsid w:val="00D704EE"/>
    <w:rsid w:val="00D70767"/>
    <w:rsid w:val="00D70DD5"/>
    <w:rsid w:val="00D71343"/>
    <w:rsid w:val="00D714D0"/>
    <w:rsid w:val="00D71C6B"/>
    <w:rsid w:val="00D7246C"/>
    <w:rsid w:val="00D72A9F"/>
    <w:rsid w:val="00D72BA3"/>
    <w:rsid w:val="00D72E58"/>
    <w:rsid w:val="00D73197"/>
    <w:rsid w:val="00D73359"/>
    <w:rsid w:val="00D73663"/>
    <w:rsid w:val="00D73A3C"/>
    <w:rsid w:val="00D73A8F"/>
    <w:rsid w:val="00D73BD1"/>
    <w:rsid w:val="00D73C32"/>
    <w:rsid w:val="00D73DBF"/>
    <w:rsid w:val="00D74063"/>
    <w:rsid w:val="00D746CF"/>
    <w:rsid w:val="00D748D5"/>
    <w:rsid w:val="00D74EE8"/>
    <w:rsid w:val="00D75115"/>
    <w:rsid w:val="00D75CCF"/>
    <w:rsid w:val="00D765D9"/>
    <w:rsid w:val="00D76F0F"/>
    <w:rsid w:val="00D772A8"/>
    <w:rsid w:val="00D77BCE"/>
    <w:rsid w:val="00D800EE"/>
    <w:rsid w:val="00D80906"/>
    <w:rsid w:val="00D8108D"/>
    <w:rsid w:val="00D812EF"/>
    <w:rsid w:val="00D819A7"/>
    <w:rsid w:val="00D821C9"/>
    <w:rsid w:val="00D82499"/>
    <w:rsid w:val="00D82ACC"/>
    <w:rsid w:val="00D835F7"/>
    <w:rsid w:val="00D836BA"/>
    <w:rsid w:val="00D838AD"/>
    <w:rsid w:val="00D8444D"/>
    <w:rsid w:val="00D849B4"/>
    <w:rsid w:val="00D84C70"/>
    <w:rsid w:val="00D84E79"/>
    <w:rsid w:val="00D85135"/>
    <w:rsid w:val="00D85275"/>
    <w:rsid w:val="00D854A2"/>
    <w:rsid w:val="00D85B86"/>
    <w:rsid w:val="00D8682B"/>
    <w:rsid w:val="00D86A86"/>
    <w:rsid w:val="00D877D4"/>
    <w:rsid w:val="00D87BB6"/>
    <w:rsid w:val="00D90453"/>
    <w:rsid w:val="00D90460"/>
    <w:rsid w:val="00D90505"/>
    <w:rsid w:val="00D9057C"/>
    <w:rsid w:val="00D90659"/>
    <w:rsid w:val="00D90E43"/>
    <w:rsid w:val="00D9118B"/>
    <w:rsid w:val="00D91E9B"/>
    <w:rsid w:val="00D92098"/>
    <w:rsid w:val="00D92732"/>
    <w:rsid w:val="00D92E23"/>
    <w:rsid w:val="00D92F71"/>
    <w:rsid w:val="00D93296"/>
    <w:rsid w:val="00D9330A"/>
    <w:rsid w:val="00D933EA"/>
    <w:rsid w:val="00D93BBA"/>
    <w:rsid w:val="00D93BD9"/>
    <w:rsid w:val="00D93C65"/>
    <w:rsid w:val="00D9449A"/>
    <w:rsid w:val="00D944BD"/>
    <w:rsid w:val="00D94A89"/>
    <w:rsid w:val="00D94B78"/>
    <w:rsid w:val="00D95BFD"/>
    <w:rsid w:val="00D9647D"/>
    <w:rsid w:val="00D96EF9"/>
    <w:rsid w:val="00D9700E"/>
    <w:rsid w:val="00D9712C"/>
    <w:rsid w:val="00D9714E"/>
    <w:rsid w:val="00D972EA"/>
    <w:rsid w:val="00D9763A"/>
    <w:rsid w:val="00D97A83"/>
    <w:rsid w:val="00DA194F"/>
    <w:rsid w:val="00DA2128"/>
    <w:rsid w:val="00DA32A2"/>
    <w:rsid w:val="00DA3D99"/>
    <w:rsid w:val="00DA3E78"/>
    <w:rsid w:val="00DA4014"/>
    <w:rsid w:val="00DA428D"/>
    <w:rsid w:val="00DA482B"/>
    <w:rsid w:val="00DA4AFB"/>
    <w:rsid w:val="00DA4D91"/>
    <w:rsid w:val="00DA4E6D"/>
    <w:rsid w:val="00DA5355"/>
    <w:rsid w:val="00DA5559"/>
    <w:rsid w:val="00DA55AB"/>
    <w:rsid w:val="00DA5A77"/>
    <w:rsid w:val="00DA5B49"/>
    <w:rsid w:val="00DA5EBF"/>
    <w:rsid w:val="00DA5FFC"/>
    <w:rsid w:val="00DA60CE"/>
    <w:rsid w:val="00DA658E"/>
    <w:rsid w:val="00DA7659"/>
    <w:rsid w:val="00DA787E"/>
    <w:rsid w:val="00DB0380"/>
    <w:rsid w:val="00DB06F6"/>
    <w:rsid w:val="00DB0B18"/>
    <w:rsid w:val="00DB0D74"/>
    <w:rsid w:val="00DB1157"/>
    <w:rsid w:val="00DB1628"/>
    <w:rsid w:val="00DB1CE7"/>
    <w:rsid w:val="00DB1E04"/>
    <w:rsid w:val="00DB2211"/>
    <w:rsid w:val="00DB263E"/>
    <w:rsid w:val="00DB2BF0"/>
    <w:rsid w:val="00DB2D0A"/>
    <w:rsid w:val="00DB2E9C"/>
    <w:rsid w:val="00DB334A"/>
    <w:rsid w:val="00DB3613"/>
    <w:rsid w:val="00DB3E9D"/>
    <w:rsid w:val="00DB4D41"/>
    <w:rsid w:val="00DB4E79"/>
    <w:rsid w:val="00DB4FA5"/>
    <w:rsid w:val="00DB560E"/>
    <w:rsid w:val="00DB596C"/>
    <w:rsid w:val="00DB60DA"/>
    <w:rsid w:val="00DB744A"/>
    <w:rsid w:val="00DB76BA"/>
    <w:rsid w:val="00DB773E"/>
    <w:rsid w:val="00DB7C3E"/>
    <w:rsid w:val="00DB7D8A"/>
    <w:rsid w:val="00DC00A8"/>
    <w:rsid w:val="00DC011A"/>
    <w:rsid w:val="00DC025A"/>
    <w:rsid w:val="00DC03A7"/>
    <w:rsid w:val="00DC0577"/>
    <w:rsid w:val="00DC08C4"/>
    <w:rsid w:val="00DC11E0"/>
    <w:rsid w:val="00DC187E"/>
    <w:rsid w:val="00DC238E"/>
    <w:rsid w:val="00DC2791"/>
    <w:rsid w:val="00DC2D96"/>
    <w:rsid w:val="00DC2E79"/>
    <w:rsid w:val="00DC2ECF"/>
    <w:rsid w:val="00DC3033"/>
    <w:rsid w:val="00DC30BD"/>
    <w:rsid w:val="00DC31C6"/>
    <w:rsid w:val="00DC39AD"/>
    <w:rsid w:val="00DC4053"/>
    <w:rsid w:val="00DC4379"/>
    <w:rsid w:val="00DC44E4"/>
    <w:rsid w:val="00DC48F5"/>
    <w:rsid w:val="00DC50D4"/>
    <w:rsid w:val="00DC6B35"/>
    <w:rsid w:val="00DC6D21"/>
    <w:rsid w:val="00DC78A2"/>
    <w:rsid w:val="00DD06D1"/>
    <w:rsid w:val="00DD09A4"/>
    <w:rsid w:val="00DD0ADD"/>
    <w:rsid w:val="00DD19A9"/>
    <w:rsid w:val="00DD1DCE"/>
    <w:rsid w:val="00DD233A"/>
    <w:rsid w:val="00DD2659"/>
    <w:rsid w:val="00DD34A9"/>
    <w:rsid w:val="00DD35AF"/>
    <w:rsid w:val="00DD35B3"/>
    <w:rsid w:val="00DD43C7"/>
    <w:rsid w:val="00DD4F1A"/>
    <w:rsid w:val="00DD4FE0"/>
    <w:rsid w:val="00DD5523"/>
    <w:rsid w:val="00DD5BCC"/>
    <w:rsid w:val="00DD65F5"/>
    <w:rsid w:val="00DD69D9"/>
    <w:rsid w:val="00DD6B28"/>
    <w:rsid w:val="00DD6F08"/>
    <w:rsid w:val="00DD71FD"/>
    <w:rsid w:val="00DD7561"/>
    <w:rsid w:val="00DD7573"/>
    <w:rsid w:val="00DD79FC"/>
    <w:rsid w:val="00DD7FB2"/>
    <w:rsid w:val="00DE0DA8"/>
    <w:rsid w:val="00DE1A5F"/>
    <w:rsid w:val="00DE2166"/>
    <w:rsid w:val="00DE2995"/>
    <w:rsid w:val="00DE2DFC"/>
    <w:rsid w:val="00DE2EC7"/>
    <w:rsid w:val="00DE2FDF"/>
    <w:rsid w:val="00DE3247"/>
    <w:rsid w:val="00DE49AD"/>
    <w:rsid w:val="00DE4BE4"/>
    <w:rsid w:val="00DE4FAD"/>
    <w:rsid w:val="00DE535E"/>
    <w:rsid w:val="00DE59F9"/>
    <w:rsid w:val="00DE5A8F"/>
    <w:rsid w:val="00DE5EA7"/>
    <w:rsid w:val="00DE62FA"/>
    <w:rsid w:val="00DE67B4"/>
    <w:rsid w:val="00DE6ADD"/>
    <w:rsid w:val="00DE7037"/>
    <w:rsid w:val="00DE793C"/>
    <w:rsid w:val="00DE7D09"/>
    <w:rsid w:val="00DF00B2"/>
    <w:rsid w:val="00DF0139"/>
    <w:rsid w:val="00DF02A9"/>
    <w:rsid w:val="00DF0391"/>
    <w:rsid w:val="00DF0CF3"/>
    <w:rsid w:val="00DF1BAF"/>
    <w:rsid w:val="00DF2A0B"/>
    <w:rsid w:val="00DF38D4"/>
    <w:rsid w:val="00DF3BC7"/>
    <w:rsid w:val="00DF5F4F"/>
    <w:rsid w:val="00DF607F"/>
    <w:rsid w:val="00DF6F1D"/>
    <w:rsid w:val="00DF6F46"/>
    <w:rsid w:val="00DF6FC5"/>
    <w:rsid w:val="00DF7143"/>
    <w:rsid w:val="00DF71C5"/>
    <w:rsid w:val="00DF71D1"/>
    <w:rsid w:val="00DF760A"/>
    <w:rsid w:val="00E00058"/>
    <w:rsid w:val="00E00101"/>
    <w:rsid w:val="00E00532"/>
    <w:rsid w:val="00E0091E"/>
    <w:rsid w:val="00E009AA"/>
    <w:rsid w:val="00E00A9D"/>
    <w:rsid w:val="00E00C55"/>
    <w:rsid w:val="00E00E63"/>
    <w:rsid w:val="00E00F55"/>
    <w:rsid w:val="00E00F99"/>
    <w:rsid w:val="00E01526"/>
    <w:rsid w:val="00E02039"/>
    <w:rsid w:val="00E02759"/>
    <w:rsid w:val="00E029C2"/>
    <w:rsid w:val="00E02DC1"/>
    <w:rsid w:val="00E03068"/>
    <w:rsid w:val="00E039F1"/>
    <w:rsid w:val="00E0452F"/>
    <w:rsid w:val="00E04D8D"/>
    <w:rsid w:val="00E058A7"/>
    <w:rsid w:val="00E05AA4"/>
    <w:rsid w:val="00E06279"/>
    <w:rsid w:val="00E06333"/>
    <w:rsid w:val="00E06783"/>
    <w:rsid w:val="00E06A67"/>
    <w:rsid w:val="00E06BA4"/>
    <w:rsid w:val="00E06EC6"/>
    <w:rsid w:val="00E0736A"/>
    <w:rsid w:val="00E0768D"/>
    <w:rsid w:val="00E076CF"/>
    <w:rsid w:val="00E07AE4"/>
    <w:rsid w:val="00E10241"/>
    <w:rsid w:val="00E10542"/>
    <w:rsid w:val="00E11E50"/>
    <w:rsid w:val="00E12295"/>
    <w:rsid w:val="00E1239F"/>
    <w:rsid w:val="00E1271F"/>
    <w:rsid w:val="00E12BDF"/>
    <w:rsid w:val="00E13AA3"/>
    <w:rsid w:val="00E140E3"/>
    <w:rsid w:val="00E14A96"/>
    <w:rsid w:val="00E14D1E"/>
    <w:rsid w:val="00E14ED9"/>
    <w:rsid w:val="00E14F75"/>
    <w:rsid w:val="00E152A2"/>
    <w:rsid w:val="00E15E66"/>
    <w:rsid w:val="00E160CB"/>
    <w:rsid w:val="00E1629D"/>
    <w:rsid w:val="00E165D7"/>
    <w:rsid w:val="00E16E3C"/>
    <w:rsid w:val="00E16FE7"/>
    <w:rsid w:val="00E16FFA"/>
    <w:rsid w:val="00E177A0"/>
    <w:rsid w:val="00E17907"/>
    <w:rsid w:val="00E17A8F"/>
    <w:rsid w:val="00E17BDA"/>
    <w:rsid w:val="00E17C8C"/>
    <w:rsid w:val="00E17F3C"/>
    <w:rsid w:val="00E207D0"/>
    <w:rsid w:val="00E20BFB"/>
    <w:rsid w:val="00E20F3C"/>
    <w:rsid w:val="00E2128E"/>
    <w:rsid w:val="00E220E1"/>
    <w:rsid w:val="00E22FDA"/>
    <w:rsid w:val="00E239F5"/>
    <w:rsid w:val="00E2494E"/>
    <w:rsid w:val="00E2499B"/>
    <w:rsid w:val="00E25125"/>
    <w:rsid w:val="00E25804"/>
    <w:rsid w:val="00E2584A"/>
    <w:rsid w:val="00E26B3F"/>
    <w:rsid w:val="00E26F50"/>
    <w:rsid w:val="00E302A2"/>
    <w:rsid w:val="00E30313"/>
    <w:rsid w:val="00E30478"/>
    <w:rsid w:val="00E306CE"/>
    <w:rsid w:val="00E31522"/>
    <w:rsid w:val="00E31AE3"/>
    <w:rsid w:val="00E332E8"/>
    <w:rsid w:val="00E33939"/>
    <w:rsid w:val="00E33B2E"/>
    <w:rsid w:val="00E33C41"/>
    <w:rsid w:val="00E3450D"/>
    <w:rsid w:val="00E346D0"/>
    <w:rsid w:val="00E348C0"/>
    <w:rsid w:val="00E34C6F"/>
    <w:rsid w:val="00E35102"/>
    <w:rsid w:val="00E351FB"/>
    <w:rsid w:val="00E35FD6"/>
    <w:rsid w:val="00E3675B"/>
    <w:rsid w:val="00E36CBA"/>
    <w:rsid w:val="00E374A9"/>
    <w:rsid w:val="00E37832"/>
    <w:rsid w:val="00E403C6"/>
    <w:rsid w:val="00E419E4"/>
    <w:rsid w:val="00E42032"/>
    <w:rsid w:val="00E42183"/>
    <w:rsid w:val="00E42696"/>
    <w:rsid w:val="00E42C4E"/>
    <w:rsid w:val="00E42D14"/>
    <w:rsid w:val="00E4324B"/>
    <w:rsid w:val="00E4324E"/>
    <w:rsid w:val="00E438CA"/>
    <w:rsid w:val="00E43990"/>
    <w:rsid w:val="00E4406C"/>
    <w:rsid w:val="00E444DA"/>
    <w:rsid w:val="00E44F0F"/>
    <w:rsid w:val="00E451E8"/>
    <w:rsid w:val="00E45A25"/>
    <w:rsid w:val="00E45B68"/>
    <w:rsid w:val="00E46B41"/>
    <w:rsid w:val="00E46C89"/>
    <w:rsid w:val="00E47601"/>
    <w:rsid w:val="00E47758"/>
    <w:rsid w:val="00E47983"/>
    <w:rsid w:val="00E51612"/>
    <w:rsid w:val="00E51653"/>
    <w:rsid w:val="00E51A6C"/>
    <w:rsid w:val="00E51CC9"/>
    <w:rsid w:val="00E5201F"/>
    <w:rsid w:val="00E52C04"/>
    <w:rsid w:val="00E52EC5"/>
    <w:rsid w:val="00E530BF"/>
    <w:rsid w:val="00E53672"/>
    <w:rsid w:val="00E53A78"/>
    <w:rsid w:val="00E5456A"/>
    <w:rsid w:val="00E54658"/>
    <w:rsid w:val="00E546D3"/>
    <w:rsid w:val="00E54FD7"/>
    <w:rsid w:val="00E568EB"/>
    <w:rsid w:val="00E5693A"/>
    <w:rsid w:val="00E570DB"/>
    <w:rsid w:val="00E57428"/>
    <w:rsid w:val="00E576A2"/>
    <w:rsid w:val="00E577E4"/>
    <w:rsid w:val="00E57B44"/>
    <w:rsid w:val="00E57E65"/>
    <w:rsid w:val="00E57F22"/>
    <w:rsid w:val="00E57FDB"/>
    <w:rsid w:val="00E60026"/>
    <w:rsid w:val="00E60819"/>
    <w:rsid w:val="00E6119C"/>
    <w:rsid w:val="00E61674"/>
    <w:rsid w:val="00E619F8"/>
    <w:rsid w:val="00E61C6C"/>
    <w:rsid w:val="00E61F72"/>
    <w:rsid w:val="00E62798"/>
    <w:rsid w:val="00E62B86"/>
    <w:rsid w:val="00E6354C"/>
    <w:rsid w:val="00E63A5A"/>
    <w:rsid w:val="00E63A8B"/>
    <w:rsid w:val="00E63E17"/>
    <w:rsid w:val="00E643DA"/>
    <w:rsid w:val="00E64997"/>
    <w:rsid w:val="00E64B12"/>
    <w:rsid w:val="00E64DA3"/>
    <w:rsid w:val="00E64DE6"/>
    <w:rsid w:val="00E655B7"/>
    <w:rsid w:val="00E65AD4"/>
    <w:rsid w:val="00E65FC4"/>
    <w:rsid w:val="00E66061"/>
    <w:rsid w:val="00E66069"/>
    <w:rsid w:val="00E66427"/>
    <w:rsid w:val="00E667F8"/>
    <w:rsid w:val="00E6680C"/>
    <w:rsid w:val="00E66846"/>
    <w:rsid w:val="00E66B3B"/>
    <w:rsid w:val="00E672A7"/>
    <w:rsid w:val="00E673B9"/>
    <w:rsid w:val="00E67548"/>
    <w:rsid w:val="00E67956"/>
    <w:rsid w:val="00E67CCA"/>
    <w:rsid w:val="00E67EBB"/>
    <w:rsid w:val="00E7007E"/>
    <w:rsid w:val="00E70A9D"/>
    <w:rsid w:val="00E70BC2"/>
    <w:rsid w:val="00E71406"/>
    <w:rsid w:val="00E71845"/>
    <w:rsid w:val="00E7186A"/>
    <w:rsid w:val="00E71A5C"/>
    <w:rsid w:val="00E728CA"/>
    <w:rsid w:val="00E72E00"/>
    <w:rsid w:val="00E72F46"/>
    <w:rsid w:val="00E732CA"/>
    <w:rsid w:val="00E738F0"/>
    <w:rsid w:val="00E7405D"/>
    <w:rsid w:val="00E7454F"/>
    <w:rsid w:val="00E747C6"/>
    <w:rsid w:val="00E74DB5"/>
    <w:rsid w:val="00E751C0"/>
    <w:rsid w:val="00E7566D"/>
    <w:rsid w:val="00E756DD"/>
    <w:rsid w:val="00E75B0A"/>
    <w:rsid w:val="00E75D31"/>
    <w:rsid w:val="00E763AE"/>
    <w:rsid w:val="00E7662A"/>
    <w:rsid w:val="00E77505"/>
    <w:rsid w:val="00E779F5"/>
    <w:rsid w:val="00E77B45"/>
    <w:rsid w:val="00E77F3F"/>
    <w:rsid w:val="00E811BD"/>
    <w:rsid w:val="00E811F7"/>
    <w:rsid w:val="00E8179F"/>
    <w:rsid w:val="00E81905"/>
    <w:rsid w:val="00E81C80"/>
    <w:rsid w:val="00E839F1"/>
    <w:rsid w:val="00E83A42"/>
    <w:rsid w:val="00E83C8C"/>
    <w:rsid w:val="00E83F21"/>
    <w:rsid w:val="00E8400F"/>
    <w:rsid w:val="00E840A1"/>
    <w:rsid w:val="00E84979"/>
    <w:rsid w:val="00E85625"/>
    <w:rsid w:val="00E85740"/>
    <w:rsid w:val="00E867B9"/>
    <w:rsid w:val="00E86854"/>
    <w:rsid w:val="00E868DC"/>
    <w:rsid w:val="00E868F6"/>
    <w:rsid w:val="00E86A90"/>
    <w:rsid w:val="00E86D3D"/>
    <w:rsid w:val="00E874B3"/>
    <w:rsid w:val="00E87828"/>
    <w:rsid w:val="00E87FAC"/>
    <w:rsid w:val="00E9035C"/>
    <w:rsid w:val="00E90FA1"/>
    <w:rsid w:val="00E90FFC"/>
    <w:rsid w:val="00E91AB3"/>
    <w:rsid w:val="00E92DA9"/>
    <w:rsid w:val="00E9304F"/>
    <w:rsid w:val="00E93564"/>
    <w:rsid w:val="00E93B03"/>
    <w:rsid w:val="00E93F2C"/>
    <w:rsid w:val="00E94014"/>
    <w:rsid w:val="00E9476C"/>
    <w:rsid w:val="00E94A20"/>
    <w:rsid w:val="00E95134"/>
    <w:rsid w:val="00E9537C"/>
    <w:rsid w:val="00E9584B"/>
    <w:rsid w:val="00E95BC6"/>
    <w:rsid w:val="00E961C1"/>
    <w:rsid w:val="00E964AC"/>
    <w:rsid w:val="00E964FD"/>
    <w:rsid w:val="00E96C19"/>
    <w:rsid w:val="00E96C3C"/>
    <w:rsid w:val="00E96CC2"/>
    <w:rsid w:val="00E96FD8"/>
    <w:rsid w:val="00E97015"/>
    <w:rsid w:val="00E97349"/>
    <w:rsid w:val="00E97D86"/>
    <w:rsid w:val="00EA0455"/>
    <w:rsid w:val="00EA0631"/>
    <w:rsid w:val="00EA0AD8"/>
    <w:rsid w:val="00EA0D29"/>
    <w:rsid w:val="00EA0DAE"/>
    <w:rsid w:val="00EA0DB5"/>
    <w:rsid w:val="00EA0EFF"/>
    <w:rsid w:val="00EA18CB"/>
    <w:rsid w:val="00EA1B5C"/>
    <w:rsid w:val="00EA2303"/>
    <w:rsid w:val="00EA2697"/>
    <w:rsid w:val="00EA33BD"/>
    <w:rsid w:val="00EA3561"/>
    <w:rsid w:val="00EA359F"/>
    <w:rsid w:val="00EA3C71"/>
    <w:rsid w:val="00EA4441"/>
    <w:rsid w:val="00EA4457"/>
    <w:rsid w:val="00EA488C"/>
    <w:rsid w:val="00EA48C3"/>
    <w:rsid w:val="00EA51FC"/>
    <w:rsid w:val="00EA538C"/>
    <w:rsid w:val="00EA55BE"/>
    <w:rsid w:val="00EA599E"/>
    <w:rsid w:val="00EA59CE"/>
    <w:rsid w:val="00EA5C10"/>
    <w:rsid w:val="00EA6559"/>
    <w:rsid w:val="00EA65B5"/>
    <w:rsid w:val="00EA6A76"/>
    <w:rsid w:val="00EA6B89"/>
    <w:rsid w:val="00EA6EBA"/>
    <w:rsid w:val="00EA721A"/>
    <w:rsid w:val="00EA7BC1"/>
    <w:rsid w:val="00EA7C72"/>
    <w:rsid w:val="00EA7CC8"/>
    <w:rsid w:val="00EB0286"/>
    <w:rsid w:val="00EB04D8"/>
    <w:rsid w:val="00EB0A97"/>
    <w:rsid w:val="00EB11D5"/>
    <w:rsid w:val="00EB11DD"/>
    <w:rsid w:val="00EB1459"/>
    <w:rsid w:val="00EB1A13"/>
    <w:rsid w:val="00EB1E3D"/>
    <w:rsid w:val="00EB1F92"/>
    <w:rsid w:val="00EB210D"/>
    <w:rsid w:val="00EB21D9"/>
    <w:rsid w:val="00EB22DA"/>
    <w:rsid w:val="00EB2639"/>
    <w:rsid w:val="00EB2899"/>
    <w:rsid w:val="00EB29CB"/>
    <w:rsid w:val="00EB351B"/>
    <w:rsid w:val="00EB36F6"/>
    <w:rsid w:val="00EB39B8"/>
    <w:rsid w:val="00EB3CB8"/>
    <w:rsid w:val="00EB3D51"/>
    <w:rsid w:val="00EB41C4"/>
    <w:rsid w:val="00EB441C"/>
    <w:rsid w:val="00EB481C"/>
    <w:rsid w:val="00EB489B"/>
    <w:rsid w:val="00EB4A63"/>
    <w:rsid w:val="00EB4CF0"/>
    <w:rsid w:val="00EB4F0D"/>
    <w:rsid w:val="00EB5512"/>
    <w:rsid w:val="00EB5738"/>
    <w:rsid w:val="00EB5B36"/>
    <w:rsid w:val="00EB6118"/>
    <w:rsid w:val="00EB65C8"/>
    <w:rsid w:val="00EB6EF7"/>
    <w:rsid w:val="00EB7063"/>
    <w:rsid w:val="00EB74B4"/>
    <w:rsid w:val="00EB7633"/>
    <w:rsid w:val="00EB77BF"/>
    <w:rsid w:val="00EB783F"/>
    <w:rsid w:val="00EB7B73"/>
    <w:rsid w:val="00EB7DBF"/>
    <w:rsid w:val="00EC01C2"/>
    <w:rsid w:val="00EC07F8"/>
    <w:rsid w:val="00EC0921"/>
    <w:rsid w:val="00EC0D3F"/>
    <w:rsid w:val="00EC1123"/>
    <w:rsid w:val="00EC12EE"/>
    <w:rsid w:val="00EC1563"/>
    <w:rsid w:val="00EC207A"/>
    <w:rsid w:val="00EC2473"/>
    <w:rsid w:val="00EC2557"/>
    <w:rsid w:val="00EC2F2B"/>
    <w:rsid w:val="00EC3131"/>
    <w:rsid w:val="00EC3C10"/>
    <w:rsid w:val="00EC57F9"/>
    <w:rsid w:val="00EC59A4"/>
    <w:rsid w:val="00EC5B59"/>
    <w:rsid w:val="00EC5B71"/>
    <w:rsid w:val="00EC5E4B"/>
    <w:rsid w:val="00EC605B"/>
    <w:rsid w:val="00EC657E"/>
    <w:rsid w:val="00EC71D0"/>
    <w:rsid w:val="00EC7779"/>
    <w:rsid w:val="00EC77FC"/>
    <w:rsid w:val="00EC7C1D"/>
    <w:rsid w:val="00ED0AFE"/>
    <w:rsid w:val="00ED0C1A"/>
    <w:rsid w:val="00ED1380"/>
    <w:rsid w:val="00ED1E72"/>
    <w:rsid w:val="00ED26D8"/>
    <w:rsid w:val="00ED2A6F"/>
    <w:rsid w:val="00ED2B00"/>
    <w:rsid w:val="00ED31AD"/>
    <w:rsid w:val="00ED31BE"/>
    <w:rsid w:val="00ED3BA7"/>
    <w:rsid w:val="00ED3EAE"/>
    <w:rsid w:val="00ED453D"/>
    <w:rsid w:val="00ED4AB1"/>
    <w:rsid w:val="00ED503B"/>
    <w:rsid w:val="00ED55F4"/>
    <w:rsid w:val="00ED56CC"/>
    <w:rsid w:val="00ED56EC"/>
    <w:rsid w:val="00ED5F51"/>
    <w:rsid w:val="00ED6303"/>
    <w:rsid w:val="00ED66F1"/>
    <w:rsid w:val="00ED6A92"/>
    <w:rsid w:val="00ED78DE"/>
    <w:rsid w:val="00ED7DD3"/>
    <w:rsid w:val="00EE0258"/>
    <w:rsid w:val="00EE08D2"/>
    <w:rsid w:val="00EE1264"/>
    <w:rsid w:val="00EE1274"/>
    <w:rsid w:val="00EE1ADC"/>
    <w:rsid w:val="00EE1CA7"/>
    <w:rsid w:val="00EE1D24"/>
    <w:rsid w:val="00EE1FF1"/>
    <w:rsid w:val="00EE21C6"/>
    <w:rsid w:val="00EE2310"/>
    <w:rsid w:val="00EE3581"/>
    <w:rsid w:val="00EE3FCF"/>
    <w:rsid w:val="00EE4E23"/>
    <w:rsid w:val="00EE5002"/>
    <w:rsid w:val="00EE5B9F"/>
    <w:rsid w:val="00EE5F0B"/>
    <w:rsid w:val="00EE6556"/>
    <w:rsid w:val="00EE658E"/>
    <w:rsid w:val="00EE6843"/>
    <w:rsid w:val="00EE6F9A"/>
    <w:rsid w:val="00EE71CE"/>
    <w:rsid w:val="00EE7D60"/>
    <w:rsid w:val="00EF064C"/>
    <w:rsid w:val="00EF0D3A"/>
    <w:rsid w:val="00EF128D"/>
    <w:rsid w:val="00EF1B6D"/>
    <w:rsid w:val="00EF1BB4"/>
    <w:rsid w:val="00EF20C4"/>
    <w:rsid w:val="00EF2400"/>
    <w:rsid w:val="00EF288E"/>
    <w:rsid w:val="00EF294F"/>
    <w:rsid w:val="00EF3445"/>
    <w:rsid w:val="00EF34A8"/>
    <w:rsid w:val="00EF38D7"/>
    <w:rsid w:val="00EF3911"/>
    <w:rsid w:val="00EF3CCA"/>
    <w:rsid w:val="00EF4C00"/>
    <w:rsid w:val="00EF4F58"/>
    <w:rsid w:val="00EF52FB"/>
    <w:rsid w:val="00EF5669"/>
    <w:rsid w:val="00EF5C0F"/>
    <w:rsid w:val="00EF602E"/>
    <w:rsid w:val="00EF6184"/>
    <w:rsid w:val="00EF6D07"/>
    <w:rsid w:val="00EF722A"/>
    <w:rsid w:val="00EF7FA1"/>
    <w:rsid w:val="00F000AF"/>
    <w:rsid w:val="00F0034B"/>
    <w:rsid w:val="00F00741"/>
    <w:rsid w:val="00F00BFD"/>
    <w:rsid w:val="00F0164C"/>
    <w:rsid w:val="00F01D20"/>
    <w:rsid w:val="00F01DB9"/>
    <w:rsid w:val="00F02035"/>
    <w:rsid w:val="00F023A6"/>
    <w:rsid w:val="00F024E4"/>
    <w:rsid w:val="00F02C80"/>
    <w:rsid w:val="00F02F49"/>
    <w:rsid w:val="00F0343C"/>
    <w:rsid w:val="00F03807"/>
    <w:rsid w:val="00F03812"/>
    <w:rsid w:val="00F044E1"/>
    <w:rsid w:val="00F04943"/>
    <w:rsid w:val="00F04A89"/>
    <w:rsid w:val="00F04B8F"/>
    <w:rsid w:val="00F04BCC"/>
    <w:rsid w:val="00F0504D"/>
    <w:rsid w:val="00F051EA"/>
    <w:rsid w:val="00F054CE"/>
    <w:rsid w:val="00F062B7"/>
    <w:rsid w:val="00F0650A"/>
    <w:rsid w:val="00F06C77"/>
    <w:rsid w:val="00F070D5"/>
    <w:rsid w:val="00F076CE"/>
    <w:rsid w:val="00F07746"/>
    <w:rsid w:val="00F079B8"/>
    <w:rsid w:val="00F079F9"/>
    <w:rsid w:val="00F10291"/>
    <w:rsid w:val="00F10BD7"/>
    <w:rsid w:val="00F1123C"/>
    <w:rsid w:val="00F11436"/>
    <w:rsid w:val="00F116E4"/>
    <w:rsid w:val="00F11FA4"/>
    <w:rsid w:val="00F12AB9"/>
    <w:rsid w:val="00F135AF"/>
    <w:rsid w:val="00F135E3"/>
    <w:rsid w:val="00F14139"/>
    <w:rsid w:val="00F1442F"/>
    <w:rsid w:val="00F14CB8"/>
    <w:rsid w:val="00F14CCF"/>
    <w:rsid w:val="00F14F24"/>
    <w:rsid w:val="00F156EE"/>
    <w:rsid w:val="00F15AE5"/>
    <w:rsid w:val="00F15C95"/>
    <w:rsid w:val="00F16F0B"/>
    <w:rsid w:val="00F174C7"/>
    <w:rsid w:val="00F17906"/>
    <w:rsid w:val="00F204B5"/>
    <w:rsid w:val="00F20A2D"/>
    <w:rsid w:val="00F20A64"/>
    <w:rsid w:val="00F20DDC"/>
    <w:rsid w:val="00F21008"/>
    <w:rsid w:val="00F21597"/>
    <w:rsid w:val="00F219AA"/>
    <w:rsid w:val="00F225FB"/>
    <w:rsid w:val="00F230F1"/>
    <w:rsid w:val="00F233E4"/>
    <w:rsid w:val="00F24325"/>
    <w:rsid w:val="00F24754"/>
    <w:rsid w:val="00F24F71"/>
    <w:rsid w:val="00F254A0"/>
    <w:rsid w:val="00F269FB"/>
    <w:rsid w:val="00F26B83"/>
    <w:rsid w:val="00F2722C"/>
    <w:rsid w:val="00F27C8C"/>
    <w:rsid w:val="00F27DE7"/>
    <w:rsid w:val="00F30632"/>
    <w:rsid w:val="00F30BEA"/>
    <w:rsid w:val="00F31097"/>
    <w:rsid w:val="00F310AB"/>
    <w:rsid w:val="00F310CE"/>
    <w:rsid w:val="00F31230"/>
    <w:rsid w:val="00F31467"/>
    <w:rsid w:val="00F319BB"/>
    <w:rsid w:val="00F32735"/>
    <w:rsid w:val="00F32869"/>
    <w:rsid w:val="00F3373B"/>
    <w:rsid w:val="00F33A34"/>
    <w:rsid w:val="00F33A55"/>
    <w:rsid w:val="00F33D50"/>
    <w:rsid w:val="00F353F0"/>
    <w:rsid w:val="00F35872"/>
    <w:rsid w:val="00F358A8"/>
    <w:rsid w:val="00F3590E"/>
    <w:rsid w:val="00F35C57"/>
    <w:rsid w:val="00F3614B"/>
    <w:rsid w:val="00F36AE2"/>
    <w:rsid w:val="00F36AEB"/>
    <w:rsid w:val="00F36BAA"/>
    <w:rsid w:val="00F37034"/>
    <w:rsid w:val="00F371E9"/>
    <w:rsid w:val="00F374B8"/>
    <w:rsid w:val="00F37E61"/>
    <w:rsid w:val="00F4005B"/>
    <w:rsid w:val="00F4054B"/>
    <w:rsid w:val="00F409EE"/>
    <w:rsid w:val="00F40A21"/>
    <w:rsid w:val="00F41032"/>
    <w:rsid w:val="00F4106B"/>
    <w:rsid w:val="00F41A9E"/>
    <w:rsid w:val="00F41C1F"/>
    <w:rsid w:val="00F41C98"/>
    <w:rsid w:val="00F420E1"/>
    <w:rsid w:val="00F422BB"/>
    <w:rsid w:val="00F42852"/>
    <w:rsid w:val="00F429E2"/>
    <w:rsid w:val="00F42AF5"/>
    <w:rsid w:val="00F42D6F"/>
    <w:rsid w:val="00F43010"/>
    <w:rsid w:val="00F43C78"/>
    <w:rsid w:val="00F4402C"/>
    <w:rsid w:val="00F44AE6"/>
    <w:rsid w:val="00F45286"/>
    <w:rsid w:val="00F45D3C"/>
    <w:rsid w:val="00F463B0"/>
    <w:rsid w:val="00F465DA"/>
    <w:rsid w:val="00F46735"/>
    <w:rsid w:val="00F46B0E"/>
    <w:rsid w:val="00F4714F"/>
    <w:rsid w:val="00F4746E"/>
    <w:rsid w:val="00F4786F"/>
    <w:rsid w:val="00F50049"/>
    <w:rsid w:val="00F501EA"/>
    <w:rsid w:val="00F501FE"/>
    <w:rsid w:val="00F5047B"/>
    <w:rsid w:val="00F505BA"/>
    <w:rsid w:val="00F50F1F"/>
    <w:rsid w:val="00F511F3"/>
    <w:rsid w:val="00F517B8"/>
    <w:rsid w:val="00F51913"/>
    <w:rsid w:val="00F51B8C"/>
    <w:rsid w:val="00F5234C"/>
    <w:rsid w:val="00F52504"/>
    <w:rsid w:val="00F53451"/>
    <w:rsid w:val="00F53462"/>
    <w:rsid w:val="00F536F4"/>
    <w:rsid w:val="00F53D46"/>
    <w:rsid w:val="00F54D99"/>
    <w:rsid w:val="00F55097"/>
    <w:rsid w:val="00F5521D"/>
    <w:rsid w:val="00F55511"/>
    <w:rsid w:val="00F56A8A"/>
    <w:rsid w:val="00F5720A"/>
    <w:rsid w:val="00F575A8"/>
    <w:rsid w:val="00F57743"/>
    <w:rsid w:val="00F57C1F"/>
    <w:rsid w:val="00F604BA"/>
    <w:rsid w:val="00F60A50"/>
    <w:rsid w:val="00F60A9C"/>
    <w:rsid w:val="00F60C92"/>
    <w:rsid w:val="00F612A6"/>
    <w:rsid w:val="00F613D1"/>
    <w:rsid w:val="00F61659"/>
    <w:rsid w:val="00F619CC"/>
    <w:rsid w:val="00F61BA9"/>
    <w:rsid w:val="00F61D1D"/>
    <w:rsid w:val="00F61F73"/>
    <w:rsid w:val="00F621FD"/>
    <w:rsid w:val="00F62729"/>
    <w:rsid w:val="00F62AAA"/>
    <w:rsid w:val="00F640F9"/>
    <w:rsid w:val="00F6438B"/>
    <w:rsid w:val="00F6459A"/>
    <w:rsid w:val="00F64A32"/>
    <w:rsid w:val="00F650AD"/>
    <w:rsid w:val="00F6550E"/>
    <w:rsid w:val="00F65AF4"/>
    <w:rsid w:val="00F65E18"/>
    <w:rsid w:val="00F66507"/>
    <w:rsid w:val="00F66888"/>
    <w:rsid w:val="00F66ADF"/>
    <w:rsid w:val="00F66B2C"/>
    <w:rsid w:val="00F66D02"/>
    <w:rsid w:val="00F671A3"/>
    <w:rsid w:val="00F67791"/>
    <w:rsid w:val="00F679BB"/>
    <w:rsid w:val="00F7006A"/>
    <w:rsid w:val="00F70808"/>
    <w:rsid w:val="00F70943"/>
    <w:rsid w:val="00F70A17"/>
    <w:rsid w:val="00F70B77"/>
    <w:rsid w:val="00F70DD5"/>
    <w:rsid w:val="00F70DF6"/>
    <w:rsid w:val="00F70EAA"/>
    <w:rsid w:val="00F71237"/>
    <w:rsid w:val="00F718FC"/>
    <w:rsid w:val="00F71999"/>
    <w:rsid w:val="00F726BE"/>
    <w:rsid w:val="00F72CB9"/>
    <w:rsid w:val="00F73644"/>
    <w:rsid w:val="00F73893"/>
    <w:rsid w:val="00F73BD5"/>
    <w:rsid w:val="00F73CCA"/>
    <w:rsid w:val="00F74976"/>
    <w:rsid w:val="00F75C02"/>
    <w:rsid w:val="00F76F37"/>
    <w:rsid w:val="00F76F4A"/>
    <w:rsid w:val="00F770B1"/>
    <w:rsid w:val="00F77D39"/>
    <w:rsid w:val="00F801B2"/>
    <w:rsid w:val="00F80408"/>
    <w:rsid w:val="00F804E7"/>
    <w:rsid w:val="00F80972"/>
    <w:rsid w:val="00F80A13"/>
    <w:rsid w:val="00F80FD3"/>
    <w:rsid w:val="00F81174"/>
    <w:rsid w:val="00F81426"/>
    <w:rsid w:val="00F81EAF"/>
    <w:rsid w:val="00F82235"/>
    <w:rsid w:val="00F82605"/>
    <w:rsid w:val="00F82A15"/>
    <w:rsid w:val="00F836AC"/>
    <w:rsid w:val="00F848F2"/>
    <w:rsid w:val="00F84B75"/>
    <w:rsid w:val="00F84C84"/>
    <w:rsid w:val="00F85A84"/>
    <w:rsid w:val="00F85F78"/>
    <w:rsid w:val="00F87879"/>
    <w:rsid w:val="00F879DD"/>
    <w:rsid w:val="00F90CE9"/>
    <w:rsid w:val="00F91787"/>
    <w:rsid w:val="00F91EA9"/>
    <w:rsid w:val="00F920C4"/>
    <w:rsid w:val="00F922B8"/>
    <w:rsid w:val="00F92302"/>
    <w:rsid w:val="00F925B6"/>
    <w:rsid w:val="00F9292F"/>
    <w:rsid w:val="00F92F63"/>
    <w:rsid w:val="00F933B6"/>
    <w:rsid w:val="00F9365F"/>
    <w:rsid w:val="00F93A20"/>
    <w:rsid w:val="00F93F02"/>
    <w:rsid w:val="00F93F66"/>
    <w:rsid w:val="00F94CE0"/>
    <w:rsid w:val="00F94FB2"/>
    <w:rsid w:val="00F95188"/>
    <w:rsid w:val="00F957E9"/>
    <w:rsid w:val="00F95BA0"/>
    <w:rsid w:val="00F9684A"/>
    <w:rsid w:val="00F96AB4"/>
    <w:rsid w:val="00F96C85"/>
    <w:rsid w:val="00F96DC9"/>
    <w:rsid w:val="00F975A2"/>
    <w:rsid w:val="00F97679"/>
    <w:rsid w:val="00F9782B"/>
    <w:rsid w:val="00F97DBF"/>
    <w:rsid w:val="00FA00E7"/>
    <w:rsid w:val="00FA061E"/>
    <w:rsid w:val="00FA063A"/>
    <w:rsid w:val="00FA08A7"/>
    <w:rsid w:val="00FA0F21"/>
    <w:rsid w:val="00FA16F9"/>
    <w:rsid w:val="00FA1BC7"/>
    <w:rsid w:val="00FA1EE4"/>
    <w:rsid w:val="00FA207B"/>
    <w:rsid w:val="00FA225C"/>
    <w:rsid w:val="00FA2376"/>
    <w:rsid w:val="00FA24B4"/>
    <w:rsid w:val="00FA2A46"/>
    <w:rsid w:val="00FA2F31"/>
    <w:rsid w:val="00FA34F9"/>
    <w:rsid w:val="00FA3D4E"/>
    <w:rsid w:val="00FA3F36"/>
    <w:rsid w:val="00FA4D40"/>
    <w:rsid w:val="00FA54D9"/>
    <w:rsid w:val="00FA55F8"/>
    <w:rsid w:val="00FA5689"/>
    <w:rsid w:val="00FA57D7"/>
    <w:rsid w:val="00FA601E"/>
    <w:rsid w:val="00FA6791"/>
    <w:rsid w:val="00FA6806"/>
    <w:rsid w:val="00FA6827"/>
    <w:rsid w:val="00FA6A69"/>
    <w:rsid w:val="00FA6AD0"/>
    <w:rsid w:val="00FA6ADE"/>
    <w:rsid w:val="00FA73B5"/>
    <w:rsid w:val="00FA7AC7"/>
    <w:rsid w:val="00FA7AEA"/>
    <w:rsid w:val="00FB0172"/>
    <w:rsid w:val="00FB076D"/>
    <w:rsid w:val="00FB2237"/>
    <w:rsid w:val="00FB25BD"/>
    <w:rsid w:val="00FB2CAD"/>
    <w:rsid w:val="00FB2EFA"/>
    <w:rsid w:val="00FB310D"/>
    <w:rsid w:val="00FB352B"/>
    <w:rsid w:val="00FB3C1E"/>
    <w:rsid w:val="00FB4FD1"/>
    <w:rsid w:val="00FB5050"/>
    <w:rsid w:val="00FB5C0B"/>
    <w:rsid w:val="00FB5DB4"/>
    <w:rsid w:val="00FB64E9"/>
    <w:rsid w:val="00FB6BD2"/>
    <w:rsid w:val="00FB6D13"/>
    <w:rsid w:val="00FB7271"/>
    <w:rsid w:val="00FB7287"/>
    <w:rsid w:val="00FB7CEA"/>
    <w:rsid w:val="00FB7F63"/>
    <w:rsid w:val="00FC009E"/>
    <w:rsid w:val="00FC0AFB"/>
    <w:rsid w:val="00FC0E08"/>
    <w:rsid w:val="00FC0FDA"/>
    <w:rsid w:val="00FC28B7"/>
    <w:rsid w:val="00FC2CF7"/>
    <w:rsid w:val="00FC30DB"/>
    <w:rsid w:val="00FC38E6"/>
    <w:rsid w:val="00FC3E19"/>
    <w:rsid w:val="00FC49BA"/>
    <w:rsid w:val="00FC4AFE"/>
    <w:rsid w:val="00FC50A9"/>
    <w:rsid w:val="00FC5282"/>
    <w:rsid w:val="00FC528E"/>
    <w:rsid w:val="00FC5750"/>
    <w:rsid w:val="00FC59F1"/>
    <w:rsid w:val="00FC5AB8"/>
    <w:rsid w:val="00FC5ADB"/>
    <w:rsid w:val="00FC611D"/>
    <w:rsid w:val="00FC634E"/>
    <w:rsid w:val="00FC6583"/>
    <w:rsid w:val="00FC675B"/>
    <w:rsid w:val="00FC7248"/>
    <w:rsid w:val="00FC7D83"/>
    <w:rsid w:val="00FD0544"/>
    <w:rsid w:val="00FD05BE"/>
    <w:rsid w:val="00FD0D12"/>
    <w:rsid w:val="00FD118D"/>
    <w:rsid w:val="00FD1209"/>
    <w:rsid w:val="00FD151D"/>
    <w:rsid w:val="00FD23EC"/>
    <w:rsid w:val="00FD2A55"/>
    <w:rsid w:val="00FD2F6C"/>
    <w:rsid w:val="00FD309A"/>
    <w:rsid w:val="00FD318D"/>
    <w:rsid w:val="00FD3518"/>
    <w:rsid w:val="00FD36F6"/>
    <w:rsid w:val="00FD3757"/>
    <w:rsid w:val="00FD44ED"/>
    <w:rsid w:val="00FD4516"/>
    <w:rsid w:val="00FD50BB"/>
    <w:rsid w:val="00FD5137"/>
    <w:rsid w:val="00FD519F"/>
    <w:rsid w:val="00FD559E"/>
    <w:rsid w:val="00FD5A5A"/>
    <w:rsid w:val="00FD5F87"/>
    <w:rsid w:val="00FD653C"/>
    <w:rsid w:val="00FD66BC"/>
    <w:rsid w:val="00FD686B"/>
    <w:rsid w:val="00FD6A84"/>
    <w:rsid w:val="00FD6C4A"/>
    <w:rsid w:val="00FD6D12"/>
    <w:rsid w:val="00FD712B"/>
    <w:rsid w:val="00FD794E"/>
    <w:rsid w:val="00FE0620"/>
    <w:rsid w:val="00FE0722"/>
    <w:rsid w:val="00FE1364"/>
    <w:rsid w:val="00FE157F"/>
    <w:rsid w:val="00FE1778"/>
    <w:rsid w:val="00FE1B78"/>
    <w:rsid w:val="00FE1C6A"/>
    <w:rsid w:val="00FE32C4"/>
    <w:rsid w:val="00FE34B5"/>
    <w:rsid w:val="00FE3683"/>
    <w:rsid w:val="00FE420C"/>
    <w:rsid w:val="00FE43E7"/>
    <w:rsid w:val="00FE473B"/>
    <w:rsid w:val="00FE4900"/>
    <w:rsid w:val="00FE4A9E"/>
    <w:rsid w:val="00FE4C01"/>
    <w:rsid w:val="00FE4D43"/>
    <w:rsid w:val="00FE4DEC"/>
    <w:rsid w:val="00FE4F43"/>
    <w:rsid w:val="00FE5743"/>
    <w:rsid w:val="00FE62DD"/>
    <w:rsid w:val="00FE6AAF"/>
    <w:rsid w:val="00FE6AD1"/>
    <w:rsid w:val="00FE6B30"/>
    <w:rsid w:val="00FE6C9A"/>
    <w:rsid w:val="00FE6CD0"/>
    <w:rsid w:val="00FE74CD"/>
    <w:rsid w:val="00FE767E"/>
    <w:rsid w:val="00FE774F"/>
    <w:rsid w:val="00FE780C"/>
    <w:rsid w:val="00FE7DCD"/>
    <w:rsid w:val="00FF0AE0"/>
    <w:rsid w:val="00FF113F"/>
    <w:rsid w:val="00FF15E7"/>
    <w:rsid w:val="00FF18E0"/>
    <w:rsid w:val="00FF1963"/>
    <w:rsid w:val="00FF1CE0"/>
    <w:rsid w:val="00FF2312"/>
    <w:rsid w:val="00FF2787"/>
    <w:rsid w:val="00FF2EFF"/>
    <w:rsid w:val="00FF3099"/>
    <w:rsid w:val="00FF42B4"/>
    <w:rsid w:val="00FF4928"/>
    <w:rsid w:val="00FF4B45"/>
    <w:rsid w:val="00FF4D35"/>
    <w:rsid w:val="00FF553D"/>
    <w:rsid w:val="00FF55B6"/>
    <w:rsid w:val="00FF57C7"/>
    <w:rsid w:val="00FF5E52"/>
    <w:rsid w:val="00FF5F19"/>
    <w:rsid w:val="00FF62CD"/>
    <w:rsid w:val="00FF6398"/>
    <w:rsid w:val="00FF6456"/>
    <w:rsid w:val="00FF69F1"/>
    <w:rsid w:val="00FF6EAB"/>
    <w:rsid w:val="00FF7804"/>
    <w:rsid w:val="00FF7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9" fillcolor="#f2dcdb">
      <v:fill color="#f2dcdb"/>
      <v:textbox style="mso-rotate-with-shape:t"/>
    </o:shapedefaults>
    <o:shapelayout v:ext="edit">
      <o:idmap v:ext="edit" data="1"/>
    </o:shapelayout>
  </w:shapeDefaults>
  <w:decimalSymbol w:val="."/>
  <w:listSeparator w:val=","/>
  <w14:docId w14:val="6F9E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index heading" w:uiPriority="0"/>
    <w:lsdException w:name="caption" w:semiHidden="0" w:uiPriority="0" w:unhideWhenUsed="0" w:qFormat="1"/>
    <w:lsdException w:name="envelope address" w:uiPriority="0"/>
    <w:lsdException w:name="envelope return" w:uiPriority="0"/>
    <w:lsdException w:name="page number" w:uiPriority="0"/>
    <w:lsdException w:name="table of authorities" w:uiPriority="0"/>
    <w:lsdException w:name="macro" w:uiPriority="0"/>
    <w:lsdException w:name="toa heading"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Plain Text" w:uiPriority="0"/>
    <w:lsdException w:name="E-mail Signature" w:uiPriority="0"/>
    <w:lsdException w:name="HTML Address" w:uiPriority="0"/>
    <w:lsdException w:name="Table Simple 1"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D7C"/>
    <w:pPr>
      <w:spacing w:after="240"/>
      <w:ind w:left="720"/>
    </w:pPr>
    <w:rPr>
      <w:rFonts w:ascii="Calibri" w:eastAsia="Times New Roman" w:hAnsi="Calibri" w:cs="Tahoma"/>
      <w:color w:val="000000"/>
      <w:sz w:val="22"/>
      <w:szCs w:val="22"/>
    </w:rPr>
  </w:style>
  <w:style w:type="paragraph" w:styleId="Heading1">
    <w:name w:val="heading 1"/>
    <w:basedOn w:val="Normal"/>
    <w:next w:val="Normal"/>
    <w:link w:val="Heading1Char"/>
    <w:qFormat/>
    <w:rsid w:val="00CD1B51"/>
    <w:pPr>
      <w:keepNext/>
      <w:pBdr>
        <w:bottom w:val="single" w:sz="12" w:space="9" w:color="000000"/>
      </w:pBdr>
      <w:spacing w:after="480"/>
      <w:ind w:hanging="720"/>
      <w:outlineLvl w:val="0"/>
    </w:pPr>
    <w:rPr>
      <w:rFonts w:ascii="Arial" w:hAnsi="Arial" w:cs="Times New Roman"/>
      <w:b/>
      <w:bCs/>
      <w:spacing w:val="40"/>
      <w:kern w:val="28"/>
      <w:sz w:val="36"/>
      <w:szCs w:val="32"/>
      <w:lang w:val="x-none"/>
    </w:rPr>
  </w:style>
  <w:style w:type="paragraph" w:styleId="Heading2">
    <w:name w:val="heading 2"/>
    <w:aliases w:val="Head 1"/>
    <w:basedOn w:val="Normal"/>
    <w:next w:val="Normal"/>
    <w:link w:val="Heading2Char"/>
    <w:qFormat/>
    <w:rsid w:val="00CD1B51"/>
    <w:pPr>
      <w:keepNext/>
      <w:spacing w:before="240" w:after="120"/>
      <w:ind w:hanging="720"/>
      <w:outlineLvl w:val="1"/>
    </w:pPr>
    <w:rPr>
      <w:rFonts w:ascii="Arial" w:hAnsi="Arial" w:cs="Times New Roman"/>
      <w:b/>
      <w:bCs/>
      <w:iCs/>
      <w:sz w:val="26"/>
      <w:szCs w:val="28"/>
      <w:lang w:val="x-none"/>
    </w:rPr>
  </w:style>
  <w:style w:type="paragraph" w:styleId="Heading3">
    <w:name w:val="heading 3"/>
    <w:basedOn w:val="Normal"/>
    <w:next w:val="Normal"/>
    <w:link w:val="Heading3Char"/>
    <w:qFormat/>
    <w:rsid w:val="00882A1D"/>
    <w:pPr>
      <w:keepNext/>
      <w:spacing w:before="240" w:after="120"/>
      <w:ind w:left="1440" w:hanging="720"/>
      <w:outlineLvl w:val="2"/>
    </w:pPr>
    <w:rPr>
      <w:rFonts w:ascii="Arial" w:hAnsi="Arial" w:cs="Times New Roman"/>
      <w:b/>
      <w:bCs/>
      <w:szCs w:val="26"/>
      <w:lang w:val="x-none" w:eastAsia="x-none"/>
    </w:rPr>
  </w:style>
  <w:style w:type="paragraph" w:styleId="Heading4">
    <w:name w:val="heading 4"/>
    <w:basedOn w:val="Normal"/>
    <w:next w:val="Normal"/>
    <w:link w:val="Heading4Char"/>
    <w:qFormat/>
    <w:rsid w:val="00CD1B51"/>
    <w:pPr>
      <w:keepNext/>
      <w:spacing w:before="120" w:after="120"/>
      <w:outlineLvl w:val="3"/>
    </w:pPr>
    <w:rPr>
      <w:rFonts w:ascii="Arial" w:hAnsi="Arial" w:cs="Times New Roman"/>
      <w:b/>
      <w:bCs/>
      <w:sz w:val="20"/>
      <w:szCs w:val="28"/>
      <w:lang w:val="x-none"/>
    </w:rPr>
  </w:style>
  <w:style w:type="paragraph" w:styleId="Heading5">
    <w:name w:val="heading 5"/>
    <w:aliases w:val="Heading 5 no num"/>
    <w:basedOn w:val="Normal"/>
    <w:next w:val="Normal"/>
    <w:link w:val="Heading5Char"/>
    <w:qFormat/>
    <w:rsid w:val="00415905"/>
    <w:pPr>
      <w:keepNext/>
      <w:spacing w:before="60" w:after="60"/>
      <w:outlineLvl w:val="4"/>
    </w:pPr>
    <w:rPr>
      <w:rFonts w:cs="Times New Roman"/>
      <w:b/>
      <w:bCs/>
      <w:i/>
      <w:iCs/>
      <w:szCs w:val="26"/>
      <w:lang w:val="x-none" w:eastAsia="x-none"/>
    </w:rPr>
  </w:style>
  <w:style w:type="paragraph" w:styleId="Heading6">
    <w:name w:val="heading 6"/>
    <w:basedOn w:val="Normal"/>
    <w:next w:val="Normal"/>
    <w:link w:val="Heading6Char"/>
    <w:uiPriority w:val="9"/>
    <w:qFormat/>
    <w:rsid w:val="008429DC"/>
    <w:pPr>
      <w:keepNext/>
      <w:keepLines/>
      <w:spacing w:before="200" w:after="0"/>
      <w:outlineLvl w:val="5"/>
    </w:pPr>
    <w:rPr>
      <w:rFonts w:ascii="Cambria" w:eastAsia="PMingLiU" w:hAnsi="Cambria" w:cs="Times New Roman"/>
      <w:i/>
      <w:iCs/>
      <w:color w:val="243F60"/>
      <w:lang w:val="x-none"/>
    </w:rPr>
  </w:style>
  <w:style w:type="paragraph" w:styleId="Heading7">
    <w:name w:val="heading 7"/>
    <w:aliases w:val="H7nonum"/>
    <w:basedOn w:val="Normal"/>
    <w:next w:val="Normal"/>
    <w:link w:val="Heading7Char"/>
    <w:uiPriority w:val="9"/>
    <w:qFormat/>
    <w:rsid w:val="00F5720A"/>
    <w:pPr>
      <w:keepNext/>
      <w:spacing w:after="120" w:line="360" w:lineRule="auto"/>
      <w:outlineLvl w:val="6"/>
    </w:pPr>
    <w:rPr>
      <w:rFonts w:cs="Times New Roman"/>
      <w:i/>
      <w:iCs/>
      <w:lang w:val="x-none" w:eastAsia="en-US"/>
    </w:rPr>
  </w:style>
  <w:style w:type="paragraph" w:styleId="Heading8">
    <w:name w:val="heading 8"/>
    <w:basedOn w:val="Normal"/>
    <w:next w:val="Normal"/>
    <w:link w:val="Heading8Char"/>
    <w:uiPriority w:val="9"/>
    <w:qFormat/>
    <w:rsid w:val="00F5720A"/>
    <w:pPr>
      <w:keepNext/>
      <w:spacing w:after="120" w:line="360" w:lineRule="auto"/>
      <w:outlineLvl w:val="7"/>
    </w:pPr>
    <w:rPr>
      <w:rFonts w:cs="Times New Roman"/>
      <w:bCs/>
      <w:i/>
      <w:lang w:val="x-none" w:eastAsia="en-US"/>
    </w:rPr>
  </w:style>
  <w:style w:type="paragraph" w:styleId="Heading9">
    <w:name w:val="heading 9"/>
    <w:aliases w:val="cover page title"/>
    <w:basedOn w:val="Normal"/>
    <w:next w:val="Normal"/>
    <w:link w:val="Heading9Char"/>
    <w:uiPriority w:val="9"/>
    <w:qFormat/>
    <w:rsid w:val="00F5720A"/>
    <w:pPr>
      <w:spacing w:before="240" w:after="60"/>
      <w:ind w:left="3600"/>
      <w:outlineLvl w:val="8"/>
    </w:pPr>
    <w:rPr>
      <w:rFonts w:ascii="Garamond" w:hAnsi="Garamond" w:cs="Times New Roman"/>
      <w:b/>
      <w:bCs/>
      <w:smallCaps/>
      <w:sz w:val="4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Title"/>
    <w:basedOn w:val="Normal"/>
    <w:unhideWhenUsed/>
    <w:rsid w:val="00CD1B51"/>
    <w:pPr>
      <w:spacing w:before="240" w:after="60"/>
      <w:jc w:val="right"/>
    </w:pPr>
    <w:rPr>
      <w:rFonts w:ascii="Arial Bold" w:hAnsi="Arial Bold"/>
      <w:b/>
      <w:bCs/>
      <w:sz w:val="48"/>
    </w:rPr>
  </w:style>
  <w:style w:type="paragraph" w:customStyle="1" w:styleId="ReportSubtitle">
    <w:name w:val="Report Subtitle"/>
    <w:basedOn w:val="Normal"/>
    <w:link w:val="ReportSubtitleChar"/>
    <w:unhideWhenUsed/>
    <w:rsid w:val="00CD1B51"/>
    <w:pPr>
      <w:jc w:val="right"/>
    </w:pPr>
    <w:rPr>
      <w:rFonts w:ascii="Arial Bold" w:hAnsi="Arial Bold"/>
      <w:b/>
      <w:bCs/>
      <w:sz w:val="40"/>
    </w:rPr>
  </w:style>
  <w:style w:type="paragraph" w:customStyle="1" w:styleId="ReportDate">
    <w:name w:val="ReportDate"/>
    <w:basedOn w:val="Normal"/>
    <w:unhideWhenUsed/>
    <w:rsid w:val="00CD1B51"/>
    <w:pPr>
      <w:jc w:val="right"/>
    </w:pPr>
    <w:rPr>
      <w:rFonts w:ascii="Arial" w:hAnsi="Arial"/>
      <w:sz w:val="40"/>
    </w:rPr>
  </w:style>
  <w:style w:type="paragraph" w:customStyle="1" w:styleId="Heading1a">
    <w:name w:val="Heading 1a"/>
    <w:basedOn w:val="Heading1"/>
    <w:next w:val="Normal"/>
    <w:unhideWhenUsed/>
    <w:rsid w:val="00CD1B51"/>
    <w:pPr>
      <w:outlineLvl w:val="9"/>
    </w:pPr>
  </w:style>
  <w:style w:type="paragraph" w:customStyle="1" w:styleId="Heading2a">
    <w:name w:val="Heading 2a"/>
    <w:basedOn w:val="Heading2"/>
    <w:next w:val="Normal"/>
    <w:unhideWhenUsed/>
    <w:rsid w:val="00CD1B51"/>
    <w:pPr>
      <w:outlineLvl w:val="9"/>
    </w:pPr>
  </w:style>
  <w:style w:type="paragraph" w:customStyle="1" w:styleId="Heading3a">
    <w:name w:val="Heading 3a"/>
    <w:basedOn w:val="Heading3"/>
    <w:next w:val="Normal"/>
    <w:uiPriority w:val="99"/>
    <w:unhideWhenUsed/>
    <w:rsid w:val="00CD1B51"/>
    <w:pPr>
      <w:outlineLvl w:val="9"/>
    </w:pPr>
  </w:style>
  <w:style w:type="paragraph" w:styleId="Header">
    <w:name w:val="header"/>
    <w:basedOn w:val="Normal"/>
    <w:link w:val="HeaderChar"/>
    <w:uiPriority w:val="99"/>
    <w:unhideWhenUsed/>
    <w:rsid w:val="00CD1B51"/>
    <w:pPr>
      <w:tabs>
        <w:tab w:val="right" w:pos="9000"/>
      </w:tabs>
      <w:spacing w:after="0"/>
      <w:ind w:left="0"/>
    </w:pPr>
    <w:rPr>
      <w:rFonts w:cs="Times New Roman"/>
      <w:sz w:val="18"/>
      <w:lang w:val="x-none"/>
    </w:rPr>
  </w:style>
  <w:style w:type="paragraph" w:styleId="Footer">
    <w:name w:val="footer"/>
    <w:basedOn w:val="Normal"/>
    <w:link w:val="FooterChar"/>
    <w:rsid w:val="00CD1B51"/>
    <w:pPr>
      <w:pBdr>
        <w:top w:val="single" w:sz="2" w:space="3" w:color="000000"/>
      </w:pBdr>
      <w:tabs>
        <w:tab w:val="right" w:pos="9000"/>
      </w:tabs>
      <w:spacing w:after="0"/>
      <w:ind w:left="0"/>
    </w:pPr>
    <w:rPr>
      <w:rFonts w:cs="Times New Roman"/>
      <w:i/>
      <w:sz w:val="20"/>
      <w:lang w:val="x-none" w:eastAsia="x-none"/>
    </w:rPr>
  </w:style>
  <w:style w:type="character" w:styleId="PageNumber">
    <w:name w:val="page number"/>
    <w:rsid w:val="00CD1B51"/>
    <w:rPr>
      <w:b/>
    </w:rPr>
  </w:style>
  <w:style w:type="paragraph" w:customStyle="1" w:styleId="TableText">
    <w:name w:val="TableText"/>
    <w:basedOn w:val="Normal"/>
    <w:link w:val="TableTextChar"/>
    <w:unhideWhenUsed/>
    <w:rsid w:val="00CD1B51"/>
    <w:pPr>
      <w:keepNext/>
      <w:spacing w:before="20" w:after="20"/>
      <w:ind w:left="0"/>
    </w:pPr>
    <w:rPr>
      <w:rFonts w:ascii="Arial Narrow" w:hAnsi="Arial Narrow"/>
      <w:sz w:val="20"/>
      <w:szCs w:val="21"/>
    </w:rPr>
  </w:style>
  <w:style w:type="paragraph" w:customStyle="1" w:styleId="TableFigNotes18">
    <w:name w:val="TableFigNotes+18"/>
    <w:basedOn w:val="TableText"/>
    <w:link w:val="TableFigNotes18Char"/>
    <w:unhideWhenUsed/>
    <w:qFormat/>
    <w:rsid w:val="00CD1B51"/>
    <w:pPr>
      <w:keepNext w:val="0"/>
      <w:keepLines/>
      <w:spacing w:before="0" w:after="360"/>
      <w:ind w:left="720"/>
    </w:pPr>
    <w:rPr>
      <w:sz w:val="18"/>
      <w:szCs w:val="18"/>
    </w:rPr>
  </w:style>
  <w:style w:type="paragraph" w:customStyle="1" w:styleId="TableFigNotes0">
    <w:name w:val="TableFigNotes+0"/>
    <w:basedOn w:val="TableFigNotes18"/>
    <w:link w:val="TableFigNotes0Char"/>
    <w:unhideWhenUsed/>
    <w:rsid w:val="00993C73"/>
    <w:pPr>
      <w:spacing w:after="0"/>
      <w:ind w:left="0"/>
    </w:pPr>
    <w:rPr>
      <w:rFonts w:ascii="Calibri" w:hAnsi="Calibri"/>
    </w:rPr>
  </w:style>
  <w:style w:type="paragraph" w:customStyle="1" w:styleId="TableName">
    <w:name w:val="TableName"/>
    <w:basedOn w:val="TableText"/>
    <w:unhideWhenUsed/>
    <w:rsid w:val="00CD1B51"/>
    <w:pPr>
      <w:tabs>
        <w:tab w:val="left" w:pos="1800"/>
      </w:tabs>
      <w:spacing w:before="120" w:after="120"/>
      <w:ind w:left="1800" w:hanging="1080"/>
    </w:pPr>
    <w:rPr>
      <w:b/>
      <w:bCs/>
      <w:sz w:val="22"/>
    </w:rPr>
  </w:style>
  <w:style w:type="paragraph" w:customStyle="1" w:styleId="TableHeading">
    <w:name w:val="TableHeading"/>
    <w:basedOn w:val="TableText"/>
    <w:link w:val="TableHeadingChar"/>
    <w:unhideWhenUsed/>
    <w:qFormat/>
    <w:rsid w:val="00CD1B51"/>
    <w:rPr>
      <w:b/>
      <w:bCs/>
    </w:rPr>
  </w:style>
  <w:style w:type="paragraph" w:customStyle="1" w:styleId="TableBullet">
    <w:name w:val="TableBullet"/>
    <w:basedOn w:val="TableText"/>
    <w:link w:val="TableBulletChar"/>
    <w:unhideWhenUsed/>
    <w:rsid w:val="00DC238E"/>
    <w:pPr>
      <w:numPr>
        <w:numId w:val="1"/>
      </w:numPr>
      <w:tabs>
        <w:tab w:val="clear" w:pos="360"/>
        <w:tab w:val="left" w:pos="216"/>
      </w:tabs>
      <w:ind w:left="216" w:hanging="216"/>
    </w:pPr>
    <w:rPr>
      <w:szCs w:val="20"/>
    </w:rPr>
  </w:style>
  <w:style w:type="paragraph" w:customStyle="1" w:styleId="TableDash">
    <w:name w:val="TableDash"/>
    <w:basedOn w:val="TableText"/>
    <w:unhideWhenUsed/>
    <w:rsid w:val="00CD1B51"/>
    <w:pPr>
      <w:numPr>
        <w:numId w:val="2"/>
      </w:numPr>
      <w:tabs>
        <w:tab w:val="clear" w:pos="216"/>
        <w:tab w:val="num" w:pos="432"/>
      </w:tabs>
    </w:pPr>
  </w:style>
  <w:style w:type="paragraph" w:styleId="Quote">
    <w:name w:val="Quote"/>
    <w:basedOn w:val="Normal"/>
    <w:link w:val="QuoteChar"/>
    <w:qFormat/>
    <w:rsid w:val="00CD1B51"/>
    <w:pPr>
      <w:ind w:left="1440" w:right="720"/>
    </w:pPr>
    <w:rPr>
      <w:rFonts w:cs="Times New Roman"/>
      <w:sz w:val="20"/>
      <w:lang w:val="x-none"/>
    </w:rPr>
  </w:style>
  <w:style w:type="paragraph" w:customStyle="1" w:styleId="References">
    <w:name w:val="References"/>
    <w:basedOn w:val="Normal"/>
    <w:unhideWhenUsed/>
    <w:rsid w:val="00CD1B51"/>
    <w:pPr>
      <w:keepLines/>
      <w:ind w:left="1440" w:hanging="720"/>
    </w:pPr>
  </w:style>
  <w:style w:type="paragraph" w:customStyle="1" w:styleId="PartTitle">
    <w:name w:val="PartTitle"/>
    <w:basedOn w:val="Normal"/>
    <w:unhideWhenUsed/>
    <w:rsid w:val="00CD1B51"/>
    <w:pPr>
      <w:spacing w:before="240" w:after="60"/>
      <w:jc w:val="center"/>
    </w:pPr>
    <w:rPr>
      <w:rFonts w:ascii="Arial" w:hAnsi="Arial" w:cs="Arial"/>
      <w:b/>
      <w:bCs/>
      <w:sz w:val="40"/>
    </w:rPr>
  </w:style>
  <w:style w:type="paragraph" w:styleId="FootnoteText">
    <w:name w:val="footnote text"/>
    <w:basedOn w:val="Normal"/>
    <w:link w:val="FootnoteTextChar"/>
    <w:uiPriority w:val="99"/>
    <w:rsid w:val="009E094A"/>
    <w:pPr>
      <w:spacing w:after="0"/>
      <w:ind w:left="0"/>
    </w:pPr>
    <w:rPr>
      <w:rFonts w:cs="Times New Roman"/>
      <w:sz w:val="18"/>
      <w:lang w:val="x-none"/>
    </w:rPr>
  </w:style>
  <w:style w:type="character" w:styleId="FootnoteReference">
    <w:name w:val="footnote reference"/>
    <w:uiPriority w:val="99"/>
    <w:rsid w:val="00CD1B51"/>
    <w:rPr>
      <w:vertAlign w:val="superscript"/>
    </w:rPr>
  </w:style>
  <w:style w:type="paragraph" w:customStyle="1" w:styleId="FigurePara">
    <w:name w:val="FigurePara"/>
    <w:basedOn w:val="Normal"/>
    <w:unhideWhenUsed/>
    <w:rsid w:val="00CD1B51"/>
    <w:pPr>
      <w:keepNext/>
      <w:spacing w:after="0"/>
    </w:pPr>
  </w:style>
  <w:style w:type="paragraph" w:customStyle="1" w:styleId="FigureName">
    <w:name w:val="FigureName"/>
    <w:basedOn w:val="Normal"/>
    <w:link w:val="FigureNameChar"/>
    <w:unhideWhenUsed/>
    <w:rsid w:val="00CD1B51"/>
    <w:pPr>
      <w:keepLines/>
      <w:tabs>
        <w:tab w:val="left" w:pos="1800"/>
      </w:tabs>
      <w:spacing w:before="120" w:after="360"/>
      <w:ind w:left="1800" w:hanging="1080"/>
    </w:pPr>
    <w:rPr>
      <w:rFonts w:ascii="Arial Narrow" w:hAnsi="Arial Narrow"/>
      <w:b/>
      <w:bCs/>
    </w:rPr>
  </w:style>
  <w:style w:type="paragraph" w:styleId="TOC1">
    <w:name w:val="toc 1"/>
    <w:basedOn w:val="Normal"/>
    <w:next w:val="Normal"/>
    <w:autoRedefine/>
    <w:uiPriority w:val="39"/>
    <w:unhideWhenUsed/>
    <w:rsid w:val="00CB2854"/>
    <w:pPr>
      <w:keepNext/>
      <w:tabs>
        <w:tab w:val="left" w:pos="1440"/>
        <w:tab w:val="right" w:leader="dot" w:pos="9016"/>
      </w:tabs>
      <w:spacing w:before="360" w:after="60"/>
      <w:ind w:left="1440" w:right="720" w:hanging="720"/>
    </w:pPr>
    <w:rPr>
      <w:b/>
      <w:bCs/>
      <w:noProof/>
    </w:rPr>
  </w:style>
  <w:style w:type="paragraph" w:styleId="TOC2">
    <w:name w:val="toc 2"/>
    <w:basedOn w:val="Normal"/>
    <w:next w:val="Normal"/>
    <w:autoRedefine/>
    <w:uiPriority w:val="39"/>
    <w:unhideWhenUsed/>
    <w:rsid w:val="00CD1B51"/>
    <w:pPr>
      <w:tabs>
        <w:tab w:val="left" w:pos="2160"/>
        <w:tab w:val="right" w:leader="dot" w:pos="9016"/>
      </w:tabs>
      <w:spacing w:before="180" w:after="60"/>
      <w:ind w:left="2160" w:right="720" w:hanging="720"/>
    </w:pPr>
  </w:style>
  <w:style w:type="paragraph" w:styleId="TOC3">
    <w:name w:val="toc 3"/>
    <w:basedOn w:val="Normal"/>
    <w:next w:val="Normal"/>
    <w:autoRedefine/>
    <w:uiPriority w:val="39"/>
    <w:unhideWhenUsed/>
    <w:rsid w:val="00CD1B51"/>
    <w:pPr>
      <w:tabs>
        <w:tab w:val="left" w:pos="2880"/>
        <w:tab w:val="right" w:leader="dot" w:pos="9016"/>
      </w:tabs>
      <w:spacing w:after="20"/>
      <w:ind w:left="2880" w:right="720" w:hanging="720"/>
    </w:pPr>
  </w:style>
  <w:style w:type="paragraph" w:styleId="TableofFigures">
    <w:name w:val="table of figures"/>
    <w:basedOn w:val="Normal"/>
    <w:next w:val="Normal"/>
    <w:uiPriority w:val="99"/>
    <w:unhideWhenUsed/>
    <w:rsid w:val="00CD1B51"/>
    <w:pPr>
      <w:tabs>
        <w:tab w:val="left" w:pos="1800"/>
        <w:tab w:val="right" w:leader="dot" w:pos="9000"/>
      </w:tabs>
      <w:spacing w:after="120"/>
      <w:ind w:left="1800" w:right="720" w:hanging="1080"/>
    </w:pPr>
  </w:style>
  <w:style w:type="character" w:customStyle="1" w:styleId="HeaderChar">
    <w:name w:val="Header Char"/>
    <w:link w:val="Header"/>
    <w:uiPriority w:val="99"/>
    <w:rsid w:val="00672FE1"/>
    <w:rPr>
      <w:rFonts w:ascii="Calibri" w:eastAsia="Times New Roman" w:hAnsi="Calibri" w:cs="Tahoma"/>
      <w:color w:val="000000"/>
      <w:sz w:val="18"/>
      <w:szCs w:val="22"/>
      <w:lang w:eastAsia="en-AU"/>
    </w:rPr>
  </w:style>
  <w:style w:type="paragraph" w:customStyle="1" w:styleId="Bullet0">
    <w:name w:val="Bullet+0"/>
    <w:basedOn w:val="Normal"/>
    <w:link w:val="Bullet0Char"/>
    <w:qFormat/>
    <w:rsid w:val="00A12236"/>
    <w:pPr>
      <w:numPr>
        <w:numId w:val="20"/>
      </w:numPr>
      <w:tabs>
        <w:tab w:val="left" w:pos="1080"/>
      </w:tabs>
      <w:spacing w:after="0"/>
    </w:pPr>
    <w:rPr>
      <w:rFonts w:cs="Times New Roman"/>
      <w:lang w:val="x-none" w:eastAsia="x-none"/>
    </w:rPr>
  </w:style>
  <w:style w:type="paragraph" w:customStyle="1" w:styleId="Bullet6">
    <w:name w:val="Bullet+6"/>
    <w:basedOn w:val="Bullet0"/>
    <w:link w:val="Bullet6Char"/>
    <w:qFormat/>
    <w:rsid w:val="00A12236"/>
    <w:pPr>
      <w:tabs>
        <w:tab w:val="clear" w:pos="360"/>
      </w:tabs>
      <w:spacing w:after="120"/>
      <w:ind w:left="1080"/>
    </w:pPr>
  </w:style>
  <w:style w:type="paragraph" w:customStyle="1" w:styleId="Bullet12">
    <w:name w:val="Bullet+12"/>
    <w:basedOn w:val="Bullet6"/>
    <w:link w:val="Bullet12Char"/>
    <w:qFormat/>
    <w:rsid w:val="00A12236"/>
    <w:pPr>
      <w:spacing w:after="240"/>
    </w:pPr>
  </w:style>
  <w:style w:type="paragraph" w:customStyle="1" w:styleId="Dash0">
    <w:name w:val="Dash+0"/>
    <w:basedOn w:val="Normal"/>
    <w:unhideWhenUsed/>
    <w:rsid w:val="00CD1B51"/>
    <w:pPr>
      <w:numPr>
        <w:numId w:val="4"/>
      </w:numPr>
      <w:tabs>
        <w:tab w:val="left" w:pos="1440"/>
      </w:tabs>
      <w:spacing w:after="0"/>
    </w:pPr>
  </w:style>
  <w:style w:type="paragraph" w:customStyle="1" w:styleId="Dash6">
    <w:name w:val="Dash+6"/>
    <w:basedOn w:val="Dash0"/>
    <w:unhideWhenUsed/>
    <w:rsid w:val="00D85135"/>
    <w:pPr>
      <w:tabs>
        <w:tab w:val="clear" w:pos="216"/>
      </w:tabs>
      <w:spacing w:after="120"/>
      <w:ind w:left="1418" w:hanging="284"/>
    </w:pPr>
  </w:style>
  <w:style w:type="paragraph" w:customStyle="1" w:styleId="Dash12">
    <w:name w:val="Dash+12"/>
    <w:basedOn w:val="Dash6"/>
    <w:unhideWhenUsed/>
    <w:rsid w:val="00CD1B51"/>
    <w:pPr>
      <w:spacing w:after="240"/>
    </w:pPr>
  </w:style>
  <w:style w:type="paragraph" w:customStyle="1" w:styleId="Normalbeforebullet">
    <w:name w:val="Normal (before bullet)"/>
    <w:basedOn w:val="Normal"/>
    <w:link w:val="NormalbeforebulletChar"/>
    <w:unhideWhenUsed/>
    <w:rsid w:val="00FF2787"/>
    <w:pPr>
      <w:keepNext/>
      <w:spacing w:after="120"/>
      <w:ind w:left="709"/>
    </w:pPr>
    <w:rPr>
      <w:rFonts w:cs="Times New Roman"/>
      <w:szCs w:val="20"/>
      <w:lang w:val="en-GB" w:eastAsia="en-GB"/>
    </w:rPr>
  </w:style>
  <w:style w:type="paragraph" w:customStyle="1" w:styleId="BoxText">
    <w:name w:val="BoxText"/>
    <w:basedOn w:val="Normal"/>
    <w:link w:val="BoxTextChar"/>
    <w:unhideWhenUsed/>
    <w:qFormat/>
    <w:rsid w:val="00CD1B51"/>
    <w:pPr>
      <w:pBdr>
        <w:top w:val="single" w:sz="4" w:space="4" w:color="000000"/>
        <w:left w:val="single" w:sz="4" w:space="4" w:color="000000"/>
        <w:bottom w:val="single" w:sz="4" w:space="4" w:color="000000"/>
        <w:right w:val="single" w:sz="4" w:space="4" w:color="000000"/>
      </w:pBdr>
      <w:spacing w:after="120"/>
      <w:ind w:left="806" w:right="58"/>
    </w:pPr>
    <w:rPr>
      <w:rFonts w:cs="Times New Roman"/>
      <w:lang w:val="x-none" w:eastAsia="x-none"/>
    </w:rPr>
  </w:style>
  <w:style w:type="paragraph" w:customStyle="1" w:styleId="BoxNotes">
    <w:name w:val="BoxNotes"/>
    <w:basedOn w:val="BoxText"/>
    <w:unhideWhenUsed/>
    <w:rsid w:val="00CD1B51"/>
    <w:pPr>
      <w:spacing w:before="120" w:after="60"/>
    </w:pPr>
    <w:rPr>
      <w:sz w:val="18"/>
    </w:rPr>
  </w:style>
  <w:style w:type="paragraph" w:customStyle="1" w:styleId="BoxName">
    <w:name w:val="BoxName"/>
    <w:basedOn w:val="BoxText"/>
    <w:unhideWhenUsed/>
    <w:rsid w:val="00CD1B51"/>
    <w:pPr>
      <w:keepNext/>
      <w:spacing w:before="180"/>
      <w:ind w:left="1886" w:hanging="1080"/>
    </w:pPr>
    <w:rPr>
      <w:rFonts w:ascii="Arial Narrow" w:hAnsi="Arial Narrow"/>
      <w:b/>
      <w:bCs/>
    </w:rPr>
  </w:style>
  <w:style w:type="paragraph" w:customStyle="1" w:styleId="BoxHeading">
    <w:name w:val="BoxHeading"/>
    <w:basedOn w:val="BoxText"/>
    <w:link w:val="BoxHeadingChar"/>
    <w:unhideWhenUsed/>
    <w:qFormat/>
    <w:rsid w:val="00CD1B51"/>
    <w:pPr>
      <w:keepNext/>
      <w:spacing w:before="120" w:after="60"/>
    </w:pPr>
    <w:rPr>
      <w:b/>
      <w:bCs/>
    </w:rPr>
  </w:style>
  <w:style w:type="paragraph" w:customStyle="1" w:styleId="BoxBullet">
    <w:name w:val="BoxBullet"/>
    <w:basedOn w:val="BoxText"/>
    <w:unhideWhenUsed/>
    <w:rsid w:val="00CD1B51"/>
    <w:pPr>
      <w:numPr>
        <w:numId w:val="5"/>
      </w:numPr>
      <w:tabs>
        <w:tab w:val="clear" w:pos="360"/>
        <w:tab w:val="left" w:pos="1166"/>
      </w:tabs>
      <w:ind w:left="1166"/>
    </w:pPr>
  </w:style>
  <w:style w:type="paragraph" w:customStyle="1" w:styleId="BoxDash">
    <w:name w:val="BoxDash"/>
    <w:basedOn w:val="BoxText"/>
    <w:unhideWhenUsed/>
    <w:rsid w:val="00CD1B51"/>
    <w:pPr>
      <w:tabs>
        <w:tab w:val="left" w:pos="806"/>
        <w:tab w:val="left" w:pos="1166"/>
      </w:tabs>
      <w:ind w:left="1526" w:hanging="720"/>
    </w:pPr>
  </w:style>
  <w:style w:type="paragraph" w:customStyle="1" w:styleId="FigureNameBF">
    <w:name w:val="FigureNameBF"/>
    <w:basedOn w:val="FigureName"/>
    <w:unhideWhenUsed/>
    <w:rsid w:val="00CD1B51"/>
    <w:pPr>
      <w:keepNext/>
      <w:spacing w:after="120"/>
    </w:pPr>
  </w:style>
  <w:style w:type="paragraph" w:styleId="Index1">
    <w:name w:val="index 1"/>
    <w:basedOn w:val="Normal"/>
    <w:next w:val="Normal"/>
    <w:autoRedefine/>
    <w:rsid w:val="00CD1B51"/>
    <w:pPr>
      <w:spacing w:after="0"/>
      <w:ind w:left="936" w:hanging="216"/>
    </w:pPr>
    <w:rPr>
      <w:noProof/>
    </w:rPr>
  </w:style>
  <w:style w:type="paragraph" w:styleId="Index2">
    <w:name w:val="index 2"/>
    <w:basedOn w:val="Normal"/>
    <w:next w:val="Normal"/>
    <w:autoRedefine/>
    <w:rsid w:val="00CD1B51"/>
    <w:pPr>
      <w:spacing w:after="0"/>
      <w:ind w:left="1152" w:hanging="216"/>
    </w:pPr>
    <w:rPr>
      <w:noProof/>
    </w:rPr>
  </w:style>
  <w:style w:type="paragraph" w:styleId="TOC4">
    <w:name w:val="toc 4"/>
    <w:basedOn w:val="Normal"/>
    <w:next w:val="Normal"/>
    <w:autoRedefine/>
    <w:rsid w:val="00CD1B51"/>
    <w:pPr>
      <w:tabs>
        <w:tab w:val="right" w:leader="dot" w:pos="9016"/>
      </w:tabs>
      <w:spacing w:after="0"/>
      <w:ind w:left="2880" w:right="720"/>
    </w:pPr>
    <w:rPr>
      <w:noProof/>
      <w:szCs w:val="24"/>
    </w:rPr>
  </w:style>
  <w:style w:type="paragraph" w:customStyle="1" w:styleId="NumberList">
    <w:name w:val="NumberList"/>
    <w:basedOn w:val="Normal"/>
    <w:unhideWhenUsed/>
    <w:rsid w:val="00CD1B51"/>
    <w:pPr>
      <w:tabs>
        <w:tab w:val="left" w:pos="1080"/>
      </w:tabs>
      <w:ind w:left="1080" w:hanging="360"/>
    </w:pPr>
  </w:style>
  <w:style w:type="paragraph" w:customStyle="1" w:styleId="TableSource18">
    <w:name w:val="TableSource+18"/>
    <w:basedOn w:val="TableFigNotes18"/>
    <w:unhideWhenUsed/>
    <w:rsid w:val="00CD1B51"/>
    <w:pPr>
      <w:ind w:hanging="720"/>
    </w:pPr>
  </w:style>
  <w:style w:type="paragraph" w:customStyle="1" w:styleId="TableSource0">
    <w:name w:val="TableSource+0"/>
    <w:basedOn w:val="TableSource18"/>
    <w:unhideWhenUsed/>
    <w:rsid w:val="00CD1B51"/>
    <w:pPr>
      <w:spacing w:after="0"/>
      <w:ind w:left="1440"/>
    </w:pPr>
  </w:style>
  <w:style w:type="character" w:styleId="PlaceholderText">
    <w:name w:val="Placeholder Text"/>
    <w:uiPriority w:val="99"/>
    <w:semiHidden/>
    <w:rsid w:val="00CD1B51"/>
    <w:rPr>
      <w:color w:val="808080"/>
    </w:rPr>
  </w:style>
  <w:style w:type="paragraph" w:styleId="BalloonText">
    <w:name w:val="Balloon Text"/>
    <w:basedOn w:val="Normal"/>
    <w:link w:val="BalloonTextChar"/>
    <w:semiHidden/>
    <w:rsid w:val="00CD1B51"/>
    <w:rPr>
      <w:rFonts w:ascii="Tahoma" w:hAnsi="Tahoma" w:cs="Times New Roman"/>
      <w:sz w:val="16"/>
      <w:szCs w:val="16"/>
      <w:lang w:val="x-none"/>
    </w:rPr>
  </w:style>
  <w:style w:type="table" w:styleId="TableGrid">
    <w:name w:val="Table Grid"/>
    <w:basedOn w:val="TableNormal"/>
    <w:uiPriority w:val="59"/>
    <w:rsid w:val="00CD1B5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FigNotes6">
    <w:name w:val="TableFigNotes+6"/>
    <w:basedOn w:val="TableFigNotes0"/>
    <w:unhideWhenUsed/>
    <w:rsid w:val="00723740"/>
    <w:pPr>
      <w:spacing w:after="120"/>
    </w:pPr>
  </w:style>
  <w:style w:type="character" w:customStyle="1" w:styleId="DesignerNotes">
    <w:name w:val="DesignerNotes"/>
    <w:unhideWhenUsed/>
    <w:rsid w:val="00CD1B51"/>
    <w:rPr>
      <w:rFonts w:ascii="Arial" w:hAnsi="Arial"/>
      <w:color w:val="3366FF"/>
      <w:sz w:val="20"/>
    </w:rPr>
  </w:style>
  <w:style w:type="character" w:styleId="CommentReference">
    <w:name w:val="annotation reference"/>
    <w:uiPriority w:val="99"/>
    <w:rsid w:val="00CD1B51"/>
    <w:rPr>
      <w:sz w:val="16"/>
      <w:szCs w:val="16"/>
    </w:rPr>
  </w:style>
  <w:style w:type="paragraph" w:styleId="CommentText">
    <w:name w:val="annotation text"/>
    <w:basedOn w:val="Normal"/>
    <w:link w:val="CommentTextChar"/>
    <w:uiPriority w:val="99"/>
    <w:rsid w:val="00CD1B51"/>
    <w:pPr>
      <w:spacing w:after="0"/>
      <w:ind w:left="0"/>
    </w:pPr>
    <w:rPr>
      <w:rFonts w:cs="Times New Roman"/>
      <w:color w:val="auto"/>
      <w:sz w:val="20"/>
      <w:lang w:val="x-none" w:eastAsia="en-US"/>
    </w:rPr>
  </w:style>
  <w:style w:type="character" w:customStyle="1" w:styleId="CommentTextChar">
    <w:name w:val="Comment Text Char"/>
    <w:link w:val="CommentText"/>
    <w:uiPriority w:val="99"/>
    <w:rsid w:val="00CD1B51"/>
    <w:rPr>
      <w:rFonts w:ascii="Calibri" w:eastAsia="Times New Roman" w:hAnsi="Calibri" w:cs="Tahoma"/>
      <w:szCs w:val="22"/>
      <w:lang w:eastAsia="en-US"/>
    </w:rPr>
  </w:style>
  <w:style w:type="paragraph" w:customStyle="1" w:styleId="Default">
    <w:name w:val="Default"/>
    <w:link w:val="DefaultChar"/>
    <w:unhideWhenUsed/>
    <w:rsid w:val="00CD1B51"/>
    <w:pPr>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uiPriority w:val="99"/>
    <w:rsid w:val="00CD1B51"/>
    <w:pPr>
      <w:spacing w:after="0"/>
      <w:ind w:left="0"/>
    </w:pPr>
    <w:rPr>
      <w:rFonts w:cs="Times New Roman"/>
      <w:color w:val="auto"/>
      <w:sz w:val="20"/>
      <w:lang w:val="x-none" w:eastAsia="en-US"/>
    </w:rPr>
  </w:style>
  <w:style w:type="character" w:customStyle="1" w:styleId="EndnoteTextChar">
    <w:name w:val="Endnote Text Char"/>
    <w:link w:val="EndnoteText"/>
    <w:uiPriority w:val="99"/>
    <w:rsid w:val="00CD1B51"/>
    <w:rPr>
      <w:rFonts w:ascii="Calibri" w:eastAsia="Times New Roman" w:hAnsi="Calibri" w:cs="Tahoma"/>
      <w:szCs w:val="22"/>
      <w:lang w:eastAsia="en-US"/>
    </w:rPr>
  </w:style>
  <w:style w:type="character" w:styleId="EndnoteReference">
    <w:name w:val="endnote reference"/>
    <w:uiPriority w:val="99"/>
    <w:rsid w:val="00CD1B51"/>
    <w:rPr>
      <w:vertAlign w:val="superscript"/>
    </w:rPr>
  </w:style>
  <w:style w:type="paragraph" w:customStyle="1" w:styleId="Normal-noindent">
    <w:name w:val="Normal - no indent"/>
    <w:basedOn w:val="Normal"/>
    <w:unhideWhenUsed/>
    <w:qFormat/>
    <w:rsid w:val="00CD1B51"/>
    <w:pPr>
      <w:ind w:left="0"/>
    </w:pPr>
  </w:style>
  <w:style w:type="paragraph" w:styleId="CommentSubject">
    <w:name w:val="annotation subject"/>
    <w:basedOn w:val="CommentText"/>
    <w:next w:val="CommentText"/>
    <w:link w:val="CommentSubjectChar"/>
    <w:uiPriority w:val="99"/>
    <w:unhideWhenUsed/>
    <w:rsid w:val="00CD1B51"/>
    <w:pPr>
      <w:spacing w:after="240"/>
      <w:ind w:left="720"/>
    </w:pPr>
    <w:rPr>
      <w:b/>
      <w:bCs/>
      <w:color w:val="000000"/>
      <w:lang w:eastAsia="en-AU"/>
    </w:rPr>
  </w:style>
  <w:style w:type="character" w:customStyle="1" w:styleId="CommentSubjectChar">
    <w:name w:val="Comment Subject Char"/>
    <w:link w:val="CommentSubject"/>
    <w:uiPriority w:val="99"/>
    <w:rsid w:val="00CD1B51"/>
    <w:rPr>
      <w:rFonts w:ascii="Calibri" w:eastAsia="Times New Roman" w:hAnsi="Calibri" w:cs="Tahoma"/>
      <w:b/>
      <w:bCs/>
      <w:color w:val="000000"/>
      <w:szCs w:val="22"/>
      <w:lang w:eastAsia="en-AU"/>
    </w:rPr>
  </w:style>
  <w:style w:type="paragraph" w:customStyle="1" w:styleId="ChapterHeading">
    <w:name w:val="Chapter Heading"/>
    <w:basedOn w:val="Normal"/>
    <w:link w:val="ChapterHeadingChar"/>
    <w:autoRedefine/>
    <w:unhideWhenUsed/>
    <w:qFormat/>
    <w:rsid w:val="00CD1B51"/>
    <w:pPr>
      <w:numPr>
        <w:numId w:val="6"/>
      </w:numPr>
      <w:spacing w:after="120"/>
    </w:pPr>
    <w:rPr>
      <w:rFonts w:cs="Times New Roman"/>
      <w:color w:val="auto"/>
      <w:szCs w:val="32"/>
      <w:lang w:val="x-none" w:eastAsia="en-US"/>
    </w:rPr>
  </w:style>
  <w:style w:type="paragraph" w:customStyle="1" w:styleId="Chaptersub-headings">
    <w:name w:val="Chapter sub-headings"/>
    <w:basedOn w:val="ChapterHeading"/>
    <w:link w:val="Chaptersub-headingsChar"/>
    <w:autoRedefine/>
    <w:unhideWhenUsed/>
    <w:qFormat/>
    <w:rsid w:val="00CD1B51"/>
    <w:pPr>
      <w:numPr>
        <w:numId w:val="13"/>
      </w:numPr>
    </w:pPr>
    <w:rPr>
      <w:szCs w:val="28"/>
    </w:rPr>
  </w:style>
  <w:style w:type="character" w:customStyle="1" w:styleId="ChapterHeadingChar">
    <w:name w:val="Chapter Heading Char"/>
    <w:link w:val="ChapterHeading"/>
    <w:rsid w:val="00672FE1"/>
    <w:rPr>
      <w:rFonts w:ascii="Calibri" w:eastAsia="Times New Roman" w:hAnsi="Calibri"/>
      <w:sz w:val="22"/>
      <w:szCs w:val="32"/>
      <w:lang w:val="x-none" w:eastAsia="en-US"/>
    </w:rPr>
  </w:style>
  <w:style w:type="character" w:customStyle="1" w:styleId="Chaptersub-headingsChar">
    <w:name w:val="Chapter sub-headings Char"/>
    <w:link w:val="Chaptersub-headings"/>
    <w:rsid w:val="00672FE1"/>
    <w:rPr>
      <w:rFonts w:ascii="Calibri" w:eastAsia="Times New Roman" w:hAnsi="Calibri"/>
      <w:sz w:val="22"/>
      <w:szCs w:val="28"/>
      <w:lang w:val="x-none" w:eastAsia="en-US"/>
    </w:rPr>
  </w:style>
  <w:style w:type="character" w:customStyle="1" w:styleId="FootnoteTextChar">
    <w:name w:val="Footnote Text Char"/>
    <w:link w:val="FootnoteText"/>
    <w:uiPriority w:val="99"/>
    <w:rsid w:val="009E094A"/>
    <w:rPr>
      <w:rFonts w:ascii="Calibri" w:eastAsia="Times New Roman" w:hAnsi="Calibri"/>
      <w:color w:val="000000"/>
      <w:sz w:val="18"/>
      <w:szCs w:val="22"/>
      <w:lang w:val="x-none"/>
    </w:rPr>
  </w:style>
  <w:style w:type="character" w:customStyle="1" w:styleId="BodytextChar">
    <w:name w:val="Body text Char"/>
    <w:link w:val="BodyText1"/>
    <w:locked/>
    <w:rsid w:val="00672FE1"/>
    <w:rPr>
      <w:rFonts w:ascii="Arial Narrow" w:eastAsia="Arial Unicode MS" w:hAnsi="Arial Narrow" w:cs="Arial"/>
      <w:sz w:val="24"/>
      <w:szCs w:val="24"/>
      <w:lang w:eastAsia="ja-JP"/>
    </w:rPr>
  </w:style>
  <w:style w:type="paragraph" w:customStyle="1" w:styleId="BodyText1">
    <w:name w:val="Body Text1"/>
    <w:basedOn w:val="Normal"/>
    <w:link w:val="BodytextChar"/>
    <w:unhideWhenUsed/>
    <w:qFormat/>
    <w:rsid w:val="00CD1B51"/>
    <w:pPr>
      <w:spacing w:line="360" w:lineRule="auto"/>
      <w:ind w:left="0"/>
    </w:pPr>
    <w:rPr>
      <w:rFonts w:ascii="Arial Narrow" w:eastAsia="Arial Unicode MS" w:hAnsi="Arial Narrow" w:cs="Times New Roman"/>
      <w:color w:val="auto"/>
      <w:sz w:val="24"/>
      <w:szCs w:val="24"/>
      <w:lang w:val="x-none" w:eastAsia="ja-JP"/>
    </w:rPr>
  </w:style>
  <w:style w:type="paragraph" w:customStyle="1" w:styleId="Bodytextbullet">
    <w:name w:val="Body text bullet"/>
    <w:basedOn w:val="BodyText1"/>
    <w:link w:val="BodytextbulletChar"/>
    <w:unhideWhenUsed/>
    <w:rsid w:val="00CD1B51"/>
    <w:pPr>
      <w:tabs>
        <w:tab w:val="num" w:pos="600"/>
      </w:tabs>
      <w:ind w:left="568" w:hanging="284"/>
    </w:pPr>
  </w:style>
  <w:style w:type="paragraph" w:customStyle="1" w:styleId="Bodybullet">
    <w:name w:val="Body bullet"/>
    <w:basedOn w:val="Normal"/>
    <w:unhideWhenUsed/>
    <w:rsid w:val="00CD1B51"/>
    <w:pPr>
      <w:numPr>
        <w:numId w:val="7"/>
      </w:numPr>
      <w:spacing w:line="360" w:lineRule="auto"/>
    </w:pPr>
    <w:rPr>
      <w:rFonts w:ascii="Arial Narrow" w:eastAsia="MS Mincho" w:hAnsi="Arial Narrow" w:cs="Times New Roman"/>
      <w:color w:val="auto"/>
      <w:sz w:val="24"/>
      <w:szCs w:val="24"/>
      <w:lang w:eastAsia="ja-JP"/>
    </w:rPr>
  </w:style>
  <w:style w:type="paragraph" w:customStyle="1" w:styleId="Bodybullets">
    <w:name w:val="Body bullets"/>
    <w:basedOn w:val="BodyText1"/>
    <w:unhideWhenUsed/>
    <w:rsid w:val="00CD1B51"/>
    <w:pPr>
      <w:numPr>
        <w:numId w:val="8"/>
      </w:numPr>
      <w:tabs>
        <w:tab w:val="clear" w:pos="720"/>
        <w:tab w:val="num" w:pos="216"/>
        <w:tab w:val="num" w:pos="360"/>
      </w:tabs>
      <w:ind w:left="0" w:firstLine="0"/>
    </w:pPr>
  </w:style>
  <w:style w:type="character" w:styleId="Hyperlink">
    <w:name w:val="Hyperlink"/>
    <w:uiPriority w:val="99"/>
    <w:unhideWhenUsed/>
    <w:rsid w:val="00CD1B51"/>
    <w:rPr>
      <w:strike w:val="0"/>
      <w:dstrike w:val="0"/>
      <w:color w:val="004276"/>
      <w:u w:val="none"/>
      <w:effect w:val="none"/>
    </w:rPr>
  </w:style>
  <w:style w:type="paragraph" w:styleId="NormalWeb">
    <w:name w:val="Normal (Web)"/>
    <w:basedOn w:val="Normal"/>
    <w:uiPriority w:val="99"/>
    <w:unhideWhenUsed/>
    <w:rsid w:val="00CD1B51"/>
    <w:pPr>
      <w:spacing w:after="102"/>
      <w:ind w:left="0"/>
    </w:pPr>
    <w:rPr>
      <w:rFonts w:ascii="Times New Roman" w:hAnsi="Times New Roman" w:cs="Times New Roman"/>
      <w:color w:val="auto"/>
      <w:sz w:val="24"/>
      <w:szCs w:val="24"/>
    </w:rPr>
  </w:style>
  <w:style w:type="paragraph" w:customStyle="1" w:styleId="ResQ">
    <w:name w:val="ResQ"/>
    <w:basedOn w:val="Normal"/>
    <w:unhideWhenUsed/>
    <w:qFormat/>
    <w:rsid w:val="00CD1B51"/>
    <w:rPr>
      <w:b/>
      <w:color w:val="3366FF"/>
      <w:sz w:val="24"/>
    </w:rPr>
  </w:style>
  <w:style w:type="paragraph" w:styleId="Revision">
    <w:name w:val="Revision"/>
    <w:hidden/>
    <w:uiPriority w:val="99"/>
    <w:semiHidden/>
    <w:rsid w:val="00CD1B51"/>
    <w:rPr>
      <w:rFonts w:ascii="Calibri" w:eastAsia="Times New Roman" w:hAnsi="Calibri" w:cs="Tahoma"/>
      <w:color w:val="000000"/>
      <w:sz w:val="22"/>
      <w:szCs w:val="22"/>
    </w:rPr>
  </w:style>
  <w:style w:type="paragraph" w:customStyle="1" w:styleId="Tablefootnote">
    <w:name w:val="Table footnote"/>
    <w:basedOn w:val="Normal"/>
    <w:link w:val="TablefootnoteChar"/>
    <w:unhideWhenUsed/>
    <w:rsid w:val="00CD1B51"/>
    <w:pPr>
      <w:spacing w:before="60" w:after="360"/>
      <w:ind w:left="0"/>
    </w:pPr>
    <w:rPr>
      <w:rFonts w:ascii="Arial Narrow" w:eastAsia="MS Mincho" w:hAnsi="Arial Narrow" w:cs="Times New Roman"/>
      <w:color w:val="auto"/>
      <w:sz w:val="16"/>
      <w:szCs w:val="24"/>
      <w:lang w:val="x-none" w:eastAsia="ja-JP"/>
    </w:rPr>
  </w:style>
  <w:style w:type="paragraph" w:customStyle="1" w:styleId="Tabletext0">
    <w:name w:val="Table text"/>
    <w:basedOn w:val="Normal"/>
    <w:link w:val="TabletextChar0"/>
    <w:unhideWhenUsed/>
    <w:qFormat/>
    <w:rsid w:val="00CD1B51"/>
    <w:pPr>
      <w:spacing w:before="40" w:after="60"/>
      <w:ind w:left="0"/>
    </w:pPr>
    <w:rPr>
      <w:rFonts w:ascii="Arial Narrow" w:eastAsia="Arial Unicode MS" w:hAnsi="Arial Narrow" w:cs="Times New Roman"/>
      <w:bCs/>
      <w:color w:val="auto"/>
      <w:sz w:val="20"/>
      <w:szCs w:val="24"/>
      <w:lang w:val="x-none" w:eastAsia="ja-JP"/>
    </w:rPr>
  </w:style>
  <w:style w:type="character" w:customStyle="1" w:styleId="TabletextChar0">
    <w:name w:val="Table text Char"/>
    <w:link w:val="Tabletext0"/>
    <w:rsid w:val="00672FE1"/>
    <w:rPr>
      <w:rFonts w:ascii="Arial Narrow" w:eastAsia="Arial Unicode MS" w:hAnsi="Arial Narrow" w:cs="Arial"/>
      <w:bCs/>
      <w:szCs w:val="24"/>
      <w:lang w:eastAsia="ja-JP"/>
    </w:rPr>
  </w:style>
  <w:style w:type="paragraph" w:customStyle="1" w:styleId="Tabletextbold">
    <w:name w:val="Table text bold"/>
    <w:basedOn w:val="Tabletext0"/>
    <w:link w:val="TabletextboldChar"/>
    <w:unhideWhenUsed/>
    <w:rsid w:val="00CD1B51"/>
    <w:rPr>
      <w:b/>
      <w:bCs w:val="0"/>
    </w:rPr>
  </w:style>
  <w:style w:type="character" w:customStyle="1" w:styleId="TabletextboldChar">
    <w:name w:val="Table text bold Char"/>
    <w:link w:val="Tabletextbold"/>
    <w:rsid w:val="00672FE1"/>
    <w:rPr>
      <w:rFonts w:ascii="Arial Narrow" w:eastAsia="Arial Unicode MS" w:hAnsi="Arial Narrow" w:cs="Arial"/>
      <w:b/>
      <w:bCs w:val="0"/>
      <w:szCs w:val="24"/>
      <w:lang w:eastAsia="ja-JP"/>
    </w:rPr>
  </w:style>
  <w:style w:type="paragraph" w:customStyle="1" w:styleId="sectionrhead">
    <w:name w:val="sectionr head"/>
    <w:basedOn w:val="Normal"/>
    <w:unhideWhenUsed/>
    <w:rsid w:val="00CD1B51"/>
    <w:pPr>
      <w:spacing w:before="360" w:after="360"/>
      <w:ind w:left="0"/>
    </w:pPr>
    <w:rPr>
      <w:rFonts w:ascii="Century Gothic" w:eastAsia="MS Mincho" w:hAnsi="Century Gothic" w:cs="Times New Roman"/>
      <w:b/>
      <w:color w:val="auto"/>
      <w:sz w:val="56"/>
      <w:szCs w:val="24"/>
      <w:lang w:eastAsia="ja-JP"/>
    </w:rPr>
  </w:style>
  <w:style w:type="paragraph" w:customStyle="1" w:styleId="PT-bullets">
    <w:name w:val="PT-bullets"/>
    <w:basedOn w:val="Bullet6"/>
    <w:unhideWhenUsed/>
    <w:qFormat/>
    <w:rsid w:val="008D036B"/>
    <w:pPr>
      <w:tabs>
        <w:tab w:val="clear" w:pos="1080"/>
        <w:tab w:val="num" w:pos="360"/>
        <w:tab w:val="left" w:pos="414"/>
      </w:tabs>
      <w:ind w:left="360"/>
    </w:pPr>
  </w:style>
  <w:style w:type="paragraph" w:customStyle="1" w:styleId="PT-heading">
    <w:name w:val="PT-heading"/>
    <w:basedOn w:val="Heading2a"/>
    <w:unhideWhenUsed/>
    <w:qFormat/>
    <w:rsid w:val="00C44627"/>
    <w:rPr>
      <w:i/>
      <w:sz w:val="22"/>
    </w:rPr>
  </w:style>
  <w:style w:type="paragraph" w:customStyle="1" w:styleId="PP-bullets">
    <w:name w:val="PP-bullets"/>
    <w:basedOn w:val="PT-bullets"/>
    <w:unhideWhenUsed/>
    <w:rsid w:val="00E67EBB"/>
  </w:style>
  <w:style w:type="paragraph" w:customStyle="1" w:styleId="PP-heading">
    <w:name w:val="PP-heading"/>
    <w:basedOn w:val="PT-heading"/>
    <w:unhideWhenUsed/>
    <w:qFormat/>
    <w:rsid w:val="00F156EE"/>
    <w:pPr>
      <w:ind w:left="34" w:firstLine="0"/>
    </w:pPr>
    <w:rPr>
      <w:rFonts w:ascii="Arial Bold" w:hAnsi="Arial Bold"/>
      <w:i w:val="0"/>
    </w:rPr>
  </w:style>
  <w:style w:type="paragraph" w:customStyle="1" w:styleId="PP-dash">
    <w:name w:val="PP-dash"/>
    <w:basedOn w:val="Dash6"/>
    <w:unhideWhenUsed/>
    <w:rsid w:val="009A5316"/>
    <w:pPr>
      <w:tabs>
        <w:tab w:val="clear" w:pos="1440"/>
        <w:tab w:val="left" w:pos="698"/>
      </w:tabs>
      <w:ind w:left="698"/>
    </w:pPr>
  </w:style>
  <w:style w:type="paragraph" w:customStyle="1" w:styleId="PP-note">
    <w:name w:val="PP-note"/>
    <w:basedOn w:val="Normal-noindent"/>
    <w:unhideWhenUsed/>
    <w:qFormat/>
    <w:rsid w:val="00AB4C4F"/>
    <w:rPr>
      <w:sz w:val="19"/>
      <w:szCs w:val="19"/>
    </w:rPr>
  </w:style>
  <w:style w:type="paragraph" w:styleId="BodyText">
    <w:name w:val="Body Text"/>
    <w:basedOn w:val="Normal"/>
    <w:link w:val="BodyTextChar0"/>
    <w:unhideWhenUsed/>
    <w:rsid w:val="00EF4F58"/>
    <w:pPr>
      <w:spacing w:line="360" w:lineRule="auto"/>
      <w:ind w:left="0"/>
    </w:pPr>
    <w:rPr>
      <w:rFonts w:ascii="Arial Narrow" w:hAnsi="Arial Narrow" w:cs="Times New Roman"/>
      <w:color w:val="auto"/>
      <w:sz w:val="24"/>
      <w:szCs w:val="24"/>
      <w:lang w:val="x-none" w:eastAsia="en-US"/>
    </w:rPr>
  </w:style>
  <w:style w:type="character" w:customStyle="1" w:styleId="BodyTextChar0">
    <w:name w:val="Body Text Char"/>
    <w:link w:val="BodyText"/>
    <w:rsid w:val="00672FE1"/>
    <w:rPr>
      <w:rFonts w:ascii="Arial Narrow" w:eastAsia="Times New Roman" w:hAnsi="Arial Narrow" w:cs="Arial"/>
      <w:sz w:val="24"/>
      <w:szCs w:val="24"/>
      <w:lang w:eastAsia="en-US"/>
    </w:rPr>
  </w:style>
  <w:style w:type="table" w:styleId="LightShading-Accent5">
    <w:name w:val="Light Shading Accent 5"/>
    <w:basedOn w:val="TableNormal"/>
    <w:uiPriority w:val="60"/>
    <w:rsid w:val="0067295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
    <w:name w:val="List"/>
    <w:basedOn w:val="Normal"/>
    <w:uiPriority w:val="99"/>
    <w:unhideWhenUsed/>
    <w:rsid w:val="00BD36AB"/>
    <w:pPr>
      <w:ind w:left="283" w:hanging="283"/>
      <w:contextualSpacing/>
    </w:pPr>
  </w:style>
  <w:style w:type="paragraph" w:customStyle="1" w:styleId="ListFirst">
    <w:name w:val="List First"/>
    <w:basedOn w:val="Dash6"/>
    <w:unhideWhenUsed/>
    <w:rsid w:val="00BD36AB"/>
    <w:pPr>
      <w:spacing w:before="240" w:after="0"/>
      <w:ind w:right="1440" w:firstLine="720"/>
    </w:pPr>
  </w:style>
  <w:style w:type="paragraph" w:customStyle="1" w:styleId="ListMiddle">
    <w:name w:val="List Middle"/>
    <w:basedOn w:val="Dash6"/>
    <w:unhideWhenUsed/>
    <w:rsid w:val="00BD36AB"/>
    <w:pPr>
      <w:spacing w:after="0"/>
      <w:ind w:right="1440" w:firstLine="720"/>
    </w:pPr>
  </w:style>
  <w:style w:type="paragraph" w:customStyle="1" w:styleId="ListLast">
    <w:name w:val="List Last"/>
    <w:basedOn w:val="Dash6"/>
    <w:unhideWhenUsed/>
    <w:rsid w:val="00BD36AB"/>
    <w:pPr>
      <w:spacing w:after="240"/>
      <w:ind w:right="1440" w:firstLine="720"/>
    </w:pPr>
  </w:style>
  <w:style w:type="paragraph" w:styleId="ListParagraph">
    <w:name w:val="List Paragraph"/>
    <w:basedOn w:val="Normal"/>
    <w:link w:val="ListParagraphChar"/>
    <w:uiPriority w:val="34"/>
    <w:qFormat/>
    <w:rsid w:val="00E868DC"/>
    <w:pPr>
      <w:contextualSpacing/>
    </w:pPr>
  </w:style>
  <w:style w:type="paragraph" w:customStyle="1" w:styleId="ES-heading">
    <w:name w:val="ES-heading"/>
    <w:basedOn w:val="PT-heading"/>
    <w:semiHidden/>
    <w:unhideWhenUsed/>
    <w:qFormat/>
    <w:rsid w:val="001A30F6"/>
  </w:style>
  <w:style w:type="paragraph" w:customStyle="1" w:styleId="PP1-bull">
    <w:name w:val="PP1-bull"/>
    <w:basedOn w:val="PT-bullets"/>
    <w:unhideWhenUsed/>
    <w:rsid w:val="008C24AE"/>
    <w:pPr>
      <w:numPr>
        <w:numId w:val="9"/>
      </w:numPr>
    </w:pPr>
    <w:rPr>
      <w:rFonts w:eastAsia="MS Mincho"/>
    </w:rPr>
  </w:style>
  <w:style w:type="paragraph" w:customStyle="1" w:styleId="R1-bul">
    <w:name w:val="R1-bul"/>
    <w:basedOn w:val="PP1-bull"/>
    <w:semiHidden/>
    <w:unhideWhenUsed/>
    <w:qFormat/>
    <w:rsid w:val="008C24AE"/>
    <w:pPr>
      <w:numPr>
        <w:numId w:val="10"/>
      </w:numPr>
    </w:pPr>
  </w:style>
  <w:style w:type="paragraph" w:customStyle="1" w:styleId="Style1">
    <w:name w:val="Style1"/>
    <w:basedOn w:val="PP1-bull"/>
    <w:link w:val="Style1Char"/>
    <w:unhideWhenUsed/>
    <w:qFormat/>
    <w:rsid w:val="008C24AE"/>
    <w:rPr>
      <w:rFonts w:eastAsia="Times New Roman"/>
    </w:rPr>
  </w:style>
  <w:style w:type="paragraph" w:customStyle="1" w:styleId="T1-bul">
    <w:name w:val="T1-bul"/>
    <w:basedOn w:val="Style1"/>
    <w:semiHidden/>
    <w:unhideWhenUsed/>
    <w:qFormat/>
    <w:rsid w:val="00AD4CD6"/>
    <w:pPr>
      <w:numPr>
        <w:numId w:val="11"/>
      </w:numPr>
      <w:ind w:left="567" w:hanging="567"/>
    </w:pPr>
  </w:style>
  <w:style w:type="paragraph" w:styleId="Date">
    <w:name w:val="Date"/>
    <w:basedOn w:val="Normal"/>
    <w:next w:val="Normal"/>
    <w:link w:val="DateChar"/>
    <w:unhideWhenUsed/>
    <w:rsid w:val="00CE1CD4"/>
    <w:rPr>
      <w:rFonts w:eastAsia="MS Mincho" w:cs="Times New Roman"/>
      <w:lang w:val="x-none"/>
    </w:rPr>
  </w:style>
  <w:style w:type="character" w:customStyle="1" w:styleId="DateChar">
    <w:name w:val="Date Char"/>
    <w:link w:val="Date"/>
    <w:rsid w:val="00CE1CD4"/>
    <w:rPr>
      <w:rFonts w:ascii="Calibri" w:hAnsi="Calibri" w:cs="Tahoma"/>
      <w:color w:val="000000"/>
      <w:sz w:val="22"/>
      <w:szCs w:val="22"/>
      <w:lang w:eastAsia="en-AU"/>
    </w:rPr>
  </w:style>
  <w:style w:type="character" w:customStyle="1" w:styleId="Heading6Char">
    <w:name w:val="Heading 6 Char"/>
    <w:link w:val="Heading6"/>
    <w:uiPriority w:val="9"/>
    <w:rsid w:val="00672FE1"/>
    <w:rPr>
      <w:rFonts w:ascii="Cambria" w:eastAsia="PMingLiU" w:hAnsi="Cambria"/>
      <w:i/>
      <w:iCs/>
      <w:color w:val="243F60"/>
      <w:sz w:val="22"/>
      <w:szCs w:val="22"/>
      <w:lang w:eastAsia="en-AU"/>
    </w:rPr>
  </w:style>
  <w:style w:type="paragraph" w:customStyle="1" w:styleId="Tablecaption">
    <w:name w:val="Table caption"/>
    <w:basedOn w:val="Normal"/>
    <w:link w:val="TablecaptionChar"/>
    <w:uiPriority w:val="99"/>
    <w:unhideWhenUsed/>
    <w:rsid w:val="001D7DE6"/>
    <w:pPr>
      <w:keepNext/>
      <w:tabs>
        <w:tab w:val="left" w:pos="1134"/>
      </w:tabs>
      <w:spacing w:before="240" w:after="60"/>
      <w:ind w:left="1134" w:hanging="1134"/>
    </w:pPr>
    <w:rPr>
      <w:rFonts w:ascii="Arial Narrow" w:eastAsia="Arial Unicode MS" w:hAnsi="Arial Narrow" w:cs="Arial"/>
      <w:b/>
      <w:bCs/>
      <w:color w:val="auto"/>
      <w:sz w:val="24"/>
      <w:szCs w:val="24"/>
      <w:lang w:eastAsia="ja-JP"/>
    </w:rPr>
  </w:style>
  <w:style w:type="character" w:customStyle="1" w:styleId="DefaultChar">
    <w:name w:val="Default Char"/>
    <w:link w:val="Default"/>
    <w:rsid w:val="00672FE1"/>
    <w:rPr>
      <w:rFonts w:ascii="Arial" w:eastAsia="Times New Roman" w:hAnsi="Arial" w:cs="Arial"/>
      <w:color w:val="000000"/>
      <w:sz w:val="24"/>
      <w:szCs w:val="24"/>
      <w:lang w:val="en-AU" w:eastAsia="en-AU" w:bidi="ar-SA"/>
    </w:rPr>
  </w:style>
  <w:style w:type="paragraph" w:customStyle="1" w:styleId="Boxcaption">
    <w:name w:val="Box caption"/>
    <w:basedOn w:val="Tablecaption"/>
    <w:unhideWhenUsed/>
    <w:rsid w:val="002C3BE0"/>
  </w:style>
  <w:style w:type="paragraph" w:customStyle="1" w:styleId="BoxName-nobox">
    <w:name w:val="BoxName-nobox"/>
    <w:basedOn w:val="BoxName"/>
    <w:semiHidden/>
    <w:unhideWhenUsed/>
    <w:qFormat/>
    <w:rsid w:val="007077F8"/>
    <w:pPr>
      <w:keepNext w:val="0"/>
      <w:pBdr>
        <w:top w:val="none" w:sz="0" w:space="0" w:color="auto"/>
        <w:left w:val="none" w:sz="0" w:space="0" w:color="auto"/>
        <w:bottom w:val="none" w:sz="0" w:space="0" w:color="auto"/>
        <w:right w:val="none" w:sz="0" w:space="0" w:color="auto"/>
      </w:pBdr>
      <w:ind w:left="1882" w:right="57" w:hanging="1077"/>
    </w:pPr>
  </w:style>
  <w:style w:type="paragraph" w:customStyle="1" w:styleId="Boxhead-nobox">
    <w:name w:val="Boxhead - no box"/>
    <w:basedOn w:val="BoxHeading"/>
    <w:semiHidden/>
    <w:unhideWhenUsed/>
    <w:qFormat/>
    <w:rsid w:val="00E77B45"/>
    <w:pPr>
      <w:keepNext w:val="0"/>
      <w:pBdr>
        <w:top w:val="none" w:sz="0" w:space="0" w:color="auto"/>
        <w:left w:val="none" w:sz="0" w:space="0" w:color="auto"/>
        <w:bottom w:val="none" w:sz="0" w:space="0" w:color="auto"/>
        <w:right w:val="none" w:sz="0" w:space="0" w:color="auto"/>
      </w:pBdr>
      <w:ind w:left="0" w:right="57"/>
    </w:pPr>
    <w:rPr>
      <w:rFonts w:ascii="Arial Narrow" w:hAnsi="Arial Narrow"/>
      <w:sz w:val="18"/>
      <w:szCs w:val="18"/>
    </w:rPr>
  </w:style>
  <w:style w:type="paragraph" w:customStyle="1" w:styleId="Boxtext-nobox">
    <w:name w:val="Boxtext-nobox"/>
    <w:basedOn w:val="BoxText"/>
    <w:semiHidden/>
    <w:unhideWhenUsed/>
    <w:qFormat/>
    <w:rsid w:val="001C484B"/>
    <w:pPr>
      <w:pBdr>
        <w:top w:val="none" w:sz="0" w:space="0" w:color="auto"/>
        <w:left w:val="none" w:sz="0" w:space="0" w:color="auto"/>
        <w:bottom w:val="none" w:sz="0" w:space="0" w:color="auto"/>
        <w:right w:val="none" w:sz="0" w:space="0" w:color="auto"/>
      </w:pBdr>
      <w:ind w:left="0" w:right="57"/>
    </w:pPr>
    <w:rPr>
      <w:rFonts w:ascii="Arial Narrow" w:hAnsi="Arial Narrow"/>
    </w:rPr>
  </w:style>
  <w:style w:type="character" w:styleId="SubtleReference">
    <w:name w:val="Subtle Reference"/>
    <w:uiPriority w:val="31"/>
    <w:qFormat/>
    <w:rsid w:val="00D9712C"/>
    <w:rPr>
      <w:smallCaps/>
      <w:color w:val="C0504D"/>
      <w:u w:val="single"/>
    </w:rPr>
  </w:style>
  <w:style w:type="paragraph" w:customStyle="1" w:styleId="Textbox">
    <w:name w:val="Textbox"/>
    <w:basedOn w:val="Normal"/>
    <w:unhideWhenUsed/>
    <w:qFormat/>
    <w:rsid w:val="003F420A"/>
    <w:pPr>
      <w:spacing w:after="120"/>
      <w:ind w:left="0"/>
    </w:pPr>
    <w:rPr>
      <w:rFonts w:ascii="Times New Roman" w:hAnsi="Times New Roman" w:cs="Times New Roman"/>
    </w:rPr>
  </w:style>
  <w:style w:type="paragraph" w:customStyle="1" w:styleId="Textboxhead">
    <w:name w:val="Textboxhead"/>
    <w:basedOn w:val="Boxhead-nobox"/>
    <w:unhideWhenUsed/>
    <w:qFormat/>
    <w:rsid w:val="007F741E"/>
    <w:rPr>
      <w:rFonts w:ascii="Times New Roman" w:hAnsi="Times New Roman"/>
      <w:sz w:val="22"/>
    </w:rPr>
  </w:style>
  <w:style w:type="paragraph" w:customStyle="1" w:styleId="Textboxname">
    <w:name w:val="Textboxname"/>
    <w:basedOn w:val="Textboxhead"/>
    <w:semiHidden/>
    <w:unhideWhenUsed/>
    <w:qFormat/>
    <w:rsid w:val="00074C45"/>
    <w:rPr>
      <w:sz w:val="23"/>
      <w:szCs w:val="24"/>
    </w:rPr>
  </w:style>
  <w:style w:type="paragraph" w:customStyle="1" w:styleId="Normalnoindent">
    <w:name w:val="Normal (no indent)"/>
    <w:basedOn w:val="Normal"/>
    <w:unhideWhenUsed/>
    <w:qFormat/>
    <w:rsid w:val="00D9712C"/>
    <w:pPr>
      <w:ind w:left="0"/>
    </w:pPr>
  </w:style>
  <w:style w:type="paragraph" w:styleId="NormalIndent">
    <w:name w:val="Normal Indent"/>
    <w:basedOn w:val="Normal"/>
    <w:unhideWhenUsed/>
    <w:rsid w:val="00BE4C7A"/>
  </w:style>
  <w:style w:type="character" w:customStyle="1" w:styleId="Heading3Char">
    <w:name w:val="Heading 3 Char"/>
    <w:link w:val="Heading3"/>
    <w:rsid w:val="00882A1D"/>
    <w:rPr>
      <w:rFonts w:ascii="Arial" w:eastAsia="Times New Roman" w:hAnsi="Arial"/>
      <w:b/>
      <w:bCs/>
      <w:color w:val="000000"/>
      <w:sz w:val="22"/>
      <w:szCs w:val="26"/>
    </w:rPr>
  </w:style>
  <w:style w:type="paragraph" w:customStyle="1" w:styleId="Pa1">
    <w:name w:val="Pa1"/>
    <w:basedOn w:val="Default"/>
    <w:next w:val="Default"/>
    <w:unhideWhenUsed/>
    <w:rsid w:val="00782F0D"/>
    <w:pPr>
      <w:spacing w:line="151" w:lineRule="atLeast"/>
    </w:pPr>
    <w:rPr>
      <w:rFonts w:ascii="FZGELB+TradeGothic-CondEighteen" w:hAnsi="FZGELB+TradeGothic-CondEighteen" w:cs="Times New Roman"/>
      <w:color w:val="auto"/>
    </w:rPr>
  </w:style>
  <w:style w:type="paragraph" w:styleId="HTMLPreformatted">
    <w:name w:val="HTML Preformatted"/>
    <w:basedOn w:val="Normal"/>
    <w:link w:val="HTMLPreformattedChar"/>
    <w:uiPriority w:val="99"/>
    <w:unhideWhenUsed/>
    <w:rsid w:val="00EF1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Times New Roman"/>
      <w:color w:val="auto"/>
      <w:sz w:val="20"/>
      <w:szCs w:val="20"/>
      <w:lang w:val="x-none" w:eastAsia="x-none"/>
    </w:rPr>
  </w:style>
  <w:style w:type="character" w:customStyle="1" w:styleId="HTMLPreformattedChar">
    <w:name w:val="HTML Preformatted Char"/>
    <w:link w:val="HTMLPreformatted"/>
    <w:uiPriority w:val="99"/>
    <w:rsid w:val="00EF1BB4"/>
    <w:rPr>
      <w:rFonts w:ascii="Courier New" w:eastAsia="Times New Roman" w:hAnsi="Courier New" w:cs="Courier New"/>
    </w:rPr>
  </w:style>
  <w:style w:type="character" w:customStyle="1" w:styleId="Heading4Char">
    <w:name w:val="Heading 4 Char"/>
    <w:link w:val="Heading4"/>
    <w:rsid w:val="00BE0685"/>
    <w:rPr>
      <w:rFonts w:ascii="Arial" w:eastAsia="Times New Roman" w:hAnsi="Arial" w:cs="Arial"/>
      <w:b/>
      <w:bCs/>
      <w:color w:val="000000"/>
      <w:szCs w:val="28"/>
      <w:lang w:eastAsia="en-AU"/>
    </w:rPr>
  </w:style>
  <w:style w:type="character" w:customStyle="1" w:styleId="FooterChar">
    <w:name w:val="Footer Char"/>
    <w:link w:val="Footer"/>
    <w:rsid w:val="00AB72EC"/>
    <w:rPr>
      <w:rFonts w:ascii="Calibri" w:eastAsia="Times New Roman" w:hAnsi="Calibri" w:cs="Tahoma"/>
      <w:i/>
      <w:color w:val="000000"/>
      <w:szCs w:val="22"/>
    </w:rPr>
  </w:style>
  <w:style w:type="character" w:customStyle="1" w:styleId="BodytextbulletChar">
    <w:name w:val="Body text bullet Char"/>
    <w:link w:val="Bodytextbullet"/>
    <w:rsid w:val="00361168"/>
    <w:rPr>
      <w:rFonts w:ascii="Arial Narrow" w:eastAsia="Arial Unicode MS" w:hAnsi="Arial Narrow" w:cs="Arial"/>
      <w:sz w:val="24"/>
      <w:szCs w:val="24"/>
      <w:lang w:eastAsia="ja-JP"/>
    </w:rPr>
  </w:style>
  <w:style w:type="paragraph" w:customStyle="1" w:styleId="Evidencenumberedlist">
    <w:name w:val="Evidence numbered list"/>
    <w:basedOn w:val="Normal"/>
    <w:uiPriority w:val="99"/>
    <w:rsid w:val="00FF57C7"/>
    <w:pPr>
      <w:keepLines/>
      <w:numPr>
        <w:numId w:val="14"/>
      </w:numPr>
      <w:autoSpaceDE w:val="0"/>
      <w:autoSpaceDN w:val="0"/>
      <w:adjustRightInd w:val="0"/>
      <w:spacing w:before="240" w:line="276" w:lineRule="auto"/>
      <w:ind w:right="567"/>
    </w:pPr>
    <w:rPr>
      <w:rFonts w:cs="Arial"/>
      <w:lang w:eastAsia="en-US"/>
    </w:rPr>
  </w:style>
  <w:style w:type="paragraph" w:customStyle="1" w:styleId="Evidencestatements">
    <w:name w:val="Evidence statements"/>
    <w:basedOn w:val="BodyText"/>
    <w:uiPriority w:val="99"/>
    <w:rsid w:val="00FF57C7"/>
    <w:pPr>
      <w:autoSpaceDE w:val="0"/>
      <w:autoSpaceDN w:val="0"/>
      <w:adjustRightInd w:val="0"/>
      <w:spacing w:line="276" w:lineRule="auto"/>
      <w:ind w:left="720" w:right="567"/>
    </w:pPr>
    <w:rPr>
      <w:rFonts w:ascii="Calibri" w:hAnsi="Calibri"/>
      <w:color w:val="000000"/>
      <w:sz w:val="22"/>
      <w:szCs w:val="22"/>
    </w:rPr>
  </w:style>
  <w:style w:type="paragraph" w:customStyle="1" w:styleId="Heading2evidencebox">
    <w:name w:val="Heading 2 evidence box"/>
    <w:basedOn w:val="Normal"/>
    <w:uiPriority w:val="99"/>
    <w:rsid w:val="00FF57C7"/>
    <w:pPr>
      <w:keepNext/>
      <w:tabs>
        <w:tab w:val="left" w:pos="720"/>
      </w:tabs>
      <w:spacing w:before="240" w:line="360" w:lineRule="auto"/>
    </w:pPr>
    <w:rPr>
      <w:rFonts w:eastAsia="Arial Unicode MS" w:cs="Arial"/>
      <w:b/>
      <w:bCs/>
      <w:noProof/>
      <w:kern w:val="32"/>
      <w:szCs w:val="32"/>
    </w:rPr>
  </w:style>
  <w:style w:type="paragraph" w:customStyle="1" w:styleId="Heading3evidencebox">
    <w:name w:val="Heading 3 evidence box"/>
    <w:basedOn w:val="Heading3"/>
    <w:link w:val="Heading3evidenceboxChar"/>
    <w:uiPriority w:val="99"/>
    <w:rsid w:val="00FF57C7"/>
    <w:pPr>
      <w:tabs>
        <w:tab w:val="left" w:pos="1134"/>
      </w:tabs>
      <w:spacing w:after="0" w:line="276" w:lineRule="auto"/>
    </w:pPr>
    <w:rPr>
      <w:rFonts w:ascii="Arial Bold" w:eastAsia="Arial Unicode MS" w:hAnsi="Arial Bold"/>
      <w:sz w:val="20"/>
      <w:lang w:eastAsia="ja-JP"/>
    </w:rPr>
  </w:style>
  <w:style w:type="character" w:customStyle="1" w:styleId="Heading3evidenceboxChar">
    <w:name w:val="Heading 3 evidence box Char"/>
    <w:link w:val="Heading3evidencebox"/>
    <w:uiPriority w:val="99"/>
    <w:rsid w:val="00FF57C7"/>
    <w:rPr>
      <w:rFonts w:ascii="Arial Bold" w:eastAsia="Arial Unicode MS" w:hAnsi="Arial Bold" w:cs="Arial"/>
      <w:b/>
      <w:bCs/>
      <w:color w:val="000000"/>
      <w:szCs w:val="26"/>
      <w:lang w:eastAsia="ja-JP"/>
    </w:rPr>
  </w:style>
  <w:style w:type="paragraph" w:customStyle="1" w:styleId="Heading2evidenceboxrule">
    <w:name w:val="Heading 2 evidence box + rule"/>
    <w:basedOn w:val="Heading2evidencebox"/>
    <w:uiPriority w:val="99"/>
    <w:rsid w:val="00FF57C7"/>
    <w:pPr>
      <w:pBdr>
        <w:top w:val="single" w:sz="4" w:space="12" w:color="auto"/>
      </w:pBdr>
    </w:pPr>
  </w:style>
  <w:style w:type="character" w:customStyle="1" w:styleId="apple-style-span">
    <w:name w:val="apple-style-span"/>
    <w:basedOn w:val="DefaultParagraphFont"/>
    <w:rsid w:val="00FF57C7"/>
  </w:style>
  <w:style w:type="character" w:customStyle="1" w:styleId="Heading5Char">
    <w:name w:val="Heading 5 Char"/>
    <w:aliases w:val="Heading 5 no num Char"/>
    <w:link w:val="Heading5"/>
    <w:rsid w:val="00415905"/>
    <w:rPr>
      <w:rFonts w:ascii="Calibri" w:eastAsia="Times New Roman" w:hAnsi="Calibri"/>
      <w:b/>
      <w:bCs/>
      <w:i/>
      <w:iCs/>
      <w:color w:val="000000"/>
      <w:sz w:val="22"/>
      <w:szCs w:val="26"/>
    </w:rPr>
  </w:style>
  <w:style w:type="character" w:customStyle="1" w:styleId="QuoteChar">
    <w:name w:val="Quote Char"/>
    <w:link w:val="Quote"/>
    <w:rsid w:val="00FF57C7"/>
    <w:rPr>
      <w:rFonts w:ascii="Calibri" w:eastAsia="Times New Roman" w:hAnsi="Calibri" w:cs="Tahoma"/>
      <w:color w:val="000000"/>
      <w:szCs w:val="22"/>
      <w:lang w:eastAsia="en-AU"/>
    </w:rPr>
  </w:style>
  <w:style w:type="character" w:customStyle="1" w:styleId="Heading7Char">
    <w:name w:val="Heading 7 Char"/>
    <w:aliases w:val="H7nonum Char"/>
    <w:link w:val="Heading7"/>
    <w:uiPriority w:val="9"/>
    <w:rsid w:val="00F5720A"/>
    <w:rPr>
      <w:rFonts w:ascii="Calibri" w:eastAsia="Times New Roman" w:hAnsi="Calibri" w:cs="Tahoma"/>
      <w:i/>
      <w:iCs/>
      <w:color w:val="000000"/>
      <w:sz w:val="22"/>
      <w:szCs w:val="22"/>
      <w:lang w:eastAsia="en-US"/>
    </w:rPr>
  </w:style>
  <w:style w:type="character" w:customStyle="1" w:styleId="Heading8Char">
    <w:name w:val="Heading 8 Char"/>
    <w:link w:val="Heading8"/>
    <w:uiPriority w:val="9"/>
    <w:rsid w:val="00F5720A"/>
    <w:rPr>
      <w:rFonts w:ascii="Calibri" w:eastAsia="Times New Roman" w:hAnsi="Calibri" w:cs="Tahoma"/>
      <w:bCs/>
      <w:i/>
      <w:color w:val="000000"/>
      <w:sz w:val="22"/>
      <w:szCs w:val="22"/>
      <w:lang w:eastAsia="en-US"/>
    </w:rPr>
  </w:style>
  <w:style w:type="character" w:customStyle="1" w:styleId="Heading9Char">
    <w:name w:val="Heading 9 Char"/>
    <w:aliases w:val="cover page title Char"/>
    <w:link w:val="Heading9"/>
    <w:uiPriority w:val="9"/>
    <w:rsid w:val="00F5720A"/>
    <w:rPr>
      <w:rFonts w:ascii="Garamond" w:eastAsia="Times New Roman" w:hAnsi="Garamond" w:cs="Arial"/>
      <w:b/>
      <w:bCs/>
      <w:smallCaps/>
      <w:color w:val="000000"/>
      <w:sz w:val="40"/>
      <w:szCs w:val="22"/>
      <w:lang w:eastAsia="en-US"/>
    </w:rPr>
  </w:style>
  <w:style w:type="character" w:customStyle="1" w:styleId="Heading1Char">
    <w:name w:val="Heading 1 Char"/>
    <w:link w:val="Heading1"/>
    <w:locked/>
    <w:rsid w:val="00F5720A"/>
    <w:rPr>
      <w:rFonts w:ascii="Arial" w:eastAsia="Times New Roman" w:hAnsi="Arial" w:cs="Arial"/>
      <w:b/>
      <w:bCs/>
      <w:color w:val="000000"/>
      <w:spacing w:val="40"/>
      <w:kern w:val="28"/>
      <w:sz w:val="36"/>
      <w:szCs w:val="32"/>
      <w:lang w:eastAsia="en-AU"/>
    </w:rPr>
  </w:style>
  <w:style w:type="character" w:customStyle="1" w:styleId="Heading2Char">
    <w:name w:val="Heading 2 Char"/>
    <w:aliases w:val="Head 1 Char"/>
    <w:link w:val="Heading2"/>
    <w:locked/>
    <w:rsid w:val="00F5720A"/>
    <w:rPr>
      <w:rFonts w:ascii="Arial" w:eastAsia="Times New Roman" w:hAnsi="Arial" w:cs="Arial"/>
      <w:b/>
      <w:bCs/>
      <w:iCs/>
      <w:color w:val="000000"/>
      <w:sz w:val="26"/>
      <w:szCs w:val="28"/>
      <w:lang w:eastAsia="en-AU"/>
    </w:rPr>
  </w:style>
  <w:style w:type="paragraph" w:customStyle="1" w:styleId="Table-columnheadings">
    <w:name w:val="Table - column headings"/>
    <w:basedOn w:val="Normal"/>
    <w:rsid w:val="00F5720A"/>
    <w:pPr>
      <w:jc w:val="center"/>
    </w:pPr>
    <w:rPr>
      <w:rFonts w:cs="Arial"/>
      <w:b/>
      <w:sz w:val="20"/>
    </w:rPr>
  </w:style>
  <w:style w:type="table" w:styleId="TableSimple1">
    <w:name w:val="Table Simple 1"/>
    <w:basedOn w:val="TableNormal"/>
    <w:rsid w:val="00F5720A"/>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hapterheading0">
    <w:name w:val="Chapter heading"/>
    <w:basedOn w:val="Normal"/>
    <w:rsid w:val="00F5720A"/>
    <w:pPr>
      <w:numPr>
        <w:numId w:val="16"/>
      </w:numPr>
      <w:tabs>
        <w:tab w:val="left" w:pos="284"/>
      </w:tabs>
      <w:overflowPunct w:val="0"/>
      <w:autoSpaceDE w:val="0"/>
      <w:autoSpaceDN w:val="0"/>
      <w:adjustRightInd w:val="0"/>
      <w:spacing w:before="360" w:after="360"/>
      <w:textAlignment w:val="baseline"/>
    </w:pPr>
    <w:rPr>
      <w:rFonts w:ascii="Century Gothic" w:hAnsi="Century Gothic"/>
      <w:b/>
      <w:sz w:val="96"/>
      <w:szCs w:val="96"/>
    </w:rPr>
  </w:style>
  <w:style w:type="paragraph" w:customStyle="1" w:styleId="Minorchapterheading">
    <w:name w:val="Minor chapter heading"/>
    <w:basedOn w:val="Normal"/>
    <w:rsid w:val="00F5720A"/>
    <w:pPr>
      <w:tabs>
        <w:tab w:val="left" w:pos="284"/>
      </w:tabs>
      <w:overflowPunct w:val="0"/>
      <w:autoSpaceDE w:val="0"/>
      <w:autoSpaceDN w:val="0"/>
      <w:adjustRightInd w:val="0"/>
      <w:spacing w:before="360" w:after="360"/>
      <w:textAlignment w:val="baseline"/>
    </w:pPr>
    <w:rPr>
      <w:rFonts w:ascii="Century Gothic" w:hAnsi="Century Gothic"/>
      <w:b/>
      <w:sz w:val="56"/>
      <w:szCs w:val="56"/>
    </w:rPr>
  </w:style>
  <w:style w:type="character" w:customStyle="1" w:styleId="BalloonTextChar">
    <w:name w:val="Balloon Text Char"/>
    <w:link w:val="BalloonText"/>
    <w:semiHidden/>
    <w:locked/>
    <w:rsid w:val="00F5720A"/>
    <w:rPr>
      <w:rFonts w:ascii="Tahoma" w:eastAsia="Times New Roman" w:hAnsi="Tahoma" w:cs="Tahoma"/>
      <w:color w:val="000000"/>
      <w:sz w:val="16"/>
      <w:szCs w:val="16"/>
      <w:lang w:eastAsia="en-AU"/>
    </w:rPr>
  </w:style>
  <w:style w:type="paragraph" w:styleId="Caption">
    <w:name w:val="caption"/>
    <w:basedOn w:val="Normal"/>
    <w:next w:val="Normal"/>
    <w:link w:val="CaptionChar"/>
    <w:qFormat/>
    <w:rsid w:val="00F5720A"/>
    <w:rPr>
      <w:rFonts w:ascii="Arial Narrow" w:hAnsi="Arial Narrow" w:cs="Times New Roman"/>
      <w:b/>
      <w:bCs/>
      <w:sz w:val="20"/>
      <w:szCs w:val="20"/>
      <w:lang w:val="x-none"/>
    </w:rPr>
  </w:style>
  <w:style w:type="character" w:customStyle="1" w:styleId="CaptionChar">
    <w:name w:val="Caption Char"/>
    <w:link w:val="Caption"/>
    <w:locked/>
    <w:rsid w:val="00F5720A"/>
    <w:rPr>
      <w:rFonts w:ascii="Arial Narrow" w:eastAsia="Times New Roman" w:hAnsi="Arial Narrow" w:cs="Arial"/>
      <w:b/>
      <w:bCs/>
      <w:color w:val="000000"/>
      <w:lang w:eastAsia="en-AU"/>
    </w:rPr>
  </w:style>
  <w:style w:type="paragraph" w:customStyle="1" w:styleId="Head4">
    <w:name w:val="Head 4"/>
    <w:basedOn w:val="Heading3"/>
    <w:rsid w:val="00F5720A"/>
    <w:pPr>
      <w:spacing w:line="360" w:lineRule="auto"/>
    </w:pPr>
    <w:rPr>
      <w:i/>
      <w:sz w:val="24"/>
    </w:rPr>
  </w:style>
  <w:style w:type="character" w:customStyle="1" w:styleId="txtboldonly1">
    <w:name w:val="txtboldonly1"/>
    <w:rsid w:val="00F5720A"/>
    <w:rPr>
      <w:rFonts w:cs="Times New Roman"/>
      <w:b/>
      <w:bCs/>
    </w:rPr>
  </w:style>
  <w:style w:type="character" w:customStyle="1" w:styleId="StyleBold">
    <w:name w:val="Style Bold"/>
    <w:rsid w:val="00F5720A"/>
    <w:rPr>
      <w:rFonts w:ascii="Arial Narrow" w:hAnsi="Arial Narrow" w:cs="Times New Roman"/>
      <w:b/>
      <w:bCs/>
      <w:sz w:val="24"/>
    </w:rPr>
  </w:style>
  <w:style w:type="paragraph" w:customStyle="1" w:styleId="Tableheaderrow">
    <w:name w:val="Table header row"/>
    <w:basedOn w:val="Normal"/>
    <w:rsid w:val="00F5720A"/>
    <w:pPr>
      <w:keepNext/>
      <w:spacing w:before="60" w:after="60"/>
    </w:pPr>
    <w:rPr>
      <w:rFonts w:ascii="Arial Narrow" w:hAnsi="Arial Narrow"/>
      <w:b/>
      <w:sz w:val="20"/>
    </w:rPr>
  </w:style>
  <w:style w:type="paragraph" w:styleId="DocumentMap">
    <w:name w:val="Document Map"/>
    <w:basedOn w:val="Normal"/>
    <w:link w:val="DocumentMapChar"/>
    <w:uiPriority w:val="99"/>
    <w:semiHidden/>
    <w:rsid w:val="00F5720A"/>
    <w:pPr>
      <w:shd w:val="clear" w:color="auto" w:fill="000080"/>
    </w:pPr>
    <w:rPr>
      <w:rFonts w:ascii="Tahoma" w:hAnsi="Tahoma" w:cs="Times New Roman"/>
      <w:sz w:val="20"/>
      <w:szCs w:val="20"/>
      <w:lang w:val="x-none"/>
    </w:rPr>
  </w:style>
  <w:style w:type="character" w:customStyle="1" w:styleId="DocumentMapChar">
    <w:name w:val="Document Map Char"/>
    <w:link w:val="DocumentMap"/>
    <w:uiPriority w:val="99"/>
    <w:semiHidden/>
    <w:rsid w:val="00F5720A"/>
    <w:rPr>
      <w:rFonts w:ascii="Tahoma" w:eastAsia="Times New Roman" w:hAnsi="Tahoma" w:cs="Tahoma"/>
      <w:color w:val="000000"/>
      <w:shd w:val="clear" w:color="auto" w:fill="000080"/>
      <w:lang w:eastAsia="en-AU"/>
    </w:rPr>
  </w:style>
  <w:style w:type="character" w:customStyle="1" w:styleId="Heading3CharChar">
    <w:name w:val="Heading 3 Char Char"/>
    <w:rsid w:val="00F5720A"/>
    <w:rPr>
      <w:rFonts w:ascii="Lucida Bright" w:eastAsia="MS Mincho" w:hAnsi="Lucida Bright" w:cs="Arial"/>
      <w:bCs/>
      <w:sz w:val="26"/>
      <w:szCs w:val="26"/>
      <w:lang w:val="en-AU" w:eastAsia="ja-JP" w:bidi="ar-SA"/>
    </w:rPr>
  </w:style>
  <w:style w:type="paragraph" w:customStyle="1" w:styleId="Bodyitals">
    <w:name w:val="Body + itals"/>
    <w:basedOn w:val="BodyText1"/>
    <w:link w:val="BodyitalsChar"/>
    <w:rsid w:val="00F5720A"/>
    <w:pPr>
      <w:numPr>
        <w:numId w:val="15"/>
      </w:numPr>
      <w:tabs>
        <w:tab w:val="clear" w:pos="357"/>
      </w:tabs>
      <w:ind w:left="0"/>
    </w:pPr>
    <w:rPr>
      <w:i/>
    </w:rPr>
  </w:style>
  <w:style w:type="paragraph" w:customStyle="1" w:styleId="StyleTabletextBold">
    <w:name w:val="Style Table text + Bold"/>
    <w:basedOn w:val="Tabletext0"/>
    <w:rsid w:val="00F5720A"/>
    <w:rPr>
      <w:b/>
      <w:bCs w:val="0"/>
    </w:rPr>
  </w:style>
  <w:style w:type="paragraph" w:styleId="TOC5">
    <w:name w:val="toc 5"/>
    <w:basedOn w:val="Normal"/>
    <w:next w:val="Normal"/>
    <w:autoRedefine/>
    <w:uiPriority w:val="39"/>
    <w:rsid w:val="00F5720A"/>
    <w:pPr>
      <w:ind w:left="960"/>
    </w:pPr>
    <w:rPr>
      <w:lang w:val="en-US"/>
    </w:rPr>
  </w:style>
  <w:style w:type="paragraph" w:styleId="TOC6">
    <w:name w:val="toc 6"/>
    <w:basedOn w:val="Normal"/>
    <w:next w:val="Normal"/>
    <w:autoRedefine/>
    <w:uiPriority w:val="39"/>
    <w:rsid w:val="00F5720A"/>
    <w:pPr>
      <w:ind w:left="1200"/>
    </w:pPr>
    <w:rPr>
      <w:lang w:val="en-US"/>
    </w:rPr>
  </w:style>
  <w:style w:type="paragraph" w:styleId="TOC7">
    <w:name w:val="toc 7"/>
    <w:basedOn w:val="Normal"/>
    <w:next w:val="Normal"/>
    <w:autoRedefine/>
    <w:uiPriority w:val="39"/>
    <w:rsid w:val="00F5720A"/>
    <w:pPr>
      <w:ind w:left="1440"/>
    </w:pPr>
    <w:rPr>
      <w:lang w:val="en-US"/>
    </w:rPr>
  </w:style>
  <w:style w:type="paragraph" w:styleId="TOC8">
    <w:name w:val="toc 8"/>
    <w:basedOn w:val="Normal"/>
    <w:next w:val="Normal"/>
    <w:autoRedefine/>
    <w:uiPriority w:val="39"/>
    <w:rsid w:val="00F5720A"/>
    <w:pPr>
      <w:ind w:left="1680"/>
    </w:pPr>
    <w:rPr>
      <w:lang w:val="en-US"/>
    </w:rPr>
  </w:style>
  <w:style w:type="paragraph" w:styleId="TOC9">
    <w:name w:val="toc 9"/>
    <w:basedOn w:val="Normal"/>
    <w:next w:val="Normal"/>
    <w:autoRedefine/>
    <w:uiPriority w:val="39"/>
    <w:rsid w:val="00F5720A"/>
    <w:pPr>
      <w:ind w:left="1920"/>
    </w:pPr>
    <w:rPr>
      <w:lang w:val="en-US"/>
    </w:rPr>
  </w:style>
  <w:style w:type="paragraph" w:customStyle="1" w:styleId="Minorchapterhead">
    <w:name w:val="Minor chapter head"/>
    <w:basedOn w:val="Normal"/>
    <w:rsid w:val="00F5720A"/>
    <w:pPr>
      <w:spacing w:before="360" w:after="360"/>
    </w:pPr>
    <w:rPr>
      <w:rFonts w:ascii="Century Gothic" w:hAnsi="Century Gothic"/>
      <w:b/>
      <w:sz w:val="40"/>
      <w:szCs w:val="40"/>
    </w:rPr>
  </w:style>
  <w:style w:type="paragraph" w:customStyle="1" w:styleId="Maintitle">
    <w:name w:val="Main title"/>
    <w:basedOn w:val="Minorchapterhead"/>
    <w:rsid w:val="00F5720A"/>
    <w:rPr>
      <w:sz w:val="96"/>
    </w:rPr>
  </w:style>
  <w:style w:type="paragraph" w:customStyle="1" w:styleId="ContentsHeadingforfigstableslist">
    <w:name w:val="Contents_Heading for figs/tables list"/>
    <w:basedOn w:val="Normal"/>
    <w:rsid w:val="00F5720A"/>
    <w:pPr>
      <w:spacing w:before="1080" w:after="480" w:line="360" w:lineRule="auto"/>
    </w:pPr>
    <w:rPr>
      <w:rFonts w:ascii="Verdana" w:hAnsi="Verdana" w:cs="Arial"/>
      <w:b/>
      <w:bCs/>
      <w:sz w:val="32"/>
      <w:lang w:eastAsia="en-US"/>
    </w:rPr>
  </w:style>
  <w:style w:type="paragraph" w:customStyle="1" w:styleId="Tablename0">
    <w:name w:val="Table name"/>
    <w:basedOn w:val="Caption"/>
    <w:uiPriority w:val="4"/>
    <w:qFormat/>
    <w:rsid w:val="00F5720A"/>
    <w:pPr>
      <w:keepNext/>
      <w:tabs>
        <w:tab w:val="left" w:pos="1134"/>
      </w:tabs>
      <w:spacing w:after="60"/>
      <w:ind w:left="1077" w:hanging="1077"/>
    </w:pPr>
    <w:rPr>
      <w:lang w:eastAsia="en-US"/>
    </w:rPr>
  </w:style>
  <w:style w:type="paragraph" w:customStyle="1" w:styleId="Bullet">
    <w:name w:val="Bullet"/>
    <w:basedOn w:val="BodyText"/>
    <w:rsid w:val="00F5720A"/>
    <w:pPr>
      <w:tabs>
        <w:tab w:val="num" w:pos="720"/>
      </w:tabs>
      <w:ind w:left="720" w:hanging="360"/>
    </w:pPr>
  </w:style>
  <w:style w:type="paragraph" w:customStyle="1" w:styleId="TableColumnheadings">
    <w:name w:val="Table_Column headings"/>
    <w:basedOn w:val="BodyText"/>
    <w:rsid w:val="00F5720A"/>
    <w:pPr>
      <w:spacing w:before="60" w:after="60" w:line="240" w:lineRule="auto"/>
    </w:pPr>
    <w:rPr>
      <w:b/>
      <w:sz w:val="20"/>
    </w:rPr>
  </w:style>
  <w:style w:type="paragraph" w:customStyle="1" w:styleId="TableBodytext">
    <w:name w:val="Table_Body text"/>
    <w:basedOn w:val="BodyText"/>
    <w:link w:val="TableBodytextChar"/>
    <w:rsid w:val="00F5720A"/>
    <w:pPr>
      <w:spacing w:before="40" w:after="60" w:line="240" w:lineRule="auto"/>
    </w:pPr>
    <w:rPr>
      <w:sz w:val="22"/>
    </w:rPr>
  </w:style>
  <w:style w:type="character" w:customStyle="1" w:styleId="TableBodytextChar">
    <w:name w:val="Table_Body text Char"/>
    <w:link w:val="TableBodytext"/>
    <w:locked/>
    <w:rsid w:val="00F5720A"/>
    <w:rPr>
      <w:rFonts w:ascii="Arial Narrow" w:eastAsia="Times New Roman" w:hAnsi="Arial Narrow" w:cs="Arial"/>
      <w:sz w:val="22"/>
      <w:szCs w:val="24"/>
      <w:lang w:eastAsia="en-US"/>
    </w:rPr>
  </w:style>
  <w:style w:type="paragraph" w:customStyle="1" w:styleId="Tablefootnotes">
    <w:name w:val="Table footnotes"/>
    <w:basedOn w:val="BodyText"/>
    <w:rsid w:val="00F5720A"/>
    <w:pPr>
      <w:spacing w:before="40" w:after="360" w:line="240" w:lineRule="auto"/>
    </w:pPr>
    <w:rPr>
      <w:sz w:val="16"/>
    </w:rPr>
  </w:style>
  <w:style w:type="paragraph" w:customStyle="1" w:styleId="StyleHeading3Left127cmFirstline0cm">
    <w:name w:val="Style Heading 3 + Left:  1.27 cm First line:  0 cm"/>
    <w:basedOn w:val="Heading3"/>
    <w:rsid w:val="00F5720A"/>
    <w:pPr>
      <w:numPr>
        <w:ilvl w:val="2"/>
      </w:numPr>
      <w:tabs>
        <w:tab w:val="num" w:pos="1224"/>
      </w:tabs>
      <w:ind w:left="1224" w:hanging="504"/>
    </w:pPr>
    <w:rPr>
      <w:szCs w:val="20"/>
      <w:lang w:eastAsia="en-US"/>
    </w:rPr>
  </w:style>
  <w:style w:type="paragraph" w:customStyle="1" w:styleId="heading2nonumbering">
    <w:name w:val="heading 2 no numbering"/>
    <w:basedOn w:val="Heading2"/>
    <w:rsid w:val="00F5720A"/>
    <w:rPr>
      <w:szCs w:val="24"/>
      <w:lang w:eastAsia="en-US"/>
    </w:rPr>
  </w:style>
  <w:style w:type="paragraph" w:customStyle="1" w:styleId="Coversubtitle">
    <w:name w:val="Cover subtitle"/>
    <w:basedOn w:val="Normal"/>
    <w:uiPriority w:val="99"/>
    <w:rsid w:val="00F5720A"/>
    <w:pPr>
      <w:spacing w:line="360" w:lineRule="auto"/>
    </w:pPr>
    <w:rPr>
      <w:rFonts w:ascii="Verdana" w:hAnsi="Verdana"/>
      <w:b/>
      <w:bCs/>
      <w:sz w:val="28"/>
      <w:lang w:eastAsia="en-US"/>
    </w:rPr>
  </w:style>
  <w:style w:type="character" w:styleId="FollowedHyperlink">
    <w:name w:val="FollowedHyperlink"/>
    <w:uiPriority w:val="99"/>
    <w:rsid w:val="00F5720A"/>
    <w:rPr>
      <w:rFonts w:cs="Times New Roman"/>
      <w:color w:val="800080"/>
      <w:u w:val="single"/>
    </w:rPr>
  </w:style>
  <w:style w:type="paragraph" w:customStyle="1" w:styleId="Level2">
    <w:name w:val="Level 2"/>
    <w:aliases w:val="no numbering"/>
    <w:basedOn w:val="Heading2"/>
    <w:rsid w:val="00F5720A"/>
    <w:pPr>
      <w:spacing w:before="360" w:line="360" w:lineRule="auto"/>
    </w:pPr>
    <w:rPr>
      <w:caps/>
      <w:sz w:val="36"/>
      <w:szCs w:val="24"/>
      <w:lang w:eastAsia="en-US"/>
    </w:rPr>
  </w:style>
  <w:style w:type="paragraph" w:customStyle="1" w:styleId="HeadingLevel2">
    <w:name w:val="Heading Level 2"/>
    <w:basedOn w:val="Normal"/>
    <w:rsid w:val="00F5720A"/>
    <w:pPr>
      <w:tabs>
        <w:tab w:val="num" w:pos="360"/>
      </w:tabs>
      <w:spacing w:line="360" w:lineRule="auto"/>
      <w:ind w:left="360" w:hanging="360"/>
    </w:pPr>
    <w:rPr>
      <w:rFonts w:cs="Arial"/>
      <w:lang w:eastAsia="en-US"/>
    </w:rPr>
  </w:style>
  <w:style w:type="paragraph" w:customStyle="1" w:styleId="Tablebullet0">
    <w:name w:val="Table bullet"/>
    <w:basedOn w:val="TableBodytext"/>
    <w:link w:val="TablebulletChar0"/>
    <w:rsid w:val="00CB2854"/>
    <w:pPr>
      <w:numPr>
        <w:numId w:val="18"/>
      </w:numPr>
      <w:spacing w:before="60"/>
      <w:ind w:left="285" w:hanging="285"/>
    </w:pPr>
    <w:rPr>
      <w:sz w:val="20"/>
      <w:szCs w:val="20"/>
    </w:rPr>
  </w:style>
  <w:style w:type="character" w:customStyle="1" w:styleId="TablebulletChar0">
    <w:name w:val="Table bullet Char"/>
    <w:link w:val="Tablebullet0"/>
    <w:locked/>
    <w:rsid w:val="00CB2854"/>
    <w:rPr>
      <w:rFonts w:ascii="Arial Narrow" w:eastAsia="Times New Roman" w:hAnsi="Arial Narrow"/>
      <w:lang w:val="x-none" w:eastAsia="en-US"/>
    </w:rPr>
  </w:style>
  <w:style w:type="paragraph" w:customStyle="1" w:styleId="Tablebodytext0">
    <w:name w:val="Table body text"/>
    <w:basedOn w:val="Normal"/>
    <w:rsid w:val="00F5720A"/>
    <w:pPr>
      <w:spacing w:before="40" w:after="40"/>
    </w:pPr>
    <w:rPr>
      <w:rFonts w:ascii="Arial Narrow" w:hAnsi="Arial Narrow"/>
      <w:sz w:val="20"/>
    </w:rPr>
  </w:style>
  <w:style w:type="character" w:customStyle="1" w:styleId="Style1Char">
    <w:name w:val="Style1 Char"/>
    <w:link w:val="Style1"/>
    <w:locked/>
    <w:rsid w:val="00F5720A"/>
    <w:rPr>
      <w:rFonts w:ascii="Calibri" w:eastAsia="Times New Roman" w:hAnsi="Calibri"/>
      <w:color w:val="000000"/>
      <w:sz w:val="22"/>
      <w:szCs w:val="22"/>
      <w:lang w:val="x-none" w:eastAsia="x-none"/>
    </w:rPr>
  </w:style>
  <w:style w:type="paragraph" w:customStyle="1" w:styleId="Heading2question">
    <w:name w:val="Heading 2 question"/>
    <w:basedOn w:val="Heading2"/>
    <w:uiPriority w:val="99"/>
    <w:rsid w:val="00F5720A"/>
    <w:pPr>
      <w:tabs>
        <w:tab w:val="left" w:pos="720"/>
      </w:tabs>
      <w:ind w:firstLine="0"/>
    </w:pPr>
    <w:rPr>
      <w:b w:val="0"/>
      <w:noProof/>
    </w:rPr>
  </w:style>
  <w:style w:type="character" w:styleId="Emphasis">
    <w:name w:val="Emphasis"/>
    <w:uiPriority w:val="99"/>
    <w:qFormat/>
    <w:rsid w:val="00F5720A"/>
    <w:rPr>
      <w:rFonts w:cs="Times New Roman"/>
      <w:i/>
      <w:iCs/>
    </w:rPr>
  </w:style>
  <w:style w:type="character" w:customStyle="1" w:styleId="TablefootnoteChar">
    <w:name w:val="Table footnote Char"/>
    <w:link w:val="Tablefootnote"/>
    <w:locked/>
    <w:rsid w:val="00F5720A"/>
    <w:rPr>
      <w:rFonts w:ascii="Arial Narrow" w:hAnsi="Arial Narrow" w:cs="Tahoma"/>
      <w:sz w:val="16"/>
      <w:szCs w:val="24"/>
      <w:lang w:eastAsia="ja-JP"/>
    </w:rPr>
  </w:style>
  <w:style w:type="paragraph" w:customStyle="1" w:styleId="tablenote">
    <w:name w:val="table note"/>
    <w:basedOn w:val="tablenotes"/>
    <w:link w:val="tablenoteChar"/>
    <w:rsid w:val="002571CD"/>
    <w:pPr>
      <w:spacing w:after="120"/>
    </w:pPr>
  </w:style>
  <w:style w:type="character" w:customStyle="1" w:styleId="tablenoteChar">
    <w:name w:val="table note Char"/>
    <w:link w:val="tablenote"/>
    <w:locked/>
    <w:rsid w:val="002571CD"/>
    <w:rPr>
      <w:rFonts w:ascii="Arial Narrow" w:eastAsia="Arial Unicode MS" w:hAnsi="Arial Narrow"/>
      <w:sz w:val="16"/>
      <w:szCs w:val="24"/>
      <w:lang w:val="x-none" w:eastAsia="ja-JP"/>
    </w:rPr>
  </w:style>
  <w:style w:type="paragraph" w:customStyle="1" w:styleId="tablenotes">
    <w:name w:val="table notes"/>
    <w:basedOn w:val="BodyText1"/>
    <w:link w:val="tablenotesChar"/>
    <w:rsid w:val="00F5720A"/>
    <w:rPr>
      <w:sz w:val="16"/>
    </w:rPr>
  </w:style>
  <w:style w:type="character" w:customStyle="1" w:styleId="tablenotesChar">
    <w:name w:val="table notes Char"/>
    <w:link w:val="tablenotes"/>
    <w:locked/>
    <w:rsid w:val="00F5720A"/>
    <w:rPr>
      <w:rFonts w:ascii="Arial Narrow" w:eastAsia="Arial Unicode MS" w:hAnsi="Arial Narrow" w:cs="Tahoma"/>
      <w:sz w:val="16"/>
      <w:szCs w:val="24"/>
      <w:lang w:eastAsia="ja-JP"/>
    </w:rPr>
  </w:style>
  <w:style w:type="paragraph" w:customStyle="1" w:styleId="tableorcaptionnotes">
    <w:name w:val="table or caption notes"/>
    <w:basedOn w:val="Normal"/>
    <w:link w:val="tableorcaptionnotesChar"/>
    <w:rsid w:val="00F5720A"/>
    <w:rPr>
      <w:rFonts w:cs="Times New Roman"/>
      <w:sz w:val="16"/>
      <w:lang w:val="x-none"/>
    </w:rPr>
  </w:style>
  <w:style w:type="character" w:customStyle="1" w:styleId="tableorcaptionnotesChar">
    <w:name w:val="table or caption notes Char"/>
    <w:link w:val="tableorcaptionnotes"/>
    <w:locked/>
    <w:rsid w:val="00F5720A"/>
    <w:rPr>
      <w:rFonts w:ascii="Calibri" w:eastAsia="Times New Roman" w:hAnsi="Calibri" w:cs="Tahoma"/>
      <w:color w:val="000000"/>
      <w:sz w:val="16"/>
      <w:szCs w:val="22"/>
      <w:lang w:eastAsia="en-AU"/>
    </w:rPr>
  </w:style>
  <w:style w:type="paragraph" w:customStyle="1" w:styleId="H6">
    <w:name w:val="H6"/>
    <w:basedOn w:val="Normal"/>
    <w:link w:val="H6Char"/>
    <w:qFormat/>
    <w:rsid w:val="004361C8"/>
    <w:pPr>
      <w:keepNext/>
      <w:spacing w:before="60" w:after="60"/>
    </w:pPr>
    <w:rPr>
      <w:i/>
    </w:rPr>
  </w:style>
  <w:style w:type="paragraph" w:customStyle="1" w:styleId="Pa0">
    <w:name w:val="Pa0"/>
    <w:basedOn w:val="Default"/>
    <w:next w:val="Default"/>
    <w:rsid w:val="00BC366F"/>
    <w:pPr>
      <w:spacing w:line="211" w:lineRule="atLeast"/>
    </w:pPr>
    <w:rPr>
      <w:rFonts w:ascii="ITC Garamond Std Lt" w:hAnsi="ITC Garamond Std Lt" w:cs="Times New Roman"/>
      <w:color w:val="auto"/>
    </w:rPr>
  </w:style>
  <w:style w:type="character" w:customStyle="1" w:styleId="A0">
    <w:name w:val="A0"/>
    <w:rsid w:val="00BC366F"/>
    <w:rPr>
      <w:rFonts w:cs="ITC Garamond Std Lt"/>
      <w:color w:val="221E1F"/>
      <w:sz w:val="20"/>
      <w:szCs w:val="20"/>
    </w:rPr>
  </w:style>
  <w:style w:type="paragraph" w:customStyle="1" w:styleId="TT2">
    <w:name w:val="TT2"/>
    <w:basedOn w:val="TableText"/>
    <w:qFormat/>
    <w:rsid w:val="004A1BFB"/>
  </w:style>
  <w:style w:type="character" w:customStyle="1" w:styleId="Bullet6Char">
    <w:name w:val="Bullet+6 Char"/>
    <w:link w:val="Bullet6"/>
    <w:rsid w:val="0063003A"/>
    <w:rPr>
      <w:rFonts w:ascii="Calibri" w:eastAsia="Times New Roman" w:hAnsi="Calibri"/>
      <w:color w:val="000000"/>
      <w:sz w:val="22"/>
      <w:szCs w:val="22"/>
      <w:lang w:val="x-none" w:eastAsia="x-none"/>
    </w:rPr>
  </w:style>
  <w:style w:type="paragraph" w:styleId="BodyTextIndent">
    <w:name w:val="Body Text Indent"/>
    <w:basedOn w:val="Normal"/>
    <w:link w:val="BodyTextIndentChar"/>
    <w:semiHidden/>
    <w:unhideWhenUsed/>
    <w:rsid w:val="00FD6A84"/>
    <w:pPr>
      <w:spacing w:after="120"/>
      <w:ind w:left="283"/>
    </w:pPr>
    <w:rPr>
      <w:rFonts w:cs="Times New Roman"/>
      <w:lang w:val="x-none"/>
    </w:rPr>
  </w:style>
  <w:style w:type="character" w:customStyle="1" w:styleId="BodyTextIndentChar">
    <w:name w:val="Body Text Indent Char"/>
    <w:link w:val="BodyTextIndent"/>
    <w:semiHidden/>
    <w:rsid w:val="00FD6A84"/>
    <w:rPr>
      <w:rFonts w:ascii="Calibri" w:eastAsia="Times New Roman" w:hAnsi="Calibri" w:cs="Tahoma"/>
      <w:color w:val="000000"/>
      <w:sz w:val="22"/>
      <w:szCs w:val="22"/>
      <w:lang w:eastAsia="en-AU"/>
    </w:rPr>
  </w:style>
  <w:style w:type="paragraph" w:styleId="BodyTextFirstIndent2">
    <w:name w:val="Body Text First Indent 2"/>
    <w:basedOn w:val="BodyTextIndent"/>
    <w:link w:val="BodyTextFirstIndent2Char"/>
    <w:unhideWhenUsed/>
    <w:rsid w:val="00FD6A84"/>
    <w:pPr>
      <w:ind w:firstLine="210"/>
    </w:pPr>
  </w:style>
  <w:style w:type="character" w:customStyle="1" w:styleId="BodyTextFirstIndent2Char">
    <w:name w:val="Body Text First Indent 2 Char"/>
    <w:link w:val="BodyTextFirstIndent2"/>
    <w:rsid w:val="00FD6A84"/>
    <w:rPr>
      <w:rFonts w:ascii="Calibri" w:eastAsia="Times New Roman" w:hAnsi="Calibri" w:cs="Tahoma"/>
      <w:color w:val="000000"/>
      <w:sz w:val="22"/>
      <w:szCs w:val="22"/>
      <w:lang w:eastAsia="en-AU"/>
    </w:rPr>
  </w:style>
  <w:style w:type="character" w:customStyle="1" w:styleId="BoxTextChar">
    <w:name w:val="BoxText Char"/>
    <w:link w:val="BoxText"/>
    <w:rsid w:val="00D5210F"/>
    <w:rPr>
      <w:rFonts w:ascii="Calibri" w:eastAsia="Times New Roman" w:hAnsi="Calibri" w:cs="Tahoma"/>
      <w:color w:val="000000"/>
      <w:sz w:val="22"/>
      <w:szCs w:val="22"/>
    </w:rPr>
  </w:style>
  <w:style w:type="paragraph" w:styleId="ListNumber">
    <w:name w:val="List Number"/>
    <w:basedOn w:val="Normal"/>
    <w:link w:val="ListNumberChar"/>
    <w:uiPriority w:val="99"/>
    <w:rsid w:val="005648D5"/>
    <w:pPr>
      <w:numPr>
        <w:numId w:val="17"/>
      </w:numPr>
      <w:contextualSpacing/>
    </w:pPr>
  </w:style>
  <w:style w:type="paragraph" w:customStyle="1" w:styleId="Normal-aftertable">
    <w:name w:val="Normal - after table"/>
    <w:basedOn w:val="Normal"/>
    <w:qFormat/>
    <w:rsid w:val="000E4F57"/>
    <w:pPr>
      <w:spacing w:before="240"/>
    </w:pPr>
  </w:style>
  <w:style w:type="paragraph" w:customStyle="1" w:styleId="TableSubhead">
    <w:name w:val="TableSubhead"/>
    <w:basedOn w:val="TableText"/>
    <w:qFormat/>
    <w:rsid w:val="006F4372"/>
    <w:rPr>
      <w:b/>
      <w:i/>
    </w:rPr>
  </w:style>
  <w:style w:type="paragraph" w:customStyle="1" w:styleId="ES-table">
    <w:name w:val="ES-table"/>
    <w:basedOn w:val="TT2"/>
    <w:qFormat/>
    <w:rsid w:val="007B36BE"/>
  </w:style>
  <w:style w:type="character" w:customStyle="1" w:styleId="Bullet0Char">
    <w:name w:val="Bullet+0 Char"/>
    <w:link w:val="Bullet0"/>
    <w:rsid w:val="00012084"/>
    <w:rPr>
      <w:rFonts w:ascii="Calibri" w:eastAsia="Times New Roman" w:hAnsi="Calibri"/>
      <w:color w:val="000000"/>
      <w:sz w:val="22"/>
      <w:szCs w:val="22"/>
      <w:lang w:val="x-none" w:eastAsia="x-none"/>
    </w:rPr>
  </w:style>
  <w:style w:type="character" w:customStyle="1" w:styleId="Bullet12Char">
    <w:name w:val="Bullet+12 Char"/>
    <w:link w:val="Bullet12"/>
    <w:rsid w:val="006F321B"/>
    <w:rPr>
      <w:rFonts w:ascii="Calibri" w:eastAsia="Times New Roman" w:hAnsi="Calibri"/>
      <w:color w:val="000000"/>
      <w:sz w:val="22"/>
      <w:szCs w:val="22"/>
      <w:lang w:val="x-none" w:eastAsia="x-none"/>
    </w:rPr>
  </w:style>
  <w:style w:type="character" w:customStyle="1" w:styleId="st">
    <w:name w:val="st"/>
    <w:rsid w:val="00AB26EC"/>
  </w:style>
  <w:style w:type="character" w:customStyle="1" w:styleId="bannertext1">
    <w:name w:val="bannertext1"/>
    <w:rsid w:val="00DC3033"/>
    <w:rPr>
      <w:rFonts w:ascii="Century Gothic" w:hAnsi="Century Gothic" w:hint="default"/>
      <w:b/>
      <w:bCs/>
      <w:color w:val="330033"/>
      <w:sz w:val="27"/>
      <w:szCs w:val="27"/>
    </w:rPr>
  </w:style>
  <w:style w:type="paragraph" w:customStyle="1" w:styleId="PT-prebullet">
    <w:name w:val="PT-prebullet"/>
    <w:basedOn w:val="Normal-noindent"/>
    <w:qFormat/>
    <w:rsid w:val="006A6E85"/>
    <w:pPr>
      <w:spacing w:after="120"/>
    </w:pPr>
  </w:style>
  <w:style w:type="paragraph" w:customStyle="1" w:styleId="StyleNormalbeforebulletLeft125cm">
    <w:name w:val="Style Normal (before bullet) + Left:  1.25 cm"/>
    <w:basedOn w:val="Normalbeforebullet"/>
    <w:rsid w:val="009C4859"/>
  </w:style>
  <w:style w:type="paragraph" w:customStyle="1" w:styleId="ES-notes">
    <w:name w:val="ES-notes"/>
    <w:basedOn w:val="TableFigNotes0"/>
    <w:qFormat/>
    <w:rsid w:val="00D16236"/>
    <w:pPr>
      <w:keepNext/>
    </w:pPr>
    <w:rPr>
      <w:rFonts w:ascii="Arial Narrow" w:hAnsi="Arial Narrow"/>
    </w:rPr>
  </w:style>
  <w:style w:type="character" w:styleId="IntenseEmphasis">
    <w:name w:val="Intense Emphasis"/>
    <w:basedOn w:val="DefaultParagraphFont"/>
    <w:uiPriority w:val="21"/>
    <w:qFormat/>
    <w:rsid w:val="009C60BF"/>
    <w:rPr>
      <w:b/>
      <w:bCs/>
      <w:i/>
      <w:iCs/>
      <w:color w:val="4F81BD"/>
    </w:rPr>
  </w:style>
  <w:style w:type="paragraph" w:customStyle="1" w:styleId="T-ABCD">
    <w:name w:val="T-ABCD"/>
    <w:basedOn w:val="Normal"/>
    <w:qFormat/>
    <w:rsid w:val="00386AAB"/>
    <w:pPr>
      <w:spacing w:after="0"/>
      <w:ind w:left="162"/>
    </w:pPr>
    <w:rPr>
      <w:rFonts w:ascii="Arial Narrow" w:hAnsi="Arial Narrow"/>
      <w:sz w:val="20"/>
    </w:rPr>
  </w:style>
  <w:style w:type="paragraph" w:customStyle="1" w:styleId="Body">
    <w:name w:val="Body"/>
    <w:rsid w:val="00141F97"/>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paragraph" w:customStyle="1" w:styleId="EndNoteBibliographyTitle">
    <w:name w:val="EndNote Bibliography Title"/>
    <w:basedOn w:val="Normal"/>
    <w:link w:val="EndNoteBibliographyTitleChar"/>
    <w:rsid w:val="00002BEF"/>
    <w:pPr>
      <w:spacing w:after="0"/>
      <w:jc w:val="center"/>
    </w:pPr>
    <w:rPr>
      <w:noProof/>
    </w:rPr>
  </w:style>
  <w:style w:type="character" w:customStyle="1" w:styleId="NormalbeforebulletChar">
    <w:name w:val="Normal (before bullet) Char"/>
    <w:basedOn w:val="DefaultParagraphFont"/>
    <w:link w:val="Normalbeforebullet"/>
    <w:rsid w:val="00FF2787"/>
    <w:rPr>
      <w:rFonts w:ascii="Calibri" w:eastAsia="Times New Roman" w:hAnsi="Calibri"/>
      <w:color w:val="000000"/>
      <w:sz w:val="22"/>
      <w:lang w:val="en-GB" w:eastAsia="en-GB"/>
    </w:rPr>
  </w:style>
  <w:style w:type="character" w:customStyle="1" w:styleId="EndNoteBibliographyTitleChar">
    <w:name w:val="EndNote Bibliography Title Char"/>
    <w:basedOn w:val="NormalbeforebulletChar"/>
    <w:link w:val="EndNoteBibliographyTitle"/>
    <w:rsid w:val="00002BEF"/>
    <w:rPr>
      <w:rFonts w:ascii="Calibri" w:eastAsia="Times New Roman" w:hAnsi="Calibri" w:cs="Tahoma"/>
      <w:noProof/>
      <w:color w:val="000000"/>
      <w:sz w:val="22"/>
      <w:szCs w:val="22"/>
      <w:lang w:val="en-GB" w:eastAsia="en-GB"/>
    </w:rPr>
  </w:style>
  <w:style w:type="paragraph" w:customStyle="1" w:styleId="EndNoteBibliography">
    <w:name w:val="EndNote Bibliography"/>
    <w:basedOn w:val="Normal"/>
    <w:link w:val="EndNoteBibliographyChar"/>
    <w:rsid w:val="00002BEF"/>
    <w:rPr>
      <w:noProof/>
    </w:rPr>
  </w:style>
  <w:style w:type="character" w:customStyle="1" w:styleId="EndNoteBibliographyChar">
    <w:name w:val="EndNote Bibliography Char"/>
    <w:basedOn w:val="NormalbeforebulletChar"/>
    <w:link w:val="EndNoteBibliography"/>
    <w:rsid w:val="00002BEF"/>
    <w:rPr>
      <w:rFonts w:ascii="Calibri" w:eastAsia="Times New Roman" w:hAnsi="Calibri" w:cs="Tahoma"/>
      <w:noProof/>
      <w:color w:val="000000"/>
      <w:sz w:val="22"/>
      <w:szCs w:val="22"/>
      <w:lang w:val="en-GB" w:eastAsia="en-GB"/>
    </w:rPr>
  </w:style>
  <w:style w:type="paragraph" w:styleId="Subtitle">
    <w:name w:val="Subtitle"/>
    <w:basedOn w:val="Normal"/>
    <w:next w:val="Normal"/>
    <w:link w:val="SubtitleChar"/>
    <w:qFormat/>
    <w:rsid w:val="009630E5"/>
    <w:pPr>
      <w:spacing w:after="200"/>
      <w:ind w:left="0"/>
    </w:pPr>
    <w:rPr>
      <w:rFonts w:asciiTheme="majorHAnsi" w:eastAsiaTheme="majorEastAsia" w:hAnsiTheme="majorHAnsi" w:cstheme="majorBidi"/>
      <w:i/>
      <w:iCs/>
      <w:color w:val="C60C30"/>
      <w:spacing w:val="15"/>
      <w:sz w:val="24"/>
      <w:szCs w:val="24"/>
      <w:lang w:eastAsia="en-US"/>
    </w:rPr>
  </w:style>
  <w:style w:type="character" w:customStyle="1" w:styleId="SubtitleChar">
    <w:name w:val="Subtitle Char"/>
    <w:basedOn w:val="DefaultParagraphFont"/>
    <w:link w:val="Subtitle"/>
    <w:rsid w:val="009630E5"/>
    <w:rPr>
      <w:rFonts w:asciiTheme="majorHAnsi" w:eastAsiaTheme="majorEastAsia" w:hAnsiTheme="majorHAnsi" w:cstheme="majorBidi"/>
      <w:i/>
      <w:iCs/>
      <w:color w:val="C60C30"/>
      <w:spacing w:val="15"/>
      <w:sz w:val="24"/>
      <w:szCs w:val="24"/>
      <w:lang w:eastAsia="en-US"/>
    </w:rPr>
  </w:style>
  <w:style w:type="character" w:customStyle="1" w:styleId="A21">
    <w:name w:val="A2+1"/>
    <w:uiPriority w:val="99"/>
    <w:rsid w:val="00E66427"/>
    <w:rPr>
      <w:rFonts w:cs="TitilliumText22L Lt"/>
      <w:color w:val="000000"/>
      <w:sz w:val="16"/>
      <w:szCs w:val="16"/>
    </w:rPr>
  </w:style>
  <w:style w:type="character" w:customStyle="1" w:styleId="ListParagraphChar">
    <w:name w:val="List Paragraph Char"/>
    <w:link w:val="ListParagraph"/>
    <w:uiPriority w:val="34"/>
    <w:locked/>
    <w:rsid w:val="004C287C"/>
    <w:rPr>
      <w:rFonts w:ascii="Calibri" w:eastAsia="Times New Roman" w:hAnsi="Calibri" w:cs="Tahoma"/>
      <w:color w:val="000000"/>
      <w:sz w:val="22"/>
      <w:szCs w:val="22"/>
    </w:rPr>
  </w:style>
  <w:style w:type="paragraph" w:customStyle="1" w:styleId="Tabletextnoindent">
    <w:name w:val="Tabletextnoindent"/>
    <w:basedOn w:val="TableText"/>
    <w:qFormat/>
    <w:rsid w:val="005A3DB6"/>
    <w:pPr>
      <w:numPr>
        <w:numId w:val="25"/>
      </w:numPr>
    </w:pPr>
  </w:style>
  <w:style w:type="character" w:customStyle="1" w:styleId="TableFigNotes0Char">
    <w:name w:val="TableFigNotes+0 Char"/>
    <w:basedOn w:val="DefaultParagraphFont"/>
    <w:link w:val="TableFigNotes0"/>
    <w:rsid w:val="00D849B4"/>
    <w:rPr>
      <w:rFonts w:ascii="Calibri" w:eastAsia="Times New Roman" w:hAnsi="Calibri" w:cs="Tahoma"/>
      <w:color w:val="000000"/>
      <w:sz w:val="18"/>
      <w:szCs w:val="18"/>
    </w:rPr>
  </w:style>
  <w:style w:type="paragraph" w:customStyle="1" w:styleId="Checklist">
    <w:name w:val="Checklist"/>
    <w:basedOn w:val="Normal"/>
    <w:qFormat/>
    <w:rsid w:val="00E66069"/>
    <w:pPr>
      <w:ind w:left="709" w:hanging="709"/>
    </w:pPr>
    <w:rPr>
      <w:rFonts w:ascii="Arial" w:hAnsi="Arial" w:cs="Times New Roman"/>
      <w:color w:val="333333"/>
      <w:szCs w:val="24"/>
    </w:rPr>
  </w:style>
  <w:style w:type="paragraph" w:customStyle="1" w:styleId="Pic">
    <w:name w:val="Pic"/>
    <w:next w:val="Footnote"/>
    <w:uiPriority w:val="9"/>
    <w:qFormat/>
    <w:rsid w:val="00E66069"/>
    <w:pPr>
      <w:keepNext/>
    </w:pPr>
    <w:rPr>
      <w:rFonts w:ascii="Calibri" w:eastAsia="Calibri" w:hAnsi="Calibri" w:cs="Calibri"/>
      <w:lang w:eastAsia="en-US"/>
    </w:rPr>
  </w:style>
  <w:style w:type="paragraph" w:customStyle="1" w:styleId="Footnote">
    <w:name w:val="Footnote"/>
    <w:basedOn w:val="FootnoteText"/>
    <w:uiPriority w:val="99"/>
    <w:rsid w:val="00E66069"/>
    <w:rPr>
      <w:rFonts w:cs="Tahoma"/>
      <w:sz w:val="20"/>
      <w:lang w:val="en-AU"/>
    </w:rPr>
  </w:style>
  <w:style w:type="paragraph" w:styleId="TOCHeading">
    <w:name w:val="TOC Heading"/>
    <w:basedOn w:val="Heading1"/>
    <w:next w:val="Normal"/>
    <w:uiPriority w:val="39"/>
    <w:unhideWhenUsed/>
    <w:qFormat/>
    <w:rsid w:val="00E66069"/>
    <w:pPr>
      <w:pBdr>
        <w:bottom w:val="none" w:sz="0" w:space="0" w:color="auto"/>
      </w:pBdr>
      <w:spacing w:before="240" w:after="60"/>
      <w:ind w:left="0" w:firstLine="0"/>
      <w:outlineLvl w:val="9"/>
    </w:pPr>
    <w:rPr>
      <w:rFonts w:ascii="Cambria" w:eastAsia="PMingLiU" w:hAnsi="Cambria"/>
      <w:spacing w:val="0"/>
      <w:kern w:val="32"/>
      <w:sz w:val="32"/>
      <w:lang w:val="en-AU"/>
    </w:rPr>
  </w:style>
  <w:style w:type="table" w:styleId="ColorfulGrid-Accent3">
    <w:name w:val="Colorful Grid Accent 3"/>
    <w:basedOn w:val="TableNormal"/>
    <w:uiPriority w:val="73"/>
    <w:rsid w:val="00E66069"/>
    <w:pPr>
      <w:spacing w:before="20" w:after="240"/>
    </w:pPr>
    <w:rPr>
      <w:rFonts w:ascii="Calibri" w:eastAsia="Calibri" w:hAnsi="Calibr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odyText2">
    <w:name w:val="Body Text 2"/>
    <w:basedOn w:val="Normal"/>
    <w:link w:val="BodyText2Char"/>
    <w:semiHidden/>
    <w:unhideWhenUsed/>
    <w:rsid w:val="00E66069"/>
    <w:pPr>
      <w:spacing w:after="120" w:line="480" w:lineRule="auto"/>
    </w:pPr>
  </w:style>
  <w:style w:type="character" w:customStyle="1" w:styleId="BodyText2Char">
    <w:name w:val="Body Text 2 Char"/>
    <w:basedOn w:val="DefaultParagraphFont"/>
    <w:link w:val="BodyText2"/>
    <w:semiHidden/>
    <w:rsid w:val="00E66069"/>
    <w:rPr>
      <w:rFonts w:ascii="Calibri" w:eastAsia="Times New Roman" w:hAnsi="Calibri" w:cs="Tahoma"/>
      <w:color w:val="000000"/>
      <w:sz w:val="22"/>
      <w:szCs w:val="22"/>
    </w:rPr>
  </w:style>
  <w:style w:type="paragraph" w:customStyle="1" w:styleId="CoverHead">
    <w:name w:val="Cover Head"/>
    <w:basedOn w:val="BodyText"/>
    <w:uiPriority w:val="9"/>
    <w:qFormat/>
    <w:rsid w:val="00E66069"/>
    <w:pPr>
      <w:spacing w:after="0" w:line="270" w:lineRule="auto"/>
      <w:ind w:left="720"/>
      <w:jc w:val="right"/>
    </w:pPr>
    <w:rPr>
      <w:rFonts w:ascii="Arial" w:hAnsi="Arial" w:cs="Arial"/>
      <w:b/>
      <w:color w:val="000000"/>
      <w:sz w:val="48"/>
      <w:szCs w:val="22"/>
      <w:lang w:val="en-US" w:eastAsia="en-AU"/>
    </w:rPr>
  </w:style>
  <w:style w:type="paragraph" w:customStyle="1" w:styleId="AbbreviationsList">
    <w:name w:val="Abbreviations List"/>
    <w:uiPriority w:val="9"/>
    <w:qFormat/>
    <w:rsid w:val="00E66069"/>
    <w:pPr>
      <w:tabs>
        <w:tab w:val="left" w:pos="2268"/>
      </w:tabs>
      <w:spacing w:before="2"/>
      <w:ind w:left="851"/>
    </w:pPr>
    <w:rPr>
      <w:rFonts w:ascii="Calibri" w:eastAsia="Calibri" w:hAnsi="Calibri" w:cs="Calibri"/>
      <w:lang w:eastAsia="en-US"/>
    </w:rPr>
  </w:style>
  <w:style w:type="paragraph" w:styleId="Title">
    <w:name w:val="Title"/>
    <w:basedOn w:val="Normal"/>
    <w:next w:val="Normal"/>
    <w:link w:val="TitleChar"/>
    <w:qFormat/>
    <w:rsid w:val="00E66069"/>
    <w:pPr>
      <w:spacing w:before="240" w:after="60"/>
      <w:jc w:val="center"/>
      <w:outlineLvl w:val="0"/>
    </w:pPr>
    <w:rPr>
      <w:rFonts w:ascii="Cambria" w:eastAsia="PMingLiU" w:hAnsi="Cambria" w:cs="Times New Roman"/>
      <w:b/>
      <w:bCs/>
      <w:kern w:val="28"/>
      <w:sz w:val="32"/>
      <w:szCs w:val="32"/>
    </w:rPr>
  </w:style>
  <w:style w:type="character" w:customStyle="1" w:styleId="TitleChar">
    <w:name w:val="Title Char"/>
    <w:basedOn w:val="DefaultParagraphFont"/>
    <w:link w:val="Title"/>
    <w:rsid w:val="00E66069"/>
    <w:rPr>
      <w:rFonts w:ascii="Cambria" w:eastAsia="PMingLiU" w:hAnsi="Cambria"/>
      <w:b/>
      <w:bCs/>
      <w:color w:val="000000"/>
      <w:kern w:val="28"/>
      <w:sz w:val="32"/>
      <w:szCs w:val="32"/>
    </w:rPr>
  </w:style>
  <w:style w:type="paragraph" w:customStyle="1" w:styleId="Bulletintro">
    <w:name w:val="Bullet intro"/>
    <w:basedOn w:val="BodyText"/>
    <w:uiPriority w:val="2"/>
    <w:qFormat/>
    <w:rsid w:val="00E66069"/>
    <w:pPr>
      <w:spacing w:after="120" w:line="240" w:lineRule="auto"/>
      <w:ind w:left="720"/>
    </w:pPr>
    <w:rPr>
      <w:rFonts w:ascii="Calibri" w:hAnsi="Calibri" w:cs="Arial"/>
      <w:color w:val="000000"/>
      <w:sz w:val="22"/>
      <w:lang w:val="en-US" w:eastAsia="en-AU"/>
    </w:rPr>
  </w:style>
  <w:style w:type="paragraph" w:customStyle="1" w:styleId="Company">
    <w:name w:val="Company"/>
    <w:basedOn w:val="Subtitle"/>
    <w:uiPriority w:val="8"/>
    <w:qFormat/>
    <w:rsid w:val="00E66069"/>
    <w:pPr>
      <w:spacing w:after="60"/>
      <w:ind w:left="720"/>
      <w:jc w:val="center"/>
      <w:outlineLvl w:val="1"/>
    </w:pPr>
    <w:rPr>
      <w:rFonts w:ascii="Cambria" w:eastAsia="Times New Roman" w:hAnsi="Cambria" w:cs="Times New Roman"/>
      <w:bCs/>
      <w:i w:val="0"/>
      <w:iCs w:val="0"/>
      <w:color w:val="000000"/>
      <w:spacing w:val="0"/>
      <w:szCs w:val="28"/>
      <w:lang w:eastAsia="en-GB"/>
    </w:rPr>
  </w:style>
  <w:style w:type="paragraph" w:customStyle="1" w:styleId="CompanyAddress">
    <w:name w:val="CompanyAddress"/>
    <w:basedOn w:val="Company"/>
    <w:uiPriority w:val="8"/>
    <w:qFormat/>
    <w:rsid w:val="00E66069"/>
    <w:rPr>
      <w:b/>
    </w:rPr>
  </w:style>
  <w:style w:type="paragraph" w:customStyle="1" w:styleId="Drugname">
    <w:name w:val="Drug name"/>
    <w:basedOn w:val="Normal"/>
    <w:next w:val="Normal"/>
    <w:semiHidden/>
    <w:qFormat/>
    <w:rsid w:val="00E66069"/>
    <w:pPr>
      <w:spacing w:after="0"/>
      <w:jc w:val="right"/>
    </w:pPr>
    <w:rPr>
      <w:rFonts w:ascii="Helvetica" w:hAnsi="Helvetica"/>
      <w:b/>
      <w:bCs/>
      <w:caps/>
      <w:sz w:val="36"/>
      <w:szCs w:val="36"/>
      <w:lang w:eastAsia="en-GB"/>
    </w:rPr>
  </w:style>
  <w:style w:type="paragraph" w:customStyle="1" w:styleId="Figurename0">
    <w:name w:val="Figure name"/>
    <w:basedOn w:val="BodyText"/>
    <w:next w:val="BodyText"/>
    <w:uiPriority w:val="5"/>
    <w:qFormat/>
    <w:rsid w:val="00E66069"/>
    <w:pPr>
      <w:keepNext/>
      <w:tabs>
        <w:tab w:val="left" w:pos="1418"/>
      </w:tabs>
      <w:spacing w:after="120" w:line="240" w:lineRule="auto"/>
      <w:ind w:left="2212" w:hanging="1418"/>
    </w:pPr>
    <w:rPr>
      <w:rFonts w:ascii="Calibri" w:hAnsi="Calibri" w:cs="Tahoma"/>
      <w:b/>
      <w:bCs/>
      <w:color w:val="000000"/>
      <w:sz w:val="22"/>
      <w:szCs w:val="22"/>
      <w:lang w:val="en-US" w:eastAsia="en-AU"/>
    </w:rPr>
  </w:style>
  <w:style w:type="paragraph" w:customStyle="1" w:styleId="H1-NoNum">
    <w:name w:val="H1-NoNum"/>
    <w:basedOn w:val="Heading1"/>
    <w:next w:val="BodyText"/>
    <w:uiPriority w:val="1"/>
    <w:rsid w:val="00E66069"/>
    <w:pPr>
      <w:ind w:left="0" w:firstLine="0"/>
    </w:pPr>
    <w:rPr>
      <w:rFonts w:eastAsiaTheme="majorEastAsia" w:cs="Arial"/>
      <w:lang w:val="en-AU"/>
    </w:rPr>
  </w:style>
  <w:style w:type="paragraph" w:customStyle="1" w:styleId="H1-nontoc">
    <w:name w:val="H1-nontoc"/>
    <w:basedOn w:val="Heading1"/>
    <w:next w:val="BodyText"/>
    <w:uiPriority w:val="1"/>
    <w:rsid w:val="00E66069"/>
    <w:pPr>
      <w:spacing w:before="20" w:after="20"/>
      <w:ind w:left="431" w:hanging="431"/>
    </w:pPr>
    <w:rPr>
      <w:rFonts w:eastAsiaTheme="majorEastAsia" w:cstheme="minorHAnsi"/>
      <w:color w:val="E36C0A" w:themeColor="accent6" w:themeShade="BF"/>
      <w:lang w:val="en-AU"/>
    </w:rPr>
  </w:style>
  <w:style w:type="paragraph" w:customStyle="1" w:styleId="H2-nontoc">
    <w:name w:val="H2-nontoc"/>
    <w:basedOn w:val="Heading2"/>
    <w:next w:val="BodyText"/>
    <w:uiPriority w:val="1"/>
    <w:qFormat/>
    <w:rsid w:val="00E66069"/>
    <w:pPr>
      <w:ind w:left="0" w:firstLine="0"/>
      <w:outlineLvl w:val="9"/>
    </w:pPr>
    <w:rPr>
      <w:rFonts w:cs="Arial"/>
      <w:lang w:val="en-AU"/>
    </w:rPr>
  </w:style>
  <w:style w:type="paragraph" w:customStyle="1" w:styleId="H3-nontoc">
    <w:name w:val="H3-nontoc"/>
    <w:basedOn w:val="Heading3"/>
    <w:next w:val="BodyText"/>
    <w:uiPriority w:val="1"/>
    <w:qFormat/>
    <w:rsid w:val="00E66069"/>
    <w:pPr>
      <w:ind w:left="0" w:firstLine="0"/>
      <w:outlineLvl w:val="9"/>
    </w:pPr>
    <w:rPr>
      <w:rFonts w:cs="Arial"/>
      <w:lang w:val="en-AU" w:eastAsia="en-AU"/>
    </w:rPr>
  </w:style>
  <w:style w:type="paragraph" w:customStyle="1" w:styleId="QuoteBodyText">
    <w:name w:val="QuoteBodyText"/>
    <w:basedOn w:val="BodyText"/>
    <w:next w:val="BodyText"/>
    <w:uiPriority w:val="6"/>
    <w:qFormat/>
    <w:rsid w:val="00E66069"/>
    <w:pPr>
      <w:spacing w:after="0" w:line="240" w:lineRule="auto"/>
      <w:ind w:left="567" w:right="662"/>
    </w:pPr>
    <w:rPr>
      <w:rFonts w:ascii="Calibri" w:hAnsi="Calibri" w:cs="Tahoma"/>
      <w:i/>
      <w:color w:val="000000"/>
      <w:sz w:val="22"/>
      <w:szCs w:val="18"/>
      <w:lang w:val="en-AU" w:eastAsia="en-AU"/>
    </w:rPr>
  </w:style>
  <w:style w:type="paragraph" w:customStyle="1" w:styleId="QuoteSmallText">
    <w:name w:val="QuoteSmallText"/>
    <w:basedOn w:val="QuoteBodyText"/>
    <w:next w:val="BodyText"/>
    <w:uiPriority w:val="6"/>
    <w:qFormat/>
    <w:rsid w:val="00E66069"/>
    <w:pPr>
      <w:spacing w:before="120"/>
    </w:pPr>
    <w:rPr>
      <w:sz w:val="18"/>
    </w:rPr>
  </w:style>
  <w:style w:type="paragraph" w:customStyle="1" w:styleId="Tabledash0">
    <w:name w:val="Table dash"/>
    <w:basedOn w:val="BodyText"/>
    <w:uiPriority w:val="4"/>
    <w:qFormat/>
    <w:rsid w:val="00E66069"/>
    <w:pPr>
      <w:keepNext/>
      <w:numPr>
        <w:numId w:val="41"/>
      </w:numPr>
      <w:spacing w:before="20" w:after="20" w:line="240" w:lineRule="auto"/>
      <w:ind w:right="113"/>
    </w:pPr>
    <w:rPr>
      <w:rFonts w:ascii="Calibri" w:hAnsi="Calibri" w:cs="Tahoma"/>
      <w:bCs/>
      <w:color w:val="000000"/>
      <w:sz w:val="16"/>
      <w:szCs w:val="26"/>
      <w:lang w:val="en-AU" w:eastAsia="en-AU"/>
    </w:rPr>
  </w:style>
  <w:style w:type="paragraph" w:customStyle="1" w:styleId="TableH1">
    <w:name w:val="Table H1"/>
    <w:basedOn w:val="BodyText"/>
    <w:uiPriority w:val="4"/>
    <w:qFormat/>
    <w:rsid w:val="00E66069"/>
    <w:pPr>
      <w:keepNext/>
      <w:spacing w:after="20" w:line="240" w:lineRule="auto"/>
      <w:ind w:right="113"/>
    </w:pPr>
    <w:rPr>
      <w:rFonts w:ascii="Calibri" w:hAnsi="Calibri" w:cs="Tahoma"/>
      <w:b/>
      <w:color w:val="000000"/>
      <w:sz w:val="20"/>
      <w:szCs w:val="16"/>
      <w:lang w:val="en-US" w:eastAsia="en-AU"/>
    </w:rPr>
  </w:style>
  <w:style w:type="paragraph" w:customStyle="1" w:styleId="TableH2">
    <w:name w:val="Table H2"/>
    <w:basedOn w:val="BodyText"/>
    <w:next w:val="Tabletext0"/>
    <w:link w:val="TableH2Char"/>
    <w:uiPriority w:val="4"/>
    <w:qFormat/>
    <w:rsid w:val="00E66069"/>
    <w:pPr>
      <w:keepNext/>
      <w:spacing w:after="20" w:line="240" w:lineRule="auto"/>
      <w:ind w:right="113"/>
    </w:pPr>
    <w:rPr>
      <w:rFonts w:ascii="Calibri" w:hAnsi="Calibri" w:cs="Tahoma"/>
      <w:b/>
      <w:color w:val="000000"/>
      <w:sz w:val="18"/>
      <w:szCs w:val="22"/>
      <w:lang w:val="en-AU"/>
    </w:rPr>
  </w:style>
  <w:style w:type="paragraph" w:customStyle="1" w:styleId="TableH3">
    <w:name w:val="Table H3"/>
    <w:basedOn w:val="TableH2"/>
    <w:next w:val="Tabletext0"/>
    <w:link w:val="TableH3Char"/>
    <w:uiPriority w:val="4"/>
    <w:qFormat/>
    <w:rsid w:val="00E66069"/>
    <w:rPr>
      <w:i/>
    </w:rPr>
  </w:style>
  <w:style w:type="character" w:customStyle="1" w:styleId="CharChar2">
    <w:name w:val="Char Char2"/>
    <w:basedOn w:val="DefaultParagraphFont"/>
    <w:uiPriority w:val="99"/>
    <w:semiHidden/>
    <w:locked/>
    <w:rsid w:val="00E66069"/>
    <w:rPr>
      <w:rFonts w:eastAsia="MS Mincho" w:cs="Times New Roman"/>
      <w:lang w:val="en-AU" w:eastAsia="ja-JP" w:bidi="ar-SA"/>
    </w:rPr>
  </w:style>
  <w:style w:type="character" w:customStyle="1" w:styleId="CharChar3">
    <w:name w:val="Char Char3"/>
    <w:basedOn w:val="DefaultParagraphFont"/>
    <w:uiPriority w:val="99"/>
    <w:semiHidden/>
    <w:locked/>
    <w:rsid w:val="00E66069"/>
    <w:rPr>
      <w:rFonts w:ascii="Arial Narrow" w:hAnsi="Arial Narrow" w:cs="Arial"/>
      <w:lang w:val="en-AU" w:eastAsia="ja-JP" w:bidi="ar-SA"/>
    </w:rPr>
  </w:style>
  <w:style w:type="paragraph" w:customStyle="1" w:styleId="Helvetica14">
    <w:name w:val="Helvetica 14"/>
    <w:semiHidden/>
    <w:qFormat/>
    <w:rsid w:val="00E66069"/>
    <w:rPr>
      <w:rFonts w:ascii="Helvetica" w:eastAsia="Times New Roman" w:hAnsi="Helvetica"/>
      <w:sz w:val="28"/>
      <w:szCs w:val="28"/>
      <w:lang w:eastAsia="en-GB"/>
    </w:rPr>
  </w:style>
  <w:style w:type="paragraph" w:customStyle="1" w:styleId="Helvetica10">
    <w:name w:val="Helvetica 10"/>
    <w:semiHidden/>
    <w:qFormat/>
    <w:rsid w:val="00E66069"/>
    <w:pPr>
      <w:jc w:val="center"/>
    </w:pPr>
    <w:rPr>
      <w:rFonts w:ascii="Helvetica" w:eastAsia="Times New Roman" w:hAnsi="Helvetica"/>
      <w:caps/>
      <w:color w:val="000000"/>
      <w:sz w:val="22"/>
      <w:szCs w:val="22"/>
      <w:lang w:eastAsia="en-GB"/>
    </w:rPr>
  </w:style>
  <w:style w:type="paragraph" w:customStyle="1" w:styleId="Helvetica11">
    <w:name w:val="Helvetica 11"/>
    <w:basedOn w:val="Helvetica14"/>
    <w:semiHidden/>
    <w:qFormat/>
    <w:rsid w:val="00E66069"/>
    <w:pPr>
      <w:jc w:val="right"/>
    </w:pPr>
  </w:style>
  <w:style w:type="paragraph" w:customStyle="1" w:styleId="Helvetica14bold">
    <w:name w:val="Helvetica 14 bold"/>
    <w:basedOn w:val="Helvetica14"/>
    <w:semiHidden/>
    <w:qFormat/>
    <w:rsid w:val="00E66069"/>
    <w:pPr>
      <w:jc w:val="right"/>
    </w:pPr>
    <w:rPr>
      <w:b/>
      <w:bCs/>
    </w:rPr>
  </w:style>
  <w:style w:type="paragraph" w:styleId="ListBullet2">
    <w:name w:val="List Bullet 2"/>
    <w:basedOn w:val="Normal"/>
    <w:semiHidden/>
    <w:unhideWhenUsed/>
    <w:rsid w:val="00E66069"/>
    <w:pPr>
      <w:numPr>
        <w:numId w:val="32"/>
      </w:numPr>
      <w:contextualSpacing/>
    </w:pPr>
  </w:style>
  <w:style w:type="paragraph" w:styleId="ListNumber3">
    <w:name w:val="List Number 3"/>
    <w:basedOn w:val="Normal"/>
    <w:semiHidden/>
    <w:unhideWhenUsed/>
    <w:rsid w:val="00E66069"/>
    <w:pPr>
      <w:numPr>
        <w:numId w:val="37"/>
      </w:numPr>
      <w:contextualSpacing/>
    </w:pPr>
  </w:style>
  <w:style w:type="paragraph" w:customStyle="1" w:styleId="ListNos0">
    <w:name w:val="ListNos+0"/>
    <w:basedOn w:val="BodyText"/>
    <w:uiPriority w:val="2"/>
    <w:qFormat/>
    <w:rsid w:val="00E66069"/>
    <w:pPr>
      <w:numPr>
        <w:numId w:val="40"/>
      </w:numPr>
      <w:spacing w:after="0" w:line="240" w:lineRule="auto"/>
    </w:pPr>
    <w:rPr>
      <w:rFonts w:ascii="Calibri" w:hAnsi="Calibri" w:cs="Tahoma"/>
      <w:color w:val="000000"/>
      <w:sz w:val="22"/>
      <w:szCs w:val="22"/>
      <w:lang w:val="en-AU" w:eastAsia="en-AU"/>
    </w:rPr>
  </w:style>
  <w:style w:type="paragraph" w:customStyle="1" w:styleId="ListNos6">
    <w:name w:val="ListNos+6"/>
    <w:basedOn w:val="ListNos12"/>
    <w:uiPriority w:val="2"/>
    <w:qFormat/>
    <w:rsid w:val="00E66069"/>
    <w:pPr>
      <w:spacing w:after="120"/>
    </w:pPr>
  </w:style>
  <w:style w:type="paragraph" w:customStyle="1" w:styleId="ListNos12">
    <w:name w:val="ListNos+12"/>
    <w:basedOn w:val="ListNos0"/>
    <w:next w:val="BodyText"/>
    <w:uiPriority w:val="2"/>
    <w:qFormat/>
    <w:rsid w:val="00E66069"/>
    <w:pPr>
      <w:numPr>
        <w:numId w:val="0"/>
      </w:numPr>
      <w:spacing w:after="240"/>
    </w:pPr>
  </w:style>
  <w:style w:type="paragraph" w:customStyle="1" w:styleId="Notes">
    <w:name w:val="Notes"/>
    <w:next w:val="BodyText"/>
    <w:uiPriority w:val="6"/>
    <w:qFormat/>
    <w:rsid w:val="00E66069"/>
    <w:pPr>
      <w:spacing w:after="120"/>
    </w:pPr>
    <w:rPr>
      <w:rFonts w:ascii="Calibri" w:eastAsia="Times New Roman" w:hAnsi="Calibri"/>
      <w:color w:val="C00000"/>
      <w:sz w:val="22"/>
      <w:szCs w:val="24"/>
      <w:lang w:eastAsia="en-US"/>
    </w:rPr>
  </w:style>
  <w:style w:type="table" w:customStyle="1" w:styleId="OPTUMTableNormal">
    <w:name w:val="OPTUM Table Normal"/>
    <w:basedOn w:val="TableNormal"/>
    <w:rsid w:val="00E66069"/>
    <w:pPr>
      <w:spacing w:before="40" w:after="20"/>
    </w:pPr>
    <w:rPr>
      <w:rFonts w:ascii="Calibri" w:eastAsia="Times New Roman" w:hAnsi="Calibri"/>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PBACstandardnumberstyle">
    <w:name w:val="PBAC standard number style"/>
    <w:uiPriority w:val="99"/>
    <w:rsid w:val="00E66069"/>
  </w:style>
  <w:style w:type="table" w:customStyle="1" w:styleId="StandardTable">
    <w:name w:val="Standard Table"/>
    <w:basedOn w:val="TableNormal"/>
    <w:semiHidden/>
    <w:rsid w:val="00E66069"/>
    <w:rPr>
      <w:rFonts w:ascii="Garamond" w:eastAsia="Times New Roman" w:hAnsi="Garamond"/>
      <w:sz w:val="18"/>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table" w:customStyle="1" w:styleId="TableNoBorders">
    <w:name w:val="Table No Borders"/>
    <w:basedOn w:val="TableNormal"/>
    <w:rsid w:val="00E66069"/>
    <w:pPr>
      <w:spacing w:before="40" w:after="20"/>
    </w:pPr>
    <w:rPr>
      <w:rFonts w:ascii="Garamond" w:eastAsia="Times New Roman" w:hAnsi="Garamond"/>
      <w:sz w:val="22"/>
      <w:szCs w:val="22"/>
    </w:rPr>
    <w:tblPr>
      <w:tblInd w:w="0" w:type="dxa"/>
      <w:tblCellMar>
        <w:top w:w="0" w:type="dxa"/>
        <w:left w:w="108" w:type="dxa"/>
        <w:bottom w:w="0" w:type="dxa"/>
        <w:right w:w="108" w:type="dxa"/>
      </w:tblCellMar>
    </w:tblPr>
  </w:style>
  <w:style w:type="table" w:customStyle="1" w:styleId="TableHTAStandard">
    <w:name w:val="Table HTA Standard"/>
    <w:basedOn w:val="TableNoBorders"/>
    <w:rsid w:val="00E66069"/>
    <w:pPr>
      <w:tabs>
        <w:tab w:val="left" w:pos="416"/>
        <w:tab w:val="left" w:pos="582"/>
      </w:tabs>
    </w:pPr>
    <w:rPr>
      <w:sz w:val="18"/>
      <w:szCs w:val="18"/>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Tahoma" w:hAnsi="Tahoma"/>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link w:val="TableListNosChar"/>
    <w:uiPriority w:val="4"/>
    <w:qFormat/>
    <w:rsid w:val="00E66069"/>
    <w:pPr>
      <w:numPr>
        <w:numId w:val="42"/>
      </w:numPr>
      <w:spacing w:after="120" w:line="240" w:lineRule="auto"/>
    </w:pPr>
    <w:rPr>
      <w:rFonts w:ascii="Calibri" w:hAnsi="Calibri" w:cs="Tahoma"/>
      <w:color w:val="000000"/>
      <w:sz w:val="18"/>
      <w:szCs w:val="22"/>
      <w:lang w:val="en-AU"/>
    </w:rPr>
  </w:style>
  <w:style w:type="paragraph" w:customStyle="1" w:styleId="Tabletextindent">
    <w:name w:val="Table text indent"/>
    <w:basedOn w:val="Tabletext0"/>
    <w:uiPriority w:val="4"/>
    <w:qFormat/>
    <w:rsid w:val="00E66069"/>
    <w:pPr>
      <w:ind w:left="284"/>
    </w:pPr>
    <w:rPr>
      <w:rFonts w:cs="Arial"/>
      <w:lang w:val="en-AU"/>
    </w:rPr>
  </w:style>
  <w:style w:type="table" w:styleId="TableTheme">
    <w:name w:val="Table Theme"/>
    <w:basedOn w:val="TableNormal"/>
    <w:semiHidden/>
    <w:rsid w:val="00E66069"/>
    <w:rPr>
      <w:rFonts w:ascii="Garamond" w:eastAsia="Times New Roman" w:hAnsi="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NoNum">
    <w:name w:val="H2-NoNum"/>
    <w:basedOn w:val="Heading2"/>
    <w:next w:val="BodyText"/>
    <w:uiPriority w:val="1"/>
    <w:qFormat/>
    <w:rsid w:val="00E66069"/>
    <w:pPr>
      <w:ind w:left="0" w:firstLine="0"/>
    </w:pPr>
    <w:rPr>
      <w:rFonts w:cs="Arial"/>
      <w:lang w:val="en-AU"/>
    </w:rPr>
  </w:style>
  <w:style w:type="paragraph" w:customStyle="1" w:styleId="H3-NoNum">
    <w:name w:val="H3-NoNum"/>
    <w:basedOn w:val="Heading3"/>
    <w:next w:val="BodyText"/>
    <w:uiPriority w:val="1"/>
    <w:qFormat/>
    <w:rsid w:val="00E66069"/>
    <w:pPr>
      <w:ind w:left="0" w:firstLine="0"/>
    </w:pPr>
    <w:rPr>
      <w:rFonts w:cs="Arial"/>
      <w:lang w:val="en-AU" w:eastAsia="en-AU"/>
    </w:rPr>
  </w:style>
  <w:style w:type="paragraph" w:customStyle="1" w:styleId="H4-NoNum">
    <w:name w:val="H4-NoNum"/>
    <w:basedOn w:val="Heading4"/>
    <w:next w:val="BodyText"/>
    <w:uiPriority w:val="1"/>
    <w:qFormat/>
    <w:rsid w:val="00E66069"/>
    <w:pPr>
      <w:ind w:left="0"/>
    </w:pPr>
    <w:rPr>
      <w:rFonts w:cs="Arial"/>
      <w:lang w:val="en-AU"/>
    </w:rPr>
  </w:style>
  <w:style w:type="paragraph" w:customStyle="1" w:styleId="TabFigNotes0noindent">
    <w:name w:val="TabFigNotes+0 no indent"/>
    <w:basedOn w:val="TableFigNotes0"/>
    <w:link w:val="TabFigNotes0noindentChar"/>
    <w:qFormat/>
    <w:rsid w:val="00E66069"/>
    <w:pPr>
      <w:keepNext/>
    </w:pPr>
    <w:rPr>
      <w:rFonts w:ascii="Arial Narrow" w:hAnsi="Arial Narrow"/>
    </w:rPr>
  </w:style>
  <w:style w:type="character" w:customStyle="1" w:styleId="TabFigNotes0noindentChar">
    <w:name w:val="TabFigNotes+0 no indent Char"/>
    <w:basedOn w:val="TableFigNotes0Char"/>
    <w:link w:val="TabFigNotes0noindent"/>
    <w:rsid w:val="00E66069"/>
    <w:rPr>
      <w:rFonts w:ascii="Arial Narrow" w:eastAsia="Times New Roman" w:hAnsi="Arial Narrow" w:cs="Tahoma"/>
      <w:color w:val="000000"/>
      <w:sz w:val="18"/>
      <w:szCs w:val="18"/>
    </w:rPr>
  </w:style>
  <w:style w:type="character" w:customStyle="1" w:styleId="H6Char">
    <w:name w:val="H6 Char"/>
    <w:basedOn w:val="DefaultParagraphFont"/>
    <w:link w:val="H6"/>
    <w:rsid w:val="004361C8"/>
    <w:rPr>
      <w:rFonts w:ascii="Calibri" w:eastAsia="Times New Roman" w:hAnsi="Calibri" w:cs="Tahoma"/>
      <w:i/>
      <w:color w:val="000000"/>
      <w:sz w:val="22"/>
      <w:szCs w:val="22"/>
    </w:rPr>
  </w:style>
  <w:style w:type="paragraph" w:customStyle="1" w:styleId="A-ChapterH3">
    <w:name w:val="A-ChapterH3"/>
    <w:basedOn w:val="Normal"/>
    <w:rsid w:val="00E66069"/>
    <w:pPr>
      <w:tabs>
        <w:tab w:val="num" w:pos="907"/>
      </w:tabs>
      <w:ind w:hanging="720"/>
    </w:pPr>
  </w:style>
  <w:style w:type="paragraph" w:customStyle="1" w:styleId="EvidMatrixtext">
    <w:name w:val="EvidMatrix text"/>
    <w:basedOn w:val="Normal"/>
    <w:link w:val="EvidMatrixtextChar"/>
    <w:qFormat/>
    <w:rsid w:val="00E66069"/>
    <w:pPr>
      <w:widowControl w:val="0"/>
      <w:autoSpaceDE w:val="0"/>
      <w:autoSpaceDN w:val="0"/>
      <w:adjustRightInd w:val="0"/>
      <w:spacing w:before="20" w:after="20"/>
      <w:ind w:left="85" w:right="85"/>
    </w:pPr>
    <w:rPr>
      <w:rFonts w:ascii="Arial Narrow" w:hAnsi="Arial Narrow" w:cs="Arial"/>
      <w:sz w:val="18"/>
      <w:szCs w:val="24"/>
    </w:rPr>
  </w:style>
  <w:style w:type="character" w:customStyle="1" w:styleId="EvidMatrixtextChar">
    <w:name w:val="EvidMatrix text Char"/>
    <w:basedOn w:val="DefaultParagraphFont"/>
    <w:link w:val="EvidMatrixtext"/>
    <w:rsid w:val="00E66069"/>
    <w:rPr>
      <w:rFonts w:ascii="Arial Narrow" w:eastAsia="Times New Roman" w:hAnsi="Arial Narrow" w:cs="Arial"/>
      <w:color w:val="000000"/>
      <w:sz w:val="18"/>
      <w:szCs w:val="24"/>
    </w:rPr>
  </w:style>
  <w:style w:type="paragraph" w:customStyle="1" w:styleId="H7">
    <w:name w:val="H7"/>
    <w:basedOn w:val="H6"/>
    <w:link w:val="H7Char"/>
    <w:qFormat/>
    <w:rsid w:val="00E66069"/>
    <w:pPr>
      <w:spacing w:before="240"/>
    </w:pPr>
    <w:rPr>
      <w:i w:val="0"/>
      <w:u w:val="single"/>
    </w:rPr>
  </w:style>
  <w:style w:type="character" w:customStyle="1" w:styleId="H7Char">
    <w:name w:val="H7 Char"/>
    <w:basedOn w:val="H6Char"/>
    <w:link w:val="H7"/>
    <w:rsid w:val="00E66069"/>
    <w:rPr>
      <w:rFonts w:ascii="Calibri" w:eastAsia="Times New Roman" w:hAnsi="Calibri" w:cs="Tahoma"/>
      <w:i w:val="0"/>
      <w:color w:val="000000"/>
      <w:sz w:val="22"/>
      <w:szCs w:val="22"/>
      <w:u w:val="single"/>
    </w:rPr>
  </w:style>
  <w:style w:type="character" w:customStyle="1" w:styleId="Tabletext-subanalysisChar">
    <w:name w:val="Table text - subanalysis Char"/>
    <w:basedOn w:val="Tabletext-evidencematrixChar"/>
    <w:link w:val="Tabletext-subanalysis"/>
    <w:locked/>
    <w:rsid w:val="00E66069"/>
    <w:rPr>
      <w:rFonts w:ascii="Arial Narrow" w:eastAsia="Arial Unicode MS" w:hAnsi="Arial Narrow" w:cs="Arial"/>
      <w:bCs/>
      <w:sz w:val="14"/>
      <w:szCs w:val="14"/>
      <w:lang w:eastAsia="ja-JP"/>
    </w:rPr>
  </w:style>
  <w:style w:type="paragraph" w:customStyle="1" w:styleId="Tabletext-subanalysis">
    <w:name w:val="Table text - subanalysis"/>
    <w:basedOn w:val="Tabletext-evidencematrix"/>
    <w:link w:val="Tabletext-subanalysisChar"/>
    <w:qFormat/>
    <w:rsid w:val="00E66069"/>
    <w:rPr>
      <w:sz w:val="14"/>
      <w:szCs w:val="14"/>
    </w:rPr>
  </w:style>
  <w:style w:type="paragraph" w:customStyle="1" w:styleId="Tabletextnote">
    <w:name w:val="Table text note"/>
    <w:basedOn w:val="Tabletext0"/>
    <w:link w:val="TabletextnoteChar"/>
    <w:qFormat/>
    <w:rsid w:val="00E66069"/>
    <w:pPr>
      <w:spacing w:before="120"/>
    </w:pPr>
    <w:rPr>
      <w:rFonts w:cs="Arial"/>
      <w:sz w:val="16"/>
      <w:lang w:val="en-AU"/>
    </w:rPr>
  </w:style>
  <w:style w:type="character" w:customStyle="1" w:styleId="TabletextnoteChar">
    <w:name w:val="Table text note Char"/>
    <w:basedOn w:val="TabletextChar0"/>
    <w:link w:val="Tabletextnote"/>
    <w:rsid w:val="00E66069"/>
    <w:rPr>
      <w:rFonts w:ascii="Arial Narrow" w:eastAsia="Arial Unicode MS" w:hAnsi="Arial Narrow" w:cs="Arial"/>
      <w:bCs/>
      <w:sz w:val="16"/>
      <w:szCs w:val="24"/>
      <w:lang w:eastAsia="ja-JP"/>
    </w:rPr>
  </w:style>
  <w:style w:type="character" w:customStyle="1" w:styleId="TableH3Char">
    <w:name w:val="Table H3 Char"/>
    <w:basedOn w:val="DefaultParagraphFont"/>
    <w:link w:val="TableH3"/>
    <w:uiPriority w:val="4"/>
    <w:rsid w:val="00E66069"/>
    <w:rPr>
      <w:rFonts w:ascii="Calibri" w:eastAsia="Times New Roman" w:hAnsi="Calibri" w:cs="Tahoma"/>
      <w:b/>
      <w:i/>
      <w:color w:val="000000"/>
      <w:sz w:val="18"/>
      <w:szCs w:val="22"/>
    </w:rPr>
  </w:style>
  <w:style w:type="paragraph" w:customStyle="1" w:styleId="TableH4">
    <w:name w:val="Table H4"/>
    <w:basedOn w:val="TableHeading"/>
    <w:link w:val="TableH4Char"/>
    <w:qFormat/>
    <w:rsid w:val="00E66069"/>
    <w:pPr>
      <w:spacing w:after="60"/>
    </w:pPr>
    <w:rPr>
      <w:smallCaps/>
      <w:color w:val="FFFFFF" w:themeColor="background1"/>
    </w:rPr>
  </w:style>
  <w:style w:type="character" w:customStyle="1" w:styleId="TableH2Char">
    <w:name w:val="Table H2 Char"/>
    <w:basedOn w:val="BodyTextChar0"/>
    <w:link w:val="TableH2"/>
    <w:uiPriority w:val="4"/>
    <w:rsid w:val="00E66069"/>
    <w:rPr>
      <w:rFonts w:ascii="Calibri" w:eastAsia="Times New Roman" w:hAnsi="Calibri" w:cs="Tahoma"/>
      <w:b/>
      <w:color w:val="000000"/>
      <w:sz w:val="18"/>
      <w:szCs w:val="22"/>
      <w:lang w:eastAsia="en-US"/>
    </w:rPr>
  </w:style>
  <w:style w:type="character" w:customStyle="1" w:styleId="TableH4Char">
    <w:name w:val="Table H4 Char"/>
    <w:basedOn w:val="TableHeadingChar"/>
    <w:link w:val="TableH4"/>
    <w:rsid w:val="00E66069"/>
    <w:rPr>
      <w:rFonts w:ascii="Arial Narrow" w:eastAsia="Times New Roman" w:hAnsi="Arial Narrow" w:cs="Tahoma"/>
      <w:b/>
      <w:bCs/>
      <w:smallCaps/>
      <w:color w:val="FFFFFF" w:themeColor="background1"/>
      <w:szCs w:val="21"/>
    </w:rPr>
  </w:style>
  <w:style w:type="paragraph" w:customStyle="1" w:styleId="Tabletext-evidencematrix">
    <w:name w:val="Table text - evidence matrix"/>
    <w:basedOn w:val="Tabletext0"/>
    <w:link w:val="Tabletext-evidencematrixChar"/>
    <w:qFormat/>
    <w:rsid w:val="00E66069"/>
    <w:rPr>
      <w:rFonts w:cs="Arial"/>
      <w:sz w:val="16"/>
      <w:lang w:val="en-AU"/>
    </w:rPr>
  </w:style>
  <w:style w:type="character" w:customStyle="1" w:styleId="Tabletext-evidencematrixChar">
    <w:name w:val="Table text - evidence matrix Char"/>
    <w:basedOn w:val="TabletextChar0"/>
    <w:link w:val="Tabletext-evidencematrix"/>
    <w:rsid w:val="00E66069"/>
    <w:rPr>
      <w:rFonts w:ascii="Arial Narrow" w:eastAsia="Arial Unicode MS" w:hAnsi="Arial Narrow" w:cs="Arial"/>
      <w:bCs/>
      <w:sz w:val="16"/>
      <w:szCs w:val="24"/>
      <w:lang w:eastAsia="ja-JP"/>
    </w:rPr>
  </w:style>
  <w:style w:type="paragraph" w:customStyle="1" w:styleId="HeaderTR">
    <w:name w:val="HeaderTR"/>
    <w:basedOn w:val="Footer"/>
    <w:next w:val="BodyText"/>
    <w:link w:val="HeaderTRChar"/>
    <w:qFormat/>
    <w:rsid w:val="00E66069"/>
    <w:pPr>
      <w:pBdr>
        <w:top w:val="none" w:sz="0" w:space="0" w:color="auto"/>
      </w:pBdr>
      <w:jc w:val="right"/>
    </w:pPr>
    <w:rPr>
      <w:rFonts w:cs="Tahoma"/>
      <w:i w:val="0"/>
      <w:sz w:val="18"/>
      <w:lang w:val="en-AU" w:eastAsia="en-AU"/>
    </w:rPr>
  </w:style>
  <w:style w:type="character" w:customStyle="1" w:styleId="HeaderTRChar">
    <w:name w:val="HeaderTR Char"/>
    <w:basedOn w:val="HeaderChar"/>
    <w:link w:val="HeaderTR"/>
    <w:rsid w:val="00E66069"/>
    <w:rPr>
      <w:rFonts w:ascii="Calibri" w:eastAsia="Times New Roman" w:hAnsi="Calibri" w:cs="Tahoma"/>
      <w:color w:val="000000"/>
      <w:sz w:val="18"/>
      <w:szCs w:val="22"/>
      <w:lang w:eastAsia="en-AU"/>
    </w:rPr>
  </w:style>
  <w:style w:type="paragraph" w:styleId="Bibliography">
    <w:name w:val="Bibliography"/>
    <w:basedOn w:val="Normal"/>
    <w:next w:val="Normal"/>
    <w:uiPriority w:val="37"/>
    <w:semiHidden/>
    <w:unhideWhenUsed/>
    <w:rsid w:val="00E66069"/>
  </w:style>
  <w:style w:type="paragraph" w:styleId="BlockText">
    <w:name w:val="Block Text"/>
    <w:basedOn w:val="Normal"/>
    <w:semiHidden/>
    <w:unhideWhenUsed/>
    <w:rsid w:val="00E66069"/>
    <w:pPr>
      <w:spacing w:after="120"/>
      <w:ind w:left="1440" w:right="1440"/>
    </w:pPr>
  </w:style>
  <w:style w:type="character" w:customStyle="1" w:styleId="BodyitalsChar">
    <w:name w:val="Body + itals Char"/>
    <w:basedOn w:val="BodytextChar"/>
    <w:link w:val="Bodyitals"/>
    <w:rsid w:val="00E66069"/>
    <w:rPr>
      <w:rFonts w:ascii="Arial Narrow" w:eastAsia="Arial Unicode MS" w:hAnsi="Arial Narrow" w:cs="Arial"/>
      <w:i/>
      <w:sz w:val="24"/>
      <w:szCs w:val="24"/>
      <w:lang w:val="x-none" w:eastAsia="ja-JP"/>
    </w:rPr>
  </w:style>
  <w:style w:type="paragraph" w:styleId="BodyText3">
    <w:name w:val="Body Text 3"/>
    <w:basedOn w:val="Normal"/>
    <w:link w:val="BodyText3Char"/>
    <w:semiHidden/>
    <w:unhideWhenUsed/>
    <w:rsid w:val="00E66069"/>
    <w:pPr>
      <w:spacing w:after="120"/>
    </w:pPr>
    <w:rPr>
      <w:sz w:val="16"/>
      <w:szCs w:val="16"/>
    </w:rPr>
  </w:style>
  <w:style w:type="character" w:customStyle="1" w:styleId="BodyText3Char">
    <w:name w:val="Body Text 3 Char"/>
    <w:basedOn w:val="DefaultParagraphFont"/>
    <w:link w:val="BodyText3"/>
    <w:semiHidden/>
    <w:rsid w:val="00E66069"/>
    <w:rPr>
      <w:rFonts w:ascii="Calibri" w:eastAsia="Times New Roman" w:hAnsi="Calibri" w:cs="Tahoma"/>
      <w:color w:val="000000"/>
      <w:sz w:val="16"/>
      <w:szCs w:val="16"/>
    </w:rPr>
  </w:style>
  <w:style w:type="paragraph" w:customStyle="1" w:styleId="BodyTexttablelist">
    <w:name w:val="Body Text table list"/>
    <w:basedOn w:val="BodyText"/>
    <w:uiPriority w:val="99"/>
    <w:rsid w:val="00E66069"/>
    <w:pPr>
      <w:spacing w:before="40" w:after="40" w:line="240" w:lineRule="auto"/>
      <w:ind w:left="720"/>
    </w:pPr>
    <w:rPr>
      <w:rFonts w:ascii="Calibri" w:hAnsi="Calibri" w:cs="Tahoma"/>
      <w:color w:val="000000"/>
      <w:sz w:val="22"/>
      <w:szCs w:val="22"/>
      <w:lang w:val="en-AU" w:eastAsia="en-AU"/>
    </w:rPr>
  </w:style>
  <w:style w:type="paragraph" w:customStyle="1" w:styleId="BodyTextabbreviations">
    <w:name w:val="Body Text abbreviations"/>
    <w:basedOn w:val="BodyTexttablelist"/>
    <w:uiPriority w:val="99"/>
    <w:rsid w:val="00E66069"/>
  </w:style>
  <w:style w:type="paragraph" w:customStyle="1" w:styleId="BodyTextbeforebullet">
    <w:name w:val="Body Text before bullet"/>
    <w:basedOn w:val="BodyText"/>
    <w:uiPriority w:val="99"/>
    <w:rsid w:val="00E66069"/>
    <w:pPr>
      <w:spacing w:after="120" w:line="240" w:lineRule="auto"/>
      <w:ind w:left="720"/>
    </w:pPr>
    <w:rPr>
      <w:rFonts w:ascii="Calibri" w:hAnsi="Calibri" w:cs="Tahoma"/>
      <w:color w:val="000000"/>
      <w:sz w:val="22"/>
      <w:szCs w:val="22"/>
      <w:lang w:val="en-AU" w:eastAsia="en-AU"/>
    </w:rPr>
  </w:style>
  <w:style w:type="paragraph" w:customStyle="1" w:styleId="Bodytextbullet12">
    <w:name w:val="Body text bullet + 12"/>
    <w:basedOn w:val="Bodytextbullet"/>
    <w:uiPriority w:val="99"/>
    <w:rsid w:val="00E66069"/>
    <w:pPr>
      <w:tabs>
        <w:tab w:val="clear" w:pos="600"/>
        <w:tab w:val="num" w:pos="360"/>
      </w:tabs>
      <w:spacing w:line="276" w:lineRule="auto"/>
      <w:ind w:left="1077" w:hanging="357"/>
    </w:pPr>
    <w:rPr>
      <w:rFonts w:ascii="Calibri" w:eastAsia="MS Mincho" w:hAnsi="Calibri" w:cs="Arial"/>
      <w:sz w:val="22"/>
      <w:lang w:val="en-US"/>
    </w:rPr>
  </w:style>
  <w:style w:type="paragraph" w:customStyle="1" w:styleId="Bodytextbullet2">
    <w:name w:val="Body text bullet 2"/>
    <w:basedOn w:val="Bodytextbullet"/>
    <w:uiPriority w:val="99"/>
    <w:rsid w:val="00E66069"/>
    <w:pPr>
      <w:numPr>
        <w:numId w:val="26"/>
      </w:numPr>
      <w:spacing w:line="276" w:lineRule="auto"/>
    </w:pPr>
    <w:rPr>
      <w:rFonts w:ascii="Calibri" w:eastAsia="MS Mincho" w:hAnsi="Calibri" w:cs="Arial"/>
      <w:sz w:val="22"/>
      <w:lang w:val="en-US"/>
    </w:rPr>
  </w:style>
  <w:style w:type="paragraph" w:styleId="BodyTextFirstIndent">
    <w:name w:val="Body Text First Indent"/>
    <w:basedOn w:val="BodyText"/>
    <w:link w:val="BodyTextFirstIndentChar"/>
    <w:semiHidden/>
    <w:unhideWhenUsed/>
    <w:rsid w:val="00E66069"/>
    <w:pPr>
      <w:spacing w:after="120" w:line="240" w:lineRule="auto"/>
      <w:ind w:left="720" w:firstLine="210"/>
    </w:pPr>
    <w:rPr>
      <w:rFonts w:ascii="Calibri" w:hAnsi="Calibri" w:cs="Tahoma"/>
      <w:color w:val="000000"/>
      <w:sz w:val="22"/>
      <w:szCs w:val="22"/>
      <w:lang w:val="en-AU" w:eastAsia="en-AU"/>
    </w:rPr>
  </w:style>
  <w:style w:type="character" w:customStyle="1" w:styleId="BodyTextFirstIndentChar">
    <w:name w:val="Body Text First Indent Char"/>
    <w:basedOn w:val="BodyTextChar0"/>
    <w:link w:val="BodyTextFirstIndent"/>
    <w:semiHidden/>
    <w:rsid w:val="00E66069"/>
    <w:rPr>
      <w:rFonts w:ascii="Calibri" w:eastAsia="Times New Roman" w:hAnsi="Calibri" w:cs="Tahoma"/>
      <w:color w:val="000000"/>
      <w:sz w:val="22"/>
      <w:szCs w:val="22"/>
      <w:lang w:eastAsia="en-US"/>
    </w:rPr>
  </w:style>
  <w:style w:type="paragraph" w:styleId="BodyTextIndent2">
    <w:name w:val="Body Text Indent 2"/>
    <w:basedOn w:val="Normal"/>
    <w:link w:val="BodyTextIndent2Char"/>
    <w:semiHidden/>
    <w:unhideWhenUsed/>
    <w:rsid w:val="00E66069"/>
    <w:pPr>
      <w:spacing w:after="120" w:line="480" w:lineRule="auto"/>
      <w:ind w:left="283"/>
    </w:pPr>
  </w:style>
  <w:style w:type="character" w:customStyle="1" w:styleId="BodyTextIndent2Char">
    <w:name w:val="Body Text Indent 2 Char"/>
    <w:basedOn w:val="DefaultParagraphFont"/>
    <w:link w:val="BodyTextIndent2"/>
    <w:semiHidden/>
    <w:rsid w:val="00E66069"/>
    <w:rPr>
      <w:rFonts w:ascii="Calibri" w:eastAsia="Times New Roman" w:hAnsi="Calibri" w:cs="Tahoma"/>
      <w:color w:val="000000"/>
      <w:sz w:val="22"/>
      <w:szCs w:val="22"/>
    </w:rPr>
  </w:style>
  <w:style w:type="paragraph" w:styleId="BodyTextIndent3">
    <w:name w:val="Body Text Indent 3"/>
    <w:basedOn w:val="Normal"/>
    <w:link w:val="BodyTextIndent3Char"/>
    <w:semiHidden/>
    <w:unhideWhenUsed/>
    <w:rsid w:val="00E66069"/>
    <w:pPr>
      <w:spacing w:after="120"/>
      <w:ind w:left="283"/>
    </w:pPr>
    <w:rPr>
      <w:sz w:val="16"/>
      <w:szCs w:val="16"/>
    </w:rPr>
  </w:style>
  <w:style w:type="character" w:customStyle="1" w:styleId="BodyTextIndent3Char">
    <w:name w:val="Body Text Indent 3 Char"/>
    <w:basedOn w:val="DefaultParagraphFont"/>
    <w:link w:val="BodyTextIndent3"/>
    <w:semiHidden/>
    <w:rsid w:val="00E66069"/>
    <w:rPr>
      <w:rFonts w:ascii="Calibri" w:eastAsia="Times New Roman" w:hAnsi="Calibri" w:cs="Tahoma"/>
      <w:color w:val="000000"/>
      <w:sz w:val="16"/>
      <w:szCs w:val="16"/>
    </w:rPr>
  </w:style>
  <w:style w:type="paragraph" w:customStyle="1" w:styleId="BodyTextnumberedlist">
    <w:name w:val="Body Text numbered list"/>
    <w:basedOn w:val="BodyText"/>
    <w:uiPriority w:val="99"/>
    <w:rsid w:val="00E66069"/>
    <w:pPr>
      <w:numPr>
        <w:numId w:val="27"/>
      </w:numPr>
      <w:spacing w:after="120" w:line="240" w:lineRule="auto"/>
    </w:pPr>
    <w:rPr>
      <w:rFonts w:ascii="Calibri" w:hAnsi="Calibri" w:cs="Tahoma"/>
      <w:color w:val="000000"/>
      <w:sz w:val="22"/>
      <w:szCs w:val="22"/>
      <w:lang w:val="en-AU" w:eastAsia="en-AU"/>
    </w:rPr>
  </w:style>
  <w:style w:type="paragraph" w:customStyle="1" w:styleId="BodyTextnumberedlist12">
    <w:name w:val="Body Text numbered list +12"/>
    <w:basedOn w:val="BodyTextnumberedlist"/>
    <w:uiPriority w:val="99"/>
    <w:rsid w:val="00E66069"/>
    <w:pPr>
      <w:numPr>
        <w:numId w:val="0"/>
      </w:numPr>
      <w:spacing w:after="240"/>
    </w:pPr>
  </w:style>
  <w:style w:type="character" w:customStyle="1" w:styleId="TableTextChar">
    <w:name w:val="TableText Char"/>
    <w:basedOn w:val="DefaultParagraphFont"/>
    <w:link w:val="TableText"/>
    <w:rsid w:val="00E66069"/>
    <w:rPr>
      <w:rFonts w:ascii="Arial Narrow" w:eastAsia="Times New Roman" w:hAnsi="Arial Narrow" w:cs="Tahoma"/>
      <w:color w:val="000000"/>
      <w:szCs w:val="21"/>
    </w:rPr>
  </w:style>
  <w:style w:type="paragraph" w:customStyle="1" w:styleId="Boxhead">
    <w:name w:val="Boxhead"/>
    <w:basedOn w:val="TableName"/>
    <w:qFormat/>
    <w:rsid w:val="00E66069"/>
  </w:style>
  <w:style w:type="character" w:customStyle="1" w:styleId="BoxHeadingChar">
    <w:name w:val="BoxHeading Char"/>
    <w:basedOn w:val="BoxTextChar"/>
    <w:link w:val="BoxHeading"/>
    <w:rsid w:val="00E66069"/>
    <w:rPr>
      <w:rFonts w:ascii="Calibri" w:eastAsia="Times New Roman" w:hAnsi="Calibri" w:cs="Tahoma"/>
      <w:b/>
      <w:bCs/>
      <w:color w:val="000000"/>
      <w:sz w:val="22"/>
      <w:szCs w:val="22"/>
      <w:lang w:val="x-none" w:eastAsia="x-none"/>
    </w:rPr>
  </w:style>
  <w:style w:type="paragraph" w:customStyle="1" w:styleId="Boxnamenobox">
    <w:name w:val="Boxname(nobox)"/>
    <w:basedOn w:val="BoxName"/>
    <w:qFormat/>
    <w:rsid w:val="00E66069"/>
    <w:pPr>
      <w:ind w:left="1797" w:hanging="1077"/>
    </w:pPr>
    <w:rPr>
      <w:rFonts w:cs="Tahoma"/>
      <w:lang w:val="en-AU" w:eastAsia="en-AU"/>
    </w:rPr>
  </w:style>
  <w:style w:type="paragraph" w:customStyle="1" w:styleId="Chapterhead">
    <w:name w:val="Chapter head"/>
    <w:aliases w:val="no numbers"/>
    <w:basedOn w:val="Chapterheading0"/>
    <w:uiPriority w:val="99"/>
    <w:rsid w:val="00E66069"/>
    <w:pPr>
      <w:numPr>
        <w:numId w:val="0"/>
      </w:numPr>
      <w:ind w:left="720"/>
    </w:pPr>
    <w:rPr>
      <w:color w:val="FFFFFF"/>
      <w:spacing w:val="40"/>
      <w:kern w:val="28"/>
      <w:lang w:val="en-GB"/>
    </w:rPr>
  </w:style>
  <w:style w:type="paragraph" w:customStyle="1" w:styleId="Chapterheadabbreviations">
    <w:name w:val="Chapter head abbreviations"/>
    <w:basedOn w:val="Chapterhead"/>
    <w:uiPriority w:val="99"/>
    <w:rsid w:val="00E66069"/>
  </w:style>
  <w:style w:type="paragraph" w:styleId="Closing">
    <w:name w:val="Closing"/>
    <w:basedOn w:val="Normal"/>
    <w:link w:val="ClosingChar"/>
    <w:semiHidden/>
    <w:unhideWhenUsed/>
    <w:rsid w:val="00E66069"/>
    <w:pPr>
      <w:ind w:left="4252"/>
    </w:pPr>
  </w:style>
  <w:style w:type="character" w:customStyle="1" w:styleId="ClosingChar">
    <w:name w:val="Closing Char"/>
    <w:basedOn w:val="DefaultParagraphFont"/>
    <w:link w:val="Closing"/>
    <w:semiHidden/>
    <w:rsid w:val="00E66069"/>
    <w:rPr>
      <w:rFonts w:ascii="Calibri" w:eastAsia="Times New Roman" w:hAnsi="Calibri" w:cs="Tahoma"/>
      <w:color w:val="000000"/>
      <w:sz w:val="22"/>
      <w:szCs w:val="22"/>
    </w:rPr>
  </w:style>
  <w:style w:type="paragraph" w:customStyle="1" w:styleId="Covertitle">
    <w:name w:val="Cover title"/>
    <w:basedOn w:val="Chapterheading0"/>
    <w:uiPriority w:val="99"/>
    <w:rsid w:val="00E66069"/>
    <w:pPr>
      <w:numPr>
        <w:numId w:val="0"/>
      </w:numPr>
      <w:tabs>
        <w:tab w:val="clear" w:pos="284"/>
        <w:tab w:val="left" w:pos="720"/>
      </w:tabs>
      <w:jc w:val="right"/>
    </w:pPr>
    <w:rPr>
      <w:rFonts w:ascii="Arial Bold" w:eastAsia="MS Mincho" w:hAnsi="Arial Bold" w:cs="Times New Roman"/>
      <w:sz w:val="48"/>
      <w:lang w:eastAsia="ja-JP"/>
    </w:rPr>
  </w:style>
  <w:style w:type="paragraph" w:styleId="E-mailSignature">
    <w:name w:val="E-mail Signature"/>
    <w:basedOn w:val="Normal"/>
    <w:link w:val="E-mailSignatureChar"/>
    <w:semiHidden/>
    <w:unhideWhenUsed/>
    <w:rsid w:val="00E66069"/>
  </w:style>
  <w:style w:type="character" w:customStyle="1" w:styleId="E-mailSignatureChar">
    <w:name w:val="E-mail Signature Char"/>
    <w:basedOn w:val="DefaultParagraphFont"/>
    <w:link w:val="E-mailSignature"/>
    <w:semiHidden/>
    <w:rsid w:val="00E66069"/>
    <w:rPr>
      <w:rFonts w:ascii="Calibri" w:eastAsia="Times New Roman" w:hAnsi="Calibri" w:cs="Tahoma"/>
      <w:color w:val="000000"/>
      <w:sz w:val="22"/>
      <w:szCs w:val="22"/>
    </w:rPr>
  </w:style>
  <w:style w:type="paragraph" w:styleId="EnvelopeAddress">
    <w:name w:val="envelope address"/>
    <w:basedOn w:val="Normal"/>
    <w:semiHidden/>
    <w:unhideWhenUsed/>
    <w:rsid w:val="00E66069"/>
    <w:pPr>
      <w:framePr w:w="7920" w:h="1980" w:hRule="exact" w:hSpace="180" w:wrap="auto" w:hAnchor="page" w:xAlign="center" w:yAlign="bottom"/>
      <w:ind w:left="2880"/>
    </w:pPr>
    <w:rPr>
      <w:rFonts w:ascii="Cambria" w:eastAsia="PMingLiU" w:hAnsi="Cambria" w:cs="Times New Roman"/>
      <w:sz w:val="24"/>
      <w:szCs w:val="24"/>
    </w:rPr>
  </w:style>
  <w:style w:type="paragraph" w:styleId="EnvelopeReturn">
    <w:name w:val="envelope return"/>
    <w:basedOn w:val="Normal"/>
    <w:semiHidden/>
    <w:unhideWhenUsed/>
    <w:rsid w:val="00E66069"/>
    <w:rPr>
      <w:rFonts w:ascii="Cambria" w:eastAsia="PMingLiU" w:hAnsi="Cambria" w:cs="Times New Roman"/>
      <w:sz w:val="20"/>
      <w:szCs w:val="20"/>
    </w:rPr>
  </w:style>
  <w:style w:type="character" w:customStyle="1" w:styleId="TableFigNotes18Char">
    <w:name w:val="TableFigNotes+18 Char"/>
    <w:basedOn w:val="TableTextChar"/>
    <w:link w:val="TableFigNotes18"/>
    <w:uiPriority w:val="4"/>
    <w:rsid w:val="00E66069"/>
    <w:rPr>
      <w:rFonts w:ascii="Arial Narrow" w:eastAsia="Times New Roman" w:hAnsi="Arial Narrow" w:cs="Tahoma"/>
      <w:color w:val="000000"/>
      <w:sz w:val="18"/>
      <w:szCs w:val="18"/>
    </w:rPr>
  </w:style>
  <w:style w:type="paragraph" w:customStyle="1" w:styleId="Evidencebullets">
    <w:name w:val="Evidence bullets"/>
    <w:basedOn w:val="Evidencestatements"/>
    <w:uiPriority w:val="99"/>
    <w:rsid w:val="00E66069"/>
    <w:pPr>
      <w:numPr>
        <w:numId w:val="29"/>
      </w:numPr>
      <w:spacing w:before="240" w:after="120" w:line="240" w:lineRule="auto"/>
    </w:pPr>
    <w:rPr>
      <w:rFonts w:cs="Tahoma"/>
      <w:lang w:val="en-AU" w:eastAsia="en-AU"/>
    </w:rPr>
  </w:style>
  <w:style w:type="paragraph" w:customStyle="1" w:styleId="Evidencematrix">
    <w:name w:val="Evidence matrix"/>
    <w:basedOn w:val="BodyText"/>
    <w:uiPriority w:val="99"/>
    <w:rsid w:val="00E66069"/>
    <w:pPr>
      <w:spacing w:after="120" w:line="240" w:lineRule="auto"/>
      <w:ind w:left="720"/>
    </w:pPr>
    <w:rPr>
      <w:rFonts w:ascii="Calibri" w:hAnsi="Calibri" w:cs="Tahoma"/>
      <w:color w:val="000000"/>
      <w:sz w:val="22"/>
      <w:szCs w:val="22"/>
      <w:lang w:val="en-AU" w:eastAsia="en-AU"/>
    </w:rPr>
  </w:style>
  <w:style w:type="character" w:customStyle="1" w:styleId="FigureNameChar">
    <w:name w:val="FigureName Char"/>
    <w:basedOn w:val="DefaultParagraphFont"/>
    <w:link w:val="FigureName"/>
    <w:rsid w:val="00E66069"/>
    <w:rPr>
      <w:rFonts w:ascii="Arial Narrow" w:eastAsia="Times New Roman" w:hAnsi="Arial Narrow" w:cs="Tahoma"/>
      <w:b/>
      <w:bCs/>
      <w:color w:val="000000"/>
      <w:sz w:val="22"/>
      <w:szCs w:val="22"/>
    </w:rPr>
  </w:style>
  <w:style w:type="paragraph" w:customStyle="1" w:styleId="Head6">
    <w:name w:val="Head6"/>
    <w:basedOn w:val="Normal"/>
    <w:link w:val="Head6Char"/>
    <w:qFormat/>
    <w:rsid w:val="00E66069"/>
    <w:pPr>
      <w:keepNext/>
      <w:spacing w:before="240" w:after="60"/>
    </w:pPr>
    <w:rPr>
      <w:rFonts w:ascii="Arial" w:hAnsi="Arial"/>
      <w:i/>
      <w:szCs w:val="26"/>
    </w:rPr>
  </w:style>
  <w:style w:type="character" w:customStyle="1" w:styleId="Head6Char">
    <w:name w:val="Head6 Char"/>
    <w:basedOn w:val="Heading5Char"/>
    <w:link w:val="Head6"/>
    <w:rsid w:val="00E66069"/>
    <w:rPr>
      <w:rFonts w:ascii="Arial" w:eastAsia="Times New Roman" w:hAnsi="Arial" w:cs="Tahoma"/>
      <w:b w:val="0"/>
      <w:bCs w:val="0"/>
      <w:i/>
      <w:iCs w:val="0"/>
      <w:color w:val="000000"/>
      <w:sz w:val="22"/>
      <w:szCs w:val="26"/>
    </w:rPr>
  </w:style>
  <w:style w:type="paragraph" w:customStyle="1" w:styleId="Heading1noNum">
    <w:name w:val="Heading 1 noNum"/>
    <w:basedOn w:val="Heading1"/>
    <w:link w:val="Heading1noNumChar"/>
    <w:qFormat/>
    <w:rsid w:val="00E66069"/>
    <w:pPr>
      <w:ind w:left="0" w:firstLine="0"/>
    </w:pPr>
    <w:rPr>
      <w:rFonts w:cs="Arial"/>
      <w:lang w:val="en-AU" w:eastAsia="ja-JP"/>
    </w:rPr>
  </w:style>
  <w:style w:type="character" w:customStyle="1" w:styleId="Heading1noNumChar">
    <w:name w:val="Heading 1 noNum Char"/>
    <w:basedOn w:val="Heading1Char"/>
    <w:link w:val="Heading1noNum"/>
    <w:rsid w:val="00E66069"/>
    <w:rPr>
      <w:rFonts w:ascii="Arial" w:eastAsia="Times New Roman" w:hAnsi="Arial" w:cs="Arial"/>
      <w:b/>
      <w:bCs/>
      <w:color w:val="000000"/>
      <w:spacing w:val="40"/>
      <w:kern w:val="28"/>
      <w:sz w:val="36"/>
      <w:szCs w:val="32"/>
      <w:lang w:eastAsia="ja-JP"/>
    </w:rPr>
  </w:style>
  <w:style w:type="paragraph" w:customStyle="1" w:styleId="Heading2nonumbers">
    <w:name w:val="Heading 2 no numbers"/>
    <w:basedOn w:val="Normal"/>
    <w:link w:val="Heading2nonumbersChar"/>
    <w:rsid w:val="00E66069"/>
    <w:pPr>
      <w:keepNext/>
      <w:tabs>
        <w:tab w:val="left" w:pos="720"/>
      </w:tabs>
      <w:spacing w:before="240" w:after="200"/>
      <w:ind w:left="0"/>
      <w:outlineLvl w:val="1"/>
    </w:pPr>
    <w:rPr>
      <w:rFonts w:ascii="Arial" w:eastAsia="Arial Unicode MS" w:hAnsi="Arial" w:cs="Arial"/>
      <w:b/>
      <w:bCs/>
      <w:noProof/>
      <w:kern w:val="32"/>
      <w:szCs w:val="32"/>
    </w:rPr>
  </w:style>
  <w:style w:type="character" w:customStyle="1" w:styleId="Heading2nonumbersChar">
    <w:name w:val="Heading 2 no numbers Char"/>
    <w:basedOn w:val="DefaultParagraphFont"/>
    <w:link w:val="Heading2nonumbers"/>
    <w:rsid w:val="00E66069"/>
    <w:rPr>
      <w:rFonts w:ascii="Arial" w:eastAsia="Arial Unicode MS" w:hAnsi="Arial" w:cs="Arial"/>
      <w:b/>
      <w:bCs/>
      <w:noProof/>
      <w:color w:val="000000"/>
      <w:kern w:val="32"/>
      <w:sz w:val="22"/>
      <w:szCs w:val="32"/>
    </w:rPr>
  </w:style>
  <w:style w:type="paragraph" w:styleId="HTMLAddress">
    <w:name w:val="HTML Address"/>
    <w:basedOn w:val="Normal"/>
    <w:link w:val="HTMLAddressChar"/>
    <w:semiHidden/>
    <w:unhideWhenUsed/>
    <w:rsid w:val="00E66069"/>
    <w:rPr>
      <w:i/>
      <w:iCs/>
    </w:rPr>
  </w:style>
  <w:style w:type="character" w:customStyle="1" w:styleId="HTMLAddressChar">
    <w:name w:val="HTML Address Char"/>
    <w:basedOn w:val="DefaultParagraphFont"/>
    <w:link w:val="HTMLAddress"/>
    <w:semiHidden/>
    <w:rsid w:val="00E66069"/>
    <w:rPr>
      <w:rFonts w:ascii="Calibri" w:eastAsia="Times New Roman" w:hAnsi="Calibri" w:cs="Tahoma"/>
      <w:i/>
      <w:iCs/>
      <w:color w:val="000000"/>
      <w:sz w:val="22"/>
      <w:szCs w:val="22"/>
    </w:rPr>
  </w:style>
  <w:style w:type="paragraph" w:styleId="Index3">
    <w:name w:val="index 3"/>
    <w:basedOn w:val="Normal"/>
    <w:next w:val="Normal"/>
    <w:autoRedefine/>
    <w:semiHidden/>
    <w:unhideWhenUsed/>
    <w:rsid w:val="00E66069"/>
    <w:pPr>
      <w:ind w:left="660" w:hanging="220"/>
    </w:pPr>
  </w:style>
  <w:style w:type="paragraph" w:styleId="Index4">
    <w:name w:val="index 4"/>
    <w:basedOn w:val="Normal"/>
    <w:next w:val="Normal"/>
    <w:autoRedefine/>
    <w:semiHidden/>
    <w:unhideWhenUsed/>
    <w:rsid w:val="00E66069"/>
    <w:pPr>
      <w:ind w:left="880" w:hanging="220"/>
    </w:pPr>
  </w:style>
  <w:style w:type="paragraph" w:styleId="Index5">
    <w:name w:val="index 5"/>
    <w:basedOn w:val="Normal"/>
    <w:next w:val="Normal"/>
    <w:autoRedefine/>
    <w:semiHidden/>
    <w:unhideWhenUsed/>
    <w:rsid w:val="00E66069"/>
    <w:pPr>
      <w:ind w:left="1100" w:hanging="220"/>
    </w:pPr>
  </w:style>
  <w:style w:type="paragraph" w:styleId="Index6">
    <w:name w:val="index 6"/>
    <w:basedOn w:val="Normal"/>
    <w:next w:val="Normal"/>
    <w:autoRedefine/>
    <w:semiHidden/>
    <w:unhideWhenUsed/>
    <w:rsid w:val="00E66069"/>
    <w:pPr>
      <w:ind w:left="1320" w:hanging="220"/>
    </w:pPr>
  </w:style>
  <w:style w:type="paragraph" w:styleId="Index7">
    <w:name w:val="index 7"/>
    <w:basedOn w:val="Normal"/>
    <w:next w:val="Normal"/>
    <w:autoRedefine/>
    <w:semiHidden/>
    <w:unhideWhenUsed/>
    <w:rsid w:val="00E66069"/>
    <w:pPr>
      <w:ind w:left="1540" w:hanging="220"/>
    </w:pPr>
  </w:style>
  <w:style w:type="paragraph" w:styleId="Index8">
    <w:name w:val="index 8"/>
    <w:basedOn w:val="Normal"/>
    <w:next w:val="Normal"/>
    <w:autoRedefine/>
    <w:semiHidden/>
    <w:unhideWhenUsed/>
    <w:rsid w:val="00E66069"/>
    <w:pPr>
      <w:ind w:left="1760" w:hanging="220"/>
    </w:pPr>
  </w:style>
  <w:style w:type="paragraph" w:styleId="Index9">
    <w:name w:val="index 9"/>
    <w:basedOn w:val="Normal"/>
    <w:next w:val="Normal"/>
    <w:autoRedefine/>
    <w:semiHidden/>
    <w:unhideWhenUsed/>
    <w:rsid w:val="00E66069"/>
    <w:pPr>
      <w:ind w:left="1980" w:hanging="220"/>
    </w:pPr>
  </w:style>
  <w:style w:type="paragraph" w:styleId="IndexHeading">
    <w:name w:val="index heading"/>
    <w:basedOn w:val="Normal"/>
    <w:next w:val="Index1"/>
    <w:semiHidden/>
    <w:unhideWhenUsed/>
    <w:rsid w:val="00E66069"/>
    <w:rPr>
      <w:rFonts w:ascii="Cambria" w:eastAsia="PMingLiU" w:hAnsi="Cambria" w:cs="Times New Roman"/>
      <w:b/>
      <w:bCs/>
    </w:rPr>
  </w:style>
  <w:style w:type="paragraph" w:styleId="IntenseQuote">
    <w:name w:val="Intense Quote"/>
    <w:basedOn w:val="Normal"/>
    <w:next w:val="Normal"/>
    <w:link w:val="IntenseQuoteChar"/>
    <w:uiPriority w:val="30"/>
    <w:qFormat/>
    <w:rsid w:val="00E6606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66069"/>
    <w:rPr>
      <w:rFonts w:ascii="Calibri" w:eastAsia="Times New Roman" w:hAnsi="Calibri" w:cs="Tahoma"/>
      <w:b/>
      <w:bCs/>
      <w:i/>
      <w:iCs/>
      <w:color w:val="4F81BD"/>
      <w:sz w:val="22"/>
      <w:szCs w:val="22"/>
    </w:rPr>
  </w:style>
  <w:style w:type="character" w:customStyle="1" w:styleId="jrnl">
    <w:name w:val="jrnl"/>
    <w:basedOn w:val="DefaultParagraphFont"/>
    <w:rsid w:val="00E66069"/>
  </w:style>
  <w:style w:type="paragraph" w:styleId="List2">
    <w:name w:val="List 2"/>
    <w:basedOn w:val="Normal"/>
    <w:semiHidden/>
    <w:unhideWhenUsed/>
    <w:rsid w:val="00E66069"/>
    <w:pPr>
      <w:ind w:left="566" w:hanging="283"/>
      <w:contextualSpacing/>
    </w:pPr>
  </w:style>
  <w:style w:type="paragraph" w:styleId="List3">
    <w:name w:val="List 3"/>
    <w:basedOn w:val="Normal"/>
    <w:semiHidden/>
    <w:unhideWhenUsed/>
    <w:rsid w:val="00E66069"/>
    <w:pPr>
      <w:ind w:left="849" w:hanging="283"/>
      <w:contextualSpacing/>
    </w:pPr>
  </w:style>
  <w:style w:type="paragraph" w:styleId="List4">
    <w:name w:val="List 4"/>
    <w:basedOn w:val="Normal"/>
    <w:semiHidden/>
    <w:unhideWhenUsed/>
    <w:rsid w:val="00E66069"/>
    <w:pPr>
      <w:ind w:left="1132" w:hanging="283"/>
      <w:contextualSpacing/>
    </w:pPr>
  </w:style>
  <w:style w:type="paragraph" w:styleId="List5">
    <w:name w:val="List 5"/>
    <w:basedOn w:val="Normal"/>
    <w:semiHidden/>
    <w:unhideWhenUsed/>
    <w:rsid w:val="00E66069"/>
    <w:pPr>
      <w:ind w:left="1415" w:hanging="283"/>
      <w:contextualSpacing/>
    </w:pPr>
  </w:style>
  <w:style w:type="paragraph" w:customStyle="1" w:styleId="listbody">
    <w:name w:val="list body"/>
    <w:basedOn w:val="Normal"/>
    <w:link w:val="listbodyChar"/>
    <w:qFormat/>
    <w:rsid w:val="00E66069"/>
    <w:pPr>
      <w:numPr>
        <w:numId w:val="30"/>
      </w:numPr>
      <w:spacing w:after="0"/>
    </w:pPr>
    <w:rPr>
      <w:lang w:val="en-GB" w:eastAsia="en-GB"/>
    </w:rPr>
  </w:style>
  <w:style w:type="character" w:customStyle="1" w:styleId="listbodyChar">
    <w:name w:val="list body Char"/>
    <w:basedOn w:val="DefaultParagraphFont"/>
    <w:link w:val="listbody"/>
    <w:rsid w:val="00E66069"/>
    <w:rPr>
      <w:rFonts w:ascii="Calibri" w:eastAsia="Times New Roman" w:hAnsi="Calibri" w:cs="Tahoma"/>
      <w:color w:val="000000"/>
      <w:sz w:val="22"/>
      <w:szCs w:val="22"/>
      <w:lang w:val="en-GB" w:eastAsia="en-GB"/>
    </w:rPr>
  </w:style>
  <w:style w:type="paragraph" w:styleId="ListBullet">
    <w:name w:val="List Bullet"/>
    <w:basedOn w:val="Normal"/>
    <w:unhideWhenUsed/>
    <w:rsid w:val="00E66069"/>
    <w:pPr>
      <w:numPr>
        <w:numId w:val="31"/>
      </w:numPr>
      <w:contextualSpacing/>
    </w:pPr>
  </w:style>
  <w:style w:type="paragraph" w:styleId="ListBullet3">
    <w:name w:val="List Bullet 3"/>
    <w:basedOn w:val="Normal"/>
    <w:semiHidden/>
    <w:unhideWhenUsed/>
    <w:rsid w:val="00E66069"/>
    <w:pPr>
      <w:numPr>
        <w:numId w:val="33"/>
      </w:numPr>
      <w:contextualSpacing/>
    </w:pPr>
  </w:style>
  <w:style w:type="paragraph" w:styleId="ListBullet4">
    <w:name w:val="List Bullet 4"/>
    <w:basedOn w:val="Normal"/>
    <w:semiHidden/>
    <w:unhideWhenUsed/>
    <w:rsid w:val="00E66069"/>
    <w:pPr>
      <w:numPr>
        <w:numId w:val="34"/>
      </w:numPr>
      <w:contextualSpacing/>
    </w:pPr>
  </w:style>
  <w:style w:type="paragraph" w:styleId="ListBullet5">
    <w:name w:val="List Bullet 5"/>
    <w:basedOn w:val="Normal"/>
    <w:semiHidden/>
    <w:unhideWhenUsed/>
    <w:rsid w:val="00E66069"/>
    <w:pPr>
      <w:numPr>
        <w:numId w:val="35"/>
      </w:numPr>
      <w:contextualSpacing/>
    </w:pPr>
  </w:style>
  <w:style w:type="paragraph" w:styleId="ListContinue">
    <w:name w:val="List Continue"/>
    <w:basedOn w:val="Normal"/>
    <w:semiHidden/>
    <w:unhideWhenUsed/>
    <w:rsid w:val="00E66069"/>
    <w:pPr>
      <w:spacing w:after="120"/>
      <w:ind w:left="283"/>
      <w:contextualSpacing/>
    </w:pPr>
  </w:style>
  <w:style w:type="paragraph" w:styleId="ListContinue2">
    <w:name w:val="List Continue 2"/>
    <w:basedOn w:val="Normal"/>
    <w:semiHidden/>
    <w:unhideWhenUsed/>
    <w:rsid w:val="00E66069"/>
    <w:pPr>
      <w:spacing w:after="120"/>
      <w:ind w:left="566"/>
      <w:contextualSpacing/>
    </w:pPr>
  </w:style>
  <w:style w:type="paragraph" w:styleId="ListContinue3">
    <w:name w:val="List Continue 3"/>
    <w:basedOn w:val="Normal"/>
    <w:semiHidden/>
    <w:unhideWhenUsed/>
    <w:rsid w:val="00E66069"/>
    <w:pPr>
      <w:spacing w:after="120"/>
      <w:ind w:left="849"/>
      <w:contextualSpacing/>
    </w:pPr>
  </w:style>
  <w:style w:type="paragraph" w:styleId="ListContinue4">
    <w:name w:val="List Continue 4"/>
    <w:basedOn w:val="Normal"/>
    <w:semiHidden/>
    <w:unhideWhenUsed/>
    <w:rsid w:val="00E66069"/>
    <w:pPr>
      <w:spacing w:after="120"/>
      <w:ind w:left="1132"/>
      <w:contextualSpacing/>
    </w:pPr>
  </w:style>
  <w:style w:type="paragraph" w:styleId="ListContinue5">
    <w:name w:val="List Continue 5"/>
    <w:basedOn w:val="Normal"/>
    <w:semiHidden/>
    <w:unhideWhenUsed/>
    <w:rsid w:val="00E66069"/>
    <w:pPr>
      <w:spacing w:after="120"/>
      <w:ind w:left="1415"/>
      <w:contextualSpacing/>
    </w:pPr>
  </w:style>
  <w:style w:type="character" w:customStyle="1" w:styleId="ListNumberChar">
    <w:name w:val="List Number Char"/>
    <w:basedOn w:val="DefaultParagraphFont"/>
    <w:link w:val="ListNumber"/>
    <w:uiPriority w:val="99"/>
    <w:rsid w:val="00E66069"/>
    <w:rPr>
      <w:rFonts w:ascii="Calibri" w:eastAsia="Times New Roman" w:hAnsi="Calibri" w:cs="Tahoma"/>
      <w:color w:val="000000"/>
      <w:sz w:val="22"/>
      <w:szCs w:val="22"/>
    </w:rPr>
  </w:style>
  <w:style w:type="paragraph" w:styleId="ListNumber2">
    <w:name w:val="List Number 2"/>
    <w:basedOn w:val="Normal"/>
    <w:uiPriority w:val="99"/>
    <w:unhideWhenUsed/>
    <w:rsid w:val="00E66069"/>
    <w:pPr>
      <w:numPr>
        <w:numId w:val="36"/>
      </w:numPr>
      <w:contextualSpacing/>
    </w:pPr>
  </w:style>
  <w:style w:type="paragraph" w:styleId="ListNumber4">
    <w:name w:val="List Number 4"/>
    <w:basedOn w:val="Normal"/>
    <w:semiHidden/>
    <w:unhideWhenUsed/>
    <w:rsid w:val="00E66069"/>
    <w:pPr>
      <w:numPr>
        <w:numId w:val="38"/>
      </w:numPr>
      <w:contextualSpacing/>
    </w:pPr>
  </w:style>
  <w:style w:type="paragraph" w:styleId="ListNumber5">
    <w:name w:val="List Number 5"/>
    <w:basedOn w:val="Normal"/>
    <w:semiHidden/>
    <w:unhideWhenUsed/>
    <w:rsid w:val="00E66069"/>
    <w:pPr>
      <w:numPr>
        <w:numId w:val="39"/>
      </w:numPr>
      <w:contextualSpacing/>
    </w:pPr>
  </w:style>
  <w:style w:type="paragraph" w:styleId="MacroText">
    <w:name w:val="macro"/>
    <w:link w:val="MacroTextChar"/>
    <w:semiHidden/>
    <w:unhideWhenUsed/>
    <w:rsid w:val="00E66069"/>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eastAsia="Times New Roman" w:hAnsi="Courier New" w:cs="Courier New"/>
      <w:color w:val="000000"/>
    </w:rPr>
  </w:style>
  <w:style w:type="character" w:customStyle="1" w:styleId="MacroTextChar">
    <w:name w:val="Macro Text Char"/>
    <w:basedOn w:val="DefaultParagraphFont"/>
    <w:link w:val="MacroText"/>
    <w:semiHidden/>
    <w:rsid w:val="00E66069"/>
    <w:rPr>
      <w:rFonts w:ascii="Courier New" w:eastAsia="Times New Roman" w:hAnsi="Courier New" w:cs="Courier New"/>
      <w:color w:val="000000"/>
    </w:rPr>
  </w:style>
  <w:style w:type="paragraph" w:styleId="MessageHeader">
    <w:name w:val="Message Header"/>
    <w:basedOn w:val="Normal"/>
    <w:link w:val="MessageHeaderChar"/>
    <w:rsid w:val="00E6606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PMingLiU" w:hAnsi="Cambria" w:cs="Times New Roman"/>
      <w:sz w:val="24"/>
      <w:szCs w:val="24"/>
    </w:rPr>
  </w:style>
  <w:style w:type="character" w:customStyle="1" w:styleId="MessageHeaderChar">
    <w:name w:val="Message Header Char"/>
    <w:basedOn w:val="DefaultParagraphFont"/>
    <w:link w:val="MessageHeader"/>
    <w:rsid w:val="00E66069"/>
    <w:rPr>
      <w:rFonts w:ascii="Cambria" w:eastAsia="PMingLiU" w:hAnsi="Cambria"/>
      <w:color w:val="000000"/>
      <w:sz w:val="24"/>
      <w:szCs w:val="24"/>
      <w:shd w:val="pct20" w:color="auto" w:fill="auto"/>
    </w:rPr>
  </w:style>
  <w:style w:type="paragraph" w:styleId="NoSpacing">
    <w:name w:val="No Spacing"/>
    <w:uiPriority w:val="1"/>
    <w:qFormat/>
    <w:rsid w:val="00E66069"/>
    <w:pPr>
      <w:ind w:left="720"/>
    </w:pPr>
    <w:rPr>
      <w:rFonts w:ascii="Calibri" w:eastAsia="Times New Roman" w:hAnsi="Calibri" w:cs="Tahoma"/>
      <w:color w:val="000000"/>
      <w:sz w:val="22"/>
      <w:szCs w:val="22"/>
    </w:rPr>
  </w:style>
  <w:style w:type="paragraph" w:styleId="NoteHeading">
    <w:name w:val="Note Heading"/>
    <w:basedOn w:val="Normal"/>
    <w:next w:val="Normal"/>
    <w:link w:val="NoteHeadingChar"/>
    <w:rsid w:val="00E66069"/>
  </w:style>
  <w:style w:type="character" w:customStyle="1" w:styleId="NoteHeadingChar">
    <w:name w:val="Note Heading Char"/>
    <w:basedOn w:val="DefaultParagraphFont"/>
    <w:link w:val="NoteHeading"/>
    <w:rsid w:val="00E66069"/>
    <w:rPr>
      <w:rFonts w:ascii="Calibri" w:eastAsia="Times New Roman" w:hAnsi="Calibri" w:cs="Tahoma"/>
      <w:color w:val="000000"/>
      <w:sz w:val="22"/>
      <w:szCs w:val="22"/>
    </w:rPr>
  </w:style>
  <w:style w:type="paragraph" w:customStyle="1" w:styleId="Nothing">
    <w:name w:val="Nothing"/>
    <w:basedOn w:val="Normal"/>
    <w:uiPriority w:val="99"/>
    <w:rsid w:val="00E66069"/>
    <w:pPr>
      <w:tabs>
        <w:tab w:val="center" w:pos="4320"/>
        <w:tab w:val="right" w:pos="8640"/>
      </w:tabs>
    </w:pPr>
    <w:rPr>
      <w:rFonts w:ascii="Arial Narrow" w:eastAsia="MS Mincho" w:hAnsi="Arial Narrow" w:cs="Arial"/>
      <w:sz w:val="18"/>
      <w:szCs w:val="24"/>
      <w:lang w:eastAsia="ja-JP"/>
    </w:rPr>
  </w:style>
  <w:style w:type="paragraph" w:styleId="PlainText">
    <w:name w:val="Plain Text"/>
    <w:basedOn w:val="Normal"/>
    <w:link w:val="PlainTextChar"/>
    <w:rsid w:val="00E66069"/>
    <w:rPr>
      <w:rFonts w:ascii="Courier New" w:hAnsi="Courier New" w:cs="Courier New"/>
      <w:sz w:val="20"/>
      <w:szCs w:val="20"/>
    </w:rPr>
  </w:style>
  <w:style w:type="character" w:customStyle="1" w:styleId="PlainTextChar">
    <w:name w:val="Plain Text Char"/>
    <w:basedOn w:val="DefaultParagraphFont"/>
    <w:link w:val="PlainText"/>
    <w:rsid w:val="00E66069"/>
    <w:rPr>
      <w:rFonts w:ascii="Courier New" w:eastAsia="Times New Roman" w:hAnsi="Courier New" w:cs="Courier New"/>
      <w:color w:val="000000"/>
    </w:rPr>
  </w:style>
  <w:style w:type="paragraph" w:customStyle="1" w:styleId="Poem">
    <w:name w:val="Poem"/>
    <w:basedOn w:val="Normal"/>
    <w:rsid w:val="00E66069"/>
    <w:pPr>
      <w:keepNext/>
      <w:tabs>
        <w:tab w:val="left" w:pos="1800"/>
      </w:tabs>
      <w:spacing w:before="120" w:after="120"/>
      <w:ind w:left="1440" w:right="1440"/>
    </w:pPr>
    <w:rPr>
      <w:rFonts w:ascii="Arial Narrow" w:hAnsi="Arial Narrow"/>
      <w:b/>
      <w:bCs/>
      <w:szCs w:val="21"/>
      <w:lang w:val="en-GB" w:eastAsia="en-GB"/>
    </w:rPr>
  </w:style>
  <w:style w:type="paragraph" w:customStyle="1" w:styleId="PoemEnd">
    <w:name w:val="Poem End"/>
    <w:basedOn w:val="Normal"/>
    <w:rsid w:val="00E66069"/>
    <w:pPr>
      <w:keepNext/>
      <w:tabs>
        <w:tab w:val="left" w:pos="1800"/>
      </w:tabs>
      <w:spacing w:after="0"/>
      <w:ind w:left="1440" w:right="1440" w:firstLine="216"/>
    </w:pPr>
    <w:rPr>
      <w:rFonts w:ascii="Arial Narrow" w:hAnsi="Arial Narrow"/>
      <w:b/>
      <w:bCs/>
      <w:szCs w:val="21"/>
      <w:lang w:val="en-GB" w:eastAsia="en-GB"/>
    </w:rPr>
  </w:style>
  <w:style w:type="paragraph" w:customStyle="1" w:styleId="PoemEndNI">
    <w:name w:val="Poem End NI"/>
    <w:basedOn w:val="Normal"/>
    <w:rsid w:val="00E66069"/>
    <w:pPr>
      <w:keepNext/>
      <w:tabs>
        <w:tab w:val="left" w:pos="1800"/>
      </w:tabs>
      <w:spacing w:after="0"/>
      <w:ind w:left="1440" w:right="1440"/>
    </w:pPr>
    <w:rPr>
      <w:rFonts w:ascii="Arial Narrow" w:hAnsi="Arial Narrow"/>
      <w:b/>
      <w:bCs/>
      <w:szCs w:val="21"/>
      <w:lang w:val="en-GB" w:eastAsia="en-GB"/>
    </w:rPr>
  </w:style>
  <w:style w:type="paragraph" w:customStyle="1" w:styleId="PoemFirstNI">
    <w:name w:val="Poem First NI"/>
    <w:basedOn w:val="Normal"/>
    <w:rsid w:val="00E66069"/>
    <w:pPr>
      <w:keepNext/>
      <w:tabs>
        <w:tab w:val="left" w:pos="1800"/>
      </w:tabs>
      <w:spacing w:before="120" w:after="0"/>
      <w:ind w:left="1440" w:right="1440"/>
    </w:pPr>
    <w:rPr>
      <w:rFonts w:ascii="Arial Narrow" w:hAnsi="Arial Narrow"/>
      <w:b/>
      <w:bCs/>
      <w:szCs w:val="21"/>
      <w:lang w:val="en-GB" w:eastAsia="en-GB"/>
    </w:rPr>
  </w:style>
  <w:style w:type="paragraph" w:customStyle="1" w:styleId="PoemLast">
    <w:name w:val="Poem Last"/>
    <w:basedOn w:val="Normal"/>
    <w:rsid w:val="00E66069"/>
    <w:pPr>
      <w:keepNext/>
      <w:tabs>
        <w:tab w:val="left" w:pos="1800"/>
      </w:tabs>
      <w:spacing w:after="120"/>
      <w:ind w:left="1440" w:right="1440" w:firstLine="216"/>
    </w:pPr>
    <w:rPr>
      <w:rFonts w:ascii="Arial Narrow" w:hAnsi="Arial Narrow"/>
      <w:b/>
      <w:bCs/>
      <w:szCs w:val="21"/>
      <w:lang w:val="en-GB" w:eastAsia="en-GB"/>
    </w:rPr>
  </w:style>
  <w:style w:type="paragraph" w:customStyle="1" w:styleId="PoemLastNI">
    <w:name w:val="Poem Last NI"/>
    <w:basedOn w:val="Normal"/>
    <w:rsid w:val="00E66069"/>
    <w:pPr>
      <w:keepNext/>
      <w:tabs>
        <w:tab w:val="left" w:pos="1800"/>
      </w:tabs>
      <w:spacing w:after="120"/>
      <w:ind w:left="1440" w:right="1440"/>
    </w:pPr>
    <w:rPr>
      <w:rFonts w:ascii="Arial Narrow" w:hAnsi="Arial Narrow"/>
      <w:b/>
      <w:bCs/>
      <w:szCs w:val="21"/>
      <w:lang w:val="en-GB" w:eastAsia="en-GB"/>
    </w:rPr>
  </w:style>
  <w:style w:type="paragraph" w:customStyle="1" w:styleId="PoemMiddle">
    <w:name w:val="Poem Middle"/>
    <w:basedOn w:val="Normal"/>
    <w:rsid w:val="00E66069"/>
    <w:pPr>
      <w:keepNext/>
      <w:tabs>
        <w:tab w:val="left" w:pos="1800"/>
      </w:tabs>
      <w:spacing w:after="0"/>
      <w:ind w:left="1440" w:right="1440" w:firstLine="216"/>
    </w:pPr>
    <w:rPr>
      <w:rFonts w:ascii="Arial Narrow" w:hAnsi="Arial Narrow"/>
      <w:b/>
      <w:bCs/>
      <w:szCs w:val="21"/>
      <w:lang w:val="en-GB" w:eastAsia="en-GB"/>
    </w:rPr>
  </w:style>
  <w:style w:type="paragraph" w:customStyle="1" w:styleId="PoemMiddleNI">
    <w:name w:val="Poem Middle NI"/>
    <w:basedOn w:val="Normal"/>
    <w:rsid w:val="00E66069"/>
    <w:pPr>
      <w:keepNext/>
      <w:tabs>
        <w:tab w:val="left" w:pos="1800"/>
      </w:tabs>
      <w:spacing w:after="0"/>
      <w:ind w:left="1440" w:right="1440"/>
    </w:pPr>
    <w:rPr>
      <w:rFonts w:ascii="Arial Narrow" w:hAnsi="Arial Narrow"/>
      <w:b/>
      <w:bCs/>
      <w:szCs w:val="21"/>
      <w:lang w:val="en-GB" w:eastAsia="en-GB"/>
    </w:rPr>
  </w:style>
  <w:style w:type="paragraph" w:customStyle="1" w:styleId="PoemStartNI">
    <w:name w:val="Poem Start NI"/>
    <w:basedOn w:val="Normal"/>
    <w:rsid w:val="00E66069"/>
    <w:pPr>
      <w:keepNext/>
      <w:tabs>
        <w:tab w:val="left" w:pos="1800"/>
      </w:tabs>
      <w:spacing w:before="120" w:after="0"/>
      <w:ind w:left="1440" w:right="1440"/>
    </w:pPr>
    <w:rPr>
      <w:rFonts w:ascii="Arial Narrow" w:hAnsi="Arial Narrow"/>
      <w:b/>
      <w:bCs/>
      <w:szCs w:val="21"/>
      <w:lang w:val="en-GB" w:eastAsia="en-GB"/>
    </w:rPr>
  </w:style>
  <w:style w:type="paragraph" w:customStyle="1" w:styleId="Recommendation">
    <w:name w:val="Recommendation"/>
    <w:basedOn w:val="Normal"/>
    <w:next w:val="Normal"/>
    <w:qFormat/>
    <w:rsid w:val="00E66069"/>
    <w:pPr>
      <w:keepNext/>
      <w:tabs>
        <w:tab w:val="left" w:pos="720"/>
      </w:tabs>
      <w:spacing w:before="240" w:after="200"/>
      <w:ind w:left="0"/>
    </w:pPr>
    <w:rPr>
      <w:rFonts w:ascii="Arial" w:eastAsia="Arial Unicode MS" w:hAnsi="Arial" w:cs="Arial"/>
      <w:b/>
      <w:bCs/>
      <w:noProof/>
      <w:kern w:val="32"/>
      <w:szCs w:val="32"/>
      <w:lang w:val="en-GB" w:eastAsia="en-GB"/>
    </w:rPr>
  </w:style>
  <w:style w:type="paragraph" w:customStyle="1" w:styleId="Recommendationanswer">
    <w:name w:val="Recommendation answer"/>
    <w:basedOn w:val="BodyText1"/>
    <w:qFormat/>
    <w:rsid w:val="00E66069"/>
    <w:pPr>
      <w:spacing w:before="120" w:after="120" w:line="240" w:lineRule="auto"/>
      <w:ind w:left="102"/>
    </w:pPr>
    <w:rPr>
      <w:rFonts w:cs="Arial"/>
      <w:sz w:val="20"/>
      <w:lang w:val="en-GB"/>
    </w:rPr>
  </w:style>
  <w:style w:type="paragraph" w:customStyle="1" w:styleId="Recommendationquestion">
    <w:name w:val="Recommendation question"/>
    <w:basedOn w:val="Normal"/>
    <w:qFormat/>
    <w:rsid w:val="00E66069"/>
    <w:pPr>
      <w:widowControl w:val="0"/>
      <w:autoSpaceDE w:val="0"/>
      <w:autoSpaceDN w:val="0"/>
      <w:adjustRightInd w:val="0"/>
      <w:spacing w:before="30" w:after="30"/>
      <w:ind w:left="103" w:right="-20"/>
    </w:pPr>
    <w:rPr>
      <w:rFonts w:cs="Arial Narrow"/>
      <w:i/>
      <w:iCs/>
      <w:sz w:val="20"/>
      <w:szCs w:val="18"/>
      <w:lang w:val="en-GB" w:eastAsia="en-GB"/>
    </w:rPr>
  </w:style>
  <w:style w:type="character" w:customStyle="1" w:styleId="ReportSubtitleChar">
    <w:name w:val="Report Subtitle Char"/>
    <w:basedOn w:val="DefaultParagraphFont"/>
    <w:link w:val="ReportSubtitle"/>
    <w:rsid w:val="00E66069"/>
    <w:rPr>
      <w:rFonts w:ascii="Arial Bold" w:eastAsia="Times New Roman" w:hAnsi="Arial Bold" w:cs="Tahoma"/>
      <w:b/>
      <w:bCs/>
      <w:color w:val="000000"/>
      <w:sz w:val="40"/>
      <w:szCs w:val="22"/>
    </w:rPr>
  </w:style>
  <w:style w:type="paragraph" w:styleId="Salutation">
    <w:name w:val="Salutation"/>
    <w:basedOn w:val="Normal"/>
    <w:next w:val="Normal"/>
    <w:link w:val="SalutationChar"/>
    <w:semiHidden/>
    <w:unhideWhenUsed/>
    <w:rsid w:val="00E66069"/>
  </w:style>
  <w:style w:type="character" w:customStyle="1" w:styleId="SalutationChar">
    <w:name w:val="Salutation Char"/>
    <w:basedOn w:val="DefaultParagraphFont"/>
    <w:link w:val="Salutation"/>
    <w:semiHidden/>
    <w:rsid w:val="00E66069"/>
    <w:rPr>
      <w:rFonts w:ascii="Calibri" w:eastAsia="Times New Roman" w:hAnsi="Calibri" w:cs="Tahoma"/>
      <w:color w:val="000000"/>
      <w:sz w:val="22"/>
      <w:szCs w:val="22"/>
    </w:rPr>
  </w:style>
  <w:style w:type="character" w:customStyle="1" w:styleId="search-number">
    <w:name w:val="search-number"/>
    <w:basedOn w:val="DefaultParagraphFont"/>
    <w:semiHidden/>
    <w:unhideWhenUsed/>
    <w:rsid w:val="00E66069"/>
  </w:style>
  <w:style w:type="paragraph" w:styleId="Signature">
    <w:name w:val="Signature"/>
    <w:basedOn w:val="Normal"/>
    <w:link w:val="SignatureChar"/>
    <w:semiHidden/>
    <w:unhideWhenUsed/>
    <w:rsid w:val="00E66069"/>
    <w:pPr>
      <w:ind w:left="4252"/>
    </w:pPr>
  </w:style>
  <w:style w:type="character" w:customStyle="1" w:styleId="SignatureChar">
    <w:name w:val="Signature Char"/>
    <w:basedOn w:val="DefaultParagraphFont"/>
    <w:link w:val="Signature"/>
    <w:semiHidden/>
    <w:rsid w:val="00E66069"/>
    <w:rPr>
      <w:rFonts w:ascii="Calibri" w:eastAsia="Times New Roman" w:hAnsi="Calibri" w:cs="Tahoma"/>
      <w:color w:val="000000"/>
      <w:sz w:val="22"/>
      <w:szCs w:val="22"/>
    </w:rPr>
  </w:style>
  <w:style w:type="character" w:styleId="Strong">
    <w:name w:val="Strong"/>
    <w:basedOn w:val="DefaultParagraphFont"/>
    <w:uiPriority w:val="99"/>
    <w:qFormat/>
    <w:rsid w:val="00E66069"/>
    <w:rPr>
      <w:b/>
      <w:bCs/>
    </w:rPr>
  </w:style>
  <w:style w:type="paragraph" w:customStyle="1" w:styleId="StyleTablefootnoteAfter18pt">
    <w:name w:val="Style Table footnote + After:  18 pt"/>
    <w:basedOn w:val="Tablefootnote"/>
    <w:autoRedefine/>
    <w:uiPriority w:val="99"/>
    <w:rsid w:val="00E66069"/>
    <w:pPr>
      <w:spacing w:before="0"/>
    </w:pPr>
    <w:rPr>
      <w:rFonts w:cs="Tahoma"/>
      <w:lang w:val="en-AU"/>
    </w:rPr>
  </w:style>
  <w:style w:type="character" w:customStyle="1" w:styleId="TablecaptionChar">
    <w:name w:val="Table caption Char"/>
    <w:basedOn w:val="DefaultParagraphFont"/>
    <w:link w:val="Tablecaption"/>
    <w:uiPriority w:val="99"/>
    <w:locked/>
    <w:rsid w:val="00E66069"/>
    <w:rPr>
      <w:rFonts w:ascii="Arial Narrow" w:eastAsia="Arial Unicode MS" w:hAnsi="Arial Narrow" w:cs="Arial"/>
      <w:b/>
      <w:bCs/>
      <w:sz w:val="24"/>
      <w:szCs w:val="24"/>
      <w:lang w:eastAsia="ja-JP"/>
    </w:rPr>
  </w:style>
  <w:style w:type="character" w:customStyle="1" w:styleId="TableHeadingChar">
    <w:name w:val="TableHeading Char"/>
    <w:basedOn w:val="TableTextChar"/>
    <w:link w:val="TableHeading"/>
    <w:rsid w:val="00E66069"/>
    <w:rPr>
      <w:rFonts w:ascii="Arial Narrow" w:eastAsia="Times New Roman" w:hAnsi="Arial Narrow" w:cs="Tahoma"/>
      <w:b/>
      <w:bCs/>
      <w:color w:val="000000"/>
      <w:szCs w:val="21"/>
    </w:rPr>
  </w:style>
  <w:style w:type="paragraph" w:customStyle="1" w:styleId="TableH5">
    <w:name w:val="Table H5"/>
    <w:basedOn w:val="TableH4"/>
    <w:link w:val="TableH5Char"/>
    <w:qFormat/>
    <w:rsid w:val="00E66069"/>
    <w:rPr>
      <w:b w:val="0"/>
    </w:rPr>
  </w:style>
  <w:style w:type="character" w:customStyle="1" w:styleId="TableH5Char">
    <w:name w:val="Table H5 Char"/>
    <w:basedOn w:val="TableH4Char"/>
    <w:link w:val="TableH5"/>
    <w:rsid w:val="00E66069"/>
    <w:rPr>
      <w:rFonts w:ascii="Arial Narrow" w:eastAsia="Times New Roman" w:hAnsi="Arial Narrow" w:cs="Tahoma"/>
      <w:b w:val="0"/>
      <w:bCs/>
      <w:smallCaps/>
      <w:color w:val="FFFFFF" w:themeColor="background1"/>
      <w:szCs w:val="21"/>
    </w:rPr>
  </w:style>
  <w:style w:type="character" w:customStyle="1" w:styleId="TableListNosChar">
    <w:name w:val="Table ListNos Char"/>
    <w:basedOn w:val="BodyTextChar0"/>
    <w:link w:val="TableListNos"/>
    <w:uiPriority w:val="4"/>
    <w:rsid w:val="00E66069"/>
    <w:rPr>
      <w:rFonts w:ascii="Calibri" w:eastAsia="Times New Roman" w:hAnsi="Calibri" w:cs="Tahoma"/>
      <w:color w:val="000000"/>
      <w:sz w:val="18"/>
      <w:szCs w:val="22"/>
      <w:lang w:eastAsia="en-US"/>
    </w:rPr>
  </w:style>
  <w:style w:type="paragraph" w:styleId="TableofAuthorities">
    <w:name w:val="table of authorities"/>
    <w:basedOn w:val="Normal"/>
    <w:next w:val="Normal"/>
    <w:semiHidden/>
    <w:unhideWhenUsed/>
    <w:rsid w:val="00E66069"/>
    <w:pPr>
      <w:ind w:left="220" w:hanging="220"/>
    </w:pPr>
  </w:style>
  <w:style w:type="paragraph" w:customStyle="1" w:styleId="Tabletextbullet">
    <w:name w:val="Table text bullet"/>
    <w:basedOn w:val="Tabletext0"/>
    <w:uiPriority w:val="99"/>
    <w:rsid w:val="00E66069"/>
    <w:pPr>
      <w:numPr>
        <w:numId w:val="43"/>
      </w:numPr>
    </w:pPr>
    <w:rPr>
      <w:rFonts w:eastAsia="MS Mincho" w:cs="Arial"/>
      <w:lang w:val="en-AU"/>
    </w:rPr>
  </w:style>
  <w:style w:type="paragraph" w:customStyle="1" w:styleId="Tabletextbullets">
    <w:name w:val="Table text bullets"/>
    <w:basedOn w:val="Tabletext0"/>
    <w:uiPriority w:val="99"/>
    <w:rsid w:val="00E66069"/>
    <w:pPr>
      <w:numPr>
        <w:numId w:val="44"/>
      </w:numPr>
      <w:tabs>
        <w:tab w:val="left" w:pos="181"/>
      </w:tabs>
    </w:pPr>
    <w:rPr>
      <w:rFonts w:eastAsia="MS Mincho" w:cs="Arial"/>
      <w:lang w:val="en-AU"/>
    </w:rPr>
  </w:style>
  <w:style w:type="paragraph" w:customStyle="1" w:styleId="Tabletextdoubleindent">
    <w:name w:val="Table text double indent"/>
    <w:basedOn w:val="Tabletextindent"/>
    <w:uiPriority w:val="99"/>
    <w:rsid w:val="00E66069"/>
    <w:pPr>
      <w:ind w:left="249"/>
    </w:pPr>
  </w:style>
  <w:style w:type="paragraph" w:customStyle="1" w:styleId="tabletextnospace">
    <w:name w:val="table text no space"/>
    <w:basedOn w:val="Tabletext-evidencematrix"/>
    <w:link w:val="tabletextnospaceChar"/>
    <w:qFormat/>
    <w:rsid w:val="00E66069"/>
    <w:pPr>
      <w:spacing w:after="0"/>
    </w:pPr>
    <w:rPr>
      <w:lang w:val="en-GB"/>
    </w:rPr>
  </w:style>
  <w:style w:type="character" w:customStyle="1" w:styleId="tabletextnospaceChar">
    <w:name w:val="table text no space Char"/>
    <w:basedOn w:val="Tabletext-evidencematrixChar"/>
    <w:link w:val="tabletextnospace"/>
    <w:rsid w:val="00E66069"/>
    <w:rPr>
      <w:rFonts w:ascii="Arial Narrow" w:eastAsia="Arial Unicode MS" w:hAnsi="Arial Narrow" w:cs="Arial"/>
      <w:bCs/>
      <w:sz w:val="16"/>
      <w:szCs w:val="24"/>
      <w:lang w:val="en-GB" w:eastAsia="ja-JP"/>
    </w:rPr>
  </w:style>
  <w:style w:type="character" w:customStyle="1" w:styleId="TableBulletChar">
    <w:name w:val="TableBullet Char"/>
    <w:basedOn w:val="DefaultParagraphFont"/>
    <w:link w:val="TableBullet"/>
    <w:rsid w:val="00E66069"/>
    <w:rPr>
      <w:rFonts w:ascii="Arial Narrow" w:eastAsia="Times New Roman" w:hAnsi="Arial Narrow" w:cs="Tahoma"/>
      <w:color w:val="000000"/>
    </w:rPr>
  </w:style>
  <w:style w:type="paragraph" w:customStyle="1" w:styleId="TableListPICO">
    <w:name w:val="TableList PICO"/>
    <w:basedOn w:val="TableListNos"/>
    <w:link w:val="TableListPICOChar"/>
    <w:qFormat/>
    <w:rsid w:val="00E66069"/>
    <w:pPr>
      <w:numPr>
        <w:numId w:val="45"/>
      </w:numPr>
    </w:pPr>
    <w:rPr>
      <w:rFonts w:ascii="Arial Narrow" w:hAnsi="Arial Narrow"/>
    </w:rPr>
  </w:style>
  <w:style w:type="character" w:customStyle="1" w:styleId="TableListPICOChar">
    <w:name w:val="TableList PICO Char"/>
    <w:basedOn w:val="TableListNosChar"/>
    <w:link w:val="TableListPICO"/>
    <w:rsid w:val="00E66069"/>
    <w:rPr>
      <w:rFonts w:ascii="Arial Narrow" w:eastAsia="Times New Roman" w:hAnsi="Arial Narrow" w:cs="Tahoma"/>
      <w:color w:val="000000"/>
      <w:sz w:val="18"/>
      <w:szCs w:val="22"/>
      <w:lang w:eastAsia="en-US"/>
    </w:rPr>
  </w:style>
  <w:style w:type="paragraph" w:styleId="TOAHeading">
    <w:name w:val="toa heading"/>
    <w:basedOn w:val="Normal"/>
    <w:next w:val="Normal"/>
    <w:rsid w:val="00E66069"/>
    <w:pPr>
      <w:spacing w:before="120"/>
    </w:pPr>
    <w:rPr>
      <w:rFonts w:ascii="Cambria" w:eastAsia="PMingLiU" w:hAnsi="Cambria" w:cs="Times New Roman"/>
      <w:b/>
      <w:bCs/>
      <w:sz w:val="24"/>
      <w:szCs w:val="24"/>
    </w:rPr>
  </w:style>
  <w:style w:type="paragraph" w:customStyle="1" w:styleId="Block">
    <w:name w:val="Block"/>
    <w:basedOn w:val="BoxText"/>
    <w:rsid w:val="00E66069"/>
    <w:pPr>
      <w:spacing w:before="240"/>
      <w:ind w:left="1440" w:right="1440" w:firstLine="720"/>
    </w:pPr>
    <w:rPr>
      <w:rFonts w:cs="Tahoma"/>
      <w:lang w:val="en-AU" w:eastAsia="en-AU"/>
    </w:rPr>
  </w:style>
  <w:style w:type="paragraph" w:customStyle="1" w:styleId="BlockFirst">
    <w:name w:val="Block First"/>
    <w:basedOn w:val="BoxText"/>
    <w:rsid w:val="00E66069"/>
    <w:pPr>
      <w:spacing w:before="240" w:after="0"/>
      <w:ind w:left="1440" w:right="1440" w:firstLine="720"/>
    </w:pPr>
    <w:rPr>
      <w:rFonts w:cs="Tahoma"/>
      <w:lang w:val="en-AU" w:eastAsia="en-AU"/>
    </w:rPr>
  </w:style>
  <w:style w:type="paragraph" w:customStyle="1" w:styleId="BlockLast">
    <w:name w:val="Block Last"/>
    <w:basedOn w:val="BoxText"/>
    <w:rsid w:val="00E66069"/>
    <w:pPr>
      <w:ind w:left="1440" w:right="1440" w:firstLine="720"/>
    </w:pPr>
    <w:rPr>
      <w:rFonts w:cs="Tahoma"/>
      <w:lang w:val="en-AU" w:eastAsia="en-AU"/>
    </w:rPr>
  </w:style>
  <w:style w:type="paragraph" w:customStyle="1" w:styleId="BlockMiddle">
    <w:name w:val="Block Middle"/>
    <w:basedOn w:val="BoxText"/>
    <w:rsid w:val="00E66069"/>
    <w:pPr>
      <w:spacing w:after="0"/>
      <w:ind w:left="1440" w:right="1440" w:firstLine="720"/>
    </w:pPr>
    <w:rPr>
      <w:rFonts w:cs="Tahoma"/>
      <w:lang w:val="en-AU" w:eastAsia="en-AU"/>
    </w:rPr>
  </w:style>
  <w:style w:type="paragraph" w:customStyle="1" w:styleId="bulletlist">
    <w:name w:val="bullet list"/>
    <w:basedOn w:val="Normal"/>
    <w:rsid w:val="00E66069"/>
    <w:pPr>
      <w:numPr>
        <w:ilvl w:val="1"/>
        <w:numId w:val="28"/>
      </w:numPr>
      <w:spacing w:after="0" w:line="360" w:lineRule="auto"/>
    </w:pPr>
    <w:rPr>
      <w:rFonts w:ascii="Times New Roman" w:hAnsi="Times New Roman" w:cs="Arial"/>
      <w:szCs w:val="24"/>
    </w:rPr>
  </w:style>
  <w:style w:type="numbering" w:customStyle="1" w:styleId="NoList1">
    <w:name w:val="No List1"/>
    <w:next w:val="NoList"/>
    <w:uiPriority w:val="99"/>
    <w:semiHidden/>
    <w:unhideWhenUsed/>
    <w:rsid w:val="00E66069"/>
  </w:style>
  <w:style w:type="paragraph" w:customStyle="1" w:styleId="StyleBodyTextBold">
    <w:name w:val="Style Body Text + Bold"/>
    <w:basedOn w:val="BodyText"/>
    <w:rsid w:val="00E66069"/>
    <w:pPr>
      <w:spacing w:after="120" w:line="240" w:lineRule="auto"/>
      <w:ind w:left="720"/>
    </w:pPr>
    <w:rPr>
      <w:rFonts w:ascii="Calibri" w:hAnsi="Calibri" w:cs="Tahoma"/>
      <w:b/>
      <w:bCs/>
      <w:color w:val="000000"/>
      <w:szCs w:val="22"/>
      <w:lang w:val="en-AU" w:eastAsia="en-AU"/>
    </w:rPr>
  </w:style>
  <w:style w:type="paragraph" w:customStyle="1" w:styleId="StyleBodyTextBoldAfter6pt">
    <w:name w:val="Style Body Text + Bold After:  6 pt"/>
    <w:basedOn w:val="BodyText"/>
    <w:rsid w:val="00E66069"/>
    <w:pPr>
      <w:spacing w:after="120" w:line="240" w:lineRule="auto"/>
      <w:ind w:left="720"/>
    </w:pPr>
    <w:rPr>
      <w:rFonts w:ascii="Calibri" w:hAnsi="Calibri"/>
      <w:b/>
      <w:bCs/>
      <w:color w:val="000000"/>
      <w:szCs w:val="20"/>
      <w:lang w:val="en-AU" w:eastAsia="en-AU"/>
    </w:rPr>
  </w:style>
  <w:style w:type="paragraph" w:customStyle="1" w:styleId="StyleContentsHeadingforfigstableslist20pt">
    <w:name w:val="Style Contents_Heading for figs/tables list + 20 pt"/>
    <w:basedOn w:val="ContentsHeadingforfigstableslist"/>
    <w:rsid w:val="00E66069"/>
    <w:pPr>
      <w:spacing w:before="720"/>
    </w:pPr>
    <w:rPr>
      <w:rFonts w:ascii="Calibri" w:hAnsi="Calibri"/>
      <w:sz w:val="52"/>
      <w:szCs w:val="24"/>
      <w:lang w:eastAsia="en-AU"/>
    </w:rPr>
  </w:style>
  <w:style w:type="paragraph" w:customStyle="1" w:styleId="StyleCoversubtitle16pt">
    <w:name w:val="Style Cover subtitle + 16 pt"/>
    <w:basedOn w:val="Coversubtitle"/>
    <w:rsid w:val="00E66069"/>
    <w:pPr>
      <w:tabs>
        <w:tab w:val="left" w:pos="720"/>
      </w:tabs>
      <w:overflowPunct w:val="0"/>
      <w:autoSpaceDE w:val="0"/>
      <w:autoSpaceDN w:val="0"/>
      <w:adjustRightInd w:val="0"/>
      <w:spacing w:before="360" w:after="360" w:line="240" w:lineRule="auto"/>
      <w:ind w:left="0"/>
      <w:jc w:val="right"/>
      <w:textAlignment w:val="baseline"/>
    </w:pPr>
    <w:rPr>
      <w:rFonts w:ascii="Calibri" w:eastAsia="MS Mincho" w:hAnsi="Calibri" w:cs="Times New Roman"/>
      <w:bCs w:val="0"/>
      <w:sz w:val="40"/>
      <w:szCs w:val="48"/>
      <w:lang w:eastAsia="ja-JP"/>
    </w:rPr>
  </w:style>
  <w:style w:type="character" w:customStyle="1" w:styleId="StyleVerdana105pt">
    <w:name w:val="Style Verdana 10.5 pt"/>
    <w:basedOn w:val="DefaultParagraphFont"/>
    <w:rsid w:val="00E66069"/>
    <w:rPr>
      <w:rFonts w:ascii="Calibri" w:hAnsi="Calibri"/>
      <w:sz w:val="21"/>
    </w:rPr>
  </w:style>
  <w:style w:type="character" w:customStyle="1" w:styleId="StyleVerdana105ptItalic">
    <w:name w:val="Style Verdana 10.5 pt Italic"/>
    <w:basedOn w:val="DefaultParagraphFont"/>
    <w:rsid w:val="00E66069"/>
    <w:rPr>
      <w:rFonts w:ascii="Calibri" w:hAnsi="Calibri"/>
      <w:i/>
      <w:iCs/>
      <w:sz w:val="21"/>
    </w:rPr>
  </w:style>
  <w:style w:type="paragraph" w:customStyle="1" w:styleId="StyleVerdana105ptLeft0cmHanging124cmAfter12">
    <w:name w:val="Style Verdana 10.5 pt Left:  0 cm Hanging:  1.24 cm After:  12 ..."/>
    <w:basedOn w:val="Normal"/>
    <w:rsid w:val="00E66069"/>
    <w:pPr>
      <w:spacing w:line="360" w:lineRule="auto"/>
      <w:ind w:left="705" w:hanging="705"/>
    </w:pPr>
    <w:rPr>
      <w:rFonts w:cs="Times New Roman"/>
      <w:sz w:val="21"/>
      <w:szCs w:val="20"/>
    </w:rPr>
  </w:style>
  <w:style w:type="character" w:styleId="SubtleEmphasis">
    <w:name w:val="Subtle Emphasis"/>
    <w:basedOn w:val="DefaultParagraphFont"/>
    <w:uiPriority w:val="19"/>
    <w:qFormat/>
    <w:rsid w:val="00E66069"/>
    <w:rPr>
      <w:i/>
      <w:iCs/>
      <w:color w:val="808080" w:themeColor="text1" w:themeTint="7F"/>
    </w:rPr>
  </w:style>
  <w:style w:type="paragraph" w:customStyle="1" w:styleId="Tablefignotesleft">
    <w:name w:val="Tablefignotesleft"/>
    <w:basedOn w:val="Normal"/>
    <w:qFormat/>
    <w:rsid w:val="00E66069"/>
    <w:pPr>
      <w:spacing w:after="0"/>
      <w:ind w:left="0"/>
    </w:pPr>
    <w:rPr>
      <w:rFonts w:ascii="Arial Narrow" w:hAnsi="Arial Narrow" w:cs="Arial"/>
      <w:color w:val="auto"/>
      <w:sz w:val="16"/>
      <w:szCs w:val="16"/>
      <w:lang w:eastAsia="en-US"/>
    </w:rPr>
  </w:style>
  <w:style w:type="character" w:customStyle="1" w:styleId="txtbold1">
    <w:name w:val="txtbold1"/>
    <w:basedOn w:val="DefaultParagraphFont"/>
    <w:uiPriority w:val="99"/>
    <w:rsid w:val="00E66069"/>
    <w:rPr>
      <w:rFonts w:ascii="Verdana" w:hAnsi="Verdana" w:hint="default"/>
      <w:b/>
      <w:bCs/>
      <w:sz w:val="17"/>
      <w:szCs w:val="17"/>
    </w:rPr>
  </w:style>
  <w:style w:type="paragraph" w:customStyle="1" w:styleId="Head4Num">
    <w:name w:val="Head4 Num"/>
    <w:basedOn w:val="Heading3"/>
    <w:link w:val="Head4NumChar"/>
    <w:qFormat/>
    <w:rsid w:val="00E66069"/>
    <w:pPr>
      <w:numPr>
        <w:ilvl w:val="3"/>
      </w:numPr>
      <w:ind w:left="1440" w:hanging="720"/>
      <w:outlineLvl w:val="3"/>
    </w:pPr>
    <w:rPr>
      <w:rFonts w:cs="Arial"/>
      <w:lang w:val="en-AU" w:eastAsia="en-AU"/>
    </w:rPr>
  </w:style>
  <w:style w:type="character" w:customStyle="1" w:styleId="Head4NumChar">
    <w:name w:val="Head4 Num Char"/>
    <w:basedOn w:val="Heading3Char"/>
    <w:link w:val="Head4Num"/>
    <w:rsid w:val="00E66069"/>
    <w:rPr>
      <w:rFonts w:ascii="Arial" w:eastAsia="Times New Roman" w:hAnsi="Arial" w:cs="Arial"/>
      <w:b/>
      <w:bCs/>
      <w:color w:val="000000"/>
      <w:sz w:val="22"/>
      <w:szCs w:val="26"/>
    </w:rPr>
  </w:style>
  <w:style w:type="paragraph" w:customStyle="1" w:styleId="PP-bullet">
    <w:name w:val="PP-bullet"/>
    <w:basedOn w:val="listbody"/>
    <w:link w:val="PP-bulletChar"/>
    <w:qFormat/>
    <w:rsid w:val="00E66069"/>
    <w:pPr>
      <w:numPr>
        <w:numId w:val="0"/>
      </w:numPr>
      <w:tabs>
        <w:tab w:val="num" w:pos="340"/>
      </w:tabs>
      <w:spacing w:line="276" w:lineRule="auto"/>
      <w:ind w:left="1247" w:hanging="340"/>
    </w:pPr>
    <w:rPr>
      <w:rFonts w:eastAsia="Calibri" w:cs="Calibri"/>
    </w:rPr>
  </w:style>
  <w:style w:type="character" w:customStyle="1" w:styleId="PP-bulletChar">
    <w:name w:val="PP-bullet Char"/>
    <w:basedOn w:val="listbodyChar"/>
    <w:link w:val="PP-bullet"/>
    <w:rsid w:val="00E66069"/>
    <w:rPr>
      <w:rFonts w:ascii="Calibri" w:eastAsia="Calibri" w:hAnsi="Calibri" w:cs="Calibri"/>
      <w:color w:val="000000"/>
      <w:sz w:val="22"/>
      <w:szCs w:val="22"/>
      <w:lang w:val="en-GB" w:eastAsia="en-GB"/>
    </w:rPr>
  </w:style>
  <w:style w:type="paragraph" w:customStyle="1" w:styleId="BodyText20">
    <w:name w:val="Body Text2"/>
    <w:basedOn w:val="Normal"/>
    <w:rsid w:val="00E66069"/>
    <w:pPr>
      <w:spacing w:line="360" w:lineRule="auto"/>
      <w:ind w:left="0"/>
    </w:pPr>
    <w:rPr>
      <w:rFonts w:ascii="Arial Narrow" w:eastAsia="Arial Unicode MS" w:hAnsi="Arial Narrow" w:cs="Arial"/>
      <w:color w:val="auto"/>
      <w:sz w:val="24"/>
      <w:szCs w:val="24"/>
      <w:lang w:val="en-US" w:eastAsia="ja-JP"/>
    </w:rPr>
  </w:style>
  <w:style w:type="paragraph" w:customStyle="1" w:styleId="PP">
    <w:name w:val="PP"/>
    <w:basedOn w:val="PP-bullets"/>
    <w:qFormat/>
    <w:rsid w:val="00AB4C4F"/>
    <w:pPr>
      <w:numPr>
        <w:numId w:val="0"/>
      </w:numPr>
      <w:tabs>
        <w:tab w:val="clear" w:pos="414"/>
        <w:tab w:val="left" w:pos="0"/>
      </w:tabs>
    </w:pPr>
  </w:style>
  <w:style w:type="table" w:customStyle="1" w:styleId="newstyle1">
    <w:name w:val="new style1"/>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newstyle2">
    <w:name w:val="new style2"/>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newstyle3">
    <w:name w:val="new style3"/>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paragraph" w:customStyle="1" w:styleId="numbered-paragraph">
    <w:name w:val="numbered-paragraph"/>
    <w:basedOn w:val="Normal"/>
    <w:rsid w:val="000742CA"/>
    <w:pPr>
      <w:spacing w:after="180"/>
      <w:ind w:left="0"/>
    </w:pPr>
    <w:rPr>
      <w:rFonts w:ascii="Times New Roman" w:hAnsi="Times New Roman" w:cs="Times New Roman"/>
      <w:color w:val="auto"/>
      <w:sz w:val="24"/>
      <w:szCs w:val="24"/>
    </w:rPr>
  </w:style>
  <w:style w:type="character" w:customStyle="1" w:styleId="apple-converted-space">
    <w:name w:val="apple-converted-space"/>
    <w:basedOn w:val="DefaultParagraphFont"/>
    <w:rsid w:val="000742CA"/>
  </w:style>
  <w:style w:type="character" w:customStyle="1" w:styleId="highlight">
    <w:name w:val="highlight"/>
    <w:basedOn w:val="DefaultParagraphFont"/>
    <w:rsid w:val="000742CA"/>
  </w:style>
  <w:style w:type="paragraph" w:customStyle="1" w:styleId="Default1">
    <w:name w:val="Default1"/>
    <w:next w:val="Default"/>
    <w:uiPriority w:val="99"/>
    <w:rsid w:val="00F00BFD"/>
    <w:pPr>
      <w:autoSpaceDE w:val="0"/>
      <w:autoSpaceDN w:val="0"/>
      <w:adjustRightInd w:val="0"/>
    </w:pPr>
    <w:rPr>
      <w:rFonts w:ascii="Arial" w:eastAsia="PMingLiU" w:hAnsi="Arial" w:cs="Arial"/>
      <w:color w:val="000000"/>
      <w:sz w:val="24"/>
      <w:szCs w:val="24"/>
    </w:rPr>
  </w:style>
  <w:style w:type="paragraph" w:customStyle="1" w:styleId="Bullet01">
    <w:name w:val="Bullet+01"/>
    <w:basedOn w:val="Normal"/>
    <w:next w:val="Bullet0"/>
    <w:uiPriority w:val="99"/>
    <w:rsid w:val="00F00BFD"/>
    <w:pPr>
      <w:tabs>
        <w:tab w:val="left" w:pos="1080"/>
      </w:tabs>
      <w:spacing w:after="0"/>
      <w:ind w:left="1440" w:hanging="360"/>
    </w:pPr>
    <w:rPr>
      <w:rFonts w:eastAsia="PMingLiU"/>
    </w:rPr>
  </w:style>
  <w:style w:type="table" w:customStyle="1" w:styleId="TableGrid1">
    <w:name w:val="Table Grid1"/>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75B8E"/>
  </w:style>
  <w:style w:type="table" w:customStyle="1" w:styleId="TableSimple11">
    <w:name w:val="Table Simple 11"/>
    <w:basedOn w:val="TableNormal"/>
    <w:next w:val="TableSimple1"/>
    <w:rsid w:val="00175B8E"/>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List2">
    <w:name w:val="No List2"/>
    <w:next w:val="NoList"/>
    <w:uiPriority w:val="99"/>
    <w:semiHidden/>
    <w:unhideWhenUsed/>
    <w:rsid w:val="00175B8E"/>
  </w:style>
  <w:style w:type="numbering" w:customStyle="1" w:styleId="NoList12">
    <w:name w:val="No List12"/>
    <w:next w:val="NoList"/>
    <w:uiPriority w:val="99"/>
    <w:semiHidden/>
    <w:unhideWhenUsed/>
    <w:rsid w:val="00175B8E"/>
  </w:style>
  <w:style w:type="table" w:customStyle="1" w:styleId="TableSimple12">
    <w:name w:val="Table Simple 12"/>
    <w:basedOn w:val="TableNormal"/>
    <w:next w:val="TableSimple1"/>
    <w:rsid w:val="00175B8E"/>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NormalbeforebulletLeft0cm">
    <w:name w:val="Style Normal (before bullet) + Left:  0 cm"/>
    <w:basedOn w:val="Normalbeforebullet"/>
    <w:rsid w:val="00FF2787"/>
    <w:pPr>
      <w:ind w:left="0"/>
    </w:pPr>
  </w:style>
  <w:style w:type="paragraph" w:customStyle="1" w:styleId="StyleHeading5Heading5nonumLeft0cmFirstline127cm">
    <w:name w:val="Style Heading 5Heading 5 no num + Left:  0 cm First line:  1.27 cm"/>
    <w:basedOn w:val="Heading5"/>
    <w:rsid w:val="00CD1750"/>
    <w:pPr>
      <w:ind w:left="0" w:firstLine="720"/>
    </w:pPr>
    <w:rPr>
      <w:szCs w:val="20"/>
    </w:rPr>
  </w:style>
  <w:style w:type="paragraph" w:customStyle="1" w:styleId="CommentText1">
    <w:name w:val="Comment Text1"/>
    <w:basedOn w:val="Normal"/>
    <w:next w:val="CommentText"/>
    <w:uiPriority w:val="99"/>
    <w:semiHidden/>
    <w:unhideWhenUsed/>
    <w:rsid w:val="00D93C65"/>
    <w:pPr>
      <w:spacing w:after="200"/>
    </w:pPr>
    <w:rPr>
      <w:rFonts w:eastAsiaTheme="minorHAnsi"/>
      <w:sz w:val="20"/>
      <w:szCs w:val="20"/>
    </w:rPr>
  </w:style>
  <w:style w:type="character" w:customStyle="1" w:styleId="CommentTextChar1">
    <w:name w:val="Comment Text Char1"/>
    <w:basedOn w:val="DefaultParagraphFont"/>
    <w:uiPriority w:val="99"/>
    <w:semiHidden/>
    <w:rsid w:val="00D93C65"/>
    <w:rPr>
      <w:rFonts w:ascii="Calibri" w:eastAsia="Times New Roman" w:hAnsi="Calibri" w:cs="Tahoma"/>
      <w:color w:val="000000"/>
      <w:sz w:val="20"/>
      <w:szCs w:val="20"/>
      <w:lang w:val="en-AU" w:eastAsia="en-AU"/>
    </w:rPr>
  </w:style>
  <w:style w:type="paragraph" w:customStyle="1" w:styleId="pp-first">
    <w:name w:val="p p-first"/>
    <w:basedOn w:val="Normal"/>
    <w:uiPriority w:val="99"/>
    <w:rsid w:val="00D93C65"/>
    <w:pPr>
      <w:spacing w:before="100" w:beforeAutospacing="1" w:after="100" w:afterAutospacing="1"/>
    </w:pPr>
  </w:style>
  <w:style w:type="paragraph" w:customStyle="1" w:styleId="pp-last">
    <w:name w:val="p p-last"/>
    <w:basedOn w:val="Normal"/>
    <w:uiPriority w:val="99"/>
    <w:rsid w:val="00D93C65"/>
    <w:pPr>
      <w:spacing w:before="100" w:beforeAutospacing="1" w:after="100" w:afterAutospacing="1"/>
    </w:pPr>
  </w:style>
  <w:style w:type="character" w:customStyle="1" w:styleId="citation">
    <w:name w:val="citation"/>
    <w:basedOn w:val="DefaultParagraphFont"/>
    <w:uiPriority w:val="99"/>
    <w:rsid w:val="00D93C65"/>
    <w:rPr>
      <w:rFonts w:cs="Times New Roman"/>
    </w:rPr>
  </w:style>
  <w:style w:type="character" w:customStyle="1" w:styleId="ref-journal">
    <w:name w:val="ref-journal"/>
    <w:basedOn w:val="DefaultParagraphFont"/>
    <w:uiPriority w:val="99"/>
    <w:rsid w:val="00D93C65"/>
    <w:rPr>
      <w:rFonts w:cs="Times New Roman"/>
    </w:rPr>
  </w:style>
  <w:style w:type="character" w:customStyle="1" w:styleId="ref-vol">
    <w:name w:val="ref-vol"/>
    <w:basedOn w:val="DefaultParagraphFont"/>
    <w:uiPriority w:val="99"/>
    <w:rsid w:val="00D93C65"/>
    <w:rPr>
      <w:rFonts w:cs="Times New Roman"/>
    </w:rPr>
  </w:style>
  <w:style w:type="character" w:customStyle="1" w:styleId="nowraprefpubmed">
    <w:name w:val="nowrap ref pubmed"/>
    <w:basedOn w:val="DefaultParagraphFont"/>
    <w:uiPriority w:val="99"/>
    <w:rsid w:val="00D93C65"/>
    <w:rPr>
      <w:rFonts w:cs="Times New Roman"/>
    </w:rPr>
  </w:style>
  <w:style w:type="character" w:customStyle="1" w:styleId="cit">
    <w:name w:val="cit"/>
    <w:basedOn w:val="DefaultParagraphFont"/>
    <w:uiPriority w:val="99"/>
    <w:rsid w:val="00D93C65"/>
    <w:rPr>
      <w:rFonts w:cs="Times New Roman"/>
    </w:rPr>
  </w:style>
  <w:style w:type="character" w:customStyle="1" w:styleId="doi">
    <w:name w:val="doi"/>
    <w:basedOn w:val="DefaultParagraphFont"/>
    <w:uiPriority w:val="99"/>
    <w:rsid w:val="00D93C65"/>
    <w:rPr>
      <w:rFonts w:cs="Times New Roman"/>
    </w:rPr>
  </w:style>
  <w:style w:type="character" w:customStyle="1" w:styleId="fm-citation-ids-label">
    <w:name w:val="fm-citation-ids-label"/>
    <w:basedOn w:val="DefaultParagraphFont"/>
    <w:uiPriority w:val="99"/>
    <w:rsid w:val="00D93C65"/>
    <w:rPr>
      <w:rFonts w:cs="Times New Roman"/>
    </w:rPr>
  </w:style>
  <w:style w:type="paragraph" w:customStyle="1" w:styleId="para">
    <w:name w:val="para"/>
    <w:basedOn w:val="Normal"/>
    <w:uiPriority w:val="99"/>
    <w:rsid w:val="00D93C65"/>
    <w:pPr>
      <w:spacing w:before="100" w:beforeAutospacing="1" w:after="100" w:afterAutospacing="1"/>
    </w:pPr>
  </w:style>
  <w:style w:type="paragraph" w:customStyle="1" w:styleId="tablecaption0">
    <w:name w:val="tablecaption"/>
    <w:basedOn w:val="Normal"/>
    <w:uiPriority w:val="99"/>
    <w:rsid w:val="00D93C65"/>
    <w:pPr>
      <w:spacing w:before="100" w:beforeAutospacing="1" w:after="100" w:afterAutospacing="1"/>
    </w:pPr>
  </w:style>
  <w:style w:type="paragraph" w:customStyle="1" w:styleId="table-main-body">
    <w:name w:val="table-main-body"/>
    <w:basedOn w:val="Normal"/>
    <w:uiPriority w:val="99"/>
    <w:rsid w:val="00D93C65"/>
    <w:pPr>
      <w:spacing w:before="100" w:beforeAutospacing="1" w:after="100" w:afterAutospacing="1"/>
    </w:pPr>
  </w:style>
  <w:style w:type="paragraph" w:customStyle="1" w:styleId="table-note">
    <w:name w:val="table-note"/>
    <w:basedOn w:val="Normal"/>
    <w:uiPriority w:val="99"/>
    <w:rsid w:val="00D93C65"/>
    <w:pPr>
      <w:spacing w:before="100" w:beforeAutospacing="1" w:after="100" w:afterAutospacing="1"/>
    </w:pPr>
  </w:style>
  <w:style w:type="paragraph" w:customStyle="1" w:styleId="CM24">
    <w:name w:val="CM24"/>
    <w:basedOn w:val="Normal"/>
    <w:next w:val="Normal"/>
    <w:rsid w:val="00D93C65"/>
    <w:pPr>
      <w:autoSpaceDE w:val="0"/>
      <w:autoSpaceDN w:val="0"/>
      <w:adjustRightInd w:val="0"/>
      <w:spacing w:after="0"/>
      <w:ind w:left="0"/>
    </w:pPr>
    <w:rPr>
      <w:rFonts w:ascii="Helvetica" w:hAnsi="Helvetica" w:cs="Times New Roman"/>
      <w:color w:val="auto"/>
      <w:sz w:val="24"/>
      <w:szCs w:val="24"/>
    </w:rPr>
  </w:style>
  <w:style w:type="table" w:customStyle="1" w:styleId="PlainTable41">
    <w:name w:val="Plain Table 41"/>
    <w:basedOn w:val="TableNormal"/>
    <w:uiPriority w:val="44"/>
    <w:rsid w:val="00D93C65"/>
    <w:rPr>
      <w:rFonts w:asciiTheme="minorHAnsi" w:eastAsiaTheme="minorEastAsia" w:hAnsiTheme="minorHAnsi" w:cstheme="minorBidi"/>
      <w:sz w:val="24"/>
      <w:szCs w:val="24"/>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antity-pre2">
    <w:name w:val="quantity-pre2"/>
    <w:basedOn w:val="DefaultParagraphFont"/>
    <w:rsid w:val="00D93C65"/>
  </w:style>
  <w:style w:type="character" w:customStyle="1" w:styleId="tgc">
    <w:name w:val="_tgc"/>
    <w:basedOn w:val="DefaultParagraphFont"/>
    <w:rsid w:val="007077AC"/>
  </w:style>
  <w:style w:type="paragraph" w:customStyle="1" w:styleId="PP-small">
    <w:name w:val="PP-small"/>
    <w:basedOn w:val="PP"/>
    <w:qFormat/>
    <w:rsid w:val="006528DB"/>
    <w:rPr>
      <w:sz w:val="20"/>
    </w:rPr>
  </w:style>
  <w:style w:type="paragraph" w:customStyle="1" w:styleId="PPbullsmall">
    <w:name w:val="PPbullsmall"/>
    <w:basedOn w:val="PT-bullets"/>
    <w:qFormat/>
    <w:rsid w:val="006528DB"/>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index heading" w:uiPriority="0"/>
    <w:lsdException w:name="caption" w:semiHidden="0" w:uiPriority="0" w:unhideWhenUsed="0" w:qFormat="1"/>
    <w:lsdException w:name="envelope address" w:uiPriority="0"/>
    <w:lsdException w:name="envelope return" w:uiPriority="0"/>
    <w:lsdException w:name="page number" w:uiPriority="0"/>
    <w:lsdException w:name="table of authorities" w:uiPriority="0"/>
    <w:lsdException w:name="macro" w:uiPriority="0"/>
    <w:lsdException w:name="toa heading"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Plain Text" w:uiPriority="0"/>
    <w:lsdException w:name="E-mail Signature" w:uiPriority="0"/>
    <w:lsdException w:name="HTML Address" w:uiPriority="0"/>
    <w:lsdException w:name="Table Simple 1"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D7C"/>
    <w:pPr>
      <w:spacing w:after="240"/>
      <w:ind w:left="720"/>
    </w:pPr>
    <w:rPr>
      <w:rFonts w:ascii="Calibri" w:eastAsia="Times New Roman" w:hAnsi="Calibri" w:cs="Tahoma"/>
      <w:color w:val="000000"/>
      <w:sz w:val="22"/>
      <w:szCs w:val="22"/>
    </w:rPr>
  </w:style>
  <w:style w:type="paragraph" w:styleId="Heading1">
    <w:name w:val="heading 1"/>
    <w:basedOn w:val="Normal"/>
    <w:next w:val="Normal"/>
    <w:link w:val="Heading1Char"/>
    <w:qFormat/>
    <w:rsid w:val="00CD1B51"/>
    <w:pPr>
      <w:keepNext/>
      <w:pBdr>
        <w:bottom w:val="single" w:sz="12" w:space="9" w:color="000000"/>
      </w:pBdr>
      <w:spacing w:after="480"/>
      <w:ind w:hanging="720"/>
      <w:outlineLvl w:val="0"/>
    </w:pPr>
    <w:rPr>
      <w:rFonts w:ascii="Arial" w:hAnsi="Arial" w:cs="Times New Roman"/>
      <w:b/>
      <w:bCs/>
      <w:spacing w:val="40"/>
      <w:kern w:val="28"/>
      <w:sz w:val="36"/>
      <w:szCs w:val="32"/>
      <w:lang w:val="x-none"/>
    </w:rPr>
  </w:style>
  <w:style w:type="paragraph" w:styleId="Heading2">
    <w:name w:val="heading 2"/>
    <w:aliases w:val="Head 1"/>
    <w:basedOn w:val="Normal"/>
    <w:next w:val="Normal"/>
    <w:link w:val="Heading2Char"/>
    <w:qFormat/>
    <w:rsid w:val="00CD1B51"/>
    <w:pPr>
      <w:keepNext/>
      <w:spacing w:before="240" w:after="120"/>
      <w:ind w:hanging="720"/>
      <w:outlineLvl w:val="1"/>
    </w:pPr>
    <w:rPr>
      <w:rFonts w:ascii="Arial" w:hAnsi="Arial" w:cs="Times New Roman"/>
      <w:b/>
      <w:bCs/>
      <w:iCs/>
      <w:sz w:val="26"/>
      <w:szCs w:val="28"/>
      <w:lang w:val="x-none"/>
    </w:rPr>
  </w:style>
  <w:style w:type="paragraph" w:styleId="Heading3">
    <w:name w:val="heading 3"/>
    <w:basedOn w:val="Normal"/>
    <w:next w:val="Normal"/>
    <w:link w:val="Heading3Char"/>
    <w:qFormat/>
    <w:rsid w:val="00882A1D"/>
    <w:pPr>
      <w:keepNext/>
      <w:spacing w:before="240" w:after="120"/>
      <w:ind w:left="1440" w:hanging="720"/>
      <w:outlineLvl w:val="2"/>
    </w:pPr>
    <w:rPr>
      <w:rFonts w:ascii="Arial" w:hAnsi="Arial" w:cs="Times New Roman"/>
      <w:b/>
      <w:bCs/>
      <w:szCs w:val="26"/>
      <w:lang w:val="x-none" w:eastAsia="x-none"/>
    </w:rPr>
  </w:style>
  <w:style w:type="paragraph" w:styleId="Heading4">
    <w:name w:val="heading 4"/>
    <w:basedOn w:val="Normal"/>
    <w:next w:val="Normal"/>
    <w:link w:val="Heading4Char"/>
    <w:qFormat/>
    <w:rsid w:val="00CD1B51"/>
    <w:pPr>
      <w:keepNext/>
      <w:spacing w:before="120" w:after="120"/>
      <w:outlineLvl w:val="3"/>
    </w:pPr>
    <w:rPr>
      <w:rFonts w:ascii="Arial" w:hAnsi="Arial" w:cs="Times New Roman"/>
      <w:b/>
      <w:bCs/>
      <w:sz w:val="20"/>
      <w:szCs w:val="28"/>
      <w:lang w:val="x-none"/>
    </w:rPr>
  </w:style>
  <w:style w:type="paragraph" w:styleId="Heading5">
    <w:name w:val="heading 5"/>
    <w:aliases w:val="Heading 5 no num"/>
    <w:basedOn w:val="Normal"/>
    <w:next w:val="Normal"/>
    <w:link w:val="Heading5Char"/>
    <w:qFormat/>
    <w:rsid w:val="00415905"/>
    <w:pPr>
      <w:keepNext/>
      <w:spacing w:before="60" w:after="60"/>
      <w:outlineLvl w:val="4"/>
    </w:pPr>
    <w:rPr>
      <w:rFonts w:cs="Times New Roman"/>
      <w:b/>
      <w:bCs/>
      <w:i/>
      <w:iCs/>
      <w:szCs w:val="26"/>
      <w:lang w:val="x-none" w:eastAsia="x-none"/>
    </w:rPr>
  </w:style>
  <w:style w:type="paragraph" w:styleId="Heading6">
    <w:name w:val="heading 6"/>
    <w:basedOn w:val="Normal"/>
    <w:next w:val="Normal"/>
    <w:link w:val="Heading6Char"/>
    <w:uiPriority w:val="9"/>
    <w:qFormat/>
    <w:rsid w:val="008429DC"/>
    <w:pPr>
      <w:keepNext/>
      <w:keepLines/>
      <w:spacing w:before="200" w:after="0"/>
      <w:outlineLvl w:val="5"/>
    </w:pPr>
    <w:rPr>
      <w:rFonts w:ascii="Cambria" w:eastAsia="PMingLiU" w:hAnsi="Cambria" w:cs="Times New Roman"/>
      <w:i/>
      <w:iCs/>
      <w:color w:val="243F60"/>
      <w:lang w:val="x-none"/>
    </w:rPr>
  </w:style>
  <w:style w:type="paragraph" w:styleId="Heading7">
    <w:name w:val="heading 7"/>
    <w:aliases w:val="H7nonum"/>
    <w:basedOn w:val="Normal"/>
    <w:next w:val="Normal"/>
    <w:link w:val="Heading7Char"/>
    <w:uiPriority w:val="9"/>
    <w:qFormat/>
    <w:rsid w:val="00F5720A"/>
    <w:pPr>
      <w:keepNext/>
      <w:spacing w:after="120" w:line="360" w:lineRule="auto"/>
      <w:outlineLvl w:val="6"/>
    </w:pPr>
    <w:rPr>
      <w:rFonts w:cs="Times New Roman"/>
      <w:i/>
      <w:iCs/>
      <w:lang w:val="x-none" w:eastAsia="en-US"/>
    </w:rPr>
  </w:style>
  <w:style w:type="paragraph" w:styleId="Heading8">
    <w:name w:val="heading 8"/>
    <w:basedOn w:val="Normal"/>
    <w:next w:val="Normal"/>
    <w:link w:val="Heading8Char"/>
    <w:uiPriority w:val="9"/>
    <w:qFormat/>
    <w:rsid w:val="00F5720A"/>
    <w:pPr>
      <w:keepNext/>
      <w:spacing w:after="120" w:line="360" w:lineRule="auto"/>
      <w:outlineLvl w:val="7"/>
    </w:pPr>
    <w:rPr>
      <w:rFonts w:cs="Times New Roman"/>
      <w:bCs/>
      <w:i/>
      <w:lang w:val="x-none" w:eastAsia="en-US"/>
    </w:rPr>
  </w:style>
  <w:style w:type="paragraph" w:styleId="Heading9">
    <w:name w:val="heading 9"/>
    <w:aliases w:val="cover page title"/>
    <w:basedOn w:val="Normal"/>
    <w:next w:val="Normal"/>
    <w:link w:val="Heading9Char"/>
    <w:uiPriority w:val="9"/>
    <w:qFormat/>
    <w:rsid w:val="00F5720A"/>
    <w:pPr>
      <w:spacing w:before="240" w:after="60"/>
      <w:ind w:left="3600"/>
      <w:outlineLvl w:val="8"/>
    </w:pPr>
    <w:rPr>
      <w:rFonts w:ascii="Garamond" w:hAnsi="Garamond" w:cs="Times New Roman"/>
      <w:b/>
      <w:bCs/>
      <w:smallCaps/>
      <w:sz w:val="4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Title"/>
    <w:basedOn w:val="Normal"/>
    <w:unhideWhenUsed/>
    <w:rsid w:val="00CD1B51"/>
    <w:pPr>
      <w:spacing w:before="240" w:after="60"/>
      <w:jc w:val="right"/>
    </w:pPr>
    <w:rPr>
      <w:rFonts w:ascii="Arial Bold" w:hAnsi="Arial Bold"/>
      <w:b/>
      <w:bCs/>
      <w:sz w:val="48"/>
    </w:rPr>
  </w:style>
  <w:style w:type="paragraph" w:customStyle="1" w:styleId="ReportSubtitle">
    <w:name w:val="Report Subtitle"/>
    <w:basedOn w:val="Normal"/>
    <w:link w:val="ReportSubtitleChar"/>
    <w:unhideWhenUsed/>
    <w:rsid w:val="00CD1B51"/>
    <w:pPr>
      <w:jc w:val="right"/>
    </w:pPr>
    <w:rPr>
      <w:rFonts w:ascii="Arial Bold" w:hAnsi="Arial Bold"/>
      <w:b/>
      <w:bCs/>
      <w:sz w:val="40"/>
    </w:rPr>
  </w:style>
  <w:style w:type="paragraph" w:customStyle="1" w:styleId="ReportDate">
    <w:name w:val="ReportDate"/>
    <w:basedOn w:val="Normal"/>
    <w:unhideWhenUsed/>
    <w:rsid w:val="00CD1B51"/>
    <w:pPr>
      <w:jc w:val="right"/>
    </w:pPr>
    <w:rPr>
      <w:rFonts w:ascii="Arial" w:hAnsi="Arial"/>
      <w:sz w:val="40"/>
    </w:rPr>
  </w:style>
  <w:style w:type="paragraph" w:customStyle="1" w:styleId="Heading1a">
    <w:name w:val="Heading 1a"/>
    <w:basedOn w:val="Heading1"/>
    <w:next w:val="Normal"/>
    <w:unhideWhenUsed/>
    <w:rsid w:val="00CD1B51"/>
    <w:pPr>
      <w:outlineLvl w:val="9"/>
    </w:pPr>
  </w:style>
  <w:style w:type="paragraph" w:customStyle="1" w:styleId="Heading2a">
    <w:name w:val="Heading 2a"/>
    <w:basedOn w:val="Heading2"/>
    <w:next w:val="Normal"/>
    <w:unhideWhenUsed/>
    <w:rsid w:val="00CD1B51"/>
    <w:pPr>
      <w:outlineLvl w:val="9"/>
    </w:pPr>
  </w:style>
  <w:style w:type="paragraph" w:customStyle="1" w:styleId="Heading3a">
    <w:name w:val="Heading 3a"/>
    <w:basedOn w:val="Heading3"/>
    <w:next w:val="Normal"/>
    <w:uiPriority w:val="99"/>
    <w:unhideWhenUsed/>
    <w:rsid w:val="00CD1B51"/>
    <w:pPr>
      <w:outlineLvl w:val="9"/>
    </w:pPr>
  </w:style>
  <w:style w:type="paragraph" w:styleId="Header">
    <w:name w:val="header"/>
    <w:basedOn w:val="Normal"/>
    <w:link w:val="HeaderChar"/>
    <w:uiPriority w:val="99"/>
    <w:unhideWhenUsed/>
    <w:rsid w:val="00CD1B51"/>
    <w:pPr>
      <w:tabs>
        <w:tab w:val="right" w:pos="9000"/>
      </w:tabs>
      <w:spacing w:after="0"/>
      <w:ind w:left="0"/>
    </w:pPr>
    <w:rPr>
      <w:rFonts w:cs="Times New Roman"/>
      <w:sz w:val="18"/>
      <w:lang w:val="x-none"/>
    </w:rPr>
  </w:style>
  <w:style w:type="paragraph" w:styleId="Footer">
    <w:name w:val="footer"/>
    <w:basedOn w:val="Normal"/>
    <w:link w:val="FooterChar"/>
    <w:rsid w:val="00CD1B51"/>
    <w:pPr>
      <w:pBdr>
        <w:top w:val="single" w:sz="2" w:space="3" w:color="000000"/>
      </w:pBdr>
      <w:tabs>
        <w:tab w:val="right" w:pos="9000"/>
      </w:tabs>
      <w:spacing w:after="0"/>
      <w:ind w:left="0"/>
    </w:pPr>
    <w:rPr>
      <w:rFonts w:cs="Times New Roman"/>
      <w:i/>
      <w:sz w:val="20"/>
      <w:lang w:val="x-none" w:eastAsia="x-none"/>
    </w:rPr>
  </w:style>
  <w:style w:type="character" w:styleId="PageNumber">
    <w:name w:val="page number"/>
    <w:rsid w:val="00CD1B51"/>
    <w:rPr>
      <w:b/>
    </w:rPr>
  </w:style>
  <w:style w:type="paragraph" w:customStyle="1" w:styleId="TableText">
    <w:name w:val="TableText"/>
    <w:basedOn w:val="Normal"/>
    <w:link w:val="TableTextChar"/>
    <w:unhideWhenUsed/>
    <w:rsid w:val="00CD1B51"/>
    <w:pPr>
      <w:keepNext/>
      <w:spacing w:before="20" w:after="20"/>
      <w:ind w:left="0"/>
    </w:pPr>
    <w:rPr>
      <w:rFonts w:ascii="Arial Narrow" w:hAnsi="Arial Narrow"/>
      <w:sz w:val="20"/>
      <w:szCs w:val="21"/>
    </w:rPr>
  </w:style>
  <w:style w:type="paragraph" w:customStyle="1" w:styleId="TableFigNotes18">
    <w:name w:val="TableFigNotes+18"/>
    <w:basedOn w:val="TableText"/>
    <w:link w:val="TableFigNotes18Char"/>
    <w:unhideWhenUsed/>
    <w:qFormat/>
    <w:rsid w:val="00CD1B51"/>
    <w:pPr>
      <w:keepNext w:val="0"/>
      <w:keepLines/>
      <w:spacing w:before="0" w:after="360"/>
      <w:ind w:left="720"/>
    </w:pPr>
    <w:rPr>
      <w:sz w:val="18"/>
      <w:szCs w:val="18"/>
    </w:rPr>
  </w:style>
  <w:style w:type="paragraph" w:customStyle="1" w:styleId="TableFigNotes0">
    <w:name w:val="TableFigNotes+0"/>
    <w:basedOn w:val="TableFigNotes18"/>
    <w:link w:val="TableFigNotes0Char"/>
    <w:unhideWhenUsed/>
    <w:rsid w:val="00993C73"/>
    <w:pPr>
      <w:spacing w:after="0"/>
      <w:ind w:left="0"/>
    </w:pPr>
    <w:rPr>
      <w:rFonts w:ascii="Calibri" w:hAnsi="Calibri"/>
    </w:rPr>
  </w:style>
  <w:style w:type="paragraph" w:customStyle="1" w:styleId="TableName">
    <w:name w:val="TableName"/>
    <w:basedOn w:val="TableText"/>
    <w:unhideWhenUsed/>
    <w:rsid w:val="00CD1B51"/>
    <w:pPr>
      <w:tabs>
        <w:tab w:val="left" w:pos="1800"/>
      </w:tabs>
      <w:spacing w:before="120" w:after="120"/>
      <w:ind w:left="1800" w:hanging="1080"/>
    </w:pPr>
    <w:rPr>
      <w:b/>
      <w:bCs/>
      <w:sz w:val="22"/>
    </w:rPr>
  </w:style>
  <w:style w:type="paragraph" w:customStyle="1" w:styleId="TableHeading">
    <w:name w:val="TableHeading"/>
    <w:basedOn w:val="TableText"/>
    <w:link w:val="TableHeadingChar"/>
    <w:unhideWhenUsed/>
    <w:qFormat/>
    <w:rsid w:val="00CD1B51"/>
    <w:rPr>
      <w:b/>
      <w:bCs/>
    </w:rPr>
  </w:style>
  <w:style w:type="paragraph" w:customStyle="1" w:styleId="TableBullet">
    <w:name w:val="TableBullet"/>
    <w:basedOn w:val="TableText"/>
    <w:link w:val="TableBulletChar"/>
    <w:unhideWhenUsed/>
    <w:rsid w:val="00DC238E"/>
    <w:pPr>
      <w:numPr>
        <w:numId w:val="1"/>
      </w:numPr>
      <w:tabs>
        <w:tab w:val="clear" w:pos="360"/>
        <w:tab w:val="left" w:pos="216"/>
      </w:tabs>
      <w:ind w:left="216" w:hanging="216"/>
    </w:pPr>
    <w:rPr>
      <w:szCs w:val="20"/>
    </w:rPr>
  </w:style>
  <w:style w:type="paragraph" w:customStyle="1" w:styleId="TableDash">
    <w:name w:val="TableDash"/>
    <w:basedOn w:val="TableText"/>
    <w:unhideWhenUsed/>
    <w:rsid w:val="00CD1B51"/>
    <w:pPr>
      <w:numPr>
        <w:numId w:val="2"/>
      </w:numPr>
      <w:tabs>
        <w:tab w:val="clear" w:pos="216"/>
        <w:tab w:val="num" w:pos="432"/>
      </w:tabs>
    </w:pPr>
  </w:style>
  <w:style w:type="paragraph" w:styleId="Quote">
    <w:name w:val="Quote"/>
    <w:basedOn w:val="Normal"/>
    <w:link w:val="QuoteChar"/>
    <w:qFormat/>
    <w:rsid w:val="00CD1B51"/>
    <w:pPr>
      <w:ind w:left="1440" w:right="720"/>
    </w:pPr>
    <w:rPr>
      <w:rFonts w:cs="Times New Roman"/>
      <w:sz w:val="20"/>
      <w:lang w:val="x-none"/>
    </w:rPr>
  </w:style>
  <w:style w:type="paragraph" w:customStyle="1" w:styleId="References">
    <w:name w:val="References"/>
    <w:basedOn w:val="Normal"/>
    <w:unhideWhenUsed/>
    <w:rsid w:val="00CD1B51"/>
    <w:pPr>
      <w:keepLines/>
      <w:ind w:left="1440" w:hanging="720"/>
    </w:pPr>
  </w:style>
  <w:style w:type="paragraph" w:customStyle="1" w:styleId="PartTitle">
    <w:name w:val="PartTitle"/>
    <w:basedOn w:val="Normal"/>
    <w:unhideWhenUsed/>
    <w:rsid w:val="00CD1B51"/>
    <w:pPr>
      <w:spacing w:before="240" w:after="60"/>
      <w:jc w:val="center"/>
    </w:pPr>
    <w:rPr>
      <w:rFonts w:ascii="Arial" w:hAnsi="Arial" w:cs="Arial"/>
      <w:b/>
      <w:bCs/>
      <w:sz w:val="40"/>
    </w:rPr>
  </w:style>
  <w:style w:type="paragraph" w:styleId="FootnoteText">
    <w:name w:val="footnote text"/>
    <w:basedOn w:val="Normal"/>
    <w:link w:val="FootnoteTextChar"/>
    <w:uiPriority w:val="99"/>
    <w:rsid w:val="009E094A"/>
    <w:pPr>
      <w:spacing w:after="0"/>
      <w:ind w:left="0"/>
    </w:pPr>
    <w:rPr>
      <w:rFonts w:cs="Times New Roman"/>
      <w:sz w:val="18"/>
      <w:lang w:val="x-none"/>
    </w:rPr>
  </w:style>
  <w:style w:type="character" w:styleId="FootnoteReference">
    <w:name w:val="footnote reference"/>
    <w:uiPriority w:val="99"/>
    <w:rsid w:val="00CD1B51"/>
    <w:rPr>
      <w:vertAlign w:val="superscript"/>
    </w:rPr>
  </w:style>
  <w:style w:type="paragraph" w:customStyle="1" w:styleId="FigurePara">
    <w:name w:val="FigurePara"/>
    <w:basedOn w:val="Normal"/>
    <w:unhideWhenUsed/>
    <w:rsid w:val="00CD1B51"/>
    <w:pPr>
      <w:keepNext/>
      <w:spacing w:after="0"/>
    </w:pPr>
  </w:style>
  <w:style w:type="paragraph" w:customStyle="1" w:styleId="FigureName">
    <w:name w:val="FigureName"/>
    <w:basedOn w:val="Normal"/>
    <w:link w:val="FigureNameChar"/>
    <w:unhideWhenUsed/>
    <w:rsid w:val="00CD1B51"/>
    <w:pPr>
      <w:keepLines/>
      <w:tabs>
        <w:tab w:val="left" w:pos="1800"/>
      </w:tabs>
      <w:spacing w:before="120" w:after="360"/>
      <w:ind w:left="1800" w:hanging="1080"/>
    </w:pPr>
    <w:rPr>
      <w:rFonts w:ascii="Arial Narrow" w:hAnsi="Arial Narrow"/>
      <w:b/>
      <w:bCs/>
    </w:rPr>
  </w:style>
  <w:style w:type="paragraph" w:styleId="TOC1">
    <w:name w:val="toc 1"/>
    <w:basedOn w:val="Normal"/>
    <w:next w:val="Normal"/>
    <w:autoRedefine/>
    <w:uiPriority w:val="39"/>
    <w:unhideWhenUsed/>
    <w:rsid w:val="00CB2854"/>
    <w:pPr>
      <w:keepNext/>
      <w:tabs>
        <w:tab w:val="left" w:pos="1440"/>
        <w:tab w:val="right" w:leader="dot" w:pos="9016"/>
      </w:tabs>
      <w:spacing w:before="360" w:after="60"/>
      <w:ind w:left="1440" w:right="720" w:hanging="720"/>
    </w:pPr>
    <w:rPr>
      <w:b/>
      <w:bCs/>
      <w:noProof/>
    </w:rPr>
  </w:style>
  <w:style w:type="paragraph" w:styleId="TOC2">
    <w:name w:val="toc 2"/>
    <w:basedOn w:val="Normal"/>
    <w:next w:val="Normal"/>
    <w:autoRedefine/>
    <w:uiPriority w:val="39"/>
    <w:unhideWhenUsed/>
    <w:rsid w:val="00CD1B51"/>
    <w:pPr>
      <w:tabs>
        <w:tab w:val="left" w:pos="2160"/>
        <w:tab w:val="right" w:leader="dot" w:pos="9016"/>
      </w:tabs>
      <w:spacing w:before="180" w:after="60"/>
      <w:ind w:left="2160" w:right="720" w:hanging="720"/>
    </w:pPr>
  </w:style>
  <w:style w:type="paragraph" w:styleId="TOC3">
    <w:name w:val="toc 3"/>
    <w:basedOn w:val="Normal"/>
    <w:next w:val="Normal"/>
    <w:autoRedefine/>
    <w:uiPriority w:val="39"/>
    <w:unhideWhenUsed/>
    <w:rsid w:val="00CD1B51"/>
    <w:pPr>
      <w:tabs>
        <w:tab w:val="left" w:pos="2880"/>
        <w:tab w:val="right" w:leader="dot" w:pos="9016"/>
      </w:tabs>
      <w:spacing w:after="20"/>
      <w:ind w:left="2880" w:right="720" w:hanging="720"/>
    </w:pPr>
  </w:style>
  <w:style w:type="paragraph" w:styleId="TableofFigures">
    <w:name w:val="table of figures"/>
    <w:basedOn w:val="Normal"/>
    <w:next w:val="Normal"/>
    <w:uiPriority w:val="99"/>
    <w:unhideWhenUsed/>
    <w:rsid w:val="00CD1B51"/>
    <w:pPr>
      <w:tabs>
        <w:tab w:val="left" w:pos="1800"/>
        <w:tab w:val="right" w:leader="dot" w:pos="9000"/>
      </w:tabs>
      <w:spacing w:after="120"/>
      <w:ind w:left="1800" w:right="720" w:hanging="1080"/>
    </w:pPr>
  </w:style>
  <w:style w:type="character" w:customStyle="1" w:styleId="HeaderChar">
    <w:name w:val="Header Char"/>
    <w:link w:val="Header"/>
    <w:uiPriority w:val="99"/>
    <w:rsid w:val="00672FE1"/>
    <w:rPr>
      <w:rFonts w:ascii="Calibri" w:eastAsia="Times New Roman" w:hAnsi="Calibri" w:cs="Tahoma"/>
      <w:color w:val="000000"/>
      <w:sz w:val="18"/>
      <w:szCs w:val="22"/>
      <w:lang w:eastAsia="en-AU"/>
    </w:rPr>
  </w:style>
  <w:style w:type="paragraph" w:customStyle="1" w:styleId="Bullet0">
    <w:name w:val="Bullet+0"/>
    <w:basedOn w:val="Normal"/>
    <w:link w:val="Bullet0Char"/>
    <w:qFormat/>
    <w:rsid w:val="00A12236"/>
    <w:pPr>
      <w:numPr>
        <w:numId w:val="20"/>
      </w:numPr>
      <w:tabs>
        <w:tab w:val="left" w:pos="1080"/>
      </w:tabs>
      <w:spacing w:after="0"/>
    </w:pPr>
    <w:rPr>
      <w:rFonts w:cs="Times New Roman"/>
      <w:lang w:val="x-none" w:eastAsia="x-none"/>
    </w:rPr>
  </w:style>
  <w:style w:type="paragraph" w:customStyle="1" w:styleId="Bullet6">
    <w:name w:val="Bullet+6"/>
    <w:basedOn w:val="Bullet0"/>
    <w:link w:val="Bullet6Char"/>
    <w:qFormat/>
    <w:rsid w:val="00A12236"/>
    <w:pPr>
      <w:tabs>
        <w:tab w:val="clear" w:pos="360"/>
      </w:tabs>
      <w:spacing w:after="120"/>
      <w:ind w:left="1080"/>
    </w:pPr>
  </w:style>
  <w:style w:type="paragraph" w:customStyle="1" w:styleId="Bullet12">
    <w:name w:val="Bullet+12"/>
    <w:basedOn w:val="Bullet6"/>
    <w:link w:val="Bullet12Char"/>
    <w:qFormat/>
    <w:rsid w:val="00A12236"/>
    <w:pPr>
      <w:spacing w:after="240"/>
    </w:pPr>
  </w:style>
  <w:style w:type="paragraph" w:customStyle="1" w:styleId="Dash0">
    <w:name w:val="Dash+0"/>
    <w:basedOn w:val="Normal"/>
    <w:unhideWhenUsed/>
    <w:rsid w:val="00CD1B51"/>
    <w:pPr>
      <w:numPr>
        <w:numId w:val="4"/>
      </w:numPr>
      <w:tabs>
        <w:tab w:val="left" w:pos="1440"/>
      </w:tabs>
      <w:spacing w:after="0"/>
    </w:pPr>
  </w:style>
  <w:style w:type="paragraph" w:customStyle="1" w:styleId="Dash6">
    <w:name w:val="Dash+6"/>
    <w:basedOn w:val="Dash0"/>
    <w:unhideWhenUsed/>
    <w:rsid w:val="00D85135"/>
    <w:pPr>
      <w:tabs>
        <w:tab w:val="clear" w:pos="216"/>
      </w:tabs>
      <w:spacing w:after="120"/>
      <w:ind w:left="1418" w:hanging="284"/>
    </w:pPr>
  </w:style>
  <w:style w:type="paragraph" w:customStyle="1" w:styleId="Dash12">
    <w:name w:val="Dash+12"/>
    <w:basedOn w:val="Dash6"/>
    <w:unhideWhenUsed/>
    <w:rsid w:val="00CD1B51"/>
    <w:pPr>
      <w:spacing w:after="240"/>
    </w:pPr>
  </w:style>
  <w:style w:type="paragraph" w:customStyle="1" w:styleId="Normalbeforebullet">
    <w:name w:val="Normal (before bullet)"/>
    <w:basedOn w:val="Normal"/>
    <w:link w:val="NormalbeforebulletChar"/>
    <w:unhideWhenUsed/>
    <w:rsid w:val="00FF2787"/>
    <w:pPr>
      <w:keepNext/>
      <w:spacing w:after="120"/>
      <w:ind w:left="709"/>
    </w:pPr>
    <w:rPr>
      <w:rFonts w:cs="Times New Roman"/>
      <w:szCs w:val="20"/>
      <w:lang w:val="en-GB" w:eastAsia="en-GB"/>
    </w:rPr>
  </w:style>
  <w:style w:type="paragraph" w:customStyle="1" w:styleId="BoxText">
    <w:name w:val="BoxText"/>
    <w:basedOn w:val="Normal"/>
    <w:link w:val="BoxTextChar"/>
    <w:unhideWhenUsed/>
    <w:qFormat/>
    <w:rsid w:val="00CD1B51"/>
    <w:pPr>
      <w:pBdr>
        <w:top w:val="single" w:sz="4" w:space="4" w:color="000000"/>
        <w:left w:val="single" w:sz="4" w:space="4" w:color="000000"/>
        <w:bottom w:val="single" w:sz="4" w:space="4" w:color="000000"/>
        <w:right w:val="single" w:sz="4" w:space="4" w:color="000000"/>
      </w:pBdr>
      <w:spacing w:after="120"/>
      <w:ind w:left="806" w:right="58"/>
    </w:pPr>
    <w:rPr>
      <w:rFonts w:cs="Times New Roman"/>
      <w:lang w:val="x-none" w:eastAsia="x-none"/>
    </w:rPr>
  </w:style>
  <w:style w:type="paragraph" w:customStyle="1" w:styleId="BoxNotes">
    <w:name w:val="BoxNotes"/>
    <w:basedOn w:val="BoxText"/>
    <w:unhideWhenUsed/>
    <w:rsid w:val="00CD1B51"/>
    <w:pPr>
      <w:spacing w:before="120" w:after="60"/>
    </w:pPr>
    <w:rPr>
      <w:sz w:val="18"/>
    </w:rPr>
  </w:style>
  <w:style w:type="paragraph" w:customStyle="1" w:styleId="BoxName">
    <w:name w:val="BoxName"/>
    <w:basedOn w:val="BoxText"/>
    <w:unhideWhenUsed/>
    <w:rsid w:val="00CD1B51"/>
    <w:pPr>
      <w:keepNext/>
      <w:spacing w:before="180"/>
      <w:ind w:left="1886" w:hanging="1080"/>
    </w:pPr>
    <w:rPr>
      <w:rFonts w:ascii="Arial Narrow" w:hAnsi="Arial Narrow"/>
      <w:b/>
      <w:bCs/>
    </w:rPr>
  </w:style>
  <w:style w:type="paragraph" w:customStyle="1" w:styleId="BoxHeading">
    <w:name w:val="BoxHeading"/>
    <w:basedOn w:val="BoxText"/>
    <w:link w:val="BoxHeadingChar"/>
    <w:unhideWhenUsed/>
    <w:qFormat/>
    <w:rsid w:val="00CD1B51"/>
    <w:pPr>
      <w:keepNext/>
      <w:spacing w:before="120" w:after="60"/>
    </w:pPr>
    <w:rPr>
      <w:b/>
      <w:bCs/>
    </w:rPr>
  </w:style>
  <w:style w:type="paragraph" w:customStyle="1" w:styleId="BoxBullet">
    <w:name w:val="BoxBullet"/>
    <w:basedOn w:val="BoxText"/>
    <w:unhideWhenUsed/>
    <w:rsid w:val="00CD1B51"/>
    <w:pPr>
      <w:numPr>
        <w:numId w:val="5"/>
      </w:numPr>
      <w:tabs>
        <w:tab w:val="clear" w:pos="360"/>
        <w:tab w:val="left" w:pos="1166"/>
      </w:tabs>
      <w:ind w:left="1166"/>
    </w:pPr>
  </w:style>
  <w:style w:type="paragraph" w:customStyle="1" w:styleId="BoxDash">
    <w:name w:val="BoxDash"/>
    <w:basedOn w:val="BoxText"/>
    <w:unhideWhenUsed/>
    <w:rsid w:val="00CD1B51"/>
    <w:pPr>
      <w:tabs>
        <w:tab w:val="left" w:pos="806"/>
        <w:tab w:val="left" w:pos="1166"/>
      </w:tabs>
      <w:ind w:left="1526" w:hanging="720"/>
    </w:pPr>
  </w:style>
  <w:style w:type="paragraph" w:customStyle="1" w:styleId="FigureNameBF">
    <w:name w:val="FigureNameBF"/>
    <w:basedOn w:val="FigureName"/>
    <w:unhideWhenUsed/>
    <w:rsid w:val="00CD1B51"/>
    <w:pPr>
      <w:keepNext/>
      <w:spacing w:after="120"/>
    </w:pPr>
  </w:style>
  <w:style w:type="paragraph" w:styleId="Index1">
    <w:name w:val="index 1"/>
    <w:basedOn w:val="Normal"/>
    <w:next w:val="Normal"/>
    <w:autoRedefine/>
    <w:rsid w:val="00CD1B51"/>
    <w:pPr>
      <w:spacing w:after="0"/>
      <w:ind w:left="936" w:hanging="216"/>
    </w:pPr>
    <w:rPr>
      <w:noProof/>
    </w:rPr>
  </w:style>
  <w:style w:type="paragraph" w:styleId="Index2">
    <w:name w:val="index 2"/>
    <w:basedOn w:val="Normal"/>
    <w:next w:val="Normal"/>
    <w:autoRedefine/>
    <w:rsid w:val="00CD1B51"/>
    <w:pPr>
      <w:spacing w:after="0"/>
      <w:ind w:left="1152" w:hanging="216"/>
    </w:pPr>
    <w:rPr>
      <w:noProof/>
    </w:rPr>
  </w:style>
  <w:style w:type="paragraph" w:styleId="TOC4">
    <w:name w:val="toc 4"/>
    <w:basedOn w:val="Normal"/>
    <w:next w:val="Normal"/>
    <w:autoRedefine/>
    <w:rsid w:val="00CD1B51"/>
    <w:pPr>
      <w:tabs>
        <w:tab w:val="right" w:leader="dot" w:pos="9016"/>
      </w:tabs>
      <w:spacing w:after="0"/>
      <w:ind w:left="2880" w:right="720"/>
    </w:pPr>
    <w:rPr>
      <w:noProof/>
      <w:szCs w:val="24"/>
    </w:rPr>
  </w:style>
  <w:style w:type="paragraph" w:customStyle="1" w:styleId="NumberList">
    <w:name w:val="NumberList"/>
    <w:basedOn w:val="Normal"/>
    <w:unhideWhenUsed/>
    <w:rsid w:val="00CD1B51"/>
    <w:pPr>
      <w:tabs>
        <w:tab w:val="left" w:pos="1080"/>
      </w:tabs>
      <w:ind w:left="1080" w:hanging="360"/>
    </w:pPr>
  </w:style>
  <w:style w:type="paragraph" w:customStyle="1" w:styleId="TableSource18">
    <w:name w:val="TableSource+18"/>
    <w:basedOn w:val="TableFigNotes18"/>
    <w:unhideWhenUsed/>
    <w:rsid w:val="00CD1B51"/>
    <w:pPr>
      <w:ind w:hanging="720"/>
    </w:pPr>
  </w:style>
  <w:style w:type="paragraph" w:customStyle="1" w:styleId="TableSource0">
    <w:name w:val="TableSource+0"/>
    <w:basedOn w:val="TableSource18"/>
    <w:unhideWhenUsed/>
    <w:rsid w:val="00CD1B51"/>
    <w:pPr>
      <w:spacing w:after="0"/>
      <w:ind w:left="1440"/>
    </w:pPr>
  </w:style>
  <w:style w:type="character" w:styleId="PlaceholderText">
    <w:name w:val="Placeholder Text"/>
    <w:uiPriority w:val="99"/>
    <w:semiHidden/>
    <w:rsid w:val="00CD1B51"/>
    <w:rPr>
      <w:color w:val="808080"/>
    </w:rPr>
  </w:style>
  <w:style w:type="paragraph" w:styleId="BalloonText">
    <w:name w:val="Balloon Text"/>
    <w:basedOn w:val="Normal"/>
    <w:link w:val="BalloonTextChar"/>
    <w:semiHidden/>
    <w:rsid w:val="00CD1B51"/>
    <w:rPr>
      <w:rFonts w:ascii="Tahoma" w:hAnsi="Tahoma" w:cs="Times New Roman"/>
      <w:sz w:val="16"/>
      <w:szCs w:val="16"/>
      <w:lang w:val="x-none"/>
    </w:rPr>
  </w:style>
  <w:style w:type="table" w:styleId="TableGrid">
    <w:name w:val="Table Grid"/>
    <w:basedOn w:val="TableNormal"/>
    <w:uiPriority w:val="59"/>
    <w:rsid w:val="00CD1B5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FigNotes6">
    <w:name w:val="TableFigNotes+6"/>
    <w:basedOn w:val="TableFigNotes0"/>
    <w:unhideWhenUsed/>
    <w:rsid w:val="00723740"/>
    <w:pPr>
      <w:spacing w:after="120"/>
    </w:pPr>
  </w:style>
  <w:style w:type="character" w:customStyle="1" w:styleId="DesignerNotes">
    <w:name w:val="DesignerNotes"/>
    <w:unhideWhenUsed/>
    <w:rsid w:val="00CD1B51"/>
    <w:rPr>
      <w:rFonts w:ascii="Arial" w:hAnsi="Arial"/>
      <w:color w:val="3366FF"/>
      <w:sz w:val="20"/>
    </w:rPr>
  </w:style>
  <w:style w:type="character" w:styleId="CommentReference">
    <w:name w:val="annotation reference"/>
    <w:uiPriority w:val="99"/>
    <w:rsid w:val="00CD1B51"/>
    <w:rPr>
      <w:sz w:val="16"/>
      <w:szCs w:val="16"/>
    </w:rPr>
  </w:style>
  <w:style w:type="paragraph" w:styleId="CommentText">
    <w:name w:val="annotation text"/>
    <w:basedOn w:val="Normal"/>
    <w:link w:val="CommentTextChar"/>
    <w:uiPriority w:val="99"/>
    <w:rsid w:val="00CD1B51"/>
    <w:pPr>
      <w:spacing w:after="0"/>
      <w:ind w:left="0"/>
    </w:pPr>
    <w:rPr>
      <w:rFonts w:cs="Times New Roman"/>
      <w:color w:val="auto"/>
      <w:sz w:val="20"/>
      <w:lang w:val="x-none" w:eastAsia="en-US"/>
    </w:rPr>
  </w:style>
  <w:style w:type="character" w:customStyle="1" w:styleId="CommentTextChar">
    <w:name w:val="Comment Text Char"/>
    <w:link w:val="CommentText"/>
    <w:uiPriority w:val="99"/>
    <w:rsid w:val="00CD1B51"/>
    <w:rPr>
      <w:rFonts w:ascii="Calibri" w:eastAsia="Times New Roman" w:hAnsi="Calibri" w:cs="Tahoma"/>
      <w:szCs w:val="22"/>
      <w:lang w:eastAsia="en-US"/>
    </w:rPr>
  </w:style>
  <w:style w:type="paragraph" w:customStyle="1" w:styleId="Default">
    <w:name w:val="Default"/>
    <w:link w:val="DefaultChar"/>
    <w:unhideWhenUsed/>
    <w:rsid w:val="00CD1B51"/>
    <w:pPr>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uiPriority w:val="99"/>
    <w:rsid w:val="00CD1B51"/>
    <w:pPr>
      <w:spacing w:after="0"/>
      <w:ind w:left="0"/>
    </w:pPr>
    <w:rPr>
      <w:rFonts w:cs="Times New Roman"/>
      <w:color w:val="auto"/>
      <w:sz w:val="20"/>
      <w:lang w:val="x-none" w:eastAsia="en-US"/>
    </w:rPr>
  </w:style>
  <w:style w:type="character" w:customStyle="1" w:styleId="EndnoteTextChar">
    <w:name w:val="Endnote Text Char"/>
    <w:link w:val="EndnoteText"/>
    <w:uiPriority w:val="99"/>
    <w:rsid w:val="00CD1B51"/>
    <w:rPr>
      <w:rFonts w:ascii="Calibri" w:eastAsia="Times New Roman" w:hAnsi="Calibri" w:cs="Tahoma"/>
      <w:szCs w:val="22"/>
      <w:lang w:eastAsia="en-US"/>
    </w:rPr>
  </w:style>
  <w:style w:type="character" w:styleId="EndnoteReference">
    <w:name w:val="endnote reference"/>
    <w:uiPriority w:val="99"/>
    <w:rsid w:val="00CD1B51"/>
    <w:rPr>
      <w:vertAlign w:val="superscript"/>
    </w:rPr>
  </w:style>
  <w:style w:type="paragraph" w:customStyle="1" w:styleId="Normal-noindent">
    <w:name w:val="Normal - no indent"/>
    <w:basedOn w:val="Normal"/>
    <w:unhideWhenUsed/>
    <w:qFormat/>
    <w:rsid w:val="00CD1B51"/>
    <w:pPr>
      <w:ind w:left="0"/>
    </w:pPr>
  </w:style>
  <w:style w:type="paragraph" w:styleId="CommentSubject">
    <w:name w:val="annotation subject"/>
    <w:basedOn w:val="CommentText"/>
    <w:next w:val="CommentText"/>
    <w:link w:val="CommentSubjectChar"/>
    <w:uiPriority w:val="99"/>
    <w:unhideWhenUsed/>
    <w:rsid w:val="00CD1B51"/>
    <w:pPr>
      <w:spacing w:after="240"/>
      <w:ind w:left="720"/>
    </w:pPr>
    <w:rPr>
      <w:b/>
      <w:bCs/>
      <w:color w:val="000000"/>
      <w:lang w:eastAsia="en-AU"/>
    </w:rPr>
  </w:style>
  <w:style w:type="character" w:customStyle="1" w:styleId="CommentSubjectChar">
    <w:name w:val="Comment Subject Char"/>
    <w:link w:val="CommentSubject"/>
    <w:uiPriority w:val="99"/>
    <w:rsid w:val="00CD1B51"/>
    <w:rPr>
      <w:rFonts w:ascii="Calibri" w:eastAsia="Times New Roman" w:hAnsi="Calibri" w:cs="Tahoma"/>
      <w:b/>
      <w:bCs/>
      <w:color w:val="000000"/>
      <w:szCs w:val="22"/>
      <w:lang w:eastAsia="en-AU"/>
    </w:rPr>
  </w:style>
  <w:style w:type="paragraph" w:customStyle="1" w:styleId="ChapterHeading">
    <w:name w:val="Chapter Heading"/>
    <w:basedOn w:val="Normal"/>
    <w:link w:val="ChapterHeadingChar"/>
    <w:autoRedefine/>
    <w:unhideWhenUsed/>
    <w:qFormat/>
    <w:rsid w:val="00CD1B51"/>
    <w:pPr>
      <w:numPr>
        <w:numId w:val="6"/>
      </w:numPr>
      <w:spacing w:after="120"/>
    </w:pPr>
    <w:rPr>
      <w:rFonts w:cs="Times New Roman"/>
      <w:color w:val="auto"/>
      <w:szCs w:val="32"/>
      <w:lang w:val="x-none" w:eastAsia="en-US"/>
    </w:rPr>
  </w:style>
  <w:style w:type="paragraph" w:customStyle="1" w:styleId="Chaptersub-headings">
    <w:name w:val="Chapter sub-headings"/>
    <w:basedOn w:val="ChapterHeading"/>
    <w:link w:val="Chaptersub-headingsChar"/>
    <w:autoRedefine/>
    <w:unhideWhenUsed/>
    <w:qFormat/>
    <w:rsid w:val="00CD1B51"/>
    <w:pPr>
      <w:numPr>
        <w:numId w:val="13"/>
      </w:numPr>
    </w:pPr>
    <w:rPr>
      <w:szCs w:val="28"/>
    </w:rPr>
  </w:style>
  <w:style w:type="character" w:customStyle="1" w:styleId="ChapterHeadingChar">
    <w:name w:val="Chapter Heading Char"/>
    <w:link w:val="ChapterHeading"/>
    <w:rsid w:val="00672FE1"/>
    <w:rPr>
      <w:rFonts w:ascii="Calibri" w:eastAsia="Times New Roman" w:hAnsi="Calibri"/>
      <w:sz w:val="22"/>
      <w:szCs w:val="32"/>
      <w:lang w:val="x-none" w:eastAsia="en-US"/>
    </w:rPr>
  </w:style>
  <w:style w:type="character" w:customStyle="1" w:styleId="Chaptersub-headingsChar">
    <w:name w:val="Chapter sub-headings Char"/>
    <w:link w:val="Chaptersub-headings"/>
    <w:rsid w:val="00672FE1"/>
    <w:rPr>
      <w:rFonts w:ascii="Calibri" w:eastAsia="Times New Roman" w:hAnsi="Calibri"/>
      <w:sz w:val="22"/>
      <w:szCs w:val="28"/>
      <w:lang w:val="x-none" w:eastAsia="en-US"/>
    </w:rPr>
  </w:style>
  <w:style w:type="character" w:customStyle="1" w:styleId="FootnoteTextChar">
    <w:name w:val="Footnote Text Char"/>
    <w:link w:val="FootnoteText"/>
    <w:uiPriority w:val="99"/>
    <w:rsid w:val="009E094A"/>
    <w:rPr>
      <w:rFonts w:ascii="Calibri" w:eastAsia="Times New Roman" w:hAnsi="Calibri"/>
      <w:color w:val="000000"/>
      <w:sz w:val="18"/>
      <w:szCs w:val="22"/>
      <w:lang w:val="x-none"/>
    </w:rPr>
  </w:style>
  <w:style w:type="character" w:customStyle="1" w:styleId="BodytextChar">
    <w:name w:val="Body text Char"/>
    <w:link w:val="BodyText1"/>
    <w:locked/>
    <w:rsid w:val="00672FE1"/>
    <w:rPr>
      <w:rFonts w:ascii="Arial Narrow" w:eastAsia="Arial Unicode MS" w:hAnsi="Arial Narrow" w:cs="Arial"/>
      <w:sz w:val="24"/>
      <w:szCs w:val="24"/>
      <w:lang w:eastAsia="ja-JP"/>
    </w:rPr>
  </w:style>
  <w:style w:type="paragraph" w:customStyle="1" w:styleId="BodyText1">
    <w:name w:val="Body Text1"/>
    <w:basedOn w:val="Normal"/>
    <w:link w:val="BodytextChar"/>
    <w:unhideWhenUsed/>
    <w:qFormat/>
    <w:rsid w:val="00CD1B51"/>
    <w:pPr>
      <w:spacing w:line="360" w:lineRule="auto"/>
      <w:ind w:left="0"/>
    </w:pPr>
    <w:rPr>
      <w:rFonts w:ascii="Arial Narrow" w:eastAsia="Arial Unicode MS" w:hAnsi="Arial Narrow" w:cs="Times New Roman"/>
      <w:color w:val="auto"/>
      <w:sz w:val="24"/>
      <w:szCs w:val="24"/>
      <w:lang w:val="x-none" w:eastAsia="ja-JP"/>
    </w:rPr>
  </w:style>
  <w:style w:type="paragraph" w:customStyle="1" w:styleId="Bodytextbullet">
    <w:name w:val="Body text bullet"/>
    <w:basedOn w:val="BodyText1"/>
    <w:link w:val="BodytextbulletChar"/>
    <w:unhideWhenUsed/>
    <w:rsid w:val="00CD1B51"/>
    <w:pPr>
      <w:tabs>
        <w:tab w:val="num" w:pos="600"/>
      </w:tabs>
      <w:ind w:left="568" w:hanging="284"/>
    </w:pPr>
  </w:style>
  <w:style w:type="paragraph" w:customStyle="1" w:styleId="Bodybullet">
    <w:name w:val="Body bullet"/>
    <w:basedOn w:val="Normal"/>
    <w:unhideWhenUsed/>
    <w:rsid w:val="00CD1B51"/>
    <w:pPr>
      <w:numPr>
        <w:numId w:val="7"/>
      </w:numPr>
      <w:spacing w:line="360" w:lineRule="auto"/>
    </w:pPr>
    <w:rPr>
      <w:rFonts w:ascii="Arial Narrow" w:eastAsia="MS Mincho" w:hAnsi="Arial Narrow" w:cs="Times New Roman"/>
      <w:color w:val="auto"/>
      <w:sz w:val="24"/>
      <w:szCs w:val="24"/>
      <w:lang w:eastAsia="ja-JP"/>
    </w:rPr>
  </w:style>
  <w:style w:type="paragraph" w:customStyle="1" w:styleId="Bodybullets">
    <w:name w:val="Body bullets"/>
    <w:basedOn w:val="BodyText1"/>
    <w:unhideWhenUsed/>
    <w:rsid w:val="00CD1B51"/>
    <w:pPr>
      <w:numPr>
        <w:numId w:val="8"/>
      </w:numPr>
      <w:tabs>
        <w:tab w:val="clear" w:pos="720"/>
        <w:tab w:val="num" w:pos="216"/>
        <w:tab w:val="num" w:pos="360"/>
      </w:tabs>
      <w:ind w:left="0" w:firstLine="0"/>
    </w:pPr>
  </w:style>
  <w:style w:type="character" w:styleId="Hyperlink">
    <w:name w:val="Hyperlink"/>
    <w:uiPriority w:val="99"/>
    <w:unhideWhenUsed/>
    <w:rsid w:val="00CD1B51"/>
    <w:rPr>
      <w:strike w:val="0"/>
      <w:dstrike w:val="0"/>
      <w:color w:val="004276"/>
      <w:u w:val="none"/>
      <w:effect w:val="none"/>
    </w:rPr>
  </w:style>
  <w:style w:type="paragraph" w:styleId="NormalWeb">
    <w:name w:val="Normal (Web)"/>
    <w:basedOn w:val="Normal"/>
    <w:uiPriority w:val="99"/>
    <w:unhideWhenUsed/>
    <w:rsid w:val="00CD1B51"/>
    <w:pPr>
      <w:spacing w:after="102"/>
      <w:ind w:left="0"/>
    </w:pPr>
    <w:rPr>
      <w:rFonts w:ascii="Times New Roman" w:hAnsi="Times New Roman" w:cs="Times New Roman"/>
      <w:color w:val="auto"/>
      <w:sz w:val="24"/>
      <w:szCs w:val="24"/>
    </w:rPr>
  </w:style>
  <w:style w:type="paragraph" w:customStyle="1" w:styleId="ResQ">
    <w:name w:val="ResQ"/>
    <w:basedOn w:val="Normal"/>
    <w:unhideWhenUsed/>
    <w:qFormat/>
    <w:rsid w:val="00CD1B51"/>
    <w:rPr>
      <w:b/>
      <w:color w:val="3366FF"/>
      <w:sz w:val="24"/>
    </w:rPr>
  </w:style>
  <w:style w:type="paragraph" w:styleId="Revision">
    <w:name w:val="Revision"/>
    <w:hidden/>
    <w:uiPriority w:val="99"/>
    <w:semiHidden/>
    <w:rsid w:val="00CD1B51"/>
    <w:rPr>
      <w:rFonts w:ascii="Calibri" w:eastAsia="Times New Roman" w:hAnsi="Calibri" w:cs="Tahoma"/>
      <w:color w:val="000000"/>
      <w:sz w:val="22"/>
      <w:szCs w:val="22"/>
    </w:rPr>
  </w:style>
  <w:style w:type="paragraph" w:customStyle="1" w:styleId="Tablefootnote">
    <w:name w:val="Table footnote"/>
    <w:basedOn w:val="Normal"/>
    <w:link w:val="TablefootnoteChar"/>
    <w:unhideWhenUsed/>
    <w:rsid w:val="00CD1B51"/>
    <w:pPr>
      <w:spacing w:before="60" w:after="360"/>
      <w:ind w:left="0"/>
    </w:pPr>
    <w:rPr>
      <w:rFonts w:ascii="Arial Narrow" w:eastAsia="MS Mincho" w:hAnsi="Arial Narrow" w:cs="Times New Roman"/>
      <w:color w:val="auto"/>
      <w:sz w:val="16"/>
      <w:szCs w:val="24"/>
      <w:lang w:val="x-none" w:eastAsia="ja-JP"/>
    </w:rPr>
  </w:style>
  <w:style w:type="paragraph" w:customStyle="1" w:styleId="Tabletext0">
    <w:name w:val="Table text"/>
    <w:basedOn w:val="Normal"/>
    <w:link w:val="TabletextChar0"/>
    <w:unhideWhenUsed/>
    <w:qFormat/>
    <w:rsid w:val="00CD1B51"/>
    <w:pPr>
      <w:spacing w:before="40" w:after="60"/>
      <w:ind w:left="0"/>
    </w:pPr>
    <w:rPr>
      <w:rFonts w:ascii="Arial Narrow" w:eastAsia="Arial Unicode MS" w:hAnsi="Arial Narrow" w:cs="Times New Roman"/>
      <w:bCs/>
      <w:color w:val="auto"/>
      <w:sz w:val="20"/>
      <w:szCs w:val="24"/>
      <w:lang w:val="x-none" w:eastAsia="ja-JP"/>
    </w:rPr>
  </w:style>
  <w:style w:type="character" w:customStyle="1" w:styleId="TabletextChar0">
    <w:name w:val="Table text Char"/>
    <w:link w:val="Tabletext0"/>
    <w:rsid w:val="00672FE1"/>
    <w:rPr>
      <w:rFonts w:ascii="Arial Narrow" w:eastAsia="Arial Unicode MS" w:hAnsi="Arial Narrow" w:cs="Arial"/>
      <w:bCs/>
      <w:szCs w:val="24"/>
      <w:lang w:eastAsia="ja-JP"/>
    </w:rPr>
  </w:style>
  <w:style w:type="paragraph" w:customStyle="1" w:styleId="Tabletextbold">
    <w:name w:val="Table text bold"/>
    <w:basedOn w:val="Tabletext0"/>
    <w:link w:val="TabletextboldChar"/>
    <w:unhideWhenUsed/>
    <w:rsid w:val="00CD1B51"/>
    <w:rPr>
      <w:b/>
      <w:bCs w:val="0"/>
    </w:rPr>
  </w:style>
  <w:style w:type="character" w:customStyle="1" w:styleId="TabletextboldChar">
    <w:name w:val="Table text bold Char"/>
    <w:link w:val="Tabletextbold"/>
    <w:rsid w:val="00672FE1"/>
    <w:rPr>
      <w:rFonts w:ascii="Arial Narrow" w:eastAsia="Arial Unicode MS" w:hAnsi="Arial Narrow" w:cs="Arial"/>
      <w:b/>
      <w:bCs w:val="0"/>
      <w:szCs w:val="24"/>
      <w:lang w:eastAsia="ja-JP"/>
    </w:rPr>
  </w:style>
  <w:style w:type="paragraph" w:customStyle="1" w:styleId="sectionrhead">
    <w:name w:val="sectionr head"/>
    <w:basedOn w:val="Normal"/>
    <w:unhideWhenUsed/>
    <w:rsid w:val="00CD1B51"/>
    <w:pPr>
      <w:spacing w:before="360" w:after="360"/>
      <w:ind w:left="0"/>
    </w:pPr>
    <w:rPr>
      <w:rFonts w:ascii="Century Gothic" w:eastAsia="MS Mincho" w:hAnsi="Century Gothic" w:cs="Times New Roman"/>
      <w:b/>
      <w:color w:val="auto"/>
      <w:sz w:val="56"/>
      <w:szCs w:val="24"/>
      <w:lang w:eastAsia="ja-JP"/>
    </w:rPr>
  </w:style>
  <w:style w:type="paragraph" w:customStyle="1" w:styleId="PT-bullets">
    <w:name w:val="PT-bullets"/>
    <w:basedOn w:val="Bullet6"/>
    <w:unhideWhenUsed/>
    <w:qFormat/>
    <w:rsid w:val="008D036B"/>
    <w:pPr>
      <w:tabs>
        <w:tab w:val="clear" w:pos="1080"/>
        <w:tab w:val="num" w:pos="360"/>
        <w:tab w:val="left" w:pos="414"/>
      </w:tabs>
      <w:ind w:left="360"/>
    </w:pPr>
  </w:style>
  <w:style w:type="paragraph" w:customStyle="1" w:styleId="PT-heading">
    <w:name w:val="PT-heading"/>
    <w:basedOn w:val="Heading2a"/>
    <w:unhideWhenUsed/>
    <w:qFormat/>
    <w:rsid w:val="00C44627"/>
    <w:rPr>
      <w:i/>
      <w:sz w:val="22"/>
    </w:rPr>
  </w:style>
  <w:style w:type="paragraph" w:customStyle="1" w:styleId="PP-bullets">
    <w:name w:val="PP-bullets"/>
    <w:basedOn w:val="PT-bullets"/>
    <w:unhideWhenUsed/>
    <w:rsid w:val="00E67EBB"/>
  </w:style>
  <w:style w:type="paragraph" w:customStyle="1" w:styleId="PP-heading">
    <w:name w:val="PP-heading"/>
    <w:basedOn w:val="PT-heading"/>
    <w:unhideWhenUsed/>
    <w:qFormat/>
    <w:rsid w:val="00F156EE"/>
    <w:pPr>
      <w:ind w:left="34" w:firstLine="0"/>
    </w:pPr>
    <w:rPr>
      <w:rFonts w:ascii="Arial Bold" w:hAnsi="Arial Bold"/>
      <w:i w:val="0"/>
    </w:rPr>
  </w:style>
  <w:style w:type="paragraph" w:customStyle="1" w:styleId="PP-dash">
    <w:name w:val="PP-dash"/>
    <w:basedOn w:val="Dash6"/>
    <w:unhideWhenUsed/>
    <w:rsid w:val="009A5316"/>
    <w:pPr>
      <w:tabs>
        <w:tab w:val="clear" w:pos="1440"/>
        <w:tab w:val="left" w:pos="698"/>
      </w:tabs>
      <w:ind w:left="698"/>
    </w:pPr>
  </w:style>
  <w:style w:type="paragraph" w:customStyle="1" w:styleId="PP-note">
    <w:name w:val="PP-note"/>
    <w:basedOn w:val="Normal-noindent"/>
    <w:unhideWhenUsed/>
    <w:qFormat/>
    <w:rsid w:val="00AB4C4F"/>
    <w:rPr>
      <w:sz w:val="19"/>
      <w:szCs w:val="19"/>
    </w:rPr>
  </w:style>
  <w:style w:type="paragraph" w:styleId="BodyText">
    <w:name w:val="Body Text"/>
    <w:basedOn w:val="Normal"/>
    <w:link w:val="BodyTextChar0"/>
    <w:unhideWhenUsed/>
    <w:rsid w:val="00EF4F58"/>
    <w:pPr>
      <w:spacing w:line="360" w:lineRule="auto"/>
      <w:ind w:left="0"/>
    </w:pPr>
    <w:rPr>
      <w:rFonts w:ascii="Arial Narrow" w:hAnsi="Arial Narrow" w:cs="Times New Roman"/>
      <w:color w:val="auto"/>
      <w:sz w:val="24"/>
      <w:szCs w:val="24"/>
      <w:lang w:val="x-none" w:eastAsia="en-US"/>
    </w:rPr>
  </w:style>
  <w:style w:type="character" w:customStyle="1" w:styleId="BodyTextChar0">
    <w:name w:val="Body Text Char"/>
    <w:link w:val="BodyText"/>
    <w:rsid w:val="00672FE1"/>
    <w:rPr>
      <w:rFonts w:ascii="Arial Narrow" w:eastAsia="Times New Roman" w:hAnsi="Arial Narrow" w:cs="Arial"/>
      <w:sz w:val="24"/>
      <w:szCs w:val="24"/>
      <w:lang w:eastAsia="en-US"/>
    </w:rPr>
  </w:style>
  <w:style w:type="table" w:styleId="LightShading-Accent5">
    <w:name w:val="Light Shading Accent 5"/>
    <w:basedOn w:val="TableNormal"/>
    <w:uiPriority w:val="60"/>
    <w:rsid w:val="0067295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
    <w:name w:val="List"/>
    <w:basedOn w:val="Normal"/>
    <w:uiPriority w:val="99"/>
    <w:unhideWhenUsed/>
    <w:rsid w:val="00BD36AB"/>
    <w:pPr>
      <w:ind w:left="283" w:hanging="283"/>
      <w:contextualSpacing/>
    </w:pPr>
  </w:style>
  <w:style w:type="paragraph" w:customStyle="1" w:styleId="ListFirst">
    <w:name w:val="List First"/>
    <w:basedOn w:val="Dash6"/>
    <w:unhideWhenUsed/>
    <w:rsid w:val="00BD36AB"/>
    <w:pPr>
      <w:spacing w:before="240" w:after="0"/>
      <w:ind w:right="1440" w:firstLine="720"/>
    </w:pPr>
  </w:style>
  <w:style w:type="paragraph" w:customStyle="1" w:styleId="ListMiddle">
    <w:name w:val="List Middle"/>
    <w:basedOn w:val="Dash6"/>
    <w:unhideWhenUsed/>
    <w:rsid w:val="00BD36AB"/>
    <w:pPr>
      <w:spacing w:after="0"/>
      <w:ind w:right="1440" w:firstLine="720"/>
    </w:pPr>
  </w:style>
  <w:style w:type="paragraph" w:customStyle="1" w:styleId="ListLast">
    <w:name w:val="List Last"/>
    <w:basedOn w:val="Dash6"/>
    <w:unhideWhenUsed/>
    <w:rsid w:val="00BD36AB"/>
    <w:pPr>
      <w:spacing w:after="240"/>
      <w:ind w:right="1440" w:firstLine="720"/>
    </w:pPr>
  </w:style>
  <w:style w:type="paragraph" w:styleId="ListParagraph">
    <w:name w:val="List Paragraph"/>
    <w:basedOn w:val="Normal"/>
    <w:link w:val="ListParagraphChar"/>
    <w:uiPriority w:val="34"/>
    <w:qFormat/>
    <w:rsid w:val="00E868DC"/>
    <w:pPr>
      <w:contextualSpacing/>
    </w:pPr>
  </w:style>
  <w:style w:type="paragraph" w:customStyle="1" w:styleId="ES-heading">
    <w:name w:val="ES-heading"/>
    <w:basedOn w:val="PT-heading"/>
    <w:semiHidden/>
    <w:unhideWhenUsed/>
    <w:qFormat/>
    <w:rsid w:val="001A30F6"/>
  </w:style>
  <w:style w:type="paragraph" w:customStyle="1" w:styleId="PP1-bull">
    <w:name w:val="PP1-bull"/>
    <w:basedOn w:val="PT-bullets"/>
    <w:unhideWhenUsed/>
    <w:rsid w:val="008C24AE"/>
    <w:pPr>
      <w:numPr>
        <w:numId w:val="9"/>
      </w:numPr>
    </w:pPr>
    <w:rPr>
      <w:rFonts w:eastAsia="MS Mincho"/>
    </w:rPr>
  </w:style>
  <w:style w:type="paragraph" w:customStyle="1" w:styleId="R1-bul">
    <w:name w:val="R1-bul"/>
    <w:basedOn w:val="PP1-bull"/>
    <w:semiHidden/>
    <w:unhideWhenUsed/>
    <w:qFormat/>
    <w:rsid w:val="008C24AE"/>
    <w:pPr>
      <w:numPr>
        <w:numId w:val="10"/>
      </w:numPr>
    </w:pPr>
  </w:style>
  <w:style w:type="paragraph" w:customStyle="1" w:styleId="Style1">
    <w:name w:val="Style1"/>
    <w:basedOn w:val="PP1-bull"/>
    <w:link w:val="Style1Char"/>
    <w:unhideWhenUsed/>
    <w:qFormat/>
    <w:rsid w:val="008C24AE"/>
    <w:rPr>
      <w:rFonts w:eastAsia="Times New Roman"/>
    </w:rPr>
  </w:style>
  <w:style w:type="paragraph" w:customStyle="1" w:styleId="T1-bul">
    <w:name w:val="T1-bul"/>
    <w:basedOn w:val="Style1"/>
    <w:semiHidden/>
    <w:unhideWhenUsed/>
    <w:qFormat/>
    <w:rsid w:val="00AD4CD6"/>
    <w:pPr>
      <w:numPr>
        <w:numId w:val="11"/>
      </w:numPr>
      <w:ind w:left="567" w:hanging="567"/>
    </w:pPr>
  </w:style>
  <w:style w:type="paragraph" w:styleId="Date">
    <w:name w:val="Date"/>
    <w:basedOn w:val="Normal"/>
    <w:next w:val="Normal"/>
    <w:link w:val="DateChar"/>
    <w:unhideWhenUsed/>
    <w:rsid w:val="00CE1CD4"/>
    <w:rPr>
      <w:rFonts w:eastAsia="MS Mincho" w:cs="Times New Roman"/>
      <w:lang w:val="x-none"/>
    </w:rPr>
  </w:style>
  <w:style w:type="character" w:customStyle="1" w:styleId="DateChar">
    <w:name w:val="Date Char"/>
    <w:link w:val="Date"/>
    <w:rsid w:val="00CE1CD4"/>
    <w:rPr>
      <w:rFonts w:ascii="Calibri" w:hAnsi="Calibri" w:cs="Tahoma"/>
      <w:color w:val="000000"/>
      <w:sz w:val="22"/>
      <w:szCs w:val="22"/>
      <w:lang w:eastAsia="en-AU"/>
    </w:rPr>
  </w:style>
  <w:style w:type="character" w:customStyle="1" w:styleId="Heading6Char">
    <w:name w:val="Heading 6 Char"/>
    <w:link w:val="Heading6"/>
    <w:uiPriority w:val="9"/>
    <w:rsid w:val="00672FE1"/>
    <w:rPr>
      <w:rFonts w:ascii="Cambria" w:eastAsia="PMingLiU" w:hAnsi="Cambria"/>
      <w:i/>
      <w:iCs/>
      <w:color w:val="243F60"/>
      <w:sz w:val="22"/>
      <w:szCs w:val="22"/>
      <w:lang w:eastAsia="en-AU"/>
    </w:rPr>
  </w:style>
  <w:style w:type="paragraph" w:customStyle="1" w:styleId="Tablecaption">
    <w:name w:val="Table caption"/>
    <w:basedOn w:val="Normal"/>
    <w:link w:val="TablecaptionChar"/>
    <w:uiPriority w:val="99"/>
    <w:unhideWhenUsed/>
    <w:rsid w:val="001D7DE6"/>
    <w:pPr>
      <w:keepNext/>
      <w:tabs>
        <w:tab w:val="left" w:pos="1134"/>
      </w:tabs>
      <w:spacing w:before="240" w:after="60"/>
      <w:ind w:left="1134" w:hanging="1134"/>
    </w:pPr>
    <w:rPr>
      <w:rFonts w:ascii="Arial Narrow" w:eastAsia="Arial Unicode MS" w:hAnsi="Arial Narrow" w:cs="Arial"/>
      <w:b/>
      <w:bCs/>
      <w:color w:val="auto"/>
      <w:sz w:val="24"/>
      <w:szCs w:val="24"/>
      <w:lang w:eastAsia="ja-JP"/>
    </w:rPr>
  </w:style>
  <w:style w:type="character" w:customStyle="1" w:styleId="DefaultChar">
    <w:name w:val="Default Char"/>
    <w:link w:val="Default"/>
    <w:rsid w:val="00672FE1"/>
    <w:rPr>
      <w:rFonts w:ascii="Arial" w:eastAsia="Times New Roman" w:hAnsi="Arial" w:cs="Arial"/>
      <w:color w:val="000000"/>
      <w:sz w:val="24"/>
      <w:szCs w:val="24"/>
      <w:lang w:val="en-AU" w:eastAsia="en-AU" w:bidi="ar-SA"/>
    </w:rPr>
  </w:style>
  <w:style w:type="paragraph" w:customStyle="1" w:styleId="Boxcaption">
    <w:name w:val="Box caption"/>
    <w:basedOn w:val="Tablecaption"/>
    <w:unhideWhenUsed/>
    <w:rsid w:val="002C3BE0"/>
  </w:style>
  <w:style w:type="paragraph" w:customStyle="1" w:styleId="BoxName-nobox">
    <w:name w:val="BoxName-nobox"/>
    <w:basedOn w:val="BoxName"/>
    <w:semiHidden/>
    <w:unhideWhenUsed/>
    <w:qFormat/>
    <w:rsid w:val="007077F8"/>
    <w:pPr>
      <w:keepNext w:val="0"/>
      <w:pBdr>
        <w:top w:val="none" w:sz="0" w:space="0" w:color="auto"/>
        <w:left w:val="none" w:sz="0" w:space="0" w:color="auto"/>
        <w:bottom w:val="none" w:sz="0" w:space="0" w:color="auto"/>
        <w:right w:val="none" w:sz="0" w:space="0" w:color="auto"/>
      </w:pBdr>
      <w:ind w:left="1882" w:right="57" w:hanging="1077"/>
    </w:pPr>
  </w:style>
  <w:style w:type="paragraph" w:customStyle="1" w:styleId="Boxhead-nobox">
    <w:name w:val="Boxhead - no box"/>
    <w:basedOn w:val="BoxHeading"/>
    <w:semiHidden/>
    <w:unhideWhenUsed/>
    <w:qFormat/>
    <w:rsid w:val="00E77B45"/>
    <w:pPr>
      <w:keepNext w:val="0"/>
      <w:pBdr>
        <w:top w:val="none" w:sz="0" w:space="0" w:color="auto"/>
        <w:left w:val="none" w:sz="0" w:space="0" w:color="auto"/>
        <w:bottom w:val="none" w:sz="0" w:space="0" w:color="auto"/>
        <w:right w:val="none" w:sz="0" w:space="0" w:color="auto"/>
      </w:pBdr>
      <w:ind w:left="0" w:right="57"/>
    </w:pPr>
    <w:rPr>
      <w:rFonts w:ascii="Arial Narrow" w:hAnsi="Arial Narrow"/>
      <w:sz w:val="18"/>
      <w:szCs w:val="18"/>
    </w:rPr>
  </w:style>
  <w:style w:type="paragraph" w:customStyle="1" w:styleId="Boxtext-nobox">
    <w:name w:val="Boxtext-nobox"/>
    <w:basedOn w:val="BoxText"/>
    <w:semiHidden/>
    <w:unhideWhenUsed/>
    <w:qFormat/>
    <w:rsid w:val="001C484B"/>
    <w:pPr>
      <w:pBdr>
        <w:top w:val="none" w:sz="0" w:space="0" w:color="auto"/>
        <w:left w:val="none" w:sz="0" w:space="0" w:color="auto"/>
        <w:bottom w:val="none" w:sz="0" w:space="0" w:color="auto"/>
        <w:right w:val="none" w:sz="0" w:space="0" w:color="auto"/>
      </w:pBdr>
      <w:ind w:left="0" w:right="57"/>
    </w:pPr>
    <w:rPr>
      <w:rFonts w:ascii="Arial Narrow" w:hAnsi="Arial Narrow"/>
    </w:rPr>
  </w:style>
  <w:style w:type="character" w:styleId="SubtleReference">
    <w:name w:val="Subtle Reference"/>
    <w:uiPriority w:val="31"/>
    <w:qFormat/>
    <w:rsid w:val="00D9712C"/>
    <w:rPr>
      <w:smallCaps/>
      <w:color w:val="C0504D"/>
      <w:u w:val="single"/>
    </w:rPr>
  </w:style>
  <w:style w:type="paragraph" w:customStyle="1" w:styleId="Textbox">
    <w:name w:val="Textbox"/>
    <w:basedOn w:val="Normal"/>
    <w:unhideWhenUsed/>
    <w:qFormat/>
    <w:rsid w:val="003F420A"/>
    <w:pPr>
      <w:spacing w:after="120"/>
      <w:ind w:left="0"/>
    </w:pPr>
    <w:rPr>
      <w:rFonts w:ascii="Times New Roman" w:hAnsi="Times New Roman" w:cs="Times New Roman"/>
    </w:rPr>
  </w:style>
  <w:style w:type="paragraph" w:customStyle="1" w:styleId="Textboxhead">
    <w:name w:val="Textboxhead"/>
    <w:basedOn w:val="Boxhead-nobox"/>
    <w:unhideWhenUsed/>
    <w:qFormat/>
    <w:rsid w:val="007F741E"/>
    <w:rPr>
      <w:rFonts w:ascii="Times New Roman" w:hAnsi="Times New Roman"/>
      <w:sz w:val="22"/>
    </w:rPr>
  </w:style>
  <w:style w:type="paragraph" w:customStyle="1" w:styleId="Textboxname">
    <w:name w:val="Textboxname"/>
    <w:basedOn w:val="Textboxhead"/>
    <w:semiHidden/>
    <w:unhideWhenUsed/>
    <w:qFormat/>
    <w:rsid w:val="00074C45"/>
    <w:rPr>
      <w:sz w:val="23"/>
      <w:szCs w:val="24"/>
    </w:rPr>
  </w:style>
  <w:style w:type="paragraph" w:customStyle="1" w:styleId="Normalnoindent">
    <w:name w:val="Normal (no indent)"/>
    <w:basedOn w:val="Normal"/>
    <w:unhideWhenUsed/>
    <w:qFormat/>
    <w:rsid w:val="00D9712C"/>
    <w:pPr>
      <w:ind w:left="0"/>
    </w:pPr>
  </w:style>
  <w:style w:type="paragraph" w:styleId="NormalIndent">
    <w:name w:val="Normal Indent"/>
    <w:basedOn w:val="Normal"/>
    <w:unhideWhenUsed/>
    <w:rsid w:val="00BE4C7A"/>
  </w:style>
  <w:style w:type="character" w:customStyle="1" w:styleId="Heading3Char">
    <w:name w:val="Heading 3 Char"/>
    <w:link w:val="Heading3"/>
    <w:rsid w:val="00882A1D"/>
    <w:rPr>
      <w:rFonts w:ascii="Arial" w:eastAsia="Times New Roman" w:hAnsi="Arial"/>
      <w:b/>
      <w:bCs/>
      <w:color w:val="000000"/>
      <w:sz w:val="22"/>
      <w:szCs w:val="26"/>
    </w:rPr>
  </w:style>
  <w:style w:type="paragraph" w:customStyle="1" w:styleId="Pa1">
    <w:name w:val="Pa1"/>
    <w:basedOn w:val="Default"/>
    <w:next w:val="Default"/>
    <w:unhideWhenUsed/>
    <w:rsid w:val="00782F0D"/>
    <w:pPr>
      <w:spacing w:line="151" w:lineRule="atLeast"/>
    </w:pPr>
    <w:rPr>
      <w:rFonts w:ascii="FZGELB+TradeGothic-CondEighteen" w:hAnsi="FZGELB+TradeGothic-CondEighteen" w:cs="Times New Roman"/>
      <w:color w:val="auto"/>
    </w:rPr>
  </w:style>
  <w:style w:type="paragraph" w:styleId="HTMLPreformatted">
    <w:name w:val="HTML Preformatted"/>
    <w:basedOn w:val="Normal"/>
    <w:link w:val="HTMLPreformattedChar"/>
    <w:uiPriority w:val="99"/>
    <w:unhideWhenUsed/>
    <w:rsid w:val="00EF1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Times New Roman"/>
      <w:color w:val="auto"/>
      <w:sz w:val="20"/>
      <w:szCs w:val="20"/>
      <w:lang w:val="x-none" w:eastAsia="x-none"/>
    </w:rPr>
  </w:style>
  <w:style w:type="character" w:customStyle="1" w:styleId="HTMLPreformattedChar">
    <w:name w:val="HTML Preformatted Char"/>
    <w:link w:val="HTMLPreformatted"/>
    <w:uiPriority w:val="99"/>
    <w:rsid w:val="00EF1BB4"/>
    <w:rPr>
      <w:rFonts w:ascii="Courier New" w:eastAsia="Times New Roman" w:hAnsi="Courier New" w:cs="Courier New"/>
    </w:rPr>
  </w:style>
  <w:style w:type="character" w:customStyle="1" w:styleId="Heading4Char">
    <w:name w:val="Heading 4 Char"/>
    <w:link w:val="Heading4"/>
    <w:rsid w:val="00BE0685"/>
    <w:rPr>
      <w:rFonts w:ascii="Arial" w:eastAsia="Times New Roman" w:hAnsi="Arial" w:cs="Arial"/>
      <w:b/>
      <w:bCs/>
      <w:color w:val="000000"/>
      <w:szCs w:val="28"/>
      <w:lang w:eastAsia="en-AU"/>
    </w:rPr>
  </w:style>
  <w:style w:type="character" w:customStyle="1" w:styleId="FooterChar">
    <w:name w:val="Footer Char"/>
    <w:link w:val="Footer"/>
    <w:rsid w:val="00AB72EC"/>
    <w:rPr>
      <w:rFonts w:ascii="Calibri" w:eastAsia="Times New Roman" w:hAnsi="Calibri" w:cs="Tahoma"/>
      <w:i/>
      <w:color w:val="000000"/>
      <w:szCs w:val="22"/>
    </w:rPr>
  </w:style>
  <w:style w:type="character" w:customStyle="1" w:styleId="BodytextbulletChar">
    <w:name w:val="Body text bullet Char"/>
    <w:link w:val="Bodytextbullet"/>
    <w:rsid w:val="00361168"/>
    <w:rPr>
      <w:rFonts w:ascii="Arial Narrow" w:eastAsia="Arial Unicode MS" w:hAnsi="Arial Narrow" w:cs="Arial"/>
      <w:sz w:val="24"/>
      <w:szCs w:val="24"/>
      <w:lang w:eastAsia="ja-JP"/>
    </w:rPr>
  </w:style>
  <w:style w:type="paragraph" w:customStyle="1" w:styleId="Evidencenumberedlist">
    <w:name w:val="Evidence numbered list"/>
    <w:basedOn w:val="Normal"/>
    <w:uiPriority w:val="99"/>
    <w:rsid w:val="00FF57C7"/>
    <w:pPr>
      <w:keepLines/>
      <w:numPr>
        <w:numId w:val="14"/>
      </w:numPr>
      <w:autoSpaceDE w:val="0"/>
      <w:autoSpaceDN w:val="0"/>
      <w:adjustRightInd w:val="0"/>
      <w:spacing w:before="240" w:line="276" w:lineRule="auto"/>
      <w:ind w:right="567"/>
    </w:pPr>
    <w:rPr>
      <w:rFonts w:cs="Arial"/>
      <w:lang w:eastAsia="en-US"/>
    </w:rPr>
  </w:style>
  <w:style w:type="paragraph" w:customStyle="1" w:styleId="Evidencestatements">
    <w:name w:val="Evidence statements"/>
    <w:basedOn w:val="BodyText"/>
    <w:uiPriority w:val="99"/>
    <w:rsid w:val="00FF57C7"/>
    <w:pPr>
      <w:autoSpaceDE w:val="0"/>
      <w:autoSpaceDN w:val="0"/>
      <w:adjustRightInd w:val="0"/>
      <w:spacing w:line="276" w:lineRule="auto"/>
      <w:ind w:left="720" w:right="567"/>
    </w:pPr>
    <w:rPr>
      <w:rFonts w:ascii="Calibri" w:hAnsi="Calibri"/>
      <w:color w:val="000000"/>
      <w:sz w:val="22"/>
      <w:szCs w:val="22"/>
    </w:rPr>
  </w:style>
  <w:style w:type="paragraph" w:customStyle="1" w:styleId="Heading2evidencebox">
    <w:name w:val="Heading 2 evidence box"/>
    <w:basedOn w:val="Normal"/>
    <w:uiPriority w:val="99"/>
    <w:rsid w:val="00FF57C7"/>
    <w:pPr>
      <w:keepNext/>
      <w:tabs>
        <w:tab w:val="left" w:pos="720"/>
      </w:tabs>
      <w:spacing w:before="240" w:line="360" w:lineRule="auto"/>
    </w:pPr>
    <w:rPr>
      <w:rFonts w:eastAsia="Arial Unicode MS" w:cs="Arial"/>
      <w:b/>
      <w:bCs/>
      <w:noProof/>
      <w:kern w:val="32"/>
      <w:szCs w:val="32"/>
    </w:rPr>
  </w:style>
  <w:style w:type="paragraph" w:customStyle="1" w:styleId="Heading3evidencebox">
    <w:name w:val="Heading 3 evidence box"/>
    <w:basedOn w:val="Heading3"/>
    <w:link w:val="Heading3evidenceboxChar"/>
    <w:uiPriority w:val="99"/>
    <w:rsid w:val="00FF57C7"/>
    <w:pPr>
      <w:tabs>
        <w:tab w:val="left" w:pos="1134"/>
      </w:tabs>
      <w:spacing w:after="0" w:line="276" w:lineRule="auto"/>
    </w:pPr>
    <w:rPr>
      <w:rFonts w:ascii="Arial Bold" w:eastAsia="Arial Unicode MS" w:hAnsi="Arial Bold"/>
      <w:sz w:val="20"/>
      <w:lang w:eastAsia="ja-JP"/>
    </w:rPr>
  </w:style>
  <w:style w:type="character" w:customStyle="1" w:styleId="Heading3evidenceboxChar">
    <w:name w:val="Heading 3 evidence box Char"/>
    <w:link w:val="Heading3evidencebox"/>
    <w:uiPriority w:val="99"/>
    <w:rsid w:val="00FF57C7"/>
    <w:rPr>
      <w:rFonts w:ascii="Arial Bold" w:eastAsia="Arial Unicode MS" w:hAnsi="Arial Bold" w:cs="Arial"/>
      <w:b/>
      <w:bCs/>
      <w:color w:val="000000"/>
      <w:szCs w:val="26"/>
      <w:lang w:eastAsia="ja-JP"/>
    </w:rPr>
  </w:style>
  <w:style w:type="paragraph" w:customStyle="1" w:styleId="Heading2evidenceboxrule">
    <w:name w:val="Heading 2 evidence box + rule"/>
    <w:basedOn w:val="Heading2evidencebox"/>
    <w:uiPriority w:val="99"/>
    <w:rsid w:val="00FF57C7"/>
    <w:pPr>
      <w:pBdr>
        <w:top w:val="single" w:sz="4" w:space="12" w:color="auto"/>
      </w:pBdr>
    </w:pPr>
  </w:style>
  <w:style w:type="character" w:customStyle="1" w:styleId="apple-style-span">
    <w:name w:val="apple-style-span"/>
    <w:basedOn w:val="DefaultParagraphFont"/>
    <w:rsid w:val="00FF57C7"/>
  </w:style>
  <w:style w:type="character" w:customStyle="1" w:styleId="Heading5Char">
    <w:name w:val="Heading 5 Char"/>
    <w:aliases w:val="Heading 5 no num Char"/>
    <w:link w:val="Heading5"/>
    <w:rsid w:val="00415905"/>
    <w:rPr>
      <w:rFonts w:ascii="Calibri" w:eastAsia="Times New Roman" w:hAnsi="Calibri"/>
      <w:b/>
      <w:bCs/>
      <w:i/>
      <w:iCs/>
      <w:color w:val="000000"/>
      <w:sz w:val="22"/>
      <w:szCs w:val="26"/>
    </w:rPr>
  </w:style>
  <w:style w:type="character" w:customStyle="1" w:styleId="QuoteChar">
    <w:name w:val="Quote Char"/>
    <w:link w:val="Quote"/>
    <w:rsid w:val="00FF57C7"/>
    <w:rPr>
      <w:rFonts w:ascii="Calibri" w:eastAsia="Times New Roman" w:hAnsi="Calibri" w:cs="Tahoma"/>
      <w:color w:val="000000"/>
      <w:szCs w:val="22"/>
      <w:lang w:eastAsia="en-AU"/>
    </w:rPr>
  </w:style>
  <w:style w:type="character" w:customStyle="1" w:styleId="Heading7Char">
    <w:name w:val="Heading 7 Char"/>
    <w:aliases w:val="H7nonum Char"/>
    <w:link w:val="Heading7"/>
    <w:uiPriority w:val="9"/>
    <w:rsid w:val="00F5720A"/>
    <w:rPr>
      <w:rFonts w:ascii="Calibri" w:eastAsia="Times New Roman" w:hAnsi="Calibri" w:cs="Tahoma"/>
      <w:i/>
      <w:iCs/>
      <w:color w:val="000000"/>
      <w:sz w:val="22"/>
      <w:szCs w:val="22"/>
      <w:lang w:eastAsia="en-US"/>
    </w:rPr>
  </w:style>
  <w:style w:type="character" w:customStyle="1" w:styleId="Heading8Char">
    <w:name w:val="Heading 8 Char"/>
    <w:link w:val="Heading8"/>
    <w:uiPriority w:val="9"/>
    <w:rsid w:val="00F5720A"/>
    <w:rPr>
      <w:rFonts w:ascii="Calibri" w:eastAsia="Times New Roman" w:hAnsi="Calibri" w:cs="Tahoma"/>
      <w:bCs/>
      <w:i/>
      <w:color w:val="000000"/>
      <w:sz w:val="22"/>
      <w:szCs w:val="22"/>
      <w:lang w:eastAsia="en-US"/>
    </w:rPr>
  </w:style>
  <w:style w:type="character" w:customStyle="1" w:styleId="Heading9Char">
    <w:name w:val="Heading 9 Char"/>
    <w:aliases w:val="cover page title Char"/>
    <w:link w:val="Heading9"/>
    <w:uiPriority w:val="9"/>
    <w:rsid w:val="00F5720A"/>
    <w:rPr>
      <w:rFonts w:ascii="Garamond" w:eastAsia="Times New Roman" w:hAnsi="Garamond" w:cs="Arial"/>
      <w:b/>
      <w:bCs/>
      <w:smallCaps/>
      <w:color w:val="000000"/>
      <w:sz w:val="40"/>
      <w:szCs w:val="22"/>
      <w:lang w:eastAsia="en-US"/>
    </w:rPr>
  </w:style>
  <w:style w:type="character" w:customStyle="1" w:styleId="Heading1Char">
    <w:name w:val="Heading 1 Char"/>
    <w:link w:val="Heading1"/>
    <w:locked/>
    <w:rsid w:val="00F5720A"/>
    <w:rPr>
      <w:rFonts w:ascii="Arial" w:eastAsia="Times New Roman" w:hAnsi="Arial" w:cs="Arial"/>
      <w:b/>
      <w:bCs/>
      <w:color w:val="000000"/>
      <w:spacing w:val="40"/>
      <w:kern w:val="28"/>
      <w:sz w:val="36"/>
      <w:szCs w:val="32"/>
      <w:lang w:eastAsia="en-AU"/>
    </w:rPr>
  </w:style>
  <w:style w:type="character" w:customStyle="1" w:styleId="Heading2Char">
    <w:name w:val="Heading 2 Char"/>
    <w:aliases w:val="Head 1 Char"/>
    <w:link w:val="Heading2"/>
    <w:locked/>
    <w:rsid w:val="00F5720A"/>
    <w:rPr>
      <w:rFonts w:ascii="Arial" w:eastAsia="Times New Roman" w:hAnsi="Arial" w:cs="Arial"/>
      <w:b/>
      <w:bCs/>
      <w:iCs/>
      <w:color w:val="000000"/>
      <w:sz w:val="26"/>
      <w:szCs w:val="28"/>
      <w:lang w:eastAsia="en-AU"/>
    </w:rPr>
  </w:style>
  <w:style w:type="paragraph" w:customStyle="1" w:styleId="Table-columnheadings">
    <w:name w:val="Table - column headings"/>
    <w:basedOn w:val="Normal"/>
    <w:rsid w:val="00F5720A"/>
    <w:pPr>
      <w:jc w:val="center"/>
    </w:pPr>
    <w:rPr>
      <w:rFonts w:cs="Arial"/>
      <w:b/>
      <w:sz w:val="20"/>
    </w:rPr>
  </w:style>
  <w:style w:type="table" w:styleId="TableSimple1">
    <w:name w:val="Table Simple 1"/>
    <w:basedOn w:val="TableNormal"/>
    <w:rsid w:val="00F5720A"/>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hapterheading0">
    <w:name w:val="Chapter heading"/>
    <w:basedOn w:val="Normal"/>
    <w:rsid w:val="00F5720A"/>
    <w:pPr>
      <w:numPr>
        <w:numId w:val="16"/>
      </w:numPr>
      <w:tabs>
        <w:tab w:val="left" w:pos="284"/>
      </w:tabs>
      <w:overflowPunct w:val="0"/>
      <w:autoSpaceDE w:val="0"/>
      <w:autoSpaceDN w:val="0"/>
      <w:adjustRightInd w:val="0"/>
      <w:spacing w:before="360" w:after="360"/>
      <w:textAlignment w:val="baseline"/>
    </w:pPr>
    <w:rPr>
      <w:rFonts w:ascii="Century Gothic" w:hAnsi="Century Gothic"/>
      <w:b/>
      <w:sz w:val="96"/>
      <w:szCs w:val="96"/>
    </w:rPr>
  </w:style>
  <w:style w:type="paragraph" w:customStyle="1" w:styleId="Minorchapterheading">
    <w:name w:val="Minor chapter heading"/>
    <w:basedOn w:val="Normal"/>
    <w:rsid w:val="00F5720A"/>
    <w:pPr>
      <w:tabs>
        <w:tab w:val="left" w:pos="284"/>
      </w:tabs>
      <w:overflowPunct w:val="0"/>
      <w:autoSpaceDE w:val="0"/>
      <w:autoSpaceDN w:val="0"/>
      <w:adjustRightInd w:val="0"/>
      <w:spacing w:before="360" w:after="360"/>
      <w:textAlignment w:val="baseline"/>
    </w:pPr>
    <w:rPr>
      <w:rFonts w:ascii="Century Gothic" w:hAnsi="Century Gothic"/>
      <w:b/>
      <w:sz w:val="56"/>
      <w:szCs w:val="56"/>
    </w:rPr>
  </w:style>
  <w:style w:type="character" w:customStyle="1" w:styleId="BalloonTextChar">
    <w:name w:val="Balloon Text Char"/>
    <w:link w:val="BalloonText"/>
    <w:semiHidden/>
    <w:locked/>
    <w:rsid w:val="00F5720A"/>
    <w:rPr>
      <w:rFonts w:ascii="Tahoma" w:eastAsia="Times New Roman" w:hAnsi="Tahoma" w:cs="Tahoma"/>
      <w:color w:val="000000"/>
      <w:sz w:val="16"/>
      <w:szCs w:val="16"/>
      <w:lang w:eastAsia="en-AU"/>
    </w:rPr>
  </w:style>
  <w:style w:type="paragraph" w:styleId="Caption">
    <w:name w:val="caption"/>
    <w:basedOn w:val="Normal"/>
    <w:next w:val="Normal"/>
    <w:link w:val="CaptionChar"/>
    <w:qFormat/>
    <w:rsid w:val="00F5720A"/>
    <w:rPr>
      <w:rFonts w:ascii="Arial Narrow" w:hAnsi="Arial Narrow" w:cs="Times New Roman"/>
      <w:b/>
      <w:bCs/>
      <w:sz w:val="20"/>
      <w:szCs w:val="20"/>
      <w:lang w:val="x-none"/>
    </w:rPr>
  </w:style>
  <w:style w:type="character" w:customStyle="1" w:styleId="CaptionChar">
    <w:name w:val="Caption Char"/>
    <w:link w:val="Caption"/>
    <w:locked/>
    <w:rsid w:val="00F5720A"/>
    <w:rPr>
      <w:rFonts w:ascii="Arial Narrow" w:eastAsia="Times New Roman" w:hAnsi="Arial Narrow" w:cs="Arial"/>
      <w:b/>
      <w:bCs/>
      <w:color w:val="000000"/>
      <w:lang w:eastAsia="en-AU"/>
    </w:rPr>
  </w:style>
  <w:style w:type="paragraph" w:customStyle="1" w:styleId="Head4">
    <w:name w:val="Head 4"/>
    <w:basedOn w:val="Heading3"/>
    <w:rsid w:val="00F5720A"/>
    <w:pPr>
      <w:spacing w:line="360" w:lineRule="auto"/>
    </w:pPr>
    <w:rPr>
      <w:i/>
      <w:sz w:val="24"/>
    </w:rPr>
  </w:style>
  <w:style w:type="character" w:customStyle="1" w:styleId="txtboldonly1">
    <w:name w:val="txtboldonly1"/>
    <w:rsid w:val="00F5720A"/>
    <w:rPr>
      <w:rFonts w:cs="Times New Roman"/>
      <w:b/>
      <w:bCs/>
    </w:rPr>
  </w:style>
  <w:style w:type="character" w:customStyle="1" w:styleId="StyleBold">
    <w:name w:val="Style Bold"/>
    <w:rsid w:val="00F5720A"/>
    <w:rPr>
      <w:rFonts w:ascii="Arial Narrow" w:hAnsi="Arial Narrow" w:cs="Times New Roman"/>
      <w:b/>
      <w:bCs/>
      <w:sz w:val="24"/>
    </w:rPr>
  </w:style>
  <w:style w:type="paragraph" w:customStyle="1" w:styleId="Tableheaderrow">
    <w:name w:val="Table header row"/>
    <w:basedOn w:val="Normal"/>
    <w:rsid w:val="00F5720A"/>
    <w:pPr>
      <w:keepNext/>
      <w:spacing w:before="60" w:after="60"/>
    </w:pPr>
    <w:rPr>
      <w:rFonts w:ascii="Arial Narrow" w:hAnsi="Arial Narrow"/>
      <w:b/>
      <w:sz w:val="20"/>
    </w:rPr>
  </w:style>
  <w:style w:type="paragraph" w:styleId="DocumentMap">
    <w:name w:val="Document Map"/>
    <w:basedOn w:val="Normal"/>
    <w:link w:val="DocumentMapChar"/>
    <w:uiPriority w:val="99"/>
    <w:semiHidden/>
    <w:rsid w:val="00F5720A"/>
    <w:pPr>
      <w:shd w:val="clear" w:color="auto" w:fill="000080"/>
    </w:pPr>
    <w:rPr>
      <w:rFonts w:ascii="Tahoma" w:hAnsi="Tahoma" w:cs="Times New Roman"/>
      <w:sz w:val="20"/>
      <w:szCs w:val="20"/>
      <w:lang w:val="x-none"/>
    </w:rPr>
  </w:style>
  <w:style w:type="character" w:customStyle="1" w:styleId="DocumentMapChar">
    <w:name w:val="Document Map Char"/>
    <w:link w:val="DocumentMap"/>
    <w:uiPriority w:val="99"/>
    <w:semiHidden/>
    <w:rsid w:val="00F5720A"/>
    <w:rPr>
      <w:rFonts w:ascii="Tahoma" w:eastAsia="Times New Roman" w:hAnsi="Tahoma" w:cs="Tahoma"/>
      <w:color w:val="000000"/>
      <w:shd w:val="clear" w:color="auto" w:fill="000080"/>
      <w:lang w:eastAsia="en-AU"/>
    </w:rPr>
  </w:style>
  <w:style w:type="character" w:customStyle="1" w:styleId="Heading3CharChar">
    <w:name w:val="Heading 3 Char Char"/>
    <w:rsid w:val="00F5720A"/>
    <w:rPr>
      <w:rFonts w:ascii="Lucida Bright" w:eastAsia="MS Mincho" w:hAnsi="Lucida Bright" w:cs="Arial"/>
      <w:bCs/>
      <w:sz w:val="26"/>
      <w:szCs w:val="26"/>
      <w:lang w:val="en-AU" w:eastAsia="ja-JP" w:bidi="ar-SA"/>
    </w:rPr>
  </w:style>
  <w:style w:type="paragraph" w:customStyle="1" w:styleId="Bodyitals">
    <w:name w:val="Body + itals"/>
    <w:basedOn w:val="BodyText1"/>
    <w:link w:val="BodyitalsChar"/>
    <w:rsid w:val="00F5720A"/>
    <w:pPr>
      <w:numPr>
        <w:numId w:val="15"/>
      </w:numPr>
      <w:tabs>
        <w:tab w:val="clear" w:pos="357"/>
      </w:tabs>
      <w:ind w:left="0"/>
    </w:pPr>
    <w:rPr>
      <w:i/>
    </w:rPr>
  </w:style>
  <w:style w:type="paragraph" w:customStyle="1" w:styleId="StyleTabletextBold">
    <w:name w:val="Style Table text + Bold"/>
    <w:basedOn w:val="Tabletext0"/>
    <w:rsid w:val="00F5720A"/>
    <w:rPr>
      <w:b/>
      <w:bCs w:val="0"/>
    </w:rPr>
  </w:style>
  <w:style w:type="paragraph" w:styleId="TOC5">
    <w:name w:val="toc 5"/>
    <w:basedOn w:val="Normal"/>
    <w:next w:val="Normal"/>
    <w:autoRedefine/>
    <w:uiPriority w:val="39"/>
    <w:rsid w:val="00F5720A"/>
    <w:pPr>
      <w:ind w:left="960"/>
    </w:pPr>
    <w:rPr>
      <w:lang w:val="en-US"/>
    </w:rPr>
  </w:style>
  <w:style w:type="paragraph" w:styleId="TOC6">
    <w:name w:val="toc 6"/>
    <w:basedOn w:val="Normal"/>
    <w:next w:val="Normal"/>
    <w:autoRedefine/>
    <w:uiPriority w:val="39"/>
    <w:rsid w:val="00F5720A"/>
    <w:pPr>
      <w:ind w:left="1200"/>
    </w:pPr>
    <w:rPr>
      <w:lang w:val="en-US"/>
    </w:rPr>
  </w:style>
  <w:style w:type="paragraph" w:styleId="TOC7">
    <w:name w:val="toc 7"/>
    <w:basedOn w:val="Normal"/>
    <w:next w:val="Normal"/>
    <w:autoRedefine/>
    <w:uiPriority w:val="39"/>
    <w:rsid w:val="00F5720A"/>
    <w:pPr>
      <w:ind w:left="1440"/>
    </w:pPr>
    <w:rPr>
      <w:lang w:val="en-US"/>
    </w:rPr>
  </w:style>
  <w:style w:type="paragraph" w:styleId="TOC8">
    <w:name w:val="toc 8"/>
    <w:basedOn w:val="Normal"/>
    <w:next w:val="Normal"/>
    <w:autoRedefine/>
    <w:uiPriority w:val="39"/>
    <w:rsid w:val="00F5720A"/>
    <w:pPr>
      <w:ind w:left="1680"/>
    </w:pPr>
    <w:rPr>
      <w:lang w:val="en-US"/>
    </w:rPr>
  </w:style>
  <w:style w:type="paragraph" w:styleId="TOC9">
    <w:name w:val="toc 9"/>
    <w:basedOn w:val="Normal"/>
    <w:next w:val="Normal"/>
    <w:autoRedefine/>
    <w:uiPriority w:val="39"/>
    <w:rsid w:val="00F5720A"/>
    <w:pPr>
      <w:ind w:left="1920"/>
    </w:pPr>
    <w:rPr>
      <w:lang w:val="en-US"/>
    </w:rPr>
  </w:style>
  <w:style w:type="paragraph" w:customStyle="1" w:styleId="Minorchapterhead">
    <w:name w:val="Minor chapter head"/>
    <w:basedOn w:val="Normal"/>
    <w:rsid w:val="00F5720A"/>
    <w:pPr>
      <w:spacing w:before="360" w:after="360"/>
    </w:pPr>
    <w:rPr>
      <w:rFonts w:ascii="Century Gothic" w:hAnsi="Century Gothic"/>
      <w:b/>
      <w:sz w:val="40"/>
      <w:szCs w:val="40"/>
    </w:rPr>
  </w:style>
  <w:style w:type="paragraph" w:customStyle="1" w:styleId="Maintitle">
    <w:name w:val="Main title"/>
    <w:basedOn w:val="Minorchapterhead"/>
    <w:rsid w:val="00F5720A"/>
    <w:rPr>
      <w:sz w:val="96"/>
    </w:rPr>
  </w:style>
  <w:style w:type="paragraph" w:customStyle="1" w:styleId="ContentsHeadingforfigstableslist">
    <w:name w:val="Contents_Heading for figs/tables list"/>
    <w:basedOn w:val="Normal"/>
    <w:rsid w:val="00F5720A"/>
    <w:pPr>
      <w:spacing w:before="1080" w:after="480" w:line="360" w:lineRule="auto"/>
    </w:pPr>
    <w:rPr>
      <w:rFonts w:ascii="Verdana" w:hAnsi="Verdana" w:cs="Arial"/>
      <w:b/>
      <w:bCs/>
      <w:sz w:val="32"/>
      <w:lang w:eastAsia="en-US"/>
    </w:rPr>
  </w:style>
  <w:style w:type="paragraph" w:customStyle="1" w:styleId="Tablename0">
    <w:name w:val="Table name"/>
    <w:basedOn w:val="Caption"/>
    <w:uiPriority w:val="4"/>
    <w:qFormat/>
    <w:rsid w:val="00F5720A"/>
    <w:pPr>
      <w:keepNext/>
      <w:tabs>
        <w:tab w:val="left" w:pos="1134"/>
      </w:tabs>
      <w:spacing w:after="60"/>
      <w:ind w:left="1077" w:hanging="1077"/>
    </w:pPr>
    <w:rPr>
      <w:lang w:eastAsia="en-US"/>
    </w:rPr>
  </w:style>
  <w:style w:type="paragraph" w:customStyle="1" w:styleId="Bullet">
    <w:name w:val="Bullet"/>
    <w:basedOn w:val="BodyText"/>
    <w:rsid w:val="00F5720A"/>
    <w:pPr>
      <w:tabs>
        <w:tab w:val="num" w:pos="720"/>
      </w:tabs>
      <w:ind w:left="720" w:hanging="360"/>
    </w:pPr>
  </w:style>
  <w:style w:type="paragraph" w:customStyle="1" w:styleId="TableColumnheadings">
    <w:name w:val="Table_Column headings"/>
    <w:basedOn w:val="BodyText"/>
    <w:rsid w:val="00F5720A"/>
    <w:pPr>
      <w:spacing w:before="60" w:after="60" w:line="240" w:lineRule="auto"/>
    </w:pPr>
    <w:rPr>
      <w:b/>
      <w:sz w:val="20"/>
    </w:rPr>
  </w:style>
  <w:style w:type="paragraph" w:customStyle="1" w:styleId="TableBodytext">
    <w:name w:val="Table_Body text"/>
    <w:basedOn w:val="BodyText"/>
    <w:link w:val="TableBodytextChar"/>
    <w:rsid w:val="00F5720A"/>
    <w:pPr>
      <w:spacing w:before="40" w:after="60" w:line="240" w:lineRule="auto"/>
    </w:pPr>
    <w:rPr>
      <w:sz w:val="22"/>
    </w:rPr>
  </w:style>
  <w:style w:type="character" w:customStyle="1" w:styleId="TableBodytextChar">
    <w:name w:val="Table_Body text Char"/>
    <w:link w:val="TableBodytext"/>
    <w:locked/>
    <w:rsid w:val="00F5720A"/>
    <w:rPr>
      <w:rFonts w:ascii="Arial Narrow" w:eastAsia="Times New Roman" w:hAnsi="Arial Narrow" w:cs="Arial"/>
      <w:sz w:val="22"/>
      <w:szCs w:val="24"/>
      <w:lang w:eastAsia="en-US"/>
    </w:rPr>
  </w:style>
  <w:style w:type="paragraph" w:customStyle="1" w:styleId="Tablefootnotes">
    <w:name w:val="Table footnotes"/>
    <w:basedOn w:val="BodyText"/>
    <w:rsid w:val="00F5720A"/>
    <w:pPr>
      <w:spacing w:before="40" w:after="360" w:line="240" w:lineRule="auto"/>
    </w:pPr>
    <w:rPr>
      <w:sz w:val="16"/>
    </w:rPr>
  </w:style>
  <w:style w:type="paragraph" w:customStyle="1" w:styleId="StyleHeading3Left127cmFirstline0cm">
    <w:name w:val="Style Heading 3 + Left:  1.27 cm First line:  0 cm"/>
    <w:basedOn w:val="Heading3"/>
    <w:rsid w:val="00F5720A"/>
    <w:pPr>
      <w:numPr>
        <w:ilvl w:val="2"/>
      </w:numPr>
      <w:tabs>
        <w:tab w:val="num" w:pos="1224"/>
      </w:tabs>
      <w:ind w:left="1224" w:hanging="504"/>
    </w:pPr>
    <w:rPr>
      <w:szCs w:val="20"/>
      <w:lang w:eastAsia="en-US"/>
    </w:rPr>
  </w:style>
  <w:style w:type="paragraph" w:customStyle="1" w:styleId="heading2nonumbering">
    <w:name w:val="heading 2 no numbering"/>
    <w:basedOn w:val="Heading2"/>
    <w:rsid w:val="00F5720A"/>
    <w:rPr>
      <w:szCs w:val="24"/>
      <w:lang w:eastAsia="en-US"/>
    </w:rPr>
  </w:style>
  <w:style w:type="paragraph" w:customStyle="1" w:styleId="Coversubtitle">
    <w:name w:val="Cover subtitle"/>
    <w:basedOn w:val="Normal"/>
    <w:uiPriority w:val="99"/>
    <w:rsid w:val="00F5720A"/>
    <w:pPr>
      <w:spacing w:line="360" w:lineRule="auto"/>
    </w:pPr>
    <w:rPr>
      <w:rFonts w:ascii="Verdana" w:hAnsi="Verdana"/>
      <w:b/>
      <w:bCs/>
      <w:sz w:val="28"/>
      <w:lang w:eastAsia="en-US"/>
    </w:rPr>
  </w:style>
  <w:style w:type="character" w:styleId="FollowedHyperlink">
    <w:name w:val="FollowedHyperlink"/>
    <w:uiPriority w:val="99"/>
    <w:rsid w:val="00F5720A"/>
    <w:rPr>
      <w:rFonts w:cs="Times New Roman"/>
      <w:color w:val="800080"/>
      <w:u w:val="single"/>
    </w:rPr>
  </w:style>
  <w:style w:type="paragraph" w:customStyle="1" w:styleId="Level2">
    <w:name w:val="Level 2"/>
    <w:aliases w:val="no numbering"/>
    <w:basedOn w:val="Heading2"/>
    <w:rsid w:val="00F5720A"/>
    <w:pPr>
      <w:spacing w:before="360" w:line="360" w:lineRule="auto"/>
    </w:pPr>
    <w:rPr>
      <w:caps/>
      <w:sz w:val="36"/>
      <w:szCs w:val="24"/>
      <w:lang w:eastAsia="en-US"/>
    </w:rPr>
  </w:style>
  <w:style w:type="paragraph" w:customStyle="1" w:styleId="HeadingLevel2">
    <w:name w:val="Heading Level 2"/>
    <w:basedOn w:val="Normal"/>
    <w:rsid w:val="00F5720A"/>
    <w:pPr>
      <w:tabs>
        <w:tab w:val="num" w:pos="360"/>
      </w:tabs>
      <w:spacing w:line="360" w:lineRule="auto"/>
      <w:ind w:left="360" w:hanging="360"/>
    </w:pPr>
    <w:rPr>
      <w:rFonts w:cs="Arial"/>
      <w:lang w:eastAsia="en-US"/>
    </w:rPr>
  </w:style>
  <w:style w:type="paragraph" w:customStyle="1" w:styleId="Tablebullet0">
    <w:name w:val="Table bullet"/>
    <w:basedOn w:val="TableBodytext"/>
    <w:link w:val="TablebulletChar0"/>
    <w:rsid w:val="00CB2854"/>
    <w:pPr>
      <w:numPr>
        <w:numId w:val="18"/>
      </w:numPr>
      <w:spacing w:before="60"/>
      <w:ind w:left="285" w:hanging="285"/>
    </w:pPr>
    <w:rPr>
      <w:sz w:val="20"/>
      <w:szCs w:val="20"/>
    </w:rPr>
  </w:style>
  <w:style w:type="character" w:customStyle="1" w:styleId="TablebulletChar0">
    <w:name w:val="Table bullet Char"/>
    <w:link w:val="Tablebullet0"/>
    <w:locked/>
    <w:rsid w:val="00CB2854"/>
    <w:rPr>
      <w:rFonts w:ascii="Arial Narrow" w:eastAsia="Times New Roman" w:hAnsi="Arial Narrow"/>
      <w:lang w:val="x-none" w:eastAsia="en-US"/>
    </w:rPr>
  </w:style>
  <w:style w:type="paragraph" w:customStyle="1" w:styleId="Tablebodytext0">
    <w:name w:val="Table body text"/>
    <w:basedOn w:val="Normal"/>
    <w:rsid w:val="00F5720A"/>
    <w:pPr>
      <w:spacing w:before="40" w:after="40"/>
    </w:pPr>
    <w:rPr>
      <w:rFonts w:ascii="Arial Narrow" w:hAnsi="Arial Narrow"/>
      <w:sz w:val="20"/>
    </w:rPr>
  </w:style>
  <w:style w:type="character" w:customStyle="1" w:styleId="Style1Char">
    <w:name w:val="Style1 Char"/>
    <w:link w:val="Style1"/>
    <w:locked/>
    <w:rsid w:val="00F5720A"/>
    <w:rPr>
      <w:rFonts w:ascii="Calibri" w:eastAsia="Times New Roman" w:hAnsi="Calibri"/>
      <w:color w:val="000000"/>
      <w:sz w:val="22"/>
      <w:szCs w:val="22"/>
      <w:lang w:val="x-none" w:eastAsia="x-none"/>
    </w:rPr>
  </w:style>
  <w:style w:type="paragraph" w:customStyle="1" w:styleId="Heading2question">
    <w:name w:val="Heading 2 question"/>
    <w:basedOn w:val="Heading2"/>
    <w:uiPriority w:val="99"/>
    <w:rsid w:val="00F5720A"/>
    <w:pPr>
      <w:tabs>
        <w:tab w:val="left" w:pos="720"/>
      </w:tabs>
      <w:ind w:firstLine="0"/>
    </w:pPr>
    <w:rPr>
      <w:b w:val="0"/>
      <w:noProof/>
    </w:rPr>
  </w:style>
  <w:style w:type="character" w:styleId="Emphasis">
    <w:name w:val="Emphasis"/>
    <w:uiPriority w:val="99"/>
    <w:qFormat/>
    <w:rsid w:val="00F5720A"/>
    <w:rPr>
      <w:rFonts w:cs="Times New Roman"/>
      <w:i/>
      <w:iCs/>
    </w:rPr>
  </w:style>
  <w:style w:type="character" w:customStyle="1" w:styleId="TablefootnoteChar">
    <w:name w:val="Table footnote Char"/>
    <w:link w:val="Tablefootnote"/>
    <w:locked/>
    <w:rsid w:val="00F5720A"/>
    <w:rPr>
      <w:rFonts w:ascii="Arial Narrow" w:hAnsi="Arial Narrow" w:cs="Tahoma"/>
      <w:sz w:val="16"/>
      <w:szCs w:val="24"/>
      <w:lang w:eastAsia="ja-JP"/>
    </w:rPr>
  </w:style>
  <w:style w:type="paragraph" w:customStyle="1" w:styleId="tablenote">
    <w:name w:val="table note"/>
    <w:basedOn w:val="tablenotes"/>
    <w:link w:val="tablenoteChar"/>
    <w:rsid w:val="002571CD"/>
    <w:pPr>
      <w:spacing w:after="120"/>
    </w:pPr>
  </w:style>
  <w:style w:type="character" w:customStyle="1" w:styleId="tablenoteChar">
    <w:name w:val="table note Char"/>
    <w:link w:val="tablenote"/>
    <w:locked/>
    <w:rsid w:val="002571CD"/>
    <w:rPr>
      <w:rFonts w:ascii="Arial Narrow" w:eastAsia="Arial Unicode MS" w:hAnsi="Arial Narrow"/>
      <w:sz w:val="16"/>
      <w:szCs w:val="24"/>
      <w:lang w:val="x-none" w:eastAsia="ja-JP"/>
    </w:rPr>
  </w:style>
  <w:style w:type="paragraph" w:customStyle="1" w:styleId="tablenotes">
    <w:name w:val="table notes"/>
    <w:basedOn w:val="BodyText1"/>
    <w:link w:val="tablenotesChar"/>
    <w:rsid w:val="00F5720A"/>
    <w:rPr>
      <w:sz w:val="16"/>
    </w:rPr>
  </w:style>
  <w:style w:type="character" w:customStyle="1" w:styleId="tablenotesChar">
    <w:name w:val="table notes Char"/>
    <w:link w:val="tablenotes"/>
    <w:locked/>
    <w:rsid w:val="00F5720A"/>
    <w:rPr>
      <w:rFonts w:ascii="Arial Narrow" w:eastAsia="Arial Unicode MS" w:hAnsi="Arial Narrow" w:cs="Tahoma"/>
      <w:sz w:val="16"/>
      <w:szCs w:val="24"/>
      <w:lang w:eastAsia="ja-JP"/>
    </w:rPr>
  </w:style>
  <w:style w:type="paragraph" w:customStyle="1" w:styleId="tableorcaptionnotes">
    <w:name w:val="table or caption notes"/>
    <w:basedOn w:val="Normal"/>
    <w:link w:val="tableorcaptionnotesChar"/>
    <w:rsid w:val="00F5720A"/>
    <w:rPr>
      <w:rFonts w:cs="Times New Roman"/>
      <w:sz w:val="16"/>
      <w:lang w:val="x-none"/>
    </w:rPr>
  </w:style>
  <w:style w:type="character" w:customStyle="1" w:styleId="tableorcaptionnotesChar">
    <w:name w:val="table or caption notes Char"/>
    <w:link w:val="tableorcaptionnotes"/>
    <w:locked/>
    <w:rsid w:val="00F5720A"/>
    <w:rPr>
      <w:rFonts w:ascii="Calibri" w:eastAsia="Times New Roman" w:hAnsi="Calibri" w:cs="Tahoma"/>
      <w:color w:val="000000"/>
      <w:sz w:val="16"/>
      <w:szCs w:val="22"/>
      <w:lang w:eastAsia="en-AU"/>
    </w:rPr>
  </w:style>
  <w:style w:type="paragraph" w:customStyle="1" w:styleId="H6">
    <w:name w:val="H6"/>
    <w:basedOn w:val="Normal"/>
    <w:link w:val="H6Char"/>
    <w:qFormat/>
    <w:rsid w:val="004361C8"/>
    <w:pPr>
      <w:keepNext/>
      <w:spacing w:before="60" w:after="60"/>
    </w:pPr>
    <w:rPr>
      <w:i/>
    </w:rPr>
  </w:style>
  <w:style w:type="paragraph" w:customStyle="1" w:styleId="Pa0">
    <w:name w:val="Pa0"/>
    <w:basedOn w:val="Default"/>
    <w:next w:val="Default"/>
    <w:rsid w:val="00BC366F"/>
    <w:pPr>
      <w:spacing w:line="211" w:lineRule="atLeast"/>
    </w:pPr>
    <w:rPr>
      <w:rFonts w:ascii="ITC Garamond Std Lt" w:hAnsi="ITC Garamond Std Lt" w:cs="Times New Roman"/>
      <w:color w:val="auto"/>
    </w:rPr>
  </w:style>
  <w:style w:type="character" w:customStyle="1" w:styleId="A0">
    <w:name w:val="A0"/>
    <w:rsid w:val="00BC366F"/>
    <w:rPr>
      <w:rFonts w:cs="ITC Garamond Std Lt"/>
      <w:color w:val="221E1F"/>
      <w:sz w:val="20"/>
      <w:szCs w:val="20"/>
    </w:rPr>
  </w:style>
  <w:style w:type="paragraph" w:customStyle="1" w:styleId="TT2">
    <w:name w:val="TT2"/>
    <w:basedOn w:val="TableText"/>
    <w:qFormat/>
    <w:rsid w:val="004A1BFB"/>
  </w:style>
  <w:style w:type="character" w:customStyle="1" w:styleId="Bullet6Char">
    <w:name w:val="Bullet+6 Char"/>
    <w:link w:val="Bullet6"/>
    <w:rsid w:val="0063003A"/>
    <w:rPr>
      <w:rFonts w:ascii="Calibri" w:eastAsia="Times New Roman" w:hAnsi="Calibri"/>
      <w:color w:val="000000"/>
      <w:sz w:val="22"/>
      <w:szCs w:val="22"/>
      <w:lang w:val="x-none" w:eastAsia="x-none"/>
    </w:rPr>
  </w:style>
  <w:style w:type="paragraph" w:styleId="BodyTextIndent">
    <w:name w:val="Body Text Indent"/>
    <w:basedOn w:val="Normal"/>
    <w:link w:val="BodyTextIndentChar"/>
    <w:semiHidden/>
    <w:unhideWhenUsed/>
    <w:rsid w:val="00FD6A84"/>
    <w:pPr>
      <w:spacing w:after="120"/>
      <w:ind w:left="283"/>
    </w:pPr>
    <w:rPr>
      <w:rFonts w:cs="Times New Roman"/>
      <w:lang w:val="x-none"/>
    </w:rPr>
  </w:style>
  <w:style w:type="character" w:customStyle="1" w:styleId="BodyTextIndentChar">
    <w:name w:val="Body Text Indent Char"/>
    <w:link w:val="BodyTextIndent"/>
    <w:semiHidden/>
    <w:rsid w:val="00FD6A84"/>
    <w:rPr>
      <w:rFonts w:ascii="Calibri" w:eastAsia="Times New Roman" w:hAnsi="Calibri" w:cs="Tahoma"/>
      <w:color w:val="000000"/>
      <w:sz w:val="22"/>
      <w:szCs w:val="22"/>
      <w:lang w:eastAsia="en-AU"/>
    </w:rPr>
  </w:style>
  <w:style w:type="paragraph" w:styleId="BodyTextFirstIndent2">
    <w:name w:val="Body Text First Indent 2"/>
    <w:basedOn w:val="BodyTextIndent"/>
    <w:link w:val="BodyTextFirstIndent2Char"/>
    <w:unhideWhenUsed/>
    <w:rsid w:val="00FD6A84"/>
    <w:pPr>
      <w:ind w:firstLine="210"/>
    </w:pPr>
  </w:style>
  <w:style w:type="character" w:customStyle="1" w:styleId="BodyTextFirstIndent2Char">
    <w:name w:val="Body Text First Indent 2 Char"/>
    <w:link w:val="BodyTextFirstIndent2"/>
    <w:rsid w:val="00FD6A84"/>
    <w:rPr>
      <w:rFonts w:ascii="Calibri" w:eastAsia="Times New Roman" w:hAnsi="Calibri" w:cs="Tahoma"/>
      <w:color w:val="000000"/>
      <w:sz w:val="22"/>
      <w:szCs w:val="22"/>
      <w:lang w:eastAsia="en-AU"/>
    </w:rPr>
  </w:style>
  <w:style w:type="character" w:customStyle="1" w:styleId="BoxTextChar">
    <w:name w:val="BoxText Char"/>
    <w:link w:val="BoxText"/>
    <w:rsid w:val="00D5210F"/>
    <w:rPr>
      <w:rFonts w:ascii="Calibri" w:eastAsia="Times New Roman" w:hAnsi="Calibri" w:cs="Tahoma"/>
      <w:color w:val="000000"/>
      <w:sz w:val="22"/>
      <w:szCs w:val="22"/>
    </w:rPr>
  </w:style>
  <w:style w:type="paragraph" w:styleId="ListNumber">
    <w:name w:val="List Number"/>
    <w:basedOn w:val="Normal"/>
    <w:link w:val="ListNumberChar"/>
    <w:uiPriority w:val="99"/>
    <w:rsid w:val="005648D5"/>
    <w:pPr>
      <w:numPr>
        <w:numId w:val="17"/>
      </w:numPr>
      <w:contextualSpacing/>
    </w:pPr>
  </w:style>
  <w:style w:type="paragraph" w:customStyle="1" w:styleId="Normal-aftertable">
    <w:name w:val="Normal - after table"/>
    <w:basedOn w:val="Normal"/>
    <w:qFormat/>
    <w:rsid w:val="000E4F57"/>
    <w:pPr>
      <w:spacing w:before="240"/>
    </w:pPr>
  </w:style>
  <w:style w:type="paragraph" w:customStyle="1" w:styleId="TableSubhead">
    <w:name w:val="TableSubhead"/>
    <w:basedOn w:val="TableText"/>
    <w:qFormat/>
    <w:rsid w:val="006F4372"/>
    <w:rPr>
      <w:b/>
      <w:i/>
    </w:rPr>
  </w:style>
  <w:style w:type="paragraph" w:customStyle="1" w:styleId="ES-table">
    <w:name w:val="ES-table"/>
    <w:basedOn w:val="TT2"/>
    <w:qFormat/>
    <w:rsid w:val="007B36BE"/>
  </w:style>
  <w:style w:type="character" w:customStyle="1" w:styleId="Bullet0Char">
    <w:name w:val="Bullet+0 Char"/>
    <w:link w:val="Bullet0"/>
    <w:rsid w:val="00012084"/>
    <w:rPr>
      <w:rFonts w:ascii="Calibri" w:eastAsia="Times New Roman" w:hAnsi="Calibri"/>
      <w:color w:val="000000"/>
      <w:sz w:val="22"/>
      <w:szCs w:val="22"/>
      <w:lang w:val="x-none" w:eastAsia="x-none"/>
    </w:rPr>
  </w:style>
  <w:style w:type="character" w:customStyle="1" w:styleId="Bullet12Char">
    <w:name w:val="Bullet+12 Char"/>
    <w:link w:val="Bullet12"/>
    <w:rsid w:val="006F321B"/>
    <w:rPr>
      <w:rFonts w:ascii="Calibri" w:eastAsia="Times New Roman" w:hAnsi="Calibri"/>
      <w:color w:val="000000"/>
      <w:sz w:val="22"/>
      <w:szCs w:val="22"/>
      <w:lang w:val="x-none" w:eastAsia="x-none"/>
    </w:rPr>
  </w:style>
  <w:style w:type="character" w:customStyle="1" w:styleId="st">
    <w:name w:val="st"/>
    <w:rsid w:val="00AB26EC"/>
  </w:style>
  <w:style w:type="character" w:customStyle="1" w:styleId="bannertext1">
    <w:name w:val="bannertext1"/>
    <w:rsid w:val="00DC3033"/>
    <w:rPr>
      <w:rFonts w:ascii="Century Gothic" w:hAnsi="Century Gothic" w:hint="default"/>
      <w:b/>
      <w:bCs/>
      <w:color w:val="330033"/>
      <w:sz w:val="27"/>
      <w:szCs w:val="27"/>
    </w:rPr>
  </w:style>
  <w:style w:type="paragraph" w:customStyle="1" w:styleId="PT-prebullet">
    <w:name w:val="PT-prebullet"/>
    <w:basedOn w:val="Normal-noindent"/>
    <w:qFormat/>
    <w:rsid w:val="006A6E85"/>
    <w:pPr>
      <w:spacing w:after="120"/>
    </w:pPr>
  </w:style>
  <w:style w:type="paragraph" w:customStyle="1" w:styleId="StyleNormalbeforebulletLeft125cm">
    <w:name w:val="Style Normal (before bullet) + Left:  1.25 cm"/>
    <w:basedOn w:val="Normalbeforebullet"/>
    <w:rsid w:val="009C4859"/>
  </w:style>
  <w:style w:type="paragraph" w:customStyle="1" w:styleId="ES-notes">
    <w:name w:val="ES-notes"/>
    <w:basedOn w:val="TableFigNotes0"/>
    <w:qFormat/>
    <w:rsid w:val="00D16236"/>
    <w:pPr>
      <w:keepNext/>
    </w:pPr>
    <w:rPr>
      <w:rFonts w:ascii="Arial Narrow" w:hAnsi="Arial Narrow"/>
    </w:rPr>
  </w:style>
  <w:style w:type="character" w:styleId="IntenseEmphasis">
    <w:name w:val="Intense Emphasis"/>
    <w:basedOn w:val="DefaultParagraphFont"/>
    <w:uiPriority w:val="21"/>
    <w:qFormat/>
    <w:rsid w:val="009C60BF"/>
    <w:rPr>
      <w:b/>
      <w:bCs/>
      <w:i/>
      <w:iCs/>
      <w:color w:val="4F81BD"/>
    </w:rPr>
  </w:style>
  <w:style w:type="paragraph" w:customStyle="1" w:styleId="T-ABCD">
    <w:name w:val="T-ABCD"/>
    <w:basedOn w:val="Normal"/>
    <w:qFormat/>
    <w:rsid w:val="00386AAB"/>
    <w:pPr>
      <w:spacing w:after="0"/>
      <w:ind w:left="162"/>
    </w:pPr>
    <w:rPr>
      <w:rFonts w:ascii="Arial Narrow" w:hAnsi="Arial Narrow"/>
      <w:sz w:val="20"/>
    </w:rPr>
  </w:style>
  <w:style w:type="paragraph" w:customStyle="1" w:styleId="Body">
    <w:name w:val="Body"/>
    <w:rsid w:val="00141F97"/>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paragraph" w:customStyle="1" w:styleId="EndNoteBibliographyTitle">
    <w:name w:val="EndNote Bibliography Title"/>
    <w:basedOn w:val="Normal"/>
    <w:link w:val="EndNoteBibliographyTitleChar"/>
    <w:rsid w:val="00002BEF"/>
    <w:pPr>
      <w:spacing w:after="0"/>
      <w:jc w:val="center"/>
    </w:pPr>
    <w:rPr>
      <w:noProof/>
    </w:rPr>
  </w:style>
  <w:style w:type="character" w:customStyle="1" w:styleId="NormalbeforebulletChar">
    <w:name w:val="Normal (before bullet) Char"/>
    <w:basedOn w:val="DefaultParagraphFont"/>
    <w:link w:val="Normalbeforebullet"/>
    <w:rsid w:val="00FF2787"/>
    <w:rPr>
      <w:rFonts w:ascii="Calibri" w:eastAsia="Times New Roman" w:hAnsi="Calibri"/>
      <w:color w:val="000000"/>
      <w:sz w:val="22"/>
      <w:lang w:val="en-GB" w:eastAsia="en-GB"/>
    </w:rPr>
  </w:style>
  <w:style w:type="character" w:customStyle="1" w:styleId="EndNoteBibliographyTitleChar">
    <w:name w:val="EndNote Bibliography Title Char"/>
    <w:basedOn w:val="NormalbeforebulletChar"/>
    <w:link w:val="EndNoteBibliographyTitle"/>
    <w:rsid w:val="00002BEF"/>
    <w:rPr>
      <w:rFonts w:ascii="Calibri" w:eastAsia="Times New Roman" w:hAnsi="Calibri" w:cs="Tahoma"/>
      <w:noProof/>
      <w:color w:val="000000"/>
      <w:sz w:val="22"/>
      <w:szCs w:val="22"/>
      <w:lang w:val="en-GB" w:eastAsia="en-GB"/>
    </w:rPr>
  </w:style>
  <w:style w:type="paragraph" w:customStyle="1" w:styleId="EndNoteBibliography">
    <w:name w:val="EndNote Bibliography"/>
    <w:basedOn w:val="Normal"/>
    <w:link w:val="EndNoteBibliographyChar"/>
    <w:rsid w:val="00002BEF"/>
    <w:rPr>
      <w:noProof/>
    </w:rPr>
  </w:style>
  <w:style w:type="character" w:customStyle="1" w:styleId="EndNoteBibliographyChar">
    <w:name w:val="EndNote Bibliography Char"/>
    <w:basedOn w:val="NormalbeforebulletChar"/>
    <w:link w:val="EndNoteBibliography"/>
    <w:rsid w:val="00002BEF"/>
    <w:rPr>
      <w:rFonts w:ascii="Calibri" w:eastAsia="Times New Roman" w:hAnsi="Calibri" w:cs="Tahoma"/>
      <w:noProof/>
      <w:color w:val="000000"/>
      <w:sz w:val="22"/>
      <w:szCs w:val="22"/>
      <w:lang w:val="en-GB" w:eastAsia="en-GB"/>
    </w:rPr>
  </w:style>
  <w:style w:type="paragraph" w:styleId="Subtitle">
    <w:name w:val="Subtitle"/>
    <w:basedOn w:val="Normal"/>
    <w:next w:val="Normal"/>
    <w:link w:val="SubtitleChar"/>
    <w:qFormat/>
    <w:rsid w:val="009630E5"/>
    <w:pPr>
      <w:spacing w:after="200"/>
      <w:ind w:left="0"/>
    </w:pPr>
    <w:rPr>
      <w:rFonts w:asciiTheme="majorHAnsi" w:eastAsiaTheme="majorEastAsia" w:hAnsiTheme="majorHAnsi" w:cstheme="majorBidi"/>
      <w:i/>
      <w:iCs/>
      <w:color w:val="C60C30"/>
      <w:spacing w:val="15"/>
      <w:sz w:val="24"/>
      <w:szCs w:val="24"/>
      <w:lang w:eastAsia="en-US"/>
    </w:rPr>
  </w:style>
  <w:style w:type="character" w:customStyle="1" w:styleId="SubtitleChar">
    <w:name w:val="Subtitle Char"/>
    <w:basedOn w:val="DefaultParagraphFont"/>
    <w:link w:val="Subtitle"/>
    <w:rsid w:val="009630E5"/>
    <w:rPr>
      <w:rFonts w:asciiTheme="majorHAnsi" w:eastAsiaTheme="majorEastAsia" w:hAnsiTheme="majorHAnsi" w:cstheme="majorBidi"/>
      <w:i/>
      <w:iCs/>
      <w:color w:val="C60C30"/>
      <w:spacing w:val="15"/>
      <w:sz w:val="24"/>
      <w:szCs w:val="24"/>
      <w:lang w:eastAsia="en-US"/>
    </w:rPr>
  </w:style>
  <w:style w:type="character" w:customStyle="1" w:styleId="A21">
    <w:name w:val="A2+1"/>
    <w:uiPriority w:val="99"/>
    <w:rsid w:val="00E66427"/>
    <w:rPr>
      <w:rFonts w:cs="TitilliumText22L Lt"/>
      <w:color w:val="000000"/>
      <w:sz w:val="16"/>
      <w:szCs w:val="16"/>
    </w:rPr>
  </w:style>
  <w:style w:type="character" w:customStyle="1" w:styleId="ListParagraphChar">
    <w:name w:val="List Paragraph Char"/>
    <w:link w:val="ListParagraph"/>
    <w:uiPriority w:val="34"/>
    <w:locked/>
    <w:rsid w:val="004C287C"/>
    <w:rPr>
      <w:rFonts w:ascii="Calibri" w:eastAsia="Times New Roman" w:hAnsi="Calibri" w:cs="Tahoma"/>
      <w:color w:val="000000"/>
      <w:sz w:val="22"/>
      <w:szCs w:val="22"/>
    </w:rPr>
  </w:style>
  <w:style w:type="paragraph" w:customStyle="1" w:styleId="Tabletextnoindent">
    <w:name w:val="Tabletextnoindent"/>
    <w:basedOn w:val="TableText"/>
    <w:qFormat/>
    <w:rsid w:val="005A3DB6"/>
    <w:pPr>
      <w:numPr>
        <w:numId w:val="25"/>
      </w:numPr>
    </w:pPr>
  </w:style>
  <w:style w:type="character" w:customStyle="1" w:styleId="TableFigNotes0Char">
    <w:name w:val="TableFigNotes+0 Char"/>
    <w:basedOn w:val="DefaultParagraphFont"/>
    <w:link w:val="TableFigNotes0"/>
    <w:rsid w:val="00D849B4"/>
    <w:rPr>
      <w:rFonts w:ascii="Calibri" w:eastAsia="Times New Roman" w:hAnsi="Calibri" w:cs="Tahoma"/>
      <w:color w:val="000000"/>
      <w:sz w:val="18"/>
      <w:szCs w:val="18"/>
    </w:rPr>
  </w:style>
  <w:style w:type="paragraph" w:customStyle="1" w:styleId="Checklist">
    <w:name w:val="Checklist"/>
    <w:basedOn w:val="Normal"/>
    <w:qFormat/>
    <w:rsid w:val="00E66069"/>
    <w:pPr>
      <w:ind w:left="709" w:hanging="709"/>
    </w:pPr>
    <w:rPr>
      <w:rFonts w:ascii="Arial" w:hAnsi="Arial" w:cs="Times New Roman"/>
      <w:color w:val="333333"/>
      <w:szCs w:val="24"/>
    </w:rPr>
  </w:style>
  <w:style w:type="paragraph" w:customStyle="1" w:styleId="Pic">
    <w:name w:val="Pic"/>
    <w:next w:val="Footnote"/>
    <w:uiPriority w:val="9"/>
    <w:qFormat/>
    <w:rsid w:val="00E66069"/>
    <w:pPr>
      <w:keepNext/>
    </w:pPr>
    <w:rPr>
      <w:rFonts w:ascii="Calibri" w:eastAsia="Calibri" w:hAnsi="Calibri" w:cs="Calibri"/>
      <w:lang w:eastAsia="en-US"/>
    </w:rPr>
  </w:style>
  <w:style w:type="paragraph" w:customStyle="1" w:styleId="Footnote">
    <w:name w:val="Footnote"/>
    <w:basedOn w:val="FootnoteText"/>
    <w:uiPriority w:val="99"/>
    <w:rsid w:val="00E66069"/>
    <w:rPr>
      <w:rFonts w:cs="Tahoma"/>
      <w:sz w:val="20"/>
      <w:lang w:val="en-AU"/>
    </w:rPr>
  </w:style>
  <w:style w:type="paragraph" w:styleId="TOCHeading">
    <w:name w:val="TOC Heading"/>
    <w:basedOn w:val="Heading1"/>
    <w:next w:val="Normal"/>
    <w:uiPriority w:val="39"/>
    <w:unhideWhenUsed/>
    <w:qFormat/>
    <w:rsid w:val="00E66069"/>
    <w:pPr>
      <w:pBdr>
        <w:bottom w:val="none" w:sz="0" w:space="0" w:color="auto"/>
      </w:pBdr>
      <w:spacing w:before="240" w:after="60"/>
      <w:ind w:left="0" w:firstLine="0"/>
      <w:outlineLvl w:val="9"/>
    </w:pPr>
    <w:rPr>
      <w:rFonts w:ascii="Cambria" w:eastAsia="PMingLiU" w:hAnsi="Cambria"/>
      <w:spacing w:val="0"/>
      <w:kern w:val="32"/>
      <w:sz w:val="32"/>
      <w:lang w:val="en-AU"/>
    </w:rPr>
  </w:style>
  <w:style w:type="table" w:styleId="ColorfulGrid-Accent3">
    <w:name w:val="Colorful Grid Accent 3"/>
    <w:basedOn w:val="TableNormal"/>
    <w:uiPriority w:val="73"/>
    <w:rsid w:val="00E66069"/>
    <w:pPr>
      <w:spacing w:before="20" w:after="240"/>
    </w:pPr>
    <w:rPr>
      <w:rFonts w:ascii="Calibri" w:eastAsia="Calibri" w:hAnsi="Calibr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odyText2">
    <w:name w:val="Body Text 2"/>
    <w:basedOn w:val="Normal"/>
    <w:link w:val="BodyText2Char"/>
    <w:semiHidden/>
    <w:unhideWhenUsed/>
    <w:rsid w:val="00E66069"/>
    <w:pPr>
      <w:spacing w:after="120" w:line="480" w:lineRule="auto"/>
    </w:pPr>
  </w:style>
  <w:style w:type="character" w:customStyle="1" w:styleId="BodyText2Char">
    <w:name w:val="Body Text 2 Char"/>
    <w:basedOn w:val="DefaultParagraphFont"/>
    <w:link w:val="BodyText2"/>
    <w:semiHidden/>
    <w:rsid w:val="00E66069"/>
    <w:rPr>
      <w:rFonts w:ascii="Calibri" w:eastAsia="Times New Roman" w:hAnsi="Calibri" w:cs="Tahoma"/>
      <w:color w:val="000000"/>
      <w:sz w:val="22"/>
      <w:szCs w:val="22"/>
    </w:rPr>
  </w:style>
  <w:style w:type="paragraph" w:customStyle="1" w:styleId="CoverHead">
    <w:name w:val="Cover Head"/>
    <w:basedOn w:val="BodyText"/>
    <w:uiPriority w:val="9"/>
    <w:qFormat/>
    <w:rsid w:val="00E66069"/>
    <w:pPr>
      <w:spacing w:after="0" w:line="270" w:lineRule="auto"/>
      <w:ind w:left="720"/>
      <w:jc w:val="right"/>
    </w:pPr>
    <w:rPr>
      <w:rFonts w:ascii="Arial" w:hAnsi="Arial" w:cs="Arial"/>
      <w:b/>
      <w:color w:val="000000"/>
      <w:sz w:val="48"/>
      <w:szCs w:val="22"/>
      <w:lang w:val="en-US" w:eastAsia="en-AU"/>
    </w:rPr>
  </w:style>
  <w:style w:type="paragraph" w:customStyle="1" w:styleId="AbbreviationsList">
    <w:name w:val="Abbreviations List"/>
    <w:uiPriority w:val="9"/>
    <w:qFormat/>
    <w:rsid w:val="00E66069"/>
    <w:pPr>
      <w:tabs>
        <w:tab w:val="left" w:pos="2268"/>
      </w:tabs>
      <w:spacing w:before="2"/>
      <w:ind w:left="851"/>
    </w:pPr>
    <w:rPr>
      <w:rFonts w:ascii="Calibri" w:eastAsia="Calibri" w:hAnsi="Calibri" w:cs="Calibri"/>
      <w:lang w:eastAsia="en-US"/>
    </w:rPr>
  </w:style>
  <w:style w:type="paragraph" w:styleId="Title">
    <w:name w:val="Title"/>
    <w:basedOn w:val="Normal"/>
    <w:next w:val="Normal"/>
    <w:link w:val="TitleChar"/>
    <w:qFormat/>
    <w:rsid w:val="00E66069"/>
    <w:pPr>
      <w:spacing w:before="240" w:after="60"/>
      <w:jc w:val="center"/>
      <w:outlineLvl w:val="0"/>
    </w:pPr>
    <w:rPr>
      <w:rFonts w:ascii="Cambria" w:eastAsia="PMingLiU" w:hAnsi="Cambria" w:cs="Times New Roman"/>
      <w:b/>
      <w:bCs/>
      <w:kern w:val="28"/>
      <w:sz w:val="32"/>
      <w:szCs w:val="32"/>
    </w:rPr>
  </w:style>
  <w:style w:type="character" w:customStyle="1" w:styleId="TitleChar">
    <w:name w:val="Title Char"/>
    <w:basedOn w:val="DefaultParagraphFont"/>
    <w:link w:val="Title"/>
    <w:rsid w:val="00E66069"/>
    <w:rPr>
      <w:rFonts w:ascii="Cambria" w:eastAsia="PMingLiU" w:hAnsi="Cambria"/>
      <w:b/>
      <w:bCs/>
      <w:color w:val="000000"/>
      <w:kern w:val="28"/>
      <w:sz w:val="32"/>
      <w:szCs w:val="32"/>
    </w:rPr>
  </w:style>
  <w:style w:type="paragraph" w:customStyle="1" w:styleId="Bulletintro">
    <w:name w:val="Bullet intro"/>
    <w:basedOn w:val="BodyText"/>
    <w:uiPriority w:val="2"/>
    <w:qFormat/>
    <w:rsid w:val="00E66069"/>
    <w:pPr>
      <w:spacing w:after="120" w:line="240" w:lineRule="auto"/>
      <w:ind w:left="720"/>
    </w:pPr>
    <w:rPr>
      <w:rFonts w:ascii="Calibri" w:hAnsi="Calibri" w:cs="Arial"/>
      <w:color w:val="000000"/>
      <w:sz w:val="22"/>
      <w:lang w:val="en-US" w:eastAsia="en-AU"/>
    </w:rPr>
  </w:style>
  <w:style w:type="paragraph" w:customStyle="1" w:styleId="Company">
    <w:name w:val="Company"/>
    <w:basedOn w:val="Subtitle"/>
    <w:uiPriority w:val="8"/>
    <w:qFormat/>
    <w:rsid w:val="00E66069"/>
    <w:pPr>
      <w:spacing w:after="60"/>
      <w:ind w:left="720"/>
      <w:jc w:val="center"/>
      <w:outlineLvl w:val="1"/>
    </w:pPr>
    <w:rPr>
      <w:rFonts w:ascii="Cambria" w:eastAsia="Times New Roman" w:hAnsi="Cambria" w:cs="Times New Roman"/>
      <w:bCs/>
      <w:i w:val="0"/>
      <w:iCs w:val="0"/>
      <w:color w:val="000000"/>
      <w:spacing w:val="0"/>
      <w:szCs w:val="28"/>
      <w:lang w:eastAsia="en-GB"/>
    </w:rPr>
  </w:style>
  <w:style w:type="paragraph" w:customStyle="1" w:styleId="CompanyAddress">
    <w:name w:val="CompanyAddress"/>
    <w:basedOn w:val="Company"/>
    <w:uiPriority w:val="8"/>
    <w:qFormat/>
    <w:rsid w:val="00E66069"/>
    <w:rPr>
      <w:b/>
    </w:rPr>
  </w:style>
  <w:style w:type="paragraph" w:customStyle="1" w:styleId="Drugname">
    <w:name w:val="Drug name"/>
    <w:basedOn w:val="Normal"/>
    <w:next w:val="Normal"/>
    <w:semiHidden/>
    <w:qFormat/>
    <w:rsid w:val="00E66069"/>
    <w:pPr>
      <w:spacing w:after="0"/>
      <w:jc w:val="right"/>
    </w:pPr>
    <w:rPr>
      <w:rFonts w:ascii="Helvetica" w:hAnsi="Helvetica"/>
      <w:b/>
      <w:bCs/>
      <w:caps/>
      <w:sz w:val="36"/>
      <w:szCs w:val="36"/>
      <w:lang w:eastAsia="en-GB"/>
    </w:rPr>
  </w:style>
  <w:style w:type="paragraph" w:customStyle="1" w:styleId="Figurename0">
    <w:name w:val="Figure name"/>
    <w:basedOn w:val="BodyText"/>
    <w:next w:val="BodyText"/>
    <w:uiPriority w:val="5"/>
    <w:qFormat/>
    <w:rsid w:val="00E66069"/>
    <w:pPr>
      <w:keepNext/>
      <w:tabs>
        <w:tab w:val="left" w:pos="1418"/>
      </w:tabs>
      <w:spacing w:after="120" w:line="240" w:lineRule="auto"/>
      <w:ind w:left="2212" w:hanging="1418"/>
    </w:pPr>
    <w:rPr>
      <w:rFonts w:ascii="Calibri" w:hAnsi="Calibri" w:cs="Tahoma"/>
      <w:b/>
      <w:bCs/>
      <w:color w:val="000000"/>
      <w:sz w:val="22"/>
      <w:szCs w:val="22"/>
      <w:lang w:val="en-US" w:eastAsia="en-AU"/>
    </w:rPr>
  </w:style>
  <w:style w:type="paragraph" w:customStyle="1" w:styleId="H1-NoNum">
    <w:name w:val="H1-NoNum"/>
    <w:basedOn w:val="Heading1"/>
    <w:next w:val="BodyText"/>
    <w:uiPriority w:val="1"/>
    <w:rsid w:val="00E66069"/>
    <w:pPr>
      <w:ind w:left="0" w:firstLine="0"/>
    </w:pPr>
    <w:rPr>
      <w:rFonts w:eastAsiaTheme="majorEastAsia" w:cs="Arial"/>
      <w:lang w:val="en-AU"/>
    </w:rPr>
  </w:style>
  <w:style w:type="paragraph" w:customStyle="1" w:styleId="H1-nontoc">
    <w:name w:val="H1-nontoc"/>
    <w:basedOn w:val="Heading1"/>
    <w:next w:val="BodyText"/>
    <w:uiPriority w:val="1"/>
    <w:rsid w:val="00E66069"/>
    <w:pPr>
      <w:spacing w:before="20" w:after="20"/>
      <w:ind w:left="431" w:hanging="431"/>
    </w:pPr>
    <w:rPr>
      <w:rFonts w:eastAsiaTheme="majorEastAsia" w:cstheme="minorHAnsi"/>
      <w:color w:val="E36C0A" w:themeColor="accent6" w:themeShade="BF"/>
      <w:lang w:val="en-AU"/>
    </w:rPr>
  </w:style>
  <w:style w:type="paragraph" w:customStyle="1" w:styleId="H2-nontoc">
    <w:name w:val="H2-nontoc"/>
    <w:basedOn w:val="Heading2"/>
    <w:next w:val="BodyText"/>
    <w:uiPriority w:val="1"/>
    <w:qFormat/>
    <w:rsid w:val="00E66069"/>
    <w:pPr>
      <w:ind w:left="0" w:firstLine="0"/>
      <w:outlineLvl w:val="9"/>
    </w:pPr>
    <w:rPr>
      <w:rFonts w:cs="Arial"/>
      <w:lang w:val="en-AU"/>
    </w:rPr>
  </w:style>
  <w:style w:type="paragraph" w:customStyle="1" w:styleId="H3-nontoc">
    <w:name w:val="H3-nontoc"/>
    <w:basedOn w:val="Heading3"/>
    <w:next w:val="BodyText"/>
    <w:uiPriority w:val="1"/>
    <w:qFormat/>
    <w:rsid w:val="00E66069"/>
    <w:pPr>
      <w:ind w:left="0" w:firstLine="0"/>
      <w:outlineLvl w:val="9"/>
    </w:pPr>
    <w:rPr>
      <w:rFonts w:cs="Arial"/>
      <w:lang w:val="en-AU" w:eastAsia="en-AU"/>
    </w:rPr>
  </w:style>
  <w:style w:type="paragraph" w:customStyle="1" w:styleId="QuoteBodyText">
    <w:name w:val="QuoteBodyText"/>
    <w:basedOn w:val="BodyText"/>
    <w:next w:val="BodyText"/>
    <w:uiPriority w:val="6"/>
    <w:qFormat/>
    <w:rsid w:val="00E66069"/>
    <w:pPr>
      <w:spacing w:after="0" w:line="240" w:lineRule="auto"/>
      <w:ind w:left="567" w:right="662"/>
    </w:pPr>
    <w:rPr>
      <w:rFonts w:ascii="Calibri" w:hAnsi="Calibri" w:cs="Tahoma"/>
      <w:i/>
      <w:color w:val="000000"/>
      <w:sz w:val="22"/>
      <w:szCs w:val="18"/>
      <w:lang w:val="en-AU" w:eastAsia="en-AU"/>
    </w:rPr>
  </w:style>
  <w:style w:type="paragraph" w:customStyle="1" w:styleId="QuoteSmallText">
    <w:name w:val="QuoteSmallText"/>
    <w:basedOn w:val="QuoteBodyText"/>
    <w:next w:val="BodyText"/>
    <w:uiPriority w:val="6"/>
    <w:qFormat/>
    <w:rsid w:val="00E66069"/>
    <w:pPr>
      <w:spacing w:before="120"/>
    </w:pPr>
    <w:rPr>
      <w:sz w:val="18"/>
    </w:rPr>
  </w:style>
  <w:style w:type="paragraph" w:customStyle="1" w:styleId="Tabledash0">
    <w:name w:val="Table dash"/>
    <w:basedOn w:val="BodyText"/>
    <w:uiPriority w:val="4"/>
    <w:qFormat/>
    <w:rsid w:val="00E66069"/>
    <w:pPr>
      <w:keepNext/>
      <w:numPr>
        <w:numId w:val="41"/>
      </w:numPr>
      <w:spacing w:before="20" w:after="20" w:line="240" w:lineRule="auto"/>
      <w:ind w:right="113"/>
    </w:pPr>
    <w:rPr>
      <w:rFonts w:ascii="Calibri" w:hAnsi="Calibri" w:cs="Tahoma"/>
      <w:bCs/>
      <w:color w:val="000000"/>
      <w:sz w:val="16"/>
      <w:szCs w:val="26"/>
      <w:lang w:val="en-AU" w:eastAsia="en-AU"/>
    </w:rPr>
  </w:style>
  <w:style w:type="paragraph" w:customStyle="1" w:styleId="TableH1">
    <w:name w:val="Table H1"/>
    <w:basedOn w:val="BodyText"/>
    <w:uiPriority w:val="4"/>
    <w:qFormat/>
    <w:rsid w:val="00E66069"/>
    <w:pPr>
      <w:keepNext/>
      <w:spacing w:after="20" w:line="240" w:lineRule="auto"/>
      <w:ind w:right="113"/>
    </w:pPr>
    <w:rPr>
      <w:rFonts w:ascii="Calibri" w:hAnsi="Calibri" w:cs="Tahoma"/>
      <w:b/>
      <w:color w:val="000000"/>
      <w:sz w:val="20"/>
      <w:szCs w:val="16"/>
      <w:lang w:val="en-US" w:eastAsia="en-AU"/>
    </w:rPr>
  </w:style>
  <w:style w:type="paragraph" w:customStyle="1" w:styleId="TableH2">
    <w:name w:val="Table H2"/>
    <w:basedOn w:val="BodyText"/>
    <w:next w:val="Tabletext0"/>
    <w:link w:val="TableH2Char"/>
    <w:uiPriority w:val="4"/>
    <w:qFormat/>
    <w:rsid w:val="00E66069"/>
    <w:pPr>
      <w:keepNext/>
      <w:spacing w:after="20" w:line="240" w:lineRule="auto"/>
      <w:ind w:right="113"/>
    </w:pPr>
    <w:rPr>
      <w:rFonts w:ascii="Calibri" w:hAnsi="Calibri" w:cs="Tahoma"/>
      <w:b/>
      <w:color w:val="000000"/>
      <w:sz w:val="18"/>
      <w:szCs w:val="22"/>
      <w:lang w:val="en-AU"/>
    </w:rPr>
  </w:style>
  <w:style w:type="paragraph" w:customStyle="1" w:styleId="TableH3">
    <w:name w:val="Table H3"/>
    <w:basedOn w:val="TableH2"/>
    <w:next w:val="Tabletext0"/>
    <w:link w:val="TableH3Char"/>
    <w:uiPriority w:val="4"/>
    <w:qFormat/>
    <w:rsid w:val="00E66069"/>
    <w:rPr>
      <w:i/>
    </w:rPr>
  </w:style>
  <w:style w:type="character" w:customStyle="1" w:styleId="CharChar2">
    <w:name w:val="Char Char2"/>
    <w:basedOn w:val="DefaultParagraphFont"/>
    <w:uiPriority w:val="99"/>
    <w:semiHidden/>
    <w:locked/>
    <w:rsid w:val="00E66069"/>
    <w:rPr>
      <w:rFonts w:eastAsia="MS Mincho" w:cs="Times New Roman"/>
      <w:lang w:val="en-AU" w:eastAsia="ja-JP" w:bidi="ar-SA"/>
    </w:rPr>
  </w:style>
  <w:style w:type="character" w:customStyle="1" w:styleId="CharChar3">
    <w:name w:val="Char Char3"/>
    <w:basedOn w:val="DefaultParagraphFont"/>
    <w:uiPriority w:val="99"/>
    <w:semiHidden/>
    <w:locked/>
    <w:rsid w:val="00E66069"/>
    <w:rPr>
      <w:rFonts w:ascii="Arial Narrow" w:hAnsi="Arial Narrow" w:cs="Arial"/>
      <w:lang w:val="en-AU" w:eastAsia="ja-JP" w:bidi="ar-SA"/>
    </w:rPr>
  </w:style>
  <w:style w:type="paragraph" w:customStyle="1" w:styleId="Helvetica14">
    <w:name w:val="Helvetica 14"/>
    <w:semiHidden/>
    <w:qFormat/>
    <w:rsid w:val="00E66069"/>
    <w:rPr>
      <w:rFonts w:ascii="Helvetica" w:eastAsia="Times New Roman" w:hAnsi="Helvetica"/>
      <w:sz w:val="28"/>
      <w:szCs w:val="28"/>
      <w:lang w:eastAsia="en-GB"/>
    </w:rPr>
  </w:style>
  <w:style w:type="paragraph" w:customStyle="1" w:styleId="Helvetica10">
    <w:name w:val="Helvetica 10"/>
    <w:semiHidden/>
    <w:qFormat/>
    <w:rsid w:val="00E66069"/>
    <w:pPr>
      <w:jc w:val="center"/>
    </w:pPr>
    <w:rPr>
      <w:rFonts w:ascii="Helvetica" w:eastAsia="Times New Roman" w:hAnsi="Helvetica"/>
      <w:caps/>
      <w:color w:val="000000"/>
      <w:sz w:val="22"/>
      <w:szCs w:val="22"/>
      <w:lang w:eastAsia="en-GB"/>
    </w:rPr>
  </w:style>
  <w:style w:type="paragraph" w:customStyle="1" w:styleId="Helvetica11">
    <w:name w:val="Helvetica 11"/>
    <w:basedOn w:val="Helvetica14"/>
    <w:semiHidden/>
    <w:qFormat/>
    <w:rsid w:val="00E66069"/>
    <w:pPr>
      <w:jc w:val="right"/>
    </w:pPr>
  </w:style>
  <w:style w:type="paragraph" w:customStyle="1" w:styleId="Helvetica14bold">
    <w:name w:val="Helvetica 14 bold"/>
    <w:basedOn w:val="Helvetica14"/>
    <w:semiHidden/>
    <w:qFormat/>
    <w:rsid w:val="00E66069"/>
    <w:pPr>
      <w:jc w:val="right"/>
    </w:pPr>
    <w:rPr>
      <w:b/>
      <w:bCs/>
    </w:rPr>
  </w:style>
  <w:style w:type="paragraph" w:styleId="ListBullet2">
    <w:name w:val="List Bullet 2"/>
    <w:basedOn w:val="Normal"/>
    <w:semiHidden/>
    <w:unhideWhenUsed/>
    <w:rsid w:val="00E66069"/>
    <w:pPr>
      <w:numPr>
        <w:numId w:val="32"/>
      </w:numPr>
      <w:contextualSpacing/>
    </w:pPr>
  </w:style>
  <w:style w:type="paragraph" w:styleId="ListNumber3">
    <w:name w:val="List Number 3"/>
    <w:basedOn w:val="Normal"/>
    <w:semiHidden/>
    <w:unhideWhenUsed/>
    <w:rsid w:val="00E66069"/>
    <w:pPr>
      <w:numPr>
        <w:numId w:val="37"/>
      </w:numPr>
      <w:contextualSpacing/>
    </w:pPr>
  </w:style>
  <w:style w:type="paragraph" w:customStyle="1" w:styleId="ListNos0">
    <w:name w:val="ListNos+0"/>
    <w:basedOn w:val="BodyText"/>
    <w:uiPriority w:val="2"/>
    <w:qFormat/>
    <w:rsid w:val="00E66069"/>
    <w:pPr>
      <w:numPr>
        <w:numId w:val="40"/>
      </w:numPr>
      <w:spacing w:after="0" w:line="240" w:lineRule="auto"/>
    </w:pPr>
    <w:rPr>
      <w:rFonts w:ascii="Calibri" w:hAnsi="Calibri" w:cs="Tahoma"/>
      <w:color w:val="000000"/>
      <w:sz w:val="22"/>
      <w:szCs w:val="22"/>
      <w:lang w:val="en-AU" w:eastAsia="en-AU"/>
    </w:rPr>
  </w:style>
  <w:style w:type="paragraph" w:customStyle="1" w:styleId="ListNos6">
    <w:name w:val="ListNos+6"/>
    <w:basedOn w:val="ListNos12"/>
    <w:uiPriority w:val="2"/>
    <w:qFormat/>
    <w:rsid w:val="00E66069"/>
    <w:pPr>
      <w:spacing w:after="120"/>
    </w:pPr>
  </w:style>
  <w:style w:type="paragraph" w:customStyle="1" w:styleId="ListNos12">
    <w:name w:val="ListNos+12"/>
    <w:basedOn w:val="ListNos0"/>
    <w:next w:val="BodyText"/>
    <w:uiPriority w:val="2"/>
    <w:qFormat/>
    <w:rsid w:val="00E66069"/>
    <w:pPr>
      <w:numPr>
        <w:numId w:val="0"/>
      </w:numPr>
      <w:spacing w:after="240"/>
    </w:pPr>
  </w:style>
  <w:style w:type="paragraph" w:customStyle="1" w:styleId="Notes">
    <w:name w:val="Notes"/>
    <w:next w:val="BodyText"/>
    <w:uiPriority w:val="6"/>
    <w:qFormat/>
    <w:rsid w:val="00E66069"/>
    <w:pPr>
      <w:spacing w:after="120"/>
    </w:pPr>
    <w:rPr>
      <w:rFonts w:ascii="Calibri" w:eastAsia="Times New Roman" w:hAnsi="Calibri"/>
      <w:color w:val="C00000"/>
      <w:sz w:val="22"/>
      <w:szCs w:val="24"/>
      <w:lang w:eastAsia="en-US"/>
    </w:rPr>
  </w:style>
  <w:style w:type="table" w:customStyle="1" w:styleId="OPTUMTableNormal">
    <w:name w:val="OPTUM Table Normal"/>
    <w:basedOn w:val="TableNormal"/>
    <w:rsid w:val="00E66069"/>
    <w:pPr>
      <w:spacing w:before="40" w:after="20"/>
    </w:pPr>
    <w:rPr>
      <w:rFonts w:ascii="Calibri" w:eastAsia="Times New Roman" w:hAnsi="Calibri"/>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PBACstandardnumberstyle">
    <w:name w:val="PBAC standard number style"/>
    <w:uiPriority w:val="99"/>
    <w:rsid w:val="00E66069"/>
  </w:style>
  <w:style w:type="table" w:customStyle="1" w:styleId="StandardTable">
    <w:name w:val="Standard Table"/>
    <w:basedOn w:val="TableNormal"/>
    <w:semiHidden/>
    <w:rsid w:val="00E66069"/>
    <w:rPr>
      <w:rFonts w:ascii="Garamond" w:eastAsia="Times New Roman" w:hAnsi="Garamond"/>
      <w:sz w:val="18"/>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table" w:customStyle="1" w:styleId="TableNoBorders">
    <w:name w:val="Table No Borders"/>
    <w:basedOn w:val="TableNormal"/>
    <w:rsid w:val="00E66069"/>
    <w:pPr>
      <w:spacing w:before="40" w:after="20"/>
    </w:pPr>
    <w:rPr>
      <w:rFonts w:ascii="Garamond" w:eastAsia="Times New Roman" w:hAnsi="Garamond"/>
      <w:sz w:val="22"/>
      <w:szCs w:val="22"/>
    </w:rPr>
    <w:tblPr>
      <w:tblInd w:w="0" w:type="dxa"/>
      <w:tblCellMar>
        <w:top w:w="0" w:type="dxa"/>
        <w:left w:w="108" w:type="dxa"/>
        <w:bottom w:w="0" w:type="dxa"/>
        <w:right w:w="108" w:type="dxa"/>
      </w:tblCellMar>
    </w:tblPr>
  </w:style>
  <w:style w:type="table" w:customStyle="1" w:styleId="TableHTAStandard">
    <w:name w:val="Table HTA Standard"/>
    <w:basedOn w:val="TableNoBorders"/>
    <w:rsid w:val="00E66069"/>
    <w:pPr>
      <w:tabs>
        <w:tab w:val="left" w:pos="416"/>
        <w:tab w:val="left" w:pos="582"/>
      </w:tabs>
    </w:pPr>
    <w:rPr>
      <w:sz w:val="18"/>
      <w:szCs w:val="18"/>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Tahoma" w:hAnsi="Tahoma"/>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link w:val="TableListNosChar"/>
    <w:uiPriority w:val="4"/>
    <w:qFormat/>
    <w:rsid w:val="00E66069"/>
    <w:pPr>
      <w:numPr>
        <w:numId w:val="42"/>
      </w:numPr>
      <w:spacing w:after="120" w:line="240" w:lineRule="auto"/>
    </w:pPr>
    <w:rPr>
      <w:rFonts w:ascii="Calibri" w:hAnsi="Calibri" w:cs="Tahoma"/>
      <w:color w:val="000000"/>
      <w:sz w:val="18"/>
      <w:szCs w:val="22"/>
      <w:lang w:val="en-AU"/>
    </w:rPr>
  </w:style>
  <w:style w:type="paragraph" w:customStyle="1" w:styleId="Tabletextindent">
    <w:name w:val="Table text indent"/>
    <w:basedOn w:val="Tabletext0"/>
    <w:uiPriority w:val="4"/>
    <w:qFormat/>
    <w:rsid w:val="00E66069"/>
    <w:pPr>
      <w:ind w:left="284"/>
    </w:pPr>
    <w:rPr>
      <w:rFonts w:cs="Arial"/>
      <w:lang w:val="en-AU"/>
    </w:rPr>
  </w:style>
  <w:style w:type="table" w:styleId="TableTheme">
    <w:name w:val="Table Theme"/>
    <w:basedOn w:val="TableNormal"/>
    <w:semiHidden/>
    <w:rsid w:val="00E66069"/>
    <w:rPr>
      <w:rFonts w:ascii="Garamond" w:eastAsia="Times New Roman" w:hAnsi="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NoNum">
    <w:name w:val="H2-NoNum"/>
    <w:basedOn w:val="Heading2"/>
    <w:next w:val="BodyText"/>
    <w:uiPriority w:val="1"/>
    <w:qFormat/>
    <w:rsid w:val="00E66069"/>
    <w:pPr>
      <w:ind w:left="0" w:firstLine="0"/>
    </w:pPr>
    <w:rPr>
      <w:rFonts w:cs="Arial"/>
      <w:lang w:val="en-AU"/>
    </w:rPr>
  </w:style>
  <w:style w:type="paragraph" w:customStyle="1" w:styleId="H3-NoNum">
    <w:name w:val="H3-NoNum"/>
    <w:basedOn w:val="Heading3"/>
    <w:next w:val="BodyText"/>
    <w:uiPriority w:val="1"/>
    <w:qFormat/>
    <w:rsid w:val="00E66069"/>
    <w:pPr>
      <w:ind w:left="0" w:firstLine="0"/>
    </w:pPr>
    <w:rPr>
      <w:rFonts w:cs="Arial"/>
      <w:lang w:val="en-AU" w:eastAsia="en-AU"/>
    </w:rPr>
  </w:style>
  <w:style w:type="paragraph" w:customStyle="1" w:styleId="H4-NoNum">
    <w:name w:val="H4-NoNum"/>
    <w:basedOn w:val="Heading4"/>
    <w:next w:val="BodyText"/>
    <w:uiPriority w:val="1"/>
    <w:qFormat/>
    <w:rsid w:val="00E66069"/>
    <w:pPr>
      <w:ind w:left="0"/>
    </w:pPr>
    <w:rPr>
      <w:rFonts w:cs="Arial"/>
      <w:lang w:val="en-AU"/>
    </w:rPr>
  </w:style>
  <w:style w:type="paragraph" w:customStyle="1" w:styleId="TabFigNotes0noindent">
    <w:name w:val="TabFigNotes+0 no indent"/>
    <w:basedOn w:val="TableFigNotes0"/>
    <w:link w:val="TabFigNotes0noindentChar"/>
    <w:qFormat/>
    <w:rsid w:val="00E66069"/>
    <w:pPr>
      <w:keepNext/>
    </w:pPr>
    <w:rPr>
      <w:rFonts w:ascii="Arial Narrow" w:hAnsi="Arial Narrow"/>
    </w:rPr>
  </w:style>
  <w:style w:type="character" w:customStyle="1" w:styleId="TabFigNotes0noindentChar">
    <w:name w:val="TabFigNotes+0 no indent Char"/>
    <w:basedOn w:val="TableFigNotes0Char"/>
    <w:link w:val="TabFigNotes0noindent"/>
    <w:rsid w:val="00E66069"/>
    <w:rPr>
      <w:rFonts w:ascii="Arial Narrow" w:eastAsia="Times New Roman" w:hAnsi="Arial Narrow" w:cs="Tahoma"/>
      <w:color w:val="000000"/>
      <w:sz w:val="18"/>
      <w:szCs w:val="18"/>
    </w:rPr>
  </w:style>
  <w:style w:type="character" w:customStyle="1" w:styleId="H6Char">
    <w:name w:val="H6 Char"/>
    <w:basedOn w:val="DefaultParagraphFont"/>
    <w:link w:val="H6"/>
    <w:rsid w:val="004361C8"/>
    <w:rPr>
      <w:rFonts w:ascii="Calibri" w:eastAsia="Times New Roman" w:hAnsi="Calibri" w:cs="Tahoma"/>
      <w:i/>
      <w:color w:val="000000"/>
      <w:sz w:val="22"/>
      <w:szCs w:val="22"/>
    </w:rPr>
  </w:style>
  <w:style w:type="paragraph" w:customStyle="1" w:styleId="A-ChapterH3">
    <w:name w:val="A-ChapterH3"/>
    <w:basedOn w:val="Normal"/>
    <w:rsid w:val="00E66069"/>
    <w:pPr>
      <w:tabs>
        <w:tab w:val="num" w:pos="907"/>
      </w:tabs>
      <w:ind w:hanging="720"/>
    </w:pPr>
  </w:style>
  <w:style w:type="paragraph" w:customStyle="1" w:styleId="EvidMatrixtext">
    <w:name w:val="EvidMatrix text"/>
    <w:basedOn w:val="Normal"/>
    <w:link w:val="EvidMatrixtextChar"/>
    <w:qFormat/>
    <w:rsid w:val="00E66069"/>
    <w:pPr>
      <w:widowControl w:val="0"/>
      <w:autoSpaceDE w:val="0"/>
      <w:autoSpaceDN w:val="0"/>
      <w:adjustRightInd w:val="0"/>
      <w:spacing w:before="20" w:after="20"/>
      <w:ind w:left="85" w:right="85"/>
    </w:pPr>
    <w:rPr>
      <w:rFonts w:ascii="Arial Narrow" w:hAnsi="Arial Narrow" w:cs="Arial"/>
      <w:sz w:val="18"/>
      <w:szCs w:val="24"/>
    </w:rPr>
  </w:style>
  <w:style w:type="character" w:customStyle="1" w:styleId="EvidMatrixtextChar">
    <w:name w:val="EvidMatrix text Char"/>
    <w:basedOn w:val="DefaultParagraphFont"/>
    <w:link w:val="EvidMatrixtext"/>
    <w:rsid w:val="00E66069"/>
    <w:rPr>
      <w:rFonts w:ascii="Arial Narrow" w:eastAsia="Times New Roman" w:hAnsi="Arial Narrow" w:cs="Arial"/>
      <w:color w:val="000000"/>
      <w:sz w:val="18"/>
      <w:szCs w:val="24"/>
    </w:rPr>
  </w:style>
  <w:style w:type="paragraph" w:customStyle="1" w:styleId="H7">
    <w:name w:val="H7"/>
    <w:basedOn w:val="H6"/>
    <w:link w:val="H7Char"/>
    <w:qFormat/>
    <w:rsid w:val="00E66069"/>
    <w:pPr>
      <w:spacing w:before="240"/>
    </w:pPr>
    <w:rPr>
      <w:i w:val="0"/>
      <w:u w:val="single"/>
    </w:rPr>
  </w:style>
  <w:style w:type="character" w:customStyle="1" w:styleId="H7Char">
    <w:name w:val="H7 Char"/>
    <w:basedOn w:val="H6Char"/>
    <w:link w:val="H7"/>
    <w:rsid w:val="00E66069"/>
    <w:rPr>
      <w:rFonts w:ascii="Calibri" w:eastAsia="Times New Roman" w:hAnsi="Calibri" w:cs="Tahoma"/>
      <w:i w:val="0"/>
      <w:color w:val="000000"/>
      <w:sz w:val="22"/>
      <w:szCs w:val="22"/>
      <w:u w:val="single"/>
    </w:rPr>
  </w:style>
  <w:style w:type="character" w:customStyle="1" w:styleId="Tabletext-subanalysisChar">
    <w:name w:val="Table text - subanalysis Char"/>
    <w:basedOn w:val="Tabletext-evidencematrixChar"/>
    <w:link w:val="Tabletext-subanalysis"/>
    <w:locked/>
    <w:rsid w:val="00E66069"/>
    <w:rPr>
      <w:rFonts w:ascii="Arial Narrow" w:eastAsia="Arial Unicode MS" w:hAnsi="Arial Narrow" w:cs="Arial"/>
      <w:bCs/>
      <w:sz w:val="14"/>
      <w:szCs w:val="14"/>
      <w:lang w:eastAsia="ja-JP"/>
    </w:rPr>
  </w:style>
  <w:style w:type="paragraph" w:customStyle="1" w:styleId="Tabletext-subanalysis">
    <w:name w:val="Table text - subanalysis"/>
    <w:basedOn w:val="Tabletext-evidencematrix"/>
    <w:link w:val="Tabletext-subanalysisChar"/>
    <w:qFormat/>
    <w:rsid w:val="00E66069"/>
    <w:rPr>
      <w:sz w:val="14"/>
      <w:szCs w:val="14"/>
    </w:rPr>
  </w:style>
  <w:style w:type="paragraph" w:customStyle="1" w:styleId="Tabletextnote">
    <w:name w:val="Table text note"/>
    <w:basedOn w:val="Tabletext0"/>
    <w:link w:val="TabletextnoteChar"/>
    <w:qFormat/>
    <w:rsid w:val="00E66069"/>
    <w:pPr>
      <w:spacing w:before="120"/>
    </w:pPr>
    <w:rPr>
      <w:rFonts w:cs="Arial"/>
      <w:sz w:val="16"/>
      <w:lang w:val="en-AU"/>
    </w:rPr>
  </w:style>
  <w:style w:type="character" w:customStyle="1" w:styleId="TabletextnoteChar">
    <w:name w:val="Table text note Char"/>
    <w:basedOn w:val="TabletextChar0"/>
    <w:link w:val="Tabletextnote"/>
    <w:rsid w:val="00E66069"/>
    <w:rPr>
      <w:rFonts w:ascii="Arial Narrow" w:eastAsia="Arial Unicode MS" w:hAnsi="Arial Narrow" w:cs="Arial"/>
      <w:bCs/>
      <w:sz w:val="16"/>
      <w:szCs w:val="24"/>
      <w:lang w:eastAsia="ja-JP"/>
    </w:rPr>
  </w:style>
  <w:style w:type="character" w:customStyle="1" w:styleId="TableH3Char">
    <w:name w:val="Table H3 Char"/>
    <w:basedOn w:val="DefaultParagraphFont"/>
    <w:link w:val="TableH3"/>
    <w:uiPriority w:val="4"/>
    <w:rsid w:val="00E66069"/>
    <w:rPr>
      <w:rFonts w:ascii="Calibri" w:eastAsia="Times New Roman" w:hAnsi="Calibri" w:cs="Tahoma"/>
      <w:b/>
      <w:i/>
      <w:color w:val="000000"/>
      <w:sz w:val="18"/>
      <w:szCs w:val="22"/>
    </w:rPr>
  </w:style>
  <w:style w:type="paragraph" w:customStyle="1" w:styleId="TableH4">
    <w:name w:val="Table H4"/>
    <w:basedOn w:val="TableHeading"/>
    <w:link w:val="TableH4Char"/>
    <w:qFormat/>
    <w:rsid w:val="00E66069"/>
    <w:pPr>
      <w:spacing w:after="60"/>
    </w:pPr>
    <w:rPr>
      <w:smallCaps/>
      <w:color w:val="FFFFFF" w:themeColor="background1"/>
    </w:rPr>
  </w:style>
  <w:style w:type="character" w:customStyle="1" w:styleId="TableH2Char">
    <w:name w:val="Table H2 Char"/>
    <w:basedOn w:val="BodyTextChar0"/>
    <w:link w:val="TableH2"/>
    <w:uiPriority w:val="4"/>
    <w:rsid w:val="00E66069"/>
    <w:rPr>
      <w:rFonts w:ascii="Calibri" w:eastAsia="Times New Roman" w:hAnsi="Calibri" w:cs="Tahoma"/>
      <w:b/>
      <w:color w:val="000000"/>
      <w:sz w:val="18"/>
      <w:szCs w:val="22"/>
      <w:lang w:eastAsia="en-US"/>
    </w:rPr>
  </w:style>
  <w:style w:type="character" w:customStyle="1" w:styleId="TableH4Char">
    <w:name w:val="Table H4 Char"/>
    <w:basedOn w:val="TableHeadingChar"/>
    <w:link w:val="TableH4"/>
    <w:rsid w:val="00E66069"/>
    <w:rPr>
      <w:rFonts w:ascii="Arial Narrow" w:eastAsia="Times New Roman" w:hAnsi="Arial Narrow" w:cs="Tahoma"/>
      <w:b/>
      <w:bCs/>
      <w:smallCaps/>
      <w:color w:val="FFFFFF" w:themeColor="background1"/>
      <w:szCs w:val="21"/>
    </w:rPr>
  </w:style>
  <w:style w:type="paragraph" w:customStyle="1" w:styleId="Tabletext-evidencematrix">
    <w:name w:val="Table text - evidence matrix"/>
    <w:basedOn w:val="Tabletext0"/>
    <w:link w:val="Tabletext-evidencematrixChar"/>
    <w:qFormat/>
    <w:rsid w:val="00E66069"/>
    <w:rPr>
      <w:rFonts w:cs="Arial"/>
      <w:sz w:val="16"/>
      <w:lang w:val="en-AU"/>
    </w:rPr>
  </w:style>
  <w:style w:type="character" w:customStyle="1" w:styleId="Tabletext-evidencematrixChar">
    <w:name w:val="Table text - evidence matrix Char"/>
    <w:basedOn w:val="TabletextChar0"/>
    <w:link w:val="Tabletext-evidencematrix"/>
    <w:rsid w:val="00E66069"/>
    <w:rPr>
      <w:rFonts w:ascii="Arial Narrow" w:eastAsia="Arial Unicode MS" w:hAnsi="Arial Narrow" w:cs="Arial"/>
      <w:bCs/>
      <w:sz w:val="16"/>
      <w:szCs w:val="24"/>
      <w:lang w:eastAsia="ja-JP"/>
    </w:rPr>
  </w:style>
  <w:style w:type="paragraph" w:customStyle="1" w:styleId="HeaderTR">
    <w:name w:val="HeaderTR"/>
    <w:basedOn w:val="Footer"/>
    <w:next w:val="BodyText"/>
    <w:link w:val="HeaderTRChar"/>
    <w:qFormat/>
    <w:rsid w:val="00E66069"/>
    <w:pPr>
      <w:pBdr>
        <w:top w:val="none" w:sz="0" w:space="0" w:color="auto"/>
      </w:pBdr>
      <w:jc w:val="right"/>
    </w:pPr>
    <w:rPr>
      <w:rFonts w:cs="Tahoma"/>
      <w:i w:val="0"/>
      <w:sz w:val="18"/>
      <w:lang w:val="en-AU" w:eastAsia="en-AU"/>
    </w:rPr>
  </w:style>
  <w:style w:type="character" w:customStyle="1" w:styleId="HeaderTRChar">
    <w:name w:val="HeaderTR Char"/>
    <w:basedOn w:val="HeaderChar"/>
    <w:link w:val="HeaderTR"/>
    <w:rsid w:val="00E66069"/>
    <w:rPr>
      <w:rFonts w:ascii="Calibri" w:eastAsia="Times New Roman" w:hAnsi="Calibri" w:cs="Tahoma"/>
      <w:color w:val="000000"/>
      <w:sz w:val="18"/>
      <w:szCs w:val="22"/>
      <w:lang w:eastAsia="en-AU"/>
    </w:rPr>
  </w:style>
  <w:style w:type="paragraph" w:styleId="Bibliography">
    <w:name w:val="Bibliography"/>
    <w:basedOn w:val="Normal"/>
    <w:next w:val="Normal"/>
    <w:uiPriority w:val="37"/>
    <w:semiHidden/>
    <w:unhideWhenUsed/>
    <w:rsid w:val="00E66069"/>
  </w:style>
  <w:style w:type="paragraph" w:styleId="BlockText">
    <w:name w:val="Block Text"/>
    <w:basedOn w:val="Normal"/>
    <w:semiHidden/>
    <w:unhideWhenUsed/>
    <w:rsid w:val="00E66069"/>
    <w:pPr>
      <w:spacing w:after="120"/>
      <w:ind w:left="1440" w:right="1440"/>
    </w:pPr>
  </w:style>
  <w:style w:type="character" w:customStyle="1" w:styleId="BodyitalsChar">
    <w:name w:val="Body + itals Char"/>
    <w:basedOn w:val="BodytextChar"/>
    <w:link w:val="Bodyitals"/>
    <w:rsid w:val="00E66069"/>
    <w:rPr>
      <w:rFonts w:ascii="Arial Narrow" w:eastAsia="Arial Unicode MS" w:hAnsi="Arial Narrow" w:cs="Arial"/>
      <w:i/>
      <w:sz w:val="24"/>
      <w:szCs w:val="24"/>
      <w:lang w:val="x-none" w:eastAsia="ja-JP"/>
    </w:rPr>
  </w:style>
  <w:style w:type="paragraph" w:styleId="BodyText3">
    <w:name w:val="Body Text 3"/>
    <w:basedOn w:val="Normal"/>
    <w:link w:val="BodyText3Char"/>
    <w:semiHidden/>
    <w:unhideWhenUsed/>
    <w:rsid w:val="00E66069"/>
    <w:pPr>
      <w:spacing w:after="120"/>
    </w:pPr>
    <w:rPr>
      <w:sz w:val="16"/>
      <w:szCs w:val="16"/>
    </w:rPr>
  </w:style>
  <w:style w:type="character" w:customStyle="1" w:styleId="BodyText3Char">
    <w:name w:val="Body Text 3 Char"/>
    <w:basedOn w:val="DefaultParagraphFont"/>
    <w:link w:val="BodyText3"/>
    <w:semiHidden/>
    <w:rsid w:val="00E66069"/>
    <w:rPr>
      <w:rFonts w:ascii="Calibri" w:eastAsia="Times New Roman" w:hAnsi="Calibri" w:cs="Tahoma"/>
      <w:color w:val="000000"/>
      <w:sz w:val="16"/>
      <w:szCs w:val="16"/>
    </w:rPr>
  </w:style>
  <w:style w:type="paragraph" w:customStyle="1" w:styleId="BodyTexttablelist">
    <w:name w:val="Body Text table list"/>
    <w:basedOn w:val="BodyText"/>
    <w:uiPriority w:val="99"/>
    <w:rsid w:val="00E66069"/>
    <w:pPr>
      <w:spacing w:before="40" w:after="40" w:line="240" w:lineRule="auto"/>
      <w:ind w:left="720"/>
    </w:pPr>
    <w:rPr>
      <w:rFonts w:ascii="Calibri" w:hAnsi="Calibri" w:cs="Tahoma"/>
      <w:color w:val="000000"/>
      <w:sz w:val="22"/>
      <w:szCs w:val="22"/>
      <w:lang w:val="en-AU" w:eastAsia="en-AU"/>
    </w:rPr>
  </w:style>
  <w:style w:type="paragraph" w:customStyle="1" w:styleId="BodyTextabbreviations">
    <w:name w:val="Body Text abbreviations"/>
    <w:basedOn w:val="BodyTexttablelist"/>
    <w:uiPriority w:val="99"/>
    <w:rsid w:val="00E66069"/>
  </w:style>
  <w:style w:type="paragraph" w:customStyle="1" w:styleId="BodyTextbeforebullet">
    <w:name w:val="Body Text before bullet"/>
    <w:basedOn w:val="BodyText"/>
    <w:uiPriority w:val="99"/>
    <w:rsid w:val="00E66069"/>
    <w:pPr>
      <w:spacing w:after="120" w:line="240" w:lineRule="auto"/>
      <w:ind w:left="720"/>
    </w:pPr>
    <w:rPr>
      <w:rFonts w:ascii="Calibri" w:hAnsi="Calibri" w:cs="Tahoma"/>
      <w:color w:val="000000"/>
      <w:sz w:val="22"/>
      <w:szCs w:val="22"/>
      <w:lang w:val="en-AU" w:eastAsia="en-AU"/>
    </w:rPr>
  </w:style>
  <w:style w:type="paragraph" w:customStyle="1" w:styleId="Bodytextbullet12">
    <w:name w:val="Body text bullet + 12"/>
    <w:basedOn w:val="Bodytextbullet"/>
    <w:uiPriority w:val="99"/>
    <w:rsid w:val="00E66069"/>
    <w:pPr>
      <w:tabs>
        <w:tab w:val="clear" w:pos="600"/>
        <w:tab w:val="num" w:pos="360"/>
      </w:tabs>
      <w:spacing w:line="276" w:lineRule="auto"/>
      <w:ind w:left="1077" w:hanging="357"/>
    </w:pPr>
    <w:rPr>
      <w:rFonts w:ascii="Calibri" w:eastAsia="MS Mincho" w:hAnsi="Calibri" w:cs="Arial"/>
      <w:sz w:val="22"/>
      <w:lang w:val="en-US"/>
    </w:rPr>
  </w:style>
  <w:style w:type="paragraph" w:customStyle="1" w:styleId="Bodytextbullet2">
    <w:name w:val="Body text bullet 2"/>
    <w:basedOn w:val="Bodytextbullet"/>
    <w:uiPriority w:val="99"/>
    <w:rsid w:val="00E66069"/>
    <w:pPr>
      <w:numPr>
        <w:numId w:val="26"/>
      </w:numPr>
      <w:spacing w:line="276" w:lineRule="auto"/>
    </w:pPr>
    <w:rPr>
      <w:rFonts w:ascii="Calibri" w:eastAsia="MS Mincho" w:hAnsi="Calibri" w:cs="Arial"/>
      <w:sz w:val="22"/>
      <w:lang w:val="en-US"/>
    </w:rPr>
  </w:style>
  <w:style w:type="paragraph" w:styleId="BodyTextFirstIndent">
    <w:name w:val="Body Text First Indent"/>
    <w:basedOn w:val="BodyText"/>
    <w:link w:val="BodyTextFirstIndentChar"/>
    <w:semiHidden/>
    <w:unhideWhenUsed/>
    <w:rsid w:val="00E66069"/>
    <w:pPr>
      <w:spacing w:after="120" w:line="240" w:lineRule="auto"/>
      <w:ind w:left="720" w:firstLine="210"/>
    </w:pPr>
    <w:rPr>
      <w:rFonts w:ascii="Calibri" w:hAnsi="Calibri" w:cs="Tahoma"/>
      <w:color w:val="000000"/>
      <w:sz w:val="22"/>
      <w:szCs w:val="22"/>
      <w:lang w:val="en-AU" w:eastAsia="en-AU"/>
    </w:rPr>
  </w:style>
  <w:style w:type="character" w:customStyle="1" w:styleId="BodyTextFirstIndentChar">
    <w:name w:val="Body Text First Indent Char"/>
    <w:basedOn w:val="BodyTextChar0"/>
    <w:link w:val="BodyTextFirstIndent"/>
    <w:semiHidden/>
    <w:rsid w:val="00E66069"/>
    <w:rPr>
      <w:rFonts w:ascii="Calibri" w:eastAsia="Times New Roman" w:hAnsi="Calibri" w:cs="Tahoma"/>
      <w:color w:val="000000"/>
      <w:sz w:val="22"/>
      <w:szCs w:val="22"/>
      <w:lang w:eastAsia="en-US"/>
    </w:rPr>
  </w:style>
  <w:style w:type="paragraph" w:styleId="BodyTextIndent2">
    <w:name w:val="Body Text Indent 2"/>
    <w:basedOn w:val="Normal"/>
    <w:link w:val="BodyTextIndent2Char"/>
    <w:semiHidden/>
    <w:unhideWhenUsed/>
    <w:rsid w:val="00E66069"/>
    <w:pPr>
      <w:spacing w:after="120" w:line="480" w:lineRule="auto"/>
      <w:ind w:left="283"/>
    </w:pPr>
  </w:style>
  <w:style w:type="character" w:customStyle="1" w:styleId="BodyTextIndent2Char">
    <w:name w:val="Body Text Indent 2 Char"/>
    <w:basedOn w:val="DefaultParagraphFont"/>
    <w:link w:val="BodyTextIndent2"/>
    <w:semiHidden/>
    <w:rsid w:val="00E66069"/>
    <w:rPr>
      <w:rFonts w:ascii="Calibri" w:eastAsia="Times New Roman" w:hAnsi="Calibri" w:cs="Tahoma"/>
      <w:color w:val="000000"/>
      <w:sz w:val="22"/>
      <w:szCs w:val="22"/>
    </w:rPr>
  </w:style>
  <w:style w:type="paragraph" w:styleId="BodyTextIndent3">
    <w:name w:val="Body Text Indent 3"/>
    <w:basedOn w:val="Normal"/>
    <w:link w:val="BodyTextIndent3Char"/>
    <w:semiHidden/>
    <w:unhideWhenUsed/>
    <w:rsid w:val="00E66069"/>
    <w:pPr>
      <w:spacing w:after="120"/>
      <w:ind w:left="283"/>
    </w:pPr>
    <w:rPr>
      <w:sz w:val="16"/>
      <w:szCs w:val="16"/>
    </w:rPr>
  </w:style>
  <w:style w:type="character" w:customStyle="1" w:styleId="BodyTextIndent3Char">
    <w:name w:val="Body Text Indent 3 Char"/>
    <w:basedOn w:val="DefaultParagraphFont"/>
    <w:link w:val="BodyTextIndent3"/>
    <w:semiHidden/>
    <w:rsid w:val="00E66069"/>
    <w:rPr>
      <w:rFonts w:ascii="Calibri" w:eastAsia="Times New Roman" w:hAnsi="Calibri" w:cs="Tahoma"/>
      <w:color w:val="000000"/>
      <w:sz w:val="16"/>
      <w:szCs w:val="16"/>
    </w:rPr>
  </w:style>
  <w:style w:type="paragraph" w:customStyle="1" w:styleId="BodyTextnumberedlist">
    <w:name w:val="Body Text numbered list"/>
    <w:basedOn w:val="BodyText"/>
    <w:uiPriority w:val="99"/>
    <w:rsid w:val="00E66069"/>
    <w:pPr>
      <w:numPr>
        <w:numId w:val="27"/>
      </w:numPr>
      <w:spacing w:after="120" w:line="240" w:lineRule="auto"/>
    </w:pPr>
    <w:rPr>
      <w:rFonts w:ascii="Calibri" w:hAnsi="Calibri" w:cs="Tahoma"/>
      <w:color w:val="000000"/>
      <w:sz w:val="22"/>
      <w:szCs w:val="22"/>
      <w:lang w:val="en-AU" w:eastAsia="en-AU"/>
    </w:rPr>
  </w:style>
  <w:style w:type="paragraph" w:customStyle="1" w:styleId="BodyTextnumberedlist12">
    <w:name w:val="Body Text numbered list +12"/>
    <w:basedOn w:val="BodyTextnumberedlist"/>
    <w:uiPriority w:val="99"/>
    <w:rsid w:val="00E66069"/>
    <w:pPr>
      <w:numPr>
        <w:numId w:val="0"/>
      </w:numPr>
      <w:spacing w:after="240"/>
    </w:pPr>
  </w:style>
  <w:style w:type="character" w:customStyle="1" w:styleId="TableTextChar">
    <w:name w:val="TableText Char"/>
    <w:basedOn w:val="DefaultParagraphFont"/>
    <w:link w:val="TableText"/>
    <w:rsid w:val="00E66069"/>
    <w:rPr>
      <w:rFonts w:ascii="Arial Narrow" w:eastAsia="Times New Roman" w:hAnsi="Arial Narrow" w:cs="Tahoma"/>
      <w:color w:val="000000"/>
      <w:szCs w:val="21"/>
    </w:rPr>
  </w:style>
  <w:style w:type="paragraph" w:customStyle="1" w:styleId="Boxhead">
    <w:name w:val="Boxhead"/>
    <w:basedOn w:val="TableName"/>
    <w:qFormat/>
    <w:rsid w:val="00E66069"/>
  </w:style>
  <w:style w:type="character" w:customStyle="1" w:styleId="BoxHeadingChar">
    <w:name w:val="BoxHeading Char"/>
    <w:basedOn w:val="BoxTextChar"/>
    <w:link w:val="BoxHeading"/>
    <w:rsid w:val="00E66069"/>
    <w:rPr>
      <w:rFonts w:ascii="Calibri" w:eastAsia="Times New Roman" w:hAnsi="Calibri" w:cs="Tahoma"/>
      <w:b/>
      <w:bCs/>
      <w:color w:val="000000"/>
      <w:sz w:val="22"/>
      <w:szCs w:val="22"/>
      <w:lang w:val="x-none" w:eastAsia="x-none"/>
    </w:rPr>
  </w:style>
  <w:style w:type="paragraph" w:customStyle="1" w:styleId="Boxnamenobox">
    <w:name w:val="Boxname(nobox)"/>
    <w:basedOn w:val="BoxName"/>
    <w:qFormat/>
    <w:rsid w:val="00E66069"/>
    <w:pPr>
      <w:ind w:left="1797" w:hanging="1077"/>
    </w:pPr>
    <w:rPr>
      <w:rFonts w:cs="Tahoma"/>
      <w:lang w:val="en-AU" w:eastAsia="en-AU"/>
    </w:rPr>
  </w:style>
  <w:style w:type="paragraph" w:customStyle="1" w:styleId="Chapterhead">
    <w:name w:val="Chapter head"/>
    <w:aliases w:val="no numbers"/>
    <w:basedOn w:val="Chapterheading0"/>
    <w:uiPriority w:val="99"/>
    <w:rsid w:val="00E66069"/>
    <w:pPr>
      <w:numPr>
        <w:numId w:val="0"/>
      </w:numPr>
      <w:ind w:left="720"/>
    </w:pPr>
    <w:rPr>
      <w:color w:val="FFFFFF"/>
      <w:spacing w:val="40"/>
      <w:kern w:val="28"/>
      <w:lang w:val="en-GB"/>
    </w:rPr>
  </w:style>
  <w:style w:type="paragraph" w:customStyle="1" w:styleId="Chapterheadabbreviations">
    <w:name w:val="Chapter head abbreviations"/>
    <w:basedOn w:val="Chapterhead"/>
    <w:uiPriority w:val="99"/>
    <w:rsid w:val="00E66069"/>
  </w:style>
  <w:style w:type="paragraph" w:styleId="Closing">
    <w:name w:val="Closing"/>
    <w:basedOn w:val="Normal"/>
    <w:link w:val="ClosingChar"/>
    <w:semiHidden/>
    <w:unhideWhenUsed/>
    <w:rsid w:val="00E66069"/>
    <w:pPr>
      <w:ind w:left="4252"/>
    </w:pPr>
  </w:style>
  <w:style w:type="character" w:customStyle="1" w:styleId="ClosingChar">
    <w:name w:val="Closing Char"/>
    <w:basedOn w:val="DefaultParagraphFont"/>
    <w:link w:val="Closing"/>
    <w:semiHidden/>
    <w:rsid w:val="00E66069"/>
    <w:rPr>
      <w:rFonts w:ascii="Calibri" w:eastAsia="Times New Roman" w:hAnsi="Calibri" w:cs="Tahoma"/>
      <w:color w:val="000000"/>
      <w:sz w:val="22"/>
      <w:szCs w:val="22"/>
    </w:rPr>
  </w:style>
  <w:style w:type="paragraph" w:customStyle="1" w:styleId="Covertitle">
    <w:name w:val="Cover title"/>
    <w:basedOn w:val="Chapterheading0"/>
    <w:uiPriority w:val="99"/>
    <w:rsid w:val="00E66069"/>
    <w:pPr>
      <w:numPr>
        <w:numId w:val="0"/>
      </w:numPr>
      <w:tabs>
        <w:tab w:val="clear" w:pos="284"/>
        <w:tab w:val="left" w:pos="720"/>
      </w:tabs>
      <w:jc w:val="right"/>
    </w:pPr>
    <w:rPr>
      <w:rFonts w:ascii="Arial Bold" w:eastAsia="MS Mincho" w:hAnsi="Arial Bold" w:cs="Times New Roman"/>
      <w:sz w:val="48"/>
      <w:lang w:eastAsia="ja-JP"/>
    </w:rPr>
  </w:style>
  <w:style w:type="paragraph" w:styleId="E-mailSignature">
    <w:name w:val="E-mail Signature"/>
    <w:basedOn w:val="Normal"/>
    <w:link w:val="E-mailSignatureChar"/>
    <w:semiHidden/>
    <w:unhideWhenUsed/>
    <w:rsid w:val="00E66069"/>
  </w:style>
  <w:style w:type="character" w:customStyle="1" w:styleId="E-mailSignatureChar">
    <w:name w:val="E-mail Signature Char"/>
    <w:basedOn w:val="DefaultParagraphFont"/>
    <w:link w:val="E-mailSignature"/>
    <w:semiHidden/>
    <w:rsid w:val="00E66069"/>
    <w:rPr>
      <w:rFonts w:ascii="Calibri" w:eastAsia="Times New Roman" w:hAnsi="Calibri" w:cs="Tahoma"/>
      <w:color w:val="000000"/>
      <w:sz w:val="22"/>
      <w:szCs w:val="22"/>
    </w:rPr>
  </w:style>
  <w:style w:type="paragraph" w:styleId="EnvelopeAddress">
    <w:name w:val="envelope address"/>
    <w:basedOn w:val="Normal"/>
    <w:semiHidden/>
    <w:unhideWhenUsed/>
    <w:rsid w:val="00E66069"/>
    <w:pPr>
      <w:framePr w:w="7920" w:h="1980" w:hRule="exact" w:hSpace="180" w:wrap="auto" w:hAnchor="page" w:xAlign="center" w:yAlign="bottom"/>
      <w:ind w:left="2880"/>
    </w:pPr>
    <w:rPr>
      <w:rFonts w:ascii="Cambria" w:eastAsia="PMingLiU" w:hAnsi="Cambria" w:cs="Times New Roman"/>
      <w:sz w:val="24"/>
      <w:szCs w:val="24"/>
    </w:rPr>
  </w:style>
  <w:style w:type="paragraph" w:styleId="EnvelopeReturn">
    <w:name w:val="envelope return"/>
    <w:basedOn w:val="Normal"/>
    <w:semiHidden/>
    <w:unhideWhenUsed/>
    <w:rsid w:val="00E66069"/>
    <w:rPr>
      <w:rFonts w:ascii="Cambria" w:eastAsia="PMingLiU" w:hAnsi="Cambria" w:cs="Times New Roman"/>
      <w:sz w:val="20"/>
      <w:szCs w:val="20"/>
    </w:rPr>
  </w:style>
  <w:style w:type="character" w:customStyle="1" w:styleId="TableFigNotes18Char">
    <w:name w:val="TableFigNotes+18 Char"/>
    <w:basedOn w:val="TableTextChar"/>
    <w:link w:val="TableFigNotes18"/>
    <w:uiPriority w:val="4"/>
    <w:rsid w:val="00E66069"/>
    <w:rPr>
      <w:rFonts w:ascii="Arial Narrow" w:eastAsia="Times New Roman" w:hAnsi="Arial Narrow" w:cs="Tahoma"/>
      <w:color w:val="000000"/>
      <w:sz w:val="18"/>
      <w:szCs w:val="18"/>
    </w:rPr>
  </w:style>
  <w:style w:type="paragraph" w:customStyle="1" w:styleId="Evidencebullets">
    <w:name w:val="Evidence bullets"/>
    <w:basedOn w:val="Evidencestatements"/>
    <w:uiPriority w:val="99"/>
    <w:rsid w:val="00E66069"/>
    <w:pPr>
      <w:numPr>
        <w:numId w:val="29"/>
      </w:numPr>
      <w:spacing w:before="240" w:after="120" w:line="240" w:lineRule="auto"/>
    </w:pPr>
    <w:rPr>
      <w:rFonts w:cs="Tahoma"/>
      <w:lang w:val="en-AU" w:eastAsia="en-AU"/>
    </w:rPr>
  </w:style>
  <w:style w:type="paragraph" w:customStyle="1" w:styleId="Evidencematrix">
    <w:name w:val="Evidence matrix"/>
    <w:basedOn w:val="BodyText"/>
    <w:uiPriority w:val="99"/>
    <w:rsid w:val="00E66069"/>
    <w:pPr>
      <w:spacing w:after="120" w:line="240" w:lineRule="auto"/>
      <w:ind w:left="720"/>
    </w:pPr>
    <w:rPr>
      <w:rFonts w:ascii="Calibri" w:hAnsi="Calibri" w:cs="Tahoma"/>
      <w:color w:val="000000"/>
      <w:sz w:val="22"/>
      <w:szCs w:val="22"/>
      <w:lang w:val="en-AU" w:eastAsia="en-AU"/>
    </w:rPr>
  </w:style>
  <w:style w:type="character" w:customStyle="1" w:styleId="FigureNameChar">
    <w:name w:val="FigureName Char"/>
    <w:basedOn w:val="DefaultParagraphFont"/>
    <w:link w:val="FigureName"/>
    <w:rsid w:val="00E66069"/>
    <w:rPr>
      <w:rFonts w:ascii="Arial Narrow" w:eastAsia="Times New Roman" w:hAnsi="Arial Narrow" w:cs="Tahoma"/>
      <w:b/>
      <w:bCs/>
      <w:color w:val="000000"/>
      <w:sz w:val="22"/>
      <w:szCs w:val="22"/>
    </w:rPr>
  </w:style>
  <w:style w:type="paragraph" w:customStyle="1" w:styleId="Head6">
    <w:name w:val="Head6"/>
    <w:basedOn w:val="Normal"/>
    <w:link w:val="Head6Char"/>
    <w:qFormat/>
    <w:rsid w:val="00E66069"/>
    <w:pPr>
      <w:keepNext/>
      <w:spacing w:before="240" w:after="60"/>
    </w:pPr>
    <w:rPr>
      <w:rFonts w:ascii="Arial" w:hAnsi="Arial"/>
      <w:i/>
      <w:szCs w:val="26"/>
    </w:rPr>
  </w:style>
  <w:style w:type="character" w:customStyle="1" w:styleId="Head6Char">
    <w:name w:val="Head6 Char"/>
    <w:basedOn w:val="Heading5Char"/>
    <w:link w:val="Head6"/>
    <w:rsid w:val="00E66069"/>
    <w:rPr>
      <w:rFonts w:ascii="Arial" w:eastAsia="Times New Roman" w:hAnsi="Arial" w:cs="Tahoma"/>
      <w:b w:val="0"/>
      <w:bCs w:val="0"/>
      <w:i/>
      <w:iCs w:val="0"/>
      <w:color w:val="000000"/>
      <w:sz w:val="22"/>
      <w:szCs w:val="26"/>
    </w:rPr>
  </w:style>
  <w:style w:type="paragraph" w:customStyle="1" w:styleId="Heading1noNum">
    <w:name w:val="Heading 1 noNum"/>
    <w:basedOn w:val="Heading1"/>
    <w:link w:val="Heading1noNumChar"/>
    <w:qFormat/>
    <w:rsid w:val="00E66069"/>
    <w:pPr>
      <w:ind w:left="0" w:firstLine="0"/>
    </w:pPr>
    <w:rPr>
      <w:rFonts w:cs="Arial"/>
      <w:lang w:val="en-AU" w:eastAsia="ja-JP"/>
    </w:rPr>
  </w:style>
  <w:style w:type="character" w:customStyle="1" w:styleId="Heading1noNumChar">
    <w:name w:val="Heading 1 noNum Char"/>
    <w:basedOn w:val="Heading1Char"/>
    <w:link w:val="Heading1noNum"/>
    <w:rsid w:val="00E66069"/>
    <w:rPr>
      <w:rFonts w:ascii="Arial" w:eastAsia="Times New Roman" w:hAnsi="Arial" w:cs="Arial"/>
      <w:b/>
      <w:bCs/>
      <w:color w:val="000000"/>
      <w:spacing w:val="40"/>
      <w:kern w:val="28"/>
      <w:sz w:val="36"/>
      <w:szCs w:val="32"/>
      <w:lang w:eastAsia="ja-JP"/>
    </w:rPr>
  </w:style>
  <w:style w:type="paragraph" w:customStyle="1" w:styleId="Heading2nonumbers">
    <w:name w:val="Heading 2 no numbers"/>
    <w:basedOn w:val="Normal"/>
    <w:link w:val="Heading2nonumbersChar"/>
    <w:rsid w:val="00E66069"/>
    <w:pPr>
      <w:keepNext/>
      <w:tabs>
        <w:tab w:val="left" w:pos="720"/>
      </w:tabs>
      <w:spacing w:before="240" w:after="200"/>
      <w:ind w:left="0"/>
      <w:outlineLvl w:val="1"/>
    </w:pPr>
    <w:rPr>
      <w:rFonts w:ascii="Arial" w:eastAsia="Arial Unicode MS" w:hAnsi="Arial" w:cs="Arial"/>
      <w:b/>
      <w:bCs/>
      <w:noProof/>
      <w:kern w:val="32"/>
      <w:szCs w:val="32"/>
    </w:rPr>
  </w:style>
  <w:style w:type="character" w:customStyle="1" w:styleId="Heading2nonumbersChar">
    <w:name w:val="Heading 2 no numbers Char"/>
    <w:basedOn w:val="DefaultParagraphFont"/>
    <w:link w:val="Heading2nonumbers"/>
    <w:rsid w:val="00E66069"/>
    <w:rPr>
      <w:rFonts w:ascii="Arial" w:eastAsia="Arial Unicode MS" w:hAnsi="Arial" w:cs="Arial"/>
      <w:b/>
      <w:bCs/>
      <w:noProof/>
      <w:color w:val="000000"/>
      <w:kern w:val="32"/>
      <w:sz w:val="22"/>
      <w:szCs w:val="32"/>
    </w:rPr>
  </w:style>
  <w:style w:type="paragraph" w:styleId="HTMLAddress">
    <w:name w:val="HTML Address"/>
    <w:basedOn w:val="Normal"/>
    <w:link w:val="HTMLAddressChar"/>
    <w:semiHidden/>
    <w:unhideWhenUsed/>
    <w:rsid w:val="00E66069"/>
    <w:rPr>
      <w:i/>
      <w:iCs/>
    </w:rPr>
  </w:style>
  <w:style w:type="character" w:customStyle="1" w:styleId="HTMLAddressChar">
    <w:name w:val="HTML Address Char"/>
    <w:basedOn w:val="DefaultParagraphFont"/>
    <w:link w:val="HTMLAddress"/>
    <w:semiHidden/>
    <w:rsid w:val="00E66069"/>
    <w:rPr>
      <w:rFonts w:ascii="Calibri" w:eastAsia="Times New Roman" w:hAnsi="Calibri" w:cs="Tahoma"/>
      <w:i/>
      <w:iCs/>
      <w:color w:val="000000"/>
      <w:sz w:val="22"/>
      <w:szCs w:val="22"/>
    </w:rPr>
  </w:style>
  <w:style w:type="paragraph" w:styleId="Index3">
    <w:name w:val="index 3"/>
    <w:basedOn w:val="Normal"/>
    <w:next w:val="Normal"/>
    <w:autoRedefine/>
    <w:semiHidden/>
    <w:unhideWhenUsed/>
    <w:rsid w:val="00E66069"/>
    <w:pPr>
      <w:ind w:left="660" w:hanging="220"/>
    </w:pPr>
  </w:style>
  <w:style w:type="paragraph" w:styleId="Index4">
    <w:name w:val="index 4"/>
    <w:basedOn w:val="Normal"/>
    <w:next w:val="Normal"/>
    <w:autoRedefine/>
    <w:semiHidden/>
    <w:unhideWhenUsed/>
    <w:rsid w:val="00E66069"/>
    <w:pPr>
      <w:ind w:left="880" w:hanging="220"/>
    </w:pPr>
  </w:style>
  <w:style w:type="paragraph" w:styleId="Index5">
    <w:name w:val="index 5"/>
    <w:basedOn w:val="Normal"/>
    <w:next w:val="Normal"/>
    <w:autoRedefine/>
    <w:semiHidden/>
    <w:unhideWhenUsed/>
    <w:rsid w:val="00E66069"/>
    <w:pPr>
      <w:ind w:left="1100" w:hanging="220"/>
    </w:pPr>
  </w:style>
  <w:style w:type="paragraph" w:styleId="Index6">
    <w:name w:val="index 6"/>
    <w:basedOn w:val="Normal"/>
    <w:next w:val="Normal"/>
    <w:autoRedefine/>
    <w:semiHidden/>
    <w:unhideWhenUsed/>
    <w:rsid w:val="00E66069"/>
    <w:pPr>
      <w:ind w:left="1320" w:hanging="220"/>
    </w:pPr>
  </w:style>
  <w:style w:type="paragraph" w:styleId="Index7">
    <w:name w:val="index 7"/>
    <w:basedOn w:val="Normal"/>
    <w:next w:val="Normal"/>
    <w:autoRedefine/>
    <w:semiHidden/>
    <w:unhideWhenUsed/>
    <w:rsid w:val="00E66069"/>
    <w:pPr>
      <w:ind w:left="1540" w:hanging="220"/>
    </w:pPr>
  </w:style>
  <w:style w:type="paragraph" w:styleId="Index8">
    <w:name w:val="index 8"/>
    <w:basedOn w:val="Normal"/>
    <w:next w:val="Normal"/>
    <w:autoRedefine/>
    <w:semiHidden/>
    <w:unhideWhenUsed/>
    <w:rsid w:val="00E66069"/>
    <w:pPr>
      <w:ind w:left="1760" w:hanging="220"/>
    </w:pPr>
  </w:style>
  <w:style w:type="paragraph" w:styleId="Index9">
    <w:name w:val="index 9"/>
    <w:basedOn w:val="Normal"/>
    <w:next w:val="Normal"/>
    <w:autoRedefine/>
    <w:semiHidden/>
    <w:unhideWhenUsed/>
    <w:rsid w:val="00E66069"/>
    <w:pPr>
      <w:ind w:left="1980" w:hanging="220"/>
    </w:pPr>
  </w:style>
  <w:style w:type="paragraph" w:styleId="IndexHeading">
    <w:name w:val="index heading"/>
    <w:basedOn w:val="Normal"/>
    <w:next w:val="Index1"/>
    <w:semiHidden/>
    <w:unhideWhenUsed/>
    <w:rsid w:val="00E66069"/>
    <w:rPr>
      <w:rFonts w:ascii="Cambria" w:eastAsia="PMingLiU" w:hAnsi="Cambria" w:cs="Times New Roman"/>
      <w:b/>
      <w:bCs/>
    </w:rPr>
  </w:style>
  <w:style w:type="paragraph" w:styleId="IntenseQuote">
    <w:name w:val="Intense Quote"/>
    <w:basedOn w:val="Normal"/>
    <w:next w:val="Normal"/>
    <w:link w:val="IntenseQuoteChar"/>
    <w:uiPriority w:val="30"/>
    <w:qFormat/>
    <w:rsid w:val="00E6606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66069"/>
    <w:rPr>
      <w:rFonts w:ascii="Calibri" w:eastAsia="Times New Roman" w:hAnsi="Calibri" w:cs="Tahoma"/>
      <w:b/>
      <w:bCs/>
      <w:i/>
      <w:iCs/>
      <w:color w:val="4F81BD"/>
      <w:sz w:val="22"/>
      <w:szCs w:val="22"/>
    </w:rPr>
  </w:style>
  <w:style w:type="character" w:customStyle="1" w:styleId="jrnl">
    <w:name w:val="jrnl"/>
    <w:basedOn w:val="DefaultParagraphFont"/>
    <w:rsid w:val="00E66069"/>
  </w:style>
  <w:style w:type="paragraph" w:styleId="List2">
    <w:name w:val="List 2"/>
    <w:basedOn w:val="Normal"/>
    <w:semiHidden/>
    <w:unhideWhenUsed/>
    <w:rsid w:val="00E66069"/>
    <w:pPr>
      <w:ind w:left="566" w:hanging="283"/>
      <w:contextualSpacing/>
    </w:pPr>
  </w:style>
  <w:style w:type="paragraph" w:styleId="List3">
    <w:name w:val="List 3"/>
    <w:basedOn w:val="Normal"/>
    <w:semiHidden/>
    <w:unhideWhenUsed/>
    <w:rsid w:val="00E66069"/>
    <w:pPr>
      <w:ind w:left="849" w:hanging="283"/>
      <w:contextualSpacing/>
    </w:pPr>
  </w:style>
  <w:style w:type="paragraph" w:styleId="List4">
    <w:name w:val="List 4"/>
    <w:basedOn w:val="Normal"/>
    <w:semiHidden/>
    <w:unhideWhenUsed/>
    <w:rsid w:val="00E66069"/>
    <w:pPr>
      <w:ind w:left="1132" w:hanging="283"/>
      <w:contextualSpacing/>
    </w:pPr>
  </w:style>
  <w:style w:type="paragraph" w:styleId="List5">
    <w:name w:val="List 5"/>
    <w:basedOn w:val="Normal"/>
    <w:semiHidden/>
    <w:unhideWhenUsed/>
    <w:rsid w:val="00E66069"/>
    <w:pPr>
      <w:ind w:left="1415" w:hanging="283"/>
      <w:contextualSpacing/>
    </w:pPr>
  </w:style>
  <w:style w:type="paragraph" w:customStyle="1" w:styleId="listbody">
    <w:name w:val="list body"/>
    <w:basedOn w:val="Normal"/>
    <w:link w:val="listbodyChar"/>
    <w:qFormat/>
    <w:rsid w:val="00E66069"/>
    <w:pPr>
      <w:numPr>
        <w:numId w:val="30"/>
      </w:numPr>
      <w:spacing w:after="0"/>
    </w:pPr>
    <w:rPr>
      <w:lang w:val="en-GB" w:eastAsia="en-GB"/>
    </w:rPr>
  </w:style>
  <w:style w:type="character" w:customStyle="1" w:styleId="listbodyChar">
    <w:name w:val="list body Char"/>
    <w:basedOn w:val="DefaultParagraphFont"/>
    <w:link w:val="listbody"/>
    <w:rsid w:val="00E66069"/>
    <w:rPr>
      <w:rFonts w:ascii="Calibri" w:eastAsia="Times New Roman" w:hAnsi="Calibri" w:cs="Tahoma"/>
      <w:color w:val="000000"/>
      <w:sz w:val="22"/>
      <w:szCs w:val="22"/>
      <w:lang w:val="en-GB" w:eastAsia="en-GB"/>
    </w:rPr>
  </w:style>
  <w:style w:type="paragraph" w:styleId="ListBullet">
    <w:name w:val="List Bullet"/>
    <w:basedOn w:val="Normal"/>
    <w:unhideWhenUsed/>
    <w:rsid w:val="00E66069"/>
    <w:pPr>
      <w:numPr>
        <w:numId w:val="31"/>
      </w:numPr>
      <w:contextualSpacing/>
    </w:pPr>
  </w:style>
  <w:style w:type="paragraph" w:styleId="ListBullet3">
    <w:name w:val="List Bullet 3"/>
    <w:basedOn w:val="Normal"/>
    <w:semiHidden/>
    <w:unhideWhenUsed/>
    <w:rsid w:val="00E66069"/>
    <w:pPr>
      <w:numPr>
        <w:numId w:val="33"/>
      </w:numPr>
      <w:contextualSpacing/>
    </w:pPr>
  </w:style>
  <w:style w:type="paragraph" w:styleId="ListBullet4">
    <w:name w:val="List Bullet 4"/>
    <w:basedOn w:val="Normal"/>
    <w:semiHidden/>
    <w:unhideWhenUsed/>
    <w:rsid w:val="00E66069"/>
    <w:pPr>
      <w:numPr>
        <w:numId w:val="34"/>
      </w:numPr>
      <w:contextualSpacing/>
    </w:pPr>
  </w:style>
  <w:style w:type="paragraph" w:styleId="ListBullet5">
    <w:name w:val="List Bullet 5"/>
    <w:basedOn w:val="Normal"/>
    <w:semiHidden/>
    <w:unhideWhenUsed/>
    <w:rsid w:val="00E66069"/>
    <w:pPr>
      <w:numPr>
        <w:numId w:val="35"/>
      </w:numPr>
      <w:contextualSpacing/>
    </w:pPr>
  </w:style>
  <w:style w:type="paragraph" w:styleId="ListContinue">
    <w:name w:val="List Continue"/>
    <w:basedOn w:val="Normal"/>
    <w:semiHidden/>
    <w:unhideWhenUsed/>
    <w:rsid w:val="00E66069"/>
    <w:pPr>
      <w:spacing w:after="120"/>
      <w:ind w:left="283"/>
      <w:contextualSpacing/>
    </w:pPr>
  </w:style>
  <w:style w:type="paragraph" w:styleId="ListContinue2">
    <w:name w:val="List Continue 2"/>
    <w:basedOn w:val="Normal"/>
    <w:semiHidden/>
    <w:unhideWhenUsed/>
    <w:rsid w:val="00E66069"/>
    <w:pPr>
      <w:spacing w:after="120"/>
      <w:ind w:left="566"/>
      <w:contextualSpacing/>
    </w:pPr>
  </w:style>
  <w:style w:type="paragraph" w:styleId="ListContinue3">
    <w:name w:val="List Continue 3"/>
    <w:basedOn w:val="Normal"/>
    <w:semiHidden/>
    <w:unhideWhenUsed/>
    <w:rsid w:val="00E66069"/>
    <w:pPr>
      <w:spacing w:after="120"/>
      <w:ind w:left="849"/>
      <w:contextualSpacing/>
    </w:pPr>
  </w:style>
  <w:style w:type="paragraph" w:styleId="ListContinue4">
    <w:name w:val="List Continue 4"/>
    <w:basedOn w:val="Normal"/>
    <w:semiHidden/>
    <w:unhideWhenUsed/>
    <w:rsid w:val="00E66069"/>
    <w:pPr>
      <w:spacing w:after="120"/>
      <w:ind w:left="1132"/>
      <w:contextualSpacing/>
    </w:pPr>
  </w:style>
  <w:style w:type="paragraph" w:styleId="ListContinue5">
    <w:name w:val="List Continue 5"/>
    <w:basedOn w:val="Normal"/>
    <w:semiHidden/>
    <w:unhideWhenUsed/>
    <w:rsid w:val="00E66069"/>
    <w:pPr>
      <w:spacing w:after="120"/>
      <w:ind w:left="1415"/>
      <w:contextualSpacing/>
    </w:pPr>
  </w:style>
  <w:style w:type="character" w:customStyle="1" w:styleId="ListNumberChar">
    <w:name w:val="List Number Char"/>
    <w:basedOn w:val="DefaultParagraphFont"/>
    <w:link w:val="ListNumber"/>
    <w:uiPriority w:val="99"/>
    <w:rsid w:val="00E66069"/>
    <w:rPr>
      <w:rFonts w:ascii="Calibri" w:eastAsia="Times New Roman" w:hAnsi="Calibri" w:cs="Tahoma"/>
      <w:color w:val="000000"/>
      <w:sz w:val="22"/>
      <w:szCs w:val="22"/>
    </w:rPr>
  </w:style>
  <w:style w:type="paragraph" w:styleId="ListNumber2">
    <w:name w:val="List Number 2"/>
    <w:basedOn w:val="Normal"/>
    <w:uiPriority w:val="99"/>
    <w:unhideWhenUsed/>
    <w:rsid w:val="00E66069"/>
    <w:pPr>
      <w:numPr>
        <w:numId w:val="36"/>
      </w:numPr>
      <w:contextualSpacing/>
    </w:pPr>
  </w:style>
  <w:style w:type="paragraph" w:styleId="ListNumber4">
    <w:name w:val="List Number 4"/>
    <w:basedOn w:val="Normal"/>
    <w:semiHidden/>
    <w:unhideWhenUsed/>
    <w:rsid w:val="00E66069"/>
    <w:pPr>
      <w:numPr>
        <w:numId w:val="38"/>
      </w:numPr>
      <w:contextualSpacing/>
    </w:pPr>
  </w:style>
  <w:style w:type="paragraph" w:styleId="ListNumber5">
    <w:name w:val="List Number 5"/>
    <w:basedOn w:val="Normal"/>
    <w:semiHidden/>
    <w:unhideWhenUsed/>
    <w:rsid w:val="00E66069"/>
    <w:pPr>
      <w:numPr>
        <w:numId w:val="39"/>
      </w:numPr>
      <w:contextualSpacing/>
    </w:pPr>
  </w:style>
  <w:style w:type="paragraph" w:styleId="MacroText">
    <w:name w:val="macro"/>
    <w:link w:val="MacroTextChar"/>
    <w:semiHidden/>
    <w:unhideWhenUsed/>
    <w:rsid w:val="00E66069"/>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eastAsia="Times New Roman" w:hAnsi="Courier New" w:cs="Courier New"/>
      <w:color w:val="000000"/>
    </w:rPr>
  </w:style>
  <w:style w:type="character" w:customStyle="1" w:styleId="MacroTextChar">
    <w:name w:val="Macro Text Char"/>
    <w:basedOn w:val="DefaultParagraphFont"/>
    <w:link w:val="MacroText"/>
    <w:semiHidden/>
    <w:rsid w:val="00E66069"/>
    <w:rPr>
      <w:rFonts w:ascii="Courier New" w:eastAsia="Times New Roman" w:hAnsi="Courier New" w:cs="Courier New"/>
      <w:color w:val="000000"/>
    </w:rPr>
  </w:style>
  <w:style w:type="paragraph" w:styleId="MessageHeader">
    <w:name w:val="Message Header"/>
    <w:basedOn w:val="Normal"/>
    <w:link w:val="MessageHeaderChar"/>
    <w:rsid w:val="00E6606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PMingLiU" w:hAnsi="Cambria" w:cs="Times New Roman"/>
      <w:sz w:val="24"/>
      <w:szCs w:val="24"/>
    </w:rPr>
  </w:style>
  <w:style w:type="character" w:customStyle="1" w:styleId="MessageHeaderChar">
    <w:name w:val="Message Header Char"/>
    <w:basedOn w:val="DefaultParagraphFont"/>
    <w:link w:val="MessageHeader"/>
    <w:rsid w:val="00E66069"/>
    <w:rPr>
      <w:rFonts w:ascii="Cambria" w:eastAsia="PMingLiU" w:hAnsi="Cambria"/>
      <w:color w:val="000000"/>
      <w:sz w:val="24"/>
      <w:szCs w:val="24"/>
      <w:shd w:val="pct20" w:color="auto" w:fill="auto"/>
    </w:rPr>
  </w:style>
  <w:style w:type="paragraph" w:styleId="NoSpacing">
    <w:name w:val="No Spacing"/>
    <w:uiPriority w:val="1"/>
    <w:qFormat/>
    <w:rsid w:val="00E66069"/>
    <w:pPr>
      <w:ind w:left="720"/>
    </w:pPr>
    <w:rPr>
      <w:rFonts w:ascii="Calibri" w:eastAsia="Times New Roman" w:hAnsi="Calibri" w:cs="Tahoma"/>
      <w:color w:val="000000"/>
      <w:sz w:val="22"/>
      <w:szCs w:val="22"/>
    </w:rPr>
  </w:style>
  <w:style w:type="paragraph" w:styleId="NoteHeading">
    <w:name w:val="Note Heading"/>
    <w:basedOn w:val="Normal"/>
    <w:next w:val="Normal"/>
    <w:link w:val="NoteHeadingChar"/>
    <w:rsid w:val="00E66069"/>
  </w:style>
  <w:style w:type="character" w:customStyle="1" w:styleId="NoteHeadingChar">
    <w:name w:val="Note Heading Char"/>
    <w:basedOn w:val="DefaultParagraphFont"/>
    <w:link w:val="NoteHeading"/>
    <w:rsid w:val="00E66069"/>
    <w:rPr>
      <w:rFonts w:ascii="Calibri" w:eastAsia="Times New Roman" w:hAnsi="Calibri" w:cs="Tahoma"/>
      <w:color w:val="000000"/>
      <w:sz w:val="22"/>
      <w:szCs w:val="22"/>
    </w:rPr>
  </w:style>
  <w:style w:type="paragraph" w:customStyle="1" w:styleId="Nothing">
    <w:name w:val="Nothing"/>
    <w:basedOn w:val="Normal"/>
    <w:uiPriority w:val="99"/>
    <w:rsid w:val="00E66069"/>
    <w:pPr>
      <w:tabs>
        <w:tab w:val="center" w:pos="4320"/>
        <w:tab w:val="right" w:pos="8640"/>
      </w:tabs>
    </w:pPr>
    <w:rPr>
      <w:rFonts w:ascii="Arial Narrow" w:eastAsia="MS Mincho" w:hAnsi="Arial Narrow" w:cs="Arial"/>
      <w:sz w:val="18"/>
      <w:szCs w:val="24"/>
      <w:lang w:eastAsia="ja-JP"/>
    </w:rPr>
  </w:style>
  <w:style w:type="paragraph" w:styleId="PlainText">
    <w:name w:val="Plain Text"/>
    <w:basedOn w:val="Normal"/>
    <w:link w:val="PlainTextChar"/>
    <w:rsid w:val="00E66069"/>
    <w:rPr>
      <w:rFonts w:ascii="Courier New" w:hAnsi="Courier New" w:cs="Courier New"/>
      <w:sz w:val="20"/>
      <w:szCs w:val="20"/>
    </w:rPr>
  </w:style>
  <w:style w:type="character" w:customStyle="1" w:styleId="PlainTextChar">
    <w:name w:val="Plain Text Char"/>
    <w:basedOn w:val="DefaultParagraphFont"/>
    <w:link w:val="PlainText"/>
    <w:rsid w:val="00E66069"/>
    <w:rPr>
      <w:rFonts w:ascii="Courier New" w:eastAsia="Times New Roman" w:hAnsi="Courier New" w:cs="Courier New"/>
      <w:color w:val="000000"/>
    </w:rPr>
  </w:style>
  <w:style w:type="paragraph" w:customStyle="1" w:styleId="Poem">
    <w:name w:val="Poem"/>
    <w:basedOn w:val="Normal"/>
    <w:rsid w:val="00E66069"/>
    <w:pPr>
      <w:keepNext/>
      <w:tabs>
        <w:tab w:val="left" w:pos="1800"/>
      </w:tabs>
      <w:spacing w:before="120" w:after="120"/>
      <w:ind w:left="1440" w:right="1440"/>
    </w:pPr>
    <w:rPr>
      <w:rFonts w:ascii="Arial Narrow" w:hAnsi="Arial Narrow"/>
      <w:b/>
      <w:bCs/>
      <w:szCs w:val="21"/>
      <w:lang w:val="en-GB" w:eastAsia="en-GB"/>
    </w:rPr>
  </w:style>
  <w:style w:type="paragraph" w:customStyle="1" w:styleId="PoemEnd">
    <w:name w:val="Poem End"/>
    <w:basedOn w:val="Normal"/>
    <w:rsid w:val="00E66069"/>
    <w:pPr>
      <w:keepNext/>
      <w:tabs>
        <w:tab w:val="left" w:pos="1800"/>
      </w:tabs>
      <w:spacing w:after="0"/>
      <w:ind w:left="1440" w:right="1440" w:firstLine="216"/>
    </w:pPr>
    <w:rPr>
      <w:rFonts w:ascii="Arial Narrow" w:hAnsi="Arial Narrow"/>
      <w:b/>
      <w:bCs/>
      <w:szCs w:val="21"/>
      <w:lang w:val="en-GB" w:eastAsia="en-GB"/>
    </w:rPr>
  </w:style>
  <w:style w:type="paragraph" w:customStyle="1" w:styleId="PoemEndNI">
    <w:name w:val="Poem End NI"/>
    <w:basedOn w:val="Normal"/>
    <w:rsid w:val="00E66069"/>
    <w:pPr>
      <w:keepNext/>
      <w:tabs>
        <w:tab w:val="left" w:pos="1800"/>
      </w:tabs>
      <w:spacing w:after="0"/>
      <w:ind w:left="1440" w:right="1440"/>
    </w:pPr>
    <w:rPr>
      <w:rFonts w:ascii="Arial Narrow" w:hAnsi="Arial Narrow"/>
      <w:b/>
      <w:bCs/>
      <w:szCs w:val="21"/>
      <w:lang w:val="en-GB" w:eastAsia="en-GB"/>
    </w:rPr>
  </w:style>
  <w:style w:type="paragraph" w:customStyle="1" w:styleId="PoemFirstNI">
    <w:name w:val="Poem First NI"/>
    <w:basedOn w:val="Normal"/>
    <w:rsid w:val="00E66069"/>
    <w:pPr>
      <w:keepNext/>
      <w:tabs>
        <w:tab w:val="left" w:pos="1800"/>
      </w:tabs>
      <w:spacing w:before="120" w:after="0"/>
      <w:ind w:left="1440" w:right="1440"/>
    </w:pPr>
    <w:rPr>
      <w:rFonts w:ascii="Arial Narrow" w:hAnsi="Arial Narrow"/>
      <w:b/>
      <w:bCs/>
      <w:szCs w:val="21"/>
      <w:lang w:val="en-GB" w:eastAsia="en-GB"/>
    </w:rPr>
  </w:style>
  <w:style w:type="paragraph" w:customStyle="1" w:styleId="PoemLast">
    <w:name w:val="Poem Last"/>
    <w:basedOn w:val="Normal"/>
    <w:rsid w:val="00E66069"/>
    <w:pPr>
      <w:keepNext/>
      <w:tabs>
        <w:tab w:val="left" w:pos="1800"/>
      </w:tabs>
      <w:spacing w:after="120"/>
      <w:ind w:left="1440" w:right="1440" w:firstLine="216"/>
    </w:pPr>
    <w:rPr>
      <w:rFonts w:ascii="Arial Narrow" w:hAnsi="Arial Narrow"/>
      <w:b/>
      <w:bCs/>
      <w:szCs w:val="21"/>
      <w:lang w:val="en-GB" w:eastAsia="en-GB"/>
    </w:rPr>
  </w:style>
  <w:style w:type="paragraph" w:customStyle="1" w:styleId="PoemLastNI">
    <w:name w:val="Poem Last NI"/>
    <w:basedOn w:val="Normal"/>
    <w:rsid w:val="00E66069"/>
    <w:pPr>
      <w:keepNext/>
      <w:tabs>
        <w:tab w:val="left" w:pos="1800"/>
      </w:tabs>
      <w:spacing w:after="120"/>
      <w:ind w:left="1440" w:right="1440"/>
    </w:pPr>
    <w:rPr>
      <w:rFonts w:ascii="Arial Narrow" w:hAnsi="Arial Narrow"/>
      <w:b/>
      <w:bCs/>
      <w:szCs w:val="21"/>
      <w:lang w:val="en-GB" w:eastAsia="en-GB"/>
    </w:rPr>
  </w:style>
  <w:style w:type="paragraph" w:customStyle="1" w:styleId="PoemMiddle">
    <w:name w:val="Poem Middle"/>
    <w:basedOn w:val="Normal"/>
    <w:rsid w:val="00E66069"/>
    <w:pPr>
      <w:keepNext/>
      <w:tabs>
        <w:tab w:val="left" w:pos="1800"/>
      </w:tabs>
      <w:spacing w:after="0"/>
      <w:ind w:left="1440" w:right="1440" w:firstLine="216"/>
    </w:pPr>
    <w:rPr>
      <w:rFonts w:ascii="Arial Narrow" w:hAnsi="Arial Narrow"/>
      <w:b/>
      <w:bCs/>
      <w:szCs w:val="21"/>
      <w:lang w:val="en-GB" w:eastAsia="en-GB"/>
    </w:rPr>
  </w:style>
  <w:style w:type="paragraph" w:customStyle="1" w:styleId="PoemMiddleNI">
    <w:name w:val="Poem Middle NI"/>
    <w:basedOn w:val="Normal"/>
    <w:rsid w:val="00E66069"/>
    <w:pPr>
      <w:keepNext/>
      <w:tabs>
        <w:tab w:val="left" w:pos="1800"/>
      </w:tabs>
      <w:spacing w:after="0"/>
      <w:ind w:left="1440" w:right="1440"/>
    </w:pPr>
    <w:rPr>
      <w:rFonts w:ascii="Arial Narrow" w:hAnsi="Arial Narrow"/>
      <w:b/>
      <w:bCs/>
      <w:szCs w:val="21"/>
      <w:lang w:val="en-GB" w:eastAsia="en-GB"/>
    </w:rPr>
  </w:style>
  <w:style w:type="paragraph" w:customStyle="1" w:styleId="PoemStartNI">
    <w:name w:val="Poem Start NI"/>
    <w:basedOn w:val="Normal"/>
    <w:rsid w:val="00E66069"/>
    <w:pPr>
      <w:keepNext/>
      <w:tabs>
        <w:tab w:val="left" w:pos="1800"/>
      </w:tabs>
      <w:spacing w:before="120" w:after="0"/>
      <w:ind w:left="1440" w:right="1440"/>
    </w:pPr>
    <w:rPr>
      <w:rFonts w:ascii="Arial Narrow" w:hAnsi="Arial Narrow"/>
      <w:b/>
      <w:bCs/>
      <w:szCs w:val="21"/>
      <w:lang w:val="en-GB" w:eastAsia="en-GB"/>
    </w:rPr>
  </w:style>
  <w:style w:type="paragraph" w:customStyle="1" w:styleId="Recommendation">
    <w:name w:val="Recommendation"/>
    <w:basedOn w:val="Normal"/>
    <w:next w:val="Normal"/>
    <w:qFormat/>
    <w:rsid w:val="00E66069"/>
    <w:pPr>
      <w:keepNext/>
      <w:tabs>
        <w:tab w:val="left" w:pos="720"/>
      </w:tabs>
      <w:spacing w:before="240" w:after="200"/>
      <w:ind w:left="0"/>
    </w:pPr>
    <w:rPr>
      <w:rFonts w:ascii="Arial" w:eastAsia="Arial Unicode MS" w:hAnsi="Arial" w:cs="Arial"/>
      <w:b/>
      <w:bCs/>
      <w:noProof/>
      <w:kern w:val="32"/>
      <w:szCs w:val="32"/>
      <w:lang w:val="en-GB" w:eastAsia="en-GB"/>
    </w:rPr>
  </w:style>
  <w:style w:type="paragraph" w:customStyle="1" w:styleId="Recommendationanswer">
    <w:name w:val="Recommendation answer"/>
    <w:basedOn w:val="BodyText1"/>
    <w:qFormat/>
    <w:rsid w:val="00E66069"/>
    <w:pPr>
      <w:spacing w:before="120" w:after="120" w:line="240" w:lineRule="auto"/>
      <w:ind w:left="102"/>
    </w:pPr>
    <w:rPr>
      <w:rFonts w:cs="Arial"/>
      <w:sz w:val="20"/>
      <w:lang w:val="en-GB"/>
    </w:rPr>
  </w:style>
  <w:style w:type="paragraph" w:customStyle="1" w:styleId="Recommendationquestion">
    <w:name w:val="Recommendation question"/>
    <w:basedOn w:val="Normal"/>
    <w:qFormat/>
    <w:rsid w:val="00E66069"/>
    <w:pPr>
      <w:widowControl w:val="0"/>
      <w:autoSpaceDE w:val="0"/>
      <w:autoSpaceDN w:val="0"/>
      <w:adjustRightInd w:val="0"/>
      <w:spacing w:before="30" w:after="30"/>
      <w:ind w:left="103" w:right="-20"/>
    </w:pPr>
    <w:rPr>
      <w:rFonts w:cs="Arial Narrow"/>
      <w:i/>
      <w:iCs/>
      <w:sz w:val="20"/>
      <w:szCs w:val="18"/>
      <w:lang w:val="en-GB" w:eastAsia="en-GB"/>
    </w:rPr>
  </w:style>
  <w:style w:type="character" w:customStyle="1" w:styleId="ReportSubtitleChar">
    <w:name w:val="Report Subtitle Char"/>
    <w:basedOn w:val="DefaultParagraphFont"/>
    <w:link w:val="ReportSubtitle"/>
    <w:rsid w:val="00E66069"/>
    <w:rPr>
      <w:rFonts w:ascii="Arial Bold" w:eastAsia="Times New Roman" w:hAnsi="Arial Bold" w:cs="Tahoma"/>
      <w:b/>
      <w:bCs/>
      <w:color w:val="000000"/>
      <w:sz w:val="40"/>
      <w:szCs w:val="22"/>
    </w:rPr>
  </w:style>
  <w:style w:type="paragraph" w:styleId="Salutation">
    <w:name w:val="Salutation"/>
    <w:basedOn w:val="Normal"/>
    <w:next w:val="Normal"/>
    <w:link w:val="SalutationChar"/>
    <w:semiHidden/>
    <w:unhideWhenUsed/>
    <w:rsid w:val="00E66069"/>
  </w:style>
  <w:style w:type="character" w:customStyle="1" w:styleId="SalutationChar">
    <w:name w:val="Salutation Char"/>
    <w:basedOn w:val="DefaultParagraphFont"/>
    <w:link w:val="Salutation"/>
    <w:semiHidden/>
    <w:rsid w:val="00E66069"/>
    <w:rPr>
      <w:rFonts w:ascii="Calibri" w:eastAsia="Times New Roman" w:hAnsi="Calibri" w:cs="Tahoma"/>
      <w:color w:val="000000"/>
      <w:sz w:val="22"/>
      <w:szCs w:val="22"/>
    </w:rPr>
  </w:style>
  <w:style w:type="character" w:customStyle="1" w:styleId="search-number">
    <w:name w:val="search-number"/>
    <w:basedOn w:val="DefaultParagraphFont"/>
    <w:semiHidden/>
    <w:unhideWhenUsed/>
    <w:rsid w:val="00E66069"/>
  </w:style>
  <w:style w:type="paragraph" w:styleId="Signature">
    <w:name w:val="Signature"/>
    <w:basedOn w:val="Normal"/>
    <w:link w:val="SignatureChar"/>
    <w:semiHidden/>
    <w:unhideWhenUsed/>
    <w:rsid w:val="00E66069"/>
    <w:pPr>
      <w:ind w:left="4252"/>
    </w:pPr>
  </w:style>
  <w:style w:type="character" w:customStyle="1" w:styleId="SignatureChar">
    <w:name w:val="Signature Char"/>
    <w:basedOn w:val="DefaultParagraphFont"/>
    <w:link w:val="Signature"/>
    <w:semiHidden/>
    <w:rsid w:val="00E66069"/>
    <w:rPr>
      <w:rFonts w:ascii="Calibri" w:eastAsia="Times New Roman" w:hAnsi="Calibri" w:cs="Tahoma"/>
      <w:color w:val="000000"/>
      <w:sz w:val="22"/>
      <w:szCs w:val="22"/>
    </w:rPr>
  </w:style>
  <w:style w:type="character" w:styleId="Strong">
    <w:name w:val="Strong"/>
    <w:basedOn w:val="DefaultParagraphFont"/>
    <w:uiPriority w:val="99"/>
    <w:qFormat/>
    <w:rsid w:val="00E66069"/>
    <w:rPr>
      <w:b/>
      <w:bCs/>
    </w:rPr>
  </w:style>
  <w:style w:type="paragraph" w:customStyle="1" w:styleId="StyleTablefootnoteAfter18pt">
    <w:name w:val="Style Table footnote + After:  18 pt"/>
    <w:basedOn w:val="Tablefootnote"/>
    <w:autoRedefine/>
    <w:uiPriority w:val="99"/>
    <w:rsid w:val="00E66069"/>
    <w:pPr>
      <w:spacing w:before="0"/>
    </w:pPr>
    <w:rPr>
      <w:rFonts w:cs="Tahoma"/>
      <w:lang w:val="en-AU"/>
    </w:rPr>
  </w:style>
  <w:style w:type="character" w:customStyle="1" w:styleId="TablecaptionChar">
    <w:name w:val="Table caption Char"/>
    <w:basedOn w:val="DefaultParagraphFont"/>
    <w:link w:val="Tablecaption"/>
    <w:uiPriority w:val="99"/>
    <w:locked/>
    <w:rsid w:val="00E66069"/>
    <w:rPr>
      <w:rFonts w:ascii="Arial Narrow" w:eastAsia="Arial Unicode MS" w:hAnsi="Arial Narrow" w:cs="Arial"/>
      <w:b/>
      <w:bCs/>
      <w:sz w:val="24"/>
      <w:szCs w:val="24"/>
      <w:lang w:eastAsia="ja-JP"/>
    </w:rPr>
  </w:style>
  <w:style w:type="character" w:customStyle="1" w:styleId="TableHeadingChar">
    <w:name w:val="TableHeading Char"/>
    <w:basedOn w:val="TableTextChar"/>
    <w:link w:val="TableHeading"/>
    <w:rsid w:val="00E66069"/>
    <w:rPr>
      <w:rFonts w:ascii="Arial Narrow" w:eastAsia="Times New Roman" w:hAnsi="Arial Narrow" w:cs="Tahoma"/>
      <w:b/>
      <w:bCs/>
      <w:color w:val="000000"/>
      <w:szCs w:val="21"/>
    </w:rPr>
  </w:style>
  <w:style w:type="paragraph" w:customStyle="1" w:styleId="TableH5">
    <w:name w:val="Table H5"/>
    <w:basedOn w:val="TableH4"/>
    <w:link w:val="TableH5Char"/>
    <w:qFormat/>
    <w:rsid w:val="00E66069"/>
    <w:rPr>
      <w:b w:val="0"/>
    </w:rPr>
  </w:style>
  <w:style w:type="character" w:customStyle="1" w:styleId="TableH5Char">
    <w:name w:val="Table H5 Char"/>
    <w:basedOn w:val="TableH4Char"/>
    <w:link w:val="TableH5"/>
    <w:rsid w:val="00E66069"/>
    <w:rPr>
      <w:rFonts w:ascii="Arial Narrow" w:eastAsia="Times New Roman" w:hAnsi="Arial Narrow" w:cs="Tahoma"/>
      <w:b w:val="0"/>
      <w:bCs/>
      <w:smallCaps/>
      <w:color w:val="FFFFFF" w:themeColor="background1"/>
      <w:szCs w:val="21"/>
    </w:rPr>
  </w:style>
  <w:style w:type="character" w:customStyle="1" w:styleId="TableListNosChar">
    <w:name w:val="Table ListNos Char"/>
    <w:basedOn w:val="BodyTextChar0"/>
    <w:link w:val="TableListNos"/>
    <w:uiPriority w:val="4"/>
    <w:rsid w:val="00E66069"/>
    <w:rPr>
      <w:rFonts w:ascii="Calibri" w:eastAsia="Times New Roman" w:hAnsi="Calibri" w:cs="Tahoma"/>
      <w:color w:val="000000"/>
      <w:sz w:val="18"/>
      <w:szCs w:val="22"/>
      <w:lang w:eastAsia="en-US"/>
    </w:rPr>
  </w:style>
  <w:style w:type="paragraph" w:styleId="TableofAuthorities">
    <w:name w:val="table of authorities"/>
    <w:basedOn w:val="Normal"/>
    <w:next w:val="Normal"/>
    <w:semiHidden/>
    <w:unhideWhenUsed/>
    <w:rsid w:val="00E66069"/>
    <w:pPr>
      <w:ind w:left="220" w:hanging="220"/>
    </w:pPr>
  </w:style>
  <w:style w:type="paragraph" w:customStyle="1" w:styleId="Tabletextbullet">
    <w:name w:val="Table text bullet"/>
    <w:basedOn w:val="Tabletext0"/>
    <w:uiPriority w:val="99"/>
    <w:rsid w:val="00E66069"/>
    <w:pPr>
      <w:numPr>
        <w:numId w:val="43"/>
      </w:numPr>
    </w:pPr>
    <w:rPr>
      <w:rFonts w:eastAsia="MS Mincho" w:cs="Arial"/>
      <w:lang w:val="en-AU"/>
    </w:rPr>
  </w:style>
  <w:style w:type="paragraph" w:customStyle="1" w:styleId="Tabletextbullets">
    <w:name w:val="Table text bullets"/>
    <w:basedOn w:val="Tabletext0"/>
    <w:uiPriority w:val="99"/>
    <w:rsid w:val="00E66069"/>
    <w:pPr>
      <w:numPr>
        <w:numId w:val="44"/>
      </w:numPr>
      <w:tabs>
        <w:tab w:val="left" w:pos="181"/>
      </w:tabs>
    </w:pPr>
    <w:rPr>
      <w:rFonts w:eastAsia="MS Mincho" w:cs="Arial"/>
      <w:lang w:val="en-AU"/>
    </w:rPr>
  </w:style>
  <w:style w:type="paragraph" w:customStyle="1" w:styleId="Tabletextdoubleindent">
    <w:name w:val="Table text double indent"/>
    <w:basedOn w:val="Tabletextindent"/>
    <w:uiPriority w:val="99"/>
    <w:rsid w:val="00E66069"/>
    <w:pPr>
      <w:ind w:left="249"/>
    </w:pPr>
  </w:style>
  <w:style w:type="paragraph" w:customStyle="1" w:styleId="tabletextnospace">
    <w:name w:val="table text no space"/>
    <w:basedOn w:val="Tabletext-evidencematrix"/>
    <w:link w:val="tabletextnospaceChar"/>
    <w:qFormat/>
    <w:rsid w:val="00E66069"/>
    <w:pPr>
      <w:spacing w:after="0"/>
    </w:pPr>
    <w:rPr>
      <w:lang w:val="en-GB"/>
    </w:rPr>
  </w:style>
  <w:style w:type="character" w:customStyle="1" w:styleId="tabletextnospaceChar">
    <w:name w:val="table text no space Char"/>
    <w:basedOn w:val="Tabletext-evidencematrixChar"/>
    <w:link w:val="tabletextnospace"/>
    <w:rsid w:val="00E66069"/>
    <w:rPr>
      <w:rFonts w:ascii="Arial Narrow" w:eastAsia="Arial Unicode MS" w:hAnsi="Arial Narrow" w:cs="Arial"/>
      <w:bCs/>
      <w:sz w:val="16"/>
      <w:szCs w:val="24"/>
      <w:lang w:val="en-GB" w:eastAsia="ja-JP"/>
    </w:rPr>
  </w:style>
  <w:style w:type="character" w:customStyle="1" w:styleId="TableBulletChar">
    <w:name w:val="TableBullet Char"/>
    <w:basedOn w:val="DefaultParagraphFont"/>
    <w:link w:val="TableBullet"/>
    <w:rsid w:val="00E66069"/>
    <w:rPr>
      <w:rFonts w:ascii="Arial Narrow" w:eastAsia="Times New Roman" w:hAnsi="Arial Narrow" w:cs="Tahoma"/>
      <w:color w:val="000000"/>
    </w:rPr>
  </w:style>
  <w:style w:type="paragraph" w:customStyle="1" w:styleId="TableListPICO">
    <w:name w:val="TableList PICO"/>
    <w:basedOn w:val="TableListNos"/>
    <w:link w:val="TableListPICOChar"/>
    <w:qFormat/>
    <w:rsid w:val="00E66069"/>
    <w:pPr>
      <w:numPr>
        <w:numId w:val="45"/>
      </w:numPr>
    </w:pPr>
    <w:rPr>
      <w:rFonts w:ascii="Arial Narrow" w:hAnsi="Arial Narrow"/>
    </w:rPr>
  </w:style>
  <w:style w:type="character" w:customStyle="1" w:styleId="TableListPICOChar">
    <w:name w:val="TableList PICO Char"/>
    <w:basedOn w:val="TableListNosChar"/>
    <w:link w:val="TableListPICO"/>
    <w:rsid w:val="00E66069"/>
    <w:rPr>
      <w:rFonts w:ascii="Arial Narrow" w:eastAsia="Times New Roman" w:hAnsi="Arial Narrow" w:cs="Tahoma"/>
      <w:color w:val="000000"/>
      <w:sz w:val="18"/>
      <w:szCs w:val="22"/>
      <w:lang w:eastAsia="en-US"/>
    </w:rPr>
  </w:style>
  <w:style w:type="paragraph" w:styleId="TOAHeading">
    <w:name w:val="toa heading"/>
    <w:basedOn w:val="Normal"/>
    <w:next w:val="Normal"/>
    <w:rsid w:val="00E66069"/>
    <w:pPr>
      <w:spacing w:before="120"/>
    </w:pPr>
    <w:rPr>
      <w:rFonts w:ascii="Cambria" w:eastAsia="PMingLiU" w:hAnsi="Cambria" w:cs="Times New Roman"/>
      <w:b/>
      <w:bCs/>
      <w:sz w:val="24"/>
      <w:szCs w:val="24"/>
    </w:rPr>
  </w:style>
  <w:style w:type="paragraph" w:customStyle="1" w:styleId="Block">
    <w:name w:val="Block"/>
    <w:basedOn w:val="BoxText"/>
    <w:rsid w:val="00E66069"/>
    <w:pPr>
      <w:spacing w:before="240"/>
      <w:ind w:left="1440" w:right="1440" w:firstLine="720"/>
    </w:pPr>
    <w:rPr>
      <w:rFonts w:cs="Tahoma"/>
      <w:lang w:val="en-AU" w:eastAsia="en-AU"/>
    </w:rPr>
  </w:style>
  <w:style w:type="paragraph" w:customStyle="1" w:styleId="BlockFirst">
    <w:name w:val="Block First"/>
    <w:basedOn w:val="BoxText"/>
    <w:rsid w:val="00E66069"/>
    <w:pPr>
      <w:spacing w:before="240" w:after="0"/>
      <w:ind w:left="1440" w:right="1440" w:firstLine="720"/>
    </w:pPr>
    <w:rPr>
      <w:rFonts w:cs="Tahoma"/>
      <w:lang w:val="en-AU" w:eastAsia="en-AU"/>
    </w:rPr>
  </w:style>
  <w:style w:type="paragraph" w:customStyle="1" w:styleId="BlockLast">
    <w:name w:val="Block Last"/>
    <w:basedOn w:val="BoxText"/>
    <w:rsid w:val="00E66069"/>
    <w:pPr>
      <w:ind w:left="1440" w:right="1440" w:firstLine="720"/>
    </w:pPr>
    <w:rPr>
      <w:rFonts w:cs="Tahoma"/>
      <w:lang w:val="en-AU" w:eastAsia="en-AU"/>
    </w:rPr>
  </w:style>
  <w:style w:type="paragraph" w:customStyle="1" w:styleId="BlockMiddle">
    <w:name w:val="Block Middle"/>
    <w:basedOn w:val="BoxText"/>
    <w:rsid w:val="00E66069"/>
    <w:pPr>
      <w:spacing w:after="0"/>
      <w:ind w:left="1440" w:right="1440" w:firstLine="720"/>
    </w:pPr>
    <w:rPr>
      <w:rFonts w:cs="Tahoma"/>
      <w:lang w:val="en-AU" w:eastAsia="en-AU"/>
    </w:rPr>
  </w:style>
  <w:style w:type="paragraph" w:customStyle="1" w:styleId="bulletlist">
    <w:name w:val="bullet list"/>
    <w:basedOn w:val="Normal"/>
    <w:rsid w:val="00E66069"/>
    <w:pPr>
      <w:numPr>
        <w:ilvl w:val="1"/>
        <w:numId w:val="28"/>
      </w:numPr>
      <w:spacing w:after="0" w:line="360" w:lineRule="auto"/>
    </w:pPr>
    <w:rPr>
      <w:rFonts w:ascii="Times New Roman" w:hAnsi="Times New Roman" w:cs="Arial"/>
      <w:szCs w:val="24"/>
    </w:rPr>
  </w:style>
  <w:style w:type="numbering" w:customStyle="1" w:styleId="NoList1">
    <w:name w:val="No List1"/>
    <w:next w:val="NoList"/>
    <w:uiPriority w:val="99"/>
    <w:semiHidden/>
    <w:unhideWhenUsed/>
    <w:rsid w:val="00E66069"/>
  </w:style>
  <w:style w:type="paragraph" w:customStyle="1" w:styleId="StyleBodyTextBold">
    <w:name w:val="Style Body Text + Bold"/>
    <w:basedOn w:val="BodyText"/>
    <w:rsid w:val="00E66069"/>
    <w:pPr>
      <w:spacing w:after="120" w:line="240" w:lineRule="auto"/>
      <w:ind w:left="720"/>
    </w:pPr>
    <w:rPr>
      <w:rFonts w:ascii="Calibri" w:hAnsi="Calibri" w:cs="Tahoma"/>
      <w:b/>
      <w:bCs/>
      <w:color w:val="000000"/>
      <w:szCs w:val="22"/>
      <w:lang w:val="en-AU" w:eastAsia="en-AU"/>
    </w:rPr>
  </w:style>
  <w:style w:type="paragraph" w:customStyle="1" w:styleId="StyleBodyTextBoldAfter6pt">
    <w:name w:val="Style Body Text + Bold After:  6 pt"/>
    <w:basedOn w:val="BodyText"/>
    <w:rsid w:val="00E66069"/>
    <w:pPr>
      <w:spacing w:after="120" w:line="240" w:lineRule="auto"/>
      <w:ind w:left="720"/>
    </w:pPr>
    <w:rPr>
      <w:rFonts w:ascii="Calibri" w:hAnsi="Calibri"/>
      <w:b/>
      <w:bCs/>
      <w:color w:val="000000"/>
      <w:szCs w:val="20"/>
      <w:lang w:val="en-AU" w:eastAsia="en-AU"/>
    </w:rPr>
  </w:style>
  <w:style w:type="paragraph" w:customStyle="1" w:styleId="StyleContentsHeadingforfigstableslist20pt">
    <w:name w:val="Style Contents_Heading for figs/tables list + 20 pt"/>
    <w:basedOn w:val="ContentsHeadingforfigstableslist"/>
    <w:rsid w:val="00E66069"/>
    <w:pPr>
      <w:spacing w:before="720"/>
    </w:pPr>
    <w:rPr>
      <w:rFonts w:ascii="Calibri" w:hAnsi="Calibri"/>
      <w:sz w:val="52"/>
      <w:szCs w:val="24"/>
      <w:lang w:eastAsia="en-AU"/>
    </w:rPr>
  </w:style>
  <w:style w:type="paragraph" w:customStyle="1" w:styleId="StyleCoversubtitle16pt">
    <w:name w:val="Style Cover subtitle + 16 pt"/>
    <w:basedOn w:val="Coversubtitle"/>
    <w:rsid w:val="00E66069"/>
    <w:pPr>
      <w:tabs>
        <w:tab w:val="left" w:pos="720"/>
      </w:tabs>
      <w:overflowPunct w:val="0"/>
      <w:autoSpaceDE w:val="0"/>
      <w:autoSpaceDN w:val="0"/>
      <w:adjustRightInd w:val="0"/>
      <w:spacing w:before="360" w:after="360" w:line="240" w:lineRule="auto"/>
      <w:ind w:left="0"/>
      <w:jc w:val="right"/>
      <w:textAlignment w:val="baseline"/>
    </w:pPr>
    <w:rPr>
      <w:rFonts w:ascii="Calibri" w:eastAsia="MS Mincho" w:hAnsi="Calibri" w:cs="Times New Roman"/>
      <w:bCs w:val="0"/>
      <w:sz w:val="40"/>
      <w:szCs w:val="48"/>
      <w:lang w:eastAsia="ja-JP"/>
    </w:rPr>
  </w:style>
  <w:style w:type="character" w:customStyle="1" w:styleId="StyleVerdana105pt">
    <w:name w:val="Style Verdana 10.5 pt"/>
    <w:basedOn w:val="DefaultParagraphFont"/>
    <w:rsid w:val="00E66069"/>
    <w:rPr>
      <w:rFonts w:ascii="Calibri" w:hAnsi="Calibri"/>
      <w:sz w:val="21"/>
    </w:rPr>
  </w:style>
  <w:style w:type="character" w:customStyle="1" w:styleId="StyleVerdana105ptItalic">
    <w:name w:val="Style Verdana 10.5 pt Italic"/>
    <w:basedOn w:val="DefaultParagraphFont"/>
    <w:rsid w:val="00E66069"/>
    <w:rPr>
      <w:rFonts w:ascii="Calibri" w:hAnsi="Calibri"/>
      <w:i/>
      <w:iCs/>
      <w:sz w:val="21"/>
    </w:rPr>
  </w:style>
  <w:style w:type="paragraph" w:customStyle="1" w:styleId="StyleVerdana105ptLeft0cmHanging124cmAfter12">
    <w:name w:val="Style Verdana 10.5 pt Left:  0 cm Hanging:  1.24 cm After:  12 ..."/>
    <w:basedOn w:val="Normal"/>
    <w:rsid w:val="00E66069"/>
    <w:pPr>
      <w:spacing w:line="360" w:lineRule="auto"/>
      <w:ind w:left="705" w:hanging="705"/>
    </w:pPr>
    <w:rPr>
      <w:rFonts w:cs="Times New Roman"/>
      <w:sz w:val="21"/>
      <w:szCs w:val="20"/>
    </w:rPr>
  </w:style>
  <w:style w:type="character" w:styleId="SubtleEmphasis">
    <w:name w:val="Subtle Emphasis"/>
    <w:basedOn w:val="DefaultParagraphFont"/>
    <w:uiPriority w:val="19"/>
    <w:qFormat/>
    <w:rsid w:val="00E66069"/>
    <w:rPr>
      <w:i/>
      <w:iCs/>
      <w:color w:val="808080" w:themeColor="text1" w:themeTint="7F"/>
    </w:rPr>
  </w:style>
  <w:style w:type="paragraph" w:customStyle="1" w:styleId="Tablefignotesleft">
    <w:name w:val="Tablefignotesleft"/>
    <w:basedOn w:val="Normal"/>
    <w:qFormat/>
    <w:rsid w:val="00E66069"/>
    <w:pPr>
      <w:spacing w:after="0"/>
      <w:ind w:left="0"/>
    </w:pPr>
    <w:rPr>
      <w:rFonts w:ascii="Arial Narrow" w:hAnsi="Arial Narrow" w:cs="Arial"/>
      <w:color w:val="auto"/>
      <w:sz w:val="16"/>
      <w:szCs w:val="16"/>
      <w:lang w:eastAsia="en-US"/>
    </w:rPr>
  </w:style>
  <w:style w:type="character" w:customStyle="1" w:styleId="txtbold1">
    <w:name w:val="txtbold1"/>
    <w:basedOn w:val="DefaultParagraphFont"/>
    <w:uiPriority w:val="99"/>
    <w:rsid w:val="00E66069"/>
    <w:rPr>
      <w:rFonts w:ascii="Verdana" w:hAnsi="Verdana" w:hint="default"/>
      <w:b/>
      <w:bCs/>
      <w:sz w:val="17"/>
      <w:szCs w:val="17"/>
    </w:rPr>
  </w:style>
  <w:style w:type="paragraph" w:customStyle="1" w:styleId="Head4Num">
    <w:name w:val="Head4 Num"/>
    <w:basedOn w:val="Heading3"/>
    <w:link w:val="Head4NumChar"/>
    <w:qFormat/>
    <w:rsid w:val="00E66069"/>
    <w:pPr>
      <w:numPr>
        <w:ilvl w:val="3"/>
      </w:numPr>
      <w:ind w:left="1440" w:hanging="720"/>
      <w:outlineLvl w:val="3"/>
    </w:pPr>
    <w:rPr>
      <w:rFonts w:cs="Arial"/>
      <w:lang w:val="en-AU" w:eastAsia="en-AU"/>
    </w:rPr>
  </w:style>
  <w:style w:type="character" w:customStyle="1" w:styleId="Head4NumChar">
    <w:name w:val="Head4 Num Char"/>
    <w:basedOn w:val="Heading3Char"/>
    <w:link w:val="Head4Num"/>
    <w:rsid w:val="00E66069"/>
    <w:rPr>
      <w:rFonts w:ascii="Arial" w:eastAsia="Times New Roman" w:hAnsi="Arial" w:cs="Arial"/>
      <w:b/>
      <w:bCs/>
      <w:color w:val="000000"/>
      <w:sz w:val="22"/>
      <w:szCs w:val="26"/>
    </w:rPr>
  </w:style>
  <w:style w:type="paragraph" w:customStyle="1" w:styleId="PP-bullet">
    <w:name w:val="PP-bullet"/>
    <w:basedOn w:val="listbody"/>
    <w:link w:val="PP-bulletChar"/>
    <w:qFormat/>
    <w:rsid w:val="00E66069"/>
    <w:pPr>
      <w:numPr>
        <w:numId w:val="0"/>
      </w:numPr>
      <w:tabs>
        <w:tab w:val="num" w:pos="340"/>
      </w:tabs>
      <w:spacing w:line="276" w:lineRule="auto"/>
      <w:ind w:left="1247" w:hanging="340"/>
    </w:pPr>
    <w:rPr>
      <w:rFonts w:eastAsia="Calibri" w:cs="Calibri"/>
    </w:rPr>
  </w:style>
  <w:style w:type="character" w:customStyle="1" w:styleId="PP-bulletChar">
    <w:name w:val="PP-bullet Char"/>
    <w:basedOn w:val="listbodyChar"/>
    <w:link w:val="PP-bullet"/>
    <w:rsid w:val="00E66069"/>
    <w:rPr>
      <w:rFonts w:ascii="Calibri" w:eastAsia="Calibri" w:hAnsi="Calibri" w:cs="Calibri"/>
      <w:color w:val="000000"/>
      <w:sz w:val="22"/>
      <w:szCs w:val="22"/>
      <w:lang w:val="en-GB" w:eastAsia="en-GB"/>
    </w:rPr>
  </w:style>
  <w:style w:type="paragraph" w:customStyle="1" w:styleId="BodyText20">
    <w:name w:val="Body Text2"/>
    <w:basedOn w:val="Normal"/>
    <w:rsid w:val="00E66069"/>
    <w:pPr>
      <w:spacing w:line="360" w:lineRule="auto"/>
      <w:ind w:left="0"/>
    </w:pPr>
    <w:rPr>
      <w:rFonts w:ascii="Arial Narrow" w:eastAsia="Arial Unicode MS" w:hAnsi="Arial Narrow" w:cs="Arial"/>
      <w:color w:val="auto"/>
      <w:sz w:val="24"/>
      <w:szCs w:val="24"/>
      <w:lang w:val="en-US" w:eastAsia="ja-JP"/>
    </w:rPr>
  </w:style>
  <w:style w:type="paragraph" w:customStyle="1" w:styleId="PP">
    <w:name w:val="PP"/>
    <w:basedOn w:val="PP-bullets"/>
    <w:qFormat/>
    <w:rsid w:val="00AB4C4F"/>
    <w:pPr>
      <w:numPr>
        <w:numId w:val="0"/>
      </w:numPr>
      <w:tabs>
        <w:tab w:val="clear" w:pos="414"/>
        <w:tab w:val="left" w:pos="0"/>
      </w:tabs>
    </w:pPr>
  </w:style>
  <w:style w:type="table" w:customStyle="1" w:styleId="newstyle1">
    <w:name w:val="new style1"/>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newstyle2">
    <w:name w:val="new style2"/>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newstyle3">
    <w:name w:val="new style3"/>
    <w:basedOn w:val="TableNormal"/>
    <w:next w:val="TableGrid"/>
    <w:uiPriority w:val="59"/>
    <w:rsid w:val="000742CA"/>
    <w:pPr>
      <w:ind w:left="113" w:right="113"/>
    </w:pPr>
    <w:rPr>
      <w:rFonts w:ascii="Calibri" w:eastAsia="Calibri" w:hAnsi="Calibri"/>
      <w:sz w:val="1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paragraph" w:customStyle="1" w:styleId="numbered-paragraph">
    <w:name w:val="numbered-paragraph"/>
    <w:basedOn w:val="Normal"/>
    <w:rsid w:val="000742CA"/>
    <w:pPr>
      <w:spacing w:after="180"/>
      <w:ind w:left="0"/>
    </w:pPr>
    <w:rPr>
      <w:rFonts w:ascii="Times New Roman" w:hAnsi="Times New Roman" w:cs="Times New Roman"/>
      <w:color w:val="auto"/>
      <w:sz w:val="24"/>
      <w:szCs w:val="24"/>
    </w:rPr>
  </w:style>
  <w:style w:type="character" w:customStyle="1" w:styleId="apple-converted-space">
    <w:name w:val="apple-converted-space"/>
    <w:basedOn w:val="DefaultParagraphFont"/>
    <w:rsid w:val="000742CA"/>
  </w:style>
  <w:style w:type="character" w:customStyle="1" w:styleId="highlight">
    <w:name w:val="highlight"/>
    <w:basedOn w:val="DefaultParagraphFont"/>
    <w:rsid w:val="000742CA"/>
  </w:style>
  <w:style w:type="paragraph" w:customStyle="1" w:styleId="Default1">
    <w:name w:val="Default1"/>
    <w:next w:val="Default"/>
    <w:uiPriority w:val="99"/>
    <w:rsid w:val="00F00BFD"/>
    <w:pPr>
      <w:autoSpaceDE w:val="0"/>
      <w:autoSpaceDN w:val="0"/>
      <w:adjustRightInd w:val="0"/>
    </w:pPr>
    <w:rPr>
      <w:rFonts w:ascii="Arial" w:eastAsia="PMingLiU" w:hAnsi="Arial" w:cs="Arial"/>
      <w:color w:val="000000"/>
      <w:sz w:val="24"/>
      <w:szCs w:val="24"/>
    </w:rPr>
  </w:style>
  <w:style w:type="paragraph" w:customStyle="1" w:styleId="Bullet01">
    <w:name w:val="Bullet+01"/>
    <w:basedOn w:val="Normal"/>
    <w:next w:val="Bullet0"/>
    <w:uiPriority w:val="99"/>
    <w:rsid w:val="00F00BFD"/>
    <w:pPr>
      <w:tabs>
        <w:tab w:val="left" w:pos="1080"/>
      </w:tabs>
      <w:spacing w:after="0"/>
      <w:ind w:left="1440" w:hanging="360"/>
    </w:pPr>
    <w:rPr>
      <w:rFonts w:eastAsia="PMingLiU"/>
    </w:rPr>
  </w:style>
  <w:style w:type="table" w:customStyle="1" w:styleId="TableGrid1">
    <w:name w:val="Table Grid1"/>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F00BFD"/>
    <w:rPr>
      <w:rFonts w:ascii="Calibri" w:eastAsia="PMingLiU"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75B8E"/>
  </w:style>
  <w:style w:type="table" w:customStyle="1" w:styleId="TableSimple11">
    <w:name w:val="Table Simple 11"/>
    <w:basedOn w:val="TableNormal"/>
    <w:next w:val="TableSimple1"/>
    <w:rsid w:val="00175B8E"/>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List2">
    <w:name w:val="No List2"/>
    <w:next w:val="NoList"/>
    <w:uiPriority w:val="99"/>
    <w:semiHidden/>
    <w:unhideWhenUsed/>
    <w:rsid w:val="00175B8E"/>
  </w:style>
  <w:style w:type="numbering" w:customStyle="1" w:styleId="NoList12">
    <w:name w:val="No List12"/>
    <w:next w:val="NoList"/>
    <w:uiPriority w:val="99"/>
    <w:semiHidden/>
    <w:unhideWhenUsed/>
    <w:rsid w:val="00175B8E"/>
  </w:style>
  <w:style w:type="table" w:customStyle="1" w:styleId="TableSimple12">
    <w:name w:val="Table Simple 12"/>
    <w:basedOn w:val="TableNormal"/>
    <w:next w:val="TableSimple1"/>
    <w:rsid w:val="00175B8E"/>
    <w:rPr>
      <w:rFonts w:ascii="Arial Narrow" w:hAnsi="Arial Narrow"/>
      <w:sz w:val="18"/>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NormalbeforebulletLeft0cm">
    <w:name w:val="Style Normal (before bullet) + Left:  0 cm"/>
    <w:basedOn w:val="Normalbeforebullet"/>
    <w:rsid w:val="00FF2787"/>
    <w:pPr>
      <w:ind w:left="0"/>
    </w:pPr>
  </w:style>
  <w:style w:type="paragraph" w:customStyle="1" w:styleId="StyleHeading5Heading5nonumLeft0cmFirstline127cm">
    <w:name w:val="Style Heading 5Heading 5 no num + Left:  0 cm First line:  1.27 cm"/>
    <w:basedOn w:val="Heading5"/>
    <w:rsid w:val="00CD1750"/>
    <w:pPr>
      <w:ind w:left="0" w:firstLine="720"/>
    </w:pPr>
    <w:rPr>
      <w:szCs w:val="20"/>
    </w:rPr>
  </w:style>
  <w:style w:type="paragraph" w:customStyle="1" w:styleId="CommentText1">
    <w:name w:val="Comment Text1"/>
    <w:basedOn w:val="Normal"/>
    <w:next w:val="CommentText"/>
    <w:uiPriority w:val="99"/>
    <w:semiHidden/>
    <w:unhideWhenUsed/>
    <w:rsid w:val="00D93C65"/>
    <w:pPr>
      <w:spacing w:after="200"/>
    </w:pPr>
    <w:rPr>
      <w:rFonts w:eastAsiaTheme="minorHAnsi"/>
      <w:sz w:val="20"/>
      <w:szCs w:val="20"/>
    </w:rPr>
  </w:style>
  <w:style w:type="character" w:customStyle="1" w:styleId="CommentTextChar1">
    <w:name w:val="Comment Text Char1"/>
    <w:basedOn w:val="DefaultParagraphFont"/>
    <w:uiPriority w:val="99"/>
    <w:semiHidden/>
    <w:rsid w:val="00D93C65"/>
    <w:rPr>
      <w:rFonts w:ascii="Calibri" w:eastAsia="Times New Roman" w:hAnsi="Calibri" w:cs="Tahoma"/>
      <w:color w:val="000000"/>
      <w:sz w:val="20"/>
      <w:szCs w:val="20"/>
      <w:lang w:val="en-AU" w:eastAsia="en-AU"/>
    </w:rPr>
  </w:style>
  <w:style w:type="paragraph" w:customStyle="1" w:styleId="pp-first">
    <w:name w:val="p p-first"/>
    <w:basedOn w:val="Normal"/>
    <w:uiPriority w:val="99"/>
    <w:rsid w:val="00D93C65"/>
    <w:pPr>
      <w:spacing w:before="100" w:beforeAutospacing="1" w:after="100" w:afterAutospacing="1"/>
    </w:pPr>
  </w:style>
  <w:style w:type="paragraph" w:customStyle="1" w:styleId="pp-last">
    <w:name w:val="p p-last"/>
    <w:basedOn w:val="Normal"/>
    <w:uiPriority w:val="99"/>
    <w:rsid w:val="00D93C65"/>
    <w:pPr>
      <w:spacing w:before="100" w:beforeAutospacing="1" w:after="100" w:afterAutospacing="1"/>
    </w:pPr>
  </w:style>
  <w:style w:type="character" w:customStyle="1" w:styleId="citation">
    <w:name w:val="citation"/>
    <w:basedOn w:val="DefaultParagraphFont"/>
    <w:uiPriority w:val="99"/>
    <w:rsid w:val="00D93C65"/>
    <w:rPr>
      <w:rFonts w:cs="Times New Roman"/>
    </w:rPr>
  </w:style>
  <w:style w:type="character" w:customStyle="1" w:styleId="ref-journal">
    <w:name w:val="ref-journal"/>
    <w:basedOn w:val="DefaultParagraphFont"/>
    <w:uiPriority w:val="99"/>
    <w:rsid w:val="00D93C65"/>
    <w:rPr>
      <w:rFonts w:cs="Times New Roman"/>
    </w:rPr>
  </w:style>
  <w:style w:type="character" w:customStyle="1" w:styleId="ref-vol">
    <w:name w:val="ref-vol"/>
    <w:basedOn w:val="DefaultParagraphFont"/>
    <w:uiPriority w:val="99"/>
    <w:rsid w:val="00D93C65"/>
    <w:rPr>
      <w:rFonts w:cs="Times New Roman"/>
    </w:rPr>
  </w:style>
  <w:style w:type="character" w:customStyle="1" w:styleId="nowraprefpubmed">
    <w:name w:val="nowrap ref pubmed"/>
    <w:basedOn w:val="DefaultParagraphFont"/>
    <w:uiPriority w:val="99"/>
    <w:rsid w:val="00D93C65"/>
    <w:rPr>
      <w:rFonts w:cs="Times New Roman"/>
    </w:rPr>
  </w:style>
  <w:style w:type="character" w:customStyle="1" w:styleId="cit">
    <w:name w:val="cit"/>
    <w:basedOn w:val="DefaultParagraphFont"/>
    <w:uiPriority w:val="99"/>
    <w:rsid w:val="00D93C65"/>
    <w:rPr>
      <w:rFonts w:cs="Times New Roman"/>
    </w:rPr>
  </w:style>
  <w:style w:type="character" w:customStyle="1" w:styleId="doi">
    <w:name w:val="doi"/>
    <w:basedOn w:val="DefaultParagraphFont"/>
    <w:uiPriority w:val="99"/>
    <w:rsid w:val="00D93C65"/>
    <w:rPr>
      <w:rFonts w:cs="Times New Roman"/>
    </w:rPr>
  </w:style>
  <w:style w:type="character" w:customStyle="1" w:styleId="fm-citation-ids-label">
    <w:name w:val="fm-citation-ids-label"/>
    <w:basedOn w:val="DefaultParagraphFont"/>
    <w:uiPriority w:val="99"/>
    <w:rsid w:val="00D93C65"/>
    <w:rPr>
      <w:rFonts w:cs="Times New Roman"/>
    </w:rPr>
  </w:style>
  <w:style w:type="paragraph" w:customStyle="1" w:styleId="para">
    <w:name w:val="para"/>
    <w:basedOn w:val="Normal"/>
    <w:uiPriority w:val="99"/>
    <w:rsid w:val="00D93C65"/>
    <w:pPr>
      <w:spacing w:before="100" w:beforeAutospacing="1" w:after="100" w:afterAutospacing="1"/>
    </w:pPr>
  </w:style>
  <w:style w:type="paragraph" w:customStyle="1" w:styleId="tablecaption0">
    <w:name w:val="tablecaption"/>
    <w:basedOn w:val="Normal"/>
    <w:uiPriority w:val="99"/>
    <w:rsid w:val="00D93C65"/>
    <w:pPr>
      <w:spacing w:before="100" w:beforeAutospacing="1" w:after="100" w:afterAutospacing="1"/>
    </w:pPr>
  </w:style>
  <w:style w:type="paragraph" w:customStyle="1" w:styleId="table-main-body">
    <w:name w:val="table-main-body"/>
    <w:basedOn w:val="Normal"/>
    <w:uiPriority w:val="99"/>
    <w:rsid w:val="00D93C65"/>
    <w:pPr>
      <w:spacing w:before="100" w:beforeAutospacing="1" w:after="100" w:afterAutospacing="1"/>
    </w:pPr>
  </w:style>
  <w:style w:type="paragraph" w:customStyle="1" w:styleId="table-note">
    <w:name w:val="table-note"/>
    <w:basedOn w:val="Normal"/>
    <w:uiPriority w:val="99"/>
    <w:rsid w:val="00D93C65"/>
    <w:pPr>
      <w:spacing w:before="100" w:beforeAutospacing="1" w:after="100" w:afterAutospacing="1"/>
    </w:pPr>
  </w:style>
  <w:style w:type="paragraph" w:customStyle="1" w:styleId="CM24">
    <w:name w:val="CM24"/>
    <w:basedOn w:val="Normal"/>
    <w:next w:val="Normal"/>
    <w:rsid w:val="00D93C65"/>
    <w:pPr>
      <w:autoSpaceDE w:val="0"/>
      <w:autoSpaceDN w:val="0"/>
      <w:adjustRightInd w:val="0"/>
      <w:spacing w:after="0"/>
      <w:ind w:left="0"/>
    </w:pPr>
    <w:rPr>
      <w:rFonts w:ascii="Helvetica" w:hAnsi="Helvetica" w:cs="Times New Roman"/>
      <w:color w:val="auto"/>
      <w:sz w:val="24"/>
      <w:szCs w:val="24"/>
    </w:rPr>
  </w:style>
  <w:style w:type="table" w:customStyle="1" w:styleId="PlainTable41">
    <w:name w:val="Plain Table 41"/>
    <w:basedOn w:val="TableNormal"/>
    <w:uiPriority w:val="44"/>
    <w:rsid w:val="00D93C65"/>
    <w:rPr>
      <w:rFonts w:asciiTheme="minorHAnsi" w:eastAsiaTheme="minorEastAsia" w:hAnsiTheme="minorHAnsi" w:cstheme="minorBidi"/>
      <w:sz w:val="24"/>
      <w:szCs w:val="24"/>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antity-pre2">
    <w:name w:val="quantity-pre2"/>
    <w:basedOn w:val="DefaultParagraphFont"/>
    <w:rsid w:val="00D93C65"/>
  </w:style>
  <w:style w:type="character" w:customStyle="1" w:styleId="tgc">
    <w:name w:val="_tgc"/>
    <w:basedOn w:val="DefaultParagraphFont"/>
    <w:rsid w:val="007077AC"/>
  </w:style>
  <w:style w:type="paragraph" w:customStyle="1" w:styleId="PP-small">
    <w:name w:val="PP-small"/>
    <w:basedOn w:val="PP"/>
    <w:qFormat/>
    <w:rsid w:val="006528DB"/>
    <w:rPr>
      <w:sz w:val="20"/>
    </w:rPr>
  </w:style>
  <w:style w:type="paragraph" w:customStyle="1" w:styleId="PPbullsmall">
    <w:name w:val="PPbullsmall"/>
    <w:basedOn w:val="PT-bullets"/>
    <w:qFormat/>
    <w:rsid w:val="006528D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78795">
      <w:bodyDiv w:val="1"/>
      <w:marLeft w:val="0"/>
      <w:marRight w:val="0"/>
      <w:marTop w:val="0"/>
      <w:marBottom w:val="0"/>
      <w:divBdr>
        <w:top w:val="none" w:sz="0" w:space="0" w:color="auto"/>
        <w:left w:val="none" w:sz="0" w:space="0" w:color="auto"/>
        <w:bottom w:val="none" w:sz="0" w:space="0" w:color="auto"/>
        <w:right w:val="none" w:sz="0" w:space="0" w:color="auto"/>
      </w:divBdr>
    </w:div>
    <w:div w:id="105775223">
      <w:bodyDiv w:val="1"/>
      <w:marLeft w:val="0"/>
      <w:marRight w:val="0"/>
      <w:marTop w:val="0"/>
      <w:marBottom w:val="0"/>
      <w:divBdr>
        <w:top w:val="none" w:sz="0" w:space="0" w:color="auto"/>
        <w:left w:val="none" w:sz="0" w:space="0" w:color="auto"/>
        <w:bottom w:val="none" w:sz="0" w:space="0" w:color="auto"/>
        <w:right w:val="none" w:sz="0" w:space="0" w:color="auto"/>
      </w:divBdr>
    </w:div>
    <w:div w:id="106436013">
      <w:bodyDiv w:val="1"/>
      <w:marLeft w:val="0"/>
      <w:marRight w:val="0"/>
      <w:marTop w:val="0"/>
      <w:marBottom w:val="0"/>
      <w:divBdr>
        <w:top w:val="none" w:sz="0" w:space="0" w:color="auto"/>
        <w:left w:val="none" w:sz="0" w:space="0" w:color="auto"/>
        <w:bottom w:val="none" w:sz="0" w:space="0" w:color="auto"/>
        <w:right w:val="none" w:sz="0" w:space="0" w:color="auto"/>
      </w:divBdr>
    </w:div>
    <w:div w:id="113915117">
      <w:bodyDiv w:val="1"/>
      <w:marLeft w:val="0"/>
      <w:marRight w:val="0"/>
      <w:marTop w:val="0"/>
      <w:marBottom w:val="0"/>
      <w:divBdr>
        <w:top w:val="none" w:sz="0" w:space="0" w:color="auto"/>
        <w:left w:val="none" w:sz="0" w:space="0" w:color="auto"/>
        <w:bottom w:val="none" w:sz="0" w:space="0" w:color="auto"/>
        <w:right w:val="none" w:sz="0" w:space="0" w:color="auto"/>
      </w:divBdr>
    </w:div>
    <w:div w:id="176432394">
      <w:bodyDiv w:val="1"/>
      <w:marLeft w:val="0"/>
      <w:marRight w:val="0"/>
      <w:marTop w:val="0"/>
      <w:marBottom w:val="0"/>
      <w:divBdr>
        <w:top w:val="none" w:sz="0" w:space="0" w:color="auto"/>
        <w:left w:val="none" w:sz="0" w:space="0" w:color="auto"/>
        <w:bottom w:val="none" w:sz="0" w:space="0" w:color="auto"/>
        <w:right w:val="none" w:sz="0" w:space="0" w:color="auto"/>
      </w:divBdr>
    </w:div>
    <w:div w:id="216284051">
      <w:bodyDiv w:val="1"/>
      <w:marLeft w:val="0"/>
      <w:marRight w:val="0"/>
      <w:marTop w:val="0"/>
      <w:marBottom w:val="0"/>
      <w:divBdr>
        <w:top w:val="none" w:sz="0" w:space="0" w:color="auto"/>
        <w:left w:val="none" w:sz="0" w:space="0" w:color="auto"/>
        <w:bottom w:val="none" w:sz="0" w:space="0" w:color="auto"/>
        <w:right w:val="none" w:sz="0" w:space="0" w:color="auto"/>
      </w:divBdr>
    </w:div>
    <w:div w:id="223176304">
      <w:bodyDiv w:val="1"/>
      <w:marLeft w:val="0"/>
      <w:marRight w:val="0"/>
      <w:marTop w:val="0"/>
      <w:marBottom w:val="0"/>
      <w:divBdr>
        <w:top w:val="none" w:sz="0" w:space="0" w:color="auto"/>
        <w:left w:val="none" w:sz="0" w:space="0" w:color="auto"/>
        <w:bottom w:val="none" w:sz="0" w:space="0" w:color="auto"/>
        <w:right w:val="none" w:sz="0" w:space="0" w:color="auto"/>
      </w:divBdr>
    </w:div>
    <w:div w:id="261383524">
      <w:bodyDiv w:val="1"/>
      <w:marLeft w:val="0"/>
      <w:marRight w:val="0"/>
      <w:marTop w:val="0"/>
      <w:marBottom w:val="0"/>
      <w:divBdr>
        <w:top w:val="none" w:sz="0" w:space="0" w:color="auto"/>
        <w:left w:val="none" w:sz="0" w:space="0" w:color="auto"/>
        <w:bottom w:val="none" w:sz="0" w:space="0" w:color="auto"/>
        <w:right w:val="none" w:sz="0" w:space="0" w:color="auto"/>
      </w:divBdr>
    </w:div>
    <w:div w:id="344210046">
      <w:bodyDiv w:val="1"/>
      <w:marLeft w:val="0"/>
      <w:marRight w:val="0"/>
      <w:marTop w:val="0"/>
      <w:marBottom w:val="0"/>
      <w:divBdr>
        <w:top w:val="none" w:sz="0" w:space="0" w:color="auto"/>
        <w:left w:val="none" w:sz="0" w:space="0" w:color="auto"/>
        <w:bottom w:val="none" w:sz="0" w:space="0" w:color="auto"/>
        <w:right w:val="none" w:sz="0" w:space="0" w:color="auto"/>
      </w:divBdr>
    </w:div>
    <w:div w:id="426002300">
      <w:bodyDiv w:val="1"/>
      <w:marLeft w:val="0"/>
      <w:marRight w:val="0"/>
      <w:marTop w:val="0"/>
      <w:marBottom w:val="0"/>
      <w:divBdr>
        <w:top w:val="none" w:sz="0" w:space="0" w:color="auto"/>
        <w:left w:val="none" w:sz="0" w:space="0" w:color="auto"/>
        <w:bottom w:val="none" w:sz="0" w:space="0" w:color="auto"/>
        <w:right w:val="none" w:sz="0" w:space="0" w:color="auto"/>
      </w:divBdr>
    </w:div>
    <w:div w:id="599795408">
      <w:bodyDiv w:val="1"/>
      <w:marLeft w:val="0"/>
      <w:marRight w:val="0"/>
      <w:marTop w:val="0"/>
      <w:marBottom w:val="0"/>
      <w:divBdr>
        <w:top w:val="none" w:sz="0" w:space="0" w:color="auto"/>
        <w:left w:val="none" w:sz="0" w:space="0" w:color="auto"/>
        <w:bottom w:val="none" w:sz="0" w:space="0" w:color="auto"/>
        <w:right w:val="none" w:sz="0" w:space="0" w:color="auto"/>
      </w:divBdr>
    </w:div>
    <w:div w:id="603880580">
      <w:bodyDiv w:val="1"/>
      <w:marLeft w:val="0"/>
      <w:marRight w:val="0"/>
      <w:marTop w:val="0"/>
      <w:marBottom w:val="0"/>
      <w:divBdr>
        <w:top w:val="none" w:sz="0" w:space="0" w:color="auto"/>
        <w:left w:val="none" w:sz="0" w:space="0" w:color="auto"/>
        <w:bottom w:val="none" w:sz="0" w:space="0" w:color="auto"/>
        <w:right w:val="none" w:sz="0" w:space="0" w:color="auto"/>
      </w:divBdr>
    </w:div>
    <w:div w:id="637733818">
      <w:bodyDiv w:val="1"/>
      <w:marLeft w:val="0"/>
      <w:marRight w:val="0"/>
      <w:marTop w:val="0"/>
      <w:marBottom w:val="0"/>
      <w:divBdr>
        <w:top w:val="none" w:sz="0" w:space="0" w:color="auto"/>
        <w:left w:val="none" w:sz="0" w:space="0" w:color="auto"/>
        <w:bottom w:val="none" w:sz="0" w:space="0" w:color="auto"/>
        <w:right w:val="none" w:sz="0" w:space="0" w:color="auto"/>
      </w:divBdr>
      <w:divsChild>
        <w:div w:id="959188166">
          <w:marLeft w:val="0"/>
          <w:marRight w:val="0"/>
          <w:marTop w:val="0"/>
          <w:marBottom w:val="0"/>
          <w:divBdr>
            <w:top w:val="none" w:sz="0" w:space="0" w:color="auto"/>
            <w:left w:val="none" w:sz="0" w:space="0" w:color="auto"/>
            <w:bottom w:val="none" w:sz="0" w:space="0" w:color="auto"/>
            <w:right w:val="none" w:sz="0" w:space="0" w:color="auto"/>
          </w:divBdr>
          <w:divsChild>
            <w:div w:id="42674844">
              <w:marLeft w:val="0"/>
              <w:marRight w:val="0"/>
              <w:marTop w:val="0"/>
              <w:marBottom w:val="0"/>
              <w:divBdr>
                <w:top w:val="none" w:sz="0" w:space="0" w:color="auto"/>
                <w:left w:val="none" w:sz="0" w:space="0" w:color="auto"/>
                <w:bottom w:val="none" w:sz="0" w:space="0" w:color="auto"/>
                <w:right w:val="none" w:sz="0" w:space="0" w:color="auto"/>
              </w:divBdr>
            </w:div>
            <w:div w:id="707412257">
              <w:marLeft w:val="0"/>
              <w:marRight w:val="0"/>
              <w:marTop w:val="0"/>
              <w:marBottom w:val="0"/>
              <w:divBdr>
                <w:top w:val="none" w:sz="0" w:space="0" w:color="auto"/>
                <w:left w:val="none" w:sz="0" w:space="0" w:color="auto"/>
                <w:bottom w:val="none" w:sz="0" w:space="0" w:color="auto"/>
                <w:right w:val="none" w:sz="0" w:space="0" w:color="auto"/>
              </w:divBdr>
            </w:div>
            <w:div w:id="20461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8687">
      <w:bodyDiv w:val="1"/>
      <w:marLeft w:val="0"/>
      <w:marRight w:val="0"/>
      <w:marTop w:val="0"/>
      <w:marBottom w:val="0"/>
      <w:divBdr>
        <w:top w:val="none" w:sz="0" w:space="0" w:color="auto"/>
        <w:left w:val="none" w:sz="0" w:space="0" w:color="auto"/>
        <w:bottom w:val="none" w:sz="0" w:space="0" w:color="auto"/>
        <w:right w:val="none" w:sz="0" w:space="0" w:color="auto"/>
      </w:divBdr>
    </w:div>
    <w:div w:id="773788331">
      <w:bodyDiv w:val="1"/>
      <w:marLeft w:val="0"/>
      <w:marRight w:val="0"/>
      <w:marTop w:val="0"/>
      <w:marBottom w:val="0"/>
      <w:divBdr>
        <w:top w:val="none" w:sz="0" w:space="0" w:color="auto"/>
        <w:left w:val="none" w:sz="0" w:space="0" w:color="auto"/>
        <w:bottom w:val="none" w:sz="0" w:space="0" w:color="auto"/>
        <w:right w:val="none" w:sz="0" w:space="0" w:color="auto"/>
      </w:divBdr>
    </w:div>
    <w:div w:id="803697209">
      <w:bodyDiv w:val="1"/>
      <w:marLeft w:val="0"/>
      <w:marRight w:val="0"/>
      <w:marTop w:val="0"/>
      <w:marBottom w:val="0"/>
      <w:divBdr>
        <w:top w:val="none" w:sz="0" w:space="0" w:color="auto"/>
        <w:left w:val="none" w:sz="0" w:space="0" w:color="auto"/>
        <w:bottom w:val="none" w:sz="0" w:space="0" w:color="auto"/>
        <w:right w:val="none" w:sz="0" w:space="0" w:color="auto"/>
      </w:divBdr>
    </w:div>
    <w:div w:id="838883837">
      <w:bodyDiv w:val="1"/>
      <w:marLeft w:val="0"/>
      <w:marRight w:val="0"/>
      <w:marTop w:val="0"/>
      <w:marBottom w:val="0"/>
      <w:divBdr>
        <w:top w:val="none" w:sz="0" w:space="0" w:color="auto"/>
        <w:left w:val="none" w:sz="0" w:space="0" w:color="auto"/>
        <w:bottom w:val="none" w:sz="0" w:space="0" w:color="auto"/>
        <w:right w:val="none" w:sz="0" w:space="0" w:color="auto"/>
      </w:divBdr>
    </w:div>
    <w:div w:id="846286434">
      <w:bodyDiv w:val="1"/>
      <w:marLeft w:val="0"/>
      <w:marRight w:val="0"/>
      <w:marTop w:val="0"/>
      <w:marBottom w:val="0"/>
      <w:divBdr>
        <w:top w:val="none" w:sz="0" w:space="0" w:color="auto"/>
        <w:left w:val="none" w:sz="0" w:space="0" w:color="auto"/>
        <w:bottom w:val="none" w:sz="0" w:space="0" w:color="auto"/>
        <w:right w:val="none" w:sz="0" w:space="0" w:color="auto"/>
      </w:divBdr>
    </w:div>
    <w:div w:id="918252219">
      <w:bodyDiv w:val="1"/>
      <w:marLeft w:val="0"/>
      <w:marRight w:val="0"/>
      <w:marTop w:val="0"/>
      <w:marBottom w:val="0"/>
      <w:divBdr>
        <w:top w:val="none" w:sz="0" w:space="0" w:color="auto"/>
        <w:left w:val="none" w:sz="0" w:space="0" w:color="auto"/>
        <w:bottom w:val="none" w:sz="0" w:space="0" w:color="auto"/>
        <w:right w:val="none" w:sz="0" w:space="0" w:color="auto"/>
      </w:divBdr>
    </w:div>
    <w:div w:id="949166666">
      <w:bodyDiv w:val="1"/>
      <w:marLeft w:val="0"/>
      <w:marRight w:val="0"/>
      <w:marTop w:val="0"/>
      <w:marBottom w:val="0"/>
      <w:divBdr>
        <w:top w:val="none" w:sz="0" w:space="0" w:color="auto"/>
        <w:left w:val="none" w:sz="0" w:space="0" w:color="auto"/>
        <w:bottom w:val="none" w:sz="0" w:space="0" w:color="auto"/>
        <w:right w:val="none" w:sz="0" w:space="0" w:color="auto"/>
      </w:divBdr>
    </w:div>
    <w:div w:id="950212045">
      <w:bodyDiv w:val="1"/>
      <w:marLeft w:val="0"/>
      <w:marRight w:val="0"/>
      <w:marTop w:val="0"/>
      <w:marBottom w:val="0"/>
      <w:divBdr>
        <w:top w:val="none" w:sz="0" w:space="0" w:color="auto"/>
        <w:left w:val="none" w:sz="0" w:space="0" w:color="auto"/>
        <w:bottom w:val="none" w:sz="0" w:space="0" w:color="auto"/>
        <w:right w:val="none" w:sz="0" w:space="0" w:color="auto"/>
      </w:divBdr>
    </w:div>
    <w:div w:id="1002244140">
      <w:bodyDiv w:val="1"/>
      <w:marLeft w:val="0"/>
      <w:marRight w:val="0"/>
      <w:marTop w:val="0"/>
      <w:marBottom w:val="0"/>
      <w:divBdr>
        <w:top w:val="none" w:sz="0" w:space="0" w:color="auto"/>
        <w:left w:val="none" w:sz="0" w:space="0" w:color="auto"/>
        <w:bottom w:val="none" w:sz="0" w:space="0" w:color="auto"/>
        <w:right w:val="none" w:sz="0" w:space="0" w:color="auto"/>
      </w:divBdr>
    </w:div>
    <w:div w:id="1008563982">
      <w:bodyDiv w:val="1"/>
      <w:marLeft w:val="0"/>
      <w:marRight w:val="0"/>
      <w:marTop w:val="0"/>
      <w:marBottom w:val="0"/>
      <w:divBdr>
        <w:top w:val="none" w:sz="0" w:space="0" w:color="auto"/>
        <w:left w:val="none" w:sz="0" w:space="0" w:color="auto"/>
        <w:bottom w:val="none" w:sz="0" w:space="0" w:color="auto"/>
        <w:right w:val="none" w:sz="0" w:space="0" w:color="auto"/>
      </w:divBdr>
    </w:div>
    <w:div w:id="1014383786">
      <w:bodyDiv w:val="1"/>
      <w:marLeft w:val="0"/>
      <w:marRight w:val="0"/>
      <w:marTop w:val="0"/>
      <w:marBottom w:val="0"/>
      <w:divBdr>
        <w:top w:val="none" w:sz="0" w:space="0" w:color="auto"/>
        <w:left w:val="none" w:sz="0" w:space="0" w:color="auto"/>
        <w:bottom w:val="none" w:sz="0" w:space="0" w:color="auto"/>
        <w:right w:val="none" w:sz="0" w:space="0" w:color="auto"/>
      </w:divBdr>
    </w:div>
    <w:div w:id="1068769921">
      <w:bodyDiv w:val="1"/>
      <w:marLeft w:val="0"/>
      <w:marRight w:val="0"/>
      <w:marTop w:val="0"/>
      <w:marBottom w:val="0"/>
      <w:divBdr>
        <w:top w:val="none" w:sz="0" w:space="0" w:color="auto"/>
        <w:left w:val="none" w:sz="0" w:space="0" w:color="auto"/>
        <w:bottom w:val="none" w:sz="0" w:space="0" w:color="auto"/>
        <w:right w:val="none" w:sz="0" w:space="0" w:color="auto"/>
      </w:divBdr>
    </w:div>
    <w:div w:id="1143961208">
      <w:bodyDiv w:val="1"/>
      <w:marLeft w:val="0"/>
      <w:marRight w:val="0"/>
      <w:marTop w:val="0"/>
      <w:marBottom w:val="0"/>
      <w:divBdr>
        <w:top w:val="none" w:sz="0" w:space="0" w:color="auto"/>
        <w:left w:val="none" w:sz="0" w:space="0" w:color="auto"/>
        <w:bottom w:val="none" w:sz="0" w:space="0" w:color="auto"/>
        <w:right w:val="none" w:sz="0" w:space="0" w:color="auto"/>
      </w:divBdr>
    </w:div>
    <w:div w:id="1191606524">
      <w:bodyDiv w:val="1"/>
      <w:marLeft w:val="0"/>
      <w:marRight w:val="0"/>
      <w:marTop w:val="0"/>
      <w:marBottom w:val="0"/>
      <w:divBdr>
        <w:top w:val="none" w:sz="0" w:space="0" w:color="auto"/>
        <w:left w:val="none" w:sz="0" w:space="0" w:color="auto"/>
        <w:bottom w:val="none" w:sz="0" w:space="0" w:color="auto"/>
        <w:right w:val="none" w:sz="0" w:space="0" w:color="auto"/>
      </w:divBdr>
    </w:div>
    <w:div w:id="1249079043">
      <w:bodyDiv w:val="1"/>
      <w:marLeft w:val="0"/>
      <w:marRight w:val="0"/>
      <w:marTop w:val="0"/>
      <w:marBottom w:val="0"/>
      <w:divBdr>
        <w:top w:val="none" w:sz="0" w:space="0" w:color="auto"/>
        <w:left w:val="none" w:sz="0" w:space="0" w:color="auto"/>
        <w:bottom w:val="none" w:sz="0" w:space="0" w:color="auto"/>
        <w:right w:val="none" w:sz="0" w:space="0" w:color="auto"/>
      </w:divBdr>
    </w:div>
    <w:div w:id="1256476080">
      <w:bodyDiv w:val="1"/>
      <w:marLeft w:val="0"/>
      <w:marRight w:val="0"/>
      <w:marTop w:val="0"/>
      <w:marBottom w:val="0"/>
      <w:divBdr>
        <w:top w:val="none" w:sz="0" w:space="0" w:color="auto"/>
        <w:left w:val="none" w:sz="0" w:space="0" w:color="auto"/>
        <w:bottom w:val="none" w:sz="0" w:space="0" w:color="auto"/>
        <w:right w:val="none" w:sz="0" w:space="0" w:color="auto"/>
      </w:divBdr>
    </w:div>
    <w:div w:id="1327317755">
      <w:bodyDiv w:val="1"/>
      <w:marLeft w:val="0"/>
      <w:marRight w:val="0"/>
      <w:marTop w:val="0"/>
      <w:marBottom w:val="0"/>
      <w:divBdr>
        <w:top w:val="none" w:sz="0" w:space="0" w:color="auto"/>
        <w:left w:val="none" w:sz="0" w:space="0" w:color="auto"/>
        <w:bottom w:val="none" w:sz="0" w:space="0" w:color="auto"/>
        <w:right w:val="none" w:sz="0" w:space="0" w:color="auto"/>
      </w:divBdr>
      <w:divsChild>
        <w:div w:id="262539660">
          <w:marLeft w:val="0"/>
          <w:marRight w:val="0"/>
          <w:marTop w:val="0"/>
          <w:marBottom w:val="0"/>
          <w:divBdr>
            <w:top w:val="none" w:sz="0" w:space="0" w:color="auto"/>
            <w:left w:val="none" w:sz="0" w:space="0" w:color="auto"/>
            <w:bottom w:val="none" w:sz="0" w:space="0" w:color="auto"/>
            <w:right w:val="none" w:sz="0" w:space="0" w:color="auto"/>
          </w:divBdr>
          <w:divsChild>
            <w:div w:id="1212617526">
              <w:marLeft w:val="0"/>
              <w:marRight w:val="0"/>
              <w:marTop w:val="0"/>
              <w:marBottom w:val="0"/>
              <w:divBdr>
                <w:top w:val="none" w:sz="0" w:space="0" w:color="auto"/>
                <w:left w:val="none" w:sz="0" w:space="0" w:color="auto"/>
                <w:bottom w:val="none" w:sz="0" w:space="0" w:color="auto"/>
                <w:right w:val="none" w:sz="0" w:space="0" w:color="auto"/>
              </w:divBdr>
              <w:divsChild>
                <w:div w:id="7451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7676">
      <w:bodyDiv w:val="1"/>
      <w:marLeft w:val="0"/>
      <w:marRight w:val="0"/>
      <w:marTop w:val="0"/>
      <w:marBottom w:val="0"/>
      <w:divBdr>
        <w:top w:val="none" w:sz="0" w:space="0" w:color="auto"/>
        <w:left w:val="none" w:sz="0" w:space="0" w:color="auto"/>
        <w:bottom w:val="none" w:sz="0" w:space="0" w:color="auto"/>
        <w:right w:val="none" w:sz="0" w:space="0" w:color="auto"/>
      </w:divBdr>
    </w:div>
    <w:div w:id="1347563776">
      <w:bodyDiv w:val="1"/>
      <w:marLeft w:val="0"/>
      <w:marRight w:val="0"/>
      <w:marTop w:val="0"/>
      <w:marBottom w:val="0"/>
      <w:divBdr>
        <w:top w:val="none" w:sz="0" w:space="0" w:color="auto"/>
        <w:left w:val="none" w:sz="0" w:space="0" w:color="auto"/>
        <w:bottom w:val="none" w:sz="0" w:space="0" w:color="auto"/>
        <w:right w:val="none" w:sz="0" w:space="0" w:color="auto"/>
      </w:divBdr>
    </w:div>
    <w:div w:id="1384020747">
      <w:bodyDiv w:val="1"/>
      <w:marLeft w:val="0"/>
      <w:marRight w:val="0"/>
      <w:marTop w:val="0"/>
      <w:marBottom w:val="0"/>
      <w:divBdr>
        <w:top w:val="none" w:sz="0" w:space="0" w:color="auto"/>
        <w:left w:val="none" w:sz="0" w:space="0" w:color="auto"/>
        <w:bottom w:val="none" w:sz="0" w:space="0" w:color="auto"/>
        <w:right w:val="none" w:sz="0" w:space="0" w:color="auto"/>
      </w:divBdr>
    </w:div>
    <w:div w:id="1409114057">
      <w:bodyDiv w:val="1"/>
      <w:marLeft w:val="0"/>
      <w:marRight w:val="0"/>
      <w:marTop w:val="0"/>
      <w:marBottom w:val="0"/>
      <w:divBdr>
        <w:top w:val="none" w:sz="0" w:space="0" w:color="auto"/>
        <w:left w:val="none" w:sz="0" w:space="0" w:color="auto"/>
        <w:bottom w:val="none" w:sz="0" w:space="0" w:color="auto"/>
        <w:right w:val="none" w:sz="0" w:space="0" w:color="auto"/>
      </w:divBdr>
    </w:div>
    <w:div w:id="1414548012">
      <w:bodyDiv w:val="1"/>
      <w:marLeft w:val="0"/>
      <w:marRight w:val="0"/>
      <w:marTop w:val="0"/>
      <w:marBottom w:val="0"/>
      <w:divBdr>
        <w:top w:val="none" w:sz="0" w:space="0" w:color="auto"/>
        <w:left w:val="none" w:sz="0" w:space="0" w:color="auto"/>
        <w:bottom w:val="none" w:sz="0" w:space="0" w:color="auto"/>
        <w:right w:val="none" w:sz="0" w:space="0" w:color="auto"/>
      </w:divBdr>
    </w:div>
    <w:div w:id="1433280912">
      <w:bodyDiv w:val="1"/>
      <w:marLeft w:val="0"/>
      <w:marRight w:val="0"/>
      <w:marTop w:val="0"/>
      <w:marBottom w:val="0"/>
      <w:divBdr>
        <w:top w:val="none" w:sz="0" w:space="0" w:color="auto"/>
        <w:left w:val="none" w:sz="0" w:space="0" w:color="auto"/>
        <w:bottom w:val="none" w:sz="0" w:space="0" w:color="auto"/>
        <w:right w:val="none" w:sz="0" w:space="0" w:color="auto"/>
      </w:divBdr>
    </w:div>
    <w:div w:id="1477643279">
      <w:bodyDiv w:val="1"/>
      <w:marLeft w:val="0"/>
      <w:marRight w:val="0"/>
      <w:marTop w:val="0"/>
      <w:marBottom w:val="0"/>
      <w:divBdr>
        <w:top w:val="none" w:sz="0" w:space="0" w:color="auto"/>
        <w:left w:val="none" w:sz="0" w:space="0" w:color="auto"/>
        <w:bottom w:val="none" w:sz="0" w:space="0" w:color="auto"/>
        <w:right w:val="none" w:sz="0" w:space="0" w:color="auto"/>
      </w:divBdr>
    </w:div>
    <w:div w:id="1506823612">
      <w:bodyDiv w:val="1"/>
      <w:marLeft w:val="0"/>
      <w:marRight w:val="0"/>
      <w:marTop w:val="0"/>
      <w:marBottom w:val="0"/>
      <w:divBdr>
        <w:top w:val="none" w:sz="0" w:space="0" w:color="auto"/>
        <w:left w:val="none" w:sz="0" w:space="0" w:color="auto"/>
        <w:bottom w:val="none" w:sz="0" w:space="0" w:color="auto"/>
        <w:right w:val="none" w:sz="0" w:space="0" w:color="auto"/>
      </w:divBdr>
    </w:div>
    <w:div w:id="1547255826">
      <w:bodyDiv w:val="1"/>
      <w:marLeft w:val="0"/>
      <w:marRight w:val="0"/>
      <w:marTop w:val="0"/>
      <w:marBottom w:val="0"/>
      <w:divBdr>
        <w:top w:val="none" w:sz="0" w:space="0" w:color="auto"/>
        <w:left w:val="none" w:sz="0" w:space="0" w:color="auto"/>
        <w:bottom w:val="none" w:sz="0" w:space="0" w:color="auto"/>
        <w:right w:val="none" w:sz="0" w:space="0" w:color="auto"/>
      </w:divBdr>
    </w:div>
    <w:div w:id="1554580762">
      <w:bodyDiv w:val="1"/>
      <w:marLeft w:val="0"/>
      <w:marRight w:val="0"/>
      <w:marTop w:val="0"/>
      <w:marBottom w:val="0"/>
      <w:divBdr>
        <w:top w:val="none" w:sz="0" w:space="0" w:color="auto"/>
        <w:left w:val="none" w:sz="0" w:space="0" w:color="auto"/>
        <w:bottom w:val="none" w:sz="0" w:space="0" w:color="auto"/>
        <w:right w:val="none" w:sz="0" w:space="0" w:color="auto"/>
      </w:divBdr>
    </w:div>
    <w:div w:id="1625503804">
      <w:bodyDiv w:val="1"/>
      <w:marLeft w:val="0"/>
      <w:marRight w:val="0"/>
      <w:marTop w:val="0"/>
      <w:marBottom w:val="0"/>
      <w:divBdr>
        <w:top w:val="none" w:sz="0" w:space="0" w:color="auto"/>
        <w:left w:val="none" w:sz="0" w:space="0" w:color="auto"/>
        <w:bottom w:val="none" w:sz="0" w:space="0" w:color="auto"/>
        <w:right w:val="none" w:sz="0" w:space="0" w:color="auto"/>
      </w:divBdr>
    </w:div>
    <w:div w:id="1630042995">
      <w:bodyDiv w:val="1"/>
      <w:marLeft w:val="0"/>
      <w:marRight w:val="0"/>
      <w:marTop w:val="0"/>
      <w:marBottom w:val="0"/>
      <w:divBdr>
        <w:top w:val="none" w:sz="0" w:space="0" w:color="auto"/>
        <w:left w:val="none" w:sz="0" w:space="0" w:color="auto"/>
        <w:bottom w:val="none" w:sz="0" w:space="0" w:color="auto"/>
        <w:right w:val="none" w:sz="0" w:space="0" w:color="auto"/>
      </w:divBdr>
    </w:div>
    <w:div w:id="1658922468">
      <w:bodyDiv w:val="1"/>
      <w:marLeft w:val="0"/>
      <w:marRight w:val="0"/>
      <w:marTop w:val="0"/>
      <w:marBottom w:val="0"/>
      <w:divBdr>
        <w:top w:val="none" w:sz="0" w:space="0" w:color="auto"/>
        <w:left w:val="none" w:sz="0" w:space="0" w:color="auto"/>
        <w:bottom w:val="none" w:sz="0" w:space="0" w:color="auto"/>
        <w:right w:val="none" w:sz="0" w:space="0" w:color="auto"/>
      </w:divBdr>
    </w:div>
    <w:div w:id="1733694381">
      <w:bodyDiv w:val="1"/>
      <w:marLeft w:val="0"/>
      <w:marRight w:val="0"/>
      <w:marTop w:val="0"/>
      <w:marBottom w:val="0"/>
      <w:divBdr>
        <w:top w:val="none" w:sz="0" w:space="0" w:color="auto"/>
        <w:left w:val="none" w:sz="0" w:space="0" w:color="auto"/>
        <w:bottom w:val="none" w:sz="0" w:space="0" w:color="auto"/>
        <w:right w:val="none" w:sz="0" w:space="0" w:color="auto"/>
      </w:divBdr>
    </w:div>
    <w:div w:id="1803887777">
      <w:bodyDiv w:val="1"/>
      <w:marLeft w:val="0"/>
      <w:marRight w:val="0"/>
      <w:marTop w:val="0"/>
      <w:marBottom w:val="0"/>
      <w:divBdr>
        <w:top w:val="none" w:sz="0" w:space="0" w:color="auto"/>
        <w:left w:val="none" w:sz="0" w:space="0" w:color="auto"/>
        <w:bottom w:val="none" w:sz="0" w:space="0" w:color="auto"/>
        <w:right w:val="none" w:sz="0" w:space="0" w:color="auto"/>
      </w:divBdr>
    </w:div>
    <w:div w:id="1827355103">
      <w:bodyDiv w:val="1"/>
      <w:marLeft w:val="0"/>
      <w:marRight w:val="0"/>
      <w:marTop w:val="0"/>
      <w:marBottom w:val="0"/>
      <w:divBdr>
        <w:top w:val="none" w:sz="0" w:space="0" w:color="auto"/>
        <w:left w:val="none" w:sz="0" w:space="0" w:color="auto"/>
        <w:bottom w:val="none" w:sz="0" w:space="0" w:color="auto"/>
        <w:right w:val="none" w:sz="0" w:space="0" w:color="auto"/>
      </w:divBdr>
    </w:div>
    <w:div w:id="1833447348">
      <w:bodyDiv w:val="1"/>
      <w:marLeft w:val="0"/>
      <w:marRight w:val="0"/>
      <w:marTop w:val="0"/>
      <w:marBottom w:val="0"/>
      <w:divBdr>
        <w:top w:val="none" w:sz="0" w:space="0" w:color="auto"/>
        <w:left w:val="none" w:sz="0" w:space="0" w:color="auto"/>
        <w:bottom w:val="none" w:sz="0" w:space="0" w:color="auto"/>
        <w:right w:val="none" w:sz="0" w:space="0" w:color="auto"/>
      </w:divBdr>
    </w:div>
    <w:div w:id="1914045466">
      <w:bodyDiv w:val="1"/>
      <w:marLeft w:val="0"/>
      <w:marRight w:val="0"/>
      <w:marTop w:val="0"/>
      <w:marBottom w:val="0"/>
      <w:divBdr>
        <w:top w:val="none" w:sz="0" w:space="0" w:color="auto"/>
        <w:left w:val="none" w:sz="0" w:space="0" w:color="auto"/>
        <w:bottom w:val="none" w:sz="0" w:space="0" w:color="auto"/>
        <w:right w:val="none" w:sz="0" w:space="0" w:color="auto"/>
      </w:divBdr>
    </w:div>
    <w:div w:id="1941180898">
      <w:bodyDiv w:val="1"/>
      <w:marLeft w:val="0"/>
      <w:marRight w:val="0"/>
      <w:marTop w:val="0"/>
      <w:marBottom w:val="0"/>
      <w:divBdr>
        <w:top w:val="none" w:sz="0" w:space="0" w:color="auto"/>
        <w:left w:val="none" w:sz="0" w:space="0" w:color="auto"/>
        <w:bottom w:val="none" w:sz="0" w:space="0" w:color="auto"/>
        <w:right w:val="none" w:sz="0" w:space="0" w:color="auto"/>
      </w:divBdr>
    </w:div>
    <w:div w:id="1949314605">
      <w:bodyDiv w:val="1"/>
      <w:marLeft w:val="0"/>
      <w:marRight w:val="0"/>
      <w:marTop w:val="0"/>
      <w:marBottom w:val="0"/>
      <w:divBdr>
        <w:top w:val="none" w:sz="0" w:space="0" w:color="auto"/>
        <w:left w:val="none" w:sz="0" w:space="0" w:color="auto"/>
        <w:bottom w:val="none" w:sz="0" w:space="0" w:color="auto"/>
        <w:right w:val="none" w:sz="0" w:space="0" w:color="auto"/>
      </w:divBdr>
    </w:div>
    <w:div w:id="2009091120">
      <w:bodyDiv w:val="1"/>
      <w:marLeft w:val="0"/>
      <w:marRight w:val="0"/>
      <w:marTop w:val="0"/>
      <w:marBottom w:val="0"/>
      <w:divBdr>
        <w:top w:val="none" w:sz="0" w:space="0" w:color="auto"/>
        <w:left w:val="none" w:sz="0" w:space="0" w:color="auto"/>
        <w:bottom w:val="none" w:sz="0" w:space="0" w:color="auto"/>
        <w:right w:val="none" w:sz="0" w:space="0" w:color="auto"/>
      </w:divBdr>
    </w:div>
    <w:div w:id="2018994699">
      <w:bodyDiv w:val="1"/>
      <w:marLeft w:val="0"/>
      <w:marRight w:val="0"/>
      <w:marTop w:val="0"/>
      <w:marBottom w:val="0"/>
      <w:divBdr>
        <w:top w:val="none" w:sz="0" w:space="0" w:color="auto"/>
        <w:left w:val="none" w:sz="0" w:space="0" w:color="auto"/>
        <w:bottom w:val="none" w:sz="0" w:space="0" w:color="auto"/>
        <w:right w:val="none" w:sz="0" w:space="0" w:color="auto"/>
      </w:divBdr>
    </w:div>
    <w:div w:id="2049837552">
      <w:bodyDiv w:val="1"/>
      <w:marLeft w:val="0"/>
      <w:marRight w:val="0"/>
      <w:marTop w:val="0"/>
      <w:marBottom w:val="0"/>
      <w:divBdr>
        <w:top w:val="none" w:sz="0" w:space="0" w:color="auto"/>
        <w:left w:val="none" w:sz="0" w:space="0" w:color="auto"/>
        <w:bottom w:val="none" w:sz="0" w:space="0" w:color="auto"/>
        <w:right w:val="none" w:sz="0" w:space="0" w:color="auto"/>
      </w:divBdr>
      <w:divsChild>
        <w:div w:id="672073111">
          <w:marLeft w:val="0"/>
          <w:marRight w:val="0"/>
          <w:marTop w:val="0"/>
          <w:marBottom w:val="0"/>
          <w:divBdr>
            <w:top w:val="none" w:sz="0" w:space="0" w:color="auto"/>
            <w:left w:val="none" w:sz="0" w:space="0" w:color="auto"/>
            <w:bottom w:val="none" w:sz="0" w:space="0" w:color="auto"/>
            <w:right w:val="none" w:sz="0" w:space="0" w:color="auto"/>
          </w:divBdr>
          <w:divsChild>
            <w:div w:id="1352148532">
              <w:marLeft w:val="0"/>
              <w:marRight w:val="0"/>
              <w:marTop w:val="0"/>
              <w:marBottom w:val="0"/>
              <w:divBdr>
                <w:top w:val="none" w:sz="0" w:space="0" w:color="auto"/>
                <w:left w:val="none" w:sz="0" w:space="0" w:color="auto"/>
                <w:bottom w:val="none" w:sz="0" w:space="0" w:color="auto"/>
                <w:right w:val="none" w:sz="0" w:space="0" w:color="auto"/>
              </w:divBdr>
              <w:divsChild>
                <w:div w:id="52704545">
                  <w:marLeft w:val="0"/>
                  <w:marRight w:val="0"/>
                  <w:marTop w:val="0"/>
                  <w:marBottom w:val="0"/>
                  <w:divBdr>
                    <w:top w:val="none" w:sz="0" w:space="0" w:color="auto"/>
                    <w:left w:val="none" w:sz="0" w:space="0" w:color="auto"/>
                    <w:bottom w:val="none" w:sz="0" w:space="0" w:color="auto"/>
                    <w:right w:val="none" w:sz="0" w:space="0" w:color="auto"/>
                  </w:divBdr>
                  <w:divsChild>
                    <w:div w:id="585044189">
                      <w:marLeft w:val="0"/>
                      <w:marRight w:val="0"/>
                      <w:marTop w:val="0"/>
                      <w:marBottom w:val="0"/>
                      <w:divBdr>
                        <w:top w:val="none" w:sz="0" w:space="0" w:color="auto"/>
                        <w:left w:val="none" w:sz="0" w:space="0" w:color="auto"/>
                        <w:bottom w:val="none" w:sz="0" w:space="0" w:color="auto"/>
                        <w:right w:val="none" w:sz="0" w:space="0" w:color="auto"/>
                      </w:divBdr>
                      <w:divsChild>
                        <w:div w:id="1462075245">
                          <w:marLeft w:val="0"/>
                          <w:marRight w:val="0"/>
                          <w:marTop w:val="0"/>
                          <w:marBottom w:val="0"/>
                          <w:divBdr>
                            <w:top w:val="none" w:sz="0" w:space="0" w:color="auto"/>
                            <w:left w:val="none" w:sz="0" w:space="0" w:color="auto"/>
                            <w:bottom w:val="none" w:sz="0" w:space="0" w:color="auto"/>
                            <w:right w:val="none" w:sz="0" w:space="0" w:color="auto"/>
                          </w:divBdr>
                          <w:divsChild>
                            <w:div w:id="1274091580">
                              <w:marLeft w:val="0"/>
                              <w:marRight w:val="0"/>
                              <w:marTop w:val="0"/>
                              <w:marBottom w:val="0"/>
                              <w:divBdr>
                                <w:top w:val="none" w:sz="0" w:space="0" w:color="auto"/>
                                <w:left w:val="none" w:sz="0" w:space="0" w:color="auto"/>
                                <w:bottom w:val="none" w:sz="0" w:space="0" w:color="auto"/>
                                <w:right w:val="none" w:sz="0" w:space="0" w:color="auto"/>
                              </w:divBdr>
                              <w:divsChild>
                                <w:div w:id="1201281671">
                                  <w:marLeft w:val="0"/>
                                  <w:marRight w:val="0"/>
                                  <w:marTop w:val="0"/>
                                  <w:marBottom w:val="0"/>
                                  <w:divBdr>
                                    <w:top w:val="none" w:sz="0" w:space="0" w:color="auto"/>
                                    <w:left w:val="none" w:sz="0" w:space="0" w:color="auto"/>
                                    <w:bottom w:val="none" w:sz="0" w:space="0" w:color="auto"/>
                                    <w:right w:val="none" w:sz="0" w:space="0" w:color="auto"/>
                                  </w:divBdr>
                                  <w:divsChild>
                                    <w:div w:id="1063259385">
                                      <w:marLeft w:val="0"/>
                                      <w:marRight w:val="0"/>
                                      <w:marTop w:val="0"/>
                                      <w:marBottom w:val="0"/>
                                      <w:divBdr>
                                        <w:top w:val="none" w:sz="0" w:space="0" w:color="auto"/>
                                        <w:left w:val="none" w:sz="0" w:space="0" w:color="auto"/>
                                        <w:bottom w:val="none" w:sz="0" w:space="0" w:color="auto"/>
                                        <w:right w:val="none" w:sz="0" w:space="0" w:color="auto"/>
                                      </w:divBdr>
                                      <w:divsChild>
                                        <w:div w:id="24646172">
                                          <w:marLeft w:val="0"/>
                                          <w:marRight w:val="-14400"/>
                                          <w:marTop w:val="0"/>
                                          <w:marBottom w:val="0"/>
                                          <w:divBdr>
                                            <w:top w:val="none" w:sz="0" w:space="0" w:color="auto"/>
                                            <w:left w:val="none" w:sz="0" w:space="0" w:color="auto"/>
                                            <w:bottom w:val="none" w:sz="0" w:space="0" w:color="auto"/>
                                            <w:right w:val="none" w:sz="0" w:space="0" w:color="auto"/>
                                          </w:divBdr>
                                          <w:divsChild>
                                            <w:div w:id="1377512531">
                                              <w:marLeft w:val="0"/>
                                              <w:marRight w:val="0"/>
                                              <w:marTop w:val="0"/>
                                              <w:marBottom w:val="0"/>
                                              <w:divBdr>
                                                <w:top w:val="none" w:sz="0" w:space="0" w:color="auto"/>
                                                <w:left w:val="none" w:sz="0" w:space="0" w:color="auto"/>
                                                <w:bottom w:val="none" w:sz="0" w:space="0" w:color="auto"/>
                                                <w:right w:val="none" w:sz="0" w:space="0" w:color="auto"/>
                                              </w:divBdr>
                                              <w:divsChild>
                                                <w:div w:id="955596166">
                                                  <w:marLeft w:val="0"/>
                                                  <w:marRight w:val="0"/>
                                                  <w:marTop w:val="0"/>
                                                  <w:marBottom w:val="0"/>
                                                  <w:divBdr>
                                                    <w:top w:val="none" w:sz="0" w:space="0" w:color="auto"/>
                                                    <w:left w:val="none" w:sz="0" w:space="0" w:color="auto"/>
                                                    <w:bottom w:val="none" w:sz="0" w:space="0" w:color="auto"/>
                                                    <w:right w:val="none" w:sz="0" w:space="0" w:color="auto"/>
                                                  </w:divBdr>
                                                  <w:divsChild>
                                                    <w:div w:id="1744522630">
                                                      <w:marLeft w:val="0"/>
                                                      <w:marRight w:val="0"/>
                                                      <w:marTop w:val="0"/>
                                                      <w:marBottom w:val="360"/>
                                                      <w:divBdr>
                                                        <w:top w:val="none" w:sz="0" w:space="0" w:color="auto"/>
                                                        <w:left w:val="none" w:sz="0" w:space="0" w:color="auto"/>
                                                        <w:bottom w:val="none" w:sz="0" w:space="0" w:color="auto"/>
                                                        <w:right w:val="none" w:sz="0" w:space="0" w:color="auto"/>
                                                      </w:divBdr>
                                                      <w:divsChild>
                                                        <w:div w:id="378944058">
                                                          <w:marLeft w:val="0"/>
                                                          <w:marRight w:val="0"/>
                                                          <w:marTop w:val="0"/>
                                                          <w:marBottom w:val="0"/>
                                                          <w:divBdr>
                                                            <w:top w:val="none" w:sz="0" w:space="0" w:color="auto"/>
                                                            <w:left w:val="none" w:sz="0" w:space="0" w:color="auto"/>
                                                            <w:bottom w:val="none" w:sz="0" w:space="0" w:color="auto"/>
                                                            <w:right w:val="none" w:sz="0" w:space="0" w:color="auto"/>
                                                          </w:divBdr>
                                                          <w:divsChild>
                                                            <w:div w:id="462619125">
                                                              <w:marLeft w:val="0"/>
                                                              <w:marRight w:val="0"/>
                                                              <w:marTop w:val="0"/>
                                                              <w:marBottom w:val="0"/>
                                                              <w:divBdr>
                                                                <w:top w:val="none" w:sz="0" w:space="0" w:color="auto"/>
                                                                <w:left w:val="none" w:sz="0" w:space="0" w:color="auto"/>
                                                                <w:bottom w:val="none" w:sz="0" w:space="0" w:color="auto"/>
                                                                <w:right w:val="none" w:sz="0" w:space="0" w:color="auto"/>
                                                              </w:divBdr>
                                                              <w:divsChild>
                                                                <w:div w:id="1929195187">
                                                                  <w:marLeft w:val="0"/>
                                                                  <w:marRight w:val="0"/>
                                                                  <w:marTop w:val="0"/>
                                                                  <w:marBottom w:val="0"/>
                                                                  <w:divBdr>
                                                                    <w:top w:val="none" w:sz="0" w:space="0" w:color="auto"/>
                                                                    <w:left w:val="none" w:sz="0" w:space="0" w:color="auto"/>
                                                                    <w:bottom w:val="none" w:sz="0" w:space="0" w:color="auto"/>
                                                                    <w:right w:val="none" w:sz="0" w:space="0" w:color="auto"/>
                                                                  </w:divBdr>
                                                                  <w:divsChild>
                                                                    <w:div w:id="102069366">
                                                                      <w:marLeft w:val="0"/>
                                                                      <w:marRight w:val="0"/>
                                                                      <w:marTop w:val="0"/>
                                                                      <w:marBottom w:val="180"/>
                                                                      <w:divBdr>
                                                                        <w:top w:val="none" w:sz="0" w:space="0" w:color="auto"/>
                                                                        <w:left w:val="none" w:sz="0" w:space="0" w:color="auto"/>
                                                                        <w:bottom w:val="none" w:sz="0" w:space="0" w:color="auto"/>
                                                                        <w:right w:val="none" w:sz="0" w:space="0" w:color="auto"/>
                                                                      </w:divBdr>
                                                                      <w:divsChild>
                                                                        <w:div w:id="205946055">
                                                                          <w:marLeft w:val="0"/>
                                                                          <w:marRight w:val="0"/>
                                                                          <w:marTop w:val="0"/>
                                                                          <w:marBottom w:val="0"/>
                                                                          <w:divBdr>
                                                                            <w:top w:val="none" w:sz="0" w:space="0" w:color="auto"/>
                                                                            <w:left w:val="none" w:sz="0" w:space="0" w:color="auto"/>
                                                                            <w:bottom w:val="none" w:sz="0" w:space="0" w:color="auto"/>
                                                                            <w:right w:val="none" w:sz="0" w:space="0" w:color="auto"/>
                                                                          </w:divBdr>
                                                                          <w:divsChild>
                                                                            <w:div w:id="15137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846338">
      <w:bodyDiv w:val="1"/>
      <w:marLeft w:val="0"/>
      <w:marRight w:val="0"/>
      <w:marTop w:val="0"/>
      <w:marBottom w:val="0"/>
      <w:divBdr>
        <w:top w:val="none" w:sz="0" w:space="0" w:color="auto"/>
        <w:left w:val="none" w:sz="0" w:space="0" w:color="auto"/>
        <w:bottom w:val="none" w:sz="0" w:space="0" w:color="auto"/>
        <w:right w:val="none" w:sz="0" w:space="0" w:color="auto"/>
      </w:divBdr>
    </w:div>
    <w:div w:id="2067756920">
      <w:bodyDiv w:val="1"/>
      <w:marLeft w:val="0"/>
      <w:marRight w:val="0"/>
      <w:marTop w:val="0"/>
      <w:marBottom w:val="0"/>
      <w:divBdr>
        <w:top w:val="none" w:sz="0" w:space="0" w:color="auto"/>
        <w:left w:val="none" w:sz="0" w:space="0" w:color="auto"/>
        <w:bottom w:val="none" w:sz="0" w:space="0" w:color="auto"/>
        <w:right w:val="none" w:sz="0" w:space="0" w:color="auto"/>
      </w:divBdr>
    </w:div>
    <w:div w:id="209500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inicaltrials.gov/ct2/show/study/NCT01425307?term=Twitch+sickle+cell&amp;rank=1" TargetMode="External"/><Relationship Id="rId299" Type="http://schemas.openxmlformats.org/officeDocument/2006/relationships/hyperlink" Target="http://www.ncbi.nlm.nih.gov/pubmed/10920175" TargetMode="External"/><Relationship Id="rId21" Type="http://schemas.openxmlformats.org/officeDocument/2006/relationships/header" Target="header4.xml"/><Relationship Id="rId63" Type="http://schemas.openxmlformats.org/officeDocument/2006/relationships/hyperlink" Target="http://www.blood.gov.au/pbm-module-2" TargetMode="External"/><Relationship Id="rId159" Type="http://schemas.openxmlformats.org/officeDocument/2006/relationships/hyperlink" Target="http://www.thelancet.com/pdfs/journals/langlo/PIIS2214-109X(13)70046-9.pdf" TargetMode="External"/><Relationship Id="rId324" Type="http://schemas.openxmlformats.org/officeDocument/2006/relationships/hyperlink" Target="http://www.tmreviews.com/article/S0887-7963(13)00005-9/abstract" TargetMode="External"/><Relationship Id="rId366" Type="http://schemas.openxmlformats.org/officeDocument/2006/relationships/hyperlink" Target="http://www.gesa.org.au" TargetMode="External"/><Relationship Id="rId170" Type="http://schemas.openxmlformats.org/officeDocument/2006/relationships/hyperlink" Target="http://www.nice.org.uk/guidance/cg114" TargetMode="External"/><Relationship Id="rId226" Type="http://schemas.openxmlformats.org/officeDocument/2006/relationships/hyperlink" Target="http://dx.doi.org/10.1097/SCS.0b013e3182710232" TargetMode="External"/><Relationship Id="rId268" Type="http://schemas.openxmlformats.org/officeDocument/2006/relationships/hyperlink" Target="http://www.tmreviews.com/article/S0887-7963(05)00081-7/abstract" TargetMode="External"/><Relationship Id="rId32" Type="http://schemas.openxmlformats.org/officeDocument/2006/relationships/header" Target="header11.xml"/><Relationship Id="rId74" Type="http://schemas.openxmlformats.org/officeDocument/2006/relationships/hyperlink" Target="https://www.mja.com.au/system/files/issues/181_09_011104/bak10441_fm.pdf" TargetMode="External"/><Relationship Id="rId128" Type="http://schemas.openxmlformats.org/officeDocument/2006/relationships/hyperlink" Target="http://dx.doi.org/10.1097/PCC.0b013e3182745472" TargetMode="External"/><Relationship Id="rId335" Type="http://schemas.openxmlformats.org/officeDocument/2006/relationships/hyperlink" Target="http://www.ncbi.nlm.nih.gov/pmc/articles/PMC1421171/pdf/20010100s00014p88.pdf" TargetMode="External"/><Relationship Id="rId377" Type="http://schemas.openxmlformats.org/officeDocument/2006/relationships/hyperlink" Target="https://clinicaltrials.gov/ct2/show/NCT01702805" TargetMode="External"/><Relationship Id="rId5" Type="http://schemas.openxmlformats.org/officeDocument/2006/relationships/settings" Target="settings.xml"/><Relationship Id="rId181" Type="http://schemas.openxmlformats.org/officeDocument/2006/relationships/hyperlink" Target="http://www.ncbi.nlm.nih.gov/pmc/articles/PMC3579008/pdf/nihms417782.pdf" TargetMode="External"/><Relationship Id="rId237" Type="http://schemas.openxmlformats.org/officeDocument/2006/relationships/hyperlink" Target="http://anesthesiology.pubs.asahq.org/data/Journals/JASA/931106/0000542-201104000-00021.pdf" TargetMode="External"/><Relationship Id="rId279" Type="http://schemas.openxmlformats.org/officeDocument/2006/relationships/hyperlink" Target="http://onlinelibrary.wiley.com/store/10.1046/j.1365-2141.2000.02062.x/asset/j.1365-2141.2000.02062.x.pdf?v=1&amp;t=i8wruya2&amp;s=74f48e82a7df96b9a8b15ab677ecae24b0c0c831" TargetMode="External"/><Relationship Id="rId43" Type="http://schemas.openxmlformats.org/officeDocument/2006/relationships/hyperlink" Target="https://www.ebs.tga.gov.au/ebs/picmi/picmirepository.nsf/PICMI?OpenForm&amp;t=&amp;q=ferinject&amp;r=http://www.pbs.gov.au/medicine/item/2593L-2805P" TargetMode="External"/><Relationship Id="rId139" Type="http://schemas.openxmlformats.org/officeDocument/2006/relationships/hyperlink" Target="http://dx.doi.org/10.1186/cc11293" TargetMode="External"/><Relationship Id="rId290" Type="http://schemas.openxmlformats.org/officeDocument/2006/relationships/hyperlink" Target="http://www.ncbi.nlm.nih.gov/pubmed/11134575" TargetMode="External"/><Relationship Id="rId304" Type="http://schemas.openxmlformats.org/officeDocument/2006/relationships/hyperlink" Target="http://www.ncbi.nlm.nih.gov/pubmed/19221715" TargetMode="External"/><Relationship Id="rId346" Type="http://schemas.openxmlformats.org/officeDocument/2006/relationships/hyperlink" Target="http://www.americanjournalofsurgery.com/article/S0002-9610(97)00018-4/abstract" TargetMode="External"/><Relationship Id="rId388" Type="http://schemas.openxmlformats.org/officeDocument/2006/relationships/hyperlink" Target="http://www.ncbi.nlm.nih.gov/pubmed/17302766" TargetMode="External"/><Relationship Id="rId85" Type="http://schemas.openxmlformats.org/officeDocument/2006/relationships/hyperlink" Target="http://www.kamsc.org.au/research/downloads/ECNAPP_Exec_Summary_for_web.pdf" TargetMode="External"/><Relationship Id="rId150" Type="http://schemas.openxmlformats.org/officeDocument/2006/relationships/hyperlink" Target="http://www.ncbi.nlm.nih.gov/pubmed/24771408" TargetMode="External"/><Relationship Id="rId192" Type="http://schemas.openxmlformats.org/officeDocument/2006/relationships/hyperlink" Target="http://www.ncbi.nlm.nih.gov/pubmed/22592695" TargetMode="External"/><Relationship Id="rId206" Type="http://schemas.openxmlformats.org/officeDocument/2006/relationships/hyperlink" Target="http://www.ncbi.nlm.nih.gov/pubmed/20927760" TargetMode="External"/><Relationship Id="rId248" Type="http://schemas.openxmlformats.org/officeDocument/2006/relationships/hyperlink" Target="http://www.researchgate.net/publication/265554018_'Birthing_on_Country'_maternity_service_delivery_models_a_rapid_review_An_Evidence_Check_review_brokered_by_the_Sax_Institute_for_the_Maternity_Services_Inter-Jurisdictional_Committee_Maternity_Services_Inter_Jurisdictional_Committee" TargetMode="External"/><Relationship Id="rId12" Type="http://schemas.openxmlformats.org/officeDocument/2006/relationships/image" Target="media/image3.jpeg"/><Relationship Id="rId108" Type="http://schemas.openxmlformats.org/officeDocument/2006/relationships/hyperlink" Target="http://www.embase.com/search/results?subaction=viewrecord&amp;from=export&amp;id=L560067527" TargetMode="External"/><Relationship Id="rId315" Type="http://schemas.openxmlformats.org/officeDocument/2006/relationships/hyperlink" Target="http://resources.transfusion.com.au/cdm/ref/collection/p16691coll1/id/135" TargetMode="External"/><Relationship Id="rId357" Type="http://schemas.openxmlformats.org/officeDocument/2006/relationships/hyperlink" Target="http://www.annalsthoracicsurgery.org/article/S0003-4975(10)02888-2/pdf" TargetMode="External"/><Relationship Id="rId54" Type="http://schemas.openxmlformats.org/officeDocument/2006/relationships/header" Target="header25.xml"/><Relationship Id="rId96" Type="http://schemas.openxmlformats.org/officeDocument/2006/relationships/hyperlink" Target="http://www.meajo.org/article.asp?issn=0974-9233;year=2012;volume=19;issue=1;spage=101;epage=106;aulast=Feghhi" TargetMode="External"/><Relationship Id="rId161" Type="http://schemas.openxmlformats.org/officeDocument/2006/relationships/hyperlink" Target="http://onlinelibrary.wiley.com/doi/10.1002/mpo.10187/abstract" TargetMode="External"/><Relationship Id="rId217" Type="http://schemas.openxmlformats.org/officeDocument/2006/relationships/hyperlink" Target="http://www.jtcvsonline.org/article/S0022-5223(11)00848-8/pdf" TargetMode="External"/><Relationship Id="rId259" Type="http://schemas.openxmlformats.org/officeDocument/2006/relationships/hyperlink" Target="http://www.ncbi.nlm.nih.gov/pubmed/20456697" TargetMode="External"/><Relationship Id="rId23" Type="http://schemas.openxmlformats.org/officeDocument/2006/relationships/footer" Target="footer2.xml"/><Relationship Id="rId119" Type="http://schemas.openxmlformats.org/officeDocument/2006/relationships/hyperlink" Target="http://www.ncbi.nlm.nih.gov/pubmed/11929794" TargetMode="External"/><Relationship Id="rId270" Type="http://schemas.openxmlformats.org/officeDocument/2006/relationships/hyperlink" Target="http://www.aabb.org/advocacy/statements/Pages/cmvstate.aspx" TargetMode="External"/><Relationship Id="rId326" Type="http://schemas.openxmlformats.org/officeDocument/2006/relationships/hyperlink" Target="http://www.shotuk.org/wp-content/uploads/2012/07/SHOT-Summary_FinalWebVersion2012_06_261.pdf" TargetMode="External"/><Relationship Id="rId65" Type="http://schemas.openxmlformats.org/officeDocument/2006/relationships/hyperlink" Target="http://www.blood.gov.au/pbm-module-4" TargetMode="External"/><Relationship Id="rId130" Type="http://schemas.openxmlformats.org/officeDocument/2006/relationships/hyperlink" Target="http://www.jtcvsonline.org/article/S0022-5223(12)01432-8/abstract" TargetMode="External"/><Relationship Id="rId368" Type="http://schemas.openxmlformats.org/officeDocument/2006/relationships/hyperlink" Target="http://gut.bmj.com/content/60/10/1309.full.pdf" TargetMode="External"/><Relationship Id="rId172" Type="http://schemas.openxmlformats.org/officeDocument/2006/relationships/hyperlink" Target="http://link.springer.com/article/10.1007%2Fs00467-008-1087-4" TargetMode="External"/><Relationship Id="rId228" Type="http://schemas.openxmlformats.org/officeDocument/2006/relationships/hyperlink" Target="http://www.ncbi.nlm.nih.gov/pubmed/25458625" TargetMode="External"/><Relationship Id="rId281" Type="http://schemas.openxmlformats.org/officeDocument/2006/relationships/hyperlink" Target="http://onlinelibrary.wiley.com/store/10.1111/j.1365-2141.2006.06343.x/asset/j.1365-2141.2006.06343.x.pdf?v=1&amp;t=i8wrvnos&amp;s=294e42b570fc55c125e469ffef68e4f32b8215a3" TargetMode="External"/><Relationship Id="rId337" Type="http://schemas.openxmlformats.org/officeDocument/2006/relationships/hyperlink" Target="http://www.jtcvsonline.org/article/S0022-5223(04)00017-0/pdf" TargetMode="External"/><Relationship Id="rId34" Type="http://schemas.openxmlformats.org/officeDocument/2006/relationships/footer" Target="footer7.xml"/><Relationship Id="rId76" Type="http://schemas.openxmlformats.org/officeDocument/2006/relationships/hyperlink" Target="http://onlinelibrary.wiley.com/store/10.1111/j.1365-2141.2010.08444.x/asset/j.1365-2141.2010.08444.x.pdf?v=1&amp;t=i6718wmk&amp;s=e835b22ab47f0481e338307fd908768947388726" TargetMode="External"/><Relationship Id="rId141" Type="http://schemas.openxmlformats.org/officeDocument/2006/relationships/hyperlink" Target="http://www.nature.com/jp/journal/v22/n2/pdf/7210677a.pdf" TargetMode="External"/><Relationship Id="rId379" Type="http://schemas.openxmlformats.org/officeDocument/2006/relationships/hyperlink" Target="http://www.safetyandquality.gov.au/our-work/accreditation-and-the-nsqhs-standards/resources-to-implement-the-nsqhs-standards/" TargetMode="External"/><Relationship Id="rId7" Type="http://schemas.openxmlformats.org/officeDocument/2006/relationships/footnotes" Target="footnotes.xml"/><Relationship Id="rId183" Type="http://schemas.openxmlformats.org/officeDocument/2006/relationships/hyperlink" Target="http://www.embase.com/search/results?subaction=viewrecord&amp;from=export&amp;id=L34556189" TargetMode="External"/><Relationship Id="rId239" Type="http://schemas.openxmlformats.org/officeDocument/2006/relationships/hyperlink" Target="http://www.ijporlonline.com/article/S0165-5876(13)00180-8/abstract" TargetMode="External"/><Relationship Id="rId390" Type="http://schemas.openxmlformats.org/officeDocument/2006/relationships/fontTable" Target="fontTable.xml"/><Relationship Id="rId250" Type="http://schemas.openxmlformats.org/officeDocument/2006/relationships/hyperlink" Target="http://www.ncbi.nlm.nih.gov/pubmed/15748129" TargetMode="External"/><Relationship Id="rId292" Type="http://schemas.openxmlformats.org/officeDocument/2006/relationships/hyperlink" Target="http://www.ncbi.nlm.nih.gov/pubmed/10620643" TargetMode="External"/><Relationship Id="rId306" Type="http://schemas.openxmlformats.org/officeDocument/2006/relationships/hyperlink" Target="http://www.ncbi.nlm.nih.gov/pubmed/24186829" TargetMode="External"/><Relationship Id="rId45" Type="http://schemas.openxmlformats.org/officeDocument/2006/relationships/hyperlink" Target="https://www.ebs.tga.gov.au/ebs/picmi/picmirepository.nsf/PICMI?OpenForm&amp;t=&amp;q=iron%20polymaltose" TargetMode="External"/><Relationship Id="rId87" Type="http://schemas.openxmlformats.org/officeDocument/2006/relationships/hyperlink" Target="http://www.ncbi.nlm.nih.gov/pubmed/15265180" TargetMode="External"/><Relationship Id="rId110" Type="http://schemas.openxmlformats.org/officeDocument/2006/relationships/hyperlink" Target="http://www.pediatr-neonatol.com/article/S1875-9572(09)60045-0/pdf" TargetMode="External"/><Relationship Id="rId348" Type="http://schemas.openxmlformats.org/officeDocument/2006/relationships/hyperlink" Target="http://www.jtcvsonline.org/article/S0022-5223(03)00042-4/pdf" TargetMode="External"/><Relationship Id="rId152" Type="http://schemas.openxmlformats.org/officeDocument/2006/relationships/hyperlink" Target="http://www.ncbi.nlm.nih.gov/pubmed/11487753" TargetMode="External"/><Relationship Id="rId194" Type="http://schemas.openxmlformats.org/officeDocument/2006/relationships/hyperlink" Target="http://www.ncbi.nlm.nih.gov/pubmed/6981349" TargetMode="External"/><Relationship Id="rId208" Type="http://schemas.openxmlformats.org/officeDocument/2006/relationships/hyperlink" Target="http://onlinelibrary.wiley.com/doi/10.1111/trf.12469/abstract" TargetMode="External"/><Relationship Id="rId261" Type="http://schemas.openxmlformats.org/officeDocument/2006/relationships/hyperlink" Target="http://www.anzsbt.org.au/publications/documents/Antenatal_Guidelines_Mar07.pdf" TargetMode="External"/><Relationship Id="rId14" Type="http://schemas.openxmlformats.org/officeDocument/2006/relationships/hyperlink" Target="http://www.blood.gov.au" TargetMode="External"/><Relationship Id="rId56" Type="http://schemas.openxmlformats.org/officeDocument/2006/relationships/header" Target="header27.xml"/><Relationship Id="rId317" Type="http://schemas.openxmlformats.org/officeDocument/2006/relationships/hyperlink" Target="http://circ.ahajournals.org/content/128/11/1234.full.pdf" TargetMode="External"/><Relationship Id="rId359" Type="http://schemas.openxmlformats.org/officeDocument/2006/relationships/hyperlink" Target="http://onlinelibrary.wiley.com/doi/10.1002/phar.1291/abstract" TargetMode="External"/><Relationship Id="rId98" Type="http://schemas.openxmlformats.org/officeDocument/2006/relationships/hyperlink" Target="http://dx.doi.org/10.4103/2249-4847.96755" TargetMode="External"/><Relationship Id="rId121" Type="http://schemas.openxmlformats.org/officeDocument/2006/relationships/hyperlink" Target="http://www.nejm.org/doi/pdf/10.1056/NEJMoa050460" TargetMode="External"/><Relationship Id="rId163" Type="http://schemas.openxmlformats.org/officeDocument/2006/relationships/hyperlink" Target="http://www.clinicaltherapeutics.com/article/S0149-2918(06)00139-1/abstract" TargetMode="External"/><Relationship Id="rId219" Type="http://schemas.openxmlformats.org/officeDocument/2006/relationships/hyperlink" Target="http://www.ncbi.nlm.nih.gov/pmc/articles/PMC3671922/pdf/nihms463601.pdf" TargetMode="External"/><Relationship Id="rId370" Type="http://schemas.openxmlformats.org/officeDocument/2006/relationships/hyperlink" Target="http://onlinelibrary.wiley.com/doi/10.1002/pbc.22930/abstract" TargetMode="External"/><Relationship Id="rId230" Type="http://schemas.openxmlformats.org/officeDocument/2006/relationships/hyperlink" Target="http://www.embase.com/search/results?subaction=viewrecord&amp;from=export&amp;id=L359111284" TargetMode="External"/><Relationship Id="rId25" Type="http://schemas.openxmlformats.org/officeDocument/2006/relationships/footer" Target="footer3.xml"/><Relationship Id="rId67" Type="http://schemas.openxmlformats.org/officeDocument/2006/relationships/hyperlink" Target="http://www.nhmrc.gov.au/_files_nhmrc/file/publications/synopses/cp78.pdf" TargetMode="External"/><Relationship Id="rId272" Type="http://schemas.openxmlformats.org/officeDocument/2006/relationships/hyperlink" Target="http://www.ncbi.nlm.nih.gov/pubmed/21645009" TargetMode="External"/><Relationship Id="rId328" Type="http://schemas.openxmlformats.org/officeDocument/2006/relationships/hyperlink" Target="http://onlinelibrary.wiley.com/doi/10.1111/j.1537-2995.2011.03247.x/abstract" TargetMode="External"/><Relationship Id="rId132" Type="http://schemas.openxmlformats.org/officeDocument/2006/relationships/hyperlink" Target="http://dx.doi.org/10.1097/CCM.0b013e3181bc816c" TargetMode="External"/><Relationship Id="rId174" Type="http://schemas.openxmlformats.org/officeDocument/2006/relationships/hyperlink" Target="http://link.springer.com/article/10.1007%2Fs00467-004-1457-5" TargetMode="External"/><Relationship Id="rId381" Type="http://schemas.openxmlformats.org/officeDocument/2006/relationships/hyperlink" Target="http://www.safetyandquality.gov.au/wp-content/uploads/2011/09/NSQHS-Standards-Sept-2012.pdf" TargetMode="External"/><Relationship Id="rId241" Type="http://schemas.openxmlformats.org/officeDocument/2006/relationships/hyperlink" Target="http://www.embase.com/search/results?subaction=viewrecord&amp;from=export&amp;id=L38506857" TargetMode="External"/><Relationship Id="rId36" Type="http://schemas.openxmlformats.org/officeDocument/2006/relationships/footer" Target="footer8.xml"/><Relationship Id="rId283" Type="http://schemas.openxmlformats.org/officeDocument/2006/relationships/hyperlink" Target="http://www.ncbi.nlm.nih.gov/pubmed/15588315" TargetMode="External"/><Relationship Id="rId339" Type="http://schemas.openxmlformats.org/officeDocument/2006/relationships/hyperlink" Target="http://www.ncbi.nlm.nih.gov/pmc/articles/PMC3941718/pdf/kjs-10-94.pdf" TargetMode="External"/><Relationship Id="rId78" Type="http://schemas.openxmlformats.org/officeDocument/2006/relationships/hyperlink" Target="http://www.ncbi.nlm.nih.gov/pubmed/23843134" TargetMode="External"/><Relationship Id="rId101" Type="http://schemas.openxmlformats.org/officeDocument/2006/relationships/hyperlink" Target="http://www.ncbi.nlm.nih.gov/pubmed/20549417" TargetMode="External"/><Relationship Id="rId143" Type="http://schemas.openxmlformats.org/officeDocument/2006/relationships/hyperlink" Target="http://onlinelibrary.wiley.com/store/10.1002/14651858.CD004863.pub3/asset/CD004863.pdf?v=1&amp;t=i7cj8hx8&amp;s=942e4e221b6e730c654041e1f6f94411f1d6e01b" TargetMode="External"/><Relationship Id="rId185" Type="http://schemas.openxmlformats.org/officeDocument/2006/relationships/hyperlink" Target="http://www.embase.com/search/results?subaction=viewrecord&amp;from=export&amp;id=L36652247" TargetMode="External"/><Relationship Id="rId350" Type="http://schemas.openxmlformats.org/officeDocument/2006/relationships/hyperlink" Target="http://www.jvascsurg.org/article/S0741-5214(08)00106-7/pdf" TargetMode="External"/><Relationship Id="rId9" Type="http://schemas.openxmlformats.org/officeDocument/2006/relationships/image" Target="media/image1.emf"/><Relationship Id="rId210" Type="http://schemas.openxmlformats.org/officeDocument/2006/relationships/hyperlink" Target="http://onlinelibrary.wiley.com/store/10.1002/14651858.CD003248.pub3/asset/CD003248.pdf?v=1&amp;t=ib8vzpvn&amp;s=c8dc1f9b1a3381b5fec4e1ebd1ae74974f8cdf2f" TargetMode="External"/><Relationship Id="rId392" Type="http://schemas.microsoft.com/office/2011/relationships/people" Target="people.xml"/><Relationship Id="rId252" Type="http://schemas.openxmlformats.org/officeDocument/2006/relationships/hyperlink" Target="http://www.ncbi.nlm.nih.gov/pubmed/20656558" TargetMode="External"/><Relationship Id="rId294" Type="http://schemas.openxmlformats.org/officeDocument/2006/relationships/hyperlink" Target="http://www.ncbi.nlm.nih.gov/pubmed/11717631" TargetMode="External"/><Relationship Id="rId308" Type="http://schemas.openxmlformats.org/officeDocument/2006/relationships/hyperlink" Target="http://www.ncbi.nlm.nih.gov/pubmed/19167579" TargetMode="External"/><Relationship Id="rId47" Type="http://schemas.openxmlformats.org/officeDocument/2006/relationships/header" Target="header20.xml"/><Relationship Id="rId89" Type="http://schemas.openxmlformats.org/officeDocument/2006/relationships/hyperlink" Target="http://www.seminperinat.com/article/S0146-0005(12)00029-8/abstract" TargetMode="External"/><Relationship Id="rId112" Type="http://schemas.openxmlformats.org/officeDocument/2006/relationships/hyperlink" Target="http://dx.doi.org/10.1542/peds.104.3.514" TargetMode="External"/><Relationship Id="rId154" Type="http://schemas.openxmlformats.org/officeDocument/2006/relationships/hyperlink" Target="http://pediatrics.aappublications.org/content/131/2/e433.full.pdf" TargetMode="External"/><Relationship Id="rId361" Type="http://schemas.openxmlformats.org/officeDocument/2006/relationships/hyperlink" Target="http://whqlibdoc.who.int/publications/2008/9789241596657eng.pdf" TargetMode="External"/><Relationship Id="rId196" Type="http://schemas.openxmlformats.org/officeDocument/2006/relationships/hyperlink" Target="http://www.ncbi.nlm.nih.gov/pubmed/25383671" TargetMode="External"/><Relationship Id="rId200" Type="http://schemas.openxmlformats.org/officeDocument/2006/relationships/hyperlink" Target="http://onlinelibrary.wiley.com/store/10.1046/j.1365-2141.2003.04468.x/asset/j.1365-2141.2003.04468.x.pdf?v=1&amp;t=i8wrvhu3&amp;s=cb4be396ff1b4b0096669308ddb29fd06023531e" TargetMode="External"/><Relationship Id="rId382" Type="http://schemas.openxmlformats.org/officeDocument/2006/relationships/hyperlink" Target="http://www.ncbi.nlm.nih.gov/pubmed/18422857" TargetMode="External"/><Relationship Id="rId16" Type="http://schemas.openxmlformats.org/officeDocument/2006/relationships/image" Target="media/image4.jpeg"/><Relationship Id="rId221" Type="http://schemas.openxmlformats.org/officeDocument/2006/relationships/hyperlink" Target="http://www.ncbi.nlm.nih.gov/pubmed/25303988" TargetMode="External"/><Relationship Id="rId242" Type="http://schemas.openxmlformats.org/officeDocument/2006/relationships/hyperlink" Target="http://www.jcvaonline.com/article/S1053-0770(04)00029-1/abstract" TargetMode="External"/><Relationship Id="rId263" Type="http://schemas.openxmlformats.org/officeDocument/2006/relationships/hyperlink" Target="http://www.transfusionguidelines.org.uk/transfusion-handbook" TargetMode="External"/><Relationship Id="rId284" Type="http://schemas.openxmlformats.org/officeDocument/2006/relationships/hyperlink" Target="http://www.ncbi.nlm.nih.gov/pubmed/20561296" TargetMode="External"/><Relationship Id="rId319" Type="http://schemas.openxmlformats.org/officeDocument/2006/relationships/hyperlink" Target="http://onlinelibrary.wiley.com/doi/10.1111/j.1423-0410.2010.01339.x/abstract" TargetMode="External"/><Relationship Id="rId37" Type="http://schemas.openxmlformats.org/officeDocument/2006/relationships/header" Target="header13.xml"/><Relationship Id="rId58" Type="http://schemas.openxmlformats.org/officeDocument/2006/relationships/image" Target="media/image5.png"/><Relationship Id="rId79" Type="http://schemas.openxmlformats.org/officeDocument/2006/relationships/hyperlink" Target="http://www.blood.gov.au/pubs/ivig/conditions-for-which-IVIg-has-an-emerging-therapeutic-role.html" TargetMode="External"/><Relationship Id="rId102" Type="http://schemas.openxmlformats.org/officeDocument/2006/relationships/hyperlink" Target="http://fn.bmj.com/content/98/1/F10.long" TargetMode="External"/><Relationship Id="rId123" Type="http://schemas.openxmlformats.org/officeDocument/2006/relationships/hyperlink" Target="https://www.nhlbi.nih.gov/health-pro/guidelines/sickle-cell-disease-guidelines" TargetMode="External"/><Relationship Id="rId144" Type="http://schemas.openxmlformats.org/officeDocument/2006/relationships/hyperlink" Target="http://onlinelibrary.wiley.com/doi/10.1046/j.1537-2995.2001.41030406.x/abstract" TargetMode="External"/><Relationship Id="rId330" Type="http://schemas.openxmlformats.org/officeDocument/2006/relationships/hyperlink" Target="http://onlinelibrary.wiley.com/doi/10.1111/j.1537-2995.2009.02195.x/abstract" TargetMode="External"/><Relationship Id="rId90" Type="http://schemas.openxmlformats.org/officeDocument/2006/relationships/hyperlink" Target="http://pediatrics.aappublications.org/content/129/3/529.full.pdf" TargetMode="External"/><Relationship Id="rId165" Type="http://schemas.openxmlformats.org/officeDocument/2006/relationships/hyperlink" Target="http://www.sciencedirect.com/science/article/pii/S095980499710065X" TargetMode="External"/><Relationship Id="rId186" Type="http://schemas.openxmlformats.org/officeDocument/2006/relationships/hyperlink" Target="http://www.embase.com/search/results?subaction=viewrecord&amp;from=export&amp;id=L39041654" TargetMode="External"/><Relationship Id="rId351" Type="http://schemas.openxmlformats.org/officeDocument/2006/relationships/hyperlink" Target="http://www.jvascsurg.org/article/S0741-5214(06)01213-4/pdf" TargetMode="External"/><Relationship Id="rId372" Type="http://schemas.openxmlformats.org/officeDocument/2006/relationships/hyperlink" Target="http://www.ncbi.nlm.nih.gov/pubmed/21925679" TargetMode="External"/><Relationship Id="rId211" Type="http://schemas.openxmlformats.org/officeDocument/2006/relationships/hyperlink" Target="http://dx.doi.org/10.1097/MPH.0000000000000143" TargetMode="External"/><Relationship Id="rId232" Type="http://schemas.openxmlformats.org/officeDocument/2006/relationships/hyperlink" Target="http://www.jcvaonline.com/article/S1053-0770(12)00344-8/abstract" TargetMode="External"/><Relationship Id="rId253" Type="http://schemas.openxmlformats.org/officeDocument/2006/relationships/hyperlink" Target="http://www.ncbi.nlm.nih.gov/pubmed/14984493" TargetMode="External"/><Relationship Id="rId274" Type="http://schemas.openxmlformats.org/officeDocument/2006/relationships/hyperlink" Target="http://www.ncbi.nlm.nih.gov/pubmed/24102564" TargetMode="External"/><Relationship Id="rId295" Type="http://schemas.openxmlformats.org/officeDocument/2006/relationships/hyperlink" Target="http://www.ncbi.nlm.nih.gov/pubmed/23728672" TargetMode="External"/><Relationship Id="rId309" Type="http://schemas.openxmlformats.org/officeDocument/2006/relationships/hyperlink" Target="http://www.ncbi.nlm.nih.gov/pubmed/17053460" TargetMode="External"/><Relationship Id="rId27" Type="http://schemas.openxmlformats.org/officeDocument/2006/relationships/header" Target="header8.xml"/><Relationship Id="rId48" Type="http://schemas.openxmlformats.org/officeDocument/2006/relationships/header" Target="header21.xml"/><Relationship Id="rId69" Type="http://schemas.openxmlformats.org/officeDocument/2006/relationships/hyperlink" Target="http://www.nejm.org/doi/pdf/10.1056/NEJMoa1401731" TargetMode="External"/><Relationship Id="rId113" Type="http://schemas.openxmlformats.org/officeDocument/2006/relationships/hyperlink" Target="http://pediatrics.aappublications.org/content/123/1/207.long" TargetMode="External"/><Relationship Id="rId134" Type="http://schemas.openxmlformats.org/officeDocument/2006/relationships/hyperlink" Target="http://www.bbmt.org/article/S1083-8791(12)01138-X/pdf" TargetMode="External"/><Relationship Id="rId320" Type="http://schemas.openxmlformats.org/officeDocument/2006/relationships/hyperlink" Target="http://www.ncbi.nlm.nih.gov/pubmed/23843105" TargetMode="External"/><Relationship Id="rId80" Type="http://schemas.openxmlformats.org/officeDocument/2006/relationships/hyperlink" Target="https://www.mja.com.au/system/files/issues/tra10614_web_fm_0.pdf" TargetMode="External"/><Relationship Id="rId155" Type="http://schemas.openxmlformats.org/officeDocument/2006/relationships/hyperlink" Target="http://www.embase.com/search/results?subaction=viewrecord&amp;from=export&amp;id=L354556418" TargetMode="External"/><Relationship Id="rId176" Type="http://schemas.openxmlformats.org/officeDocument/2006/relationships/hyperlink" Target="http://onlinelibrary.wiley.com/doi/10.1002/14651858.CD002202/epdf" TargetMode="External"/><Relationship Id="rId197" Type="http://schemas.openxmlformats.org/officeDocument/2006/relationships/hyperlink" Target="http://www.ncbi.nlm.nih.gov/pmc/articles/PMC3635629/pdf/ymj-54-752.pdf" TargetMode="External"/><Relationship Id="rId341" Type="http://schemas.openxmlformats.org/officeDocument/2006/relationships/hyperlink" Target="http://www.annalsthoracicsurgery.org/article/S0003-4975(01)02777-1/pdf" TargetMode="External"/><Relationship Id="rId362" Type="http://schemas.openxmlformats.org/officeDocument/2006/relationships/hyperlink" Target="http://www.bloodjournal.org/content/123/5/615.long?sso-checked=true" TargetMode="External"/><Relationship Id="rId383" Type="http://schemas.openxmlformats.org/officeDocument/2006/relationships/hyperlink" Target="http://www.ncbi.nlm.nih.gov/pubmed/20603348" TargetMode="External"/><Relationship Id="rId201" Type="http://schemas.openxmlformats.org/officeDocument/2006/relationships/hyperlink" Target="http://www.ncbi.nlm.nih.gov/pubmed/25059813" TargetMode="External"/><Relationship Id="rId222" Type="http://schemas.openxmlformats.org/officeDocument/2006/relationships/hyperlink" Target="http://www.embase.com/search/results?subaction=viewrecord&amp;from=export&amp;id=L43306387" TargetMode="External"/><Relationship Id="rId243" Type="http://schemas.openxmlformats.org/officeDocument/2006/relationships/hyperlink" Target="http://www.ijporlonline.com/article/S0165-5876(12)00292-3/abstract" TargetMode="External"/><Relationship Id="rId264" Type="http://schemas.openxmlformats.org/officeDocument/2006/relationships/hyperlink" Target="http://www.tmreviews.com/article/S0887-7963(05)00012-X/abstract" TargetMode="External"/><Relationship Id="rId285" Type="http://schemas.openxmlformats.org/officeDocument/2006/relationships/hyperlink" Target="http://www.ncbi.nlm.nih.gov/pubmed/22847082" TargetMode="External"/><Relationship Id="rId17" Type="http://schemas.openxmlformats.org/officeDocument/2006/relationships/header" Target="header1.xml"/><Relationship Id="rId38" Type="http://schemas.openxmlformats.org/officeDocument/2006/relationships/header" Target="header14.xml"/><Relationship Id="rId59" Type="http://schemas.openxmlformats.org/officeDocument/2006/relationships/image" Target="media/image6.png"/><Relationship Id="rId103" Type="http://schemas.openxmlformats.org/officeDocument/2006/relationships/hyperlink" Target="http://dx.doi.org/10.1038/jp.2013.60" TargetMode="External"/><Relationship Id="rId124" Type="http://schemas.openxmlformats.org/officeDocument/2006/relationships/hyperlink" Target="http://www.ncbi.nlm.nih.gov/pubmed/9051086" TargetMode="External"/><Relationship Id="rId310" Type="http://schemas.openxmlformats.org/officeDocument/2006/relationships/hyperlink" Target="http://www.ncbi.nlm.nih.gov/pubmed/11497140" TargetMode="External"/><Relationship Id="rId70" Type="http://schemas.openxmlformats.org/officeDocument/2006/relationships/hyperlink" Target="http://kdigo.org/home/guidelines/anemia-in-ckd/" TargetMode="External"/><Relationship Id="rId91" Type="http://schemas.openxmlformats.org/officeDocument/2006/relationships/hyperlink" Target="http://www.ncbi.nlm.nih.gov/pubmed/25318632" TargetMode="External"/><Relationship Id="rId145" Type="http://schemas.openxmlformats.org/officeDocument/2006/relationships/hyperlink" Target="http://dx.doi.org/10.1007/s00431-014-2332-4" TargetMode="External"/><Relationship Id="rId166" Type="http://schemas.openxmlformats.org/officeDocument/2006/relationships/hyperlink" Target="http://www.ncbi.nlm.nih.gov/pubmed/8917229" TargetMode="External"/><Relationship Id="rId187" Type="http://schemas.openxmlformats.org/officeDocument/2006/relationships/hyperlink" Target="http://www.ncbi.nlm.nih.gov/pubmed/17855804" TargetMode="External"/><Relationship Id="rId331" Type="http://schemas.openxmlformats.org/officeDocument/2006/relationships/hyperlink" Target="http://icvts.oxfordjournals.org/content/9/6/978.full.pdf" TargetMode="External"/><Relationship Id="rId352" Type="http://schemas.openxmlformats.org/officeDocument/2006/relationships/hyperlink" Target="http://www.annalsthoracicsurgery.org/article/S0003-4975(00)01194-2/pdf" TargetMode="External"/><Relationship Id="rId373" Type="http://schemas.openxmlformats.org/officeDocument/2006/relationships/hyperlink" Target="http://www.ncbi.nlm.nih.gov/pubmed/22128884" TargetMode="External"/><Relationship Id="rId1" Type="http://schemas.openxmlformats.org/officeDocument/2006/relationships/customXml" Target="../customXml/item1.xml"/><Relationship Id="rId212" Type="http://schemas.openxmlformats.org/officeDocument/2006/relationships/hyperlink" Target="http://www.jpeds.com/article/S0022-3476(14)00030-4/abstract" TargetMode="External"/><Relationship Id="rId233" Type="http://schemas.openxmlformats.org/officeDocument/2006/relationships/hyperlink" Target="http://www.embase.com/search/results?subaction=viewrecord&amp;from=export&amp;id=L32618900" TargetMode="External"/><Relationship Id="rId254" Type="http://schemas.openxmlformats.org/officeDocument/2006/relationships/hyperlink" Target="http://www.ncbi.nlm.nih.gov/pubmed/21552366" TargetMode="External"/><Relationship Id="rId28" Type="http://schemas.openxmlformats.org/officeDocument/2006/relationships/footer" Target="footer4.xml"/><Relationship Id="rId49" Type="http://schemas.openxmlformats.org/officeDocument/2006/relationships/hyperlink" Target="http://www.transfusion.com.au" TargetMode="External"/><Relationship Id="rId114" Type="http://schemas.openxmlformats.org/officeDocument/2006/relationships/hyperlink" Target="http://www.ncbi.nlm.nih.gov/pubmed/23642047" TargetMode="External"/><Relationship Id="rId275" Type="http://schemas.openxmlformats.org/officeDocument/2006/relationships/hyperlink" Target="http://www.ncbi.nlm.nih.gov/pubmed/12071877" TargetMode="External"/><Relationship Id="rId296" Type="http://schemas.openxmlformats.org/officeDocument/2006/relationships/hyperlink" Target="http://www.ncbi.nlm.nih.gov/pubmed/18420962" TargetMode="External"/><Relationship Id="rId300" Type="http://schemas.openxmlformats.org/officeDocument/2006/relationships/hyperlink" Target="http://www.ncbi.nlm.nih.gov/pubmed/19842778" TargetMode="External"/><Relationship Id="rId60" Type="http://schemas.openxmlformats.org/officeDocument/2006/relationships/image" Target="media/image7.JPG"/><Relationship Id="rId81" Type="http://schemas.openxmlformats.org/officeDocument/2006/relationships/hyperlink" Target="http://www.nhmrc.gov.au/publications/synopses/cp69syn.htm" TargetMode="External"/><Relationship Id="rId135" Type="http://schemas.openxmlformats.org/officeDocument/2006/relationships/hyperlink" Target="http://dx.doi.org/10.1097/TA.0000000000000095" TargetMode="External"/><Relationship Id="rId156" Type="http://schemas.openxmlformats.org/officeDocument/2006/relationships/hyperlink" Target="http://www.ncbi.nlm.nih.gov/pubmed/15545616" TargetMode="External"/><Relationship Id="rId177" Type="http://schemas.openxmlformats.org/officeDocument/2006/relationships/hyperlink" Target="http://adc.bmj.com/content/98/11/908.full.pdf" TargetMode="External"/><Relationship Id="rId198" Type="http://schemas.openxmlformats.org/officeDocument/2006/relationships/hyperlink" Target="http://www.annalsthoracicsurgery.org/article/S0003-4975(03)01873-3/pdf" TargetMode="External"/><Relationship Id="rId321" Type="http://schemas.openxmlformats.org/officeDocument/2006/relationships/hyperlink" Target="http://www.ncbi.nlm.nih.gov/pmc/articles/PMC3422937/pdf/ivs224.pdf" TargetMode="External"/><Relationship Id="rId342" Type="http://schemas.openxmlformats.org/officeDocument/2006/relationships/hyperlink" Target="http://www.jtcvsonline.org/article/S0022-5223(04)01162-6/pdf" TargetMode="External"/><Relationship Id="rId363" Type="http://schemas.openxmlformats.org/officeDocument/2006/relationships/hyperlink" Target="http://www.ncbi.nlm.nih.gov/pubmed/17635678" TargetMode="External"/><Relationship Id="rId384" Type="http://schemas.openxmlformats.org/officeDocument/2006/relationships/hyperlink" Target="http://www.ncbi.nlm.nih.gov/pubmed/8872334" TargetMode="External"/><Relationship Id="rId202" Type="http://schemas.openxmlformats.org/officeDocument/2006/relationships/hyperlink" Target="http://dx.doi.org/10.1016/j.jtcvs.2014.04.029" TargetMode="External"/><Relationship Id="rId223" Type="http://schemas.openxmlformats.org/officeDocument/2006/relationships/hyperlink" Target="http://www.embase.com/search/results?subaction=viewrecord&amp;from=export&amp;id=L372489518" TargetMode="External"/><Relationship Id="rId244" Type="http://schemas.openxmlformats.org/officeDocument/2006/relationships/hyperlink" Target="http://www.ncbi.nlm.nih.gov/pubmed/22264414" TargetMode="External"/><Relationship Id="rId18" Type="http://schemas.openxmlformats.org/officeDocument/2006/relationships/header" Target="header2.xml"/><Relationship Id="rId39" Type="http://schemas.openxmlformats.org/officeDocument/2006/relationships/header" Target="header15.xml"/><Relationship Id="rId265" Type="http://schemas.openxmlformats.org/officeDocument/2006/relationships/hyperlink" Target="http://www.tmreviews.com/article/S0887-7963(00)80003-6/abstract" TargetMode="External"/><Relationship Id="rId286" Type="http://schemas.openxmlformats.org/officeDocument/2006/relationships/hyperlink" Target="http://www.uptodate.com/contents/intrauterine-fetal-transfusion-of-red-blood-cells" TargetMode="External"/><Relationship Id="rId50" Type="http://schemas.openxmlformats.org/officeDocument/2006/relationships/header" Target="header22.xml"/><Relationship Id="rId104" Type="http://schemas.openxmlformats.org/officeDocument/2006/relationships/hyperlink" Target="http://www.canadianjournalofophthalmology.ca/article/S0008-4182(11)00166-9/abstract" TargetMode="External"/><Relationship Id="rId125" Type="http://schemas.openxmlformats.org/officeDocument/2006/relationships/hyperlink" Target="http://www.ncbi.nlm.nih.gov/pubmed/7115620" TargetMode="External"/><Relationship Id="rId146" Type="http://schemas.openxmlformats.org/officeDocument/2006/relationships/hyperlink" Target="http://dx.doi.org/10.1016/j.jpeds.2014.07.034" TargetMode="External"/><Relationship Id="rId167" Type="http://schemas.openxmlformats.org/officeDocument/2006/relationships/hyperlink" Target="http://www.ncbi.nlm.nih.gov/pubmed/16877725" TargetMode="External"/><Relationship Id="rId188" Type="http://schemas.openxmlformats.org/officeDocument/2006/relationships/hyperlink" Target="http://www.ncbi.nlm.nih.gov/pubmed/17401266" TargetMode="External"/><Relationship Id="rId311" Type="http://schemas.openxmlformats.org/officeDocument/2006/relationships/hyperlink" Target="http://www.ncbi.nlm.nih.gov/pubmed/23714376" TargetMode="External"/><Relationship Id="rId332" Type="http://schemas.openxmlformats.org/officeDocument/2006/relationships/hyperlink" Target="http://www.annalsthoracicsurgery.org/article/S0003-4975(12)01889-9/pdf" TargetMode="External"/><Relationship Id="rId353" Type="http://schemas.openxmlformats.org/officeDocument/2006/relationships/hyperlink" Target="http://archsurg.jamanetwork.com/data/Journals/SURG/5348/soa1157.pdf" TargetMode="External"/><Relationship Id="rId374" Type="http://schemas.openxmlformats.org/officeDocument/2006/relationships/hyperlink" Target="http://www.ncbi.nlm.nih.gov/pubmed/23064608" TargetMode="External"/><Relationship Id="rId71" Type="http://schemas.openxmlformats.org/officeDocument/2006/relationships/hyperlink" Target="http://www.nice.org.uk/guidance/ng8/resources/anaemia-management-in-people-with-chronic-kidney-disease-51046844101" TargetMode="External"/><Relationship Id="rId92" Type="http://schemas.openxmlformats.org/officeDocument/2006/relationships/hyperlink" Target="http://onlinelibrary.wiley.com/doi/10.1111/j.1537-2995.2010.02980.x/abstract" TargetMode="External"/><Relationship Id="rId213" Type="http://schemas.openxmlformats.org/officeDocument/2006/relationships/hyperlink" Target="http://www.ncbi.nlm.nih.gov/pubmed/25977265" TargetMode="External"/><Relationship Id="rId234" Type="http://schemas.openxmlformats.org/officeDocument/2006/relationships/hyperlink" Target="http://www.embase.com/search/results?subaction=viewrecord&amp;from=export&amp;id=L36025031" TargetMode="Externa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yperlink" Target="http://www.rch.org.au/uploadedFiles/Main/Content/neonatal_rch/EXCHANGE_TRANSFUSION.pdf" TargetMode="External"/><Relationship Id="rId276" Type="http://schemas.openxmlformats.org/officeDocument/2006/relationships/hyperlink" Target="http://www.ncbi.nlm.nih.gov/pubmed/10711560" TargetMode="External"/><Relationship Id="rId297" Type="http://schemas.openxmlformats.org/officeDocument/2006/relationships/hyperlink" Target="http://www.ncbi.nlm.nih.gov/pubmed/9821414" TargetMode="External"/><Relationship Id="rId40" Type="http://schemas.openxmlformats.org/officeDocument/2006/relationships/header" Target="header16.xml"/><Relationship Id="rId115" Type="http://schemas.openxmlformats.org/officeDocument/2006/relationships/hyperlink" Target="http://annals.org/data/Journals/AIM/24329/0000605-201207030-00008.pdf" TargetMode="External"/><Relationship Id="rId136" Type="http://schemas.openxmlformats.org/officeDocument/2006/relationships/hyperlink" Target="http://dx.doi.org/10.1097/PCC.0000000000000102" TargetMode="External"/><Relationship Id="rId157" Type="http://schemas.openxmlformats.org/officeDocument/2006/relationships/hyperlink" Target="http://www.ncbi.nlm.nih.gov/pubmed/11015511" TargetMode="External"/><Relationship Id="rId178" Type="http://schemas.openxmlformats.org/officeDocument/2006/relationships/hyperlink" Target="http://www.ncbi.nlm.nih.gov/pubmed/18457478" TargetMode="External"/><Relationship Id="rId301" Type="http://schemas.openxmlformats.org/officeDocument/2006/relationships/hyperlink" Target="http://www.ncbi.nlm.nih.gov/pubmed/3396595" TargetMode="External"/><Relationship Id="rId322" Type="http://schemas.openxmlformats.org/officeDocument/2006/relationships/hyperlink" Target="http://www.thrombosisresearch.com/article/S0049-3848(11)00180-0/abstract" TargetMode="External"/><Relationship Id="rId343" Type="http://schemas.openxmlformats.org/officeDocument/2006/relationships/hyperlink" Target="http://ejcts.oxfordjournals.org/content/30/6/892.full.pdf" TargetMode="External"/><Relationship Id="rId364" Type="http://schemas.openxmlformats.org/officeDocument/2006/relationships/hyperlink" Target="http://onlinelibrary.wiley.com/store/10.1046/j.1365-3156.2003.01158.x/asset/j.1365-3156.2003.01158.x.pdf?v=1&amp;t=iagfxhob&amp;s=aeb4635832e92066da78409712e07e6d6a90810f" TargetMode="External"/><Relationship Id="rId61" Type="http://schemas.openxmlformats.org/officeDocument/2006/relationships/image" Target="media/image8.JPG"/><Relationship Id="rId82" Type="http://schemas.openxmlformats.org/officeDocument/2006/relationships/hyperlink" Target="http://www.nhmrc.gov.au/guidelines/publications/cp133-and-cp133a" TargetMode="External"/><Relationship Id="rId199" Type="http://schemas.openxmlformats.org/officeDocument/2006/relationships/hyperlink" Target="http://www.annalsthoracicsurgery.org/article/S0003-4975(02)04991-3/pdf" TargetMode="External"/><Relationship Id="rId203" Type="http://schemas.openxmlformats.org/officeDocument/2006/relationships/hyperlink" Target="http://www.ncbi.nlm.nih.gov/pubmed/19307809" TargetMode="External"/><Relationship Id="rId385" Type="http://schemas.openxmlformats.org/officeDocument/2006/relationships/hyperlink" Target="http://www.ncbi.nlm.nih.gov/pubmed/22818544" TargetMode="External"/><Relationship Id="rId19" Type="http://schemas.openxmlformats.org/officeDocument/2006/relationships/header" Target="header3.xml"/><Relationship Id="rId224" Type="http://schemas.openxmlformats.org/officeDocument/2006/relationships/hyperlink" Target="http://dx.doi.org/10.1213/ANE.0000000000000080" TargetMode="External"/><Relationship Id="rId245" Type="http://schemas.openxmlformats.org/officeDocument/2006/relationships/hyperlink" Target="http://www.ncbi.nlm.nih.gov/pubmed/23371895" TargetMode="External"/><Relationship Id="rId266" Type="http://schemas.openxmlformats.org/officeDocument/2006/relationships/hyperlink" Target="http://onlinelibrary.wiley.com/doi/10.1111/j.1537-2995.2007.01494.x/abstract" TargetMode="External"/><Relationship Id="rId287" Type="http://schemas.openxmlformats.org/officeDocument/2006/relationships/hyperlink" Target="http://www.ncbi.nlm.nih.gov/pubmed/21926663" TargetMode="External"/><Relationship Id="rId30" Type="http://schemas.openxmlformats.org/officeDocument/2006/relationships/footer" Target="footer5.xml"/><Relationship Id="rId105" Type="http://schemas.openxmlformats.org/officeDocument/2006/relationships/hyperlink" Target="http://dx.doi.org/10.2174/157339608785855983" TargetMode="External"/><Relationship Id="rId126" Type="http://schemas.openxmlformats.org/officeDocument/2006/relationships/hyperlink" Target="http://www.ncbi.nlm.nih.gov/pubmed/7886617" TargetMode="External"/><Relationship Id="rId147" Type="http://schemas.openxmlformats.org/officeDocument/2006/relationships/hyperlink" Target="http://www.embase.com/search/results?subaction=viewrecord&amp;from=export&amp;id=L47248848" TargetMode="External"/><Relationship Id="rId168" Type="http://schemas.openxmlformats.org/officeDocument/2006/relationships/hyperlink" Target="http://pediatrics.aappublications.org/content/103/2/e16.short" TargetMode="External"/><Relationship Id="rId312" Type="http://schemas.openxmlformats.org/officeDocument/2006/relationships/hyperlink" Target="http://www.ncbi.nlm.nih.gov/pubmed/25274764" TargetMode="External"/><Relationship Id="rId333" Type="http://schemas.openxmlformats.org/officeDocument/2006/relationships/hyperlink" Target="http://informahealthcare.com/doi/pdfplus/10.3111/13696998.2014.928638" TargetMode="External"/><Relationship Id="rId354" Type="http://schemas.openxmlformats.org/officeDocument/2006/relationships/hyperlink" Target="http://www.jvascsurg.org/article/S0741-5214(12)00077-8/pdf" TargetMode="External"/><Relationship Id="rId51" Type="http://schemas.openxmlformats.org/officeDocument/2006/relationships/header" Target="header23.xml"/><Relationship Id="rId72" Type="http://schemas.openxmlformats.org/officeDocument/2006/relationships/hyperlink" Target="http://www.ncbi.nlm.nih.gov/pubmed/24135983" TargetMode="External"/><Relationship Id="rId93" Type="http://schemas.openxmlformats.org/officeDocument/2006/relationships/hyperlink" Target="http://onlinelibrary.wiley.com/doi/10.1111/j.1365-3148.2012.01170.x/abstract" TargetMode="External"/><Relationship Id="rId189" Type="http://schemas.openxmlformats.org/officeDocument/2006/relationships/hyperlink" Target="http://www.ncbi.nlm.nih.gov/pubmed/16642027" TargetMode="External"/><Relationship Id="rId375" Type="http://schemas.openxmlformats.org/officeDocument/2006/relationships/hyperlink" Target="http://www.ncbi.nlm.nih.gov/pubmed/20638538" TargetMode="External"/><Relationship Id="rId3" Type="http://schemas.openxmlformats.org/officeDocument/2006/relationships/styles" Target="styles.xml"/><Relationship Id="rId214" Type="http://schemas.openxmlformats.org/officeDocument/2006/relationships/hyperlink" Target="http://www.ncbi.nlm.nih.gov/pubmed/8955465" TargetMode="External"/><Relationship Id="rId235" Type="http://schemas.openxmlformats.org/officeDocument/2006/relationships/hyperlink" Target="http://www.saudija.org/article.asp?issn=1658-354X;year=2013;volume=7;issue=3;spage=229;epage=233;aulast=Eldaba" TargetMode="External"/><Relationship Id="rId256" Type="http://schemas.openxmlformats.org/officeDocument/2006/relationships/hyperlink" Target="http://www.anzsbt.org.au/publications/documents/PLP_Guidelines_Mar07.pdf" TargetMode="External"/><Relationship Id="rId277" Type="http://schemas.openxmlformats.org/officeDocument/2006/relationships/hyperlink" Target="http://www.ncbi.nlm.nih.gov/pubmed/11284646" TargetMode="External"/><Relationship Id="rId298" Type="http://schemas.openxmlformats.org/officeDocument/2006/relationships/hyperlink" Target="http://www.ncbi.nlm.nih.gov/pubmed/21499175" TargetMode="External"/><Relationship Id="rId116" Type="http://schemas.openxmlformats.org/officeDocument/2006/relationships/hyperlink" Target="http://www.nejm.org/doi/pdf/10.1056/NEJMoa066240" TargetMode="External"/><Relationship Id="rId137" Type="http://schemas.openxmlformats.org/officeDocument/2006/relationships/hyperlink" Target="http://dx.doi.org/10.1097/PCC.0000000000000192" TargetMode="External"/><Relationship Id="rId158" Type="http://schemas.openxmlformats.org/officeDocument/2006/relationships/hyperlink" Target="http://www.ncbi.nlm.nih.gov/pubmed/19881390" TargetMode="External"/><Relationship Id="rId302" Type="http://schemas.openxmlformats.org/officeDocument/2006/relationships/hyperlink" Target="http://www.ncbi.nlm.nih.gov/pubmed/9356053" TargetMode="External"/><Relationship Id="rId323" Type="http://schemas.openxmlformats.org/officeDocument/2006/relationships/hyperlink" Target="http://www.bloodjournal.org/content/bloodjournal/119/7/1757.full.pdf" TargetMode="External"/><Relationship Id="rId344" Type="http://schemas.openxmlformats.org/officeDocument/2006/relationships/hyperlink" Target="http://ejcts.oxfordjournals.org/content/34/2/354.full.pdf" TargetMode="External"/><Relationship Id="rId20" Type="http://schemas.openxmlformats.org/officeDocument/2006/relationships/footer" Target="footer1.xml"/><Relationship Id="rId41" Type="http://schemas.openxmlformats.org/officeDocument/2006/relationships/header" Target="header17.xml"/><Relationship Id="rId62" Type="http://schemas.openxmlformats.org/officeDocument/2006/relationships/hyperlink" Target="http://www.blood.gov.au/pbm-module-1" TargetMode="External"/><Relationship Id="rId83" Type="http://schemas.openxmlformats.org/officeDocument/2006/relationships/hyperlink" Target="http://www.nhmrc.gov.au/guidelines/consult/consultations/add_levels_grades_dev_guidelines2.htm" TargetMode="External"/><Relationship Id="rId179" Type="http://schemas.openxmlformats.org/officeDocument/2006/relationships/hyperlink" Target="http://informahealthcare.com/doi/abs/10.3109/03630269.2012.697948" TargetMode="External"/><Relationship Id="rId365" Type="http://schemas.openxmlformats.org/officeDocument/2006/relationships/hyperlink" Target="http://www.ncbi.nlm.nih.gov/pubmed/25064710" TargetMode="External"/><Relationship Id="rId386" Type="http://schemas.openxmlformats.org/officeDocument/2006/relationships/hyperlink" Target="http://www.ncbi.nlm.nih.gov/pubmed/6378489" TargetMode="External"/><Relationship Id="rId190" Type="http://schemas.openxmlformats.org/officeDocument/2006/relationships/hyperlink" Target="http://fn.bmj.com/content/97/5/F348.long" TargetMode="External"/><Relationship Id="rId204" Type="http://schemas.openxmlformats.org/officeDocument/2006/relationships/hyperlink" Target="http://onlinelibrary.wiley.com/doi/10.1111/vox.12009/abstract" TargetMode="External"/><Relationship Id="rId225" Type="http://schemas.openxmlformats.org/officeDocument/2006/relationships/hyperlink" Target="http://dx.doi.org/10.1097/PCC.0b013e3181956d61" TargetMode="External"/><Relationship Id="rId246" Type="http://schemas.openxmlformats.org/officeDocument/2006/relationships/hyperlink" Target="http://www.ncbi.nlm.nih.gov/pubmed/25585004" TargetMode="External"/><Relationship Id="rId267" Type="http://schemas.openxmlformats.org/officeDocument/2006/relationships/hyperlink" Target="http://www.ncbi.nlm.nih.gov/pubmed/25854287" TargetMode="External"/><Relationship Id="rId288" Type="http://schemas.openxmlformats.org/officeDocument/2006/relationships/hyperlink" Target="http://www.ncbi.nlm.nih.gov/pubmed/2112346" TargetMode="External"/><Relationship Id="rId106" Type="http://schemas.openxmlformats.org/officeDocument/2006/relationships/hyperlink" Target="http://dx.doi.org/10.1111/jpc.12409" TargetMode="External"/><Relationship Id="rId127" Type="http://schemas.openxmlformats.org/officeDocument/2006/relationships/hyperlink" Target="http://dx.doi.org/10.1002/pbc.22957" TargetMode="External"/><Relationship Id="rId313" Type="http://schemas.openxmlformats.org/officeDocument/2006/relationships/hyperlink" Target="http://www.ncbi.nlm.nih.gov/pubmed/12406990" TargetMode="External"/><Relationship Id="rId10" Type="http://schemas.openxmlformats.org/officeDocument/2006/relationships/hyperlink" Target="http://creativecommons.org/licenses/by-nc-sa/3.0/au/" TargetMode="External"/><Relationship Id="rId31" Type="http://schemas.openxmlformats.org/officeDocument/2006/relationships/header" Target="header10.xml"/><Relationship Id="rId52" Type="http://schemas.openxmlformats.org/officeDocument/2006/relationships/header" Target="header24.xml"/><Relationship Id="rId73" Type="http://schemas.openxmlformats.org/officeDocument/2006/relationships/hyperlink" Target="http://www.ncbi.nlm.nih.gov/pubmed/20530168" TargetMode="External"/><Relationship Id="rId94" Type="http://schemas.openxmlformats.org/officeDocument/2006/relationships/hyperlink" Target="http://www.sciencedirect.com/science/article/pii/S0022347611002459" TargetMode="External"/><Relationship Id="rId148" Type="http://schemas.openxmlformats.org/officeDocument/2006/relationships/hyperlink" Target="http://www.embase.com/search/results?subaction=viewrecord&amp;from=export&amp;id=L27501001" TargetMode="External"/><Relationship Id="rId169" Type="http://schemas.openxmlformats.org/officeDocument/2006/relationships/hyperlink" Target="http://jco.ascopubs.org/content/22/10/1886.short" TargetMode="External"/><Relationship Id="rId334" Type="http://schemas.openxmlformats.org/officeDocument/2006/relationships/hyperlink" Target="http://www.annalsthoracicsurgery.org/article/S0003-4975(02)03512-9/pdf" TargetMode="External"/><Relationship Id="rId355" Type="http://schemas.openxmlformats.org/officeDocument/2006/relationships/hyperlink" Target="http://www.annalsthoracicsurgery.org/article/S0003-4975(09)01487-8/pdf" TargetMode="External"/><Relationship Id="rId376" Type="http://schemas.openxmlformats.org/officeDocument/2006/relationships/hyperlink" Target="http://www.ncbi.nlm.nih.gov/pubmed/23432321" TargetMode="External"/><Relationship Id="rId4" Type="http://schemas.microsoft.com/office/2007/relationships/stylesWithEffects" Target="stylesWithEffects.xml"/><Relationship Id="rId180" Type="http://schemas.openxmlformats.org/officeDocument/2006/relationships/hyperlink" Target="http://www.ncbi.nlm.nih.gov/pmc/articles/PMC3133619/pdf/nihms298546.pdf" TargetMode="External"/><Relationship Id="rId215" Type="http://schemas.openxmlformats.org/officeDocument/2006/relationships/hyperlink" Target="http://www.embase.com/search/results?subaction=viewrecord&amp;from=export&amp;id=L53004290" TargetMode="External"/><Relationship Id="rId236" Type="http://schemas.openxmlformats.org/officeDocument/2006/relationships/hyperlink" Target="http://anesthesiology.pubs.asahq.org/data/Journals/JASA/931106/0000542-201104000-00020.pdf" TargetMode="External"/><Relationship Id="rId257" Type="http://schemas.openxmlformats.org/officeDocument/2006/relationships/hyperlink" Target="http://www.ncbi.nlm.nih.gov/pubmed/20025760" TargetMode="External"/><Relationship Id="rId278" Type="http://schemas.openxmlformats.org/officeDocument/2006/relationships/hyperlink" Target="http://www.thelancet.com/journals/lancet/article/PIIS0140-6736(07)61198-2/abstract" TargetMode="External"/><Relationship Id="rId303" Type="http://schemas.openxmlformats.org/officeDocument/2006/relationships/hyperlink" Target="http://www.ncbi.nlm.nih.gov/pubmed/8403952" TargetMode="External"/><Relationship Id="rId42" Type="http://schemas.openxmlformats.org/officeDocument/2006/relationships/header" Target="header18.xml"/><Relationship Id="rId84" Type="http://schemas.openxmlformats.org/officeDocument/2006/relationships/hyperlink" Target="http://www1.wfh.org/publication/files/pdf-1472.pdf" TargetMode="External"/><Relationship Id="rId138" Type="http://schemas.openxmlformats.org/officeDocument/2006/relationships/hyperlink" Target="http://onlinelibrary.wiley.com/doi/10.1002/14651858.CD002042.pub3/pdf" TargetMode="External"/><Relationship Id="rId345" Type="http://schemas.openxmlformats.org/officeDocument/2006/relationships/hyperlink" Target="http://ejcts.oxfordjournals.org/content/22/2/200.full.pdf" TargetMode="External"/><Relationship Id="rId387" Type="http://schemas.openxmlformats.org/officeDocument/2006/relationships/hyperlink" Target="http://www.rcpch.ac.uk/improving-child-health/quality-improvement-and-clinical-audit/childrens-medicines/childrens-medicine" TargetMode="External"/><Relationship Id="rId191" Type="http://schemas.openxmlformats.org/officeDocument/2006/relationships/hyperlink" Target="http://www.ncbi.nlm.nih.gov/pubmed/24851997" TargetMode="External"/><Relationship Id="rId205" Type="http://schemas.openxmlformats.org/officeDocument/2006/relationships/hyperlink" Target="http://www.ncbi.nlm.nih.gov/pubmed/24746755" TargetMode="External"/><Relationship Id="rId247" Type="http://schemas.openxmlformats.org/officeDocument/2006/relationships/hyperlink" Target="http://www.embase.com/search/results?subaction=viewrecord&amp;from=export&amp;id=L43941581" TargetMode="External"/><Relationship Id="rId107" Type="http://schemas.openxmlformats.org/officeDocument/2006/relationships/hyperlink" Target="http://onlinelibrary.wiley.com/store/10.1111/j.1365-2141.2012.09180.x/asset/bjh9180.pdf?v=1&amp;t=i7cjieyn&amp;s=7bd53943fb622f00991723d31ed63825d6438702" TargetMode="External"/><Relationship Id="rId289" Type="http://schemas.openxmlformats.org/officeDocument/2006/relationships/hyperlink" Target="http://www.ncbi.nlm.nih.gov/pubmed/17291775" TargetMode="External"/><Relationship Id="rId11" Type="http://schemas.openxmlformats.org/officeDocument/2006/relationships/image" Target="media/image2.jpeg"/><Relationship Id="rId53" Type="http://schemas.openxmlformats.org/officeDocument/2006/relationships/hyperlink" Target="http://www.transfusion.com.au" TargetMode="External"/><Relationship Id="rId149" Type="http://schemas.openxmlformats.org/officeDocument/2006/relationships/hyperlink" Target="http://www.ncbi.nlm.nih.gov/pubmed/24760628" TargetMode="External"/><Relationship Id="rId314" Type="http://schemas.openxmlformats.org/officeDocument/2006/relationships/hyperlink" Target="http://www.ncbi.nlm.nih.gov/pubmed/15867038" TargetMode="External"/><Relationship Id="rId356" Type="http://schemas.openxmlformats.org/officeDocument/2006/relationships/hyperlink" Target="http://www.journalacs.org/article/S1072-7515(13)00325-6/abstract" TargetMode="External"/><Relationship Id="rId95" Type="http://schemas.openxmlformats.org/officeDocument/2006/relationships/hyperlink" Target="http://dx.doi.org/10.1136/bmjopen-2013-003823" TargetMode="External"/><Relationship Id="rId160" Type="http://schemas.openxmlformats.org/officeDocument/2006/relationships/hyperlink" Target="http://www.embase.com/search/results?subaction=viewrecord&amp;from=export&amp;id=L362839424" TargetMode="External"/><Relationship Id="rId216" Type="http://schemas.openxmlformats.org/officeDocument/2006/relationships/hyperlink" Target="http://www.ncbi.nlm.nih.gov/pubmed/23834341" TargetMode="External"/><Relationship Id="rId258" Type="http://schemas.openxmlformats.org/officeDocument/2006/relationships/hyperlink" Target="http://www.ncbi.nlm.nih.gov/pubmed/23045213" TargetMode="External"/><Relationship Id="rId22" Type="http://schemas.openxmlformats.org/officeDocument/2006/relationships/header" Target="header5.xml"/><Relationship Id="rId64" Type="http://schemas.openxmlformats.org/officeDocument/2006/relationships/hyperlink" Target="http://www.blood.gov.au/pbm-module-3" TargetMode="External"/><Relationship Id="rId118" Type="http://schemas.openxmlformats.org/officeDocument/2006/relationships/hyperlink" Target="http://www.ncbi.nlm.nih.gov/pubmed/10756076" TargetMode="External"/><Relationship Id="rId325" Type="http://schemas.openxmlformats.org/officeDocument/2006/relationships/hyperlink" Target="http://www.trasci.com/article/S1473-0502(06)00054-1/abstract" TargetMode="External"/><Relationship Id="rId367" Type="http://schemas.openxmlformats.org/officeDocument/2006/relationships/hyperlink" Target="http://www.ncbi.nlm.nih.gov/pubmed/21034387" TargetMode="External"/><Relationship Id="rId171" Type="http://schemas.openxmlformats.org/officeDocument/2006/relationships/hyperlink" Target="http://www.ncbi.nlm.nih.gov/pubmed/16034896" TargetMode="External"/><Relationship Id="rId227" Type="http://schemas.openxmlformats.org/officeDocument/2006/relationships/hyperlink" Target="http://www.ncbi.nlm.nih.gov/pubmed/22940882" TargetMode="External"/><Relationship Id="rId269" Type="http://schemas.openxmlformats.org/officeDocument/2006/relationships/hyperlink" Target="http://www.transfusionmedicine.ca/resources/clinical-guide-transfusion" TargetMode="External"/><Relationship Id="rId33" Type="http://schemas.openxmlformats.org/officeDocument/2006/relationships/footer" Target="footer6.xml"/><Relationship Id="rId129" Type="http://schemas.openxmlformats.org/officeDocument/2006/relationships/hyperlink" Target="http://www.ncbi.nlm.nih.gov/pubmed/22429563" TargetMode="External"/><Relationship Id="rId280" Type="http://schemas.openxmlformats.org/officeDocument/2006/relationships/hyperlink" Target="http://www.ncbi.nlm.nih.gov/pubmed/25537844" TargetMode="External"/><Relationship Id="rId336" Type="http://schemas.openxmlformats.org/officeDocument/2006/relationships/hyperlink" Target="http://link.springer.com/article/10.1007%2Fs00268-014-2552-9" TargetMode="External"/><Relationship Id="rId75" Type="http://schemas.openxmlformats.org/officeDocument/2006/relationships/hyperlink" Target="http://www.ncbi.nlm.nih.gov/pubmed/15198728" TargetMode="External"/><Relationship Id="rId140" Type="http://schemas.openxmlformats.org/officeDocument/2006/relationships/hyperlink" Target="http://onlinelibrary.wiley.com/store/10.1002/14651858.CD004868.pub3/asset/CD004868.pdf?v=1&amp;t=i7cj6vg7&amp;s=087822d8d9761f683303b3217245e028201185f4" TargetMode="External"/><Relationship Id="rId182" Type="http://schemas.openxmlformats.org/officeDocument/2006/relationships/hyperlink" Target="http://www.ncbi.nlm.nih.gov/pmc/articles/PMC3086684/pdf/nihms281836.pdf" TargetMode="External"/><Relationship Id="rId378" Type="http://schemas.openxmlformats.org/officeDocument/2006/relationships/hyperlink" Target="http://www.blood.gov.au/implementing-pbm" TargetMode="External"/><Relationship Id="rId6" Type="http://schemas.openxmlformats.org/officeDocument/2006/relationships/webSettings" Target="webSettings.xml"/><Relationship Id="rId238" Type="http://schemas.openxmlformats.org/officeDocument/2006/relationships/hyperlink" Target="http://www.ncbi.nlm.nih.gov/pubmed/21959429" TargetMode="External"/><Relationship Id="rId291" Type="http://schemas.openxmlformats.org/officeDocument/2006/relationships/hyperlink" Target="http://onlinelibrary.wiley.com/doi/10.1111/j.0001-6349.2004.00394.x/abstract" TargetMode="External"/><Relationship Id="rId305" Type="http://schemas.openxmlformats.org/officeDocument/2006/relationships/hyperlink" Target="http://www.ncbi.nlm.nih.gov/pubmed/22818543" TargetMode="External"/><Relationship Id="rId347" Type="http://schemas.openxmlformats.org/officeDocument/2006/relationships/hyperlink" Target="http://www.surgjournal.com/article/S0039-6060(01)81890-0/abstract" TargetMode="External"/><Relationship Id="rId44" Type="http://schemas.openxmlformats.org/officeDocument/2006/relationships/hyperlink" Target="https://www.ebs.tga.gov.au/ebs/picmi/picmirepository.nsf/PICMI?OpenForm&amp;t=&amp;q=iron%20sucrose&amp;r=http://www.pbs.gov.au/medicine/item/2593L-2805P" TargetMode="External"/><Relationship Id="rId86" Type="http://schemas.openxmlformats.org/officeDocument/2006/relationships/hyperlink" Target="http://www.biomedcentral.com/content/pdf/1472-6963-13-250.pdf" TargetMode="External"/><Relationship Id="rId151" Type="http://schemas.openxmlformats.org/officeDocument/2006/relationships/hyperlink" Target="http://www.ncbi.nlm.nih.gov/pubmed/19336381" TargetMode="External"/><Relationship Id="rId389" Type="http://schemas.openxmlformats.org/officeDocument/2006/relationships/hyperlink" Target="http://www.ncbi.nlm.nih.gov/pubmed/15970617" TargetMode="External"/><Relationship Id="rId193" Type="http://schemas.openxmlformats.org/officeDocument/2006/relationships/hyperlink" Target="http://www.ncbi.nlm.nih.gov/pubmed/4750180" TargetMode="External"/><Relationship Id="rId207" Type="http://schemas.openxmlformats.org/officeDocument/2006/relationships/hyperlink" Target="http://dx.doi.org/10.1097/AOG.0000000000000324" TargetMode="External"/><Relationship Id="rId249" Type="http://schemas.openxmlformats.org/officeDocument/2006/relationships/hyperlink" Target="http://www.ncbi.nlm.nih.gov/pubmed/20412810" TargetMode="External"/><Relationship Id="rId13" Type="http://schemas.openxmlformats.org/officeDocument/2006/relationships/hyperlink" Target="mailto:guidelines@blood.gov.au" TargetMode="External"/><Relationship Id="rId109" Type="http://schemas.openxmlformats.org/officeDocument/2006/relationships/hyperlink" Target="http://www.ncbi.nlm.nih.gov/pmc/articles/PMC2866196/pdf/nihms-199759.pdf" TargetMode="External"/><Relationship Id="rId260" Type="http://schemas.openxmlformats.org/officeDocument/2006/relationships/hyperlink" Target="http://www.ncbi.nlm.nih.gov/pubmed/20377853" TargetMode="External"/><Relationship Id="rId316" Type="http://schemas.openxmlformats.org/officeDocument/2006/relationships/hyperlink" Target="http://www.csl.com.au/productfinder/prothrombinexau" TargetMode="External"/><Relationship Id="rId55" Type="http://schemas.openxmlformats.org/officeDocument/2006/relationships/header" Target="header26.xml"/><Relationship Id="rId97" Type="http://schemas.openxmlformats.org/officeDocument/2006/relationships/hyperlink" Target="http://dx.doi.org/10.1093/tropej/fmt036" TargetMode="External"/><Relationship Id="rId120" Type="http://schemas.openxmlformats.org/officeDocument/2006/relationships/hyperlink" Target="http://dx.doi.org/10.3310/hta16430" TargetMode="External"/><Relationship Id="rId358" Type="http://schemas.openxmlformats.org/officeDocument/2006/relationships/hyperlink" Target="http://www.annalsthoracicsurgery.org/article/S0003-4975(09)00382-8/pdf" TargetMode="External"/><Relationship Id="rId162" Type="http://schemas.openxmlformats.org/officeDocument/2006/relationships/hyperlink" Target="http://informahealthcare.com/doi/abs/10.1185/030079907X242601%20" TargetMode="External"/><Relationship Id="rId218" Type="http://schemas.openxmlformats.org/officeDocument/2006/relationships/hyperlink" Target="http://www.joms.org/article/S0278-2391(96)90679-5/abstract" TargetMode="External"/><Relationship Id="rId271" Type="http://schemas.openxmlformats.org/officeDocument/2006/relationships/hyperlink" Target="https://www.gov.uk/government/uploads/system/uploads/attachment_data/file/215125/dh_133086.pdf" TargetMode="External"/><Relationship Id="rId24" Type="http://schemas.openxmlformats.org/officeDocument/2006/relationships/header" Target="header6.xml"/><Relationship Id="rId66" Type="http://schemas.openxmlformats.org/officeDocument/2006/relationships/hyperlink" Target="http://www.blood.gov.au/pbm-module-5" TargetMode="External"/><Relationship Id="rId131" Type="http://schemas.openxmlformats.org/officeDocument/2006/relationships/hyperlink" Target="http://dx.doi.org/10.1097/PCC.0b013e3181e329db" TargetMode="External"/><Relationship Id="rId327" Type="http://schemas.openxmlformats.org/officeDocument/2006/relationships/hyperlink" Target="http://www.ncbi.nlm.nih.gov/pmc/articles/PMC3006039/pdf/nihms219753.pdf" TargetMode="External"/><Relationship Id="rId369" Type="http://schemas.openxmlformats.org/officeDocument/2006/relationships/hyperlink" Target="http://pediatriccare.solutions.aap.org/Content.aspx?gbosid=165534" TargetMode="External"/><Relationship Id="rId173" Type="http://schemas.openxmlformats.org/officeDocument/2006/relationships/hyperlink" Target="http://www.ncbi.nlm.nih.gov/pubmed/22258974" TargetMode="External"/><Relationship Id="rId229" Type="http://schemas.openxmlformats.org/officeDocument/2006/relationships/hyperlink" Target="http://www.embase.com/search/results?subaction=viewrecord&amp;from=export&amp;id=L28308473" TargetMode="External"/><Relationship Id="rId380" Type="http://schemas.openxmlformats.org/officeDocument/2006/relationships/hyperlink" Target="http://www.blood.gov.au/education-and-training" TargetMode="External"/><Relationship Id="rId240" Type="http://schemas.openxmlformats.org/officeDocument/2006/relationships/hyperlink" Target="http://ejcts.oxfordjournals.org/content/42/5/781.full.pdf" TargetMode="External"/><Relationship Id="rId35" Type="http://schemas.openxmlformats.org/officeDocument/2006/relationships/header" Target="header12.xml"/><Relationship Id="rId77" Type="http://schemas.openxmlformats.org/officeDocument/2006/relationships/hyperlink" Target="http://www.anzsbt.org.au/publications/index.cfm" TargetMode="External"/><Relationship Id="rId100" Type="http://schemas.openxmlformats.org/officeDocument/2006/relationships/hyperlink" Target="http://www.jfma-online.com/article/S0929-6646(12)00236-7/pdf" TargetMode="External"/><Relationship Id="rId282" Type="http://schemas.openxmlformats.org/officeDocument/2006/relationships/hyperlink" Target="https://www.thieme-connect.com/DOI/DOI?10.1055/s-0030-1249065" TargetMode="External"/><Relationship Id="rId338" Type="http://schemas.openxmlformats.org/officeDocument/2006/relationships/hyperlink" Target="http://www.annalsthoracicsurgery.org/article/S0003-4975(10)60967-8/pdf" TargetMode="External"/><Relationship Id="rId8" Type="http://schemas.openxmlformats.org/officeDocument/2006/relationships/endnotes" Target="endnotes.xml"/><Relationship Id="rId142" Type="http://schemas.openxmlformats.org/officeDocument/2006/relationships/hyperlink" Target="http://www.nature.com/jp/journal/v24/n1/pdf/7211018a.pdf" TargetMode="External"/><Relationship Id="rId184" Type="http://schemas.openxmlformats.org/officeDocument/2006/relationships/hyperlink" Target="http://www.jppt.org/doi/abs/10.5863/1551-6776-11.2.101" TargetMode="External"/><Relationship Id="rId391" Type="http://schemas.openxmlformats.org/officeDocument/2006/relationships/theme" Target="theme/theme1.xml"/><Relationship Id="rId251" Type="http://schemas.openxmlformats.org/officeDocument/2006/relationships/hyperlink" Target="http://www.ncbi.nlm.nih.gov/pubmed/12415514" TargetMode="External"/><Relationship Id="rId46" Type="http://schemas.openxmlformats.org/officeDocument/2006/relationships/header" Target="header19.xml"/><Relationship Id="rId293" Type="http://schemas.openxmlformats.org/officeDocument/2006/relationships/hyperlink" Target="http://www.ajog.org/article/S0002-9378(06)00447-9/abstract" TargetMode="External"/><Relationship Id="rId307" Type="http://schemas.openxmlformats.org/officeDocument/2006/relationships/hyperlink" Target="http://www.ncbi.nlm.nih.gov/pubmed/25300949" TargetMode="External"/><Relationship Id="rId349" Type="http://schemas.openxmlformats.org/officeDocument/2006/relationships/hyperlink" Target="http://www.journalacs.org/article/S1072-7515(07)00456-5/abstract" TargetMode="External"/><Relationship Id="rId88" Type="http://schemas.openxmlformats.org/officeDocument/2006/relationships/hyperlink" Target="http://www.dldjournalonline.com/article/S1590-8658(04)00126-4/abstract" TargetMode="External"/><Relationship Id="rId111" Type="http://schemas.openxmlformats.org/officeDocument/2006/relationships/hyperlink" Target="http://www.jpeds.com/article/S0022-3476(06)00444-6/abstract" TargetMode="External"/><Relationship Id="rId153" Type="http://schemas.openxmlformats.org/officeDocument/2006/relationships/hyperlink" Target="http://www.ncbi.nlm.nih.gov/pubmed/22794149" TargetMode="External"/><Relationship Id="rId195" Type="http://schemas.openxmlformats.org/officeDocument/2006/relationships/hyperlink" Target="http://www.ncbi.nlm.nih.gov/pubmed/25537844" TargetMode="External"/><Relationship Id="rId209" Type="http://schemas.openxmlformats.org/officeDocument/2006/relationships/hyperlink" Target="http://www.embase.com/search/results?subaction=viewrecord&amp;from=export&amp;id=L361595745" TargetMode="External"/><Relationship Id="rId360" Type="http://schemas.openxmlformats.org/officeDocument/2006/relationships/hyperlink" Target="http://www.aornjournal.org/article/S0001-2092(13)00907-1/abstract" TargetMode="External"/><Relationship Id="rId220" Type="http://schemas.openxmlformats.org/officeDocument/2006/relationships/hyperlink" Target="http://link.springer.com/article/10.1007%2Fs00246-012-0606-z" TargetMode="External"/><Relationship Id="rId15" Type="http://schemas.openxmlformats.org/officeDocument/2006/relationships/hyperlink" Target="http://www.blood.gov.au" TargetMode="External"/><Relationship Id="rId57" Type="http://schemas.openxmlformats.org/officeDocument/2006/relationships/hyperlink" Target="http://www.nzblood.co.nz/" TargetMode="External"/><Relationship Id="rId262" Type="http://schemas.openxmlformats.org/officeDocument/2006/relationships/hyperlink" Target="http://www.ncbi.nlm.nih.gov/pubmed/17470588" TargetMode="External"/><Relationship Id="rId318" Type="http://schemas.openxmlformats.org/officeDocument/2006/relationships/hyperlink" Target="http://www.thrombosisresearch.com/article/S0049-3848(12)00759-1/abstract" TargetMode="External"/><Relationship Id="rId99" Type="http://schemas.openxmlformats.org/officeDocument/2006/relationships/hyperlink" Target="http://dx.doi.org/10.12996/gmj.2013.31" TargetMode="External"/><Relationship Id="rId122" Type="http://schemas.openxmlformats.org/officeDocument/2006/relationships/hyperlink" Target="http://archneur.jamanetwork.com/data/Journals/NEUR/6833/NOC10072.pdf" TargetMode="External"/><Relationship Id="rId164" Type="http://schemas.openxmlformats.org/officeDocument/2006/relationships/hyperlink" Target="http://onlinelibrary.wiley.com/doi/10.1002/14651858.CD003407.pub5/pdf" TargetMode="External"/><Relationship Id="rId371" Type="http://schemas.openxmlformats.org/officeDocument/2006/relationships/hyperlink" Target="http://www.ncbi.nlm.nih.gov/pubmed/25326048" TargetMode="External"/><Relationship Id="rId26" Type="http://schemas.openxmlformats.org/officeDocument/2006/relationships/header" Target="header7.xml"/><Relationship Id="rId231" Type="http://schemas.openxmlformats.org/officeDocument/2006/relationships/hyperlink" Target="http://www.embase.com/search/results?subaction=viewrecord&amp;from=export&amp;id=L47250242" TargetMode="External"/><Relationship Id="rId273" Type="http://schemas.openxmlformats.org/officeDocument/2006/relationships/hyperlink" Target="http://onlinelibrary.wiley.com/doi/10.1111/j.1537-2995.2012.03739.x/abstract" TargetMode="External"/><Relationship Id="rId329" Type="http://schemas.openxmlformats.org/officeDocument/2006/relationships/hyperlink" Target="http://onlinelibrary.wiley.com/doi/10.1111/j.1537-2995.2010.02622.x/abstract" TargetMode="External"/><Relationship Id="rId68" Type="http://schemas.openxmlformats.org/officeDocument/2006/relationships/hyperlink" Target="http://www.nejm.org/doi/pdf/10.1056/NEJM199807023390102" TargetMode="External"/><Relationship Id="rId133" Type="http://schemas.openxmlformats.org/officeDocument/2006/relationships/hyperlink" Target="http://dx.doi.org/10.1097/SLA.0b013e3181c5dc2e" TargetMode="External"/><Relationship Id="rId175" Type="http://schemas.openxmlformats.org/officeDocument/2006/relationships/hyperlink" Target="http://www.ncbi.nlm.nih.gov/pubmed/19903897" TargetMode="External"/><Relationship Id="rId340" Type="http://schemas.openxmlformats.org/officeDocument/2006/relationships/hyperlink" Target="http://www.annalsthoracicsurgery.org/article/S0003-4975(13)01900-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ana.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ary\AppData\Roaming\Microsoft\Templates\NBA-2%20(11Mar10)-compatib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CF831-FA46-4D87-9CEE-03D0C53F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NBA-2 (11Mar10)-compatible.dot</Template>
  <TotalTime>1</TotalTime>
  <Pages>41</Pages>
  <Words>73913</Words>
  <Characters>449066</Characters>
  <Application>Microsoft Office Word</Application>
  <DocSecurity>0</DocSecurity>
  <Lines>11415</Lines>
  <Paragraphs>6311</Paragraphs>
  <ScaleCrop>false</ScaleCrop>
  <HeadingPairs>
    <vt:vector size="2" baseType="variant">
      <vt:variant>
        <vt:lpstr>Title</vt:lpstr>
      </vt:variant>
      <vt:variant>
        <vt:i4>1</vt:i4>
      </vt:variant>
    </vt:vector>
  </HeadingPairs>
  <TitlesOfParts>
    <vt:vector size="1" baseType="lpstr">
      <vt:lpstr>NBA-G1-O1-ORI(29Dec09)</vt:lpstr>
    </vt:vector>
  </TitlesOfParts>
  <Company>dpplus</Company>
  <LinksUpToDate>false</LinksUpToDate>
  <CharactersWithSpaces>518108</CharactersWithSpaces>
  <SharedDoc>false</SharedDoc>
  <HLinks>
    <vt:vector size="1818" baseType="variant">
      <vt:variant>
        <vt:i4>3670063</vt:i4>
      </vt:variant>
      <vt:variant>
        <vt:i4>1881</vt:i4>
      </vt:variant>
      <vt:variant>
        <vt:i4>0</vt:i4>
      </vt:variant>
      <vt:variant>
        <vt:i4>5</vt:i4>
      </vt:variant>
      <vt:variant>
        <vt:lpwstr>http://www.ncbi.nlm.nih.gov/pubmed/8872334</vt:lpwstr>
      </vt:variant>
      <vt:variant>
        <vt:lpwstr/>
      </vt:variant>
      <vt:variant>
        <vt:i4>3342373</vt:i4>
      </vt:variant>
      <vt:variant>
        <vt:i4>1878</vt:i4>
      </vt:variant>
      <vt:variant>
        <vt:i4>0</vt:i4>
      </vt:variant>
      <vt:variant>
        <vt:i4>5</vt:i4>
      </vt:variant>
      <vt:variant>
        <vt:lpwstr>http://www.ncbi.nlm.nih.gov/pubmed/20603348</vt:lpwstr>
      </vt:variant>
      <vt:variant>
        <vt:lpwstr/>
      </vt:variant>
      <vt:variant>
        <vt:i4>458765</vt:i4>
      </vt:variant>
      <vt:variant>
        <vt:i4>1875</vt:i4>
      </vt:variant>
      <vt:variant>
        <vt:i4>0</vt:i4>
      </vt:variant>
      <vt:variant>
        <vt:i4>5</vt:i4>
      </vt:variant>
      <vt:variant>
        <vt:lpwstr>http://www.achs.org.au/achs-nsqhs-standards/</vt:lpwstr>
      </vt:variant>
      <vt:variant>
        <vt:lpwstr/>
      </vt:variant>
      <vt:variant>
        <vt:i4>786437</vt:i4>
      </vt:variant>
      <vt:variant>
        <vt:i4>1872</vt:i4>
      </vt:variant>
      <vt:variant>
        <vt:i4>0</vt:i4>
      </vt:variant>
      <vt:variant>
        <vt:i4>5</vt:i4>
      </vt:variant>
      <vt:variant>
        <vt:lpwstr>http://www.blood.gov.au/implementing-pbm</vt:lpwstr>
      </vt:variant>
      <vt:variant>
        <vt:lpwstr/>
      </vt:variant>
      <vt:variant>
        <vt:i4>3276836</vt:i4>
      </vt:variant>
      <vt:variant>
        <vt:i4>1869</vt:i4>
      </vt:variant>
      <vt:variant>
        <vt:i4>0</vt:i4>
      </vt:variant>
      <vt:variant>
        <vt:i4>5</vt:i4>
      </vt:variant>
      <vt:variant>
        <vt:lpwstr>http://www.ncbi.nlm.nih.gov/pubmed/18422857</vt:lpwstr>
      </vt:variant>
      <vt:variant>
        <vt:lpwstr/>
      </vt:variant>
      <vt:variant>
        <vt:i4>6094926</vt:i4>
      </vt:variant>
      <vt:variant>
        <vt:i4>1866</vt:i4>
      </vt:variant>
      <vt:variant>
        <vt:i4>0</vt:i4>
      </vt:variant>
      <vt:variant>
        <vt:i4>5</vt:i4>
      </vt:variant>
      <vt:variant>
        <vt:lpwstr>http://www.gov.uk/government/uploads/system/uploads/attachment_data/file/215125/dh_133086.pdf</vt:lpwstr>
      </vt:variant>
      <vt:variant>
        <vt:lpwstr/>
      </vt:variant>
      <vt:variant>
        <vt:i4>458763</vt:i4>
      </vt:variant>
      <vt:variant>
        <vt:i4>1863</vt:i4>
      </vt:variant>
      <vt:variant>
        <vt:i4>0</vt:i4>
      </vt:variant>
      <vt:variant>
        <vt:i4>5</vt:i4>
      </vt:variant>
      <vt:variant>
        <vt:lpwstr>http://www.coroners.lawlink.nsw.gov.au/agdbasev7wr/_assets/coroners/m401601l6/83_murrayfindings.pdf</vt:lpwstr>
      </vt:variant>
      <vt:variant>
        <vt:lpwstr/>
      </vt:variant>
      <vt:variant>
        <vt:i4>3014713</vt:i4>
      </vt:variant>
      <vt:variant>
        <vt:i4>1860</vt:i4>
      </vt:variant>
      <vt:variant>
        <vt:i4>0</vt:i4>
      </vt:variant>
      <vt:variant>
        <vt:i4>5</vt:i4>
      </vt:variant>
      <vt:variant>
        <vt:lpwstr>http://www.anzsbt.org.au/publications/documents/PLP_Guidelines_Mar07.pdf</vt:lpwstr>
      </vt:variant>
      <vt:variant>
        <vt:lpwstr/>
      </vt:variant>
      <vt:variant>
        <vt:i4>3604522</vt:i4>
      </vt:variant>
      <vt:variant>
        <vt:i4>1857</vt:i4>
      </vt:variant>
      <vt:variant>
        <vt:i4>0</vt:i4>
      </vt:variant>
      <vt:variant>
        <vt:i4>5</vt:i4>
      </vt:variant>
      <vt:variant>
        <vt:lpwstr>http://www.ncbi.nlm.nih.gov/pubmed/17486340</vt:lpwstr>
      </vt:variant>
      <vt:variant>
        <vt:lpwstr/>
      </vt:variant>
      <vt:variant>
        <vt:i4>3342381</vt:i4>
      </vt:variant>
      <vt:variant>
        <vt:i4>1854</vt:i4>
      </vt:variant>
      <vt:variant>
        <vt:i4>0</vt:i4>
      </vt:variant>
      <vt:variant>
        <vt:i4>5</vt:i4>
      </vt:variant>
      <vt:variant>
        <vt:lpwstr>http://www.ncbi.nlm.nih.gov/pubmed/3228416</vt:lpwstr>
      </vt:variant>
      <vt:variant>
        <vt:lpwstr/>
      </vt:variant>
      <vt:variant>
        <vt:i4>3932203</vt:i4>
      </vt:variant>
      <vt:variant>
        <vt:i4>1851</vt:i4>
      </vt:variant>
      <vt:variant>
        <vt:i4>0</vt:i4>
      </vt:variant>
      <vt:variant>
        <vt:i4>5</vt:i4>
      </vt:variant>
      <vt:variant>
        <vt:lpwstr>http://www.ncbi.nlm.nih.gov/pubmed/19450192</vt:lpwstr>
      </vt:variant>
      <vt:variant>
        <vt:lpwstr/>
      </vt:variant>
      <vt:variant>
        <vt:i4>3866659</vt:i4>
      </vt:variant>
      <vt:variant>
        <vt:i4>1848</vt:i4>
      </vt:variant>
      <vt:variant>
        <vt:i4>0</vt:i4>
      </vt:variant>
      <vt:variant>
        <vt:i4>5</vt:i4>
      </vt:variant>
      <vt:variant>
        <vt:lpwstr>http://www.ncbi.nlm.nih.gov/pubmed/19943809</vt:lpwstr>
      </vt:variant>
      <vt:variant>
        <vt:lpwstr/>
      </vt:variant>
      <vt:variant>
        <vt:i4>3407916</vt:i4>
      </vt:variant>
      <vt:variant>
        <vt:i4>1845</vt:i4>
      </vt:variant>
      <vt:variant>
        <vt:i4>0</vt:i4>
      </vt:variant>
      <vt:variant>
        <vt:i4>5</vt:i4>
      </vt:variant>
      <vt:variant>
        <vt:lpwstr>http://www.ncbi.nlm.nih.gov/pubmed/19566563</vt:lpwstr>
      </vt:variant>
      <vt:variant>
        <vt:lpwstr/>
      </vt:variant>
      <vt:variant>
        <vt:i4>3932198</vt:i4>
      </vt:variant>
      <vt:variant>
        <vt:i4>1842</vt:i4>
      </vt:variant>
      <vt:variant>
        <vt:i4>0</vt:i4>
      </vt:variant>
      <vt:variant>
        <vt:i4>5</vt:i4>
      </vt:variant>
      <vt:variant>
        <vt:lpwstr>http://www.ncbi.nlm.nih.gov/pubmed/15748129</vt:lpwstr>
      </vt:variant>
      <vt:variant>
        <vt:lpwstr/>
      </vt:variant>
      <vt:variant>
        <vt:i4>4128805</vt:i4>
      </vt:variant>
      <vt:variant>
        <vt:i4>1839</vt:i4>
      </vt:variant>
      <vt:variant>
        <vt:i4>0</vt:i4>
      </vt:variant>
      <vt:variant>
        <vt:i4>5</vt:i4>
      </vt:variant>
      <vt:variant>
        <vt:lpwstr>http://www.ncbi.nlm.nih.gov/pubmed/21249666</vt:lpwstr>
      </vt:variant>
      <vt:variant>
        <vt:lpwstr/>
      </vt:variant>
      <vt:variant>
        <vt:i4>4521998</vt:i4>
      </vt:variant>
      <vt:variant>
        <vt:i4>1836</vt:i4>
      </vt:variant>
      <vt:variant>
        <vt:i4>0</vt:i4>
      </vt:variant>
      <vt:variant>
        <vt:i4>5</vt:i4>
      </vt:variant>
      <vt:variant>
        <vt:lpwstr>http://dx.doi.org/10.1055/s-0032-1326986</vt:lpwstr>
      </vt:variant>
      <vt:variant>
        <vt:lpwstr/>
      </vt:variant>
      <vt:variant>
        <vt:i4>7798824</vt:i4>
      </vt:variant>
      <vt:variant>
        <vt:i4>1833</vt:i4>
      </vt:variant>
      <vt:variant>
        <vt:i4>0</vt:i4>
      </vt:variant>
      <vt:variant>
        <vt:i4>5</vt:i4>
      </vt:variant>
      <vt:variant>
        <vt:lpwstr>http://dx.doi.org/10.1007/s00404-012-2593-y</vt:lpwstr>
      </vt:variant>
      <vt:variant>
        <vt:lpwstr/>
      </vt:variant>
      <vt:variant>
        <vt:i4>8126508</vt:i4>
      </vt:variant>
      <vt:variant>
        <vt:i4>1830</vt:i4>
      </vt:variant>
      <vt:variant>
        <vt:i4>0</vt:i4>
      </vt:variant>
      <vt:variant>
        <vt:i4>5</vt:i4>
      </vt:variant>
      <vt:variant>
        <vt:lpwstr>http://dx.doi.org/10.1007/s00404-012-2624-8</vt:lpwstr>
      </vt:variant>
      <vt:variant>
        <vt:lpwstr/>
      </vt:variant>
      <vt:variant>
        <vt:i4>4587530</vt:i4>
      </vt:variant>
      <vt:variant>
        <vt:i4>1827</vt:i4>
      </vt:variant>
      <vt:variant>
        <vt:i4>0</vt:i4>
      </vt:variant>
      <vt:variant>
        <vt:i4>5</vt:i4>
      </vt:variant>
      <vt:variant>
        <vt:lpwstr>http://dx.doi.org/10.1055/s-0030-1268238</vt:lpwstr>
      </vt:variant>
      <vt:variant>
        <vt:lpwstr/>
      </vt:variant>
      <vt:variant>
        <vt:i4>7798833</vt:i4>
      </vt:variant>
      <vt:variant>
        <vt:i4>1824</vt:i4>
      </vt:variant>
      <vt:variant>
        <vt:i4>0</vt:i4>
      </vt:variant>
      <vt:variant>
        <vt:i4>5</vt:i4>
      </vt:variant>
      <vt:variant>
        <vt:lpwstr>http://dx.doi.org/10.1016/S0301-2115(03)00287-2</vt:lpwstr>
      </vt:variant>
      <vt:variant>
        <vt:lpwstr/>
      </vt:variant>
      <vt:variant>
        <vt:i4>6553709</vt:i4>
      </vt:variant>
      <vt:variant>
        <vt:i4>1821</vt:i4>
      </vt:variant>
      <vt:variant>
        <vt:i4>0</vt:i4>
      </vt:variant>
      <vt:variant>
        <vt:i4>5</vt:i4>
      </vt:variant>
      <vt:variant>
        <vt:lpwstr>http://dx.doi.org/10.1080/00016340701619324</vt:lpwstr>
      </vt:variant>
      <vt:variant>
        <vt:lpwstr/>
      </vt:variant>
      <vt:variant>
        <vt:i4>2490406</vt:i4>
      </vt:variant>
      <vt:variant>
        <vt:i4>1818</vt:i4>
      </vt:variant>
      <vt:variant>
        <vt:i4>0</vt:i4>
      </vt:variant>
      <vt:variant>
        <vt:i4>5</vt:i4>
      </vt:variant>
      <vt:variant>
        <vt:lpwstr>http://dx.doi.org/10.1111/j.1399-6576.2007.01323.x</vt:lpwstr>
      </vt:variant>
      <vt:variant>
        <vt:lpwstr/>
      </vt:variant>
      <vt:variant>
        <vt:i4>4456542</vt:i4>
      </vt:variant>
      <vt:variant>
        <vt:i4>1815</vt:i4>
      </vt:variant>
      <vt:variant>
        <vt:i4>0</vt:i4>
      </vt:variant>
      <vt:variant>
        <vt:i4>5</vt:i4>
      </vt:variant>
      <vt:variant>
        <vt:lpwstr>http://www.sahealth.sa.gov.au/wps/wcm/connect/1bf9b8004ee1dd0aacefadd150ce4f37/Balloon-tamponade-uterine-pack-PPH-WCHN-PPG-22052012.pdf?MOD=AJPERES&amp;CACHEID=1bf9b8004ee1dd0aacefadd150ce4f37</vt:lpwstr>
      </vt:variant>
      <vt:variant>
        <vt:lpwstr/>
      </vt:variant>
      <vt:variant>
        <vt:i4>3538983</vt:i4>
      </vt:variant>
      <vt:variant>
        <vt:i4>1812</vt:i4>
      </vt:variant>
      <vt:variant>
        <vt:i4>0</vt:i4>
      </vt:variant>
      <vt:variant>
        <vt:i4>5</vt:i4>
      </vt:variant>
      <vt:variant>
        <vt:lpwstr>http://www.ncbi.nlm.nih.gov/pubmed/14747177</vt:lpwstr>
      </vt:variant>
      <vt:variant>
        <vt:lpwstr/>
      </vt:variant>
      <vt:variant>
        <vt:i4>6094859</vt:i4>
      </vt:variant>
      <vt:variant>
        <vt:i4>1809</vt:i4>
      </vt:variant>
      <vt:variant>
        <vt:i4>0</vt:i4>
      </vt:variant>
      <vt:variant>
        <vt:i4>5</vt:i4>
      </vt:variant>
      <vt:variant>
        <vt:lpwstr>http://dx.doi.org/10.1016/j.ajog.2012.06.007</vt:lpwstr>
      </vt:variant>
      <vt:variant>
        <vt:lpwstr/>
      </vt:variant>
      <vt:variant>
        <vt:i4>4587536</vt:i4>
      </vt:variant>
      <vt:variant>
        <vt:i4>1806</vt:i4>
      </vt:variant>
      <vt:variant>
        <vt:i4>0</vt:i4>
      </vt:variant>
      <vt:variant>
        <vt:i4>5</vt:i4>
      </vt:variant>
      <vt:variant>
        <vt:lpwstr>http://dx.doi.org/10.1002/(SICI)1520-6661(199907/08)8:4%3c173::AID-MFM7%3e3.0.CO;2-V</vt:lpwstr>
      </vt:variant>
      <vt:variant>
        <vt:lpwstr/>
      </vt:variant>
      <vt:variant>
        <vt:i4>8060971</vt:i4>
      </vt:variant>
      <vt:variant>
        <vt:i4>1803</vt:i4>
      </vt:variant>
      <vt:variant>
        <vt:i4>0</vt:i4>
      </vt:variant>
      <vt:variant>
        <vt:i4>5</vt:i4>
      </vt:variant>
      <vt:variant>
        <vt:lpwstr>http://dx.doi.org/10.1007/s00270-005-0023-2</vt:lpwstr>
      </vt:variant>
      <vt:variant>
        <vt:lpwstr/>
      </vt:variant>
      <vt:variant>
        <vt:i4>3407990</vt:i4>
      </vt:variant>
      <vt:variant>
        <vt:i4>1800</vt:i4>
      </vt:variant>
      <vt:variant>
        <vt:i4>0</vt:i4>
      </vt:variant>
      <vt:variant>
        <vt:i4>5</vt:i4>
      </vt:variant>
      <vt:variant>
        <vt:lpwstr>http://dx.doi.org/10.1089/gyn.2011.0096</vt:lpwstr>
      </vt:variant>
      <vt:variant>
        <vt:lpwstr/>
      </vt:variant>
      <vt:variant>
        <vt:i4>4587526</vt:i4>
      </vt:variant>
      <vt:variant>
        <vt:i4>1797</vt:i4>
      </vt:variant>
      <vt:variant>
        <vt:i4>0</vt:i4>
      </vt:variant>
      <vt:variant>
        <vt:i4>5</vt:i4>
      </vt:variant>
      <vt:variant>
        <vt:lpwstr>http://dx.doi.org/10.1016/j.crad.2011.10.031</vt:lpwstr>
      </vt:variant>
      <vt:variant>
        <vt:lpwstr/>
      </vt:variant>
      <vt:variant>
        <vt:i4>7995444</vt:i4>
      </vt:variant>
      <vt:variant>
        <vt:i4>1794</vt:i4>
      </vt:variant>
      <vt:variant>
        <vt:i4>0</vt:i4>
      </vt:variant>
      <vt:variant>
        <vt:i4>5</vt:i4>
      </vt:variant>
      <vt:variant>
        <vt:lpwstr>http://www.blood.gov.au/search/gss/guidance</vt:lpwstr>
      </vt:variant>
      <vt:variant>
        <vt:lpwstr/>
      </vt:variant>
      <vt:variant>
        <vt:i4>8061053</vt:i4>
      </vt:variant>
      <vt:variant>
        <vt:i4>1791</vt:i4>
      </vt:variant>
      <vt:variant>
        <vt:i4>0</vt:i4>
      </vt:variant>
      <vt:variant>
        <vt:i4>5</vt:i4>
      </vt:variant>
      <vt:variant>
        <vt:lpwstr>http://dx.doi.org/10.3109/01443615.2010.511727</vt:lpwstr>
      </vt:variant>
      <vt:variant>
        <vt:lpwstr/>
      </vt:variant>
      <vt:variant>
        <vt:i4>2949220</vt:i4>
      </vt:variant>
      <vt:variant>
        <vt:i4>1788</vt:i4>
      </vt:variant>
      <vt:variant>
        <vt:i4>0</vt:i4>
      </vt:variant>
      <vt:variant>
        <vt:i4>5</vt:i4>
      </vt:variant>
      <vt:variant>
        <vt:lpwstr>http://dx.doi.org/10.1213/ANE.0b013e31826f084d</vt:lpwstr>
      </vt:variant>
      <vt:variant>
        <vt:lpwstr/>
      </vt:variant>
      <vt:variant>
        <vt:i4>7209066</vt:i4>
      </vt:variant>
      <vt:variant>
        <vt:i4>1785</vt:i4>
      </vt:variant>
      <vt:variant>
        <vt:i4>0</vt:i4>
      </vt:variant>
      <vt:variant>
        <vt:i4>5</vt:i4>
      </vt:variant>
      <vt:variant>
        <vt:lpwstr>http://dx.doi.org/10.1080/00016340701446157</vt:lpwstr>
      </vt:variant>
      <vt:variant>
        <vt:lpwstr/>
      </vt:variant>
      <vt:variant>
        <vt:i4>2555944</vt:i4>
      </vt:variant>
      <vt:variant>
        <vt:i4>1782</vt:i4>
      </vt:variant>
      <vt:variant>
        <vt:i4>0</vt:i4>
      </vt:variant>
      <vt:variant>
        <vt:i4>5</vt:i4>
      </vt:variant>
      <vt:variant>
        <vt:lpwstr>http://dx.doi.org/10.1111/j.1447-0756.2010.01328.x</vt:lpwstr>
      </vt:variant>
      <vt:variant>
        <vt:lpwstr/>
      </vt:variant>
      <vt:variant>
        <vt:i4>8323109</vt:i4>
      </vt:variant>
      <vt:variant>
        <vt:i4>1779</vt:i4>
      </vt:variant>
      <vt:variant>
        <vt:i4>0</vt:i4>
      </vt:variant>
      <vt:variant>
        <vt:i4>5</vt:i4>
      </vt:variant>
      <vt:variant>
        <vt:lpwstr>http://dx.doi.org/10.1007/s13224-012-0248-3</vt:lpwstr>
      </vt:variant>
      <vt:variant>
        <vt:lpwstr/>
      </vt:variant>
      <vt:variant>
        <vt:i4>7929903</vt:i4>
      </vt:variant>
      <vt:variant>
        <vt:i4>1776</vt:i4>
      </vt:variant>
      <vt:variant>
        <vt:i4>0</vt:i4>
      </vt:variant>
      <vt:variant>
        <vt:i4>5</vt:i4>
      </vt:variant>
      <vt:variant>
        <vt:lpwstr>http://dx.doi.org/10.1007/s13224-012-0222-0</vt:lpwstr>
      </vt:variant>
      <vt:variant>
        <vt:lpwstr/>
      </vt:variant>
      <vt:variant>
        <vt:i4>655379</vt:i4>
      </vt:variant>
      <vt:variant>
        <vt:i4>1773</vt:i4>
      </vt:variant>
      <vt:variant>
        <vt:i4>0</vt:i4>
      </vt:variant>
      <vt:variant>
        <vt:i4>5</vt:i4>
      </vt:variant>
      <vt:variant>
        <vt:lpwstr>http://dx.doi.org/10.5005/jp-journals-10006-1131</vt:lpwstr>
      </vt:variant>
      <vt:variant>
        <vt:lpwstr/>
      </vt:variant>
      <vt:variant>
        <vt:i4>6029317</vt:i4>
      </vt:variant>
      <vt:variant>
        <vt:i4>1770</vt:i4>
      </vt:variant>
      <vt:variant>
        <vt:i4>0</vt:i4>
      </vt:variant>
      <vt:variant>
        <vt:i4>5</vt:i4>
      </vt:variant>
      <vt:variant>
        <vt:lpwstr>http://dx.doi.org/10.1016/j.ajog.2008.07.046</vt:lpwstr>
      </vt:variant>
      <vt:variant>
        <vt:lpwstr/>
      </vt:variant>
      <vt:variant>
        <vt:i4>8323117</vt:i4>
      </vt:variant>
      <vt:variant>
        <vt:i4>1767</vt:i4>
      </vt:variant>
      <vt:variant>
        <vt:i4>0</vt:i4>
      </vt:variant>
      <vt:variant>
        <vt:i4>5</vt:i4>
      </vt:variant>
      <vt:variant>
        <vt:lpwstr>http://dx.doi.org/10.1007/s13224-012-0240-y</vt:lpwstr>
      </vt:variant>
      <vt:variant>
        <vt:lpwstr/>
      </vt:variant>
      <vt:variant>
        <vt:i4>7143538</vt:i4>
      </vt:variant>
      <vt:variant>
        <vt:i4>1764</vt:i4>
      </vt:variant>
      <vt:variant>
        <vt:i4>0</vt:i4>
      </vt:variant>
      <vt:variant>
        <vt:i4>5</vt:i4>
      </vt:variant>
      <vt:variant>
        <vt:lpwstr>http://www.hippokratia.gr/index.php/hippo/article/view/700/368</vt:lpwstr>
      </vt:variant>
      <vt:variant>
        <vt:lpwstr/>
      </vt:variant>
      <vt:variant>
        <vt:i4>2687010</vt:i4>
      </vt:variant>
      <vt:variant>
        <vt:i4>1761</vt:i4>
      </vt:variant>
      <vt:variant>
        <vt:i4>0</vt:i4>
      </vt:variant>
      <vt:variant>
        <vt:i4>5</vt:i4>
      </vt:variant>
      <vt:variant>
        <vt:lpwstr>http://dx.doi.org/10.1111/j.1471-0528.2006.01062.x</vt:lpwstr>
      </vt:variant>
      <vt:variant>
        <vt:lpwstr/>
      </vt:variant>
      <vt:variant>
        <vt:i4>2424866</vt:i4>
      </vt:variant>
      <vt:variant>
        <vt:i4>1758</vt:i4>
      </vt:variant>
      <vt:variant>
        <vt:i4>0</vt:i4>
      </vt:variant>
      <vt:variant>
        <vt:i4>5</vt:i4>
      </vt:variant>
      <vt:variant>
        <vt:lpwstr>http://dx.doi.org/10.1111/j.1447-0756.2012.01982.x</vt:lpwstr>
      </vt:variant>
      <vt:variant>
        <vt:lpwstr/>
      </vt:variant>
      <vt:variant>
        <vt:i4>7929971</vt:i4>
      </vt:variant>
      <vt:variant>
        <vt:i4>1755</vt:i4>
      </vt:variant>
      <vt:variant>
        <vt:i4>0</vt:i4>
      </vt:variant>
      <vt:variant>
        <vt:i4>5</vt:i4>
      </vt:variant>
      <vt:variant>
        <vt:lpwstr>http://dx.doi.org/10.3109/14767058.2012.746299</vt:lpwstr>
      </vt:variant>
      <vt:variant>
        <vt:lpwstr/>
      </vt:variant>
      <vt:variant>
        <vt:i4>3801206</vt:i4>
      </vt:variant>
      <vt:variant>
        <vt:i4>1752</vt:i4>
      </vt:variant>
      <vt:variant>
        <vt:i4>0</vt:i4>
      </vt:variant>
      <vt:variant>
        <vt:i4>5</vt:i4>
      </vt:variant>
      <vt:variant>
        <vt:lpwstr>http://dx.doi.org/10.1016/j.ejogrb.2009.03.006</vt:lpwstr>
      </vt:variant>
      <vt:variant>
        <vt:lpwstr/>
      </vt:variant>
      <vt:variant>
        <vt:i4>5308416</vt:i4>
      </vt:variant>
      <vt:variant>
        <vt:i4>1749</vt:i4>
      </vt:variant>
      <vt:variant>
        <vt:i4>0</vt:i4>
      </vt:variant>
      <vt:variant>
        <vt:i4>5</vt:i4>
      </vt:variant>
      <vt:variant>
        <vt:lpwstr>http://dx.doi.org/10.1097/01.AOG.0000275286.03283.18</vt:lpwstr>
      </vt:variant>
      <vt:variant>
        <vt:lpwstr/>
      </vt:variant>
      <vt:variant>
        <vt:i4>7667746</vt:i4>
      </vt:variant>
      <vt:variant>
        <vt:i4>1746</vt:i4>
      </vt:variant>
      <vt:variant>
        <vt:i4>0</vt:i4>
      </vt:variant>
      <vt:variant>
        <vt:i4>5</vt:i4>
      </vt:variant>
      <vt:variant>
        <vt:lpwstr>http://dx.doi.org/10.1007/s12288-012-0224-1</vt:lpwstr>
      </vt:variant>
      <vt:variant>
        <vt:lpwstr/>
      </vt:variant>
      <vt:variant>
        <vt:i4>6029327</vt:i4>
      </vt:variant>
      <vt:variant>
        <vt:i4>1743</vt:i4>
      </vt:variant>
      <vt:variant>
        <vt:i4>0</vt:i4>
      </vt:variant>
      <vt:variant>
        <vt:i4>5</vt:i4>
      </vt:variant>
      <vt:variant>
        <vt:lpwstr>http://dx.doi.org/10.1016/j.ijgo.2007.10.009</vt:lpwstr>
      </vt:variant>
      <vt:variant>
        <vt:lpwstr/>
      </vt:variant>
      <vt:variant>
        <vt:i4>3145769</vt:i4>
      </vt:variant>
      <vt:variant>
        <vt:i4>1740</vt:i4>
      </vt:variant>
      <vt:variant>
        <vt:i4>0</vt:i4>
      </vt:variant>
      <vt:variant>
        <vt:i4>5</vt:i4>
      </vt:variant>
      <vt:variant>
        <vt:lpwstr>http://www.ncbi.nlm.nih.gov/pubmed/22786531</vt:lpwstr>
      </vt:variant>
      <vt:variant>
        <vt:lpwstr/>
      </vt:variant>
      <vt:variant>
        <vt:i4>7143530</vt:i4>
      </vt:variant>
      <vt:variant>
        <vt:i4>1737</vt:i4>
      </vt:variant>
      <vt:variant>
        <vt:i4>0</vt:i4>
      </vt:variant>
      <vt:variant>
        <vt:i4>5</vt:i4>
      </vt:variant>
      <vt:variant>
        <vt:lpwstr>http://dx.doi.org/10.1080/00016340802317802</vt:lpwstr>
      </vt:variant>
      <vt:variant>
        <vt:lpwstr/>
      </vt:variant>
      <vt:variant>
        <vt:i4>3276836</vt:i4>
      </vt:variant>
      <vt:variant>
        <vt:i4>1734</vt:i4>
      </vt:variant>
      <vt:variant>
        <vt:i4>0</vt:i4>
      </vt:variant>
      <vt:variant>
        <vt:i4>5</vt:i4>
      </vt:variant>
      <vt:variant>
        <vt:lpwstr>http://www.ncbi.nlm.nih.gov/pubmed/8072904</vt:lpwstr>
      </vt:variant>
      <vt:variant>
        <vt:lpwstr/>
      </vt:variant>
      <vt:variant>
        <vt:i4>3276833</vt:i4>
      </vt:variant>
      <vt:variant>
        <vt:i4>1731</vt:i4>
      </vt:variant>
      <vt:variant>
        <vt:i4>0</vt:i4>
      </vt:variant>
      <vt:variant>
        <vt:i4>5</vt:i4>
      </vt:variant>
      <vt:variant>
        <vt:lpwstr>http://www.ncbi.nlm.nih.gov/pubmed/23117564</vt:lpwstr>
      </vt:variant>
      <vt:variant>
        <vt:lpwstr/>
      </vt:variant>
      <vt:variant>
        <vt:i4>327700</vt:i4>
      </vt:variant>
      <vt:variant>
        <vt:i4>1728</vt:i4>
      </vt:variant>
      <vt:variant>
        <vt:i4>0</vt:i4>
      </vt:variant>
      <vt:variant>
        <vt:i4>5</vt:i4>
      </vt:variant>
      <vt:variant>
        <vt:lpwstr>http://www.ranzcog.edu.au/college-statements-guidelines.html</vt:lpwstr>
      </vt:variant>
      <vt:variant>
        <vt:lpwstr/>
      </vt:variant>
      <vt:variant>
        <vt:i4>5636101</vt:i4>
      </vt:variant>
      <vt:variant>
        <vt:i4>1725</vt:i4>
      </vt:variant>
      <vt:variant>
        <vt:i4>0</vt:i4>
      </vt:variant>
      <vt:variant>
        <vt:i4>5</vt:i4>
      </vt:variant>
      <vt:variant>
        <vt:lpwstr>http://www.rcog.org.uk/womens-health/clinical-guidance/blood-transfusions-obstetrics-green-top-47</vt:lpwstr>
      </vt:variant>
      <vt:variant>
        <vt:lpwstr/>
      </vt:variant>
      <vt:variant>
        <vt:i4>3211299</vt:i4>
      </vt:variant>
      <vt:variant>
        <vt:i4>1722</vt:i4>
      </vt:variant>
      <vt:variant>
        <vt:i4>0</vt:i4>
      </vt:variant>
      <vt:variant>
        <vt:i4>5</vt:i4>
      </vt:variant>
      <vt:variant>
        <vt:lpwstr>http://www.ncbi.nlm.nih.gov/pubmed/4075604</vt:lpwstr>
      </vt:variant>
      <vt:variant>
        <vt:lpwstr/>
      </vt:variant>
      <vt:variant>
        <vt:i4>3735590</vt:i4>
      </vt:variant>
      <vt:variant>
        <vt:i4>1719</vt:i4>
      </vt:variant>
      <vt:variant>
        <vt:i4>0</vt:i4>
      </vt:variant>
      <vt:variant>
        <vt:i4>5</vt:i4>
      </vt:variant>
      <vt:variant>
        <vt:lpwstr>http://www.ncbi.nlm.nih.gov/pubmed/22133195</vt:lpwstr>
      </vt:variant>
      <vt:variant>
        <vt:lpwstr/>
      </vt:variant>
      <vt:variant>
        <vt:i4>4063276</vt:i4>
      </vt:variant>
      <vt:variant>
        <vt:i4>1716</vt:i4>
      </vt:variant>
      <vt:variant>
        <vt:i4>0</vt:i4>
      </vt:variant>
      <vt:variant>
        <vt:i4>5</vt:i4>
      </vt:variant>
      <vt:variant>
        <vt:lpwstr>http://www.ncbi.nlm.nih.gov/pubmed/20128859</vt:lpwstr>
      </vt:variant>
      <vt:variant>
        <vt:lpwstr/>
      </vt:variant>
      <vt:variant>
        <vt:i4>5046380</vt:i4>
      </vt:variant>
      <vt:variant>
        <vt:i4>1713</vt:i4>
      </vt:variant>
      <vt:variant>
        <vt:i4>0</vt:i4>
      </vt:variant>
      <vt:variant>
        <vt:i4>5</vt:i4>
      </vt:variant>
      <vt:variant>
        <vt:lpwstr>http://www0.health.nsw.gov.au/policies/pd/2010/PD2010_064.html</vt:lpwstr>
      </vt:variant>
      <vt:variant>
        <vt:lpwstr/>
      </vt:variant>
      <vt:variant>
        <vt:i4>327700</vt:i4>
      </vt:variant>
      <vt:variant>
        <vt:i4>1710</vt:i4>
      </vt:variant>
      <vt:variant>
        <vt:i4>0</vt:i4>
      </vt:variant>
      <vt:variant>
        <vt:i4>5</vt:i4>
      </vt:variant>
      <vt:variant>
        <vt:lpwstr>http://www.ranzcog.edu.au/college-statements-guidelines.html</vt:lpwstr>
      </vt:variant>
      <vt:variant>
        <vt:lpwstr/>
      </vt:variant>
      <vt:variant>
        <vt:i4>1507338</vt:i4>
      </vt:variant>
      <vt:variant>
        <vt:i4>1707</vt:i4>
      </vt:variant>
      <vt:variant>
        <vt:i4>0</vt:i4>
      </vt:variant>
      <vt:variant>
        <vt:i4>5</vt:i4>
      </vt:variant>
      <vt:variant>
        <vt:lpwstr>http://www.nhmrc.gov.au/guidelines/consult/consultations/add_levels_grades_dev_guidelines2.htm</vt:lpwstr>
      </vt:variant>
      <vt:variant>
        <vt:lpwstr/>
      </vt:variant>
      <vt:variant>
        <vt:i4>4784143</vt:i4>
      </vt:variant>
      <vt:variant>
        <vt:i4>1704</vt:i4>
      </vt:variant>
      <vt:variant>
        <vt:i4>0</vt:i4>
      </vt:variant>
      <vt:variant>
        <vt:i4>5</vt:i4>
      </vt:variant>
      <vt:variant>
        <vt:lpwstr>http://www.nhmrc.gov.au/guidelines/publications/cp133-and-cp133a</vt:lpwstr>
      </vt:variant>
      <vt:variant>
        <vt:lpwstr/>
      </vt:variant>
      <vt:variant>
        <vt:i4>4915284</vt:i4>
      </vt:variant>
      <vt:variant>
        <vt:i4>1701</vt:i4>
      </vt:variant>
      <vt:variant>
        <vt:i4>0</vt:i4>
      </vt:variant>
      <vt:variant>
        <vt:i4>5</vt:i4>
      </vt:variant>
      <vt:variant>
        <vt:lpwstr>http://www.nhmrc.gov.au/publications/synopses/cp69syn.htm</vt:lpwstr>
      </vt:variant>
      <vt:variant>
        <vt:lpwstr/>
      </vt:variant>
      <vt:variant>
        <vt:i4>3604526</vt:i4>
      </vt:variant>
      <vt:variant>
        <vt:i4>1698</vt:i4>
      </vt:variant>
      <vt:variant>
        <vt:i4>0</vt:i4>
      </vt:variant>
      <vt:variant>
        <vt:i4>5</vt:i4>
      </vt:variant>
      <vt:variant>
        <vt:lpwstr>http://www.ncbi.nlm.nih.gov/pubmed/22490316</vt:lpwstr>
      </vt:variant>
      <vt:variant>
        <vt:lpwstr/>
      </vt:variant>
      <vt:variant>
        <vt:i4>4784218</vt:i4>
      </vt:variant>
      <vt:variant>
        <vt:i4>1695</vt:i4>
      </vt:variant>
      <vt:variant>
        <vt:i4>0</vt:i4>
      </vt:variant>
      <vt:variant>
        <vt:i4>5</vt:i4>
      </vt:variant>
      <vt:variant>
        <vt:lpwstr>http://www.anzsbt.org.au/publications/documents/Antenatal_Guidelines_Mar07.pdf</vt:lpwstr>
      </vt:variant>
      <vt:variant>
        <vt:lpwstr/>
      </vt:variant>
      <vt:variant>
        <vt:i4>4391007</vt:i4>
      </vt:variant>
      <vt:variant>
        <vt:i4>1692</vt:i4>
      </vt:variant>
      <vt:variant>
        <vt:i4>0</vt:i4>
      </vt:variant>
      <vt:variant>
        <vt:i4>5</vt:i4>
      </vt:variant>
      <vt:variant>
        <vt:lpwstr>http://www.nhmrc.gov.au/_files_nhmrc/file/publications/synopses/cp78.pdf</vt:lpwstr>
      </vt:variant>
      <vt:variant>
        <vt:lpwstr/>
      </vt:variant>
      <vt:variant>
        <vt:i4>1638428</vt:i4>
      </vt:variant>
      <vt:variant>
        <vt:i4>1689</vt:i4>
      </vt:variant>
      <vt:variant>
        <vt:i4>0</vt:i4>
      </vt:variant>
      <vt:variant>
        <vt:i4>5</vt:i4>
      </vt:variant>
      <vt:variant>
        <vt:lpwstr>http://www.blood.gov.au/pbm-module-4</vt:lpwstr>
      </vt:variant>
      <vt:variant>
        <vt:lpwstr/>
      </vt:variant>
      <vt:variant>
        <vt:i4>1966108</vt:i4>
      </vt:variant>
      <vt:variant>
        <vt:i4>1686</vt:i4>
      </vt:variant>
      <vt:variant>
        <vt:i4>0</vt:i4>
      </vt:variant>
      <vt:variant>
        <vt:i4>5</vt:i4>
      </vt:variant>
      <vt:variant>
        <vt:lpwstr>http://www.blood.gov.au/pbm-module-3</vt:lpwstr>
      </vt:variant>
      <vt:variant>
        <vt:lpwstr/>
      </vt:variant>
      <vt:variant>
        <vt:i4>2031644</vt:i4>
      </vt:variant>
      <vt:variant>
        <vt:i4>1683</vt:i4>
      </vt:variant>
      <vt:variant>
        <vt:i4>0</vt:i4>
      </vt:variant>
      <vt:variant>
        <vt:i4>5</vt:i4>
      </vt:variant>
      <vt:variant>
        <vt:lpwstr>http://www.blood.gov.au/pbm-module-2</vt:lpwstr>
      </vt:variant>
      <vt:variant>
        <vt:lpwstr/>
      </vt:variant>
      <vt:variant>
        <vt:i4>1835036</vt:i4>
      </vt:variant>
      <vt:variant>
        <vt:i4>1680</vt:i4>
      </vt:variant>
      <vt:variant>
        <vt:i4>0</vt:i4>
      </vt:variant>
      <vt:variant>
        <vt:i4>5</vt:i4>
      </vt:variant>
      <vt:variant>
        <vt:lpwstr>http://www.blood.gov.au/pbm-module-1</vt:lpwstr>
      </vt:variant>
      <vt:variant>
        <vt:lpwstr/>
      </vt:variant>
      <vt:variant>
        <vt:i4>1769478</vt:i4>
      </vt:variant>
      <vt:variant>
        <vt:i4>1675</vt:i4>
      </vt:variant>
      <vt:variant>
        <vt:i4>0</vt:i4>
      </vt:variant>
      <vt:variant>
        <vt:i4>5</vt:i4>
      </vt:variant>
      <vt:variant>
        <vt:lpwstr>http://www.nzblood.co.nz/</vt:lpwstr>
      </vt:variant>
      <vt:variant>
        <vt:lpwstr/>
      </vt:variant>
      <vt:variant>
        <vt:i4>8323116</vt:i4>
      </vt:variant>
      <vt:variant>
        <vt:i4>1672</vt:i4>
      </vt:variant>
      <vt:variant>
        <vt:i4>0</vt:i4>
      </vt:variant>
      <vt:variant>
        <vt:i4>5</vt:i4>
      </vt:variant>
      <vt:variant>
        <vt:lpwstr>http://www.transfusion.com.au/</vt:lpwstr>
      </vt:variant>
      <vt:variant>
        <vt:lpwstr/>
      </vt:variant>
      <vt:variant>
        <vt:i4>7471161</vt:i4>
      </vt:variant>
      <vt:variant>
        <vt:i4>1666</vt:i4>
      </vt:variant>
      <vt:variant>
        <vt:i4>0</vt:i4>
      </vt:variant>
      <vt:variant>
        <vt:i4>5</vt:i4>
      </vt:variant>
      <vt:variant>
        <vt:lpwstr/>
      </vt:variant>
      <vt:variant>
        <vt:lpwstr>_ENREF_122</vt:lpwstr>
      </vt:variant>
      <vt:variant>
        <vt:i4>4653067</vt:i4>
      </vt:variant>
      <vt:variant>
        <vt:i4>1664</vt:i4>
      </vt:variant>
      <vt:variant>
        <vt:i4>0</vt:i4>
      </vt:variant>
      <vt:variant>
        <vt:i4>5</vt:i4>
      </vt:variant>
      <vt:variant>
        <vt:lpwstr/>
      </vt:variant>
      <vt:variant>
        <vt:lpwstr>_ENREF_69</vt:lpwstr>
      </vt:variant>
      <vt:variant>
        <vt:i4>8323116</vt:i4>
      </vt:variant>
      <vt:variant>
        <vt:i4>1661</vt:i4>
      </vt:variant>
      <vt:variant>
        <vt:i4>0</vt:i4>
      </vt:variant>
      <vt:variant>
        <vt:i4>5</vt:i4>
      </vt:variant>
      <vt:variant>
        <vt:lpwstr>http://www.transfusion.com.au/</vt:lpwstr>
      </vt:variant>
      <vt:variant>
        <vt:lpwstr/>
      </vt:variant>
      <vt:variant>
        <vt:i4>7471161</vt:i4>
      </vt:variant>
      <vt:variant>
        <vt:i4>1652</vt:i4>
      </vt:variant>
      <vt:variant>
        <vt:i4>0</vt:i4>
      </vt:variant>
      <vt:variant>
        <vt:i4>5</vt:i4>
      </vt:variant>
      <vt:variant>
        <vt:lpwstr/>
      </vt:variant>
      <vt:variant>
        <vt:lpwstr>_ENREF_122</vt:lpwstr>
      </vt:variant>
      <vt:variant>
        <vt:i4>7471161</vt:i4>
      </vt:variant>
      <vt:variant>
        <vt:i4>1646</vt:i4>
      </vt:variant>
      <vt:variant>
        <vt:i4>0</vt:i4>
      </vt:variant>
      <vt:variant>
        <vt:i4>5</vt:i4>
      </vt:variant>
      <vt:variant>
        <vt:lpwstr/>
      </vt:variant>
      <vt:variant>
        <vt:lpwstr>_ENREF_122</vt:lpwstr>
      </vt:variant>
      <vt:variant>
        <vt:i4>7405625</vt:i4>
      </vt:variant>
      <vt:variant>
        <vt:i4>1640</vt:i4>
      </vt:variant>
      <vt:variant>
        <vt:i4>0</vt:i4>
      </vt:variant>
      <vt:variant>
        <vt:i4>5</vt:i4>
      </vt:variant>
      <vt:variant>
        <vt:lpwstr/>
      </vt:variant>
      <vt:variant>
        <vt:lpwstr>_ENREF_121</vt:lpwstr>
      </vt:variant>
      <vt:variant>
        <vt:i4>4587531</vt:i4>
      </vt:variant>
      <vt:variant>
        <vt:i4>1636</vt:i4>
      </vt:variant>
      <vt:variant>
        <vt:i4>0</vt:i4>
      </vt:variant>
      <vt:variant>
        <vt:i4>5</vt:i4>
      </vt:variant>
      <vt:variant>
        <vt:lpwstr/>
      </vt:variant>
      <vt:variant>
        <vt:lpwstr>_ENREF_7</vt:lpwstr>
      </vt:variant>
      <vt:variant>
        <vt:i4>4653067</vt:i4>
      </vt:variant>
      <vt:variant>
        <vt:i4>1633</vt:i4>
      </vt:variant>
      <vt:variant>
        <vt:i4>0</vt:i4>
      </vt:variant>
      <vt:variant>
        <vt:i4>5</vt:i4>
      </vt:variant>
      <vt:variant>
        <vt:lpwstr/>
      </vt:variant>
      <vt:variant>
        <vt:lpwstr>_ENREF_6</vt:lpwstr>
      </vt:variant>
      <vt:variant>
        <vt:i4>7340089</vt:i4>
      </vt:variant>
      <vt:variant>
        <vt:i4>1625</vt:i4>
      </vt:variant>
      <vt:variant>
        <vt:i4>0</vt:i4>
      </vt:variant>
      <vt:variant>
        <vt:i4>5</vt:i4>
      </vt:variant>
      <vt:variant>
        <vt:lpwstr/>
      </vt:variant>
      <vt:variant>
        <vt:lpwstr>_ENREF_120</vt:lpwstr>
      </vt:variant>
      <vt:variant>
        <vt:i4>7929914</vt:i4>
      </vt:variant>
      <vt:variant>
        <vt:i4>1616</vt:i4>
      </vt:variant>
      <vt:variant>
        <vt:i4>0</vt:i4>
      </vt:variant>
      <vt:variant>
        <vt:i4>5</vt:i4>
      </vt:variant>
      <vt:variant>
        <vt:lpwstr/>
      </vt:variant>
      <vt:variant>
        <vt:lpwstr>_ENREF_119</vt:lpwstr>
      </vt:variant>
      <vt:variant>
        <vt:i4>7864378</vt:i4>
      </vt:variant>
      <vt:variant>
        <vt:i4>1610</vt:i4>
      </vt:variant>
      <vt:variant>
        <vt:i4>0</vt:i4>
      </vt:variant>
      <vt:variant>
        <vt:i4>5</vt:i4>
      </vt:variant>
      <vt:variant>
        <vt:lpwstr/>
      </vt:variant>
      <vt:variant>
        <vt:lpwstr>_ENREF_118</vt:lpwstr>
      </vt:variant>
      <vt:variant>
        <vt:i4>7798842</vt:i4>
      </vt:variant>
      <vt:variant>
        <vt:i4>1604</vt:i4>
      </vt:variant>
      <vt:variant>
        <vt:i4>0</vt:i4>
      </vt:variant>
      <vt:variant>
        <vt:i4>5</vt:i4>
      </vt:variant>
      <vt:variant>
        <vt:lpwstr/>
      </vt:variant>
      <vt:variant>
        <vt:lpwstr>_ENREF_117</vt:lpwstr>
      </vt:variant>
      <vt:variant>
        <vt:i4>7733306</vt:i4>
      </vt:variant>
      <vt:variant>
        <vt:i4>1600</vt:i4>
      </vt:variant>
      <vt:variant>
        <vt:i4>0</vt:i4>
      </vt:variant>
      <vt:variant>
        <vt:i4>5</vt:i4>
      </vt:variant>
      <vt:variant>
        <vt:lpwstr/>
      </vt:variant>
      <vt:variant>
        <vt:lpwstr>_ENREF_116</vt:lpwstr>
      </vt:variant>
      <vt:variant>
        <vt:i4>7667770</vt:i4>
      </vt:variant>
      <vt:variant>
        <vt:i4>1597</vt:i4>
      </vt:variant>
      <vt:variant>
        <vt:i4>0</vt:i4>
      </vt:variant>
      <vt:variant>
        <vt:i4>5</vt:i4>
      </vt:variant>
      <vt:variant>
        <vt:lpwstr/>
      </vt:variant>
      <vt:variant>
        <vt:lpwstr>_ENREF_115</vt:lpwstr>
      </vt:variant>
      <vt:variant>
        <vt:i4>7340090</vt:i4>
      </vt:variant>
      <vt:variant>
        <vt:i4>1589</vt:i4>
      </vt:variant>
      <vt:variant>
        <vt:i4>0</vt:i4>
      </vt:variant>
      <vt:variant>
        <vt:i4>5</vt:i4>
      </vt:variant>
      <vt:variant>
        <vt:lpwstr/>
      </vt:variant>
      <vt:variant>
        <vt:lpwstr>_ENREF_110</vt:lpwstr>
      </vt:variant>
      <vt:variant>
        <vt:i4>7602234</vt:i4>
      </vt:variant>
      <vt:variant>
        <vt:i4>1585</vt:i4>
      </vt:variant>
      <vt:variant>
        <vt:i4>0</vt:i4>
      </vt:variant>
      <vt:variant>
        <vt:i4>5</vt:i4>
      </vt:variant>
      <vt:variant>
        <vt:lpwstr/>
      </vt:variant>
      <vt:variant>
        <vt:lpwstr>_ENREF_114</vt:lpwstr>
      </vt:variant>
      <vt:variant>
        <vt:i4>7536698</vt:i4>
      </vt:variant>
      <vt:variant>
        <vt:i4>1582</vt:i4>
      </vt:variant>
      <vt:variant>
        <vt:i4>0</vt:i4>
      </vt:variant>
      <vt:variant>
        <vt:i4>5</vt:i4>
      </vt:variant>
      <vt:variant>
        <vt:lpwstr/>
      </vt:variant>
      <vt:variant>
        <vt:lpwstr>_ENREF_113</vt:lpwstr>
      </vt:variant>
      <vt:variant>
        <vt:i4>4194315</vt:i4>
      </vt:variant>
      <vt:variant>
        <vt:i4>1572</vt:i4>
      </vt:variant>
      <vt:variant>
        <vt:i4>0</vt:i4>
      </vt:variant>
      <vt:variant>
        <vt:i4>5</vt:i4>
      </vt:variant>
      <vt:variant>
        <vt:lpwstr/>
      </vt:variant>
      <vt:variant>
        <vt:lpwstr>_ENREF_1</vt:lpwstr>
      </vt:variant>
      <vt:variant>
        <vt:i4>7864379</vt:i4>
      </vt:variant>
      <vt:variant>
        <vt:i4>1566</vt:i4>
      </vt:variant>
      <vt:variant>
        <vt:i4>0</vt:i4>
      </vt:variant>
      <vt:variant>
        <vt:i4>5</vt:i4>
      </vt:variant>
      <vt:variant>
        <vt:lpwstr/>
      </vt:variant>
      <vt:variant>
        <vt:lpwstr>_ENREF_108</vt:lpwstr>
      </vt:variant>
      <vt:variant>
        <vt:i4>7471162</vt:i4>
      </vt:variant>
      <vt:variant>
        <vt:i4>1560</vt:i4>
      </vt:variant>
      <vt:variant>
        <vt:i4>0</vt:i4>
      </vt:variant>
      <vt:variant>
        <vt:i4>5</vt:i4>
      </vt:variant>
      <vt:variant>
        <vt:lpwstr/>
      </vt:variant>
      <vt:variant>
        <vt:lpwstr>_ENREF_112</vt:lpwstr>
      </vt:variant>
      <vt:variant>
        <vt:i4>7471162</vt:i4>
      </vt:variant>
      <vt:variant>
        <vt:i4>1556</vt:i4>
      </vt:variant>
      <vt:variant>
        <vt:i4>0</vt:i4>
      </vt:variant>
      <vt:variant>
        <vt:i4>5</vt:i4>
      </vt:variant>
      <vt:variant>
        <vt:lpwstr/>
      </vt:variant>
      <vt:variant>
        <vt:lpwstr>_ENREF_112</vt:lpwstr>
      </vt:variant>
      <vt:variant>
        <vt:i4>7405626</vt:i4>
      </vt:variant>
      <vt:variant>
        <vt:i4>1553</vt:i4>
      </vt:variant>
      <vt:variant>
        <vt:i4>0</vt:i4>
      </vt:variant>
      <vt:variant>
        <vt:i4>5</vt:i4>
      </vt:variant>
      <vt:variant>
        <vt:lpwstr/>
      </vt:variant>
      <vt:variant>
        <vt:lpwstr>_ENREF_111</vt:lpwstr>
      </vt:variant>
      <vt:variant>
        <vt:i4>7405626</vt:i4>
      </vt:variant>
      <vt:variant>
        <vt:i4>1543</vt:i4>
      </vt:variant>
      <vt:variant>
        <vt:i4>0</vt:i4>
      </vt:variant>
      <vt:variant>
        <vt:i4>5</vt:i4>
      </vt:variant>
      <vt:variant>
        <vt:lpwstr/>
      </vt:variant>
      <vt:variant>
        <vt:lpwstr>_ENREF_111</vt:lpwstr>
      </vt:variant>
      <vt:variant>
        <vt:i4>7340090</vt:i4>
      </vt:variant>
      <vt:variant>
        <vt:i4>1539</vt:i4>
      </vt:variant>
      <vt:variant>
        <vt:i4>0</vt:i4>
      </vt:variant>
      <vt:variant>
        <vt:i4>5</vt:i4>
      </vt:variant>
      <vt:variant>
        <vt:lpwstr/>
      </vt:variant>
      <vt:variant>
        <vt:lpwstr>_ENREF_110</vt:lpwstr>
      </vt:variant>
      <vt:variant>
        <vt:i4>7929915</vt:i4>
      </vt:variant>
      <vt:variant>
        <vt:i4>1536</vt:i4>
      </vt:variant>
      <vt:variant>
        <vt:i4>0</vt:i4>
      </vt:variant>
      <vt:variant>
        <vt:i4>5</vt:i4>
      </vt:variant>
      <vt:variant>
        <vt:lpwstr/>
      </vt:variant>
      <vt:variant>
        <vt:lpwstr>_ENREF_109</vt:lpwstr>
      </vt:variant>
      <vt:variant>
        <vt:i4>7864379</vt:i4>
      </vt:variant>
      <vt:variant>
        <vt:i4>1526</vt:i4>
      </vt:variant>
      <vt:variant>
        <vt:i4>0</vt:i4>
      </vt:variant>
      <vt:variant>
        <vt:i4>5</vt:i4>
      </vt:variant>
      <vt:variant>
        <vt:lpwstr/>
      </vt:variant>
      <vt:variant>
        <vt:lpwstr>_ENREF_108</vt:lpwstr>
      </vt:variant>
      <vt:variant>
        <vt:i4>4390923</vt:i4>
      </vt:variant>
      <vt:variant>
        <vt:i4>1520</vt:i4>
      </vt:variant>
      <vt:variant>
        <vt:i4>0</vt:i4>
      </vt:variant>
      <vt:variant>
        <vt:i4>5</vt:i4>
      </vt:variant>
      <vt:variant>
        <vt:lpwstr/>
      </vt:variant>
      <vt:variant>
        <vt:lpwstr>_ENREF_20</vt:lpwstr>
      </vt:variant>
      <vt:variant>
        <vt:i4>4194315</vt:i4>
      </vt:variant>
      <vt:variant>
        <vt:i4>1514</vt:i4>
      </vt:variant>
      <vt:variant>
        <vt:i4>0</vt:i4>
      </vt:variant>
      <vt:variant>
        <vt:i4>5</vt:i4>
      </vt:variant>
      <vt:variant>
        <vt:lpwstr/>
      </vt:variant>
      <vt:variant>
        <vt:lpwstr>_ENREF_14</vt:lpwstr>
      </vt:variant>
      <vt:variant>
        <vt:i4>4718603</vt:i4>
      </vt:variant>
      <vt:variant>
        <vt:i4>1508</vt:i4>
      </vt:variant>
      <vt:variant>
        <vt:i4>0</vt:i4>
      </vt:variant>
      <vt:variant>
        <vt:i4>5</vt:i4>
      </vt:variant>
      <vt:variant>
        <vt:lpwstr/>
      </vt:variant>
      <vt:variant>
        <vt:lpwstr>_ENREF_9</vt:lpwstr>
      </vt:variant>
      <vt:variant>
        <vt:i4>7798843</vt:i4>
      </vt:variant>
      <vt:variant>
        <vt:i4>1502</vt:i4>
      </vt:variant>
      <vt:variant>
        <vt:i4>0</vt:i4>
      </vt:variant>
      <vt:variant>
        <vt:i4>5</vt:i4>
      </vt:variant>
      <vt:variant>
        <vt:lpwstr/>
      </vt:variant>
      <vt:variant>
        <vt:lpwstr>_ENREF_107</vt:lpwstr>
      </vt:variant>
      <vt:variant>
        <vt:i4>7733307</vt:i4>
      </vt:variant>
      <vt:variant>
        <vt:i4>1496</vt:i4>
      </vt:variant>
      <vt:variant>
        <vt:i4>0</vt:i4>
      </vt:variant>
      <vt:variant>
        <vt:i4>5</vt:i4>
      </vt:variant>
      <vt:variant>
        <vt:lpwstr/>
      </vt:variant>
      <vt:variant>
        <vt:lpwstr>_ENREF_106</vt:lpwstr>
      </vt:variant>
      <vt:variant>
        <vt:i4>7405627</vt:i4>
      </vt:variant>
      <vt:variant>
        <vt:i4>1490</vt:i4>
      </vt:variant>
      <vt:variant>
        <vt:i4>0</vt:i4>
      </vt:variant>
      <vt:variant>
        <vt:i4>5</vt:i4>
      </vt:variant>
      <vt:variant>
        <vt:lpwstr/>
      </vt:variant>
      <vt:variant>
        <vt:lpwstr>_ENREF_101</vt:lpwstr>
      </vt:variant>
      <vt:variant>
        <vt:i4>7667771</vt:i4>
      </vt:variant>
      <vt:variant>
        <vt:i4>1486</vt:i4>
      </vt:variant>
      <vt:variant>
        <vt:i4>0</vt:i4>
      </vt:variant>
      <vt:variant>
        <vt:i4>5</vt:i4>
      </vt:variant>
      <vt:variant>
        <vt:lpwstr/>
      </vt:variant>
      <vt:variant>
        <vt:lpwstr>_ENREF_105</vt:lpwstr>
      </vt:variant>
      <vt:variant>
        <vt:i4>7602235</vt:i4>
      </vt:variant>
      <vt:variant>
        <vt:i4>1483</vt:i4>
      </vt:variant>
      <vt:variant>
        <vt:i4>0</vt:i4>
      </vt:variant>
      <vt:variant>
        <vt:i4>5</vt:i4>
      </vt:variant>
      <vt:variant>
        <vt:lpwstr/>
      </vt:variant>
      <vt:variant>
        <vt:lpwstr>_ENREF_104</vt:lpwstr>
      </vt:variant>
      <vt:variant>
        <vt:i4>7536699</vt:i4>
      </vt:variant>
      <vt:variant>
        <vt:i4>1473</vt:i4>
      </vt:variant>
      <vt:variant>
        <vt:i4>0</vt:i4>
      </vt:variant>
      <vt:variant>
        <vt:i4>5</vt:i4>
      </vt:variant>
      <vt:variant>
        <vt:lpwstr/>
      </vt:variant>
      <vt:variant>
        <vt:lpwstr>_ENREF_103</vt:lpwstr>
      </vt:variant>
      <vt:variant>
        <vt:i4>7471163</vt:i4>
      </vt:variant>
      <vt:variant>
        <vt:i4>1467</vt:i4>
      </vt:variant>
      <vt:variant>
        <vt:i4>0</vt:i4>
      </vt:variant>
      <vt:variant>
        <vt:i4>5</vt:i4>
      </vt:variant>
      <vt:variant>
        <vt:lpwstr/>
      </vt:variant>
      <vt:variant>
        <vt:lpwstr>_ENREF_102</vt:lpwstr>
      </vt:variant>
      <vt:variant>
        <vt:i4>4784139</vt:i4>
      </vt:variant>
      <vt:variant>
        <vt:i4>1461</vt:i4>
      </vt:variant>
      <vt:variant>
        <vt:i4>0</vt:i4>
      </vt:variant>
      <vt:variant>
        <vt:i4>5</vt:i4>
      </vt:variant>
      <vt:variant>
        <vt:lpwstr/>
      </vt:variant>
      <vt:variant>
        <vt:lpwstr>_ENREF_8</vt:lpwstr>
      </vt:variant>
      <vt:variant>
        <vt:i4>7405627</vt:i4>
      </vt:variant>
      <vt:variant>
        <vt:i4>1455</vt:i4>
      </vt:variant>
      <vt:variant>
        <vt:i4>0</vt:i4>
      </vt:variant>
      <vt:variant>
        <vt:i4>5</vt:i4>
      </vt:variant>
      <vt:variant>
        <vt:lpwstr/>
      </vt:variant>
      <vt:variant>
        <vt:lpwstr>_ENREF_101</vt:lpwstr>
      </vt:variant>
      <vt:variant>
        <vt:i4>4784139</vt:i4>
      </vt:variant>
      <vt:variant>
        <vt:i4>1449</vt:i4>
      </vt:variant>
      <vt:variant>
        <vt:i4>0</vt:i4>
      </vt:variant>
      <vt:variant>
        <vt:i4>5</vt:i4>
      </vt:variant>
      <vt:variant>
        <vt:lpwstr/>
      </vt:variant>
      <vt:variant>
        <vt:lpwstr>_ENREF_8</vt:lpwstr>
      </vt:variant>
      <vt:variant>
        <vt:i4>7340091</vt:i4>
      </vt:variant>
      <vt:variant>
        <vt:i4>1443</vt:i4>
      </vt:variant>
      <vt:variant>
        <vt:i4>0</vt:i4>
      </vt:variant>
      <vt:variant>
        <vt:i4>5</vt:i4>
      </vt:variant>
      <vt:variant>
        <vt:lpwstr/>
      </vt:variant>
      <vt:variant>
        <vt:lpwstr>_ENREF_100</vt:lpwstr>
      </vt:variant>
      <vt:variant>
        <vt:i4>4718603</vt:i4>
      </vt:variant>
      <vt:variant>
        <vt:i4>1437</vt:i4>
      </vt:variant>
      <vt:variant>
        <vt:i4>0</vt:i4>
      </vt:variant>
      <vt:variant>
        <vt:i4>5</vt:i4>
      </vt:variant>
      <vt:variant>
        <vt:lpwstr/>
      </vt:variant>
      <vt:variant>
        <vt:lpwstr>_ENREF_99</vt:lpwstr>
      </vt:variant>
      <vt:variant>
        <vt:i4>4718603</vt:i4>
      </vt:variant>
      <vt:variant>
        <vt:i4>1431</vt:i4>
      </vt:variant>
      <vt:variant>
        <vt:i4>0</vt:i4>
      </vt:variant>
      <vt:variant>
        <vt:i4>5</vt:i4>
      </vt:variant>
      <vt:variant>
        <vt:lpwstr/>
      </vt:variant>
      <vt:variant>
        <vt:lpwstr>_ENREF_98</vt:lpwstr>
      </vt:variant>
      <vt:variant>
        <vt:i4>4194315</vt:i4>
      </vt:variant>
      <vt:variant>
        <vt:i4>1425</vt:i4>
      </vt:variant>
      <vt:variant>
        <vt:i4>0</vt:i4>
      </vt:variant>
      <vt:variant>
        <vt:i4>5</vt:i4>
      </vt:variant>
      <vt:variant>
        <vt:lpwstr/>
      </vt:variant>
      <vt:variant>
        <vt:lpwstr>_ENREF_13</vt:lpwstr>
      </vt:variant>
      <vt:variant>
        <vt:i4>4718603</vt:i4>
      </vt:variant>
      <vt:variant>
        <vt:i4>1419</vt:i4>
      </vt:variant>
      <vt:variant>
        <vt:i4>0</vt:i4>
      </vt:variant>
      <vt:variant>
        <vt:i4>5</vt:i4>
      </vt:variant>
      <vt:variant>
        <vt:lpwstr/>
      </vt:variant>
      <vt:variant>
        <vt:lpwstr>_ENREF_97</vt:lpwstr>
      </vt:variant>
      <vt:variant>
        <vt:i4>4718603</vt:i4>
      </vt:variant>
      <vt:variant>
        <vt:i4>1413</vt:i4>
      </vt:variant>
      <vt:variant>
        <vt:i4>0</vt:i4>
      </vt:variant>
      <vt:variant>
        <vt:i4>5</vt:i4>
      </vt:variant>
      <vt:variant>
        <vt:lpwstr/>
      </vt:variant>
      <vt:variant>
        <vt:lpwstr>_ENREF_97</vt:lpwstr>
      </vt:variant>
      <vt:variant>
        <vt:i4>4784139</vt:i4>
      </vt:variant>
      <vt:variant>
        <vt:i4>1407</vt:i4>
      </vt:variant>
      <vt:variant>
        <vt:i4>0</vt:i4>
      </vt:variant>
      <vt:variant>
        <vt:i4>5</vt:i4>
      </vt:variant>
      <vt:variant>
        <vt:lpwstr/>
      </vt:variant>
      <vt:variant>
        <vt:lpwstr>_ENREF_8</vt:lpwstr>
      </vt:variant>
      <vt:variant>
        <vt:i4>4194315</vt:i4>
      </vt:variant>
      <vt:variant>
        <vt:i4>1401</vt:i4>
      </vt:variant>
      <vt:variant>
        <vt:i4>0</vt:i4>
      </vt:variant>
      <vt:variant>
        <vt:i4>5</vt:i4>
      </vt:variant>
      <vt:variant>
        <vt:lpwstr/>
      </vt:variant>
      <vt:variant>
        <vt:lpwstr>_ENREF_1</vt:lpwstr>
      </vt:variant>
      <vt:variant>
        <vt:i4>4718603</vt:i4>
      </vt:variant>
      <vt:variant>
        <vt:i4>1395</vt:i4>
      </vt:variant>
      <vt:variant>
        <vt:i4>0</vt:i4>
      </vt:variant>
      <vt:variant>
        <vt:i4>5</vt:i4>
      </vt:variant>
      <vt:variant>
        <vt:lpwstr/>
      </vt:variant>
      <vt:variant>
        <vt:lpwstr>_ENREF_96</vt:lpwstr>
      </vt:variant>
      <vt:variant>
        <vt:i4>4718603</vt:i4>
      </vt:variant>
      <vt:variant>
        <vt:i4>1391</vt:i4>
      </vt:variant>
      <vt:variant>
        <vt:i4>0</vt:i4>
      </vt:variant>
      <vt:variant>
        <vt:i4>5</vt:i4>
      </vt:variant>
      <vt:variant>
        <vt:lpwstr/>
      </vt:variant>
      <vt:variant>
        <vt:lpwstr>_ENREF_95</vt:lpwstr>
      </vt:variant>
      <vt:variant>
        <vt:i4>4718603</vt:i4>
      </vt:variant>
      <vt:variant>
        <vt:i4>1388</vt:i4>
      </vt:variant>
      <vt:variant>
        <vt:i4>0</vt:i4>
      </vt:variant>
      <vt:variant>
        <vt:i4>5</vt:i4>
      </vt:variant>
      <vt:variant>
        <vt:lpwstr/>
      </vt:variant>
      <vt:variant>
        <vt:lpwstr>_ENREF_94</vt:lpwstr>
      </vt:variant>
      <vt:variant>
        <vt:i4>4194315</vt:i4>
      </vt:variant>
      <vt:variant>
        <vt:i4>1378</vt:i4>
      </vt:variant>
      <vt:variant>
        <vt:i4>0</vt:i4>
      </vt:variant>
      <vt:variant>
        <vt:i4>5</vt:i4>
      </vt:variant>
      <vt:variant>
        <vt:lpwstr/>
      </vt:variant>
      <vt:variant>
        <vt:lpwstr>_ENREF_17</vt:lpwstr>
      </vt:variant>
      <vt:variant>
        <vt:i4>4718603</vt:i4>
      </vt:variant>
      <vt:variant>
        <vt:i4>1372</vt:i4>
      </vt:variant>
      <vt:variant>
        <vt:i4>0</vt:i4>
      </vt:variant>
      <vt:variant>
        <vt:i4>5</vt:i4>
      </vt:variant>
      <vt:variant>
        <vt:lpwstr/>
      </vt:variant>
      <vt:variant>
        <vt:lpwstr>_ENREF_93</vt:lpwstr>
      </vt:variant>
      <vt:variant>
        <vt:i4>4784139</vt:i4>
      </vt:variant>
      <vt:variant>
        <vt:i4>1366</vt:i4>
      </vt:variant>
      <vt:variant>
        <vt:i4>0</vt:i4>
      </vt:variant>
      <vt:variant>
        <vt:i4>5</vt:i4>
      </vt:variant>
      <vt:variant>
        <vt:lpwstr/>
      </vt:variant>
      <vt:variant>
        <vt:lpwstr>_ENREF_84</vt:lpwstr>
      </vt:variant>
      <vt:variant>
        <vt:i4>4718603</vt:i4>
      </vt:variant>
      <vt:variant>
        <vt:i4>1360</vt:i4>
      </vt:variant>
      <vt:variant>
        <vt:i4>0</vt:i4>
      </vt:variant>
      <vt:variant>
        <vt:i4>5</vt:i4>
      </vt:variant>
      <vt:variant>
        <vt:lpwstr/>
      </vt:variant>
      <vt:variant>
        <vt:lpwstr>_ENREF_92</vt:lpwstr>
      </vt:variant>
      <vt:variant>
        <vt:i4>4784139</vt:i4>
      </vt:variant>
      <vt:variant>
        <vt:i4>1354</vt:i4>
      </vt:variant>
      <vt:variant>
        <vt:i4>0</vt:i4>
      </vt:variant>
      <vt:variant>
        <vt:i4>5</vt:i4>
      </vt:variant>
      <vt:variant>
        <vt:lpwstr/>
      </vt:variant>
      <vt:variant>
        <vt:lpwstr>_ENREF_84</vt:lpwstr>
      </vt:variant>
      <vt:variant>
        <vt:i4>4718603</vt:i4>
      </vt:variant>
      <vt:variant>
        <vt:i4>1348</vt:i4>
      </vt:variant>
      <vt:variant>
        <vt:i4>0</vt:i4>
      </vt:variant>
      <vt:variant>
        <vt:i4>5</vt:i4>
      </vt:variant>
      <vt:variant>
        <vt:lpwstr/>
      </vt:variant>
      <vt:variant>
        <vt:lpwstr>_ENREF_91</vt:lpwstr>
      </vt:variant>
      <vt:variant>
        <vt:i4>4718603</vt:i4>
      </vt:variant>
      <vt:variant>
        <vt:i4>1342</vt:i4>
      </vt:variant>
      <vt:variant>
        <vt:i4>0</vt:i4>
      </vt:variant>
      <vt:variant>
        <vt:i4>5</vt:i4>
      </vt:variant>
      <vt:variant>
        <vt:lpwstr/>
      </vt:variant>
      <vt:variant>
        <vt:lpwstr>_ENREF_90</vt:lpwstr>
      </vt:variant>
      <vt:variant>
        <vt:i4>4784139</vt:i4>
      </vt:variant>
      <vt:variant>
        <vt:i4>1336</vt:i4>
      </vt:variant>
      <vt:variant>
        <vt:i4>0</vt:i4>
      </vt:variant>
      <vt:variant>
        <vt:i4>5</vt:i4>
      </vt:variant>
      <vt:variant>
        <vt:lpwstr/>
      </vt:variant>
      <vt:variant>
        <vt:lpwstr>_ENREF_89</vt:lpwstr>
      </vt:variant>
      <vt:variant>
        <vt:i4>4784139</vt:i4>
      </vt:variant>
      <vt:variant>
        <vt:i4>1330</vt:i4>
      </vt:variant>
      <vt:variant>
        <vt:i4>0</vt:i4>
      </vt:variant>
      <vt:variant>
        <vt:i4>5</vt:i4>
      </vt:variant>
      <vt:variant>
        <vt:lpwstr/>
      </vt:variant>
      <vt:variant>
        <vt:lpwstr>_ENREF_88</vt:lpwstr>
      </vt:variant>
      <vt:variant>
        <vt:i4>4784139</vt:i4>
      </vt:variant>
      <vt:variant>
        <vt:i4>1324</vt:i4>
      </vt:variant>
      <vt:variant>
        <vt:i4>0</vt:i4>
      </vt:variant>
      <vt:variant>
        <vt:i4>5</vt:i4>
      </vt:variant>
      <vt:variant>
        <vt:lpwstr/>
      </vt:variant>
      <vt:variant>
        <vt:lpwstr>_ENREF_87</vt:lpwstr>
      </vt:variant>
      <vt:variant>
        <vt:i4>4784139</vt:i4>
      </vt:variant>
      <vt:variant>
        <vt:i4>1318</vt:i4>
      </vt:variant>
      <vt:variant>
        <vt:i4>0</vt:i4>
      </vt:variant>
      <vt:variant>
        <vt:i4>5</vt:i4>
      </vt:variant>
      <vt:variant>
        <vt:lpwstr/>
      </vt:variant>
      <vt:variant>
        <vt:lpwstr>_ENREF_86</vt:lpwstr>
      </vt:variant>
      <vt:variant>
        <vt:i4>4784139</vt:i4>
      </vt:variant>
      <vt:variant>
        <vt:i4>1312</vt:i4>
      </vt:variant>
      <vt:variant>
        <vt:i4>0</vt:i4>
      </vt:variant>
      <vt:variant>
        <vt:i4>5</vt:i4>
      </vt:variant>
      <vt:variant>
        <vt:lpwstr/>
      </vt:variant>
      <vt:variant>
        <vt:lpwstr>_ENREF_85</vt:lpwstr>
      </vt:variant>
      <vt:variant>
        <vt:i4>4784139</vt:i4>
      </vt:variant>
      <vt:variant>
        <vt:i4>1306</vt:i4>
      </vt:variant>
      <vt:variant>
        <vt:i4>0</vt:i4>
      </vt:variant>
      <vt:variant>
        <vt:i4>5</vt:i4>
      </vt:variant>
      <vt:variant>
        <vt:lpwstr/>
      </vt:variant>
      <vt:variant>
        <vt:lpwstr>_ENREF_85</vt:lpwstr>
      </vt:variant>
      <vt:variant>
        <vt:i4>4784139</vt:i4>
      </vt:variant>
      <vt:variant>
        <vt:i4>1300</vt:i4>
      </vt:variant>
      <vt:variant>
        <vt:i4>0</vt:i4>
      </vt:variant>
      <vt:variant>
        <vt:i4>5</vt:i4>
      </vt:variant>
      <vt:variant>
        <vt:lpwstr/>
      </vt:variant>
      <vt:variant>
        <vt:lpwstr>_ENREF_84</vt:lpwstr>
      </vt:variant>
      <vt:variant>
        <vt:i4>4784139</vt:i4>
      </vt:variant>
      <vt:variant>
        <vt:i4>1294</vt:i4>
      </vt:variant>
      <vt:variant>
        <vt:i4>0</vt:i4>
      </vt:variant>
      <vt:variant>
        <vt:i4>5</vt:i4>
      </vt:variant>
      <vt:variant>
        <vt:lpwstr/>
      </vt:variant>
      <vt:variant>
        <vt:lpwstr>_ENREF_83</vt:lpwstr>
      </vt:variant>
      <vt:variant>
        <vt:i4>4784139</vt:i4>
      </vt:variant>
      <vt:variant>
        <vt:i4>1288</vt:i4>
      </vt:variant>
      <vt:variant>
        <vt:i4>0</vt:i4>
      </vt:variant>
      <vt:variant>
        <vt:i4>5</vt:i4>
      </vt:variant>
      <vt:variant>
        <vt:lpwstr/>
      </vt:variant>
      <vt:variant>
        <vt:lpwstr>_ENREF_82</vt:lpwstr>
      </vt:variant>
      <vt:variant>
        <vt:i4>4784139</vt:i4>
      </vt:variant>
      <vt:variant>
        <vt:i4>1282</vt:i4>
      </vt:variant>
      <vt:variant>
        <vt:i4>0</vt:i4>
      </vt:variant>
      <vt:variant>
        <vt:i4>5</vt:i4>
      </vt:variant>
      <vt:variant>
        <vt:lpwstr/>
      </vt:variant>
      <vt:variant>
        <vt:lpwstr>_ENREF_82</vt:lpwstr>
      </vt:variant>
      <vt:variant>
        <vt:i4>4784139</vt:i4>
      </vt:variant>
      <vt:variant>
        <vt:i4>1276</vt:i4>
      </vt:variant>
      <vt:variant>
        <vt:i4>0</vt:i4>
      </vt:variant>
      <vt:variant>
        <vt:i4>5</vt:i4>
      </vt:variant>
      <vt:variant>
        <vt:lpwstr/>
      </vt:variant>
      <vt:variant>
        <vt:lpwstr>_ENREF_81</vt:lpwstr>
      </vt:variant>
      <vt:variant>
        <vt:i4>4784139</vt:i4>
      </vt:variant>
      <vt:variant>
        <vt:i4>1270</vt:i4>
      </vt:variant>
      <vt:variant>
        <vt:i4>0</vt:i4>
      </vt:variant>
      <vt:variant>
        <vt:i4>5</vt:i4>
      </vt:variant>
      <vt:variant>
        <vt:lpwstr/>
      </vt:variant>
      <vt:variant>
        <vt:lpwstr>_ENREF_80</vt:lpwstr>
      </vt:variant>
      <vt:variant>
        <vt:i4>4587531</vt:i4>
      </vt:variant>
      <vt:variant>
        <vt:i4>1262</vt:i4>
      </vt:variant>
      <vt:variant>
        <vt:i4>0</vt:i4>
      </vt:variant>
      <vt:variant>
        <vt:i4>5</vt:i4>
      </vt:variant>
      <vt:variant>
        <vt:lpwstr/>
      </vt:variant>
      <vt:variant>
        <vt:lpwstr>_ENREF_79</vt:lpwstr>
      </vt:variant>
      <vt:variant>
        <vt:i4>4587531</vt:i4>
      </vt:variant>
      <vt:variant>
        <vt:i4>1256</vt:i4>
      </vt:variant>
      <vt:variant>
        <vt:i4>0</vt:i4>
      </vt:variant>
      <vt:variant>
        <vt:i4>5</vt:i4>
      </vt:variant>
      <vt:variant>
        <vt:lpwstr/>
      </vt:variant>
      <vt:variant>
        <vt:lpwstr>_ENREF_78</vt:lpwstr>
      </vt:variant>
      <vt:variant>
        <vt:i4>4587531</vt:i4>
      </vt:variant>
      <vt:variant>
        <vt:i4>1250</vt:i4>
      </vt:variant>
      <vt:variant>
        <vt:i4>0</vt:i4>
      </vt:variant>
      <vt:variant>
        <vt:i4>5</vt:i4>
      </vt:variant>
      <vt:variant>
        <vt:lpwstr/>
      </vt:variant>
      <vt:variant>
        <vt:lpwstr>_ENREF_77</vt:lpwstr>
      </vt:variant>
      <vt:variant>
        <vt:i4>4587531</vt:i4>
      </vt:variant>
      <vt:variant>
        <vt:i4>1242</vt:i4>
      </vt:variant>
      <vt:variant>
        <vt:i4>0</vt:i4>
      </vt:variant>
      <vt:variant>
        <vt:i4>5</vt:i4>
      </vt:variant>
      <vt:variant>
        <vt:lpwstr/>
      </vt:variant>
      <vt:variant>
        <vt:lpwstr>_ENREF_76</vt:lpwstr>
      </vt:variant>
      <vt:variant>
        <vt:i4>4587531</vt:i4>
      </vt:variant>
      <vt:variant>
        <vt:i4>1234</vt:i4>
      </vt:variant>
      <vt:variant>
        <vt:i4>0</vt:i4>
      </vt:variant>
      <vt:variant>
        <vt:i4>5</vt:i4>
      </vt:variant>
      <vt:variant>
        <vt:lpwstr/>
      </vt:variant>
      <vt:variant>
        <vt:lpwstr>_ENREF_70</vt:lpwstr>
      </vt:variant>
      <vt:variant>
        <vt:i4>4587531</vt:i4>
      </vt:variant>
      <vt:variant>
        <vt:i4>1226</vt:i4>
      </vt:variant>
      <vt:variant>
        <vt:i4>0</vt:i4>
      </vt:variant>
      <vt:variant>
        <vt:i4>5</vt:i4>
      </vt:variant>
      <vt:variant>
        <vt:lpwstr/>
      </vt:variant>
      <vt:variant>
        <vt:lpwstr>_ENREF_73</vt:lpwstr>
      </vt:variant>
      <vt:variant>
        <vt:i4>4587531</vt:i4>
      </vt:variant>
      <vt:variant>
        <vt:i4>1218</vt:i4>
      </vt:variant>
      <vt:variant>
        <vt:i4>0</vt:i4>
      </vt:variant>
      <vt:variant>
        <vt:i4>5</vt:i4>
      </vt:variant>
      <vt:variant>
        <vt:lpwstr/>
      </vt:variant>
      <vt:variant>
        <vt:lpwstr>_ENREF_75</vt:lpwstr>
      </vt:variant>
      <vt:variant>
        <vt:i4>4587531</vt:i4>
      </vt:variant>
      <vt:variant>
        <vt:i4>1214</vt:i4>
      </vt:variant>
      <vt:variant>
        <vt:i4>0</vt:i4>
      </vt:variant>
      <vt:variant>
        <vt:i4>5</vt:i4>
      </vt:variant>
      <vt:variant>
        <vt:lpwstr/>
      </vt:variant>
      <vt:variant>
        <vt:lpwstr>_ENREF_74</vt:lpwstr>
      </vt:variant>
      <vt:variant>
        <vt:i4>4587531</vt:i4>
      </vt:variant>
      <vt:variant>
        <vt:i4>1211</vt:i4>
      </vt:variant>
      <vt:variant>
        <vt:i4>0</vt:i4>
      </vt:variant>
      <vt:variant>
        <vt:i4>5</vt:i4>
      </vt:variant>
      <vt:variant>
        <vt:lpwstr/>
      </vt:variant>
      <vt:variant>
        <vt:lpwstr>_ENREF_72</vt:lpwstr>
      </vt:variant>
      <vt:variant>
        <vt:i4>4587531</vt:i4>
      </vt:variant>
      <vt:variant>
        <vt:i4>1208</vt:i4>
      </vt:variant>
      <vt:variant>
        <vt:i4>0</vt:i4>
      </vt:variant>
      <vt:variant>
        <vt:i4>5</vt:i4>
      </vt:variant>
      <vt:variant>
        <vt:lpwstr/>
      </vt:variant>
      <vt:variant>
        <vt:lpwstr>_ENREF_71</vt:lpwstr>
      </vt:variant>
      <vt:variant>
        <vt:i4>4587531</vt:i4>
      </vt:variant>
      <vt:variant>
        <vt:i4>1196</vt:i4>
      </vt:variant>
      <vt:variant>
        <vt:i4>0</vt:i4>
      </vt:variant>
      <vt:variant>
        <vt:i4>5</vt:i4>
      </vt:variant>
      <vt:variant>
        <vt:lpwstr/>
      </vt:variant>
      <vt:variant>
        <vt:lpwstr>_ENREF_75</vt:lpwstr>
      </vt:variant>
      <vt:variant>
        <vt:i4>4587531</vt:i4>
      </vt:variant>
      <vt:variant>
        <vt:i4>1188</vt:i4>
      </vt:variant>
      <vt:variant>
        <vt:i4>0</vt:i4>
      </vt:variant>
      <vt:variant>
        <vt:i4>5</vt:i4>
      </vt:variant>
      <vt:variant>
        <vt:lpwstr/>
      </vt:variant>
      <vt:variant>
        <vt:lpwstr>_ENREF_74</vt:lpwstr>
      </vt:variant>
      <vt:variant>
        <vt:i4>4587531</vt:i4>
      </vt:variant>
      <vt:variant>
        <vt:i4>1182</vt:i4>
      </vt:variant>
      <vt:variant>
        <vt:i4>0</vt:i4>
      </vt:variant>
      <vt:variant>
        <vt:i4>5</vt:i4>
      </vt:variant>
      <vt:variant>
        <vt:lpwstr/>
      </vt:variant>
      <vt:variant>
        <vt:lpwstr>_ENREF_73</vt:lpwstr>
      </vt:variant>
      <vt:variant>
        <vt:i4>4587531</vt:i4>
      </vt:variant>
      <vt:variant>
        <vt:i4>1176</vt:i4>
      </vt:variant>
      <vt:variant>
        <vt:i4>0</vt:i4>
      </vt:variant>
      <vt:variant>
        <vt:i4>5</vt:i4>
      </vt:variant>
      <vt:variant>
        <vt:lpwstr/>
      </vt:variant>
      <vt:variant>
        <vt:lpwstr>_ENREF_73</vt:lpwstr>
      </vt:variant>
      <vt:variant>
        <vt:i4>4587531</vt:i4>
      </vt:variant>
      <vt:variant>
        <vt:i4>1168</vt:i4>
      </vt:variant>
      <vt:variant>
        <vt:i4>0</vt:i4>
      </vt:variant>
      <vt:variant>
        <vt:i4>5</vt:i4>
      </vt:variant>
      <vt:variant>
        <vt:lpwstr/>
      </vt:variant>
      <vt:variant>
        <vt:lpwstr>_ENREF_71</vt:lpwstr>
      </vt:variant>
      <vt:variant>
        <vt:i4>4587531</vt:i4>
      </vt:variant>
      <vt:variant>
        <vt:i4>1160</vt:i4>
      </vt:variant>
      <vt:variant>
        <vt:i4>0</vt:i4>
      </vt:variant>
      <vt:variant>
        <vt:i4>5</vt:i4>
      </vt:variant>
      <vt:variant>
        <vt:lpwstr/>
      </vt:variant>
      <vt:variant>
        <vt:lpwstr>_ENREF_72</vt:lpwstr>
      </vt:variant>
      <vt:variant>
        <vt:i4>4587531</vt:i4>
      </vt:variant>
      <vt:variant>
        <vt:i4>1152</vt:i4>
      </vt:variant>
      <vt:variant>
        <vt:i4>0</vt:i4>
      </vt:variant>
      <vt:variant>
        <vt:i4>5</vt:i4>
      </vt:variant>
      <vt:variant>
        <vt:lpwstr/>
      </vt:variant>
      <vt:variant>
        <vt:lpwstr>_ENREF_71</vt:lpwstr>
      </vt:variant>
      <vt:variant>
        <vt:i4>4587531</vt:i4>
      </vt:variant>
      <vt:variant>
        <vt:i4>1144</vt:i4>
      </vt:variant>
      <vt:variant>
        <vt:i4>0</vt:i4>
      </vt:variant>
      <vt:variant>
        <vt:i4>5</vt:i4>
      </vt:variant>
      <vt:variant>
        <vt:lpwstr/>
      </vt:variant>
      <vt:variant>
        <vt:lpwstr>_ENREF_76</vt:lpwstr>
      </vt:variant>
      <vt:variant>
        <vt:i4>4587531</vt:i4>
      </vt:variant>
      <vt:variant>
        <vt:i4>1136</vt:i4>
      </vt:variant>
      <vt:variant>
        <vt:i4>0</vt:i4>
      </vt:variant>
      <vt:variant>
        <vt:i4>5</vt:i4>
      </vt:variant>
      <vt:variant>
        <vt:lpwstr/>
      </vt:variant>
      <vt:variant>
        <vt:lpwstr>_ENREF_75</vt:lpwstr>
      </vt:variant>
      <vt:variant>
        <vt:i4>4587531</vt:i4>
      </vt:variant>
      <vt:variant>
        <vt:i4>1128</vt:i4>
      </vt:variant>
      <vt:variant>
        <vt:i4>0</vt:i4>
      </vt:variant>
      <vt:variant>
        <vt:i4>5</vt:i4>
      </vt:variant>
      <vt:variant>
        <vt:lpwstr/>
      </vt:variant>
      <vt:variant>
        <vt:lpwstr>_ENREF_74</vt:lpwstr>
      </vt:variant>
      <vt:variant>
        <vt:i4>4587531</vt:i4>
      </vt:variant>
      <vt:variant>
        <vt:i4>1120</vt:i4>
      </vt:variant>
      <vt:variant>
        <vt:i4>0</vt:i4>
      </vt:variant>
      <vt:variant>
        <vt:i4>5</vt:i4>
      </vt:variant>
      <vt:variant>
        <vt:lpwstr/>
      </vt:variant>
      <vt:variant>
        <vt:lpwstr>_ENREF_70</vt:lpwstr>
      </vt:variant>
      <vt:variant>
        <vt:i4>4653067</vt:i4>
      </vt:variant>
      <vt:variant>
        <vt:i4>1116</vt:i4>
      </vt:variant>
      <vt:variant>
        <vt:i4>0</vt:i4>
      </vt:variant>
      <vt:variant>
        <vt:i4>5</vt:i4>
      </vt:variant>
      <vt:variant>
        <vt:lpwstr/>
      </vt:variant>
      <vt:variant>
        <vt:lpwstr>_ENREF_68</vt:lpwstr>
      </vt:variant>
      <vt:variant>
        <vt:i4>4653067</vt:i4>
      </vt:variant>
      <vt:variant>
        <vt:i4>1113</vt:i4>
      </vt:variant>
      <vt:variant>
        <vt:i4>0</vt:i4>
      </vt:variant>
      <vt:variant>
        <vt:i4>5</vt:i4>
      </vt:variant>
      <vt:variant>
        <vt:lpwstr/>
      </vt:variant>
      <vt:variant>
        <vt:lpwstr>_ENREF_67</vt:lpwstr>
      </vt:variant>
      <vt:variant>
        <vt:i4>4653067</vt:i4>
      </vt:variant>
      <vt:variant>
        <vt:i4>1105</vt:i4>
      </vt:variant>
      <vt:variant>
        <vt:i4>0</vt:i4>
      </vt:variant>
      <vt:variant>
        <vt:i4>5</vt:i4>
      </vt:variant>
      <vt:variant>
        <vt:lpwstr/>
      </vt:variant>
      <vt:variant>
        <vt:lpwstr>_ENREF_69</vt:lpwstr>
      </vt:variant>
      <vt:variant>
        <vt:i4>4653067</vt:i4>
      </vt:variant>
      <vt:variant>
        <vt:i4>1102</vt:i4>
      </vt:variant>
      <vt:variant>
        <vt:i4>0</vt:i4>
      </vt:variant>
      <vt:variant>
        <vt:i4>5</vt:i4>
      </vt:variant>
      <vt:variant>
        <vt:lpwstr/>
      </vt:variant>
      <vt:variant>
        <vt:lpwstr>_ENREF_68</vt:lpwstr>
      </vt:variant>
      <vt:variant>
        <vt:i4>4653067</vt:i4>
      </vt:variant>
      <vt:variant>
        <vt:i4>1094</vt:i4>
      </vt:variant>
      <vt:variant>
        <vt:i4>0</vt:i4>
      </vt:variant>
      <vt:variant>
        <vt:i4>5</vt:i4>
      </vt:variant>
      <vt:variant>
        <vt:lpwstr/>
      </vt:variant>
      <vt:variant>
        <vt:lpwstr>_ENREF_69</vt:lpwstr>
      </vt:variant>
      <vt:variant>
        <vt:i4>4653067</vt:i4>
      </vt:variant>
      <vt:variant>
        <vt:i4>1091</vt:i4>
      </vt:variant>
      <vt:variant>
        <vt:i4>0</vt:i4>
      </vt:variant>
      <vt:variant>
        <vt:i4>5</vt:i4>
      </vt:variant>
      <vt:variant>
        <vt:lpwstr/>
      </vt:variant>
      <vt:variant>
        <vt:lpwstr>_ENREF_68</vt:lpwstr>
      </vt:variant>
      <vt:variant>
        <vt:i4>4653067</vt:i4>
      </vt:variant>
      <vt:variant>
        <vt:i4>1083</vt:i4>
      </vt:variant>
      <vt:variant>
        <vt:i4>0</vt:i4>
      </vt:variant>
      <vt:variant>
        <vt:i4>5</vt:i4>
      </vt:variant>
      <vt:variant>
        <vt:lpwstr/>
      </vt:variant>
      <vt:variant>
        <vt:lpwstr>_ENREF_69</vt:lpwstr>
      </vt:variant>
      <vt:variant>
        <vt:i4>4653067</vt:i4>
      </vt:variant>
      <vt:variant>
        <vt:i4>1080</vt:i4>
      </vt:variant>
      <vt:variant>
        <vt:i4>0</vt:i4>
      </vt:variant>
      <vt:variant>
        <vt:i4>5</vt:i4>
      </vt:variant>
      <vt:variant>
        <vt:lpwstr/>
      </vt:variant>
      <vt:variant>
        <vt:lpwstr>_ENREF_67</vt:lpwstr>
      </vt:variant>
      <vt:variant>
        <vt:i4>4653067</vt:i4>
      </vt:variant>
      <vt:variant>
        <vt:i4>1068</vt:i4>
      </vt:variant>
      <vt:variant>
        <vt:i4>0</vt:i4>
      </vt:variant>
      <vt:variant>
        <vt:i4>5</vt:i4>
      </vt:variant>
      <vt:variant>
        <vt:lpwstr/>
      </vt:variant>
      <vt:variant>
        <vt:lpwstr>_ENREF_67</vt:lpwstr>
      </vt:variant>
      <vt:variant>
        <vt:i4>4390923</vt:i4>
      </vt:variant>
      <vt:variant>
        <vt:i4>1062</vt:i4>
      </vt:variant>
      <vt:variant>
        <vt:i4>0</vt:i4>
      </vt:variant>
      <vt:variant>
        <vt:i4>5</vt:i4>
      </vt:variant>
      <vt:variant>
        <vt:lpwstr/>
      </vt:variant>
      <vt:variant>
        <vt:lpwstr>_ENREF_2</vt:lpwstr>
      </vt:variant>
      <vt:variant>
        <vt:i4>4653067</vt:i4>
      </vt:variant>
      <vt:variant>
        <vt:i4>1058</vt:i4>
      </vt:variant>
      <vt:variant>
        <vt:i4>0</vt:i4>
      </vt:variant>
      <vt:variant>
        <vt:i4>5</vt:i4>
      </vt:variant>
      <vt:variant>
        <vt:lpwstr/>
      </vt:variant>
      <vt:variant>
        <vt:lpwstr>_ENREF_66</vt:lpwstr>
      </vt:variant>
      <vt:variant>
        <vt:i4>4194315</vt:i4>
      </vt:variant>
      <vt:variant>
        <vt:i4>1055</vt:i4>
      </vt:variant>
      <vt:variant>
        <vt:i4>0</vt:i4>
      </vt:variant>
      <vt:variant>
        <vt:i4>5</vt:i4>
      </vt:variant>
      <vt:variant>
        <vt:lpwstr/>
      </vt:variant>
      <vt:variant>
        <vt:lpwstr>_ENREF_14</vt:lpwstr>
      </vt:variant>
      <vt:variant>
        <vt:i4>4653067</vt:i4>
      </vt:variant>
      <vt:variant>
        <vt:i4>1047</vt:i4>
      </vt:variant>
      <vt:variant>
        <vt:i4>0</vt:i4>
      </vt:variant>
      <vt:variant>
        <vt:i4>5</vt:i4>
      </vt:variant>
      <vt:variant>
        <vt:lpwstr/>
      </vt:variant>
      <vt:variant>
        <vt:lpwstr>_ENREF_65</vt:lpwstr>
      </vt:variant>
      <vt:variant>
        <vt:i4>4653067</vt:i4>
      </vt:variant>
      <vt:variant>
        <vt:i4>1043</vt:i4>
      </vt:variant>
      <vt:variant>
        <vt:i4>0</vt:i4>
      </vt:variant>
      <vt:variant>
        <vt:i4>5</vt:i4>
      </vt:variant>
      <vt:variant>
        <vt:lpwstr/>
      </vt:variant>
      <vt:variant>
        <vt:lpwstr>_ENREF_63</vt:lpwstr>
      </vt:variant>
      <vt:variant>
        <vt:i4>4653067</vt:i4>
      </vt:variant>
      <vt:variant>
        <vt:i4>1040</vt:i4>
      </vt:variant>
      <vt:variant>
        <vt:i4>0</vt:i4>
      </vt:variant>
      <vt:variant>
        <vt:i4>5</vt:i4>
      </vt:variant>
      <vt:variant>
        <vt:lpwstr/>
      </vt:variant>
      <vt:variant>
        <vt:lpwstr>_ENREF_61</vt:lpwstr>
      </vt:variant>
      <vt:variant>
        <vt:i4>4653067</vt:i4>
      </vt:variant>
      <vt:variant>
        <vt:i4>1028</vt:i4>
      </vt:variant>
      <vt:variant>
        <vt:i4>0</vt:i4>
      </vt:variant>
      <vt:variant>
        <vt:i4>5</vt:i4>
      </vt:variant>
      <vt:variant>
        <vt:lpwstr/>
      </vt:variant>
      <vt:variant>
        <vt:lpwstr>_ENREF_61</vt:lpwstr>
      </vt:variant>
      <vt:variant>
        <vt:i4>4653067</vt:i4>
      </vt:variant>
      <vt:variant>
        <vt:i4>1020</vt:i4>
      </vt:variant>
      <vt:variant>
        <vt:i4>0</vt:i4>
      </vt:variant>
      <vt:variant>
        <vt:i4>5</vt:i4>
      </vt:variant>
      <vt:variant>
        <vt:lpwstr/>
      </vt:variant>
      <vt:variant>
        <vt:lpwstr>_ENREF_61</vt:lpwstr>
      </vt:variant>
      <vt:variant>
        <vt:i4>4653067</vt:i4>
      </vt:variant>
      <vt:variant>
        <vt:i4>1012</vt:i4>
      </vt:variant>
      <vt:variant>
        <vt:i4>0</vt:i4>
      </vt:variant>
      <vt:variant>
        <vt:i4>5</vt:i4>
      </vt:variant>
      <vt:variant>
        <vt:lpwstr/>
      </vt:variant>
      <vt:variant>
        <vt:lpwstr>_ENREF_64</vt:lpwstr>
      </vt:variant>
      <vt:variant>
        <vt:i4>4653067</vt:i4>
      </vt:variant>
      <vt:variant>
        <vt:i4>1004</vt:i4>
      </vt:variant>
      <vt:variant>
        <vt:i4>0</vt:i4>
      </vt:variant>
      <vt:variant>
        <vt:i4>5</vt:i4>
      </vt:variant>
      <vt:variant>
        <vt:lpwstr/>
      </vt:variant>
      <vt:variant>
        <vt:lpwstr>_ENREF_61</vt:lpwstr>
      </vt:variant>
      <vt:variant>
        <vt:i4>4653067</vt:i4>
      </vt:variant>
      <vt:variant>
        <vt:i4>1000</vt:i4>
      </vt:variant>
      <vt:variant>
        <vt:i4>0</vt:i4>
      </vt:variant>
      <vt:variant>
        <vt:i4>5</vt:i4>
      </vt:variant>
      <vt:variant>
        <vt:lpwstr/>
      </vt:variant>
      <vt:variant>
        <vt:lpwstr>_ENREF_64</vt:lpwstr>
      </vt:variant>
      <vt:variant>
        <vt:i4>4653067</vt:i4>
      </vt:variant>
      <vt:variant>
        <vt:i4>997</vt:i4>
      </vt:variant>
      <vt:variant>
        <vt:i4>0</vt:i4>
      </vt:variant>
      <vt:variant>
        <vt:i4>5</vt:i4>
      </vt:variant>
      <vt:variant>
        <vt:lpwstr/>
      </vt:variant>
      <vt:variant>
        <vt:lpwstr>_ENREF_62</vt:lpwstr>
      </vt:variant>
      <vt:variant>
        <vt:i4>4653067</vt:i4>
      </vt:variant>
      <vt:variant>
        <vt:i4>985</vt:i4>
      </vt:variant>
      <vt:variant>
        <vt:i4>0</vt:i4>
      </vt:variant>
      <vt:variant>
        <vt:i4>5</vt:i4>
      </vt:variant>
      <vt:variant>
        <vt:lpwstr/>
      </vt:variant>
      <vt:variant>
        <vt:lpwstr>_ENREF_64</vt:lpwstr>
      </vt:variant>
      <vt:variant>
        <vt:i4>4653067</vt:i4>
      </vt:variant>
      <vt:variant>
        <vt:i4>977</vt:i4>
      </vt:variant>
      <vt:variant>
        <vt:i4>0</vt:i4>
      </vt:variant>
      <vt:variant>
        <vt:i4>5</vt:i4>
      </vt:variant>
      <vt:variant>
        <vt:lpwstr/>
      </vt:variant>
      <vt:variant>
        <vt:lpwstr>_ENREF_61</vt:lpwstr>
      </vt:variant>
      <vt:variant>
        <vt:i4>4653067</vt:i4>
      </vt:variant>
      <vt:variant>
        <vt:i4>973</vt:i4>
      </vt:variant>
      <vt:variant>
        <vt:i4>0</vt:i4>
      </vt:variant>
      <vt:variant>
        <vt:i4>5</vt:i4>
      </vt:variant>
      <vt:variant>
        <vt:lpwstr/>
      </vt:variant>
      <vt:variant>
        <vt:lpwstr>_ENREF_60</vt:lpwstr>
      </vt:variant>
      <vt:variant>
        <vt:i4>4456459</vt:i4>
      </vt:variant>
      <vt:variant>
        <vt:i4>970</vt:i4>
      </vt:variant>
      <vt:variant>
        <vt:i4>0</vt:i4>
      </vt:variant>
      <vt:variant>
        <vt:i4>5</vt:i4>
      </vt:variant>
      <vt:variant>
        <vt:lpwstr/>
      </vt:variant>
      <vt:variant>
        <vt:lpwstr>_ENREF_59</vt:lpwstr>
      </vt:variant>
      <vt:variant>
        <vt:i4>4456459</vt:i4>
      </vt:variant>
      <vt:variant>
        <vt:i4>960</vt:i4>
      </vt:variant>
      <vt:variant>
        <vt:i4>0</vt:i4>
      </vt:variant>
      <vt:variant>
        <vt:i4>5</vt:i4>
      </vt:variant>
      <vt:variant>
        <vt:lpwstr/>
      </vt:variant>
      <vt:variant>
        <vt:lpwstr>_ENREF_58</vt:lpwstr>
      </vt:variant>
      <vt:variant>
        <vt:i4>4456459</vt:i4>
      </vt:variant>
      <vt:variant>
        <vt:i4>954</vt:i4>
      </vt:variant>
      <vt:variant>
        <vt:i4>0</vt:i4>
      </vt:variant>
      <vt:variant>
        <vt:i4>5</vt:i4>
      </vt:variant>
      <vt:variant>
        <vt:lpwstr/>
      </vt:variant>
      <vt:variant>
        <vt:lpwstr>_ENREF_57</vt:lpwstr>
      </vt:variant>
      <vt:variant>
        <vt:i4>4390923</vt:i4>
      </vt:variant>
      <vt:variant>
        <vt:i4>948</vt:i4>
      </vt:variant>
      <vt:variant>
        <vt:i4>0</vt:i4>
      </vt:variant>
      <vt:variant>
        <vt:i4>5</vt:i4>
      </vt:variant>
      <vt:variant>
        <vt:lpwstr/>
      </vt:variant>
      <vt:variant>
        <vt:lpwstr>_ENREF_2</vt:lpwstr>
      </vt:variant>
      <vt:variant>
        <vt:i4>4456459</vt:i4>
      </vt:variant>
      <vt:variant>
        <vt:i4>940</vt:i4>
      </vt:variant>
      <vt:variant>
        <vt:i4>0</vt:i4>
      </vt:variant>
      <vt:variant>
        <vt:i4>5</vt:i4>
      </vt:variant>
      <vt:variant>
        <vt:lpwstr/>
      </vt:variant>
      <vt:variant>
        <vt:lpwstr>_ENREF_56</vt:lpwstr>
      </vt:variant>
      <vt:variant>
        <vt:i4>4194315</vt:i4>
      </vt:variant>
      <vt:variant>
        <vt:i4>932</vt:i4>
      </vt:variant>
      <vt:variant>
        <vt:i4>0</vt:i4>
      </vt:variant>
      <vt:variant>
        <vt:i4>5</vt:i4>
      </vt:variant>
      <vt:variant>
        <vt:lpwstr/>
      </vt:variant>
      <vt:variant>
        <vt:lpwstr>_ENREF_1</vt:lpwstr>
      </vt:variant>
      <vt:variant>
        <vt:i4>4325387</vt:i4>
      </vt:variant>
      <vt:variant>
        <vt:i4>926</vt:i4>
      </vt:variant>
      <vt:variant>
        <vt:i4>0</vt:i4>
      </vt:variant>
      <vt:variant>
        <vt:i4>5</vt:i4>
      </vt:variant>
      <vt:variant>
        <vt:lpwstr/>
      </vt:variant>
      <vt:variant>
        <vt:lpwstr>_ENREF_3</vt:lpwstr>
      </vt:variant>
      <vt:variant>
        <vt:i4>4390923</vt:i4>
      </vt:variant>
      <vt:variant>
        <vt:i4>918</vt:i4>
      </vt:variant>
      <vt:variant>
        <vt:i4>0</vt:i4>
      </vt:variant>
      <vt:variant>
        <vt:i4>5</vt:i4>
      </vt:variant>
      <vt:variant>
        <vt:lpwstr/>
      </vt:variant>
      <vt:variant>
        <vt:lpwstr>_ENREF_29</vt:lpwstr>
      </vt:variant>
      <vt:variant>
        <vt:i4>4456459</vt:i4>
      </vt:variant>
      <vt:variant>
        <vt:i4>914</vt:i4>
      </vt:variant>
      <vt:variant>
        <vt:i4>0</vt:i4>
      </vt:variant>
      <vt:variant>
        <vt:i4>5</vt:i4>
      </vt:variant>
      <vt:variant>
        <vt:lpwstr/>
      </vt:variant>
      <vt:variant>
        <vt:lpwstr>_ENREF_54</vt:lpwstr>
      </vt:variant>
      <vt:variant>
        <vt:i4>4456459</vt:i4>
      </vt:variant>
      <vt:variant>
        <vt:i4>911</vt:i4>
      </vt:variant>
      <vt:variant>
        <vt:i4>0</vt:i4>
      </vt:variant>
      <vt:variant>
        <vt:i4>5</vt:i4>
      </vt:variant>
      <vt:variant>
        <vt:lpwstr/>
      </vt:variant>
      <vt:variant>
        <vt:lpwstr>_ENREF_53</vt:lpwstr>
      </vt:variant>
      <vt:variant>
        <vt:i4>4456459</vt:i4>
      </vt:variant>
      <vt:variant>
        <vt:i4>899</vt:i4>
      </vt:variant>
      <vt:variant>
        <vt:i4>0</vt:i4>
      </vt:variant>
      <vt:variant>
        <vt:i4>5</vt:i4>
      </vt:variant>
      <vt:variant>
        <vt:lpwstr/>
      </vt:variant>
      <vt:variant>
        <vt:lpwstr>_ENREF_54</vt:lpwstr>
      </vt:variant>
      <vt:variant>
        <vt:i4>4325387</vt:i4>
      </vt:variant>
      <vt:variant>
        <vt:i4>891</vt:i4>
      </vt:variant>
      <vt:variant>
        <vt:i4>0</vt:i4>
      </vt:variant>
      <vt:variant>
        <vt:i4>5</vt:i4>
      </vt:variant>
      <vt:variant>
        <vt:lpwstr/>
      </vt:variant>
      <vt:variant>
        <vt:lpwstr>_ENREF_30</vt:lpwstr>
      </vt:variant>
      <vt:variant>
        <vt:i4>4456459</vt:i4>
      </vt:variant>
      <vt:variant>
        <vt:i4>887</vt:i4>
      </vt:variant>
      <vt:variant>
        <vt:i4>0</vt:i4>
      </vt:variant>
      <vt:variant>
        <vt:i4>5</vt:i4>
      </vt:variant>
      <vt:variant>
        <vt:lpwstr/>
      </vt:variant>
      <vt:variant>
        <vt:lpwstr>_ENREF_53</vt:lpwstr>
      </vt:variant>
      <vt:variant>
        <vt:i4>4390923</vt:i4>
      </vt:variant>
      <vt:variant>
        <vt:i4>884</vt:i4>
      </vt:variant>
      <vt:variant>
        <vt:i4>0</vt:i4>
      </vt:variant>
      <vt:variant>
        <vt:i4>5</vt:i4>
      </vt:variant>
      <vt:variant>
        <vt:lpwstr/>
      </vt:variant>
      <vt:variant>
        <vt:lpwstr>_ENREF_29</vt:lpwstr>
      </vt:variant>
      <vt:variant>
        <vt:i4>4456459</vt:i4>
      </vt:variant>
      <vt:variant>
        <vt:i4>876</vt:i4>
      </vt:variant>
      <vt:variant>
        <vt:i4>0</vt:i4>
      </vt:variant>
      <vt:variant>
        <vt:i4>5</vt:i4>
      </vt:variant>
      <vt:variant>
        <vt:lpwstr/>
      </vt:variant>
      <vt:variant>
        <vt:lpwstr>_ENREF_55</vt:lpwstr>
      </vt:variant>
      <vt:variant>
        <vt:i4>4456459</vt:i4>
      </vt:variant>
      <vt:variant>
        <vt:i4>873</vt:i4>
      </vt:variant>
      <vt:variant>
        <vt:i4>0</vt:i4>
      </vt:variant>
      <vt:variant>
        <vt:i4>5</vt:i4>
      </vt:variant>
      <vt:variant>
        <vt:lpwstr/>
      </vt:variant>
      <vt:variant>
        <vt:lpwstr>_ENREF_54</vt:lpwstr>
      </vt:variant>
      <vt:variant>
        <vt:i4>4456459</vt:i4>
      </vt:variant>
      <vt:variant>
        <vt:i4>865</vt:i4>
      </vt:variant>
      <vt:variant>
        <vt:i4>0</vt:i4>
      </vt:variant>
      <vt:variant>
        <vt:i4>5</vt:i4>
      </vt:variant>
      <vt:variant>
        <vt:lpwstr/>
      </vt:variant>
      <vt:variant>
        <vt:lpwstr>_ENREF_53</vt:lpwstr>
      </vt:variant>
      <vt:variant>
        <vt:i4>4390923</vt:i4>
      </vt:variant>
      <vt:variant>
        <vt:i4>862</vt:i4>
      </vt:variant>
      <vt:variant>
        <vt:i4>0</vt:i4>
      </vt:variant>
      <vt:variant>
        <vt:i4>5</vt:i4>
      </vt:variant>
      <vt:variant>
        <vt:lpwstr/>
      </vt:variant>
      <vt:variant>
        <vt:lpwstr>_ENREF_29</vt:lpwstr>
      </vt:variant>
      <vt:variant>
        <vt:i4>4390923</vt:i4>
      </vt:variant>
      <vt:variant>
        <vt:i4>854</vt:i4>
      </vt:variant>
      <vt:variant>
        <vt:i4>0</vt:i4>
      </vt:variant>
      <vt:variant>
        <vt:i4>5</vt:i4>
      </vt:variant>
      <vt:variant>
        <vt:lpwstr/>
      </vt:variant>
      <vt:variant>
        <vt:lpwstr>_ENREF_23</vt:lpwstr>
      </vt:variant>
      <vt:variant>
        <vt:i4>4390923</vt:i4>
      </vt:variant>
      <vt:variant>
        <vt:i4>851</vt:i4>
      </vt:variant>
      <vt:variant>
        <vt:i4>0</vt:i4>
      </vt:variant>
      <vt:variant>
        <vt:i4>5</vt:i4>
      </vt:variant>
      <vt:variant>
        <vt:lpwstr/>
      </vt:variant>
      <vt:variant>
        <vt:lpwstr>_ENREF_22</vt:lpwstr>
      </vt:variant>
      <vt:variant>
        <vt:i4>4390923</vt:i4>
      </vt:variant>
      <vt:variant>
        <vt:i4>843</vt:i4>
      </vt:variant>
      <vt:variant>
        <vt:i4>0</vt:i4>
      </vt:variant>
      <vt:variant>
        <vt:i4>5</vt:i4>
      </vt:variant>
      <vt:variant>
        <vt:lpwstr/>
      </vt:variant>
      <vt:variant>
        <vt:lpwstr>_ENREF_29</vt:lpwstr>
      </vt:variant>
      <vt:variant>
        <vt:i4>4390923</vt:i4>
      </vt:variant>
      <vt:variant>
        <vt:i4>840</vt:i4>
      </vt:variant>
      <vt:variant>
        <vt:i4>0</vt:i4>
      </vt:variant>
      <vt:variant>
        <vt:i4>5</vt:i4>
      </vt:variant>
      <vt:variant>
        <vt:lpwstr/>
      </vt:variant>
      <vt:variant>
        <vt:lpwstr>_ENREF_26</vt:lpwstr>
      </vt:variant>
      <vt:variant>
        <vt:i4>4456459</vt:i4>
      </vt:variant>
      <vt:variant>
        <vt:i4>832</vt:i4>
      </vt:variant>
      <vt:variant>
        <vt:i4>0</vt:i4>
      </vt:variant>
      <vt:variant>
        <vt:i4>5</vt:i4>
      </vt:variant>
      <vt:variant>
        <vt:lpwstr/>
      </vt:variant>
      <vt:variant>
        <vt:lpwstr>_ENREF_52</vt:lpwstr>
      </vt:variant>
      <vt:variant>
        <vt:i4>4456459</vt:i4>
      </vt:variant>
      <vt:variant>
        <vt:i4>829</vt:i4>
      </vt:variant>
      <vt:variant>
        <vt:i4>0</vt:i4>
      </vt:variant>
      <vt:variant>
        <vt:i4>5</vt:i4>
      </vt:variant>
      <vt:variant>
        <vt:lpwstr/>
      </vt:variant>
      <vt:variant>
        <vt:lpwstr>_ENREF_51</vt:lpwstr>
      </vt:variant>
      <vt:variant>
        <vt:i4>4390923</vt:i4>
      </vt:variant>
      <vt:variant>
        <vt:i4>817</vt:i4>
      </vt:variant>
      <vt:variant>
        <vt:i4>0</vt:i4>
      </vt:variant>
      <vt:variant>
        <vt:i4>5</vt:i4>
      </vt:variant>
      <vt:variant>
        <vt:lpwstr/>
      </vt:variant>
      <vt:variant>
        <vt:lpwstr>_ENREF_29</vt:lpwstr>
      </vt:variant>
      <vt:variant>
        <vt:i4>4325387</vt:i4>
      </vt:variant>
      <vt:variant>
        <vt:i4>813</vt:i4>
      </vt:variant>
      <vt:variant>
        <vt:i4>0</vt:i4>
      </vt:variant>
      <vt:variant>
        <vt:i4>5</vt:i4>
      </vt:variant>
      <vt:variant>
        <vt:lpwstr/>
      </vt:variant>
      <vt:variant>
        <vt:lpwstr>_ENREF_36</vt:lpwstr>
      </vt:variant>
      <vt:variant>
        <vt:i4>4325387</vt:i4>
      </vt:variant>
      <vt:variant>
        <vt:i4>810</vt:i4>
      </vt:variant>
      <vt:variant>
        <vt:i4>0</vt:i4>
      </vt:variant>
      <vt:variant>
        <vt:i4>5</vt:i4>
      </vt:variant>
      <vt:variant>
        <vt:lpwstr/>
      </vt:variant>
      <vt:variant>
        <vt:lpwstr>_ENREF_34</vt:lpwstr>
      </vt:variant>
      <vt:variant>
        <vt:i4>4390923</vt:i4>
      </vt:variant>
      <vt:variant>
        <vt:i4>798</vt:i4>
      </vt:variant>
      <vt:variant>
        <vt:i4>0</vt:i4>
      </vt:variant>
      <vt:variant>
        <vt:i4>5</vt:i4>
      </vt:variant>
      <vt:variant>
        <vt:lpwstr/>
      </vt:variant>
      <vt:variant>
        <vt:lpwstr>_ENREF_29</vt:lpwstr>
      </vt:variant>
      <vt:variant>
        <vt:i4>4390923</vt:i4>
      </vt:variant>
      <vt:variant>
        <vt:i4>790</vt:i4>
      </vt:variant>
      <vt:variant>
        <vt:i4>0</vt:i4>
      </vt:variant>
      <vt:variant>
        <vt:i4>5</vt:i4>
      </vt:variant>
      <vt:variant>
        <vt:lpwstr/>
      </vt:variant>
      <vt:variant>
        <vt:lpwstr>_ENREF_26</vt:lpwstr>
      </vt:variant>
      <vt:variant>
        <vt:i4>4390923</vt:i4>
      </vt:variant>
      <vt:variant>
        <vt:i4>782</vt:i4>
      </vt:variant>
      <vt:variant>
        <vt:i4>0</vt:i4>
      </vt:variant>
      <vt:variant>
        <vt:i4>5</vt:i4>
      </vt:variant>
      <vt:variant>
        <vt:lpwstr/>
      </vt:variant>
      <vt:variant>
        <vt:lpwstr>_ENREF_26</vt:lpwstr>
      </vt:variant>
      <vt:variant>
        <vt:i4>4456459</vt:i4>
      </vt:variant>
      <vt:variant>
        <vt:i4>776</vt:i4>
      </vt:variant>
      <vt:variant>
        <vt:i4>0</vt:i4>
      </vt:variant>
      <vt:variant>
        <vt:i4>5</vt:i4>
      </vt:variant>
      <vt:variant>
        <vt:lpwstr/>
      </vt:variant>
      <vt:variant>
        <vt:lpwstr>_ENREF_50</vt:lpwstr>
      </vt:variant>
      <vt:variant>
        <vt:i4>4390923</vt:i4>
      </vt:variant>
      <vt:variant>
        <vt:i4>768</vt:i4>
      </vt:variant>
      <vt:variant>
        <vt:i4>0</vt:i4>
      </vt:variant>
      <vt:variant>
        <vt:i4>5</vt:i4>
      </vt:variant>
      <vt:variant>
        <vt:lpwstr/>
      </vt:variant>
      <vt:variant>
        <vt:lpwstr>_ENREF_29</vt:lpwstr>
      </vt:variant>
      <vt:variant>
        <vt:i4>4521995</vt:i4>
      </vt:variant>
      <vt:variant>
        <vt:i4>762</vt:i4>
      </vt:variant>
      <vt:variant>
        <vt:i4>0</vt:i4>
      </vt:variant>
      <vt:variant>
        <vt:i4>5</vt:i4>
      </vt:variant>
      <vt:variant>
        <vt:lpwstr/>
      </vt:variant>
      <vt:variant>
        <vt:lpwstr>_ENREF_49</vt:lpwstr>
      </vt:variant>
      <vt:variant>
        <vt:i4>4521995</vt:i4>
      </vt:variant>
      <vt:variant>
        <vt:i4>756</vt:i4>
      </vt:variant>
      <vt:variant>
        <vt:i4>0</vt:i4>
      </vt:variant>
      <vt:variant>
        <vt:i4>5</vt:i4>
      </vt:variant>
      <vt:variant>
        <vt:lpwstr/>
      </vt:variant>
      <vt:variant>
        <vt:lpwstr>_ENREF_48</vt:lpwstr>
      </vt:variant>
      <vt:variant>
        <vt:i4>4390923</vt:i4>
      </vt:variant>
      <vt:variant>
        <vt:i4>748</vt:i4>
      </vt:variant>
      <vt:variant>
        <vt:i4>0</vt:i4>
      </vt:variant>
      <vt:variant>
        <vt:i4>5</vt:i4>
      </vt:variant>
      <vt:variant>
        <vt:lpwstr/>
      </vt:variant>
      <vt:variant>
        <vt:lpwstr>_ENREF_29</vt:lpwstr>
      </vt:variant>
      <vt:variant>
        <vt:i4>4325387</vt:i4>
      </vt:variant>
      <vt:variant>
        <vt:i4>742</vt:i4>
      </vt:variant>
      <vt:variant>
        <vt:i4>0</vt:i4>
      </vt:variant>
      <vt:variant>
        <vt:i4>5</vt:i4>
      </vt:variant>
      <vt:variant>
        <vt:lpwstr/>
      </vt:variant>
      <vt:variant>
        <vt:lpwstr>_ENREF_37</vt:lpwstr>
      </vt:variant>
      <vt:variant>
        <vt:i4>4390923</vt:i4>
      </vt:variant>
      <vt:variant>
        <vt:i4>734</vt:i4>
      </vt:variant>
      <vt:variant>
        <vt:i4>0</vt:i4>
      </vt:variant>
      <vt:variant>
        <vt:i4>5</vt:i4>
      </vt:variant>
      <vt:variant>
        <vt:lpwstr/>
      </vt:variant>
      <vt:variant>
        <vt:lpwstr>_ENREF_29</vt:lpwstr>
      </vt:variant>
      <vt:variant>
        <vt:i4>4521995</vt:i4>
      </vt:variant>
      <vt:variant>
        <vt:i4>726</vt:i4>
      </vt:variant>
      <vt:variant>
        <vt:i4>0</vt:i4>
      </vt:variant>
      <vt:variant>
        <vt:i4>5</vt:i4>
      </vt:variant>
      <vt:variant>
        <vt:lpwstr/>
      </vt:variant>
      <vt:variant>
        <vt:lpwstr>_ENREF_47</vt:lpwstr>
      </vt:variant>
      <vt:variant>
        <vt:i4>4521995</vt:i4>
      </vt:variant>
      <vt:variant>
        <vt:i4>718</vt:i4>
      </vt:variant>
      <vt:variant>
        <vt:i4>0</vt:i4>
      </vt:variant>
      <vt:variant>
        <vt:i4>5</vt:i4>
      </vt:variant>
      <vt:variant>
        <vt:lpwstr/>
      </vt:variant>
      <vt:variant>
        <vt:lpwstr>_ENREF_46</vt:lpwstr>
      </vt:variant>
      <vt:variant>
        <vt:i4>4390923</vt:i4>
      </vt:variant>
      <vt:variant>
        <vt:i4>710</vt:i4>
      </vt:variant>
      <vt:variant>
        <vt:i4>0</vt:i4>
      </vt:variant>
      <vt:variant>
        <vt:i4>5</vt:i4>
      </vt:variant>
      <vt:variant>
        <vt:lpwstr/>
      </vt:variant>
      <vt:variant>
        <vt:lpwstr>_ENREF_24</vt:lpwstr>
      </vt:variant>
      <vt:variant>
        <vt:i4>4521995</vt:i4>
      </vt:variant>
      <vt:variant>
        <vt:i4>706</vt:i4>
      </vt:variant>
      <vt:variant>
        <vt:i4>0</vt:i4>
      </vt:variant>
      <vt:variant>
        <vt:i4>5</vt:i4>
      </vt:variant>
      <vt:variant>
        <vt:lpwstr/>
      </vt:variant>
      <vt:variant>
        <vt:lpwstr>_ENREF_45</vt:lpwstr>
      </vt:variant>
      <vt:variant>
        <vt:i4>4325387</vt:i4>
      </vt:variant>
      <vt:variant>
        <vt:i4>703</vt:i4>
      </vt:variant>
      <vt:variant>
        <vt:i4>0</vt:i4>
      </vt:variant>
      <vt:variant>
        <vt:i4>5</vt:i4>
      </vt:variant>
      <vt:variant>
        <vt:lpwstr/>
      </vt:variant>
      <vt:variant>
        <vt:lpwstr>_ENREF_33</vt:lpwstr>
      </vt:variant>
      <vt:variant>
        <vt:i4>4390923</vt:i4>
      </vt:variant>
      <vt:variant>
        <vt:i4>700</vt:i4>
      </vt:variant>
      <vt:variant>
        <vt:i4>0</vt:i4>
      </vt:variant>
      <vt:variant>
        <vt:i4>5</vt:i4>
      </vt:variant>
      <vt:variant>
        <vt:lpwstr/>
      </vt:variant>
      <vt:variant>
        <vt:lpwstr>_ENREF_24</vt:lpwstr>
      </vt:variant>
      <vt:variant>
        <vt:i4>4325387</vt:i4>
      </vt:variant>
      <vt:variant>
        <vt:i4>692</vt:i4>
      </vt:variant>
      <vt:variant>
        <vt:i4>0</vt:i4>
      </vt:variant>
      <vt:variant>
        <vt:i4>5</vt:i4>
      </vt:variant>
      <vt:variant>
        <vt:lpwstr/>
      </vt:variant>
      <vt:variant>
        <vt:lpwstr>_ENREF_39</vt:lpwstr>
      </vt:variant>
      <vt:variant>
        <vt:i4>4325387</vt:i4>
      </vt:variant>
      <vt:variant>
        <vt:i4>689</vt:i4>
      </vt:variant>
      <vt:variant>
        <vt:i4>0</vt:i4>
      </vt:variant>
      <vt:variant>
        <vt:i4>5</vt:i4>
      </vt:variant>
      <vt:variant>
        <vt:lpwstr/>
      </vt:variant>
      <vt:variant>
        <vt:lpwstr>_ENREF_30</vt:lpwstr>
      </vt:variant>
      <vt:variant>
        <vt:i4>4390923</vt:i4>
      </vt:variant>
      <vt:variant>
        <vt:i4>677</vt:i4>
      </vt:variant>
      <vt:variant>
        <vt:i4>0</vt:i4>
      </vt:variant>
      <vt:variant>
        <vt:i4>5</vt:i4>
      </vt:variant>
      <vt:variant>
        <vt:lpwstr/>
      </vt:variant>
      <vt:variant>
        <vt:lpwstr>_ENREF_29</vt:lpwstr>
      </vt:variant>
      <vt:variant>
        <vt:i4>4325387</vt:i4>
      </vt:variant>
      <vt:variant>
        <vt:i4>671</vt:i4>
      </vt:variant>
      <vt:variant>
        <vt:i4>0</vt:i4>
      </vt:variant>
      <vt:variant>
        <vt:i4>5</vt:i4>
      </vt:variant>
      <vt:variant>
        <vt:lpwstr/>
      </vt:variant>
      <vt:variant>
        <vt:lpwstr>_ENREF_38</vt:lpwstr>
      </vt:variant>
      <vt:variant>
        <vt:i4>4390923</vt:i4>
      </vt:variant>
      <vt:variant>
        <vt:i4>663</vt:i4>
      </vt:variant>
      <vt:variant>
        <vt:i4>0</vt:i4>
      </vt:variant>
      <vt:variant>
        <vt:i4>5</vt:i4>
      </vt:variant>
      <vt:variant>
        <vt:lpwstr/>
      </vt:variant>
      <vt:variant>
        <vt:lpwstr>_ENREF_26</vt:lpwstr>
      </vt:variant>
      <vt:variant>
        <vt:i4>4390923</vt:i4>
      </vt:variant>
      <vt:variant>
        <vt:i4>655</vt:i4>
      </vt:variant>
      <vt:variant>
        <vt:i4>0</vt:i4>
      </vt:variant>
      <vt:variant>
        <vt:i4>5</vt:i4>
      </vt:variant>
      <vt:variant>
        <vt:lpwstr/>
      </vt:variant>
      <vt:variant>
        <vt:lpwstr>_ENREF_26</vt:lpwstr>
      </vt:variant>
      <vt:variant>
        <vt:i4>4325387</vt:i4>
      </vt:variant>
      <vt:variant>
        <vt:i4>649</vt:i4>
      </vt:variant>
      <vt:variant>
        <vt:i4>0</vt:i4>
      </vt:variant>
      <vt:variant>
        <vt:i4>5</vt:i4>
      </vt:variant>
      <vt:variant>
        <vt:lpwstr/>
      </vt:variant>
      <vt:variant>
        <vt:lpwstr>_ENREF_37</vt:lpwstr>
      </vt:variant>
      <vt:variant>
        <vt:i4>4325387</vt:i4>
      </vt:variant>
      <vt:variant>
        <vt:i4>641</vt:i4>
      </vt:variant>
      <vt:variant>
        <vt:i4>0</vt:i4>
      </vt:variant>
      <vt:variant>
        <vt:i4>5</vt:i4>
      </vt:variant>
      <vt:variant>
        <vt:lpwstr/>
      </vt:variant>
      <vt:variant>
        <vt:lpwstr>_ENREF_34</vt:lpwstr>
      </vt:variant>
      <vt:variant>
        <vt:i4>4325387</vt:i4>
      </vt:variant>
      <vt:variant>
        <vt:i4>637</vt:i4>
      </vt:variant>
      <vt:variant>
        <vt:i4>0</vt:i4>
      </vt:variant>
      <vt:variant>
        <vt:i4>5</vt:i4>
      </vt:variant>
      <vt:variant>
        <vt:lpwstr/>
      </vt:variant>
      <vt:variant>
        <vt:lpwstr>_ENREF_33</vt:lpwstr>
      </vt:variant>
      <vt:variant>
        <vt:i4>4390923</vt:i4>
      </vt:variant>
      <vt:variant>
        <vt:i4>634</vt:i4>
      </vt:variant>
      <vt:variant>
        <vt:i4>0</vt:i4>
      </vt:variant>
      <vt:variant>
        <vt:i4>5</vt:i4>
      </vt:variant>
      <vt:variant>
        <vt:lpwstr/>
      </vt:variant>
      <vt:variant>
        <vt:lpwstr>_ENREF_24</vt:lpwstr>
      </vt:variant>
      <vt:variant>
        <vt:i4>4325387</vt:i4>
      </vt:variant>
      <vt:variant>
        <vt:i4>626</vt:i4>
      </vt:variant>
      <vt:variant>
        <vt:i4>0</vt:i4>
      </vt:variant>
      <vt:variant>
        <vt:i4>5</vt:i4>
      </vt:variant>
      <vt:variant>
        <vt:lpwstr/>
      </vt:variant>
      <vt:variant>
        <vt:lpwstr>_ENREF_30</vt:lpwstr>
      </vt:variant>
      <vt:variant>
        <vt:i4>4390923</vt:i4>
      </vt:variant>
      <vt:variant>
        <vt:i4>623</vt:i4>
      </vt:variant>
      <vt:variant>
        <vt:i4>0</vt:i4>
      </vt:variant>
      <vt:variant>
        <vt:i4>5</vt:i4>
      </vt:variant>
      <vt:variant>
        <vt:lpwstr/>
      </vt:variant>
      <vt:variant>
        <vt:lpwstr>_ENREF_29</vt:lpwstr>
      </vt:variant>
      <vt:variant>
        <vt:i4>4325387</vt:i4>
      </vt:variant>
      <vt:variant>
        <vt:i4>615</vt:i4>
      </vt:variant>
      <vt:variant>
        <vt:i4>0</vt:i4>
      </vt:variant>
      <vt:variant>
        <vt:i4>5</vt:i4>
      </vt:variant>
      <vt:variant>
        <vt:lpwstr/>
      </vt:variant>
      <vt:variant>
        <vt:lpwstr>_ENREF_32</vt:lpwstr>
      </vt:variant>
      <vt:variant>
        <vt:i4>4325387</vt:i4>
      </vt:variant>
      <vt:variant>
        <vt:i4>612</vt:i4>
      </vt:variant>
      <vt:variant>
        <vt:i4>0</vt:i4>
      </vt:variant>
      <vt:variant>
        <vt:i4>5</vt:i4>
      </vt:variant>
      <vt:variant>
        <vt:lpwstr/>
      </vt:variant>
      <vt:variant>
        <vt:lpwstr>_ENREF_31</vt:lpwstr>
      </vt:variant>
      <vt:variant>
        <vt:i4>4325387</vt:i4>
      </vt:variant>
      <vt:variant>
        <vt:i4>600</vt:i4>
      </vt:variant>
      <vt:variant>
        <vt:i4>0</vt:i4>
      </vt:variant>
      <vt:variant>
        <vt:i4>5</vt:i4>
      </vt:variant>
      <vt:variant>
        <vt:lpwstr/>
      </vt:variant>
      <vt:variant>
        <vt:lpwstr>_ENREF_30</vt:lpwstr>
      </vt:variant>
      <vt:variant>
        <vt:i4>4390923</vt:i4>
      </vt:variant>
      <vt:variant>
        <vt:i4>592</vt:i4>
      </vt:variant>
      <vt:variant>
        <vt:i4>0</vt:i4>
      </vt:variant>
      <vt:variant>
        <vt:i4>5</vt:i4>
      </vt:variant>
      <vt:variant>
        <vt:lpwstr/>
      </vt:variant>
      <vt:variant>
        <vt:lpwstr>_ENREF_29</vt:lpwstr>
      </vt:variant>
      <vt:variant>
        <vt:i4>4390923</vt:i4>
      </vt:variant>
      <vt:variant>
        <vt:i4>586</vt:i4>
      </vt:variant>
      <vt:variant>
        <vt:i4>0</vt:i4>
      </vt:variant>
      <vt:variant>
        <vt:i4>5</vt:i4>
      </vt:variant>
      <vt:variant>
        <vt:lpwstr/>
      </vt:variant>
      <vt:variant>
        <vt:lpwstr>_ENREF_28</vt:lpwstr>
      </vt:variant>
      <vt:variant>
        <vt:i4>4390923</vt:i4>
      </vt:variant>
      <vt:variant>
        <vt:i4>578</vt:i4>
      </vt:variant>
      <vt:variant>
        <vt:i4>0</vt:i4>
      </vt:variant>
      <vt:variant>
        <vt:i4>5</vt:i4>
      </vt:variant>
      <vt:variant>
        <vt:lpwstr/>
      </vt:variant>
      <vt:variant>
        <vt:lpwstr>_ENREF_26</vt:lpwstr>
      </vt:variant>
      <vt:variant>
        <vt:i4>4390923</vt:i4>
      </vt:variant>
      <vt:variant>
        <vt:i4>570</vt:i4>
      </vt:variant>
      <vt:variant>
        <vt:i4>0</vt:i4>
      </vt:variant>
      <vt:variant>
        <vt:i4>5</vt:i4>
      </vt:variant>
      <vt:variant>
        <vt:lpwstr/>
      </vt:variant>
      <vt:variant>
        <vt:lpwstr>_ENREF_27</vt:lpwstr>
      </vt:variant>
      <vt:variant>
        <vt:i4>4390923</vt:i4>
      </vt:variant>
      <vt:variant>
        <vt:i4>562</vt:i4>
      </vt:variant>
      <vt:variant>
        <vt:i4>0</vt:i4>
      </vt:variant>
      <vt:variant>
        <vt:i4>5</vt:i4>
      </vt:variant>
      <vt:variant>
        <vt:lpwstr/>
      </vt:variant>
      <vt:variant>
        <vt:lpwstr>_ENREF_26</vt:lpwstr>
      </vt:variant>
      <vt:variant>
        <vt:i4>4390923</vt:i4>
      </vt:variant>
      <vt:variant>
        <vt:i4>556</vt:i4>
      </vt:variant>
      <vt:variant>
        <vt:i4>0</vt:i4>
      </vt:variant>
      <vt:variant>
        <vt:i4>5</vt:i4>
      </vt:variant>
      <vt:variant>
        <vt:lpwstr/>
      </vt:variant>
      <vt:variant>
        <vt:lpwstr>_ENREF_25</vt:lpwstr>
      </vt:variant>
      <vt:variant>
        <vt:i4>4390923</vt:i4>
      </vt:variant>
      <vt:variant>
        <vt:i4>548</vt:i4>
      </vt:variant>
      <vt:variant>
        <vt:i4>0</vt:i4>
      </vt:variant>
      <vt:variant>
        <vt:i4>5</vt:i4>
      </vt:variant>
      <vt:variant>
        <vt:lpwstr/>
      </vt:variant>
      <vt:variant>
        <vt:lpwstr>_ENREF_24</vt:lpwstr>
      </vt:variant>
      <vt:variant>
        <vt:i4>4390923</vt:i4>
      </vt:variant>
      <vt:variant>
        <vt:i4>544</vt:i4>
      </vt:variant>
      <vt:variant>
        <vt:i4>0</vt:i4>
      </vt:variant>
      <vt:variant>
        <vt:i4>5</vt:i4>
      </vt:variant>
      <vt:variant>
        <vt:lpwstr/>
      </vt:variant>
      <vt:variant>
        <vt:lpwstr>_ENREF_23</vt:lpwstr>
      </vt:variant>
      <vt:variant>
        <vt:i4>4390923</vt:i4>
      </vt:variant>
      <vt:variant>
        <vt:i4>541</vt:i4>
      </vt:variant>
      <vt:variant>
        <vt:i4>0</vt:i4>
      </vt:variant>
      <vt:variant>
        <vt:i4>5</vt:i4>
      </vt:variant>
      <vt:variant>
        <vt:lpwstr/>
      </vt:variant>
      <vt:variant>
        <vt:lpwstr>_ENREF_22</vt:lpwstr>
      </vt:variant>
      <vt:variant>
        <vt:i4>4390923</vt:i4>
      </vt:variant>
      <vt:variant>
        <vt:i4>531</vt:i4>
      </vt:variant>
      <vt:variant>
        <vt:i4>0</vt:i4>
      </vt:variant>
      <vt:variant>
        <vt:i4>5</vt:i4>
      </vt:variant>
      <vt:variant>
        <vt:lpwstr/>
      </vt:variant>
      <vt:variant>
        <vt:lpwstr>_ENREF_21</vt:lpwstr>
      </vt:variant>
      <vt:variant>
        <vt:i4>4194315</vt:i4>
      </vt:variant>
      <vt:variant>
        <vt:i4>525</vt:i4>
      </vt:variant>
      <vt:variant>
        <vt:i4>0</vt:i4>
      </vt:variant>
      <vt:variant>
        <vt:i4>5</vt:i4>
      </vt:variant>
      <vt:variant>
        <vt:lpwstr/>
      </vt:variant>
      <vt:variant>
        <vt:lpwstr>_ENREF_13</vt:lpwstr>
      </vt:variant>
      <vt:variant>
        <vt:i4>4390923</vt:i4>
      </vt:variant>
      <vt:variant>
        <vt:i4>519</vt:i4>
      </vt:variant>
      <vt:variant>
        <vt:i4>0</vt:i4>
      </vt:variant>
      <vt:variant>
        <vt:i4>5</vt:i4>
      </vt:variant>
      <vt:variant>
        <vt:lpwstr/>
      </vt:variant>
      <vt:variant>
        <vt:lpwstr>_ENREF_20</vt:lpwstr>
      </vt:variant>
      <vt:variant>
        <vt:i4>4194315</vt:i4>
      </vt:variant>
      <vt:variant>
        <vt:i4>513</vt:i4>
      </vt:variant>
      <vt:variant>
        <vt:i4>0</vt:i4>
      </vt:variant>
      <vt:variant>
        <vt:i4>5</vt:i4>
      </vt:variant>
      <vt:variant>
        <vt:lpwstr/>
      </vt:variant>
      <vt:variant>
        <vt:lpwstr>_ENREF_19</vt:lpwstr>
      </vt:variant>
      <vt:variant>
        <vt:i4>4194315</vt:i4>
      </vt:variant>
      <vt:variant>
        <vt:i4>505</vt:i4>
      </vt:variant>
      <vt:variant>
        <vt:i4>0</vt:i4>
      </vt:variant>
      <vt:variant>
        <vt:i4>5</vt:i4>
      </vt:variant>
      <vt:variant>
        <vt:lpwstr/>
      </vt:variant>
      <vt:variant>
        <vt:lpwstr>_ENREF_18</vt:lpwstr>
      </vt:variant>
      <vt:variant>
        <vt:i4>4194315</vt:i4>
      </vt:variant>
      <vt:variant>
        <vt:i4>497</vt:i4>
      </vt:variant>
      <vt:variant>
        <vt:i4>0</vt:i4>
      </vt:variant>
      <vt:variant>
        <vt:i4>5</vt:i4>
      </vt:variant>
      <vt:variant>
        <vt:lpwstr/>
      </vt:variant>
      <vt:variant>
        <vt:lpwstr>_ENREF_1</vt:lpwstr>
      </vt:variant>
      <vt:variant>
        <vt:i4>4194315</vt:i4>
      </vt:variant>
      <vt:variant>
        <vt:i4>489</vt:i4>
      </vt:variant>
      <vt:variant>
        <vt:i4>0</vt:i4>
      </vt:variant>
      <vt:variant>
        <vt:i4>5</vt:i4>
      </vt:variant>
      <vt:variant>
        <vt:lpwstr/>
      </vt:variant>
      <vt:variant>
        <vt:lpwstr>_ENREF_18</vt:lpwstr>
      </vt:variant>
      <vt:variant>
        <vt:i4>4587531</vt:i4>
      </vt:variant>
      <vt:variant>
        <vt:i4>483</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_ENREF_17</vt:lpwstr>
      </vt:variant>
      <vt:variant>
        <vt:i4>4194315</vt:i4>
      </vt:variant>
      <vt:variant>
        <vt:i4>471</vt:i4>
      </vt:variant>
      <vt:variant>
        <vt:i4>0</vt:i4>
      </vt:variant>
      <vt:variant>
        <vt:i4>5</vt:i4>
      </vt:variant>
      <vt:variant>
        <vt:lpwstr/>
      </vt:variant>
      <vt:variant>
        <vt:lpwstr>_ENREF_16</vt:lpwstr>
      </vt:variant>
      <vt:variant>
        <vt:i4>4194315</vt:i4>
      </vt:variant>
      <vt:variant>
        <vt:i4>465</vt:i4>
      </vt:variant>
      <vt:variant>
        <vt:i4>0</vt:i4>
      </vt:variant>
      <vt:variant>
        <vt:i4>5</vt:i4>
      </vt:variant>
      <vt:variant>
        <vt:lpwstr/>
      </vt:variant>
      <vt:variant>
        <vt:lpwstr>_ENREF_15</vt:lpwstr>
      </vt:variant>
      <vt:variant>
        <vt:i4>4194315</vt:i4>
      </vt:variant>
      <vt:variant>
        <vt:i4>459</vt:i4>
      </vt:variant>
      <vt:variant>
        <vt:i4>0</vt:i4>
      </vt:variant>
      <vt:variant>
        <vt:i4>5</vt:i4>
      </vt:variant>
      <vt:variant>
        <vt:lpwstr/>
      </vt:variant>
      <vt:variant>
        <vt:lpwstr>_ENREF_1</vt:lpwstr>
      </vt:variant>
      <vt:variant>
        <vt:i4>4194315</vt:i4>
      </vt:variant>
      <vt:variant>
        <vt:i4>455</vt:i4>
      </vt:variant>
      <vt:variant>
        <vt:i4>0</vt:i4>
      </vt:variant>
      <vt:variant>
        <vt:i4>5</vt:i4>
      </vt:variant>
      <vt:variant>
        <vt:lpwstr/>
      </vt:variant>
      <vt:variant>
        <vt:lpwstr>_ENREF_14</vt:lpwstr>
      </vt:variant>
      <vt:variant>
        <vt:i4>4194315</vt:i4>
      </vt:variant>
      <vt:variant>
        <vt:i4>452</vt:i4>
      </vt:variant>
      <vt:variant>
        <vt:i4>0</vt:i4>
      </vt:variant>
      <vt:variant>
        <vt:i4>5</vt:i4>
      </vt:variant>
      <vt:variant>
        <vt:lpwstr/>
      </vt:variant>
      <vt:variant>
        <vt:lpwstr>_ENREF_13</vt:lpwstr>
      </vt:variant>
      <vt:variant>
        <vt:i4>4587531</vt:i4>
      </vt:variant>
      <vt:variant>
        <vt:i4>446</vt:i4>
      </vt:variant>
      <vt:variant>
        <vt:i4>0</vt:i4>
      </vt:variant>
      <vt:variant>
        <vt:i4>5</vt:i4>
      </vt:variant>
      <vt:variant>
        <vt:lpwstr/>
      </vt:variant>
      <vt:variant>
        <vt:lpwstr>_ENREF_7</vt:lpwstr>
      </vt:variant>
      <vt:variant>
        <vt:i4>4653067</vt:i4>
      </vt:variant>
      <vt:variant>
        <vt:i4>443</vt:i4>
      </vt:variant>
      <vt:variant>
        <vt:i4>0</vt:i4>
      </vt:variant>
      <vt:variant>
        <vt:i4>5</vt:i4>
      </vt:variant>
      <vt:variant>
        <vt:lpwstr/>
      </vt:variant>
      <vt:variant>
        <vt:lpwstr>_ENREF_6</vt:lpwstr>
      </vt:variant>
      <vt:variant>
        <vt:i4>4194315</vt:i4>
      </vt:variant>
      <vt:variant>
        <vt:i4>435</vt:i4>
      </vt:variant>
      <vt:variant>
        <vt:i4>0</vt:i4>
      </vt:variant>
      <vt:variant>
        <vt:i4>5</vt:i4>
      </vt:variant>
      <vt:variant>
        <vt:lpwstr/>
      </vt:variant>
      <vt:variant>
        <vt:lpwstr>_ENREF_12</vt:lpwstr>
      </vt:variant>
      <vt:variant>
        <vt:i4>4194315</vt:i4>
      </vt:variant>
      <vt:variant>
        <vt:i4>429</vt:i4>
      </vt:variant>
      <vt:variant>
        <vt:i4>0</vt:i4>
      </vt:variant>
      <vt:variant>
        <vt:i4>5</vt:i4>
      </vt:variant>
      <vt:variant>
        <vt:lpwstr/>
      </vt:variant>
      <vt:variant>
        <vt:lpwstr>_ENREF_12</vt:lpwstr>
      </vt:variant>
      <vt:variant>
        <vt:i4>4587531</vt:i4>
      </vt:variant>
      <vt:variant>
        <vt:i4>423</vt:i4>
      </vt:variant>
      <vt:variant>
        <vt:i4>0</vt:i4>
      </vt:variant>
      <vt:variant>
        <vt:i4>5</vt:i4>
      </vt:variant>
      <vt:variant>
        <vt:lpwstr/>
      </vt:variant>
      <vt:variant>
        <vt:lpwstr>_ENREF_7</vt:lpwstr>
      </vt:variant>
      <vt:variant>
        <vt:i4>4194315</vt:i4>
      </vt:variant>
      <vt:variant>
        <vt:i4>417</vt:i4>
      </vt:variant>
      <vt:variant>
        <vt:i4>0</vt:i4>
      </vt:variant>
      <vt:variant>
        <vt:i4>5</vt:i4>
      </vt:variant>
      <vt:variant>
        <vt:lpwstr/>
      </vt:variant>
      <vt:variant>
        <vt:lpwstr>_ENREF_11</vt:lpwstr>
      </vt:variant>
      <vt:variant>
        <vt:i4>4587531</vt:i4>
      </vt:variant>
      <vt:variant>
        <vt:i4>411</vt:i4>
      </vt:variant>
      <vt:variant>
        <vt:i4>0</vt:i4>
      </vt:variant>
      <vt:variant>
        <vt:i4>5</vt:i4>
      </vt:variant>
      <vt:variant>
        <vt:lpwstr/>
      </vt:variant>
      <vt:variant>
        <vt:lpwstr>_ENREF_7</vt:lpwstr>
      </vt:variant>
      <vt:variant>
        <vt:i4>4390923</vt:i4>
      </vt:variant>
      <vt:variant>
        <vt:i4>408</vt:i4>
      </vt:variant>
      <vt:variant>
        <vt:i4>0</vt:i4>
      </vt:variant>
      <vt:variant>
        <vt:i4>5</vt:i4>
      </vt:variant>
      <vt:variant>
        <vt:lpwstr/>
      </vt:variant>
      <vt:variant>
        <vt:lpwstr>_ENREF_2</vt:lpwstr>
      </vt:variant>
      <vt:variant>
        <vt:i4>4325387</vt:i4>
      </vt:variant>
      <vt:variant>
        <vt:i4>405</vt:i4>
      </vt:variant>
      <vt:variant>
        <vt:i4>0</vt:i4>
      </vt:variant>
      <vt:variant>
        <vt:i4>5</vt:i4>
      </vt:variant>
      <vt:variant>
        <vt:lpwstr/>
      </vt:variant>
      <vt:variant>
        <vt:lpwstr>_ENREF_3</vt:lpwstr>
      </vt:variant>
      <vt:variant>
        <vt:i4>4521995</vt:i4>
      </vt:variant>
      <vt:variant>
        <vt:i4>402</vt:i4>
      </vt:variant>
      <vt:variant>
        <vt:i4>0</vt:i4>
      </vt:variant>
      <vt:variant>
        <vt:i4>5</vt:i4>
      </vt:variant>
      <vt:variant>
        <vt:lpwstr/>
      </vt:variant>
      <vt:variant>
        <vt:lpwstr>_ENREF_4</vt:lpwstr>
      </vt:variant>
      <vt:variant>
        <vt:i4>4587531</vt:i4>
      </vt:variant>
      <vt:variant>
        <vt:i4>398</vt:i4>
      </vt:variant>
      <vt:variant>
        <vt:i4>0</vt:i4>
      </vt:variant>
      <vt:variant>
        <vt:i4>5</vt:i4>
      </vt:variant>
      <vt:variant>
        <vt:lpwstr/>
      </vt:variant>
      <vt:variant>
        <vt:lpwstr>_ENREF_7</vt:lpwstr>
      </vt:variant>
      <vt:variant>
        <vt:i4>4653067</vt:i4>
      </vt:variant>
      <vt:variant>
        <vt:i4>395</vt:i4>
      </vt:variant>
      <vt:variant>
        <vt:i4>0</vt:i4>
      </vt:variant>
      <vt:variant>
        <vt:i4>5</vt:i4>
      </vt:variant>
      <vt:variant>
        <vt:lpwstr/>
      </vt:variant>
      <vt:variant>
        <vt:lpwstr>_ENREF_6</vt:lpwstr>
      </vt:variant>
      <vt:variant>
        <vt:i4>4194315</vt:i4>
      </vt:variant>
      <vt:variant>
        <vt:i4>387</vt:i4>
      </vt:variant>
      <vt:variant>
        <vt:i4>0</vt:i4>
      </vt:variant>
      <vt:variant>
        <vt:i4>5</vt:i4>
      </vt:variant>
      <vt:variant>
        <vt:lpwstr/>
      </vt:variant>
      <vt:variant>
        <vt:lpwstr>_ENREF_10</vt:lpwstr>
      </vt:variant>
      <vt:variant>
        <vt:i4>4653067</vt:i4>
      </vt:variant>
      <vt:variant>
        <vt:i4>381</vt:i4>
      </vt:variant>
      <vt:variant>
        <vt:i4>0</vt:i4>
      </vt:variant>
      <vt:variant>
        <vt:i4>5</vt:i4>
      </vt:variant>
      <vt:variant>
        <vt:lpwstr/>
      </vt:variant>
      <vt:variant>
        <vt:lpwstr>_ENREF_6</vt:lpwstr>
      </vt:variant>
      <vt:variant>
        <vt:i4>4587531</vt:i4>
      </vt:variant>
      <vt:variant>
        <vt:i4>375</vt:i4>
      </vt:variant>
      <vt:variant>
        <vt:i4>0</vt:i4>
      </vt:variant>
      <vt:variant>
        <vt:i4>5</vt:i4>
      </vt:variant>
      <vt:variant>
        <vt:lpwstr/>
      </vt:variant>
      <vt:variant>
        <vt:lpwstr>_ENREF_7</vt:lpwstr>
      </vt:variant>
      <vt:variant>
        <vt:i4>4521995</vt:i4>
      </vt:variant>
      <vt:variant>
        <vt:i4>369</vt:i4>
      </vt:variant>
      <vt:variant>
        <vt:i4>0</vt:i4>
      </vt:variant>
      <vt:variant>
        <vt:i4>5</vt:i4>
      </vt:variant>
      <vt:variant>
        <vt:lpwstr/>
      </vt:variant>
      <vt:variant>
        <vt:lpwstr>_ENREF_4</vt:lpwstr>
      </vt:variant>
      <vt:variant>
        <vt:i4>4325387</vt:i4>
      </vt:variant>
      <vt:variant>
        <vt:i4>363</vt:i4>
      </vt:variant>
      <vt:variant>
        <vt:i4>0</vt:i4>
      </vt:variant>
      <vt:variant>
        <vt:i4>5</vt:i4>
      </vt:variant>
      <vt:variant>
        <vt:lpwstr/>
      </vt:variant>
      <vt:variant>
        <vt:lpwstr>_ENREF_3</vt:lpwstr>
      </vt:variant>
      <vt:variant>
        <vt:i4>4390923</vt:i4>
      </vt:variant>
      <vt:variant>
        <vt:i4>357</vt:i4>
      </vt:variant>
      <vt:variant>
        <vt:i4>0</vt:i4>
      </vt:variant>
      <vt:variant>
        <vt:i4>5</vt:i4>
      </vt:variant>
      <vt:variant>
        <vt:lpwstr/>
      </vt:variant>
      <vt:variant>
        <vt:lpwstr>_ENREF_2</vt:lpwstr>
      </vt:variant>
      <vt:variant>
        <vt:i4>4194315</vt:i4>
      </vt:variant>
      <vt:variant>
        <vt:i4>351</vt:i4>
      </vt:variant>
      <vt:variant>
        <vt:i4>0</vt:i4>
      </vt:variant>
      <vt:variant>
        <vt:i4>5</vt:i4>
      </vt:variant>
      <vt:variant>
        <vt:lpwstr/>
      </vt:variant>
      <vt:variant>
        <vt:lpwstr>_ENREF_1</vt:lpwstr>
      </vt:variant>
      <vt:variant>
        <vt:i4>4456459</vt:i4>
      </vt:variant>
      <vt:variant>
        <vt:i4>345</vt:i4>
      </vt:variant>
      <vt:variant>
        <vt:i4>0</vt:i4>
      </vt:variant>
      <vt:variant>
        <vt:i4>5</vt:i4>
      </vt:variant>
      <vt:variant>
        <vt:lpwstr/>
      </vt:variant>
      <vt:variant>
        <vt:lpwstr>_ENREF_5</vt:lpwstr>
      </vt:variant>
      <vt:variant>
        <vt:i4>4194315</vt:i4>
      </vt:variant>
      <vt:variant>
        <vt:i4>342</vt:i4>
      </vt:variant>
      <vt:variant>
        <vt:i4>0</vt:i4>
      </vt:variant>
      <vt:variant>
        <vt:i4>5</vt:i4>
      </vt:variant>
      <vt:variant>
        <vt:lpwstr/>
      </vt:variant>
      <vt:variant>
        <vt:lpwstr>_ENREF_1</vt:lpwstr>
      </vt:variant>
      <vt:variant>
        <vt:i4>4456459</vt:i4>
      </vt:variant>
      <vt:variant>
        <vt:i4>336</vt:i4>
      </vt:variant>
      <vt:variant>
        <vt:i4>0</vt:i4>
      </vt:variant>
      <vt:variant>
        <vt:i4>5</vt:i4>
      </vt:variant>
      <vt:variant>
        <vt:lpwstr/>
      </vt:variant>
      <vt:variant>
        <vt:lpwstr>_ENREF_5</vt:lpwstr>
      </vt:variant>
      <vt:variant>
        <vt:i4>4718603</vt:i4>
      </vt:variant>
      <vt:variant>
        <vt:i4>330</vt:i4>
      </vt:variant>
      <vt:variant>
        <vt:i4>0</vt:i4>
      </vt:variant>
      <vt:variant>
        <vt:i4>5</vt:i4>
      </vt:variant>
      <vt:variant>
        <vt:lpwstr/>
      </vt:variant>
      <vt:variant>
        <vt:lpwstr>_ENREF_9</vt:lpwstr>
      </vt:variant>
      <vt:variant>
        <vt:i4>4784139</vt:i4>
      </vt:variant>
      <vt:variant>
        <vt:i4>324</vt:i4>
      </vt:variant>
      <vt:variant>
        <vt:i4>0</vt:i4>
      </vt:variant>
      <vt:variant>
        <vt:i4>5</vt:i4>
      </vt:variant>
      <vt:variant>
        <vt:lpwstr/>
      </vt:variant>
      <vt:variant>
        <vt:lpwstr>_ENREF_8</vt:lpwstr>
      </vt:variant>
      <vt:variant>
        <vt:i4>4194315</vt:i4>
      </vt:variant>
      <vt:variant>
        <vt:i4>318</vt:i4>
      </vt:variant>
      <vt:variant>
        <vt:i4>0</vt:i4>
      </vt:variant>
      <vt:variant>
        <vt:i4>5</vt:i4>
      </vt:variant>
      <vt:variant>
        <vt:lpwstr/>
      </vt:variant>
      <vt:variant>
        <vt:lpwstr>_ENREF_1</vt:lpwstr>
      </vt:variant>
      <vt:variant>
        <vt:i4>4390923</vt:i4>
      </vt:variant>
      <vt:variant>
        <vt:i4>312</vt:i4>
      </vt:variant>
      <vt:variant>
        <vt:i4>0</vt:i4>
      </vt:variant>
      <vt:variant>
        <vt:i4>5</vt:i4>
      </vt:variant>
      <vt:variant>
        <vt:lpwstr/>
      </vt:variant>
      <vt:variant>
        <vt:lpwstr>_ENREF_2</vt:lpwstr>
      </vt:variant>
      <vt:variant>
        <vt:i4>4587531</vt:i4>
      </vt:variant>
      <vt:variant>
        <vt:i4>308</vt:i4>
      </vt:variant>
      <vt:variant>
        <vt:i4>0</vt:i4>
      </vt:variant>
      <vt:variant>
        <vt:i4>5</vt:i4>
      </vt:variant>
      <vt:variant>
        <vt:lpwstr/>
      </vt:variant>
      <vt:variant>
        <vt:lpwstr>_ENREF_7</vt:lpwstr>
      </vt:variant>
      <vt:variant>
        <vt:i4>4653067</vt:i4>
      </vt:variant>
      <vt:variant>
        <vt:i4>305</vt:i4>
      </vt:variant>
      <vt:variant>
        <vt:i4>0</vt:i4>
      </vt:variant>
      <vt:variant>
        <vt:i4>5</vt:i4>
      </vt:variant>
      <vt:variant>
        <vt:lpwstr/>
      </vt:variant>
      <vt:variant>
        <vt:lpwstr>_ENREF_6</vt:lpwstr>
      </vt:variant>
      <vt:variant>
        <vt:i4>4456459</vt:i4>
      </vt:variant>
      <vt:variant>
        <vt:i4>297</vt:i4>
      </vt:variant>
      <vt:variant>
        <vt:i4>0</vt:i4>
      </vt:variant>
      <vt:variant>
        <vt:i4>5</vt:i4>
      </vt:variant>
      <vt:variant>
        <vt:lpwstr/>
      </vt:variant>
      <vt:variant>
        <vt:lpwstr>_ENREF_5</vt:lpwstr>
      </vt:variant>
      <vt:variant>
        <vt:i4>4521995</vt:i4>
      </vt:variant>
      <vt:variant>
        <vt:i4>291</vt:i4>
      </vt:variant>
      <vt:variant>
        <vt:i4>0</vt:i4>
      </vt:variant>
      <vt:variant>
        <vt:i4>5</vt:i4>
      </vt:variant>
      <vt:variant>
        <vt:lpwstr/>
      </vt:variant>
      <vt:variant>
        <vt:lpwstr>_ENREF_4</vt:lpwstr>
      </vt:variant>
      <vt:variant>
        <vt:i4>4325387</vt:i4>
      </vt:variant>
      <vt:variant>
        <vt:i4>285</vt:i4>
      </vt:variant>
      <vt:variant>
        <vt:i4>0</vt:i4>
      </vt:variant>
      <vt:variant>
        <vt:i4>5</vt:i4>
      </vt:variant>
      <vt:variant>
        <vt:lpwstr/>
      </vt:variant>
      <vt:variant>
        <vt:lpwstr>_ENREF_3</vt:lpwstr>
      </vt:variant>
      <vt:variant>
        <vt:i4>4390923</vt:i4>
      </vt:variant>
      <vt:variant>
        <vt:i4>279</vt:i4>
      </vt:variant>
      <vt:variant>
        <vt:i4>0</vt:i4>
      </vt:variant>
      <vt:variant>
        <vt:i4>5</vt:i4>
      </vt:variant>
      <vt:variant>
        <vt:lpwstr/>
      </vt:variant>
      <vt:variant>
        <vt:lpwstr>_ENREF_2</vt:lpwstr>
      </vt:variant>
      <vt:variant>
        <vt:i4>4194315</vt:i4>
      </vt:variant>
      <vt:variant>
        <vt:i4>273</vt:i4>
      </vt:variant>
      <vt:variant>
        <vt:i4>0</vt:i4>
      </vt:variant>
      <vt:variant>
        <vt:i4>5</vt:i4>
      </vt:variant>
      <vt:variant>
        <vt:lpwstr/>
      </vt:variant>
      <vt:variant>
        <vt:lpwstr>_ENREF_1</vt:lpwstr>
      </vt:variant>
      <vt:variant>
        <vt:i4>1769529</vt:i4>
      </vt:variant>
      <vt:variant>
        <vt:i4>266</vt:i4>
      </vt:variant>
      <vt:variant>
        <vt:i4>0</vt:i4>
      </vt:variant>
      <vt:variant>
        <vt:i4>5</vt:i4>
      </vt:variant>
      <vt:variant>
        <vt:lpwstr/>
      </vt:variant>
      <vt:variant>
        <vt:lpwstr>_Toc389156636</vt:lpwstr>
      </vt:variant>
      <vt:variant>
        <vt:i4>1900617</vt:i4>
      </vt:variant>
      <vt:variant>
        <vt:i4>9</vt:i4>
      </vt:variant>
      <vt:variant>
        <vt:i4>0</vt:i4>
      </vt:variant>
      <vt:variant>
        <vt:i4>5</vt:i4>
      </vt:variant>
      <vt:variant>
        <vt:lpwstr>http://www.blood.gov.au/</vt:lpwstr>
      </vt:variant>
      <vt:variant>
        <vt:lpwstr/>
      </vt:variant>
      <vt:variant>
        <vt:i4>1900617</vt:i4>
      </vt:variant>
      <vt:variant>
        <vt:i4>6</vt:i4>
      </vt:variant>
      <vt:variant>
        <vt:i4>0</vt:i4>
      </vt:variant>
      <vt:variant>
        <vt:i4>5</vt:i4>
      </vt:variant>
      <vt:variant>
        <vt:lpwstr>http://www.blood.gov.au/</vt:lpwstr>
      </vt:variant>
      <vt:variant>
        <vt:lpwstr/>
      </vt:variant>
      <vt:variant>
        <vt:i4>6029363</vt:i4>
      </vt:variant>
      <vt:variant>
        <vt:i4>3</vt:i4>
      </vt:variant>
      <vt:variant>
        <vt:i4>0</vt:i4>
      </vt:variant>
      <vt:variant>
        <vt:i4>5</vt:i4>
      </vt:variant>
      <vt:variant>
        <vt:lpwstr>mailto:guidelines@blood.gov.au</vt:lpwstr>
      </vt:variant>
      <vt:variant>
        <vt:lpwstr/>
      </vt:variant>
      <vt:variant>
        <vt:i4>524289</vt:i4>
      </vt:variant>
      <vt:variant>
        <vt:i4>0</vt:i4>
      </vt:variant>
      <vt:variant>
        <vt:i4>0</vt:i4>
      </vt:variant>
      <vt:variant>
        <vt:i4>5</vt:i4>
      </vt:variant>
      <vt:variant>
        <vt:lpwstr>http://creativecommons.org/licenses/by-nc-sa/3.0/au/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NBA-G1-O1-ORI(29Dec09)</dc:title>
  <dc:creator>Hilary</dc:creator>
  <cp:lastModifiedBy>Administrator</cp:lastModifiedBy>
  <cp:revision>2</cp:revision>
  <cp:lastPrinted>2014-05-27T01:53:00Z</cp:lastPrinted>
  <dcterms:created xsi:type="dcterms:W3CDTF">2015-08-27T03:20:00Z</dcterms:created>
  <dcterms:modified xsi:type="dcterms:W3CDTF">2015-08-27T03:20:00Z</dcterms:modified>
</cp:coreProperties>
</file>